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7DB0" w14:textId="77777777" w:rsidR="00990B3F" w:rsidRPr="00740EC7" w:rsidRDefault="00990B3F" w:rsidP="00990B3F">
      <w:pPr>
        <w:tabs>
          <w:tab w:val="left" w:pos="0"/>
          <w:tab w:val="left" w:pos="567"/>
          <w:tab w:val="left" w:pos="1134"/>
          <w:tab w:val="left" w:pos="1701"/>
          <w:tab w:val="left" w:pos="2268"/>
          <w:tab w:val="left" w:pos="2835"/>
          <w:tab w:val="left" w:pos="3402"/>
          <w:tab w:val="left" w:pos="3969"/>
          <w:tab w:val="left" w:pos="4536"/>
          <w:tab w:val="left" w:pos="5103"/>
          <w:tab w:val="left" w:pos="5670"/>
        </w:tabs>
        <w:spacing w:line="23" w:lineRule="atLeast"/>
        <w:jc w:val="center"/>
        <w:rPr>
          <w:b/>
          <w:sz w:val="32"/>
          <w:szCs w:val="32"/>
        </w:rPr>
      </w:pPr>
      <w:r w:rsidRPr="00740EC7">
        <w:rPr>
          <w:b/>
          <w:sz w:val="32"/>
          <w:szCs w:val="32"/>
        </w:rPr>
        <w:t>QUEENSLAND INDUSTRIAL RELATIONS COMMISSION</w:t>
      </w:r>
    </w:p>
    <w:p w14:paraId="5B10C624" w14:textId="77777777" w:rsidR="00990B3F" w:rsidRPr="000E088E" w:rsidRDefault="00990B3F" w:rsidP="00990B3F">
      <w:pPr>
        <w:tabs>
          <w:tab w:val="left" w:pos="0"/>
          <w:tab w:val="left" w:pos="567"/>
          <w:tab w:val="left" w:pos="1134"/>
          <w:tab w:val="left" w:pos="1701"/>
          <w:tab w:val="left" w:pos="2268"/>
          <w:tab w:val="left" w:pos="2835"/>
          <w:tab w:val="left" w:pos="3402"/>
          <w:tab w:val="left" w:pos="3969"/>
          <w:tab w:val="left" w:pos="4536"/>
          <w:tab w:val="left" w:pos="5103"/>
          <w:tab w:val="left" w:pos="5670"/>
        </w:tabs>
        <w:spacing w:line="23" w:lineRule="atLeast"/>
        <w:jc w:val="both"/>
        <w:rPr>
          <w:szCs w:val="24"/>
        </w:rPr>
      </w:pPr>
    </w:p>
    <w:p w14:paraId="2D8E4100" w14:textId="77777777" w:rsidR="00990B3F" w:rsidRPr="000E088E" w:rsidRDefault="00990B3F" w:rsidP="00990B3F">
      <w:pPr>
        <w:tabs>
          <w:tab w:val="left" w:pos="0"/>
          <w:tab w:val="left" w:pos="567"/>
          <w:tab w:val="left" w:pos="1134"/>
          <w:tab w:val="left" w:pos="1701"/>
          <w:tab w:val="left" w:pos="2268"/>
          <w:tab w:val="left" w:pos="2835"/>
          <w:tab w:val="left" w:pos="3402"/>
          <w:tab w:val="left" w:pos="3969"/>
          <w:tab w:val="left" w:pos="4536"/>
          <w:tab w:val="left" w:pos="5103"/>
          <w:tab w:val="left" w:pos="5670"/>
        </w:tabs>
        <w:spacing w:line="23" w:lineRule="atLeast"/>
        <w:jc w:val="both"/>
        <w:rPr>
          <w:szCs w:val="24"/>
        </w:rPr>
      </w:pPr>
    </w:p>
    <w:tbl>
      <w:tblPr>
        <w:tblStyle w:val="TableGrid"/>
        <w:tblW w:w="892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85"/>
        <w:gridCol w:w="5040"/>
      </w:tblGrid>
      <w:tr w:rsidR="005A125E" w:rsidRPr="000E088E" w14:paraId="4AA0AA88" w14:textId="77777777" w:rsidTr="3B83E029">
        <w:trPr>
          <w:jc w:val="center"/>
        </w:trPr>
        <w:tc>
          <w:tcPr>
            <w:tcW w:w="3885" w:type="dxa"/>
          </w:tcPr>
          <w:p w14:paraId="45606262" w14:textId="77777777" w:rsidR="005A125E" w:rsidRPr="000E088E" w:rsidRDefault="005A125E" w:rsidP="005A125E">
            <w:pPr>
              <w:spacing w:line="23" w:lineRule="atLeast"/>
              <w:jc w:val="both"/>
              <w:rPr>
                <w:szCs w:val="24"/>
                <w:lang w:eastAsia="en-AU"/>
              </w:rPr>
            </w:pPr>
            <w:r w:rsidRPr="007C5B36">
              <w:rPr>
                <w:szCs w:val="24"/>
                <w:vertAlign w:val="baseline"/>
                <w:lang w:eastAsia="en-AU"/>
              </w:rPr>
              <w:t>CITATION:</w:t>
            </w:r>
          </w:p>
        </w:tc>
        <w:tc>
          <w:tcPr>
            <w:tcW w:w="5040" w:type="dxa"/>
          </w:tcPr>
          <w:p w14:paraId="1DAB2B16" w14:textId="77777777" w:rsidR="005A125E" w:rsidRPr="005A125E" w:rsidRDefault="00DA32CC" w:rsidP="005A125E">
            <w:pPr>
              <w:spacing w:line="23" w:lineRule="atLeast"/>
              <w:ind w:left="-21"/>
              <w:contextualSpacing/>
              <w:jc w:val="both"/>
              <w:rPr>
                <w:bCs/>
                <w:szCs w:val="24"/>
                <w:lang w:eastAsia="en-AU"/>
              </w:rPr>
            </w:pPr>
            <w:bookmarkStart w:id="0" w:name="_Hlk97639499"/>
            <w:r w:rsidRPr="00D56345">
              <w:rPr>
                <w:bCs/>
                <w:i/>
                <w:iCs/>
                <w:szCs w:val="24"/>
                <w:vertAlign w:val="baseline"/>
                <w:lang w:eastAsia="en-AU"/>
              </w:rPr>
              <w:t>Elliott</w:t>
            </w:r>
            <w:r w:rsidR="00025204">
              <w:rPr>
                <w:bCs/>
                <w:i/>
                <w:iCs/>
                <w:szCs w:val="24"/>
                <w:vertAlign w:val="baseline"/>
                <w:lang w:eastAsia="en-AU"/>
              </w:rPr>
              <w:t xml:space="preserve"> v State of Queensland (</w:t>
            </w:r>
            <w:r w:rsidR="002A6579">
              <w:rPr>
                <w:bCs/>
                <w:i/>
                <w:iCs/>
                <w:szCs w:val="24"/>
                <w:vertAlign w:val="baseline"/>
                <w:lang w:eastAsia="en-AU"/>
              </w:rPr>
              <w:t xml:space="preserve">Queensland </w:t>
            </w:r>
            <w:r w:rsidR="007F6B40">
              <w:rPr>
                <w:bCs/>
                <w:i/>
                <w:iCs/>
                <w:szCs w:val="24"/>
                <w:vertAlign w:val="baseline"/>
                <w:lang w:eastAsia="en-AU"/>
              </w:rPr>
              <w:t>Health</w:t>
            </w:r>
            <w:r w:rsidR="00025204">
              <w:rPr>
                <w:bCs/>
                <w:i/>
                <w:iCs/>
                <w:szCs w:val="24"/>
                <w:vertAlign w:val="baseline"/>
                <w:lang w:eastAsia="en-AU"/>
              </w:rPr>
              <w:t>)</w:t>
            </w:r>
            <w:r w:rsidR="005A125E">
              <w:rPr>
                <w:bCs/>
                <w:i/>
                <w:iCs/>
                <w:szCs w:val="24"/>
                <w:vertAlign w:val="baseline"/>
                <w:lang w:eastAsia="en-AU"/>
              </w:rPr>
              <w:t xml:space="preserve"> </w:t>
            </w:r>
            <w:r w:rsidR="005A125E">
              <w:rPr>
                <w:bCs/>
                <w:szCs w:val="24"/>
                <w:vertAlign w:val="baseline"/>
                <w:lang w:eastAsia="en-AU"/>
              </w:rPr>
              <w:t>[</w:t>
            </w:r>
            <w:r w:rsidR="009401C0">
              <w:rPr>
                <w:bCs/>
                <w:szCs w:val="24"/>
                <w:vertAlign w:val="baseline"/>
                <w:lang w:eastAsia="en-AU"/>
              </w:rPr>
              <w:t>202</w:t>
            </w:r>
            <w:r w:rsidR="00627281">
              <w:rPr>
                <w:bCs/>
                <w:szCs w:val="24"/>
                <w:vertAlign w:val="baseline"/>
                <w:lang w:eastAsia="en-AU"/>
              </w:rPr>
              <w:t>2</w:t>
            </w:r>
            <w:r w:rsidR="005A125E">
              <w:rPr>
                <w:bCs/>
                <w:szCs w:val="24"/>
                <w:vertAlign w:val="baseline"/>
                <w:lang w:eastAsia="en-AU"/>
              </w:rPr>
              <w:t xml:space="preserve">] QIRC </w:t>
            </w:r>
            <w:bookmarkEnd w:id="0"/>
            <w:r w:rsidR="00976BD1" w:rsidRPr="0099252B">
              <w:rPr>
                <w:bCs/>
                <w:szCs w:val="24"/>
                <w:vertAlign w:val="baseline"/>
                <w:lang w:eastAsia="en-AU"/>
              </w:rPr>
              <w:t>13</w:t>
            </w:r>
            <w:r w:rsidR="00230454">
              <w:rPr>
                <w:bCs/>
                <w:szCs w:val="24"/>
                <w:vertAlign w:val="baseline"/>
                <w:lang w:eastAsia="en-AU"/>
              </w:rPr>
              <w:t>9</w:t>
            </w:r>
          </w:p>
        </w:tc>
      </w:tr>
      <w:tr w:rsidR="005A125E" w:rsidRPr="000E088E" w14:paraId="17048498" w14:textId="77777777" w:rsidTr="3B83E029">
        <w:trPr>
          <w:jc w:val="center"/>
        </w:trPr>
        <w:tc>
          <w:tcPr>
            <w:tcW w:w="3885" w:type="dxa"/>
          </w:tcPr>
          <w:p w14:paraId="10BAFE73" w14:textId="77777777" w:rsidR="005A125E" w:rsidRPr="00242BD6" w:rsidRDefault="005A125E" w:rsidP="005A125E">
            <w:pPr>
              <w:spacing w:line="23" w:lineRule="atLeast"/>
              <w:jc w:val="both"/>
              <w:rPr>
                <w:szCs w:val="24"/>
                <w:vertAlign w:val="baseline"/>
                <w:lang w:eastAsia="en-AU"/>
              </w:rPr>
            </w:pPr>
          </w:p>
        </w:tc>
        <w:tc>
          <w:tcPr>
            <w:tcW w:w="5040" w:type="dxa"/>
          </w:tcPr>
          <w:p w14:paraId="70C0297D" w14:textId="77777777" w:rsidR="005A125E" w:rsidRPr="00242BD6" w:rsidRDefault="005A125E" w:rsidP="005A125E">
            <w:pPr>
              <w:spacing w:line="23" w:lineRule="atLeast"/>
              <w:jc w:val="both"/>
              <w:rPr>
                <w:b/>
                <w:bCs/>
                <w:szCs w:val="24"/>
                <w:vertAlign w:val="baseline"/>
                <w:lang w:eastAsia="en-AU"/>
              </w:rPr>
            </w:pPr>
          </w:p>
        </w:tc>
      </w:tr>
      <w:tr w:rsidR="005A125E" w:rsidRPr="000E088E" w14:paraId="743FC12B" w14:textId="77777777" w:rsidTr="3B83E029">
        <w:trPr>
          <w:jc w:val="center"/>
        </w:trPr>
        <w:tc>
          <w:tcPr>
            <w:tcW w:w="3885" w:type="dxa"/>
          </w:tcPr>
          <w:p w14:paraId="235F6927" w14:textId="77777777" w:rsidR="005A125E" w:rsidRPr="000E088E" w:rsidRDefault="005A125E" w:rsidP="005A125E">
            <w:pPr>
              <w:spacing w:line="23" w:lineRule="atLeast"/>
              <w:jc w:val="both"/>
              <w:rPr>
                <w:szCs w:val="24"/>
                <w:vertAlign w:val="baseline"/>
                <w:lang w:eastAsia="en-AU"/>
              </w:rPr>
            </w:pPr>
            <w:r w:rsidRPr="000E088E">
              <w:rPr>
                <w:szCs w:val="24"/>
                <w:vertAlign w:val="baseline"/>
                <w:lang w:eastAsia="en-AU"/>
              </w:rPr>
              <w:t>PARTIES:</w:t>
            </w:r>
            <w:r w:rsidRPr="000E088E">
              <w:rPr>
                <w:szCs w:val="24"/>
                <w:lang w:eastAsia="en-AU"/>
              </w:rPr>
              <w:tab/>
            </w:r>
          </w:p>
          <w:p w14:paraId="1E51BDE9" w14:textId="77777777" w:rsidR="005A125E" w:rsidRPr="000E088E" w:rsidRDefault="005A125E" w:rsidP="005A125E">
            <w:pPr>
              <w:spacing w:line="23" w:lineRule="atLeast"/>
              <w:jc w:val="both"/>
              <w:rPr>
                <w:szCs w:val="24"/>
                <w:vertAlign w:val="baseline"/>
                <w:lang w:eastAsia="en-AU"/>
              </w:rPr>
            </w:pPr>
          </w:p>
        </w:tc>
        <w:tc>
          <w:tcPr>
            <w:tcW w:w="5040" w:type="dxa"/>
          </w:tcPr>
          <w:p w14:paraId="40EF44B9" w14:textId="77777777" w:rsidR="005A125E" w:rsidRPr="00896FCB" w:rsidRDefault="00DA32CC" w:rsidP="005A125E">
            <w:pPr>
              <w:spacing w:line="23" w:lineRule="atLeast"/>
              <w:jc w:val="both"/>
              <w:rPr>
                <w:b/>
                <w:bCs/>
                <w:szCs w:val="24"/>
                <w:vertAlign w:val="baseline"/>
                <w:lang w:eastAsia="en-AU"/>
              </w:rPr>
            </w:pPr>
            <w:r>
              <w:rPr>
                <w:b/>
                <w:bCs/>
                <w:szCs w:val="24"/>
                <w:vertAlign w:val="baseline"/>
                <w:lang w:eastAsia="en-AU"/>
              </w:rPr>
              <w:t>Elliott, Melinda</w:t>
            </w:r>
          </w:p>
          <w:p w14:paraId="362C4613" w14:textId="77777777" w:rsidR="005A125E" w:rsidRPr="000E088E" w:rsidRDefault="005A125E" w:rsidP="005A125E">
            <w:pPr>
              <w:spacing w:line="23" w:lineRule="atLeast"/>
              <w:jc w:val="both"/>
              <w:rPr>
                <w:szCs w:val="24"/>
                <w:vertAlign w:val="baseline"/>
                <w:lang w:eastAsia="en-AU"/>
              </w:rPr>
            </w:pPr>
            <w:r w:rsidRPr="000E088E">
              <w:rPr>
                <w:szCs w:val="24"/>
                <w:vertAlign w:val="baseline"/>
                <w:lang w:eastAsia="en-AU"/>
              </w:rPr>
              <w:t>(</w:t>
            </w:r>
            <w:r w:rsidR="007255C7">
              <w:rPr>
                <w:szCs w:val="24"/>
                <w:vertAlign w:val="baseline"/>
                <w:lang w:eastAsia="en-AU"/>
              </w:rPr>
              <w:t>Appellant</w:t>
            </w:r>
            <w:r w:rsidRPr="000E088E">
              <w:rPr>
                <w:szCs w:val="24"/>
                <w:vertAlign w:val="baseline"/>
                <w:lang w:eastAsia="en-AU"/>
              </w:rPr>
              <w:t>)</w:t>
            </w:r>
          </w:p>
          <w:p w14:paraId="5B890AB6" w14:textId="77777777" w:rsidR="005A125E" w:rsidRPr="000E088E" w:rsidRDefault="005A125E" w:rsidP="005A125E">
            <w:pPr>
              <w:spacing w:line="23" w:lineRule="atLeast"/>
              <w:jc w:val="both"/>
              <w:rPr>
                <w:szCs w:val="24"/>
                <w:vertAlign w:val="baseline"/>
                <w:lang w:eastAsia="en-AU"/>
              </w:rPr>
            </w:pPr>
          </w:p>
          <w:p w14:paraId="336CD0B8" w14:textId="77777777" w:rsidR="005A125E" w:rsidRPr="000E088E" w:rsidRDefault="005A125E" w:rsidP="005A125E">
            <w:pPr>
              <w:spacing w:line="23" w:lineRule="atLeast"/>
              <w:jc w:val="both"/>
              <w:rPr>
                <w:b/>
                <w:szCs w:val="24"/>
                <w:vertAlign w:val="baseline"/>
                <w:lang w:eastAsia="en-AU"/>
              </w:rPr>
            </w:pPr>
            <w:r w:rsidRPr="000E088E">
              <w:rPr>
                <w:b/>
                <w:szCs w:val="24"/>
                <w:vertAlign w:val="baseline"/>
                <w:lang w:eastAsia="en-AU"/>
              </w:rPr>
              <w:t>v</w:t>
            </w:r>
          </w:p>
          <w:p w14:paraId="708FEC32" w14:textId="77777777" w:rsidR="005A125E" w:rsidRPr="000E088E" w:rsidRDefault="005A125E" w:rsidP="005A125E">
            <w:pPr>
              <w:spacing w:line="23" w:lineRule="atLeast"/>
              <w:jc w:val="both"/>
              <w:rPr>
                <w:b/>
                <w:szCs w:val="24"/>
                <w:vertAlign w:val="baseline"/>
                <w:lang w:eastAsia="en-AU"/>
              </w:rPr>
            </w:pPr>
          </w:p>
          <w:p w14:paraId="5C6533B2" w14:textId="77777777" w:rsidR="005A125E" w:rsidRPr="000E088E" w:rsidRDefault="00A72942" w:rsidP="005A125E">
            <w:pPr>
              <w:spacing w:line="23" w:lineRule="atLeast"/>
              <w:jc w:val="both"/>
              <w:rPr>
                <w:b/>
                <w:szCs w:val="24"/>
                <w:vertAlign w:val="baseline"/>
                <w:lang w:eastAsia="en-AU"/>
              </w:rPr>
            </w:pPr>
            <w:r w:rsidRPr="00A72942">
              <w:rPr>
                <w:b/>
                <w:szCs w:val="24"/>
                <w:vertAlign w:val="baseline"/>
                <w:lang w:eastAsia="en-AU"/>
              </w:rPr>
              <w:t>State of Queensland (</w:t>
            </w:r>
            <w:r w:rsidR="002A6579">
              <w:rPr>
                <w:b/>
                <w:szCs w:val="24"/>
                <w:vertAlign w:val="baseline"/>
                <w:lang w:eastAsia="en-AU"/>
              </w:rPr>
              <w:t xml:space="preserve">Queensland </w:t>
            </w:r>
            <w:r w:rsidR="007F6B40">
              <w:rPr>
                <w:b/>
                <w:szCs w:val="24"/>
                <w:vertAlign w:val="baseline"/>
                <w:lang w:eastAsia="en-AU"/>
              </w:rPr>
              <w:t>Health</w:t>
            </w:r>
            <w:r w:rsidRPr="00A72942">
              <w:rPr>
                <w:b/>
                <w:szCs w:val="24"/>
                <w:vertAlign w:val="baseline"/>
                <w:lang w:eastAsia="en-AU"/>
              </w:rPr>
              <w:t>)</w:t>
            </w:r>
          </w:p>
          <w:p w14:paraId="317D257B" w14:textId="77777777" w:rsidR="005A125E" w:rsidRPr="000E088E" w:rsidRDefault="005A125E" w:rsidP="005A125E">
            <w:pPr>
              <w:spacing w:line="23" w:lineRule="atLeast"/>
              <w:jc w:val="both"/>
              <w:rPr>
                <w:szCs w:val="24"/>
                <w:vertAlign w:val="baseline"/>
                <w:lang w:eastAsia="en-AU"/>
              </w:rPr>
            </w:pPr>
            <w:r w:rsidRPr="000E088E">
              <w:rPr>
                <w:szCs w:val="24"/>
                <w:vertAlign w:val="baseline"/>
                <w:lang w:eastAsia="en-AU"/>
              </w:rPr>
              <w:t>(</w:t>
            </w:r>
            <w:r w:rsidR="006970B6">
              <w:rPr>
                <w:szCs w:val="24"/>
                <w:vertAlign w:val="baseline"/>
                <w:lang w:eastAsia="en-AU"/>
              </w:rPr>
              <w:t>Respondent</w:t>
            </w:r>
            <w:r w:rsidRPr="000E088E">
              <w:rPr>
                <w:szCs w:val="24"/>
                <w:vertAlign w:val="baseline"/>
                <w:lang w:eastAsia="en-AU"/>
              </w:rPr>
              <w:t>)</w:t>
            </w:r>
          </w:p>
          <w:p w14:paraId="2913B627" w14:textId="77777777" w:rsidR="005A125E" w:rsidRPr="000E088E" w:rsidRDefault="005A125E" w:rsidP="005A125E">
            <w:pPr>
              <w:spacing w:line="23" w:lineRule="atLeast"/>
              <w:jc w:val="both"/>
              <w:rPr>
                <w:szCs w:val="24"/>
                <w:vertAlign w:val="baseline"/>
                <w:lang w:eastAsia="en-AU"/>
              </w:rPr>
            </w:pPr>
          </w:p>
        </w:tc>
      </w:tr>
      <w:tr w:rsidR="005A125E" w:rsidRPr="000E088E" w14:paraId="3D753F75" w14:textId="77777777" w:rsidTr="3B83E029">
        <w:trPr>
          <w:jc w:val="center"/>
        </w:trPr>
        <w:tc>
          <w:tcPr>
            <w:tcW w:w="3885" w:type="dxa"/>
          </w:tcPr>
          <w:p w14:paraId="4CE28801" w14:textId="77777777" w:rsidR="005A125E" w:rsidRPr="000E088E" w:rsidRDefault="005A125E" w:rsidP="005A125E">
            <w:pPr>
              <w:spacing w:line="23" w:lineRule="atLeast"/>
              <w:jc w:val="both"/>
              <w:rPr>
                <w:szCs w:val="24"/>
                <w:vertAlign w:val="baseline"/>
                <w:lang w:eastAsia="en-AU"/>
              </w:rPr>
            </w:pPr>
            <w:r w:rsidRPr="000E088E">
              <w:rPr>
                <w:szCs w:val="24"/>
                <w:vertAlign w:val="baseline"/>
                <w:lang w:eastAsia="en-AU"/>
              </w:rPr>
              <w:t>CASE NO</w:t>
            </w:r>
            <w:r w:rsidR="0019078C">
              <w:rPr>
                <w:szCs w:val="24"/>
                <w:vertAlign w:val="baseline"/>
                <w:lang w:eastAsia="en-AU"/>
              </w:rPr>
              <w:t>.</w:t>
            </w:r>
            <w:r w:rsidRPr="000E088E">
              <w:rPr>
                <w:szCs w:val="24"/>
                <w:vertAlign w:val="baseline"/>
                <w:lang w:eastAsia="en-AU"/>
              </w:rPr>
              <w:t>:</w:t>
            </w:r>
          </w:p>
          <w:p w14:paraId="29887218" w14:textId="77777777" w:rsidR="005A125E" w:rsidRPr="000E088E" w:rsidRDefault="005A125E" w:rsidP="005A125E">
            <w:pPr>
              <w:spacing w:line="23" w:lineRule="atLeast"/>
              <w:jc w:val="both"/>
              <w:rPr>
                <w:szCs w:val="24"/>
                <w:vertAlign w:val="baseline"/>
                <w:lang w:eastAsia="en-AU"/>
              </w:rPr>
            </w:pPr>
          </w:p>
        </w:tc>
        <w:tc>
          <w:tcPr>
            <w:tcW w:w="5040" w:type="dxa"/>
          </w:tcPr>
          <w:p w14:paraId="728DD37D" w14:textId="77777777" w:rsidR="005A125E" w:rsidRPr="000E088E" w:rsidRDefault="005A125E" w:rsidP="005A125E">
            <w:pPr>
              <w:spacing w:line="23" w:lineRule="atLeast"/>
              <w:jc w:val="both"/>
              <w:rPr>
                <w:szCs w:val="24"/>
                <w:vertAlign w:val="baseline"/>
                <w:lang w:eastAsia="en-AU"/>
              </w:rPr>
            </w:pPr>
            <w:r w:rsidRPr="000E088E">
              <w:rPr>
                <w:szCs w:val="24"/>
                <w:vertAlign w:val="baseline"/>
                <w:lang w:eastAsia="en-AU"/>
              </w:rPr>
              <w:t>PSA/</w:t>
            </w:r>
            <w:r>
              <w:rPr>
                <w:szCs w:val="24"/>
                <w:vertAlign w:val="baseline"/>
                <w:lang w:eastAsia="en-AU"/>
              </w:rPr>
              <w:t>202</w:t>
            </w:r>
            <w:r w:rsidR="007F6B40">
              <w:rPr>
                <w:szCs w:val="24"/>
                <w:vertAlign w:val="baseline"/>
                <w:lang w:eastAsia="en-AU"/>
              </w:rPr>
              <w:t>2/</w:t>
            </w:r>
            <w:r w:rsidR="00DA32CC">
              <w:rPr>
                <w:szCs w:val="24"/>
                <w:vertAlign w:val="baseline"/>
                <w:lang w:eastAsia="en-AU"/>
              </w:rPr>
              <w:t>331</w:t>
            </w:r>
          </w:p>
          <w:p w14:paraId="45F75B45" w14:textId="77777777" w:rsidR="005A125E" w:rsidRPr="000E088E" w:rsidRDefault="005A125E" w:rsidP="005A125E">
            <w:pPr>
              <w:spacing w:line="23" w:lineRule="atLeast"/>
              <w:jc w:val="both"/>
              <w:rPr>
                <w:b/>
                <w:szCs w:val="24"/>
                <w:vertAlign w:val="baseline"/>
                <w:lang w:eastAsia="en-AU"/>
              </w:rPr>
            </w:pPr>
          </w:p>
        </w:tc>
      </w:tr>
      <w:tr w:rsidR="005A125E" w:rsidRPr="000E088E" w14:paraId="0320ED5A" w14:textId="77777777" w:rsidTr="3B83E029">
        <w:trPr>
          <w:jc w:val="center"/>
        </w:trPr>
        <w:tc>
          <w:tcPr>
            <w:tcW w:w="3885" w:type="dxa"/>
          </w:tcPr>
          <w:p w14:paraId="561039BA" w14:textId="77777777" w:rsidR="005A125E" w:rsidRPr="000E088E" w:rsidRDefault="005A125E" w:rsidP="005A125E">
            <w:pPr>
              <w:spacing w:line="23" w:lineRule="atLeast"/>
              <w:jc w:val="both"/>
              <w:rPr>
                <w:szCs w:val="24"/>
                <w:vertAlign w:val="baseline"/>
                <w:lang w:eastAsia="en-AU"/>
              </w:rPr>
            </w:pPr>
            <w:r w:rsidRPr="000E088E">
              <w:rPr>
                <w:szCs w:val="24"/>
                <w:vertAlign w:val="baseline"/>
                <w:lang w:eastAsia="en-AU"/>
              </w:rPr>
              <w:t>PROCEEDING:</w:t>
            </w:r>
          </w:p>
          <w:p w14:paraId="478386B0" w14:textId="77777777" w:rsidR="005A125E" w:rsidRPr="000E088E" w:rsidRDefault="005A125E" w:rsidP="005A125E">
            <w:pPr>
              <w:spacing w:line="23" w:lineRule="atLeast"/>
              <w:jc w:val="both"/>
              <w:rPr>
                <w:szCs w:val="24"/>
                <w:vertAlign w:val="baseline"/>
                <w:lang w:eastAsia="en-AU"/>
              </w:rPr>
            </w:pPr>
          </w:p>
        </w:tc>
        <w:tc>
          <w:tcPr>
            <w:tcW w:w="5040" w:type="dxa"/>
          </w:tcPr>
          <w:p w14:paraId="1BD2D9EB" w14:textId="77777777" w:rsidR="005A125E" w:rsidRPr="000E088E" w:rsidRDefault="005A125E" w:rsidP="005A125E">
            <w:pPr>
              <w:spacing w:line="23" w:lineRule="atLeast"/>
              <w:jc w:val="both"/>
              <w:rPr>
                <w:szCs w:val="24"/>
                <w:vertAlign w:val="baseline"/>
                <w:lang w:eastAsia="en-AU"/>
              </w:rPr>
            </w:pPr>
            <w:r w:rsidRPr="000E088E">
              <w:rPr>
                <w:szCs w:val="24"/>
                <w:vertAlign w:val="baseline"/>
                <w:lang w:eastAsia="en-AU"/>
              </w:rPr>
              <w:t xml:space="preserve">Public Service Appeal </w:t>
            </w:r>
            <w:r>
              <w:rPr>
                <w:szCs w:val="24"/>
                <w:vertAlign w:val="baseline"/>
                <w:lang w:eastAsia="en-AU"/>
              </w:rPr>
              <w:t>–</w:t>
            </w:r>
            <w:r w:rsidR="00242BD6">
              <w:rPr>
                <w:szCs w:val="24"/>
                <w:vertAlign w:val="baseline"/>
                <w:lang w:eastAsia="en-AU"/>
              </w:rPr>
              <w:t xml:space="preserve"> F</w:t>
            </w:r>
            <w:r w:rsidR="00D4126A">
              <w:rPr>
                <w:szCs w:val="24"/>
                <w:vertAlign w:val="baseline"/>
                <w:lang w:eastAsia="en-AU"/>
              </w:rPr>
              <w:t xml:space="preserve">air </w:t>
            </w:r>
            <w:r w:rsidR="00242BD6">
              <w:rPr>
                <w:szCs w:val="24"/>
                <w:vertAlign w:val="baseline"/>
                <w:lang w:eastAsia="en-AU"/>
              </w:rPr>
              <w:t>T</w:t>
            </w:r>
            <w:r w:rsidR="00D4126A">
              <w:rPr>
                <w:szCs w:val="24"/>
                <w:vertAlign w:val="baseline"/>
                <w:lang w:eastAsia="en-AU"/>
              </w:rPr>
              <w:t xml:space="preserve">reatment </w:t>
            </w:r>
            <w:r w:rsidR="00242BD6">
              <w:rPr>
                <w:szCs w:val="24"/>
                <w:vertAlign w:val="baseline"/>
                <w:lang w:eastAsia="en-AU"/>
              </w:rPr>
              <w:t>D</w:t>
            </w:r>
            <w:r w:rsidR="00D4126A">
              <w:rPr>
                <w:szCs w:val="24"/>
                <w:vertAlign w:val="baseline"/>
                <w:lang w:eastAsia="en-AU"/>
              </w:rPr>
              <w:t xml:space="preserve">ecision </w:t>
            </w:r>
          </w:p>
          <w:p w14:paraId="02FEC6E5" w14:textId="77777777" w:rsidR="005A125E" w:rsidRPr="000E088E" w:rsidRDefault="005A125E" w:rsidP="005A125E">
            <w:pPr>
              <w:spacing w:line="23" w:lineRule="atLeast"/>
              <w:jc w:val="both"/>
              <w:rPr>
                <w:szCs w:val="24"/>
                <w:vertAlign w:val="baseline"/>
                <w:lang w:eastAsia="en-AU"/>
              </w:rPr>
            </w:pPr>
          </w:p>
        </w:tc>
      </w:tr>
      <w:tr w:rsidR="005A125E" w:rsidRPr="000E088E" w14:paraId="03AD8A19" w14:textId="77777777" w:rsidTr="3B83E029">
        <w:trPr>
          <w:jc w:val="center"/>
        </w:trPr>
        <w:tc>
          <w:tcPr>
            <w:tcW w:w="3885" w:type="dxa"/>
          </w:tcPr>
          <w:p w14:paraId="213E44FB" w14:textId="77777777" w:rsidR="005A125E" w:rsidRPr="000E088E" w:rsidRDefault="005A125E" w:rsidP="005A125E">
            <w:pPr>
              <w:spacing w:line="23" w:lineRule="atLeast"/>
              <w:jc w:val="both"/>
              <w:rPr>
                <w:szCs w:val="24"/>
                <w:vertAlign w:val="baseline"/>
                <w:lang w:eastAsia="en-AU"/>
              </w:rPr>
            </w:pPr>
            <w:r w:rsidRPr="000E088E">
              <w:rPr>
                <w:szCs w:val="24"/>
                <w:vertAlign w:val="baseline"/>
                <w:lang w:eastAsia="en-AU"/>
              </w:rPr>
              <w:t>DELIVERED ON:</w:t>
            </w:r>
          </w:p>
          <w:p w14:paraId="6CE90CE5" w14:textId="77777777" w:rsidR="005A125E" w:rsidRPr="000E088E" w:rsidRDefault="005A125E" w:rsidP="005A125E">
            <w:pPr>
              <w:spacing w:line="23" w:lineRule="atLeast"/>
              <w:jc w:val="both"/>
              <w:rPr>
                <w:szCs w:val="24"/>
                <w:vertAlign w:val="baseline"/>
                <w:lang w:eastAsia="en-AU"/>
              </w:rPr>
            </w:pPr>
          </w:p>
        </w:tc>
        <w:tc>
          <w:tcPr>
            <w:tcW w:w="5040" w:type="dxa"/>
            <w:hideMark/>
          </w:tcPr>
          <w:p w14:paraId="43A09CD6" w14:textId="77777777" w:rsidR="005A125E" w:rsidRPr="000E088E" w:rsidRDefault="00D905CD" w:rsidP="005A125E">
            <w:pPr>
              <w:spacing w:line="23" w:lineRule="atLeast"/>
              <w:jc w:val="both"/>
              <w:rPr>
                <w:szCs w:val="24"/>
                <w:vertAlign w:val="baseline"/>
                <w:lang w:eastAsia="en-AU"/>
              </w:rPr>
            </w:pPr>
            <w:r>
              <w:rPr>
                <w:szCs w:val="24"/>
                <w:vertAlign w:val="baseline"/>
                <w:lang w:eastAsia="en-AU"/>
              </w:rPr>
              <w:t>13 April 2022</w:t>
            </w:r>
          </w:p>
        </w:tc>
      </w:tr>
      <w:tr w:rsidR="005A125E" w:rsidRPr="000E088E" w14:paraId="52983D85" w14:textId="77777777" w:rsidTr="3B83E029">
        <w:trPr>
          <w:trHeight w:val="53"/>
          <w:jc w:val="center"/>
        </w:trPr>
        <w:tc>
          <w:tcPr>
            <w:tcW w:w="3885" w:type="dxa"/>
          </w:tcPr>
          <w:p w14:paraId="33979815" w14:textId="77777777" w:rsidR="005A125E" w:rsidRPr="000E088E" w:rsidRDefault="005A125E" w:rsidP="005A125E">
            <w:pPr>
              <w:spacing w:line="23" w:lineRule="atLeast"/>
              <w:jc w:val="both"/>
              <w:rPr>
                <w:szCs w:val="24"/>
                <w:vertAlign w:val="baseline"/>
                <w:lang w:eastAsia="en-AU"/>
              </w:rPr>
            </w:pPr>
            <w:r w:rsidRPr="000E088E">
              <w:rPr>
                <w:szCs w:val="24"/>
                <w:vertAlign w:val="baseline"/>
                <w:lang w:eastAsia="en-AU"/>
              </w:rPr>
              <w:t>MEMBER:</w:t>
            </w:r>
          </w:p>
          <w:p w14:paraId="59B21D8B" w14:textId="77777777" w:rsidR="005A125E" w:rsidRPr="000E088E" w:rsidRDefault="005A125E" w:rsidP="005A125E">
            <w:pPr>
              <w:spacing w:line="23" w:lineRule="atLeast"/>
              <w:jc w:val="both"/>
              <w:rPr>
                <w:szCs w:val="24"/>
                <w:vertAlign w:val="baseline"/>
                <w:lang w:eastAsia="en-AU"/>
              </w:rPr>
            </w:pPr>
          </w:p>
          <w:p w14:paraId="21243504" w14:textId="77777777" w:rsidR="005A125E" w:rsidRPr="000E088E" w:rsidRDefault="005A125E" w:rsidP="005A125E">
            <w:pPr>
              <w:spacing w:line="23" w:lineRule="atLeast"/>
              <w:jc w:val="both"/>
              <w:rPr>
                <w:szCs w:val="24"/>
                <w:vertAlign w:val="baseline"/>
                <w:lang w:eastAsia="en-AU"/>
              </w:rPr>
            </w:pPr>
            <w:r w:rsidRPr="000E088E">
              <w:rPr>
                <w:szCs w:val="24"/>
                <w:vertAlign w:val="baseline"/>
                <w:lang w:eastAsia="en-AU"/>
              </w:rPr>
              <w:t>HEARD AT:</w:t>
            </w:r>
          </w:p>
        </w:tc>
        <w:tc>
          <w:tcPr>
            <w:tcW w:w="5040" w:type="dxa"/>
          </w:tcPr>
          <w:p w14:paraId="051293ED" w14:textId="77777777" w:rsidR="005A125E" w:rsidRPr="000E088E" w:rsidRDefault="005A125E" w:rsidP="005A125E">
            <w:pPr>
              <w:spacing w:line="23" w:lineRule="atLeast"/>
              <w:jc w:val="both"/>
              <w:rPr>
                <w:szCs w:val="24"/>
                <w:vertAlign w:val="baseline"/>
                <w:lang w:eastAsia="en-AU"/>
              </w:rPr>
            </w:pPr>
            <w:r>
              <w:rPr>
                <w:szCs w:val="24"/>
                <w:vertAlign w:val="baseline"/>
                <w:lang w:eastAsia="en-AU"/>
              </w:rPr>
              <w:t>Power IC</w:t>
            </w:r>
          </w:p>
          <w:p w14:paraId="34C1AACA" w14:textId="77777777" w:rsidR="005A125E" w:rsidRPr="000E088E" w:rsidRDefault="005A125E" w:rsidP="005A125E">
            <w:pPr>
              <w:spacing w:line="23" w:lineRule="atLeast"/>
              <w:jc w:val="both"/>
              <w:rPr>
                <w:szCs w:val="24"/>
                <w:vertAlign w:val="baseline"/>
                <w:lang w:eastAsia="en-AU"/>
              </w:rPr>
            </w:pPr>
          </w:p>
          <w:p w14:paraId="04C1C9FF" w14:textId="77777777" w:rsidR="005A125E" w:rsidRPr="000E088E" w:rsidRDefault="005A125E" w:rsidP="005A125E">
            <w:pPr>
              <w:spacing w:line="23" w:lineRule="atLeast"/>
              <w:jc w:val="both"/>
              <w:rPr>
                <w:szCs w:val="24"/>
                <w:vertAlign w:val="baseline"/>
                <w:lang w:eastAsia="en-AU"/>
              </w:rPr>
            </w:pPr>
            <w:r w:rsidRPr="000E088E">
              <w:rPr>
                <w:szCs w:val="24"/>
                <w:vertAlign w:val="baseline"/>
                <w:lang w:eastAsia="en-AU"/>
              </w:rPr>
              <w:t>On the papers</w:t>
            </w:r>
          </w:p>
          <w:p w14:paraId="196F0179" w14:textId="77777777" w:rsidR="005A125E" w:rsidRPr="000E088E" w:rsidRDefault="005A125E" w:rsidP="005A125E">
            <w:pPr>
              <w:spacing w:line="23" w:lineRule="atLeast"/>
              <w:jc w:val="both"/>
              <w:rPr>
                <w:szCs w:val="24"/>
                <w:vertAlign w:val="baseline"/>
                <w:lang w:eastAsia="en-AU"/>
              </w:rPr>
            </w:pPr>
          </w:p>
        </w:tc>
      </w:tr>
      <w:tr w:rsidR="005A125E" w:rsidRPr="000E088E" w14:paraId="0D3CA6EF" w14:textId="77777777" w:rsidTr="3B83E029">
        <w:trPr>
          <w:trHeight w:val="456"/>
          <w:jc w:val="center"/>
        </w:trPr>
        <w:tc>
          <w:tcPr>
            <w:tcW w:w="3885" w:type="dxa"/>
            <w:hideMark/>
          </w:tcPr>
          <w:p w14:paraId="357D0ADB" w14:textId="77777777" w:rsidR="005A125E" w:rsidRPr="000E088E" w:rsidRDefault="005A125E" w:rsidP="005A125E">
            <w:pPr>
              <w:spacing w:line="23" w:lineRule="atLeast"/>
              <w:jc w:val="both"/>
              <w:rPr>
                <w:szCs w:val="24"/>
                <w:vertAlign w:val="baseline"/>
                <w:lang w:eastAsia="en-AU"/>
              </w:rPr>
            </w:pPr>
            <w:r w:rsidRPr="000E088E">
              <w:rPr>
                <w:szCs w:val="24"/>
                <w:vertAlign w:val="baseline"/>
                <w:lang w:eastAsia="en-AU"/>
              </w:rPr>
              <w:t>O</w:t>
            </w:r>
            <w:r w:rsidR="00B16B7F">
              <w:rPr>
                <w:szCs w:val="24"/>
                <w:vertAlign w:val="baseline"/>
                <w:lang w:eastAsia="en-AU"/>
              </w:rPr>
              <w:t>RDER</w:t>
            </w:r>
            <w:r w:rsidRPr="000E088E">
              <w:rPr>
                <w:szCs w:val="24"/>
                <w:vertAlign w:val="baseline"/>
                <w:lang w:eastAsia="en-AU"/>
              </w:rPr>
              <w:t xml:space="preserve">: </w:t>
            </w:r>
          </w:p>
        </w:tc>
        <w:tc>
          <w:tcPr>
            <w:tcW w:w="5040" w:type="dxa"/>
          </w:tcPr>
          <w:p w14:paraId="191650D9" w14:textId="77777777" w:rsidR="005A125E" w:rsidRPr="00C52F53" w:rsidRDefault="005A125E" w:rsidP="005A125E">
            <w:pPr>
              <w:spacing w:line="276" w:lineRule="auto"/>
              <w:jc w:val="both"/>
              <w:rPr>
                <w:b/>
                <w:bCs/>
                <w:szCs w:val="24"/>
                <w:vertAlign w:val="baseline"/>
              </w:rPr>
            </w:pPr>
            <w:bookmarkStart w:id="1" w:name="_Hlk63930036"/>
            <w:r w:rsidRPr="00C52F53">
              <w:rPr>
                <w:b/>
                <w:bCs/>
                <w:szCs w:val="24"/>
              </w:rPr>
              <w:t xml:space="preserve">Pursuant to s 562C(1)(a) of the </w:t>
            </w:r>
            <w:r w:rsidRPr="00C52F53">
              <w:rPr>
                <w:b/>
                <w:bCs/>
                <w:i/>
                <w:iCs/>
                <w:szCs w:val="24"/>
                <w:vertAlign w:val="baseline"/>
              </w:rPr>
              <w:t>Industrial Relations Act 2016</w:t>
            </w:r>
            <w:r w:rsidRPr="00C52F53">
              <w:rPr>
                <w:b/>
                <w:bCs/>
                <w:szCs w:val="24"/>
                <w:vertAlign w:val="baseline"/>
              </w:rPr>
              <w:t xml:space="preserve"> (Qld), the decision appealed against is confirmed.</w:t>
            </w:r>
          </w:p>
          <w:bookmarkEnd w:id="1"/>
          <w:p w14:paraId="08284DC8" w14:textId="77777777" w:rsidR="005A125E" w:rsidRPr="000E088E" w:rsidRDefault="005A125E" w:rsidP="005A125E">
            <w:pPr>
              <w:tabs>
                <w:tab w:val="left" w:pos="397"/>
                <w:tab w:val="left" w:pos="546"/>
                <w:tab w:val="left" w:pos="1134"/>
                <w:tab w:val="left" w:pos="1701"/>
                <w:tab w:val="left" w:pos="2268"/>
                <w:tab w:val="left" w:pos="2835"/>
                <w:tab w:val="left" w:pos="3402"/>
                <w:tab w:val="left" w:pos="3969"/>
                <w:tab w:val="left" w:pos="4536"/>
                <w:tab w:val="left" w:pos="5103"/>
                <w:tab w:val="left" w:pos="5670"/>
              </w:tabs>
              <w:spacing w:line="23" w:lineRule="atLeast"/>
              <w:jc w:val="both"/>
              <w:rPr>
                <w:b/>
                <w:szCs w:val="24"/>
                <w:vertAlign w:val="baseline"/>
                <w:lang w:eastAsia="en-AU"/>
              </w:rPr>
            </w:pPr>
          </w:p>
        </w:tc>
      </w:tr>
      <w:tr w:rsidR="00A01A68" w:rsidRPr="000E088E" w14:paraId="599EDE2E" w14:textId="77777777" w:rsidTr="3B83E029">
        <w:trPr>
          <w:trHeight w:val="456"/>
          <w:jc w:val="center"/>
        </w:trPr>
        <w:tc>
          <w:tcPr>
            <w:tcW w:w="3885" w:type="dxa"/>
          </w:tcPr>
          <w:p w14:paraId="6ADCD7EB" w14:textId="77777777" w:rsidR="00A01A68" w:rsidRPr="00A01A68" w:rsidRDefault="00A01A68" w:rsidP="005A125E">
            <w:pPr>
              <w:spacing w:line="23" w:lineRule="atLeast"/>
              <w:jc w:val="both"/>
              <w:rPr>
                <w:szCs w:val="24"/>
                <w:vertAlign w:val="baseline"/>
                <w:lang w:eastAsia="en-AU"/>
              </w:rPr>
            </w:pPr>
            <w:r w:rsidRPr="00A01A68">
              <w:rPr>
                <w:szCs w:val="24"/>
                <w:vertAlign w:val="baseline"/>
                <w:lang w:eastAsia="en-AU"/>
              </w:rPr>
              <w:t>CATCHWORDS:</w:t>
            </w:r>
          </w:p>
        </w:tc>
        <w:tc>
          <w:tcPr>
            <w:tcW w:w="5040" w:type="dxa"/>
          </w:tcPr>
          <w:p w14:paraId="35543BF2" w14:textId="77777777" w:rsidR="00A01A68" w:rsidRDefault="75CBB90A" w:rsidP="3B83E029">
            <w:pPr>
              <w:spacing w:line="276" w:lineRule="auto"/>
              <w:jc w:val="both"/>
              <w:rPr>
                <w:vertAlign w:val="baseline"/>
              </w:rPr>
            </w:pPr>
            <w:r w:rsidRPr="3B83E029">
              <w:rPr>
                <w:vertAlign w:val="baseline"/>
              </w:rPr>
              <w:t>PUBLIC SERVICE – EMPLOYEES AND SERVANTS OF THE CROWN GENERALLY</w:t>
            </w:r>
            <w:r w:rsidR="0574EBBB" w:rsidRPr="3B83E029">
              <w:rPr>
                <w:vertAlign w:val="baseline"/>
              </w:rPr>
              <w:t xml:space="preserve"> – Public Service Appeal –</w:t>
            </w:r>
            <w:r w:rsidR="5B2DB43E" w:rsidRPr="3B83E029">
              <w:rPr>
                <w:vertAlign w:val="baseline"/>
              </w:rPr>
              <w:t xml:space="preserve"> </w:t>
            </w:r>
            <w:r w:rsidR="7EFCED8C" w:rsidRPr="3B83E029">
              <w:rPr>
                <w:vertAlign w:val="baseline"/>
              </w:rPr>
              <w:t>appellant employed by the State of Queensland – where the Health Employment Directive No.</w:t>
            </w:r>
            <w:r w:rsidR="75EC7048" w:rsidRPr="3B83E029">
              <w:rPr>
                <w:vertAlign w:val="baseline"/>
              </w:rPr>
              <w:t xml:space="preserve"> </w:t>
            </w:r>
            <w:r w:rsidR="7EFCED8C" w:rsidRPr="3B83E029">
              <w:rPr>
                <w:vertAlign w:val="baseline"/>
              </w:rPr>
              <w:t>12/21- Employee COVID-19 vaccination requirements required employees who are employed to work in a hospital or</w:t>
            </w:r>
            <w:r w:rsidR="75EC7048" w:rsidRPr="3B83E029">
              <w:rPr>
                <w:vertAlign w:val="baseline"/>
              </w:rPr>
              <w:t xml:space="preserve"> </w:t>
            </w:r>
            <w:r w:rsidR="7EFCED8C" w:rsidRPr="3B83E029">
              <w:rPr>
                <w:vertAlign w:val="baseline"/>
              </w:rPr>
              <w:t>other facility where clinical care or support is provided  must have received at least a first dos</w:t>
            </w:r>
            <w:r w:rsidR="3A6489D6" w:rsidRPr="3B83E029">
              <w:rPr>
                <w:vertAlign w:val="baseline"/>
              </w:rPr>
              <w:t>e</w:t>
            </w:r>
            <w:r w:rsidR="7EFCED8C" w:rsidRPr="3B83E029">
              <w:rPr>
                <w:vertAlign w:val="baseline"/>
              </w:rPr>
              <w:t xml:space="preserve"> of a COVID-19 vaccine by 30 September 2021 and must have received the second dose of a COVID-19 vaccine by 31 October 2021 – appellant sought an exemption</w:t>
            </w:r>
            <w:r w:rsidR="002D28C6" w:rsidRPr="3B83E029">
              <w:rPr>
                <w:vertAlign w:val="baseline"/>
              </w:rPr>
              <w:t xml:space="preserve"> </w:t>
            </w:r>
            <w:r w:rsidR="7EFCED8C" w:rsidRPr="3B83E029">
              <w:rPr>
                <w:vertAlign w:val="baseline"/>
              </w:rPr>
              <w:t>– exemption was refused – risk posed to the  health and wellbeing of patients, col</w:t>
            </w:r>
            <w:r w:rsidR="7038EC70" w:rsidRPr="3B83E029">
              <w:rPr>
                <w:vertAlign w:val="baseline"/>
              </w:rPr>
              <w:t>leagues and other stakeholders – decision to deny exemption fair and reasonable</w:t>
            </w:r>
          </w:p>
          <w:p w14:paraId="7B8C8A34" w14:textId="77777777" w:rsidR="00A01A68" w:rsidRPr="00A01A68" w:rsidRDefault="00A01A68" w:rsidP="005A125E">
            <w:pPr>
              <w:spacing w:line="276" w:lineRule="auto"/>
              <w:jc w:val="both"/>
              <w:rPr>
                <w:szCs w:val="24"/>
                <w:vertAlign w:val="baseline"/>
              </w:rPr>
            </w:pPr>
          </w:p>
        </w:tc>
      </w:tr>
      <w:tr w:rsidR="005A125E" w:rsidRPr="005C4C6C" w14:paraId="482B95C1" w14:textId="77777777" w:rsidTr="3B83E029">
        <w:trPr>
          <w:jc w:val="center"/>
        </w:trPr>
        <w:tc>
          <w:tcPr>
            <w:tcW w:w="3885" w:type="dxa"/>
            <w:hideMark/>
          </w:tcPr>
          <w:p w14:paraId="3EBE7D20" w14:textId="77777777" w:rsidR="005A125E" w:rsidRPr="005A125E" w:rsidRDefault="005A125E" w:rsidP="005A125E">
            <w:pPr>
              <w:spacing w:line="23" w:lineRule="atLeast"/>
              <w:jc w:val="both"/>
              <w:rPr>
                <w:szCs w:val="24"/>
                <w:vertAlign w:val="baseline"/>
                <w:lang w:eastAsia="en-AU"/>
              </w:rPr>
            </w:pPr>
            <w:r w:rsidRPr="005A125E">
              <w:rPr>
                <w:szCs w:val="24"/>
                <w:vertAlign w:val="baseline"/>
                <w:lang w:eastAsia="en-AU"/>
              </w:rPr>
              <w:t>LEGISLATION:</w:t>
            </w:r>
          </w:p>
        </w:tc>
        <w:tc>
          <w:tcPr>
            <w:tcW w:w="5040" w:type="dxa"/>
          </w:tcPr>
          <w:p w14:paraId="2CD31C7A" w14:textId="77777777" w:rsidR="00A317D1" w:rsidRPr="007A5505" w:rsidRDefault="00A317D1" w:rsidP="005A125E">
            <w:pPr>
              <w:pStyle w:val="FootnoteText"/>
              <w:spacing w:line="23" w:lineRule="atLeast"/>
              <w:jc w:val="both"/>
              <w:rPr>
                <w:iCs/>
                <w:sz w:val="24"/>
                <w:szCs w:val="24"/>
                <w:vertAlign w:val="baseline"/>
                <w:lang w:eastAsia="en-AU"/>
              </w:rPr>
            </w:pPr>
            <w:r w:rsidRPr="00A317D1">
              <w:rPr>
                <w:i/>
                <w:sz w:val="24"/>
                <w:szCs w:val="24"/>
                <w:vertAlign w:val="baseline"/>
                <w:lang w:eastAsia="en-AU"/>
              </w:rPr>
              <w:t xml:space="preserve">Hospital and Health Boards Act 2011 </w:t>
            </w:r>
            <w:r w:rsidRPr="00A317D1">
              <w:rPr>
                <w:iCs/>
                <w:sz w:val="24"/>
                <w:szCs w:val="24"/>
                <w:vertAlign w:val="baseline"/>
                <w:lang w:eastAsia="en-AU"/>
              </w:rPr>
              <w:t>(Qld)</w:t>
            </w:r>
            <w:r>
              <w:rPr>
                <w:iCs/>
                <w:sz w:val="24"/>
                <w:szCs w:val="24"/>
                <w:vertAlign w:val="baseline"/>
                <w:lang w:eastAsia="en-AU"/>
              </w:rPr>
              <w:t xml:space="preserve">, s </w:t>
            </w:r>
            <w:r>
              <w:rPr>
                <w:iCs/>
                <w:sz w:val="24"/>
                <w:szCs w:val="24"/>
                <w:vertAlign w:val="baseline"/>
                <w:lang w:eastAsia="en-AU"/>
              </w:rPr>
              <w:lastRenderedPageBreak/>
              <w:t>51A</w:t>
            </w:r>
          </w:p>
          <w:p w14:paraId="39F844B8" w14:textId="77777777" w:rsidR="0086517C" w:rsidRDefault="0086517C" w:rsidP="005A125E">
            <w:pPr>
              <w:pStyle w:val="FootnoteText"/>
              <w:spacing w:line="23" w:lineRule="atLeast"/>
              <w:jc w:val="both"/>
              <w:rPr>
                <w:i/>
                <w:sz w:val="24"/>
                <w:szCs w:val="24"/>
                <w:vertAlign w:val="baseline"/>
                <w:lang w:eastAsia="en-AU"/>
              </w:rPr>
            </w:pPr>
          </w:p>
          <w:p w14:paraId="04711CDE" w14:textId="77777777" w:rsidR="00C8330F" w:rsidRDefault="00C8330F" w:rsidP="005A125E">
            <w:pPr>
              <w:pStyle w:val="FootnoteText"/>
              <w:spacing w:line="23" w:lineRule="atLeast"/>
              <w:jc w:val="both"/>
              <w:rPr>
                <w:iCs/>
                <w:sz w:val="24"/>
                <w:szCs w:val="24"/>
                <w:vertAlign w:val="baseline"/>
                <w:lang w:eastAsia="en-AU"/>
              </w:rPr>
            </w:pPr>
            <w:r w:rsidRPr="00C8330F">
              <w:rPr>
                <w:i/>
                <w:sz w:val="24"/>
                <w:szCs w:val="24"/>
                <w:vertAlign w:val="baseline"/>
                <w:lang w:eastAsia="en-AU"/>
              </w:rPr>
              <w:t>Industrial Relations Act 2016</w:t>
            </w:r>
            <w:r w:rsidRPr="005B02EE">
              <w:rPr>
                <w:i/>
                <w:sz w:val="24"/>
                <w:szCs w:val="24"/>
                <w:vertAlign w:val="baseline"/>
                <w:lang w:eastAsia="en-AU"/>
              </w:rPr>
              <w:t xml:space="preserve"> </w:t>
            </w:r>
            <w:r w:rsidRPr="005B02EE">
              <w:rPr>
                <w:iCs/>
                <w:sz w:val="24"/>
                <w:szCs w:val="24"/>
                <w:vertAlign w:val="baseline"/>
                <w:lang w:eastAsia="en-AU"/>
              </w:rPr>
              <w:t>(Qld), ss</w:t>
            </w:r>
            <w:r>
              <w:rPr>
                <w:iCs/>
                <w:sz w:val="24"/>
                <w:szCs w:val="24"/>
                <w:vertAlign w:val="baseline"/>
                <w:lang w:eastAsia="en-AU"/>
              </w:rPr>
              <w:t xml:space="preserve"> 562B</w:t>
            </w:r>
            <w:r w:rsidR="0019078C">
              <w:rPr>
                <w:iCs/>
                <w:sz w:val="24"/>
                <w:szCs w:val="24"/>
                <w:vertAlign w:val="baseline"/>
                <w:lang w:eastAsia="en-AU"/>
              </w:rPr>
              <w:t xml:space="preserve"> and</w:t>
            </w:r>
            <w:r>
              <w:rPr>
                <w:iCs/>
                <w:sz w:val="24"/>
                <w:szCs w:val="24"/>
                <w:vertAlign w:val="baseline"/>
                <w:lang w:eastAsia="en-AU"/>
              </w:rPr>
              <w:t xml:space="preserve"> 562C</w:t>
            </w:r>
          </w:p>
          <w:p w14:paraId="026D11D9" w14:textId="77777777" w:rsidR="0086517C" w:rsidRDefault="0086517C" w:rsidP="005A125E">
            <w:pPr>
              <w:pStyle w:val="FootnoteText"/>
              <w:spacing w:line="23" w:lineRule="atLeast"/>
              <w:jc w:val="both"/>
              <w:rPr>
                <w:iCs/>
                <w:sz w:val="24"/>
                <w:szCs w:val="24"/>
                <w:vertAlign w:val="baseline"/>
                <w:lang w:eastAsia="en-AU"/>
              </w:rPr>
            </w:pPr>
          </w:p>
          <w:p w14:paraId="2D5250DB" w14:textId="77777777" w:rsidR="005A125E" w:rsidRDefault="005A125E" w:rsidP="005A125E">
            <w:pPr>
              <w:pStyle w:val="FootnoteText"/>
              <w:spacing w:line="23" w:lineRule="atLeast"/>
              <w:jc w:val="both"/>
              <w:rPr>
                <w:iCs/>
                <w:sz w:val="24"/>
                <w:szCs w:val="24"/>
                <w:vertAlign w:val="baseline"/>
                <w:lang w:eastAsia="en-AU"/>
              </w:rPr>
            </w:pPr>
            <w:r w:rsidRPr="005A125E">
              <w:rPr>
                <w:i/>
                <w:sz w:val="24"/>
                <w:szCs w:val="24"/>
                <w:vertAlign w:val="baseline"/>
                <w:lang w:eastAsia="en-AU"/>
              </w:rPr>
              <w:t xml:space="preserve">Public Service Act 2008 </w:t>
            </w:r>
            <w:r w:rsidRPr="005A125E">
              <w:rPr>
                <w:iCs/>
                <w:sz w:val="24"/>
                <w:szCs w:val="24"/>
                <w:vertAlign w:val="baseline"/>
                <w:lang w:eastAsia="en-AU"/>
              </w:rPr>
              <w:t>(Qld)</w:t>
            </w:r>
            <w:r w:rsidRPr="005A125E">
              <w:rPr>
                <w:i/>
                <w:sz w:val="24"/>
                <w:szCs w:val="24"/>
                <w:vertAlign w:val="baseline"/>
                <w:lang w:eastAsia="en-AU"/>
              </w:rPr>
              <w:t xml:space="preserve">, </w:t>
            </w:r>
            <w:r w:rsidRPr="005A125E">
              <w:rPr>
                <w:iCs/>
                <w:sz w:val="24"/>
                <w:szCs w:val="24"/>
                <w:vertAlign w:val="baseline"/>
                <w:lang w:eastAsia="en-AU"/>
              </w:rPr>
              <w:t>s</w:t>
            </w:r>
            <w:r w:rsidR="00242BD6">
              <w:rPr>
                <w:iCs/>
                <w:sz w:val="24"/>
                <w:szCs w:val="24"/>
                <w:vertAlign w:val="baseline"/>
                <w:lang w:eastAsia="en-AU"/>
              </w:rPr>
              <w:t xml:space="preserve"> </w:t>
            </w:r>
            <w:r w:rsidRPr="005A125E">
              <w:rPr>
                <w:iCs/>
                <w:sz w:val="24"/>
                <w:szCs w:val="24"/>
                <w:vertAlign w:val="baseline"/>
                <w:lang w:eastAsia="en-AU"/>
              </w:rPr>
              <w:t>194</w:t>
            </w:r>
          </w:p>
          <w:p w14:paraId="49F49CAE" w14:textId="77777777" w:rsidR="005A125E" w:rsidRPr="005A125E" w:rsidRDefault="005A125E" w:rsidP="00242BD6">
            <w:pPr>
              <w:pStyle w:val="FootnoteText"/>
              <w:spacing w:line="23" w:lineRule="atLeast"/>
              <w:jc w:val="both"/>
              <w:rPr>
                <w:sz w:val="24"/>
                <w:szCs w:val="24"/>
                <w:vertAlign w:val="baseline"/>
                <w:lang w:eastAsia="en-AU"/>
              </w:rPr>
            </w:pPr>
          </w:p>
        </w:tc>
      </w:tr>
      <w:tr w:rsidR="005A125E" w:rsidRPr="005C4C6C" w14:paraId="4EC51265" w14:textId="77777777" w:rsidTr="000030FF">
        <w:trPr>
          <w:trHeight w:val="4287"/>
          <w:jc w:val="center"/>
        </w:trPr>
        <w:tc>
          <w:tcPr>
            <w:tcW w:w="3885" w:type="dxa"/>
            <w:hideMark/>
          </w:tcPr>
          <w:p w14:paraId="4B1CDF16" w14:textId="77777777" w:rsidR="005A125E" w:rsidRPr="005C4C6C" w:rsidRDefault="005A125E" w:rsidP="005A125E">
            <w:pPr>
              <w:spacing w:line="23" w:lineRule="atLeast"/>
              <w:jc w:val="both"/>
              <w:rPr>
                <w:szCs w:val="24"/>
                <w:vertAlign w:val="baseline"/>
                <w:lang w:eastAsia="en-AU"/>
              </w:rPr>
            </w:pPr>
            <w:r w:rsidRPr="005C4C6C">
              <w:rPr>
                <w:szCs w:val="24"/>
                <w:vertAlign w:val="baseline"/>
                <w:lang w:eastAsia="en-AU"/>
              </w:rPr>
              <w:lastRenderedPageBreak/>
              <w:t>CASES:</w:t>
            </w:r>
          </w:p>
        </w:tc>
        <w:tc>
          <w:tcPr>
            <w:tcW w:w="5040" w:type="dxa"/>
          </w:tcPr>
          <w:p w14:paraId="2DA71DE5" w14:textId="77777777" w:rsidR="005A125E" w:rsidRDefault="005A125E" w:rsidP="001946E9">
            <w:pPr>
              <w:pStyle w:val="FootnoteText"/>
              <w:spacing w:line="23" w:lineRule="atLeast"/>
              <w:ind w:left="-21"/>
              <w:jc w:val="both"/>
              <w:rPr>
                <w:sz w:val="24"/>
                <w:szCs w:val="24"/>
                <w:vertAlign w:val="baseline"/>
              </w:rPr>
            </w:pPr>
            <w:r w:rsidRPr="00E058EA">
              <w:rPr>
                <w:i/>
                <w:sz w:val="24"/>
                <w:szCs w:val="24"/>
                <w:vertAlign w:val="baseline"/>
              </w:rPr>
              <w:t>Brandy v Human Rights and Equal Opportunity Commission</w:t>
            </w:r>
            <w:r w:rsidRPr="00E058EA">
              <w:rPr>
                <w:sz w:val="24"/>
                <w:szCs w:val="24"/>
                <w:vertAlign w:val="baseline"/>
              </w:rPr>
              <w:t xml:space="preserve"> [1995] HCA 10; (1995) 183 CLR 245</w:t>
            </w:r>
          </w:p>
          <w:p w14:paraId="7F3297EE" w14:textId="77777777" w:rsidR="004861DC" w:rsidRDefault="004861DC" w:rsidP="00242BD6">
            <w:pPr>
              <w:pStyle w:val="FootnoteText"/>
              <w:spacing w:line="23" w:lineRule="atLeast"/>
              <w:jc w:val="both"/>
              <w:rPr>
                <w:sz w:val="24"/>
                <w:szCs w:val="24"/>
                <w:vertAlign w:val="baseline"/>
              </w:rPr>
            </w:pPr>
          </w:p>
          <w:p w14:paraId="52FB7913" w14:textId="77777777" w:rsidR="005A125E" w:rsidRPr="00E058EA" w:rsidRDefault="005A125E" w:rsidP="001946E9">
            <w:pPr>
              <w:pStyle w:val="FootnoteText"/>
              <w:spacing w:line="23" w:lineRule="atLeast"/>
              <w:ind w:left="-21"/>
              <w:jc w:val="both"/>
              <w:rPr>
                <w:i/>
                <w:iCs/>
                <w:sz w:val="24"/>
                <w:szCs w:val="24"/>
                <w:vertAlign w:val="baseline"/>
              </w:rPr>
            </w:pPr>
            <w:r w:rsidRPr="00E058EA">
              <w:rPr>
                <w:i/>
                <w:iCs/>
                <w:sz w:val="24"/>
                <w:szCs w:val="24"/>
                <w:vertAlign w:val="baseline"/>
              </w:rPr>
              <w:t xml:space="preserve">Gilmour v Waddell &amp; Ors </w:t>
            </w:r>
            <w:r w:rsidRPr="00E058EA">
              <w:rPr>
                <w:sz w:val="24"/>
                <w:szCs w:val="24"/>
                <w:vertAlign w:val="baseline"/>
              </w:rPr>
              <w:t>[2019] QSC 170</w:t>
            </w:r>
          </w:p>
          <w:p w14:paraId="1460B23C" w14:textId="77777777" w:rsidR="005A125E" w:rsidRPr="00E058EA" w:rsidRDefault="005A125E" w:rsidP="001946E9">
            <w:pPr>
              <w:pStyle w:val="FootnoteText"/>
              <w:spacing w:line="23" w:lineRule="atLeast"/>
              <w:ind w:left="-21"/>
              <w:jc w:val="both"/>
              <w:rPr>
                <w:i/>
                <w:sz w:val="24"/>
                <w:szCs w:val="24"/>
                <w:vertAlign w:val="baseline"/>
              </w:rPr>
            </w:pPr>
          </w:p>
          <w:p w14:paraId="5CA26397" w14:textId="77777777" w:rsidR="005A125E" w:rsidRDefault="005A125E" w:rsidP="001946E9">
            <w:pPr>
              <w:pStyle w:val="FootnoteText"/>
              <w:spacing w:line="23" w:lineRule="atLeast"/>
              <w:ind w:left="-21"/>
              <w:jc w:val="both"/>
              <w:rPr>
                <w:sz w:val="24"/>
                <w:szCs w:val="24"/>
                <w:vertAlign w:val="baseline"/>
              </w:rPr>
            </w:pPr>
            <w:r w:rsidRPr="00E058EA">
              <w:rPr>
                <w:i/>
                <w:sz w:val="24"/>
                <w:szCs w:val="24"/>
                <w:vertAlign w:val="baseline"/>
              </w:rPr>
              <w:t>Goodall v State of Queensland</w:t>
            </w:r>
            <w:r w:rsidRPr="00E058EA">
              <w:rPr>
                <w:sz w:val="24"/>
                <w:szCs w:val="24"/>
                <w:vertAlign w:val="baseline"/>
              </w:rPr>
              <w:t xml:space="preserve"> (Supreme Court of Queensland, Dalton J, 10 October 2018)</w:t>
            </w:r>
          </w:p>
          <w:p w14:paraId="5CD36FBF" w14:textId="77777777" w:rsidR="007432EE" w:rsidRDefault="007432EE" w:rsidP="001946E9">
            <w:pPr>
              <w:pStyle w:val="FootnoteText"/>
              <w:spacing w:line="23" w:lineRule="atLeast"/>
              <w:ind w:left="-21"/>
              <w:jc w:val="both"/>
              <w:rPr>
                <w:sz w:val="24"/>
                <w:szCs w:val="24"/>
                <w:vertAlign w:val="baseline"/>
              </w:rPr>
            </w:pPr>
          </w:p>
          <w:p w14:paraId="3672CEB3" w14:textId="77777777" w:rsidR="007432EE" w:rsidRDefault="007432EE" w:rsidP="001946E9">
            <w:pPr>
              <w:pStyle w:val="FootnoteText"/>
              <w:spacing w:line="23" w:lineRule="atLeast"/>
              <w:ind w:left="-21"/>
              <w:jc w:val="both"/>
              <w:rPr>
                <w:sz w:val="24"/>
                <w:szCs w:val="24"/>
                <w:vertAlign w:val="baseline"/>
              </w:rPr>
            </w:pPr>
            <w:r w:rsidRPr="007432EE">
              <w:rPr>
                <w:i/>
                <w:iCs/>
                <w:sz w:val="24"/>
                <w:szCs w:val="24"/>
                <w:vertAlign w:val="baseline"/>
              </w:rPr>
              <w:t>Graffunder v State of Queensland (Queensland Health)</w:t>
            </w:r>
            <w:r w:rsidRPr="007432EE">
              <w:rPr>
                <w:sz w:val="24"/>
                <w:szCs w:val="24"/>
                <w:vertAlign w:val="baseline"/>
              </w:rPr>
              <w:t xml:space="preserve"> [2022] QIRC 76</w:t>
            </w:r>
          </w:p>
          <w:p w14:paraId="6D707A79" w14:textId="77777777" w:rsidR="00204491" w:rsidRDefault="00204491" w:rsidP="001946E9">
            <w:pPr>
              <w:pStyle w:val="FootnoteText"/>
              <w:spacing w:line="23" w:lineRule="atLeast"/>
              <w:ind w:left="-21"/>
              <w:jc w:val="both"/>
              <w:rPr>
                <w:sz w:val="24"/>
                <w:szCs w:val="24"/>
                <w:vertAlign w:val="baseline"/>
              </w:rPr>
            </w:pPr>
          </w:p>
          <w:p w14:paraId="0F175ECF" w14:textId="77777777" w:rsidR="007432EE" w:rsidRDefault="007432EE" w:rsidP="001946E9">
            <w:pPr>
              <w:pStyle w:val="FootnoteText"/>
              <w:spacing w:line="23" w:lineRule="atLeast"/>
              <w:ind w:left="-21"/>
              <w:jc w:val="both"/>
              <w:rPr>
                <w:sz w:val="24"/>
                <w:szCs w:val="24"/>
                <w:vertAlign w:val="baseline"/>
              </w:rPr>
            </w:pPr>
            <w:r w:rsidRPr="007432EE">
              <w:rPr>
                <w:i/>
                <w:iCs/>
                <w:sz w:val="24"/>
                <w:szCs w:val="24"/>
                <w:vertAlign w:val="baseline"/>
              </w:rPr>
              <w:t>Higgins v State of Queensland (Queensland Health)</w:t>
            </w:r>
            <w:r w:rsidRPr="007432EE">
              <w:rPr>
                <w:sz w:val="24"/>
                <w:szCs w:val="24"/>
                <w:vertAlign w:val="baseline"/>
              </w:rPr>
              <w:t xml:space="preserve"> [2022] QIRC 030</w:t>
            </w:r>
          </w:p>
          <w:p w14:paraId="0E9CDF94" w14:textId="77777777" w:rsidR="007A5505" w:rsidRDefault="007A5505" w:rsidP="001946E9">
            <w:pPr>
              <w:pStyle w:val="FootnoteText"/>
              <w:spacing w:line="23" w:lineRule="atLeast"/>
              <w:ind w:left="-21"/>
              <w:jc w:val="both"/>
              <w:rPr>
                <w:sz w:val="24"/>
                <w:szCs w:val="24"/>
                <w:vertAlign w:val="baseline"/>
              </w:rPr>
            </w:pPr>
          </w:p>
          <w:p w14:paraId="3339E2F8" w14:textId="77777777" w:rsidR="00204491" w:rsidRPr="00E058EA" w:rsidRDefault="007A5505" w:rsidP="007A5505">
            <w:pPr>
              <w:pStyle w:val="FootnoteText"/>
              <w:spacing w:line="23" w:lineRule="atLeast"/>
              <w:ind w:left="-21"/>
              <w:jc w:val="both"/>
              <w:rPr>
                <w:sz w:val="24"/>
                <w:szCs w:val="24"/>
                <w:vertAlign w:val="baseline"/>
              </w:rPr>
            </w:pPr>
            <w:r w:rsidRPr="007A5505">
              <w:rPr>
                <w:i/>
                <w:iCs/>
                <w:sz w:val="24"/>
                <w:szCs w:val="24"/>
                <w:vertAlign w:val="baseline"/>
              </w:rPr>
              <w:t>Slykerman v State of Queensland (Queensland Health)</w:t>
            </w:r>
            <w:r w:rsidRPr="007A5505">
              <w:rPr>
                <w:sz w:val="24"/>
                <w:szCs w:val="24"/>
                <w:vertAlign w:val="baseline"/>
              </w:rPr>
              <w:t xml:space="preserve"> [2022] QIRC 039</w:t>
            </w:r>
          </w:p>
        </w:tc>
      </w:tr>
    </w:tbl>
    <w:p w14:paraId="795F7F69" w14:textId="77777777" w:rsidR="00A20A9D" w:rsidRDefault="00A20A9D" w:rsidP="007A5505">
      <w:pPr>
        <w:pStyle w:val="Caption"/>
        <w:spacing w:line="23" w:lineRule="atLeast"/>
        <w:jc w:val="left"/>
        <w:rPr>
          <w:szCs w:val="24"/>
        </w:rPr>
      </w:pPr>
    </w:p>
    <w:p w14:paraId="5FA7CD5D" w14:textId="77777777" w:rsidR="001C0311" w:rsidRDefault="001C0311" w:rsidP="001C0311">
      <w:pPr>
        <w:rPr>
          <w:lang w:bidi="th-TH"/>
        </w:rPr>
      </w:pPr>
    </w:p>
    <w:p w14:paraId="437E4A1E" w14:textId="77777777" w:rsidR="001C0311" w:rsidRPr="001C0311" w:rsidRDefault="001C0311" w:rsidP="001C0311">
      <w:pPr>
        <w:rPr>
          <w:lang w:bidi="th-TH"/>
        </w:rPr>
      </w:pPr>
    </w:p>
    <w:p w14:paraId="5EEE38DD" w14:textId="77777777" w:rsidR="00990B3F" w:rsidRPr="005C4C6C" w:rsidRDefault="00990B3F" w:rsidP="00990B3F">
      <w:pPr>
        <w:pStyle w:val="Caption"/>
        <w:spacing w:line="23" w:lineRule="atLeast"/>
        <w:rPr>
          <w:szCs w:val="24"/>
        </w:rPr>
      </w:pPr>
      <w:r w:rsidRPr="005C4C6C">
        <w:rPr>
          <w:szCs w:val="24"/>
        </w:rPr>
        <w:t>Reasons for Decision</w:t>
      </w:r>
    </w:p>
    <w:p w14:paraId="74085990" w14:textId="77777777" w:rsidR="00990B3F" w:rsidRPr="005C4C6C" w:rsidRDefault="00990B3F" w:rsidP="00990B3F">
      <w:p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b/>
          <w:color w:val="000000"/>
          <w:szCs w:val="24"/>
        </w:rPr>
      </w:pPr>
    </w:p>
    <w:p w14:paraId="7F60DD00" w14:textId="77777777" w:rsidR="00990B3F" w:rsidRPr="00F31960" w:rsidRDefault="00990B3F" w:rsidP="00990B3F">
      <w:p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b/>
          <w:color w:val="000000"/>
          <w:szCs w:val="24"/>
        </w:rPr>
      </w:pPr>
      <w:r w:rsidRPr="00F31960">
        <w:rPr>
          <w:b/>
          <w:color w:val="000000"/>
          <w:szCs w:val="24"/>
        </w:rPr>
        <w:t>Introduction</w:t>
      </w:r>
    </w:p>
    <w:p w14:paraId="420B3439" w14:textId="77777777" w:rsidR="00990B3F" w:rsidRPr="00F31960" w:rsidRDefault="00990B3F" w:rsidP="00990B3F">
      <w:p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b/>
          <w:color w:val="000000"/>
          <w:szCs w:val="24"/>
        </w:rPr>
      </w:pPr>
    </w:p>
    <w:p w14:paraId="42DF45D9" w14:textId="77777777" w:rsidR="001515E5" w:rsidRPr="001515E5" w:rsidRDefault="006A3686" w:rsidP="00A5460F">
      <w:pPr>
        <w:numPr>
          <w:ilvl w:val="0"/>
          <w:numId w:val="5"/>
        </w:num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rPr>
          <w:color w:val="000000"/>
        </w:rPr>
      </w:pPr>
      <w:r w:rsidRPr="3B83E029">
        <w:rPr>
          <w:color w:val="000000" w:themeColor="text1"/>
        </w:rPr>
        <w:t>M</w:t>
      </w:r>
      <w:r w:rsidR="00604505" w:rsidRPr="3B83E029">
        <w:rPr>
          <w:color w:val="000000" w:themeColor="text1"/>
        </w:rPr>
        <w:t xml:space="preserve">rs Melinda Elliott </w:t>
      </w:r>
      <w:r w:rsidR="00990B3F" w:rsidRPr="3B83E029">
        <w:rPr>
          <w:color w:val="000000" w:themeColor="text1"/>
        </w:rPr>
        <w:t>(</w:t>
      </w:r>
      <w:r w:rsidR="00BD3969" w:rsidRPr="3B83E029">
        <w:rPr>
          <w:color w:val="000000" w:themeColor="text1"/>
        </w:rPr>
        <w:t>'</w:t>
      </w:r>
      <w:r w:rsidR="00990B3F" w:rsidRPr="3B83E029">
        <w:rPr>
          <w:color w:val="000000" w:themeColor="text1"/>
        </w:rPr>
        <w:t xml:space="preserve">the </w:t>
      </w:r>
      <w:r w:rsidR="007255C7" w:rsidRPr="3B83E029">
        <w:rPr>
          <w:color w:val="000000" w:themeColor="text1"/>
        </w:rPr>
        <w:t>Appellant</w:t>
      </w:r>
      <w:r w:rsidR="00BD3969" w:rsidRPr="3B83E029">
        <w:rPr>
          <w:color w:val="000000" w:themeColor="text1"/>
        </w:rPr>
        <w:t>'</w:t>
      </w:r>
      <w:r w:rsidR="00990B3F" w:rsidRPr="3B83E029">
        <w:rPr>
          <w:color w:val="000000" w:themeColor="text1"/>
        </w:rPr>
        <w:t>) is employed</w:t>
      </w:r>
      <w:r w:rsidR="00135FC5" w:rsidRPr="3B83E029">
        <w:rPr>
          <w:color w:val="000000" w:themeColor="text1"/>
        </w:rPr>
        <w:t xml:space="preserve"> </w:t>
      </w:r>
      <w:r w:rsidR="001515E5" w:rsidRPr="3B83E029">
        <w:rPr>
          <w:color w:val="000000" w:themeColor="text1"/>
        </w:rPr>
        <w:t>by the State of Queensland (Queensland Health) ('the Respondent') as</w:t>
      </w:r>
      <w:r w:rsidR="00787ADE" w:rsidRPr="3B83E029">
        <w:rPr>
          <w:color w:val="000000" w:themeColor="text1"/>
        </w:rPr>
        <w:t xml:space="preserve"> a</w:t>
      </w:r>
      <w:r w:rsidR="00604505" w:rsidRPr="3B83E029">
        <w:rPr>
          <w:color w:val="000000" w:themeColor="text1"/>
        </w:rPr>
        <w:t xml:space="preserve"> Registered Nurse, Pre-Admission Clinic/Ren</w:t>
      </w:r>
      <w:r w:rsidR="00E649BE" w:rsidRPr="3B83E029">
        <w:rPr>
          <w:color w:val="000000" w:themeColor="text1"/>
        </w:rPr>
        <w:t>a</w:t>
      </w:r>
      <w:r w:rsidR="00604505" w:rsidRPr="3B83E029">
        <w:rPr>
          <w:color w:val="000000" w:themeColor="text1"/>
        </w:rPr>
        <w:t>l Dialysis at the Princess Alexandra Hospital ('PAH') and the Logan Hospital within Metro South Health ('MSH')</w:t>
      </w:r>
      <w:r w:rsidR="001515E5" w:rsidRPr="3B83E029">
        <w:rPr>
          <w:color w:val="000000" w:themeColor="text1"/>
        </w:rPr>
        <w:t>.</w:t>
      </w:r>
    </w:p>
    <w:p w14:paraId="0A877931" w14:textId="77777777" w:rsidR="00990B3F" w:rsidRPr="008E12FA" w:rsidRDefault="00990B3F" w:rsidP="00990B3F">
      <w:p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color w:val="000000"/>
          <w:szCs w:val="24"/>
        </w:rPr>
      </w:pPr>
    </w:p>
    <w:p w14:paraId="0A40FABC" w14:textId="77777777" w:rsidR="00DC1779" w:rsidRDefault="0042668B" w:rsidP="3B83E029">
      <w:pPr>
        <w:numPr>
          <w:ilvl w:val="0"/>
          <w:numId w:val="5"/>
        </w:num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rPr>
          <w:color w:val="000000"/>
        </w:rPr>
      </w:pPr>
      <w:r w:rsidRPr="3B83E029">
        <w:rPr>
          <w:color w:val="000000" w:themeColor="text1"/>
        </w:rPr>
        <w:t xml:space="preserve">On </w:t>
      </w:r>
      <w:r w:rsidR="00604505" w:rsidRPr="3B83E029">
        <w:rPr>
          <w:color w:val="000000" w:themeColor="text1"/>
        </w:rPr>
        <w:t>29 September</w:t>
      </w:r>
      <w:r w:rsidRPr="3B83E029">
        <w:rPr>
          <w:color w:val="000000" w:themeColor="text1"/>
        </w:rPr>
        <w:t xml:space="preserve"> 2021, the Appellant submitted an </w:t>
      </w:r>
      <w:r w:rsidR="008C1D4B" w:rsidRPr="3B83E029">
        <w:rPr>
          <w:color w:val="000000" w:themeColor="text1"/>
        </w:rPr>
        <w:t>'Employee COVID-19 vaccine exemption application form'</w:t>
      </w:r>
      <w:r w:rsidR="00817E23" w:rsidRPr="3B83E029">
        <w:rPr>
          <w:color w:val="000000" w:themeColor="text1"/>
        </w:rPr>
        <w:t xml:space="preserve"> (the </w:t>
      </w:r>
      <w:r w:rsidR="00604505" w:rsidRPr="3B83E029">
        <w:rPr>
          <w:color w:val="000000" w:themeColor="text1"/>
        </w:rPr>
        <w:t>'</w:t>
      </w:r>
      <w:r w:rsidR="00817E23" w:rsidRPr="3B83E029">
        <w:rPr>
          <w:color w:val="000000" w:themeColor="text1"/>
        </w:rPr>
        <w:t>exemption applic</w:t>
      </w:r>
      <w:r w:rsidR="00FF344B" w:rsidRPr="3B83E029">
        <w:rPr>
          <w:color w:val="000000" w:themeColor="text1"/>
        </w:rPr>
        <w:t>a</w:t>
      </w:r>
      <w:r w:rsidR="00817E23" w:rsidRPr="3B83E029">
        <w:rPr>
          <w:color w:val="000000" w:themeColor="text1"/>
        </w:rPr>
        <w:t>tion')</w:t>
      </w:r>
      <w:r w:rsidR="008C1D4B" w:rsidRPr="3B83E029">
        <w:rPr>
          <w:color w:val="000000" w:themeColor="text1"/>
        </w:rPr>
        <w:t xml:space="preserve">, seeking for an exemption </w:t>
      </w:r>
      <w:r w:rsidR="00F44528" w:rsidRPr="3B83E029">
        <w:rPr>
          <w:color w:val="000000" w:themeColor="text1"/>
        </w:rPr>
        <w:t>from obtaining</w:t>
      </w:r>
      <w:r w:rsidR="008C1D4B" w:rsidRPr="3B83E029">
        <w:rPr>
          <w:color w:val="000000" w:themeColor="text1"/>
        </w:rPr>
        <w:t xml:space="preserve"> any COVID-19 vaccination</w:t>
      </w:r>
      <w:r w:rsidR="006E677D" w:rsidRPr="3B83E029">
        <w:rPr>
          <w:color w:val="000000" w:themeColor="text1"/>
        </w:rPr>
        <w:t xml:space="preserve"> based on a </w:t>
      </w:r>
      <w:r w:rsidR="00604505" w:rsidRPr="3B83E029">
        <w:rPr>
          <w:color w:val="000000" w:themeColor="text1"/>
        </w:rPr>
        <w:t>medical contraindication</w:t>
      </w:r>
      <w:r w:rsidR="00964136" w:rsidRPr="3B83E029">
        <w:rPr>
          <w:color w:val="000000" w:themeColor="text1"/>
        </w:rPr>
        <w:t xml:space="preserve"> in accordance with the Health Employment Directive 12/21 regarding employee COVID-19 vaccination requirements ('the Directive')</w:t>
      </w:r>
      <w:r w:rsidR="008C1D4B" w:rsidRPr="3B83E029">
        <w:rPr>
          <w:color w:val="000000" w:themeColor="text1"/>
        </w:rPr>
        <w:t>.</w:t>
      </w:r>
    </w:p>
    <w:p w14:paraId="79DFBF08" w14:textId="77777777" w:rsidR="008C1D4B" w:rsidRPr="00E03CAC" w:rsidRDefault="008C1D4B" w:rsidP="008C1D4B">
      <w:pPr>
        <w:pStyle w:val="ListParagraph"/>
        <w:rPr>
          <w:color w:val="000000"/>
          <w:sz w:val="24"/>
          <w:szCs w:val="26"/>
        </w:rPr>
      </w:pPr>
    </w:p>
    <w:p w14:paraId="17B093B7" w14:textId="77777777" w:rsidR="008C1D4B" w:rsidRDefault="005860B0" w:rsidP="3B83E029">
      <w:pPr>
        <w:numPr>
          <w:ilvl w:val="0"/>
          <w:numId w:val="5"/>
        </w:num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rPr>
          <w:color w:val="000000"/>
        </w:rPr>
      </w:pPr>
      <w:r w:rsidRPr="3B83E029">
        <w:rPr>
          <w:color w:val="000000" w:themeColor="text1"/>
        </w:rPr>
        <w:t xml:space="preserve">By letter dated </w:t>
      </w:r>
      <w:r w:rsidR="00295FBE" w:rsidRPr="3B83E029">
        <w:rPr>
          <w:color w:val="000000" w:themeColor="text1"/>
        </w:rPr>
        <w:t>22 December</w:t>
      </w:r>
      <w:r w:rsidRPr="3B83E029">
        <w:rPr>
          <w:color w:val="000000" w:themeColor="text1"/>
        </w:rPr>
        <w:t xml:space="preserve"> 2021</w:t>
      </w:r>
      <w:r w:rsidR="0083381B" w:rsidRPr="3B83E029">
        <w:rPr>
          <w:color w:val="000000" w:themeColor="text1"/>
        </w:rPr>
        <w:t xml:space="preserve">, </w:t>
      </w:r>
      <w:r w:rsidR="00295FBE" w:rsidRPr="3B83E029">
        <w:rPr>
          <w:color w:val="000000" w:themeColor="text1"/>
        </w:rPr>
        <w:t>Mr Dave Waters, Executive Director Human Resources, MSH</w:t>
      </w:r>
      <w:r w:rsidR="0001588C" w:rsidRPr="3B83E029">
        <w:rPr>
          <w:color w:val="000000" w:themeColor="text1"/>
        </w:rPr>
        <w:t>,</w:t>
      </w:r>
      <w:r w:rsidR="00817E23" w:rsidRPr="3B83E029">
        <w:rPr>
          <w:color w:val="000000" w:themeColor="text1"/>
        </w:rPr>
        <w:t xml:space="preserve"> advised the Appellant's e</w:t>
      </w:r>
      <w:r w:rsidR="00964136" w:rsidRPr="3B83E029">
        <w:rPr>
          <w:color w:val="000000" w:themeColor="text1"/>
        </w:rPr>
        <w:t>xemption application was refused</w:t>
      </w:r>
      <w:r w:rsidR="00295FBE" w:rsidRPr="3B83E029">
        <w:rPr>
          <w:color w:val="000000" w:themeColor="text1"/>
        </w:rPr>
        <w:t xml:space="preserve">. </w:t>
      </w:r>
      <w:r w:rsidR="00964136" w:rsidRPr="3B83E029">
        <w:rPr>
          <w:color w:val="000000" w:themeColor="text1"/>
        </w:rPr>
        <w:t>The Appellant was directed to comply with the Directive</w:t>
      </w:r>
      <w:r w:rsidR="002C30B5" w:rsidRPr="3B83E029">
        <w:rPr>
          <w:color w:val="000000" w:themeColor="text1"/>
        </w:rPr>
        <w:t xml:space="preserve"> to receive the required dose and provide confirmation of compliance </w:t>
      </w:r>
      <w:r w:rsidR="00295FBE" w:rsidRPr="3B83E029">
        <w:rPr>
          <w:color w:val="000000" w:themeColor="text1"/>
        </w:rPr>
        <w:t>prior to 4 January 2022</w:t>
      </w:r>
      <w:r w:rsidR="002C30B5" w:rsidRPr="3B83E029">
        <w:rPr>
          <w:color w:val="000000" w:themeColor="text1"/>
        </w:rPr>
        <w:t>.</w:t>
      </w:r>
    </w:p>
    <w:p w14:paraId="6C1F860E" w14:textId="77777777" w:rsidR="002C30B5" w:rsidRPr="00E03CAC" w:rsidRDefault="002C30B5" w:rsidP="002C30B5">
      <w:pPr>
        <w:pStyle w:val="ListParagraph"/>
        <w:rPr>
          <w:color w:val="000000"/>
          <w:sz w:val="24"/>
          <w:szCs w:val="26"/>
        </w:rPr>
      </w:pPr>
    </w:p>
    <w:p w14:paraId="1066B83B" w14:textId="77777777" w:rsidR="002C30B5" w:rsidRDefault="001D32FF" w:rsidP="3B83E029">
      <w:pPr>
        <w:numPr>
          <w:ilvl w:val="0"/>
          <w:numId w:val="5"/>
        </w:num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rPr>
          <w:color w:val="000000"/>
        </w:rPr>
      </w:pPr>
      <w:r w:rsidRPr="3B83E029">
        <w:rPr>
          <w:color w:val="000000" w:themeColor="text1"/>
        </w:rPr>
        <w:t xml:space="preserve">On </w:t>
      </w:r>
      <w:r w:rsidR="0001588C" w:rsidRPr="3B83E029">
        <w:rPr>
          <w:color w:val="000000" w:themeColor="text1"/>
        </w:rPr>
        <w:t>4 January</w:t>
      </w:r>
      <w:r w:rsidRPr="3B83E029">
        <w:rPr>
          <w:color w:val="000000" w:themeColor="text1"/>
        </w:rPr>
        <w:t xml:space="preserve"> 202</w:t>
      </w:r>
      <w:r w:rsidR="0001588C" w:rsidRPr="3B83E029">
        <w:rPr>
          <w:color w:val="000000" w:themeColor="text1"/>
        </w:rPr>
        <w:t>2</w:t>
      </w:r>
      <w:r w:rsidRPr="3B83E029">
        <w:rPr>
          <w:color w:val="000000" w:themeColor="text1"/>
        </w:rPr>
        <w:t xml:space="preserve">, the Appellant requested an internal review of the decision to </w:t>
      </w:r>
      <w:r w:rsidR="0001588C" w:rsidRPr="3B83E029">
        <w:rPr>
          <w:color w:val="000000" w:themeColor="text1"/>
        </w:rPr>
        <w:t>refuse</w:t>
      </w:r>
      <w:r w:rsidRPr="3B83E029">
        <w:rPr>
          <w:color w:val="000000" w:themeColor="text1"/>
        </w:rPr>
        <w:t xml:space="preserve"> the Appellant</w:t>
      </w:r>
      <w:r w:rsidR="001C02EE" w:rsidRPr="3B83E029">
        <w:rPr>
          <w:color w:val="000000" w:themeColor="text1"/>
        </w:rPr>
        <w:t xml:space="preserve">'s </w:t>
      </w:r>
      <w:r w:rsidRPr="3B83E029">
        <w:rPr>
          <w:color w:val="000000" w:themeColor="text1"/>
        </w:rPr>
        <w:t>exemption application.</w:t>
      </w:r>
    </w:p>
    <w:p w14:paraId="4FB66DB3" w14:textId="77777777" w:rsidR="001D32FF" w:rsidRPr="00E03CAC" w:rsidRDefault="001D32FF" w:rsidP="001D32FF">
      <w:pPr>
        <w:pStyle w:val="ListParagraph"/>
        <w:rPr>
          <w:color w:val="000000"/>
          <w:sz w:val="24"/>
          <w:szCs w:val="26"/>
        </w:rPr>
      </w:pPr>
    </w:p>
    <w:p w14:paraId="249B43B2" w14:textId="77777777" w:rsidR="001C02EE" w:rsidRDefault="001C02EE" w:rsidP="3B83E029">
      <w:pPr>
        <w:numPr>
          <w:ilvl w:val="0"/>
          <w:numId w:val="5"/>
        </w:num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rPr>
          <w:color w:val="000000"/>
        </w:rPr>
      </w:pPr>
      <w:r w:rsidRPr="3B83E029">
        <w:rPr>
          <w:color w:val="000000" w:themeColor="text1"/>
        </w:rPr>
        <w:lastRenderedPageBreak/>
        <w:t xml:space="preserve">By letter dated </w:t>
      </w:r>
      <w:r w:rsidR="0001588C" w:rsidRPr="3B83E029">
        <w:rPr>
          <w:color w:val="000000" w:themeColor="text1"/>
        </w:rPr>
        <w:t>4 February 2022</w:t>
      </w:r>
      <w:r w:rsidR="006418B1" w:rsidRPr="3B83E029">
        <w:rPr>
          <w:color w:val="000000" w:themeColor="text1"/>
        </w:rPr>
        <w:t xml:space="preserve"> and received by the Appellant on 8 February 2022</w:t>
      </w:r>
      <w:r w:rsidRPr="3B83E029">
        <w:rPr>
          <w:color w:val="000000" w:themeColor="text1"/>
        </w:rPr>
        <w:t xml:space="preserve">, </w:t>
      </w:r>
      <w:r w:rsidR="0001588C" w:rsidRPr="3B83E029">
        <w:rPr>
          <w:color w:val="000000" w:themeColor="text1"/>
        </w:rPr>
        <w:t>Dr</w:t>
      </w:r>
      <w:r w:rsidR="00336644" w:rsidRPr="3B83E029">
        <w:rPr>
          <w:color w:val="000000" w:themeColor="text1"/>
        </w:rPr>
        <w:t> </w:t>
      </w:r>
      <w:r w:rsidR="0001588C" w:rsidRPr="3B83E029">
        <w:rPr>
          <w:color w:val="000000" w:themeColor="text1"/>
        </w:rPr>
        <w:t>Michael Cleary, Acting Chief Operating Officer and COVID-19 Incident Controller, MSH,</w:t>
      </w:r>
      <w:r w:rsidRPr="3B83E029">
        <w:rPr>
          <w:color w:val="000000" w:themeColor="text1"/>
        </w:rPr>
        <w:t xml:space="preserve"> confirmed the decision to refuse the Appellant's exemption application.</w:t>
      </w:r>
    </w:p>
    <w:p w14:paraId="7380CB11" w14:textId="77777777" w:rsidR="001C02EE" w:rsidRPr="00E03CAC" w:rsidRDefault="001C02EE" w:rsidP="001C02EE">
      <w:pPr>
        <w:pStyle w:val="ListParagraph"/>
        <w:rPr>
          <w:color w:val="000000"/>
          <w:sz w:val="24"/>
          <w:szCs w:val="26"/>
        </w:rPr>
      </w:pPr>
    </w:p>
    <w:p w14:paraId="2EFB4F5A" w14:textId="77777777" w:rsidR="001F76E1" w:rsidRPr="001F76E1" w:rsidRDefault="0033067B" w:rsidP="00A5460F">
      <w:pPr>
        <w:numPr>
          <w:ilvl w:val="0"/>
          <w:numId w:val="5"/>
        </w:numPr>
        <w:shd w:val="clear" w:color="auto" w:fill="FFFFFF" w:themeFill="background1"/>
        <w:tabs>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 w:val="left" w:pos="5670"/>
        </w:tabs>
        <w:autoSpaceDE w:val="0"/>
        <w:autoSpaceDN w:val="0"/>
        <w:adjustRightInd w:val="0"/>
        <w:jc w:val="both"/>
        <w:rPr>
          <w:color w:val="000000"/>
        </w:rPr>
      </w:pPr>
      <w:r>
        <w:rPr>
          <w:color w:val="000000" w:themeColor="text1"/>
        </w:rPr>
        <w:t>O</w:t>
      </w:r>
      <w:r w:rsidR="00B40AB4" w:rsidRPr="766A4D7E">
        <w:rPr>
          <w:color w:val="000000" w:themeColor="text1"/>
        </w:rPr>
        <w:t xml:space="preserve">n </w:t>
      </w:r>
      <w:r w:rsidR="00072612">
        <w:rPr>
          <w:color w:val="000000" w:themeColor="text1"/>
        </w:rPr>
        <w:t>28 February</w:t>
      </w:r>
      <w:r w:rsidR="00E803B9">
        <w:rPr>
          <w:color w:val="000000" w:themeColor="text1"/>
        </w:rPr>
        <w:t xml:space="preserve"> 2022</w:t>
      </w:r>
      <w:r w:rsidR="00BA6799" w:rsidRPr="766A4D7E">
        <w:rPr>
          <w:color w:val="000000" w:themeColor="text1"/>
        </w:rPr>
        <w:t xml:space="preserve">, the </w:t>
      </w:r>
      <w:r w:rsidR="007255C7" w:rsidRPr="766A4D7E">
        <w:rPr>
          <w:color w:val="000000" w:themeColor="text1"/>
        </w:rPr>
        <w:t>Appellant</w:t>
      </w:r>
      <w:r>
        <w:rPr>
          <w:color w:val="000000" w:themeColor="text1"/>
        </w:rPr>
        <w:t xml:space="preserve"> filed an appeal notice,</w:t>
      </w:r>
      <w:r w:rsidR="00BA6799" w:rsidRPr="766A4D7E">
        <w:rPr>
          <w:color w:val="000000" w:themeColor="text1"/>
        </w:rPr>
        <w:t xml:space="preserve"> </w:t>
      </w:r>
      <w:r>
        <w:rPr>
          <w:color w:val="000000" w:themeColor="text1"/>
        </w:rPr>
        <w:t xml:space="preserve">appealing against the </w:t>
      </w:r>
      <w:r w:rsidR="001C02EE">
        <w:rPr>
          <w:color w:val="000000" w:themeColor="text1"/>
        </w:rPr>
        <w:t xml:space="preserve">decision of </w:t>
      </w:r>
      <w:r w:rsidR="005D743F">
        <w:rPr>
          <w:color w:val="000000" w:themeColor="text1"/>
        </w:rPr>
        <w:t>Dr Cleary dated 4 February 2022</w:t>
      </w:r>
      <w:r w:rsidRPr="0054546C">
        <w:rPr>
          <w:color w:val="000000" w:themeColor="text1"/>
        </w:rPr>
        <w:t>.</w:t>
      </w:r>
      <w:r w:rsidR="00D4126A" w:rsidRPr="0054546C">
        <w:rPr>
          <w:color w:val="000000" w:themeColor="text1"/>
        </w:rPr>
        <w:t xml:space="preserve"> </w:t>
      </w:r>
      <w:r w:rsidR="00072612" w:rsidRPr="00072612">
        <w:rPr>
          <w:color w:val="000000" w:themeColor="text1"/>
        </w:rPr>
        <w:t xml:space="preserve">Whilst the Appellant indicates in the appeal notice that she </w:t>
      </w:r>
      <w:r w:rsidR="001A11EA">
        <w:rPr>
          <w:color w:val="000000" w:themeColor="text1"/>
        </w:rPr>
        <w:t>is</w:t>
      </w:r>
      <w:r w:rsidR="00072612" w:rsidRPr="00072612">
        <w:rPr>
          <w:color w:val="000000" w:themeColor="text1"/>
        </w:rPr>
        <w:t xml:space="preserve"> appealing against a decision made under a directive, this Commission has recently held on several occasions, and I agree, that the Directive does not allow for employees to appeal.</w:t>
      </w:r>
      <w:r w:rsidR="00072612">
        <w:rPr>
          <w:rStyle w:val="FootnoteReference"/>
          <w:color w:val="000000" w:themeColor="text1"/>
        </w:rPr>
        <w:footnoteReference w:id="2"/>
      </w:r>
      <w:r w:rsidR="00072612" w:rsidRPr="00072612">
        <w:rPr>
          <w:color w:val="000000" w:themeColor="text1"/>
        </w:rPr>
        <w:t xml:space="preserve"> </w:t>
      </w:r>
      <w:r w:rsidR="003977B7">
        <w:rPr>
          <w:color w:val="000000" w:themeColor="text1"/>
        </w:rPr>
        <w:t xml:space="preserve">The nature of </w:t>
      </w:r>
      <w:r w:rsidR="003977B7" w:rsidRPr="0054546C">
        <w:rPr>
          <w:color w:val="000000" w:themeColor="text1"/>
        </w:rPr>
        <w:t>the decision appealed against is more appropriately characterised as a fair treatment decision, a decision which the Appellant considers unfair and unreasonable</w:t>
      </w:r>
      <w:r w:rsidR="003977B7">
        <w:rPr>
          <w:color w:val="000000" w:themeColor="text1"/>
        </w:rPr>
        <w:t>. Accordingly,</w:t>
      </w:r>
      <w:r w:rsidR="003977B7" w:rsidRPr="0054546C">
        <w:rPr>
          <w:color w:val="000000" w:themeColor="text1"/>
        </w:rPr>
        <w:t xml:space="preserve"> I will proceed to determine this appeal as a fair treatment appeal</w:t>
      </w:r>
      <w:r w:rsidR="003977B7">
        <w:rPr>
          <w:color w:val="000000" w:themeColor="text1"/>
        </w:rPr>
        <w:t xml:space="preserve">, </w:t>
      </w:r>
      <w:r w:rsidR="00072612" w:rsidRPr="00072612">
        <w:rPr>
          <w:color w:val="000000" w:themeColor="text1"/>
        </w:rPr>
        <w:t>pursuant to s</w:t>
      </w:r>
      <w:r w:rsidR="00072612">
        <w:rPr>
          <w:color w:val="000000" w:themeColor="text1"/>
        </w:rPr>
        <w:t> </w:t>
      </w:r>
      <w:r w:rsidR="00072612" w:rsidRPr="00072612">
        <w:rPr>
          <w:color w:val="000000" w:themeColor="text1"/>
        </w:rPr>
        <w:t xml:space="preserve">194(1)(eb) of the </w:t>
      </w:r>
      <w:r w:rsidR="00072612" w:rsidRPr="3B83E029">
        <w:rPr>
          <w:i/>
          <w:iCs/>
          <w:color w:val="000000" w:themeColor="text1"/>
        </w:rPr>
        <w:t>Public Service Act 2008</w:t>
      </w:r>
      <w:r w:rsidR="00072612" w:rsidRPr="00072612">
        <w:rPr>
          <w:color w:val="000000" w:themeColor="text1"/>
        </w:rPr>
        <w:t xml:space="preserve"> (Qld) ('the PS Act').</w:t>
      </w:r>
    </w:p>
    <w:p w14:paraId="7A1FF30D" w14:textId="77777777" w:rsidR="001F76E1" w:rsidRPr="00E03CAC" w:rsidRDefault="001F76E1" w:rsidP="001F76E1">
      <w:pPr>
        <w:pStyle w:val="ListParagraph"/>
        <w:rPr>
          <w:color w:val="000000" w:themeColor="text1"/>
          <w:sz w:val="24"/>
          <w:szCs w:val="24"/>
        </w:rPr>
      </w:pPr>
    </w:p>
    <w:p w14:paraId="36BC453D" w14:textId="77777777" w:rsidR="00172899" w:rsidRPr="00971558" w:rsidRDefault="00172899" w:rsidP="00172899">
      <w:pPr>
        <w:shd w:val="clear" w:color="auto" w:fill="FFFFFF" w:themeFill="background1"/>
        <w:tabs>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 w:val="left" w:pos="5670"/>
        </w:tabs>
        <w:autoSpaceDE w:val="0"/>
        <w:autoSpaceDN w:val="0"/>
        <w:adjustRightInd w:val="0"/>
        <w:spacing w:line="23" w:lineRule="atLeast"/>
        <w:ind w:left="567"/>
        <w:jc w:val="both"/>
        <w:rPr>
          <w:b/>
          <w:bCs/>
          <w:color w:val="000000"/>
          <w:szCs w:val="24"/>
        </w:rPr>
      </w:pPr>
      <w:r>
        <w:rPr>
          <w:b/>
          <w:bCs/>
          <w:color w:val="000000"/>
          <w:szCs w:val="24"/>
        </w:rPr>
        <w:t>Appeal principles</w:t>
      </w:r>
    </w:p>
    <w:p w14:paraId="6FB91763" w14:textId="77777777" w:rsidR="00172899" w:rsidRDefault="00172899" w:rsidP="00172899">
      <w:pPr>
        <w:shd w:val="clear" w:color="auto" w:fill="FFFFFF" w:themeFill="background1"/>
        <w:tabs>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 w:val="left" w:pos="5670"/>
        </w:tabs>
        <w:autoSpaceDE w:val="0"/>
        <w:autoSpaceDN w:val="0"/>
        <w:adjustRightInd w:val="0"/>
        <w:spacing w:line="23" w:lineRule="atLeast"/>
        <w:ind w:left="567"/>
        <w:jc w:val="both"/>
        <w:rPr>
          <w:color w:val="000000"/>
          <w:szCs w:val="24"/>
        </w:rPr>
      </w:pPr>
    </w:p>
    <w:p w14:paraId="2AC33630" w14:textId="77777777" w:rsidR="00172899" w:rsidRDefault="00172899" w:rsidP="00172899">
      <w:pPr>
        <w:numPr>
          <w:ilvl w:val="0"/>
          <w:numId w:val="5"/>
        </w:numPr>
        <w:shd w:val="clear" w:color="auto" w:fill="FFFFFF" w:themeFill="background1"/>
        <w:tabs>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 w:val="left" w:pos="5670"/>
        </w:tabs>
        <w:autoSpaceDE w:val="0"/>
        <w:autoSpaceDN w:val="0"/>
        <w:adjustRightInd w:val="0"/>
        <w:spacing w:line="23" w:lineRule="atLeast"/>
        <w:jc w:val="both"/>
      </w:pPr>
      <w:r w:rsidRPr="3225444D">
        <w:t>The appeal must be decided by reviewing the decision appealed against.</w:t>
      </w:r>
      <w:r w:rsidRPr="3225444D">
        <w:rPr>
          <w:rStyle w:val="FootnoteReference"/>
        </w:rPr>
        <w:footnoteReference w:id="3"/>
      </w:r>
      <w:r w:rsidRPr="3225444D">
        <w:t xml:space="preserve"> Because the word 'review' has no settled meaning, it must take its meaning from the context in which it appears.</w:t>
      </w:r>
      <w:r w:rsidRPr="3225444D">
        <w:rPr>
          <w:rStyle w:val="FootnoteReference"/>
        </w:rPr>
        <w:footnoteReference w:id="4"/>
      </w:r>
      <w:r w:rsidRPr="3225444D">
        <w:t xml:space="preserve"> An appeal under ch 11 pt 6 div 4 of the </w:t>
      </w:r>
      <w:r w:rsidRPr="3B83E029">
        <w:rPr>
          <w:i/>
          <w:iCs/>
        </w:rPr>
        <w:t xml:space="preserve">Industrial Relations Act 2016 </w:t>
      </w:r>
      <w:r w:rsidRPr="3225444D">
        <w:t>(Qld) ('the IR Act') is not by way of rehearing,</w:t>
      </w:r>
      <w:r w:rsidRPr="3225444D">
        <w:rPr>
          <w:rStyle w:val="FootnoteReference"/>
        </w:rPr>
        <w:footnoteReference w:id="5"/>
      </w:r>
      <w:r w:rsidRPr="3225444D">
        <w:t xml:space="preserve"> but involves a review of the decision arrived at and the decision making process associated therewith.</w:t>
      </w:r>
    </w:p>
    <w:p w14:paraId="1E02A7C8" w14:textId="77777777" w:rsidR="00172899" w:rsidRPr="00E03CAC" w:rsidRDefault="00172899" w:rsidP="00172899">
      <w:pPr>
        <w:pStyle w:val="ListParagraph"/>
        <w:spacing w:line="23" w:lineRule="atLeast"/>
        <w:jc w:val="both"/>
        <w:rPr>
          <w:sz w:val="24"/>
          <w:szCs w:val="26"/>
        </w:rPr>
      </w:pPr>
    </w:p>
    <w:p w14:paraId="66EB5D0D" w14:textId="77777777" w:rsidR="00172899" w:rsidRPr="00333F99" w:rsidRDefault="00172899" w:rsidP="00172899">
      <w:pPr>
        <w:numPr>
          <w:ilvl w:val="0"/>
          <w:numId w:val="5"/>
        </w:numPr>
        <w:shd w:val="clear" w:color="auto" w:fill="FFFFFF" w:themeFill="background1"/>
        <w:tabs>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 w:val="left" w:pos="5670"/>
        </w:tabs>
        <w:autoSpaceDE w:val="0"/>
        <w:autoSpaceDN w:val="0"/>
        <w:adjustRightInd w:val="0"/>
        <w:spacing w:line="252" w:lineRule="auto"/>
        <w:jc w:val="both"/>
        <w:rPr>
          <w:b/>
          <w:bCs/>
        </w:rPr>
      </w:pPr>
      <w:r w:rsidRPr="3225444D">
        <w:t>The stated purpose of such an appeal is to decide whether the decision appealed against was fair and reasonable.</w:t>
      </w:r>
      <w:r w:rsidRPr="3225444D">
        <w:rPr>
          <w:rStyle w:val="FootnoteReference"/>
        </w:rPr>
        <w:footnoteReference w:id="6"/>
      </w:r>
      <w:r w:rsidRPr="3225444D">
        <w:t xml:space="preserve"> The issue for determination is whether the decision</w:t>
      </w:r>
      <w:r w:rsidR="00DC25CC">
        <w:t xml:space="preserve"> of </w:t>
      </w:r>
      <w:r w:rsidR="002A21B1" w:rsidRPr="002A21B1">
        <w:t>Dr Cleary dated 4 February 2022</w:t>
      </w:r>
      <w:r w:rsidR="002A21B1">
        <w:t xml:space="preserve"> </w:t>
      </w:r>
      <w:r w:rsidR="00DC25CC">
        <w:t>to confirm the decision to refuse the Appellant's exemption application</w:t>
      </w:r>
      <w:r w:rsidRPr="3225444D">
        <w:t xml:space="preserve"> </w:t>
      </w:r>
      <w:r w:rsidRPr="3225444D">
        <w:rPr>
          <w:color w:val="000000"/>
        </w:rPr>
        <w:t>was fair and reasonable.</w:t>
      </w:r>
      <w:r w:rsidRPr="3225444D">
        <w:rPr>
          <w:color w:val="000000"/>
          <w:shd w:val="clear" w:color="auto" w:fill="FFFFFF"/>
        </w:rPr>
        <w:t xml:space="preserve"> Findings which are reasonably open to the decision maker are not expected to be disturbed on appeal.</w:t>
      </w:r>
    </w:p>
    <w:p w14:paraId="6E5D9ACE" w14:textId="77777777" w:rsidR="00172899" w:rsidRDefault="00172899" w:rsidP="00172899">
      <w:pPr>
        <w:shd w:val="clear" w:color="auto" w:fill="FFFFFF" w:themeFill="background1"/>
        <w:tabs>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 w:val="left" w:pos="5670"/>
        </w:tabs>
        <w:autoSpaceDE w:val="0"/>
        <w:autoSpaceDN w:val="0"/>
        <w:adjustRightInd w:val="0"/>
        <w:jc w:val="both"/>
        <w:rPr>
          <w:color w:val="000000"/>
        </w:rPr>
      </w:pPr>
    </w:p>
    <w:p w14:paraId="1808BDEF" w14:textId="77777777" w:rsidR="00172899" w:rsidRPr="004750A7" w:rsidRDefault="00172899" w:rsidP="00172899">
      <w:pPr>
        <w:pStyle w:val="ListParagraph"/>
        <w:keepNext/>
        <w:tabs>
          <w:tab w:val="left" w:pos="567"/>
          <w:tab w:val="left" w:pos="3402"/>
          <w:tab w:val="left" w:pos="3969"/>
          <w:tab w:val="left" w:pos="4536"/>
        </w:tabs>
        <w:spacing w:line="276" w:lineRule="auto"/>
        <w:ind w:left="567"/>
        <w:jc w:val="both"/>
        <w:rPr>
          <w:rFonts w:ascii="Times New Roman" w:hAnsi="Times New Roman"/>
          <w:color w:val="000000"/>
          <w:sz w:val="24"/>
          <w:szCs w:val="24"/>
          <w:shd w:val="clear" w:color="auto" w:fill="FFFFFF"/>
        </w:rPr>
      </w:pPr>
      <w:r w:rsidRPr="004750A7">
        <w:rPr>
          <w:rFonts w:ascii="Times New Roman" w:hAnsi="Times New Roman"/>
          <w:b/>
          <w:color w:val="000000"/>
          <w:sz w:val="24"/>
          <w:szCs w:val="24"/>
          <w:shd w:val="clear" w:color="auto" w:fill="FFFFFF"/>
        </w:rPr>
        <w:t>What decisions can the Industrial Commissioner make?</w:t>
      </w:r>
    </w:p>
    <w:p w14:paraId="226B3F49" w14:textId="77777777" w:rsidR="00172899" w:rsidRPr="004750A7" w:rsidRDefault="00172899" w:rsidP="00172899">
      <w:pPr>
        <w:pStyle w:val="ListParagraph"/>
        <w:keepNext/>
        <w:tabs>
          <w:tab w:val="left" w:pos="567"/>
          <w:tab w:val="left" w:pos="3402"/>
          <w:tab w:val="left" w:pos="3969"/>
          <w:tab w:val="left" w:pos="4536"/>
        </w:tabs>
        <w:ind w:left="567"/>
        <w:jc w:val="both"/>
        <w:rPr>
          <w:rFonts w:ascii="Times New Roman" w:hAnsi="Times New Roman"/>
          <w:b/>
          <w:color w:val="000000"/>
          <w:sz w:val="24"/>
          <w:szCs w:val="24"/>
          <w:shd w:val="clear" w:color="auto" w:fill="FFFFFF"/>
        </w:rPr>
      </w:pPr>
    </w:p>
    <w:p w14:paraId="0767959C" w14:textId="77777777" w:rsidR="00172899" w:rsidRPr="004750A7" w:rsidRDefault="00172899" w:rsidP="00172899">
      <w:pPr>
        <w:pStyle w:val="ListParagraph"/>
        <w:keepNext/>
        <w:numPr>
          <w:ilvl w:val="0"/>
          <w:numId w:val="5"/>
        </w:numPr>
        <w:tabs>
          <w:tab w:val="left" w:pos="567"/>
          <w:tab w:val="left" w:pos="3402"/>
          <w:tab w:val="left" w:pos="3969"/>
          <w:tab w:val="left" w:pos="4536"/>
        </w:tabs>
        <w:jc w:val="both"/>
        <w:rPr>
          <w:rFonts w:ascii="Times New Roman" w:hAnsi="Times New Roman"/>
          <w:color w:val="000000"/>
          <w:sz w:val="24"/>
          <w:szCs w:val="24"/>
          <w:shd w:val="clear" w:color="auto" w:fill="FFFFFF"/>
        </w:rPr>
      </w:pPr>
      <w:r w:rsidRPr="004750A7">
        <w:rPr>
          <w:rFonts w:ascii="Times New Roman" w:hAnsi="Times New Roman"/>
          <w:color w:val="000000"/>
          <w:sz w:val="24"/>
          <w:szCs w:val="24"/>
          <w:shd w:val="clear" w:color="auto" w:fill="FFFFFF"/>
        </w:rPr>
        <w:t>In deciding this appeal, s 562C of the IR Act provides that the Industrial Commissioner may:</w:t>
      </w:r>
    </w:p>
    <w:p w14:paraId="2BE33D17" w14:textId="77777777" w:rsidR="00172899" w:rsidRPr="004750A7" w:rsidRDefault="00172899" w:rsidP="00172899">
      <w:pPr>
        <w:tabs>
          <w:tab w:val="left" w:pos="567"/>
          <w:tab w:val="left" w:pos="3402"/>
          <w:tab w:val="left" w:pos="3969"/>
          <w:tab w:val="left" w:pos="4536"/>
        </w:tabs>
        <w:jc w:val="both"/>
        <w:rPr>
          <w:color w:val="000000"/>
          <w:szCs w:val="24"/>
          <w:shd w:val="clear" w:color="auto" w:fill="FFFFFF"/>
        </w:rPr>
      </w:pPr>
    </w:p>
    <w:p w14:paraId="47AB76C5" w14:textId="77777777" w:rsidR="00172899" w:rsidRPr="004750A7" w:rsidRDefault="00172899" w:rsidP="00172899">
      <w:pPr>
        <w:pStyle w:val="ListParagraph"/>
        <w:numPr>
          <w:ilvl w:val="1"/>
          <w:numId w:val="7"/>
        </w:numPr>
        <w:tabs>
          <w:tab w:val="left" w:pos="1701"/>
          <w:tab w:val="left" w:pos="3402"/>
          <w:tab w:val="left" w:pos="3969"/>
          <w:tab w:val="left" w:pos="4536"/>
        </w:tabs>
        <w:ind w:left="1134" w:hanging="567"/>
        <w:jc w:val="both"/>
        <w:rPr>
          <w:rFonts w:ascii="Times New Roman" w:hAnsi="Times New Roman"/>
          <w:color w:val="000000"/>
          <w:sz w:val="24"/>
          <w:szCs w:val="24"/>
          <w:shd w:val="clear" w:color="auto" w:fill="FFFFFF"/>
        </w:rPr>
      </w:pPr>
      <w:r w:rsidRPr="004750A7">
        <w:rPr>
          <w:rFonts w:ascii="Times New Roman" w:hAnsi="Times New Roman"/>
          <w:color w:val="000000"/>
          <w:sz w:val="24"/>
          <w:szCs w:val="24"/>
          <w:shd w:val="clear" w:color="auto" w:fill="FFFFFF"/>
        </w:rPr>
        <w:t>confirm the decision appealed against; or</w:t>
      </w:r>
    </w:p>
    <w:p w14:paraId="17F82E1F" w14:textId="77777777" w:rsidR="00172899" w:rsidRPr="004750A7" w:rsidRDefault="00172899" w:rsidP="00172899">
      <w:pPr>
        <w:pStyle w:val="ListParagraph"/>
        <w:tabs>
          <w:tab w:val="left" w:pos="567"/>
          <w:tab w:val="left" w:pos="1134"/>
          <w:tab w:val="left" w:pos="1701"/>
          <w:tab w:val="left" w:pos="3402"/>
          <w:tab w:val="left" w:pos="3969"/>
          <w:tab w:val="left" w:pos="4536"/>
        </w:tabs>
        <w:ind w:left="567"/>
        <w:jc w:val="both"/>
        <w:rPr>
          <w:rFonts w:ascii="Times New Roman" w:hAnsi="Times New Roman"/>
          <w:color w:val="000000"/>
          <w:sz w:val="24"/>
          <w:szCs w:val="24"/>
          <w:shd w:val="clear" w:color="auto" w:fill="FFFFFF"/>
        </w:rPr>
      </w:pPr>
    </w:p>
    <w:p w14:paraId="270E2AD6" w14:textId="77777777" w:rsidR="00172899" w:rsidRPr="004750A7" w:rsidRDefault="00172899" w:rsidP="00172899">
      <w:pPr>
        <w:pStyle w:val="ListParagraph"/>
        <w:numPr>
          <w:ilvl w:val="1"/>
          <w:numId w:val="7"/>
        </w:numPr>
        <w:tabs>
          <w:tab w:val="left" w:pos="1701"/>
          <w:tab w:val="left" w:pos="3402"/>
          <w:tab w:val="left" w:pos="3969"/>
          <w:tab w:val="left" w:pos="4536"/>
        </w:tabs>
        <w:ind w:left="1134" w:hanging="567"/>
        <w:jc w:val="both"/>
        <w:rPr>
          <w:rFonts w:ascii="Times New Roman" w:hAnsi="Times New Roman"/>
          <w:color w:val="000000"/>
          <w:sz w:val="24"/>
          <w:szCs w:val="24"/>
          <w:shd w:val="clear" w:color="auto" w:fill="FFFFFF"/>
        </w:rPr>
      </w:pPr>
      <w:r w:rsidRPr="004750A7">
        <w:rPr>
          <w:rFonts w:ascii="Times New Roman" w:hAnsi="Times New Roman"/>
          <w:color w:val="000000"/>
          <w:sz w:val="24"/>
          <w:szCs w:val="24"/>
          <w:shd w:val="clear" w:color="auto" w:fill="FFFFFF"/>
        </w:rPr>
        <w:t>set the decision aside and substitute another decision; or</w:t>
      </w:r>
    </w:p>
    <w:p w14:paraId="658E29D5" w14:textId="77777777" w:rsidR="00172899" w:rsidRPr="004750A7" w:rsidRDefault="00172899" w:rsidP="00172899">
      <w:pPr>
        <w:pStyle w:val="ListParagraph"/>
        <w:tabs>
          <w:tab w:val="left" w:pos="1701"/>
          <w:tab w:val="left" w:pos="2268"/>
          <w:tab w:val="left" w:pos="2835"/>
          <w:tab w:val="left" w:pos="3402"/>
          <w:tab w:val="left" w:pos="3969"/>
          <w:tab w:val="left" w:pos="4536"/>
        </w:tabs>
        <w:ind w:left="1134" w:hanging="567"/>
        <w:jc w:val="both"/>
        <w:rPr>
          <w:rFonts w:ascii="Times New Roman" w:hAnsi="Times New Roman"/>
          <w:color w:val="000000"/>
          <w:sz w:val="24"/>
          <w:szCs w:val="24"/>
          <w:shd w:val="clear" w:color="auto" w:fill="FFFFFF"/>
        </w:rPr>
      </w:pPr>
    </w:p>
    <w:p w14:paraId="19E7C545" w14:textId="77777777" w:rsidR="00172899" w:rsidRDefault="00172899" w:rsidP="00172899">
      <w:pPr>
        <w:pStyle w:val="ListParagraph"/>
        <w:numPr>
          <w:ilvl w:val="1"/>
          <w:numId w:val="7"/>
        </w:numPr>
        <w:tabs>
          <w:tab w:val="left" w:pos="1701"/>
          <w:tab w:val="left" w:pos="3402"/>
          <w:tab w:val="left" w:pos="3969"/>
          <w:tab w:val="left" w:pos="4536"/>
        </w:tabs>
        <w:ind w:left="1134" w:hanging="567"/>
        <w:jc w:val="both"/>
        <w:rPr>
          <w:rFonts w:ascii="Times New Roman" w:hAnsi="Times New Roman"/>
          <w:color w:val="000000"/>
          <w:sz w:val="24"/>
          <w:szCs w:val="24"/>
          <w:shd w:val="clear" w:color="auto" w:fill="FFFFFF"/>
        </w:rPr>
      </w:pPr>
      <w:r w:rsidRPr="004750A7">
        <w:rPr>
          <w:rFonts w:ascii="Times New Roman" w:hAnsi="Times New Roman"/>
          <w:color w:val="000000"/>
          <w:sz w:val="24"/>
          <w:szCs w:val="24"/>
          <w:shd w:val="clear" w:color="auto" w:fill="FFFFFF"/>
        </w:rPr>
        <w:t>set the decision aside and return the issue to the decision</w:t>
      </w:r>
      <w:r>
        <w:rPr>
          <w:rFonts w:ascii="Times New Roman" w:hAnsi="Times New Roman"/>
          <w:color w:val="000000"/>
          <w:sz w:val="24"/>
          <w:szCs w:val="24"/>
          <w:shd w:val="clear" w:color="auto" w:fill="FFFFFF"/>
        </w:rPr>
        <w:t xml:space="preserve"> </w:t>
      </w:r>
      <w:r w:rsidRPr="004750A7">
        <w:rPr>
          <w:rFonts w:ascii="Times New Roman" w:hAnsi="Times New Roman"/>
          <w:color w:val="000000"/>
          <w:sz w:val="24"/>
          <w:szCs w:val="24"/>
          <w:shd w:val="clear" w:color="auto" w:fill="FFFFFF"/>
        </w:rPr>
        <w:t>maker with a copy of the decision on appeal and any directions considered appropriate.</w:t>
      </w:r>
    </w:p>
    <w:p w14:paraId="6B87A954" w14:textId="77777777" w:rsidR="008C1D4B" w:rsidRPr="00E03CAC" w:rsidRDefault="008C1D4B" w:rsidP="008C1D4B">
      <w:pPr>
        <w:pStyle w:val="ListParagraph"/>
        <w:rPr>
          <w:color w:val="000000"/>
          <w:sz w:val="24"/>
          <w:szCs w:val="24"/>
        </w:rPr>
      </w:pPr>
    </w:p>
    <w:p w14:paraId="4E77DD5F" w14:textId="77777777" w:rsidR="00F0754B" w:rsidRPr="00100E7B" w:rsidRDefault="0042668B" w:rsidP="00D41F41">
      <w:pPr>
        <w:shd w:val="clear" w:color="auto" w:fill="FFFFFF" w:themeFill="background1"/>
        <w:tabs>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 w:val="left" w:pos="5670"/>
        </w:tabs>
        <w:autoSpaceDE w:val="0"/>
        <w:autoSpaceDN w:val="0"/>
        <w:adjustRightInd w:val="0"/>
        <w:ind w:left="567"/>
        <w:jc w:val="both"/>
        <w:rPr>
          <w:b/>
          <w:bCs/>
          <w:color w:val="000000"/>
        </w:rPr>
      </w:pPr>
      <w:r>
        <w:rPr>
          <w:b/>
          <w:bCs/>
          <w:color w:val="000000"/>
        </w:rPr>
        <w:t>The Directive</w:t>
      </w:r>
    </w:p>
    <w:p w14:paraId="6774680A" w14:textId="77777777" w:rsidR="00100E7B" w:rsidRDefault="00100E7B" w:rsidP="00D41F41">
      <w:pPr>
        <w:shd w:val="clear" w:color="auto" w:fill="FFFFFF" w:themeFill="background1"/>
        <w:tabs>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 w:val="left" w:pos="5670"/>
        </w:tabs>
        <w:autoSpaceDE w:val="0"/>
        <w:autoSpaceDN w:val="0"/>
        <w:adjustRightInd w:val="0"/>
        <w:ind w:left="567"/>
        <w:jc w:val="both"/>
        <w:rPr>
          <w:b/>
          <w:bCs/>
          <w:color w:val="000000"/>
        </w:rPr>
      </w:pPr>
    </w:p>
    <w:p w14:paraId="77C8425D" w14:textId="77777777" w:rsidR="00F0754B" w:rsidRPr="00F0754B" w:rsidRDefault="00F0754B" w:rsidP="00D41F41">
      <w:pPr>
        <w:numPr>
          <w:ilvl w:val="0"/>
          <w:numId w:val="5"/>
        </w:num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rPr>
          <w:sz w:val="20"/>
          <w:szCs w:val="20"/>
        </w:rPr>
      </w:pPr>
      <w:r w:rsidRPr="3B83E029">
        <w:rPr>
          <w:color w:val="000000" w:themeColor="text1"/>
        </w:rPr>
        <w:lastRenderedPageBreak/>
        <w:t xml:space="preserve">On 11 September 2021, pursuant to s 51A of the </w:t>
      </w:r>
      <w:r w:rsidRPr="3B83E029">
        <w:rPr>
          <w:i/>
          <w:iCs/>
          <w:color w:val="000000" w:themeColor="text1"/>
        </w:rPr>
        <w:t>Hospital and Health Boards Act 2011</w:t>
      </w:r>
      <w:r w:rsidRPr="3B83E029">
        <w:rPr>
          <w:color w:val="000000" w:themeColor="text1"/>
        </w:rPr>
        <w:t xml:space="preserve"> (Qld)</w:t>
      </w:r>
      <w:r w:rsidR="00D41F41" w:rsidRPr="3B83E029">
        <w:rPr>
          <w:color w:val="000000" w:themeColor="text1"/>
        </w:rPr>
        <w:t xml:space="preserve"> ('HHB Act')</w:t>
      </w:r>
      <w:r w:rsidRPr="3B83E029">
        <w:rPr>
          <w:color w:val="000000" w:themeColor="text1"/>
        </w:rPr>
        <w:t>, the chief executive of the Respondent issued the Directive.</w:t>
      </w:r>
    </w:p>
    <w:p w14:paraId="58A6D7DB" w14:textId="77777777" w:rsidR="00F0754B" w:rsidRPr="00D41F41" w:rsidRDefault="00F0754B" w:rsidP="00D41F41">
      <w:p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szCs w:val="24"/>
        </w:rPr>
      </w:pPr>
    </w:p>
    <w:p w14:paraId="13B3BFF5" w14:textId="77777777" w:rsidR="00D41F41" w:rsidRPr="00D41F41" w:rsidRDefault="00F0754B" w:rsidP="3B83E029">
      <w:pPr>
        <w:numPr>
          <w:ilvl w:val="0"/>
          <w:numId w:val="5"/>
        </w:num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pPr>
      <w:r w:rsidRPr="3B83E029">
        <w:rPr>
          <w:color w:val="000000" w:themeColor="text1"/>
        </w:rPr>
        <w:t>Clause 1 of the Directive provides that</w:t>
      </w:r>
      <w:r w:rsidR="00D41F41" w:rsidRPr="3B83E029">
        <w:rPr>
          <w:color w:val="000000" w:themeColor="text1"/>
        </w:rPr>
        <w:t xml:space="preserve"> compliance with the Directive is mandatory. Clause 4 of the Directive provides that the Directive applies to all health service employees and prospective employees employed under the HHB Act.</w:t>
      </w:r>
    </w:p>
    <w:p w14:paraId="71D7D3D9" w14:textId="77777777" w:rsidR="00D41F41" w:rsidRPr="00D41F41" w:rsidRDefault="00D41F41" w:rsidP="00D41F41">
      <w:pPr>
        <w:pStyle w:val="ListParagraph"/>
        <w:rPr>
          <w:sz w:val="24"/>
          <w:szCs w:val="24"/>
        </w:rPr>
      </w:pPr>
    </w:p>
    <w:p w14:paraId="7FE70E5C" w14:textId="77777777" w:rsidR="00D41F41" w:rsidRDefault="00D41F41" w:rsidP="3B83E029">
      <w:pPr>
        <w:numPr>
          <w:ilvl w:val="0"/>
          <w:numId w:val="5"/>
        </w:num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pPr>
      <w:r w:rsidRPr="3B83E029">
        <w:t>Clause 8.1 of the Directive provides:</w:t>
      </w:r>
    </w:p>
    <w:p w14:paraId="5E1EDA3A" w14:textId="77777777" w:rsidR="00D41F41" w:rsidRPr="00E03CAC" w:rsidRDefault="00D41F41" w:rsidP="00D41F41">
      <w:pPr>
        <w:pStyle w:val="ListParagraph"/>
        <w:rPr>
          <w:sz w:val="24"/>
          <w:szCs w:val="26"/>
        </w:rPr>
      </w:pPr>
    </w:p>
    <w:p w14:paraId="60A6D82E" w14:textId="77777777" w:rsidR="00D41F41" w:rsidRPr="00D41F41" w:rsidRDefault="00D41F41" w:rsidP="00D41F41">
      <w:pPr>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sz w:val="20"/>
          <w:szCs w:val="20"/>
        </w:rPr>
      </w:pPr>
      <w:r w:rsidRPr="00D41F41">
        <w:rPr>
          <w:sz w:val="20"/>
          <w:szCs w:val="20"/>
        </w:rPr>
        <w:t xml:space="preserve">8.1 </w:t>
      </w:r>
      <w:r>
        <w:rPr>
          <w:sz w:val="20"/>
          <w:szCs w:val="20"/>
        </w:rPr>
        <w:tab/>
      </w:r>
      <w:r w:rsidRPr="00D41F41">
        <w:rPr>
          <w:sz w:val="20"/>
          <w:szCs w:val="20"/>
        </w:rPr>
        <w:t>Existing employees currently undertaking work or moving into a role undertaking work listed in a cohort of Table 1, must:</w:t>
      </w:r>
    </w:p>
    <w:p w14:paraId="7BC0593D" w14:textId="77777777" w:rsidR="00D41F41" w:rsidRPr="00D41F41" w:rsidRDefault="00D41F41" w:rsidP="00D41F41">
      <w:pPr>
        <w:tabs>
          <w:tab w:val="left" w:pos="2835"/>
          <w:tab w:val="left" w:pos="3402"/>
          <w:tab w:val="left" w:pos="3969"/>
          <w:tab w:val="left" w:pos="4536"/>
          <w:tab w:val="left" w:pos="5103"/>
          <w:tab w:val="left" w:pos="5670"/>
        </w:tabs>
        <w:autoSpaceDE w:val="0"/>
        <w:autoSpaceDN w:val="0"/>
        <w:adjustRightInd w:val="0"/>
        <w:spacing w:line="23" w:lineRule="atLeast"/>
        <w:ind w:left="2268" w:hanging="567"/>
        <w:jc w:val="both"/>
        <w:rPr>
          <w:sz w:val="20"/>
          <w:szCs w:val="20"/>
        </w:rPr>
      </w:pPr>
      <w:r w:rsidRPr="00D41F41">
        <w:rPr>
          <w:sz w:val="20"/>
          <w:szCs w:val="20"/>
        </w:rPr>
        <w:t xml:space="preserve">a. </w:t>
      </w:r>
      <w:r>
        <w:rPr>
          <w:sz w:val="20"/>
          <w:szCs w:val="20"/>
        </w:rPr>
        <w:tab/>
      </w:r>
      <w:r w:rsidRPr="00D41F41">
        <w:rPr>
          <w:sz w:val="20"/>
          <w:szCs w:val="20"/>
        </w:rPr>
        <w:t xml:space="preserve">have received at least the first dose of a COVID-19 vaccine by 30 September 2021; and </w:t>
      </w:r>
    </w:p>
    <w:p w14:paraId="1D2C7505" w14:textId="77777777" w:rsidR="00D41F41" w:rsidRPr="00D41F41" w:rsidRDefault="00D41F41" w:rsidP="00D41F41">
      <w:pPr>
        <w:tabs>
          <w:tab w:val="left" w:pos="2835"/>
          <w:tab w:val="left" w:pos="3402"/>
          <w:tab w:val="left" w:pos="3969"/>
          <w:tab w:val="left" w:pos="4536"/>
          <w:tab w:val="left" w:pos="5103"/>
          <w:tab w:val="left" w:pos="5670"/>
        </w:tabs>
        <w:autoSpaceDE w:val="0"/>
        <w:autoSpaceDN w:val="0"/>
        <w:adjustRightInd w:val="0"/>
        <w:spacing w:line="23" w:lineRule="atLeast"/>
        <w:ind w:left="2268" w:hanging="567"/>
        <w:jc w:val="both"/>
        <w:rPr>
          <w:sz w:val="20"/>
          <w:szCs w:val="20"/>
        </w:rPr>
      </w:pPr>
      <w:r w:rsidRPr="00D41F41">
        <w:rPr>
          <w:sz w:val="20"/>
          <w:szCs w:val="20"/>
        </w:rPr>
        <w:t xml:space="preserve">b. </w:t>
      </w:r>
      <w:r>
        <w:rPr>
          <w:sz w:val="20"/>
          <w:szCs w:val="20"/>
        </w:rPr>
        <w:tab/>
      </w:r>
      <w:r w:rsidRPr="00D41F41">
        <w:rPr>
          <w:sz w:val="20"/>
          <w:szCs w:val="20"/>
        </w:rPr>
        <w:t xml:space="preserve">have received the second dose of a COVID-19 vaccine by 31 October 2021. </w:t>
      </w:r>
    </w:p>
    <w:p w14:paraId="4D91FE08" w14:textId="77777777" w:rsidR="00D41F41" w:rsidRPr="00D41F41" w:rsidRDefault="00D41F41" w:rsidP="00D41F41">
      <w:pPr>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sz w:val="20"/>
          <w:szCs w:val="20"/>
        </w:rPr>
      </w:pPr>
    </w:p>
    <w:p w14:paraId="74CB621A" w14:textId="77777777" w:rsidR="00E460A2" w:rsidRDefault="00D41F41" w:rsidP="00D41F41">
      <w:pPr>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sz w:val="20"/>
          <w:szCs w:val="20"/>
        </w:rPr>
      </w:pPr>
      <w:r w:rsidRPr="00D41F41">
        <w:rPr>
          <w:sz w:val="20"/>
          <w:szCs w:val="20"/>
        </w:rPr>
        <w:t xml:space="preserve">• </w:t>
      </w:r>
      <w:r>
        <w:rPr>
          <w:sz w:val="20"/>
          <w:szCs w:val="20"/>
        </w:rPr>
        <w:tab/>
      </w:r>
      <w:r w:rsidRPr="00D41F41">
        <w:rPr>
          <w:sz w:val="20"/>
          <w:szCs w:val="20"/>
        </w:rPr>
        <w:t xml:space="preserve">An existing employee must provide to their line manager or upload into the designated system: </w:t>
      </w:r>
    </w:p>
    <w:p w14:paraId="397F808C" w14:textId="77777777" w:rsidR="00E460A2" w:rsidRDefault="00D41F41" w:rsidP="00E460A2">
      <w:pPr>
        <w:tabs>
          <w:tab w:val="left" w:pos="2268"/>
          <w:tab w:val="left" w:pos="2835"/>
          <w:tab w:val="left" w:pos="3402"/>
          <w:tab w:val="left" w:pos="3969"/>
          <w:tab w:val="left" w:pos="4536"/>
          <w:tab w:val="left" w:pos="5103"/>
          <w:tab w:val="left" w:pos="5670"/>
        </w:tabs>
        <w:autoSpaceDE w:val="0"/>
        <w:autoSpaceDN w:val="0"/>
        <w:adjustRightInd w:val="0"/>
        <w:spacing w:line="23" w:lineRule="atLeast"/>
        <w:ind w:left="2268" w:hanging="567"/>
        <w:jc w:val="both"/>
        <w:rPr>
          <w:sz w:val="20"/>
          <w:szCs w:val="20"/>
        </w:rPr>
      </w:pPr>
      <w:r w:rsidRPr="00D41F41">
        <w:rPr>
          <w:sz w:val="20"/>
          <w:szCs w:val="20"/>
        </w:rPr>
        <w:t xml:space="preserve">a. </w:t>
      </w:r>
      <w:r w:rsidR="00E460A2">
        <w:rPr>
          <w:sz w:val="20"/>
          <w:szCs w:val="20"/>
        </w:rPr>
        <w:tab/>
      </w:r>
      <w:r w:rsidRPr="00D41F41">
        <w:rPr>
          <w:sz w:val="20"/>
          <w:szCs w:val="20"/>
        </w:rPr>
        <w:t xml:space="preserve">evidence of vaccination confirming that the employee has received at least the first dose of a COVID-19 vaccine by no later than 7 days after receiving the vaccine. </w:t>
      </w:r>
    </w:p>
    <w:p w14:paraId="6B73537F" w14:textId="77777777" w:rsidR="00D41F41" w:rsidRPr="00D41F41" w:rsidRDefault="00D41F41" w:rsidP="00E460A2">
      <w:pPr>
        <w:tabs>
          <w:tab w:val="left" w:pos="2268"/>
          <w:tab w:val="left" w:pos="2835"/>
          <w:tab w:val="left" w:pos="3402"/>
          <w:tab w:val="left" w:pos="3969"/>
          <w:tab w:val="left" w:pos="4536"/>
          <w:tab w:val="left" w:pos="5103"/>
          <w:tab w:val="left" w:pos="5670"/>
        </w:tabs>
        <w:autoSpaceDE w:val="0"/>
        <w:autoSpaceDN w:val="0"/>
        <w:adjustRightInd w:val="0"/>
        <w:spacing w:line="23" w:lineRule="atLeast"/>
        <w:ind w:left="2268" w:hanging="567"/>
        <w:jc w:val="both"/>
        <w:rPr>
          <w:sz w:val="20"/>
          <w:szCs w:val="20"/>
        </w:rPr>
      </w:pPr>
      <w:r w:rsidRPr="00D41F41">
        <w:rPr>
          <w:sz w:val="20"/>
          <w:szCs w:val="20"/>
        </w:rPr>
        <w:t xml:space="preserve">b. </w:t>
      </w:r>
      <w:r w:rsidR="00E460A2">
        <w:rPr>
          <w:sz w:val="20"/>
          <w:szCs w:val="20"/>
        </w:rPr>
        <w:tab/>
      </w:r>
      <w:r w:rsidRPr="00D41F41">
        <w:rPr>
          <w:sz w:val="20"/>
          <w:szCs w:val="20"/>
        </w:rPr>
        <w:t xml:space="preserve">evidence of vaccination confirming that the employee has received the second dose of a COVID-19 vaccine by no later than 7 days after receiving the vaccine. </w:t>
      </w:r>
    </w:p>
    <w:p w14:paraId="42572AC5" w14:textId="77777777" w:rsidR="00D41F41" w:rsidRPr="00D41F41" w:rsidRDefault="00D41F41" w:rsidP="00D41F41">
      <w:pPr>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sz w:val="20"/>
          <w:szCs w:val="20"/>
        </w:rPr>
      </w:pPr>
    </w:p>
    <w:p w14:paraId="25109651" w14:textId="77777777" w:rsidR="00D41F41" w:rsidRPr="00D41F41" w:rsidRDefault="00D41F41" w:rsidP="00D41F41">
      <w:pPr>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sz w:val="20"/>
          <w:szCs w:val="20"/>
        </w:rPr>
      </w:pPr>
      <w:r w:rsidRPr="00D41F41">
        <w:rPr>
          <w:sz w:val="20"/>
          <w:szCs w:val="20"/>
        </w:rPr>
        <w:t xml:space="preserve">• </w:t>
      </w:r>
      <w:r>
        <w:rPr>
          <w:sz w:val="20"/>
          <w:szCs w:val="20"/>
        </w:rPr>
        <w:tab/>
      </w:r>
      <w:r w:rsidRPr="00D41F41">
        <w:rPr>
          <w:sz w:val="20"/>
          <w:szCs w:val="20"/>
        </w:rPr>
        <w:t xml:space="preserve">An existing employee must maintain vaccine protection. Therefore, an existing employee is required to receive the prescribed subsequent dose/s of a COVID-19 vaccination (i.e. booster), as may be approved by the Australian Technical Advisory Group on Immunisation (ATAGI), within any recommended timeframe following the second dose. Evidence of vaccination, confirming the employee has received prescribed subsequent dose/s of the vaccine, is to be provided to their line manager or other designated person within 7 days of receiving the vaccine. </w:t>
      </w:r>
    </w:p>
    <w:p w14:paraId="08637799" w14:textId="77777777" w:rsidR="00D41F41" w:rsidRPr="00D41F41" w:rsidRDefault="00D41F41" w:rsidP="00D41F41">
      <w:pPr>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sz w:val="20"/>
          <w:szCs w:val="20"/>
        </w:rPr>
      </w:pPr>
    </w:p>
    <w:p w14:paraId="6AEFD7B6" w14:textId="77777777" w:rsidR="00D41F41" w:rsidRPr="00D41F41" w:rsidRDefault="00D41F41" w:rsidP="00D41F41">
      <w:pPr>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sz w:val="20"/>
          <w:szCs w:val="20"/>
        </w:rPr>
      </w:pPr>
      <w:r w:rsidRPr="00D41F41">
        <w:rPr>
          <w:sz w:val="20"/>
          <w:szCs w:val="20"/>
        </w:rPr>
        <w:t xml:space="preserve">• </w:t>
      </w:r>
      <w:r>
        <w:rPr>
          <w:sz w:val="20"/>
          <w:szCs w:val="20"/>
        </w:rPr>
        <w:tab/>
      </w:r>
      <w:r w:rsidRPr="00D41F41">
        <w:rPr>
          <w:sz w:val="20"/>
          <w:szCs w:val="20"/>
        </w:rPr>
        <w:t xml:space="preserve">An existing employee who is required to have received a first or second dose of a COVID-19 dose at an earlier date under a Chief Health Officer public health direction must be vaccinated by the dates specified in the public health direction. </w:t>
      </w:r>
    </w:p>
    <w:p w14:paraId="0E3344A0" w14:textId="77777777" w:rsidR="00D41F41" w:rsidRPr="00D41F41" w:rsidRDefault="00D41F41" w:rsidP="00D41F41">
      <w:pPr>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sz w:val="20"/>
          <w:szCs w:val="20"/>
        </w:rPr>
      </w:pPr>
    </w:p>
    <w:p w14:paraId="5FDC69FE" w14:textId="77777777" w:rsidR="00D41F41" w:rsidRPr="00D41F41" w:rsidRDefault="00D41F41" w:rsidP="00D41F41">
      <w:pPr>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sz w:val="20"/>
          <w:szCs w:val="20"/>
        </w:rPr>
      </w:pPr>
      <w:r w:rsidRPr="00D41F41">
        <w:rPr>
          <w:sz w:val="20"/>
          <w:szCs w:val="20"/>
        </w:rPr>
        <w:t xml:space="preserve">• </w:t>
      </w:r>
      <w:r>
        <w:rPr>
          <w:sz w:val="20"/>
          <w:szCs w:val="20"/>
        </w:rPr>
        <w:tab/>
      </w:r>
      <w:r w:rsidRPr="00D41F41">
        <w:rPr>
          <w:sz w:val="20"/>
          <w:szCs w:val="20"/>
        </w:rPr>
        <w:t>The requirements of this clause 8 do not apply to existing employees who have been granted an exemption under clause 10 of this HED.</w:t>
      </w:r>
    </w:p>
    <w:p w14:paraId="25DB1422" w14:textId="77777777" w:rsidR="00D41F41" w:rsidRPr="00E03CAC" w:rsidRDefault="00D41F41" w:rsidP="00D41F41">
      <w:pPr>
        <w:pStyle w:val="ListParagraph"/>
        <w:rPr>
          <w:sz w:val="24"/>
          <w:szCs w:val="26"/>
        </w:rPr>
      </w:pPr>
    </w:p>
    <w:p w14:paraId="60A0348A" w14:textId="77777777" w:rsidR="00D41F41" w:rsidRPr="00D41F41" w:rsidRDefault="00D41F41" w:rsidP="3B83E029">
      <w:pPr>
        <w:numPr>
          <w:ilvl w:val="0"/>
          <w:numId w:val="5"/>
        </w:num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pPr>
      <w:r w:rsidRPr="3B83E029">
        <w:t>Clause 10.2</w:t>
      </w:r>
      <w:r>
        <w:rPr>
          <w:lang w:bidi="th-TH"/>
        </w:rPr>
        <w:t xml:space="preserve"> of the </w:t>
      </w:r>
      <w:r w:rsidRPr="3B83E029">
        <w:t>Directive provides an exemption application will be considered where the employee has a recognised medical contraindication, the employee has a genuinely held religious belief or where another exceptional circumstance exists.</w:t>
      </w:r>
    </w:p>
    <w:p w14:paraId="7D0C8A50" w14:textId="77777777" w:rsidR="006A013F" w:rsidRPr="00E03CAC" w:rsidRDefault="006A013F" w:rsidP="006A013F">
      <w:pPr>
        <w:pStyle w:val="ListParagraph"/>
        <w:rPr>
          <w:color w:val="000000"/>
          <w:sz w:val="24"/>
          <w:szCs w:val="24"/>
        </w:rPr>
      </w:pPr>
    </w:p>
    <w:p w14:paraId="65232CC0" w14:textId="77777777" w:rsidR="00463734" w:rsidRDefault="00463734" w:rsidP="00463734">
      <w:pPr>
        <w:keepNext/>
        <w:shd w:val="clear" w:color="auto" w:fill="FFFFFF" w:themeFill="background1"/>
        <w:tabs>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 w:val="left" w:pos="5670"/>
        </w:tabs>
        <w:autoSpaceDE w:val="0"/>
        <w:autoSpaceDN w:val="0"/>
        <w:adjustRightInd w:val="0"/>
        <w:spacing w:line="23" w:lineRule="atLeast"/>
        <w:ind w:left="567"/>
        <w:jc w:val="both"/>
        <w:rPr>
          <w:b/>
          <w:bCs/>
          <w:color w:val="000000"/>
          <w:szCs w:val="24"/>
        </w:rPr>
      </w:pPr>
      <w:r>
        <w:rPr>
          <w:b/>
          <w:bCs/>
          <w:color w:val="000000"/>
          <w:szCs w:val="24"/>
        </w:rPr>
        <w:t>Grounds of Appeal</w:t>
      </w:r>
    </w:p>
    <w:p w14:paraId="1178AE2D" w14:textId="77777777" w:rsidR="00463734" w:rsidRPr="00775356" w:rsidRDefault="00463734" w:rsidP="00463734">
      <w:pPr>
        <w:keepNext/>
        <w:shd w:val="clear" w:color="auto" w:fill="FFFFFF" w:themeFill="background1"/>
        <w:tabs>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 w:val="left" w:pos="5670"/>
        </w:tabs>
        <w:autoSpaceDE w:val="0"/>
        <w:autoSpaceDN w:val="0"/>
        <w:adjustRightInd w:val="0"/>
        <w:spacing w:line="23" w:lineRule="atLeast"/>
        <w:ind w:left="567"/>
        <w:jc w:val="both"/>
        <w:rPr>
          <w:color w:val="000000"/>
          <w:szCs w:val="24"/>
        </w:rPr>
      </w:pPr>
    </w:p>
    <w:p w14:paraId="5DBEA174" w14:textId="77777777" w:rsidR="00A30C12" w:rsidRPr="00DA0F30" w:rsidRDefault="00D73C89" w:rsidP="3B83E029">
      <w:pPr>
        <w:keepNext/>
        <w:numPr>
          <w:ilvl w:val="0"/>
          <w:numId w:val="5"/>
        </w:num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pPr>
      <w:r w:rsidRPr="3B83E029">
        <w:rPr>
          <w:color w:val="000000" w:themeColor="text1"/>
        </w:rPr>
        <w:t xml:space="preserve">In the appeal notice, the Appellant outlined reasons for appeal against both the initial exemption application refusal decision of Mr Waters dated 22 December 2021 as well as the internal review decision of </w:t>
      </w:r>
      <w:r w:rsidR="00FF3C55" w:rsidRPr="3B83E029">
        <w:rPr>
          <w:color w:val="000000" w:themeColor="text1"/>
        </w:rPr>
        <w:t>Dr Cleary</w:t>
      </w:r>
      <w:r w:rsidRPr="3B83E029">
        <w:rPr>
          <w:color w:val="000000" w:themeColor="text1"/>
        </w:rPr>
        <w:t xml:space="preserve"> dated </w:t>
      </w:r>
      <w:r w:rsidR="00FF3C55" w:rsidRPr="3B83E029">
        <w:rPr>
          <w:color w:val="000000" w:themeColor="text1"/>
        </w:rPr>
        <w:t>4 February 2022</w:t>
      </w:r>
      <w:r w:rsidRPr="3B83E029">
        <w:rPr>
          <w:color w:val="000000" w:themeColor="text1"/>
        </w:rPr>
        <w:t xml:space="preserve">. As noted above at [8], the matter for determination is whether the internal review decision of </w:t>
      </w:r>
      <w:r w:rsidR="00FF3C55" w:rsidRPr="3B83E029">
        <w:rPr>
          <w:color w:val="000000" w:themeColor="text1"/>
        </w:rPr>
        <w:t>Dr Cleary</w:t>
      </w:r>
      <w:r w:rsidRPr="3B83E029">
        <w:rPr>
          <w:color w:val="000000" w:themeColor="text1"/>
        </w:rPr>
        <w:t xml:space="preserve"> was fair and reasonable. Accordingly, I will address the Appellant's submissions relating to the internal review decision of </w:t>
      </w:r>
      <w:r w:rsidR="00FF3C55" w:rsidRPr="3B83E029">
        <w:rPr>
          <w:color w:val="000000" w:themeColor="text1"/>
        </w:rPr>
        <w:t>Dr Cleary</w:t>
      </w:r>
      <w:r w:rsidRPr="3B83E029">
        <w:rPr>
          <w:color w:val="000000" w:themeColor="text1"/>
        </w:rPr>
        <w:t>.</w:t>
      </w:r>
    </w:p>
    <w:p w14:paraId="7544C650" w14:textId="77777777" w:rsidR="00DA0F30" w:rsidRPr="00DA0F30" w:rsidRDefault="00DA0F30" w:rsidP="00DA0F30">
      <w:pPr>
        <w:keepNext/>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szCs w:val="24"/>
        </w:rPr>
      </w:pPr>
    </w:p>
    <w:p w14:paraId="6A78EFD5" w14:textId="77777777" w:rsidR="00272A04" w:rsidRDefault="00DA0F30" w:rsidP="00527A49">
      <w:pPr>
        <w:numPr>
          <w:ilvl w:val="0"/>
          <w:numId w:val="5"/>
        </w:num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pPr>
      <w:r w:rsidRPr="3B83E029">
        <w:t>The Appellant</w:t>
      </w:r>
      <w:r w:rsidR="00C716F2" w:rsidRPr="3B83E029">
        <w:t xml:space="preserve"> </w:t>
      </w:r>
      <w:r w:rsidR="00272A04" w:rsidRPr="3B83E029">
        <w:t>outline</w:t>
      </w:r>
      <w:r w:rsidR="00C716F2" w:rsidRPr="3B83E029">
        <w:t>s</w:t>
      </w:r>
      <w:r w:rsidR="00272A04" w:rsidRPr="3B83E029">
        <w:t xml:space="preserve"> </w:t>
      </w:r>
      <w:r w:rsidR="007E6FED" w:rsidRPr="3B83E029">
        <w:t xml:space="preserve">the following </w:t>
      </w:r>
      <w:r w:rsidR="00272A04" w:rsidRPr="3B83E029">
        <w:t>reasons for appeal, that:</w:t>
      </w:r>
    </w:p>
    <w:p w14:paraId="3C95B97D" w14:textId="77777777" w:rsidR="00272A04" w:rsidRDefault="00272A04" w:rsidP="00527A49">
      <w:pPr>
        <w:pStyle w:val="ListParagraph"/>
        <w:rPr>
          <w:szCs w:val="24"/>
        </w:rPr>
      </w:pPr>
    </w:p>
    <w:p w14:paraId="56F9B498" w14:textId="77777777" w:rsidR="00DA0F30" w:rsidRDefault="00DA0F30" w:rsidP="00527A49">
      <w:pPr>
        <w:pStyle w:val="ListParagraph"/>
        <w:numPr>
          <w:ilvl w:val="0"/>
          <w:numId w:val="24"/>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sz w:val="24"/>
          <w:szCs w:val="24"/>
        </w:rPr>
      </w:pPr>
      <w:r w:rsidRPr="00272A04">
        <w:rPr>
          <w:rFonts w:ascii="Times New Roman" w:hAnsi="Times New Roman"/>
          <w:sz w:val="24"/>
          <w:szCs w:val="24"/>
        </w:rPr>
        <w:t xml:space="preserve">the correspondence of </w:t>
      </w:r>
      <w:r w:rsidR="00272A04" w:rsidRPr="00272A04">
        <w:rPr>
          <w:rFonts w:ascii="Times New Roman" w:hAnsi="Times New Roman"/>
          <w:sz w:val="24"/>
          <w:szCs w:val="24"/>
        </w:rPr>
        <w:t>Dr Cleary was generic and templated in nature;</w:t>
      </w:r>
    </w:p>
    <w:p w14:paraId="4492104C" w14:textId="77777777" w:rsidR="00240428" w:rsidRDefault="00240428" w:rsidP="00527A49">
      <w:pPr>
        <w:pStyle w:val="ListParagraph"/>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jc w:val="both"/>
        <w:rPr>
          <w:rFonts w:ascii="Times New Roman" w:hAnsi="Times New Roman"/>
          <w:sz w:val="24"/>
          <w:szCs w:val="24"/>
        </w:rPr>
      </w:pPr>
    </w:p>
    <w:p w14:paraId="32880EB9" w14:textId="77777777" w:rsidR="00272A04" w:rsidRDefault="00272A04" w:rsidP="00527A49">
      <w:pPr>
        <w:pStyle w:val="ListParagraph"/>
        <w:numPr>
          <w:ilvl w:val="0"/>
          <w:numId w:val="24"/>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sz w:val="24"/>
          <w:szCs w:val="24"/>
        </w:rPr>
      </w:pPr>
      <w:r>
        <w:rPr>
          <w:rFonts w:ascii="Times New Roman" w:hAnsi="Times New Roman"/>
          <w:sz w:val="24"/>
          <w:szCs w:val="24"/>
        </w:rPr>
        <w:lastRenderedPageBreak/>
        <w:t>personal medical concerns</w:t>
      </w:r>
      <w:r w:rsidR="00240428">
        <w:rPr>
          <w:rFonts w:ascii="Times New Roman" w:hAnsi="Times New Roman"/>
          <w:sz w:val="24"/>
          <w:szCs w:val="24"/>
        </w:rPr>
        <w:t xml:space="preserve"> and family history of cardiac issues, spontaneous blood clots, high blood pressure, skin cancer and autoimmune diseases</w:t>
      </w:r>
      <w:r>
        <w:rPr>
          <w:rFonts w:ascii="Times New Roman" w:hAnsi="Times New Roman"/>
          <w:sz w:val="24"/>
          <w:szCs w:val="24"/>
        </w:rPr>
        <w:t xml:space="preserve"> must be carefully considered before receiving </w:t>
      </w:r>
      <w:r w:rsidR="00240428">
        <w:rPr>
          <w:rFonts w:ascii="Times New Roman" w:hAnsi="Times New Roman"/>
          <w:sz w:val="24"/>
          <w:szCs w:val="24"/>
        </w:rPr>
        <w:t>a COVID-19 vaccination;</w:t>
      </w:r>
    </w:p>
    <w:p w14:paraId="28A9A441" w14:textId="77777777" w:rsidR="00240428" w:rsidRPr="00240428" w:rsidRDefault="00240428" w:rsidP="00527A49">
      <w:pPr>
        <w:pStyle w:val="ListParagraph"/>
        <w:rPr>
          <w:rFonts w:ascii="Times New Roman" w:hAnsi="Times New Roman"/>
          <w:sz w:val="24"/>
          <w:szCs w:val="24"/>
        </w:rPr>
      </w:pPr>
    </w:p>
    <w:p w14:paraId="0F0F0B50" w14:textId="77777777" w:rsidR="00E75B28" w:rsidRDefault="00E75B28" w:rsidP="00527A49">
      <w:pPr>
        <w:pStyle w:val="ListParagraph"/>
        <w:numPr>
          <w:ilvl w:val="0"/>
          <w:numId w:val="24"/>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sz w:val="24"/>
          <w:szCs w:val="24"/>
        </w:rPr>
      </w:pPr>
      <w:r>
        <w:rPr>
          <w:rFonts w:ascii="Times New Roman" w:hAnsi="Times New Roman"/>
          <w:sz w:val="24"/>
          <w:szCs w:val="24"/>
        </w:rPr>
        <w:t xml:space="preserve">the Respondent has not provided the Appellant </w:t>
      </w:r>
      <w:r w:rsidR="0089023B">
        <w:rPr>
          <w:rFonts w:ascii="Times New Roman" w:hAnsi="Times New Roman"/>
          <w:sz w:val="24"/>
          <w:szCs w:val="24"/>
        </w:rPr>
        <w:t xml:space="preserve">with </w:t>
      </w:r>
      <w:r>
        <w:rPr>
          <w:rFonts w:ascii="Times New Roman" w:hAnsi="Times New Roman"/>
          <w:sz w:val="24"/>
          <w:szCs w:val="24"/>
        </w:rPr>
        <w:t>any supporting documents to support the decision in outlining how and why the COVID-19 vaccine is safe, given the Appellant's medical history;</w:t>
      </w:r>
    </w:p>
    <w:p w14:paraId="4F31AA4B" w14:textId="77777777" w:rsidR="00E75B28" w:rsidRPr="00E75B28" w:rsidRDefault="00E75B28" w:rsidP="00527A49">
      <w:pPr>
        <w:pStyle w:val="ListParagraph"/>
        <w:rPr>
          <w:rFonts w:ascii="Times New Roman" w:hAnsi="Times New Roman"/>
          <w:sz w:val="24"/>
          <w:szCs w:val="24"/>
        </w:rPr>
      </w:pPr>
    </w:p>
    <w:p w14:paraId="3F5EDBDC" w14:textId="77777777" w:rsidR="00240428" w:rsidRDefault="008C6EDE" w:rsidP="00527A49">
      <w:pPr>
        <w:pStyle w:val="ListParagraph"/>
        <w:numPr>
          <w:ilvl w:val="0"/>
          <w:numId w:val="24"/>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sz w:val="24"/>
          <w:szCs w:val="24"/>
        </w:rPr>
      </w:pPr>
      <w:r w:rsidRPr="0E8C3765">
        <w:rPr>
          <w:rFonts w:ascii="Times New Roman" w:hAnsi="Times New Roman"/>
          <w:sz w:val="24"/>
          <w:szCs w:val="24"/>
        </w:rPr>
        <w:t xml:space="preserve">exemption applications </w:t>
      </w:r>
      <w:r w:rsidR="00F114A4" w:rsidRPr="0E8C3765">
        <w:rPr>
          <w:rFonts w:ascii="Times New Roman" w:hAnsi="Times New Roman"/>
          <w:sz w:val="24"/>
          <w:szCs w:val="24"/>
        </w:rPr>
        <w:t>are</w:t>
      </w:r>
      <w:r w:rsidRPr="0E8C3765">
        <w:rPr>
          <w:rFonts w:ascii="Times New Roman" w:hAnsi="Times New Roman"/>
          <w:sz w:val="24"/>
          <w:szCs w:val="24"/>
        </w:rPr>
        <w:t xml:space="preserve"> to be individually assessed</w:t>
      </w:r>
      <w:r w:rsidR="00F114A4" w:rsidRPr="0E8C3765">
        <w:rPr>
          <w:rFonts w:ascii="Times New Roman" w:hAnsi="Times New Roman"/>
          <w:sz w:val="24"/>
          <w:szCs w:val="24"/>
        </w:rPr>
        <w:t xml:space="preserve"> as per previous correspondence of the Respondent</w:t>
      </w:r>
      <w:r w:rsidRPr="0E8C3765">
        <w:rPr>
          <w:rFonts w:ascii="Times New Roman" w:hAnsi="Times New Roman"/>
          <w:sz w:val="24"/>
          <w:szCs w:val="24"/>
        </w:rPr>
        <w:t xml:space="preserve"> and none of the Appellant's requests have been acknowledged o</w:t>
      </w:r>
      <w:r w:rsidR="0072421E" w:rsidRPr="0E8C3765">
        <w:rPr>
          <w:rFonts w:ascii="Times New Roman" w:hAnsi="Times New Roman"/>
          <w:sz w:val="24"/>
          <w:szCs w:val="24"/>
        </w:rPr>
        <w:t>r</w:t>
      </w:r>
      <w:r w:rsidRPr="0E8C3765">
        <w:rPr>
          <w:rFonts w:ascii="Times New Roman" w:hAnsi="Times New Roman"/>
          <w:sz w:val="24"/>
          <w:szCs w:val="24"/>
        </w:rPr>
        <w:t xml:space="preserve"> provided to the Appellant</w:t>
      </w:r>
      <w:r w:rsidR="00483B02" w:rsidRPr="0E8C3765">
        <w:rPr>
          <w:rFonts w:ascii="Times New Roman" w:hAnsi="Times New Roman"/>
          <w:sz w:val="24"/>
          <w:szCs w:val="24"/>
        </w:rPr>
        <w:t>;</w:t>
      </w:r>
    </w:p>
    <w:p w14:paraId="35254DE1" w14:textId="77777777" w:rsidR="00E75B28" w:rsidRDefault="00E75B28" w:rsidP="00527A49">
      <w:pPr>
        <w:pStyle w:val="ListParagraph"/>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jc w:val="both"/>
        <w:rPr>
          <w:rFonts w:ascii="Times New Roman" w:hAnsi="Times New Roman"/>
          <w:sz w:val="24"/>
          <w:szCs w:val="24"/>
        </w:rPr>
      </w:pPr>
    </w:p>
    <w:p w14:paraId="73298B19" w14:textId="77777777" w:rsidR="00E75B28" w:rsidRDefault="00E75B28" w:rsidP="00527A49">
      <w:pPr>
        <w:pStyle w:val="ListParagraph"/>
        <w:numPr>
          <w:ilvl w:val="0"/>
          <w:numId w:val="24"/>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sz w:val="24"/>
          <w:szCs w:val="24"/>
        </w:rPr>
      </w:pPr>
      <w:r>
        <w:rPr>
          <w:rFonts w:ascii="Times New Roman" w:hAnsi="Times New Roman"/>
          <w:sz w:val="24"/>
          <w:szCs w:val="24"/>
        </w:rPr>
        <w:t>despite being issued a 'lawful direction' to get vaccinated, MSH will not accept responsibility for any complications and legal liability from any adverse effects</w:t>
      </w:r>
      <w:r w:rsidR="00D114FA">
        <w:rPr>
          <w:rFonts w:ascii="Times New Roman" w:hAnsi="Times New Roman"/>
          <w:sz w:val="24"/>
          <w:szCs w:val="24"/>
        </w:rPr>
        <w:t xml:space="preserve">. Further, the 'lawful direction' </w:t>
      </w:r>
      <w:r w:rsidR="00D74FF1">
        <w:rPr>
          <w:rFonts w:ascii="Times New Roman" w:hAnsi="Times New Roman"/>
          <w:sz w:val="24"/>
          <w:szCs w:val="24"/>
        </w:rPr>
        <w:t>does</w:t>
      </w:r>
      <w:r w:rsidR="00D114FA">
        <w:rPr>
          <w:rFonts w:ascii="Times New Roman" w:hAnsi="Times New Roman"/>
          <w:sz w:val="24"/>
          <w:szCs w:val="24"/>
        </w:rPr>
        <w:t xml:space="preserve"> not </w:t>
      </w:r>
      <w:r w:rsidR="00D74FF1">
        <w:rPr>
          <w:rFonts w:ascii="Times New Roman" w:hAnsi="Times New Roman"/>
          <w:sz w:val="24"/>
          <w:szCs w:val="24"/>
        </w:rPr>
        <w:t xml:space="preserve">take into </w:t>
      </w:r>
      <w:r w:rsidR="00D114FA">
        <w:rPr>
          <w:rFonts w:ascii="Times New Roman" w:hAnsi="Times New Roman"/>
          <w:sz w:val="24"/>
          <w:szCs w:val="24"/>
        </w:rPr>
        <w:t>consider</w:t>
      </w:r>
      <w:r w:rsidR="00D74FF1">
        <w:rPr>
          <w:rFonts w:ascii="Times New Roman" w:hAnsi="Times New Roman"/>
          <w:sz w:val="24"/>
          <w:szCs w:val="24"/>
        </w:rPr>
        <w:t>ation</w:t>
      </w:r>
      <w:r w:rsidR="00D114FA">
        <w:rPr>
          <w:rFonts w:ascii="Times New Roman" w:hAnsi="Times New Roman"/>
          <w:sz w:val="24"/>
          <w:szCs w:val="24"/>
        </w:rPr>
        <w:t xml:space="preserve"> of the Appellant's medical conditions and circumstances</w:t>
      </w:r>
      <w:r>
        <w:rPr>
          <w:rFonts w:ascii="Times New Roman" w:hAnsi="Times New Roman"/>
          <w:sz w:val="24"/>
          <w:szCs w:val="24"/>
        </w:rPr>
        <w:t>; and</w:t>
      </w:r>
    </w:p>
    <w:p w14:paraId="1BCA4089" w14:textId="77777777" w:rsidR="00483B02" w:rsidRPr="00E75B28" w:rsidRDefault="00483B02" w:rsidP="00527A49">
      <w:pPr>
        <w:pStyle w:val="ListParagraph"/>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jc w:val="both"/>
        <w:rPr>
          <w:rFonts w:ascii="Times New Roman" w:hAnsi="Times New Roman"/>
          <w:sz w:val="24"/>
          <w:szCs w:val="24"/>
        </w:rPr>
      </w:pPr>
    </w:p>
    <w:p w14:paraId="391A8463" w14:textId="77777777" w:rsidR="00272A04" w:rsidRPr="00483B02" w:rsidRDefault="00C75ECD" w:rsidP="00527A49">
      <w:pPr>
        <w:pStyle w:val="ListParagraph"/>
        <w:numPr>
          <w:ilvl w:val="0"/>
          <w:numId w:val="24"/>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sz w:val="24"/>
          <w:szCs w:val="24"/>
        </w:rPr>
      </w:pPr>
      <w:r>
        <w:rPr>
          <w:rFonts w:ascii="Times New Roman" w:hAnsi="Times New Roman"/>
          <w:sz w:val="24"/>
          <w:szCs w:val="24"/>
        </w:rPr>
        <w:t>the Appellant has not been able to provide informed consent to receive the COVID-19 vaccine given the Appellant was not provided with explicit reasons as to why her exemption application was denied.</w:t>
      </w:r>
    </w:p>
    <w:p w14:paraId="4955A1C8" w14:textId="77777777" w:rsidR="002A21B1" w:rsidRPr="009610F3" w:rsidRDefault="002A21B1" w:rsidP="002A21B1">
      <w:pPr>
        <w:keepNext/>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szCs w:val="24"/>
        </w:rPr>
      </w:pPr>
    </w:p>
    <w:p w14:paraId="752C4AFF" w14:textId="77777777" w:rsidR="00990B3F" w:rsidRDefault="00990B3F" w:rsidP="003C5678">
      <w:pPr>
        <w:keepNext/>
        <w:shd w:val="clear" w:color="auto" w:fill="FFFFFF" w:themeFill="background1"/>
        <w:tabs>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 w:val="left" w:pos="5670"/>
        </w:tabs>
        <w:autoSpaceDE w:val="0"/>
        <w:autoSpaceDN w:val="0"/>
        <w:adjustRightInd w:val="0"/>
        <w:spacing w:line="23" w:lineRule="atLeast"/>
        <w:ind w:left="567"/>
        <w:jc w:val="both"/>
        <w:rPr>
          <w:b/>
          <w:bCs/>
          <w:color w:val="000000"/>
          <w:szCs w:val="24"/>
        </w:rPr>
      </w:pPr>
      <w:r>
        <w:rPr>
          <w:b/>
          <w:bCs/>
          <w:color w:val="000000"/>
          <w:szCs w:val="24"/>
        </w:rPr>
        <w:t>Submissions</w:t>
      </w:r>
    </w:p>
    <w:p w14:paraId="3F461492" w14:textId="77777777" w:rsidR="00990B3F" w:rsidRDefault="00990B3F" w:rsidP="000B3B2C">
      <w:pPr>
        <w:shd w:val="clear" w:color="auto" w:fill="FFFFFF" w:themeFill="background1"/>
        <w:tabs>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 w:val="left" w:pos="5670"/>
        </w:tabs>
        <w:autoSpaceDE w:val="0"/>
        <w:autoSpaceDN w:val="0"/>
        <w:adjustRightInd w:val="0"/>
        <w:spacing w:line="23" w:lineRule="atLeast"/>
        <w:ind w:left="567"/>
        <w:jc w:val="both"/>
        <w:rPr>
          <w:b/>
          <w:bCs/>
          <w:color w:val="000000"/>
          <w:szCs w:val="24"/>
        </w:rPr>
      </w:pPr>
    </w:p>
    <w:p w14:paraId="7E8FE94C" w14:textId="77777777" w:rsidR="00990B3F" w:rsidRDefault="00990B3F" w:rsidP="000B3B2C">
      <w:pPr>
        <w:numPr>
          <w:ilvl w:val="0"/>
          <w:numId w:val="5"/>
        </w:num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rPr>
          <w:color w:val="000000"/>
        </w:rPr>
      </w:pPr>
      <w:r w:rsidRPr="3B83E029">
        <w:rPr>
          <w:color w:val="000000" w:themeColor="text1"/>
        </w:rPr>
        <w:t xml:space="preserve">The Commission issued a Directions Order calling for submissions from both parties following receipt of the appeal notice. </w:t>
      </w:r>
      <w:r w:rsidR="000D3C43" w:rsidRPr="3B83E029">
        <w:rPr>
          <w:color w:val="000000" w:themeColor="text1"/>
        </w:rPr>
        <w:t xml:space="preserve">The submissions are summarised below. </w:t>
      </w:r>
    </w:p>
    <w:p w14:paraId="71F5F4A7" w14:textId="77777777" w:rsidR="00146D9E" w:rsidRDefault="00146D9E" w:rsidP="000B3B2C">
      <w:p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rPr>
          <w:color w:val="000000"/>
          <w:szCs w:val="24"/>
        </w:rPr>
      </w:pPr>
    </w:p>
    <w:p w14:paraId="03B7A82D" w14:textId="77777777" w:rsidR="005D68AA" w:rsidRPr="00146D9E" w:rsidRDefault="005D68AA" w:rsidP="005D68AA">
      <w:p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b/>
          <w:bCs/>
          <w:i/>
          <w:iCs/>
          <w:color w:val="000000"/>
          <w:szCs w:val="24"/>
        </w:rPr>
      </w:pPr>
      <w:r>
        <w:rPr>
          <w:b/>
          <w:bCs/>
          <w:i/>
          <w:iCs/>
          <w:color w:val="000000"/>
          <w:szCs w:val="24"/>
        </w:rPr>
        <w:t>Appellant's</w:t>
      </w:r>
      <w:r w:rsidRPr="00146D9E">
        <w:rPr>
          <w:b/>
          <w:bCs/>
          <w:i/>
          <w:iCs/>
          <w:color w:val="000000"/>
          <w:szCs w:val="24"/>
        </w:rPr>
        <w:t xml:space="preserve"> submissions</w:t>
      </w:r>
    </w:p>
    <w:p w14:paraId="37BB836A" w14:textId="77777777" w:rsidR="005D68AA" w:rsidRPr="00ED7D70" w:rsidRDefault="005D68AA" w:rsidP="005D68AA">
      <w:p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i/>
          <w:iCs/>
          <w:color w:val="000000"/>
          <w:szCs w:val="24"/>
        </w:rPr>
      </w:pPr>
    </w:p>
    <w:p w14:paraId="2FAD54C6" w14:textId="77777777" w:rsidR="005D68AA" w:rsidRPr="0089023B" w:rsidRDefault="005D68AA" w:rsidP="3B83E029">
      <w:pPr>
        <w:numPr>
          <w:ilvl w:val="0"/>
          <w:numId w:val="5"/>
        </w:num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rPr>
          <w:b/>
          <w:bCs/>
          <w:i/>
          <w:iCs/>
          <w:color w:val="000000"/>
        </w:rPr>
      </w:pPr>
      <w:r w:rsidRPr="3B83E029">
        <w:rPr>
          <w:lang w:eastAsia="en-AU"/>
        </w:rPr>
        <w:t>The Appellant</w:t>
      </w:r>
      <w:r w:rsidR="0055677D" w:rsidRPr="3B83E029">
        <w:rPr>
          <w:lang w:eastAsia="en-AU"/>
        </w:rPr>
        <w:t xml:space="preserve">'s submissions </w:t>
      </w:r>
      <w:r w:rsidR="005E1AB8" w:rsidRPr="3B83E029">
        <w:rPr>
          <w:lang w:eastAsia="en-AU"/>
        </w:rPr>
        <w:t xml:space="preserve">largely replicate </w:t>
      </w:r>
      <w:r w:rsidR="0089023B" w:rsidRPr="3B83E029">
        <w:rPr>
          <w:lang w:eastAsia="en-AU"/>
        </w:rPr>
        <w:t xml:space="preserve">the </w:t>
      </w:r>
      <w:r w:rsidR="00BE4FFE" w:rsidRPr="3B83E029">
        <w:rPr>
          <w:lang w:eastAsia="en-AU"/>
        </w:rPr>
        <w:t>reasons for appeal</w:t>
      </w:r>
      <w:r w:rsidR="0089023B" w:rsidRPr="3B83E029">
        <w:rPr>
          <w:lang w:eastAsia="en-AU"/>
        </w:rPr>
        <w:t xml:space="preserve"> made under the appeal notice</w:t>
      </w:r>
      <w:r w:rsidR="005E1AB8" w:rsidRPr="3B83E029">
        <w:rPr>
          <w:lang w:eastAsia="en-AU"/>
        </w:rPr>
        <w:t xml:space="preserve"> and </w:t>
      </w:r>
      <w:r w:rsidR="0089023B" w:rsidRPr="3B83E029">
        <w:rPr>
          <w:lang w:eastAsia="en-AU"/>
        </w:rPr>
        <w:t xml:space="preserve">does not </w:t>
      </w:r>
      <w:r w:rsidR="005E1AB8" w:rsidRPr="3B83E029">
        <w:rPr>
          <w:lang w:eastAsia="en-AU"/>
        </w:rPr>
        <w:t>provide any further material in support of the appeal.</w:t>
      </w:r>
      <w:r w:rsidR="00D739F0" w:rsidRPr="3B83E029">
        <w:rPr>
          <w:lang w:eastAsia="en-AU"/>
        </w:rPr>
        <w:t xml:space="preserve"> Consequently, it is unnecessary to repeat the submissions</w:t>
      </w:r>
      <w:r w:rsidR="0001096F" w:rsidRPr="3B83E029">
        <w:rPr>
          <w:lang w:eastAsia="en-AU"/>
        </w:rPr>
        <w:t xml:space="preserve"> made by the Appellant. </w:t>
      </w:r>
    </w:p>
    <w:p w14:paraId="2799EC8C" w14:textId="77777777" w:rsidR="005D68AA" w:rsidRDefault="005D68AA" w:rsidP="000B3B2C">
      <w:p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b/>
          <w:bCs/>
          <w:i/>
          <w:iCs/>
          <w:color w:val="000000"/>
          <w:szCs w:val="24"/>
        </w:rPr>
      </w:pPr>
    </w:p>
    <w:p w14:paraId="57148EAD" w14:textId="77777777" w:rsidR="00CD0117" w:rsidRDefault="00DD7FBD" w:rsidP="000B3B2C">
      <w:p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b/>
          <w:bCs/>
          <w:i/>
          <w:iCs/>
          <w:color w:val="000000"/>
          <w:szCs w:val="24"/>
        </w:rPr>
      </w:pPr>
      <w:r>
        <w:rPr>
          <w:b/>
          <w:bCs/>
          <w:i/>
          <w:iCs/>
          <w:color w:val="000000"/>
          <w:szCs w:val="24"/>
        </w:rPr>
        <w:t>Respondent</w:t>
      </w:r>
      <w:r w:rsidR="00CD0117">
        <w:rPr>
          <w:b/>
          <w:bCs/>
          <w:i/>
          <w:iCs/>
          <w:color w:val="000000"/>
          <w:szCs w:val="24"/>
        </w:rPr>
        <w:t>'s submissions</w:t>
      </w:r>
    </w:p>
    <w:p w14:paraId="4AB25831" w14:textId="77777777" w:rsidR="00CD0117" w:rsidRPr="00F254D6" w:rsidRDefault="00CD0117" w:rsidP="000B3B2C">
      <w:p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b/>
          <w:bCs/>
          <w:i/>
          <w:iCs/>
          <w:color w:val="000000"/>
          <w:szCs w:val="24"/>
        </w:rPr>
      </w:pPr>
    </w:p>
    <w:p w14:paraId="36EE255F" w14:textId="77777777" w:rsidR="002666FB" w:rsidRPr="00B1247C" w:rsidRDefault="002666FB" w:rsidP="00DA32CC">
      <w:pPr>
        <w:pStyle w:val="ListParagraph"/>
        <w:numPr>
          <w:ilvl w:val="0"/>
          <w:numId w:val="5"/>
        </w:num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rPr>
          <w:rFonts w:ascii="Times New Roman" w:hAnsi="Times New Roman"/>
          <w:color w:val="000000"/>
          <w:sz w:val="24"/>
          <w:szCs w:val="24"/>
        </w:rPr>
      </w:pPr>
      <w:r w:rsidRPr="3B83E029">
        <w:rPr>
          <w:rFonts w:ascii="Times New Roman" w:hAnsi="Times New Roman"/>
          <w:color w:val="000000" w:themeColor="text1"/>
          <w:sz w:val="24"/>
          <w:szCs w:val="24"/>
        </w:rPr>
        <w:t>The Respondent</w:t>
      </w:r>
      <w:r w:rsidR="00B1247C" w:rsidRPr="3B83E029">
        <w:rPr>
          <w:rFonts w:ascii="Times New Roman" w:hAnsi="Times New Roman"/>
          <w:color w:val="000000" w:themeColor="text1"/>
          <w:sz w:val="24"/>
          <w:szCs w:val="24"/>
        </w:rPr>
        <w:t>, in its submissions, outlined the material that was provided by the Appellant in support of her exemption application:</w:t>
      </w:r>
    </w:p>
    <w:p w14:paraId="691C719F" w14:textId="77777777" w:rsidR="00B1247C" w:rsidRPr="00B1247C" w:rsidRDefault="00B1247C" w:rsidP="00B1247C">
      <w:pPr>
        <w:pStyle w:val="ListParagraph"/>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rFonts w:ascii="Times New Roman" w:hAnsi="Times New Roman"/>
          <w:color w:val="000000"/>
          <w:sz w:val="24"/>
          <w:szCs w:val="26"/>
        </w:rPr>
      </w:pPr>
    </w:p>
    <w:p w14:paraId="033FBEE0" w14:textId="77777777" w:rsidR="00E14751" w:rsidRDefault="00E14751" w:rsidP="00B1247C">
      <w:pPr>
        <w:pStyle w:val="ListParagraph"/>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rFonts w:ascii="Times New Roman" w:hAnsi="Times New Roman"/>
          <w:color w:val="000000"/>
          <w:sz w:val="20"/>
        </w:rPr>
      </w:pPr>
      <w:r>
        <w:rPr>
          <w:rFonts w:ascii="Times New Roman" w:hAnsi="Times New Roman"/>
          <w:color w:val="000000"/>
          <w:sz w:val="20"/>
        </w:rPr>
        <w:t>…</w:t>
      </w:r>
    </w:p>
    <w:p w14:paraId="3F8A503F" w14:textId="77777777" w:rsidR="00B1247C" w:rsidRPr="00B1247C" w:rsidRDefault="00B1247C" w:rsidP="00B1247C">
      <w:pPr>
        <w:pStyle w:val="ListParagraph"/>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rFonts w:ascii="Times New Roman" w:hAnsi="Times New Roman"/>
          <w:color w:val="000000"/>
          <w:sz w:val="20"/>
        </w:rPr>
      </w:pPr>
      <w:r w:rsidRPr="00B1247C">
        <w:rPr>
          <w:rFonts w:ascii="Times New Roman" w:hAnsi="Times New Roman"/>
          <w:color w:val="000000"/>
          <w:sz w:val="20"/>
        </w:rPr>
        <w:t xml:space="preserve">9. </w:t>
      </w:r>
      <w:r>
        <w:rPr>
          <w:rFonts w:ascii="Times New Roman" w:hAnsi="Times New Roman"/>
          <w:color w:val="000000"/>
          <w:sz w:val="20"/>
        </w:rPr>
        <w:tab/>
      </w:r>
      <w:r w:rsidRPr="00B1247C">
        <w:rPr>
          <w:rFonts w:ascii="Times New Roman" w:hAnsi="Times New Roman"/>
          <w:color w:val="000000"/>
          <w:sz w:val="20"/>
        </w:rPr>
        <w:t>On 29 September 2021, Ms Elliott applied for an exemption to the mandatory vaccine</w:t>
      </w:r>
      <w:r>
        <w:rPr>
          <w:rFonts w:ascii="Times New Roman" w:hAnsi="Times New Roman"/>
          <w:color w:val="000000"/>
          <w:sz w:val="20"/>
        </w:rPr>
        <w:t xml:space="preserve"> </w:t>
      </w:r>
      <w:r w:rsidRPr="00B1247C">
        <w:rPr>
          <w:rFonts w:ascii="Times New Roman" w:hAnsi="Times New Roman"/>
          <w:color w:val="000000"/>
          <w:sz w:val="20"/>
        </w:rPr>
        <w:t>requirements, identifying medical contraindication as the grounds for her application</w:t>
      </w:r>
      <w:r>
        <w:rPr>
          <w:rFonts w:ascii="Times New Roman" w:hAnsi="Times New Roman"/>
          <w:color w:val="000000"/>
          <w:sz w:val="20"/>
        </w:rPr>
        <w:t xml:space="preserve">… </w:t>
      </w:r>
      <w:r w:rsidRPr="00B1247C">
        <w:rPr>
          <w:rFonts w:ascii="Times New Roman" w:hAnsi="Times New Roman"/>
          <w:color w:val="000000"/>
          <w:sz w:val="20"/>
        </w:rPr>
        <w:t>Ms Elliott provided the following documentation in support of her exemption</w:t>
      </w:r>
      <w:r>
        <w:rPr>
          <w:rFonts w:ascii="Times New Roman" w:hAnsi="Times New Roman"/>
          <w:color w:val="000000"/>
          <w:sz w:val="20"/>
        </w:rPr>
        <w:t xml:space="preserve"> </w:t>
      </w:r>
      <w:r w:rsidRPr="00B1247C">
        <w:rPr>
          <w:rFonts w:ascii="Times New Roman" w:hAnsi="Times New Roman"/>
          <w:color w:val="000000"/>
          <w:sz w:val="20"/>
        </w:rPr>
        <w:t>application:</w:t>
      </w:r>
    </w:p>
    <w:p w14:paraId="3835558F" w14:textId="77777777" w:rsidR="00B1247C" w:rsidRPr="00B1247C" w:rsidRDefault="00B1247C" w:rsidP="00B1247C">
      <w:pPr>
        <w:pStyle w:val="ListParagraph"/>
        <w:tabs>
          <w:tab w:val="left" w:pos="2268"/>
          <w:tab w:val="left" w:pos="2835"/>
          <w:tab w:val="left" w:pos="3402"/>
          <w:tab w:val="left" w:pos="3969"/>
          <w:tab w:val="left" w:pos="4536"/>
          <w:tab w:val="left" w:pos="5103"/>
          <w:tab w:val="left" w:pos="5670"/>
        </w:tabs>
        <w:autoSpaceDE w:val="0"/>
        <w:autoSpaceDN w:val="0"/>
        <w:adjustRightInd w:val="0"/>
        <w:spacing w:line="23" w:lineRule="atLeast"/>
        <w:ind w:left="2268" w:hanging="567"/>
        <w:jc w:val="both"/>
        <w:rPr>
          <w:rFonts w:ascii="Times New Roman" w:hAnsi="Times New Roman"/>
          <w:color w:val="000000"/>
          <w:sz w:val="20"/>
        </w:rPr>
      </w:pPr>
      <w:r w:rsidRPr="00B1247C">
        <w:rPr>
          <w:rFonts w:ascii="Times New Roman" w:hAnsi="Times New Roman"/>
          <w:color w:val="000000"/>
          <w:sz w:val="20"/>
        </w:rPr>
        <w:t xml:space="preserve">a) </w:t>
      </w:r>
      <w:r>
        <w:rPr>
          <w:rFonts w:ascii="Times New Roman" w:hAnsi="Times New Roman"/>
          <w:color w:val="000000"/>
          <w:sz w:val="20"/>
        </w:rPr>
        <w:tab/>
      </w:r>
      <w:r w:rsidRPr="00B1247C">
        <w:rPr>
          <w:rFonts w:ascii="Times New Roman" w:hAnsi="Times New Roman"/>
          <w:color w:val="000000"/>
          <w:sz w:val="20"/>
        </w:rPr>
        <w:t xml:space="preserve">a letter from Ms Elliott dated 29 September 2021, advising she was </w:t>
      </w:r>
      <w:r w:rsidRPr="00F914BF">
        <w:rPr>
          <w:rFonts w:ascii="Times New Roman" w:hAnsi="Times New Roman"/>
          <w:i/>
          <w:iCs/>
          <w:color w:val="000000"/>
          <w:sz w:val="20"/>
        </w:rPr>
        <w:t>'not comfortable'</w:t>
      </w:r>
      <w:r>
        <w:rPr>
          <w:rFonts w:ascii="Times New Roman" w:hAnsi="Times New Roman"/>
          <w:color w:val="000000"/>
          <w:sz w:val="20"/>
        </w:rPr>
        <w:t xml:space="preserve"> </w:t>
      </w:r>
      <w:r w:rsidRPr="00B1247C">
        <w:rPr>
          <w:rFonts w:ascii="Times New Roman" w:hAnsi="Times New Roman"/>
          <w:color w:val="000000"/>
          <w:sz w:val="20"/>
        </w:rPr>
        <w:t>receiving COVID-19 vaccines as she had a heart condition, menorrhagia, anaemia, high</w:t>
      </w:r>
      <w:r>
        <w:rPr>
          <w:rFonts w:ascii="Times New Roman" w:hAnsi="Times New Roman"/>
          <w:color w:val="000000"/>
          <w:sz w:val="20"/>
        </w:rPr>
        <w:t xml:space="preserve"> </w:t>
      </w:r>
      <w:r w:rsidRPr="00B1247C">
        <w:rPr>
          <w:rFonts w:ascii="Times New Roman" w:hAnsi="Times New Roman"/>
          <w:color w:val="000000"/>
          <w:sz w:val="20"/>
        </w:rPr>
        <w:t>blood pressure, as well as stress related anxiety and depression caused by the mandated</w:t>
      </w:r>
      <w:r>
        <w:rPr>
          <w:rFonts w:ascii="Times New Roman" w:hAnsi="Times New Roman"/>
          <w:color w:val="000000"/>
          <w:sz w:val="20"/>
        </w:rPr>
        <w:t xml:space="preserve"> </w:t>
      </w:r>
      <w:r w:rsidRPr="00B1247C">
        <w:rPr>
          <w:rFonts w:ascii="Times New Roman" w:hAnsi="Times New Roman"/>
          <w:color w:val="000000"/>
          <w:sz w:val="20"/>
        </w:rPr>
        <w:t>requirements of HED 12/21, and suffered reactions to particular medications. She also</w:t>
      </w:r>
      <w:r>
        <w:rPr>
          <w:rFonts w:ascii="Times New Roman" w:hAnsi="Times New Roman"/>
          <w:color w:val="000000"/>
          <w:sz w:val="20"/>
        </w:rPr>
        <w:t xml:space="preserve"> </w:t>
      </w:r>
      <w:r w:rsidRPr="00B1247C">
        <w:rPr>
          <w:rFonts w:ascii="Times New Roman" w:hAnsi="Times New Roman"/>
          <w:color w:val="000000"/>
          <w:sz w:val="20"/>
        </w:rPr>
        <w:t>stated she has a family history of blood, heart and autoimmune related health issues;</w:t>
      </w:r>
    </w:p>
    <w:p w14:paraId="7120232A" w14:textId="77777777" w:rsidR="00B1247C" w:rsidRPr="00B1247C" w:rsidRDefault="00B1247C" w:rsidP="00B1247C">
      <w:pPr>
        <w:pStyle w:val="ListParagraph"/>
        <w:tabs>
          <w:tab w:val="left" w:pos="2268"/>
          <w:tab w:val="left" w:pos="2835"/>
          <w:tab w:val="left" w:pos="3402"/>
          <w:tab w:val="left" w:pos="3969"/>
          <w:tab w:val="left" w:pos="4536"/>
          <w:tab w:val="left" w:pos="5103"/>
          <w:tab w:val="left" w:pos="5670"/>
        </w:tabs>
        <w:autoSpaceDE w:val="0"/>
        <w:autoSpaceDN w:val="0"/>
        <w:adjustRightInd w:val="0"/>
        <w:spacing w:line="23" w:lineRule="atLeast"/>
        <w:ind w:left="2268" w:hanging="567"/>
        <w:jc w:val="both"/>
        <w:rPr>
          <w:rFonts w:ascii="Times New Roman" w:hAnsi="Times New Roman"/>
          <w:color w:val="000000"/>
          <w:sz w:val="20"/>
        </w:rPr>
      </w:pPr>
      <w:r w:rsidRPr="00B1247C">
        <w:rPr>
          <w:rFonts w:ascii="Times New Roman" w:hAnsi="Times New Roman"/>
          <w:color w:val="000000"/>
          <w:sz w:val="20"/>
        </w:rPr>
        <w:t xml:space="preserve">b) </w:t>
      </w:r>
      <w:r>
        <w:rPr>
          <w:rFonts w:ascii="Times New Roman" w:hAnsi="Times New Roman"/>
          <w:color w:val="000000"/>
          <w:sz w:val="20"/>
        </w:rPr>
        <w:tab/>
      </w:r>
      <w:r w:rsidRPr="00B1247C">
        <w:rPr>
          <w:rFonts w:ascii="Times New Roman" w:hAnsi="Times New Roman"/>
          <w:color w:val="000000"/>
          <w:sz w:val="20"/>
        </w:rPr>
        <w:t>three medical certificates from Dr Allan Tham, Chatwsood Road Medical Centre dated</w:t>
      </w:r>
      <w:r>
        <w:rPr>
          <w:rFonts w:ascii="Times New Roman" w:hAnsi="Times New Roman"/>
          <w:color w:val="000000"/>
          <w:sz w:val="20"/>
        </w:rPr>
        <w:t xml:space="preserve"> </w:t>
      </w:r>
      <w:r w:rsidRPr="00B1247C">
        <w:rPr>
          <w:rFonts w:ascii="Times New Roman" w:hAnsi="Times New Roman"/>
          <w:color w:val="000000"/>
          <w:sz w:val="20"/>
        </w:rPr>
        <w:t>28 September 2021, stating Ms Elliott had a number previous health conditions and was</w:t>
      </w:r>
      <w:r>
        <w:rPr>
          <w:rFonts w:ascii="Times New Roman" w:hAnsi="Times New Roman"/>
          <w:color w:val="000000"/>
          <w:sz w:val="20"/>
        </w:rPr>
        <w:t xml:space="preserve"> </w:t>
      </w:r>
      <w:r w:rsidRPr="00B1247C">
        <w:rPr>
          <w:rFonts w:ascii="Times New Roman" w:hAnsi="Times New Roman"/>
          <w:color w:val="000000"/>
          <w:sz w:val="20"/>
        </w:rPr>
        <w:t>currently suffering from anxiety and depression; and</w:t>
      </w:r>
    </w:p>
    <w:p w14:paraId="78F208C0" w14:textId="77777777" w:rsidR="00B1247C" w:rsidRDefault="00B1247C" w:rsidP="00B1247C">
      <w:pPr>
        <w:pStyle w:val="ListParagraph"/>
        <w:tabs>
          <w:tab w:val="left" w:pos="2268"/>
          <w:tab w:val="left" w:pos="2835"/>
          <w:tab w:val="left" w:pos="3402"/>
          <w:tab w:val="left" w:pos="3969"/>
          <w:tab w:val="left" w:pos="4536"/>
          <w:tab w:val="left" w:pos="5103"/>
          <w:tab w:val="left" w:pos="5670"/>
        </w:tabs>
        <w:autoSpaceDE w:val="0"/>
        <w:autoSpaceDN w:val="0"/>
        <w:adjustRightInd w:val="0"/>
        <w:spacing w:line="23" w:lineRule="atLeast"/>
        <w:ind w:left="2268" w:hanging="567"/>
        <w:jc w:val="both"/>
        <w:rPr>
          <w:rFonts w:ascii="Times New Roman" w:hAnsi="Times New Roman"/>
          <w:color w:val="000000"/>
          <w:sz w:val="20"/>
        </w:rPr>
      </w:pPr>
      <w:r w:rsidRPr="00B1247C">
        <w:rPr>
          <w:rFonts w:ascii="Times New Roman" w:hAnsi="Times New Roman"/>
          <w:color w:val="000000"/>
          <w:sz w:val="20"/>
        </w:rPr>
        <w:t xml:space="preserve">c) </w:t>
      </w:r>
      <w:r>
        <w:rPr>
          <w:rFonts w:ascii="Times New Roman" w:hAnsi="Times New Roman"/>
          <w:color w:val="000000"/>
          <w:sz w:val="20"/>
        </w:rPr>
        <w:tab/>
      </w:r>
      <w:r w:rsidRPr="00B1247C">
        <w:rPr>
          <w:rFonts w:ascii="Times New Roman" w:hAnsi="Times New Roman"/>
          <w:color w:val="000000"/>
          <w:sz w:val="20"/>
        </w:rPr>
        <w:t>minutes of a workplace meeting on 16 September 2021 regarding COVID-19 vaccination</w:t>
      </w:r>
      <w:r>
        <w:rPr>
          <w:rFonts w:ascii="Times New Roman" w:hAnsi="Times New Roman"/>
          <w:color w:val="000000"/>
          <w:sz w:val="20"/>
        </w:rPr>
        <w:t xml:space="preserve"> </w:t>
      </w:r>
      <w:r w:rsidRPr="00B1247C">
        <w:rPr>
          <w:rFonts w:ascii="Times New Roman" w:hAnsi="Times New Roman"/>
          <w:color w:val="000000"/>
          <w:sz w:val="20"/>
        </w:rPr>
        <w:t>exemptions.</w:t>
      </w:r>
    </w:p>
    <w:p w14:paraId="7846AFBF" w14:textId="77777777" w:rsidR="00E14751" w:rsidRPr="00E14751" w:rsidRDefault="00E14751" w:rsidP="00E14751">
      <w:pPr>
        <w:tabs>
          <w:tab w:val="left" w:pos="2268"/>
          <w:tab w:val="left" w:pos="2835"/>
          <w:tab w:val="left" w:pos="3402"/>
          <w:tab w:val="left" w:pos="3969"/>
          <w:tab w:val="left" w:pos="4536"/>
          <w:tab w:val="left" w:pos="5103"/>
          <w:tab w:val="left" w:pos="5670"/>
        </w:tabs>
        <w:autoSpaceDE w:val="0"/>
        <w:autoSpaceDN w:val="0"/>
        <w:adjustRightInd w:val="0"/>
        <w:spacing w:line="23" w:lineRule="atLeast"/>
        <w:ind w:left="1134"/>
        <w:jc w:val="both"/>
        <w:rPr>
          <w:color w:val="000000"/>
          <w:sz w:val="20"/>
        </w:rPr>
      </w:pPr>
      <w:r>
        <w:rPr>
          <w:color w:val="000000"/>
          <w:sz w:val="20"/>
        </w:rPr>
        <w:t>…</w:t>
      </w:r>
    </w:p>
    <w:p w14:paraId="4AD13849" w14:textId="77777777" w:rsidR="00B1247C" w:rsidRPr="002666FB" w:rsidRDefault="00B1247C" w:rsidP="00B1247C">
      <w:pPr>
        <w:pStyle w:val="ListParagraph"/>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color w:val="000000"/>
          <w:sz w:val="24"/>
          <w:szCs w:val="26"/>
        </w:rPr>
      </w:pPr>
    </w:p>
    <w:p w14:paraId="576912C6" w14:textId="77777777" w:rsidR="00181354" w:rsidRPr="007F323F" w:rsidRDefault="00F254D6" w:rsidP="00DA32CC">
      <w:pPr>
        <w:pStyle w:val="ListParagraph"/>
        <w:numPr>
          <w:ilvl w:val="0"/>
          <w:numId w:val="5"/>
        </w:num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rPr>
          <w:color w:val="000000"/>
          <w:sz w:val="24"/>
          <w:szCs w:val="24"/>
        </w:rPr>
      </w:pPr>
      <w:r w:rsidRPr="3B83E029">
        <w:rPr>
          <w:rFonts w:ascii="Times New Roman" w:hAnsi="Times New Roman"/>
          <w:color w:val="000000" w:themeColor="text1"/>
          <w:sz w:val="24"/>
          <w:szCs w:val="24"/>
        </w:rPr>
        <w:t xml:space="preserve">The Respondent </w:t>
      </w:r>
      <w:r w:rsidR="007F323F" w:rsidRPr="3B83E029">
        <w:rPr>
          <w:rFonts w:ascii="Times New Roman" w:hAnsi="Times New Roman"/>
          <w:color w:val="000000" w:themeColor="text1"/>
          <w:sz w:val="24"/>
          <w:szCs w:val="24"/>
        </w:rPr>
        <w:t>submits that the decision to confirm the refusal of the Appellant's exemption application was fair and reasonable. The Respondent submits, in summary, that:</w:t>
      </w:r>
    </w:p>
    <w:p w14:paraId="75020FFE" w14:textId="77777777" w:rsidR="007F323F" w:rsidRDefault="007F323F" w:rsidP="007F323F">
      <w:pPr>
        <w:pStyle w:val="ListParagraph"/>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color w:val="000000"/>
          <w:sz w:val="24"/>
          <w:szCs w:val="26"/>
        </w:rPr>
      </w:pPr>
    </w:p>
    <w:p w14:paraId="6B2C69D9" w14:textId="77777777" w:rsidR="007F323F" w:rsidRDefault="00B57482" w:rsidP="00266BB9">
      <w:pPr>
        <w:pStyle w:val="ListParagraph"/>
        <w:numPr>
          <w:ilvl w:val="0"/>
          <w:numId w:val="25"/>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color w:val="000000"/>
          <w:sz w:val="24"/>
          <w:szCs w:val="24"/>
        </w:rPr>
      </w:pPr>
      <w:r w:rsidRPr="00B57482">
        <w:rPr>
          <w:rFonts w:ascii="Times New Roman" w:hAnsi="Times New Roman"/>
          <w:color w:val="000000"/>
          <w:sz w:val="24"/>
          <w:szCs w:val="24"/>
        </w:rPr>
        <w:t xml:space="preserve">Dr Cleary advised </w:t>
      </w:r>
      <w:r>
        <w:rPr>
          <w:rFonts w:ascii="Times New Roman" w:hAnsi="Times New Roman"/>
          <w:color w:val="000000"/>
          <w:sz w:val="24"/>
          <w:szCs w:val="24"/>
        </w:rPr>
        <w:t>the Appellant</w:t>
      </w:r>
      <w:r w:rsidRPr="00B57482">
        <w:rPr>
          <w:rFonts w:ascii="Times New Roman" w:hAnsi="Times New Roman"/>
          <w:color w:val="000000"/>
          <w:sz w:val="24"/>
          <w:szCs w:val="24"/>
        </w:rPr>
        <w:t xml:space="preserve"> that each application</w:t>
      </w:r>
      <w:r>
        <w:rPr>
          <w:rFonts w:ascii="Times New Roman" w:hAnsi="Times New Roman"/>
          <w:color w:val="000000"/>
          <w:sz w:val="24"/>
          <w:szCs w:val="24"/>
        </w:rPr>
        <w:t xml:space="preserve"> </w:t>
      </w:r>
      <w:r w:rsidRPr="00B57482">
        <w:rPr>
          <w:rFonts w:ascii="Times New Roman" w:hAnsi="Times New Roman"/>
          <w:color w:val="000000"/>
          <w:sz w:val="24"/>
          <w:szCs w:val="24"/>
        </w:rPr>
        <w:t>is assessed by a panel of professionals which includes medical specialist of various disciplines. Once all information has been reviewed and considered, the</w:t>
      </w:r>
      <w:r>
        <w:rPr>
          <w:rFonts w:ascii="Times New Roman" w:hAnsi="Times New Roman"/>
          <w:color w:val="000000"/>
          <w:sz w:val="24"/>
          <w:szCs w:val="24"/>
        </w:rPr>
        <w:t xml:space="preserve"> </w:t>
      </w:r>
      <w:r w:rsidRPr="00B57482">
        <w:rPr>
          <w:rFonts w:ascii="Times New Roman" w:hAnsi="Times New Roman"/>
          <w:color w:val="000000"/>
          <w:sz w:val="24"/>
          <w:szCs w:val="24"/>
        </w:rPr>
        <w:t>panel</w:t>
      </w:r>
      <w:r>
        <w:rPr>
          <w:rFonts w:ascii="Times New Roman" w:hAnsi="Times New Roman"/>
          <w:color w:val="000000"/>
          <w:sz w:val="24"/>
          <w:szCs w:val="24"/>
        </w:rPr>
        <w:t>'</w:t>
      </w:r>
      <w:r w:rsidRPr="00B57482">
        <w:rPr>
          <w:rFonts w:ascii="Times New Roman" w:hAnsi="Times New Roman"/>
          <w:color w:val="000000"/>
          <w:sz w:val="24"/>
          <w:szCs w:val="24"/>
        </w:rPr>
        <w:t>s decision is then provided to the delegate for endorsement and progression</w:t>
      </w:r>
      <w:r>
        <w:rPr>
          <w:rFonts w:ascii="Times New Roman" w:hAnsi="Times New Roman"/>
          <w:color w:val="000000"/>
          <w:sz w:val="24"/>
          <w:szCs w:val="24"/>
        </w:rPr>
        <w:t>;</w:t>
      </w:r>
    </w:p>
    <w:p w14:paraId="21E59D4C" w14:textId="77777777" w:rsidR="00B57482" w:rsidRDefault="00B57482" w:rsidP="00B57482">
      <w:pPr>
        <w:pStyle w:val="ListParagraph"/>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jc w:val="both"/>
        <w:rPr>
          <w:rFonts w:ascii="Times New Roman" w:hAnsi="Times New Roman"/>
          <w:color w:val="000000"/>
          <w:sz w:val="24"/>
          <w:szCs w:val="24"/>
        </w:rPr>
      </w:pPr>
    </w:p>
    <w:p w14:paraId="00D04302" w14:textId="77777777" w:rsidR="00B57482" w:rsidRDefault="00B57482" w:rsidP="0083696D">
      <w:pPr>
        <w:pStyle w:val="ListParagraph"/>
        <w:numPr>
          <w:ilvl w:val="0"/>
          <w:numId w:val="25"/>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color w:val="000000"/>
          <w:sz w:val="24"/>
          <w:szCs w:val="24"/>
        </w:rPr>
      </w:pPr>
      <w:r>
        <w:rPr>
          <w:rFonts w:ascii="Times New Roman" w:hAnsi="Times New Roman"/>
          <w:color w:val="000000"/>
          <w:sz w:val="24"/>
          <w:szCs w:val="24"/>
        </w:rPr>
        <w:t>t</w:t>
      </w:r>
      <w:r w:rsidRPr="00B57482">
        <w:rPr>
          <w:rFonts w:ascii="Times New Roman" w:hAnsi="Times New Roman"/>
          <w:color w:val="000000"/>
          <w:sz w:val="24"/>
          <w:szCs w:val="24"/>
        </w:rPr>
        <w:t xml:space="preserve">here was no lawful basis upon which </w:t>
      </w:r>
      <w:r>
        <w:rPr>
          <w:rFonts w:ascii="Times New Roman" w:hAnsi="Times New Roman"/>
          <w:color w:val="000000"/>
          <w:sz w:val="24"/>
          <w:szCs w:val="24"/>
        </w:rPr>
        <w:t>the Appellant</w:t>
      </w:r>
      <w:r w:rsidRPr="00B57482">
        <w:rPr>
          <w:rFonts w:ascii="Times New Roman" w:hAnsi="Times New Roman"/>
          <w:color w:val="000000"/>
          <w:sz w:val="24"/>
          <w:szCs w:val="24"/>
        </w:rPr>
        <w:t xml:space="preserve"> requested access to a risk assessment undertaken by the </w:t>
      </w:r>
      <w:r>
        <w:rPr>
          <w:rFonts w:ascii="Times New Roman" w:hAnsi="Times New Roman"/>
          <w:color w:val="000000"/>
          <w:sz w:val="24"/>
          <w:szCs w:val="24"/>
        </w:rPr>
        <w:t>Respondent</w:t>
      </w:r>
      <w:r w:rsidRPr="00B57482">
        <w:rPr>
          <w:rFonts w:ascii="Times New Roman" w:hAnsi="Times New Roman"/>
          <w:color w:val="000000"/>
          <w:sz w:val="24"/>
          <w:szCs w:val="24"/>
        </w:rPr>
        <w:t xml:space="preserve"> or MSH in relation to vaccines, and proof that she is a heightened</w:t>
      </w:r>
      <w:r>
        <w:rPr>
          <w:rFonts w:ascii="Times New Roman" w:hAnsi="Times New Roman"/>
          <w:color w:val="000000"/>
          <w:sz w:val="24"/>
          <w:szCs w:val="24"/>
        </w:rPr>
        <w:t xml:space="preserve"> </w:t>
      </w:r>
      <w:r w:rsidRPr="00B57482">
        <w:rPr>
          <w:rFonts w:ascii="Times New Roman" w:hAnsi="Times New Roman"/>
          <w:color w:val="000000"/>
          <w:sz w:val="24"/>
          <w:szCs w:val="24"/>
        </w:rPr>
        <w:t>risk of transmission</w:t>
      </w:r>
      <w:r>
        <w:rPr>
          <w:rFonts w:ascii="Times New Roman" w:hAnsi="Times New Roman"/>
          <w:color w:val="000000"/>
          <w:sz w:val="24"/>
          <w:szCs w:val="24"/>
        </w:rPr>
        <w:t>;</w:t>
      </w:r>
    </w:p>
    <w:p w14:paraId="50A74166" w14:textId="77777777" w:rsidR="00B57482" w:rsidRPr="00B57482" w:rsidRDefault="00B57482" w:rsidP="0083696D">
      <w:pPr>
        <w:pStyle w:val="ListParagraph"/>
        <w:ind w:left="1134" w:hanging="567"/>
        <w:rPr>
          <w:rFonts w:ascii="Times New Roman" w:hAnsi="Times New Roman"/>
          <w:color w:val="000000"/>
          <w:sz w:val="24"/>
          <w:szCs w:val="24"/>
        </w:rPr>
      </w:pPr>
    </w:p>
    <w:p w14:paraId="3B84BD33" w14:textId="77777777" w:rsidR="00B57482" w:rsidRDefault="00B57482" w:rsidP="0083696D">
      <w:pPr>
        <w:pStyle w:val="ListParagraph"/>
        <w:numPr>
          <w:ilvl w:val="0"/>
          <w:numId w:val="25"/>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color w:val="000000"/>
          <w:sz w:val="24"/>
          <w:szCs w:val="24"/>
        </w:rPr>
      </w:pPr>
      <w:r w:rsidRPr="00B57482">
        <w:rPr>
          <w:rFonts w:ascii="Times New Roman" w:hAnsi="Times New Roman"/>
          <w:color w:val="000000"/>
          <w:sz w:val="24"/>
          <w:szCs w:val="24"/>
        </w:rPr>
        <w:t xml:space="preserve">Dr Cleary properly considered </w:t>
      </w:r>
      <w:r>
        <w:rPr>
          <w:rFonts w:ascii="Times New Roman" w:hAnsi="Times New Roman"/>
          <w:color w:val="000000"/>
          <w:sz w:val="24"/>
          <w:szCs w:val="24"/>
        </w:rPr>
        <w:t>the Appellant's</w:t>
      </w:r>
      <w:r w:rsidRPr="00B57482">
        <w:rPr>
          <w:rFonts w:ascii="Times New Roman" w:hAnsi="Times New Roman"/>
          <w:color w:val="000000"/>
          <w:sz w:val="24"/>
          <w:szCs w:val="24"/>
        </w:rPr>
        <w:t xml:space="preserve"> exemption request on the basis of her medical conditions and weighed these against the objects and requirements o</w:t>
      </w:r>
      <w:r>
        <w:rPr>
          <w:rFonts w:ascii="Times New Roman" w:hAnsi="Times New Roman"/>
          <w:color w:val="000000"/>
          <w:sz w:val="24"/>
          <w:szCs w:val="24"/>
        </w:rPr>
        <w:t>f the Directive</w:t>
      </w:r>
      <w:r w:rsidRPr="00B57482">
        <w:rPr>
          <w:rFonts w:ascii="Times New Roman" w:hAnsi="Times New Roman"/>
          <w:color w:val="000000"/>
          <w:sz w:val="24"/>
          <w:szCs w:val="24"/>
        </w:rPr>
        <w:t>, noting the high level of risk to the health and wellbeing of patients, colleagues and other key stakeholders who access services from PAH, Logan Hospital and MSH</w:t>
      </w:r>
      <w:r>
        <w:rPr>
          <w:rFonts w:ascii="Times New Roman" w:hAnsi="Times New Roman"/>
          <w:color w:val="000000"/>
          <w:sz w:val="24"/>
          <w:szCs w:val="24"/>
        </w:rPr>
        <w:t>;</w:t>
      </w:r>
    </w:p>
    <w:p w14:paraId="6E5B15FB" w14:textId="77777777" w:rsidR="00B57482" w:rsidRPr="00B57482" w:rsidRDefault="00B57482" w:rsidP="0083696D">
      <w:pPr>
        <w:pStyle w:val="ListParagraph"/>
        <w:ind w:left="1134" w:hanging="567"/>
        <w:rPr>
          <w:rFonts w:ascii="Times New Roman" w:hAnsi="Times New Roman"/>
          <w:color w:val="000000"/>
          <w:sz w:val="24"/>
          <w:szCs w:val="24"/>
        </w:rPr>
      </w:pPr>
    </w:p>
    <w:p w14:paraId="376730D3" w14:textId="77777777" w:rsidR="00B57482" w:rsidRDefault="00B57482" w:rsidP="0083696D">
      <w:pPr>
        <w:pStyle w:val="ListParagraph"/>
        <w:numPr>
          <w:ilvl w:val="0"/>
          <w:numId w:val="25"/>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color w:val="000000"/>
          <w:sz w:val="24"/>
          <w:szCs w:val="24"/>
        </w:rPr>
      </w:pPr>
      <w:r>
        <w:rPr>
          <w:rFonts w:ascii="Times New Roman" w:hAnsi="Times New Roman"/>
          <w:color w:val="000000"/>
          <w:sz w:val="24"/>
          <w:szCs w:val="24"/>
        </w:rPr>
        <w:t>i</w:t>
      </w:r>
      <w:r w:rsidRPr="00B57482">
        <w:rPr>
          <w:rFonts w:ascii="Times New Roman" w:hAnsi="Times New Roman"/>
          <w:color w:val="000000"/>
          <w:sz w:val="24"/>
          <w:szCs w:val="24"/>
        </w:rPr>
        <w:t xml:space="preserve">mportantly, Dr Cleary determined there was no other less restrictive means which would sufficiently ensure the safety of </w:t>
      </w:r>
      <w:r>
        <w:rPr>
          <w:rFonts w:ascii="Times New Roman" w:hAnsi="Times New Roman"/>
          <w:color w:val="000000"/>
          <w:sz w:val="24"/>
          <w:szCs w:val="24"/>
        </w:rPr>
        <w:t>the Appellant</w:t>
      </w:r>
      <w:r w:rsidRPr="00B57482">
        <w:rPr>
          <w:rFonts w:ascii="Times New Roman" w:hAnsi="Times New Roman"/>
          <w:color w:val="000000"/>
          <w:sz w:val="24"/>
          <w:szCs w:val="24"/>
        </w:rPr>
        <w:t>,</w:t>
      </w:r>
      <w:r>
        <w:rPr>
          <w:rFonts w:ascii="Times New Roman" w:hAnsi="Times New Roman"/>
          <w:color w:val="000000"/>
          <w:sz w:val="24"/>
          <w:szCs w:val="24"/>
        </w:rPr>
        <w:t xml:space="preserve"> </w:t>
      </w:r>
      <w:r w:rsidRPr="00B57482">
        <w:rPr>
          <w:rFonts w:ascii="Times New Roman" w:hAnsi="Times New Roman"/>
          <w:color w:val="000000"/>
          <w:sz w:val="24"/>
          <w:szCs w:val="24"/>
        </w:rPr>
        <w:t>other staff, and patients</w:t>
      </w:r>
      <w:r>
        <w:rPr>
          <w:rFonts w:ascii="Times New Roman" w:hAnsi="Times New Roman"/>
          <w:color w:val="000000"/>
          <w:sz w:val="24"/>
          <w:szCs w:val="24"/>
        </w:rPr>
        <w:t>;</w:t>
      </w:r>
    </w:p>
    <w:p w14:paraId="0CC8E533" w14:textId="77777777" w:rsidR="00B57482" w:rsidRPr="00B57482" w:rsidRDefault="00B57482" w:rsidP="0083696D">
      <w:pPr>
        <w:pStyle w:val="ListParagraph"/>
        <w:ind w:left="1134" w:hanging="567"/>
        <w:rPr>
          <w:rFonts w:ascii="Times New Roman" w:hAnsi="Times New Roman"/>
          <w:color w:val="000000"/>
          <w:sz w:val="24"/>
          <w:szCs w:val="24"/>
        </w:rPr>
      </w:pPr>
    </w:p>
    <w:p w14:paraId="120D8124" w14:textId="77777777" w:rsidR="00B57482" w:rsidRDefault="00E36CB7" w:rsidP="0083696D">
      <w:pPr>
        <w:pStyle w:val="ListParagraph"/>
        <w:numPr>
          <w:ilvl w:val="0"/>
          <w:numId w:val="25"/>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color w:val="000000"/>
          <w:sz w:val="24"/>
          <w:szCs w:val="24"/>
        </w:rPr>
      </w:pPr>
      <w:r w:rsidRPr="00E36CB7">
        <w:rPr>
          <w:rFonts w:ascii="Times New Roman" w:hAnsi="Times New Roman"/>
          <w:color w:val="000000"/>
          <w:sz w:val="24"/>
          <w:szCs w:val="24"/>
        </w:rPr>
        <w:t>the Appellant did not provide any medical evidence that she is precluded from or unable to be safely administered the required doses of a COVID-19 vaccine and provided no medical evidence of a recognised medical contraindication to a COVID-19 vaccine in accordance with the guidelines of the Australian Technical and Advisory Group on Immunisation (</w:t>
      </w:r>
      <w:r w:rsidR="00063987">
        <w:rPr>
          <w:rFonts w:ascii="Times New Roman" w:hAnsi="Times New Roman"/>
          <w:color w:val="000000"/>
          <w:sz w:val="24"/>
          <w:szCs w:val="24"/>
        </w:rPr>
        <w:t>'</w:t>
      </w:r>
      <w:r w:rsidRPr="00E36CB7">
        <w:rPr>
          <w:rFonts w:ascii="Times New Roman" w:hAnsi="Times New Roman"/>
          <w:color w:val="000000"/>
          <w:sz w:val="24"/>
          <w:szCs w:val="24"/>
        </w:rPr>
        <w:t>ATAGI</w:t>
      </w:r>
      <w:r w:rsidR="00063987">
        <w:rPr>
          <w:rFonts w:ascii="Times New Roman" w:hAnsi="Times New Roman"/>
          <w:color w:val="000000"/>
          <w:sz w:val="24"/>
          <w:szCs w:val="24"/>
        </w:rPr>
        <w:t>'</w:t>
      </w:r>
      <w:r w:rsidRPr="00E36CB7">
        <w:rPr>
          <w:rFonts w:ascii="Times New Roman" w:hAnsi="Times New Roman"/>
          <w:color w:val="000000"/>
          <w:sz w:val="24"/>
          <w:szCs w:val="24"/>
        </w:rPr>
        <w:t xml:space="preserve">). The Appellant has </w:t>
      </w:r>
      <w:r>
        <w:rPr>
          <w:rFonts w:ascii="Times New Roman" w:hAnsi="Times New Roman"/>
          <w:color w:val="000000"/>
          <w:sz w:val="24"/>
          <w:szCs w:val="24"/>
        </w:rPr>
        <w:t>als</w:t>
      </w:r>
      <w:r w:rsidRPr="00E36CB7">
        <w:rPr>
          <w:rFonts w:ascii="Times New Roman" w:hAnsi="Times New Roman"/>
          <w:color w:val="000000"/>
          <w:sz w:val="24"/>
          <w:szCs w:val="24"/>
        </w:rPr>
        <w:t>o not provided any evidence that would constitute an exceptional circumstance for the purposes of providing her with an exemption</w:t>
      </w:r>
      <w:r>
        <w:rPr>
          <w:rFonts w:ascii="Times New Roman" w:hAnsi="Times New Roman"/>
          <w:color w:val="000000"/>
          <w:sz w:val="24"/>
          <w:szCs w:val="24"/>
        </w:rPr>
        <w:t>;</w:t>
      </w:r>
    </w:p>
    <w:p w14:paraId="2B1FEA9E" w14:textId="77777777" w:rsidR="00E36CB7" w:rsidRPr="00E36CB7" w:rsidRDefault="00E36CB7" w:rsidP="0083696D">
      <w:pPr>
        <w:pStyle w:val="ListParagraph"/>
        <w:ind w:left="1134" w:hanging="567"/>
        <w:rPr>
          <w:rFonts w:ascii="Times New Roman" w:hAnsi="Times New Roman"/>
          <w:color w:val="000000"/>
          <w:sz w:val="24"/>
          <w:szCs w:val="24"/>
        </w:rPr>
      </w:pPr>
    </w:p>
    <w:p w14:paraId="02786D25" w14:textId="77777777" w:rsidR="00E36CB7" w:rsidRDefault="00E36CB7" w:rsidP="0083696D">
      <w:pPr>
        <w:pStyle w:val="ListParagraph"/>
        <w:numPr>
          <w:ilvl w:val="0"/>
          <w:numId w:val="25"/>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color w:val="000000"/>
          <w:sz w:val="24"/>
          <w:szCs w:val="24"/>
        </w:rPr>
      </w:pPr>
      <w:r w:rsidRPr="00E36CB7">
        <w:rPr>
          <w:rFonts w:ascii="Times New Roman" w:hAnsi="Times New Roman"/>
          <w:color w:val="000000"/>
          <w:sz w:val="24"/>
          <w:szCs w:val="24"/>
        </w:rPr>
        <w:t>the Appellant's human rights were taken into account and Dr Cleary determined any limitation to her human rights was 'justified by the need to ensure the readiness of the health system in responding to the COVID-19 pandemic, and to protect the lives of employees, patients, and the community they serve'</w:t>
      </w:r>
      <w:r w:rsidR="0087378A">
        <w:rPr>
          <w:rFonts w:ascii="Times New Roman" w:hAnsi="Times New Roman"/>
          <w:color w:val="000000"/>
          <w:sz w:val="24"/>
          <w:szCs w:val="24"/>
        </w:rPr>
        <w:t>; and</w:t>
      </w:r>
    </w:p>
    <w:p w14:paraId="60FFCB54" w14:textId="77777777" w:rsidR="0087378A" w:rsidRPr="0087378A" w:rsidRDefault="0087378A" w:rsidP="0087378A">
      <w:pPr>
        <w:pStyle w:val="ListParagraph"/>
        <w:rPr>
          <w:rFonts w:ascii="Times New Roman" w:hAnsi="Times New Roman"/>
          <w:color w:val="000000"/>
          <w:sz w:val="24"/>
          <w:szCs w:val="24"/>
        </w:rPr>
      </w:pPr>
    </w:p>
    <w:p w14:paraId="502839C5" w14:textId="77777777" w:rsidR="0087378A" w:rsidRPr="0087378A" w:rsidRDefault="0087378A" w:rsidP="0087378A">
      <w:pPr>
        <w:pStyle w:val="ListParagraph"/>
        <w:numPr>
          <w:ilvl w:val="0"/>
          <w:numId w:val="25"/>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color w:val="000000"/>
          <w:sz w:val="24"/>
          <w:szCs w:val="24"/>
        </w:rPr>
      </w:pPr>
      <w:r>
        <w:rPr>
          <w:rFonts w:ascii="Times New Roman" w:hAnsi="Times New Roman"/>
          <w:color w:val="000000"/>
          <w:sz w:val="24"/>
          <w:szCs w:val="24"/>
        </w:rPr>
        <w:t>i</w:t>
      </w:r>
      <w:r w:rsidRPr="0087378A">
        <w:rPr>
          <w:rFonts w:ascii="Times New Roman" w:hAnsi="Times New Roman"/>
          <w:color w:val="000000"/>
          <w:sz w:val="24"/>
          <w:szCs w:val="24"/>
        </w:rPr>
        <w:t xml:space="preserve">t was reasonably open to Dr Cleary to determine </w:t>
      </w:r>
      <w:r>
        <w:rPr>
          <w:rFonts w:ascii="Times New Roman" w:hAnsi="Times New Roman"/>
          <w:color w:val="000000"/>
          <w:sz w:val="24"/>
          <w:szCs w:val="24"/>
        </w:rPr>
        <w:t>the Appellant's</w:t>
      </w:r>
      <w:r w:rsidRPr="0087378A">
        <w:rPr>
          <w:rFonts w:ascii="Times New Roman" w:hAnsi="Times New Roman"/>
          <w:color w:val="000000"/>
          <w:sz w:val="24"/>
          <w:szCs w:val="24"/>
        </w:rPr>
        <w:t xml:space="preserve"> circumstances did not justify the approval of an exemption. Dr Cleary did not dispute that </w:t>
      </w:r>
      <w:r>
        <w:rPr>
          <w:rFonts w:ascii="Times New Roman" w:hAnsi="Times New Roman"/>
          <w:color w:val="000000"/>
          <w:sz w:val="24"/>
          <w:szCs w:val="24"/>
        </w:rPr>
        <w:t>the Appellant</w:t>
      </w:r>
      <w:r w:rsidRPr="0087378A">
        <w:rPr>
          <w:rFonts w:ascii="Times New Roman" w:hAnsi="Times New Roman"/>
          <w:color w:val="000000"/>
          <w:sz w:val="24"/>
          <w:szCs w:val="24"/>
        </w:rPr>
        <w:t xml:space="preserve"> had the medical conditions identified. However, in the absence of a recognised medical contraindication, it was not incumbent upon the </w:t>
      </w:r>
      <w:r>
        <w:rPr>
          <w:rFonts w:ascii="Times New Roman" w:hAnsi="Times New Roman"/>
          <w:color w:val="000000"/>
          <w:sz w:val="24"/>
          <w:szCs w:val="24"/>
        </w:rPr>
        <w:t>Responde</w:t>
      </w:r>
      <w:r w:rsidRPr="0087378A">
        <w:rPr>
          <w:rFonts w:ascii="Times New Roman" w:hAnsi="Times New Roman"/>
          <w:color w:val="000000"/>
          <w:sz w:val="24"/>
          <w:szCs w:val="24"/>
        </w:rPr>
        <w:t>nt to accept such circumstances outweighed other factors that</w:t>
      </w:r>
      <w:r>
        <w:rPr>
          <w:rFonts w:ascii="Times New Roman" w:hAnsi="Times New Roman"/>
          <w:color w:val="000000"/>
          <w:sz w:val="24"/>
          <w:szCs w:val="24"/>
        </w:rPr>
        <w:t xml:space="preserve"> </w:t>
      </w:r>
      <w:r w:rsidRPr="0087378A">
        <w:rPr>
          <w:rFonts w:ascii="Times New Roman" w:hAnsi="Times New Roman"/>
          <w:color w:val="000000"/>
          <w:sz w:val="24"/>
          <w:szCs w:val="24"/>
        </w:rPr>
        <w:t>must be considered, including the public health risk of COVID-19</w:t>
      </w:r>
      <w:r>
        <w:rPr>
          <w:rFonts w:ascii="Times New Roman" w:hAnsi="Times New Roman"/>
          <w:color w:val="000000"/>
          <w:sz w:val="24"/>
          <w:szCs w:val="24"/>
        </w:rPr>
        <w:t>.</w:t>
      </w:r>
    </w:p>
    <w:p w14:paraId="323D2CC2" w14:textId="77777777" w:rsidR="007F323F" w:rsidRPr="00DD2DE9" w:rsidRDefault="007F323F" w:rsidP="007F323F">
      <w:pPr>
        <w:pStyle w:val="ListParagraph"/>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rFonts w:ascii="Times New Roman" w:hAnsi="Times New Roman"/>
          <w:color w:val="000000"/>
          <w:sz w:val="24"/>
          <w:szCs w:val="26"/>
        </w:rPr>
      </w:pPr>
    </w:p>
    <w:p w14:paraId="6FEAE16B" w14:textId="77777777" w:rsidR="006B46A2" w:rsidRPr="008F5EA3" w:rsidRDefault="006B46A2" w:rsidP="007718A9">
      <w:pPr>
        <w:pStyle w:val="ListParagraph"/>
        <w:numPr>
          <w:ilvl w:val="0"/>
          <w:numId w:val="5"/>
        </w:num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rPr>
          <w:rFonts w:ascii="Times New Roman" w:hAnsi="Times New Roman"/>
          <w:color w:val="000000"/>
          <w:sz w:val="24"/>
          <w:szCs w:val="24"/>
        </w:rPr>
      </w:pPr>
      <w:r w:rsidRPr="3B83E029">
        <w:rPr>
          <w:rFonts w:ascii="Times New Roman" w:hAnsi="Times New Roman"/>
          <w:color w:val="000000" w:themeColor="text1"/>
          <w:sz w:val="24"/>
          <w:szCs w:val="24"/>
        </w:rPr>
        <w:t xml:space="preserve">The Respondent </w:t>
      </w:r>
      <w:r w:rsidR="0087378A" w:rsidRPr="3B83E029">
        <w:rPr>
          <w:rFonts w:ascii="Times New Roman" w:hAnsi="Times New Roman"/>
          <w:color w:val="000000" w:themeColor="text1"/>
          <w:sz w:val="24"/>
          <w:szCs w:val="24"/>
        </w:rPr>
        <w:t>submits</w:t>
      </w:r>
      <w:r w:rsidR="008F5EA3" w:rsidRPr="3B83E029">
        <w:rPr>
          <w:rFonts w:ascii="Times New Roman" w:hAnsi="Times New Roman"/>
          <w:color w:val="000000" w:themeColor="text1"/>
          <w:sz w:val="24"/>
          <w:szCs w:val="24"/>
        </w:rPr>
        <w:t xml:space="preserve"> the nature of the Appellant's role as a Registered Nurse presents a high degree of risk to herself, other PAH and Logan Hospital staff and the community with respect to COVID-19 transmission</w:t>
      </w:r>
      <w:r w:rsidR="0087378A" w:rsidRPr="3B83E029">
        <w:rPr>
          <w:rFonts w:ascii="Times New Roman" w:hAnsi="Times New Roman"/>
          <w:color w:val="000000" w:themeColor="text1"/>
          <w:sz w:val="24"/>
          <w:szCs w:val="24"/>
        </w:rPr>
        <w:t>, highlighting the following in particular:</w:t>
      </w:r>
    </w:p>
    <w:p w14:paraId="20D6C8FF" w14:textId="77777777" w:rsidR="006B46A2" w:rsidRDefault="006B46A2" w:rsidP="006B46A2">
      <w:pPr>
        <w:pStyle w:val="ListParagraph"/>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rFonts w:ascii="Times New Roman" w:hAnsi="Times New Roman"/>
          <w:color w:val="000000"/>
          <w:sz w:val="24"/>
          <w:szCs w:val="26"/>
        </w:rPr>
      </w:pPr>
    </w:p>
    <w:p w14:paraId="6AE9B3AE" w14:textId="77777777" w:rsidR="006B46A2" w:rsidRPr="0087378A" w:rsidRDefault="006B46A2" w:rsidP="0087378A">
      <w:pPr>
        <w:pStyle w:val="ListParagraph"/>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rFonts w:ascii="Times New Roman" w:hAnsi="Times New Roman"/>
          <w:color w:val="000000"/>
          <w:sz w:val="20"/>
        </w:rPr>
      </w:pPr>
      <w:r w:rsidRPr="0087378A">
        <w:rPr>
          <w:rFonts w:ascii="Times New Roman" w:hAnsi="Times New Roman"/>
          <w:color w:val="000000"/>
          <w:sz w:val="20"/>
        </w:rPr>
        <w:lastRenderedPageBreak/>
        <w:t xml:space="preserve">a) </w:t>
      </w:r>
      <w:r w:rsidR="0087378A">
        <w:rPr>
          <w:rFonts w:ascii="Times New Roman" w:hAnsi="Times New Roman"/>
          <w:color w:val="000000"/>
          <w:sz w:val="20"/>
        </w:rPr>
        <w:tab/>
      </w:r>
      <w:r w:rsidRPr="0087378A">
        <w:rPr>
          <w:rFonts w:ascii="Times New Roman" w:hAnsi="Times New Roman"/>
          <w:color w:val="000000"/>
          <w:sz w:val="20"/>
        </w:rPr>
        <w:t>Ms Elliott</w:t>
      </w:r>
      <w:r w:rsidR="00A55EE5">
        <w:rPr>
          <w:rFonts w:ascii="Times New Roman" w:hAnsi="Times New Roman"/>
          <w:color w:val="000000"/>
          <w:sz w:val="20"/>
        </w:rPr>
        <w:t>'</w:t>
      </w:r>
      <w:r w:rsidRPr="0087378A">
        <w:rPr>
          <w:rFonts w:ascii="Times New Roman" w:hAnsi="Times New Roman"/>
          <w:color w:val="000000"/>
          <w:sz w:val="20"/>
        </w:rPr>
        <w:t>s workplace is the PAH and Logan Hospital. Any health service facility is a high-risk location with respect to COVID-19 transmission;</w:t>
      </w:r>
    </w:p>
    <w:p w14:paraId="229EFA45" w14:textId="77777777" w:rsidR="006B46A2" w:rsidRPr="0087378A" w:rsidRDefault="006B46A2" w:rsidP="0087378A">
      <w:pPr>
        <w:pStyle w:val="ListParagraph"/>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rFonts w:ascii="Times New Roman" w:hAnsi="Times New Roman"/>
          <w:color w:val="000000"/>
          <w:sz w:val="20"/>
        </w:rPr>
      </w:pPr>
      <w:r w:rsidRPr="0087378A">
        <w:rPr>
          <w:rFonts w:ascii="Times New Roman" w:hAnsi="Times New Roman"/>
          <w:color w:val="000000"/>
          <w:sz w:val="20"/>
        </w:rPr>
        <w:t xml:space="preserve">b) </w:t>
      </w:r>
      <w:r w:rsidR="0087378A">
        <w:rPr>
          <w:rFonts w:ascii="Times New Roman" w:hAnsi="Times New Roman"/>
          <w:color w:val="000000"/>
          <w:sz w:val="20"/>
        </w:rPr>
        <w:tab/>
      </w:r>
      <w:r w:rsidRPr="0087378A">
        <w:rPr>
          <w:rFonts w:ascii="Times New Roman" w:hAnsi="Times New Roman"/>
          <w:color w:val="000000"/>
          <w:sz w:val="20"/>
        </w:rPr>
        <w:t>as part of her role, Ms Elliott is required to physically attend the PAH and Logan</w:t>
      </w:r>
      <w:r w:rsidR="0087378A">
        <w:rPr>
          <w:rFonts w:ascii="Times New Roman" w:hAnsi="Times New Roman"/>
          <w:color w:val="000000"/>
          <w:sz w:val="20"/>
        </w:rPr>
        <w:t xml:space="preserve"> </w:t>
      </w:r>
      <w:r w:rsidRPr="0087378A">
        <w:rPr>
          <w:rFonts w:ascii="Times New Roman" w:hAnsi="Times New Roman"/>
          <w:color w:val="000000"/>
          <w:sz w:val="20"/>
        </w:rPr>
        <w:t>Hospitals. She cannot perform her role remotely;</w:t>
      </w:r>
    </w:p>
    <w:p w14:paraId="47F3FDCF" w14:textId="77777777" w:rsidR="006B46A2" w:rsidRPr="0087378A" w:rsidRDefault="006B46A2" w:rsidP="0087378A">
      <w:pPr>
        <w:pStyle w:val="ListParagraph"/>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rFonts w:ascii="Times New Roman" w:hAnsi="Times New Roman"/>
          <w:color w:val="000000"/>
          <w:sz w:val="20"/>
        </w:rPr>
      </w:pPr>
      <w:r w:rsidRPr="0087378A">
        <w:rPr>
          <w:rFonts w:ascii="Times New Roman" w:hAnsi="Times New Roman"/>
          <w:color w:val="000000"/>
          <w:sz w:val="20"/>
        </w:rPr>
        <w:t xml:space="preserve">c) </w:t>
      </w:r>
      <w:r w:rsidR="0087378A">
        <w:rPr>
          <w:rFonts w:ascii="Times New Roman" w:hAnsi="Times New Roman"/>
          <w:color w:val="000000"/>
          <w:sz w:val="20"/>
        </w:rPr>
        <w:tab/>
      </w:r>
      <w:r w:rsidRPr="0087378A">
        <w:rPr>
          <w:rFonts w:ascii="Times New Roman" w:hAnsi="Times New Roman"/>
          <w:color w:val="000000"/>
          <w:sz w:val="20"/>
        </w:rPr>
        <w:t>the duties Ms Elliott performs, which are clinical in nature, require her to interact in close physical proximity with patients. She is also required to interact closely with a range of clinical and non-clinical employees. This increases the risk of transmission of COVID-19;</w:t>
      </w:r>
    </w:p>
    <w:p w14:paraId="765CD8BF" w14:textId="77777777" w:rsidR="006B46A2" w:rsidRPr="0087378A" w:rsidRDefault="006B46A2" w:rsidP="0087378A">
      <w:pPr>
        <w:pStyle w:val="ListParagraph"/>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rFonts w:ascii="Times New Roman" w:hAnsi="Times New Roman"/>
          <w:color w:val="000000"/>
          <w:sz w:val="20"/>
        </w:rPr>
      </w:pPr>
      <w:r w:rsidRPr="0087378A">
        <w:rPr>
          <w:rFonts w:ascii="Times New Roman" w:hAnsi="Times New Roman"/>
          <w:color w:val="000000"/>
          <w:sz w:val="20"/>
        </w:rPr>
        <w:t xml:space="preserve">d) </w:t>
      </w:r>
      <w:r w:rsidR="0087378A">
        <w:rPr>
          <w:rFonts w:ascii="Times New Roman" w:hAnsi="Times New Roman"/>
          <w:color w:val="000000"/>
          <w:sz w:val="20"/>
        </w:rPr>
        <w:tab/>
      </w:r>
      <w:r w:rsidRPr="0087378A">
        <w:rPr>
          <w:rFonts w:ascii="Times New Roman" w:hAnsi="Times New Roman"/>
          <w:color w:val="000000"/>
          <w:sz w:val="20"/>
        </w:rPr>
        <w:t>an alternative working arrangement is not an alternative to complying with HED 12/21. An alternative working arrangement is not an operationally feasible option: it would not amount to an exceptional circumstance warranting exemption approval.</w:t>
      </w:r>
    </w:p>
    <w:p w14:paraId="62F3FC77" w14:textId="77777777" w:rsidR="006B46A2" w:rsidRDefault="006B46A2" w:rsidP="006B46A2">
      <w:pPr>
        <w:pStyle w:val="ListParagraph"/>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rFonts w:ascii="Times New Roman" w:hAnsi="Times New Roman"/>
          <w:color w:val="000000"/>
          <w:sz w:val="24"/>
          <w:szCs w:val="26"/>
        </w:rPr>
      </w:pPr>
    </w:p>
    <w:p w14:paraId="45293C6B" w14:textId="77777777" w:rsidR="007F323F" w:rsidRDefault="00DD2DE9" w:rsidP="00DA32CC">
      <w:pPr>
        <w:pStyle w:val="ListParagraph"/>
        <w:numPr>
          <w:ilvl w:val="0"/>
          <w:numId w:val="5"/>
        </w:num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rPr>
          <w:rFonts w:ascii="Times New Roman" w:hAnsi="Times New Roman"/>
          <w:color w:val="000000"/>
          <w:sz w:val="24"/>
          <w:szCs w:val="24"/>
        </w:rPr>
      </w:pPr>
      <w:r w:rsidRPr="00DD2DE9">
        <w:rPr>
          <w:rFonts w:ascii="Times New Roman" w:hAnsi="Times New Roman"/>
          <w:color w:val="000000"/>
          <w:sz w:val="24"/>
          <w:szCs w:val="24"/>
        </w:rPr>
        <w:t xml:space="preserve">The Respondent </w:t>
      </w:r>
      <w:r>
        <w:rPr>
          <w:rFonts w:ascii="Times New Roman" w:hAnsi="Times New Roman"/>
          <w:color w:val="000000"/>
          <w:sz w:val="24"/>
          <w:szCs w:val="24"/>
        </w:rPr>
        <w:t>further submits that the Directive i</w:t>
      </w:r>
      <w:r w:rsidR="00001B22">
        <w:rPr>
          <w:rFonts w:ascii="Times New Roman" w:hAnsi="Times New Roman"/>
          <w:color w:val="000000"/>
          <w:sz w:val="24"/>
          <w:szCs w:val="24"/>
        </w:rPr>
        <w:t>s</w:t>
      </w:r>
      <w:r>
        <w:rPr>
          <w:rFonts w:ascii="Times New Roman" w:hAnsi="Times New Roman"/>
          <w:color w:val="000000"/>
          <w:sz w:val="24"/>
          <w:szCs w:val="24"/>
        </w:rPr>
        <w:t xml:space="preserve"> both lawful, being issued under s 51A of the HHB Act, and reasonable.</w:t>
      </w:r>
      <w:r>
        <w:rPr>
          <w:rStyle w:val="FootnoteReference"/>
          <w:rFonts w:ascii="Times New Roman" w:hAnsi="Times New Roman"/>
          <w:color w:val="000000"/>
          <w:sz w:val="24"/>
          <w:szCs w:val="24"/>
        </w:rPr>
        <w:footnoteReference w:id="7"/>
      </w:r>
      <w:r w:rsidR="0087378A">
        <w:rPr>
          <w:rFonts w:ascii="Times New Roman" w:hAnsi="Times New Roman"/>
          <w:color w:val="000000"/>
          <w:sz w:val="24"/>
          <w:szCs w:val="24"/>
        </w:rPr>
        <w:t xml:space="preserve"> The Respondent made the following submissions with respect to the importance of vaccination against COVID-19:</w:t>
      </w:r>
    </w:p>
    <w:p w14:paraId="59FFB0E2" w14:textId="77777777" w:rsidR="0087378A" w:rsidRDefault="0087378A" w:rsidP="0087378A">
      <w:pPr>
        <w:pStyle w:val="ListParagraph"/>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rFonts w:ascii="Times New Roman" w:hAnsi="Times New Roman"/>
          <w:color w:val="000000"/>
          <w:sz w:val="24"/>
          <w:szCs w:val="26"/>
        </w:rPr>
      </w:pPr>
    </w:p>
    <w:p w14:paraId="4131AA0A" w14:textId="77777777" w:rsidR="0087378A" w:rsidRDefault="0087378A" w:rsidP="0087378A">
      <w:pPr>
        <w:pStyle w:val="ListParagraph"/>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rFonts w:ascii="Times New Roman" w:hAnsi="Times New Roman"/>
          <w:color w:val="000000"/>
          <w:sz w:val="20"/>
        </w:rPr>
      </w:pPr>
      <w:r>
        <w:rPr>
          <w:rFonts w:ascii="Times New Roman" w:hAnsi="Times New Roman"/>
          <w:color w:val="000000"/>
          <w:sz w:val="20"/>
        </w:rPr>
        <w:t>…</w:t>
      </w:r>
    </w:p>
    <w:p w14:paraId="2955169A" w14:textId="77777777" w:rsidR="0087378A" w:rsidRDefault="0087378A" w:rsidP="0087378A">
      <w:pPr>
        <w:pStyle w:val="ListParagraph"/>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rFonts w:ascii="Times New Roman" w:hAnsi="Times New Roman"/>
          <w:color w:val="000000"/>
          <w:sz w:val="20"/>
        </w:rPr>
      </w:pPr>
      <w:r w:rsidRPr="0087378A">
        <w:rPr>
          <w:rFonts w:ascii="Times New Roman" w:hAnsi="Times New Roman"/>
          <w:color w:val="000000"/>
          <w:sz w:val="20"/>
        </w:rPr>
        <w:t xml:space="preserve">23. </w:t>
      </w:r>
      <w:r>
        <w:rPr>
          <w:rFonts w:ascii="Times New Roman" w:hAnsi="Times New Roman"/>
          <w:color w:val="000000"/>
          <w:sz w:val="20"/>
        </w:rPr>
        <w:tab/>
      </w:r>
      <w:r w:rsidRPr="0087378A">
        <w:rPr>
          <w:rFonts w:ascii="Times New Roman" w:hAnsi="Times New Roman"/>
          <w:color w:val="000000"/>
          <w:sz w:val="20"/>
        </w:rPr>
        <w:t>The importance of the mandatory vaccination requirements is articulated at clause 6 of HED 12/21. High vaccination coverage among workers in settings with the potential for exposure to COVID-19, particularly those serving in vulnerable cohorts as Ms Elliott does, is a key determinant to the health outcomes for the Queensland community and health care delivery across the State. Further, limiting transmission within the workplace through COVID-19 vaccination will also reduce the likelihood of workplace outbreaks and staff shortages.</w:t>
      </w:r>
    </w:p>
    <w:p w14:paraId="4050EB09" w14:textId="77777777" w:rsidR="0087378A" w:rsidRPr="0087378A" w:rsidRDefault="0087378A" w:rsidP="0087378A">
      <w:pPr>
        <w:pStyle w:val="ListParagraph"/>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rFonts w:ascii="Times New Roman" w:hAnsi="Times New Roman"/>
          <w:color w:val="000000"/>
          <w:sz w:val="20"/>
        </w:rPr>
      </w:pPr>
    </w:p>
    <w:p w14:paraId="7B5590FB" w14:textId="77777777" w:rsidR="0087378A" w:rsidRDefault="0087378A" w:rsidP="0087378A">
      <w:pPr>
        <w:pStyle w:val="ListParagraph"/>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rFonts w:ascii="Times New Roman" w:hAnsi="Times New Roman"/>
          <w:color w:val="000000"/>
          <w:sz w:val="20"/>
        </w:rPr>
      </w:pPr>
      <w:r w:rsidRPr="0087378A">
        <w:rPr>
          <w:rFonts w:ascii="Times New Roman" w:hAnsi="Times New Roman"/>
          <w:color w:val="000000"/>
          <w:sz w:val="20"/>
        </w:rPr>
        <w:t xml:space="preserve">24. </w:t>
      </w:r>
      <w:r>
        <w:rPr>
          <w:rFonts w:ascii="Times New Roman" w:hAnsi="Times New Roman"/>
          <w:color w:val="000000"/>
          <w:sz w:val="20"/>
        </w:rPr>
        <w:tab/>
      </w:r>
      <w:r w:rsidRPr="0087378A">
        <w:rPr>
          <w:rFonts w:ascii="Times New Roman" w:hAnsi="Times New Roman"/>
          <w:color w:val="000000"/>
          <w:sz w:val="20"/>
        </w:rPr>
        <w:t>Vaccination has proven to be successful in preparing the State for outbreaks of COVID-19, including the most recent Omicron outbreak. Despite the surge in cases, rates of severe illness, hospitalisations and deaths were well below what modelling had predicted and, thankfully, the health system was not overwhelmed. The Chief Health Officer attributes this to the high vaccination coverage, noting that over 90% of people in Queensland are fully vaccinated.</w:t>
      </w:r>
    </w:p>
    <w:p w14:paraId="1CA7EFC9" w14:textId="77777777" w:rsidR="0087378A" w:rsidRPr="0087378A" w:rsidRDefault="0087378A" w:rsidP="0087378A">
      <w:pPr>
        <w:pStyle w:val="ListParagraph"/>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rFonts w:ascii="Times New Roman" w:hAnsi="Times New Roman"/>
          <w:color w:val="000000"/>
          <w:sz w:val="20"/>
        </w:rPr>
      </w:pPr>
    </w:p>
    <w:p w14:paraId="71A6BC92" w14:textId="77777777" w:rsidR="0087378A" w:rsidRDefault="0087378A" w:rsidP="0087378A">
      <w:pPr>
        <w:pStyle w:val="ListParagraph"/>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rFonts w:ascii="Times New Roman" w:hAnsi="Times New Roman"/>
          <w:color w:val="000000"/>
          <w:sz w:val="20"/>
        </w:rPr>
      </w:pPr>
      <w:r w:rsidRPr="0087378A">
        <w:rPr>
          <w:rFonts w:ascii="Times New Roman" w:hAnsi="Times New Roman"/>
          <w:color w:val="000000"/>
          <w:sz w:val="20"/>
        </w:rPr>
        <w:t xml:space="preserve">25. </w:t>
      </w:r>
      <w:r>
        <w:rPr>
          <w:rFonts w:ascii="Times New Roman" w:hAnsi="Times New Roman"/>
          <w:color w:val="000000"/>
          <w:sz w:val="20"/>
        </w:rPr>
        <w:tab/>
      </w:r>
      <w:r w:rsidRPr="0087378A">
        <w:rPr>
          <w:rFonts w:ascii="Times New Roman" w:hAnsi="Times New Roman"/>
          <w:color w:val="000000"/>
          <w:sz w:val="20"/>
        </w:rPr>
        <w:t>It is well documented that vaccination offers significant protection against severe illness, hospitalisation and death, with data from clinical trials showing vaccination can reduce symptomatic infection by up to 95%. The Department</w:t>
      </w:r>
      <w:r w:rsidR="00F577EF">
        <w:rPr>
          <w:rFonts w:ascii="Times New Roman" w:hAnsi="Times New Roman"/>
          <w:color w:val="000000"/>
          <w:sz w:val="20"/>
        </w:rPr>
        <w:t>'</w:t>
      </w:r>
      <w:r w:rsidRPr="0087378A">
        <w:rPr>
          <w:rFonts w:ascii="Times New Roman" w:hAnsi="Times New Roman"/>
          <w:color w:val="000000"/>
          <w:sz w:val="20"/>
        </w:rPr>
        <w:t>s data indicates that people who are unvaccinated are 5.4 times more likely to end up in the ICU compared to people who have had two or more doses of a COVID-19 vaccine.</w:t>
      </w:r>
    </w:p>
    <w:p w14:paraId="249D22FA" w14:textId="77777777" w:rsidR="0087378A" w:rsidRPr="0087378A" w:rsidRDefault="0087378A" w:rsidP="0087378A">
      <w:pPr>
        <w:pStyle w:val="ListParagraph"/>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rFonts w:ascii="Times New Roman" w:hAnsi="Times New Roman"/>
          <w:color w:val="000000"/>
          <w:sz w:val="20"/>
        </w:rPr>
      </w:pPr>
    </w:p>
    <w:p w14:paraId="3B53A710" w14:textId="77777777" w:rsidR="0087378A" w:rsidRDefault="0087378A" w:rsidP="00F577EF">
      <w:pPr>
        <w:pStyle w:val="ListParagraph"/>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rFonts w:ascii="Times New Roman" w:hAnsi="Times New Roman"/>
          <w:color w:val="000000"/>
          <w:sz w:val="20"/>
        </w:rPr>
      </w:pPr>
      <w:r w:rsidRPr="0087378A">
        <w:rPr>
          <w:rFonts w:ascii="Times New Roman" w:hAnsi="Times New Roman"/>
          <w:color w:val="000000"/>
          <w:sz w:val="20"/>
        </w:rPr>
        <w:t xml:space="preserve">26. </w:t>
      </w:r>
      <w:r>
        <w:rPr>
          <w:rFonts w:ascii="Times New Roman" w:hAnsi="Times New Roman"/>
          <w:color w:val="000000"/>
          <w:sz w:val="20"/>
        </w:rPr>
        <w:tab/>
      </w:r>
      <w:r w:rsidRPr="0087378A">
        <w:rPr>
          <w:rFonts w:ascii="Times New Roman" w:hAnsi="Times New Roman"/>
          <w:color w:val="000000"/>
          <w:sz w:val="20"/>
        </w:rPr>
        <w:t>High levels of vaccination coverage across our community also reduces the spread of infection through protection against symptomatic infection and by reducing a person</w:t>
      </w:r>
      <w:r w:rsidR="00F577EF">
        <w:rPr>
          <w:rFonts w:ascii="Times New Roman" w:hAnsi="Times New Roman"/>
          <w:color w:val="000000"/>
          <w:sz w:val="20"/>
        </w:rPr>
        <w:t>'</w:t>
      </w:r>
      <w:r w:rsidRPr="0087378A">
        <w:rPr>
          <w:rFonts w:ascii="Times New Roman" w:hAnsi="Times New Roman"/>
          <w:color w:val="000000"/>
          <w:sz w:val="20"/>
        </w:rPr>
        <w:t>s infectious</w:t>
      </w:r>
      <w:r w:rsidR="00F577EF" w:rsidRPr="00F577EF">
        <w:rPr>
          <w:lang w:bidi="th-TH"/>
        </w:rPr>
        <w:t xml:space="preserve"> </w:t>
      </w:r>
      <w:r w:rsidR="00F577EF" w:rsidRPr="00F577EF">
        <w:rPr>
          <w:rFonts w:ascii="Times New Roman" w:hAnsi="Times New Roman"/>
          <w:color w:val="000000"/>
          <w:sz w:val="20"/>
        </w:rPr>
        <w:t>period.</w:t>
      </w:r>
      <w:r w:rsidR="00F577EF">
        <w:rPr>
          <w:rFonts w:ascii="Times New Roman" w:hAnsi="Times New Roman"/>
          <w:color w:val="000000"/>
          <w:sz w:val="20"/>
        </w:rPr>
        <w:t xml:space="preserve"> </w:t>
      </w:r>
      <w:r w:rsidR="00F577EF" w:rsidRPr="00F577EF">
        <w:rPr>
          <w:rFonts w:ascii="Times New Roman" w:hAnsi="Times New Roman"/>
          <w:color w:val="000000"/>
          <w:sz w:val="20"/>
        </w:rPr>
        <w:t>Vaccination helps in protecting the unvaccinated as well as the vaccinated.</w:t>
      </w:r>
    </w:p>
    <w:p w14:paraId="133CED47" w14:textId="77777777" w:rsidR="0087378A" w:rsidRPr="0087378A" w:rsidRDefault="0087378A" w:rsidP="0087378A">
      <w:pPr>
        <w:pStyle w:val="ListParagraph"/>
        <w:tabs>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701" w:hanging="567"/>
        <w:jc w:val="both"/>
        <w:rPr>
          <w:rFonts w:ascii="Times New Roman" w:hAnsi="Times New Roman"/>
          <w:color w:val="000000"/>
          <w:sz w:val="20"/>
        </w:rPr>
      </w:pPr>
      <w:r>
        <w:rPr>
          <w:rFonts w:ascii="Times New Roman" w:hAnsi="Times New Roman"/>
          <w:color w:val="000000"/>
          <w:sz w:val="20"/>
        </w:rPr>
        <w:t>…</w:t>
      </w:r>
    </w:p>
    <w:p w14:paraId="236775D1" w14:textId="77777777" w:rsidR="00DA32CC" w:rsidRPr="00DD2DE9" w:rsidRDefault="00DA32CC" w:rsidP="00990B3F">
      <w:p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b/>
          <w:bCs/>
          <w:i/>
          <w:iCs/>
          <w:color w:val="000000"/>
          <w:szCs w:val="24"/>
        </w:rPr>
      </w:pPr>
    </w:p>
    <w:p w14:paraId="531F8F2B" w14:textId="77777777" w:rsidR="00990B3F" w:rsidRPr="00146D9E" w:rsidRDefault="00DD7FBD" w:rsidP="00990B3F">
      <w:p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b/>
          <w:bCs/>
          <w:i/>
          <w:iCs/>
          <w:color w:val="000000"/>
          <w:szCs w:val="24"/>
        </w:rPr>
      </w:pPr>
      <w:r w:rsidRPr="00DD2DE9">
        <w:rPr>
          <w:b/>
          <w:bCs/>
          <w:i/>
          <w:iCs/>
          <w:color w:val="000000"/>
          <w:szCs w:val="24"/>
        </w:rPr>
        <w:t>Appellant</w:t>
      </w:r>
      <w:r w:rsidR="006970B6" w:rsidRPr="00DD2DE9">
        <w:rPr>
          <w:b/>
          <w:bCs/>
          <w:i/>
          <w:iCs/>
          <w:color w:val="000000"/>
          <w:szCs w:val="24"/>
        </w:rPr>
        <w:t>'s</w:t>
      </w:r>
      <w:r w:rsidR="00990B3F" w:rsidRPr="00146D9E">
        <w:rPr>
          <w:b/>
          <w:bCs/>
          <w:i/>
          <w:iCs/>
          <w:color w:val="000000"/>
          <w:szCs w:val="24"/>
        </w:rPr>
        <w:t xml:space="preserve"> </w:t>
      </w:r>
      <w:r w:rsidR="00C91819" w:rsidRPr="00146D9E">
        <w:rPr>
          <w:b/>
          <w:bCs/>
          <w:i/>
          <w:iCs/>
          <w:color w:val="000000"/>
          <w:szCs w:val="24"/>
        </w:rPr>
        <w:t>s</w:t>
      </w:r>
      <w:r w:rsidR="00990B3F" w:rsidRPr="00146D9E">
        <w:rPr>
          <w:b/>
          <w:bCs/>
          <w:i/>
          <w:iCs/>
          <w:color w:val="000000"/>
          <w:szCs w:val="24"/>
        </w:rPr>
        <w:t>ubmissions</w:t>
      </w:r>
      <w:r w:rsidR="005D68AA">
        <w:rPr>
          <w:b/>
          <w:bCs/>
          <w:i/>
          <w:iCs/>
          <w:color w:val="000000"/>
          <w:szCs w:val="24"/>
        </w:rPr>
        <w:t xml:space="preserve"> in reply</w:t>
      </w:r>
    </w:p>
    <w:p w14:paraId="7CC43FF5" w14:textId="77777777" w:rsidR="00990B3F" w:rsidRPr="00ED7D70" w:rsidRDefault="00990B3F" w:rsidP="00990B3F">
      <w:p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i/>
          <w:iCs/>
          <w:color w:val="000000"/>
          <w:szCs w:val="24"/>
        </w:rPr>
      </w:pPr>
    </w:p>
    <w:p w14:paraId="0FD683F5" w14:textId="77777777" w:rsidR="00181354" w:rsidRDefault="000950EC" w:rsidP="3B83E029">
      <w:pPr>
        <w:numPr>
          <w:ilvl w:val="0"/>
          <w:numId w:val="5"/>
        </w:num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jc w:val="both"/>
        <w:rPr>
          <w:lang w:eastAsia="en-AU"/>
        </w:rPr>
      </w:pPr>
      <w:r w:rsidRPr="3B83E029">
        <w:rPr>
          <w:lang w:eastAsia="en-AU"/>
        </w:rPr>
        <w:t xml:space="preserve">In response to the Respondent's submissions, </w:t>
      </w:r>
      <w:r w:rsidR="00FB4E63" w:rsidRPr="3B83E029">
        <w:rPr>
          <w:lang w:eastAsia="en-AU"/>
        </w:rPr>
        <w:t>the Appellant submits, in summary, that:</w:t>
      </w:r>
    </w:p>
    <w:p w14:paraId="3390FB7D" w14:textId="77777777" w:rsidR="00FB4E63" w:rsidRDefault="00FB4E63" w:rsidP="00FB4E63">
      <w:p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bCs/>
          <w:szCs w:val="24"/>
          <w:lang w:eastAsia="en-AU"/>
        </w:rPr>
      </w:pPr>
    </w:p>
    <w:p w14:paraId="5C0CA7B3" w14:textId="77777777" w:rsidR="004B5D5B" w:rsidRDefault="00FB4E63" w:rsidP="00FB4E63">
      <w:pPr>
        <w:pStyle w:val="ListParagraph"/>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bCs/>
          <w:sz w:val="24"/>
          <w:szCs w:val="24"/>
          <w:lang w:eastAsia="en-AU"/>
        </w:rPr>
      </w:pPr>
      <w:r w:rsidRPr="006D57A2">
        <w:rPr>
          <w:rFonts w:ascii="Times New Roman" w:hAnsi="Times New Roman"/>
          <w:bCs/>
          <w:sz w:val="24"/>
          <w:szCs w:val="24"/>
          <w:lang w:eastAsia="en-AU"/>
        </w:rPr>
        <w:t xml:space="preserve">the Respondent's </w:t>
      </w:r>
      <w:r w:rsidR="006D57A2" w:rsidRPr="006D57A2">
        <w:rPr>
          <w:rFonts w:ascii="Times New Roman" w:hAnsi="Times New Roman"/>
          <w:bCs/>
          <w:sz w:val="24"/>
          <w:szCs w:val="24"/>
          <w:lang w:eastAsia="en-AU"/>
        </w:rPr>
        <w:t>quote of the words 'not comfortable' regarding the Appellant's unwillingness to receive the COVID-19 vaccine infers that this is part of the reasoning for the Appellant's non-compliance with the Directive</w:t>
      </w:r>
      <w:r w:rsidR="004B5D5B">
        <w:rPr>
          <w:rFonts w:ascii="Times New Roman" w:hAnsi="Times New Roman"/>
          <w:bCs/>
          <w:sz w:val="24"/>
          <w:szCs w:val="24"/>
          <w:lang w:eastAsia="en-AU"/>
        </w:rPr>
        <w:t>;</w:t>
      </w:r>
    </w:p>
    <w:p w14:paraId="6C8A6E31" w14:textId="77777777" w:rsidR="004B5D5B" w:rsidRDefault="004B5D5B" w:rsidP="004B5D5B">
      <w:pPr>
        <w:pStyle w:val="ListParagraph"/>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jc w:val="both"/>
        <w:rPr>
          <w:rFonts w:ascii="Times New Roman" w:hAnsi="Times New Roman"/>
          <w:bCs/>
          <w:sz w:val="24"/>
          <w:szCs w:val="24"/>
          <w:lang w:eastAsia="en-AU"/>
        </w:rPr>
      </w:pPr>
    </w:p>
    <w:p w14:paraId="15B24AC9" w14:textId="77777777" w:rsidR="00FB4E63" w:rsidRDefault="008C48E3" w:rsidP="00FB4E63">
      <w:pPr>
        <w:pStyle w:val="ListParagraph"/>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bCs/>
          <w:sz w:val="24"/>
          <w:szCs w:val="24"/>
          <w:lang w:eastAsia="en-AU"/>
        </w:rPr>
      </w:pPr>
      <w:r>
        <w:rPr>
          <w:rFonts w:ascii="Times New Roman" w:hAnsi="Times New Roman"/>
          <w:bCs/>
          <w:sz w:val="24"/>
          <w:szCs w:val="24"/>
          <w:lang w:eastAsia="en-AU"/>
        </w:rPr>
        <w:lastRenderedPageBreak/>
        <w:t>the Respondent fails to refer to the Appellant's other submissions where supporting clinical/medical documents</w:t>
      </w:r>
      <w:r w:rsidR="004B5D5B">
        <w:rPr>
          <w:rFonts w:ascii="Times New Roman" w:hAnsi="Times New Roman"/>
          <w:bCs/>
          <w:sz w:val="24"/>
          <w:szCs w:val="24"/>
          <w:lang w:eastAsia="en-AU"/>
        </w:rPr>
        <w:t xml:space="preserve"> or evidence</w:t>
      </w:r>
      <w:r>
        <w:rPr>
          <w:rFonts w:ascii="Times New Roman" w:hAnsi="Times New Roman"/>
          <w:bCs/>
          <w:sz w:val="24"/>
          <w:szCs w:val="24"/>
          <w:lang w:eastAsia="en-AU"/>
        </w:rPr>
        <w:t xml:space="preserve"> to support </w:t>
      </w:r>
      <w:r w:rsidR="00C0356C">
        <w:rPr>
          <w:rFonts w:ascii="Times New Roman" w:hAnsi="Times New Roman"/>
          <w:bCs/>
          <w:sz w:val="24"/>
          <w:szCs w:val="24"/>
          <w:lang w:eastAsia="en-AU"/>
        </w:rPr>
        <w:t>the safe</w:t>
      </w:r>
      <w:r w:rsidR="004B5D5B">
        <w:rPr>
          <w:rFonts w:ascii="Times New Roman" w:hAnsi="Times New Roman"/>
          <w:bCs/>
          <w:sz w:val="24"/>
          <w:szCs w:val="24"/>
          <w:lang w:eastAsia="en-AU"/>
        </w:rPr>
        <w:t>ty of the COVID-19 vaccine were requested given the Appellant's medical history</w:t>
      </w:r>
      <w:r w:rsidR="00597543">
        <w:rPr>
          <w:rFonts w:ascii="Times New Roman" w:hAnsi="Times New Roman"/>
          <w:bCs/>
          <w:sz w:val="24"/>
          <w:szCs w:val="24"/>
          <w:lang w:eastAsia="en-AU"/>
        </w:rPr>
        <w:t>;</w:t>
      </w:r>
    </w:p>
    <w:p w14:paraId="73EBB398" w14:textId="77777777" w:rsidR="00597543" w:rsidRDefault="00597543" w:rsidP="00597543">
      <w:pPr>
        <w:pStyle w:val="ListParagraph"/>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jc w:val="both"/>
        <w:rPr>
          <w:rFonts w:ascii="Times New Roman" w:hAnsi="Times New Roman"/>
          <w:bCs/>
          <w:sz w:val="24"/>
          <w:szCs w:val="24"/>
          <w:lang w:eastAsia="en-AU"/>
        </w:rPr>
      </w:pPr>
    </w:p>
    <w:p w14:paraId="3455BF5D" w14:textId="77777777" w:rsidR="00597543" w:rsidRDefault="00C52D31" w:rsidP="00FB4E63">
      <w:pPr>
        <w:pStyle w:val="ListParagraph"/>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bCs/>
          <w:sz w:val="24"/>
          <w:szCs w:val="24"/>
          <w:lang w:eastAsia="en-AU"/>
        </w:rPr>
      </w:pPr>
      <w:r>
        <w:rPr>
          <w:rFonts w:ascii="Times New Roman" w:hAnsi="Times New Roman"/>
          <w:bCs/>
          <w:sz w:val="24"/>
          <w:szCs w:val="24"/>
          <w:lang w:eastAsia="en-AU"/>
        </w:rPr>
        <w:t>the Appellant has previously stated to the Respondent that once</w:t>
      </w:r>
      <w:r w:rsidR="004B5D5B">
        <w:rPr>
          <w:rFonts w:ascii="Times New Roman" w:hAnsi="Times New Roman"/>
          <w:bCs/>
          <w:sz w:val="24"/>
          <w:szCs w:val="24"/>
          <w:lang w:eastAsia="en-AU"/>
        </w:rPr>
        <w:t xml:space="preserve"> the requested</w:t>
      </w:r>
      <w:r>
        <w:rPr>
          <w:rFonts w:ascii="Times New Roman" w:hAnsi="Times New Roman"/>
          <w:bCs/>
          <w:sz w:val="24"/>
          <w:szCs w:val="24"/>
          <w:lang w:eastAsia="en-AU"/>
        </w:rPr>
        <w:t xml:space="preserve"> evidence is provided</w:t>
      </w:r>
      <w:r w:rsidR="004B5D5B">
        <w:rPr>
          <w:rFonts w:ascii="Times New Roman" w:hAnsi="Times New Roman"/>
          <w:bCs/>
          <w:sz w:val="24"/>
          <w:szCs w:val="24"/>
          <w:lang w:eastAsia="en-AU"/>
        </w:rPr>
        <w:t>, the Appellant can make an informed clinical decision on being able to receive the COVID-19 vaccine without detriment to her health and current medical conditions;</w:t>
      </w:r>
    </w:p>
    <w:p w14:paraId="589B110D" w14:textId="77777777" w:rsidR="004B5D5B" w:rsidRPr="004B5D5B" w:rsidRDefault="004B5D5B" w:rsidP="004B5D5B">
      <w:pPr>
        <w:pStyle w:val="ListParagraph"/>
        <w:rPr>
          <w:rFonts w:ascii="Times New Roman" w:hAnsi="Times New Roman"/>
          <w:bCs/>
          <w:sz w:val="24"/>
          <w:szCs w:val="24"/>
          <w:lang w:eastAsia="en-AU"/>
        </w:rPr>
      </w:pPr>
    </w:p>
    <w:p w14:paraId="4FE9F763" w14:textId="77777777" w:rsidR="004B5D5B" w:rsidRDefault="001026B0" w:rsidP="00FB4E63">
      <w:pPr>
        <w:pStyle w:val="ListParagraph"/>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bCs/>
          <w:sz w:val="24"/>
          <w:szCs w:val="24"/>
          <w:lang w:eastAsia="en-AU"/>
        </w:rPr>
      </w:pPr>
      <w:r>
        <w:rPr>
          <w:rFonts w:ascii="Times New Roman" w:hAnsi="Times New Roman"/>
          <w:bCs/>
          <w:sz w:val="24"/>
          <w:szCs w:val="24"/>
          <w:lang w:eastAsia="en-AU"/>
        </w:rPr>
        <w:t>Dr Cleary has not questioned the Appellant's medical conditions and the Appellant is unsure how the Respondent can deem that by receiving the</w:t>
      </w:r>
      <w:r w:rsidR="006F2716">
        <w:rPr>
          <w:rFonts w:ascii="Times New Roman" w:hAnsi="Times New Roman"/>
          <w:bCs/>
          <w:sz w:val="24"/>
          <w:szCs w:val="24"/>
          <w:lang w:eastAsia="en-AU"/>
        </w:rPr>
        <w:t xml:space="preserve"> COVID-19</w:t>
      </w:r>
      <w:r>
        <w:rPr>
          <w:rFonts w:ascii="Times New Roman" w:hAnsi="Times New Roman"/>
          <w:bCs/>
          <w:sz w:val="24"/>
          <w:szCs w:val="24"/>
          <w:lang w:eastAsia="en-AU"/>
        </w:rPr>
        <w:t xml:space="preserve"> vaccine</w:t>
      </w:r>
      <w:r w:rsidR="006F2716">
        <w:rPr>
          <w:rFonts w:ascii="Times New Roman" w:hAnsi="Times New Roman"/>
          <w:bCs/>
          <w:sz w:val="24"/>
          <w:szCs w:val="24"/>
          <w:lang w:eastAsia="en-AU"/>
        </w:rPr>
        <w:t>, that the Appellant's</w:t>
      </w:r>
      <w:r>
        <w:rPr>
          <w:rFonts w:ascii="Times New Roman" w:hAnsi="Times New Roman"/>
          <w:bCs/>
          <w:sz w:val="24"/>
          <w:szCs w:val="24"/>
          <w:lang w:eastAsia="en-AU"/>
        </w:rPr>
        <w:t xml:space="preserve"> heart condition will not</w:t>
      </w:r>
      <w:r w:rsidR="006F2716">
        <w:rPr>
          <w:rFonts w:ascii="Times New Roman" w:hAnsi="Times New Roman"/>
          <w:bCs/>
          <w:sz w:val="24"/>
          <w:szCs w:val="24"/>
          <w:lang w:eastAsia="en-AU"/>
        </w:rPr>
        <w:t xml:space="preserve"> be</w:t>
      </w:r>
      <w:r>
        <w:rPr>
          <w:rFonts w:ascii="Times New Roman" w:hAnsi="Times New Roman"/>
          <w:bCs/>
          <w:sz w:val="24"/>
          <w:szCs w:val="24"/>
          <w:lang w:eastAsia="en-AU"/>
        </w:rPr>
        <w:t xml:space="preserve"> further exacerbated</w:t>
      </w:r>
      <w:r w:rsidR="00302768">
        <w:rPr>
          <w:rFonts w:ascii="Times New Roman" w:hAnsi="Times New Roman"/>
          <w:bCs/>
          <w:sz w:val="24"/>
          <w:szCs w:val="24"/>
          <w:lang w:eastAsia="en-AU"/>
        </w:rPr>
        <w:t>,</w:t>
      </w:r>
      <w:r>
        <w:rPr>
          <w:rFonts w:ascii="Times New Roman" w:hAnsi="Times New Roman"/>
          <w:bCs/>
          <w:sz w:val="24"/>
          <w:szCs w:val="24"/>
          <w:lang w:eastAsia="en-AU"/>
        </w:rPr>
        <w:t xml:space="preserve"> result</w:t>
      </w:r>
      <w:r w:rsidR="00302768">
        <w:rPr>
          <w:rFonts w:ascii="Times New Roman" w:hAnsi="Times New Roman"/>
          <w:bCs/>
          <w:sz w:val="24"/>
          <w:szCs w:val="24"/>
          <w:lang w:eastAsia="en-AU"/>
        </w:rPr>
        <w:t>ing</w:t>
      </w:r>
      <w:r>
        <w:rPr>
          <w:rFonts w:ascii="Times New Roman" w:hAnsi="Times New Roman"/>
          <w:bCs/>
          <w:sz w:val="24"/>
          <w:szCs w:val="24"/>
          <w:lang w:eastAsia="en-AU"/>
        </w:rPr>
        <w:t xml:space="preserve"> in serious health issues or death</w:t>
      </w:r>
      <w:r w:rsidR="00302768">
        <w:rPr>
          <w:rFonts w:ascii="Times New Roman" w:hAnsi="Times New Roman"/>
          <w:bCs/>
          <w:sz w:val="24"/>
          <w:szCs w:val="24"/>
          <w:lang w:eastAsia="en-AU"/>
        </w:rPr>
        <w:t>;</w:t>
      </w:r>
    </w:p>
    <w:p w14:paraId="5DC47EBC" w14:textId="77777777" w:rsidR="00302768" w:rsidRPr="00302768" w:rsidRDefault="00302768" w:rsidP="00302768">
      <w:pPr>
        <w:pStyle w:val="ListParagraph"/>
        <w:rPr>
          <w:rFonts w:ascii="Times New Roman" w:hAnsi="Times New Roman"/>
          <w:bCs/>
          <w:sz w:val="24"/>
          <w:szCs w:val="24"/>
          <w:lang w:eastAsia="en-AU"/>
        </w:rPr>
      </w:pPr>
    </w:p>
    <w:p w14:paraId="563ED01B" w14:textId="77777777" w:rsidR="00302768" w:rsidRDefault="00F766FF" w:rsidP="00FB4E63">
      <w:pPr>
        <w:pStyle w:val="ListParagraph"/>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bCs/>
          <w:sz w:val="24"/>
          <w:szCs w:val="24"/>
          <w:lang w:eastAsia="en-AU"/>
        </w:rPr>
      </w:pPr>
      <w:r>
        <w:rPr>
          <w:rFonts w:ascii="Times New Roman" w:hAnsi="Times New Roman"/>
          <w:bCs/>
          <w:sz w:val="24"/>
          <w:szCs w:val="24"/>
          <w:lang w:eastAsia="en-AU"/>
        </w:rPr>
        <w:t xml:space="preserve">given </w:t>
      </w:r>
      <w:r w:rsidR="00985840">
        <w:rPr>
          <w:rFonts w:ascii="Times New Roman" w:hAnsi="Times New Roman"/>
          <w:bCs/>
          <w:sz w:val="24"/>
          <w:szCs w:val="24"/>
          <w:lang w:eastAsia="en-AU"/>
        </w:rPr>
        <w:t>the known side effects of the COVID-19 vaccines remain, the Appellant is reluctant to receive the vaccine given her heart conditions;</w:t>
      </w:r>
    </w:p>
    <w:p w14:paraId="42C28588" w14:textId="77777777" w:rsidR="00985840" w:rsidRPr="00985840" w:rsidRDefault="00985840" w:rsidP="00985840">
      <w:pPr>
        <w:pStyle w:val="ListParagraph"/>
        <w:rPr>
          <w:rFonts w:ascii="Times New Roman" w:hAnsi="Times New Roman"/>
          <w:bCs/>
          <w:sz w:val="24"/>
          <w:szCs w:val="24"/>
          <w:lang w:eastAsia="en-AU"/>
        </w:rPr>
      </w:pPr>
    </w:p>
    <w:p w14:paraId="3B89978F" w14:textId="77777777" w:rsidR="00985840" w:rsidRDefault="00985840" w:rsidP="00FB4E63">
      <w:pPr>
        <w:pStyle w:val="ListParagraph"/>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bCs/>
          <w:sz w:val="24"/>
          <w:szCs w:val="24"/>
          <w:lang w:eastAsia="en-AU"/>
        </w:rPr>
      </w:pPr>
      <w:r>
        <w:rPr>
          <w:rFonts w:ascii="Times New Roman" w:hAnsi="Times New Roman"/>
          <w:bCs/>
          <w:sz w:val="24"/>
          <w:szCs w:val="24"/>
          <w:lang w:eastAsia="en-AU"/>
        </w:rPr>
        <w:t>the Appellant has previously contracted COVID-19;</w:t>
      </w:r>
    </w:p>
    <w:p w14:paraId="28882B08" w14:textId="77777777" w:rsidR="00985840" w:rsidRPr="00985840" w:rsidRDefault="00985840" w:rsidP="00985840">
      <w:pPr>
        <w:pStyle w:val="ListParagraph"/>
        <w:rPr>
          <w:rFonts w:ascii="Times New Roman" w:hAnsi="Times New Roman"/>
          <w:bCs/>
          <w:sz w:val="24"/>
          <w:szCs w:val="24"/>
          <w:lang w:eastAsia="en-AU"/>
        </w:rPr>
      </w:pPr>
    </w:p>
    <w:p w14:paraId="0AE7A2D5" w14:textId="77777777" w:rsidR="00985840" w:rsidRDefault="00EE2E86" w:rsidP="00FB4E63">
      <w:pPr>
        <w:pStyle w:val="ListParagraph"/>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bCs/>
          <w:sz w:val="24"/>
          <w:szCs w:val="24"/>
          <w:lang w:eastAsia="en-AU"/>
        </w:rPr>
      </w:pPr>
      <w:r>
        <w:rPr>
          <w:rFonts w:ascii="Times New Roman" w:hAnsi="Times New Roman"/>
          <w:bCs/>
          <w:sz w:val="24"/>
          <w:szCs w:val="24"/>
          <w:lang w:eastAsia="en-AU"/>
        </w:rPr>
        <w:t xml:space="preserve">the Appellant remains unsure as to how the exemption process has been fair or reasonable as no evidence, including the Appellant's personal risk assessment, has been provided to the Appellant to date, despite several requests </w:t>
      </w:r>
      <w:r w:rsidR="0039059E">
        <w:rPr>
          <w:rFonts w:ascii="Times New Roman" w:hAnsi="Times New Roman"/>
          <w:bCs/>
          <w:sz w:val="24"/>
          <w:szCs w:val="24"/>
          <w:lang w:eastAsia="en-AU"/>
        </w:rPr>
        <w:t xml:space="preserve">being </w:t>
      </w:r>
      <w:r>
        <w:rPr>
          <w:rFonts w:ascii="Times New Roman" w:hAnsi="Times New Roman"/>
          <w:bCs/>
          <w:sz w:val="24"/>
          <w:szCs w:val="24"/>
          <w:lang w:eastAsia="en-AU"/>
        </w:rPr>
        <w:t>made;</w:t>
      </w:r>
    </w:p>
    <w:p w14:paraId="735E7F72" w14:textId="77777777" w:rsidR="003E3952" w:rsidRPr="003E3952" w:rsidRDefault="003E3952" w:rsidP="003E3952">
      <w:pPr>
        <w:pStyle w:val="ListParagraph"/>
        <w:rPr>
          <w:rFonts w:ascii="Times New Roman" w:hAnsi="Times New Roman"/>
          <w:bCs/>
          <w:sz w:val="24"/>
          <w:szCs w:val="24"/>
          <w:lang w:eastAsia="en-AU"/>
        </w:rPr>
      </w:pPr>
    </w:p>
    <w:p w14:paraId="0B4C2FDA" w14:textId="77777777" w:rsidR="003E3952" w:rsidRDefault="00F623C3" w:rsidP="00FB4E63">
      <w:pPr>
        <w:pStyle w:val="ListParagraph"/>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bCs/>
          <w:sz w:val="24"/>
          <w:szCs w:val="24"/>
          <w:lang w:eastAsia="en-AU"/>
        </w:rPr>
      </w:pPr>
      <w:r>
        <w:rPr>
          <w:rFonts w:ascii="Times New Roman" w:hAnsi="Times New Roman"/>
          <w:bCs/>
          <w:sz w:val="24"/>
          <w:szCs w:val="24"/>
          <w:lang w:eastAsia="en-AU"/>
        </w:rPr>
        <w:t xml:space="preserve">the Respondent's statement that 'an alternative working arrangement is not an alternative to complying with HED 12/21' conflicts with Dr John Wakefield's statement </w:t>
      </w:r>
      <w:r w:rsidR="0077567D">
        <w:rPr>
          <w:rFonts w:ascii="Times New Roman" w:hAnsi="Times New Roman"/>
          <w:bCs/>
          <w:sz w:val="24"/>
          <w:szCs w:val="24"/>
          <w:lang w:eastAsia="en-AU"/>
        </w:rPr>
        <w:t>to staff dated 25 October 2021 which states</w:t>
      </w:r>
      <w:r>
        <w:rPr>
          <w:rFonts w:ascii="Times New Roman" w:hAnsi="Times New Roman"/>
          <w:bCs/>
          <w:sz w:val="24"/>
          <w:szCs w:val="24"/>
          <w:lang w:eastAsia="en-AU"/>
        </w:rPr>
        <w:t xml:space="preserve"> that 'if you have received or applied for an exemption, we will continue to work with you to find alternative arrangements. This may include taking leave, working remotely or being moved into an alternative temporary role where the vaccination is not mandated'</w:t>
      </w:r>
      <w:r w:rsidR="00972F1B">
        <w:rPr>
          <w:rFonts w:ascii="Times New Roman" w:hAnsi="Times New Roman"/>
          <w:bCs/>
          <w:sz w:val="24"/>
          <w:szCs w:val="24"/>
          <w:lang w:eastAsia="en-AU"/>
        </w:rPr>
        <w:t>;</w:t>
      </w:r>
    </w:p>
    <w:p w14:paraId="04D4865B" w14:textId="77777777" w:rsidR="00972F1B" w:rsidRPr="00972F1B" w:rsidRDefault="00972F1B" w:rsidP="00972F1B">
      <w:pPr>
        <w:pStyle w:val="ListParagraph"/>
        <w:rPr>
          <w:rFonts w:ascii="Times New Roman" w:hAnsi="Times New Roman"/>
          <w:bCs/>
          <w:sz w:val="24"/>
          <w:szCs w:val="24"/>
          <w:lang w:eastAsia="en-AU"/>
        </w:rPr>
      </w:pPr>
    </w:p>
    <w:p w14:paraId="68330176" w14:textId="77777777" w:rsidR="00972F1B" w:rsidRDefault="00972F1B" w:rsidP="00FB4E63">
      <w:pPr>
        <w:pStyle w:val="ListParagraph"/>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bCs/>
          <w:sz w:val="24"/>
          <w:szCs w:val="24"/>
          <w:lang w:eastAsia="en-AU"/>
        </w:rPr>
      </w:pPr>
      <w:r>
        <w:rPr>
          <w:rFonts w:ascii="Times New Roman" w:hAnsi="Times New Roman"/>
          <w:bCs/>
          <w:sz w:val="24"/>
          <w:szCs w:val="24"/>
          <w:lang w:eastAsia="en-AU"/>
        </w:rPr>
        <w:t>the Respondent has, at no stage, contacted the Appellant to review any alternative working arrangements;</w:t>
      </w:r>
    </w:p>
    <w:p w14:paraId="07CBF2BF" w14:textId="77777777" w:rsidR="00972F1B" w:rsidRPr="00972F1B" w:rsidRDefault="00972F1B" w:rsidP="00972F1B">
      <w:pPr>
        <w:pStyle w:val="ListParagraph"/>
        <w:rPr>
          <w:rFonts w:ascii="Times New Roman" w:hAnsi="Times New Roman"/>
          <w:bCs/>
          <w:sz w:val="24"/>
          <w:szCs w:val="24"/>
          <w:lang w:eastAsia="en-AU"/>
        </w:rPr>
      </w:pPr>
    </w:p>
    <w:p w14:paraId="362C4BED" w14:textId="77777777" w:rsidR="00972F1B" w:rsidRDefault="007A3353" w:rsidP="00FB4E63">
      <w:pPr>
        <w:pStyle w:val="ListParagraph"/>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bCs/>
          <w:sz w:val="24"/>
          <w:szCs w:val="24"/>
          <w:lang w:eastAsia="en-AU"/>
        </w:rPr>
      </w:pPr>
      <w:r>
        <w:rPr>
          <w:rFonts w:ascii="Times New Roman" w:hAnsi="Times New Roman"/>
          <w:bCs/>
          <w:sz w:val="24"/>
          <w:szCs w:val="24"/>
          <w:lang w:eastAsia="en-AU"/>
        </w:rPr>
        <w:t>there is a lack of transparency surrounding the entire exemption application process;</w:t>
      </w:r>
      <w:r w:rsidR="009367EA">
        <w:rPr>
          <w:rFonts w:ascii="Times New Roman" w:hAnsi="Times New Roman"/>
          <w:bCs/>
          <w:sz w:val="24"/>
          <w:szCs w:val="24"/>
          <w:lang w:eastAsia="en-AU"/>
        </w:rPr>
        <w:t xml:space="preserve"> and</w:t>
      </w:r>
    </w:p>
    <w:p w14:paraId="5C6981F6" w14:textId="77777777" w:rsidR="007A3353" w:rsidRPr="007A3353" w:rsidRDefault="007A3353" w:rsidP="007A3353">
      <w:pPr>
        <w:pStyle w:val="ListParagraph"/>
        <w:rPr>
          <w:rFonts w:ascii="Times New Roman" w:hAnsi="Times New Roman"/>
          <w:bCs/>
          <w:sz w:val="24"/>
          <w:szCs w:val="24"/>
          <w:lang w:eastAsia="en-AU"/>
        </w:rPr>
      </w:pPr>
    </w:p>
    <w:p w14:paraId="56ABA36A" w14:textId="77777777" w:rsidR="00FB4E63" w:rsidRPr="009367EA" w:rsidRDefault="009367EA" w:rsidP="009367EA">
      <w:pPr>
        <w:pStyle w:val="ListParagraph"/>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1134" w:hanging="567"/>
        <w:jc w:val="both"/>
        <w:rPr>
          <w:rFonts w:ascii="Times New Roman" w:hAnsi="Times New Roman"/>
          <w:bCs/>
          <w:sz w:val="24"/>
          <w:szCs w:val="24"/>
          <w:lang w:eastAsia="en-AU"/>
        </w:rPr>
      </w:pPr>
      <w:r>
        <w:rPr>
          <w:rFonts w:ascii="Times New Roman" w:hAnsi="Times New Roman"/>
          <w:bCs/>
          <w:sz w:val="24"/>
          <w:szCs w:val="24"/>
          <w:lang w:eastAsia="en-AU"/>
        </w:rPr>
        <w:t>the Appellant remain</w:t>
      </w:r>
      <w:r w:rsidR="00515B33">
        <w:rPr>
          <w:rFonts w:ascii="Times New Roman" w:hAnsi="Times New Roman"/>
          <w:bCs/>
          <w:sz w:val="24"/>
          <w:szCs w:val="24"/>
          <w:lang w:eastAsia="en-AU"/>
        </w:rPr>
        <w:t>s</w:t>
      </w:r>
      <w:r>
        <w:rPr>
          <w:rFonts w:ascii="Times New Roman" w:hAnsi="Times New Roman"/>
          <w:bCs/>
          <w:sz w:val="24"/>
          <w:szCs w:val="24"/>
          <w:lang w:eastAsia="en-AU"/>
        </w:rPr>
        <w:t xml:space="preserve"> perplexed </w:t>
      </w:r>
      <w:r w:rsidR="006E5290">
        <w:rPr>
          <w:rFonts w:ascii="Times New Roman" w:hAnsi="Times New Roman"/>
          <w:bCs/>
          <w:sz w:val="24"/>
          <w:szCs w:val="24"/>
          <w:lang w:eastAsia="en-AU"/>
        </w:rPr>
        <w:t xml:space="preserve">as to </w:t>
      </w:r>
      <w:r>
        <w:rPr>
          <w:rFonts w:ascii="Times New Roman" w:hAnsi="Times New Roman"/>
          <w:bCs/>
          <w:sz w:val="24"/>
          <w:szCs w:val="24"/>
          <w:lang w:eastAsia="en-AU"/>
        </w:rPr>
        <w:t>how it is 'reasonably open' for Dr Cleary to make a well-informed decision on the Appellant's exemption application unless he has been supplied with or</w:t>
      </w:r>
      <w:r w:rsidR="001C4016">
        <w:rPr>
          <w:rFonts w:ascii="Times New Roman" w:hAnsi="Times New Roman"/>
          <w:bCs/>
          <w:sz w:val="24"/>
          <w:szCs w:val="24"/>
          <w:lang w:eastAsia="en-AU"/>
        </w:rPr>
        <w:t xml:space="preserve"> is</w:t>
      </w:r>
      <w:r>
        <w:rPr>
          <w:rFonts w:ascii="Times New Roman" w:hAnsi="Times New Roman"/>
          <w:bCs/>
          <w:sz w:val="24"/>
          <w:szCs w:val="24"/>
          <w:lang w:eastAsia="en-AU"/>
        </w:rPr>
        <w:t xml:space="preserve"> privy to additional clinical information.</w:t>
      </w:r>
    </w:p>
    <w:p w14:paraId="11A90CAD" w14:textId="77777777" w:rsidR="00DA32CC" w:rsidRDefault="00DA32CC" w:rsidP="00DA32CC">
      <w:pPr>
        <w:tabs>
          <w:tab w:val="left" w:pos="0"/>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3" w:lineRule="atLeast"/>
        <w:ind w:left="567"/>
        <w:jc w:val="both"/>
        <w:rPr>
          <w:bCs/>
          <w:szCs w:val="24"/>
          <w:lang w:eastAsia="en-AU"/>
        </w:rPr>
      </w:pPr>
    </w:p>
    <w:p w14:paraId="1D58034B" w14:textId="77777777" w:rsidR="000B2009" w:rsidRPr="002D3F21" w:rsidRDefault="000B2009" w:rsidP="000B2009">
      <w:pPr>
        <w:pStyle w:val="ListParagraph"/>
        <w:spacing w:line="23" w:lineRule="atLeast"/>
        <w:ind w:left="567"/>
        <w:contextualSpacing w:val="0"/>
        <w:jc w:val="both"/>
        <w:rPr>
          <w:rFonts w:ascii="Times New Roman" w:hAnsi="Times New Roman"/>
          <w:b/>
          <w:bCs/>
          <w:color w:val="000000"/>
          <w:sz w:val="24"/>
          <w:szCs w:val="24"/>
        </w:rPr>
      </w:pPr>
      <w:r w:rsidRPr="002D3F21">
        <w:rPr>
          <w:rFonts w:ascii="Times New Roman" w:hAnsi="Times New Roman"/>
          <w:b/>
          <w:bCs/>
          <w:color w:val="000000"/>
          <w:sz w:val="24"/>
          <w:szCs w:val="24"/>
        </w:rPr>
        <w:t>Consideration</w:t>
      </w:r>
    </w:p>
    <w:p w14:paraId="548321CC" w14:textId="77777777" w:rsidR="000B2009" w:rsidRPr="002D3F21" w:rsidRDefault="000B2009" w:rsidP="000B2009">
      <w:pPr>
        <w:pStyle w:val="ListParagraph"/>
        <w:spacing w:line="23" w:lineRule="atLeast"/>
        <w:ind w:left="567"/>
        <w:contextualSpacing w:val="0"/>
        <w:jc w:val="both"/>
        <w:rPr>
          <w:rFonts w:ascii="Times New Roman" w:hAnsi="Times New Roman"/>
          <w:color w:val="000000"/>
          <w:sz w:val="24"/>
          <w:szCs w:val="24"/>
        </w:rPr>
      </w:pPr>
    </w:p>
    <w:p w14:paraId="45B468E0" w14:textId="77777777" w:rsidR="00386C8B" w:rsidRPr="005922C1" w:rsidRDefault="000B2009" w:rsidP="00A5460F">
      <w:pPr>
        <w:pStyle w:val="ListParagraph"/>
        <w:numPr>
          <w:ilvl w:val="0"/>
          <w:numId w:val="5"/>
        </w:numPr>
        <w:spacing w:line="23" w:lineRule="atLeast"/>
        <w:jc w:val="both"/>
        <w:rPr>
          <w:rFonts w:ascii="Times New Roman" w:hAnsi="Times New Roman"/>
          <w:color w:val="000000"/>
          <w:sz w:val="24"/>
          <w:szCs w:val="24"/>
        </w:rPr>
      </w:pPr>
      <w:r w:rsidRPr="0E8C3765">
        <w:rPr>
          <w:rFonts w:ascii="Times New Roman" w:hAnsi="Times New Roman"/>
          <w:color w:val="000000" w:themeColor="text1"/>
          <w:sz w:val="24"/>
          <w:szCs w:val="24"/>
        </w:rPr>
        <w:t xml:space="preserve">Consideration of an appeal of this </w:t>
      </w:r>
      <w:r w:rsidR="00474CA9" w:rsidRPr="0E8C3765">
        <w:rPr>
          <w:rFonts w:ascii="Times New Roman" w:hAnsi="Times New Roman"/>
          <w:color w:val="000000" w:themeColor="text1"/>
          <w:sz w:val="24"/>
          <w:szCs w:val="24"/>
        </w:rPr>
        <w:t>kind</w:t>
      </w:r>
      <w:r w:rsidRPr="0E8C3765">
        <w:rPr>
          <w:rFonts w:ascii="Times New Roman" w:hAnsi="Times New Roman"/>
          <w:color w:val="000000" w:themeColor="text1"/>
          <w:sz w:val="24"/>
          <w:szCs w:val="24"/>
        </w:rPr>
        <w:t xml:space="preserve"> requires a review of the</w:t>
      </w:r>
      <w:r w:rsidR="6ADCF82F" w:rsidRPr="0E8C3765">
        <w:rPr>
          <w:rFonts w:ascii="Times New Roman" w:hAnsi="Times New Roman"/>
          <w:color w:val="000000" w:themeColor="text1"/>
          <w:sz w:val="24"/>
          <w:szCs w:val="24"/>
        </w:rPr>
        <w:t xml:space="preserve"> </w:t>
      </w:r>
      <w:r w:rsidR="45D1BD1B" w:rsidRPr="0E8C3765">
        <w:rPr>
          <w:rFonts w:ascii="Times New Roman" w:hAnsi="Times New Roman"/>
          <w:color w:val="000000" w:themeColor="text1"/>
          <w:sz w:val="24"/>
          <w:szCs w:val="24"/>
        </w:rPr>
        <w:t xml:space="preserve">decision by Dr Cleary to </w:t>
      </w:r>
      <w:r w:rsidR="007217ED" w:rsidRPr="0E8C3765">
        <w:rPr>
          <w:rFonts w:ascii="Times New Roman" w:hAnsi="Times New Roman"/>
          <w:color w:val="000000" w:themeColor="text1"/>
          <w:sz w:val="24"/>
          <w:szCs w:val="24"/>
        </w:rPr>
        <w:t>determine if</w:t>
      </w:r>
      <w:r w:rsidR="004765A7" w:rsidRPr="0E8C3765">
        <w:rPr>
          <w:rFonts w:ascii="Times New Roman" w:hAnsi="Times New Roman"/>
          <w:color w:val="000000" w:themeColor="text1"/>
          <w:sz w:val="24"/>
          <w:szCs w:val="24"/>
        </w:rPr>
        <w:t xml:space="preserve"> </w:t>
      </w:r>
      <w:r w:rsidR="007217ED" w:rsidRPr="0E8C3765">
        <w:rPr>
          <w:rFonts w:ascii="Times New Roman" w:hAnsi="Times New Roman"/>
          <w:color w:val="000000" w:themeColor="text1"/>
          <w:sz w:val="24"/>
          <w:szCs w:val="24"/>
        </w:rPr>
        <w:t xml:space="preserve">the </w:t>
      </w:r>
      <w:r w:rsidR="004765A7" w:rsidRPr="0E8C3765">
        <w:rPr>
          <w:rFonts w:ascii="Times New Roman" w:hAnsi="Times New Roman"/>
          <w:color w:val="000000" w:themeColor="text1"/>
          <w:sz w:val="24"/>
          <w:szCs w:val="24"/>
        </w:rPr>
        <w:t>re</w:t>
      </w:r>
      <w:r w:rsidR="00115BA5" w:rsidRPr="0E8C3765">
        <w:rPr>
          <w:rFonts w:ascii="Times New Roman" w:hAnsi="Times New Roman"/>
          <w:color w:val="000000" w:themeColor="text1"/>
          <w:sz w:val="24"/>
          <w:szCs w:val="24"/>
        </w:rPr>
        <w:t>fusal</w:t>
      </w:r>
      <w:r w:rsidR="007217ED" w:rsidRPr="0E8C3765">
        <w:rPr>
          <w:rFonts w:ascii="Times New Roman" w:hAnsi="Times New Roman"/>
          <w:color w:val="000000" w:themeColor="text1"/>
          <w:sz w:val="24"/>
          <w:szCs w:val="24"/>
        </w:rPr>
        <w:t xml:space="preserve"> of the Appellant's exemption application</w:t>
      </w:r>
      <w:r w:rsidRPr="0E8C3765">
        <w:rPr>
          <w:rFonts w:ascii="Times New Roman" w:hAnsi="Times New Roman"/>
          <w:color w:val="000000" w:themeColor="text1"/>
          <w:sz w:val="24"/>
          <w:szCs w:val="24"/>
        </w:rPr>
        <w:t xml:space="preserve"> was fair </w:t>
      </w:r>
      <w:r w:rsidR="6E402540" w:rsidRPr="0E8C3765">
        <w:rPr>
          <w:rFonts w:ascii="Times New Roman" w:hAnsi="Times New Roman"/>
          <w:color w:val="000000" w:themeColor="text1"/>
          <w:sz w:val="24"/>
          <w:szCs w:val="24"/>
        </w:rPr>
        <w:t>and</w:t>
      </w:r>
      <w:r w:rsidRPr="0E8C3765">
        <w:rPr>
          <w:rFonts w:ascii="Times New Roman" w:hAnsi="Times New Roman"/>
          <w:color w:val="000000" w:themeColor="text1"/>
          <w:sz w:val="24"/>
          <w:szCs w:val="24"/>
        </w:rPr>
        <w:t xml:space="preserve"> reasonable</w:t>
      </w:r>
      <w:r w:rsidR="7EABE3FD" w:rsidRPr="0E8C3765">
        <w:rPr>
          <w:rFonts w:ascii="Times New Roman" w:hAnsi="Times New Roman"/>
          <w:color w:val="000000" w:themeColor="text1"/>
          <w:sz w:val="24"/>
          <w:szCs w:val="24"/>
        </w:rPr>
        <w:t xml:space="preserve"> in the circumstances</w:t>
      </w:r>
      <w:r w:rsidRPr="0E8C3765">
        <w:rPr>
          <w:rFonts w:ascii="Times New Roman" w:hAnsi="Times New Roman"/>
          <w:color w:val="000000" w:themeColor="text1"/>
          <w:sz w:val="24"/>
          <w:szCs w:val="24"/>
        </w:rPr>
        <w:t>.</w:t>
      </w:r>
      <w:r w:rsidR="16050B36" w:rsidRPr="0E8C3765">
        <w:rPr>
          <w:rFonts w:ascii="Times New Roman" w:hAnsi="Times New Roman"/>
          <w:color w:val="000000" w:themeColor="text1"/>
          <w:sz w:val="24"/>
          <w:szCs w:val="24"/>
        </w:rPr>
        <w:t xml:space="preserve"> </w:t>
      </w:r>
    </w:p>
    <w:p w14:paraId="35282414" w14:textId="77777777" w:rsidR="005922C1" w:rsidRPr="005922C1" w:rsidRDefault="005922C1" w:rsidP="005922C1">
      <w:pPr>
        <w:pStyle w:val="ListParagraph"/>
        <w:spacing w:line="23" w:lineRule="atLeast"/>
        <w:ind w:left="567"/>
        <w:jc w:val="both"/>
        <w:rPr>
          <w:rFonts w:ascii="Times New Roman" w:hAnsi="Times New Roman"/>
          <w:color w:val="000000"/>
          <w:sz w:val="24"/>
          <w:szCs w:val="24"/>
        </w:rPr>
      </w:pPr>
    </w:p>
    <w:p w14:paraId="5FFCF0C6" w14:textId="77777777" w:rsidR="005922C1" w:rsidRPr="008B32AF" w:rsidRDefault="002D28C6" w:rsidP="0E8C3765">
      <w:pPr>
        <w:pStyle w:val="ListParagraph"/>
        <w:numPr>
          <w:ilvl w:val="0"/>
          <w:numId w:val="5"/>
        </w:numPr>
        <w:spacing w:line="23" w:lineRule="atLeast"/>
        <w:jc w:val="both"/>
        <w:rPr>
          <w:rFonts w:eastAsiaTheme="minorEastAsia"/>
          <w:color w:val="000000"/>
          <w:sz w:val="24"/>
          <w:szCs w:val="24"/>
          <w:lang w:bidi="th-TH"/>
        </w:rPr>
      </w:pPr>
      <w:r w:rsidRPr="0E8C3765">
        <w:rPr>
          <w:rFonts w:ascii="Times New Roman" w:hAnsi="Times New Roman"/>
          <w:color w:val="000000" w:themeColor="text1"/>
          <w:sz w:val="24"/>
          <w:szCs w:val="24"/>
        </w:rPr>
        <w:t xml:space="preserve">The </w:t>
      </w:r>
      <w:r w:rsidR="00115BA5" w:rsidRPr="0E8C3765">
        <w:rPr>
          <w:rFonts w:ascii="Times New Roman" w:hAnsi="Times New Roman"/>
          <w:color w:val="000000" w:themeColor="text1"/>
          <w:sz w:val="24"/>
          <w:szCs w:val="24"/>
        </w:rPr>
        <w:t xml:space="preserve">Appellant </w:t>
      </w:r>
      <w:r w:rsidRPr="0E8C3765">
        <w:rPr>
          <w:rFonts w:ascii="Times New Roman" w:hAnsi="Times New Roman"/>
          <w:color w:val="000000" w:themeColor="text1"/>
          <w:sz w:val="24"/>
          <w:szCs w:val="24"/>
        </w:rPr>
        <w:t>applied for an exemption</w:t>
      </w:r>
      <w:r w:rsidR="3B83E029" w:rsidRPr="0E8C3765">
        <w:rPr>
          <w:rFonts w:ascii="Times New Roman" w:hAnsi="Times New Roman"/>
          <w:color w:val="000000" w:themeColor="text1"/>
          <w:sz w:val="24"/>
          <w:szCs w:val="24"/>
        </w:rPr>
        <w:t xml:space="preserve"> </w:t>
      </w:r>
      <w:r w:rsidRPr="0E8C3765">
        <w:rPr>
          <w:rFonts w:ascii="Times New Roman" w:hAnsi="Times New Roman"/>
          <w:color w:val="000000" w:themeColor="text1"/>
          <w:sz w:val="24"/>
          <w:szCs w:val="24"/>
        </w:rPr>
        <w:t xml:space="preserve">from compliance with the Directive requirement to receive a COVID-19 vaccination on the basis of medical contraindications. The </w:t>
      </w:r>
      <w:r w:rsidR="00115BA5" w:rsidRPr="0E8C3765">
        <w:rPr>
          <w:rFonts w:ascii="Times New Roman" w:hAnsi="Times New Roman"/>
          <w:color w:val="000000" w:themeColor="text1"/>
          <w:sz w:val="24"/>
          <w:szCs w:val="24"/>
        </w:rPr>
        <w:t xml:space="preserve">Appellant </w:t>
      </w:r>
      <w:r w:rsidRPr="0E8C3765">
        <w:rPr>
          <w:rFonts w:ascii="Times New Roman" w:hAnsi="Times New Roman"/>
          <w:color w:val="000000" w:themeColor="text1"/>
          <w:sz w:val="24"/>
          <w:szCs w:val="24"/>
        </w:rPr>
        <w:t xml:space="preserve">outlined a number of medical conditions in her </w:t>
      </w:r>
      <w:r w:rsidRPr="0E8C3765">
        <w:rPr>
          <w:rFonts w:ascii="Times New Roman" w:hAnsi="Times New Roman"/>
          <w:color w:val="000000" w:themeColor="text1"/>
          <w:sz w:val="24"/>
          <w:szCs w:val="24"/>
        </w:rPr>
        <w:lastRenderedPageBreak/>
        <w:t>personal medical history and family history</w:t>
      </w:r>
      <w:r w:rsidR="00C02489" w:rsidRPr="0E8C3765">
        <w:rPr>
          <w:rFonts w:ascii="Times New Roman" w:hAnsi="Times New Roman"/>
          <w:color w:val="000000" w:themeColor="text1"/>
          <w:sz w:val="24"/>
          <w:szCs w:val="24"/>
        </w:rPr>
        <w:t xml:space="preserve"> </w:t>
      </w:r>
      <w:r w:rsidRPr="0E8C3765">
        <w:rPr>
          <w:rFonts w:ascii="Times New Roman" w:hAnsi="Times New Roman"/>
          <w:color w:val="000000" w:themeColor="text1"/>
          <w:sz w:val="24"/>
          <w:szCs w:val="24"/>
        </w:rPr>
        <w:t xml:space="preserve">and provided a medical certificate from her general practitioner confirming that she had been diagnosed with thes conditions. </w:t>
      </w:r>
    </w:p>
    <w:p w14:paraId="05ADD026" w14:textId="77777777" w:rsidR="3B83E029" w:rsidRDefault="3B83E029" w:rsidP="3B83E029">
      <w:pPr>
        <w:spacing w:line="23" w:lineRule="atLeast"/>
        <w:jc w:val="both"/>
        <w:rPr>
          <w:rFonts w:cs="Cordia New"/>
          <w:color w:val="000000" w:themeColor="text1"/>
          <w:szCs w:val="24"/>
          <w:lang w:bidi="th-TH"/>
        </w:rPr>
      </w:pPr>
    </w:p>
    <w:p w14:paraId="7816EAB6" w14:textId="77777777" w:rsidR="3B83E029" w:rsidRDefault="3B83E029" w:rsidP="3B83E029">
      <w:pPr>
        <w:pStyle w:val="ListParagraph"/>
        <w:numPr>
          <w:ilvl w:val="0"/>
          <w:numId w:val="5"/>
        </w:numPr>
        <w:spacing w:line="23" w:lineRule="atLeast"/>
        <w:jc w:val="both"/>
        <w:rPr>
          <w:color w:val="000000" w:themeColor="text1"/>
          <w:sz w:val="24"/>
          <w:szCs w:val="24"/>
          <w:lang w:bidi="th-TH"/>
        </w:rPr>
      </w:pPr>
      <w:r w:rsidRPr="3B83E029">
        <w:rPr>
          <w:rFonts w:ascii="Times New Roman" w:hAnsi="Times New Roman"/>
          <w:color w:val="000000" w:themeColor="text1"/>
          <w:sz w:val="24"/>
          <w:szCs w:val="24"/>
        </w:rPr>
        <w:t>The exemption application document outlines the following requirement for employees who advise that they are unable to receive any COVID-19 vaccines due to a recognised medical contraindication to the COVID-19 vaccine</w:t>
      </w:r>
      <w:r w:rsidR="00C02489">
        <w:rPr>
          <w:rFonts w:ascii="Times New Roman" w:hAnsi="Times New Roman"/>
          <w:color w:val="000000" w:themeColor="text1"/>
          <w:sz w:val="24"/>
          <w:szCs w:val="24"/>
        </w:rPr>
        <w:t>:</w:t>
      </w:r>
    </w:p>
    <w:p w14:paraId="22374F11" w14:textId="77777777" w:rsidR="3B83E029" w:rsidRDefault="3B83E029" w:rsidP="3B83E029">
      <w:pPr>
        <w:spacing w:line="23" w:lineRule="atLeast"/>
        <w:jc w:val="both"/>
        <w:rPr>
          <w:rFonts w:cs="Cordia New"/>
          <w:color w:val="000000" w:themeColor="text1"/>
          <w:szCs w:val="24"/>
          <w:lang w:bidi="th-TH"/>
        </w:rPr>
      </w:pPr>
    </w:p>
    <w:p w14:paraId="3EE0F7E6" w14:textId="77777777" w:rsidR="3B83E029" w:rsidRDefault="3B83E029" w:rsidP="00B74F26">
      <w:pPr>
        <w:spacing w:line="23" w:lineRule="atLeast"/>
        <w:ind w:left="1134"/>
        <w:jc w:val="both"/>
        <w:rPr>
          <w:rFonts w:cs="Cordia New"/>
          <w:color w:val="000000" w:themeColor="text1"/>
          <w:sz w:val="20"/>
          <w:szCs w:val="20"/>
          <w:lang w:bidi="th-TH"/>
        </w:rPr>
      </w:pPr>
      <w:r w:rsidRPr="3B83E029">
        <w:rPr>
          <w:rFonts w:cs="Cordia New"/>
          <w:color w:val="000000" w:themeColor="text1"/>
          <w:sz w:val="20"/>
          <w:szCs w:val="20"/>
          <w:lang w:bidi="th-TH"/>
        </w:rPr>
        <w:t xml:space="preserve">An employee will be considered to have a medical contraindication for the purposes of applying for an exemption where they are unable to be vaccinated due to a recognised medical contraindication to the COVID-19 vaccine as outlined in a letter from their treating specialist medical practitioner. </w:t>
      </w:r>
    </w:p>
    <w:p w14:paraId="5792F949" w14:textId="77777777" w:rsidR="3B83E029" w:rsidRDefault="3B83E029" w:rsidP="00B74F26">
      <w:pPr>
        <w:spacing w:line="23" w:lineRule="atLeast"/>
        <w:ind w:left="1134"/>
        <w:jc w:val="both"/>
        <w:rPr>
          <w:rFonts w:cs="Cordia New"/>
          <w:color w:val="000000" w:themeColor="text1"/>
          <w:sz w:val="20"/>
          <w:szCs w:val="20"/>
          <w:lang w:bidi="th-TH"/>
        </w:rPr>
      </w:pPr>
    </w:p>
    <w:p w14:paraId="3C725158" w14:textId="77777777" w:rsidR="0048594E" w:rsidRDefault="3B83E029" w:rsidP="00B74F26">
      <w:pPr>
        <w:spacing w:line="23" w:lineRule="atLeast"/>
        <w:ind w:left="1134"/>
        <w:jc w:val="both"/>
        <w:rPr>
          <w:rFonts w:cs="Cordia New"/>
          <w:color w:val="000000" w:themeColor="text1"/>
          <w:sz w:val="20"/>
          <w:szCs w:val="20"/>
          <w:lang w:bidi="th-TH"/>
        </w:rPr>
      </w:pPr>
      <w:r w:rsidRPr="3B83E029">
        <w:rPr>
          <w:rFonts w:cs="Cordia New"/>
          <w:color w:val="000000" w:themeColor="text1"/>
          <w:sz w:val="20"/>
          <w:szCs w:val="20"/>
          <w:lang w:bidi="th-TH"/>
        </w:rPr>
        <w:t>A recognised medical contraindication is limited to include circumstances where the employee has a history of anaphylaxis or other recognised medical contraindications as outlined in the Australian Immunisation Handbook.</w:t>
      </w:r>
    </w:p>
    <w:p w14:paraId="08A75F0F" w14:textId="77777777" w:rsidR="00B74F26" w:rsidRPr="00B74F26" w:rsidRDefault="00B74F26" w:rsidP="00B74F26">
      <w:pPr>
        <w:spacing w:line="23" w:lineRule="atLeast"/>
        <w:ind w:left="1134"/>
        <w:jc w:val="both"/>
        <w:rPr>
          <w:rFonts w:cs="Cordia New"/>
          <w:color w:val="000000" w:themeColor="text1"/>
          <w:szCs w:val="24"/>
          <w:lang w:bidi="th-TH"/>
        </w:rPr>
      </w:pPr>
    </w:p>
    <w:p w14:paraId="17F67DDF" w14:textId="77777777" w:rsidR="3B83E029" w:rsidRDefault="3B83E029" w:rsidP="3B83E029">
      <w:pPr>
        <w:pStyle w:val="ListParagraph"/>
        <w:numPr>
          <w:ilvl w:val="0"/>
          <w:numId w:val="5"/>
        </w:numPr>
        <w:tabs>
          <w:tab w:val="left" w:pos="2552"/>
        </w:tabs>
        <w:jc w:val="both"/>
        <w:rPr>
          <w:sz w:val="24"/>
          <w:szCs w:val="24"/>
          <w:lang w:bidi="th-TH"/>
        </w:rPr>
      </w:pPr>
      <w:r w:rsidRPr="3B83E029">
        <w:rPr>
          <w:rFonts w:ascii="Times New Roman" w:eastAsiaTheme="minorEastAsia" w:hAnsi="Times New Roman"/>
          <w:sz w:val="24"/>
          <w:szCs w:val="24"/>
        </w:rPr>
        <w:t xml:space="preserve">The exemption application document also outlines under the heading </w:t>
      </w:r>
      <w:r w:rsidR="00B74F26">
        <w:rPr>
          <w:rFonts w:ascii="Times New Roman" w:eastAsiaTheme="minorEastAsia" w:hAnsi="Times New Roman"/>
          <w:sz w:val="24"/>
          <w:szCs w:val="24"/>
        </w:rPr>
        <w:t>'</w:t>
      </w:r>
      <w:r w:rsidRPr="3B83E029">
        <w:rPr>
          <w:rFonts w:ascii="Times New Roman" w:eastAsiaTheme="minorEastAsia" w:hAnsi="Times New Roman"/>
          <w:sz w:val="24"/>
          <w:szCs w:val="24"/>
        </w:rPr>
        <w:t>Evidence requirements</w:t>
      </w:r>
      <w:r w:rsidR="00B74F26">
        <w:rPr>
          <w:rFonts w:ascii="Times New Roman" w:eastAsiaTheme="minorEastAsia" w:hAnsi="Times New Roman"/>
          <w:sz w:val="24"/>
          <w:szCs w:val="24"/>
        </w:rPr>
        <w:t>'</w:t>
      </w:r>
      <w:r w:rsidRPr="3B83E029">
        <w:rPr>
          <w:rFonts w:ascii="Times New Roman" w:eastAsiaTheme="minorEastAsia" w:hAnsi="Times New Roman"/>
          <w:sz w:val="24"/>
          <w:szCs w:val="24"/>
        </w:rPr>
        <w:t xml:space="preserve"> the following</w:t>
      </w:r>
      <w:r w:rsidR="00B74F26">
        <w:rPr>
          <w:rFonts w:ascii="Times New Roman" w:eastAsiaTheme="minorEastAsia" w:hAnsi="Times New Roman"/>
          <w:sz w:val="24"/>
          <w:szCs w:val="24"/>
        </w:rPr>
        <w:t>:</w:t>
      </w:r>
    </w:p>
    <w:p w14:paraId="6647890F" w14:textId="77777777" w:rsidR="3B83E029" w:rsidRDefault="3B83E029" w:rsidP="3B83E029">
      <w:pPr>
        <w:tabs>
          <w:tab w:val="left" w:pos="2552"/>
        </w:tabs>
        <w:jc w:val="both"/>
        <w:rPr>
          <w:rFonts w:eastAsiaTheme="minorEastAsia"/>
        </w:rPr>
      </w:pPr>
    </w:p>
    <w:p w14:paraId="6161F55D" w14:textId="77777777" w:rsidR="3B83E029" w:rsidRDefault="3B83E029" w:rsidP="00B74F26">
      <w:pPr>
        <w:tabs>
          <w:tab w:val="left" w:pos="2552"/>
        </w:tabs>
        <w:ind w:left="1134"/>
        <w:jc w:val="both"/>
        <w:rPr>
          <w:rFonts w:cs="Cordia New"/>
          <w:szCs w:val="24"/>
          <w:lang w:bidi="th-TH"/>
        </w:rPr>
      </w:pPr>
      <w:r w:rsidRPr="3B83E029">
        <w:rPr>
          <w:rFonts w:eastAsiaTheme="minorEastAsia"/>
          <w:sz w:val="20"/>
          <w:szCs w:val="20"/>
        </w:rPr>
        <w:t>An employee is required to provide a medical certificate from their treating specialist medical</w:t>
      </w:r>
      <w:r w:rsidR="00B74F26">
        <w:rPr>
          <w:rFonts w:eastAsiaTheme="minorEastAsia"/>
          <w:sz w:val="20"/>
          <w:szCs w:val="20"/>
        </w:rPr>
        <w:t xml:space="preserve"> </w:t>
      </w:r>
      <w:r w:rsidRPr="3B83E029">
        <w:rPr>
          <w:rFonts w:eastAsiaTheme="minorEastAsia"/>
          <w:sz w:val="20"/>
          <w:szCs w:val="20"/>
        </w:rPr>
        <w:t>practitioner certifying:</w:t>
      </w:r>
    </w:p>
    <w:p w14:paraId="060EE6BA" w14:textId="77777777" w:rsidR="3B83E029" w:rsidRDefault="00437A35" w:rsidP="00B74F26">
      <w:pPr>
        <w:pStyle w:val="ListParagraph"/>
        <w:numPr>
          <w:ilvl w:val="1"/>
          <w:numId w:val="1"/>
        </w:numPr>
        <w:ind w:left="1701" w:hanging="567"/>
        <w:jc w:val="both"/>
        <w:rPr>
          <w:rFonts w:eastAsiaTheme="minorEastAsia"/>
          <w:sz w:val="20"/>
          <w:szCs w:val="20"/>
          <w:lang w:bidi="th-TH"/>
        </w:rPr>
      </w:pPr>
      <w:r>
        <w:rPr>
          <w:rFonts w:ascii="Times New Roman" w:eastAsiaTheme="minorEastAsia" w:hAnsi="Times New Roman"/>
          <w:sz w:val="20"/>
          <w:szCs w:val="20"/>
        </w:rPr>
        <w:t>t</w:t>
      </w:r>
      <w:r w:rsidR="3B83E029" w:rsidRPr="3B83E029">
        <w:rPr>
          <w:rFonts w:ascii="Times New Roman" w:eastAsiaTheme="minorEastAsia" w:hAnsi="Times New Roman"/>
          <w:sz w:val="20"/>
          <w:szCs w:val="20"/>
        </w:rPr>
        <w:t>hat the employee is unable to receive any COVID-19 vaccination because they have a recognised medical contraindication to the vaccine</w:t>
      </w:r>
    </w:p>
    <w:p w14:paraId="04B61D4E" w14:textId="77777777" w:rsidR="3B83E029" w:rsidRDefault="00437A35" w:rsidP="00B74F26">
      <w:pPr>
        <w:pStyle w:val="ListParagraph"/>
        <w:numPr>
          <w:ilvl w:val="1"/>
          <w:numId w:val="1"/>
        </w:numPr>
        <w:ind w:left="1701" w:hanging="567"/>
        <w:jc w:val="both"/>
        <w:rPr>
          <w:sz w:val="20"/>
          <w:szCs w:val="20"/>
          <w:lang w:bidi="th-TH"/>
        </w:rPr>
      </w:pPr>
      <w:r>
        <w:rPr>
          <w:rFonts w:ascii="Times New Roman" w:eastAsiaTheme="minorEastAsia" w:hAnsi="Times New Roman"/>
          <w:sz w:val="20"/>
          <w:szCs w:val="20"/>
        </w:rPr>
        <w:t>w</w:t>
      </w:r>
      <w:r w:rsidR="3B83E029" w:rsidRPr="3B83E029">
        <w:rPr>
          <w:rFonts w:ascii="Times New Roman" w:eastAsiaTheme="minorEastAsia" w:hAnsi="Times New Roman"/>
          <w:sz w:val="20"/>
          <w:szCs w:val="20"/>
        </w:rPr>
        <w:t>hether the medical contraindication will permanently or temporarily prevent COVID-19 vaccination</w:t>
      </w:r>
    </w:p>
    <w:p w14:paraId="598EE17F" w14:textId="77777777" w:rsidR="3B83E029" w:rsidRDefault="00437A35" w:rsidP="00B74F26">
      <w:pPr>
        <w:pStyle w:val="ListParagraph"/>
        <w:numPr>
          <w:ilvl w:val="1"/>
          <w:numId w:val="1"/>
        </w:numPr>
        <w:ind w:left="1701" w:hanging="567"/>
        <w:jc w:val="both"/>
        <w:rPr>
          <w:sz w:val="20"/>
          <w:szCs w:val="20"/>
          <w:lang w:bidi="th-TH"/>
        </w:rPr>
      </w:pPr>
      <w:r>
        <w:rPr>
          <w:rFonts w:ascii="Times New Roman" w:eastAsiaTheme="minorEastAsia" w:hAnsi="Times New Roman"/>
          <w:sz w:val="20"/>
          <w:szCs w:val="20"/>
        </w:rPr>
        <w:t>if</w:t>
      </w:r>
      <w:r w:rsidR="3B83E029" w:rsidRPr="3B83E029">
        <w:rPr>
          <w:rFonts w:ascii="Times New Roman" w:eastAsiaTheme="minorEastAsia" w:hAnsi="Times New Roman"/>
          <w:sz w:val="20"/>
          <w:szCs w:val="20"/>
        </w:rPr>
        <w:t xml:space="preserve"> the medical contraindication is temporary in nature, when the employee may be able to receive the COVID-19 vaccination. </w:t>
      </w:r>
    </w:p>
    <w:p w14:paraId="596DACC3" w14:textId="77777777" w:rsidR="3B83E029" w:rsidRDefault="3B83E029" w:rsidP="3B83E029">
      <w:pPr>
        <w:tabs>
          <w:tab w:val="left" w:pos="2552"/>
        </w:tabs>
        <w:jc w:val="both"/>
        <w:rPr>
          <w:rFonts w:cs="Cordia New"/>
          <w:szCs w:val="24"/>
          <w:lang w:bidi="th-TH"/>
        </w:rPr>
      </w:pPr>
    </w:p>
    <w:p w14:paraId="5F8996B2" w14:textId="77777777" w:rsidR="00A5460F" w:rsidRPr="002D3F21" w:rsidRDefault="3B83E029" w:rsidP="3B83E029">
      <w:pPr>
        <w:pStyle w:val="ListParagraph"/>
        <w:numPr>
          <w:ilvl w:val="0"/>
          <w:numId w:val="5"/>
        </w:numPr>
        <w:tabs>
          <w:tab w:val="left" w:pos="2552"/>
        </w:tabs>
        <w:jc w:val="both"/>
        <w:rPr>
          <w:rFonts w:ascii="Times New Roman" w:eastAsiaTheme="minorEastAsia" w:hAnsi="Times New Roman"/>
        </w:rPr>
      </w:pPr>
      <w:r w:rsidRPr="002D3F21">
        <w:rPr>
          <w:rFonts w:ascii="Times New Roman" w:hAnsi="Times New Roman"/>
          <w:sz w:val="24"/>
          <w:szCs w:val="24"/>
        </w:rPr>
        <w:t>The Appellant</w:t>
      </w:r>
      <w:r w:rsidR="00A55EE5">
        <w:rPr>
          <w:rFonts w:ascii="Times New Roman" w:hAnsi="Times New Roman"/>
          <w:sz w:val="24"/>
          <w:szCs w:val="24"/>
        </w:rPr>
        <w:t>'</w:t>
      </w:r>
      <w:r w:rsidRPr="002D3F21">
        <w:rPr>
          <w:rFonts w:ascii="Times New Roman" w:hAnsi="Times New Roman"/>
          <w:sz w:val="24"/>
          <w:szCs w:val="24"/>
        </w:rPr>
        <w:t xml:space="preserve">s primary reason for appeal relates to her view that her personal medical concerns and family medical history were not considered in an individual assessment. </w:t>
      </w:r>
    </w:p>
    <w:p w14:paraId="3C670D0C" w14:textId="77777777" w:rsidR="00A5460F" w:rsidRPr="002D3F21" w:rsidRDefault="00A5460F" w:rsidP="3B83E029">
      <w:pPr>
        <w:tabs>
          <w:tab w:val="left" w:pos="2552"/>
        </w:tabs>
        <w:jc w:val="both"/>
        <w:rPr>
          <w:rFonts w:cs="Cordia New"/>
          <w:szCs w:val="24"/>
          <w:lang w:bidi="th-TH"/>
        </w:rPr>
      </w:pPr>
    </w:p>
    <w:p w14:paraId="586C4BCA" w14:textId="77777777" w:rsidR="00A5460F" w:rsidRPr="00A55EE5" w:rsidRDefault="3B83E029" w:rsidP="3B83E029">
      <w:pPr>
        <w:pStyle w:val="ListParagraph"/>
        <w:numPr>
          <w:ilvl w:val="0"/>
          <w:numId w:val="5"/>
        </w:numPr>
        <w:tabs>
          <w:tab w:val="left" w:pos="2552"/>
        </w:tabs>
        <w:jc w:val="both"/>
        <w:rPr>
          <w:lang w:bidi="th-TH"/>
        </w:rPr>
      </w:pPr>
      <w:r w:rsidRPr="0E8C3765">
        <w:rPr>
          <w:rFonts w:ascii="Times New Roman" w:hAnsi="Times New Roman"/>
          <w:sz w:val="24"/>
          <w:szCs w:val="24"/>
        </w:rPr>
        <w:t>I note the Appellant did not provide any medical evidence that she is precluded from or unable to be safely administered the COVID-19 vaccine and no medical evidence of a recognised medical contraindication to a COVID-19 vaccine</w:t>
      </w:r>
      <w:r w:rsidR="0092533E">
        <w:rPr>
          <w:rFonts w:ascii="Times New Roman" w:hAnsi="Times New Roman"/>
          <w:sz w:val="24"/>
          <w:szCs w:val="24"/>
        </w:rPr>
        <w:t xml:space="preserve"> </w:t>
      </w:r>
      <w:r w:rsidR="006B389D">
        <w:rPr>
          <w:rFonts w:ascii="Times New Roman" w:hAnsi="Times New Roman"/>
          <w:sz w:val="24"/>
          <w:szCs w:val="24"/>
        </w:rPr>
        <w:t>was provided</w:t>
      </w:r>
      <w:r w:rsidR="006B389D" w:rsidRPr="0E8C3765">
        <w:rPr>
          <w:rFonts w:ascii="Times New Roman" w:hAnsi="Times New Roman"/>
          <w:sz w:val="24"/>
          <w:szCs w:val="24"/>
        </w:rPr>
        <w:t xml:space="preserve"> </w:t>
      </w:r>
      <w:r w:rsidRPr="0E8C3765">
        <w:rPr>
          <w:rFonts w:ascii="Times New Roman" w:hAnsi="Times New Roman"/>
          <w:sz w:val="24"/>
          <w:szCs w:val="24"/>
        </w:rPr>
        <w:t xml:space="preserve">in accordance with the guidelines of the ATAGI. </w:t>
      </w:r>
    </w:p>
    <w:p w14:paraId="4DA47AB2" w14:textId="77777777" w:rsidR="00A55EE5" w:rsidRPr="00A55EE5" w:rsidRDefault="00A55EE5" w:rsidP="00A55EE5">
      <w:pPr>
        <w:pStyle w:val="ListParagraph"/>
        <w:tabs>
          <w:tab w:val="left" w:pos="2552"/>
        </w:tabs>
        <w:ind w:left="567"/>
        <w:jc w:val="both"/>
        <w:rPr>
          <w:sz w:val="24"/>
          <w:szCs w:val="24"/>
          <w:lang w:bidi="th-TH"/>
        </w:rPr>
      </w:pPr>
    </w:p>
    <w:p w14:paraId="3A03D13C" w14:textId="77777777" w:rsidR="00A5460F" w:rsidRPr="002D3F21" w:rsidRDefault="3B83E029" w:rsidP="0E8C3765">
      <w:pPr>
        <w:pStyle w:val="ListParagraph"/>
        <w:numPr>
          <w:ilvl w:val="0"/>
          <w:numId w:val="5"/>
        </w:numPr>
        <w:tabs>
          <w:tab w:val="left" w:pos="2552"/>
        </w:tabs>
        <w:jc w:val="both"/>
        <w:rPr>
          <w:rFonts w:eastAsiaTheme="minorEastAsia"/>
          <w:sz w:val="24"/>
          <w:szCs w:val="24"/>
          <w:lang w:bidi="th-TH"/>
        </w:rPr>
      </w:pPr>
      <w:r w:rsidRPr="0E8C3765">
        <w:rPr>
          <w:rFonts w:ascii="Times New Roman" w:hAnsi="Times New Roman" w:cs="Cordia New"/>
          <w:sz w:val="24"/>
          <w:szCs w:val="24"/>
          <w:lang w:bidi="th-TH"/>
        </w:rPr>
        <w:t>In the attachment to the exemption application</w:t>
      </w:r>
      <w:r w:rsidR="00D80EA5" w:rsidRPr="0E8C3765">
        <w:rPr>
          <w:rFonts w:ascii="Times New Roman" w:hAnsi="Times New Roman" w:cs="Cordia New"/>
          <w:sz w:val="24"/>
          <w:szCs w:val="24"/>
          <w:lang w:bidi="th-TH"/>
        </w:rPr>
        <w:t>,</w:t>
      </w:r>
      <w:r w:rsidRPr="0E8C3765">
        <w:rPr>
          <w:rFonts w:ascii="Times New Roman" w:hAnsi="Times New Roman" w:cs="Cordia New"/>
          <w:sz w:val="24"/>
          <w:szCs w:val="24"/>
          <w:lang w:bidi="th-TH"/>
        </w:rPr>
        <w:t xml:space="preserve"> the Appellant indicated that her treating cardiologist resigned on 21 July and her general practitioner had sent a referral to the </w:t>
      </w:r>
      <w:r w:rsidR="00160BF7" w:rsidRPr="0E8C3765">
        <w:rPr>
          <w:rFonts w:ascii="Times New Roman" w:hAnsi="Times New Roman" w:cs="Cordia New"/>
          <w:sz w:val="24"/>
          <w:szCs w:val="24"/>
          <w:lang w:bidi="th-TH"/>
        </w:rPr>
        <w:t xml:space="preserve">Appellant's </w:t>
      </w:r>
      <w:r w:rsidRPr="0E8C3765">
        <w:rPr>
          <w:rFonts w:ascii="Times New Roman" w:hAnsi="Times New Roman" w:cs="Cordia New"/>
          <w:sz w:val="24"/>
          <w:szCs w:val="24"/>
          <w:lang w:bidi="th-TH"/>
        </w:rPr>
        <w:t xml:space="preserve">previous Heart Centre for which she was currently awaiting an appointment. The </w:t>
      </w:r>
      <w:r w:rsidR="00160BF7" w:rsidRPr="0E8C3765">
        <w:rPr>
          <w:rFonts w:ascii="Times New Roman" w:hAnsi="Times New Roman" w:cs="Cordia New"/>
          <w:sz w:val="24"/>
          <w:szCs w:val="24"/>
          <w:lang w:bidi="th-TH"/>
        </w:rPr>
        <w:t xml:space="preserve">Appellant </w:t>
      </w:r>
      <w:r w:rsidRPr="0E8C3765">
        <w:rPr>
          <w:rFonts w:ascii="Times New Roman" w:hAnsi="Times New Roman" w:cs="Cordia New"/>
          <w:sz w:val="24"/>
          <w:szCs w:val="24"/>
          <w:lang w:bidi="th-TH"/>
        </w:rPr>
        <w:t xml:space="preserve">made subsequent oral submissions that she had not obtained an appointment with a cardiologist due to the delays in obtaining such an appointment without private health insurance. The difficulty for the Appellant is that without such evidence an exemption application was unlikely to succeed. </w:t>
      </w:r>
    </w:p>
    <w:p w14:paraId="3F7ECB15" w14:textId="77777777" w:rsidR="00A5460F" w:rsidRPr="002D3F21" w:rsidRDefault="00A5460F" w:rsidP="3B83E029">
      <w:pPr>
        <w:tabs>
          <w:tab w:val="left" w:pos="2552"/>
        </w:tabs>
        <w:jc w:val="both"/>
        <w:rPr>
          <w:rFonts w:cs="Cordia New"/>
          <w:szCs w:val="24"/>
          <w:lang w:bidi="th-TH"/>
        </w:rPr>
      </w:pPr>
    </w:p>
    <w:p w14:paraId="7E41A7C3" w14:textId="77777777" w:rsidR="00A5460F" w:rsidRPr="002D3F21" w:rsidRDefault="3B83E029" w:rsidP="3B83E029">
      <w:pPr>
        <w:pStyle w:val="ListParagraph"/>
        <w:numPr>
          <w:ilvl w:val="0"/>
          <w:numId w:val="5"/>
        </w:numPr>
        <w:tabs>
          <w:tab w:val="left" w:pos="2552"/>
        </w:tabs>
        <w:jc w:val="both"/>
        <w:rPr>
          <w:lang w:bidi="th-TH"/>
        </w:rPr>
      </w:pPr>
      <w:r w:rsidRPr="3B83E029">
        <w:rPr>
          <w:rFonts w:ascii="Times New Roman" w:hAnsi="Times New Roman"/>
          <w:sz w:val="24"/>
          <w:szCs w:val="24"/>
        </w:rPr>
        <w:t xml:space="preserve">The decision maker was required to make a determination based on the evidence he had received. It was the responsibility of the </w:t>
      </w:r>
      <w:r w:rsidR="00AE72A0">
        <w:rPr>
          <w:rFonts w:ascii="Times New Roman" w:hAnsi="Times New Roman"/>
          <w:sz w:val="24"/>
          <w:szCs w:val="24"/>
        </w:rPr>
        <w:t>Appellant</w:t>
      </w:r>
      <w:r w:rsidRPr="3B83E029">
        <w:rPr>
          <w:rFonts w:ascii="Times New Roman" w:hAnsi="Times New Roman"/>
          <w:sz w:val="24"/>
          <w:szCs w:val="24"/>
        </w:rPr>
        <w:t xml:space="preserve"> to provide the required evidence if she was of the </w:t>
      </w:r>
      <w:r w:rsidR="004C3C09">
        <w:rPr>
          <w:rFonts w:ascii="Times New Roman" w:hAnsi="Times New Roman"/>
          <w:sz w:val="24"/>
          <w:szCs w:val="24"/>
        </w:rPr>
        <w:t>view</w:t>
      </w:r>
      <w:r w:rsidR="004C3C09" w:rsidRPr="3B83E029">
        <w:rPr>
          <w:rFonts w:ascii="Times New Roman" w:hAnsi="Times New Roman"/>
          <w:sz w:val="24"/>
          <w:szCs w:val="24"/>
        </w:rPr>
        <w:t xml:space="preserve"> </w:t>
      </w:r>
      <w:r w:rsidRPr="3B83E029">
        <w:rPr>
          <w:rFonts w:ascii="Times New Roman" w:hAnsi="Times New Roman"/>
          <w:sz w:val="24"/>
          <w:szCs w:val="24"/>
        </w:rPr>
        <w:t>that she was unable to receive any COVID-19 vaccination because of a recognised medical contraindication. In the absence of this evidence, and in consideration of the objectives of the Directive, it was open to Dr Cleary to confirm the decision of Mr Waters that the Appellant</w:t>
      </w:r>
      <w:r w:rsidR="00C64418">
        <w:rPr>
          <w:rFonts w:ascii="Times New Roman" w:hAnsi="Times New Roman"/>
          <w:sz w:val="24"/>
          <w:szCs w:val="24"/>
        </w:rPr>
        <w:t>'</w:t>
      </w:r>
      <w:r w:rsidRPr="3B83E029">
        <w:rPr>
          <w:rFonts w:ascii="Times New Roman" w:hAnsi="Times New Roman"/>
          <w:sz w:val="24"/>
          <w:szCs w:val="24"/>
        </w:rPr>
        <w:t xml:space="preserve">s circumstances did not warrant an exemption. </w:t>
      </w:r>
    </w:p>
    <w:p w14:paraId="37CDDA74" w14:textId="77777777" w:rsidR="00A5460F" w:rsidRPr="002D3F21" w:rsidRDefault="00A5460F" w:rsidP="3B83E029">
      <w:pPr>
        <w:tabs>
          <w:tab w:val="left" w:pos="2552"/>
        </w:tabs>
        <w:jc w:val="both"/>
        <w:rPr>
          <w:rFonts w:cs="Cordia New"/>
          <w:szCs w:val="24"/>
          <w:lang w:bidi="th-TH"/>
        </w:rPr>
      </w:pPr>
    </w:p>
    <w:p w14:paraId="6F425C4B" w14:textId="77777777" w:rsidR="00A5460F" w:rsidRPr="002D3F21" w:rsidRDefault="3B83E029" w:rsidP="3B83E029">
      <w:pPr>
        <w:pStyle w:val="ListParagraph"/>
        <w:numPr>
          <w:ilvl w:val="0"/>
          <w:numId w:val="5"/>
        </w:numPr>
        <w:tabs>
          <w:tab w:val="left" w:pos="2552"/>
        </w:tabs>
        <w:jc w:val="both"/>
        <w:rPr>
          <w:lang w:bidi="th-TH"/>
        </w:rPr>
      </w:pPr>
      <w:r w:rsidRPr="3B83E029">
        <w:rPr>
          <w:rFonts w:ascii="Times New Roman" w:hAnsi="Times New Roman"/>
          <w:sz w:val="24"/>
          <w:szCs w:val="24"/>
        </w:rPr>
        <w:t>Mr Waters outlines the following in his decision</w:t>
      </w:r>
      <w:r w:rsidR="00B74F26">
        <w:rPr>
          <w:rFonts w:ascii="Times New Roman" w:hAnsi="Times New Roman"/>
          <w:sz w:val="24"/>
          <w:szCs w:val="24"/>
        </w:rPr>
        <w:t>:</w:t>
      </w:r>
    </w:p>
    <w:p w14:paraId="5FDBA660" w14:textId="77777777" w:rsidR="00A5460F" w:rsidRPr="002D3F21" w:rsidRDefault="00A5460F" w:rsidP="3B83E029">
      <w:pPr>
        <w:tabs>
          <w:tab w:val="left" w:pos="2552"/>
        </w:tabs>
        <w:jc w:val="both"/>
        <w:rPr>
          <w:rFonts w:cs="Cordia New"/>
          <w:szCs w:val="24"/>
          <w:lang w:bidi="th-TH"/>
        </w:rPr>
      </w:pPr>
    </w:p>
    <w:p w14:paraId="088A97E8" w14:textId="77777777" w:rsidR="00A5460F" w:rsidRPr="002D3F21" w:rsidRDefault="3B83E029" w:rsidP="00B74F26">
      <w:pPr>
        <w:ind w:left="1134"/>
        <w:jc w:val="both"/>
        <w:rPr>
          <w:rFonts w:cs="Cordia New"/>
          <w:sz w:val="20"/>
          <w:szCs w:val="20"/>
          <w:lang w:bidi="th-TH"/>
        </w:rPr>
      </w:pPr>
      <w:r w:rsidRPr="3B83E029">
        <w:rPr>
          <w:rFonts w:cs="Cordia New"/>
          <w:sz w:val="20"/>
          <w:szCs w:val="20"/>
          <w:lang w:bidi="th-TH"/>
        </w:rPr>
        <w:lastRenderedPageBreak/>
        <w:t>Following its consideration of your request, the Committee have recommended that your request for an exemption is declined. I have considered the advice of the Committee and, as the Delegate duly appointed by the Health Service Chief Executive as decision-maker with respect to your exemption application under an Instrument of Delegation, have determined there is no information before me as decision-maker that would warrant me to not accept the Committee</w:t>
      </w:r>
      <w:r w:rsidR="00B74F26">
        <w:rPr>
          <w:rFonts w:cs="Cordia New"/>
          <w:sz w:val="20"/>
          <w:szCs w:val="20"/>
          <w:lang w:bidi="th-TH"/>
        </w:rPr>
        <w:t>'</w:t>
      </w:r>
      <w:r w:rsidRPr="3B83E029">
        <w:rPr>
          <w:rFonts w:cs="Cordia New"/>
          <w:sz w:val="20"/>
          <w:szCs w:val="20"/>
          <w:lang w:bidi="th-TH"/>
        </w:rPr>
        <w:t xml:space="preserve">s recommendation; that is, your exemption request is </w:t>
      </w:r>
      <w:r w:rsidRPr="00D80EA5">
        <w:rPr>
          <w:rFonts w:cs="Cordia New"/>
          <w:b/>
          <w:bCs/>
          <w:sz w:val="20"/>
          <w:szCs w:val="20"/>
          <w:lang w:bidi="th-TH"/>
        </w:rPr>
        <w:t>declined</w:t>
      </w:r>
      <w:r w:rsidRPr="3B83E029">
        <w:rPr>
          <w:rFonts w:cs="Cordia New"/>
          <w:sz w:val="20"/>
          <w:szCs w:val="20"/>
          <w:lang w:bidi="th-TH"/>
        </w:rPr>
        <w:t>.</w:t>
      </w:r>
      <w:r w:rsidR="00472DE1">
        <w:rPr>
          <w:rStyle w:val="FootnoteReference"/>
          <w:rFonts w:cs="Cordia New"/>
          <w:sz w:val="20"/>
          <w:szCs w:val="20"/>
          <w:lang w:bidi="th-TH"/>
        </w:rPr>
        <w:footnoteReference w:id="8"/>
      </w:r>
      <w:r w:rsidRPr="3B83E029">
        <w:rPr>
          <w:rFonts w:cs="Cordia New"/>
          <w:sz w:val="20"/>
          <w:szCs w:val="20"/>
          <w:lang w:bidi="th-TH"/>
        </w:rPr>
        <w:t xml:space="preserve"> </w:t>
      </w:r>
    </w:p>
    <w:p w14:paraId="47F24964" w14:textId="77777777" w:rsidR="00A5460F" w:rsidRPr="002D3F21" w:rsidRDefault="00A5460F" w:rsidP="3B83E029">
      <w:pPr>
        <w:tabs>
          <w:tab w:val="left" w:pos="2552"/>
        </w:tabs>
        <w:jc w:val="both"/>
        <w:rPr>
          <w:rFonts w:cs="Cordia New"/>
          <w:szCs w:val="24"/>
          <w:lang w:bidi="th-TH"/>
        </w:rPr>
      </w:pPr>
    </w:p>
    <w:p w14:paraId="34F65E51" w14:textId="77777777" w:rsidR="00A5460F" w:rsidRPr="002D3F21" w:rsidRDefault="3B83E029" w:rsidP="0E8C3765">
      <w:pPr>
        <w:pStyle w:val="ListParagraph"/>
        <w:numPr>
          <w:ilvl w:val="0"/>
          <w:numId w:val="5"/>
        </w:numPr>
        <w:tabs>
          <w:tab w:val="left" w:pos="2552"/>
        </w:tabs>
        <w:jc w:val="both"/>
        <w:rPr>
          <w:rFonts w:eastAsiaTheme="minorEastAsia"/>
          <w:sz w:val="24"/>
          <w:szCs w:val="24"/>
          <w:lang w:bidi="th-TH"/>
        </w:rPr>
      </w:pPr>
      <w:r w:rsidRPr="0E8C3765">
        <w:rPr>
          <w:rFonts w:ascii="Times New Roman" w:hAnsi="Times New Roman"/>
          <w:sz w:val="24"/>
          <w:szCs w:val="24"/>
        </w:rPr>
        <w:t xml:space="preserve">The decision by Dr Cleary considered the </w:t>
      </w:r>
      <w:r w:rsidR="00240E2C" w:rsidRPr="0E8C3765">
        <w:rPr>
          <w:rFonts w:ascii="Times New Roman" w:hAnsi="Times New Roman"/>
          <w:sz w:val="24"/>
          <w:szCs w:val="24"/>
        </w:rPr>
        <w:t xml:space="preserve">Appellant's </w:t>
      </w:r>
      <w:r w:rsidRPr="0E8C3765">
        <w:rPr>
          <w:rFonts w:ascii="Times New Roman" w:hAnsi="Times New Roman"/>
          <w:sz w:val="24"/>
          <w:szCs w:val="24"/>
        </w:rPr>
        <w:t>submissions regarding her particular health concerns and stated the following</w:t>
      </w:r>
      <w:r w:rsidR="00B74F26" w:rsidRPr="0E8C3765">
        <w:rPr>
          <w:rFonts w:ascii="Times New Roman" w:hAnsi="Times New Roman"/>
          <w:sz w:val="24"/>
          <w:szCs w:val="24"/>
        </w:rPr>
        <w:t>:</w:t>
      </w:r>
    </w:p>
    <w:p w14:paraId="6A8D0CDC" w14:textId="77777777" w:rsidR="00A5460F" w:rsidRPr="002D3F21" w:rsidRDefault="00A5460F" w:rsidP="3B83E029">
      <w:pPr>
        <w:tabs>
          <w:tab w:val="left" w:pos="2552"/>
        </w:tabs>
        <w:jc w:val="both"/>
        <w:rPr>
          <w:rFonts w:cs="Cordia New"/>
          <w:szCs w:val="24"/>
          <w:lang w:bidi="th-TH"/>
        </w:rPr>
      </w:pPr>
    </w:p>
    <w:p w14:paraId="4033400B" w14:textId="77777777" w:rsidR="00F45AD3" w:rsidRDefault="3B83E029" w:rsidP="00B74F26">
      <w:pPr>
        <w:ind w:left="1134"/>
        <w:jc w:val="both"/>
        <w:rPr>
          <w:sz w:val="20"/>
          <w:szCs w:val="20"/>
        </w:rPr>
      </w:pPr>
      <w:r w:rsidRPr="00F04DD8">
        <w:rPr>
          <w:rFonts w:cs="Cordia New"/>
          <w:sz w:val="20"/>
          <w:szCs w:val="20"/>
          <w:u w:val="single"/>
          <w:lang w:bidi="th-TH"/>
        </w:rPr>
        <w:t xml:space="preserve">While I can advise that each application received is individually assessed by a panel of professionals, including </w:t>
      </w:r>
      <w:r w:rsidRPr="00F04DD8">
        <w:rPr>
          <w:sz w:val="20"/>
          <w:szCs w:val="20"/>
          <w:u w:val="single"/>
        </w:rPr>
        <w:t>medical specialist of various disciplines</w:t>
      </w:r>
      <w:r w:rsidRPr="3B83E029">
        <w:rPr>
          <w:sz w:val="20"/>
          <w:szCs w:val="20"/>
        </w:rPr>
        <w:t xml:space="preserve">, due to confidentiality I am unable to provide any further details of the process including releasing the names and professions of the panel. </w:t>
      </w:r>
      <w:r w:rsidRPr="00F04DD8">
        <w:rPr>
          <w:sz w:val="20"/>
          <w:szCs w:val="20"/>
          <w:u w:val="single"/>
        </w:rPr>
        <w:t>I can however confirm that once all information has been reviewed and considered, the panel</w:t>
      </w:r>
      <w:r w:rsidR="00C64418" w:rsidRPr="00F04DD8">
        <w:rPr>
          <w:sz w:val="20"/>
          <w:szCs w:val="20"/>
          <w:u w:val="single"/>
        </w:rPr>
        <w:t>'</w:t>
      </w:r>
      <w:r w:rsidRPr="00F04DD8">
        <w:rPr>
          <w:sz w:val="20"/>
          <w:szCs w:val="20"/>
          <w:u w:val="single"/>
        </w:rPr>
        <w:t xml:space="preserve">s decision is then provided to the </w:t>
      </w:r>
      <w:r w:rsidR="00240E2C" w:rsidRPr="00F04DD8">
        <w:rPr>
          <w:sz w:val="20"/>
          <w:szCs w:val="20"/>
          <w:u w:val="single"/>
        </w:rPr>
        <w:t>D</w:t>
      </w:r>
      <w:r w:rsidRPr="00F04DD8">
        <w:rPr>
          <w:sz w:val="20"/>
          <w:szCs w:val="20"/>
          <w:u w:val="single"/>
        </w:rPr>
        <w:t>elegate</w:t>
      </w:r>
      <w:r w:rsidRPr="3B83E029">
        <w:rPr>
          <w:sz w:val="20"/>
          <w:szCs w:val="20"/>
        </w:rPr>
        <w:t xml:space="preserve"> for endorsement and progression.</w:t>
      </w:r>
      <w:r w:rsidR="00210614">
        <w:rPr>
          <w:sz w:val="20"/>
          <w:szCs w:val="20"/>
        </w:rPr>
        <w:t xml:space="preserve"> </w:t>
      </w:r>
    </w:p>
    <w:p w14:paraId="092CC3F6" w14:textId="77777777" w:rsidR="00F45AD3" w:rsidRDefault="00F45AD3" w:rsidP="00B74F26">
      <w:pPr>
        <w:ind w:left="1134"/>
        <w:jc w:val="both"/>
        <w:rPr>
          <w:sz w:val="20"/>
          <w:szCs w:val="20"/>
        </w:rPr>
      </w:pPr>
    </w:p>
    <w:p w14:paraId="15665F4E" w14:textId="77777777" w:rsidR="00A5460F" w:rsidRPr="002D3F21" w:rsidRDefault="00210614" w:rsidP="00B74F26">
      <w:pPr>
        <w:ind w:left="1134"/>
        <w:jc w:val="both"/>
        <w:rPr>
          <w:rFonts w:cs="Cordia New"/>
          <w:szCs w:val="24"/>
          <w:lang w:bidi="th-TH"/>
        </w:rPr>
      </w:pPr>
      <w:r>
        <w:rPr>
          <w:sz w:val="20"/>
          <w:szCs w:val="20"/>
        </w:rPr>
        <w:t>[emphasis added]</w:t>
      </w:r>
    </w:p>
    <w:p w14:paraId="1362E9E3" w14:textId="77777777" w:rsidR="00A5460F" w:rsidRPr="002D3F21" w:rsidRDefault="00A5460F" w:rsidP="3B83E029">
      <w:pPr>
        <w:tabs>
          <w:tab w:val="left" w:pos="2552"/>
        </w:tabs>
        <w:jc w:val="both"/>
        <w:rPr>
          <w:rFonts w:cs="Cordia New"/>
          <w:szCs w:val="24"/>
          <w:lang w:bidi="th-TH"/>
        </w:rPr>
      </w:pPr>
    </w:p>
    <w:p w14:paraId="54B365EE" w14:textId="77777777" w:rsidR="00A5460F" w:rsidRPr="002D3F21" w:rsidRDefault="3B83E029" w:rsidP="0E8C3765">
      <w:pPr>
        <w:pStyle w:val="ListParagraph"/>
        <w:numPr>
          <w:ilvl w:val="0"/>
          <w:numId w:val="5"/>
        </w:numPr>
        <w:tabs>
          <w:tab w:val="left" w:pos="2552"/>
        </w:tabs>
        <w:jc w:val="both"/>
        <w:rPr>
          <w:lang w:bidi="th-TH"/>
        </w:rPr>
      </w:pPr>
      <w:r w:rsidRPr="3B83E029">
        <w:rPr>
          <w:rFonts w:ascii="Times New Roman" w:hAnsi="Times New Roman"/>
          <w:sz w:val="24"/>
          <w:szCs w:val="24"/>
        </w:rPr>
        <w:t>The Appellant</w:t>
      </w:r>
      <w:r w:rsidR="00C64418">
        <w:rPr>
          <w:rFonts w:ascii="Times New Roman" w:hAnsi="Times New Roman"/>
          <w:sz w:val="24"/>
          <w:szCs w:val="24"/>
        </w:rPr>
        <w:t>'</w:t>
      </w:r>
      <w:r w:rsidRPr="3B83E029">
        <w:rPr>
          <w:rFonts w:ascii="Times New Roman" w:hAnsi="Times New Roman"/>
          <w:sz w:val="24"/>
          <w:szCs w:val="24"/>
        </w:rPr>
        <w:t>s submission that the Respondent failed to provide supporting clinical/medical documents or evidence to support the safety of the COVID-19 vaccine given the Appellant</w:t>
      </w:r>
      <w:r w:rsidR="00C64418">
        <w:rPr>
          <w:rFonts w:ascii="Times New Roman" w:hAnsi="Times New Roman"/>
          <w:sz w:val="24"/>
          <w:szCs w:val="24"/>
        </w:rPr>
        <w:t>'</w:t>
      </w:r>
      <w:r w:rsidRPr="3B83E029">
        <w:rPr>
          <w:rFonts w:ascii="Times New Roman" w:hAnsi="Times New Roman"/>
          <w:sz w:val="24"/>
          <w:szCs w:val="24"/>
        </w:rPr>
        <w:t>s medical history is misconceived. The onus fell on the Appellant to provide evidence of medical contraindication which could then be assessed by the Committee.</w:t>
      </w:r>
      <w:r w:rsidR="000B2009" w:rsidRPr="3B83E029">
        <w:rPr>
          <w:rStyle w:val="FootnoteReference"/>
          <w:rFonts w:ascii="Times New Roman" w:hAnsi="Times New Roman"/>
          <w:sz w:val="24"/>
          <w:szCs w:val="24"/>
        </w:rPr>
        <w:footnoteReference w:id="9"/>
      </w:r>
      <w:r w:rsidRPr="3B83E029">
        <w:rPr>
          <w:rFonts w:ascii="Times New Roman" w:hAnsi="Times New Roman"/>
          <w:sz w:val="24"/>
          <w:szCs w:val="24"/>
        </w:rPr>
        <w:t xml:space="preserve"> </w:t>
      </w:r>
    </w:p>
    <w:p w14:paraId="015A4BB5" w14:textId="77777777" w:rsidR="0E8C3765" w:rsidRDefault="0E8C3765" w:rsidP="0E8C3765">
      <w:pPr>
        <w:tabs>
          <w:tab w:val="left" w:pos="2552"/>
        </w:tabs>
        <w:jc w:val="both"/>
        <w:rPr>
          <w:rFonts w:cs="Cordia New"/>
          <w:szCs w:val="24"/>
          <w:lang w:bidi="th-TH"/>
        </w:rPr>
      </w:pPr>
    </w:p>
    <w:p w14:paraId="001715FB" w14:textId="77777777" w:rsidR="00A5460F" w:rsidRPr="002D3F21" w:rsidRDefault="3B83E029" w:rsidP="3B83E029">
      <w:pPr>
        <w:pStyle w:val="ListParagraph"/>
        <w:numPr>
          <w:ilvl w:val="0"/>
          <w:numId w:val="5"/>
        </w:numPr>
        <w:tabs>
          <w:tab w:val="left" w:pos="2552"/>
        </w:tabs>
        <w:jc w:val="both"/>
        <w:rPr>
          <w:lang w:bidi="th-TH"/>
        </w:rPr>
      </w:pPr>
      <w:r w:rsidRPr="0E8C3765">
        <w:rPr>
          <w:rFonts w:ascii="Times New Roman" w:hAnsi="Times New Roman"/>
          <w:sz w:val="24"/>
          <w:szCs w:val="24"/>
        </w:rPr>
        <w:t>The Appellant</w:t>
      </w:r>
      <w:r w:rsidR="00B74F26" w:rsidRPr="0E8C3765">
        <w:rPr>
          <w:rFonts w:ascii="Times New Roman" w:hAnsi="Times New Roman"/>
          <w:sz w:val="24"/>
          <w:szCs w:val="24"/>
        </w:rPr>
        <w:t>'</w:t>
      </w:r>
      <w:r w:rsidRPr="0E8C3765">
        <w:rPr>
          <w:rFonts w:ascii="Times New Roman" w:hAnsi="Times New Roman"/>
          <w:sz w:val="24"/>
          <w:szCs w:val="24"/>
        </w:rPr>
        <w:t>s submissions refer to the perceived failure of the Respondent to individually assess the Appellant</w:t>
      </w:r>
      <w:r w:rsidR="00B74F26" w:rsidRPr="0E8C3765">
        <w:rPr>
          <w:rFonts w:ascii="Times New Roman" w:hAnsi="Times New Roman"/>
          <w:sz w:val="24"/>
          <w:szCs w:val="24"/>
        </w:rPr>
        <w:t>'</w:t>
      </w:r>
      <w:r w:rsidRPr="0E8C3765">
        <w:rPr>
          <w:rFonts w:ascii="Times New Roman" w:hAnsi="Times New Roman"/>
          <w:sz w:val="24"/>
          <w:szCs w:val="24"/>
        </w:rPr>
        <w:t xml:space="preserve">s medical conditions. </w:t>
      </w:r>
      <w:r w:rsidR="00210614">
        <w:rPr>
          <w:rFonts w:ascii="Times New Roman" w:hAnsi="Times New Roman"/>
          <w:sz w:val="24"/>
          <w:szCs w:val="24"/>
        </w:rPr>
        <w:t xml:space="preserve">Although the reference in the decision to the assessment of the </w:t>
      </w:r>
      <w:r w:rsidR="004224E6">
        <w:rPr>
          <w:rFonts w:ascii="Times New Roman" w:hAnsi="Times New Roman"/>
          <w:sz w:val="24"/>
          <w:szCs w:val="24"/>
        </w:rPr>
        <w:t>Appellant's</w:t>
      </w:r>
      <w:r w:rsidR="008D6EB0">
        <w:rPr>
          <w:rFonts w:ascii="Times New Roman" w:hAnsi="Times New Roman"/>
          <w:sz w:val="24"/>
          <w:szCs w:val="24"/>
        </w:rPr>
        <w:t xml:space="preserve"> exemption</w:t>
      </w:r>
      <w:r w:rsidR="00210614">
        <w:rPr>
          <w:rFonts w:ascii="Times New Roman" w:hAnsi="Times New Roman"/>
          <w:sz w:val="24"/>
          <w:szCs w:val="24"/>
        </w:rPr>
        <w:t xml:space="preserve"> application is not extensive, </w:t>
      </w:r>
      <w:r w:rsidRPr="0E8C3765">
        <w:rPr>
          <w:rFonts w:ascii="Times New Roman" w:hAnsi="Times New Roman"/>
          <w:sz w:val="24"/>
          <w:szCs w:val="24"/>
        </w:rPr>
        <w:t>I am satisfied that the Respondent did individually assess the Appellant</w:t>
      </w:r>
      <w:r w:rsidR="00B74F26" w:rsidRPr="0E8C3765">
        <w:rPr>
          <w:rFonts w:ascii="Times New Roman" w:hAnsi="Times New Roman"/>
          <w:sz w:val="24"/>
          <w:szCs w:val="24"/>
        </w:rPr>
        <w:t>'</w:t>
      </w:r>
      <w:r w:rsidRPr="0E8C3765">
        <w:rPr>
          <w:rFonts w:ascii="Times New Roman" w:hAnsi="Times New Roman"/>
          <w:sz w:val="24"/>
          <w:szCs w:val="24"/>
        </w:rPr>
        <w:t xml:space="preserve">s </w:t>
      </w:r>
      <w:r w:rsidR="00A87C3D" w:rsidRPr="0E8C3765">
        <w:rPr>
          <w:rFonts w:ascii="Times New Roman" w:hAnsi="Times New Roman"/>
          <w:sz w:val="24"/>
          <w:szCs w:val="24"/>
        </w:rPr>
        <w:t xml:space="preserve">exemption </w:t>
      </w:r>
      <w:r w:rsidRPr="0E8C3765">
        <w:rPr>
          <w:rFonts w:ascii="Times New Roman" w:hAnsi="Times New Roman"/>
          <w:sz w:val="24"/>
          <w:szCs w:val="24"/>
        </w:rPr>
        <w:t>application,</w:t>
      </w:r>
      <w:r w:rsidR="00A87C3D" w:rsidRPr="0E8C3765">
        <w:rPr>
          <w:rFonts w:ascii="Times New Roman" w:hAnsi="Times New Roman"/>
          <w:sz w:val="24"/>
          <w:szCs w:val="24"/>
        </w:rPr>
        <w:t xml:space="preserve"> with the Committee's assessment that the exemption application be declined</w:t>
      </w:r>
      <w:r w:rsidRPr="0E8C3765">
        <w:rPr>
          <w:rFonts w:ascii="Times New Roman" w:hAnsi="Times New Roman"/>
          <w:sz w:val="24"/>
          <w:szCs w:val="24"/>
        </w:rPr>
        <w:t xml:space="preserve"> based on a lack of supporting specialist medial evidence. It is not the case that the Respondent was required to provide the Appellant with information regarding her health conditions, rather</w:t>
      </w:r>
      <w:r w:rsidR="00CB7C39">
        <w:rPr>
          <w:rFonts w:ascii="Times New Roman" w:hAnsi="Times New Roman"/>
          <w:sz w:val="24"/>
          <w:szCs w:val="24"/>
        </w:rPr>
        <w:t>,</w:t>
      </w:r>
      <w:r w:rsidRPr="0E8C3765">
        <w:rPr>
          <w:rFonts w:ascii="Times New Roman" w:hAnsi="Times New Roman"/>
          <w:sz w:val="24"/>
          <w:szCs w:val="24"/>
        </w:rPr>
        <w:t xml:space="preserve"> it was the responsibility of the Appellant to provide such evidence as part of the exemption application process. The Appellant</w:t>
      </w:r>
      <w:r w:rsidR="006E13FF" w:rsidRPr="0E8C3765">
        <w:rPr>
          <w:rFonts w:ascii="Times New Roman" w:hAnsi="Times New Roman"/>
          <w:sz w:val="24"/>
          <w:szCs w:val="24"/>
        </w:rPr>
        <w:t>'</w:t>
      </w:r>
      <w:r w:rsidRPr="0E8C3765">
        <w:rPr>
          <w:rFonts w:ascii="Times New Roman" w:hAnsi="Times New Roman"/>
          <w:sz w:val="24"/>
          <w:szCs w:val="24"/>
        </w:rPr>
        <w:t xml:space="preserve">s reference to </w:t>
      </w:r>
      <w:r w:rsidR="00E64235" w:rsidRPr="0E8C3765">
        <w:rPr>
          <w:rFonts w:ascii="Times New Roman" w:hAnsi="Times New Roman"/>
          <w:sz w:val="24"/>
          <w:szCs w:val="24"/>
        </w:rPr>
        <w:t>'</w:t>
      </w:r>
      <w:r w:rsidRPr="0E8C3765">
        <w:rPr>
          <w:rFonts w:ascii="Times New Roman" w:hAnsi="Times New Roman"/>
          <w:sz w:val="24"/>
          <w:szCs w:val="24"/>
        </w:rPr>
        <w:t>internet research</w:t>
      </w:r>
      <w:r w:rsidR="00E64235" w:rsidRPr="0E8C3765">
        <w:rPr>
          <w:rFonts w:ascii="Times New Roman" w:hAnsi="Times New Roman"/>
          <w:sz w:val="24"/>
          <w:szCs w:val="24"/>
        </w:rPr>
        <w:t>'</w:t>
      </w:r>
      <w:r w:rsidRPr="0E8C3765">
        <w:rPr>
          <w:rFonts w:ascii="Times New Roman" w:hAnsi="Times New Roman"/>
          <w:sz w:val="24"/>
          <w:szCs w:val="24"/>
        </w:rPr>
        <w:t xml:space="preserve"> that indicates potential contraindications is not medical evidence of the standard required by the exemption process. </w:t>
      </w:r>
    </w:p>
    <w:p w14:paraId="10B2ECA5" w14:textId="77777777" w:rsidR="00A5460F" w:rsidRPr="002D3F21" w:rsidRDefault="00A5460F" w:rsidP="3B83E029">
      <w:pPr>
        <w:tabs>
          <w:tab w:val="left" w:pos="2552"/>
        </w:tabs>
        <w:jc w:val="both"/>
        <w:rPr>
          <w:rFonts w:cs="Cordia New"/>
          <w:szCs w:val="24"/>
          <w:lang w:bidi="th-TH"/>
        </w:rPr>
      </w:pPr>
    </w:p>
    <w:p w14:paraId="3B2D263B" w14:textId="77777777" w:rsidR="00A5460F" w:rsidRPr="002D3F21" w:rsidRDefault="3B83E029" w:rsidP="3B83E029">
      <w:pPr>
        <w:pStyle w:val="ListParagraph"/>
        <w:numPr>
          <w:ilvl w:val="0"/>
          <w:numId w:val="5"/>
        </w:numPr>
        <w:tabs>
          <w:tab w:val="left" w:pos="2552"/>
        </w:tabs>
        <w:jc w:val="both"/>
        <w:rPr>
          <w:lang w:bidi="th-TH"/>
        </w:rPr>
      </w:pPr>
      <w:r w:rsidRPr="0E8C3765">
        <w:rPr>
          <w:rFonts w:ascii="Times New Roman" w:hAnsi="Times New Roman"/>
          <w:sz w:val="24"/>
          <w:szCs w:val="24"/>
        </w:rPr>
        <w:t xml:space="preserve">Although the decision may have felt </w:t>
      </w:r>
      <w:r w:rsidR="00B74F26" w:rsidRPr="0E8C3765">
        <w:rPr>
          <w:rFonts w:ascii="Times New Roman" w:hAnsi="Times New Roman"/>
          <w:sz w:val="24"/>
          <w:szCs w:val="24"/>
        </w:rPr>
        <w:t>'</w:t>
      </w:r>
      <w:r w:rsidRPr="0E8C3765">
        <w:rPr>
          <w:rFonts w:ascii="Times New Roman" w:hAnsi="Times New Roman"/>
          <w:sz w:val="24"/>
          <w:szCs w:val="24"/>
        </w:rPr>
        <w:t>generic</w:t>
      </w:r>
      <w:r w:rsidR="00B74F26" w:rsidRPr="0E8C3765">
        <w:rPr>
          <w:rFonts w:ascii="Times New Roman" w:hAnsi="Times New Roman"/>
          <w:sz w:val="24"/>
          <w:szCs w:val="24"/>
        </w:rPr>
        <w:t>'</w:t>
      </w:r>
      <w:r w:rsidRPr="0E8C3765">
        <w:rPr>
          <w:rFonts w:ascii="Times New Roman" w:hAnsi="Times New Roman"/>
          <w:sz w:val="24"/>
          <w:szCs w:val="24"/>
        </w:rPr>
        <w:t xml:space="preserve"> to the Appellant, the decision maker outlined the process by which the Appellant</w:t>
      </w:r>
      <w:r w:rsidR="006E13FF" w:rsidRPr="0E8C3765">
        <w:rPr>
          <w:rFonts w:ascii="Times New Roman" w:hAnsi="Times New Roman"/>
          <w:sz w:val="24"/>
          <w:szCs w:val="24"/>
        </w:rPr>
        <w:t>'</w:t>
      </w:r>
      <w:r w:rsidRPr="0E8C3765">
        <w:rPr>
          <w:rFonts w:ascii="Times New Roman" w:hAnsi="Times New Roman"/>
          <w:sz w:val="24"/>
          <w:szCs w:val="24"/>
        </w:rPr>
        <w:t>s exemption application had been weighed against the requirements of the Directive</w:t>
      </w:r>
      <w:r w:rsidR="000C0BFB" w:rsidRPr="0E8C3765">
        <w:rPr>
          <w:rFonts w:ascii="Times New Roman" w:hAnsi="Times New Roman"/>
          <w:sz w:val="24"/>
          <w:szCs w:val="24"/>
        </w:rPr>
        <w:t>,</w:t>
      </w:r>
      <w:r w:rsidRPr="0E8C3765">
        <w:rPr>
          <w:rFonts w:ascii="Times New Roman" w:hAnsi="Times New Roman"/>
          <w:sz w:val="24"/>
          <w:szCs w:val="24"/>
        </w:rPr>
        <w:t xml:space="preserve"> noting the high level of risk to the health and wellbeing of patients, colleagues and other key stakeholders who access services from the </w:t>
      </w:r>
      <w:r w:rsidR="00AE72A0">
        <w:rPr>
          <w:rFonts w:ascii="Times New Roman" w:hAnsi="Times New Roman"/>
          <w:sz w:val="24"/>
          <w:szCs w:val="24"/>
        </w:rPr>
        <w:t>Appellant's</w:t>
      </w:r>
      <w:r w:rsidRPr="0E8C3765">
        <w:rPr>
          <w:rFonts w:ascii="Times New Roman" w:hAnsi="Times New Roman"/>
          <w:sz w:val="24"/>
          <w:szCs w:val="24"/>
        </w:rPr>
        <w:t xml:space="preserve"> workplaces</w:t>
      </w:r>
      <w:r w:rsidR="000C0BFB" w:rsidRPr="0E8C3765">
        <w:rPr>
          <w:rFonts w:ascii="Times New Roman" w:hAnsi="Times New Roman"/>
          <w:sz w:val="24"/>
          <w:szCs w:val="24"/>
        </w:rPr>
        <w:t>,</w:t>
      </w:r>
      <w:r w:rsidRPr="0E8C3765">
        <w:rPr>
          <w:rFonts w:ascii="Times New Roman" w:hAnsi="Times New Roman"/>
          <w:sz w:val="24"/>
          <w:szCs w:val="24"/>
        </w:rPr>
        <w:t xml:space="preserve"> the PAH, Logan Hospital and MSH. </w:t>
      </w:r>
    </w:p>
    <w:p w14:paraId="4E208031" w14:textId="77777777" w:rsidR="00A5460F" w:rsidRPr="002D3F21" w:rsidRDefault="00A5460F" w:rsidP="3B83E029">
      <w:pPr>
        <w:tabs>
          <w:tab w:val="left" w:pos="2552"/>
        </w:tabs>
        <w:jc w:val="both"/>
        <w:rPr>
          <w:rFonts w:cs="Cordia New"/>
          <w:szCs w:val="24"/>
          <w:lang w:bidi="th-TH"/>
        </w:rPr>
      </w:pPr>
    </w:p>
    <w:p w14:paraId="4FE2A87F" w14:textId="77777777" w:rsidR="00A5460F" w:rsidRPr="002D3F21" w:rsidRDefault="3B83E029" w:rsidP="3B83E029">
      <w:pPr>
        <w:pStyle w:val="ListParagraph"/>
        <w:numPr>
          <w:ilvl w:val="0"/>
          <w:numId w:val="5"/>
        </w:numPr>
        <w:tabs>
          <w:tab w:val="left" w:pos="2552"/>
        </w:tabs>
        <w:jc w:val="both"/>
        <w:rPr>
          <w:lang w:bidi="th-TH"/>
        </w:rPr>
      </w:pPr>
      <w:r w:rsidRPr="0E8C3765">
        <w:rPr>
          <w:rFonts w:ascii="Times New Roman" w:hAnsi="Times New Roman"/>
          <w:sz w:val="24"/>
          <w:szCs w:val="24"/>
        </w:rPr>
        <w:t>Dr Cleary</w:t>
      </w:r>
      <w:r w:rsidR="00B74F26" w:rsidRPr="0E8C3765">
        <w:rPr>
          <w:rFonts w:ascii="Times New Roman" w:hAnsi="Times New Roman"/>
          <w:sz w:val="24"/>
          <w:szCs w:val="24"/>
        </w:rPr>
        <w:t>'</w:t>
      </w:r>
      <w:r w:rsidRPr="0E8C3765">
        <w:rPr>
          <w:rFonts w:ascii="Times New Roman" w:hAnsi="Times New Roman"/>
          <w:sz w:val="24"/>
          <w:szCs w:val="24"/>
        </w:rPr>
        <w:t>s decision stated the following</w:t>
      </w:r>
      <w:r w:rsidR="00B74F26" w:rsidRPr="0E8C3765">
        <w:rPr>
          <w:rFonts w:ascii="Times New Roman" w:hAnsi="Times New Roman"/>
          <w:sz w:val="24"/>
          <w:szCs w:val="24"/>
        </w:rPr>
        <w:t>:</w:t>
      </w:r>
    </w:p>
    <w:p w14:paraId="45670207" w14:textId="77777777" w:rsidR="00A5460F" w:rsidRPr="002D3F21" w:rsidRDefault="00A5460F" w:rsidP="3B83E029">
      <w:pPr>
        <w:tabs>
          <w:tab w:val="left" w:pos="2552"/>
        </w:tabs>
        <w:jc w:val="both"/>
        <w:rPr>
          <w:rFonts w:cs="Cordia New"/>
          <w:szCs w:val="24"/>
          <w:lang w:bidi="th-TH"/>
        </w:rPr>
      </w:pPr>
    </w:p>
    <w:p w14:paraId="1BC5A3FB" w14:textId="77777777" w:rsidR="00A5460F" w:rsidRDefault="3B83E029" w:rsidP="00B74F26">
      <w:pPr>
        <w:tabs>
          <w:tab w:val="left" w:pos="2552"/>
        </w:tabs>
        <w:ind w:left="1134"/>
        <w:jc w:val="both"/>
        <w:rPr>
          <w:rFonts w:cs="Cordia New"/>
          <w:sz w:val="20"/>
          <w:szCs w:val="20"/>
          <w:lang w:bidi="th-TH"/>
        </w:rPr>
      </w:pPr>
      <w:r w:rsidRPr="3B83E029">
        <w:rPr>
          <w:rFonts w:cs="Cordia New"/>
          <w:sz w:val="20"/>
          <w:szCs w:val="20"/>
          <w:lang w:bidi="th-TH"/>
        </w:rPr>
        <w:t xml:space="preserve">In considering the requirements under PSC Directive 11/20 and the action taken as outlined above, I am of the view that Mr Waters has undertaken appropriate steps and consideration in relation to your mandatory vaccination exemption request. </w:t>
      </w:r>
    </w:p>
    <w:p w14:paraId="08309B12" w14:textId="77777777" w:rsidR="00B74F26" w:rsidRPr="002D3F21" w:rsidRDefault="00B74F26" w:rsidP="00B74F26">
      <w:pPr>
        <w:tabs>
          <w:tab w:val="left" w:pos="2552"/>
        </w:tabs>
        <w:ind w:left="1134"/>
        <w:jc w:val="both"/>
        <w:rPr>
          <w:rFonts w:cs="Cordia New"/>
          <w:szCs w:val="24"/>
          <w:lang w:bidi="th-TH"/>
        </w:rPr>
      </w:pPr>
    </w:p>
    <w:p w14:paraId="4BB9AE92" w14:textId="77777777" w:rsidR="00A5460F" w:rsidRDefault="3B83E029" w:rsidP="00B74F26">
      <w:pPr>
        <w:tabs>
          <w:tab w:val="left" w:pos="2552"/>
        </w:tabs>
        <w:ind w:left="1134"/>
        <w:jc w:val="both"/>
        <w:rPr>
          <w:rFonts w:cs="Cordia New"/>
          <w:sz w:val="20"/>
          <w:szCs w:val="20"/>
          <w:lang w:bidi="th-TH"/>
        </w:rPr>
      </w:pPr>
      <w:r w:rsidRPr="3B83E029">
        <w:rPr>
          <w:rFonts w:cs="Cordia New"/>
          <w:sz w:val="20"/>
          <w:szCs w:val="20"/>
          <w:lang w:bidi="th-TH"/>
        </w:rPr>
        <w:lastRenderedPageBreak/>
        <w:t>I am satisfied the HED 12/21 is lawful and complies with section 58 of the HR Act and the Department</w:t>
      </w:r>
      <w:r w:rsidR="00B74F26">
        <w:rPr>
          <w:rFonts w:cs="Cordia New"/>
          <w:sz w:val="20"/>
          <w:szCs w:val="20"/>
          <w:lang w:bidi="th-TH"/>
        </w:rPr>
        <w:t>'</w:t>
      </w:r>
      <w:r w:rsidRPr="3B83E029">
        <w:rPr>
          <w:rFonts w:cs="Cordia New"/>
          <w:sz w:val="20"/>
          <w:szCs w:val="20"/>
          <w:lang w:bidi="th-TH"/>
        </w:rPr>
        <w:t>s consultation and risk assessment obligations under the WHS Act and WHS Regulation.</w:t>
      </w:r>
    </w:p>
    <w:p w14:paraId="2D6AF740" w14:textId="77777777" w:rsidR="00B74F26" w:rsidRPr="002D3F21" w:rsidRDefault="00B74F26" w:rsidP="00B74F26">
      <w:pPr>
        <w:tabs>
          <w:tab w:val="left" w:pos="2552"/>
        </w:tabs>
        <w:ind w:left="1134"/>
        <w:jc w:val="both"/>
        <w:rPr>
          <w:rFonts w:cs="Cordia New"/>
          <w:szCs w:val="24"/>
          <w:lang w:bidi="th-TH"/>
        </w:rPr>
      </w:pPr>
    </w:p>
    <w:p w14:paraId="7B9C0E6A" w14:textId="77777777" w:rsidR="00A5460F" w:rsidRPr="002D3F21" w:rsidRDefault="3B83E029" w:rsidP="00B74F26">
      <w:pPr>
        <w:tabs>
          <w:tab w:val="left" w:pos="2552"/>
        </w:tabs>
        <w:ind w:left="1134"/>
        <w:jc w:val="both"/>
        <w:rPr>
          <w:rFonts w:cs="Cordia New"/>
          <w:szCs w:val="24"/>
          <w:lang w:bidi="th-TH"/>
        </w:rPr>
      </w:pPr>
      <w:r w:rsidRPr="3B83E029">
        <w:rPr>
          <w:rFonts w:cs="Cordia New"/>
          <w:sz w:val="20"/>
          <w:szCs w:val="20"/>
          <w:lang w:bidi="th-TH"/>
        </w:rPr>
        <w:t>Further, I have had the opportunity to review your concerns and the circumstances relevant to the declinature of your exemption request. I can advise having reviewed the circumstances surround the decision to decline your exemption request, that I am not persuaded that the decision made was unreasonable.</w:t>
      </w:r>
    </w:p>
    <w:p w14:paraId="2CE1F33E" w14:textId="77777777" w:rsidR="00A5460F" w:rsidRPr="002D3F21" w:rsidRDefault="00A5460F" w:rsidP="3B83E029">
      <w:pPr>
        <w:tabs>
          <w:tab w:val="left" w:pos="2552"/>
        </w:tabs>
        <w:ind w:left="720"/>
        <w:jc w:val="both"/>
        <w:rPr>
          <w:rFonts w:cs="Cordia New"/>
          <w:szCs w:val="24"/>
          <w:lang w:bidi="th-TH"/>
        </w:rPr>
      </w:pPr>
    </w:p>
    <w:p w14:paraId="733D5960" w14:textId="77777777" w:rsidR="00A5460F" w:rsidRPr="002D3F21" w:rsidRDefault="3B83E029" w:rsidP="3B83E029">
      <w:pPr>
        <w:pStyle w:val="ListParagraph"/>
        <w:numPr>
          <w:ilvl w:val="0"/>
          <w:numId w:val="5"/>
        </w:numPr>
        <w:tabs>
          <w:tab w:val="left" w:pos="2552"/>
        </w:tabs>
        <w:jc w:val="both"/>
        <w:rPr>
          <w:lang w:bidi="th-TH"/>
        </w:rPr>
      </w:pPr>
      <w:r w:rsidRPr="0E8C3765">
        <w:rPr>
          <w:rFonts w:ascii="Times New Roman" w:hAnsi="Times New Roman"/>
          <w:sz w:val="24"/>
          <w:szCs w:val="24"/>
        </w:rPr>
        <w:t>Dr Cleary was required to review the decision of Mr Waters to determine if the decision was fair and reasonable. Dr Cleary</w:t>
      </w:r>
      <w:r w:rsidR="000C0BFB" w:rsidRPr="0E8C3765">
        <w:rPr>
          <w:rFonts w:ascii="Times New Roman" w:hAnsi="Times New Roman"/>
          <w:sz w:val="24"/>
          <w:szCs w:val="24"/>
        </w:rPr>
        <w:t xml:space="preserve"> was</w:t>
      </w:r>
      <w:r w:rsidRPr="0E8C3765">
        <w:rPr>
          <w:rFonts w:ascii="Times New Roman" w:hAnsi="Times New Roman"/>
          <w:sz w:val="24"/>
          <w:szCs w:val="24"/>
        </w:rPr>
        <w:t xml:space="preserve"> satisfied that the appropriate process was undertaken and no unfairness was suffered by the Appellant. There is no evidence before me to conclude that this was not a reasonable determination in the circumstances.</w:t>
      </w:r>
    </w:p>
    <w:p w14:paraId="139ABF80" w14:textId="77777777" w:rsidR="00A5460F" w:rsidRPr="002D3F21" w:rsidRDefault="00A5460F" w:rsidP="3B83E029">
      <w:pPr>
        <w:tabs>
          <w:tab w:val="left" w:pos="2552"/>
        </w:tabs>
        <w:jc w:val="both"/>
        <w:rPr>
          <w:rFonts w:cs="Cordia New"/>
          <w:szCs w:val="24"/>
          <w:lang w:bidi="th-TH"/>
        </w:rPr>
      </w:pPr>
    </w:p>
    <w:p w14:paraId="32B13C49" w14:textId="77777777" w:rsidR="00A5460F" w:rsidRPr="002D3F21" w:rsidRDefault="3B83E029" w:rsidP="3B83E029">
      <w:pPr>
        <w:pStyle w:val="ListParagraph"/>
        <w:numPr>
          <w:ilvl w:val="0"/>
          <w:numId w:val="5"/>
        </w:numPr>
        <w:tabs>
          <w:tab w:val="left" w:pos="2552"/>
        </w:tabs>
        <w:jc w:val="both"/>
        <w:rPr>
          <w:lang w:bidi="th-TH"/>
        </w:rPr>
      </w:pPr>
      <w:r w:rsidRPr="0E8C3765">
        <w:rPr>
          <w:rFonts w:ascii="Times New Roman" w:hAnsi="Times New Roman"/>
          <w:sz w:val="24"/>
          <w:szCs w:val="24"/>
        </w:rPr>
        <w:t xml:space="preserve">The </w:t>
      </w:r>
      <w:r w:rsidR="000C0BFB" w:rsidRPr="0E8C3765">
        <w:rPr>
          <w:rFonts w:ascii="Times New Roman" w:hAnsi="Times New Roman"/>
          <w:sz w:val="24"/>
          <w:szCs w:val="24"/>
        </w:rPr>
        <w:t xml:space="preserve">Appellant's </w:t>
      </w:r>
      <w:r w:rsidRPr="0E8C3765">
        <w:rPr>
          <w:rFonts w:ascii="Times New Roman" w:hAnsi="Times New Roman"/>
          <w:sz w:val="24"/>
          <w:szCs w:val="24"/>
        </w:rPr>
        <w:t xml:space="preserve">grounds for appeal also included concerns regarding legal liability and concerns over her ability to provide informed consent to receive the COVID-19 vaccine. These concerns do not </w:t>
      </w:r>
      <w:r w:rsidR="00483021">
        <w:rPr>
          <w:rFonts w:ascii="Times New Roman" w:hAnsi="Times New Roman"/>
          <w:sz w:val="24"/>
          <w:szCs w:val="24"/>
        </w:rPr>
        <w:t xml:space="preserve">form part of </w:t>
      </w:r>
      <w:r w:rsidRPr="0E8C3765">
        <w:rPr>
          <w:rFonts w:ascii="Times New Roman" w:hAnsi="Times New Roman"/>
          <w:sz w:val="24"/>
          <w:szCs w:val="24"/>
        </w:rPr>
        <w:t xml:space="preserve">the consideration of whether the decision to decline the exemption application based on medical contraindication was fair and reasonable. </w:t>
      </w:r>
    </w:p>
    <w:p w14:paraId="54628B7E" w14:textId="77777777" w:rsidR="00A5460F" w:rsidRPr="002D3F21" w:rsidRDefault="00A5460F" w:rsidP="3B83E029">
      <w:pPr>
        <w:tabs>
          <w:tab w:val="left" w:pos="2552"/>
        </w:tabs>
        <w:jc w:val="both"/>
        <w:rPr>
          <w:rFonts w:cs="Cordia New"/>
          <w:szCs w:val="24"/>
          <w:lang w:bidi="th-TH"/>
        </w:rPr>
      </w:pPr>
    </w:p>
    <w:p w14:paraId="638E4BD8" w14:textId="77777777" w:rsidR="00A5460F" w:rsidRPr="002D3F21" w:rsidRDefault="3B83E029" w:rsidP="3B83E029">
      <w:pPr>
        <w:pStyle w:val="ListParagraph"/>
        <w:numPr>
          <w:ilvl w:val="0"/>
          <w:numId w:val="5"/>
        </w:numPr>
        <w:tabs>
          <w:tab w:val="left" w:pos="2552"/>
        </w:tabs>
        <w:jc w:val="both"/>
        <w:rPr>
          <w:sz w:val="24"/>
          <w:szCs w:val="24"/>
          <w:lang w:bidi="th-TH"/>
        </w:rPr>
      </w:pPr>
      <w:r w:rsidRPr="0E8C3765">
        <w:rPr>
          <w:rFonts w:ascii="Times New Roman" w:hAnsi="Times New Roman" w:cs="Cordia New"/>
          <w:sz w:val="24"/>
          <w:szCs w:val="24"/>
          <w:lang w:bidi="th-TH"/>
        </w:rPr>
        <w:t xml:space="preserve">I note the </w:t>
      </w:r>
      <w:r w:rsidR="000C0BFB" w:rsidRPr="0E8C3765">
        <w:rPr>
          <w:rFonts w:ascii="Times New Roman" w:hAnsi="Times New Roman" w:cs="Cordia New"/>
          <w:sz w:val="24"/>
          <w:szCs w:val="24"/>
          <w:lang w:bidi="th-TH"/>
        </w:rPr>
        <w:t xml:space="preserve">Appellant's </w:t>
      </w:r>
      <w:r w:rsidRPr="0E8C3765">
        <w:rPr>
          <w:rFonts w:ascii="Times New Roman" w:hAnsi="Times New Roman" w:cs="Cordia New"/>
          <w:sz w:val="24"/>
          <w:szCs w:val="24"/>
          <w:lang w:bidi="th-TH"/>
        </w:rPr>
        <w:t>submission attached to the exemption application outlining her mental anguish and stress along with the financial impact as a result of the requirement to obtain a COVID-19 vaccination. The decision maker did not refer to these submissions</w:t>
      </w:r>
      <w:r w:rsidR="00483021">
        <w:rPr>
          <w:rFonts w:ascii="Times New Roman" w:hAnsi="Times New Roman" w:cs="Cordia New"/>
          <w:sz w:val="24"/>
          <w:szCs w:val="24"/>
          <w:lang w:bidi="th-TH"/>
        </w:rPr>
        <w:t xml:space="preserve">, and I accept that </w:t>
      </w:r>
      <w:r w:rsidRPr="0E8C3765">
        <w:rPr>
          <w:rFonts w:ascii="Times New Roman" w:hAnsi="Times New Roman" w:cs="Cordia New"/>
          <w:sz w:val="24"/>
          <w:szCs w:val="24"/>
          <w:lang w:bidi="th-TH"/>
        </w:rPr>
        <w:t>they were not relevant considerations for the purpose of the decision to be made. I accept that the circumstances that the Appellant now finds herself in have impacted her mental health and financial situation as outlined in her submission, however those circumstances do not render Dr Cleary</w:t>
      </w:r>
      <w:r w:rsidR="00E64235" w:rsidRPr="0E8C3765">
        <w:rPr>
          <w:rFonts w:ascii="Times New Roman" w:hAnsi="Times New Roman" w:cs="Cordia New"/>
          <w:sz w:val="24"/>
          <w:szCs w:val="24"/>
          <w:lang w:bidi="th-TH"/>
        </w:rPr>
        <w:t>'</w:t>
      </w:r>
      <w:r w:rsidRPr="0E8C3765">
        <w:rPr>
          <w:rFonts w:ascii="Times New Roman" w:hAnsi="Times New Roman" w:cs="Cordia New"/>
          <w:sz w:val="24"/>
          <w:szCs w:val="24"/>
          <w:lang w:bidi="th-TH"/>
        </w:rPr>
        <w:t xml:space="preserve">s decision unfair or unreasonable. </w:t>
      </w:r>
    </w:p>
    <w:p w14:paraId="65008CF6" w14:textId="77777777" w:rsidR="00A5460F" w:rsidRPr="002D3F21" w:rsidRDefault="00A5460F" w:rsidP="3B83E029">
      <w:pPr>
        <w:tabs>
          <w:tab w:val="left" w:pos="2552"/>
        </w:tabs>
        <w:jc w:val="both"/>
        <w:rPr>
          <w:rFonts w:cs="Cordia New"/>
          <w:szCs w:val="24"/>
          <w:lang w:bidi="th-TH"/>
        </w:rPr>
      </w:pPr>
    </w:p>
    <w:p w14:paraId="612C9DFF" w14:textId="77777777" w:rsidR="00A5460F" w:rsidRPr="002D3F21" w:rsidRDefault="3B83E029" w:rsidP="3B83E029">
      <w:pPr>
        <w:pStyle w:val="ListParagraph"/>
        <w:numPr>
          <w:ilvl w:val="0"/>
          <w:numId w:val="5"/>
        </w:numPr>
        <w:tabs>
          <w:tab w:val="left" w:pos="2552"/>
        </w:tabs>
        <w:jc w:val="both"/>
        <w:rPr>
          <w:sz w:val="24"/>
          <w:szCs w:val="24"/>
          <w:lang w:bidi="th-TH"/>
        </w:rPr>
      </w:pPr>
      <w:r w:rsidRPr="0E8C3765">
        <w:rPr>
          <w:rFonts w:ascii="Times New Roman" w:hAnsi="Times New Roman" w:cs="Cordia New"/>
          <w:sz w:val="24"/>
          <w:szCs w:val="24"/>
          <w:lang w:bidi="th-TH"/>
        </w:rPr>
        <w:t xml:space="preserve">The </w:t>
      </w:r>
      <w:r w:rsidR="000C0BFB" w:rsidRPr="0E8C3765">
        <w:rPr>
          <w:rFonts w:ascii="Times New Roman" w:hAnsi="Times New Roman" w:cs="Cordia New"/>
          <w:sz w:val="24"/>
          <w:szCs w:val="24"/>
          <w:lang w:bidi="th-TH"/>
        </w:rPr>
        <w:t xml:space="preserve">Appellant </w:t>
      </w:r>
      <w:r w:rsidRPr="0E8C3765">
        <w:rPr>
          <w:rFonts w:ascii="Times New Roman" w:hAnsi="Times New Roman" w:cs="Cordia New"/>
          <w:sz w:val="24"/>
          <w:szCs w:val="24"/>
          <w:lang w:bidi="th-TH"/>
        </w:rPr>
        <w:t xml:space="preserve">submitted in the exemption application that there is an option to undertake Pre-Anaesthetic Nursing Assessments via telephone either on location in the hospital, at an alternative government building or working from home. The decision maker determined that an alternative working arrangement was not an operationally feasible option, noting that it would not amount to an exceptional circumstance warranting exemption approval. </w:t>
      </w:r>
    </w:p>
    <w:p w14:paraId="07B6174E" w14:textId="77777777" w:rsidR="00A5460F" w:rsidRPr="002D3F21" w:rsidRDefault="00A5460F" w:rsidP="3B83E029">
      <w:pPr>
        <w:tabs>
          <w:tab w:val="left" w:pos="2552"/>
        </w:tabs>
        <w:jc w:val="both"/>
        <w:rPr>
          <w:rFonts w:cs="Cordia New"/>
          <w:szCs w:val="24"/>
          <w:lang w:bidi="th-TH"/>
        </w:rPr>
      </w:pPr>
    </w:p>
    <w:p w14:paraId="6FA8D2BD" w14:textId="77777777" w:rsidR="00A5460F" w:rsidRPr="002D3F21" w:rsidRDefault="3B83E029" w:rsidP="3B83E029">
      <w:pPr>
        <w:pStyle w:val="ListParagraph"/>
        <w:numPr>
          <w:ilvl w:val="0"/>
          <w:numId w:val="5"/>
        </w:numPr>
        <w:tabs>
          <w:tab w:val="left" w:pos="2552"/>
        </w:tabs>
        <w:jc w:val="both"/>
        <w:rPr>
          <w:sz w:val="24"/>
          <w:szCs w:val="24"/>
          <w:lang w:bidi="th-TH"/>
        </w:rPr>
      </w:pPr>
      <w:r w:rsidRPr="0E8C3765">
        <w:rPr>
          <w:rFonts w:ascii="Times New Roman" w:hAnsi="Times New Roman" w:cs="Cordia New"/>
          <w:sz w:val="24"/>
          <w:szCs w:val="24"/>
          <w:lang w:bidi="th-TH"/>
        </w:rPr>
        <w:t>Dr Cleary demonstrated that the Appellant</w:t>
      </w:r>
      <w:r w:rsidR="0072421E" w:rsidRPr="0E8C3765">
        <w:rPr>
          <w:rFonts w:ascii="Times New Roman" w:hAnsi="Times New Roman" w:cs="Cordia New"/>
          <w:sz w:val="24"/>
          <w:szCs w:val="24"/>
          <w:lang w:bidi="th-TH"/>
        </w:rPr>
        <w:t>'</w:t>
      </w:r>
      <w:r w:rsidRPr="0E8C3765">
        <w:rPr>
          <w:rFonts w:ascii="Times New Roman" w:hAnsi="Times New Roman" w:cs="Cordia New"/>
          <w:sz w:val="24"/>
          <w:szCs w:val="24"/>
          <w:lang w:bidi="th-TH"/>
        </w:rPr>
        <w:t xml:space="preserve">s human rights were considered and reasonably concluded that any limitation on such rights were justified by the need to ensure the readiness of the health system in responding to the COVID-19 pandemic, and to protect the lives of employees, patients, and the community they serve. </w:t>
      </w:r>
    </w:p>
    <w:p w14:paraId="3AA9A0D6" w14:textId="77777777" w:rsidR="00A5460F" w:rsidRPr="002D3F21" w:rsidRDefault="00A5460F" w:rsidP="3B83E029">
      <w:pPr>
        <w:tabs>
          <w:tab w:val="left" w:pos="2552"/>
        </w:tabs>
        <w:jc w:val="both"/>
        <w:rPr>
          <w:rFonts w:cs="Cordia New"/>
          <w:szCs w:val="24"/>
          <w:lang w:bidi="th-TH"/>
        </w:rPr>
      </w:pPr>
    </w:p>
    <w:p w14:paraId="188BF51B" w14:textId="77777777" w:rsidR="00A5460F" w:rsidRPr="002D3F21" w:rsidRDefault="000B2009" w:rsidP="3B83E029">
      <w:pPr>
        <w:pStyle w:val="ListParagraph"/>
        <w:numPr>
          <w:ilvl w:val="0"/>
          <w:numId w:val="5"/>
        </w:numPr>
        <w:tabs>
          <w:tab w:val="left" w:pos="2552"/>
        </w:tabs>
        <w:jc w:val="both"/>
        <w:rPr>
          <w:lang w:bidi="th-TH"/>
        </w:rPr>
      </w:pPr>
      <w:r w:rsidRPr="002D3F21">
        <w:rPr>
          <w:rFonts w:ascii="Times New Roman" w:hAnsi="Times New Roman"/>
          <w:sz w:val="24"/>
          <w:szCs w:val="24"/>
        </w:rPr>
        <w:t xml:space="preserve">The relevant principles in considering whether a decision is </w:t>
      </w:r>
      <w:r w:rsidR="00824016" w:rsidRPr="002D3F21">
        <w:rPr>
          <w:rFonts w:ascii="Times New Roman" w:hAnsi="Times New Roman"/>
          <w:sz w:val="24"/>
          <w:szCs w:val="24"/>
        </w:rPr>
        <w:t>'</w:t>
      </w:r>
      <w:r w:rsidRPr="002D3F21">
        <w:rPr>
          <w:rFonts w:ascii="Times New Roman" w:hAnsi="Times New Roman"/>
          <w:sz w:val="24"/>
          <w:szCs w:val="24"/>
        </w:rPr>
        <w:t>unreasonable</w:t>
      </w:r>
      <w:r w:rsidR="00824016" w:rsidRPr="002D3F21">
        <w:rPr>
          <w:rFonts w:ascii="Times New Roman" w:hAnsi="Times New Roman"/>
          <w:sz w:val="24"/>
          <w:szCs w:val="24"/>
        </w:rPr>
        <w:t>'</w:t>
      </w:r>
      <w:r w:rsidRPr="002D3F21">
        <w:rPr>
          <w:rFonts w:ascii="Times New Roman" w:hAnsi="Times New Roman"/>
          <w:sz w:val="24"/>
          <w:szCs w:val="24"/>
        </w:rPr>
        <w:t xml:space="preserve"> were outlined by Ryan J in </w:t>
      </w:r>
      <w:r w:rsidRPr="0E8C3765">
        <w:rPr>
          <w:rFonts w:ascii="Times New Roman" w:hAnsi="Times New Roman"/>
          <w:i/>
          <w:iCs/>
          <w:sz w:val="24"/>
          <w:szCs w:val="24"/>
        </w:rPr>
        <w:t>Gilmour v Waddell &amp; Ors</w:t>
      </w:r>
      <w:r w:rsidRPr="002D3F21">
        <w:rPr>
          <w:rFonts w:ascii="Times New Roman" w:hAnsi="Times New Roman"/>
          <w:sz w:val="24"/>
          <w:szCs w:val="24"/>
        </w:rPr>
        <w:t>:</w:t>
      </w:r>
      <w:r w:rsidRPr="002D3F21">
        <w:rPr>
          <w:rStyle w:val="FootnoteReference"/>
          <w:rFonts w:ascii="Times New Roman" w:hAnsi="Times New Roman"/>
          <w:sz w:val="24"/>
          <w:szCs w:val="24"/>
        </w:rPr>
        <w:footnoteReference w:id="10"/>
      </w:r>
      <w:r w:rsidRPr="002D3F21">
        <w:rPr>
          <w:rFonts w:ascii="Times New Roman" w:hAnsi="Times New Roman"/>
          <w:sz w:val="24"/>
          <w:szCs w:val="24"/>
        </w:rPr>
        <w:t xml:space="preserve">  </w:t>
      </w:r>
    </w:p>
    <w:p w14:paraId="4C46CB99" w14:textId="77777777" w:rsidR="00A5460F" w:rsidRPr="00E03CAC" w:rsidRDefault="00A5460F" w:rsidP="00530CE1">
      <w:pPr>
        <w:pStyle w:val="ListParagraph"/>
        <w:rPr>
          <w:rFonts w:ascii="Times New Roman" w:hAnsi="Times New Roman"/>
          <w:sz w:val="24"/>
          <w:szCs w:val="26"/>
        </w:rPr>
      </w:pPr>
    </w:p>
    <w:p w14:paraId="52FD8EAA" w14:textId="77777777" w:rsidR="00A5460F" w:rsidRDefault="00A5460F" w:rsidP="00300405">
      <w:pPr>
        <w:ind w:left="1134"/>
        <w:jc w:val="both"/>
        <w:rPr>
          <w:sz w:val="20"/>
          <w:szCs w:val="20"/>
        </w:rPr>
      </w:pPr>
      <w:r w:rsidRPr="002D3F21">
        <w:rPr>
          <w:sz w:val="20"/>
          <w:szCs w:val="20"/>
        </w:rPr>
        <w:t>The focus of a review of the reasonableness, or unreasonableness, of a decision is on whether the</w:t>
      </w:r>
      <w:r w:rsidR="00300405">
        <w:rPr>
          <w:sz w:val="20"/>
          <w:szCs w:val="20"/>
        </w:rPr>
        <w:t xml:space="preserve"> </w:t>
      </w:r>
      <w:r w:rsidRPr="002D3F21">
        <w:rPr>
          <w:sz w:val="20"/>
          <w:szCs w:val="20"/>
        </w:rPr>
        <w:t xml:space="preserve">decision is so unreasonable that it lacks intelligent justification in all of the relevant circumstances. </w:t>
      </w:r>
    </w:p>
    <w:p w14:paraId="6456E0AE" w14:textId="77777777" w:rsidR="00530CE1" w:rsidRPr="002D3F21" w:rsidRDefault="00530CE1" w:rsidP="00300405">
      <w:pPr>
        <w:ind w:left="1134"/>
        <w:jc w:val="both"/>
        <w:rPr>
          <w:szCs w:val="24"/>
        </w:rPr>
      </w:pPr>
    </w:p>
    <w:p w14:paraId="73F653A4" w14:textId="77777777" w:rsidR="00A5460F" w:rsidRDefault="00A5460F" w:rsidP="00300405">
      <w:pPr>
        <w:ind w:left="1134"/>
        <w:jc w:val="both"/>
        <w:rPr>
          <w:sz w:val="20"/>
          <w:szCs w:val="20"/>
        </w:rPr>
      </w:pPr>
      <w:r w:rsidRPr="002D3F21">
        <w:rPr>
          <w:sz w:val="20"/>
          <w:szCs w:val="20"/>
        </w:rPr>
        <w:lastRenderedPageBreak/>
        <w:t>The legal standard of unreasonableness is to be considered by reference to the subject matter, scope</w:t>
      </w:r>
      <w:r w:rsidR="00300405">
        <w:rPr>
          <w:sz w:val="20"/>
          <w:szCs w:val="20"/>
        </w:rPr>
        <w:t xml:space="preserve"> </w:t>
      </w:r>
      <w:r w:rsidRPr="002D3F21">
        <w:rPr>
          <w:sz w:val="20"/>
          <w:szCs w:val="20"/>
        </w:rPr>
        <w:t xml:space="preserve">and purpose of the statute conferring the power. </w:t>
      </w:r>
    </w:p>
    <w:p w14:paraId="4BF3B203" w14:textId="77777777" w:rsidR="00530CE1" w:rsidRPr="002D3F21" w:rsidRDefault="00530CE1" w:rsidP="00300405">
      <w:pPr>
        <w:ind w:left="1134"/>
        <w:jc w:val="both"/>
        <w:rPr>
          <w:szCs w:val="24"/>
        </w:rPr>
      </w:pPr>
    </w:p>
    <w:p w14:paraId="5F010B9C" w14:textId="77777777" w:rsidR="00A5460F" w:rsidRPr="002D3F21" w:rsidRDefault="00A5460F" w:rsidP="00300405">
      <w:pPr>
        <w:ind w:left="1134"/>
        <w:jc w:val="both"/>
        <w:rPr>
          <w:color w:val="000000" w:themeColor="text1"/>
          <w:szCs w:val="24"/>
        </w:rPr>
      </w:pPr>
      <w:r w:rsidRPr="002D3F21">
        <w:rPr>
          <w:sz w:val="20"/>
          <w:szCs w:val="20"/>
        </w:rPr>
        <w:t>A court considering an argument that a decision is unreasonable is not undertaking a merits review. If a decision may be reasonably justified, then it is not an unreasonable decision, even if a reviewing court might disagree with it.</w:t>
      </w:r>
      <w:r w:rsidRPr="002D3F21">
        <w:rPr>
          <w:rStyle w:val="FootnoteReference"/>
          <w:sz w:val="20"/>
          <w:szCs w:val="20"/>
        </w:rPr>
        <w:footnoteReference w:id="11"/>
      </w:r>
    </w:p>
    <w:p w14:paraId="46273670" w14:textId="77777777" w:rsidR="00A5460F" w:rsidRPr="00E03CAC" w:rsidRDefault="00A5460F" w:rsidP="00A5460F">
      <w:pPr>
        <w:pStyle w:val="ListParagraph"/>
        <w:rPr>
          <w:rFonts w:ascii="Times New Roman" w:hAnsi="Times New Roman"/>
          <w:sz w:val="24"/>
          <w:szCs w:val="26"/>
        </w:rPr>
      </w:pPr>
    </w:p>
    <w:p w14:paraId="69604D90" w14:textId="77777777" w:rsidR="00A5460F" w:rsidRPr="002D3F21" w:rsidRDefault="000B2009" w:rsidP="0E8C3765">
      <w:pPr>
        <w:pStyle w:val="ListParagraph"/>
        <w:numPr>
          <w:ilvl w:val="0"/>
          <w:numId w:val="5"/>
        </w:numPr>
        <w:tabs>
          <w:tab w:val="left" w:pos="2552"/>
        </w:tabs>
        <w:jc w:val="both"/>
        <w:rPr>
          <w:rFonts w:ascii="Times New Roman" w:eastAsiaTheme="minorEastAsia" w:hAnsi="Times New Roman"/>
          <w:sz w:val="24"/>
          <w:szCs w:val="24"/>
        </w:rPr>
      </w:pPr>
      <w:r w:rsidRPr="0E8C3765">
        <w:rPr>
          <w:rFonts w:ascii="Times New Roman" w:hAnsi="Times New Roman"/>
          <w:sz w:val="24"/>
          <w:szCs w:val="24"/>
        </w:rPr>
        <w:t xml:space="preserve">Applying the principles outlined above, I do not consider that the decision </w:t>
      </w:r>
      <w:r w:rsidR="003F6E71" w:rsidRPr="0E8C3765">
        <w:rPr>
          <w:rFonts w:ascii="Times New Roman" w:hAnsi="Times New Roman"/>
          <w:sz w:val="24"/>
          <w:szCs w:val="24"/>
        </w:rPr>
        <w:t>l</w:t>
      </w:r>
      <w:r w:rsidRPr="0E8C3765">
        <w:rPr>
          <w:rFonts w:ascii="Times New Roman" w:hAnsi="Times New Roman"/>
          <w:sz w:val="24"/>
          <w:szCs w:val="24"/>
        </w:rPr>
        <w:t xml:space="preserve">acks justification in the circumstances. </w:t>
      </w:r>
      <w:r w:rsidR="003F6E71" w:rsidRPr="0E8C3765">
        <w:rPr>
          <w:rFonts w:ascii="Times New Roman" w:hAnsi="Times New Roman"/>
          <w:sz w:val="24"/>
          <w:szCs w:val="24"/>
        </w:rPr>
        <w:t>B</w:t>
      </w:r>
      <w:r w:rsidR="00ED7D70" w:rsidRPr="0E8C3765">
        <w:rPr>
          <w:rFonts w:ascii="Times New Roman" w:hAnsi="Times New Roman"/>
          <w:sz w:val="24"/>
          <w:szCs w:val="24"/>
        </w:rPr>
        <w:t xml:space="preserve">ased on the information before me, I am satisfied that the </w:t>
      </w:r>
      <w:r w:rsidR="003F6E71" w:rsidRPr="0E8C3765">
        <w:rPr>
          <w:rFonts w:ascii="Times New Roman" w:hAnsi="Times New Roman"/>
          <w:sz w:val="24"/>
          <w:szCs w:val="24"/>
        </w:rPr>
        <w:t xml:space="preserve">internal review </w:t>
      </w:r>
      <w:r w:rsidR="00ED7D70" w:rsidRPr="0E8C3765">
        <w:rPr>
          <w:rFonts w:ascii="Times New Roman" w:hAnsi="Times New Roman"/>
          <w:sz w:val="24"/>
          <w:szCs w:val="24"/>
        </w:rPr>
        <w:t xml:space="preserve">decision </w:t>
      </w:r>
      <w:r w:rsidR="003F6E71" w:rsidRPr="0E8C3765">
        <w:rPr>
          <w:rFonts w:ascii="Times New Roman" w:hAnsi="Times New Roman"/>
          <w:sz w:val="24"/>
          <w:szCs w:val="24"/>
        </w:rPr>
        <w:t xml:space="preserve">confirming the decision not to grant the Appellant an exemption under the </w:t>
      </w:r>
      <w:r w:rsidR="005622B9" w:rsidRPr="0E8C3765">
        <w:rPr>
          <w:rFonts w:ascii="Times New Roman" w:hAnsi="Times New Roman"/>
          <w:sz w:val="24"/>
          <w:szCs w:val="24"/>
        </w:rPr>
        <w:t>Directive</w:t>
      </w:r>
      <w:r w:rsidR="003F6E71" w:rsidRPr="0E8C3765">
        <w:rPr>
          <w:rFonts w:ascii="Times New Roman" w:hAnsi="Times New Roman"/>
          <w:sz w:val="24"/>
          <w:szCs w:val="24"/>
        </w:rPr>
        <w:t xml:space="preserve"> </w:t>
      </w:r>
      <w:r w:rsidR="00474CA9" w:rsidRPr="0E8C3765">
        <w:rPr>
          <w:rFonts w:ascii="Times New Roman" w:hAnsi="Times New Roman"/>
          <w:color w:val="000000" w:themeColor="text1"/>
          <w:sz w:val="24"/>
          <w:szCs w:val="24"/>
        </w:rPr>
        <w:t>wa</w:t>
      </w:r>
      <w:r w:rsidR="00ED7D70" w:rsidRPr="0E8C3765">
        <w:rPr>
          <w:rFonts w:ascii="Times New Roman" w:hAnsi="Times New Roman"/>
          <w:color w:val="000000" w:themeColor="text1"/>
          <w:sz w:val="24"/>
          <w:szCs w:val="24"/>
        </w:rPr>
        <w:t>s fair and reasonable.</w:t>
      </w:r>
    </w:p>
    <w:p w14:paraId="2E8C7637" w14:textId="77777777" w:rsidR="00A5460F" w:rsidRPr="002D3F21" w:rsidRDefault="00A5460F" w:rsidP="00A5460F">
      <w:pPr>
        <w:pStyle w:val="ListParagraph"/>
        <w:tabs>
          <w:tab w:val="left" w:pos="2552"/>
        </w:tabs>
        <w:ind w:left="567"/>
        <w:jc w:val="both"/>
        <w:rPr>
          <w:rFonts w:ascii="Times New Roman" w:eastAsiaTheme="minorEastAsia" w:hAnsi="Times New Roman"/>
          <w:sz w:val="24"/>
          <w:szCs w:val="24"/>
        </w:rPr>
      </w:pPr>
    </w:p>
    <w:p w14:paraId="5D9FDAD8" w14:textId="77777777" w:rsidR="00241B61" w:rsidRPr="002D3F21" w:rsidRDefault="12364516" w:rsidP="0E8C3765">
      <w:pPr>
        <w:pStyle w:val="ListParagraph"/>
        <w:numPr>
          <w:ilvl w:val="0"/>
          <w:numId w:val="5"/>
        </w:numPr>
        <w:tabs>
          <w:tab w:val="left" w:pos="2552"/>
        </w:tabs>
        <w:jc w:val="both"/>
        <w:rPr>
          <w:rFonts w:ascii="Times New Roman" w:eastAsiaTheme="minorEastAsia" w:hAnsi="Times New Roman"/>
          <w:sz w:val="24"/>
          <w:szCs w:val="24"/>
        </w:rPr>
      </w:pPr>
      <w:r w:rsidRPr="0E8C3765">
        <w:rPr>
          <w:rFonts w:ascii="Times New Roman" w:hAnsi="Times New Roman"/>
          <w:sz w:val="24"/>
          <w:szCs w:val="24"/>
        </w:rPr>
        <w:t xml:space="preserve">I order accordingly. </w:t>
      </w:r>
    </w:p>
    <w:p w14:paraId="589B7984" w14:textId="77777777" w:rsidR="00241B61" w:rsidRPr="002D3F21" w:rsidRDefault="00241B61" w:rsidP="766A4D7E">
      <w:pPr>
        <w:pStyle w:val="ListParagraph"/>
        <w:jc w:val="both"/>
        <w:rPr>
          <w:rFonts w:ascii="Times New Roman" w:hAnsi="Times New Roman"/>
          <w:sz w:val="24"/>
          <w:szCs w:val="24"/>
        </w:rPr>
      </w:pPr>
    </w:p>
    <w:p w14:paraId="5F91B01E" w14:textId="77777777" w:rsidR="00241B61" w:rsidRPr="002D3F21" w:rsidRDefault="00241B61" w:rsidP="766A4D7E">
      <w:pPr>
        <w:autoSpaceDE w:val="0"/>
        <w:autoSpaceDN w:val="0"/>
        <w:adjustRightInd w:val="0"/>
        <w:ind w:left="567"/>
        <w:jc w:val="both"/>
        <w:rPr>
          <w:b/>
          <w:bCs/>
          <w:szCs w:val="24"/>
        </w:rPr>
      </w:pPr>
      <w:r w:rsidRPr="002D3F21">
        <w:rPr>
          <w:b/>
          <w:bCs/>
          <w:szCs w:val="24"/>
        </w:rPr>
        <w:t>Order</w:t>
      </w:r>
    </w:p>
    <w:p w14:paraId="731E4FB4" w14:textId="77777777" w:rsidR="00241B61" w:rsidRPr="002D3F21" w:rsidRDefault="00241B61" w:rsidP="766A4D7E">
      <w:pPr>
        <w:pStyle w:val="ListParagraph"/>
        <w:jc w:val="both"/>
        <w:rPr>
          <w:rFonts w:ascii="Times New Roman" w:hAnsi="Times New Roman"/>
          <w:sz w:val="24"/>
          <w:szCs w:val="24"/>
        </w:rPr>
      </w:pPr>
    </w:p>
    <w:p w14:paraId="6CE4A04D" w14:textId="77777777" w:rsidR="00990B3F" w:rsidRPr="006632DB" w:rsidRDefault="12364516" w:rsidP="006632DB">
      <w:pPr>
        <w:ind w:left="1134"/>
        <w:jc w:val="both"/>
        <w:rPr>
          <w:b/>
          <w:bCs/>
          <w:szCs w:val="24"/>
        </w:rPr>
      </w:pPr>
      <w:r w:rsidRPr="004C35CE">
        <w:rPr>
          <w:b/>
          <w:bCs/>
          <w:szCs w:val="24"/>
        </w:rPr>
        <w:t xml:space="preserve">Pursuant to s 562C(1)(a) of the </w:t>
      </w:r>
      <w:r w:rsidRPr="004C35CE">
        <w:rPr>
          <w:b/>
          <w:bCs/>
          <w:i/>
          <w:iCs/>
          <w:szCs w:val="24"/>
        </w:rPr>
        <w:t>Industrial Relations Act 2016</w:t>
      </w:r>
      <w:r w:rsidR="00182D0A">
        <w:rPr>
          <w:b/>
          <w:bCs/>
          <w:i/>
          <w:iCs/>
          <w:szCs w:val="24"/>
        </w:rPr>
        <w:t xml:space="preserve"> </w:t>
      </w:r>
      <w:r w:rsidR="00182D0A">
        <w:rPr>
          <w:b/>
          <w:bCs/>
          <w:szCs w:val="24"/>
        </w:rPr>
        <w:t>(Qld)</w:t>
      </w:r>
      <w:r w:rsidRPr="004C35CE">
        <w:rPr>
          <w:b/>
          <w:bCs/>
          <w:szCs w:val="24"/>
        </w:rPr>
        <w:t>, the decision appealed against is confirmed.</w:t>
      </w:r>
    </w:p>
    <w:sectPr w:rsidR="00990B3F" w:rsidRPr="006632DB" w:rsidSect="00865A0A">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BBEE" w14:textId="77777777" w:rsidR="00F43387" w:rsidRDefault="00F43387" w:rsidP="00990B3F">
      <w:pPr>
        <w:rPr>
          <w:lang w:bidi="th-TH"/>
        </w:rPr>
      </w:pPr>
      <w:r>
        <w:rPr>
          <w:lang w:bidi="th-TH"/>
        </w:rPr>
        <w:separator/>
      </w:r>
    </w:p>
  </w:endnote>
  <w:endnote w:type="continuationSeparator" w:id="0">
    <w:p w14:paraId="6EDA1566" w14:textId="77777777" w:rsidR="00F43387" w:rsidRDefault="00F43387" w:rsidP="00990B3F">
      <w:pPr>
        <w:rPr>
          <w:lang w:bidi="th-TH"/>
        </w:rPr>
      </w:pPr>
      <w:r>
        <w:rPr>
          <w:lang w:bidi="th-TH"/>
        </w:rPr>
        <w:continuationSeparator/>
      </w:r>
    </w:p>
  </w:endnote>
  <w:endnote w:type="continuationNotice" w:id="1">
    <w:p w14:paraId="5AE66F34" w14:textId="77777777" w:rsidR="00F43387" w:rsidRDefault="00F43387">
      <w:pPr>
        <w:rPr>
          <w:lang w:bidi="th-T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rdia New">
    <w:panose1 w:val="020B0304020202020204"/>
    <w:charset w:val="DE"/>
    <w:family w:val="roman"/>
    <w:pitch w:val="variable"/>
    <w:sig w:usb0="01000003" w:usb1="00000000" w:usb2="00000000" w:usb3="00000000" w:csb0="00010001"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5A8C" w14:textId="77777777" w:rsidR="00F43387" w:rsidRDefault="00F43387" w:rsidP="00990B3F">
      <w:pPr>
        <w:rPr>
          <w:lang w:bidi="th-TH"/>
        </w:rPr>
      </w:pPr>
      <w:r>
        <w:rPr>
          <w:lang w:bidi="th-TH"/>
        </w:rPr>
        <w:separator/>
      </w:r>
    </w:p>
  </w:footnote>
  <w:footnote w:type="continuationSeparator" w:id="0">
    <w:p w14:paraId="2CE00C4A" w14:textId="77777777" w:rsidR="00F43387" w:rsidRDefault="00F43387" w:rsidP="00990B3F">
      <w:pPr>
        <w:rPr>
          <w:lang w:bidi="th-TH"/>
        </w:rPr>
      </w:pPr>
      <w:r>
        <w:rPr>
          <w:lang w:bidi="th-TH"/>
        </w:rPr>
        <w:continuationSeparator/>
      </w:r>
    </w:p>
  </w:footnote>
  <w:footnote w:type="continuationNotice" w:id="1">
    <w:p w14:paraId="19BBC152" w14:textId="77777777" w:rsidR="00F43387" w:rsidRDefault="00F43387">
      <w:pPr>
        <w:rPr>
          <w:lang w:bidi="th-TH"/>
        </w:rPr>
      </w:pPr>
    </w:p>
  </w:footnote>
  <w:footnote w:id="2">
    <w:p w14:paraId="0DD95B36" w14:textId="77777777" w:rsidR="001F6AC0" w:rsidRDefault="00072612" w:rsidP="00B74F26">
      <w:pPr>
        <w:pStyle w:val="FootnoteText"/>
        <w:jc w:val="both"/>
      </w:pPr>
      <w:r w:rsidRPr="00B74F26">
        <w:rPr>
          <w:rStyle w:val="FootnoteReference"/>
          <w:szCs w:val="20"/>
          <w:lang w:bidi="th-TH"/>
        </w:rPr>
        <w:footnoteRef/>
      </w:r>
      <w:r w:rsidRPr="00B74F26">
        <w:rPr>
          <w:szCs w:val="20"/>
          <w:lang w:bidi="th-TH"/>
        </w:rPr>
        <w:t xml:space="preserve"> </w:t>
      </w:r>
      <w:r w:rsidRPr="00B74F26">
        <w:rPr>
          <w:i/>
          <w:iCs/>
          <w:szCs w:val="20"/>
          <w:lang w:bidi="th-TH"/>
        </w:rPr>
        <w:t>Higgins v State of Queensland (Queensland Health)</w:t>
      </w:r>
      <w:r w:rsidRPr="00B74F26">
        <w:rPr>
          <w:szCs w:val="20"/>
          <w:lang w:bidi="th-TH"/>
        </w:rPr>
        <w:t xml:space="preserve"> [2022] QIRC 030, [12]; </w:t>
      </w:r>
      <w:r w:rsidRPr="00B74F26">
        <w:rPr>
          <w:i/>
          <w:iCs/>
          <w:szCs w:val="20"/>
          <w:lang w:bidi="th-TH"/>
        </w:rPr>
        <w:t>Graffunder v State of Queensland (Queensland Health)</w:t>
      </w:r>
      <w:r w:rsidRPr="00B74F26">
        <w:rPr>
          <w:szCs w:val="20"/>
          <w:lang w:bidi="th-TH"/>
        </w:rPr>
        <w:t xml:space="preserve"> [2022] QIRC 76, [16].</w:t>
      </w:r>
    </w:p>
  </w:footnote>
  <w:footnote w:id="3">
    <w:p w14:paraId="668CEFF8" w14:textId="77777777" w:rsidR="001F6AC0" w:rsidRDefault="00172899" w:rsidP="00B74F26">
      <w:pPr>
        <w:pStyle w:val="FootnoteText"/>
        <w:jc w:val="both"/>
      </w:pPr>
      <w:r w:rsidRPr="00B74F26">
        <w:rPr>
          <w:rStyle w:val="FootnoteReference"/>
          <w:szCs w:val="20"/>
          <w:lang w:bidi="th-TH"/>
        </w:rPr>
        <w:footnoteRef/>
      </w:r>
      <w:r w:rsidRPr="00B74F26">
        <w:rPr>
          <w:szCs w:val="20"/>
          <w:lang w:bidi="th-TH"/>
        </w:rPr>
        <w:t xml:space="preserve"> </w:t>
      </w:r>
      <w:r w:rsidRPr="00B74F26">
        <w:rPr>
          <w:i/>
          <w:iCs/>
          <w:szCs w:val="20"/>
          <w:lang w:bidi="th-TH"/>
        </w:rPr>
        <w:t>Industrial Relations Act 2016</w:t>
      </w:r>
      <w:r w:rsidRPr="00B74F26">
        <w:rPr>
          <w:szCs w:val="20"/>
          <w:lang w:bidi="th-TH"/>
        </w:rPr>
        <w:t xml:space="preserve"> (Qld) </w:t>
      </w:r>
      <w:r w:rsidRPr="00B74F26">
        <w:rPr>
          <w:iCs/>
          <w:szCs w:val="20"/>
          <w:lang w:bidi="th-TH"/>
        </w:rPr>
        <w:t>s 562B(2) ('IR Act')</w:t>
      </w:r>
      <w:r w:rsidRPr="00B74F26">
        <w:rPr>
          <w:szCs w:val="20"/>
          <w:lang w:bidi="th-TH"/>
        </w:rPr>
        <w:t>.</w:t>
      </w:r>
    </w:p>
  </w:footnote>
  <w:footnote w:id="4">
    <w:p w14:paraId="47DEF6A1" w14:textId="77777777" w:rsidR="001F6AC0" w:rsidRDefault="00172899" w:rsidP="00B74F26">
      <w:pPr>
        <w:pStyle w:val="FootnoteText"/>
        <w:jc w:val="both"/>
      </w:pPr>
      <w:r w:rsidRPr="00B74F26">
        <w:rPr>
          <w:rStyle w:val="FootnoteReference"/>
          <w:szCs w:val="20"/>
          <w:lang w:bidi="th-TH"/>
        </w:rPr>
        <w:footnoteRef/>
      </w:r>
      <w:r w:rsidRPr="00B74F26">
        <w:rPr>
          <w:szCs w:val="20"/>
          <w:lang w:bidi="th-TH"/>
        </w:rPr>
        <w:t xml:space="preserve"> </w:t>
      </w:r>
      <w:r w:rsidRPr="00B74F26">
        <w:rPr>
          <w:i/>
          <w:szCs w:val="20"/>
          <w:lang w:bidi="th-TH"/>
        </w:rPr>
        <w:t>Brandy v Human Rights and Equal Opportunity Commission</w:t>
      </w:r>
      <w:r w:rsidRPr="00B74F26">
        <w:rPr>
          <w:szCs w:val="20"/>
          <w:lang w:bidi="th-TH"/>
        </w:rPr>
        <w:t xml:space="preserve"> [1995] HCA 10; (1995) 183 CLR 245, 261.</w:t>
      </w:r>
    </w:p>
  </w:footnote>
  <w:footnote w:id="5">
    <w:p w14:paraId="4FA849CA" w14:textId="77777777" w:rsidR="001F6AC0" w:rsidRDefault="00172899" w:rsidP="00B74F26">
      <w:pPr>
        <w:pStyle w:val="FootnoteText"/>
        <w:tabs>
          <w:tab w:val="left" w:pos="0"/>
          <w:tab w:val="left" w:pos="567"/>
          <w:tab w:val="left" w:pos="1134"/>
          <w:tab w:val="left" w:pos="1701"/>
          <w:tab w:val="left" w:pos="2268"/>
          <w:tab w:val="left" w:pos="2835"/>
          <w:tab w:val="left" w:pos="3402"/>
          <w:tab w:val="left" w:pos="3969"/>
          <w:tab w:val="left" w:pos="4536"/>
          <w:tab w:val="left" w:pos="5103"/>
          <w:tab w:val="left" w:pos="5670"/>
        </w:tabs>
        <w:ind w:left="72" w:hanging="72"/>
        <w:jc w:val="both"/>
      </w:pPr>
      <w:r w:rsidRPr="00B74F26">
        <w:rPr>
          <w:rStyle w:val="FootnoteReference"/>
          <w:szCs w:val="20"/>
          <w:lang w:bidi="th-TH"/>
        </w:rPr>
        <w:footnoteRef/>
      </w:r>
      <w:r w:rsidRPr="00B74F26">
        <w:rPr>
          <w:szCs w:val="20"/>
          <w:lang w:bidi="th-TH"/>
        </w:rPr>
        <w:t xml:space="preserve"> </w:t>
      </w:r>
      <w:r w:rsidRPr="00B74F26">
        <w:rPr>
          <w:i/>
          <w:szCs w:val="20"/>
          <w:lang w:bidi="th-TH"/>
        </w:rPr>
        <w:t>Goodall v State of Queensland</w:t>
      </w:r>
      <w:r w:rsidRPr="00B74F26">
        <w:rPr>
          <w:szCs w:val="20"/>
          <w:lang w:bidi="th-TH"/>
        </w:rPr>
        <w:t xml:space="preserve"> (Supreme Court of Queensland, Dalton J, 10 October 2018), 5 as to the former, equivalent provisions in s 201 of the PS Act. </w:t>
      </w:r>
    </w:p>
  </w:footnote>
  <w:footnote w:id="6">
    <w:p w14:paraId="0623B948" w14:textId="77777777" w:rsidR="001F6AC0" w:rsidRDefault="00172899" w:rsidP="00B74F26">
      <w:pPr>
        <w:pStyle w:val="FootnoteText"/>
        <w:jc w:val="both"/>
      </w:pPr>
      <w:r w:rsidRPr="00B74F26">
        <w:rPr>
          <w:rStyle w:val="FootnoteReference"/>
          <w:szCs w:val="20"/>
          <w:lang w:bidi="th-TH"/>
        </w:rPr>
        <w:footnoteRef/>
      </w:r>
      <w:r w:rsidRPr="00B74F26">
        <w:rPr>
          <w:i/>
          <w:szCs w:val="20"/>
          <w:lang w:bidi="th-TH"/>
        </w:rPr>
        <w:t xml:space="preserve"> </w:t>
      </w:r>
      <w:r w:rsidRPr="00B74F26">
        <w:rPr>
          <w:iCs/>
          <w:szCs w:val="20"/>
          <w:lang w:bidi="th-TH"/>
        </w:rPr>
        <w:t>IR Act</w:t>
      </w:r>
      <w:r w:rsidRPr="00B74F26">
        <w:rPr>
          <w:i/>
          <w:szCs w:val="20"/>
          <w:lang w:bidi="th-TH"/>
        </w:rPr>
        <w:t xml:space="preserve"> </w:t>
      </w:r>
      <w:r w:rsidRPr="00B74F26">
        <w:rPr>
          <w:iCs/>
          <w:szCs w:val="20"/>
          <w:lang w:bidi="th-TH"/>
        </w:rPr>
        <w:t>s 562B(3)</w:t>
      </w:r>
      <w:r w:rsidRPr="00B74F26">
        <w:rPr>
          <w:szCs w:val="20"/>
          <w:lang w:bidi="th-TH"/>
        </w:rPr>
        <w:t>.</w:t>
      </w:r>
    </w:p>
  </w:footnote>
  <w:footnote w:id="7">
    <w:p w14:paraId="2387AC0A" w14:textId="77777777" w:rsidR="001F6AC0" w:rsidRDefault="00DD2DE9" w:rsidP="00B74F26">
      <w:pPr>
        <w:pStyle w:val="FootnoteText"/>
        <w:jc w:val="both"/>
      </w:pPr>
      <w:r w:rsidRPr="00B74F26">
        <w:rPr>
          <w:rStyle w:val="FootnoteReference"/>
          <w:szCs w:val="20"/>
          <w:lang w:bidi="th-TH"/>
        </w:rPr>
        <w:footnoteRef/>
      </w:r>
      <w:r w:rsidRPr="00B74F26">
        <w:rPr>
          <w:szCs w:val="20"/>
          <w:lang w:bidi="th-TH"/>
        </w:rPr>
        <w:t xml:space="preserve"> citing </w:t>
      </w:r>
      <w:r w:rsidRPr="00B74F26">
        <w:rPr>
          <w:i/>
          <w:iCs/>
          <w:szCs w:val="20"/>
          <w:lang w:bidi="th-TH"/>
        </w:rPr>
        <w:t>Slykerman v State of Queensland (Queensland Health)</w:t>
      </w:r>
      <w:r w:rsidRPr="00B74F26">
        <w:rPr>
          <w:szCs w:val="20"/>
          <w:lang w:bidi="th-TH"/>
        </w:rPr>
        <w:t xml:space="preserve"> [2022] QIRC 039.</w:t>
      </w:r>
    </w:p>
  </w:footnote>
  <w:footnote w:id="8">
    <w:p w14:paraId="26DFCDE8" w14:textId="77777777" w:rsidR="001F6AC0" w:rsidRDefault="00472DE1">
      <w:pPr>
        <w:pStyle w:val="FootnoteText"/>
      </w:pPr>
      <w:r>
        <w:rPr>
          <w:rStyle w:val="FootnoteReference"/>
          <w:lang w:bidi="th-TH"/>
        </w:rPr>
        <w:footnoteRef/>
      </w:r>
      <w:r>
        <w:rPr>
          <w:lang w:bidi="th-TH"/>
        </w:rPr>
        <w:t xml:space="preserve"> </w:t>
      </w:r>
      <w:r w:rsidR="006B389D">
        <w:rPr>
          <w:lang w:bidi="th-TH"/>
        </w:rPr>
        <w:t xml:space="preserve">'The Committee' being the </w:t>
      </w:r>
      <w:r w:rsidR="006B389D" w:rsidRPr="00472DE1">
        <w:rPr>
          <w:lang w:bidi="th-TH"/>
        </w:rPr>
        <w:t>Department of Health</w:t>
      </w:r>
      <w:r w:rsidR="006B389D">
        <w:rPr>
          <w:lang w:bidi="th-TH"/>
        </w:rPr>
        <w:t>'</w:t>
      </w:r>
      <w:r w:rsidR="006B389D" w:rsidRPr="00472DE1">
        <w:rPr>
          <w:lang w:bidi="th-TH"/>
        </w:rPr>
        <w:t>s review committee</w:t>
      </w:r>
      <w:r w:rsidR="006B389D">
        <w:rPr>
          <w:lang w:bidi="th-TH"/>
        </w:rPr>
        <w:t>.</w:t>
      </w:r>
    </w:p>
  </w:footnote>
  <w:footnote w:id="9">
    <w:p w14:paraId="72EB01B0" w14:textId="77777777" w:rsidR="001F6AC0" w:rsidRDefault="3B83E029" w:rsidP="00B74F26">
      <w:pPr>
        <w:jc w:val="both"/>
      </w:pPr>
      <w:r w:rsidRPr="00B74F26">
        <w:rPr>
          <w:rStyle w:val="FootnoteReference"/>
          <w:sz w:val="20"/>
          <w:szCs w:val="20"/>
          <w:lang w:bidi="th-TH"/>
        </w:rPr>
        <w:footnoteRef/>
      </w:r>
      <w:r w:rsidRPr="00B74F26">
        <w:rPr>
          <w:sz w:val="20"/>
          <w:szCs w:val="20"/>
          <w:lang w:bidi="th-TH"/>
        </w:rPr>
        <w:t xml:space="preserve"> </w:t>
      </w:r>
      <w:r w:rsidRPr="00B74F26">
        <w:rPr>
          <w:i/>
          <w:iCs/>
          <w:sz w:val="20"/>
          <w:szCs w:val="20"/>
          <w:lang w:bidi="th-TH"/>
        </w:rPr>
        <w:t>Graffunder v State of Queensland (Queensland Health)</w:t>
      </w:r>
      <w:r w:rsidRPr="00B74F26">
        <w:rPr>
          <w:sz w:val="20"/>
          <w:szCs w:val="20"/>
          <w:lang w:bidi="th-TH"/>
        </w:rPr>
        <w:t xml:space="preserve"> [2022] QIRC 76</w:t>
      </w:r>
      <w:r w:rsidR="00B74F26" w:rsidRPr="00B74F26">
        <w:rPr>
          <w:sz w:val="20"/>
          <w:szCs w:val="20"/>
          <w:lang w:bidi="th-TH"/>
        </w:rPr>
        <w:t>.</w:t>
      </w:r>
    </w:p>
  </w:footnote>
  <w:footnote w:id="10">
    <w:p w14:paraId="3CACB6EC" w14:textId="77777777" w:rsidR="001F6AC0" w:rsidRDefault="766A4D7E" w:rsidP="00B74F26">
      <w:pPr>
        <w:pStyle w:val="FootnoteText"/>
        <w:jc w:val="both"/>
      </w:pPr>
      <w:r w:rsidRPr="00B74F26">
        <w:rPr>
          <w:rStyle w:val="FootnoteReference"/>
          <w:szCs w:val="20"/>
        </w:rPr>
        <w:footnoteRef/>
      </w:r>
      <w:r w:rsidRPr="00B74F26">
        <w:rPr>
          <w:szCs w:val="20"/>
        </w:rPr>
        <w:t xml:space="preserve"> [2019] QSC 170.</w:t>
      </w:r>
    </w:p>
  </w:footnote>
  <w:footnote w:id="11">
    <w:p w14:paraId="48F24A7C" w14:textId="77777777" w:rsidR="001F6AC0" w:rsidRDefault="00A5460F" w:rsidP="00B74F26">
      <w:pPr>
        <w:pStyle w:val="FootnoteText"/>
        <w:jc w:val="both"/>
      </w:pPr>
      <w:r w:rsidRPr="00B74F26">
        <w:rPr>
          <w:rStyle w:val="FootnoteReference"/>
          <w:szCs w:val="20"/>
          <w:lang w:bidi="th-TH"/>
        </w:rPr>
        <w:footnoteRef/>
      </w:r>
      <w:r w:rsidRPr="00B74F26">
        <w:rPr>
          <w:szCs w:val="20"/>
          <w:lang w:bidi="th-TH"/>
        </w:rPr>
        <w:t xml:space="preserve"> Ibid [207]-[209].</w:t>
      </w:r>
      <w:r w:rsidRPr="00B74F26">
        <w:rPr>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1E05" w14:textId="77777777" w:rsidR="00865A0A" w:rsidRDefault="00865A0A">
    <w:pPr>
      <w:pStyle w:val="Header"/>
      <w:jc w:val="center"/>
      <w:rPr>
        <w:lang w:bidi="th-TH"/>
      </w:rPr>
    </w:pPr>
    <w:r>
      <w:rPr>
        <w:lang w:bidi="th-TH"/>
      </w:rPr>
      <w:fldChar w:fldCharType="begin"/>
    </w:r>
    <w:r>
      <w:rPr>
        <w:lang w:bidi="th-TH"/>
      </w:rPr>
      <w:instrText xml:space="preserve"> PAGE   \* MERGEFORMAT </w:instrText>
    </w:r>
    <w:r>
      <w:rPr>
        <w:lang w:bidi="th-TH"/>
      </w:rPr>
      <w:fldChar w:fldCharType="separate"/>
    </w:r>
    <w:r w:rsidR="009E11DB">
      <w:rPr>
        <w:noProof/>
        <w:lang w:bidi="th-TH"/>
      </w:rPr>
      <w:t>2</w:t>
    </w:r>
    <w:r>
      <w:rPr>
        <w:lang w:bidi="th-TH"/>
      </w:rPr>
      <w:fldChar w:fldCharType="end"/>
    </w:r>
  </w:p>
  <w:p w14:paraId="35E0A39F" w14:textId="77777777" w:rsidR="00865A0A" w:rsidRDefault="00865A0A">
    <w:pPr>
      <w:pStyle w:val="Header"/>
      <w:rPr>
        <w:lang w:bidi="th-T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D4B"/>
    <w:multiLevelType w:val="hybridMultilevel"/>
    <w:tmpl w:val="FFFFFFFF"/>
    <w:lvl w:ilvl="0" w:tplc="7D5EED2A">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 w15:restartNumberingAfterBreak="0">
    <w:nsid w:val="07E330E8"/>
    <w:multiLevelType w:val="hybridMultilevel"/>
    <w:tmpl w:val="FFFFFFFF"/>
    <w:lvl w:ilvl="0" w:tplc="5D3C3A68">
      <w:start w:val="1"/>
      <w:numFmt w:val="bullet"/>
      <w:lvlText w:val=""/>
      <w:lvlJc w:val="left"/>
      <w:pPr>
        <w:ind w:left="1800" w:hanging="360"/>
      </w:pPr>
      <w:rPr>
        <w:rFonts w:ascii="Symbol" w:hAnsi="Symbol" w:hint="default"/>
      </w:rPr>
    </w:lvl>
    <w:lvl w:ilvl="1" w:tplc="F0F0E738">
      <w:start w:val="1"/>
      <w:numFmt w:val="bullet"/>
      <w:lvlText w:val="o"/>
      <w:lvlJc w:val="left"/>
      <w:pPr>
        <w:ind w:left="2520" w:hanging="360"/>
      </w:pPr>
      <w:rPr>
        <w:rFonts w:ascii="Courier New" w:hAnsi="Courier New" w:hint="default"/>
      </w:rPr>
    </w:lvl>
    <w:lvl w:ilvl="2" w:tplc="E9BEA382">
      <w:start w:val="1"/>
      <w:numFmt w:val="bullet"/>
      <w:lvlText w:val=""/>
      <w:lvlJc w:val="left"/>
      <w:pPr>
        <w:ind w:left="3240" w:hanging="360"/>
      </w:pPr>
      <w:rPr>
        <w:rFonts w:ascii="Wingdings" w:hAnsi="Wingdings" w:hint="default"/>
      </w:rPr>
    </w:lvl>
    <w:lvl w:ilvl="3" w:tplc="5B5C433A">
      <w:start w:val="1"/>
      <w:numFmt w:val="bullet"/>
      <w:lvlText w:val=""/>
      <w:lvlJc w:val="left"/>
      <w:pPr>
        <w:ind w:left="3960" w:hanging="360"/>
      </w:pPr>
      <w:rPr>
        <w:rFonts w:ascii="Symbol" w:hAnsi="Symbol" w:hint="default"/>
      </w:rPr>
    </w:lvl>
    <w:lvl w:ilvl="4" w:tplc="81146BFE">
      <w:start w:val="1"/>
      <w:numFmt w:val="bullet"/>
      <w:lvlText w:val="o"/>
      <w:lvlJc w:val="left"/>
      <w:pPr>
        <w:ind w:left="4680" w:hanging="360"/>
      </w:pPr>
      <w:rPr>
        <w:rFonts w:ascii="Courier New" w:hAnsi="Courier New" w:hint="default"/>
      </w:rPr>
    </w:lvl>
    <w:lvl w:ilvl="5" w:tplc="6C2AF8F8">
      <w:start w:val="1"/>
      <w:numFmt w:val="bullet"/>
      <w:lvlText w:val=""/>
      <w:lvlJc w:val="left"/>
      <w:pPr>
        <w:ind w:left="5400" w:hanging="360"/>
      </w:pPr>
      <w:rPr>
        <w:rFonts w:ascii="Wingdings" w:hAnsi="Wingdings" w:hint="default"/>
      </w:rPr>
    </w:lvl>
    <w:lvl w:ilvl="6" w:tplc="ED6E51CC">
      <w:start w:val="1"/>
      <w:numFmt w:val="bullet"/>
      <w:lvlText w:val=""/>
      <w:lvlJc w:val="left"/>
      <w:pPr>
        <w:ind w:left="6120" w:hanging="360"/>
      </w:pPr>
      <w:rPr>
        <w:rFonts w:ascii="Symbol" w:hAnsi="Symbol" w:hint="default"/>
      </w:rPr>
    </w:lvl>
    <w:lvl w:ilvl="7" w:tplc="5F2216DE">
      <w:start w:val="1"/>
      <w:numFmt w:val="bullet"/>
      <w:lvlText w:val="o"/>
      <w:lvlJc w:val="left"/>
      <w:pPr>
        <w:ind w:left="6840" w:hanging="360"/>
      </w:pPr>
      <w:rPr>
        <w:rFonts w:ascii="Courier New" w:hAnsi="Courier New" w:hint="default"/>
      </w:rPr>
    </w:lvl>
    <w:lvl w:ilvl="8" w:tplc="A79458F8">
      <w:start w:val="1"/>
      <w:numFmt w:val="bullet"/>
      <w:lvlText w:val=""/>
      <w:lvlJc w:val="left"/>
      <w:pPr>
        <w:ind w:left="7560" w:hanging="360"/>
      </w:pPr>
      <w:rPr>
        <w:rFonts w:ascii="Wingdings" w:hAnsi="Wingdings" w:hint="default"/>
      </w:rPr>
    </w:lvl>
  </w:abstractNum>
  <w:abstractNum w:abstractNumId="2" w15:restartNumberingAfterBreak="0">
    <w:nsid w:val="0B2C481F"/>
    <w:multiLevelType w:val="hybridMultilevel"/>
    <w:tmpl w:val="FFFFFFFF"/>
    <w:lvl w:ilvl="0" w:tplc="221E5F04">
      <w:start w:val="1"/>
      <w:numFmt w:val="bullet"/>
      <w:lvlText w:val=""/>
      <w:lvlJc w:val="left"/>
      <w:pPr>
        <w:ind w:left="720" w:hanging="360"/>
      </w:pPr>
      <w:rPr>
        <w:rFonts w:ascii="Symbol" w:hAnsi="Symbol" w:hint="default"/>
      </w:rPr>
    </w:lvl>
    <w:lvl w:ilvl="1" w:tplc="B46AB77A">
      <w:start w:val="1"/>
      <w:numFmt w:val="bullet"/>
      <w:lvlText w:val=""/>
      <w:lvlJc w:val="left"/>
      <w:pPr>
        <w:ind w:left="1440" w:hanging="360"/>
      </w:pPr>
      <w:rPr>
        <w:rFonts w:ascii="Symbol" w:hAnsi="Symbol" w:hint="default"/>
      </w:rPr>
    </w:lvl>
    <w:lvl w:ilvl="2" w:tplc="4D844B2A">
      <w:start w:val="1"/>
      <w:numFmt w:val="bullet"/>
      <w:lvlText w:val=""/>
      <w:lvlJc w:val="left"/>
      <w:pPr>
        <w:ind w:left="2160" w:hanging="360"/>
      </w:pPr>
      <w:rPr>
        <w:rFonts w:ascii="Wingdings" w:hAnsi="Wingdings" w:hint="default"/>
      </w:rPr>
    </w:lvl>
    <w:lvl w:ilvl="3" w:tplc="E558F44A">
      <w:start w:val="1"/>
      <w:numFmt w:val="bullet"/>
      <w:lvlText w:val=""/>
      <w:lvlJc w:val="left"/>
      <w:pPr>
        <w:ind w:left="2880" w:hanging="360"/>
      </w:pPr>
      <w:rPr>
        <w:rFonts w:ascii="Symbol" w:hAnsi="Symbol" w:hint="default"/>
      </w:rPr>
    </w:lvl>
    <w:lvl w:ilvl="4" w:tplc="7974EA9A">
      <w:start w:val="1"/>
      <w:numFmt w:val="bullet"/>
      <w:lvlText w:val="o"/>
      <w:lvlJc w:val="left"/>
      <w:pPr>
        <w:ind w:left="3600" w:hanging="360"/>
      </w:pPr>
      <w:rPr>
        <w:rFonts w:ascii="Courier New" w:hAnsi="Courier New" w:hint="default"/>
      </w:rPr>
    </w:lvl>
    <w:lvl w:ilvl="5" w:tplc="C5003A02">
      <w:start w:val="1"/>
      <w:numFmt w:val="bullet"/>
      <w:lvlText w:val=""/>
      <w:lvlJc w:val="left"/>
      <w:pPr>
        <w:ind w:left="4320" w:hanging="360"/>
      </w:pPr>
      <w:rPr>
        <w:rFonts w:ascii="Wingdings" w:hAnsi="Wingdings" w:hint="default"/>
      </w:rPr>
    </w:lvl>
    <w:lvl w:ilvl="6" w:tplc="E4DEDE72">
      <w:start w:val="1"/>
      <w:numFmt w:val="bullet"/>
      <w:lvlText w:val=""/>
      <w:lvlJc w:val="left"/>
      <w:pPr>
        <w:ind w:left="5040" w:hanging="360"/>
      </w:pPr>
      <w:rPr>
        <w:rFonts w:ascii="Symbol" w:hAnsi="Symbol" w:hint="default"/>
      </w:rPr>
    </w:lvl>
    <w:lvl w:ilvl="7" w:tplc="4C4A3C8C">
      <w:start w:val="1"/>
      <w:numFmt w:val="bullet"/>
      <w:lvlText w:val="o"/>
      <w:lvlJc w:val="left"/>
      <w:pPr>
        <w:ind w:left="5760" w:hanging="360"/>
      </w:pPr>
      <w:rPr>
        <w:rFonts w:ascii="Courier New" w:hAnsi="Courier New" w:hint="default"/>
      </w:rPr>
    </w:lvl>
    <w:lvl w:ilvl="8" w:tplc="2E58693E">
      <w:start w:val="1"/>
      <w:numFmt w:val="bullet"/>
      <w:lvlText w:val=""/>
      <w:lvlJc w:val="left"/>
      <w:pPr>
        <w:ind w:left="6480" w:hanging="360"/>
      </w:pPr>
      <w:rPr>
        <w:rFonts w:ascii="Wingdings" w:hAnsi="Wingdings" w:hint="default"/>
      </w:rPr>
    </w:lvl>
  </w:abstractNum>
  <w:abstractNum w:abstractNumId="3" w15:restartNumberingAfterBreak="0">
    <w:nsid w:val="0B7114FE"/>
    <w:multiLevelType w:val="hybridMultilevel"/>
    <w:tmpl w:val="FFFFFFFF"/>
    <w:lvl w:ilvl="0" w:tplc="7D5EED2A">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4" w15:restartNumberingAfterBreak="0">
    <w:nsid w:val="19604031"/>
    <w:multiLevelType w:val="hybridMultilevel"/>
    <w:tmpl w:val="FFFFFFFF"/>
    <w:lvl w:ilvl="0" w:tplc="003E91AC">
      <w:start w:val="1"/>
      <w:numFmt w:val="lowerLetter"/>
      <w:lvlText w:val="(%1)"/>
      <w:lvlJc w:val="left"/>
      <w:pPr>
        <w:ind w:left="1287" w:hanging="360"/>
      </w:pPr>
      <w:rPr>
        <w:rFonts w:ascii="Times New Roman" w:hAnsi="Times New Roman" w:cs="Times New Roman" w:hint="default"/>
        <w:b w:val="0"/>
        <w:color w:val="000000"/>
        <w:sz w:val="24"/>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5" w15:restartNumberingAfterBreak="0">
    <w:nsid w:val="20A50E06"/>
    <w:multiLevelType w:val="hybridMultilevel"/>
    <w:tmpl w:val="FFFFFFFF"/>
    <w:lvl w:ilvl="0" w:tplc="7D5EED2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20FB7ADD"/>
    <w:multiLevelType w:val="hybridMultilevel"/>
    <w:tmpl w:val="FFFFFFFF"/>
    <w:lvl w:ilvl="0" w:tplc="17B2587C">
      <w:start w:val="1"/>
      <w:numFmt w:val="bullet"/>
      <w:lvlText w:val=""/>
      <w:lvlJc w:val="left"/>
      <w:pPr>
        <w:ind w:left="1800" w:hanging="360"/>
      </w:pPr>
      <w:rPr>
        <w:rFonts w:ascii="Symbol" w:hAnsi="Symbol" w:hint="default"/>
      </w:rPr>
    </w:lvl>
    <w:lvl w:ilvl="1" w:tplc="EB8C06E0">
      <w:start w:val="1"/>
      <w:numFmt w:val="bullet"/>
      <w:lvlText w:val="o"/>
      <w:lvlJc w:val="left"/>
      <w:pPr>
        <w:ind w:left="2520" w:hanging="360"/>
      </w:pPr>
      <w:rPr>
        <w:rFonts w:ascii="Courier New" w:hAnsi="Courier New" w:hint="default"/>
      </w:rPr>
    </w:lvl>
    <w:lvl w:ilvl="2" w:tplc="0422E1CE">
      <w:start w:val="1"/>
      <w:numFmt w:val="bullet"/>
      <w:lvlText w:val=""/>
      <w:lvlJc w:val="left"/>
      <w:pPr>
        <w:ind w:left="3240" w:hanging="360"/>
      </w:pPr>
      <w:rPr>
        <w:rFonts w:ascii="Wingdings" w:hAnsi="Wingdings" w:hint="default"/>
      </w:rPr>
    </w:lvl>
    <w:lvl w:ilvl="3" w:tplc="1A14B662">
      <w:start w:val="1"/>
      <w:numFmt w:val="bullet"/>
      <w:lvlText w:val=""/>
      <w:lvlJc w:val="left"/>
      <w:pPr>
        <w:ind w:left="3960" w:hanging="360"/>
      </w:pPr>
      <w:rPr>
        <w:rFonts w:ascii="Symbol" w:hAnsi="Symbol" w:hint="default"/>
      </w:rPr>
    </w:lvl>
    <w:lvl w:ilvl="4" w:tplc="65724D26">
      <w:start w:val="1"/>
      <w:numFmt w:val="bullet"/>
      <w:lvlText w:val="o"/>
      <w:lvlJc w:val="left"/>
      <w:pPr>
        <w:ind w:left="4680" w:hanging="360"/>
      </w:pPr>
      <w:rPr>
        <w:rFonts w:ascii="Courier New" w:hAnsi="Courier New" w:hint="default"/>
      </w:rPr>
    </w:lvl>
    <w:lvl w:ilvl="5" w:tplc="0700E816">
      <w:start w:val="1"/>
      <w:numFmt w:val="bullet"/>
      <w:lvlText w:val=""/>
      <w:lvlJc w:val="left"/>
      <w:pPr>
        <w:ind w:left="5400" w:hanging="360"/>
      </w:pPr>
      <w:rPr>
        <w:rFonts w:ascii="Wingdings" w:hAnsi="Wingdings" w:hint="default"/>
      </w:rPr>
    </w:lvl>
    <w:lvl w:ilvl="6" w:tplc="22E872F0">
      <w:start w:val="1"/>
      <w:numFmt w:val="bullet"/>
      <w:lvlText w:val=""/>
      <w:lvlJc w:val="left"/>
      <w:pPr>
        <w:ind w:left="6120" w:hanging="360"/>
      </w:pPr>
      <w:rPr>
        <w:rFonts w:ascii="Symbol" w:hAnsi="Symbol" w:hint="default"/>
      </w:rPr>
    </w:lvl>
    <w:lvl w:ilvl="7" w:tplc="DF1CE846">
      <w:start w:val="1"/>
      <w:numFmt w:val="bullet"/>
      <w:lvlText w:val="o"/>
      <w:lvlJc w:val="left"/>
      <w:pPr>
        <w:ind w:left="6840" w:hanging="360"/>
      </w:pPr>
      <w:rPr>
        <w:rFonts w:ascii="Courier New" w:hAnsi="Courier New" w:hint="default"/>
      </w:rPr>
    </w:lvl>
    <w:lvl w:ilvl="8" w:tplc="632ACD42">
      <w:start w:val="1"/>
      <w:numFmt w:val="bullet"/>
      <w:lvlText w:val=""/>
      <w:lvlJc w:val="left"/>
      <w:pPr>
        <w:ind w:left="7560" w:hanging="360"/>
      </w:pPr>
      <w:rPr>
        <w:rFonts w:ascii="Wingdings" w:hAnsi="Wingdings" w:hint="default"/>
      </w:rPr>
    </w:lvl>
  </w:abstractNum>
  <w:abstractNum w:abstractNumId="7" w15:restartNumberingAfterBreak="0">
    <w:nsid w:val="274C5862"/>
    <w:multiLevelType w:val="hybridMultilevel"/>
    <w:tmpl w:val="FFFFFFFF"/>
    <w:lvl w:ilvl="0" w:tplc="12242E2A">
      <w:start w:val="1"/>
      <w:numFmt w:val="lowerLetter"/>
      <w:lvlText w:val="(%1)"/>
      <w:lvlJc w:val="left"/>
      <w:pPr>
        <w:ind w:left="1287" w:hanging="360"/>
      </w:pPr>
      <w:rPr>
        <w:rFonts w:ascii="Times New Roman" w:hAnsi="Times New Roman" w:cs="Times New Roman" w:hint="default"/>
        <w:sz w:val="24"/>
        <w:szCs w:val="24"/>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8" w15:restartNumberingAfterBreak="0">
    <w:nsid w:val="2B1A4E3D"/>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DA4E14"/>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1."/>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1C02F9F"/>
    <w:multiLevelType w:val="hybridMultilevel"/>
    <w:tmpl w:val="FFFFFFFF"/>
    <w:lvl w:ilvl="0" w:tplc="834C88A6">
      <w:start w:val="1"/>
      <w:numFmt w:val="lowerLetter"/>
      <w:lvlText w:val="(%1)"/>
      <w:lvlJc w:val="left"/>
      <w:pPr>
        <w:ind w:left="1287" w:hanging="360"/>
      </w:pPr>
      <w:rPr>
        <w:rFonts w:ascii="Times New Roman" w:hAnsi="Times New Roman" w:cs="Times New Roman"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1" w15:restartNumberingAfterBreak="0">
    <w:nsid w:val="44291094"/>
    <w:multiLevelType w:val="hybridMultilevel"/>
    <w:tmpl w:val="FFFFFFFF"/>
    <w:lvl w:ilvl="0" w:tplc="FFFFFFFF">
      <w:start w:val="1"/>
      <w:numFmt w:val="decimal"/>
      <w:lvlText w:val="[%1]"/>
      <w:lvlJc w:val="left"/>
      <w:pPr>
        <w:tabs>
          <w:tab w:val="num" w:pos="0"/>
        </w:tabs>
        <w:ind w:left="567" w:hanging="567"/>
      </w:pPr>
      <w:rPr>
        <w:rFonts w:cs="Times New Roman"/>
        <w:b w:val="0"/>
        <w:i w:val="0"/>
        <w:sz w:val="22"/>
        <w:szCs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499F0E34"/>
    <w:multiLevelType w:val="hybridMultilevel"/>
    <w:tmpl w:val="FFFFFFFF"/>
    <w:lvl w:ilvl="0" w:tplc="7D8E34A0">
      <w:start w:val="1"/>
      <w:numFmt w:val="lowerLetter"/>
      <w:lvlText w:val="(%1)"/>
      <w:lvlJc w:val="left"/>
      <w:pPr>
        <w:ind w:left="1287" w:hanging="360"/>
      </w:pPr>
      <w:rPr>
        <w:rFonts w:ascii="Times New Roman" w:hAnsi="Times New Roman" w:cs="Times New Roman" w:hint="default"/>
        <w:sz w:val="24"/>
        <w:szCs w:val="24"/>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3" w15:restartNumberingAfterBreak="0">
    <w:nsid w:val="517362FF"/>
    <w:multiLevelType w:val="hybridMultilevel"/>
    <w:tmpl w:val="FFFFFFFF"/>
    <w:lvl w:ilvl="0" w:tplc="602CF7E0">
      <w:start w:val="1"/>
      <w:numFmt w:val="lowerLetter"/>
      <w:lvlText w:val="(%1)"/>
      <w:lvlJc w:val="left"/>
      <w:pPr>
        <w:ind w:left="1287" w:hanging="360"/>
      </w:pPr>
      <w:rPr>
        <w:rFonts w:ascii="Times New Roman" w:hAnsi="Times New Roman" w:cs="Times New Roman" w:hint="default"/>
        <w:sz w:val="24"/>
        <w:szCs w:val="24"/>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4" w15:restartNumberingAfterBreak="0">
    <w:nsid w:val="52386475"/>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5A4916"/>
    <w:multiLevelType w:val="hybridMultilevel"/>
    <w:tmpl w:val="FFFFFFFF"/>
    <w:lvl w:ilvl="0" w:tplc="7D5EED2A">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6" w15:restartNumberingAfterBreak="0">
    <w:nsid w:val="555D1E7B"/>
    <w:multiLevelType w:val="hybridMultilevel"/>
    <w:tmpl w:val="FFFFFFFF"/>
    <w:lvl w:ilvl="0" w:tplc="003E91AC">
      <w:start w:val="1"/>
      <w:numFmt w:val="lowerLetter"/>
      <w:lvlText w:val="(%1)"/>
      <w:lvlJc w:val="left"/>
      <w:pPr>
        <w:ind w:left="1287" w:hanging="360"/>
      </w:pPr>
      <w:rPr>
        <w:rFonts w:ascii="Times New Roman" w:hAnsi="Times New Roman" w:cs="Times New Roman" w:hint="default"/>
        <w:b w:val="0"/>
        <w:color w:val="000000"/>
        <w:sz w:val="22"/>
        <w:szCs w:val="22"/>
      </w:rPr>
    </w:lvl>
    <w:lvl w:ilvl="1" w:tplc="003E91AC">
      <w:start w:val="1"/>
      <w:numFmt w:val="lowerLetter"/>
      <w:lvlText w:val="(%2)"/>
      <w:lvlJc w:val="left"/>
      <w:pPr>
        <w:ind w:left="2007" w:hanging="360"/>
      </w:pPr>
      <w:rPr>
        <w:rFonts w:ascii="Times New Roman" w:hAnsi="Times New Roman" w:cs="Times New Roman" w:hint="default"/>
        <w:b w:val="0"/>
        <w:color w:val="000000"/>
        <w:sz w:val="24"/>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6695348"/>
    <w:multiLevelType w:val="hybridMultilevel"/>
    <w:tmpl w:val="FFFFFFFF"/>
    <w:lvl w:ilvl="0" w:tplc="003E91AC">
      <w:start w:val="1"/>
      <w:numFmt w:val="lowerLetter"/>
      <w:lvlText w:val="(%1)"/>
      <w:lvlJc w:val="left"/>
      <w:pPr>
        <w:ind w:left="1287" w:hanging="360"/>
      </w:pPr>
      <w:rPr>
        <w:rFonts w:ascii="Times New Roman" w:hAnsi="Times New Roman" w:cs="Times New Roman" w:hint="default"/>
        <w:b w:val="0"/>
        <w:color w:val="000000"/>
        <w:sz w:val="24"/>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8" w15:restartNumberingAfterBreak="0">
    <w:nsid w:val="59804789"/>
    <w:multiLevelType w:val="hybridMultilevel"/>
    <w:tmpl w:val="FFFFFFFF"/>
    <w:lvl w:ilvl="0" w:tplc="003E91AC">
      <w:start w:val="1"/>
      <w:numFmt w:val="lowerLetter"/>
      <w:lvlText w:val="(%1)"/>
      <w:lvlJc w:val="left"/>
      <w:pPr>
        <w:ind w:left="1287" w:hanging="360"/>
      </w:pPr>
      <w:rPr>
        <w:rFonts w:ascii="Times New Roman" w:hAnsi="Times New Roman" w:cs="Times New Roman" w:hint="default"/>
        <w:b w:val="0"/>
        <w:color w:val="000000"/>
        <w:sz w:val="22"/>
        <w:szCs w:val="22"/>
      </w:rPr>
    </w:lvl>
    <w:lvl w:ilvl="1" w:tplc="003E91AC">
      <w:start w:val="1"/>
      <w:numFmt w:val="lowerLetter"/>
      <w:lvlText w:val="(%2)"/>
      <w:lvlJc w:val="left"/>
      <w:pPr>
        <w:ind w:left="2007" w:hanging="360"/>
      </w:pPr>
      <w:rPr>
        <w:rFonts w:ascii="Times New Roman" w:hAnsi="Times New Roman" w:cs="Times New Roman" w:hint="default"/>
        <w:b w:val="0"/>
        <w:color w:val="000000"/>
        <w:sz w:val="24"/>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AA24E8F"/>
    <w:multiLevelType w:val="hybridMultilevel"/>
    <w:tmpl w:val="FFFFFFFF"/>
    <w:lvl w:ilvl="0" w:tplc="003E91AC">
      <w:start w:val="1"/>
      <w:numFmt w:val="lowerLetter"/>
      <w:lvlText w:val="(%1)"/>
      <w:lvlJc w:val="left"/>
      <w:pPr>
        <w:ind w:left="1287" w:hanging="360"/>
      </w:pPr>
      <w:rPr>
        <w:rFonts w:ascii="Times New Roman" w:hAnsi="Times New Roman" w:cs="Times New Roman" w:hint="default"/>
        <w:b w:val="0"/>
        <w:color w:val="000000"/>
        <w:sz w:val="24"/>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0" w15:restartNumberingAfterBreak="0">
    <w:nsid w:val="5AE83A87"/>
    <w:multiLevelType w:val="hybridMultilevel"/>
    <w:tmpl w:val="FFFFFFFF"/>
    <w:lvl w:ilvl="0" w:tplc="D0F24B8A">
      <w:start w:val="1"/>
      <w:numFmt w:val="decimal"/>
      <w:lvlText w:val="(%1)"/>
      <w:lvlJc w:val="left"/>
      <w:pPr>
        <w:ind w:left="2061" w:hanging="360"/>
      </w:pPr>
      <w:rPr>
        <w:rFonts w:cs="Times New Roman" w:hint="default"/>
      </w:rPr>
    </w:lvl>
    <w:lvl w:ilvl="1" w:tplc="0C090019" w:tentative="1">
      <w:start w:val="1"/>
      <w:numFmt w:val="lowerLetter"/>
      <w:lvlText w:val="%2."/>
      <w:lvlJc w:val="left"/>
      <w:pPr>
        <w:ind w:left="2781" w:hanging="360"/>
      </w:pPr>
      <w:rPr>
        <w:rFonts w:cs="Times New Roman"/>
      </w:rPr>
    </w:lvl>
    <w:lvl w:ilvl="2" w:tplc="0C09001B" w:tentative="1">
      <w:start w:val="1"/>
      <w:numFmt w:val="lowerRoman"/>
      <w:lvlText w:val="%3."/>
      <w:lvlJc w:val="right"/>
      <w:pPr>
        <w:ind w:left="3501" w:hanging="180"/>
      </w:pPr>
      <w:rPr>
        <w:rFonts w:cs="Times New Roman"/>
      </w:rPr>
    </w:lvl>
    <w:lvl w:ilvl="3" w:tplc="0C09000F" w:tentative="1">
      <w:start w:val="1"/>
      <w:numFmt w:val="decimal"/>
      <w:lvlText w:val="%4."/>
      <w:lvlJc w:val="left"/>
      <w:pPr>
        <w:ind w:left="4221" w:hanging="360"/>
      </w:pPr>
      <w:rPr>
        <w:rFonts w:cs="Times New Roman"/>
      </w:rPr>
    </w:lvl>
    <w:lvl w:ilvl="4" w:tplc="0C090019" w:tentative="1">
      <w:start w:val="1"/>
      <w:numFmt w:val="lowerLetter"/>
      <w:lvlText w:val="%5."/>
      <w:lvlJc w:val="left"/>
      <w:pPr>
        <w:ind w:left="4941" w:hanging="360"/>
      </w:pPr>
      <w:rPr>
        <w:rFonts w:cs="Times New Roman"/>
      </w:rPr>
    </w:lvl>
    <w:lvl w:ilvl="5" w:tplc="0C09001B" w:tentative="1">
      <w:start w:val="1"/>
      <w:numFmt w:val="lowerRoman"/>
      <w:lvlText w:val="%6."/>
      <w:lvlJc w:val="right"/>
      <w:pPr>
        <w:ind w:left="5661" w:hanging="180"/>
      </w:pPr>
      <w:rPr>
        <w:rFonts w:cs="Times New Roman"/>
      </w:rPr>
    </w:lvl>
    <w:lvl w:ilvl="6" w:tplc="0C09000F" w:tentative="1">
      <w:start w:val="1"/>
      <w:numFmt w:val="decimal"/>
      <w:lvlText w:val="%7."/>
      <w:lvlJc w:val="left"/>
      <w:pPr>
        <w:ind w:left="6381" w:hanging="360"/>
      </w:pPr>
      <w:rPr>
        <w:rFonts w:cs="Times New Roman"/>
      </w:rPr>
    </w:lvl>
    <w:lvl w:ilvl="7" w:tplc="0C090019" w:tentative="1">
      <w:start w:val="1"/>
      <w:numFmt w:val="lowerLetter"/>
      <w:lvlText w:val="%8."/>
      <w:lvlJc w:val="left"/>
      <w:pPr>
        <w:ind w:left="7101" w:hanging="360"/>
      </w:pPr>
      <w:rPr>
        <w:rFonts w:cs="Times New Roman"/>
      </w:rPr>
    </w:lvl>
    <w:lvl w:ilvl="8" w:tplc="0C09001B" w:tentative="1">
      <w:start w:val="1"/>
      <w:numFmt w:val="lowerRoman"/>
      <w:lvlText w:val="%9."/>
      <w:lvlJc w:val="right"/>
      <w:pPr>
        <w:ind w:left="7821" w:hanging="180"/>
      </w:pPr>
      <w:rPr>
        <w:rFonts w:cs="Times New Roman"/>
      </w:rPr>
    </w:lvl>
  </w:abstractNum>
  <w:abstractNum w:abstractNumId="21" w15:restartNumberingAfterBreak="0">
    <w:nsid w:val="63E92139"/>
    <w:multiLevelType w:val="hybridMultilevel"/>
    <w:tmpl w:val="FFFFFFFF"/>
    <w:lvl w:ilvl="0" w:tplc="003E91AC">
      <w:start w:val="1"/>
      <w:numFmt w:val="lowerLetter"/>
      <w:lvlText w:val="(%1)"/>
      <w:lvlJc w:val="left"/>
      <w:pPr>
        <w:ind w:left="720" w:hanging="360"/>
      </w:pPr>
      <w:rPr>
        <w:rFonts w:ascii="Times New Roman" w:hAnsi="Times New Roman" w:cs="Times New Roman" w:hint="default"/>
        <w:b w:val="0"/>
        <w:color w:val="000000"/>
        <w:sz w:val="24"/>
      </w:rPr>
    </w:lvl>
    <w:lvl w:ilvl="1" w:tplc="003E91AC">
      <w:start w:val="1"/>
      <w:numFmt w:val="lowerLetter"/>
      <w:lvlText w:val="(%2)"/>
      <w:lvlJc w:val="left"/>
      <w:pPr>
        <w:ind w:left="1440" w:hanging="360"/>
      </w:pPr>
      <w:rPr>
        <w:rFonts w:ascii="Times New Roman" w:hAnsi="Times New Roman" w:cs="Times New Roman" w:hint="default"/>
        <w:b w:val="0"/>
        <w:color w:val="000000"/>
        <w:sz w:val="24"/>
      </w:rPr>
    </w:lvl>
    <w:lvl w:ilvl="2" w:tplc="3CA6409C">
      <w:start w:val="1"/>
      <w:numFmt w:val="lowerRoman"/>
      <w:lvlText w:val="%3)"/>
      <w:lvlJc w:val="left"/>
      <w:pPr>
        <w:ind w:left="2700" w:hanging="720"/>
      </w:pPr>
      <w:rPr>
        <w:rFonts w:cs="Times New Roman" w:hint="default"/>
      </w:rPr>
    </w:lvl>
    <w:lvl w:ilvl="3" w:tplc="554EF8A8">
      <w:start w:val="1"/>
      <w:numFmt w:val="lowerRoman"/>
      <w:lvlText w:val="%4."/>
      <w:lvlJc w:val="left"/>
      <w:pPr>
        <w:ind w:left="2880" w:hanging="360"/>
      </w:pPr>
      <w:rPr>
        <w:rFonts w:ascii="Times New Roman" w:eastAsia="Times New Roman" w:hAnsi="Times New Roman"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64DE768D"/>
    <w:multiLevelType w:val="hybridMultilevel"/>
    <w:tmpl w:val="FFFFFFFF"/>
    <w:lvl w:ilvl="0" w:tplc="7D5EED2A">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3" w15:restartNumberingAfterBreak="0">
    <w:nsid w:val="79766C6C"/>
    <w:multiLevelType w:val="hybridMultilevel"/>
    <w:tmpl w:val="FFFFFFFF"/>
    <w:lvl w:ilvl="0" w:tplc="B3763FF6">
      <w:start w:val="1"/>
      <w:numFmt w:val="decimal"/>
      <w:lvlText w:val="[%1]"/>
      <w:lvlJc w:val="left"/>
      <w:pPr>
        <w:tabs>
          <w:tab w:val="num" w:pos="0"/>
        </w:tabs>
        <w:ind w:left="567" w:hanging="567"/>
      </w:pPr>
      <w:rPr>
        <w:rFonts w:ascii="Times New Roman" w:hAnsi="Times New Roman" w:cs="Times New Roman" w:hint="default"/>
        <w:b w:val="0"/>
        <w:i w:val="0"/>
        <w:sz w:val="22"/>
        <w:szCs w:val="22"/>
      </w:rPr>
    </w:lvl>
    <w:lvl w:ilvl="1" w:tplc="0C090001">
      <w:start w:val="1"/>
      <w:numFmt w:val="bullet"/>
      <w:lvlText w:val=""/>
      <w:lvlJc w:val="left"/>
      <w:pPr>
        <w:tabs>
          <w:tab w:val="num" w:pos="1440"/>
        </w:tabs>
        <w:ind w:left="1440" w:hanging="360"/>
      </w:pPr>
      <w:rPr>
        <w:rFonts w:ascii="Symbol" w:hAnsi="Symbol" w:hint="default"/>
        <w:b w:val="0"/>
        <w:color w:val="000000"/>
        <w:sz w:val="24"/>
      </w:rPr>
    </w:lvl>
    <w:lvl w:ilvl="2" w:tplc="003E91AC">
      <w:start w:val="1"/>
      <w:numFmt w:val="lowerLetter"/>
      <w:lvlText w:val="(%3)"/>
      <w:lvlJc w:val="left"/>
      <w:pPr>
        <w:tabs>
          <w:tab w:val="num" w:pos="2160"/>
        </w:tabs>
        <w:ind w:left="2160" w:hanging="180"/>
      </w:pPr>
      <w:rPr>
        <w:rFonts w:ascii="Times New Roman" w:hAnsi="Times New Roman" w:cs="Times New Roman" w:hint="default"/>
        <w:b w:val="0"/>
        <w:color w:val="000000"/>
        <w:sz w:val="24"/>
      </w:rPr>
    </w:lvl>
    <w:lvl w:ilvl="3" w:tplc="0C09000F">
      <w:start w:val="1"/>
      <w:numFmt w:val="decimal"/>
      <w:lvlText w:val="%4."/>
      <w:lvlJc w:val="left"/>
      <w:pPr>
        <w:tabs>
          <w:tab w:val="num" w:pos="2880"/>
        </w:tabs>
        <w:ind w:left="2880" w:hanging="360"/>
      </w:pPr>
      <w:rPr>
        <w:rFonts w:cs="Times New Roman"/>
      </w:rPr>
    </w:lvl>
    <w:lvl w:ilvl="4" w:tplc="43FA5BA8">
      <w:start w:val="1"/>
      <w:numFmt w:val="lowerLetter"/>
      <w:lvlText w:val="%5."/>
      <w:lvlJc w:val="left"/>
      <w:pPr>
        <w:tabs>
          <w:tab w:val="num" w:pos="3600"/>
        </w:tabs>
        <w:ind w:left="3600" w:hanging="360"/>
      </w:pPr>
      <w:rPr>
        <w:rFonts w:ascii="Times New Roman" w:eastAsia="Times New Roman" w:hAnsi="Times New Roman"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4" w15:restartNumberingAfterBreak="0">
    <w:nsid w:val="7B03640C"/>
    <w:multiLevelType w:val="hybridMultilevel"/>
    <w:tmpl w:val="FFFFFFFF"/>
    <w:lvl w:ilvl="0" w:tplc="7D5EED2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7F7C1678"/>
    <w:multiLevelType w:val="hybridMultilevel"/>
    <w:tmpl w:val="FFFFFFFF"/>
    <w:lvl w:ilvl="0" w:tplc="7D8E34A0">
      <w:start w:val="1"/>
      <w:numFmt w:val="lowerLetter"/>
      <w:lvlText w:val="(%1)"/>
      <w:lvlJc w:val="left"/>
      <w:pPr>
        <w:ind w:left="1287" w:hanging="360"/>
      </w:pPr>
      <w:rPr>
        <w:rFonts w:ascii="Times New Roman" w:hAnsi="Times New Roman" w:cs="Times New Roman" w:hint="default"/>
        <w:sz w:val="24"/>
        <w:szCs w:val="24"/>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num w:numId="1" w16cid:durableId="1480420927">
    <w:abstractNumId w:val="2"/>
  </w:num>
  <w:num w:numId="2" w16cid:durableId="970864671">
    <w:abstractNumId w:val="9"/>
  </w:num>
  <w:num w:numId="3" w16cid:durableId="870266173">
    <w:abstractNumId w:val="6"/>
  </w:num>
  <w:num w:numId="4" w16cid:durableId="346756465">
    <w:abstractNumId w:val="1"/>
  </w:num>
  <w:num w:numId="5" w16cid:durableId="1333416667">
    <w:abstractNumId w:val="23"/>
  </w:num>
  <w:num w:numId="6" w16cid:durableId="1912429072">
    <w:abstractNumId w:val="16"/>
  </w:num>
  <w:num w:numId="7" w16cid:durableId="1747193079">
    <w:abstractNumId w:val="21"/>
  </w:num>
  <w:num w:numId="8" w16cid:durableId="19094446">
    <w:abstractNumId w:val="4"/>
  </w:num>
  <w:num w:numId="9" w16cid:durableId="1676224161">
    <w:abstractNumId w:val="20"/>
  </w:num>
  <w:num w:numId="10" w16cid:durableId="657660242">
    <w:abstractNumId w:val="11"/>
  </w:num>
  <w:num w:numId="11" w16cid:durableId="638264986">
    <w:abstractNumId w:val="17"/>
  </w:num>
  <w:num w:numId="12" w16cid:durableId="634992672">
    <w:abstractNumId w:val="18"/>
  </w:num>
  <w:num w:numId="13" w16cid:durableId="1703553720">
    <w:abstractNumId w:val="22"/>
  </w:num>
  <w:num w:numId="14" w16cid:durableId="293996347">
    <w:abstractNumId w:val="19"/>
  </w:num>
  <w:num w:numId="15" w16cid:durableId="428892650">
    <w:abstractNumId w:val="3"/>
  </w:num>
  <w:num w:numId="16" w16cid:durableId="711686599">
    <w:abstractNumId w:val="25"/>
  </w:num>
  <w:num w:numId="17" w16cid:durableId="140120014">
    <w:abstractNumId w:val="12"/>
  </w:num>
  <w:num w:numId="18" w16cid:durableId="2039767863">
    <w:abstractNumId w:val="14"/>
  </w:num>
  <w:num w:numId="19" w16cid:durableId="29503191">
    <w:abstractNumId w:val="8"/>
  </w:num>
  <w:num w:numId="20" w16cid:durableId="674069957">
    <w:abstractNumId w:val="0"/>
  </w:num>
  <w:num w:numId="21" w16cid:durableId="1317999374">
    <w:abstractNumId w:val="13"/>
  </w:num>
  <w:num w:numId="22" w16cid:durableId="812135842">
    <w:abstractNumId w:val="5"/>
  </w:num>
  <w:num w:numId="23" w16cid:durableId="1073040701">
    <w:abstractNumId w:val="24"/>
  </w:num>
  <w:num w:numId="24" w16cid:durableId="1873957750">
    <w:abstractNumId w:val="15"/>
  </w:num>
  <w:num w:numId="25" w16cid:durableId="807016022">
    <w:abstractNumId w:val="10"/>
  </w:num>
  <w:num w:numId="26" w16cid:durableId="5763216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990B3F"/>
    <w:rsid w:val="000017A3"/>
    <w:rsid w:val="00001B22"/>
    <w:rsid w:val="000030FF"/>
    <w:rsid w:val="00006DD0"/>
    <w:rsid w:val="0001096F"/>
    <w:rsid w:val="0001211F"/>
    <w:rsid w:val="00013209"/>
    <w:rsid w:val="0001588C"/>
    <w:rsid w:val="00021F4F"/>
    <w:rsid w:val="00023A0F"/>
    <w:rsid w:val="00023BD1"/>
    <w:rsid w:val="00024B1F"/>
    <w:rsid w:val="00025204"/>
    <w:rsid w:val="000275A4"/>
    <w:rsid w:val="00030073"/>
    <w:rsid w:val="00032E34"/>
    <w:rsid w:val="00032EC7"/>
    <w:rsid w:val="00033C5D"/>
    <w:rsid w:val="00037276"/>
    <w:rsid w:val="00037283"/>
    <w:rsid w:val="00040C92"/>
    <w:rsid w:val="0004384B"/>
    <w:rsid w:val="0004744B"/>
    <w:rsid w:val="000503B7"/>
    <w:rsid w:val="00050D76"/>
    <w:rsid w:val="00051620"/>
    <w:rsid w:val="00055210"/>
    <w:rsid w:val="00057C67"/>
    <w:rsid w:val="00061419"/>
    <w:rsid w:val="00063676"/>
    <w:rsid w:val="00063987"/>
    <w:rsid w:val="00063D7E"/>
    <w:rsid w:val="0007229A"/>
    <w:rsid w:val="00072612"/>
    <w:rsid w:val="00082A18"/>
    <w:rsid w:val="0008411A"/>
    <w:rsid w:val="000845D7"/>
    <w:rsid w:val="00090501"/>
    <w:rsid w:val="00090E3A"/>
    <w:rsid w:val="00091153"/>
    <w:rsid w:val="00093FDE"/>
    <w:rsid w:val="000950EC"/>
    <w:rsid w:val="00095411"/>
    <w:rsid w:val="00097632"/>
    <w:rsid w:val="000976D0"/>
    <w:rsid w:val="000A57FE"/>
    <w:rsid w:val="000A5A10"/>
    <w:rsid w:val="000A69A0"/>
    <w:rsid w:val="000B0620"/>
    <w:rsid w:val="000B2009"/>
    <w:rsid w:val="000B2ADE"/>
    <w:rsid w:val="000B3B2C"/>
    <w:rsid w:val="000B5486"/>
    <w:rsid w:val="000C0BFB"/>
    <w:rsid w:val="000C1116"/>
    <w:rsid w:val="000C11A3"/>
    <w:rsid w:val="000C2031"/>
    <w:rsid w:val="000C3AC6"/>
    <w:rsid w:val="000C59AF"/>
    <w:rsid w:val="000C6391"/>
    <w:rsid w:val="000D2C1A"/>
    <w:rsid w:val="000D326A"/>
    <w:rsid w:val="000D3C43"/>
    <w:rsid w:val="000D4D84"/>
    <w:rsid w:val="000D7EA0"/>
    <w:rsid w:val="000E088E"/>
    <w:rsid w:val="000E5F37"/>
    <w:rsid w:val="000E72A3"/>
    <w:rsid w:val="000F2095"/>
    <w:rsid w:val="000F2389"/>
    <w:rsid w:val="000F2563"/>
    <w:rsid w:val="00100E7B"/>
    <w:rsid w:val="00101119"/>
    <w:rsid w:val="00101AB8"/>
    <w:rsid w:val="00102160"/>
    <w:rsid w:val="001026B0"/>
    <w:rsid w:val="00105687"/>
    <w:rsid w:val="0010642B"/>
    <w:rsid w:val="00107D5C"/>
    <w:rsid w:val="00110359"/>
    <w:rsid w:val="001109AF"/>
    <w:rsid w:val="00112CAE"/>
    <w:rsid w:val="0011332B"/>
    <w:rsid w:val="001137C0"/>
    <w:rsid w:val="00115BA5"/>
    <w:rsid w:val="00116294"/>
    <w:rsid w:val="0012413E"/>
    <w:rsid w:val="00127051"/>
    <w:rsid w:val="001301B1"/>
    <w:rsid w:val="0013103D"/>
    <w:rsid w:val="00131124"/>
    <w:rsid w:val="001319B6"/>
    <w:rsid w:val="00135428"/>
    <w:rsid w:val="00135FC5"/>
    <w:rsid w:val="001375AE"/>
    <w:rsid w:val="00142FFA"/>
    <w:rsid w:val="001446D4"/>
    <w:rsid w:val="001450D3"/>
    <w:rsid w:val="00146D9E"/>
    <w:rsid w:val="001471C7"/>
    <w:rsid w:val="001515AB"/>
    <w:rsid w:val="001515E5"/>
    <w:rsid w:val="0015197C"/>
    <w:rsid w:val="001520F1"/>
    <w:rsid w:val="00153EF0"/>
    <w:rsid w:val="00154761"/>
    <w:rsid w:val="00154E94"/>
    <w:rsid w:val="00155443"/>
    <w:rsid w:val="001570E7"/>
    <w:rsid w:val="00157B5B"/>
    <w:rsid w:val="00160BF7"/>
    <w:rsid w:val="001618C4"/>
    <w:rsid w:val="00162DCB"/>
    <w:rsid w:val="00163E5F"/>
    <w:rsid w:val="00164E93"/>
    <w:rsid w:val="00165E4F"/>
    <w:rsid w:val="00170FCE"/>
    <w:rsid w:val="00171234"/>
    <w:rsid w:val="00172899"/>
    <w:rsid w:val="001729A1"/>
    <w:rsid w:val="00173247"/>
    <w:rsid w:val="00177389"/>
    <w:rsid w:val="00181354"/>
    <w:rsid w:val="00182D0A"/>
    <w:rsid w:val="00187794"/>
    <w:rsid w:val="0019061B"/>
    <w:rsid w:val="0019078C"/>
    <w:rsid w:val="001939E3"/>
    <w:rsid w:val="0019422E"/>
    <w:rsid w:val="001946E9"/>
    <w:rsid w:val="00194718"/>
    <w:rsid w:val="00194E63"/>
    <w:rsid w:val="001A1167"/>
    <w:rsid w:val="001A11EA"/>
    <w:rsid w:val="001A2F80"/>
    <w:rsid w:val="001A3CF2"/>
    <w:rsid w:val="001A6252"/>
    <w:rsid w:val="001A6505"/>
    <w:rsid w:val="001A755E"/>
    <w:rsid w:val="001B1CB0"/>
    <w:rsid w:val="001B1CE0"/>
    <w:rsid w:val="001B48F6"/>
    <w:rsid w:val="001B4D3C"/>
    <w:rsid w:val="001B4D6D"/>
    <w:rsid w:val="001B738C"/>
    <w:rsid w:val="001B7A97"/>
    <w:rsid w:val="001B7D0E"/>
    <w:rsid w:val="001C02EE"/>
    <w:rsid w:val="001C0311"/>
    <w:rsid w:val="001C1A04"/>
    <w:rsid w:val="001C37F9"/>
    <w:rsid w:val="001C3808"/>
    <w:rsid w:val="001C4016"/>
    <w:rsid w:val="001C4F3D"/>
    <w:rsid w:val="001C732D"/>
    <w:rsid w:val="001C78E2"/>
    <w:rsid w:val="001D32FF"/>
    <w:rsid w:val="001D4A3F"/>
    <w:rsid w:val="001D7D81"/>
    <w:rsid w:val="001D7EA7"/>
    <w:rsid w:val="001D7F8B"/>
    <w:rsid w:val="001E0407"/>
    <w:rsid w:val="001E1156"/>
    <w:rsid w:val="001E2103"/>
    <w:rsid w:val="001E49F7"/>
    <w:rsid w:val="001E4B85"/>
    <w:rsid w:val="001E62A6"/>
    <w:rsid w:val="001E6E26"/>
    <w:rsid w:val="001F057E"/>
    <w:rsid w:val="001F14AB"/>
    <w:rsid w:val="001F440B"/>
    <w:rsid w:val="001F6833"/>
    <w:rsid w:val="001F6AC0"/>
    <w:rsid w:val="001F76E1"/>
    <w:rsid w:val="0020054E"/>
    <w:rsid w:val="0020066E"/>
    <w:rsid w:val="00203BDD"/>
    <w:rsid w:val="00204236"/>
    <w:rsid w:val="00204491"/>
    <w:rsid w:val="00204BCA"/>
    <w:rsid w:val="00207D19"/>
    <w:rsid w:val="002103E1"/>
    <w:rsid w:val="00210614"/>
    <w:rsid w:val="002106DD"/>
    <w:rsid w:val="00211E70"/>
    <w:rsid w:val="00215466"/>
    <w:rsid w:val="00216BAC"/>
    <w:rsid w:val="00217DF9"/>
    <w:rsid w:val="00223347"/>
    <w:rsid w:val="002252A3"/>
    <w:rsid w:val="00225879"/>
    <w:rsid w:val="002272D1"/>
    <w:rsid w:val="00227C26"/>
    <w:rsid w:val="00227FCB"/>
    <w:rsid w:val="00230164"/>
    <w:rsid w:val="00230454"/>
    <w:rsid w:val="002344A1"/>
    <w:rsid w:val="00234F9F"/>
    <w:rsid w:val="002354FD"/>
    <w:rsid w:val="00240428"/>
    <w:rsid w:val="00240A7C"/>
    <w:rsid w:val="00240E2C"/>
    <w:rsid w:val="00241B61"/>
    <w:rsid w:val="00242BD6"/>
    <w:rsid w:val="0024314F"/>
    <w:rsid w:val="00245FB5"/>
    <w:rsid w:val="0024619F"/>
    <w:rsid w:val="00247E20"/>
    <w:rsid w:val="00250D79"/>
    <w:rsid w:val="00256B29"/>
    <w:rsid w:val="00261072"/>
    <w:rsid w:val="00261BCB"/>
    <w:rsid w:val="002622A8"/>
    <w:rsid w:val="002622BA"/>
    <w:rsid w:val="00262A5B"/>
    <w:rsid w:val="002666FB"/>
    <w:rsid w:val="00266BB9"/>
    <w:rsid w:val="00267372"/>
    <w:rsid w:val="00267851"/>
    <w:rsid w:val="00271936"/>
    <w:rsid w:val="0027195B"/>
    <w:rsid w:val="00272A04"/>
    <w:rsid w:val="00275169"/>
    <w:rsid w:val="00275A9C"/>
    <w:rsid w:val="0027617A"/>
    <w:rsid w:val="002767F4"/>
    <w:rsid w:val="00276FAC"/>
    <w:rsid w:val="00277AA4"/>
    <w:rsid w:val="002811D4"/>
    <w:rsid w:val="0028377B"/>
    <w:rsid w:val="00284689"/>
    <w:rsid w:val="00284E1C"/>
    <w:rsid w:val="00290AD4"/>
    <w:rsid w:val="00292A9C"/>
    <w:rsid w:val="00295AF4"/>
    <w:rsid w:val="00295FBE"/>
    <w:rsid w:val="002963D8"/>
    <w:rsid w:val="00296E18"/>
    <w:rsid w:val="002976D3"/>
    <w:rsid w:val="002A21B1"/>
    <w:rsid w:val="002A52CA"/>
    <w:rsid w:val="002A6579"/>
    <w:rsid w:val="002A7087"/>
    <w:rsid w:val="002A7A41"/>
    <w:rsid w:val="002B3394"/>
    <w:rsid w:val="002B353B"/>
    <w:rsid w:val="002B395F"/>
    <w:rsid w:val="002B443D"/>
    <w:rsid w:val="002B511F"/>
    <w:rsid w:val="002B62A3"/>
    <w:rsid w:val="002C0817"/>
    <w:rsid w:val="002C1253"/>
    <w:rsid w:val="002C14A6"/>
    <w:rsid w:val="002C2B43"/>
    <w:rsid w:val="002C30B5"/>
    <w:rsid w:val="002C557B"/>
    <w:rsid w:val="002C696F"/>
    <w:rsid w:val="002D28C6"/>
    <w:rsid w:val="002D3F21"/>
    <w:rsid w:val="002D44B9"/>
    <w:rsid w:val="002D45D0"/>
    <w:rsid w:val="002E016D"/>
    <w:rsid w:val="002E0391"/>
    <w:rsid w:val="002E0593"/>
    <w:rsid w:val="002E62C8"/>
    <w:rsid w:val="002E73FD"/>
    <w:rsid w:val="002E7A64"/>
    <w:rsid w:val="002F3276"/>
    <w:rsid w:val="002F426D"/>
    <w:rsid w:val="002F67F5"/>
    <w:rsid w:val="002F6F90"/>
    <w:rsid w:val="002F7A6C"/>
    <w:rsid w:val="00300405"/>
    <w:rsid w:val="003010A6"/>
    <w:rsid w:val="003012AA"/>
    <w:rsid w:val="00302768"/>
    <w:rsid w:val="003053A1"/>
    <w:rsid w:val="003055DC"/>
    <w:rsid w:val="003069BF"/>
    <w:rsid w:val="0030717B"/>
    <w:rsid w:val="003074EA"/>
    <w:rsid w:val="0030756F"/>
    <w:rsid w:val="00314BBA"/>
    <w:rsid w:val="0031675F"/>
    <w:rsid w:val="00316CE0"/>
    <w:rsid w:val="0032273D"/>
    <w:rsid w:val="00326459"/>
    <w:rsid w:val="0032734A"/>
    <w:rsid w:val="0033067B"/>
    <w:rsid w:val="003312BC"/>
    <w:rsid w:val="00333DF3"/>
    <w:rsid w:val="00333F99"/>
    <w:rsid w:val="00335B74"/>
    <w:rsid w:val="00336644"/>
    <w:rsid w:val="00340717"/>
    <w:rsid w:val="003407F0"/>
    <w:rsid w:val="00352997"/>
    <w:rsid w:val="00356BA7"/>
    <w:rsid w:val="0035723E"/>
    <w:rsid w:val="003650BB"/>
    <w:rsid w:val="0037065E"/>
    <w:rsid w:val="003710EE"/>
    <w:rsid w:val="00371D08"/>
    <w:rsid w:val="00371DA1"/>
    <w:rsid w:val="0037360A"/>
    <w:rsid w:val="0037491B"/>
    <w:rsid w:val="00375F1B"/>
    <w:rsid w:val="00377738"/>
    <w:rsid w:val="0038004D"/>
    <w:rsid w:val="00380B23"/>
    <w:rsid w:val="003841C7"/>
    <w:rsid w:val="00386C8B"/>
    <w:rsid w:val="003874FF"/>
    <w:rsid w:val="0039059E"/>
    <w:rsid w:val="00390C19"/>
    <w:rsid w:val="00392118"/>
    <w:rsid w:val="0039238D"/>
    <w:rsid w:val="00392638"/>
    <w:rsid w:val="003933B9"/>
    <w:rsid w:val="00395F91"/>
    <w:rsid w:val="003977B7"/>
    <w:rsid w:val="00397D1A"/>
    <w:rsid w:val="003A09B2"/>
    <w:rsid w:val="003A5E7F"/>
    <w:rsid w:val="003A6989"/>
    <w:rsid w:val="003A6AD4"/>
    <w:rsid w:val="003B0CC1"/>
    <w:rsid w:val="003B23F9"/>
    <w:rsid w:val="003B57CC"/>
    <w:rsid w:val="003B5978"/>
    <w:rsid w:val="003B7E20"/>
    <w:rsid w:val="003C2A8B"/>
    <w:rsid w:val="003C4560"/>
    <w:rsid w:val="003C4702"/>
    <w:rsid w:val="003C4A32"/>
    <w:rsid w:val="003C5678"/>
    <w:rsid w:val="003C5D5C"/>
    <w:rsid w:val="003C7B25"/>
    <w:rsid w:val="003D1323"/>
    <w:rsid w:val="003D269B"/>
    <w:rsid w:val="003D3E7B"/>
    <w:rsid w:val="003D69F1"/>
    <w:rsid w:val="003D7939"/>
    <w:rsid w:val="003E017B"/>
    <w:rsid w:val="003E1352"/>
    <w:rsid w:val="003E3097"/>
    <w:rsid w:val="003E3952"/>
    <w:rsid w:val="003E3A51"/>
    <w:rsid w:val="003E3DA8"/>
    <w:rsid w:val="003E6095"/>
    <w:rsid w:val="003E6AAE"/>
    <w:rsid w:val="003E7849"/>
    <w:rsid w:val="003F04AC"/>
    <w:rsid w:val="003F126E"/>
    <w:rsid w:val="003F1E86"/>
    <w:rsid w:val="003F3536"/>
    <w:rsid w:val="003F6A40"/>
    <w:rsid w:val="003F6E71"/>
    <w:rsid w:val="00403BE8"/>
    <w:rsid w:val="00404357"/>
    <w:rsid w:val="00410E0E"/>
    <w:rsid w:val="00412975"/>
    <w:rsid w:val="00413C67"/>
    <w:rsid w:val="0041557A"/>
    <w:rsid w:val="0041565E"/>
    <w:rsid w:val="00416F97"/>
    <w:rsid w:val="00420DC6"/>
    <w:rsid w:val="00421BDA"/>
    <w:rsid w:val="00421E69"/>
    <w:rsid w:val="00422386"/>
    <w:rsid w:val="004224E6"/>
    <w:rsid w:val="004238D7"/>
    <w:rsid w:val="00423937"/>
    <w:rsid w:val="00425505"/>
    <w:rsid w:val="0042668B"/>
    <w:rsid w:val="0043053F"/>
    <w:rsid w:val="00430C9E"/>
    <w:rsid w:val="0043174A"/>
    <w:rsid w:val="00432C4B"/>
    <w:rsid w:val="00432D28"/>
    <w:rsid w:val="00434A30"/>
    <w:rsid w:val="00434EA8"/>
    <w:rsid w:val="00437A35"/>
    <w:rsid w:val="004427E0"/>
    <w:rsid w:val="004431E2"/>
    <w:rsid w:val="0044496C"/>
    <w:rsid w:val="0045068A"/>
    <w:rsid w:val="00450DF2"/>
    <w:rsid w:val="00453A7C"/>
    <w:rsid w:val="00454D35"/>
    <w:rsid w:val="00455DCE"/>
    <w:rsid w:val="00462578"/>
    <w:rsid w:val="00463734"/>
    <w:rsid w:val="00463B4D"/>
    <w:rsid w:val="004659F6"/>
    <w:rsid w:val="00466048"/>
    <w:rsid w:val="00472DE1"/>
    <w:rsid w:val="00474CA9"/>
    <w:rsid w:val="004750A7"/>
    <w:rsid w:val="004765A7"/>
    <w:rsid w:val="00477706"/>
    <w:rsid w:val="00480168"/>
    <w:rsid w:val="0048056B"/>
    <w:rsid w:val="00480B60"/>
    <w:rsid w:val="00483021"/>
    <w:rsid w:val="00483B02"/>
    <w:rsid w:val="00483C79"/>
    <w:rsid w:val="004857F9"/>
    <w:rsid w:val="0048594E"/>
    <w:rsid w:val="00485962"/>
    <w:rsid w:val="004861DC"/>
    <w:rsid w:val="00486466"/>
    <w:rsid w:val="0048721E"/>
    <w:rsid w:val="004879D8"/>
    <w:rsid w:val="00491868"/>
    <w:rsid w:val="004931DA"/>
    <w:rsid w:val="00493936"/>
    <w:rsid w:val="004947B0"/>
    <w:rsid w:val="004A73EC"/>
    <w:rsid w:val="004B1021"/>
    <w:rsid w:val="004B3FAC"/>
    <w:rsid w:val="004B5D5B"/>
    <w:rsid w:val="004B6ACF"/>
    <w:rsid w:val="004C02E6"/>
    <w:rsid w:val="004C0D4E"/>
    <w:rsid w:val="004C1142"/>
    <w:rsid w:val="004C1D36"/>
    <w:rsid w:val="004C1FD6"/>
    <w:rsid w:val="004C35CE"/>
    <w:rsid w:val="004C3C09"/>
    <w:rsid w:val="004C72E7"/>
    <w:rsid w:val="004D24FD"/>
    <w:rsid w:val="004D28B6"/>
    <w:rsid w:val="004D28C2"/>
    <w:rsid w:val="004D3FA1"/>
    <w:rsid w:val="004D6597"/>
    <w:rsid w:val="004D67BE"/>
    <w:rsid w:val="004D6821"/>
    <w:rsid w:val="004E1A55"/>
    <w:rsid w:val="004E3C37"/>
    <w:rsid w:val="004E4BC2"/>
    <w:rsid w:val="004E4C8F"/>
    <w:rsid w:val="004E5091"/>
    <w:rsid w:val="004E58FC"/>
    <w:rsid w:val="004E6ED2"/>
    <w:rsid w:val="004F0B85"/>
    <w:rsid w:val="004F383F"/>
    <w:rsid w:val="00500E6F"/>
    <w:rsid w:val="005017DB"/>
    <w:rsid w:val="00505813"/>
    <w:rsid w:val="00505D92"/>
    <w:rsid w:val="00512AD1"/>
    <w:rsid w:val="005154BC"/>
    <w:rsid w:val="00515B33"/>
    <w:rsid w:val="00516522"/>
    <w:rsid w:val="00520293"/>
    <w:rsid w:val="00520EC0"/>
    <w:rsid w:val="00522BE0"/>
    <w:rsid w:val="0052594E"/>
    <w:rsid w:val="00527A49"/>
    <w:rsid w:val="00530CE1"/>
    <w:rsid w:val="00531FA2"/>
    <w:rsid w:val="00537DD4"/>
    <w:rsid w:val="005400EE"/>
    <w:rsid w:val="0054383E"/>
    <w:rsid w:val="005446ED"/>
    <w:rsid w:val="0054546C"/>
    <w:rsid w:val="00546040"/>
    <w:rsid w:val="0054627E"/>
    <w:rsid w:val="00550472"/>
    <w:rsid w:val="0055089C"/>
    <w:rsid w:val="00553577"/>
    <w:rsid w:val="00555ED0"/>
    <w:rsid w:val="005562E9"/>
    <w:rsid w:val="0055677D"/>
    <w:rsid w:val="005579D1"/>
    <w:rsid w:val="005622B9"/>
    <w:rsid w:val="005624FE"/>
    <w:rsid w:val="005659BC"/>
    <w:rsid w:val="00566EEA"/>
    <w:rsid w:val="00566F04"/>
    <w:rsid w:val="00566FDC"/>
    <w:rsid w:val="005679A1"/>
    <w:rsid w:val="00570FBC"/>
    <w:rsid w:val="00571CDB"/>
    <w:rsid w:val="00572CDA"/>
    <w:rsid w:val="00573C85"/>
    <w:rsid w:val="00574634"/>
    <w:rsid w:val="00574E5A"/>
    <w:rsid w:val="00575E15"/>
    <w:rsid w:val="00580A87"/>
    <w:rsid w:val="00580B55"/>
    <w:rsid w:val="0058157E"/>
    <w:rsid w:val="00581767"/>
    <w:rsid w:val="00584D6A"/>
    <w:rsid w:val="005860B0"/>
    <w:rsid w:val="00587620"/>
    <w:rsid w:val="00590B72"/>
    <w:rsid w:val="0059125A"/>
    <w:rsid w:val="00591D27"/>
    <w:rsid w:val="00592071"/>
    <w:rsid w:val="005922C1"/>
    <w:rsid w:val="00592815"/>
    <w:rsid w:val="00597543"/>
    <w:rsid w:val="00597C88"/>
    <w:rsid w:val="005A125E"/>
    <w:rsid w:val="005A158F"/>
    <w:rsid w:val="005A3FB3"/>
    <w:rsid w:val="005A6D41"/>
    <w:rsid w:val="005A7A61"/>
    <w:rsid w:val="005A7B72"/>
    <w:rsid w:val="005B02EE"/>
    <w:rsid w:val="005B19CA"/>
    <w:rsid w:val="005B1BC3"/>
    <w:rsid w:val="005B374D"/>
    <w:rsid w:val="005B466D"/>
    <w:rsid w:val="005B58A3"/>
    <w:rsid w:val="005B5B18"/>
    <w:rsid w:val="005C4C6C"/>
    <w:rsid w:val="005C651B"/>
    <w:rsid w:val="005C72EF"/>
    <w:rsid w:val="005D0480"/>
    <w:rsid w:val="005D055F"/>
    <w:rsid w:val="005D5D4B"/>
    <w:rsid w:val="005D68AA"/>
    <w:rsid w:val="005D6969"/>
    <w:rsid w:val="005D743F"/>
    <w:rsid w:val="005E0C92"/>
    <w:rsid w:val="005E1AB8"/>
    <w:rsid w:val="005E29EC"/>
    <w:rsid w:val="005E53D5"/>
    <w:rsid w:val="005F1AA6"/>
    <w:rsid w:val="005F1C13"/>
    <w:rsid w:val="005F52F9"/>
    <w:rsid w:val="005F7CDE"/>
    <w:rsid w:val="006007EE"/>
    <w:rsid w:val="00600A13"/>
    <w:rsid w:val="0060109C"/>
    <w:rsid w:val="00602177"/>
    <w:rsid w:val="00604505"/>
    <w:rsid w:val="00605025"/>
    <w:rsid w:val="00606074"/>
    <w:rsid w:val="00606DC8"/>
    <w:rsid w:val="006075F8"/>
    <w:rsid w:val="00612B89"/>
    <w:rsid w:val="0061354C"/>
    <w:rsid w:val="00614C20"/>
    <w:rsid w:val="00616D39"/>
    <w:rsid w:val="00617C04"/>
    <w:rsid w:val="00620262"/>
    <w:rsid w:val="00621334"/>
    <w:rsid w:val="0062281C"/>
    <w:rsid w:val="006251C8"/>
    <w:rsid w:val="00627281"/>
    <w:rsid w:val="00627AA2"/>
    <w:rsid w:val="00630E0C"/>
    <w:rsid w:val="0063167A"/>
    <w:rsid w:val="00631F5E"/>
    <w:rsid w:val="0063293E"/>
    <w:rsid w:val="00632AD2"/>
    <w:rsid w:val="00637E7C"/>
    <w:rsid w:val="006411D7"/>
    <w:rsid w:val="006418B1"/>
    <w:rsid w:val="00641B1A"/>
    <w:rsid w:val="00646AA2"/>
    <w:rsid w:val="00651042"/>
    <w:rsid w:val="006518BE"/>
    <w:rsid w:val="00652994"/>
    <w:rsid w:val="00652D7F"/>
    <w:rsid w:val="0065330C"/>
    <w:rsid w:val="006624C5"/>
    <w:rsid w:val="006632DB"/>
    <w:rsid w:val="00663AC8"/>
    <w:rsid w:val="006668AA"/>
    <w:rsid w:val="00666E06"/>
    <w:rsid w:val="0066764D"/>
    <w:rsid w:val="00671BF7"/>
    <w:rsid w:val="006720E3"/>
    <w:rsid w:val="00677DD3"/>
    <w:rsid w:val="00680E69"/>
    <w:rsid w:val="00684425"/>
    <w:rsid w:val="00684925"/>
    <w:rsid w:val="00684E16"/>
    <w:rsid w:val="0068679B"/>
    <w:rsid w:val="006949CB"/>
    <w:rsid w:val="006959CD"/>
    <w:rsid w:val="00695C72"/>
    <w:rsid w:val="006970B6"/>
    <w:rsid w:val="006972FA"/>
    <w:rsid w:val="006A013F"/>
    <w:rsid w:val="006A2E1A"/>
    <w:rsid w:val="006A3686"/>
    <w:rsid w:val="006A68AC"/>
    <w:rsid w:val="006B1E21"/>
    <w:rsid w:val="006B292E"/>
    <w:rsid w:val="006B389D"/>
    <w:rsid w:val="006B46A2"/>
    <w:rsid w:val="006B5BCD"/>
    <w:rsid w:val="006B76E4"/>
    <w:rsid w:val="006C250C"/>
    <w:rsid w:val="006C381F"/>
    <w:rsid w:val="006C6702"/>
    <w:rsid w:val="006C6AB7"/>
    <w:rsid w:val="006D1078"/>
    <w:rsid w:val="006D217F"/>
    <w:rsid w:val="006D4870"/>
    <w:rsid w:val="006D4F25"/>
    <w:rsid w:val="006D57A2"/>
    <w:rsid w:val="006D77A3"/>
    <w:rsid w:val="006E13FF"/>
    <w:rsid w:val="006E1550"/>
    <w:rsid w:val="006E2AF3"/>
    <w:rsid w:val="006E51F2"/>
    <w:rsid w:val="006E5290"/>
    <w:rsid w:val="006E677D"/>
    <w:rsid w:val="006F0462"/>
    <w:rsid w:val="006F18CC"/>
    <w:rsid w:val="006F2716"/>
    <w:rsid w:val="006F637D"/>
    <w:rsid w:val="006F69CB"/>
    <w:rsid w:val="006F773C"/>
    <w:rsid w:val="007023CF"/>
    <w:rsid w:val="007033D9"/>
    <w:rsid w:val="0070388E"/>
    <w:rsid w:val="00705BE4"/>
    <w:rsid w:val="0070632E"/>
    <w:rsid w:val="0070739F"/>
    <w:rsid w:val="007079E4"/>
    <w:rsid w:val="00714A3A"/>
    <w:rsid w:val="00714D61"/>
    <w:rsid w:val="00717B4C"/>
    <w:rsid w:val="007217ED"/>
    <w:rsid w:val="00722464"/>
    <w:rsid w:val="007228B9"/>
    <w:rsid w:val="0072421E"/>
    <w:rsid w:val="007249A9"/>
    <w:rsid w:val="00724EE7"/>
    <w:rsid w:val="007255C7"/>
    <w:rsid w:val="00725CCE"/>
    <w:rsid w:val="00727D62"/>
    <w:rsid w:val="00730166"/>
    <w:rsid w:val="007303A7"/>
    <w:rsid w:val="007316AC"/>
    <w:rsid w:val="00732FF2"/>
    <w:rsid w:val="00734ED6"/>
    <w:rsid w:val="00740EC7"/>
    <w:rsid w:val="00741C15"/>
    <w:rsid w:val="007432EE"/>
    <w:rsid w:val="00745053"/>
    <w:rsid w:val="00747421"/>
    <w:rsid w:val="00750D97"/>
    <w:rsid w:val="00761DE0"/>
    <w:rsid w:val="0076235F"/>
    <w:rsid w:val="00763389"/>
    <w:rsid w:val="00763A64"/>
    <w:rsid w:val="00770F6A"/>
    <w:rsid w:val="007718A9"/>
    <w:rsid w:val="007741B8"/>
    <w:rsid w:val="00775356"/>
    <w:rsid w:val="0077567D"/>
    <w:rsid w:val="00777624"/>
    <w:rsid w:val="00781172"/>
    <w:rsid w:val="00787ADE"/>
    <w:rsid w:val="007902AA"/>
    <w:rsid w:val="00790DDD"/>
    <w:rsid w:val="007916A2"/>
    <w:rsid w:val="00793B17"/>
    <w:rsid w:val="007955F7"/>
    <w:rsid w:val="007A27FE"/>
    <w:rsid w:val="007A3353"/>
    <w:rsid w:val="007A3BBB"/>
    <w:rsid w:val="007A4B2E"/>
    <w:rsid w:val="007A5505"/>
    <w:rsid w:val="007B0D04"/>
    <w:rsid w:val="007B414D"/>
    <w:rsid w:val="007B4ED7"/>
    <w:rsid w:val="007B7223"/>
    <w:rsid w:val="007C2AFF"/>
    <w:rsid w:val="007C4AA9"/>
    <w:rsid w:val="007C5B36"/>
    <w:rsid w:val="007C616E"/>
    <w:rsid w:val="007C6233"/>
    <w:rsid w:val="007D02D3"/>
    <w:rsid w:val="007D2346"/>
    <w:rsid w:val="007D2713"/>
    <w:rsid w:val="007D28AA"/>
    <w:rsid w:val="007D43E5"/>
    <w:rsid w:val="007D5D0F"/>
    <w:rsid w:val="007E084A"/>
    <w:rsid w:val="007E4498"/>
    <w:rsid w:val="007E5FD5"/>
    <w:rsid w:val="007E653B"/>
    <w:rsid w:val="007E6FED"/>
    <w:rsid w:val="007E714A"/>
    <w:rsid w:val="007E7BF7"/>
    <w:rsid w:val="007F08D1"/>
    <w:rsid w:val="007F1384"/>
    <w:rsid w:val="007F1D95"/>
    <w:rsid w:val="007F2BDB"/>
    <w:rsid w:val="007F323F"/>
    <w:rsid w:val="007F4070"/>
    <w:rsid w:val="007F54A1"/>
    <w:rsid w:val="007F6B11"/>
    <w:rsid w:val="007F6B40"/>
    <w:rsid w:val="007F7C62"/>
    <w:rsid w:val="00800D6B"/>
    <w:rsid w:val="00803DA7"/>
    <w:rsid w:val="008040A9"/>
    <w:rsid w:val="00805881"/>
    <w:rsid w:val="00806664"/>
    <w:rsid w:val="00810A82"/>
    <w:rsid w:val="00812B67"/>
    <w:rsid w:val="0081455F"/>
    <w:rsid w:val="00815B24"/>
    <w:rsid w:val="00817554"/>
    <w:rsid w:val="00817E23"/>
    <w:rsid w:val="008215E1"/>
    <w:rsid w:val="00822B9F"/>
    <w:rsid w:val="00822DCB"/>
    <w:rsid w:val="00822EFC"/>
    <w:rsid w:val="00824016"/>
    <w:rsid w:val="00825597"/>
    <w:rsid w:val="00826904"/>
    <w:rsid w:val="00826D9C"/>
    <w:rsid w:val="00827C32"/>
    <w:rsid w:val="008302E0"/>
    <w:rsid w:val="0083381B"/>
    <w:rsid w:val="00834E0B"/>
    <w:rsid w:val="0083696D"/>
    <w:rsid w:val="0084053A"/>
    <w:rsid w:val="008408C9"/>
    <w:rsid w:val="00841AC7"/>
    <w:rsid w:val="00844066"/>
    <w:rsid w:val="008454C2"/>
    <w:rsid w:val="0084552D"/>
    <w:rsid w:val="008519DB"/>
    <w:rsid w:val="00854D48"/>
    <w:rsid w:val="00856144"/>
    <w:rsid w:val="00860973"/>
    <w:rsid w:val="00860E14"/>
    <w:rsid w:val="0086517C"/>
    <w:rsid w:val="00865A0A"/>
    <w:rsid w:val="008669DF"/>
    <w:rsid w:val="00867B14"/>
    <w:rsid w:val="00871C4E"/>
    <w:rsid w:val="0087372C"/>
    <w:rsid w:val="0087378A"/>
    <w:rsid w:val="0087772E"/>
    <w:rsid w:val="00877CCB"/>
    <w:rsid w:val="008803F4"/>
    <w:rsid w:val="00882237"/>
    <w:rsid w:val="0089023B"/>
    <w:rsid w:val="0089361A"/>
    <w:rsid w:val="008954C5"/>
    <w:rsid w:val="00895A5A"/>
    <w:rsid w:val="00896FCB"/>
    <w:rsid w:val="00897344"/>
    <w:rsid w:val="008A0354"/>
    <w:rsid w:val="008A0799"/>
    <w:rsid w:val="008A7F89"/>
    <w:rsid w:val="008B01A2"/>
    <w:rsid w:val="008B098B"/>
    <w:rsid w:val="008B1092"/>
    <w:rsid w:val="008B32AF"/>
    <w:rsid w:val="008B40B1"/>
    <w:rsid w:val="008B7E9B"/>
    <w:rsid w:val="008C15F9"/>
    <w:rsid w:val="008C1D4B"/>
    <w:rsid w:val="008C234B"/>
    <w:rsid w:val="008C2BBA"/>
    <w:rsid w:val="008C2F9C"/>
    <w:rsid w:val="008C48E3"/>
    <w:rsid w:val="008C6119"/>
    <w:rsid w:val="008C6EDE"/>
    <w:rsid w:val="008D3B7B"/>
    <w:rsid w:val="008D6C6D"/>
    <w:rsid w:val="008D6E3E"/>
    <w:rsid w:val="008D6EB0"/>
    <w:rsid w:val="008D6F3A"/>
    <w:rsid w:val="008E003C"/>
    <w:rsid w:val="008E12FA"/>
    <w:rsid w:val="008E25C5"/>
    <w:rsid w:val="008E3FEB"/>
    <w:rsid w:val="008E513A"/>
    <w:rsid w:val="008E5BCD"/>
    <w:rsid w:val="008F2D00"/>
    <w:rsid w:val="008F35FF"/>
    <w:rsid w:val="008F5EA3"/>
    <w:rsid w:val="008F5FE0"/>
    <w:rsid w:val="008F77EF"/>
    <w:rsid w:val="00900F37"/>
    <w:rsid w:val="009031B0"/>
    <w:rsid w:val="0090501A"/>
    <w:rsid w:val="00907383"/>
    <w:rsid w:val="0090784F"/>
    <w:rsid w:val="00912325"/>
    <w:rsid w:val="00915929"/>
    <w:rsid w:val="00916234"/>
    <w:rsid w:val="00923FED"/>
    <w:rsid w:val="0092533E"/>
    <w:rsid w:val="00925A4F"/>
    <w:rsid w:val="00926F28"/>
    <w:rsid w:val="009306BE"/>
    <w:rsid w:val="0093457D"/>
    <w:rsid w:val="009357BB"/>
    <w:rsid w:val="009358D6"/>
    <w:rsid w:val="009367EA"/>
    <w:rsid w:val="009369E3"/>
    <w:rsid w:val="009379E3"/>
    <w:rsid w:val="0094001D"/>
    <w:rsid w:val="009401C0"/>
    <w:rsid w:val="009423F0"/>
    <w:rsid w:val="00943891"/>
    <w:rsid w:val="0095167E"/>
    <w:rsid w:val="00952202"/>
    <w:rsid w:val="00953487"/>
    <w:rsid w:val="00954A2B"/>
    <w:rsid w:val="00960577"/>
    <w:rsid w:val="009610F3"/>
    <w:rsid w:val="00964136"/>
    <w:rsid w:val="00965196"/>
    <w:rsid w:val="00971558"/>
    <w:rsid w:val="00972A52"/>
    <w:rsid w:val="00972F1B"/>
    <w:rsid w:val="00976BD1"/>
    <w:rsid w:val="009806DE"/>
    <w:rsid w:val="00980E91"/>
    <w:rsid w:val="00981B4F"/>
    <w:rsid w:val="0098250B"/>
    <w:rsid w:val="00983069"/>
    <w:rsid w:val="00983CC3"/>
    <w:rsid w:val="00985840"/>
    <w:rsid w:val="0098644B"/>
    <w:rsid w:val="00990A9E"/>
    <w:rsid w:val="00990B3F"/>
    <w:rsid w:val="0099252B"/>
    <w:rsid w:val="009951E4"/>
    <w:rsid w:val="00995881"/>
    <w:rsid w:val="00995D49"/>
    <w:rsid w:val="00997748"/>
    <w:rsid w:val="009A1E12"/>
    <w:rsid w:val="009A216B"/>
    <w:rsid w:val="009A5FD7"/>
    <w:rsid w:val="009A6904"/>
    <w:rsid w:val="009A7A88"/>
    <w:rsid w:val="009A7DF2"/>
    <w:rsid w:val="009B41E3"/>
    <w:rsid w:val="009C4DE8"/>
    <w:rsid w:val="009C5539"/>
    <w:rsid w:val="009C5558"/>
    <w:rsid w:val="009C5613"/>
    <w:rsid w:val="009C6A2B"/>
    <w:rsid w:val="009D042B"/>
    <w:rsid w:val="009D0F90"/>
    <w:rsid w:val="009D13B5"/>
    <w:rsid w:val="009D248C"/>
    <w:rsid w:val="009E11DB"/>
    <w:rsid w:val="009E24D2"/>
    <w:rsid w:val="009E2988"/>
    <w:rsid w:val="009E56A3"/>
    <w:rsid w:val="009E583C"/>
    <w:rsid w:val="009F0F24"/>
    <w:rsid w:val="009F21DD"/>
    <w:rsid w:val="009F60B0"/>
    <w:rsid w:val="00A0015D"/>
    <w:rsid w:val="00A009D2"/>
    <w:rsid w:val="00A01A68"/>
    <w:rsid w:val="00A024EE"/>
    <w:rsid w:val="00A03524"/>
    <w:rsid w:val="00A059CF"/>
    <w:rsid w:val="00A06F27"/>
    <w:rsid w:val="00A07A79"/>
    <w:rsid w:val="00A07B55"/>
    <w:rsid w:val="00A126B3"/>
    <w:rsid w:val="00A12DB4"/>
    <w:rsid w:val="00A14124"/>
    <w:rsid w:val="00A154AD"/>
    <w:rsid w:val="00A20A9D"/>
    <w:rsid w:val="00A20E87"/>
    <w:rsid w:val="00A222F2"/>
    <w:rsid w:val="00A27550"/>
    <w:rsid w:val="00A30C12"/>
    <w:rsid w:val="00A3115A"/>
    <w:rsid w:val="00A317D1"/>
    <w:rsid w:val="00A319A4"/>
    <w:rsid w:val="00A32C80"/>
    <w:rsid w:val="00A33DED"/>
    <w:rsid w:val="00A344CD"/>
    <w:rsid w:val="00A36349"/>
    <w:rsid w:val="00A371D3"/>
    <w:rsid w:val="00A407A7"/>
    <w:rsid w:val="00A43732"/>
    <w:rsid w:val="00A46173"/>
    <w:rsid w:val="00A52267"/>
    <w:rsid w:val="00A533FE"/>
    <w:rsid w:val="00A5400E"/>
    <w:rsid w:val="00A5460F"/>
    <w:rsid w:val="00A55B8D"/>
    <w:rsid w:val="00A55EE5"/>
    <w:rsid w:val="00A6126E"/>
    <w:rsid w:val="00A614DC"/>
    <w:rsid w:val="00A636A8"/>
    <w:rsid w:val="00A63B0F"/>
    <w:rsid w:val="00A65439"/>
    <w:rsid w:val="00A65B1F"/>
    <w:rsid w:val="00A70C87"/>
    <w:rsid w:val="00A72942"/>
    <w:rsid w:val="00A72FCC"/>
    <w:rsid w:val="00A7422D"/>
    <w:rsid w:val="00A74A95"/>
    <w:rsid w:val="00A76331"/>
    <w:rsid w:val="00A80E14"/>
    <w:rsid w:val="00A8287C"/>
    <w:rsid w:val="00A83192"/>
    <w:rsid w:val="00A854CE"/>
    <w:rsid w:val="00A85653"/>
    <w:rsid w:val="00A86987"/>
    <w:rsid w:val="00A86B21"/>
    <w:rsid w:val="00A873AF"/>
    <w:rsid w:val="00A879F8"/>
    <w:rsid w:val="00A87C3D"/>
    <w:rsid w:val="00A91AE6"/>
    <w:rsid w:val="00A91DD8"/>
    <w:rsid w:val="00A95210"/>
    <w:rsid w:val="00A95C63"/>
    <w:rsid w:val="00A9680F"/>
    <w:rsid w:val="00AA0B69"/>
    <w:rsid w:val="00AA1087"/>
    <w:rsid w:val="00AA26EA"/>
    <w:rsid w:val="00AA522D"/>
    <w:rsid w:val="00AB17A2"/>
    <w:rsid w:val="00AB17C8"/>
    <w:rsid w:val="00AB2F3E"/>
    <w:rsid w:val="00AB541C"/>
    <w:rsid w:val="00AB5930"/>
    <w:rsid w:val="00AC0699"/>
    <w:rsid w:val="00AC2796"/>
    <w:rsid w:val="00AC389C"/>
    <w:rsid w:val="00AC42C1"/>
    <w:rsid w:val="00AC454F"/>
    <w:rsid w:val="00AC4F19"/>
    <w:rsid w:val="00AC61E1"/>
    <w:rsid w:val="00AD1BB6"/>
    <w:rsid w:val="00AD58E8"/>
    <w:rsid w:val="00AE0795"/>
    <w:rsid w:val="00AE3360"/>
    <w:rsid w:val="00AE5EA7"/>
    <w:rsid w:val="00AE72A0"/>
    <w:rsid w:val="00AF043D"/>
    <w:rsid w:val="00AF05DE"/>
    <w:rsid w:val="00AF126E"/>
    <w:rsid w:val="00AF7350"/>
    <w:rsid w:val="00AF74D9"/>
    <w:rsid w:val="00B00112"/>
    <w:rsid w:val="00B01587"/>
    <w:rsid w:val="00B07A54"/>
    <w:rsid w:val="00B112D9"/>
    <w:rsid w:val="00B1196D"/>
    <w:rsid w:val="00B1247C"/>
    <w:rsid w:val="00B15C57"/>
    <w:rsid w:val="00B16B7F"/>
    <w:rsid w:val="00B1724C"/>
    <w:rsid w:val="00B2086A"/>
    <w:rsid w:val="00B21DB2"/>
    <w:rsid w:val="00B23A4E"/>
    <w:rsid w:val="00B24E0F"/>
    <w:rsid w:val="00B274F3"/>
    <w:rsid w:val="00B32165"/>
    <w:rsid w:val="00B33771"/>
    <w:rsid w:val="00B344A6"/>
    <w:rsid w:val="00B349B0"/>
    <w:rsid w:val="00B37D30"/>
    <w:rsid w:val="00B40AB4"/>
    <w:rsid w:val="00B41CC2"/>
    <w:rsid w:val="00B41DDF"/>
    <w:rsid w:val="00B44A77"/>
    <w:rsid w:val="00B460CE"/>
    <w:rsid w:val="00B46437"/>
    <w:rsid w:val="00B47E0B"/>
    <w:rsid w:val="00B47E50"/>
    <w:rsid w:val="00B5056C"/>
    <w:rsid w:val="00B50BC7"/>
    <w:rsid w:val="00B549BE"/>
    <w:rsid w:val="00B54F3B"/>
    <w:rsid w:val="00B57482"/>
    <w:rsid w:val="00B60ECD"/>
    <w:rsid w:val="00B64539"/>
    <w:rsid w:val="00B654DE"/>
    <w:rsid w:val="00B65DF3"/>
    <w:rsid w:val="00B67951"/>
    <w:rsid w:val="00B67E91"/>
    <w:rsid w:val="00B72F6A"/>
    <w:rsid w:val="00B73218"/>
    <w:rsid w:val="00B733BC"/>
    <w:rsid w:val="00B7483A"/>
    <w:rsid w:val="00B74F26"/>
    <w:rsid w:val="00B77C6D"/>
    <w:rsid w:val="00B81048"/>
    <w:rsid w:val="00B81E1C"/>
    <w:rsid w:val="00B84FA4"/>
    <w:rsid w:val="00B856CA"/>
    <w:rsid w:val="00B86A6B"/>
    <w:rsid w:val="00B8756B"/>
    <w:rsid w:val="00B876E9"/>
    <w:rsid w:val="00B92A5D"/>
    <w:rsid w:val="00B940AD"/>
    <w:rsid w:val="00B94DDD"/>
    <w:rsid w:val="00B95871"/>
    <w:rsid w:val="00B97176"/>
    <w:rsid w:val="00B97D75"/>
    <w:rsid w:val="00B97DB8"/>
    <w:rsid w:val="00BA07C0"/>
    <w:rsid w:val="00BA5063"/>
    <w:rsid w:val="00BA63EB"/>
    <w:rsid w:val="00BA6799"/>
    <w:rsid w:val="00BB28B1"/>
    <w:rsid w:val="00BB5079"/>
    <w:rsid w:val="00BB6F82"/>
    <w:rsid w:val="00BC3D79"/>
    <w:rsid w:val="00BC5806"/>
    <w:rsid w:val="00BC77EF"/>
    <w:rsid w:val="00BD00DF"/>
    <w:rsid w:val="00BD3958"/>
    <w:rsid w:val="00BD3969"/>
    <w:rsid w:val="00BD4B98"/>
    <w:rsid w:val="00BD51DB"/>
    <w:rsid w:val="00BD53C5"/>
    <w:rsid w:val="00BD6506"/>
    <w:rsid w:val="00BD67F8"/>
    <w:rsid w:val="00BD783E"/>
    <w:rsid w:val="00BE0738"/>
    <w:rsid w:val="00BE1373"/>
    <w:rsid w:val="00BE3F7F"/>
    <w:rsid w:val="00BE4FFE"/>
    <w:rsid w:val="00BE54F7"/>
    <w:rsid w:val="00BE777D"/>
    <w:rsid w:val="00BF19AC"/>
    <w:rsid w:val="00BF4A94"/>
    <w:rsid w:val="00BF55F2"/>
    <w:rsid w:val="00BF5945"/>
    <w:rsid w:val="00BF67AF"/>
    <w:rsid w:val="00C02489"/>
    <w:rsid w:val="00C0356C"/>
    <w:rsid w:val="00C040AE"/>
    <w:rsid w:val="00C0562A"/>
    <w:rsid w:val="00C058DE"/>
    <w:rsid w:val="00C12C07"/>
    <w:rsid w:val="00C12E1D"/>
    <w:rsid w:val="00C132F3"/>
    <w:rsid w:val="00C14890"/>
    <w:rsid w:val="00C16692"/>
    <w:rsid w:val="00C232B8"/>
    <w:rsid w:val="00C23A6C"/>
    <w:rsid w:val="00C245CC"/>
    <w:rsid w:val="00C25B9D"/>
    <w:rsid w:val="00C26A05"/>
    <w:rsid w:val="00C33008"/>
    <w:rsid w:val="00C33A9F"/>
    <w:rsid w:val="00C34E54"/>
    <w:rsid w:val="00C44713"/>
    <w:rsid w:val="00C50B3A"/>
    <w:rsid w:val="00C510FA"/>
    <w:rsid w:val="00C52D31"/>
    <w:rsid w:val="00C52F53"/>
    <w:rsid w:val="00C52FA1"/>
    <w:rsid w:val="00C54C9D"/>
    <w:rsid w:val="00C553A0"/>
    <w:rsid w:val="00C56042"/>
    <w:rsid w:val="00C563F8"/>
    <w:rsid w:val="00C63A4B"/>
    <w:rsid w:val="00C64418"/>
    <w:rsid w:val="00C65F87"/>
    <w:rsid w:val="00C6639E"/>
    <w:rsid w:val="00C66748"/>
    <w:rsid w:val="00C6714F"/>
    <w:rsid w:val="00C6768A"/>
    <w:rsid w:val="00C70351"/>
    <w:rsid w:val="00C703C8"/>
    <w:rsid w:val="00C716F2"/>
    <w:rsid w:val="00C73CA7"/>
    <w:rsid w:val="00C750AA"/>
    <w:rsid w:val="00C75ECD"/>
    <w:rsid w:val="00C7601A"/>
    <w:rsid w:val="00C7730E"/>
    <w:rsid w:val="00C82F41"/>
    <w:rsid w:val="00C8330F"/>
    <w:rsid w:val="00C83EC3"/>
    <w:rsid w:val="00C8795F"/>
    <w:rsid w:val="00C87DDF"/>
    <w:rsid w:val="00C91819"/>
    <w:rsid w:val="00C92905"/>
    <w:rsid w:val="00C93A1D"/>
    <w:rsid w:val="00C94DF7"/>
    <w:rsid w:val="00C96AA3"/>
    <w:rsid w:val="00C97E1C"/>
    <w:rsid w:val="00CA0197"/>
    <w:rsid w:val="00CA08F7"/>
    <w:rsid w:val="00CA284B"/>
    <w:rsid w:val="00CA3A5E"/>
    <w:rsid w:val="00CA5A7C"/>
    <w:rsid w:val="00CA5D4A"/>
    <w:rsid w:val="00CA60CF"/>
    <w:rsid w:val="00CA7A6A"/>
    <w:rsid w:val="00CB0FCB"/>
    <w:rsid w:val="00CB132C"/>
    <w:rsid w:val="00CB2C45"/>
    <w:rsid w:val="00CB2F26"/>
    <w:rsid w:val="00CB447B"/>
    <w:rsid w:val="00CB78FF"/>
    <w:rsid w:val="00CB7C39"/>
    <w:rsid w:val="00CC366F"/>
    <w:rsid w:val="00CC3D7A"/>
    <w:rsid w:val="00CC4B75"/>
    <w:rsid w:val="00CC60B3"/>
    <w:rsid w:val="00CD0117"/>
    <w:rsid w:val="00CD1739"/>
    <w:rsid w:val="00CD3D4D"/>
    <w:rsid w:val="00CE1ECC"/>
    <w:rsid w:val="00CE2C4F"/>
    <w:rsid w:val="00CE4538"/>
    <w:rsid w:val="00CE629C"/>
    <w:rsid w:val="00CE7EF8"/>
    <w:rsid w:val="00CF35B8"/>
    <w:rsid w:val="00CF399A"/>
    <w:rsid w:val="00CF5B3B"/>
    <w:rsid w:val="00CF5E20"/>
    <w:rsid w:val="00CF742C"/>
    <w:rsid w:val="00CF7BB4"/>
    <w:rsid w:val="00D00CDD"/>
    <w:rsid w:val="00D04324"/>
    <w:rsid w:val="00D06731"/>
    <w:rsid w:val="00D114FA"/>
    <w:rsid w:val="00D148CF"/>
    <w:rsid w:val="00D168CA"/>
    <w:rsid w:val="00D17177"/>
    <w:rsid w:val="00D1723C"/>
    <w:rsid w:val="00D20368"/>
    <w:rsid w:val="00D21D64"/>
    <w:rsid w:val="00D25391"/>
    <w:rsid w:val="00D253C5"/>
    <w:rsid w:val="00D25A2D"/>
    <w:rsid w:val="00D26B97"/>
    <w:rsid w:val="00D26CCC"/>
    <w:rsid w:val="00D271CE"/>
    <w:rsid w:val="00D307D2"/>
    <w:rsid w:val="00D31029"/>
    <w:rsid w:val="00D31184"/>
    <w:rsid w:val="00D312DA"/>
    <w:rsid w:val="00D329E4"/>
    <w:rsid w:val="00D3533B"/>
    <w:rsid w:val="00D3587E"/>
    <w:rsid w:val="00D35D28"/>
    <w:rsid w:val="00D4001D"/>
    <w:rsid w:val="00D40416"/>
    <w:rsid w:val="00D4126A"/>
    <w:rsid w:val="00D415FC"/>
    <w:rsid w:val="00D418C1"/>
    <w:rsid w:val="00D41C74"/>
    <w:rsid w:val="00D41F41"/>
    <w:rsid w:val="00D45ACC"/>
    <w:rsid w:val="00D478C9"/>
    <w:rsid w:val="00D51BD1"/>
    <w:rsid w:val="00D52914"/>
    <w:rsid w:val="00D5292D"/>
    <w:rsid w:val="00D56345"/>
    <w:rsid w:val="00D6046D"/>
    <w:rsid w:val="00D6071E"/>
    <w:rsid w:val="00D60F5E"/>
    <w:rsid w:val="00D6112C"/>
    <w:rsid w:val="00D66A1B"/>
    <w:rsid w:val="00D66DBD"/>
    <w:rsid w:val="00D6796F"/>
    <w:rsid w:val="00D67D52"/>
    <w:rsid w:val="00D723E8"/>
    <w:rsid w:val="00D726C6"/>
    <w:rsid w:val="00D727AD"/>
    <w:rsid w:val="00D739F0"/>
    <w:rsid w:val="00D73C89"/>
    <w:rsid w:val="00D74FF1"/>
    <w:rsid w:val="00D76CC1"/>
    <w:rsid w:val="00D779B3"/>
    <w:rsid w:val="00D80EA5"/>
    <w:rsid w:val="00D8366A"/>
    <w:rsid w:val="00D86668"/>
    <w:rsid w:val="00D871AC"/>
    <w:rsid w:val="00D905CD"/>
    <w:rsid w:val="00D90605"/>
    <w:rsid w:val="00D90D3C"/>
    <w:rsid w:val="00D9156E"/>
    <w:rsid w:val="00D9285A"/>
    <w:rsid w:val="00D95BC7"/>
    <w:rsid w:val="00D96EB2"/>
    <w:rsid w:val="00D973D7"/>
    <w:rsid w:val="00D97D0D"/>
    <w:rsid w:val="00DA0F30"/>
    <w:rsid w:val="00DA2EA0"/>
    <w:rsid w:val="00DA32CC"/>
    <w:rsid w:val="00DA3509"/>
    <w:rsid w:val="00DA7FE2"/>
    <w:rsid w:val="00DB05BF"/>
    <w:rsid w:val="00DB30BC"/>
    <w:rsid w:val="00DB39D6"/>
    <w:rsid w:val="00DB5AA5"/>
    <w:rsid w:val="00DB7052"/>
    <w:rsid w:val="00DB7603"/>
    <w:rsid w:val="00DC1779"/>
    <w:rsid w:val="00DC1FB1"/>
    <w:rsid w:val="00DC246F"/>
    <w:rsid w:val="00DC25CC"/>
    <w:rsid w:val="00DC2DA7"/>
    <w:rsid w:val="00DC44C1"/>
    <w:rsid w:val="00DC75B9"/>
    <w:rsid w:val="00DC7E1B"/>
    <w:rsid w:val="00DD2DE9"/>
    <w:rsid w:val="00DD2F82"/>
    <w:rsid w:val="00DD577F"/>
    <w:rsid w:val="00DD597E"/>
    <w:rsid w:val="00DD6432"/>
    <w:rsid w:val="00DD7FBD"/>
    <w:rsid w:val="00DE7158"/>
    <w:rsid w:val="00DF1E88"/>
    <w:rsid w:val="00DF226A"/>
    <w:rsid w:val="00DF3B03"/>
    <w:rsid w:val="00DF6DFA"/>
    <w:rsid w:val="00DF792A"/>
    <w:rsid w:val="00E03CAC"/>
    <w:rsid w:val="00E03FC9"/>
    <w:rsid w:val="00E058EA"/>
    <w:rsid w:val="00E14035"/>
    <w:rsid w:val="00E14751"/>
    <w:rsid w:val="00E20614"/>
    <w:rsid w:val="00E23703"/>
    <w:rsid w:val="00E24B00"/>
    <w:rsid w:val="00E273A3"/>
    <w:rsid w:val="00E279F5"/>
    <w:rsid w:val="00E308CA"/>
    <w:rsid w:val="00E34486"/>
    <w:rsid w:val="00E3541E"/>
    <w:rsid w:val="00E36CB7"/>
    <w:rsid w:val="00E377FE"/>
    <w:rsid w:val="00E3786A"/>
    <w:rsid w:val="00E425C2"/>
    <w:rsid w:val="00E460A2"/>
    <w:rsid w:val="00E512AB"/>
    <w:rsid w:val="00E52789"/>
    <w:rsid w:val="00E54F7D"/>
    <w:rsid w:val="00E57334"/>
    <w:rsid w:val="00E57B21"/>
    <w:rsid w:val="00E6060F"/>
    <w:rsid w:val="00E61774"/>
    <w:rsid w:val="00E62CE0"/>
    <w:rsid w:val="00E64235"/>
    <w:rsid w:val="00E649BE"/>
    <w:rsid w:val="00E65B7D"/>
    <w:rsid w:val="00E72459"/>
    <w:rsid w:val="00E72ABD"/>
    <w:rsid w:val="00E73012"/>
    <w:rsid w:val="00E75B28"/>
    <w:rsid w:val="00E764B5"/>
    <w:rsid w:val="00E77714"/>
    <w:rsid w:val="00E803B9"/>
    <w:rsid w:val="00E835ED"/>
    <w:rsid w:val="00E8390E"/>
    <w:rsid w:val="00E849E7"/>
    <w:rsid w:val="00E84DE7"/>
    <w:rsid w:val="00E90001"/>
    <w:rsid w:val="00E9074B"/>
    <w:rsid w:val="00E90920"/>
    <w:rsid w:val="00E93511"/>
    <w:rsid w:val="00E940F1"/>
    <w:rsid w:val="00E96993"/>
    <w:rsid w:val="00EA00B2"/>
    <w:rsid w:val="00EA11D8"/>
    <w:rsid w:val="00EA360D"/>
    <w:rsid w:val="00EA3656"/>
    <w:rsid w:val="00EA7C19"/>
    <w:rsid w:val="00EB105B"/>
    <w:rsid w:val="00EB3FDA"/>
    <w:rsid w:val="00EB4FFB"/>
    <w:rsid w:val="00EB65E9"/>
    <w:rsid w:val="00EB7061"/>
    <w:rsid w:val="00EB759A"/>
    <w:rsid w:val="00EC0DE9"/>
    <w:rsid w:val="00EC0FA0"/>
    <w:rsid w:val="00EC2092"/>
    <w:rsid w:val="00ED111E"/>
    <w:rsid w:val="00ED1B6A"/>
    <w:rsid w:val="00ED3A46"/>
    <w:rsid w:val="00ED4F49"/>
    <w:rsid w:val="00ED66D4"/>
    <w:rsid w:val="00ED7D70"/>
    <w:rsid w:val="00EE087B"/>
    <w:rsid w:val="00EE11DD"/>
    <w:rsid w:val="00EE2D26"/>
    <w:rsid w:val="00EE2E86"/>
    <w:rsid w:val="00EF03C4"/>
    <w:rsid w:val="00EF52EC"/>
    <w:rsid w:val="00F00846"/>
    <w:rsid w:val="00F01D5F"/>
    <w:rsid w:val="00F04DD8"/>
    <w:rsid w:val="00F0515D"/>
    <w:rsid w:val="00F0754B"/>
    <w:rsid w:val="00F114A4"/>
    <w:rsid w:val="00F13454"/>
    <w:rsid w:val="00F15476"/>
    <w:rsid w:val="00F21EAE"/>
    <w:rsid w:val="00F22226"/>
    <w:rsid w:val="00F254D6"/>
    <w:rsid w:val="00F256B0"/>
    <w:rsid w:val="00F25847"/>
    <w:rsid w:val="00F26E85"/>
    <w:rsid w:val="00F30279"/>
    <w:rsid w:val="00F30F3E"/>
    <w:rsid w:val="00F30FD7"/>
    <w:rsid w:val="00F31960"/>
    <w:rsid w:val="00F340AE"/>
    <w:rsid w:val="00F35F66"/>
    <w:rsid w:val="00F36C83"/>
    <w:rsid w:val="00F37FB4"/>
    <w:rsid w:val="00F41682"/>
    <w:rsid w:val="00F43387"/>
    <w:rsid w:val="00F44528"/>
    <w:rsid w:val="00F45AD3"/>
    <w:rsid w:val="00F4754F"/>
    <w:rsid w:val="00F476AA"/>
    <w:rsid w:val="00F53C46"/>
    <w:rsid w:val="00F5453F"/>
    <w:rsid w:val="00F54C84"/>
    <w:rsid w:val="00F56D80"/>
    <w:rsid w:val="00F577EF"/>
    <w:rsid w:val="00F623C3"/>
    <w:rsid w:val="00F65C6E"/>
    <w:rsid w:val="00F666A6"/>
    <w:rsid w:val="00F669C9"/>
    <w:rsid w:val="00F67183"/>
    <w:rsid w:val="00F6791C"/>
    <w:rsid w:val="00F74F4F"/>
    <w:rsid w:val="00F751A9"/>
    <w:rsid w:val="00F7565E"/>
    <w:rsid w:val="00F766FF"/>
    <w:rsid w:val="00F7704C"/>
    <w:rsid w:val="00F85C5E"/>
    <w:rsid w:val="00F85C81"/>
    <w:rsid w:val="00F90248"/>
    <w:rsid w:val="00F90376"/>
    <w:rsid w:val="00F914BF"/>
    <w:rsid w:val="00F91905"/>
    <w:rsid w:val="00F93CF3"/>
    <w:rsid w:val="00F94C4D"/>
    <w:rsid w:val="00F95422"/>
    <w:rsid w:val="00F95A39"/>
    <w:rsid w:val="00F95F04"/>
    <w:rsid w:val="00FA0B51"/>
    <w:rsid w:val="00FA0F81"/>
    <w:rsid w:val="00FA2646"/>
    <w:rsid w:val="00FA7F5E"/>
    <w:rsid w:val="00FB17DE"/>
    <w:rsid w:val="00FB2155"/>
    <w:rsid w:val="00FB380B"/>
    <w:rsid w:val="00FB4E63"/>
    <w:rsid w:val="00FC062E"/>
    <w:rsid w:val="00FC1A5D"/>
    <w:rsid w:val="00FC7163"/>
    <w:rsid w:val="00FD1BEF"/>
    <w:rsid w:val="00FE1C0E"/>
    <w:rsid w:val="00FE1D8A"/>
    <w:rsid w:val="00FE352C"/>
    <w:rsid w:val="00FE7004"/>
    <w:rsid w:val="00FF0A03"/>
    <w:rsid w:val="00FF30D8"/>
    <w:rsid w:val="00FF344B"/>
    <w:rsid w:val="00FF3C55"/>
    <w:rsid w:val="00FF4492"/>
    <w:rsid w:val="00FF60C0"/>
    <w:rsid w:val="00FF66CC"/>
    <w:rsid w:val="013BBC69"/>
    <w:rsid w:val="01C64D20"/>
    <w:rsid w:val="01D2D7A0"/>
    <w:rsid w:val="01D90189"/>
    <w:rsid w:val="020D3C23"/>
    <w:rsid w:val="0211706F"/>
    <w:rsid w:val="03448265"/>
    <w:rsid w:val="03621D81"/>
    <w:rsid w:val="03A6D707"/>
    <w:rsid w:val="03CA3797"/>
    <w:rsid w:val="04078715"/>
    <w:rsid w:val="0414E56A"/>
    <w:rsid w:val="043EA067"/>
    <w:rsid w:val="04C618EB"/>
    <w:rsid w:val="04E760A4"/>
    <w:rsid w:val="0510A24B"/>
    <w:rsid w:val="0574EBBB"/>
    <w:rsid w:val="05A35776"/>
    <w:rsid w:val="05A595E0"/>
    <w:rsid w:val="05B86A59"/>
    <w:rsid w:val="06806EDA"/>
    <w:rsid w:val="06AC72AC"/>
    <w:rsid w:val="06DCEFC5"/>
    <w:rsid w:val="073CEC4F"/>
    <w:rsid w:val="07660056"/>
    <w:rsid w:val="078ABFBB"/>
    <w:rsid w:val="07A08C44"/>
    <w:rsid w:val="07C8EC70"/>
    <w:rsid w:val="086A9589"/>
    <w:rsid w:val="0878C026"/>
    <w:rsid w:val="089AB728"/>
    <w:rsid w:val="08A9A498"/>
    <w:rsid w:val="093C5CA5"/>
    <w:rsid w:val="09B80F9C"/>
    <w:rsid w:val="09EEDCB7"/>
    <w:rsid w:val="0A517471"/>
    <w:rsid w:val="0A585886"/>
    <w:rsid w:val="0B093499"/>
    <w:rsid w:val="0BB3C45A"/>
    <w:rsid w:val="0BBB8C8B"/>
    <w:rsid w:val="0C5444B8"/>
    <w:rsid w:val="0D2E6A04"/>
    <w:rsid w:val="0D67C05A"/>
    <w:rsid w:val="0D6E284B"/>
    <w:rsid w:val="0D7D15BB"/>
    <w:rsid w:val="0DF01519"/>
    <w:rsid w:val="0E1EDE59"/>
    <w:rsid w:val="0E373635"/>
    <w:rsid w:val="0E8C3765"/>
    <w:rsid w:val="0ECA3A65"/>
    <w:rsid w:val="0ED296CE"/>
    <w:rsid w:val="0EF32D4D"/>
    <w:rsid w:val="0F579811"/>
    <w:rsid w:val="0F62ABCA"/>
    <w:rsid w:val="0F7215FD"/>
    <w:rsid w:val="0F81D5F0"/>
    <w:rsid w:val="0FEDD89C"/>
    <w:rsid w:val="106A6C45"/>
    <w:rsid w:val="107E1153"/>
    <w:rsid w:val="10C0B5F5"/>
    <w:rsid w:val="10DB68F7"/>
    <w:rsid w:val="10E7150A"/>
    <w:rsid w:val="11567F1B"/>
    <w:rsid w:val="11EC3397"/>
    <w:rsid w:val="120E6BDC"/>
    <w:rsid w:val="12364516"/>
    <w:rsid w:val="12375E81"/>
    <w:rsid w:val="123E584F"/>
    <w:rsid w:val="128F38D3"/>
    <w:rsid w:val="12F99F39"/>
    <w:rsid w:val="131598D2"/>
    <w:rsid w:val="13F74D1C"/>
    <w:rsid w:val="148E1FDD"/>
    <w:rsid w:val="14956F9A"/>
    <w:rsid w:val="14B016DF"/>
    <w:rsid w:val="14FC557E"/>
    <w:rsid w:val="14FDB644"/>
    <w:rsid w:val="152EB39B"/>
    <w:rsid w:val="152F5EC7"/>
    <w:rsid w:val="15397BE9"/>
    <w:rsid w:val="15BCDECB"/>
    <w:rsid w:val="15DEFC29"/>
    <w:rsid w:val="15F07FFC"/>
    <w:rsid w:val="16050B36"/>
    <w:rsid w:val="16313FFB"/>
    <w:rsid w:val="16FE3F32"/>
    <w:rsid w:val="1758AF2C"/>
    <w:rsid w:val="17BE9D94"/>
    <w:rsid w:val="17CDAE25"/>
    <w:rsid w:val="17E909F5"/>
    <w:rsid w:val="17F11FC8"/>
    <w:rsid w:val="185007C3"/>
    <w:rsid w:val="1866FF89"/>
    <w:rsid w:val="1874DD26"/>
    <w:rsid w:val="189A0F93"/>
    <w:rsid w:val="18FB47F2"/>
    <w:rsid w:val="19DF5E1D"/>
    <w:rsid w:val="19EF7055"/>
    <w:rsid w:val="1A02CFEA"/>
    <w:rsid w:val="1A571C1A"/>
    <w:rsid w:val="1AA48249"/>
    <w:rsid w:val="1AC824C8"/>
    <w:rsid w:val="1B04B11E"/>
    <w:rsid w:val="1B9EA04B"/>
    <w:rsid w:val="1BFAFD4C"/>
    <w:rsid w:val="1C12F7F2"/>
    <w:rsid w:val="1C5FC180"/>
    <w:rsid w:val="1C87F6EB"/>
    <w:rsid w:val="1C99A1D2"/>
    <w:rsid w:val="1CA0817F"/>
    <w:rsid w:val="1D65EC8C"/>
    <w:rsid w:val="1D6C760C"/>
    <w:rsid w:val="1D7E86D3"/>
    <w:rsid w:val="1DAC6FB5"/>
    <w:rsid w:val="1DCA3F23"/>
    <w:rsid w:val="1DDEE132"/>
    <w:rsid w:val="1E357233"/>
    <w:rsid w:val="1E40AD2A"/>
    <w:rsid w:val="1F081F43"/>
    <w:rsid w:val="1F095117"/>
    <w:rsid w:val="1F484016"/>
    <w:rsid w:val="206C9287"/>
    <w:rsid w:val="210659D7"/>
    <w:rsid w:val="217FBC0E"/>
    <w:rsid w:val="21B17455"/>
    <w:rsid w:val="2225E5ED"/>
    <w:rsid w:val="222D75C8"/>
    <w:rsid w:val="2241E07C"/>
    <w:rsid w:val="2276C222"/>
    <w:rsid w:val="22954AA8"/>
    <w:rsid w:val="22BAC78A"/>
    <w:rsid w:val="22FF2A3C"/>
    <w:rsid w:val="2301503B"/>
    <w:rsid w:val="233257CE"/>
    <w:rsid w:val="2384FF65"/>
    <w:rsid w:val="23D52E10"/>
    <w:rsid w:val="245697EB"/>
    <w:rsid w:val="2458C635"/>
    <w:rsid w:val="2468365D"/>
    <w:rsid w:val="249AFA9D"/>
    <w:rsid w:val="249D209C"/>
    <w:rsid w:val="24CE282F"/>
    <w:rsid w:val="24F1C153"/>
    <w:rsid w:val="24FB5F83"/>
    <w:rsid w:val="2503C819"/>
    <w:rsid w:val="254003AA"/>
    <w:rsid w:val="256FCDAC"/>
    <w:rsid w:val="2570FE71"/>
    <w:rsid w:val="25940A61"/>
    <w:rsid w:val="25F2684C"/>
    <w:rsid w:val="2605FEFC"/>
    <w:rsid w:val="26389A58"/>
    <w:rsid w:val="26B797F5"/>
    <w:rsid w:val="26BCA027"/>
    <w:rsid w:val="26F34604"/>
    <w:rsid w:val="2765C31F"/>
    <w:rsid w:val="2768BBCB"/>
    <w:rsid w:val="2774957E"/>
    <w:rsid w:val="27FF6100"/>
    <w:rsid w:val="2805C8F1"/>
    <w:rsid w:val="28496D8C"/>
    <w:rsid w:val="28829653"/>
    <w:rsid w:val="289FE61A"/>
    <w:rsid w:val="28A89F33"/>
    <w:rsid w:val="292A090E"/>
    <w:rsid w:val="29A2EBA6"/>
    <w:rsid w:val="2A613294"/>
    <w:rsid w:val="2A71FD4A"/>
    <w:rsid w:val="2AC9D34D"/>
    <w:rsid w:val="2AFDAB6C"/>
    <w:rsid w:val="2B1B72B1"/>
    <w:rsid w:val="2BFC5217"/>
    <w:rsid w:val="2C554FF0"/>
    <w:rsid w:val="2C7866E5"/>
    <w:rsid w:val="2CC26EB5"/>
    <w:rsid w:val="2CE391B8"/>
    <w:rsid w:val="2D91DDA8"/>
    <w:rsid w:val="2DF9FD2A"/>
    <w:rsid w:val="2E531373"/>
    <w:rsid w:val="2E65286D"/>
    <w:rsid w:val="2EA79E9E"/>
    <w:rsid w:val="2EAFCAAD"/>
    <w:rsid w:val="2F9D4470"/>
    <w:rsid w:val="2FD11C8F"/>
    <w:rsid w:val="31777ACF"/>
    <w:rsid w:val="318DDCC3"/>
    <w:rsid w:val="3225444D"/>
    <w:rsid w:val="32507C62"/>
    <w:rsid w:val="32B7C2F7"/>
    <w:rsid w:val="3390B3BA"/>
    <w:rsid w:val="33BFC164"/>
    <w:rsid w:val="3581F837"/>
    <w:rsid w:val="363595C5"/>
    <w:rsid w:val="36AB08D2"/>
    <w:rsid w:val="36CA895A"/>
    <w:rsid w:val="3738BFEE"/>
    <w:rsid w:val="37D16626"/>
    <w:rsid w:val="380D0EE2"/>
    <w:rsid w:val="380DFC76"/>
    <w:rsid w:val="3861DFC9"/>
    <w:rsid w:val="387AD18F"/>
    <w:rsid w:val="38CD12D9"/>
    <w:rsid w:val="3907BA31"/>
    <w:rsid w:val="396D3687"/>
    <w:rsid w:val="397FEC5B"/>
    <w:rsid w:val="39A9CCD7"/>
    <w:rsid w:val="39DA978A"/>
    <w:rsid w:val="3A6489D6"/>
    <w:rsid w:val="3AA38A92"/>
    <w:rsid w:val="3ADC5A9C"/>
    <w:rsid w:val="3B44AFA4"/>
    <w:rsid w:val="3B7667EB"/>
    <w:rsid w:val="3B83E029"/>
    <w:rsid w:val="3BF2695E"/>
    <w:rsid w:val="3CD98122"/>
    <w:rsid w:val="3D1F126D"/>
    <w:rsid w:val="3D8DB859"/>
    <w:rsid w:val="3DA80172"/>
    <w:rsid w:val="3E3FDAF2"/>
    <w:rsid w:val="3E535D7E"/>
    <w:rsid w:val="3E755183"/>
    <w:rsid w:val="3E7C5066"/>
    <w:rsid w:val="3F022C0A"/>
    <w:rsid w:val="3F4E1B19"/>
    <w:rsid w:val="3F6D9E9B"/>
    <w:rsid w:val="3F76FBB5"/>
    <w:rsid w:val="3F9A2AD7"/>
    <w:rsid w:val="3FE4B32B"/>
    <w:rsid w:val="3FFDDB88"/>
    <w:rsid w:val="40288435"/>
    <w:rsid w:val="4049D90E"/>
    <w:rsid w:val="40560E65"/>
    <w:rsid w:val="4069AC5E"/>
    <w:rsid w:val="4097B097"/>
    <w:rsid w:val="413C596E"/>
    <w:rsid w:val="4180E11E"/>
    <w:rsid w:val="41BA3CCA"/>
    <w:rsid w:val="4236DA15"/>
    <w:rsid w:val="431D42EC"/>
    <w:rsid w:val="44857897"/>
    <w:rsid w:val="44B881E0"/>
    <w:rsid w:val="453144D5"/>
    <w:rsid w:val="4579A315"/>
    <w:rsid w:val="459615EB"/>
    <w:rsid w:val="45BA6314"/>
    <w:rsid w:val="45BEA88F"/>
    <w:rsid w:val="45D1BD1B"/>
    <w:rsid w:val="462DBD77"/>
    <w:rsid w:val="4683C04B"/>
    <w:rsid w:val="46FD4454"/>
    <w:rsid w:val="47157376"/>
    <w:rsid w:val="4731E64C"/>
    <w:rsid w:val="476580A6"/>
    <w:rsid w:val="47BCDC1A"/>
    <w:rsid w:val="47C98DD8"/>
    <w:rsid w:val="482332AC"/>
    <w:rsid w:val="4898E2DF"/>
    <w:rsid w:val="48A2C27C"/>
    <w:rsid w:val="48CDB6AD"/>
    <w:rsid w:val="48DB4CE3"/>
    <w:rsid w:val="49433938"/>
    <w:rsid w:val="4969EC94"/>
    <w:rsid w:val="49BDD139"/>
    <w:rsid w:val="49BF030D"/>
    <w:rsid w:val="49E46D18"/>
    <w:rsid w:val="4B59A19A"/>
    <w:rsid w:val="4B5AD36E"/>
    <w:rsid w:val="4B611F10"/>
    <w:rsid w:val="4B6C8567"/>
    <w:rsid w:val="4BC786B5"/>
    <w:rsid w:val="4C8A3EEB"/>
    <w:rsid w:val="4CA1F715"/>
    <w:rsid w:val="4CE81D08"/>
    <w:rsid w:val="4CEF0FA5"/>
    <w:rsid w:val="4CFA6E26"/>
    <w:rsid w:val="4DC574F9"/>
    <w:rsid w:val="4E3AB15B"/>
    <w:rsid w:val="4E8AE006"/>
    <w:rsid w:val="4E927430"/>
    <w:rsid w:val="4E9362D3"/>
    <w:rsid w:val="4EB1E82F"/>
    <w:rsid w:val="4F20855B"/>
    <w:rsid w:val="4FDC8D43"/>
    <w:rsid w:val="5026B067"/>
    <w:rsid w:val="506CFC78"/>
    <w:rsid w:val="50A4269A"/>
    <w:rsid w:val="516BA9B2"/>
    <w:rsid w:val="51785DA4"/>
    <w:rsid w:val="51B698E1"/>
    <w:rsid w:val="51B83F20"/>
    <w:rsid w:val="51C15003"/>
    <w:rsid w:val="51C9A405"/>
    <w:rsid w:val="51D228BB"/>
    <w:rsid w:val="523FF6FB"/>
    <w:rsid w:val="52A3CD2B"/>
    <w:rsid w:val="535235BE"/>
    <w:rsid w:val="53526942"/>
    <w:rsid w:val="5362E3C0"/>
    <w:rsid w:val="53855952"/>
    <w:rsid w:val="53B83602"/>
    <w:rsid w:val="547E63FB"/>
    <w:rsid w:val="54FA218A"/>
    <w:rsid w:val="557D35C1"/>
    <w:rsid w:val="559FAE10"/>
    <w:rsid w:val="560E0891"/>
    <w:rsid w:val="5624ABB7"/>
    <w:rsid w:val="5628BB93"/>
    <w:rsid w:val="5660A2EF"/>
    <w:rsid w:val="575BBE78"/>
    <w:rsid w:val="5913F10C"/>
    <w:rsid w:val="5968F0FE"/>
    <w:rsid w:val="5A52F666"/>
    <w:rsid w:val="5A935F3A"/>
    <w:rsid w:val="5B2DB43E"/>
    <w:rsid w:val="5B2F513D"/>
    <w:rsid w:val="5B60A9F5"/>
    <w:rsid w:val="5B9E4EC9"/>
    <w:rsid w:val="5CCB219E"/>
    <w:rsid w:val="5CD89350"/>
    <w:rsid w:val="5F5A3FA8"/>
    <w:rsid w:val="5F72B4B0"/>
    <w:rsid w:val="5FC5B3B5"/>
    <w:rsid w:val="5FF15B09"/>
    <w:rsid w:val="60406ED4"/>
    <w:rsid w:val="60B6B421"/>
    <w:rsid w:val="60CBE5B1"/>
    <w:rsid w:val="610E8511"/>
    <w:rsid w:val="61DC3F35"/>
    <w:rsid w:val="6227FFC2"/>
    <w:rsid w:val="6242906C"/>
    <w:rsid w:val="627463B3"/>
    <w:rsid w:val="6296A690"/>
    <w:rsid w:val="63308385"/>
    <w:rsid w:val="633A6322"/>
    <w:rsid w:val="63655753"/>
    <w:rsid w:val="64103414"/>
    <w:rsid w:val="64C15BC4"/>
    <w:rsid w:val="655F5E75"/>
    <w:rsid w:val="6562F690"/>
    <w:rsid w:val="65AC0475"/>
    <w:rsid w:val="65B058CF"/>
    <w:rsid w:val="65D3E29C"/>
    <w:rsid w:val="65F362B7"/>
    <w:rsid w:val="6633BBB1"/>
    <w:rsid w:val="663C55B5"/>
    <w:rsid w:val="673C8D27"/>
    <w:rsid w:val="67FDF6F9"/>
    <w:rsid w:val="6803F4A8"/>
    <w:rsid w:val="682604A0"/>
    <w:rsid w:val="6880C08E"/>
    <w:rsid w:val="68C6E4A9"/>
    <w:rsid w:val="68D4FE5D"/>
    <w:rsid w:val="6929A3E9"/>
    <w:rsid w:val="692D295C"/>
    <w:rsid w:val="696FEFFA"/>
    <w:rsid w:val="69DBBC84"/>
    <w:rsid w:val="6A4588D6"/>
    <w:rsid w:val="6A4FF1D3"/>
    <w:rsid w:val="6ADCF82F"/>
    <w:rsid w:val="6B0D0342"/>
    <w:rsid w:val="6BEBC234"/>
    <w:rsid w:val="6C09F2C3"/>
    <w:rsid w:val="6C0FFE4A"/>
    <w:rsid w:val="6C44EB3B"/>
    <w:rsid w:val="6C763390"/>
    <w:rsid w:val="6C7B0385"/>
    <w:rsid w:val="6D17FC2E"/>
    <w:rsid w:val="6D3CE4C2"/>
    <w:rsid w:val="6D879295"/>
    <w:rsid w:val="6D8DDBC5"/>
    <w:rsid w:val="6DABCEAB"/>
    <w:rsid w:val="6DD3DFBC"/>
    <w:rsid w:val="6E402540"/>
    <w:rsid w:val="6E4595FB"/>
    <w:rsid w:val="6EA41030"/>
    <w:rsid w:val="6EBBBE5C"/>
    <w:rsid w:val="6F811CA0"/>
    <w:rsid w:val="6F8968BF"/>
    <w:rsid w:val="700E3F28"/>
    <w:rsid w:val="7024CA7D"/>
    <w:rsid w:val="7038EC70"/>
    <w:rsid w:val="70C57C87"/>
    <w:rsid w:val="70E36F6D"/>
    <w:rsid w:val="7149A4B3"/>
    <w:rsid w:val="716D5E81"/>
    <w:rsid w:val="717D36BD"/>
    <w:rsid w:val="71921433"/>
    <w:rsid w:val="71AA0F89"/>
    <w:rsid w:val="72268CB0"/>
    <w:rsid w:val="72FDA9E3"/>
    <w:rsid w:val="732ABCC7"/>
    <w:rsid w:val="73F6D419"/>
    <w:rsid w:val="73FD1D49"/>
    <w:rsid w:val="7537E211"/>
    <w:rsid w:val="75476213"/>
    <w:rsid w:val="755637F5"/>
    <w:rsid w:val="7592A47A"/>
    <w:rsid w:val="75CBB90A"/>
    <w:rsid w:val="75EC7048"/>
    <w:rsid w:val="760AE747"/>
    <w:rsid w:val="76354AA5"/>
    <w:rsid w:val="76625D89"/>
    <w:rsid w:val="766A4D7E"/>
    <w:rsid w:val="76E227CA"/>
    <w:rsid w:val="77A06EB8"/>
    <w:rsid w:val="77FE2DEA"/>
    <w:rsid w:val="7816B405"/>
    <w:rsid w:val="7861FE92"/>
    <w:rsid w:val="787DF82B"/>
    <w:rsid w:val="78CFE340"/>
    <w:rsid w:val="78D62622"/>
    <w:rsid w:val="78DBC142"/>
    <w:rsid w:val="78F30FAD"/>
    <w:rsid w:val="79B4B9E3"/>
    <w:rsid w:val="7A16F750"/>
    <w:rsid w:val="7A8C33B2"/>
    <w:rsid w:val="7ADB3198"/>
    <w:rsid w:val="7ADE586A"/>
    <w:rsid w:val="7BF04964"/>
    <w:rsid w:val="7C1C63EA"/>
    <w:rsid w:val="7C2AB06F"/>
    <w:rsid w:val="7D360D7E"/>
    <w:rsid w:val="7D5F41D3"/>
    <w:rsid w:val="7DB8344B"/>
    <w:rsid w:val="7DBD6FED"/>
    <w:rsid w:val="7DDFCE50"/>
    <w:rsid w:val="7DFD05D1"/>
    <w:rsid w:val="7E08BA8E"/>
    <w:rsid w:val="7E27D8F7"/>
    <w:rsid w:val="7E7EFC44"/>
    <w:rsid w:val="7EABE3FD"/>
    <w:rsid w:val="7EFCED8C"/>
    <w:rsid w:val="7F1E7B8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E6177"/>
  <w14:defaultImageDpi w14:val="0"/>
  <w15:docId w15:val="{1ABB4FA8-AB3D-440B-B49D-874B9801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B3F"/>
    <w:pPr>
      <w:spacing w:after="0" w:line="240" w:lineRule="auto"/>
    </w:pPr>
    <w:rPr>
      <w:rFonts w:ascii="Times New Roman" w:hAnsi="Times New Roman" w:cs="Times New Roman"/>
      <w:sz w:val="24"/>
    </w:rPr>
  </w:style>
  <w:style w:type="paragraph" w:styleId="Heading3">
    <w:name w:val="heading 3"/>
    <w:basedOn w:val="Normal"/>
    <w:next w:val="Normal"/>
    <w:link w:val="Heading3Char"/>
    <w:uiPriority w:val="9"/>
    <w:semiHidden/>
    <w:unhideWhenUsed/>
    <w:qFormat/>
    <w:rsid w:val="00241B61"/>
    <w:pPr>
      <w:keepNext/>
      <w:keepLines/>
      <w:spacing w:before="40"/>
      <w:outlineLvl w:val="2"/>
    </w:pPr>
    <w:rPr>
      <w:rFonts w:asciiTheme="majorHAnsi" w:eastAsiaTheme="majorEastAsia" w:hAnsiTheme="majorHAns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241B61"/>
    <w:rPr>
      <w:rFonts w:asciiTheme="majorHAnsi" w:eastAsiaTheme="majorEastAsia" w:hAnsiTheme="majorHAnsi" w:cs="Times New Roman"/>
      <w:color w:val="1F3763" w:themeColor="accent1" w:themeShade="7F"/>
      <w:sz w:val="24"/>
      <w:szCs w:val="24"/>
      <w:lang w:bidi="th-TH"/>
    </w:rPr>
  </w:style>
  <w:style w:type="paragraph" w:styleId="FootnoteText">
    <w:name w:val="footnote text"/>
    <w:aliases w:val="ft,Footnote Text Char Char Char Char Char"/>
    <w:basedOn w:val="Normal"/>
    <w:link w:val="FootnoteTextChar"/>
    <w:uiPriority w:val="99"/>
    <w:unhideWhenUsed/>
    <w:qFormat/>
    <w:rsid w:val="00990B3F"/>
    <w:rPr>
      <w:sz w:val="20"/>
    </w:rPr>
  </w:style>
  <w:style w:type="character" w:customStyle="1" w:styleId="FootnoteTextChar">
    <w:name w:val="Footnote Text Char"/>
    <w:aliases w:val="ft Char,Footnote Text Char Char Char Char Char Char"/>
    <w:basedOn w:val="DefaultParagraphFont"/>
    <w:link w:val="FootnoteText"/>
    <w:uiPriority w:val="99"/>
    <w:locked/>
    <w:rsid w:val="00990B3F"/>
    <w:rPr>
      <w:rFonts w:ascii="Times New Roman" w:hAnsi="Times New Roman" w:cs="Times New Roman"/>
      <w:sz w:val="20"/>
    </w:rPr>
  </w:style>
  <w:style w:type="paragraph" w:styleId="Header">
    <w:name w:val="header"/>
    <w:basedOn w:val="Normal"/>
    <w:link w:val="HeaderChar"/>
    <w:uiPriority w:val="99"/>
    <w:unhideWhenUsed/>
    <w:rsid w:val="00990B3F"/>
    <w:pPr>
      <w:tabs>
        <w:tab w:val="center" w:pos="4513"/>
        <w:tab w:val="right" w:pos="9026"/>
      </w:tabs>
    </w:pPr>
  </w:style>
  <w:style w:type="character" w:customStyle="1" w:styleId="HeaderChar">
    <w:name w:val="Header Char"/>
    <w:basedOn w:val="DefaultParagraphFont"/>
    <w:link w:val="Header"/>
    <w:uiPriority w:val="99"/>
    <w:locked/>
    <w:rsid w:val="00990B3F"/>
    <w:rPr>
      <w:rFonts w:ascii="Times New Roman" w:hAnsi="Times New Roman" w:cs="Times New Roman"/>
      <w:sz w:val="24"/>
    </w:rPr>
  </w:style>
  <w:style w:type="paragraph" w:styleId="Caption">
    <w:name w:val="caption"/>
    <w:basedOn w:val="Normal"/>
    <w:next w:val="Normal"/>
    <w:uiPriority w:val="35"/>
    <w:semiHidden/>
    <w:unhideWhenUsed/>
    <w:qFormat/>
    <w:rsid w:val="00990B3F"/>
    <w:pPr>
      <w:tabs>
        <w:tab w:val="left" w:pos="0"/>
        <w:tab w:val="left" w:pos="567"/>
        <w:tab w:val="left" w:pos="1134"/>
        <w:tab w:val="left" w:pos="1701"/>
        <w:tab w:val="left" w:pos="2268"/>
        <w:tab w:val="left" w:pos="2835"/>
        <w:tab w:val="left" w:pos="3402"/>
        <w:tab w:val="left" w:pos="3969"/>
        <w:tab w:val="left" w:pos="4536"/>
        <w:tab w:val="left" w:pos="5103"/>
        <w:tab w:val="left" w:pos="5670"/>
      </w:tabs>
      <w:jc w:val="center"/>
    </w:pPr>
    <w:rPr>
      <w:b/>
    </w:rPr>
  </w:style>
  <w:style w:type="character" w:customStyle="1" w:styleId="ListParagraphChar">
    <w:name w:val="List Paragraph Char"/>
    <w:aliases w:val="QIRC Decision Style Char,Decision Style Char"/>
    <w:basedOn w:val="DefaultParagraphFont"/>
    <w:link w:val="ListParagraph"/>
    <w:uiPriority w:val="34"/>
    <w:locked/>
    <w:rsid w:val="00990B3F"/>
    <w:rPr>
      <w:rFonts w:cs="Times New Roman"/>
    </w:rPr>
  </w:style>
  <w:style w:type="paragraph" w:styleId="ListParagraph">
    <w:name w:val="List Paragraph"/>
    <w:aliases w:val="QIRC Decision Style,Decision Style"/>
    <w:basedOn w:val="Normal"/>
    <w:link w:val="ListParagraphChar"/>
    <w:uiPriority w:val="34"/>
    <w:qFormat/>
    <w:rsid w:val="00990B3F"/>
    <w:pPr>
      <w:ind w:left="720"/>
      <w:contextualSpacing/>
    </w:pPr>
    <w:rPr>
      <w:rFonts w:asciiTheme="minorHAnsi" w:hAnsiTheme="minorHAnsi"/>
      <w:sz w:val="22"/>
    </w:rPr>
  </w:style>
  <w:style w:type="character" w:styleId="FootnoteReference">
    <w:name w:val="footnote reference"/>
    <w:basedOn w:val="DefaultParagraphFont"/>
    <w:uiPriority w:val="99"/>
    <w:unhideWhenUsed/>
    <w:rsid w:val="00990B3F"/>
    <w:rPr>
      <w:rFonts w:cs="Times New Roman"/>
      <w:vertAlign w:val="superscript"/>
    </w:rPr>
  </w:style>
  <w:style w:type="table" w:styleId="TableGrid">
    <w:name w:val="Table Grid"/>
    <w:basedOn w:val="TableNormal"/>
    <w:uiPriority w:val="39"/>
    <w:rsid w:val="00990B3F"/>
    <w:pPr>
      <w:spacing w:after="0" w:line="240" w:lineRule="auto"/>
    </w:pPr>
    <w:rPr>
      <w:rFonts w:ascii="Times New Roman" w:hAnsi="Times New Roman" w:cs="Times New Roman"/>
      <w:sz w:val="20"/>
      <w:szCs w:val="20"/>
      <w:vertAlign w:val="subscrip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4124"/>
    <w:rPr>
      <w:rFonts w:cs="Times New Roman"/>
      <w:sz w:val="16"/>
      <w:szCs w:val="16"/>
    </w:rPr>
  </w:style>
  <w:style w:type="paragraph" w:styleId="CommentText">
    <w:name w:val="annotation text"/>
    <w:basedOn w:val="Normal"/>
    <w:link w:val="CommentTextChar"/>
    <w:uiPriority w:val="99"/>
    <w:semiHidden/>
    <w:unhideWhenUsed/>
    <w:rsid w:val="00A14124"/>
    <w:rPr>
      <w:sz w:val="20"/>
      <w:szCs w:val="20"/>
    </w:rPr>
  </w:style>
  <w:style w:type="character" w:customStyle="1" w:styleId="CommentTextChar">
    <w:name w:val="Comment Text Char"/>
    <w:basedOn w:val="DefaultParagraphFont"/>
    <w:link w:val="CommentText"/>
    <w:uiPriority w:val="99"/>
    <w:semiHidden/>
    <w:locked/>
    <w:rsid w:val="00A1412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4124"/>
    <w:rPr>
      <w:b/>
      <w:bCs/>
    </w:rPr>
  </w:style>
  <w:style w:type="character" w:customStyle="1" w:styleId="CommentSubjectChar">
    <w:name w:val="Comment Subject Char"/>
    <w:basedOn w:val="CommentTextChar"/>
    <w:link w:val="CommentSubject"/>
    <w:uiPriority w:val="99"/>
    <w:semiHidden/>
    <w:locked/>
    <w:rsid w:val="00A1412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1412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14124"/>
    <w:rPr>
      <w:rFonts w:ascii="Segoe UI" w:hAnsi="Segoe UI" w:cs="Segoe UI"/>
      <w:sz w:val="18"/>
      <w:szCs w:val="18"/>
    </w:rPr>
  </w:style>
  <w:style w:type="paragraph" w:customStyle="1" w:styleId="Default">
    <w:name w:val="Default"/>
    <w:rsid w:val="001137C0"/>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semiHidden/>
    <w:unhideWhenUsed/>
    <w:rsid w:val="00AF7350"/>
    <w:pPr>
      <w:tabs>
        <w:tab w:val="center" w:pos="4513"/>
        <w:tab w:val="right" w:pos="9026"/>
      </w:tabs>
    </w:pPr>
  </w:style>
  <w:style w:type="character" w:customStyle="1" w:styleId="FooterChar">
    <w:name w:val="Footer Char"/>
    <w:basedOn w:val="DefaultParagraphFont"/>
    <w:link w:val="Footer"/>
    <w:uiPriority w:val="99"/>
    <w:semiHidden/>
    <w:locked/>
    <w:rsid w:val="00AF7350"/>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524083">
      <w:marLeft w:val="0"/>
      <w:marRight w:val="0"/>
      <w:marTop w:val="0"/>
      <w:marBottom w:val="0"/>
      <w:divBdr>
        <w:top w:val="none" w:sz="0" w:space="0" w:color="auto"/>
        <w:left w:val="none" w:sz="0" w:space="0" w:color="auto"/>
        <w:bottom w:val="none" w:sz="0" w:space="0" w:color="auto"/>
        <w:right w:val="none" w:sz="0" w:space="0" w:color="auto"/>
      </w:divBdr>
    </w:div>
    <w:div w:id="778524090">
      <w:marLeft w:val="0"/>
      <w:marRight w:val="0"/>
      <w:marTop w:val="0"/>
      <w:marBottom w:val="0"/>
      <w:divBdr>
        <w:top w:val="none" w:sz="0" w:space="0" w:color="auto"/>
        <w:left w:val="none" w:sz="0" w:space="0" w:color="auto"/>
        <w:bottom w:val="none" w:sz="0" w:space="0" w:color="auto"/>
        <w:right w:val="none" w:sz="0" w:space="0" w:color="auto"/>
      </w:divBdr>
    </w:div>
    <w:div w:id="778524103">
      <w:marLeft w:val="0"/>
      <w:marRight w:val="0"/>
      <w:marTop w:val="0"/>
      <w:marBottom w:val="0"/>
      <w:divBdr>
        <w:top w:val="none" w:sz="0" w:space="0" w:color="auto"/>
        <w:left w:val="none" w:sz="0" w:space="0" w:color="auto"/>
        <w:bottom w:val="none" w:sz="0" w:space="0" w:color="auto"/>
        <w:right w:val="none" w:sz="0" w:space="0" w:color="auto"/>
      </w:divBdr>
      <w:divsChild>
        <w:div w:id="778524147">
          <w:marLeft w:val="960"/>
          <w:marRight w:val="0"/>
          <w:marTop w:val="120"/>
          <w:marBottom w:val="120"/>
          <w:divBdr>
            <w:top w:val="none" w:sz="0" w:space="0" w:color="auto"/>
            <w:left w:val="none" w:sz="0" w:space="0" w:color="auto"/>
            <w:bottom w:val="none" w:sz="0" w:space="0" w:color="auto"/>
            <w:right w:val="none" w:sz="0" w:space="0" w:color="auto"/>
          </w:divBdr>
          <w:divsChild>
            <w:div w:id="778524094">
              <w:marLeft w:val="600"/>
              <w:marRight w:val="0"/>
              <w:marTop w:val="120"/>
              <w:marBottom w:val="120"/>
              <w:divBdr>
                <w:top w:val="none" w:sz="0" w:space="0" w:color="auto"/>
                <w:left w:val="none" w:sz="0" w:space="0" w:color="auto"/>
                <w:bottom w:val="none" w:sz="0" w:space="0" w:color="auto"/>
                <w:right w:val="none" w:sz="0" w:space="0" w:color="auto"/>
              </w:divBdr>
            </w:div>
            <w:div w:id="778524101">
              <w:marLeft w:val="600"/>
              <w:marRight w:val="0"/>
              <w:marTop w:val="120"/>
              <w:marBottom w:val="120"/>
              <w:divBdr>
                <w:top w:val="none" w:sz="0" w:space="0" w:color="auto"/>
                <w:left w:val="none" w:sz="0" w:space="0" w:color="auto"/>
                <w:bottom w:val="none" w:sz="0" w:space="0" w:color="auto"/>
                <w:right w:val="none" w:sz="0" w:space="0" w:color="auto"/>
              </w:divBdr>
              <w:divsChild>
                <w:div w:id="778524154">
                  <w:marLeft w:val="600"/>
                  <w:marRight w:val="0"/>
                  <w:marTop w:val="120"/>
                  <w:marBottom w:val="120"/>
                  <w:divBdr>
                    <w:top w:val="none" w:sz="0" w:space="0" w:color="auto"/>
                    <w:left w:val="none" w:sz="0" w:space="0" w:color="auto"/>
                    <w:bottom w:val="none" w:sz="0" w:space="0" w:color="auto"/>
                    <w:right w:val="none" w:sz="0" w:space="0" w:color="auto"/>
                  </w:divBdr>
                </w:div>
                <w:div w:id="778524155">
                  <w:marLeft w:val="600"/>
                  <w:marRight w:val="0"/>
                  <w:marTop w:val="120"/>
                  <w:marBottom w:val="120"/>
                  <w:divBdr>
                    <w:top w:val="none" w:sz="0" w:space="0" w:color="auto"/>
                    <w:left w:val="none" w:sz="0" w:space="0" w:color="auto"/>
                    <w:bottom w:val="none" w:sz="0" w:space="0" w:color="auto"/>
                    <w:right w:val="none" w:sz="0" w:space="0" w:color="auto"/>
                  </w:divBdr>
                  <w:divsChild>
                    <w:div w:id="778524098">
                      <w:marLeft w:val="600"/>
                      <w:marRight w:val="0"/>
                      <w:marTop w:val="120"/>
                      <w:marBottom w:val="120"/>
                      <w:divBdr>
                        <w:top w:val="none" w:sz="0" w:space="0" w:color="auto"/>
                        <w:left w:val="none" w:sz="0" w:space="0" w:color="auto"/>
                        <w:bottom w:val="none" w:sz="0" w:space="0" w:color="auto"/>
                        <w:right w:val="none" w:sz="0" w:space="0" w:color="auto"/>
                      </w:divBdr>
                    </w:div>
                    <w:div w:id="778524107">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778524106">
              <w:marLeft w:val="600"/>
              <w:marRight w:val="0"/>
              <w:marTop w:val="120"/>
              <w:marBottom w:val="120"/>
              <w:divBdr>
                <w:top w:val="none" w:sz="0" w:space="0" w:color="auto"/>
                <w:left w:val="none" w:sz="0" w:space="0" w:color="auto"/>
                <w:bottom w:val="none" w:sz="0" w:space="0" w:color="auto"/>
                <w:right w:val="none" w:sz="0" w:space="0" w:color="auto"/>
              </w:divBdr>
              <w:divsChild>
                <w:div w:id="778524084">
                  <w:marLeft w:val="600"/>
                  <w:marRight w:val="0"/>
                  <w:marTop w:val="120"/>
                  <w:marBottom w:val="120"/>
                  <w:divBdr>
                    <w:top w:val="none" w:sz="0" w:space="0" w:color="auto"/>
                    <w:left w:val="none" w:sz="0" w:space="0" w:color="auto"/>
                    <w:bottom w:val="none" w:sz="0" w:space="0" w:color="auto"/>
                    <w:right w:val="none" w:sz="0" w:space="0" w:color="auto"/>
                  </w:divBdr>
                </w:div>
                <w:div w:id="778524092">
                  <w:marLeft w:val="600"/>
                  <w:marRight w:val="0"/>
                  <w:marTop w:val="120"/>
                  <w:marBottom w:val="120"/>
                  <w:divBdr>
                    <w:top w:val="none" w:sz="0" w:space="0" w:color="auto"/>
                    <w:left w:val="none" w:sz="0" w:space="0" w:color="auto"/>
                    <w:bottom w:val="none" w:sz="0" w:space="0" w:color="auto"/>
                    <w:right w:val="none" w:sz="0" w:space="0" w:color="auto"/>
                  </w:divBdr>
                </w:div>
                <w:div w:id="778524129">
                  <w:marLeft w:val="600"/>
                  <w:marRight w:val="0"/>
                  <w:marTop w:val="120"/>
                  <w:marBottom w:val="120"/>
                  <w:divBdr>
                    <w:top w:val="none" w:sz="0" w:space="0" w:color="auto"/>
                    <w:left w:val="none" w:sz="0" w:space="0" w:color="auto"/>
                    <w:bottom w:val="none" w:sz="0" w:space="0" w:color="auto"/>
                    <w:right w:val="none" w:sz="0" w:space="0" w:color="auto"/>
                  </w:divBdr>
                </w:div>
              </w:divsChild>
            </w:div>
            <w:div w:id="778524111">
              <w:marLeft w:val="600"/>
              <w:marRight w:val="0"/>
              <w:marTop w:val="120"/>
              <w:marBottom w:val="120"/>
              <w:divBdr>
                <w:top w:val="none" w:sz="0" w:space="0" w:color="auto"/>
                <w:left w:val="none" w:sz="0" w:space="0" w:color="auto"/>
                <w:bottom w:val="none" w:sz="0" w:space="0" w:color="auto"/>
                <w:right w:val="none" w:sz="0" w:space="0" w:color="auto"/>
              </w:divBdr>
            </w:div>
            <w:div w:id="778524125">
              <w:marLeft w:val="600"/>
              <w:marRight w:val="0"/>
              <w:marTop w:val="120"/>
              <w:marBottom w:val="120"/>
              <w:divBdr>
                <w:top w:val="none" w:sz="0" w:space="0" w:color="auto"/>
                <w:left w:val="none" w:sz="0" w:space="0" w:color="auto"/>
                <w:bottom w:val="none" w:sz="0" w:space="0" w:color="auto"/>
                <w:right w:val="none" w:sz="0" w:space="0" w:color="auto"/>
              </w:divBdr>
              <w:divsChild>
                <w:div w:id="778524116">
                  <w:marLeft w:val="600"/>
                  <w:marRight w:val="0"/>
                  <w:marTop w:val="120"/>
                  <w:marBottom w:val="120"/>
                  <w:divBdr>
                    <w:top w:val="none" w:sz="0" w:space="0" w:color="auto"/>
                    <w:left w:val="none" w:sz="0" w:space="0" w:color="auto"/>
                    <w:bottom w:val="none" w:sz="0" w:space="0" w:color="auto"/>
                    <w:right w:val="none" w:sz="0" w:space="0" w:color="auto"/>
                  </w:divBdr>
                </w:div>
                <w:div w:id="778524123">
                  <w:marLeft w:val="600"/>
                  <w:marRight w:val="0"/>
                  <w:marTop w:val="120"/>
                  <w:marBottom w:val="120"/>
                  <w:divBdr>
                    <w:top w:val="none" w:sz="0" w:space="0" w:color="auto"/>
                    <w:left w:val="none" w:sz="0" w:space="0" w:color="auto"/>
                    <w:bottom w:val="none" w:sz="0" w:space="0" w:color="auto"/>
                    <w:right w:val="none" w:sz="0" w:space="0" w:color="auto"/>
                  </w:divBdr>
                </w:div>
                <w:div w:id="778524130">
                  <w:marLeft w:val="600"/>
                  <w:marRight w:val="0"/>
                  <w:marTop w:val="120"/>
                  <w:marBottom w:val="120"/>
                  <w:divBdr>
                    <w:top w:val="none" w:sz="0" w:space="0" w:color="auto"/>
                    <w:left w:val="none" w:sz="0" w:space="0" w:color="auto"/>
                    <w:bottom w:val="none" w:sz="0" w:space="0" w:color="auto"/>
                    <w:right w:val="none" w:sz="0" w:space="0" w:color="auto"/>
                  </w:divBdr>
                </w:div>
              </w:divsChild>
            </w:div>
            <w:div w:id="778524131">
              <w:marLeft w:val="600"/>
              <w:marRight w:val="0"/>
              <w:marTop w:val="120"/>
              <w:marBottom w:val="120"/>
              <w:divBdr>
                <w:top w:val="none" w:sz="0" w:space="0" w:color="auto"/>
                <w:left w:val="none" w:sz="0" w:space="0" w:color="auto"/>
                <w:bottom w:val="none" w:sz="0" w:space="0" w:color="auto"/>
                <w:right w:val="none" w:sz="0" w:space="0" w:color="auto"/>
              </w:divBdr>
            </w:div>
            <w:div w:id="778524146">
              <w:marLeft w:val="600"/>
              <w:marRight w:val="0"/>
              <w:marTop w:val="120"/>
              <w:marBottom w:val="120"/>
              <w:divBdr>
                <w:top w:val="none" w:sz="0" w:space="0" w:color="auto"/>
                <w:left w:val="none" w:sz="0" w:space="0" w:color="auto"/>
                <w:bottom w:val="none" w:sz="0" w:space="0" w:color="auto"/>
                <w:right w:val="none" w:sz="0" w:space="0" w:color="auto"/>
              </w:divBdr>
            </w:div>
            <w:div w:id="778524153">
              <w:marLeft w:val="600"/>
              <w:marRight w:val="0"/>
              <w:marTop w:val="120"/>
              <w:marBottom w:val="120"/>
              <w:divBdr>
                <w:top w:val="none" w:sz="0" w:space="0" w:color="auto"/>
                <w:left w:val="none" w:sz="0" w:space="0" w:color="auto"/>
                <w:bottom w:val="none" w:sz="0" w:space="0" w:color="auto"/>
                <w:right w:val="none" w:sz="0" w:space="0" w:color="auto"/>
              </w:divBdr>
            </w:div>
            <w:div w:id="778524159">
              <w:marLeft w:val="600"/>
              <w:marRight w:val="0"/>
              <w:marTop w:val="120"/>
              <w:marBottom w:val="120"/>
              <w:divBdr>
                <w:top w:val="none" w:sz="0" w:space="0" w:color="auto"/>
                <w:left w:val="none" w:sz="0" w:space="0" w:color="auto"/>
                <w:bottom w:val="none" w:sz="0" w:space="0" w:color="auto"/>
                <w:right w:val="none" w:sz="0" w:space="0" w:color="auto"/>
              </w:divBdr>
              <w:divsChild>
                <w:div w:id="778524108">
                  <w:marLeft w:val="600"/>
                  <w:marRight w:val="0"/>
                  <w:marTop w:val="120"/>
                  <w:marBottom w:val="120"/>
                  <w:divBdr>
                    <w:top w:val="none" w:sz="0" w:space="0" w:color="auto"/>
                    <w:left w:val="none" w:sz="0" w:space="0" w:color="auto"/>
                    <w:bottom w:val="none" w:sz="0" w:space="0" w:color="auto"/>
                    <w:right w:val="none" w:sz="0" w:space="0" w:color="auto"/>
                  </w:divBdr>
                </w:div>
                <w:div w:id="778524136">
                  <w:marLeft w:val="600"/>
                  <w:marRight w:val="0"/>
                  <w:marTop w:val="120"/>
                  <w:marBottom w:val="120"/>
                  <w:divBdr>
                    <w:top w:val="none" w:sz="0" w:space="0" w:color="auto"/>
                    <w:left w:val="none" w:sz="0" w:space="0" w:color="auto"/>
                    <w:bottom w:val="none" w:sz="0" w:space="0" w:color="auto"/>
                    <w:right w:val="none" w:sz="0" w:space="0" w:color="auto"/>
                  </w:divBdr>
                </w:div>
              </w:divsChild>
            </w:div>
            <w:div w:id="778524164">
              <w:marLeft w:val="600"/>
              <w:marRight w:val="0"/>
              <w:marTop w:val="120"/>
              <w:marBottom w:val="120"/>
              <w:divBdr>
                <w:top w:val="none" w:sz="0" w:space="0" w:color="auto"/>
                <w:left w:val="none" w:sz="0" w:space="0" w:color="auto"/>
                <w:bottom w:val="none" w:sz="0" w:space="0" w:color="auto"/>
                <w:right w:val="none" w:sz="0" w:space="0" w:color="auto"/>
              </w:divBdr>
              <w:divsChild>
                <w:div w:id="778524102">
                  <w:marLeft w:val="600"/>
                  <w:marRight w:val="0"/>
                  <w:marTop w:val="120"/>
                  <w:marBottom w:val="120"/>
                  <w:divBdr>
                    <w:top w:val="none" w:sz="0" w:space="0" w:color="auto"/>
                    <w:left w:val="none" w:sz="0" w:space="0" w:color="auto"/>
                    <w:bottom w:val="none" w:sz="0" w:space="0" w:color="auto"/>
                    <w:right w:val="none" w:sz="0" w:space="0" w:color="auto"/>
                  </w:divBdr>
                </w:div>
                <w:div w:id="778524132">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778524104">
      <w:marLeft w:val="0"/>
      <w:marRight w:val="0"/>
      <w:marTop w:val="0"/>
      <w:marBottom w:val="0"/>
      <w:divBdr>
        <w:top w:val="none" w:sz="0" w:space="0" w:color="auto"/>
        <w:left w:val="none" w:sz="0" w:space="0" w:color="auto"/>
        <w:bottom w:val="none" w:sz="0" w:space="0" w:color="auto"/>
        <w:right w:val="none" w:sz="0" w:space="0" w:color="auto"/>
      </w:divBdr>
    </w:div>
    <w:div w:id="778524121">
      <w:marLeft w:val="0"/>
      <w:marRight w:val="0"/>
      <w:marTop w:val="0"/>
      <w:marBottom w:val="0"/>
      <w:divBdr>
        <w:top w:val="none" w:sz="0" w:space="0" w:color="auto"/>
        <w:left w:val="none" w:sz="0" w:space="0" w:color="auto"/>
        <w:bottom w:val="none" w:sz="0" w:space="0" w:color="auto"/>
        <w:right w:val="none" w:sz="0" w:space="0" w:color="auto"/>
      </w:divBdr>
    </w:div>
    <w:div w:id="778524124">
      <w:marLeft w:val="0"/>
      <w:marRight w:val="0"/>
      <w:marTop w:val="0"/>
      <w:marBottom w:val="0"/>
      <w:divBdr>
        <w:top w:val="none" w:sz="0" w:space="0" w:color="auto"/>
        <w:left w:val="none" w:sz="0" w:space="0" w:color="auto"/>
        <w:bottom w:val="none" w:sz="0" w:space="0" w:color="auto"/>
        <w:right w:val="none" w:sz="0" w:space="0" w:color="auto"/>
      </w:divBdr>
    </w:div>
    <w:div w:id="778524127">
      <w:marLeft w:val="0"/>
      <w:marRight w:val="0"/>
      <w:marTop w:val="0"/>
      <w:marBottom w:val="0"/>
      <w:divBdr>
        <w:top w:val="none" w:sz="0" w:space="0" w:color="auto"/>
        <w:left w:val="none" w:sz="0" w:space="0" w:color="auto"/>
        <w:bottom w:val="none" w:sz="0" w:space="0" w:color="auto"/>
        <w:right w:val="none" w:sz="0" w:space="0" w:color="auto"/>
      </w:divBdr>
    </w:div>
    <w:div w:id="778524134">
      <w:marLeft w:val="0"/>
      <w:marRight w:val="0"/>
      <w:marTop w:val="0"/>
      <w:marBottom w:val="0"/>
      <w:divBdr>
        <w:top w:val="none" w:sz="0" w:space="0" w:color="auto"/>
        <w:left w:val="none" w:sz="0" w:space="0" w:color="auto"/>
        <w:bottom w:val="none" w:sz="0" w:space="0" w:color="auto"/>
        <w:right w:val="none" w:sz="0" w:space="0" w:color="auto"/>
      </w:divBdr>
      <w:divsChild>
        <w:div w:id="778524114">
          <w:marLeft w:val="960"/>
          <w:marRight w:val="0"/>
          <w:marTop w:val="120"/>
          <w:marBottom w:val="120"/>
          <w:divBdr>
            <w:top w:val="none" w:sz="0" w:space="0" w:color="auto"/>
            <w:left w:val="none" w:sz="0" w:space="0" w:color="auto"/>
            <w:bottom w:val="none" w:sz="0" w:space="0" w:color="auto"/>
            <w:right w:val="none" w:sz="0" w:space="0" w:color="auto"/>
          </w:divBdr>
          <w:divsChild>
            <w:div w:id="778524082">
              <w:marLeft w:val="600"/>
              <w:marRight w:val="0"/>
              <w:marTop w:val="120"/>
              <w:marBottom w:val="120"/>
              <w:divBdr>
                <w:top w:val="none" w:sz="0" w:space="0" w:color="auto"/>
                <w:left w:val="none" w:sz="0" w:space="0" w:color="auto"/>
                <w:bottom w:val="none" w:sz="0" w:space="0" w:color="auto"/>
                <w:right w:val="none" w:sz="0" w:space="0" w:color="auto"/>
              </w:divBdr>
              <w:divsChild>
                <w:div w:id="778524091">
                  <w:marLeft w:val="600"/>
                  <w:marRight w:val="0"/>
                  <w:marTop w:val="120"/>
                  <w:marBottom w:val="120"/>
                  <w:divBdr>
                    <w:top w:val="none" w:sz="0" w:space="0" w:color="auto"/>
                    <w:left w:val="none" w:sz="0" w:space="0" w:color="auto"/>
                    <w:bottom w:val="none" w:sz="0" w:space="0" w:color="auto"/>
                    <w:right w:val="none" w:sz="0" w:space="0" w:color="auto"/>
                  </w:divBdr>
                </w:div>
                <w:div w:id="778524096">
                  <w:marLeft w:val="600"/>
                  <w:marRight w:val="0"/>
                  <w:marTop w:val="120"/>
                  <w:marBottom w:val="120"/>
                  <w:divBdr>
                    <w:top w:val="none" w:sz="0" w:space="0" w:color="auto"/>
                    <w:left w:val="none" w:sz="0" w:space="0" w:color="auto"/>
                    <w:bottom w:val="none" w:sz="0" w:space="0" w:color="auto"/>
                    <w:right w:val="none" w:sz="0" w:space="0" w:color="auto"/>
                  </w:divBdr>
                </w:div>
                <w:div w:id="778524099">
                  <w:marLeft w:val="600"/>
                  <w:marRight w:val="0"/>
                  <w:marTop w:val="120"/>
                  <w:marBottom w:val="120"/>
                  <w:divBdr>
                    <w:top w:val="none" w:sz="0" w:space="0" w:color="auto"/>
                    <w:left w:val="none" w:sz="0" w:space="0" w:color="auto"/>
                    <w:bottom w:val="none" w:sz="0" w:space="0" w:color="auto"/>
                    <w:right w:val="none" w:sz="0" w:space="0" w:color="auto"/>
                  </w:divBdr>
                </w:div>
                <w:div w:id="778524117">
                  <w:marLeft w:val="600"/>
                  <w:marRight w:val="0"/>
                  <w:marTop w:val="120"/>
                  <w:marBottom w:val="120"/>
                  <w:divBdr>
                    <w:top w:val="none" w:sz="0" w:space="0" w:color="auto"/>
                    <w:left w:val="none" w:sz="0" w:space="0" w:color="auto"/>
                    <w:bottom w:val="none" w:sz="0" w:space="0" w:color="auto"/>
                    <w:right w:val="none" w:sz="0" w:space="0" w:color="auto"/>
                  </w:divBdr>
                </w:div>
                <w:div w:id="778524118">
                  <w:marLeft w:val="600"/>
                  <w:marRight w:val="0"/>
                  <w:marTop w:val="120"/>
                  <w:marBottom w:val="120"/>
                  <w:divBdr>
                    <w:top w:val="none" w:sz="0" w:space="0" w:color="auto"/>
                    <w:left w:val="none" w:sz="0" w:space="0" w:color="auto"/>
                    <w:bottom w:val="none" w:sz="0" w:space="0" w:color="auto"/>
                    <w:right w:val="none" w:sz="0" w:space="0" w:color="auto"/>
                  </w:divBdr>
                  <w:divsChild>
                    <w:div w:id="778524113">
                      <w:marLeft w:val="600"/>
                      <w:marRight w:val="0"/>
                      <w:marTop w:val="120"/>
                      <w:marBottom w:val="120"/>
                      <w:divBdr>
                        <w:top w:val="none" w:sz="0" w:space="0" w:color="auto"/>
                        <w:left w:val="none" w:sz="0" w:space="0" w:color="auto"/>
                        <w:bottom w:val="none" w:sz="0" w:space="0" w:color="auto"/>
                        <w:right w:val="none" w:sz="0" w:space="0" w:color="auto"/>
                      </w:divBdr>
                    </w:div>
                    <w:div w:id="778524122">
                      <w:marLeft w:val="600"/>
                      <w:marRight w:val="0"/>
                      <w:marTop w:val="120"/>
                      <w:marBottom w:val="120"/>
                      <w:divBdr>
                        <w:top w:val="none" w:sz="0" w:space="0" w:color="auto"/>
                        <w:left w:val="none" w:sz="0" w:space="0" w:color="auto"/>
                        <w:bottom w:val="none" w:sz="0" w:space="0" w:color="auto"/>
                        <w:right w:val="none" w:sz="0" w:space="0" w:color="auto"/>
                      </w:divBdr>
                    </w:div>
                  </w:divsChild>
                </w:div>
                <w:div w:id="778524120">
                  <w:marLeft w:val="600"/>
                  <w:marRight w:val="0"/>
                  <w:marTop w:val="120"/>
                  <w:marBottom w:val="120"/>
                  <w:divBdr>
                    <w:top w:val="none" w:sz="0" w:space="0" w:color="auto"/>
                    <w:left w:val="none" w:sz="0" w:space="0" w:color="auto"/>
                    <w:bottom w:val="none" w:sz="0" w:space="0" w:color="auto"/>
                    <w:right w:val="none" w:sz="0" w:space="0" w:color="auto"/>
                  </w:divBdr>
                  <w:divsChild>
                    <w:div w:id="778524095">
                      <w:marLeft w:val="600"/>
                      <w:marRight w:val="0"/>
                      <w:marTop w:val="120"/>
                      <w:marBottom w:val="120"/>
                      <w:divBdr>
                        <w:top w:val="none" w:sz="0" w:space="0" w:color="auto"/>
                        <w:left w:val="none" w:sz="0" w:space="0" w:color="auto"/>
                        <w:bottom w:val="none" w:sz="0" w:space="0" w:color="auto"/>
                        <w:right w:val="none" w:sz="0" w:space="0" w:color="auto"/>
                      </w:divBdr>
                    </w:div>
                    <w:div w:id="778524097">
                      <w:marLeft w:val="600"/>
                      <w:marRight w:val="0"/>
                      <w:marTop w:val="120"/>
                      <w:marBottom w:val="120"/>
                      <w:divBdr>
                        <w:top w:val="none" w:sz="0" w:space="0" w:color="auto"/>
                        <w:left w:val="none" w:sz="0" w:space="0" w:color="auto"/>
                        <w:bottom w:val="none" w:sz="0" w:space="0" w:color="auto"/>
                        <w:right w:val="none" w:sz="0" w:space="0" w:color="auto"/>
                      </w:divBdr>
                    </w:div>
                    <w:div w:id="778524165">
                      <w:marLeft w:val="600"/>
                      <w:marRight w:val="0"/>
                      <w:marTop w:val="120"/>
                      <w:marBottom w:val="120"/>
                      <w:divBdr>
                        <w:top w:val="none" w:sz="0" w:space="0" w:color="auto"/>
                        <w:left w:val="none" w:sz="0" w:space="0" w:color="auto"/>
                        <w:bottom w:val="none" w:sz="0" w:space="0" w:color="auto"/>
                        <w:right w:val="none" w:sz="0" w:space="0" w:color="auto"/>
                      </w:divBdr>
                    </w:div>
                  </w:divsChild>
                </w:div>
                <w:div w:id="778524140">
                  <w:marLeft w:val="600"/>
                  <w:marRight w:val="0"/>
                  <w:marTop w:val="120"/>
                  <w:marBottom w:val="120"/>
                  <w:divBdr>
                    <w:top w:val="none" w:sz="0" w:space="0" w:color="auto"/>
                    <w:left w:val="none" w:sz="0" w:space="0" w:color="auto"/>
                    <w:bottom w:val="none" w:sz="0" w:space="0" w:color="auto"/>
                    <w:right w:val="none" w:sz="0" w:space="0" w:color="auto"/>
                  </w:divBdr>
                </w:div>
                <w:div w:id="778524148">
                  <w:marLeft w:val="600"/>
                  <w:marRight w:val="0"/>
                  <w:marTop w:val="120"/>
                  <w:marBottom w:val="120"/>
                  <w:divBdr>
                    <w:top w:val="none" w:sz="0" w:space="0" w:color="auto"/>
                    <w:left w:val="none" w:sz="0" w:space="0" w:color="auto"/>
                    <w:bottom w:val="none" w:sz="0" w:space="0" w:color="auto"/>
                    <w:right w:val="none" w:sz="0" w:space="0" w:color="auto"/>
                  </w:divBdr>
                </w:div>
                <w:div w:id="778524152">
                  <w:marLeft w:val="600"/>
                  <w:marRight w:val="0"/>
                  <w:marTop w:val="120"/>
                  <w:marBottom w:val="120"/>
                  <w:divBdr>
                    <w:top w:val="none" w:sz="0" w:space="0" w:color="auto"/>
                    <w:left w:val="none" w:sz="0" w:space="0" w:color="auto"/>
                    <w:bottom w:val="none" w:sz="0" w:space="0" w:color="auto"/>
                    <w:right w:val="none" w:sz="0" w:space="0" w:color="auto"/>
                  </w:divBdr>
                </w:div>
              </w:divsChild>
            </w:div>
            <w:div w:id="778524142">
              <w:marLeft w:val="600"/>
              <w:marRight w:val="0"/>
              <w:marTop w:val="120"/>
              <w:marBottom w:val="120"/>
              <w:divBdr>
                <w:top w:val="none" w:sz="0" w:space="0" w:color="auto"/>
                <w:left w:val="none" w:sz="0" w:space="0" w:color="auto"/>
                <w:bottom w:val="none" w:sz="0" w:space="0" w:color="auto"/>
                <w:right w:val="none" w:sz="0" w:space="0" w:color="auto"/>
              </w:divBdr>
              <w:divsChild>
                <w:div w:id="778524126">
                  <w:marLeft w:val="600"/>
                  <w:marRight w:val="0"/>
                  <w:marTop w:val="120"/>
                  <w:marBottom w:val="120"/>
                  <w:divBdr>
                    <w:top w:val="none" w:sz="0" w:space="0" w:color="auto"/>
                    <w:left w:val="none" w:sz="0" w:space="0" w:color="auto"/>
                    <w:bottom w:val="none" w:sz="0" w:space="0" w:color="auto"/>
                    <w:right w:val="none" w:sz="0" w:space="0" w:color="auto"/>
                  </w:divBdr>
                </w:div>
                <w:div w:id="77852416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778524137">
      <w:marLeft w:val="0"/>
      <w:marRight w:val="0"/>
      <w:marTop w:val="0"/>
      <w:marBottom w:val="0"/>
      <w:divBdr>
        <w:top w:val="none" w:sz="0" w:space="0" w:color="auto"/>
        <w:left w:val="none" w:sz="0" w:space="0" w:color="auto"/>
        <w:bottom w:val="none" w:sz="0" w:space="0" w:color="auto"/>
        <w:right w:val="none" w:sz="0" w:space="0" w:color="auto"/>
      </w:divBdr>
    </w:div>
    <w:div w:id="778524138">
      <w:marLeft w:val="0"/>
      <w:marRight w:val="0"/>
      <w:marTop w:val="0"/>
      <w:marBottom w:val="0"/>
      <w:divBdr>
        <w:top w:val="none" w:sz="0" w:space="0" w:color="auto"/>
        <w:left w:val="none" w:sz="0" w:space="0" w:color="auto"/>
        <w:bottom w:val="none" w:sz="0" w:space="0" w:color="auto"/>
        <w:right w:val="none" w:sz="0" w:space="0" w:color="auto"/>
      </w:divBdr>
    </w:div>
    <w:div w:id="778524141">
      <w:marLeft w:val="0"/>
      <w:marRight w:val="0"/>
      <w:marTop w:val="0"/>
      <w:marBottom w:val="0"/>
      <w:divBdr>
        <w:top w:val="none" w:sz="0" w:space="0" w:color="auto"/>
        <w:left w:val="none" w:sz="0" w:space="0" w:color="auto"/>
        <w:bottom w:val="none" w:sz="0" w:space="0" w:color="auto"/>
        <w:right w:val="none" w:sz="0" w:space="0" w:color="auto"/>
      </w:divBdr>
    </w:div>
    <w:div w:id="778524144">
      <w:marLeft w:val="0"/>
      <w:marRight w:val="0"/>
      <w:marTop w:val="0"/>
      <w:marBottom w:val="0"/>
      <w:divBdr>
        <w:top w:val="none" w:sz="0" w:space="0" w:color="auto"/>
        <w:left w:val="none" w:sz="0" w:space="0" w:color="auto"/>
        <w:bottom w:val="none" w:sz="0" w:space="0" w:color="auto"/>
        <w:right w:val="none" w:sz="0" w:space="0" w:color="auto"/>
      </w:divBdr>
    </w:div>
    <w:div w:id="778524145">
      <w:marLeft w:val="0"/>
      <w:marRight w:val="0"/>
      <w:marTop w:val="0"/>
      <w:marBottom w:val="0"/>
      <w:divBdr>
        <w:top w:val="none" w:sz="0" w:space="0" w:color="auto"/>
        <w:left w:val="none" w:sz="0" w:space="0" w:color="auto"/>
        <w:bottom w:val="none" w:sz="0" w:space="0" w:color="auto"/>
        <w:right w:val="none" w:sz="0" w:space="0" w:color="auto"/>
      </w:divBdr>
    </w:div>
    <w:div w:id="778524156">
      <w:marLeft w:val="0"/>
      <w:marRight w:val="0"/>
      <w:marTop w:val="0"/>
      <w:marBottom w:val="0"/>
      <w:divBdr>
        <w:top w:val="none" w:sz="0" w:space="0" w:color="auto"/>
        <w:left w:val="none" w:sz="0" w:space="0" w:color="auto"/>
        <w:bottom w:val="none" w:sz="0" w:space="0" w:color="auto"/>
        <w:right w:val="none" w:sz="0" w:space="0" w:color="auto"/>
      </w:divBdr>
    </w:div>
    <w:div w:id="778524157">
      <w:marLeft w:val="0"/>
      <w:marRight w:val="0"/>
      <w:marTop w:val="0"/>
      <w:marBottom w:val="0"/>
      <w:divBdr>
        <w:top w:val="none" w:sz="0" w:space="0" w:color="auto"/>
        <w:left w:val="none" w:sz="0" w:space="0" w:color="auto"/>
        <w:bottom w:val="none" w:sz="0" w:space="0" w:color="auto"/>
        <w:right w:val="none" w:sz="0" w:space="0" w:color="auto"/>
      </w:divBdr>
    </w:div>
    <w:div w:id="778524158">
      <w:marLeft w:val="0"/>
      <w:marRight w:val="0"/>
      <w:marTop w:val="0"/>
      <w:marBottom w:val="0"/>
      <w:divBdr>
        <w:top w:val="none" w:sz="0" w:space="0" w:color="auto"/>
        <w:left w:val="none" w:sz="0" w:space="0" w:color="auto"/>
        <w:bottom w:val="none" w:sz="0" w:space="0" w:color="auto"/>
        <w:right w:val="none" w:sz="0" w:space="0" w:color="auto"/>
      </w:divBdr>
    </w:div>
    <w:div w:id="778524160">
      <w:marLeft w:val="0"/>
      <w:marRight w:val="0"/>
      <w:marTop w:val="0"/>
      <w:marBottom w:val="0"/>
      <w:divBdr>
        <w:top w:val="none" w:sz="0" w:space="0" w:color="auto"/>
        <w:left w:val="none" w:sz="0" w:space="0" w:color="auto"/>
        <w:bottom w:val="none" w:sz="0" w:space="0" w:color="auto"/>
        <w:right w:val="none" w:sz="0" w:space="0" w:color="auto"/>
      </w:divBdr>
      <w:divsChild>
        <w:div w:id="778524151">
          <w:marLeft w:val="960"/>
          <w:marRight w:val="0"/>
          <w:marTop w:val="120"/>
          <w:marBottom w:val="120"/>
          <w:divBdr>
            <w:top w:val="none" w:sz="0" w:space="0" w:color="auto"/>
            <w:left w:val="none" w:sz="0" w:space="0" w:color="auto"/>
            <w:bottom w:val="none" w:sz="0" w:space="0" w:color="auto"/>
            <w:right w:val="none" w:sz="0" w:space="0" w:color="auto"/>
          </w:divBdr>
          <w:divsChild>
            <w:div w:id="778524085">
              <w:marLeft w:val="600"/>
              <w:marRight w:val="0"/>
              <w:marTop w:val="120"/>
              <w:marBottom w:val="120"/>
              <w:divBdr>
                <w:top w:val="none" w:sz="0" w:space="0" w:color="auto"/>
                <w:left w:val="none" w:sz="0" w:space="0" w:color="auto"/>
                <w:bottom w:val="none" w:sz="0" w:space="0" w:color="auto"/>
                <w:right w:val="none" w:sz="0" w:space="0" w:color="auto"/>
              </w:divBdr>
              <w:divsChild>
                <w:div w:id="778524088">
                  <w:marLeft w:val="600"/>
                  <w:marRight w:val="0"/>
                  <w:marTop w:val="120"/>
                  <w:marBottom w:val="120"/>
                  <w:divBdr>
                    <w:top w:val="none" w:sz="0" w:space="0" w:color="auto"/>
                    <w:left w:val="none" w:sz="0" w:space="0" w:color="auto"/>
                    <w:bottom w:val="none" w:sz="0" w:space="0" w:color="auto"/>
                    <w:right w:val="none" w:sz="0" w:space="0" w:color="auto"/>
                  </w:divBdr>
                </w:div>
                <w:div w:id="778524105">
                  <w:marLeft w:val="600"/>
                  <w:marRight w:val="0"/>
                  <w:marTop w:val="120"/>
                  <w:marBottom w:val="120"/>
                  <w:divBdr>
                    <w:top w:val="none" w:sz="0" w:space="0" w:color="auto"/>
                    <w:left w:val="none" w:sz="0" w:space="0" w:color="auto"/>
                    <w:bottom w:val="none" w:sz="0" w:space="0" w:color="auto"/>
                    <w:right w:val="none" w:sz="0" w:space="0" w:color="auto"/>
                  </w:divBdr>
                </w:div>
                <w:div w:id="778524119">
                  <w:marLeft w:val="600"/>
                  <w:marRight w:val="0"/>
                  <w:marTop w:val="120"/>
                  <w:marBottom w:val="120"/>
                  <w:divBdr>
                    <w:top w:val="none" w:sz="0" w:space="0" w:color="auto"/>
                    <w:left w:val="none" w:sz="0" w:space="0" w:color="auto"/>
                    <w:bottom w:val="none" w:sz="0" w:space="0" w:color="auto"/>
                    <w:right w:val="none" w:sz="0" w:space="0" w:color="auto"/>
                  </w:divBdr>
                </w:div>
                <w:div w:id="778524128">
                  <w:marLeft w:val="600"/>
                  <w:marRight w:val="0"/>
                  <w:marTop w:val="120"/>
                  <w:marBottom w:val="120"/>
                  <w:divBdr>
                    <w:top w:val="none" w:sz="0" w:space="0" w:color="auto"/>
                    <w:left w:val="none" w:sz="0" w:space="0" w:color="auto"/>
                    <w:bottom w:val="none" w:sz="0" w:space="0" w:color="auto"/>
                    <w:right w:val="none" w:sz="0" w:space="0" w:color="auto"/>
                  </w:divBdr>
                  <w:divsChild>
                    <w:div w:id="778524100">
                      <w:marLeft w:val="340"/>
                      <w:marRight w:val="0"/>
                      <w:marTop w:val="120"/>
                      <w:marBottom w:val="120"/>
                      <w:divBdr>
                        <w:top w:val="none" w:sz="0" w:space="0" w:color="auto"/>
                        <w:left w:val="none" w:sz="0" w:space="0" w:color="auto"/>
                        <w:bottom w:val="none" w:sz="0" w:space="0" w:color="auto"/>
                        <w:right w:val="none" w:sz="0" w:space="0" w:color="auto"/>
                      </w:divBdr>
                    </w:div>
                  </w:divsChild>
                </w:div>
                <w:div w:id="778524133">
                  <w:marLeft w:val="600"/>
                  <w:marRight w:val="0"/>
                  <w:marTop w:val="120"/>
                  <w:marBottom w:val="120"/>
                  <w:divBdr>
                    <w:top w:val="none" w:sz="0" w:space="0" w:color="auto"/>
                    <w:left w:val="none" w:sz="0" w:space="0" w:color="auto"/>
                    <w:bottom w:val="none" w:sz="0" w:space="0" w:color="auto"/>
                    <w:right w:val="none" w:sz="0" w:space="0" w:color="auto"/>
                  </w:divBdr>
                </w:div>
                <w:div w:id="778524143">
                  <w:marLeft w:val="600"/>
                  <w:marRight w:val="0"/>
                  <w:marTop w:val="120"/>
                  <w:marBottom w:val="120"/>
                  <w:divBdr>
                    <w:top w:val="none" w:sz="0" w:space="0" w:color="auto"/>
                    <w:left w:val="none" w:sz="0" w:space="0" w:color="auto"/>
                    <w:bottom w:val="none" w:sz="0" w:space="0" w:color="auto"/>
                    <w:right w:val="none" w:sz="0" w:space="0" w:color="auto"/>
                  </w:divBdr>
                </w:div>
              </w:divsChild>
            </w:div>
            <w:div w:id="778524112">
              <w:marLeft w:val="600"/>
              <w:marRight w:val="0"/>
              <w:marTop w:val="120"/>
              <w:marBottom w:val="120"/>
              <w:divBdr>
                <w:top w:val="none" w:sz="0" w:space="0" w:color="auto"/>
                <w:left w:val="none" w:sz="0" w:space="0" w:color="auto"/>
                <w:bottom w:val="none" w:sz="0" w:space="0" w:color="auto"/>
                <w:right w:val="none" w:sz="0" w:space="0" w:color="auto"/>
              </w:divBdr>
              <w:divsChild>
                <w:div w:id="778524135">
                  <w:marLeft w:val="600"/>
                  <w:marRight w:val="0"/>
                  <w:marTop w:val="120"/>
                  <w:marBottom w:val="120"/>
                  <w:divBdr>
                    <w:top w:val="none" w:sz="0" w:space="0" w:color="auto"/>
                    <w:left w:val="none" w:sz="0" w:space="0" w:color="auto"/>
                    <w:bottom w:val="none" w:sz="0" w:space="0" w:color="auto"/>
                    <w:right w:val="none" w:sz="0" w:space="0" w:color="auto"/>
                  </w:divBdr>
                </w:div>
                <w:div w:id="778524167">
                  <w:marLeft w:val="600"/>
                  <w:marRight w:val="0"/>
                  <w:marTop w:val="120"/>
                  <w:marBottom w:val="120"/>
                  <w:divBdr>
                    <w:top w:val="none" w:sz="0" w:space="0" w:color="auto"/>
                    <w:left w:val="none" w:sz="0" w:space="0" w:color="auto"/>
                    <w:bottom w:val="none" w:sz="0" w:space="0" w:color="auto"/>
                    <w:right w:val="none" w:sz="0" w:space="0" w:color="auto"/>
                  </w:divBdr>
                </w:div>
              </w:divsChild>
            </w:div>
            <w:div w:id="778524115">
              <w:marLeft w:val="600"/>
              <w:marRight w:val="0"/>
              <w:marTop w:val="120"/>
              <w:marBottom w:val="120"/>
              <w:divBdr>
                <w:top w:val="none" w:sz="0" w:space="0" w:color="auto"/>
                <w:left w:val="none" w:sz="0" w:space="0" w:color="auto"/>
                <w:bottom w:val="none" w:sz="0" w:space="0" w:color="auto"/>
                <w:right w:val="none" w:sz="0" w:space="0" w:color="auto"/>
              </w:divBdr>
              <w:divsChild>
                <w:div w:id="778524086">
                  <w:marLeft w:val="600"/>
                  <w:marRight w:val="0"/>
                  <w:marTop w:val="120"/>
                  <w:marBottom w:val="120"/>
                  <w:divBdr>
                    <w:top w:val="none" w:sz="0" w:space="0" w:color="auto"/>
                    <w:left w:val="none" w:sz="0" w:space="0" w:color="auto"/>
                    <w:bottom w:val="none" w:sz="0" w:space="0" w:color="auto"/>
                    <w:right w:val="none" w:sz="0" w:space="0" w:color="auto"/>
                  </w:divBdr>
                </w:div>
                <w:div w:id="778524087">
                  <w:marLeft w:val="600"/>
                  <w:marRight w:val="0"/>
                  <w:marTop w:val="120"/>
                  <w:marBottom w:val="120"/>
                  <w:divBdr>
                    <w:top w:val="none" w:sz="0" w:space="0" w:color="auto"/>
                    <w:left w:val="none" w:sz="0" w:space="0" w:color="auto"/>
                    <w:bottom w:val="none" w:sz="0" w:space="0" w:color="auto"/>
                    <w:right w:val="none" w:sz="0" w:space="0" w:color="auto"/>
                  </w:divBdr>
                </w:div>
                <w:div w:id="778524089">
                  <w:marLeft w:val="600"/>
                  <w:marRight w:val="0"/>
                  <w:marTop w:val="120"/>
                  <w:marBottom w:val="120"/>
                  <w:divBdr>
                    <w:top w:val="none" w:sz="0" w:space="0" w:color="auto"/>
                    <w:left w:val="none" w:sz="0" w:space="0" w:color="auto"/>
                    <w:bottom w:val="none" w:sz="0" w:space="0" w:color="auto"/>
                    <w:right w:val="none" w:sz="0" w:space="0" w:color="auto"/>
                  </w:divBdr>
                </w:div>
                <w:div w:id="778524093">
                  <w:marLeft w:val="600"/>
                  <w:marRight w:val="0"/>
                  <w:marTop w:val="120"/>
                  <w:marBottom w:val="120"/>
                  <w:divBdr>
                    <w:top w:val="none" w:sz="0" w:space="0" w:color="auto"/>
                    <w:left w:val="none" w:sz="0" w:space="0" w:color="auto"/>
                    <w:bottom w:val="none" w:sz="0" w:space="0" w:color="auto"/>
                    <w:right w:val="none" w:sz="0" w:space="0" w:color="auto"/>
                  </w:divBdr>
                </w:div>
                <w:div w:id="778524109">
                  <w:marLeft w:val="600"/>
                  <w:marRight w:val="0"/>
                  <w:marTop w:val="120"/>
                  <w:marBottom w:val="120"/>
                  <w:divBdr>
                    <w:top w:val="none" w:sz="0" w:space="0" w:color="auto"/>
                    <w:left w:val="none" w:sz="0" w:space="0" w:color="auto"/>
                    <w:bottom w:val="none" w:sz="0" w:space="0" w:color="auto"/>
                    <w:right w:val="none" w:sz="0" w:space="0" w:color="auto"/>
                  </w:divBdr>
                </w:div>
                <w:div w:id="778524110">
                  <w:marLeft w:val="600"/>
                  <w:marRight w:val="0"/>
                  <w:marTop w:val="120"/>
                  <w:marBottom w:val="120"/>
                  <w:divBdr>
                    <w:top w:val="none" w:sz="0" w:space="0" w:color="auto"/>
                    <w:left w:val="none" w:sz="0" w:space="0" w:color="auto"/>
                    <w:bottom w:val="none" w:sz="0" w:space="0" w:color="auto"/>
                    <w:right w:val="none" w:sz="0" w:space="0" w:color="auto"/>
                  </w:divBdr>
                </w:div>
                <w:div w:id="778524139">
                  <w:marLeft w:val="600"/>
                  <w:marRight w:val="0"/>
                  <w:marTop w:val="120"/>
                  <w:marBottom w:val="120"/>
                  <w:divBdr>
                    <w:top w:val="none" w:sz="0" w:space="0" w:color="auto"/>
                    <w:left w:val="none" w:sz="0" w:space="0" w:color="auto"/>
                    <w:bottom w:val="none" w:sz="0" w:space="0" w:color="auto"/>
                    <w:right w:val="none" w:sz="0" w:space="0" w:color="auto"/>
                  </w:divBdr>
                </w:div>
                <w:div w:id="778524149">
                  <w:marLeft w:val="600"/>
                  <w:marRight w:val="0"/>
                  <w:marTop w:val="120"/>
                  <w:marBottom w:val="120"/>
                  <w:divBdr>
                    <w:top w:val="none" w:sz="0" w:space="0" w:color="auto"/>
                    <w:left w:val="none" w:sz="0" w:space="0" w:color="auto"/>
                    <w:bottom w:val="none" w:sz="0" w:space="0" w:color="auto"/>
                    <w:right w:val="none" w:sz="0" w:space="0" w:color="auto"/>
                  </w:divBdr>
                </w:div>
                <w:div w:id="778524150">
                  <w:marLeft w:val="600"/>
                  <w:marRight w:val="0"/>
                  <w:marTop w:val="120"/>
                  <w:marBottom w:val="120"/>
                  <w:divBdr>
                    <w:top w:val="none" w:sz="0" w:space="0" w:color="auto"/>
                    <w:left w:val="none" w:sz="0" w:space="0" w:color="auto"/>
                    <w:bottom w:val="none" w:sz="0" w:space="0" w:color="auto"/>
                    <w:right w:val="none" w:sz="0" w:space="0" w:color="auto"/>
                  </w:divBdr>
                </w:div>
                <w:div w:id="778524162">
                  <w:marLeft w:val="600"/>
                  <w:marRight w:val="0"/>
                  <w:marTop w:val="120"/>
                  <w:marBottom w:val="120"/>
                  <w:divBdr>
                    <w:top w:val="none" w:sz="0" w:space="0" w:color="auto"/>
                    <w:left w:val="none" w:sz="0" w:space="0" w:color="auto"/>
                    <w:bottom w:val="none" w:sz="0" w:space="0" w:color="auto"/>
                    <w:right w:val="none" w:sz="0" w:space="0" w:color="auto"/>
                  </w:divBdr>
                </w:div>
                <w:div w:id="778524166">
                  <w:marLeft w:val="600"/>
                  <w:marRight w:val="0"/>
                  <w:marTop w:val="120"/>
                  <w:marBottom w:val="120"/>
                  <w:divBdr>
                    <w:top w:val="none" w:sz="0" w:space="0" w:color="auto"/>
                    <w:left w:val="none" w:sz="0" w:space="0" w:color="auto"/>
                    <w:bottom w:val="none" w:sz="0" w:space="0" w:color="auto"/>
                    <w:right w:val="none" w:sz="0" w:space="0" w:color="auto"/>
                  </w:divBdr>
                </w:div>
              </w:divsChild>
            </w:div>
            <w:div w:id="778524163">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3311BC27BF0240B6EAABAC1D276ADD" ma:contentTypeVersion="11" ma:contentTypeDescription="Create a new document." ma:contentTypeScope="" ma:versionID="cc2c041a81ff0815016700ec90203b87">
  <xsd:schema xmlns:xsd="http://www.w3.org/2001/XMLSchema" xmlns:xs="http://www.w3.org/2001/XMLSchema" xmlns:p="http://schemas.microsoft.com/office/2006/metadata/properties" xmlns:ns3="c4ed7e5e-6d3c-4b5a-a72d-a22fefbdd77a" xmlns:ns4="eb37a816-e3ba-4c0c-8bd8-858f3f45e552" targetNamespace="http://schemas.microsoft.com/office/2006/metadata/properties" ma:root="true" ma:fieldsID="dcc117024b221f0c8df9d2d9a5c1f4e7" ns3:_="" ns4:_="">
    <xsd:import namespace="c4ed7e5e-6d3c-4b5a-a72d-a22fefbdd77a"/>
    <xsd:import namespace="eb37a816-e3ba-4c0c-8bd8-858f3f45e5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d7e5e-6d3c-4b5a-a72d-a22fefbdd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7a816-e3ba-4c0c-8bd8-858f3f45e5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BE1FB-0E42-42BB-9A0C-79ACD0CD5BEB}">
  <ds:schemaRefs>
    <ds:schemaRef ds:uri="http://schemas.microsoft.com/sharepoint/v3/contenttype/forms"/>
  </ds:schemaRefs>
</ds:datastoreItem>
</file>

<file path=customXml/itemProps2.xml><?xml version="1.0" encoding="utf-8"?>
<ds:datastoreItem xmlns:ds="http://schemas.openxmlformats.org/officeDocument/2006/customXml" ds:itemID="{674DDD4D-8F50-41E2-B6D2-BA2D74F60121}">
  <ds:schemaRefs>
    <ds:schemaRef ds:uri="http://schemas.openxmlformats.org/officeDocument/2006/bibliography"/>
  </ds:schemaRefs>
</ds:datastoreItem>
</file>

<file path=customXml/itemProps3.xml><?xml version="1.0" encoding="utf-8"?>
<ds:datastoreItem xmlns:ds="http://schemas.openxmlformats.org/officeDocument/2006/customXml" ds:itemID="{446A4908-3299-4003-8A88-4C8F5CD9F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d7e5e-6d3c-4b5a-a72d-a22fefbdd77a"/>
    <ds:schemaRef ds:uri="eb37a816-e3ba-4c0c-8bd8-858f3f45e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1B7E1-8D3F-41D0-BE03-733A3E0CD7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4345</Words>
  <Characters>24769</Characters>
  <Application>Microsoft Office Word</Application>
  <DocSecurity>0</DocSecurity>
  <Lines>206</Lines>
  <Paragraphs>58</Paragraphs>
  <ScaleCrop>false</ScaleCrop>
  <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Elliott v State of Queensland (Queensland Health) [2022] QIRC 139</dc:title>
  <dc:subject/>
  <dc:creator>Associate Power</dc:creator>
  <cp:keywords/>
  <dc:description/>
  <cp:lastModifiedBy>Amy Broomfield</cp:lastModifiedBy>
  <cp:revision>3</cp:revision>
  <cp:lastPrinted>2022-04-13T04:57:00Z</cp:lastPrinted>
  <dcterms:created xsi:type="dcterms:W3CDTF">2022-04-19T03:31:00Z</dcterms:created>
  <dcterms:modified xsi:type="dcterms:W3CDTF">2022-04-19T03:31:00Z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0x010100A23311BC27BF0240B6EAABAC1D276ADD</vt:lpwstr>
  </property>
</Properties>
</file>