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87760" w14:textId="77777777" w:rsidR="00B863B2" w:rsidRDefault="00B863B2" w:rsidP="00B863B2">
      <w:pPr>
        <w:pStyle w:val="Title"/>
        <w:spacing w:after="0"/>
      </w:pPr>
    </w:p>
    <w:p w14:paraId="4AF8728B" w14:textId="77777777" w:rsidR="00B863B2" w:rsidRDefault="00B863B2" w:rsidP="00B863B2">
      <w:pPr>
        <w:pStyle w:val="Title"/>
        <w:spacing w:after="0"/>
      </w:pPr>
      <w:r w:rsidRPr="00A26446">
        <w:t>QUEENSLAND CIVIL AND</w:t>
      </w:r>
      <w:r w:rsidRPr="009B4F82">
        <w:t xml:space="preserve"> </w:t>
      </w:r>
      <w:r>
        <w:br/>
        <w:t>A</w:t>
      </w:r>
      <w:r w:rsidRPr="009B4F82">
        <w:t>DMINISTRATIVE TRIBUNAL</w:t>
      </w:r>
    </w:p>
    <w:p w14:paraId="384F2214" w14:textId="77777777" w:rsidR="00B863B2" w:rsidRPr="00556B00" w:rsidRDefault="00B863B2" w:rsidP="00B863B2">
      <w:pPr>
        <w:pStyle w:val="NoSpacing1"/>
      </w:pPr>
    </w:p>
    <w:tbl>
      <w:tblPr>
        <w:tblW w:w="8364" w:type="dxa"/>
        <w:tblInd w:w="567" w:type="dxa"/>
        <w:tblLayout w:type="fixed"/>
        <w:tblCellMar>
          <w:left w:w="0" w:type="dxa"/>
          <w:right w:w="85" w:type="dxa"/>
        </w:tblCellMar>
        <w:tblLook w:val="0000" w:firstRow="0" w:lastRow="0" w:firstColumn="0" w:lastColumn="0" w:noHBand="0" w:noVBand="0"/>
      </w:tblPr>
      <w:tblGrid>
        <w:gridCol w:w="2552"/>
        <w:gridCol w:w="5812"/>
      </w:tblGrid>
      <w:tr w:rsidR="00B863B2" w:rsidRPr="00D961CF" w14:paraId="7E5E9FA3" w14:textId="77777777" w:rsidTr="005F7D76">
        <w:tc>
          <w:tcPr>
            <w:tcW w:w="2552" w:type="dxa"/>
          </w:tcPr>
          <w:p w14:paraId="4EDB1C1A" w14:textId="77777777" w:rsidR="00B863B2" w:rsidRPr="0066242E" w:rsidRDefault="00B863B2" w:rsidP="005F7D76">
            <w:r w:rsidRPr="0066242E">
              <w:t>CITATION:</w:t>
            </w:r>
          </w:p>
        </w:tc>
        <w:bookmarkStart w:id="0" w:name="_GoBack"/>
        <w:tc>
          <w:tcPr>
            <w:tcW w:w="5812" w:type="dxa"/>
          </w:tcPr>
          <w:p w14:paraId="46D1EC2F" w14:textId="25A48789" w:rsidR="00B863B2" w:rsidRPr="0066242E" w:rsidRDefault="008A6520" w:rsidP="005F7D76">
            <w:sdt>
              <w:sdtPr>
                <w:rPr>
                  <w:rStyle w:val="Citation"/>
                </w:rPr>
                <w:alias w:val="citation"/>
                <w:tag w:val="citation"/>
                <w:id w:val="-1761293466"/>
                <w:placeholder>
                  <w:docPart w:val="FA7B0FF497C541FAB4D9A0E0EB42574F"/>
                </w:placeholder>
              </w:sdtPr>
              <w:sdtEndPr>
                <w:rPr>
                  <w:rStyle w:val="Citation"/>
                </w:rPr>
              </w:sdtEndPr>
              <w:sdtContent>
                <w:sdt>
                  <w:sdtPr>
                    <w:rPr>
                      <w:rStyle w:val="Citation"/>
                    </w:rPr>
                    <w:alias w:val="citation"/>
                    <w:tag w:val="citation"/>
                    <w:id w:val="420569627"/>
                    <w:placeholder>
                      <w:docPart w:val="616D2EA6694C4F88A7E478AE54FADE16"/>
                    </w:placeholder>
                  </w:sdtPr>
                  <w:sdtEndPr>
                    <w:rPr>
                      <w:rStyle w:val="Citation"/>
                    </w:rPr>
                  </w:sdtEndPr>
                  <w:sdtContent>
                    <w:r w:rsidR="005F7D76">
                      <w:rPr>
                        <w:rStyle w:val="Citation"/>
                      </w:rPr>
                      <w:t>Thang Long Pty Ltd v CTS Sunstate Group Pty Ltd</w:t>
                    </w:r>
                  </w:sdtContent>
                </w:sdt>
                <w:r w:rsidR="00B863B2">
                  <w:t xml:space="preserve"> [202</w:t>
                </w:r>
                <w:r w:rsidR="004C5425">
                  <w:t>2</w:t>
                </w:r>
                <w:r w:rsidR="00B863B2" w:rsidRPr="00767BD5">
                  <w:t>] QCAT</w:t>
                </w:r>
                <w:r w:rsidR="00B863B2">
                  <w:t>A</w:t>
                </w:r>
                <w:r w:rsidR="009D0F49">
                  <w:t xml:space="preserve"> 18</w:t>
                </w:r>
                <w:r w:rsidR="00B863B2">
                  <w:rPr>
                    <w:rStyle w:val="Citation"/>
                  </w:rPr>
                  <w:t xml:space="preserve"> </w:t>
                </w:r>
              </w:sdtContent>
            </w:sdt>
            <w:bookmarkEnd w:id="0"/>
          </w:p>
        </w:tc>
      </w:tr>
      <w:tr w:rsidR="00B863B2" w:rsidRPr="00D961CF" w14:paraId="1C8CBC99" w14:textId="77777777" w:rsidTr="005F7D76">
        <w:tc>
          <w:tcPr>
            <w:tcW w:w="2552" w:type="dxa"/>
            <w:tcMar>
              <w:bottom w:w="0" w:type="dxa"/>
            </w:tcMar>
          </w:tcPr>
          <w:p w14:paraId="0F1F24E2" w14:textId="77777777" w:rsidR="00B863B2" w:rsidRPr="0066242E" w:rsidRDefault="00B863B2" w:rsidP="005F7D76">
            <w:pPr>
              <w:spacing w:after="0"/>
            </w:pPr>
            <w:bookmarkStart w:id="1" w:name="_Hlk60841832"/>
            <w:r w:rsidRPr="0066242E">
              <w:t>PARTIES:</w:t>
            </w:r>
          </w:p>
        </w:tc>
        <w:tc>
          <w:tcPr>
            <w:tcW w:w="5812" w:type="dxa"/>
            <w:tcMar>
              <w:bottom w:w="0" w:type="dxa"/>
            </w:tcMar>
          </w:tcPr>
          <w:sdt>
            <w:sdtPr>
              <w:alias w:val="applicant name"/>
              <w:tag w:val="applicant name"/>
              <w:id w:val="1586028065"/>
              <w:placeholder>
                <w:docPart w:val="75E9DEA9D22646BCB3F05BB9E01C625A"/>
              </w:placeholder>
            </w:sdtPr>
            <w:sdtEndPr/>
            <w:sdtContent>
              <w:p w14:paraId="38D69E89" w14:textId="77777777" w:rsidR="00B863B2" w:rsidRPr="00C05091" w:rsidRDefault="005F7D76" w:rsidP="005F7D76">
                <w:pPr>
                  <w:pStyle w:val="Partynames"/>
                  <w:spacing w:after="0"/>
                </w:pPr>
                <w:r>
                  <w:t>thang long pty ltd</w:t>
                </w:r>
                <w:r w:rsidR="00B863B2">
                  <w:t xml:space="preserve"> </w:t>
                </w:r>
              </w:p>
            </w:sdtContent>
          </w:sdt>
        </w:tc>
      </w:tr>
      <w:bookmarkEnd w:id="1"/>
      <w:tr w:rsidR="00B863B2" w:rsidRPr="00D961CF" w14:paraId="51A0F3D7" w14:textId="77777777" w:rsidTr="005F7D76">
        <w:tc>
          <w:tcPr>
            <w:tcW w:w="2552" w:type="dxa"/>
          </w:tcPr>
          <w:p w14:paraId="5E2BF05A" w14:textId="77777777" w:rsidR="00B863B2" w:rsidRPr="0066242E" w:rsidRDefault="00B863B2" w:rsidP="005F7D76"/>
        </w:tc>
        <w:tc>
          <w:tcPr>
            <w:tcW w:w="5812" w:type="dxa"/>
          </w:tcPr>
          <w:p w14:paraId="56B0A46E" w14:textId="77777777" w:rsidR="00B863B2" w:rsidRPr="001B072C" w:rsidRDefault="00B863B2" w:rsidP="005F7D76">
            <w:r>
              <w:t>(applicant)</w:t>
            </w:r>
          </w:p>
        </w:tc>
      </w:tr>
      <w:tr w:rsidR="00B863B2" w:rsidRPr="00D961CF" w14:paraId="2EE2EFC7" w14:textId="77777777" w:rsidTr="005F7D76">
        <w:tc>
          <w:tcPr>
            <w:tcW w:w="2552" w:type="dxa"/>
          </w:tcPr>
          <w:p w14:paraId="26B75DD1" w14:textId="77777777" w:rsidR="00B863B2" w:rsidRPr="0066242E" w:rsidRDefault="00B863B2" w:rsidP="005F7D76"/>
        </w:tc>
        <w:tc>
          <w:tcPr>
            <w:tcW w:w="5812" w:type="dxa"/>
          </w:tcPr>
          <w:p w14:paraId="6396E52E" w14:textId="77777777" w:rsidR="00B863B2" w:rsidRPr="00661AFD" w:rsidRDefault="00B863B2" w:rsidP="005F7D76">
            <w:pPr>
              <w:rPr>
                <w:b/>
              </w:rPr>
            </w:pPr>
            <w:r w:rsidRPr="001D60C6">
              <w:rPr>
                <w:b/>
              </w:rPr>
              <w:t>v</w:t>
            </w:r>
          </w:p>
        </w:tc>
      </w:tr>
      <w:tr w:rsidR="00B863B2" w:rsidRPr="00D961CF" w14:paraId="22DE01F7" w14:textId="77777777" w:rsidTr="005F7D76">
        <w:tc>
          <w:tcPr>
            <w:tcW w:w="2552" w:type="dxa"/>
            <w:tcMar>
              <w:bottom w:w="0" w:type="dxa"/>
            </w:tcMar>
          </w:tcPr>
          <w:p w14:paraId="53156581" w14:textId="77777777" w:rsidR="00B863B2" w:rsidRPr="007760DF" w:rsidRDefault="00B863B2" w:rsidP="005F7D76">
            <w:pPr>
              <w:spacing w:after="0"/>
            </w:pPr>
          </w:p>
        </w:tc>
        <w:tc>
          <w:tcPr>
            <w:tcW w:w="5812" w:type="dxa"/>
            <w:tcMar>
              <w:bottom w:w="0" w:type="dxa"/>
            </w:tcMar>
          </w:tcPr>
          <w:p w14:paraId="76E3F940" w14:textId="77777777" w:rsidR="00B863B2" w:rsidRPr="001D60C6" w:rsidRDefault="008A6520" w:rsidP="005F7D76">
            <w:pPr>
              <w:pStyle w:val="Partynames"/>
              <w:spacing w:after="0"/>
            </w:pPr>
            <w:sdt>
              <w:sdtPr>
                <w:alias w:val="respondent name"/>
                <w:tag w:val="respondent name"/>
                <w:id w:val="-59411225"/>
                <w:placeholder>
                  <w:docPart w:val="E302694C115742E085F6A5D5B8F38F33"/>
                </w:placeholder>
              </w:sdtPr>
              <w:sdtEndPr/>
              <w:sdtContent>
                <w:r w:rsidR="005F7D76">
                  <w:t>cts sunstate group pty ltd</w:t>
                </w:r>
              </w:sdtContent>
            </w:sdt>
          </w:p>
        </w:tc>
      </w:tr>
      <w:tr w:rsidR="00B863B2" w:rsidRPr="00D961CF" w14:paraId="5264A75E" w14:textId="77777777" w:rsidTr="005F7D76">
        <w:tc>
          <w:tcPr>
            <w:tcW w:w="2552" w:type="dxa"/>
          </w:tcPr>
          <w:p w14:paraId="39FE21FE" w14:textId="77777777" w:rsidR="00B863B2" w:rsidRPr="0066242E" w:rsidRDefault="00B863B2" w:rsidP="005F7D76"/>
        </w:tc>
        <w:tc>
          <w:tcPr>
            <w:tcW w:w="5812" w:type="dxa"/>
          </w:tcPr>
          <w:p w14:paraId="656AEF21" w14:textId="77777777" w:rsidR="00B863B2" w:rsidRPr="001B072C" w:rsidRDefault="00B863B2" w:rsidP="005F7D76">
            <w:r>
              <w:t>(respondent)</w:t>
            </w:r>
          </w:p>
        </w:tc>
      </w:tr>
      <w:tr w:rsidR="00B863B2" w:rsidRPr="00D961CF" w14:paraId="5EF1ACEE" w14:textId="77777777" w:rsidTr="005F7D76">
        <w:tc>
          <w:tcPr>
            <w:tcW w:w="2552" w:type="dxa"/>
          </w:tcPr>
          <w:p w14:paraId="7A75ADF1" w14:textId="77777777" w:rsidR="00B863B2" w:rsidRPr="0066242E" w:rsidRDefault="00B863B2" w:rsidP="005F7D76">
            <w:r w:rsidRPr="0066242E">
              <w:t>APPLICATION NO:</w:t>
            </w:r>
          </w:p>
        </w:tc>
        <w:tc>
          <w:tcPr>
            <w:tcW w:w="5812" w:type="dxa"/>
          </w:tcPr>
          <w:sdt>
            <w:sdtPr>
              <w:alias w:val="application no/s"/>
              <w:tag w:val="application no/s"/>
              <w:id w:val="354543944"/>
              <w:placeholder>
                <w:docPart w:val="E05154722CAD4C929E2AD21695C1DA15"/>
              </w:placeholder>
            </w:sdtPr>
            <w:sdtEndPr/>
            <w:sdtContent>
              <w:p w14:paraId="0F9EECDE" w14:textId="77777777" w:rsidR="00B863B2" w:rsidRPr="0066242E" w:rsidRDefault="00B863B2" w:rsidP="005F7D76">
                <w:r>
                  <w:t>APL</w:t>
                </w:r>
                <w:r w:rsidR="005F7D76">
                  <w:t>096-21</w:t>
                </w:r>
              </w:p>
            </w:sdtContent>
          </w:sdt>
        </w:tc>
      </w:tr>
      <w:tr w:rsidR="00B863B2" w:rsidRPr="00D961CF" w14:paraId="3F60ACD6" w14:textId="77777777" w:rsidTr="005F7D76">
        <w:tc>
          <w:tcPr>
            <w:tcW w:w="2552" w:type="dxa"/>
          </w:tcPr>
          <w:p w14:paraId="78840DB6" w14:textId="77777777" w:rsidR="00B863B2" w:rsidRPr="0066242E" w:rsidRDefault="00B863B2" w:rsidP="005F7D76">
            <w:r w:rsidRPr="0066242E">
              <w:t>MATTER TYPE:</w:t>
            </w:r>
          </w:p>
        </w:tc>
        <w:tc>
          <w:tcPr>
            <w:tcW w:w="5812" w:type="dxa"/>
            <w:shd w:val="clear" w:color="auto" w:fill="auto"/>
          </w:tcPr>
          <w:sdt>
            <w:sdtPr>
              <w:alias w:val="matter type"/>
              <w:tag w:val="matter type"/>
              <w:id w:val="-454016549"/>
              <w:placeholder>
                <w:docPart w:val="A2A3566123AB4F7F948A8A7102A08B58"/>
              </w:placeholder>
              <w:dropDownList>
                <w:listItem w:displayText="Anti-discrimination matters" w:value="Anti-discrimination matters"/>
                <w:listItem w:displayText="Building matters" w:value="Building matters"/>
                <w:listItem w:displayText="Childrens matters" w:value="Childrens matters"/>
                <w:listItem w:displayText="Clinical research matters" w:value="Clinical research matters"/>
                <w:listItem w:displayText="General administrative review matters" w:value="General administrative review matters"/>
                <w:listItem w:displayText="Guardianship and administration matters for adults" w:value="Guardianship and administration matters for adults"/>
                <w:listItem w:displayText="Motor vehicle matter" w:value="Motor vehicle matter"/>
                <w:listItem w:displayText="Occupational regulation matters" w:value="Occupational regulation matters"/>
                <w:listItem w:displayText="Other civil dispute matters" w:value="Other civil dispute matters"/>
                <w:listItem w:displayText="Other minor civil dispute matters" w:value="Other minor civil dispute matters"/>
                <w:listItem w:displayText="Residential tenancy matters" w:value="Residential tenancy matters"/>
                <w:listItem w:displayText="Retail shop leases matter" w:value="Retail shop leases matter"/>
              </w:dropDownList>
            </w:sdtPr>
            <w:sdtEndPr/>
            <w:sdtContent>
              <w:p w14:paraId="7D0EE47E" w14:textId="77777777" w:rsidR="00B863B2" w:rsidRPr="000E38BB" w:rsidRDefault="005F7D76" w:rsidP="005F7D76">
                <w:r>
                  <w:t>Other minor civil dispute matters</w:t>
                </w:r>
              </w:p>
            </w:sdtContent>
          </w:sdt>
        </w:tc>
      </w:tr>
      <w:tr w:rsidR="00B863B2" w:rsidRPr="00D961CF" w14:paraId="32324AA3" w14:textId="77777777" w:rsidTr="005F7D76">
        <w:tc>
          <w:tcPr>
            <w:tcW w:w="2552" w:type="dxa"/>
          </w:tcPr>
          <w:p w14:paraId="7AD35957" w14:textId="77777777" w:rsidR="00B863B2" w:rsidRPr="0066242E" w:rsidRDefault="00B863B2" w:rsidP="005F7D76">
            <w:r w:rsidRPr="0066242E">
              <w:t>DELIVERED ON:</w:t>
            </w:r>
            <w:r>
              <w:t xml:space="preserve"> </w:t>
            </w:r>
          </w:p>
        </w:tc>
        <w:tc>
          <w:tcPr>
            <w:tcW w:w="5812" w:type="dxa"/>
          </w:tcPr>
          <w:sdt>
            <w:sdtPr>
              <w:alias w:val="delivered on"/>
              <w:tag w:val="delivered on"/>
              <w:id w:val="-1116900498"/>
              <w:placeholder>
                <w:docPart w:val="CC06DA1B76DC43929410783AB4F3AFAF"/>
              </w:placeholder>
              <w:date w:fullDate="2022-01-31T00:00:00Z">
                <w:dateFormat w:val="d MMMM yyyy"/>
                <w:lid w:val="en-AU"/>
                <w:storeMappedDataAs w:val="dateTime"/>
                <w:calendar w:val="gregorian"/>
              </w:date>
            </w:sdtPr>
            <w:sdtEndPr/>
            <w:sdtContent>
              <w:p w14:paraId="19176960" w14:textId="77777777" w:rsidR="00B863B2" w:rsidRPr="00767BD5" w:rsidRDefault="007747AF" w:rsidP="007747AF">
                <w:r>
                  <w:t>31 January 2022</w:t>
                </w:r>
              </w:p>
            </w:sdtContent>
          </w:sdt>
        </w:tc>
      </w:tr>
      <w:tr w:rsidR="00B863B2" w:rsidRPr="00D961CF" w14:paraId="53849DB9" w14:textId="77777777" w:rsidTr="005F7D76">
        <w:tc>
          <w:tcPr>
            <w:tcW w:w="2552" w:type="dxa"/>
          </w:tcPr>
          <w:p w14:paraId="4E6622FC" w14:textId="77777777" w:rsidR="00B863B2" w:rsidRPr="0066242E" w:rsidRDefault="00B863B2" w:rsidP="005F7D76">
            <w:r w:rsidRPr="0066242E">
              <w:t>HEARING DATE:</w:t>
            </w:r>
          </w:p>
        </w:tc>
        <w:tc>
          <w:tcPr>
            <w:tcW w:w="5812" w:type="dxa"/>
          </w:tcPr>
          <w:p w14:paraId="3F58FA3C" w14:textId="03A29F45" w:rsidR="00B863B2" w:rsidRPr="00093B73" w:rsidRDefault="008A6520" w:rsidP="005F7D76">
            <w:sdt>
              <w:sdtPr>
                <w:alias w:val="hearing date"/>
                <w:tag w:val="hearing date"/>
                <w:id w:val="-1560466163"/>
                <w:placeholder>
                  <w:docPart w:val="4D8A18B4500E4655ADFC1461AA0199BB"/>
                </w:placeholder>
                <w:date>
                  <w:dateFormat w:val="d MMMM yyyy"/>
                  <w:lid w:val="en-AU"/>
                  <w:storeMappedDataAs w:val="dateTime"/>
                  <w:calendar w:val="gregorian"/>
                </w:date>
              </w:sdtPr>
              <w:sdtEndPr/>
              <w:sdtContent>
                <w:r w:rsidR="009E5CE2">
                  <w:t>On the Papers</w:t>
                </w:r>
              </w:sdtContent>
            </w:sdt>
          </w:p>
        </w:tc>
      </w:tr>
      <w:tr w:rsidR="00B863B2" w:rsidRPr="00D961CF" w14:paraId="053F138C" w14:textId="77777777" w:rsidTr="005F7D76">
        <w:tc>
          <w:tcPr>
            <w:tcW w:w="2552" w:type="dxa"/>
          </w:tcPr>
          <w:p w14:paraId="21A39874" w14:textId="77777777" w:rsidR="00B863B2" w:rsidRPr="0066242E" w:rsidRDefault="00B863B2" w:rsidP="005F7D76">
            <w:r w:rsidRPr="0066242E">
              <w:t>HEARD AT:</w:t>
            </w:r>
          </w:p>
        </w:tc>
        <w:sdt>
          <w:sdtPr>
            <w:alias w:val="location"/>
            <w:tag w:val="location"/>
            <w:id w:val="-1588073767"/>
            <w:placeholder>
              <w:docPart w:val="561BD73A40434D93968B8F6994F88A45"/>
            </w:placeholder>
            <w:comboBox>
              <w:listItem w:displayText="Brisbane" w:value="Brisbane"/>
              <w:listItem w:displayText="Southport" w:value="Southport"/>
              <w:listItem w:displayText="Townsville" w:value="Townsville"/>
              <w:listItem w:displayText="Cairns" w:value="Cairns"/>
              <w:listItem w:displayText="Toowoomba" w:value="Toowoomba"/>
              <w:listItem w:displayText="Maroochydore" w:value="Maroochydore"/>
              <w:listItem w:displayText="Rockhampton" w:value="Rockhampton"/>
              <w:listItem w:displayText="Coolangatta" w:value="Coolangatta"/>
            </w:comboBox>
          </w:sdtPr>
          <w:sdtEndPr/>
          <w:sdtContent>
            <w:tc>
              <w:tcPr>
                <w:tcW w:w="5812" w:type="dxa"/>
              </w:tcPr>
              <w:p w14:paraId="1C1C503E" w14:textId="77777777" w:rsidR="00B863B2" w:rsidRPr="00093B73" w:rsidRDefault="00B863B2" w:rsidP="005F7D76">
                <w:r>
                  <w:t>Brisbane</w:t>
                </w:r>
              </w:p>
            </w:tc>
          </w:sdtContent>
        </w:sdt>
      </w:tr>
      <w:tr w:rsidR="00B863B2" w:rsidRPr="00D961CF" w14:paraId="3167B09B" w14:textId="77777777" w:rsidTr="005F7D76">
        <w:tc>
          <w:tcPr>
            <w:tcW w:w="2552" w:type="dxa"/>
          </w:tcPr>
          <w:p w14:paraId="5FDD9E1A" w14:textId="77777777" w:rsidR="00B863B2" w:rsidRPr="0066242E" w:rsidRDefault="00B863B2" w:rsidP="005F7D76">
            <w:r w:rsidRPr="0066242E">
              <w:t>DECISION OF:</w:t>
            </w:r>
          </w:p>
        </w:tc>
        <w:tc>
          <w:tcPr>
            <w:tcW w:w="5812" w:type="dxa"/>
          </w:tcPr>
          <w:sdt>
            <w:sdtPr>
              <w:alias w:val="decision of"/>
              <w:tag w:val="decision of"/>
              <w:id w:val="-276024423"/>
              <w:placeholder>
                <w:docPart w:val="CD5F3ECB9F3441209BB8B2DBE840B6E7"/>
              </w:placeholder>
            </w:sdtPr>
            <w:sdtEndPr/>
            <w:sdtContent>
              <w:p w14:paraId="540726C8" w14:textId="77777777" w:rsidR="00B863B2" w:rsidRPr="00093B73" w:rsidRDefault="00B863B2" w:rsidP="005F7D76">
                <w:pPr>
                  <w:spacing w:after="0"/>
                </w:pPr>
                <w:r>
                  <w:t>Dr J R Forbes</w:t>
                </w:r>
              </w:p>
            </w:sdtContent>
          </w:sdt>
        </w:tc>
      </w:tr>
      <w:tr w:rsidR="00B863B2" w:rsidRPr="00D961CF" w14:paraId="6FF64FCA" w14:textId="77777777" w:rsidTr="005F7D76">
        <w:tc>
          <w:tcPr>
            <w:tcW w:w="2552" w:type="dxa"/>
          </w:tcPr>
          <w:p w14:paraId="71EEFE00" w14:textId="77777777" w:rsidR="00B863B2" w:rsidRPr="00767BD5" w:rsidRDefault="00B863B2" w:rsidP="005F7D76">
            <w:r w:rsidRPr="0066242E">
              <w:t>ORDER</w:t>
            </w:r>
            <w:r>
              <w:t>S</w:t>
            </w:r>
            <w:r w:rsidRPr="00767BD5">
              <w:t>:</w:t>
            </w:r>
          </w:p>
        </w:tc>
        <w:tc>
          <w:tcPr>
            <w:tcW w:w="5812" w:type="dxa"/>
          </w:tcPr>
          <w:p w14:paraId="78934214" w14:textId="11300B70" w:rsidR="00E71E2F" w:rsidRPr="00F751C2" w:rsidRDefault="00E71E2F" w:rsidP="00F751C2">
            <w:pPr>
              <w:pStyle w:val="Body1"/>
              <w:numPr>
                <w:ilvl w:val="0"/>
                <w:numId w:val="8"/>
              </w:numPr>
              <w:rPr>
                <w:b/>
                <w:bCs/>
              </w:rPr>
            </w:pPr>
            <w:r w:rsidRPr="00F751C2">
              <w:rPr>
                <w:b/>
                <w:bCs/>
              </w:rPr>
              <w:t>The application to adduce additional evidence is dismissed.</w:t>
            </w:r>
          </w:p>
          <w:p w14:paraId="445AF1AD" w14:textId="6FCF7189" w:rsidR="00B863B2" w:rsidRPr="00D95C6D" w:rsidRDefault="00B863B2" w:rsidP="00F751C2">
            <w:pPr>
              <w:pStyle w:val="Body1"/>
              <w:numPr>
                <w:ilvl w:val="0"/>
                <w:numId w:val="8"/>
              </w:numPr>
              <w:rPr>
                <w:b/>
              </w:rPr>
            </w:pPr>
            <w:r w:rsidRPr="00F751C2">
              <w:rPr>
                <w:b/>
                <w:bCs/>
              </w:rPr>
              <w:t xml:space="preserve">The application for leave to appeal is </w:t>
            </w:r>
            <w:r w:rsidR="005F7D76" w:rsidRPr="00F751C2">
              <w:rPr>
                <w:b/>
                <w:bCs/>
              </w:rPr>
              <w:t>dismissed</w:t>
            </w:r>
            <w:r w:rsidRPr="00F751C2">
              <w:rPr>
                <w:b/>
                <w:bCs/>
              </w:rPr>
              <w:t>.</w:t>
            </w:r>
          </w:p>
        </w:tc>
      </w:tr>
      <w:tr w:rsidR="00B863B2" w:rsidRPr="00D961CF" w14:paraId="4827A15E" w14:textId="77777777" w:rsidTr="005F7D76">
        <w:tc>
          <w:tcPr>
            <w:tcW w:w="2552" w:type="dxa"/>
          </w:tcPr>
          <w:p w14:paraId="575FDF55" w14:textId="77777777" w:rsidR="00B863B2" w:rsidRPr="0066242E" w:rsidRDefault="00B863B2" w:rsidP="005F7D76">
            <w:r w:rsidRPr="0066242E">
              <w:t>CATCHWORDS:</w:t>
            </w:r>
          </w:p>
        </w:tc>
        <w:tc>
          <w:tcPr>
            <w:tcW w:w="5812" w:type="dxa"/>
          </w:tcPr>
          <w:p w14:paraId="1407AFE6" w14:textId="77777777" w:rsidR="005F7D76" w:rsidRDefault="00B863B2" w:rsidP="005F7D76">
            <w:pPr>
              <w:pStyle w:val="FootnoteTextFootnotes"/>
              <w:spacing w:line="240" w:lineRule="auto"/>
              <w:ind w:left="0" w:firstLine="0"/>
              <w:rPr>
                <w:rFonts w:ascii="Times New Roman" w:hAnsi="Times New Roman" w:cs="Times New Roman"/>
                <w:iCs/>
                <w:sz w:val="24"/>
                <w:szCs w:val="24"/>
                <w:lang w:val="en-US"/>
              </w:rPr>
            </w:pPr>
            <w:r>
              <w:rPr>
                <w:rFonts w:ascii="Times New Roman" w:hAnsi="Times New Roman" w:cs="Times New Roman"/>
                <w:iCs/>
                <w:sz w:val="24"/>
                <w:szCs w:val="24"/>
                <w:lang w:val="en-US"/>
              </w:rPr>
              <w:t xml:space="preserve">APPEAL – APPLICATION FOR LEAVE TO APPEAL </w:t>
            </w:r>
            <w:r w:rsidR="001A0E64">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w:t>
            </w:r>
            <w:r w:rsidR="001A0E64">
              <w:rPr>
                <w:rFonts w:ascii="Times New Roman" w:hAnsi="Times New Roman" w:cs="Times New Roman"/>
                <w:iCs/>
                <w:sz w:val="24"/>
                <w:szCs w:val="24"/>
                <w:lang w:val="en-US"/>
              </w:rPr>
              <w:t xml:space="preserve">MINOR CIVIL CLAIM </w:t>
            </w:r>
            <w:r w:rsidR="00FD2BA8">
              <w:rPr>
                <w:rFonts w:ascii="Times New Roman" w:hAnsi="Times New Roman" w:cs="Times New Roman"/>
                <w:iCs/>
                <w:sz w:val="24"/>
                <w:szCs w:val="24"/>
                <w:lang w:val="en-US"/>
              </w:rPr>
              <w:t>–</w:t>
            </w:r>
            <w:r w:rsidR="001A0E64">
              <w:rPr>
                <w:rFonts w:ascii="Times New Roman" w:hAnsi="Times New Roman" w:cs="Times New Roman"/>
                <w:iCs/>
                <w:sz w:val="24"/>
                <w:szCs w:val="24"/>
                <w:lang w:val="en-US"/>
              </w:rPr>
              <w:t xml:space="preserve"> </w:t>
            </w:r>
            <w:r w:rsidR="00FD2BA8">
              <w:rPr>
                <w:rFonts w:ascii="Times New Roman" w:hAnsi="Times New Roman" w:cs="Times New Roman"/>
                <w:iCs/>
                <w:sz w:val="24"/>
                <w:szCs w:val="24"/>
                <w:lang w:val="en-US"/>
              </w:rPr>
              <w:t>where judgment entered for debt – where no error in conduct of trial is alleged – where judgment debtor seeks leave to adduce new evidence – whether proposed evidence satisfies established test for admission of new evidence – where test not satisfied – applications for leave to appeal and to adduce additional evidence dismissed</w:t>
            </w:r>
          </w:p>
          <w:p w14:paraId="05F3D33D" w14:textId="77777777" w:rsidR="005F7D76" w:rsidRDefault="005F7D76" w:rsidP="005F7D76">
            <w:pPr>
              <w:pStyle w:val="FootnoteTextFootnotes"/>
              <w:spacing w:line="240" w:lineRule="auto"/>
              <w:ind w:left="0" w:firstLine="0"/>
              <w:rPr>
                <w:rFonts w:ascii="Times New Roman" w:hAnsi="Times New Roman" w:cs="Times New Roman"/>
                <w:iCs/>
                <w:sz w:val="24"/>
                <w:szCs w:val="24"/>
                <w:lang w:val="en-US"/>
              </w:rPr>
            </w:pPr>
          </w:p>
          <w:p w14:paraId="75FB85FA" w14:textId="77777777" w:rsidR="003C0E74" w:rsidRPr="00C10D88" w:rsidRDefault="003C0E74" w:rsidP="001F233A">
            <w:pPr>
              <w:pStyle w:val="FootnoteText"/>
              <w:tabs>
                <w:tab w:val="clear" w:pos="607"/>
                <w:tab w:val="left" w:pos="0"/>
              </w:tabs>
              <w:ind w:left="0" w:firstLine="0"/>
              <w:rPr>
                <w:sz w:val="24"/>
                <w:szCs w:val="24"/>
              </w:rPr>
            </w:pPr>
            <w:r w:rsidRPr="00C10D88">
              <w:rPr>
                <w:i/>
                <w:sz w:val="24"/>
                <w:szCs w:val="24"/>
              </w:rPr>
              <w:t xml:space="preserve">Queensland Civil and Administrative Tribunal Act 2009 </w:t>
            </w:r>
            <w:r w:rsidRPr="00C10D88">
              <w:rPr>
                <w:sz w:val="24"/>
                <w:szCs w:val="24"/>
              </w:rPr>
              <w:t>(Qld) s 3, s 4</w:t>
            </w:r>
          </w:p>
          <w:p w14:paraId="4D4FB836" w14:textId="77777777" w:rsidR="003C0E74" w:rsidRPr="00C10D88" w:rsidRDefault="003C0E74" w:rsidP="001F233A">
            <w:pPr>
              <w:pStyle w:val="FootnoteText"/>
              <w:tabs>
                <w:tab w:val="clear" w:pos="607"/>
                <w:tab w:val="left" w:pos="850"/>
              </w:tabs>
              <w:ind w:left="0" w:firstLine="0"/>
              <w:rPr>
                <w:sz w:val="24"/>
                <w:szCs w:val="24"/>
              </w:rPr>
            </w:pPr>
            <w:r w:rsidRPr="00C10D88">
              <w:rPr>
                <w:i/>
                <w:sz w:val="24"/>
                <w:szCs w:val="24"/>
              </w:rPr>
              <w:t xml:space="preserve">Queensland Civil and Administrative Tribunal Rules 2009 </w:t>
            </w:r>
            <w:r w:rsidRPr="00C10D88">
              <w:rPr>
                <w:sz w:val="24"/>
                <w:szCs w:val="24"/>
              </w:rPr>
              <w:t>(Qld) r 48</w:t>
            </w:r>
          </w:p>
          <w:p w14:paraId="065ADB25" w14:textId="77777777" w:rsidR="003C0E74" w:rsidRPr="00C10D88" w:rsidRDefault="003C0E74" w:rsidP="003C0E74">
            <w:pPr>
              <w:pStyle w:val="FootnoteText"/>
              <w:ind w:left="0" w:firstLine="0"/>
              <w:rPr>
                <w:sz w:val="24"/>
                <w:szCs w:val="24"/>
              </w:rPr>
            </w:pPr>
            <w:r w:rsidRPr="00C10D88">
              <w:rPr>
                <w:i/>
                <w:sz w:val="24"/>
                <w:szCs w:val="24"/>
              </w:rPr>
              <w:t xml:space="preserve">Aon Risk Services Australia Ltd v Australian National University </w:t>
            </w:r>
            <w:r w:rsidRPr="00C10D88">
              <w:rPr>
                <w:sz w:val="24"/>
                <w:szCs w:val="24"/>
              </w:rPr>
              <w:t>(2009) 239 CLR 175</w:t>
            </w:r>
          </w:p>
          <w:p w14:paraId="6695C0A7" w14:textId="77777777" w:rsidR="003C0E74" w:rsidRPr="00C10D88" w:rsidRDefault="003C0E74" w:rsidP="003C0E74">
            <w:pPr>
              <w:pStyle w:val="FootnoteText"/>
              <w:ind w:left="0" w:firstLine="0"/>
              <w:rPr>
                <w:sz w:val="24"/>
                <w:szCs w:val="24"/>
              </w:rPr>
            </w:pPr>
            <w:r w:rsidRPr="00C10D88">
              <w:rPr>
                <w:i/>
                <w:sz w:val="24"/>
                <w:szCs w:val="24"/>
              </w:rPr>
              <w:t xml:space="preserve">Booth v Fourmeninapub Pty Ltd </w:t>
            </w:r>
            <w:r w:rsidRPr="00C10D88">
              <w:rPr>
                <w:sz w:val="24"/>
                <w:szCs w:val="24"/>
              </w:rPr>
              <w:t xml:space="preserve">[2020] NSWCA 57 </w:t>
            </w:r>
          </w:p>
          <w:p w14:paraId="1A0CB8F0" w14:textId="77777777" w:rsidR="003C0E74" w:rsidRDefault="003C0E74" w:rsidP="003C0E74">
            <w:pPr>
              <w:pStyle w:val="FootnoteText"/>
              <w:rPr>
                <w:color w:val="000000"/>
                <w:sz w:val="24"/>
                <w:szCs w:val="24"/>
              </w:rPr>
            </w:pPr>
            <w:r w:rsidRPr="00C10D88">
              <w:rPr>
                <w:rStyle w:val="italic1"/>
                <w:color w:val="000000"/>
                <w:sz w:val="24"/>
                <w:szCs w:val="24"/>
              </w:rPr>
              <w:t xml:space="preserve">Coulton v Holcombe </w:t>
            </w:r>
            <w:r w:rsidRPr="00C10D88">
              <w:rPr>
                <w:color w:val="000000"/>
                <w:sz w:val="24"/>
                <w:szCs w:val="24"/>
              </w:rPr>
              <w:t>(1986) 162 CLR 1</w:t>
            </w:r>
          </w:p>
          <w:p w14:paraId="751F82BC" w14:textId="77777777" w:rsidR="001F233A" w:rsidRPr="001E0506" w:rsidRDefault="001F233A" w:rsidP="001F233A">
            <w:pPr>
              <w:spacing w:after="0"/>
              <w:rPr>
                <w:szCs w:val="24"/>
              </w:rPr>
            </w:pPr>
            <w:r w:rsidRPr="001E0506">
              <w:rPr>
                <w:i/>
                <w:szCs w:val="24"/>
              </w:rPr>
              <w:t>Drew v Bundaberg Regional Council</w:t>
            </w:r>
            <w:r w:rsidRPr="001E0506">
              <w:rPr>
                <w:szCs w:val="24"/>
              </w:rPr>
              <w:t xml:space="preserve"> [2011] QCA 359</w:t>
            </w:r>
          </w:p>
          <w:p w14:paraId="54E7654D" w14:textId="77777777" w:rsidR="001F233A" w:rsidRPr="00C10D88" w:rsidRDefault="001F233A" w:rsidP="001F233A">
            <w:pPr>
              <w:spacing w:after="0"/>
              <w:rPr>
                <w:color w:val="000000"/>
                <w:szCs w:val="24"/>
              </w:rPr>
            </w:pPr>
            <w:r w:rsidRPr="001E0506">
              <w:rPr>
                <w:i/>
                <w:szCs w:val="24"/>
              </w:rPr>
              <w:lastRenderedPageBreak/>
              <w:t>Felton and Anor v Raine and Horne Real Estate</w:t>
            </w:r>
            <w:r w:rsidRPr="001E0506">
              <w:rPr>
                <w:szCs w:val="24"/>
              </w:rPr>
              <w:t xml:space="preserve"> [2011] QCATA 330</w:t>
            </w:r>
          </w:p>
          <w:p w14:paraId="4C261051" w14:textId="77777777" w:rsidR="003C0E74" w:rsidRPr="00C10D88" w:rsidRDefault="003C0E74" w:rsidP="001F233A">
            <w:pPr>
              <w:pStyle w:val="FootnoteText"/>
              <w:ind w:left="0" w:firstLine="0"/>
              <w:rPr>
                <w:sz w:val="24"/>
                <w:szCs w:val="24"/>
              </w:rPr>
            </w:pPr>
            <w:r w:rsidRPr="00C10D88">
              <w:rPr>
                <w:i/>
                <w:sz w:val="24"/>
                <w:szCs w:val="24"/>
              </w:rPr>
              <w:t xml:space="preserve">Hawkins v Pender Bros Pty Ltd </w:t>
            </w:r>
            <w:r w:rsidRPr="00C10D88">
              <w:rPr>
                <w:sz w:val="24"/>
                <w:szCs w:val="24"/>
              </w:rPr>
              <w:t>[1990] 1 Qd R 135</w:t>
            </w:r>
          </w:p>
          <w:p w14:paraId="6B4CC8FE" w14:textId="77777777" w:rsidR="003C0E74" w:rsidRPr="00C10D88" w:rsidRDefault="003C0E74" w:rsidP="001F233A">
            <w:pPr>
              <w:pStyle w:val="FootnoteText"/>
              <w:ind w:left="0" w:firstLine="0"/>
              <w:rPr>
                <w:sz w:val="24"/>
                <w:szCs w:val="24"/>
              </w:rPr>
            </w:pPr>
            <w:r w:rsidRPr="00C10D88">
              <w:rPr>
                <w:i/>
                <w:sz w:val="24"/>
                <w:szCs w:val="24"/>
              </w:rPr>
              <w:t xml:space="preserve">Housing Commission of NSW v Tatmar Pastoral Co Pty Ltd </w:t>
            </w:r>
            <w:r w:rsidRPr="00C10D88">
              <w:rPr>
                <w:sz w:val="24"/>
                <w:szCs w:val="24"/>
              </w:rPr>
              <w:t>[1983] 3 NSWLR 378</w:t>
            </w:r>
          </w:p>
          <w:p w14:paraId="7BC7A2BE" w14:textId="77777777" w:rsidR="003C0E74" w:rsidRPr="00C10D88" w:rsidRDefault="003C0E74" w:rsidP="001F233A">
            <w:pPr>
              <w:pStyle w:val="FootnoteText"/>
              <w:ind w:left="0" w:firstLine="0"/>
              <w:rPr>
                <w:sz w:val="24"/>
                <w:szCs w:val="24"/>
              </w:rPr>
            </w:pPr>
            <w:r w:rsidRPr="00C10D88">
              <w:rPr>
                <w:i/>
                <w:sz w:val="24"/>
                <w:szCs w:val="24"/>
              </w:rPr>
              <w:t xml:space="preserve">Hsiao v Fazzari </w:t>
            </w:r>
            <w:r w:rsidRPr="00C10D88">
              <w:rPr>
                <w:sz w:val="24"/>
                <w:szCs w:val="24"/>
              </w:rPr>
              <w:t>[2020] HCA 35; 383 ALR 446</w:t>
            </w:r>
          </w:p>
          <w:p w14:paraId="34BB5793" w14:textId="77777777" w:rsidR="003C0E74" w:rsidRPr="00C10D88" w:rsidRDefault="003C0E74" w:rsidP="001F233A">
            <w:pPr>
              <w:pStyle w:val="FootnoteText"/>
              <w:tabs>
                <w:tab w:val="clear" w:pos="607"/>
                <w:tab w:val="left" w:pos="0"/>
              </w:tabs>
              <w:ind w:left="0" w:firstLine="0"/>
              <w:rPr>
                <w:sz w:val="24"/>
                <w:szCs w:val="24"/>
              </w:rPr>
            </w:pPr>
            <w:r w:rsidRPr="00C10D88">
              <w:rPr>
                <w:i/>
                <w:sz w:val="24"/>
                <w:szCs w:val="24"/>
              </w:rPr>
              <w:t xml:space="preserve">Osmond v Public Service Board of NSW </w:t>
            </w:r>
            <w:r w:rsidRPr="00C10D88">
              <w:rPr>
                <w:sz w:val="24"/>
                <w:szCs w:val="24"/>
              </w:rPr>
              <w:t xml:space="preserve">[1984] 3 NSWLR 447 </w:t>
            </w:r>
          </w:p>
          <w:p w14:paraId="121B6252" w14:textId="77777777" w:rsidR="003C0E74" w:rsidRPr="00C10D88" w:rsidRDefault="003C0E74" w:rsidP="001F233A">
            <w:pPr>
              <w:pStyle w:val="FootnoteText"/>
              <w:ind w:left="0" w:firstLine="0"/>
              <w:rPr>
                <w:sz w:val="24"/>
                <w:szCs w:val="24"/>
              </w:rPr>
            </w:pPr>
            <w:r w:rsidRPr="00C10D88">
              <w:rPr>
                <w:i/>
                <w:sz w:val="24"/>
                <w:szCs w:val="24"/>
              </w:rPr>
              <w:t xml:space="preserve">Pappas v Meiklejohn’s Accountants </w:t>
            </w:r>
            <w:r w:rsidRPr="00C10D88">
              <w:rPr>
                <w:sz w:val="24"/>
                <w:szCs w:val="24"/>
              </w:rPr>
              <w:t xml:space="preserve">[2017] QCATA 60 </w:t>
            </w:r>
          </w:p>
          <w:p w14:paraId="3F9794F1" w14:textId="77777777" w:rsidR="003C0E74" w:rsidRDefault="003C0E74" w:rsidP="001F233A">
            <w:pPr>
              <w:pStyle w:val="FootnoteText"/>
              <w:ind w:left="0" w:firstLine="0"/>
              <w:rPr>
                <w:i/>
                <w:sz w:val="24"/>
                <w:szCs w:val="24"/>
              </w:rPr>
            </w:pPr>
            <w:r w:rsidRPr="00C10D88">
              <w:rPr>
                <w:i/>
                <w:sz w:val="24"/>
                <w:szCs w:val="24"/>
              </w:rPr>
              <w:t xml:space="preserve">Queensland Police Service v Messer </w:t>
            </w:r>
            <w:r w:rsidRPr="00C10D88">
              <w:rPr>
                <w:sz w:val="24"/>
                <w:szCs w:val="24"/>
              </w:rPr>
              <w:t>[2016] QDC 214</w:t>
            </w:r>
            <w:r w:rsidRPr="00C10D88">
              <w:rPr>
                <w:i/>
                <w:sz w:val="24"/>
                <w:szCs w:val="24"/>
              </w:rPr>
              <w:t xml:space="preserve"> </w:t>
            </w:r>
          </w:p>
          <w:p w14:paraId="3539C163" w14:textId="77777777" w:rsidR="001F233A" w:rsidRDefault="001F233A" w:rsidP="001F233A">
            <w:pPr>
              <w:spacing w:after="0"/>
              <w:rPr>
                <w:iCs/>
                <w:szCs w:val="24"/>
              </w:rPr>
            </w:pPr>
            <w:r w:rsidRPr="001E0506">
              <w:rPr>
                <w:i/>
                <w:iCs/>
                <w:szCs w:val="24"/>
              </w:rPr>
              <w:t xml:space="preserve">QUYD Pty Ltd v Marvass Pty Ltd  </w:t>
            </w:r>
            <w:r w:rsidRPr="001E0506">
              <w:rPr>
                <w:szCs w:val="24"/>
              </w:rPr>
              <w:t>[2009] 1 Qd R 41;</w:t>
            </w:r>
            <w:r w:rsidRPr="001E0506">
              <w:rPr>
                <w:iCs/>
                <w:szCs w:val="24"/>
              </w:rPr>
              <w:t xml:space="preserve"> [2008] QCA 257</w:t>
            </w:r>
          </w:p>
          <w:p w14:paraId="03BCB2A8" w14:textId="77777777" w:rsidR="003C0E74" w:rsidRPr="00C10D88" w:rsidRDefault="003C0E74" w:rsidP="001F233A">
            <w:pPr>
              <w:spacing w:after="0"/>
              <w:rPr>
                <w:szCs w:val="24"/>
              </w:rPr>
            </w:pPr>
            <w:r w:rsidRPr="00C10D88">
              <w:rPr>
                <w:i/>
                <w:szCs w:val="24"/>
              </w:rPr>
              <w:t xml:space="preserve">R v Vaughan </w:t>
            </w:r>
            <w:r w:rsidRPr="00C10D88">
              <w:rPr>
                <w:szCs w:val="24"/>
              </w:rPr>
              <w:t>[2011] QCA 234</w:t>
            </w:r>
          </w:p>
          <w:p w14:paraId="791E99A4" w14:textId="77777777" w:rsidR="00637A61" w:rsidRDefault="003C0E74" w:rsidP="001F233A">
            <w:pPr>
              <w:pStyle w:val="FootnoteText"/>
              <w:ind w:left="0" w:firstLine="0"/>
              <w:rPr>
                <w:sz w:val="24"/>
                <w:szCs w:val="24"/>
              </w:rPr>
            </w:pPr>
            <w:r w:rsidRPr="00C10D88">
              <w:rPr>
                <w:i/>
                <w:sz w:val="24"/>
                <w:szCs w:val="24"/>
              </w:rPr>
              <w:t xml:space="preserve">Sali v SPC Limited </w:t>
            </w:r>
            <w:r w:rsidRPr="00C10D88">
              <w:rPr>
                <w:sz w:val="24"/>
                <w:szCs w:val="24"/>
              </w:rPr>
              <w:t>(1993) 67 ALJR 841</w:t>
            </w:r>
          </w:p>
          <w:p w14:paraId="25F914C7" w14:textId="77777777" w:rsidR="003C0E74" w:rsidRPr="00C10D88" w:rsidRDefault="003C0E74" w:rsidP="001F233A">
            <w:pPr>
              <w:pStyle w:val="FootnoteText"/>
              <w:ind w:left="0" w:firstLine="0"/>
              <w:rPr>
                <w:sz w:val="24"/>
                <w:szCs w:val="24"/>
              </w:rPr>
            </w:pPr>
            <w:r w:rsidRPr="00C10D88">
              <w:rPr>
                <w:i/>
                <w:sz w:val="24"/>
                <w:szCs w:val="24"/>
              </w:rPr>
              <w:t xml:space="preserve">The Pot Man Pty Ltd v Reaoch </w:t>
            </w:r>
            <w:r w:rsidRPr="00C10D88">
              <w:rPr>
                <w:sz w:val="24"/>
                <w:szCs w:val="24"/>
              </w:rPr>
              <w:t>[2011] QCATA 318</w:t>
            </w:r>
          </w:p>
          <w:p w14:paraId="5F9ED4DB" w14:textId="77777777" w:rsidR="003C0E74" w:rsidRPr="00C10D88" w:rsidRDefault="003C0E74" w:rsidP="001F233A">
            <w:pPr>
              <w:pStyle w:val="FootnoteText"/>
              <w:ind w:left="0" w:firstLine="0"/>
              <w:rPr>
                <w:sz w:val="24"/>
                <w:szCs w:val="24"/>
              </w:rPr>
            </w:pPr>
            <w:r w:rsidRPr="00C10D88">
              <w:rPr>
                <w:i/>
                <w:sz w:val="24"/>
                <w:szCs w:val="24"/>
              </w:rPr>
              <w:t xml:space="preserve">Wong v Jani-King Franchising Inc </w:t>
            </w:r>
            <w:r w:rsidRPr="00C10D88">
              <w:rPr>
                <w:sz w:val="24"/>
                <w:szCs w:val="24"/>
              </w:rPr>
              <w:t xml:space="preserve">[2014] QCA 76 </w:t>
            </w:r>
          </w:p>
          <w:p w14:paraId="6B58C918" w14:textId="77777777" w:rsidR="00B863B2" w:rsidRPr="0066242E" w:rsidRDefault="00B863B2" w:rsidP="005F7D76">
            <w:pPr>
              <w:spacing w:after="0"/>
            </w:pPr>
          </w:p>
        </w:tc>
      </w:tr>
      <w:tr w:rsidR="00B863B2" w:rsidRPr="00093B73" w14:paraId="00E933A0" w14:textId="77777777" w:rsidTr="005F7D76">
        <w:tc>
          <w:tcPr>
            <w:tcW w:w="2552" w:type="dxa"/>
          </w:tcPr>
          <w:p w14:paraId="33667289" w14:textId="77777777" w:rsidR="00B863B2" w:rsidRPr="00D67998" w:rsidRDefault="00B863B2" w:rsidP="005F7D76">
            <w:r w:rsidRPr="0066242E">
              <w:lastRenderedPageBreak/>
              <w:t>APPEARANCES</w:t>
            </w:r>
            <w:r>
              <w:t xml:space="preserve"> &amp; </w:t>
            </w:r>
            <w:r w:rsidRPr="0066242E">
              <w:t>REPRESENTATION:</w:t>
            </w:r>
          </w:p>
        </w:tc>
        <w:tc>
          <w:tcPr>
            <w:tcW w:w="5812" w:type="dxa"/>
          </w:tcPr>
          <w:p w14:paraId="7C44AE02" w14:textId="77777777" w:rsidR="00B863B2" w:rsidRDefault="005F7D76" w:rsidP="005F7D76">
            <w:pPr>
              <w:pStyle w:val="FirstpointTree"/>
            </w:pPr>
            <w:r>
              <w:t>Mr C S Nguyen for the applicant</w:t>
            </w:r>
          </w:p>
          <w:p w14:paraId="71D4846D" w14:textId="77777777" w:rsidR="005F7D76" w:rsidRPr="00D67998" w:rsidRDefault="005F7D76" w:rsidP="005F7D76">
            <w:pPr>
              <w:pStyle w:val="FirstpointTree"/>
            </w:pPr>
            <w:r>
              <w:t>Mr G M North for the respondent</w:t>
            </w:r>
          </w:p>
        </w:tc>
      </w:tr>
    </w:tbl>
    <w:p w14:paraId="0D6E3581" w14:textId="77777777" w:rsidR="00B863B2" w:rsidRPr="00556B00" w:rsidRDefault="00B863B2" w:rsidP="00B863B2">
      <w:pPr>
        <w:pStyle w:val="NoSpacing1"/>
      </w:pPr>
    </w:p>
    <w:p w14:paraId="58074811" w14:textId="77777777" w:rsidR="00B863B2" w:rsidRDefault="00B863B2" w:rsidP="00B863B2">
      <w:pPr>
        <w:pStyle w:val="Heading4"/>
      </w:pPr>
      <w:r w:rsidRPr="00382100">
        <w:t>REASONS FOR DECISION</w:t>
      </w:r>
    </w:p>
    <w:p w14:paraId="2A648DFB" w14:textId="77777777" w:rsidR="00B863B2" w:rsidRDefault="00B863B2" w:rsidP="00B863B2">
      <w:pPr>
        <w:pStyle w:val="Heading4"/>
        <w:rPr>
          <w:caps w:val="0"/>
        </w:rPr>
      </w:pPr>
      <w:r>
        <w:rPr>
          <w:caps w:val="0"/>
        </w:rPr>
        <w:t xml:space="preserve">Introduction  </w:t>
      </w:r>
    </w:p>
    <w:p w14:paraId="6EA79139" w14:textId="77777777" w:rsidR="00B863B2" w:rsidRPr="00155EF0" w:rsidRDefault="00B863B2" w:rsidP="00B863B2">
      <w:pPr>
        <w:pStyle w:val="Heading4"/>
      </w:pPr>
    </w:p>
    <w:p w14:paraId="2D7B3D02" w14:textId="77777777" w:rsidR="00C37453" w:rsidRDefault="00B863B2" w:rsidP="00B863B2">
      <w:pPr>
        <w:pStyle w:val="Body1"/>
      </w:pPr>
      <w:r>
        <w:t>The applicant (`</w:t>
      </w:r>
      <w:r w:rsidR="00852A88">
        <w:t>Thang</w:t>
      </w:r>
      <w:r>
        <w:t xml:space="preserve">’) </w:t>
      </w:r>
      <w:r w:rsidR="00852A88">
        <w:t>has a providor’s business at Progress Road</w:t>
      </w:r>
      <w:r w:rsidR="00C37453">
        <w:t>, Wacol. The respondent (`CTS’) of Thagoona provides</w:t>
      </w:r>
      <w:r w:rsidR="00C37453">
        <w:rPr>
          <w:i/>
        </w:rPr>
        <w:t xml:space="preserve"> </w:t>
      </w:r>
      <w:r w:rsidR="00C37453">
        <w:t>commercial refrigeration maintenance and repair services.</w:t>
      </w:r>
    </w:p>
    <w:p w14:paraId="6BE02E98" w14:textId="77777777" w:rsidR="0096200C" w:rsidRDefault="005233B9" w:rsidP="00B863B2">
      <w:pPr>
        <w:pStyle w:val="Body1"/>
      </w:pPr>
      <w:r>
        <w:t>In or about 2006 CTS installed refrigerators at Thang’s premises</w:t>
      </w:r>
      <w:r w:rsidR="0096200C">
        <w:t>, and from time to time serviced that equipment. These proceedings concern payment for work done by CTS on 11 May 2020 and 20 July 2020 respectively. CTS claims that Thang owes it $1,820.85 for the work done in May, and $3,258.59 for the service in July.</w:t>
      </w:r>
    </w:p>
    <w:p w14:paraId="12687841" w14:textId="77777777" w:rsidR="00405202" w:rsidRDefault="00405202" w:rsidP="00405202">
      <w:pPr>
        <w:pStyle w:val="Body1"/>
        <w:numPr>
          <w:ilvl w:val="0"/>
          <w:numId w:val="0"/>
        </w:numPr>
        <w:ind w:left="567"/>
        <w:rPr>
          <w:b/>
        </w:rPr>
      </w:pPr>
    </w:p>
    <w:p w14:paraId="4CDA12FB" w14:textId="77777777" w:rsidR="00405202" w:rsidRPr="00405202" w:rsidRDefault="00405202" w:rsidP="00405202">
      <w:pPr>
        <w:pStyle w:val="Body1"/>
        <w:numPr>
          <w:ilvl w:val="0"/>
          <w:numId w:val="0"/>
        </w:numPr>
        <w:ind w:left="567"/>
        <w:rPr>
          <w:b/>
        </w:rPr>
      </w:pPr>
      <w:r>
        <w:rPr>
          <w:b/>
        </w:rPr>
        <w:t>The issues</w:t>
      </w:r>
    </w:p>
    <w:p w14:paraId="6516F7F4" w14:textId="77777777" w:rsidR="0097562C" w:rsidRDefault="0096200C" w:rsidP="00B863B2">
      <w:pPr>
        <w:pStyle w:val="Body1"/>
      </w:pPr>
      <w:r>
        <w:t xml:space="preserve">However, Thang refuses to pay those amounts, alleging that CTS’ failure to hold necessary licences under either or both of the </w:t>
      </w:r>
      <w:r>
        <w:rPr>
          <w:i/>
        </w:rPr>
        <w:t>Building Act 1975</w:t>
      </w:r>
      <w:r w:rsidR="0097562C">
        <w:t xml:space="preserve"> (Qld)</w:t>
      </w:r>
      <w:r w:rsidR="0097562C">
        <w:rPr>
          <w:i/>
        </w:rPr>
        <w:t xml:space="preserve"> </w:t>
      </w:r>
      <w:r w:rsidR="0097562C" w:rsidRPr="0097562C">
        <w:t>and the</w:t>
      </w:r>
      <w:r w:rsidR="0097562C">
        <w:rPr>
          <w:i/>
        </w:rPr>
        <w:t xml:space="preserve"> Ozone </w:t>
      </w:r>
      <w:r w:rsidR="0097562C" w:rsidRPr="00C0539E">
        <w:rPr>
          <w:i/>
          <w:color w:val="1D1D1D"/>
        </w:rPr>
        <w:t>Protection and Synthetic Greenhouse Gas Management Regulations 1995</w:t>
      </w:r>
      <w:r w:rsidR="0097562C" w:rsidRPr="00C0539E">
        <w:rPr>
          <w:color w:val="1D1D1D"/>
        </w:rPr>
        <w:t xml:space="preserve"> </w:t>
      </w:r>
      <w:r w:rsidRPr="0097562C">
        <w:t xml:space="preserve"> </w:t>
      </w:r>
      <w:r>
        <w:t>(</w:t>
      </w:r>
      <w:r w:rsidR="0097562C">
        <w:t xml:space="preserve">Cth) debars </w:t>
      </w:r>
      <w:r w:rsidR="00DA1B77">
        <w:t>it</w:t>
      </w:r>
      <w:r w:rsidR="0097562C">
        <w:t xml:space="preserve"> from recovering the sums claimed.</w:t>
      </w:r>
    </w:p>
    <w:p w14:paraId="3D334480" w14:textId="77777777" w:rsidR="0097562C" w:rsidRDefault="00DA1B77" w:rsidP="00B863B2">
      <w:pPr>
        <w:pStyle w:val="Body1"/>
      </w:pPr>
      <w:r>
        <w:t xml:space="preserve">In response </w:t>
      </w:r>
      <w:r w:rsidR="0097562C">
        <w:t>CTS asserts that at the relevant times it was fully and duly licensed</w:t>
      </w:r>
      <w:r w:rsidR="00C26029">
        <w:t>, and instituted these</w:t>
      </w:r>
      <w:r w:rsidR="007955E9">
        <w:t xml:space="preserve"> minor debt proceedings for a total of $5,079.44</w:t>
      </w:r>
      <w:r w:rsidR="0097562C">
        <w:t>.</w:t>
      </w:r>
      <w:r w:rsidR="007955E9">
        <w:t xml:space="preserve"> Thang denies liability.</w:t>
      </w:r>
    </w:p>
    <w:p w14:paraId="72D7BBD0" w14:textId="77777777" w:rsidR="00405202" w:rsidRDefault="00405202" w:rsidP="00405202">
      <w:pPr>
        <w:pStyle w:val="Body1"/>
        <w:numPr>
          <w:ilvl w:val="0"/>
          <w:numId w:val="0"/>
        </w:numPr>
        <w:ind w:left="567"/>
        <w:rPr>
          <w:b/>
        </w:rPr>
      </w:pPr>
    </w:p>
    <w:p w14:paraId="594D082E" w14:textId="77777777" w:rsidR="00405202" w:rsidRDefault="00405202" w:rsidP="00405202">
      <w:pPr>
        <w:pStyle w:val="Body1"/>
        <w:numPr>
          <w:ilvl w:val="0"/>
          <w:numId w:val="0"/>
        </w:numPr>
        <w:ind w:left="567"/>
        <w:rPr>
          <w:b/>
        </w:rPr>
      </w:pPr>
    </w:p>
    <w:p w14:paraId="7B3FC305" w14:textId="77777777" w:rsidR="00405202" w:rsidRPr="00405202" w:rsidRDefault="00405202" w:rsidP="00405202">
      <w:pPr>
        <w:pStyle w:val="Body1"/>
        <w:numPr>
          <w:ilvl w:val="0"/>
          <w:numId w:val="0"/>
        </w:numPr>
        <w:ind w:left="567"/>
        <w:rPr>
          <w:b/>
        </w:rPr>
      </w:pPr>
      <w:r>
        <w:rPr>
          <w:b/>
        </w:rPr>
        <w:lastRenderedPageBreak/>
        <w:t>Primary decision</w:t>
      </w:r>
    </w:p>
    <w:p w14:paraId="58298FC0" w14:textId="77777777" w:rsidR="004C7C23" w:rsidRDefault="00202A4E" w:rsidP="00B863B2">
      <w:pPr>
        <w:pStyle w:val="Body1"/>
      </w:pPr>
      <w:r>
        <w:t xml:space="preserve">The trial took place on 17 March 2021, when the tribunal found for CTS and ordered Thang to pay </w:t>
      </w:r>
      <w:r w:rsidR="00DA1B77">
        <w:t>that company</w:t>
      </w:r>
      <w:r w:rsidR="004C7C23">
        <w:t xml:space="preserve"> the sum of $4,856. </w:t>
      </w:r>
    </w:p>
    <w:p w14:paraId="4D7C992F" w14:textId="77777777" w:rsidR="00432A63" w:rsidRDefault="004C7C23" w:rsidP="00B863B2">
      <w:pPr>
        <w:pStyle w:val="Body1"/>
      </w:pPr>
      <w:r>
        <w:t xml:space="preserve">The </w:t>
      </w:r>
      <w:r w:rsidR="00E9180E">
        <w:t xml:space="preserve">record of the </w:t>
      </w:r>
      <w:r>
        <w:t>hearing</w:t>
      </w:r>
      <w:r w:rsidR="00E9180E">
        <w:t xml:space="preserve"> is brief</w:t>
      </w:r>
      <w:r>
        <w:t>. Simple cases do not require elaborate reasons.</w:t>
      </w:r>
      <w:r>
        <w:rPr>
          <w:rStyle w:val="FootnoteReference"/>
        </w:rPr>
        <w:footnoteReference w:id="1"/>
      </w:r>
      <w:r>
        <w:t xml:space="preserve"> Quantum was not in issue, </w:t>
      </w:r>
      <w:r w:rsidR="00E9180E">
        <w:t xml:space="preserve">it was common ground that the work was done (albeit not to Thang’s </w:t>
      </w:r>
      <w:r w:rsidR="00FB7A48">
        <w:t>subsequent approval</w:t>
      </w:r>
      <w:r w:rsidR="0096200C">
        <w:t>)</w:t>
      </w:r>
      <w:r w:rsidR="00E9180E">
        <w:t xml:space="preserve"> and </w:t>
      </w:r>
      <w:r w:rsidR="00FB7A48">
        <w:t xml:space="preserve">on each occasion Thang signed acknowledgments of satisfaction. There is no suggestion that those acknowledgments are </w:t>
      </w:r>
      <w:r w:rsidR="00432A63">
        <w:t>void</w:t>
      </w:r>
      <w:r w:rsidR="00FB7A48">
        <w:t>.</w:t>
      </w:r>
      <w:r w:rsidR="00302532">
        <w:t xml:space="preserve"> </w:t>
      </w:r>
    </w:p>
    <w:p w14:paraId="400D7126" w14:textId="77777777" w:rsidR="00405202" w:rsidRDefault="00302532" w:rsidP="00B863B2">
      <w:pPr>
        <w:pStyle w:val="Body1"/>
      </w:pPr>
      <w:r>
        <w:t>There were some generalised complaints about negligence, which were summarily and properly dismissed. Counterclaims may not be appended to a minor debt claim</w:t>
      </w:r>
      <w:r>
        <w:rPr>
          <w:rStyle w:val="FootnoteReference"/>
        </w:rPr>
        <w:footnoteReference w:id="2"/>
      </w:r>
      <w:r w:rsidR="00432A63">
        <w:t>; be</w:t>
      </w:r>
      <w:r>
        <w:t xml:space="preserve">sides, </w:t>
      </w:r>
      <w:r w:rsidR="00432A63">
        <w:t xml:space="preserve">negligence was not pleaded and </w:t>
      </w:r>
      <w:r>
        <w:t xml:space="preserve">no evidence of negligence was produced until </w:t>
      </w:r>
      <w:r w:rsidR="00CF39CA">
        <w:t xml:space="preserve">one week </w:t>
      </w:r>
      <w:r>
        <w:t>after the trial.</w:t>
      </w:r>
      <w:r>
        <w:rPr>
          <w:rStyle w:val="FootnoteReference"/>
        </w:rPr>
        <w:footnoteReference w:id="3"/>
      </w:r>
      <w:r w:rsidR="008E51BF">
        <w:t xml:space="preserve"> </w:t>
      </w:r>
    </w:p>
    <w:p w14:paraId="5EBA86CF" w14:textId="77777777" w:rsidR="00405202" w:rsidRDefault="00405202" w:rsidP="00405202">
      <w:pPr>
        <w:pStyle w:val="Body1"/>
        <w:numPr>
          <w:ilvl w:val="0"/>
          <w:numId w:val="0"/>
        </w:numPr>
        <w:ind w:left="567"/>
        <w:rPr>
          <w:b/>
        </w:rPr>
      </w:pPr>
    </w:p>
    <w:p w14:paraId="34D2A265" w14:textId="77777777" w:rsidR="00405202" w:rsidRPr="00405202" w:rsidRDefault="00405202" w:rsidP="00405202">
      <w:pPr>
        <w:pStyle w:val="Body1"/>
        <w:numPr>
          <w:ilvl w:val="0"/>
          <w:numId w:val="0"/>
        </w:numPr>
        <w:ind w:left="567"/>
        <w:rPr>
          <w:b/>
        </w:rPr>
      </w:pPr>
      <w:r>
        <w:rPr>
          <w:b/>
        </w:rPr>
        <w:t>Additional evidence?</w:t>
      </w:r>
    </w:p>
    <w:p w14:paraId="0FACC573" w14:textId="77777777" w:rsidR="00FB7A48" w:rsidRDefault="00432A63" w:rsidP="00B863B2">
      <w:pPr>
        <w:pStyle w:val="Body1"/>
      </w:pPr>
      <w:r>
        <w:t xml:space="preserve">For present purposes </w:t>
      </w:r>
      <w:r w:rsidR="008E51BF">
        <w:t>the sole question is whether certain `new’ evidence should be admitted on Thang’s behalf.</w:t>
      </w:r>
    </w:p>
    <w:p w14:paraId="721F8E90" w14:textId="77777777" w:rsidR="001F1FDC" w:rsidRDefault="00875F0C" w:rsidP="00B863B2">
      <w:pPr>
        <w:pStyle w:val="Body1"/>
      </w:pPr>
      <w:r>
        <w:t>The evidence in question relates to searches made by Thang after the hearing was completed, purporting to show that in May and July 2020 CTS did not hold requisite licences from the Queensland Build</w:t>
      </w:r>
      <w:r w:rsidR="00BD147A">
        <w:t>ing and Construction Commission and a Commonwealth entity, the Australian Refrigeration Council</w:t>
      </w:r>
      <w:r w:rsidR="00B436C2">
        <w:t xml:space="preserve"> (`ARC’)</w:t>
      </w:r>
      <w:r w:rsidR="00BD147A">
        <w:t>.</w:t>
      </w:r>
      <w:r w:rsidR="001F1FDC">
        <w:t xml:space="preserve"> </w:t>
      </w:r>
    </w:p>
    <w:p w14:paraId="3FAD1696" w14:textId="77777777" w:rsidR="00432A63" w:rsidRDefault="00432A63" w:rsidP="00B863B2">
      <w:pPr>
        <w:pStyle w:val="Body1"/>
      </w:pPr>
      <w:r>
        <w:t>This application for leave is not an occasion to judge the merits of that evidence, but merely whether it should be admitted now, the primary decision notwithstanding. If it were admitted, the matter would be remitted for retrial, at which stage the merits of the licensing issues would be determined.</w:t>
      </w:r>
    </w:p>
    <w:p w14:paraId="6E483E19" w14:textId="77777777" w:rsidR="00405202" w:rsidRDefault="00405202" w:rsidP="00405202">
      <w:pPr>
        <w:pStyle w:val="Body1"/>
        <w:numPr>
          <w:ilvl w:val="0"/>
          <w:numId w:val="0"/>
        </w:numPr>
        <w:ind w:left="567"/>
      </w:pPr>
    </w:p>
    <w:p w14:paraId="64833B78" w14:textId="77777777" w:rsidR="00405202" w:rsidRDefault="00432A63" w:rsidP="00405202">
      <w:pPr>
        <w:pStyle w:val="Body1"/>
        <w:numPr>
          <w:ilvl w:val="0"/>
          <w:numId w:val="0"/>
        </w:numPr>
        <w:ind w:left="567"/>
      </w:pPr>
      <w:r>
        <w:rPr>
          <w:b/>
        </w:rPr>
        <w:t>The i</w:t>
      </w:r>
      <w:r w:rsidR="00405202" w:rsidRPr="00405202">
        <w:rPr>
          <w:b/>
        </w:rPr>
        <w:t>mportance of finality</w:t>
      </w:r>
    </w:p>
    <w:p w14:paraId="198D4423" w14:textId="77777777" w:rsidR="001F1FDC" w:rsidRDefault="00A7719E" w:rsidP="00B863B2">
      <w:pPr>
        <w:pStyle w:val="Body1"/>
      </w:pPr>
      <w:r>
        <w:t>Permission to introduce post-trial evidence is not given</w:t>
      </w:r>
      <w:r w:rsidR="00BD2C69" w:rsidRPr="00BD2C69">
        <w:t xml:space="preserve"> </w:t>
      </w:r>
      <w:r w:rsidR="00BD2C69">
        <w:t>lightly</w:t>
      </w:r>
      <w:r>
        <w:t>. Finality of litigation is a firm policy of the law</w:t>
      </w:r>
      <w:r w:rsidR="007B3F13">
        <w:rPr>
          <w:rStyle w:val="FootnoteReference"/>
        </w:rPr>
        <w:footnoteReference w:id="4"/>
      </w:r>
      <w:r>
        <w:t xml:space="preserve">, particularly in tribunals </w:t>
      </w:r>
      <w:r w:rsidR="00304D3D">
        <w:t>where</w:t>
      </w:r>
      <w:r>
        <w:t xml:space="preserve"> the legislature expects </w:t>
      </w:r>
      <w:r w:rsidR="00565F6F">
        <w:t xml:space="preserve">proceedings </w:t>
      </w:r>
      <w:r>
        <w:t>to be</w:t>
      </w:r>
      <w:r w:rsidR="00304D3D">
        <w:t xml:space="preserve"> relatively simple and </w:t>
      </w:r>
      <w:r w:rsidR="00565F6F">
        <w:t>expeditious</w:t>
      </w:r>
      <w:r>
        <w:t>.</w:t>
      </w:r>
      <w:r w:rsidR="00565F6F">
        <w:rPr>
          <w:rStyle w:val="FootnoteReference"/>
        </w:rPr>
        <w:footnoteReference w:id="5"/>
      </w:r>
      <w:r>
        <w:t xml:space="preserve"> </w:t>
      </w:r>
      <w:r w:rsidR="00304D3D">
        <w:t>Indeed t</w:t>
      </w:r>
      <w:r w:rsidR="00705DC6">
        <w:rPr>
          <w:rFonts w:cs="Arial"/>
        </w:rPr>
        <w:t xml:space="preserve">he legislative purpose of the QCAT Act’s leave-to-appeal provision is to ensure that the primary decision will normally be final. </w:t>
      </w:r>
      <w:r w:rsidR="00323D2B">
        <w:t xml:space="preserve">Trials are not practice </w:t>
      </w:r>
      <w:r w:rsidR="00304D3D">
        <w:t>sessions</w:t>
      </w:r>
      <w:r w:rsidR="00323D2B">
        <w:t xml:space="preserve"> </w:t>
      </w:r>
      <w:r w:rsidR="00E4225D">
        <w:t>or preliminary skirmishes</w:t>
      </w:r>
      <w:r w:rsidR="00E4225D">
        <w:rPr>
          <w:rStyle w:val="FootnoteReference"/>
        </w:rPr>
        <w:footnoteReference w:id="6"/>
      </w:r>
      <w:r w:rsidR="00E4225D">
        <w:t xml:space="preserve"> </w:t>
      </w:r>
      <w:r w:rsidR="00323D2B">
        <w:t>to be followed by more carefully considered</w:t>
      </w:r>
      <w:r w:rsidR="00E06180">
        <w:t xml:space="preserve"> </w:t>
      </w:r>
      <w:r w:rsidR="00E06180">
        <w:lastRenderedPageBreak/>
        <w:t>re-runs with the benefit of</w:t>
      </w:r>
      <w:r w:rsidR="00323D2B">
        <w:t xml:space="preserve"> afterthoughts.</w:t>
      </w:r>
      <w:r w:rsidR="00796DAD">
        <w:t xml:space="preserve"> </w:t>
      </w:r>
      <w:r w:rsidR="001819F2">
        <w:t xml:space="preserve">Unfortunately that is a common misconception of the </w:t>
      </w:r>
      <w:r w:rsidR="00304D3D">
        <w:t>function</w:t>
      </w:r>
      <w:r w:rsidR="001819F2">
        <w:t xml:space="preserve"> of an application for leave, and it appears that </w:t>
      </w:r>
      <w:r w:rsidR="00304D3D">
        <w:t>requests</w:t>
      </w:r>
      <w:r w:rsidR="001819F2">
        <w:t xml:space="preserve"> for leave to adduce `new’ evidence are an increasingly popular me</w:t>
      </w:r>
      <w:r w:rsidR="00304D3D">
        <w:t>thod</w:t>
      </w:r>
      <w:r w:rsidR="001819F2">
        <w:t xml:space="preserve"> of </w:t>
      </w:r>
      <w:r w:rsidR="00304D3D">
        <w:t>attempting</w:t>
      </w:r>
      <w:r w:rsidR="00AC0DB7">
        <w:t xml:space="preserve"> to secure re-trials</w:t>
      </w:r>
      <w:r w:rsidR="002E6EE8">
        <w:t xml:space="preserve"> </w:t>
      </w:r>
      <w:r w:rsidR="001249AE">
        <w:t>But a</w:t>
      </w:r>
      <w:r w:rsidR="002E6EE8">
        <w:t xml:space="preserve">s </w:t>
      </w:r>
      <w:r w:rsidR="009A6BF3">
        <w:t xml:space="preserve">Morzone DCJ observed in </w:t>
      </w:r>
      <w:r w:rsidR="009A6BF3">
        <w:rPr>
          <w:i/>
        </w:rPr>
        <w:t>Queensland Police Service v Messer</w:t>
      </w:r>
      <w:r w:rsidR="002E6EE8">
        <w:t>:</w:t>
      </w:r>
    </w:p>
    <w:p w14:paraId="5B7BA883" w14:textId="77777777" w:rsidR="002E6EE8" w:rsidRPr="002E6EE8" w:rsidRDefault="002E6EE8" w:rsidP="002E6EE8">
      <w:pPr>
        <w:pStyle w:val="Body1"/>
        <w:numPr>
          <w:ilvl w:val="0"/>
          <w:numId w:val="0"/>
        </w:numPr>
        <w:ind w:left="1440"/>
        <w:rPr>
          <w:sz w:val="22"/>
          <w:szCs w:val="22"/>
        </w:rPr>
      </w:pPr>
      <w:r>
        <w:rPr>
          <w:sz w:val="22"/>
          <w:szCs w:val="22"/>
        </w:rPr>
        <w:t>[A]n appeal is not a forum for parties to get `a second bite of the cherry’ by remedying an evidentiary deficiency and presenting it for the first time at the appeal hearing</w:t>
      </w:r>
      <w:r w:rsidR="009A6BF3">
        <w:rPr>
          <w:sz w:val="22"/>
          <w:szCs w:val="22"/>
        </w:rPr>
        <w:t>.</w:t>
      </w:r>
      <w:r w:rsidR="009A6BF3">
        <w:rPr>
          <w:rStyle w:val="FootnoteReference"/>
        </w:rPr>
        <w:footnoteReference w:id="7"/>
      </w:r>
    </w:p>
    <w:p w14:paraId="31FC9377" w14:textId="77777777" w:rsidR="00C512EA" w:rsidRDefault="00C512EA" w:rsidP="00B863B2">
      <w:pPr>
        <w:pStyle w:val="Body1"/>
      </w:pPr>
      <w:r>
        <w:t>In the interest</w:t>
      </w:r>
      <w:r w:rsidR="001249AE">
        <w:t>s</w:t>
      </w:r>
      <w:r>
        <w:t xml:space="preserve"> of finality the law sets a strict test for the admission of `new’ or `fresh’ evidence. </w:t>
      </w:r>
      <w:r w:rsidR="000F7D27">
        <w:t>The material in question must be evidence not reasonably available to the</w:t>
      </w:r>
      <w:r w:rsidR="00C90F35">
        <w:t xml:space="preserve"> applicant</w:t>
      </w:r>
      <w:r w:rsidR="001249AE">
        <w:t xml:space="preserve"> at the time of the trial</w:t>
      </w:r>
      <w:r w:rsidR="00C90F35">
        <w:t xml:space="preserve">; it must be credible, and, if accepted, likely to have </w:t>
      </w:r>
      <w:r w:rsidR="001249AE">
        <w:t xml:space="preserve">a </w:t>
      </w:r>
      <w:r w:rsidR="00C90F35">
        <w:t xml:space="preserve">substantial </w:t>
      </w:r>
      <w:r w:rsidR="001249AE">
        <w:t>e</w:t>
      </w:r>
      <w:r w:rsidR="00C90F35">
        <w:t>ffect</w:t>
      </w:r>
      <w:r w:rsidR="001249AE">
        <w:t xml:space="preserve"> on</w:t>
      </w:r>
      <w:r w:rsidR="00C90F35">
        <w:t xml:space="preserve"> the result.</w:t>
      </w:r>
      <w:r w:rsidR="00C90F35">
        <w:rPr>
          <w:rStyle w:val="FootnoteReference"/>
        </w:rPr>
        <w:footnoteReference w:id="8"/>
      </w:r>
      <w:r w:rsidR="00787F98">
        <w:t xml:space="preserve"> In this case the information about State and Commonwealth registrations was a matter of public record well before the trial on </w:t>
      </w:r>
      <w:r w:rsidR="00B436C2">
        <w:t>17 March 2021. Thang discovered the Queensland position, as he sees it, after a week’s reflection and a `bit of research’.</w:t>
      </w:r>
      <w:r w:rsidR="00B436C2">
        <w:rPr>
          <w:rStyle w:val="FootnoteReference"/>
        </w:rPr>
        <w:footnoteReference w:id="9"/>
      </w:r>
      <w:r w:rsidR="00B436C2">
        <w:t xml:space="preserve"> Similarly, he applied the same simple bit of research to the ARC register on </w:t>
      </w:r>
      <w:r w:rsidR="009B5625">
        <w:t>9 June 2021.</w:t>
      </w:r>
      <w:r w:rsidR="009B5625">
        <w:rPr>
          <w:rStyle w:val="FootnoteReference"/>
        </w:rPr>
        <w:footnoteReference w:id="10"/>
      </w:r>
      <w:r w:rsidR="002E6EE8">
        <w:t xml:space="preserve"> No reason</w:t>
      </w:r>
      <w:r w:rsidR="00526CDD">
        <w:t>, let alone an acceptable one,</w:t>
      </w:r>
      <w:r w:rsidR="002E6EE8">
        <w:t xml:space="preserve"> is g</w:t>
      </w:r>
      <w:r w:rsidR="00043DA1">
        <w:t>iven for the postponement of those</w:t>
      </w:r>
      <w:r w:rsidR="002E6EE8">
        <w:t xml:space="preserve"> `research</w:t>
      </w:r>
      <w:r w:rsidR="00043DA1">
        <w:t>es</w:t>
      </w:r>
      <w:r w:rsidR="002E6EE8">
        <w:t>’ until after the trial.</w:t>
      </w:r>
    </w:p>
    <w:p w14:paraId="41B208F5" w14:textId="77777777" w:rsidR="00405202" w:rsidRDefault="00405202" w:rsidP="00405202">
      <w:pPr>
        <w:pStyle w:val="Body1"/>
        <w:numPr>
          <w:ilvl w:val="0"/>
          <w:numId w:val="0"/>
        </w:numPr>
        <w:ind w:left="567" w:hanging="567"/>
      </w:pPr>
    </w:p>
    <w:p w14:paraId="660E78D7" w14:textId="77777777" w:rsidR="00405202" w:rsidRPr="00405202" w:rsidRDefault="00405202" w:rsidP="00405202">
      <w:pPr>
        <w:pStyle w:val="Body1"/>
        <w:numPr>
          <w:ilvl w:val="0"/>
          <w:numId w:val="0"/>
        </w:numPr>
        <w:ind w:left="1134" w:hanging="567"/>
        <w:rPr>
          <w:b/>
        </w:rPr>
      </w:pPr>
      <w:r>
        <w:rPr>
          <w:b/>
        </w:rPr>
        <w:t>Resolution</w:t>
      </w:r>
    </w:p>
    <w:p w14:paraId="543EC824" w14:textId="77777777" w:rsidR="001563DF" w:rsidRDefault="00043DA1" w:rsidP="00B863B2">
      <w:pPr>
        <w:pStyle w:val="Body1"/>
      </w:pPr>
      <w:r>
        <w:t xml:space="preserve">The material that Thang now seeks to adduce does not satisfy the test </w:t>
      </w:r>
      <w:r w:rsidR="007747AF">
        <w:t>of</w:t>
      </w:r>
      <w:r>
        <w:t xml:space="preserve"> fresh evidence. The application to tender it must therefore be dismissed. </w:t>
      </w:r>
    </w:p>
    <w:p w14:paraId="0790E679" w14:textId="77777777" w:rsidR="00E84914" w:rsidRDefault="00E84914" w:rsidP="00B863B2">
      <w:pPr>
        <w:pStyle w:val="Body1"/>
      </w:pPr>
      <w:r>
        <w:t>No appellable error in the conduct of the trial itself is alleged. A leave application is not itself an appeal, but an attempt to show a reasonably arguable case of appellable error, that is an error of law, or radical departure from due process resulting in substantial injustice.</w:t>
      </w:r>
      <w:r>
        <w:rPr>
          <w:rStyle w:val="FootnoteReference"/>
        </w:rPr>
        <w:footnoteReference w:id="11"/>
      </w:r>
      <w:r>
        <w:t xml:space="preserve"> This case does not raise issues of that kind.</w:t>
      </w:r>
    </w:p>
    <w:p w14:paraId="5CE657D1" w14:textId="77777777" w:rsidR="00043DA1" w:rsidRDefault="00E84914" w:rsidP="00B863B2">
      <w:pPr>
        <w:pStyle w:val="Body1"/>
      </w:pPr>
      <w:r>
        <w:t>Accordingly the application for l</w:t>
      </w:r>
      <w:r w:rsidR="001563DF">
        <w:t xml:space="preserve">eave to appeal must </w:t>
      </w:r>
      <w:r w:rsidR="00526CDD">
        <w:t xml:space="preserve">also </w:t>
      </w:r>
      <w:r w:rsidR="001563DF">
        <w:t xml:space="preserve">be </w:t>
      </w:r>
      <w:r>
        <w:t>dismissed</w:t>
      </w:r>
      <w:r w:rsidR="00043DA1">
        <w:t>.</w:t>
      </w:r>
    </w:p>
    <w:p w14:paraId="0BC3DF0C" w14:textId="77777777" w:rsidR="00043DA1" w:rsidRDefault="00043DA1" w:rsidP="00043DA1">
      <w:pPr>
        <w:pStyle w:val="Body1"/>
        <w:numPr>
          <w:ilvl w:val="0"/>
          <w:numId w:val="0"/>
        </w:numPr>
        <w:ind w:left="567"/>
        <w:rPr>
          <w:b/>
        </w:rPr>
      </w:pPr>
      <w:r>
        <w:rPr>
          <w:b/>
        </w:rPr>
        <w:t>ORDERS</w:t>
      </w:r>
    </w:p>
    <w:p w14:paraId="745074F8" w14:textId="77777777" w:rsidR="00043DA1" w:rsidRPr="00043DA1" w:rsidRDefault="00043DA1" w:rsidP="00043DA1">
      <w:pPr>
        <w:pStyle w:val="Body1"/>
        <w:numPr>
          <w:ilvl w:val="0"/>
          <w:numId w:val="5"/>
        </w:numPr>
      </w:pPr>
      <w:r w:rsidRPr="00043DA1">
        <w:t xml:space="preserve">The application to </w:t>
      </w:r>
      <w:r w:rsidR="00E71E2F">
        <w:t>adduce</w:t>
      </w:r>
      <w:r w:rsidRPr="00043DA1">
        <w:t xml:space="preserve"> additional evidence is dismissed.</w:t>
      </w:r>
    </w:p>
    <w:p w14:paraId="4DA45557" w14:textId="77777777" w:rsidR="00B863B2" w:rsidRPr="00043DA1" w:rsidRDefault="00043DA1" w:rsidP="00043DA1">
      <w:pPr>
        <w:pStyle w:val="Body1"/>
        <w:numPr>
          <w:ilvl w:val="0"/>
          <w:numId w:val="5"/>
        </w:numPr>
      </w:pPr>
      <w:r w:rsidRPr="00043DA1">
        <w:t>The application for leave to appeal is dismissed.</w:t>
      </w:r>
      <w:r w:rsidR="00B863B2" w:rsidRPr="00043DA1">
        <w:t xml:space="preserve"> </w:t>
      </w:r>
    </w:p>
    <w:sectPr w:rsidR="00B863B2" w:rsidRPr="00043DA1" w:rsidSect="002229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089E3" w14:textId="77777777" w:rsidR="00EE45BF" w:rsidRDefault="00EE45BF" w:rsidP="00B863B2">
      <w:pPr>
        <w:spacing w:after="0"/>
      </w:pPr>
      <w:r>
        <w:separator/>
      </w:r>
    </w:p>
  </w:endnote>
  <w:endnote w:type="continuationSeparator" w:id="0">
    <w:p w14:paraId="3AFD06A9" w14:textId="77777777" w:rsidR="00EE45BF" w:rsidRDefault="00EE45BF" w:rsidP="00B863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FFE48" w14:textId="77777777" w:rsidR="008A6520" w:rsidRDefault="008A6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9E76B" w14:textId="77777777" w:rsidR="008A6520" w:rsidRDefault="008A65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A6DAB" w14:textId="77777777" w:rsidR="008A6520" w:rsidRDefault="008A6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ABF33" w14:textId="77777777" w:rsidR="00EE45BF" w:rsidRDefault="00EE45BF" w:rsidP="00B863B2">
      <w:pPr>
        <w:spacing w:after="0"/>
      </w:pPr>
      <w:r>
        <w:separator/>
      </w:r>
    </w:p>
  </w:footnote>
  <w:footnote w:type="continuationSeparator" w:id="0">
    <w:p w14:paraId="747E0008" w14:textId="77777777" w:rsidR="00EE45BF" w:rsidRDefault="00EE45BF" w:rsidP="00B863B2">
      <w:pPr>
        <w:spacing w:after="0"/>
      </w:pPr>
      <w:r>
        <w:continuationSeparator/>
      </w:r>
    </w:p>
  </w:footnote>
  <w:footnote w:id="1">
    <w:p w14:paraId="48AB0A1F" w14:textId="77777777" w:rsidR="004C7C23" w:rsidRPr="004C7C23" w:rsidRDefault="004C7C23">
      <w:pPr>
        <w:pStyle w:val="FootnoteText"/>
      </w:pPr>
      <w:r>
        <w:rPr>
          <w:rStyle w:val="FootnoteReference"/>
        </w:rPr>
        <w:footnoteRef/>
      </w:r>
      <w:r>
        <w:t xml:space="preserve"> </w:t>
      </w:r>
      <w:r>
        <w:tab/>
      </w:r>
      <w:r>
        <w:rPr>
          <w:i/>
        </w:rPr>
        <w:t>Housing Commission of NSW v Tatmar Pastoral Co Pty</w:t>
      </w:r>
      <w:r w:rsidR="00E9180E">
        <w:rPr>
          <w:i/>
        </w:rPr>
        <w:t xml:space="preserve"> </w:t>
      </w:r>
      <w:r>
        <w:rPr>
          <w:i/>
        </w:rPr>
        <w:t xml:space="preserve">Ltd </w:t>
      </w:r>
      <w:r>
        <w:t xml:space="preserve">[1983] 3 NSWLR 378 at 386; </w:t>
      </w:r>
      <w:r>
        <w:rPr>
          <w:i/>
        </w:rPr>
        <w:t>Osmond v Public Service B</w:t>
      </w:r>
      <w:r w:rsidR="00E9180E">
        <w:rPr>
          <w:i/>
        </w:rPr>
        <w:t>o</w:t>
      </w:r>
      <w:r>
        <w:rPr>
          <w:i/>
        </w:rPr>
        <w:t xml:space="preserve">ard of NSW </w:t>
      </w:r>
      <w:r>
        <w:t>[1984] 3 NSWLR 447 at 467.</w:t>
      </w:r>
    </w:p>
  </w:footnote>
  <w:footnote w:id="2">
    <w:p w14:paraId="64B02A3D" w14:textId="77777777" w:rsidR="00302532" w:rsidRDefault="00302532">
      <w:pPr>
        <w:pStyle w:val="FootnoteText"/>
      </w:pPr>
      <w:r>
        <w:rPr>
          <w:rStyle w:val="FootnoteReference"/>
        </w:rPr>
        <w:footnoteRef/>
      </w:r>
      <w:r>
        <w:t xml:space="preserve"> </w:t>
      </w:r>
      <w:r>
        <w:tab/>
      </w:r>
      <w:r>
        <w:rPr>
          <w:i/>
        </w:rPr>
        <w:t xml:space="preserve">Queensland Civil and Administrative Tribunal Rules 2009 </w:t>
      </w:r>
      <w:r>
        <w:t>(Qld) r 48(3).</w:t>
      </w:r>
      <w:r w:rsidR="002B063C">
        <w:t xml:space="preserve"> V</w:t>
      </w:r>
    </w:p>
    <w:p w14:paraId="55516457" w14:textId="77777777" w:rsidR="002B063C" w:rsidRPr="00302532" w:rsidRDefault="002B063C">
      <w:pPr>
        <w:pStyle w:val="FootnoteText"/>
      </w:pPr>
    </w:p>
  </w:footnote>
  <w:footnote w:id="3">
    <w:p w14:paraId="2E8332F3" w14:textId="77777777" w:rsidR="00302532" w:rsidRDefault="00302532">
      <w:pPr>
        <w:pStyle w:val="FootnoteText"/>
      </w:pPr>
      <w:r>
        <w:rPr>
          <w:rStyle w:val="FootnoteReference"/>
        </w:rPr>
        <w:footnoteRef/>
      </w:r>
      <w:r>
        <w:t xml:space="preserve"> </w:t>
      </w:r>
      <w:r>
        <w:tab/>
        <w:t>Report of Coldchill Refrigeration 26 March 20</w:t>
      </w:r>
      <w:r w:rsidR="00CF39CA">
        <w:t>21.</w:t>
      </w:r>
    </w:p>
  </w:footnote>
  <w:footnote w:id="4">
    <w:p w14:paraId="7A4669D8" w14:textId="77777777" w:rsidR="007B3F13" w:rsidRPr="00BD3C68" w:rsidRDefault="007B3F13">
      <w:pPr>
        <w:pStyle w:val="FootnoteText"/>
        <w:rPr>
          <w:i/>
        </w:rPr>
      </w:pPr>
      <w:r>
        <w:rPr>
          <w:rStyle w:val="FootnoteReference"/>
        </w:rPr>
        <w:footnoteRef/>
      </w:r>
      <w:r>
        <w:t xml:space="preserve"> </w:t>
      </w:r>
      <w:r>
        <w:tab/>
      </w:r>
      <w:r>
        <w:rPr>
          <w:i/>
        </w:rPr>
        <w:t xml:space="preserve">Hsiao v Fazzari </w:t>
      </w:r>
      <w:r>
        <w:t xml:space="preserve">[2020] HCA 35; 383 ALR 446 at [44]; </w:t>
      </w:r>
      <w:r w:rsidR="00BD3C68">
        <w:rPr>
          <w:i/>
        </w:rPr>
        <w:t xml:space="preserve">R v Vaughan </w:t>
      </w:r>
      <w:r w:rsidR="00BD3C68">
        <w:t xml:space="preserve">[2011] QCA 234 at [5]; </w:t>
      </w:r>
      <w:r w:rsidR="00BD3C68">
        <w:rPr>
          <w:i/>
        </w:rPr>
        <w:t xml:space="preserve">Pappas v Meiklejohn’s Accountants </w:t>
      </w:r>
      <w:r w:rsidR="00BD3C68">
        <w:t>[2017] QCATA 60 at [10] (Thomas QC)</w:t>
      </w:r>
      <w:r w:rsidR="00133846">
        <w:t xml:space="preserve">; </w:t>
      </w:r>
      <w:r w:rsidR="00133846">
        <w:rPr>
          <w:i/>
        </w:rPr>
        <w:t xml:space="preserve">The Pot Man Pty Ltd v Reaoch </w:t>
      </w:r>
      <w:r w:rsidR="00133846">
        <w:t xml:space="preserve">[2011] QCATA 318 at [8] and [10] per Wilson P; </w:t>
      </w:r>
      <w:r w:rsidR="00133846">
        <w:rPr>
          <w:i/>
          <w:sz w:val="22"/>
          <w:szCs w:val="22"/>
        </w:rPr>
        <w:t xml:space="preserve">Aon Risk Services Australia Ltd v Australian National University </w:t>
      </w:r>
      <w:r w:rsidR="00133846">
        <w:rPr>
          <w:sz w:val="22"/>
          <w:szCs w:val="22"/>
        </w:rPr>
        <w:t xml:space="preserve">(2009) 239 CLR 175 at 217; </w:t>
      </w:r>
      <w:r w:rsidR="00133846">
        <w:rPr>
          <w:i/>
        </w:rPr>
        <w:t xml:space="preserve">Sali v SPC Limited </w:t>
      </w:r>
      <w:r w:rsidR="00133846">
        <w:t>(1993) 67 ALJR 841 at 843-844.</w:t>
      </w:r>
    </w:p>
  </w:footnote>
  <w:footnote w:id="5">
    <w:p w14:paraId="7A576DF0" w14:textId="77777777" w:rsidR="00565F6F" w:rsidRDefault="00565F6F">
      <w:pPr>
        <w:pStyle w:val="FootnoteText"/>
      </w:pPr>
      <w:r>
        <w:rPr>
          <w:rStyle w:val="FootnoteReference"/>
        </w:rPr>
        <w:footnoteRef/>
      </w:r>
      <w:r>
        <w:t xml:space="preserve"> </w:t>
      </w:r>
      <w:r>
        <w:tab/>
        <w:t xml:space="preserve">QCAT Act </w:t>
      </w:r>
      <w:r w:rsidR="009B255F">
        <w:t xml:space="preserve">s 3(b), s 4(c); </w:t>
      </w:r>
    </w:p>
  </w:footnote>
  <w:footnote w:id="6">
    <w:p w14:paraId="072194BD" w14:textId="77777777" w:rsidR="00E4225D" w:rsidRDefault="00E4225D">
      <w:pPr>
        <w:pStyle w:val="FootnoteText"/>
      </w:pPr>
      <w:r>
        <w:rPr>
          <w:rStyle w:val="FootnoteReference"/>
        </w:rPr>
        <w:footnoteRef/>
      </w:r>
      <w:r>
        <w:t xml:space="preserve"> </w:t>
      </w:r>
      <w:r>
        <w:tab/>
      </w:r>
      <w:r w:rsidRPr="00EC6853">
        <w:rPr>
          <w:rStyle w:val="italic1"/>
          <w:color w:val="000000"/>
        </w:rPr>
        <w:t>Coulton v Holcombe</w:t>
      </w:r>
      <w:r>
        <w:rPr>
          <w:rStyle w:val="italic1"/>
          <w:color w:val="000000"/>
        </w:rPr>
        <w:t xml:space="preserve"> </w:t>
      </w:r>
      <w:r w:rsidRPr="00EC6853">
        <w:rPr>
          <w:color w:val="000000"/>
        </w:rPr>
        <w:t>(1986) 162 CLR 1 at 7</w:t>
      </w:r>
      <w:r>
        <w:rPr>
          <w:color w:val="000000"/>
        </w:rPr>
        <w:t>.</w:t>
      </w:r>
    </w:p>
  </w:footnote>
  <w:footnote w:id="7">
    <w:p w14:paraId="2E53D693" w14:textId="77777777" w:rsidR="009A6BF3" w:rsidRPr="002E6EE8" w:rsidRDefault="009A6BF3" w:rsidP="009A6BF3">
      <w:pPr>
        <w:pStyle w:val="FootnoteText"/>
        <w:rPr>
          <w:i/>
        </w:rPr>
      </w:pPr>
      <w:r>
        <w:rPr>
          <w:rStyle w:val="FootnoteReference"/>
        </w:rPr>
        <w:footnoteRef/>
      </w:r>
      <w:r>
        <w:t xml:space="preserve"> </w:t>
      </w:r>
      <w:r>
        <w:tab/>
        <w:t>[2016] QDC 214 at [23].</w:t>
      </w:r>
      <w:r>
        <w:rPr>
          <w:i/>
        </w:rPr>
        <w:t xml:space="preserve"> </w:t>
      </w:r>
    </w:p>
  </w:footnote>
  <w:footnote w:id="8">
    <w:p w14:paraId="615B9CEB" w14:textId="77777777" w:rsidR="00C90F35" w:rsidRPr="00787F98" w:rsidRDefault="00C90F35">
      <w:pPr>
        <w:pStyle w:val="FootnoteText"/>
      </w:pPr>
      <w:r>
        <w:rPr>
          <w:rStyle w:val="FootnoteReference"/>
        </w:rPr>
        <w:footnoteRef/>
      </w:r>
      <w:r>
        <w:t xml:space="preserve"> </w:t>
      </w:r>
      <w:r>
        <w:tab/>
      </w:r>
      <w:r w:rsidR="00787F98">
        <w:rPr>
          <w:i/>
        </w:rPr>
        <w:t xml:space="preserve">Hawkins v Pender Bros Pty Ltd </w:t>
      </w:r>
      <w:r w:rsidR="00787F98">
        <w:t xml:space="preserve">[1990] 1 Qd R 135; </w:t>
      </w:r>
      <w:r w:rsidR="00787F98">
        <w:rPr>
          <w:i/>
        </w:rPr>
        <w:t xml:space="preserve">Wong v Jani-King Franchising Inc </w:t>
      </w:r>
      <w:r w:rsidR="00787F98" w:rsidRPr="00787F98">
        <w:t xml:space="preserve">[2014] QCA 76; </w:t>
      </w:r>
      <w:r w:rsidR="00787F98" w:rsidRPr="00787F98">
        <w:rPr>
          <w:i/>
        </w:rPr>
        <w:t>Booth</w:t>
      </w:r>
      <w:r w:rsidR="00787F98">
        <w:rPr>
          <w:i/>
        </w:rPr>
        <w:t xml:space="preserve"> v Fourmeninapub Pty Ltd </w:t>
      </w:r>
      <w:r w:rsidR="00787F98">
        <w:t xml:space="preserve">[2020] NSWCA 57 at [25]. </w:t>
      </w:r>
    </w:p>
  </w:footnote>
  <w:footnote w:id="9">
    <w:p w14:paraId="129FC335" w14:textId="77777777" w:rsidR="00B436C2" w:rsidRDefault="00B436C2">
      <w:pPr>
        <w:pStyle w:val="FootnoteText"/>
      </w:pPr>
      <w:r>
        <w:rPr>
          <w:rStyle w:val="FootnoteReference"/>
        </w:rPr>
        <w:footnoteRef/>
      </w:r>
      <w:r>
        <w:t xml:space="preserve"> </w:t>
      </w:r>
      <w:r>
        <w:tab/>
        <w:t>Oral submission (Nguyen) on hearing</w:t>
      </w:r>
      <w:r w:rsidR="009B5625">
        <w:t xml:space="preserve"> of application 27 January 2022; </w:t>
      </w:r>
      <w:r w:rsidR="001862C9">
        <w:t xml:space="preserve">Application for leave to appeal filed 8 April 2021 (annexure paragraph 2(f); </w:t>
      </w:r>
      <w:r w:rsidR="009B5625">
        <w:t>QBCC licence search issued 31 March 2021</w:t>
      </w:r>
      <w:r w:rsidR="001862C9">
        <w:t>.</w:t>
      </w:r>
    </w:p>
  </w:footnote>
  <w:footnote w:id="10">
    <w:p w14:paraId="161087F2" w14:textId="77777777" w:rsidR="009B5625" w:rsidRDefault="009B5625">
      <w:pPr>
        <w:pStyle w:val="FootnoteText"/>
      </w:pPr>
      <w:r>
        <w:rPr>
          <w:rStyle w:val="FootnoteReference"/>
        </w:rPr>
        <w:footnoteRef/>
      </w:r>
      <w:r>
        <w:t xml:space="preserve"> </w:t>
      </w:r>
      <w:r>
        <w:tab/>
        <w:t>Exchange of emails Thang to and from ARC 9 June 2021.</w:t>
      </w:r>
    </w:p>
  </w:footnote>
  <w:footnote w:id="11">
    <w:p w14:paraId="133C1187" w14:textId="77777777" w:rsidR="00E84914" w:rsidRDefault="00E84914" w:rsidP="001F233A">
      <w:pPr>
        <w:pStyle w:val="FootnoteText"/>
      </w:pPr>
      <w:r>
        <w:rPr>
          <w:rStyle w:val="FootnoteReference"/>
        </w:rPr>
        <w:footnoteRef/>
      </w:r>
      <w:r>
        <w:t xml:space="preserve"> </w:t>
      </w:r>
      <w:r>
        <w:tab/>
      </w:r>
      <w:r w:rsidRPr="00BF0085">
        <w:rPr>
          <w:rFonts w:cs="Arial"/>
          <w:i/>
          <w:iCs/>
        </w:rPr>
        <w:t xml:space="preserve">QUYD Pty Ltd v Marvass Pty Ltd  </w:t>
      </w:r>
      <w:r w:rsidRPr="00BF0085">
        <w:rPr>
          <w:rFonts w:cs="Arial"/>
        </w:rPr>
        <w:t>[2009] 1 Qd R 41;</w:t>
      </w:r>
      <w:r w:rsidRPr="00BF0085">
        <w:rPr>
          <w:rFonts w:cs="Arial"/>
          <w:iCs/>
        </w:rPr>
        <w:t xml:space="preserve"> [2008] QCA 257 at [6]</w:t>
      </w:r>
      <w:r w:rsidRPr="00BF0085">
        <w:rPr>
          <w:rFonts w:cs="Arial"/>
        </w:rPr>
        <w:t xml:space="preserve">; </w:t>
      </w:r>
      <w:r w:rsidRPr="00BF0085">
        <w:rPr>
          <w:rFonts w:cs="Arial"/>
          <w:i/>
        </w:rPr>
        <w:t>Drew v Bundaberg Regional Council</w:t>
      </w:r>
      <w:r w:rsidRPr="00BF0085">
        <w:rPr>
          <w:rFonts w:cs="Arial"/>
        </w:rPr>
        <w:t xml:space="preserve"> [2012] QPELR 350; [2011] QCA 359 at [18]; </w:t>
      </w:r>
      <w:r w:rsidRPr="00BF0085">
        <w:rPr>
          <w:rFonts w:cs="Arial"/>
          <w:i/>
        </w:rPr>
        <w:t>Felton and Anor v Raine and Horne Real Estate</w:t>
      </w:r>
      <w:r w:rsidRPr="00BF0085">
        <w:rPr>
          <w:rFonts w:cs="Arial"/>
        </w:rPr>
        <w:t xml:space="preserve"> [2011] QCATA 330 at [19]</w:t>
      </w:r>
      <w:r w:rsidRPr="00BF0085">
        <w:rPr>
          <w:rFonts w:cs="Arial"/>
          <w:bCs/>
          <w:color w:val="000000"/>
          <w:lang w:eastAsia="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BD951" w14:textId="77777777" w:rsidR="008A6520" w:rsidRDefault="008A6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C0912" w14:textId="77777777" w:rsidR="008A6520" w:rsidRDefault="008A65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7D0FD" w14:textId="77777777" w:rsidR="008A6520" w:rsidRDefault="008A6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48B0"/>
    <w:multiLevelType w:val="multilevel"/>
    <w:tmpl w:val="4C8C237C"/>
    <w:styleLink w:val="QCATReasonsTemplate"/>
    <w:lvl w:ilvl="0">
      <w:start w:val="1"/>
      <w:numFmt w:val="decimal"/>
      <w:pStyle w:val="Body1"/>
      <w:lvlText w:val="[%1]"/>
      <w:lvlJc w:val="left"/>
      <w:pPr>
        <w:ind w:left="2836" w:hanging="567"/>
      </w:pPr>
      <w:rPr>
        <w:rFonts w:ascii="Times New Roman" w:hAnsi="Times New Roman" w:hint="default"/>
        <w:sz w:val="20"/>
      </w:rPr>
    </w:lvl>
    <w:lvl w:ilvl="1">
      <w:start w:val="1"/>
      <w:numFmt w:val="lowerLetter"/>
      <w:pStyle w:val="Body2"/>
      <w:lvlText w:val="(%2)"/>
      <w:lvlJc w:val="left"/>
      <w:pPr>
        <w:ind w:left="1134" w:hanging="567"/>
      </w:pPr>
      <w:rPr>
        <w:rFonts w:ascii="Times New Roman" w:hAnsi="Times New Roman" w:hint="default"/>
        <w:sz w:val="20"/>
      </w:rPr>
    </w:lvl>
    <w:lvl w:ilvl="2">
      <w:start w:val="1"/>
      <w:numFmt w:val="lowerRoman"/>
      <w:pStyle w:val="Body3"/>
      <w:lvlText w:val="(%3)"/>
      <w:lvlJc w:val="left"/>
      <w:pPr>
        <w:ind w:left="1701" w:hanging="567"/>
      </w:pPr>
      <w:rPr>
        <w:rFonts w:ascii="Times New Roman" w:hAnsi="Times New Roman" w:hint="default"/>
        <w:sz w:val="20"/>
      </w:rPr>
    </w:lvl>
    <w:lvl w:ilvl="3">
      <w:start w:val="1"/>
      <w:numFmt w:val="upperLetter"/>
      <w:pStyle w:val="Body4"/>
      <w:lvlText w:val="%4."/>
      <w:lvlJc w:val="left"/>
      <w:pPr>
        <w:ind w:left="2268" w:hanging="567"/>
      </w:pPr>
      <w:rPr>
        <w:rFonts w:ascii="Times New Roman" w:hAnsi="Times New Roman" w:hint="default"/>
        <w:sz w:val="20"/>
      </w:rPr>
    </w:lvl>
    <w:lvl w:ilvl="4">
      <w:start w:val="1"/>
      <w:numFmt w:val="upperRoman"/>
      <w:pStyle w:val="Body5"/>
      <w:lvlText w:val="%5."/>
      <w:lvlJc w:val="left"/>
      <w:pPr>
        <w:ind w:left="2835" w:hanging="567"/>
      </w:pPr>
      <w:rPr>
        <w:rFonts w:ascii="Times New Roman" w:hAnsi="Times New Roman" w:hint="default"/>
        <w:sz w:val="20"/>
      </w:rPr>
    </w:lvl>
    <w:lvl w:ilvl="5">
      <w:start w:val="1"/>
      <w:numFmt w:val="decimal"/>
      <w:pStyle w:val="Body6"/>
      <w:lvlText w:val="%6."/>
      <w:lvlJc w:val="left"/>
      <w:pPr>
        <w:ind w:left="3402" w:hanging="567"/>
      </w:pPr>
      <w:rPr>
        <w:rFonts w:ascii="Times New Roman" w:hAnsi="Times New Roman" w:hint="default"/>
        <w:sz w:val="20"/>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37382E79"/>
    <w:multiLevelType w:val="hybridMultilevel"/>
    <w:tmpl w:val="D4821836"/>
    <w:lvl w:ilvl="0" w:tplc="C0C61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72D78"/>
    <w:multiLevelType w:val="hybridMultilevel"/>
    <w:tmpl w:val="14C8839A"/>
    <w:lvl w:ilvl="0" w:tplc="2D6CE754">
      <w:start w:val="1"/>
      <w:numFmt w:val="decimal"/>
      <w:lvlText w:val="%1"/>
      <w:lvlJc w:val="left"/>
      <w:pPr>
        <w:ind w:left="1443" w:hanging="876"/>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4B73427D"/>
    <w:multiLevelType w:val="hybridMultilevel"/>
    <w:tmpl w:val="D832A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EF42669"/>
    <w:multiLevelType w:val="hybridMultilevel"/>
    <w:tmpl w:val="78002C86"/>
    <w:lvl w:ilvl="0" w:tplc="61FC5C04">
      <w:start w:val="1"/>
      <w:numFmt w:val="decimal"/>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E56690"/>
    <w:multiLevelType w:val="multilevel"/>
    <w:tmpl w:val="4C8C237C"/>
    <w:numStyleLink w:val="QCATReasonsTemplate"/>
  </w:abstractNum>
  <w:abstractNum w:abstractNumId="6" w15:restartNumberingAfterBreak="0">
    <w:nsid w:val="7B3201A6"/>
    <w:multiLevelType w:val="hybridMultilevel"/>
    <w:tmpl w:val="965E17AE"/>
    <w:lvl w:ilvl="0" w:tplc="61FC5C04">
      <w:start w:val="1"/>
      <w:numFmt w:val="decimal"/>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F604CC6"/>
    <w:multiLevelType w:val="hybridMultilevel"/>
    <w:tmpl w:val="85F8DF8A"/>
    <w:lvl w:ilvl="0" w:tplc="B60C78C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5"/>
  </w:num>
  <w:num w:numId="3">
    <w:abstractNumId w:val="2"/>
  </w:num>
  <w:num w:numId="4">
    <w:abstractNumId w:val="1"/>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B2"/>
    <w:rsid w:val="000246B1"/>
    <w:rsid w:val="00033978"/>
    <w:rsid w:val="00043DA1"/>
    <w:rsid w:val="000F7D27"/>
    <w:rsid w:val="001157BA"/>
    <w:rsid w:val="001249AE"/>
    <w:rsid w:val="00133846"/>
    <w:rsid w:val="001563DF"/>
    <w:rsid w:val="001819F2"/>
    <w:rsid w:val="001862C9"/>
    <w:rsid w:val="001A0E64"/>
    <w:rsid w:val="001F1FDC"/>
    <w:rsid w:val="001F233A"/>
    <w:rsid w:val="00202A4E"/>
    <w:rsid w:val="002229CE"/>
    <w:rsid w:val="002B063C"/>
    <w:rsid w:val="002E6EE8"/>
    <w:rsid w:val="00302532"/>
    <w:rsid w:val="00304D3D"/>
    <w:rsid w:val="00323D2B"/>
    <w:rsid w:val="003C0E74"/>
    <w:rsid w:val="00405202"/>
    <w:rsid w:val="00432A63"/>
    <w:rsid w:val="004C5425"/>
    <w:rsid w:val="004C7C23"/>
    <w:rsid w:val="00520B57"/>
    <w:rsid w:val="005233B9"/>
    <w:rsid w:val="00526CDD"/>
    <w:rsid w:val="00536993"/>
    <w:rsid w:val="00565F6F"/>
    <w:rsid w:val="005E6F75"/>
    <w:rsid w:val="005F7D76"/>
    <w:rsid w:val="006251EC"/>
    <w:rsid w:val="00637A61"/>
    <w:rsid w:val="00705DC6"/>
    <w:rsid w:val="00720D13"/>
    <w:rsid w:val="007747AF"/>
    <w:rsid w:val="00787F98"/>
    <w:rsid w:val="007955E9"/>
    <w:rsid w:val="00796DAD"/>
    <w:rsid w:val="007B3F13"/>
    <w:rsid w:val="007C78D2"/>
    <w:rsid w:val="00852A88"/>
    <w:rsid w:val="00875F0C"/>
    <w:rsid w:val="008A6520"/>
    <w:rsid w:val="008C6997"/>
    <w:rsid w:val="008E51BF"/>
    <w:rsid w:val="009233B9"/>
    <w:rsid w:val="0096200C"/>
    <w:rsid w:val="0097562C"/>
    <w:rsid w:val="009A6BF3"/>
    <w:rsid w:val="009B255F"/>
    <w:rsid w:val="009B5625"/>
    <w:rsid w:val="009D0F49"/>
    <w:rsid w:val="009E5CE2"/>
    <w:rsid w:val="00A7719E"/>
    <w:rsid w:val="00AC0DB7"/>
    <w:rsid w:val="00AE52FD"/>
    <w:rsid w:val="00B436C2"/>
    <w:rsid w:val="00B662D3"/>
    <w:rsid w:val="00B863B2"/>
    <w:rsid w:val="00BD147A"/>
    <w:rsid w:val="00BD2C69"/>
    <w:rsid w:val="00BD3C68"/>
    <w:rsid w:val="00C26029"/>
    <w:rsid w:val="00C37453"/>
    <w:rsid w:val="00C512EA"/>
    <w:rsid w:val="00C90F35"/>
    <w:rsid w:val="00C92D6B"/>
    <w:rsid w:val="00CF39CA"/>
    <w:rsid w:val="00D22F7A"/>
    <w:rsid w:val="00DA1B77"/>
    <w:rsid w:val="00DC0F6C"/>
    <w:rsid w:val="00E06180"/>
    <w:rsid w:val="00E4225D"/>
    <w:rsid w:val="00E71E2F"/>
    <w:rsid w:val="00E84914"/>
    <w:rsid w:val="00E9180E"/>
    <w:rsid w:val="00EE15FA"/>
    <w:rsid w:val="00EE45BF"/>
    <w:rsid w:val="00F751C2"/>
    <w:rsid w:val="00FA7976"/>
    <w:rsid w:val="00FB7A48"/>
    <w:rsid w:val="00FC07DA"/>
    <w:rsid w:val="00FD2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A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63B2"/>
    <w:pPr>
      <w:spacing w:after="160" w:line="240" w:lineRule="auto"/>
    </w:pPr>
    <w:rPr>
      <w:rFonts w:ascii="Times New Roman" w:eastAsia="Times New Roman" w:hAnsi="Times New Roman" w:cs="Times New Roman"/>
      <w:sz w:val="24"/>
      <w:szCs w:val="20"/>
      <w:lang w:val="en-AU"/>
    </w:rPr>
  </w:style>
  <w:style w:type="paragraph" w:styleId="Heading1">
    <w:name w:val="heading 1"/>
    <w:basedOn w:val="Normal"/>
    <w:next w:val="Normal"/>
    <w:link w:val="Heading1Char"/>
    <w:uiPriority w:val="9"/>
    <w:qFormat/>
    <w:rsid w:val="00B863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aliases w:val="Reasons heading"/>
    <w:basedOn w:val="Heading1"/>
    <w:link w:val="Heading4Char"/>
    <w:rsid w:val="00B863B2"/>
    <w:pPr>
      <w:keepLines w:val="0"/>
      <w:spacing w:before="0" w:after="160"/>
      <w:ind w:left="567"/>
      <w:jc w:val="both"/>
      <w:outlineLvl w:val="3"/>
    </w:pPr>
    <w:rPr>
      <w:rFonts w:ascii="Times New Roman" w:eastAsia="Times New Roman" w:hAnsi="Times New Roman" w:cs="Times New Roman"/>
      <w:bCs w:val="0"/>
      <w:caps/>
      <w:color w:val="auto"/>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Reasons heading Char"/>
    <w:basedOn w:val="DefaultParagraphFont"/>
    <w:link w:val="Heading4"/>
    <w:rsid w:val="00B863B2"/>
    <w:rPr>
      <w:rFonts w:ascii="Times New Roman" w:eastAsia="Times New Roman" w:hAnsi="Times New Roman" w:cs="Times New Roman"/>
      <w:b/>
      <w:caps/>
      <w:sz w:val="24"/>
      <w:szCs w:val="24"/>
      <w:lang w:val="en-AU" w:eastAsia="en-AU"/>
    </w:rPr>
  </w:style>
  <w:style w:type="paragraph" w:styleId="FootnoteText">
    <w:name w:val="footnote text"/>
    <w:basedOn w:val="Normal"/>
    <w:link w:val="FootnoteTextChar"/>
    <w:uiPriority w:val="99"/>
    <w:rsid w:val="00B863B2"/>
    <w:pPr>
      <w:tabs>
        <w:tab w:val="left" w:pos="607"/>
      </w:tabs>
      <w:spacing w:after="0"/>
      <w:ind w:left="607" w:hanging="607"/>
      <w:jc w:val="both"/>
    </w:pPr>
    <w:rPr>
      <w:sz w:val="20"/>
    </w:rPr>
  </w:style>
  <w:style w:type="character" w:customStyle="1" w:styleId="FootnoteTextChar">
    <w:name w:val="Footnote Text Char"/>
    <w:basedOn w:val="DefaultParagraphFont"/>
    <w:link w:val="FootnoteText"/>
    <w:uiPriority w:val="99"/>
    <w:rsid w:val="00B863B2"/>
    <w:rPr>
      <w:rFonts w:ascii="Times New Roman" w:eastAsia="Times New Roman" w:hAnsi="Times New Roman" w:cs="Times New Roman"/>
      <w:sz w:val="20"/>
      <w:szCs w:val="20"/>
      <w:lang w:val="en-AU"/>
    </w:rPr>
  </w:style>
  <w:style w:type="paragraph" w:customStyle="1" w:styleId="Partynames">
    <w:name w:val="Party names"/>
    <w:basedOn w:val="Normal"/>
    <w:rsid w:val="00B863B2"/>
    <w:rPr>
      <w:b/>
      <w:caps/>
    </w:rPr>
  </w:style>
  <w:style w:type="character" w:customStyle="1" w:styleId="Citation">
    <w:name w:val="Citation"/>
    <w:basedOn w:val="DefaultParagraphFont"/>
    <w:rsid w:val="00B863B2"/>
    <w:rPr>
      <w:i/>
      <w:iCs/>
    </w:rPr>
  </w:style>
  <w:style w:type="paragraph" w:styleId="Title">
    <w:name w:val="Title"/>
    <w:basedOn w:val="Normal"/>
    <w:link w:val="TitleChar"/>
    <w:rsid w:val="00B863B2"/>
    <w:pPr>
      <w:jc w:val="center"/>
    </w:pPr>
    <w:rPr>
      <w:b/>
      <w:sz w:val="40"/>
    </w:rPr>
  </w:style>
  <w:style w:type="character" w:customStyle="1" w:styleId="TitleChar">
    <w:name w:val="Title Char"/>
    <w:basedOn w:val="DefaultParagraphFont"/>
    <w:link w:val="Title"/>
    <w:rsid w:val="00B863B2"/>
    <w:rPr>
      <w:rFonts w:ascii="Times New Roman" w:eastAsia="Times New Roman" w:hAnsi="Times New Roman" w:cs="Times New Roman"/>
      <w:b/>
      <w:sz w:val="40"/>
      <w:szCs w:val="20"/>
      <w:lang w:val="en-AU"/>
    </w:rPr>
  </w:style>
  <w:style w:type="paragraph" w:customStyle="1" w:styleId="Body1">
    <w:name w:val="Body1"/>
    <w:basedOn w:val="Normal"/>
    <w:link w:val="Body1Char"/>
    <w:qFormat/>
    <w:rsid w:val="00B863B2"/>
    <w:pPr>
      <w:numPr>
        <w:numId w:val="2"/>
      </w:numPr>
      <w:ind w:left="567"/>
      <w:jc w:val="both"/>
    </w:pPr>
    <w:rPr>
      <w:szCs w:val="24"/>
      <w:lang w:eastAsia="en-AU"/>
    </w:rPr>
  </w:style>
  <w:style w:type="paragraph" w:customStyle="1" w:styleId="Body2">
    <w:name w:val="Body2"/>
    <w:basedOn w:val="Normal"/>
    <w:qFormat/>
    <w:rsid w:val="00B863B2"/>
    <w:pPr>
      <w:numPr>
        <w:ilvl w:val="1"/>
        <w:numId w:val="2"/>
      </w:numPr>
      <w:jc w:val="both"/>
    </w:pPr>
    <w:rPr>
      <w:szCs w:val="24"/>
      <w:lang w:eastAsia="en-AU"/>
    </w:rPr>
  </w:style>
  <w:style w:type="character" w:customStyle="1" w:styleId="Body1Char">
    <w:name w:val="Body1 Char"/>
    <w:basedOn w:val="DefaultParagraphFont"/>
    <w:link w:val="Body1"/>
    <w:rsid w:val="00B863B2"/>
    <w:rPr>
      <w:rFonts w:ascii="Times New Roman" w:eastAsia="Times New Roman" w:hAnsi="Times New Roman" w:cs="Times New Roman"/>
      <w:sz w:val="24"/>
      <w:szCs w:val="24"/>
      <w:lang w:val="en-AU" w:eastAsia="en-AU"/>
    </w:rPr>
  </w:style>
  <w:style w:type="paragraph" w:customStyle="1" w:styleId="Body3">
    <w:name w:val="Body3"/>
    <w:basedOn w:val="Normal"/>
    <w:rsid w:val="00B863B2"/>
    <w:pPr>
      <w:numPr>
        <w:ilvl w:val="2"/>
        <w:numId w:val="2"/>
      </w:numPr>
      <w:jc w:val="both"/>
    </w:pPr>
    <w:rPr>
      <w:szCs w:val="24"/>
      <w:lang w:eastAsia="en-AU"/>
    </w:rPr>
  </w:style>
  <w:style w:type="paragraph" w:customStyle="1" w:styleId="Body4">
    <w:name w:val="Body4"/>
    <w:basedOn w:val="Normal"/>
    <w:rsid w:val="00B863B2"/>
    <w:pPr>
      <w:numPr>
        <w:ilvl w:val="3"/>
        <w:numId w:val="2"/>
      </w:numPr>
      <w:spacing w:after="220"/>
      <w:jc w:val="both"/>
    </w:pPr>
    <w:rPr>
      <w:szCs w:val="24"/>
      <w:lang w:eastAsia="en-AU"/>
    </w:rPr>
  </w:style>
  <w:style w:type="paragraph" w:customStyle="1" w:styleId="Body5">
    <w:name w:val="Body5"/>
    <w:basedOn w:val="Normal"/>
    <w:rsid w:val="00B863B2"/>
    <w:pPr>
      <w:numPr>
        <w:ilvl w:val="4"/>
        <w:numId w:val="2"/>
      </w:numPr>
      <w:spacing w:after="220"/>
      <w:jc w:val="both"/>
    </w:pPr>
    <w:rPr>
      <w:szCs w:val="24"/>
      <w:lang w:eastAsia="en-AU"/>
    </w:rPr>
  </w:style>
  <w:style w:type="paragraph" w:customStyle="1" w:styleId="Body6">
    <w:name w:val="Body6"/>
    <w:basedOn w:val="Normal"/>
    <w:rsid w:val="00B863B2"/>
    <w:pPr>
      <w:numPr>
        <w:ilvl w:val="5"/>
        <w:numId w:val="2"/>
      </w:numPr>
      <w:spacing w:after="220"/>
      <w:jc w:val="both"/>
    </w:pPr>
    <w:rPr>
      <w:szCs w:val="24"/>
      <w:lang w:eastAsia="en-AU"/>
    </w:rPr>
  </w:style>
  <w:style w:type="numbering" w:customStyle="1" w:styleId="QCATReasonsTemplate">
    <w:name w:val="QCAT Reasons Template"/>
    <w:uiPriority w:val="99"/>
    <w:rsid w:val="00B863B2"/>
    <w:pPr>
      <w:numPr>
        <w:numId w:val="1"/>
      </w:numPr>
    </w:pPr>
  </w:style>
  <w:style w:type="paragraph" w:customStyle="1" w:styleId="FirstpointTree">
    <w:name w:val="Firstpoint Tree"/>
    <w:basedOn w:val="Normal"/>
    <w:rsid w:val="00B863B2"/>
    <w:pPr>
      <w:jc w:val="both"/>
    </w:pPr>
  </w:style>
  <w:style w:type="paragraph" w:customStyle="1" w:styleId="NoSpacing1">
    <w:name w:val="No Spacing1"/>
    <w:rsid w:val="00B863B2"/>
    <w:pPr>
      <w:spacing w:after="0" w:line="240" w:lineRule="auto"/>
      <w:ind w:left="567" w:hanging="567"/>
    </w:pPr>
    <w:rPr>
      <w:rFonts w:ascii="Times New Roman" w:eastAsia="Times New Roman" w:hAnsi="Times New Roman" w:cs="Times New Roman"/>
      <w:sz w:val="24"/>
      <w:szCs w:val="24"/>
      <w:lang w:val="en-AU" w:eastAsia="en-AU"/>
    </w:rPr>
  </w:style>
  <w:style w:type="character" w:styleId="FootnoteReference">
    <w:name w:val="footnote reference"/>
    <w:basedOn w:val="DefaultParagraphFont"/>
    <w:uiPriority w:val="99"/>
    <w:unhideWhenUsed/>
    <w:rsid w:val="00B863B2"/>
    <w:rPr>
      <w:vertAlign w:val="superscript"/>
    </w:rPr>
  </w:style>
  <w:style w:type="character" w:customStyle="1" w:styleId="Italic">
    <w:name w:val="Italic"/>
    <w:uiPriority w:val="99"/>
    <w:rsid w:val="00B863B2"/>
    <w:rPr>
      <w:i/>
      <w:iCs/>
    </w:rPr>
  </w:style>
  <w:style w:type="paragraph" w:customStyle="1" w:styleId="FootnoteTextFootnotes">
    <w:name w:val="Footnote Text (Footnotes)"/>
    <w:basedOn w:val="Normal"/>
    <w:uiPriority w:val="99"/>
    <w:rsid w:val="00B863B2"/>
    <w:pPr>
      <w:autoSpaceDE w:val="0"/>
      <w:autoSpaceDN w:val="0"/>
      <w:adjustRightInd w:val="0"/>
      <w:spacing w:after="0" w:line="200" w:lineRule="atLeast"/>
      <w:ind w:left="454" w:hanging="454"/>
      <w:jc w:val="both"/>
      <w:textAlignment w:val="center"/>
    </w:pPr>
    <w:rPr>
      <w:rFonts w:ascii="Minion Pro" w:eastAsiaTheme="minorHAnsi" w:hAnsi="Minion Pro" w:cs="Minion Pro"/>
      <w:color w:val="000000"/>
      <w:sz w:val="17"/>
      <w:szCs w:val="17"/>
      <w:lang w:val="en-GB"/>
    </w:rPr>
  </w:style>
  <w:style w:type="character" w:customStyle="1" w:styleId="Heading1Char">
    <w:name w:val="Heading 1 Char"/>
    <w:basedOn w:val="DefaultParagraphFont"/>
    <w:link w:val="Heading1"/>
    <w:uiPriority w:val="9"/>
    <w:rsid w:val="00B863B2"/>
    <w:rPr>
      <w:rFonts w:asciiTheme="majorHAnsi" w:eastAsiaTheme="majorEastAsia" w:hAnsiTheme="majorHAnsi" w:cstheme="majorBidi"/>
      <w:b/>
      <w:bCs/>
      <w:color w:val="365F91" w:themeColor="accent1" w:themeShade="BF"/>
      <w:sz w:val="28"/>
      <w:szCs w:val="28"/>
      <w:lang w:val="en-AU"/>
    </w:rPr>
  </w:style>
  <w:style w:type="paragraph" w:styleId="BalloonText">
    <w:name w:val="Balloon Text"/>
    <w:basedOn w:val="Normal"/>
    <w:link w:val="BalloonTextChar"/>
    <w:uiPriority w:val="99"/>
    <w:semiHidden/>
    <w:unhideWhenUsed/>
    <w:rsid w:val="00B863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3B2"/>
    <w:rPr>
      <w:rFonts w:ascii="Tahoma" w:eastAsia="Times New Roman" w:hAnsi="Tahoma" w:cs="Tahoma"/>
      <w:sz w:val="16"/>
      <w:szCs w:val="16"/>
      <w:lang w:val="en-AU"/>
    </w:rPr>
  </w:style>
  <w:style w:type="character" w:customStyle="1" w:styleId="italic1">
    <w:name w:val="italic1"/>
    <w:basedOn w:val="DefaultParagraphFont"/>
    <w:rsid w:val="00E4225D"/>
    <w:rPr>
      <w:i/>
      <w:iCs/>
    </w:rPr>
  </w:style>
  <w:style w:type="paragraph" w:styleId="Header">
    <w:name w:val="header"/>
    <w:basedOn w:val="Normal"/>
    <w:link w:val="HeaderChar"/>
    <w:uiPriority w:val="99"/>
    <w:unhideWhenUsed/>
    <w:rsid w:val="008A6520"/>
    <w:pPr>
      <w:tabs>
        <w:tab w:val="center" w:pos="4513"/>
        <w:tab w:val="right" w:pos="9026"/>
      </w:tabs>
      <w:spacing w:after="0"/>
    </w:pPr>
  </w:style>
  <w:style w:type="character" w:customStyle="1" w:styleId="HeaderChar">
    <w:name w:val="Header Char"/>
    <w:basedOn w:val="DefaultParagraphFont"/>
    <w:link w:val="Header"/>
    <w:uiPriority w:val="99"/>
    <w:rsid w:val="008A6520"/>
    <w:rPr>
      <w:rFonts w:ascii="Times New Roman" w:eastAsia="Times New Roman" w:hAnsi="Times New Roman" w:cs="Times New Roman"/>
      <w:sz w:val="24"/>
      <w:szCs w:val="20"/>
      <w:lang w:val="en-AU"/>
    </w:rPr>
  </w:style>
  <w:style w:type="paragraph" w:styleId="Footer">
    <w:name w:val="footer"/>
    <w:basedOn w:val="Normal"/>
    <w:link w:val="FooterChar"/>
    <w:uiPriority w:val="99"/>
    <w:unhideWhenUsed/>
    <w:rsid w:val="008A6520"/>
    <w:pPr>
      <w:tabs>
        <w:tab w:val="center" w:pos="4513"/>
        <w:tab w:val="right" w:pos="9026"/>
      </w:tabs>
      <w:spacing w:after="0"/>
    </w:pPr>
  </w:style>
  <w:style w:type="character" w:customStyle="1" w:styleId="FooterChar">
    <w:name w:val="Footer Char"/>
    <w:basedOn w:val="DefaultParagraphFont"/>
    <w:link w:val="Footer"/>
    <w:uiPriority w:val="99"/>
    <w:rsid w:val="008A6520"/>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B0FF497C541FAB4D9A0E0EB42574F"/>
        <w:category>
          <w:name w:val="General"/>
          <w:gallery w:val="placeholder"/>
        </w:category>
        <w:types>
          <w:type w:val="bbPlcHdr"/>
        </w:types>
        <w:behaviors>
          <w:behavior w:val="content"/>
        </w:behaviors>
        <w:guid w:val="{D5D3898B-D48E-463A-B639-F9E426CC542E}"/>
      </w:docPartPr>
      <w:docPartBody>
        <w:p w:rsidR="00E316AF" w:rsidRDefault="00135DC3" w:rsidP="00135DC3">
          <w:pPr>
            <w:pStyle w:val="FA7B0FF497C541FAB4D9A0E0EB42574F"/>
          </w:pPr>
          <w:bookmarkStart w:id="0" w:name="_GoBack"/>
          <w:bookmarkEnd w:id="0"/>
          <w:r w:rsidRPr="00035378">
            <w:rPr>
              <w:rStyle w:val="Citation"/>
              <w:color w:val="262626" w:themeColor="text1" w:themeTint="D9"/>
              <w:shd w:val="clear" w:color="auto" w:fill="E2EFD9" w:themeFill="accent6" w:themeFillTint="33"/>
            </w:rPr>
            <w:t>To be inserted by Member</w:t>
          </w:r>
        </w:p>
      </w:docPartBody>
    </w:docPart>
    <w:docPart>
      <w:docPartPr>
        <w:name w:val="616D2EA6694C4F88A7E478AE54FADE16"/>
        <w:category>
          <w:name w:val="General"/>
          <w:gallery w:val="placeholder"/>
        </w:category>
        <w:types>
          <w:type w:val="bbPlcHdr"/>
        </w:types>
        <w:behaviors>
          <w:behavior w:val="content"/>
        </w:behaviors>
        <w:guid w:val="{B5BDA38E-B7DB-47A5-AA86-C552D8F1FAD0}"/>
      </w:docPartPr>
      <w:docPartBody>
        <w:p w:rsidR="00E316AF" w:rsidRDefault="00135DC3" w:rsidP="00135DC3">
          <w:pPr>
            <w:pStyle w:val="616D2EA6694C4F88A7E478AE54FADE16"/>
          </w:pPr>
          <w:bookmarkStart w:id="1" w:name="_GoBack"/>
          <w:bookmarkEnd w:id="1"/>
          <w:r w:rsidRPr="00035378">
            <w:rPr>
              <w:rStyle w:val="Citation"/>
              <w:color w:val="262626" w:themeColor="text1" w:themeTint="D9"/>
              <w:shd w:val="clear" w:color="auto" w:fill="E2EFD9" w:themeFill="accent6" w:themeFillTint="33"/>
            </w:rPr>
            <w:t>To be inserted by Member</w:t>
          </w:r>
        </w:p>
      </w:docPartBody>
    </w:docPart>
    <w:docPart>
      <w:docPartPr>
        <w:name w:val="75E9DEA9D22646BCB3F05BB9E01C625A"/>
        <w:category>
          <w:name w:val="General"/>
          <w:gallery w:val="placeholder"/>
        </w:category>
        <w:types>
          <w:type w:val="bbPlcHdr"/>
        </w:types>
        <w:behaviors>
          <w:behavior w:val="content"/>
        </w:behaviors>
        <w:guid w:val="{0C3B7A8E-2CBB-4B57-9167-308B7181E0A9}"/>
      </w:docPartPr>
      <w:docPartBody>
        <w:p w:rsidR="00E316AF" w:rsidRDefault="00135DC3" w:rsidP="00135DC3">
          <w:pPr>
            <w:pStyle w:val="75E9DEA9D22646BCB3F05BB9E01C625A"/>
          </w:pPr>
          <w:r w:rsidRPr="00035378">
            <w:rPr>
              <w:color w:val="262626" w:themeColor="text1" w:themeTint="D9"/>
              <w:shd w:val="clear" w:color="auto" w:fill="E2EFD9" w:themeFill="accent6" w:themeFillTint="33"/>
            </w:rPr>
            <w:t>INSERT APPLICANT NAME IN BOLD CAPITAL LETTERS</w:t>
          </w:r>
        </w:p>
      </w:docPartBody>
    </w:docPart>
    <w:docPart>
      <w:docPartPr>
        <w:name w:val="E302694C115742E085F6A5D5B8F38F33"/>
        <w:category>
          <w:name w:val="General"/>
          <w:gallery w:val="placeholder"/>
        </w:category>
        <w:types>
          <w:type w:val="bbPlcHdr"/>
        </w:types>
        <w:behaviors>
          <w:behavior w:val="content"/>
        </w:behaviors>
        <w:guid w:val="{E19B0653-15E9-4D5B-A70B-BEB0043D4FD3}"/>
      </w:docPartPr>
      <w:docPartBody>
        <w:p w:rsidR="00E316AF" w:rsidRDefault="00135DC3" w:rsidP="00135DC3">
          <w:pPr>
            <w:pStyle w:val="E302694C115742E085F6A5D5B8F38F33"/>
          </w:pPr>
          <w:r w:rsidRPr="00035378">
            <w:rPr>
              <w:color w:val="262626" w:themeColor="text1" w:themeTint="D9"/>
              <w:shd w:val="clear" w:color="auto" w:fill="E2EFD9" w:themeFill="accent6" w:themeFillTint="33"/>
            </w:rPr>
            <w:t>INSERT RESPONDENT NAME IN BOLD CAPITAL LETTERS</w:t>
          </w:r>
        </w:p>
      </w:docPartBody>
    </w:docPart>
    <w:docPart>
      <w:docPartPr>
        <w:name w:val="E05154722CAD4C929E2AD21695C1DA15"/>
        <w:category>
          <w:name w:val="General"/>
          <w:gallery w:val="placeholder"/>
        </w:category>
        <w:types>
          <w:type w:val="bbPlcHdr"/>
        </w:types>
        <w:behaviors>
          <w:behavior w:val="content"/>
        </w:behaviors>
        <w:guid w:val="{CD9BCB39-F013-4F71-A324-C5BABD15AAD9}"/>
      </w:docPartPr>
      <w:docPartBody>
        <w:p w:rsidR="00E316AF" w:rsidRDefault="00135DC3" w:rsidP="00135DC3">
          <w:pPr>
            <w:pStyle w:val="E05154722CAD4C929E2AD21695C1DA15"/>
          </w:pPr>
          <w:r w:rsidRPr="00035378">
            <w:rPr>
              <w:color w:val="262626" w:themeColor="text1" w:themeTint="D9"/>
              <w:shd w:val="clear" w:color="auto" w:fill="E2EFD9" w:themeFill="accent6" w:themeFillTint="33"/>
            </w:rPr>
            <w:t>Insert application number/s</w:t>
          </w:r>
        </w:p>
      </w:docPartBody>
    </w:docPart>
    <w:docPart>
      <w:docPartPr>
        <w:name w:val="A2A3566123AB4F7F948A8A7102A08B58"/>
        <w:category>
          <w:name w:val="General"/>
          <w:gallery w:val="placeholder"/>
        </w:category>
        <w:types>
          <w:type w:val="bbPlcHdr"/>
        </w:types>
        <w:behaviors>
          <w:behavior w:val="content"/>
        </w:behaviors>
        <w:guid w:val="{F014B325-D2D3-4C81-928E-51ED19A6337D}"/>
      </w:docPartPr>
      <w:docPartBody>
        <w:p w:rsidR="00E316AF" w:rsidRDefault="00135DC3" w:rsidP="00135DC3">
          <w:pPr>
            <w:pStyle w:val="A2A3566123AB4F7F948A8A7102A08B58"/>
          </w:pPr>
          <w:r w:rsidRPr="00373D56">
            <w:rPr>
              <w:rStyle w:val="PlaceholderText"/>
            </w:rPr>
            <w:t>Choose an item.</w:t>
          </w:r>
        </w:p>
      </w:docPartBody>
    </w:docPart>
    <w:docPart>
      <w:docPartPr>
        <w:name w:val="CC06DA1B76DC43929410783AB4F3AFAF"/>
        <w:category>
          <w:name w:val="General"/>
          <w:gallery w:val="placeholder"/>
        </w:category>
        <w:types>
          <w:type w:val="bbPlcHdr"/>
        </w:types>
        <w:behaviors>
          <w:behavior w:val="content"/>
        </w:behaviors>
        <w:guid w:val="{458C6E89-5535-46EA-92E7-74075CD27C15}"/>
      </w:docPartPr>
      <w:docPartBody>
        <w:p w:rsidR="00E316AF" w:rsidRDefault="00135DC3" w:rsidP="00135DC3">
          <w:pPr>
            <w:pStyle w:val="CC06DA1B76DC43929410783AB4F3AFAF"/>
          </w:pPr>
          <w:r w:rsidRPr="00035378">
            <w:rPr>
              <w:color w:val="262626" w:themeColor="text1" w:themeTint="D9"/>
              <w:shd w:val="clear" w:color="auto" w:fill="E2EFD9" w:themeFill="accent6" w:themeFillTint="33"/>
            </w:rPr>
            <w:t>Click here to choose date</w:t>
          </w:r>
        </w:p>
      </w:docPartBody>
    </w:docPart>
    <w:docPart>
      <w:docPartPr>
        <w:name w:val="4D8A18B4500E4655ADFC1461AA0199BB"/>
        <w:category>
          <w:name w:val="General"/>
          <w:gallery w:val="placeholder"/>
        </w:category>
        <w:types>
          <w:type w:val="bbPlcHdr"/>
        </w:types>
        <w:behaviors>
          <w:behavior w:val="content"/>
        </w:behaviors>
        <w:guid w:val="{38493937-2610-4C8C-B75B-C59E32804C6C}"/>
      </w:docPartPr>
      <w:docPartBody>
        <w:p w:rsidR="00E316AF" w:rsidRDefault="00135DC3" w:rsidP="00135DC3">
          <w:pPr>
            <w:pStyle w:val="4D8A18B4500E4655ADFC1461AA0199BB"/>
          </w:pPr>
          <w:r w:rsidRPr="004647C9">
            <w:t>On the papers</w:t>
          </w:r>
        </w:p>
      </w:docPartBody>
    </w:docPart>
    <w:docPart>
      <w:docPartPr>
        <w:name w:val="561BD73A40434D93968B8F6994F88A45"/>
        <w:category>
          <w:name w:val="General"/>
          <w:gallery w:val="placeholder"/>
        </w:category>
        <w:types>
          <w:type w:val="bbPlcHdr"/>
        </w:types>
        <w:behaviors>
          <w:behavior w:val="content"/>
        </w:behaviors>
        <w:guid w:val="{E9F91401-075D-4ED6-ADDB-91DC78A576D5}"/>
      </w:docPartPr>
      <w:docPartBody>
        <w:p w:rsidR="00E316AF" w:rsidRDefault="00135DC3" w:rsidP="00135DC3">
          <w:pPr>
            <w:pStyle w:val="561BD73A40434D93968B8F6994F88A45"/>
          </w:pPr>
          <w:r w:rsidRPr="00035378">
            <w:rPr>
              <w:color w:val="262626" w:themeColor="text1" w:themeTint="D9"/>
              <w:shd w:val="clear" w:color="auto" w:fill="E2EFD9" w:themeFill="accent6" w:themeFillTint="33"/>
            </w:rPr>
            <w:t>Choose location from dropdown list or enter manually</w:t>
          </w:r>
        </w:p>
      </w:docPartBody>
    </w:docPart>
    <w:docPart>
      <w:docPartPr>
        <w:name w:val="CD5F3ECB9F3441209BB8B2DBE840B6E7"/>
        <w:category>
          <w:name w:val="General"/>
          <w:gallery w:val="placeholder"/>
        </w:category>
        <w:types>
          <w:type w:val="bbPlcHdr"/>
        </w:types>
        <w:behaviors>
          <w:behavior w:val="content"/>
        </w:behaviors>
        <w:guid w:val="{2D11CCD3-A581-4CEE-A9F5-9BD1AC040A57}"/>
      </w:docPartPr>
      <w:docPartBody>
        <w:p w:rsidR="00E316AF" w:rsidRDefault="00135DC3" w:rsidP="00135DC3">
          <w:pPr>
            <w:pStyle w:val="CD5F3ECB9F3441209BB8B2DBE840B6E7"/>
          </w:pPr>
          <w:r w:rsidRPr="00035378">
            <w:rPr>
              <w:color w:val="262626" w:themeColor="text1" w:themeTint="D9"/>
              <w:shd w:val="clear" w:color="auto" w:fill="E2EFD9" w:themeFill="accent6" w:themeFillTint="33"/>
            </w:rPr>
            <w:t>Insert Member/s name/s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135DC3"/>
    <w:rsid w:val="00135DC3"/>
    <w:rsid w:val="002571FD"/>
    <w:rsid w:val="0084282E"/>
    <w:rsid w:val="00C50DCF"/>
    <w:rsid w:val="00DB4B7E"/>
    <w:rsid w:val="00E316AF"/>
    <w:rsid w:val="00FB1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
    <w:name w:val="Citation"/>
    <w:basedOn w:val="DefaultParagraphFont"/>
    <w:rsid w:val="00135DC3"/>
    <w:rPr>
      <w:i/>
      <w:iCs/>
    </w:rPr>
  </w:style>
  <w:style w:type="paragraph" w:customStyle="1" w:styleId="FA7B0FF497C541FAB4D9A0E0EB42574F">
    <w:name w:val="FA7B0FF497C541FAB4D9A0E0EB42574F"/>
    <w:rsid w:val="00135DC3"/>
  </w:style>
  <w:style w:type="paragraph" w:customStyle="1" w:styleId="616D2EA6694C4F88A7E478AE54FADE16">
    <w:name w:val="616D2EA6694C4F88A7E478AE54FADE16"/>
    <w:rsid w:val="00135DC3"/>
  </w:style>
  <w:style w:type="paragraph" w:customStyle="1" w:styleId="75E9DEA9D22646BCB3F05BB9E01C625A">
    <w:name w:val="75E9DEA9D22646BCB3F05BB9E01C625A"/>
    <w:rsid w:val="00135DC3"/>
  </w:style>
  <w:style w:type="paragraph" w:customStyle="1" w:styleId="E302694C115742E085F6A5D5B8F38F33">
    <w:name w:val="E302694C115742E085F6A5D5B8F38F33"/>
    <w:rsid w:val="00135DC3"/>
  </w:style>
  <w:style w:type="paragraph" w:customStyle="1" w:styleId="E05154722CAD4C929E2AD21695C1DA15">
    <w:name w:val="E05154722CAD4C929E2AD21695C1DA15"/>
    <w:rsid w:val="00135DC3"/>
  </w:style>
  <w:style w:type="character" w:styleId="PlaceholderText">
    <w:name w:val="Placeholder Text"/>
    <w:basedOn w:val="DefaultParagraphFont"/>
    <w:uiPriority w:val="99"/>
    <w:semiHidden/>
    <w:rsid w:val="00135DC3"/>
    <w:rPr>
      <w:color w:val="808080"/>
    </w:rPr>
  </w:style>
  <w:style w:type="paragraph" w:customStyle="1" w:styleId="A2A3566123AB4F7F948A8A7102A08B58">
    <w:name w:val="A2A3566123AB4F7F948A8A7102A08B58"/>
    <w:rsid w:val="00135DC3"/>
  </w:style>
  <w:style w:type="paragraph" w:customStyle="1" w:styleId="CC06DA1B76DC43929410783AB4F3AFAF">
    <w:name w:val="CC06DA1B76DC43929410783AB4F3AFAF"/>
    <w:rsid w:val="00135DC3"/>
  </w:style>
  <w:style w:type="paragraph" w:customStyle="1" w:styleId="4D8A18B4500E4655ADFC1461AA0199BB">
    <w:name w:val="4D8A18B4500E4655ADFC1461AA0199BB"/>
    <w:rsid w:val="00135DC3"/>
  </w:style>
  <w:style w:type="paragraph" w:customStyle="1" w:styleId="561BD73A40434D93968B8F6994F88A45">
    <w:name w:val="561BD73A40434D93968B8F6994F88A45"/>
    <w:rsid w:val="00135DC3"/>
  </w:style>
  <w:style w:type="paragraph" w:customStyle="1" w:styleId="CD5F3ECB9F3441209BB8B2DBE840B6E7">
    <w:name w:val="CD5F3ECB9F3441209BB8B2DBE840B6E7"/>
    <w:rsid w:val="00135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AFACF-F0A9-42B7-A831-996CFCA05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5784</Characters>
  <Application>Microsoft Office Word</Application>
  <DocSecurity>0</DocSecurity>
  <Lines>120</Lines>
  <Paragraphs>54</Paragraphs>
  <ScaleCrop>false</ScaleCrop>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Thang Long Pty Ltd v CTS Sunstate Group Pty Ltd [2022] QCATA 18</dc:title>
  <dc:creator/>
  <cp:lastModifiedBy/>
  <cp:revision>1</cp:revision>
  <dcterms:created xsi:type="dcterms:W3CDTF">2022-02-11T06:59:00Z</dcterms:created>
  <dcterms:modified xsi:type="dcterms:W3CDTF">2022-02-11T06:59:00Z</dcterms:modified>
</cp:coreProperties>
</file>