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1C9C" w14:textId="77777777" w:rsidR="00A206DE" w:rsidRPr="006D20BD" w:rsidRDefault="00A206DE" w:rsidP="00A206DE">
      <w:pPr>
        <w:widowControl/>
        <w:tabs>
          <w:tab w:val="left" w:pos="1951"/>
        </w:tabs>
        <w:spacing w:beforeLines="100" w:afterLines="100" w:after="240"/>
        <w:jc w:val="left"/>
        <w:rPr>
          <w:rFonts w:cs="Arial"/>
          <w:b/>
          <w:color w:val="000000"/>
          <w:sz w:val="24"/>
          <w:lang w:val="en-US"/>
        </w:rPr>
      </w:pPr>
      <w:r w:rsidRPr="006D20BD">
        <w:rPr>
          <w:rFonts w:cs="Arial"/>
          <w:b/>
          <w:color w:val="000000"/>
          <w:sz w:val="24"/>
        </w:rPr>
        <w:t>Cini and Secretary, Department of Social Services (Social services second review) [2021] AATA 3656 (14 October 2021)</w:t>
      </w:r>
    </w:p>
    <w:p w14:paraId="2E2A52BB" w14:textId="77777777" w:rsidR="00E17137" w:rsidRPr="00BB4097" w:rsidRDefault="00E654A2" w:rsidP="009271DA">
      <w:pPr>
        <w:widowControl/>
        <w:tabs>
          <w:tab w:val="left" w:pos="1951"/>
        </w:tabs>
        <w:spacing w:beforeLines="100" w:afterLines="100" w:after="240"/>
        <w:ind w:left="1950" w:hanging="1950"/>
        <w:jc w:val="left"/>
        <w:rPr>
          <w:lang w:val="en-US"/>
        </w:rPr>
      </w:pPr>
      <w:r>
        <w:fldChar w:fldCharType="begin"/>
      </w:r>
      <w:r>
        <w:fldChar w:fldCharType="end"/>
      </w:r>
      <w:bookmarkStart w:id="0" w:name="SingleFile" w:colFirst="0" w:colLast="2"/>
      <w:r w:rsidRPr="004B6924">
        <w:t>Division</w:t>
      </w:r>
      <w:r>
        <w:t>:</w:t>
      </w:r>
      <w:r w:rsidRPr="004B6924">
        <w:tab/>
      </w:r>
      <w:r>
        <w:fldChar w:fldCharType="begin"/>
      </w:r>
      <w:r>
        <w:instrText xml:space="preserve"> DOCPROPERTY  Division </w:instrText>
      </w:r>
      <w:r>
        <w:fldChar w:fldCharType="separate"/>
      </w:r>
      <w:r w:rsidR="00C977E4">
        <w:t>GENERAL DIVISION</w:t>
      </w:r>
      <w:r>
        <w:fldChar w:fldCharType="end"/>
      </w:r>
    </w:p>
    <w:p w14:paraId="28B4A368" w14:textId="77777777" w:rsidR="00E17137" w:rsidRPr="00A9538E" w:rsidRDefault="00E654A2" w:rsidP="009271DA">
      <w:pPr>
        <w:pStyle w:val="Details"/>
        <w:widowControl/>
        <w:tabs>
          <w:tab w:val="left" w:pos="1951"/>
        </w:tabs>
        <w:spacing w:beforeLines="100" w:afterLines="100" w:after="240"/>
        <w:ind w:left="1950" w:hanging="1950"/>
        <w:contextualSpacing w:val="0"/>
        <w:jc w:val="left"/>
        <w:rPr>
          <w:lang w:val="en-US"/>
        </w:rPr>
      </w:pPr>
      <w:r w:rsidRPr="00DE0B0E">
        <w:rPr>
          <w:b w:val="0"/>
        </w:rPr>
        <w:t>File Number:</w:t>
      </w:r>
      <w:r w:rsidRPr="00DE0B0E">
        <w:rPr>
          <w:b w:val="0"/>
          <w:bCs w:val="0"/>
        </w:rPr>
        <w:tab/>
      </w:r>
      <w:r>
        <w:fldChar w:fldCharType="begin"/>
      </w:r>
      <w:r>
        <w:instrText xml:space="preserve"> DOCPROPERTY  FileNumber </w:instrText>
      </w:r>
      <w:r>
        <w:fldChar w:fldCharType="separate"/>
      </w:r>
      <w:r w:rsidR="00C977E4">
        <w:t>2021/6934</w:t>
      </w:r>
      <w:r>
        <w:fldChar w:fldCharType="end"/>
      </w:r>
    </w:p>
    <w:p w14:paraId="34ED8D98" w14:textId="77777777" w:rsidR="00E17137" w:rsidRPr="006D20BD" w:rsidRDefault="00E654A2" w:rsidP="009271DA">
      <w:pPr>
        <w:pStyle w:val="Details"/>
        <w:widowControl/>
        <w:tabs>
          <w:tab w:val="left" w:pos="1951"/>
        </w:tabs>
        <w:spacing w:beforeLines="100" w:afterLines="100" w:after="240"/>
        <w:ind w:left="1950" w:hanging="1950"/>
        <w:contextualSpacing w:val="0"/>
        <w:jc w:val="left"/>
        <w:rPr>
          <w:lang w:val="en-US"/>
        </w:rPr>
      </w:pPr>
      <w:r w:rsidRPr="00DE0B0E">
        <w:rPr>
          <w:b w:val="0"/>
        </w:rPr>
        <w:t>Re:</w:t>
      </w:r>
      <w:r w:rsidRPr="00DE0B0E">
        <w:rPr>
          <w:b w:val="0"/>
          <w:bCs w:val="0"/>
        </w:rPr>
        <w:tab/>
      </w:r>
      <w:fldSimple w:instr=" DOCPROPERTY  Applicant ">
        <w:r w:rsidR="00C977E4">
          <w:t>Angela Cini</w:t>
        </w:r>
      </w:fldSimple>
    </w:p>
    <w:p w14:paraId="185DDEA2" w14:textId="77777777" w:rsidR="00E17137" w:rsidRPr="0099661B" w:rsidRDefault="00E654A2" w:rsidP="009271DA">
      <w:pPr>
        <w:pStyle w:val="Label"/>
        <w:widowControl/>
        <w:tabs>
          <w:tab w:val="left" w:pos="1951"/>
        </w:tabs>
        <w:spacing w:beforeLines="100" w:before="240" w:afterLines="100" w:after="240"/>
        <w:ind w:left="1950" w:hanging="1950"/>
        <w:jc w:val="left"/>
        <w:rPr>
          <w:lang w:val="en-US"/>
        </w:rPr>
      </w:pPr>
      <w:r w:rsidRPr="00173896">
        <w:rPr>
          <w:sz w:val="22"/>
        </w:rPr>
        <w:tab/>
      </w:r>
      <w:r w:rsidRPr="0099661B">
        <w:t>APPLICANT</w:t>
      </w:r>
    </w:p>
    <w:p w14:paraId="64329B3B" w14:textId="77777777" w:rsidR="00E17137" w:rsidRPr="006D20BD" w:rsidRDefault="00E654A2" w:rsidP="009271DA">
      <w:pPr>
        <w:pStyle w:val="Details"/>
        <w:widowControl/>
        <w:tabs>
          <w:tab w:val="left" w:pos="1951"/>
        </w:tabs>
        <w:spacing w:beforeLines="100" w:afterLines="100" w:after="240"/>
        <w:ind w:left="1950" w:hanging="1950"/>
        <w:contextualSpacing w:val="0"/>
        <w:jc w:val="left"/>
        <w:rPr>
          <w:lang w:val="en-US"/>
        </w:rPr>
      </w:pPr>
      <w:r w:rsidRPr="00DE0B0E">
        <w:rPr>
          <w:b w:val="0"/>
        </w:rPr>
        <w:t>And</w:t>
      </w:r>
      <w:r w:rsidRPr="00DE0B0E">
        <w:rPr>
          <w:b w:val="0"/>
        </w:rPr>
        <w:tab/>
      </w:r>
      <w:r>
        <w:fldChar w:fldCharType="begin"/>
      </w:r>
      <w:r>
        <w:instrText xml:space="preserve"> DOCPROPERTY  Respondent </w:instrText>
      </w:r>
      <w:r>
        <w:fldChar w:fldCharType="separate"/>
      </w:r>
      <w:r w:rsidR="00C977E4">
        <w:t>Secretary, Department of Social Services</w:t>
      </w:r>
      <w:r>
        <w:fldChar w:fldCharType="end"/>
      </w:r>
    </w:p>
    <w:p w14:paraId="047A10FC" w14:textId="77777777" w:rsidR="00E17137" w:rsidRPr="00771CAC" w:rsidRDefault="00E654A2" w:rsidP="009271DA">
      <w:pPr>
        <w:pStyle w:val="Label"/>
        <w:widowControl/>
        <w:tabs>
          <w:tab w:val="left" w:pos="1951"/>
        </w:tabs>
        <w:spacing w:beforeLines="100" w:before="240" w:afterLines="100" w:after="240"/>
        <w:ind w:left="1950" w:hanging="1950"/>
        <w:jc w:val="left"/>
        <w:rPr>
          <w:lang w:val="en-US"/>
        </w:rPr>
      </w:pPr>
      <w:r w:rsidRPr="00173896">
        <w:rPr>
          <w:sz w:val="22"/>
        </w:rPr>
        <w:tab/>
      </w:r>
      <w:r w:rsidRPr="0099661B">
        <w:t>RESPONDENT</w:t>
      </w:r>
    </w:p>
    <w:bookmarkEnd w:id="0"/>
    <w:p w14:paraId="59EA5243" w14:textId="77777777" w:rsidR="00184EF2" w:rsidRDefault="00E654A2" w:rsidP="00184EF2">
      <w:pPr>
        <w:pStyle w:val="Heading1"/>
        <w:widowControl/>
        <w:rPr>
          <w:lang w:val="en-US" w:eastAsia="en-US"/>
        </w:rPr>
      </w:pPr>
      <w:r w:rsidRPr="00BC2D09">
        <w:rPr>
          <w:lang w:eastAsia="en-US"/>
        </w:rPr>
        <w:t>Decision</w:t>
      </w:r>
    </w:p>
    <w:p w14:paraId="0D62AF75" w14:textId="77777777" w:rsidR="00184EF2" w:rsidRPr="00D750F5" w:rsidRDefault="00184EF2" w:rsidP="00184EF2">
      <w:pPr>
        <w:pStyle w:val="NoSpacing"/>
        <w:widowControl/>
        <w:rPr>
          <w:lang w:val="en-US" w:eastAsia="en-US"/>
        </w:rPr>
      </w:pPr>
    </w:p>
    <w:p w14:paraId="1DF1CA30" w14:textId="77777777" w:rsidR="00C977E4" w:rsidRDefault="00E654A2" w:rsidP="004022B2">
      <w:pPr>
        <w:pStyle w:val="NoSpacing"/>
        <w:widowControl/>
        <w:tabs>
          <w:tab w:val="left" w:pos="2835"/>
        </w:tabs>
        <w:spacing w:beforeLines="100" w:before="240" w:afterLines="100" w:after="240"/>
        <w:ind w:left="2835" w:hanging="2835"/>
        <w:jc w:val="left"/>
        <w:rPr>
          <w:b/>
          <w:bCs/>
          <w:lang w:val="en-US" w:eastAsia="en-US"/>
        </w:rPr>
      </w:pPr>
      <w:bookmarkStart w:id="1" w:name="Decision"/>
      <w:r w:rsidRPr="00BC2D09">
        <w:rPr>
          <w:lang w:eastAsia="en-US"/>
        </w:rPr>
        <w:t>Tribunal</w:t>
      </w:r>
      <w:r>
        <w:rPr>
          <w:lang w:eastAsia="en-US"/>
        </w:rPr>
        <w:t>:</w:t>
      </w:r>
      <w:r w:rsidRPr="00BC2D09">
        <w:rPr>
          <w:lang w:eastAsia="en-US"/>
        </w:rPr>
        <w:tab/>
      </w: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 xml:space="preserve">Senior Member D. J. Morris </w:t>
      </w:r>
      <w:r>
        <w:rPr>
          <w:b/>
          <w:bCs/>
          <w:lang w:eastAsia="en-US"/>
        </w:rPr>
        <w:fldChar w:fldCharType="end"/>
      </w:r>
      <w:r>
        <w:rPr>
          <w:b/>
          <w:bCs/>
          <w:lang w:eastAsia="en-US"/>
        </w:rPr>
        <w:br/>
      </w:r>
      <w:r>
        <w:rPr>
          <w:b/>
          <w:bCs/>
          <w:lang w:eastAsia="en-US"/>
        </w:rPr>
        <w:fldChar w:fldCharType="begin"/>
      </w:r>
      <w:r>
        <w:rPr>
          <w:b/>
          <w:bCs/>
          <w:lang w:eastAsia="en-US"/>
        </w:rPr>
        <w:instrText xml:space="preserve"> DOCPROPERTY  TribunalText </w:instrText>
      </w:r>
      <w:r>
        <w:rPr>
          <w:b/>
          <w:bCs/>
          <w:lang w:eastAsia="en-US"/>
        </w:rPr>
        <w:fldChar w:fldCharType="end"/>
      </w:r>
    </w:p>
    <w:p w14:paraId="5FE64D21" w14:textId="77777777" w:rsidR="00C977E4" w:rsidRPr="00771CAC" w:rsidRDefault="00E654A2" w:rsidP="004022B2">
      <w:pPr>
        <w:pStyle w:val="NoSpacing"/>
        <w:widowControl/>
        <w:tabs>
          <w:tab w:val="left" w:pos="2835"/>
        </w:tabs>
        <w:spacing w:beforeLines="100" w:before="240" w:afterLines="100" w:after="240"/>
        <w:ind w:left="2835" w:hanging="2835"/>
        <w:jc w:val="left"/>
        <w:rPr>
          <w:b/>
          <w:bCs/>
          <w:lang w:val="en-US" w:eastAsia="en-US"/>
        </w:rPr>
      </w:pPr>
      <w:r w:rsidRPr="00BC2D09">
        <w:rPr>
          <w:lang w:eastAsia="en-US"/>
        </w:rPr>
        <w:t>Date</w:t>
      </w:r>
      <w:r>
        <w:rPr>
          <w:lang w:eastAsia="en-US"/>
        </w:rPr>
        <w:t>:</w:t>
      </w:r>
      <w:r w:rsidRPr="00BC2D09">
        <w:rPr>
          <w:lang w:eastAsia="en-US"/>
        </w:rPr>
        <w:tab/>
      </w: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14 October 2021</w:t>
      </w:r>
      <w:r>
        <w:rPr>
          <w:b/>
          <w:bCs/>
          <w:lang w:eastAsia="en-US"/>
        </w:rPr>
        <w:fldChar w:fldCharType="end"/>
      </w:r>
    </w:p>
    <w:p w14:paraId="2129E5F3" w14:textId="77777777" w:rsidR="00C977E4" w:rsidRPr="00771CAC" w:rsidRDefault="00E654A2" w:rsidP="004022B2">
      <w:pPr>
        <w:pStyle w:val="NoSpacing"/>
        <w:widowControl/>
        <w:tabs>
          <w:tab w:val="left" w:pos="2835"/>
        </w:tabs>
        <w:spacing w:beforeLines="100" w:before="240" w:afterLines="100" w:after="240"/>
        <w:ind w:left="2835" w:hanging="2835"/>
        <w:jc w:val="left"/>
        <w:rPr>
          <w:b/>
          <w:bCs/>
          <w:lang w:val="en-US" w:eastAsia="en-US"/>
        </w:rPr>
      </w:pPr>
      <w:r>
        <w:rPr>
          <w:lang w:eastAsia="en-US"/>
        </w:rPr>
        <w:t>Date of written reasons:</w:t>
      </w:r>
      <w:r w:rsidRPr="00BC2D09">
        <w:rPr>
          <w:lang w:eastAsia="en-US"/>
        </w:rPr>
        <w:tab/>
      </w:r>
      <w:r>
        <w:rPr>
          <w:b/>
          <w:bCs/>
          <w:lang w:eastAsia="en-US"/>
        </w:rPr>
        <w:fldChar w:fldCharType="begin"/>
      </w:r>
      <w:r>
        <w:rPr>
          <w:b/>
          <w:bCs/>
          <w:lang w:eastAsia="en-US"/>
        </w:rPr>
        <w:instrText xml:space="preserve"> DOCPROPERTY  DateWrittenReason </w:instrText>
      </w:r>
      <w:r>
        <w:rPr>
          <w:b/>
          <w:bCs/>
          <w:lang w:eastAsia="en-US"/>
        </w:rPr>
        <w:fldChar w:fldCharType="separate"/>
      </w:r>
      <w:r w:rsidR="00E02515">
        <w:rPr>
          <w:b/>
          <w:bCs/>
          <w:lang w:eastAsia="en-US"/>
        </w:rPr>
        <w:t>20</w:t>
      </w:r>
      <w:r>
        <w:rPr>
          <w:b/>
          <w:bCs/>
          <w:lang w:eastAsia="en-US"/>
        </w:rPr>
        <w:t xml:space="preserve"> October 2021 </w:t>
      </w:r>
      <w:r>
        <w:rPr>
          <w:b/>
          <w:bCs/>
          <w:lang w:eastAsia="en-US"/>
        </w:rPr>
        <w:fldChar w:fldCharType="end"/>
      </w:r>
    </w:p>
    <w:p w14:paraId="5F675186" w14:textId="77777777" w:rsidR="00C977E4" w:rsidRPr="00771CAC" w:rsidRDefault="00E654A2" w:rsidP="004022B2">
      <w:pPr>
        <w:pStyle w:val="NoSpacing"/>
        <w:widowControl/>
        <w:tabs>
          <w:tab w:val="left" w:pos="2835"/>
        </w:tabs>
        <w:spacing w:beforeLines="100" w:before="240" w:afterLines="100" w:after="240"/>
        <w:ind w:left="2835" w:hanging="2835"/>
        <w:jc w:val="left"/>
        <w:rPr>
          <w:b/>
          <w:bCs/>
          <w:lang w:val="en-US" w:eastAsia="en-US"/>
        </w:rPr>
      </w:pPr>
      <w:r w:rsidRPr="00BC2D09">
        <w:rPr>
          <w:lang w:eastAsia="en-US"/>
        </w:rPr>
        <w:t>Place</w:t>
      </w:r>
      <w:r>
        <w:rPr>
          <w:lang w:eastAsia="en-US"/>
        </w:rPr>
        <w:t>:</w:t>
      </w:r>
      <w:r w:rsidRPr="00BC2D09">
        <w:rPr>
          <w:lang w:eastAsia="en-US"/>
        </w:rPr>
        <w:tab/>
      </w: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Melbourne</w:t>
      </w:r>
      <w:r>
        <w:rPr>
          <w:b/>
          <w:bCs/>
          <w:lang w:eastAsia="en-US"/>
        </w:rPr>
        <w:fldChar w:fldCharType="end"/>
      </w:r>
    </w:p>
    <w:bookmarkEnd w:id="1"/>
    <w:p w14:paraId="19AF6F01" w14:textId="77777777" w:rsidR="00C977E4" w:rsidRDefault="00C977E4" w:rsidP="00880CF9">
      <w:pPr>
        <w:widowControl/>
        <w:rPr>
          <w:lang w:val="en-US"/>
        </w:rPr>
      </w:pPr>
    </w:p>
    <w:p w14:paraId="7A422D5C" w14:textId="77777777" w:rsidR="00DE67BB" w:rsidRDefault="00DE67BB" w:rsidP="00DE67BB">
      <w:pPr>
        <w:pStyle w:val="NoSpacing"/>
        <w:widowControl/>
        <w:rPr>
          <w:lang w:val="en-US" w:eastAsia="en-US"/>
        </w:rPr>
      </w:pPr>
    </w:p>
    <w:p w14:paraId="57D324DF" w14:textId="77777777" w:rsidR="00BC2D09" w:rsidRPr="00BC2D09" w:rsidRDefault="00E654A2" w:rsidP="00477F42">
      <w:pPr>
        <w:widowControl/>
        <w:rPr>
          <w:lang w:val="en-US" w:eastAsia="en-US"/>
        </w:rPr>
      </w:pPr>
      <w:bookmarkStart w:id="2" w:name="DecisionSummary"/>
      <w:r>
        <w:rPr>
          <w:lang w:eastAsia="en-US"/>
        </w:rPr>
        <w:t>Pursuant to section 29(7) of the</w:t>
      </w:r>
      <w:r>
        <w:rPr>
          <w:lang w:eastAsia="en-US"/>
        </w:rPr>
        <w:t xml:space="preserve"> </w:t>
      </w:r>
      <w:r w:rsidRPr="00477F42">
        <w:rPr>
          <w:i/>
          <w:iCs/>
          <w:lang w:eastAsia="en-US"/>
        </w:rPr>
        <w:t>Administrative Appeals Tribunal Act 1975,</w:t>
      </w:r>
      <w:r>
        <w:rPr>
          <w:lang w:eastAsia="en-US"/>
        </w:rPr>
        <w:t xml:space="preserve"> and not being satisfied that it is reasonable in all the circumstances to extend time, the Tribunal refuses to extend time in respect of the application lodged on 25 September 2021.</w:t>
      </w:r>
      <w:r w:rsidR="00C977E4">
        <w:rPr>
          <w:lang w:eastAsia="en-US"/>
        </w:rPr>
        <w:t xml:space="preserve"> </w:t>
      </w:r>
    </w:p>
    <w:bookmarkEnd w:id="2"/>
    <w:p w14:paraId="5A3A61FE" w14:textId="77777777" w:rsidR="00BC2D09" w:rsidRPr="00BC2D09" w:rsidRDefault="00E654A2" w:rsidP="001E4799">
      <w:pPr>
        <w:keepNext/>
        <w:widowControl/>
        <w:spacing w:before="960"/>
        <w:rPr>
          <w:lang w:val="en-US" w:eastAsia="en-US"/>
        </w:rPr>
      </w:pPr>
      <w:r w:rsidRPr="00BC2D09">
        <w:rPr>
          <w:lang w:eastAsia="en-US"/>
        </w:rPr>
        <w:t>........................................................................</w:t>
      </w:r>
    </w:p>
    <w:p w14:paraId="0CCE2518" w14:textId="77777777" w:rsidR="00BC2D09" w:rsidRPr="00713462" w:rsidRDefault="00E654A2" w:rsidP="003B4BBD">
      <w:pPr>
        <w:widowControl/>
        <w:rPr>
          <w:lang w:val="en-US" w:eastAsia="en-US"/>
        </w:rPr>
      </w:pPr>
      <w:r>
        <w:rPr>
          <w:lang w:eastAsia="en-US"/>
        </w:rPr>
        <w:fldChar w:fldCharType="begin"/>
      </w:r>
      <w:r>
        <w:rPr>
          <w:lang w:eastAsia="en-US"/>
        </w:rPr>
        <w:instrText xml:space="preserve"> DOCPROPERTY  TribunalSignee </w:instrText>
      </w:r>
      <w:r>
        <w:rPr>
          <w:lang w:eastAsia="en-US"/>
        </w:rPr>
        <w:fldChar w:fldCharType="separate"/>
      </w:r>
      <w:r w:rsidR="00C977E4">
        <w:rPr>
          <w:lang w:eastAsia="en-US"/>
        </w:rPr>
        <w:t xml:space="preserve">Senior Member D. J. Morris </w:t>
      </w:r>
      <w:r>
        <w:rPr>
          <w:lang w:eastAsia="en-US"/>
        </w:rPr>
        <w:fldChar w:fldCharType="end"/>
      </w:r>
    </w:p>
    <w:p w14:paraId="5B71B8B3" w14:textId="77777777" w:rsidR="00BC2D09" w:rsidRDefault="00E654A2" w:rsidP="00760AB6">
      <w:pPr>
        <w:widowControl/>
        <w:rPr>
          <w:lang w:val="en-US"/>
        </w:rPr>
      </w:pPr>
      <w:r>
        <w:br w:type="page"/>
      </w:r>
    </w:p>
    <w:p w14:paraId="34C78099" w14:textId="77777777" w:rsidR="005328A4" w:rsidRPr="00140E52" w:rsidRDefault="00E654A2" w:rsidP="004A55A2">
      <w:pPr>
        <w:pStyle w:val="CatchWords"/>
        <w:widowControl/>
        <w:rPr>
          <w:b/>
          <w:bCs/>
          <w:lang w:val="en-US" w:eastAsia="en-US"/>
        </w:rPr>
      </w:pPr>
      <w:bookmarkStart w:id="3" w:name="CatchwordsTitle"/>
      <w:bookmarkEnd w:id="3"/>
      <w:r w:rsidRPr="00140E52">
        <w:rPr>
          <w:b/>
          <w:bCs/>
          <w:lang w:eastAsia="en-US"/>
        </w:rPr>
        <w:lastRenderedPageBreak/>
        <w:t>Catchwords</w:t>
      </w:r>
    </w:p>
    <w:p w14:paraId="649D31B1" w14:textId="77777777" w:rsidR="004152C5" w:rsidRDefault="00E654A2" w:rsidP="00140E52">
      <w:pPr>
        <w:pStyle w:val="CatchWords"/>
        <w:widowControl/>
        <w:rPr>
          <w:lang w:val="en-US" w:eastAsia="en-US"/>
        </w:rPr>
      </w:pPr>
      <w:r>
        <w:rPr>
          <w:lang w:eastAsia="en-US"/>
        </w:rPr>
        <w:t xml:space="preserve">PRACTICE AND PROCEDURE </w:t>
      </w:r>
      <w:r>
        <w:rPr>
          <w:lang w:eastAsia="en-US"/>
        </w:rPr>
        <w:t>–</w:t>
      </w:r>
      <w:r>
        <w:rPr>
          <w:lang w:eastAsia="en-US"/>
        </w:rPr>
        <w:t xml:space="preserve"> where applicant requests extension of time to lodge application </w:t>
      </w:r>
      <w:r>
        <w:rPr>
          <w:lang w:eastAsia="en-US"/>
        </w:rPr>
        <w:t>–</w:t>
      </w:r>
      <w:r>
        <w:rPr>
          <w:lang w:eastAsia="en-US"/>
        </w:rPr>
        <w:t xml:space="preserve"> where substantive application seeks review of start date for disability support pension </w:t>
      </w:r>
      <w:r>
        <w:rPr>
          <w:lang w:eastAsia="en-US"/>
        </w:rPr>
        <w:t>–</w:t>
      </w:r>
      <w:r>
        <w:rPr>
          <w:lang w:eastAsia="en-US"/>
        </w:rPr>
        <w:t xml:space="preserve"> where eligibility for disability support pension is not in dispute </w:t>
      </w:r>
      <w:r>
        <w:rPr>
          <w:lang w:eastAsia="en-US"/>
        </w:rPr>
        <w:t>–</w:t>
      </w:r>
      <w:r>
        <w:rPr>
          <w:lang w:eastAsia="en-US"/>
        </w:rPr>
        <w:t xml:space="preserve"> where applicant previously req</w:t>
      </w:r>
      <w:r>
        <w:rPr>
          <w:lang w:eastAsia="en-US"/>
        </w:rPr>
        <w:t xml:space="preserve">uested extension of time </w:t>
      </w:r>
      <w:r>
        <w:rPr>
          <w:lang w:eastAsia="en-US"/>
        </w:rPr>
        <w:t>–</w:t>
      </w:r>
      <w:r>
        <w:rPr>
          <w:lang w:eastAsia="en-US"/>
        </w:rPr>
        <w:t xml:space="preserve"> where previous application to extend time granted </w:t>
      </w:r>
      <w:r>
        <w:rPr>
          <w:lang w:eastAsia="en-US"/>
        </w:rPr>
        <w:t>–</w:t>
      </w:r>
      <w:r>
        <w:rPr>
          <w:lang w:eastAsia="en-US"/>
        </w:rPr>
        <w:t xml:space="preserve"> where applicant subsequently withdrew substantive application </w:t>
      </w:r>
      <w:r>
        <w:rPr>
          <w:lang w:eastAsia="en-US"/>
        </w:rPr>
        <w:t>–</w:t>
      </w:r>
      <w:r>
        <w:rPr>
          <w:lang w:eastAsia="en-US"/>
        </w:rPr>
        <w:t xml:space="preserve"> where applicant then lodged new request for extension of time and new substantive application </w:t>
      </w:r>
      <w:r>
        <w:rPr>
          <w:lang w:eastAsia="en-US"/>
        </w:rPr>
        <w:t>–</w:t>
      </w:r>
      <w:r>
        <w:rPr>
          <w:lang w:eastAsia="en-US"/>
        </w:rPr>
        <w:t xml:space="preserve"> where period of t</w:t>
      </w:r>
      <w:r>
        <w:rPr>
          <w:lang w:eastAsia="en-US"/>
        </w:rPr>
        <w:t xml:space="preserve">ime beyond statutory 28-day period has significantly elapsed </w:t>
      </w:r>
      <w:r>
        <w:rPr>
          <w:lang w:eastAsia="en-US"/>
        </w:rPr>
        <w:t>–</w:t>
      </w:r>
      <w:r>
        <w:rPr>
          <w:lang w:eastAsia="en-US"/>
        </w:rPr>
        <w:t xml:space="preserve"> where </w:t>
      </w:r>
      <w:r w:rsidR="0097371F">
        <w:rPr>
          <w:lang w:eastAsia="en-US"/>
        </w:rPr>
        <w:t xml:space="preserve">no </w:t>
      </w:r>
      <w:r>
        <w:rPr>
          <w:lang w:eastAsia="en-US"/>
        </w:rPr>
        <w:t xml:space="preserve">substantive relief available to applicant </w:t>
      </w:r>
      <w:r>
        <w:rPr>
          <w:lang w:eastAsia="en-US"/>
        </w:rPr>
        <w:t>–</w:t>
      </w:r>
      <w:r>
        <w:rPr>
          <w:lang w:eastAsia="en-US"/>
        </w:rPr>
        <w:t xml:space="preserve"> no utility in Tribunal considering substantive application </w:t>
      </w:r>
      <w:r>
        <w:rPr>
          <w:lang w:eastAsia="en-US"/>
        </w:rPr>
        <w:t>–</w:t>
      </w:r>
      <w:r>
        <w:rPr>
          <w:lang w:eastAsia="en-US"/>
        </w:rPr>
        <w:t xml:space="preserve"> Tribunal refuses to extend time </w:t>
      </w:r>
      <w:r>
        <w:rPr>
          <w:lang w:eastAsia="en-US"/>
        </w:rPr>
        <w:t>–</w:t>
      </w:r>
      <w:r>
        <w:rPr>
          <w:lang w:eastAsia="en-US"/>
        </w:rPr>
        <w:t xml:space="preserve"> written reasons provided</w:t>
      </w:r>
      <w:r w:rsidR="00140E52">
        <w:rPr>
          <w:lang w:eastAsia="en-US"/>
        </w:rPr>
        <w:t xml:space="preserve"> </w:t>
      </w:r>
    </w:p>
    <w:p w14:paraId="7D883168" w14:textId="77777777" w:rsidR="00CF5E0E" w:rsidRPr="00BC2D09" w:rsidRDefault="00CF5E0E" w:rsidP="00CF5E0E">
      <w:pPr>
        <w:pStyle w:val="NoSpacing"/>
        <w:widowControl/>
        <w:rPr>
          <w:lang w:val="en-US" w:eastAsia="en-US"/>
        </w:rPr>
      </w:pPr>
    </w:p>
    <w:p w14:paraId="6CDC6860" w14:textId="77777777" w:rsidR="005328A4" w:rsidRPr="005328A4" w:rsidRDefault="00E654A2" w:rsidP="00E616B9">
      <w:pPr>
        <w:pStyle w:val="CatchWords"/>
        <w:widowControl/>
        <w:rPr>
          <w:b/>
          <w:bCs/>
          <w:lang w:val="en-US" w:eastAsia="en-US"/>
        </w:rPr>
      </w:pPr>
      <w:bookmarkStart w:id="4" w:name="LegislationTitle"/>
      <w:bookmarkEnd w:id="4"/>
      <w:r w:rsidRPr="005328A4">
        <w:rPr>
          <w:b/>
          <w:bCs/>
          <w:lang w:eastAsia="en-US"/>
        </w:rPr>
        <w:t>Legislation</w:t>
      </w:r>
    </w:p>
    <w:p w14:paraId="5E9D25FB" w14:textId="77777777" w:rsidR="005328A4" w:rsidRDefault="00E654A2" w:rsidP="00E616B9">
      <w:pPr>
        <w:pStyle w:val="CatchWords"/>
        <w:widowControl/>
        <w:rPr>
          <w:lang w:val="en-US" w:eastAsia="en-US"/>
        </w:rPr>
      </w:pPr>
      <w:r w:rsidRPr="005328A4">
        <w:rPr>
          <w:rFonts w:cs="Arial"/>
          <w:iCs/>
          <w:szCs w:val="22"/>
        </w:rPr>
        <w:t>Administrative Appeals Tribunal Act 1975</w:t>
      </w:r>
      <w:r>
        <w:rPr>
          <w:rFonts w:cs="Arial"/>
          <w:iCs/>
          <w:szCs w:val="22"/>
        </w:rPr>
        <w:t xml:space="preserve"> (Cth) </w:t>
      </w:r>
      <w:r w:rsidR="00167157">
        <w:rPr>
          <w:rFonts w:cs="Arial"/>
          <w:iCs/>
          <w:szCs w:val="22"/>
        </w:rPr>
        <w:t>s</w:t>
      </w:r>
      <w:r>
        <w:rPr>
          <w:rFonts w:cs="Arial"/>
          <w:iCs/>
          <w:szCs w:val="22"/>
        </w:rPr>
        <w:t>s 29(7)</w:t>
      </w:r>
      <w:r w:rsidR="00167157">
        <w:rPr>
          <w:rFonts w:cs="Arial"/>
          <w:iCs/>
          <w:szCs w:val="22"/>
        </w:rPr>
        <w:t>, 33A</w:t>
      </w:r>
      <w:r w:rsidR="003B4501">
        <w:rPr>
          <w:rFonts w:cs="Arial"/>
          <w:iCs/>
          <w:szCs w:val="22"/>
        </w:rPr>
        <w:t>, 43</w:t>
      </w:r>
    </w:p>
    <w:p w14:paraId="4DC6F8CE" w14:textId="77777777" w:rsidR="005F2E99" w:rsidRPr="00167157" w:rsidRDefault="00E654A2" w:rsidP="00167157">
      <w:pPr>
        <w:pStyle w:val="CatchWords"/>
        <w:widowControl/>
        <w:rPr>
          <w:rFonts w:cs="Arial"/>
          <w:iCs/>
          <w:szCs w:val="22"/>
          <w:lang w:val="en-US"/>
        </w:rPr>
      </w:pPr>
      <w:r w:rsidRPr="005328A4">
        <w:rPr>
          <w:rFonts w:cs="Arial"/>
          <w:iCs/>
          <w:szCs w:val="22"/>
        </w:rPr>
        <w:t>Social Security Administration Act 1999</w:t>
      </w:r>
      <w:r>
        <w:rPr>
          <w:rFonts w:cs="Arial"/>
          <w:iCs/>
          <w:szCs w:val="22"/>
        </w:rPr>
        <w:t xml:space="preserve"> (Cth) s 13</w:t>
      </w:r>
    </w:p>
    <w:p w14:paraId="6543E2E1" w14:textId="77777777" w:rsidR="00B87FB8" w:rsidRPr="00B87FB8" w:rsidRDefault="00E654A2" w:rsidP="00B87FB8">
      <w:pPr>
        <w:pStyle w:val="Heading3"/>
        <w:widowControl/>
        <w:spacing w:after="240"/>
        <w:rPr>
          <w:lang w:val="en-US" w:eastAsia="en-US"/>
        </w:rPr>
      </w:pPr>
      <w:bookmarkStart w:id="5" w:name="SecondaryMaterialsTitle"/>
      <w:bookmarkStart w:id="6" w:name="CasesTitle"/>
      <w:bookmarkEnd w:id="5"/>
      <w:bookmarkEnd w:id="6"/>
      <w:r>
        <w:rPr>
          <w:lang w:eastAsia="en-US"/>
        </w:rPr>
        <w:t>Cases</w:t>
      </w:r>
    </w:p>
    <w:p w14:paraId="7863CF17" w14:textId="77777777" w:rsidR="00B87FB8" w:rsidRDefault="00E654A2" w:rsidP="00B87FB8">
      <w:pPr>
        <w:pStyle w:val="ListNumber"/>
        <w:widowControl/>
        <w:numPr>
          <w:ilvl w:val="0"/>
          <w:numId w:val="0"/>
        </w:numPr>
        <w:tabs>
          <w:tab w:val="clear" w:pos="0"/>
        </w:tabs>
        <w:spacing w:before="0"/>
        <w:rPr>
          <w:i/>
          <w:iCs/>
          <w:lang w:val="en-US" w:eastAsia="en-US"/>
        </w:rPr>
      </w:pPr>
      <w:r>
        <w:rPr>
          <w:i/>
          <w:iCs/>
          <w:lang w:eastAsia="en-US"/>
        </w:rPr>
        <w:t>Mehta and Secretary of State for the Home Department (1975) 2 All ER 104</w:t>
      </w:r>
    </w:p>
    <w:p w14:paraId="280CA124" w14:textId="77777777" w:rsidR="00167157" w:rsidRPr="00167157" w:rsidRDefault="00E654A2" w:rsidP="00B87FB8">
      <w:pPr>
        <w:pStyle w:val="ListNumber"/>
        <w:widowControl/>
        <w:numPr>
          <w:ilvl w:val="0"/>
          <w:numId w:val="0"/>
        </w:numPr>
        <w:tabs>
          <w:tab w:val="clear" w:pos="0"/>
        </w:tabs>
        <w:spacing w:before="0"/>
        <w:rPr>
          <w:i/>
          <w:iCs/>
          <w:lang w:val="en-US" w:eastAsia="en-US"/>
        </w:rPr>
      </w:pPr>
      <w:r w:rsidRPr="00167157">
        <w:rPr>
          <w:i/>
          <w:iCs/>
          <w:lang w:eastAsia="en-US"/>
        </w:rPr>
        <w:t>Negri v Secretary, Department of Social Services</w:t>
      </w:r>
      <w:r>
        <w:rPr>
          <w:i/>
          <w:iCs/>
          <w:lang w:eastAsia="en-US"/>
        </w:rPr>
        <w:t xml:space="preserve"> (2016) </w:t>
      </w:r>
      <w:r w:rsidRPr="00167157">
        <w:rPr>
          <w:lang w:eastAsia="en-US"/>
        </w:rPr>
        <w:t>70 AAR 103</w:t>
      </w:r>
    </w:p>
    <w:p w14:paraId="078E9841" w14:textId="77777777" w:rsidR="009E2C76" w:rsidRDefault="00E654A2" w:rsidP="00CA099E">
      <w:pPr>
        <w:pStyle w:val="Heading1"/>
        <w:widowControl/>
        <w:rPr>
          <w:lang w:val="en-US" w:eastAsia="en-US"/>
        </w:rPr>
      </w:pPr>
      <w:r w:rsidRPr="009E2C76">
        <w:rPr>
          <w:lang w:eastAsia="en-US"/>
        </w:rPr>
        <w:t>REASONS FOR DECISION</w:t>
      </w:r>
    </w:p>
    <w:p w14:paraId="0473B59B" w14:textId="77777777" w:rsidR="00CA099E" w:rsidRDefault="00CA099E" w:rsidP="00D750F5">
      <w:pPr>
        <w:pStyle w:val="NoSpacing"/>
        <w:widowControl/>
        <w:rPr>
          <w:lang w:val="en-US" w:eastAsia="en-US"/>
        </w:rPr>
      </w:pPr>
    </w:p>
    <w:p w14:paraId="660AB36E" w14:textId="77777777" w:rsidR="00D50614" w:rsidRDefault="00E654A2" w:rsidP="00D750F5">
      <w:pPr>
        <w:pStyle w:val="NoSpacing"/>
        <w:widowControl/>
        <w:rPr>
          <w:b/>
          <w:lang w:val="en-US" w:eastAsia="en-US"/>
        </w:rPr>
      </w:pPr>
      <w:r>
        <w:rPr>
          <w:b/>
          <w:lang w:eastAsia="en-US"/>
        </w:rPr>
        <w:fldChar w:fldCharType="begin"/>
      </w:r>
      <w:r>
        <w:rPr>
          <w:b/>
          <w:lang w:eastAsia="en-US"/>
        </w:rPr>
        <w:instrText xml:space="preserve"> DOCPROPERTY  TribunalSignee </w:instrText>
      </w:r>
      <w:r>
        <w:rPr>
          <w:b/>
          <w:lang w:eastAsia="en-US"/>
        </w:rPr>
        <w:fldChar w:fldCharType="separate"/>
      </w:r>
      <w:r w:rsidR="00C977E4">
        <w:rPr>
          <w:b/>
          <w:lang w:eastAsia="en-US"/>
        </w:rPr>
        <w:t xml:space="preserve">Senior Member D. J. Morris </w:t>
      </w:r>
      <w:r>
        <w:rPr>
          <w:b/>
          <w:lang w:eastAsia="en-US"/>
        </w:rPr>
        <w:fldChar w:fldCharType="end"/>
      </w:r>
    </w:p>
    <w:p w14:paraId="43925EAC" w14:textId="77777777" w:rsidR="00A74195" w:rsidRDefault="00E654A2" w:rsidP="00D750F5">
      <w:pPr>
        <w:pStyle w:val="NoSpacing"/>
        <w:widowControl/>
        <w:rPr>
          <w:b/>
          <w:lang w:val="en-US"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14:paraId="6146D2E9" w14:textId="77777777" w:rsidR="00A74195" w:rsidRDefault="00A74195" w:rsidP="00A74195">
      <w:pPr>
        <w:pStyle w:val="NoSpacing"/>
        <w:widowControl/>
        <w:rPr>
          <w:lang w:val="en-US" w:eastAsia="en-US"/>
        </w:rPr>
      </w:pPr>
    </w:p>
    <w:p w14:paraId="75161A18" w14:textId="77777777" w:rsidR="00A74195" w:rsidRDefault="00E654A2" w:rsidP="00D750F5">
      <w:pPr>
        <w:pStyle w:val="NoSpacing"/>
        <w:widowControl/>
        <w:rPr>
          <w:b/>
          <w:lang w:val="en-US"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9061A1">
        <w:rPr>
          <w:b/>
          <w:lang w:eastAsia="en-US"/>
        </w:rPr>
        <w:t>20</w:t>
      </w:r>
      <w:r w:rsidR="00C977E4">
        <w:rPr>
          <w:b/>
          <w:lang w:eastAsia="en-US"/>
        </w:rPr>
        <w:t xml:space="preserve"> October 2021 </w:t>
      </w:r>
      <w:r w:rsidRPr="00D50614">
        <w:rPr>
          <w:b/>
          <w:lang w:eastAsia="en-US"/>
        </w:rPr>
        <w:fldChar w:fldCharType="end"/>
      </w:r>
    </w:p>
    <w:p w14:paraId="6BF408AC" w14:textId="77777777" w:rsidR="009A6063" w:rsidRDefault="009A6063" w:rsidP="00D750F5">
      <w:pPr>
        <w:pStyle w:val="NoSpacing"/>
        <w:widowControl/>
        <w:rPr>
          <w:b/>
          <w:lang w:val="en-US" w:eastAsia="en-US"/>
        </w:rPr>
      </w:pPr>
    </w:p>
    <w:p w14:paraId="0BFD955D" w14:textId="77777777" w:rsidR="009A6063" w:rsidRPr="00167157" w:rsidRDefault="00E654A2" w:rsidP="00B87FB8">
      <w:pPr>
        <w:pStyle w:val="Heading1"/>
        <w:widowControl/>
        <w:rPr>
          <w:lang w:val="en-US"/>
        </w:rPr>
      </w:pPr>
      <w:bookmarkStart w:id="7" w:name="Start"/>
      <w:bookmarkEnd w:id="7"/>
      <w:r w:rsidRPr="00167157">
        <w:t>P</w:t>
      </w:r>
      <w:r w:rsidR="00D660A1">
        <w:t>reliminary</w:t>
      </w:r>
    </w:p>
    <w:p w14:paraId="1A57D366" w14:textId="77777777" w:rsidR="0097371F" w:rsidRDefault="00E654A2" w:rsidP="00167157">
      <w:pPr>
        <w:pStyle w:val="ListNumber"/>
        <w:widowControl/>
        <w:numPr>
          <w:ilvl w:val="0"/>
          <w:numId w:val="13"/>
        </w:numPr>
        <w:tabs>
          <w:tab w:val="left" w:pos="0"/>
        </w:tabs>
        <w:ind w:left="0"/>
        <w:rPr>
          <w:lang w:val="en-US"/>
        </w:rPr>
      </w:pPr>
      <w:r>
        <w:t xml:space="preserve">In </w:t>
      </w:r>
      <w:r w:rsidRPr="0097371F">
        <w:rPr>
          <w:i/>
          <w:iCs/>
        </w:rPr>
        <w:t>Mehta and Secretary of State for the Home Department</w:t>
      </w:r>
      <w:r>
        <w:t xml:space="preserve"> (1975) 2 All ER 1084, Lord Denning MR said, at [1088]:</w:t>
      </w:r>
    </w:p>
    <w:p w14:paraId="3655B5E4" w14:textId="77777777" w:rsidR="0097371F" w:rsidRPr="0097371F" w:rsidRDefault="00E654A2" w:rsidP="00B87FB8">
      <w:pPr>
        <w:pStyle w:val="Quote"/>
        <w:widowControl/>
        <w:rPr>
          <w:lang w:val="en-US"/>
        </w:rPr>
      </w:pPr>
      <w:r w:rsidRPr="0097371F">
        <w:t>We often like to know the outline of the case.  If it appears to be a case which is strong on its merits and which ought to be</w:t>
      </w:r>
      <w:r>
        <w:t xml:space="preserve"> </w:t>
      </w:r>
      <w:r w:rsidRPr="0097371F">
        <w:t>heard, in fairness to the parties, we may think it is proper that the case should be allowed to proceed, and we extend time accor</w:t>
      </w:r>
      <w:r w:rsidRPr="0097371F">
        <w:t>dingly.  If it appears to be a flimsy case and weak on its merits, we may not exten</w:t>
      </w:r>
      <w:r w:rsidR="00E40360">
        <w:t>d</w:t>
      </w:r>
      <w:r w:rsidRPr="0097371F">
        <w:t xml:space="preserve"> the time.  We never go into much detail on the merits, but we do like to know something about the case before de</w:t>
      </w:r>
      <w:r>
        <w:t>ciding</w:t>
      </w:r>
      <w:r w:rsidRPr="0097371F">
        <w:t xml:space="preserve"> whether or not to extend time.</w:t>
      </w:r>
    </w:p>
    <w:p w14:paraId="112FAA65" w14:textId="77777777" w:rsidR="0097371F" w:rsidRPr="0097371F" w:rsidRDefault="00E654A2" w:rsidP="00B87FB8">
      <w:pPr>
        <w:pStyle w:val="Heading1"/>
        <w:widowControl/>
        <w:rPr>
          <w:lang w:val="en-US"/>
        </w:rPr>
      </w:pPr>
      <w:r w:rsidRPr="0097371F">
        <w:lastRenderedPageBreak/>
        <w:t>The interlocutory hearing</w:t>
      </w:r>
    </w:p>
    <w:p w14:paraId="6CA8B1DD" w14:textId="77777777" w:rsidR="00167157" w:rsidRDefault="00E654A2" w:rsidP="00167157">
      <w:pPr>
        <w:pStyle w:val="ListNumber"/>
        <w:widowControl/>
        <w:numPr>
          <w:ilvl w:val="0"/>
          <w:numId w:val="13"/>
        </w:numPr>
        <w:tabs>
          <w:tab w:val="left" w:pos="0"/>
        </w:tabs>
        <w:ind w:left="0"/>
        <w:rPr>
          <w:lang w:val="en-US"/>
        </w:rPr>
      </w:pPr>
      <w:r>
        <w:t>On 14 October 2021</w:t>
      </w:r>
      <w:r w:rsidR="00B87FB8">
        <w:t>,</w:t>
      </w:r>
      <w:r>
        <w:t xml:space="preserve"> the Tribunal held an interlocutory hearing by telephone, as permitted under section 33A of the </w:t>
      </w:r>
      <w:r w:rsidRPr="00167157">
        <w:rPr>
          <w:i/>
          <w:iCs/>
        </w:rPr>
        <w:t>Administrative Appeals Tribunal Act 1975</w:t>
      </w:r>
      <w:r>
        <w:t xml:space="preserve"> (</w:t>
      </w:r>
      <w:r>
        <w:t>‘</w:t>
      </w:r>
      <w:r>
        <w:t>the AAT Act</w:t>
      </w:r>
      <w:r>
        <w:t>’</w:t>
      </w:r>
      <w:r>
        <w:t>) to consider a request by the Applicant, Ms Angela Cini,</w:t>
      </w:r>
      <w:r>
        <w:t xml:space="preserve"> that time be extended for her to lodge an application for the Tribunal to review a decision dated 15 July 2019 </w:t>
      </w:r>
      <w:r w:rsidR="003B4501">
        <w:t>of</w:t>
      </w:r>
      <w:r>
        <w:t xml:space="preserve"> Member Moreland in the Social Services and Child Support Division of the Tribunal. The Member had affirmed a decision that Ms Cini should be </w:t>
      </w:r>
      <w:r>
        <w:t>paid Disability Support Pension (</w:t>
      </w:r>
      <w:r>
        <w:t>‘</w:t>
      </w:r>
      <w:r>
        <w:t>DSP</w:t>
      </w:r>
      <w:r>
        <w:t>’</w:t>
      </w:r>
      <w:r>
        <w:t xml:space="preserve">) from 29 June 2017 but not an earlier date. This will be called the </w:t>
      </w:r>
      <w:r>
        <w:t>‘</w:t>
      </w:r>
      <w:r>
        <w:t>July 2019 decision</w:t>
      </w:r>
      <w:r>
        <w:t>’</w:t>
      </w:r>
      <w:r>
        <w:t>.</w:t>
      </w:r>
    </w:p>
    <w:p w14:paraId="1EBC6EF0" w14:textId="77777777" w:rsidR="00167157" w:rsidRDefault="00E654A2" w:rsidP="00167157">
      <w:pPr>
        <w:pStyle w:val="ListNumber"/>
        <w:widowControl/>
        <w:numPr>
          <w:ilvl w:val="0"/>
          <w:numId w:val="13"/>
        </w:numPr>
        <w:tabs>
          <w:tab w:val="left" w:pos="0"/>
        </w:tabs>
        <w:ind w:left="0"/>
        <w:rPr>
          <w:lang w:val="en-US"/>
        </w:rPr>
      </w:pPr>
      <w:r>
        <w:t xml:space="preserve">At the interlocutory hearing, </w:t>
      </w:r>
      <w:r w:rsidR="00167157">
        <w:t>Ms Cini spoke for herself and made submissions. Mr Brian Sparkes represented the Respondent. The Tribunal had regard to the reasons Ms Cini included in her request for extension of time and for the written submissions from the Respondent opposing the extension of time.</w:t>
      </w:r>
    </w:p>
    <w:p w14:paraId="3DF8A635" w14:textId="77777777" w:rsidR="00167157" w:rsidRDefault="00E654A2" w:rsidP="00167157">
      <w:pPr>
        <w:pStyle w:val="ListNumber"/>
        <w:widowControl/>
        <w:numPr>
          <w:ilvl w:val="0"/>
          <w:numId w:val="13"/>
        </w:numPr>
        <w:tabs>
          <w:tab w:val="left" w:pos="0"/>
        </w:tabs>
        <w:ind w:left="0"/>
        <w:rPr>
          <w:lang w:val="en-US"/>
        </w:rPr>
      </w:pPr>
      <w:r>
        <w:t>The Tribunal made an oral decision and subsequently provided a written decisi</w:t>
      </w:r>
      <w:r>
        <w:t xml:space="preserve">on in short form to the parties. In the interests of providing a fuller explanation of the decision, these written reasons are now provided to </w:t>
      </w:r>
      <w:r w:rsidR="005D0FEB">
        <w:t xml:space="preserve">the </w:t>
      </w:r>
      <w:r>
        <w:t>parties</w:t>
      </w:r>
      <w:r w:rsidR="003B4501">
        <w:t xml:space="preserve"> under section 43(2) of the AAT Act</w:t>
      </w:r>
      <w:r>
        <w:t>.</w:t>
      </w:r>
    </w:p>
    <w:p w14:paraId="070D21DD" w14:textId="77777777" w:rsidR="0097371F" w:rsidRDefault="00E654A2" w:rsidP="0097371F">
      <w:pPr>
        <w:pStyle w:val="Heading2"/>
        <w:widowControl/>
        <w:rPr>
          <w:lang w:val="en-US"/>
        </w:rPr>
      </w:pPr>
      <w:r>
        <w:t>The written reasons</w:t>
      </w:r>
    </w:p>
    <w:p w14:paraId="1DD8D043" w14:textId="77777777" w:rsidR="00167157" w:rsidRDefault="00E654A2" w:rsidP="00167157">
      <w:pPr>
        <w:pStyle w:val="ListNumber"/>
        <w:widowControl/>
        <w:numPr>
          <w:ilvl w:val="0"/>
          <w:numId w:val="13"/>
        </w:numPr>
        <w:tabs>
          <w:tab w:val="left" w:pos="0"/>
        </w:tabs>
        <w:ind w:left="0"/>
        <w:rPr>
          <w:lang w:val="en-US"/>
        </w:rPr>
      </w:pPr>
      <w:r>
        <w:t xml:space="preserve">In </w:t>
      </w:r>
      <w:r w:rsidRPr="00167157">
        <w:rPr>
          <w:i/>
        </w:rPr>
        <w:t>Negri v Secretary, Department of Social</w:t>
      </w:r>
      <w:r w:rsidRPr="00167157">
        <w:rPr>
          <w:i/>
        </w:rPr>
        <w:t xml:space="preserve"> Services </w:t>
      </w:r>
      <w:r>
        <w:t xml:space="preserve">(2016) 70 AAR 103 </w:t>
      </w:r>
      <w:r w:rsidRPr="00167157">
        <w:rPr>
          <w:iCs/>
        </w:rPr>
        <w:t>(</w:t>
      </w:r>
      <w:r w:rsidRPr="00167157">
        <w:rPr>
          <w:iCs/>
        </w:rPr>
        <w:t>‘</w:t>
      </w:r>
      <w:r w:rsidRPr="00167157">
        <w:rPr>
          <w:i/>
        </w:rPr>
        <w:t>Negri</w:t>
      </w:r>
      <w:r w:rsidRPr="00167157">
        <w:rPr>
          <w:i/>
        </w:rPr>
        <w:t>’</w:t>
      </w:r>
      <w:r w:rsidRPr="00167157">
        <w:rPr>
          <w:iCs/>
        </w:rPr>
        <w:t>)</w:t>
      </w:r>
      <w:r>
        <w:t xml:space="preserve">, Bromberg J considered a matter before the Tribunal where an oral decision had been made and a statement of written reasons had been subsequently supplied. In considering the extent to which the Tribunal could edit or </w:t>
      </w:r>
      <w:r>
        <w:t>elaborate its oral reasons when producing written reasons, His Honour said at [27]:</w:t>
      </w:r>
    </w:p>
    <w:p w14:paraId="21BA5DED" w14:textId="77777777" w:rsidR="00167157" w:rsidRDefault="00E654A2" w:rsidP="00B87FB8">
      <w:pPr>
        <w:pStyle w:val="Quote"/>
        <w:widowControl/>
        <w:rPr>
          <w:lang w:val="en-US"/>
        </w:rPr>
      </w:pPr>
      <w:r>
        <w:t>…</w:t>
      </w:r>
      <w:r>
        <w:t xml:space="preserve"> as long as the reasoning remains consistent, there can be no objection to the provision of a more-elaborate exposition of the same reasoning that was orally explained. Wh</w:t>
      </w:r>
      <w:r>
        <w:t>at is not permissible is altered or new reasoning. The Tribunal is not permitted to substantially divert from the reasoning upon which its decision was made, but is permitted to explain that reasoning differently and, in doing so, is required to address th</w:t>
      </w:r>
      <w:r>
        <w:t>e matters specified in s 43(2B).</w:t>
      </w:r>
    </w:p>
    <w:p w14:paraId="05B220CC" w14:textId="77777777" w:rsidR="00167157" w:rsidRDefault="00E654A2" w:rsidP="00167157">
      <w:pPr>
        <w:pStyle w:val="ListNumber"/>
        <w:widowControl/>
        <w:numPr>
          <w:ilvl w:val="0"/>
          <w:numId w:val="13"/>
        </w:numPr>
        <w:tabs>
          <w:tab w:val="left" w:pos="0"/>
        </w:tabs>
        <w:ind w:left="0"/>
        <w:rPr>
          <w:lang w:val="en-US"/>
        </w:rPr>
      </w:pPr>
      <w:r>
        <w:t xml:space="preserve">In preparing the written reasons which follow, the Tribunal is satisfied that they reflect the oral reasons given on </w:t>
      </w:r>
      <w:r w:rsidR="005D0FEB">
        <w:t>14 October</w:t>
      </w:r>
      <w:r>
        <w:t xml:space="preserve"> 2021, consistent with the approach suggested in </w:t>
      </w:r>
      <w:r w:rsidRPr="00167157">
        <w:rPr>
          <w:i/>
        </w:rPr>
        <w:t>Negri</w:t>
      </w:r>
      <w:r>
        <w:t>. New reasoning for the decision has no</w:t>
      </w:r>
      <w:r>
        <w:t xml:space="preserve">t been introduced, but this written statement is a fuller explanation of the reasons given orally. </w:t>
      </w:r>
    </w:p>
    <w:p w14:paraId="1DA0E177" w14:textId="77777777" w:rsidR="009A6063" w:rsidRPr="00835198" w:rsidRDefault="00E654A2" w:rsidP="007221CA">
      <w:pPr>
        <w:pStyle w:val="Heading2"/>
        <w:widowControl/>
        <w:rPr>
          <w:lang w:val="en-US"/>
        </w:rPr>
      </w:pPr>
      <w:r>
        <w:lastRenderedPageBreak/>
        <w:t>The c</w:t>
      </w:r>
      <w:r w:rsidR="00835198" w:rsidRPr="00835198">
        <w:t>laim for DSP</w:t>
      </w:r>
    </w:p>
    <w:p w14:paraId="3FF66447" w14:textId="77777777" w:rsidR="00835198" w:rsidRDefault="00E654A2" w:rsidP="005328A4">
      <w:pPr>
        <w:pStyle w:val="ListNumber"/>
        <w:widowControl/>
        <w:numPr>
          <w:ilvl w:val="0"/>
          <w:numId w:val="13"/>
        </w:numPr>
        <w:tabs>
          <w:tab w:val="left" w:pos="0"/>
        </w:tabs>
        <w:ind w:left="0"/>
        <w:rPr>
          <w:lang w:val="en-US"/>
        </w:rPr>
      </w:pPr>
      <w:r>
        <w:t>Ms Cini was granted Newstart Allowance from 11 April 2016. On 29 June 2017</w:t>
      </w:r>
      <w:r w:rsidR="00B87FB8">
        <w:t>,</w:t>
      </w:r>
      <w:r>
        <w:t xml:space="preserve"> she contacted the Department of Human Services (now called </w:t>
      </w:r>
      <w:r>
        <w:t>Services Australia) about claiming DSP. On 7 July 2017</w:t>
      </w:r>
      <w:r w:rsidR="00B87FB8">
        <w:t>,</w:t>
      </w:r>
      <w:r>
        <w:t xml:space="preserve"> Ms Cini followed up this contact by lodging a written claim for DSP.</w:t>
      </w:r>
    </w:p>
    <w:p w14:paraId="6A71CDA9" w14:textId="77777777" w:rsidR="00835198" w:rsidRDefault="00E654A2" w:rsidP="005328A4">
      <w:pPr>
        <w:pStyle w:val="ListNumber"/>
        <w:widowControl/>
        <w:numPr>
          <w:ilvl w:val="0"/>
          <w:numId w:val="13"/>
        </w:numPr>
        <w:tabs>
          <w:tab w:val="left" w:pos="0"/>
        </w:tabs>
        <w:ind w:left="0"/>
        <w:rPr>
          <w:lang w:val="en-US"/>
        </w:rPr>
      </w:pPr>
      <w:r>
        <w:t>On 25 January 2018</w:t>
      </w:r>
      <w:r w:rsidR="00B87FB8">
        <w:t>,</w:t>
      </w:r>
      <w:r>
        <w:t xml:space="preserve"> the Department rejected Ms Cini</w:t>
      </w:r>
      <w:r>
        <w:t>’</w:t>
      </w:r>
      <w:r>
        <w:t>s claim. Ms Cini sought an internal review of this decision.</w:t>
      </w:r>
    </w:p>
    <w:p w14:paraId="2AEBAC61" w14:textId="77777777" w:rsidR="00835198" w:rsidRDefault="00E654A2" w:rsidP="005328A4">
      <w:pPr>
        <w:pStyle w:val="ListNumber"/>
        <w:widowControl/>
        <w:numPr>
          <w:ilvl w:val="0"/>
          <w:numId w:val="13"/>
        </w:numPr>
        <w:tabs>
          <w:tab w:val="left" w:pos="0"/>
        </w:tabs>
        <w:ind w:left="0"/>
        <w:rPr>
          <w:lang w:val="en-US"/>
        </w:rPr>
      </w:pPr>
      <w:r>
        <w:t>On 28 August</w:t>
      </w:r>
      <w:r>
        <w:t xml:space="preserve"> 2018</w:t>
      </w:r>
      <w:r w:rsidR="00B87FB8">
        <w:t>,</w:t>
      </w:r>
      <w:r>
        <w:t xml:space="preserve"> the Department wrote to Ms Cini saying that the decision to reject her claim for DSP was incorrect and that she would be paid DSP from 29 June 2017.</w:t>
      </w:r>
    </w:p>
    <w:p w14:paraId="2E40D2DE" w14:textId="77777777" w:rsidR="00835198" w:rsidRDefault="00E654A2" w:rsidP="005328A4">
      <w:pPr>
        <w:pStyle w:val="ListNumber"/>
        <w:widowControl/>
        <w:numPr>
          <w:ilvl w:val="0"/>
          <w:numId w:val="13"/>
        </w:numPr>
        <w:tabs>
          <w:tab w:val="left" w:pos="0"/>
        </w:tabs>
        <w:ind w:left="0"/>
        <w:rPr>
          <w:lang w:val="en-US"/>
        </w:rPr>
      </w:pPr>
      <w:r>
        <w:t xml:space="preserve">Ms Cini was in receipt of Newstart Allowance and said during her oral submissions that she knew </w:t>
      </w:r>
      <w:r>
        <w:t>that when she had been granted DSP as backdated, the payments would be reduced by the amount of Newstart Allowance she had received during the period.</w:t>
      </w:r>
    </w:p>
    <w:p w14:paraId="07E64905" w14:textId="77777777" w:rsidR="00F62BE4" w:rsidRDefault="00E654A2" w:rsidP="00F62BE4">
      <w:pPr>
        <w:pStyle w:val="ListNumber"/>
        <w:widowControl/>
        <w:numPr>
          <w:ilvl w:val="0"/>
          <w:numId w:val="13"/>
        </w:numPr>
        <w:tabs>
          <w:tab w:val="left" w:pos="0"/>
        </w:tabs>
        <w:ind w:left="0"/>
        <w:rPr>
          <w:lang w:val="en-US"/>
        </w:rPr>
      </w:pPr>
      <w:r>
        <w:t>An Authorised Review Officer (</w:t>
      </w:r>
      <w:r w:rsidR="00B87FB8">
        <w:t>‘</w:t>
      </w:r>
      <w:r>
        <w:t>ARO</w:t>
      </w:r>
      <w:r w:rsidR="00B87FB8">
        <w:t>’</w:t>
      </w:r>
      <w:r>
        <w:t>) of the Department found that the DSP payable to Ms Cini for the period from 29 June 2017 to 22 August 2018 was $29,267.62. The amount of Newstart Allowance the Applicant had received in the same period was $18,364.22. Ms Cini was therefore to be paid $10</w:t>
      </w:r>
      <w:r>
        <w:t xml:space="preserve">,903.41. This amount was paid in two tranches: $8,462.65 was paid on 31 August 2018 and $2,420.76 was paid on 3 September 2018. The ARO found that no arrears were due. </w:t>
      </w:r>
    </w:p>
    <w:p w14:paraId="288C0B67" w14:textId="77777777" w:rsidR="00F62BE4" w:rsidRDefault="00E654A2" w:rsidP="007221CA">
      <w:pPr>
        <w:pStyle w:val="Heading2"/>
        <w:widowControl/>
        <w:rPr>
          <w:lang w:val="en-US"/>
        </w:rPr>
      </w:pPr>
      <w:r>
        <w:t>The law</w:t>
      </w:r>
      <w:r w:rsidR="007221CA">
        <w:t xml:space="preserve"> relating to a ‘deemed’ claim</w:t>
      </w:r>
    </w:p>
    <w:p w14:paraId="1F9E25F1" w14:textId="77777777" w:rsidR="00F62BE4" w:rsidRDefault="00E654A2" w:rsidP="00F62BE4">
      <w:pPr>
        <w:pStyle w:val="ListNumber"/>
        <w:widowControl/>
        <w:numPr>
          <w:ilvl w:val="0"/>
          <w:numId w:val="13"/>
        </w:numPr>
        <w:tabs>
          <w:tab w:val="left" w:pos="0"/>
        </w:tabs>
        <w:ind w:left="0"/>
        <w:rPr>
          <w:lang w:val="en-US"/>
        </w:rPr>
      </w:pPr>
      <w:r>
        <w:t xml:space="preserve">Section 13 of the </w:t>
      </w:r>
      <w:r w:rsidRPr="00840681">
        <w:rPr>
          <w:i/>
          <w:iCs/>
        </w:rPr>
        <w:t>Social Security Administrati</w:t>
      </w:r>
      <w:r w:rsidRPr="00840681">
        <w:rPr>
          <w:i/>
          <w:iCs/>
        </w:rPr>
        <w:t>on Act 1999</w:t>
      </w:r>
      <w:r>
        <w:t xml:space="preserve"> (</w:t>
      </w:r>
      <w:r>
        <w:t>‘</w:t>
      </w:r>
      <w:r>
        <w:t>the Administration Act</w:t>
      </w:r>
      <w:r>
        <w:t>’</w:t>
      </w:r>
      <w:r>
        <w:t xml:space="preserve">) allows a claim to be </w:t>
      </w:r>
      <w:r w:rsidRPr="00B87FB8">
        <w:rPr>
          <w:i/>
          <w:iCs/>
        </w:rPr>
        <w:t>‘</w:t>
      </w:r>
      <w:r w:rsidRPr="00B87FB8">
        <w:rPr>
          <w:i/>
          <w:iCs/>
        </w:rPr>
        <w:t>deemed</w:t>
      </w:r>
      <w:r w:rsidRPr="00B87FB8">
        <w:rPr>
          <w:i/>
          <w:iCs/>
        </w:rPr>
        <w:t>’</w:t>
      </w:r>
      <w:r>
        <w:t xml:space="preserve"> </w:t>
      </w:r>
      <w:r w:rsidR="003B4501">
        <w:t xml:space="preserve">to have been made </w:t>
      </w:r>
      <w:r>
        <w:t>where a person has made contact with the Department and then lodges a claim for the particular benefit, and the person is eligible for the claim. Section 13(1)(d) provid</w:t>
      </w:r>
      <w:r>
        <w:t>es that a person must lodge a claim within 14 days of making contact with the Department.</w:t>
      </w:r>
    </w:p>
    <w:p w14:paraId="112258E2" w14:textId="77777777" w:rsidR="00F62BE4" w:rsidRDefault="00E654A2" w:rsidP="00F62BE4">
      <w:pPr>
        <w:pStyle w:val="ListNumber"/>
        <w:widowControl/>
        <w:numPr>
          <w:ilvl w:val="0"/>
          <w:numId w:val="13"/>
        </w:numPr>
        <w:tabs>
          <w:tab w:val="left" w:pos="0"/>
        </w:tabs>
        <w:ind w:left="0"/>
        <w:rPr>
          <w:lang w:val="en-US"/>
        </w:rPr>
      </w:pPr>
      <w:r>
        <w:t>Section 13 of the Administration Act goes on to say that in certain circumstances the Secretary of the Department has the discretion to allow a claim where a pers</w:t>
      </w:r>
      <w:r>
        <w:t xml:space="preserve">on has made contact and has lodged a claim more than 14 days </w:t>
      </w:r>
      <w:r w:rsidRPr="00D660A1">
        <w:rPr>
          <w:i/>
          <w:iCs/>
        </w:rPr>
        <w:t>but not more than 13 weeks</w:t>
      </w:r>
      <w:r>
        <w:t xml:space="preserve"> after that </w:t>
      </w:r>
      <w:r>
        <w:lastRenderedPageBreak/>
        <w:t>contact but there are medical or special circumstances that made it not reasonably practicable for the person to have lodged the claim earlier.</w:t>
      </w:r>
    </w:p>
    <w:p w14:paraId="6DB890C5" w14:textId="77777777" w:rsidR="007221CA" w:rsidRDefault="00E654A2" w:rsidP="00F62BE4">
      <w:pPr>
        <w:pStyle w:val="ListNumber"/>
        <w:widowControl/>
        <w:numPr>
          <w:ilvl w:val="0"/>
          <w:numId w:val="13"/>
        </w:numPr>
        <w:tabs>
          <w:tab w:val="left" w:pos="0"/>
        </w:tabs>
        <w:ind w:left="0"/>
        <w:rPr>
          <w:lang w:val="en-US"/>
        </w:rPr>
      </w:pPr>
      <w:r>
        <w:t>Ms Cini s</w:t>
      </w:r>
      <w:r>
        <w:t xml:space="preserve">tated that she had documents that confirmed she had first made contact in relation to DSP on 11 July 2016.  She provided a photograph </w:t>
      </w:r>
      <w:r w:rsidR="00840681">
        <w:t>of a document</w:t>
      </w:r>
      <w:r w:rsidR="007221CA">
        <w:t>, apparently a printout,</w:t>
      </w:r>
      <w:r w:rsidR="00840681">
        <w:t xml:space="preserve"> which is hard to read.  </w:t>
      </w:r>
      <w:r w:rsidR="003B4501">
        <w:t xml:space="preserve">Ms Cini </w:t>
      </w:r>
      <w:r w:rsidR="00D660A1">
        <w:t xml:space="preserve">had </w:t>
      </w:r>
      <w:r w:rsidR="003B4501">
        <w:t xml:space="preserve">circled some text.  </w:t>
      </w:r>
      <w:r w:rsidR="00840681">
        <w:t xml:space="preserve">As best I can make it </w:t>
      </w:r>
      <w:r w:rsidR="003B4501">
        <w:t>the circled text</w:t>
      </w:r>
      <w:r w:rsidR="00CC0C86">
        <w:t xml:space="preserve"> </w:t>
      </w:r>
      <w:r w:rsidR="00BD1CBC">
        <w:t>says, against the date 1</w:t>
      </w:r>
      <w:r w:rsidR="00F8376A">
        <w:t>1</w:t>
      </w:r>
      <w:r w:rsidR="00BD1CBC">
        <w:t xml:space="preserve"> July 2016</w:t>
      </w:r>
      <w:r w:rsidR="00840681">
        <w:t xml:space="preserve"> </w:t>
      </w:r>
      <w:r w:rsidR="00CC0C86" w:rsidRPr="00CC0C86">
        <w:rPr>
          <w:i/>
          <w:iCs/>
        </w:rPr>
        <w:t>“a</w:t>
      </w:r>
      <w:r w:rsidR="00BD1CBC">
        <w:rPr>
          <w:i/>
          <w:iCs/>
        </w:rPr>
        <w:t>ssess</w:t>
      </w:r>
      <w:r w:rsidR="00CC0C86" w:rsidRPr="00CC0C86">
        <w:rPr>
          <w:i/>
          <w:iCs/>
        </w:rPr>
        <w:t xml:space="preserve"> DSP claim for NSA”</w:t>
      </w:r>
      <w:r w:rsidR="00CC0C86">
        <w:t xml:space="preserve"> .  </w:t>
      </w:r>
    </w:p>
    <w:p w14:paraId="5C96B805" w14:textId="77777777" w:rsidR="00F62BE4" w:rsidRDefault="00E654A2" w:rsidP="00F62BE4">
      <w:pPr>
        <w:pStyle w:val="ListNumber"/>
        <w:widowControl/>
        <w:numPr>
          <w:ilvl w:val="0"/>
          <w:numId w:val="13"/>
        </w:numPr>
        <w:tabs>
          <w:tab w:val="left" w:pos="0"/>
        </w:tabs>
        <w:ind w:left="0"/>
        <w:rPr>
          <w:lang w:val="en-US"/>
        </w:rPr>
      </w:pPr>
      <w:r>
        <w:t xml:space="preserve">Even if </w:t>
      </w:r>
      <w:r w:rsidR="00F8376A">
        <w:t>I was satisfied that there was evidence</w:t>
      </w:r>
      <w:r>
        <w:t xml:space="preserve"> to accept a contact date</w:t>
      </w:r>
      <w:r w:rsidR="007221CA">
        <w:t>, as claimed by the Applicant,</w:t>
      </w:r>
      <w:r>
        <w:t xml:space="preserve"> of 11 July 2016, there is no evidence that Ms Cini lodged a claim for D</w:t>
      </w:r>
      <w:r>
        <w:t>SP</w:t>
      </w:r>
      <w:r w:rsidR="00D660A1">
        <w:t xml:space="preserve"> with</w:t>
      </w:r>
      <w:r>
        <w:t xml:space="preserve">in the period 13 weeks thereafter. That </w:t>
      </w:r>
      <w:r w:rsidR="00D660A1" w:rsidRPr="00B87FB8">
        <w:rPr>
          <w:i/>
          <w:iCs/>
        </w:rPr>
        <w:t>‘deemed claim’</w:t>
      </w:r>
      <w:r w:rsidR="00D660A1">
        <w:t xml:space="preserve"> </w:t>
      </w:r>
      <w:r>
        <w:t>period, which could</w:t>
      </w:r>
      <w:r w:rsidR="00D660A1">
        <w:t xml:space="preserve"> have</w:t>
      </w:r>
      <w:r w:rsidR="007221CA">
        <w:t xml:space="preserve"> potentially</w:t>
      </w:r>
      <w:r>
        <w:t xml:space="preserve"> enliven</w:t>
      </w:r>
      <w:r w:rsidR="00D660A1">
        <w:t>ed</w:t>
      </w:r>
      <w:r>
        <w:t xml:space="preserve"> the discretion available to the Secretary</w:t>
      </w:r>
      <w:r w:rsidR="003B4501">
        <w:t xml:space="preserve"> (or the Tribunal, standing in his shoes)</w:t>
      </w:r>
      <w:r>
        <w:t xml:space="preserve"> to consider special </w:t>
      </w:r>
      <w:r w:rsidR="007221CA">
        <w:t>circumstances</w:t>
      </w:r>
      <w:r w:rsidR="00D660A1">
        <w:t xml:space="preserve"> – even </w:t>
      </w:r>
      <w:r w:rsidR="003B4501">
        <w:t>if I were to accept it could be taken to have started on 11 July 2016</w:t>
      </w:r>
      <w:r w:rsidR="00D660A1">
        <w:t xml:space="preserve"> – ended </w:t>
      </w:r>
      <w:r w:rsidR="007221CA">
        <w:t>on 10 October 2016.</w:t>
      </w:r>
      <w:r w:rsidR="00BD1CBC">
        <w:t xml:space="preserve">  </w:t>
      </w:r>
    </w:p>
    <w:p w14:paraId="1D1E8BBC" w14:textId="77777777" w:rsidR="00CC0C86" w:rsidRDefault="00E654A2" w:rsidP="00CC0C86">
      <w:pPr>
        <w:pStyle w:val="Heading2"/>
        <w:widowControl/>
        <w:rPr>
          <w:lang w:val="en-US"/>
        </w:rPr>
      </w:pPr>
      <w:r>
        <w:t>The course of the matter in the Tribunal</w:t>
      </w:r>
    </w:p>
    <w:p w14:paraId="37E35EB3" w14:textId="77777777" w:rsidR="005328A4" w:rsidRDefault="00E654A2" w:rsidP="005328A4">
      <w:pPr>
        <w:pStyle w:val="ListNumber"/>
        <w:widowControl/>
        <w:numPr>
          <w:ilvl w:val="0"/>
          <w:numId w:val="13"/>
        </w:numPr>
        <w:tabs>
          <w:tab w:val="left" w:pos="0"/>
        </w:tabs>
        <w:ind w:left="0"/>
        <w:rPr>
          <w:lang w:val="en-US"/>
        </w:rPr>
      </w:pPr>
      <w:r>
        <w:t>As mentioned above, o</w:t>
      </w:r>
      <w:r w:rsidR="005328A4">
        <w:t>n 15 July 2019, the Social Services and Child Support Division of the Tribunal</w:t>
      </w:r>
      <w:r w:rsidR="009A6063">
        <w:t xml:space="preserve"> (‘first tier review’)</w:t>
      </w:r>
      <w:r w:rsidR="005328A4">
        <w:t xml:space="preserve"> affirmed a decision of 5 February 2019 that the Applicant should be paid DSP from 29 June 2017</w:t>
      </w:r>
      <w:r w:rsidR="009A6063">
        <w:t>.</w:t>
      </w:r>
    </w:p>
    <w:p w14:paraId="28B4C3BC" w14:textId="77777777" w:rsidR="005328A4" w:rsidRPr="005328A4" w:rsidRDefault="00E654A2" w:rsidP="005328A4">
      <w:pPr>
        <w:pStyle w:val="ListNumber"/>
        <w:widowControl/>
        <w:numPr>
          <w:ilvl w:val="0"/>
          <w:numId w:val="13"/>
        </w:numPr>
        <w:tabs>
          <w:tab w:val="left" w:pos="0"/>
        </w:tabs>
        <w:ind w:left="0"/>
        <w:rPr>
          <w:lang w:val="en-US"/>
        </w:rPr>
      </w:pPr>
      <w:r>
        <w:rPr>
          <w:rFonts w:cs="Arial"/>
          <w:szCs w:val="22"/>
        </w:rPr>
        <w:t xml:space="preserve">On </w:t>
      </w:r>
      <w:r w:rsidR="005328A4" w:rsidRPr="005328A4">
        <w:rPr>
          <w:rFonts w:cs="Arial"/>
          <w:szCs w:val="22"/>
        </w:rPr>
        <w:t xml:space="preserve">10 January 2020, the Applicant applied for review by the General Division of the Tribunal </w:t>
      </w:r>
      <w:r>
        <w:rPr>
          <w:rFonts w:cs="Arial"/>
          <w:szCs w:val="22"/>
        </w:rPr>
        <w:t>(</w:t>
      </w:r>
      <w:r>
        <w:rPr>
          <w:rFonts w:cs="Arial"/>
          <w:szCs w:val="22"/>
        </w:rPr>
        <w:t>‘</w:t>
      </w:r>
      <w:r>
        <w:rPr>
          <w:rFonts w:cs="Arial"/>
          <w:szCs w:val="22"/>
        </w:rPr>
        <w:t>second tier review</w:t>
      </w:r>
      <w:r>
        <w:rPr>
          <w:rFonts w:cs="Arial"/>
          <w:szCs w:val="22"/>
        </w:rPr>
        <w:t>’</w:t>
      </w:r>
      <w:r>
        <w:rPr>
          <w:rFonts w:cs="Arial"/>
          <w:szCs w:val="22"/>
        </w:rPr>
        <w:t xml:space="preserve">) </w:t>
      </w:r>
      <w:r w:rsidR="005328A4" w:rsidRPr="005328A4">
        <w:rPr>
          <w:rFonts w:cs="Arial"/>
          <w:szCs w:val="22"/>
        </w:rPr>
        <w:t>of the July 2019 decision, and for an extension of time to lodge that application for review</w:t>
      </w:r>
      <w:r>
        <w:rPr>
          <w:rFonts w:cs="Arial"/>
          <w:szCs w:val="22"/>
        </w:rPr>
        <w:t>.</w:t>
      </w:r>
    </w:p>
    <w:p w14:paraId="39C5BA72" w14:textId="77777777" w:rsidR="005328A4" w:rsidRPr="005328A4" w:rsidRDefault="00E654A2" w:rsidP="005328A4">
      <w:pPr>
        <w:pStyle w:val="ListNumber"/>
        <w:widowControl/>
        <w:numPr>
          <w:ilvl w:val="0"/>
          <w:numId w:val="13"/>
        </w:numPr>
        <w:tabs>
          <w:tab w:val="left" w:pos="0"/>
        </w:tabs>
        <w:ind w:left="0"/>
        <w:rPr>
          <w:lang w:val="en-US"/>
        </w:rPr>
      </w:pPr>
      <w:r>
        <w:rPr>
          <w:rFonts w:cs="Arial"/>
          <w:szCs w:val="22"/>
        </w:rPr>
        <w:t>O</w:t>
      </w:r>
      <w:r w:rsidR="005328A4" w:rsidRPr="005328A4">
        <w:rPr>
          <w:rFonts w:cs="Arial"/>
          <w:szCs w:val="22"/>
        </w:rPr>
        <w:t>n 20 February 2020, a Deputy President of the Tribunal, noting the Respondent did not oppose the extension of time, extended time for the Applicant to lodge the application for review</w:t>
      </w:r>
      <w:r>
        <w:rPr>
          <w:rFonts w:cs="Arial"/>
          <w:szCs w:val="22"/>
        </w:rPr>
        <w:t>.</w:t>
      </w:r>
    </w:p>
    <w:p w14:paraId="718E7543" w14:textId="77777777" w:rsidR="005328A4" w:rsidRPr="005328A4" w:rsidRDefault="00E654A2" w:rsidP="005328A4">
      <w:pPr>
        <w:pStyle w:val="ListNumber"/>
        <w:widowControl/>
        <w:numPr>
          <w:ilvl w:val="0"/>
          <w:numId w:val="13"/>
        </w:numPr>
        <w:tabs>
          <w:tab w:val="left" w:pos="0"/>
        </w:tabs>
        <w:ind w:left="0"/>
        <w:rPr>
          <w:lang w:val="en-US"/>
        </w:rPr>
      </w:pPr>
      <w:r>
        <w:rPr>
          <w:rFonts w:cs="Arial"/>
          <w:szCs w:val="22"/>
        </w:rPr>
        <w:t>On</w:t>
      </w:r>
      <w:r w:rsidR="005328A4" w:rsidRPr="005328A4">
        <w:rPr>
          <w:rFonts w:cs="Arial"/>
          <w:szCs w:val="22"/>
        </w:rPr>
        <w:t xml:space="preserve"> 28 March 2020, the Applicant withdrew that application for review</w:t>
      </w:r>
      <w:r>
        <w:rPr>
          <w:rFonts w:cs="Arial"/>
          <w:szCs w:val="22"/>
        </w:rPr>
        <w:t>.</w:t>
      </w:r>
    </w:p>
    <w:p w14:paraId="013580FB" w14:textId="77777777" w:rsidR="005328A4" w:rsidRPr="00D660A1" w:rsidRDefault="00E654A2" w:rsidP="005328A4">
      <w:pPr>
        <w:pStyle w:val="ListNumber"/>
        <w:widowControl/>
        <w:numPr>
          <w:ilvl w:val="0"/>
          <w:numId w:val="13"/>
        </w:numPr>
        <w:tabs>
          <w:tab w:val="left" w:pos="0"/>
        </w:tabs>
        <w:ind w:left="0"/>
        <w:rPr>
          <w:lang w:val="en-US"/>
        </w:rPr>
      </w:pPr>
      <w:r w:rsidRPr="009A6063">
        <w:rPr>
          <w:rFonts w:cs="Arial"/>
          <w:szCs w:val="22"/>
        </w:rPr>
        <w:t>On</w:t>
      </w:r>
      <w:r w:rsidR="005328A4" w:rsidRPr="005328A4">
        <w:rPr>
          <w:rFonts w:cs="Arial"/>
          <w:szCs w:val="22"/>
        </w:rPr>
        <w:t xml:space="preserve"> 25 September 2021, the Applicant lodged a further application for</w:t>
      </w:r>
      <w:r>
        <w:rPr>
          <w:rFonts w:cs="Arial"/>
          <w:szCs w:val="22"/>
        </w:rPr>
        <w:t xml:space="preserve"> second tier </w:t>
      </w:r>
      <w:r w:rsidR="005328A4" w:rsidRPr="005328A4">
        <w:rPr>
          <w:rFonts w:cs="Arial"/>
          <w:szCs w:val="22"/>
        </w:rPr>
        <w:t>review of the July 2019 decision and an application for an extension of time to lodge that application for review</w:t>
      </w:r>
      <w:r>
        <w:rPr>
          <w:rFonts w:cs="Arial"/>
          <w:szCs w:val="22"/>
        </w:rPr>
        <w:t>.</w:t>
      </w:r>
    </w:p>
    <w:p w14:paraId="7CA1D78D" w14:textId="77777777" w:rsidR="00D660A1" w:rsidRPr="005328A4" w:rsidRDefault="00E654A2" w:rsidP="00D660A1">
      <w:pPr>
        <w:pStyle w:val="Heading2"/>
        <w:widowControl/>
        <w:rPr>
          <w:lang w:val="en-US"/>
        </w:rPr>
      </w:pPr>
      <w:r>
        <w:lastRenderedPageBreak/>
        <w:t>Is it reasonable in all the circumstances to extend time?</w:t>
      </w:r>
    </w:p>
    <w:p w14:paraId="67D7292B" w14:textId="77777777" w:rsidR="005328A4" w:rsidRPr="00CC0C86" w:rsidRDefault="00E654A2" w:rsidP="005328A4">
      <w:pPr>
        <w:pStyle w:val="ListNumber"/>
        <w:widowControl/>
        <w:numPr>
          <w:ilvl w:val="0"/>
          <w:numId w:val="13"/>
        </w:numPr>
        <w:tabs>
          <w:tab w:val="left" w:pos="0"/>
        </w:tabs>
        <w:ind w:left="0"/>
        <w:rPr>
          <w:lang w:val="en-US"/>
        </w:rPr>
      </w:pPr>
      <w:r>
        <w:rPr>
          <w:rFonts w:cs="Arial"/>
          <w:szCs w:val="22"/>
        </w:rPr>
        <w:t>T</w:t>
      </w:r>
      <w:r w:rsidR="005328A4" w:rsidRPr="005328A4">
        <w:rPr>
          <w:rFonts w:cs="Arial"/>
          <w:szCs w:val="22"/>
        </w:rPr>
        <w:t>he application for review</w:t>
      </w:r>
      <w:r w:rsidR="0030341E">
        <w:rPr>
          <w:rFonts w:cs="Arial"/>
          <w:szCs w:val="22"/>
        </w:rPr>
        <w:t xml:space="preserve"> lodged on 25 September 2021</w:t>
      </w:r>
      <w:r w:rsidR="00B87FB8">
        <w:rPr>
          <w:rFonts w:cs="Arial"/>
          <w:szCs w:val="22"/>
        </w:rPr>
        <w:t>,</w:t>
      </w:r>
      <w:r w:rsidR="005328A4" w:rsidRPr="005328A4">
        <w:rPr>
          <w:rFonts w:cs="Arial"/>
          <w:szCs w:val="22"/>
        </w:rPr>
        <w:t xml:space="preserve"> was lodged some two years beyond the 28-day statutory time period provided for review of the July 2019 decision, a time period which would have ended on or about 23 August 2019</w:t>
      </w:r>
      <w:r w:rsidR="00CC0C86">
        <w:rPr>
          <w:rFonts w:cs="Arial"/>
          <w:szCs w:val="22"/>
        </w:rPr>
        <w:t>.  Ms Cini did not provide any explanation for the delay other than generalised comments about her medical conditions. The Respondent submitted that she had rested on her rights.</w:t>
      </w:r>
    </w:p>
    <w:p w14:paraId="4453400C" w14:textId="77777777" w:rsidR="005328A4" w:rsidRPr="009A6063" w:rsidRDefault="00E654A2" w:rsidP="005328A4">
      <w:pPr>
        <w:pStyle w:val="ListNumber"/>
        <w:widowControl/>
        <w:numPr>
          <w:ilvl w:val="0"/>
          <w:numId w:val="13"/>
        </w:numPr>
        <w:tabs>
          <w:tab w:val="left" w:pos="0"/>
        </w:tabs>
        <w:ind w:left="0"/>
        <w:rPr>
          <w:lang w:val="en-US"/>
        </w:rPr>
      </w:pPr>
      <w:r>
        <w:rPr>
          <w:rFonts w:cs="Arial"/>
          <w:szCs w:val="22"/>
        </w:rPr>
        <w:t>T</w:t>
      </w:r>
      <w:r w:rsidR="005328A4" w:rsidRPr="005328A4">
        <w:rPr>
          <w:rFonts w:cs="Arial"/>
          <w:szCs w:val="22"/>
        </w:rPr>
        <w:t>he Tribunal, after hearing submissions from the Applicant and the Respondent</w:t>
      </w:r>
      <w:r>
        <w:rPr>
          <w:rFonts w:cs="Arial"/>
          <w:szCs w:val="22"/>
        </w:rPr>
        <w:t>, found</w:t>
      </w:r>
      <w:r w:rsidR="005328A4" w:rsidRPr="005328A4">
        <w:rPr>
          <w:rFonts w:cs="Arial"/>
          <w:szCs w:val="22"/>
        </w:rPr>
        <w:t xml:space="preserve"> because of the provisions of section 13 of the</w:t>
      </w:r>
      <w:r w:rsidR="0030341E">
        <w:rPr>
          <w:rFonts w:cs="Arial"/>
          <w:szCs w:val="22"/>
        </w:rPr>
        <w:t xml:space="preserve"> Administration Act</w:t>
      </w:r>
      <w:r w:rsidR="005328A4" w:rsidRPr="005328A4">
        <w:rPr>
          <w:rFonts w:cs="Arial"/>
          <w:szCs w:val="22"/>
        </w:rPr>
        <w:t xml:space="preserve"> and on the evidence before it that there is no provision for the earlier payment of DSP to the Applicant than the effective date of 29 June 2017 </w:t>
      </w:r>
      <w:r w:rsidR="00CC0C86">
        <w:rPr>
          <w:rFonts w:cs="Arial"/>
          <w:szCs w:val="22"/>
        </w:rPr>
        <w:t>(i.e. the date which was accepted</w:t>
      </w:r>
      <w:r w:rsidR="007221CA">
        <w:rPr>
          <w:rFonts w:cs="Arial"/>
          <w:szCs w:val="22"/>
        </w:rPr>
        <w:t xml:space="preserve"> by the Respondent</w:t>
      </w:r>
      <w:r w:rsidR="00CC0C86">
        <w:rPr>
          <w:rFonts w:cs="Arial"/>
          <w:szCs w:val="22"/>
        </w:rPr>
        <w:t xml:space="preserve"> she first contacted the Department claiming DSP and then followed up with a written claim eight days later).  </w:t>
      </w:r>
      <w:r w:rsidR="00D660A1">
        <w:rPr>
          <w:rFonts w:cs="Arial"/>
          <w:szCs w:val="22"/>
        </w:rPr>
        <w:t>Even if I w</w:t>
      </w:r>
      <w:r w:rsidR="0030341E">
        <w:rPr>
          <w:rFonts w:cs="Arial"/>
          <w:szCs w:val="22"/>
        </w:rPr>
        <w:t>ere</w:t>
      </w:r>
      <w:r w:rsidR="00D660A1">
        <w:rPr>
          <w:rFonts w:cs="Arial"/>
          <w:szCs w:val="22"/>
        </w:rPr>
        <w:t xml:space="preserve"> to extend time and allow the substantive application to be lodged, there is no relief that can be given to the Applicant. Therefore, I f</w:t>
      </w:r>
      <w:r w:rsidR="0030341E">
        <w:rPr>
          <w:rFonts w:cs="Arial"/>
          <w:szCs w:val="22"/>
        </w:rPr>
        <w:t>oun</w:t>
      </w:r>
      <w:r w:rsidR="00D660A1">
        <w:rPr>
          <w:rFonts w:cs="Arial"/>
          <w:szCs w:val="22"/>
        </w:rPr>
        <w:t>d there is no utility in her substantive application.</w:t>
      </w:r>
    </w:p>
    <w:p w14:paraId="48CCD5A4" w14:textId="77777777" w:rsidR="009A6063" w:rsidRPr="009A6063" w:rsidRDefault="00E654A2" w:rsidP="00D660A1">
      <w:pPr>
        <w:pStyle w:val="Heading1"/>
        <w:widowControl/>
        <w:rPr>
          <w:lang w:val="en-US"/>
        </w:rPr>
      </w:pPr>
      <w:r w:rsidRPr="009A6063">
        <w:t>DECISION</w:t>
      </w:r>
    </w:p>
    <w:p w14:paraId="752CC0C7" w14:textId="77777777" w:rsidR="000176A5" w:rsidRPr="009A6063" w:rsidRDefault="00E654A2" w:rsidP="009A6063">
      <w:pPr>
        <w:pStyle w:val="ListNumber"/>
        <w:widowControl/>
        <w:numPr>
          <w:ilvl w:val="0"/>
          <w:numId w:val="13"/>
        </w:numPr>
        <w:tabs>
          <w:tab w:val="left" w:pos="0"/>
        </w:tabs>
        <w:ind w:left="0"/>
        <w:rPr>
          <w:lang w:val="en-US"/>
        </w:rPr>
      </w:pPr>
      <w:r>
        <w:rPr>
          <w:rFonts w:cs="Arial"/>
          <w:szCs w:val="22"/>
        </w:rPr>
        <w:t xml:space="preserve">Pursuant to section 29(7) of the </w:t>
      </w:r>
      <w:r w:rsidRPr="009A6063">
        <w:rPr>
          <w:rFonts w:cs="Arial"/>
          <w:i/>
          <w:iCs/>
          <w:szCs w:val="22"/>
        </w:rPr>
        <w:t>Administrative Appeals Tribunal Act 1975</w:t>
      </w:r>
      <w:r>
        <w:rPr>
          <w:rFonts w:cs="Arial"/>
          <w:szCs w:val="22"/>
        </w:rPr>
        <w:t xml:space="preserve">, and not being satisfied that it is reasonable in all the circumstances to </w:t>
      </w:r>
      <w:r w:rsidR="00D660A1">
        <w:rPr>
          <w:rFonts w:cs="Arial"/>
          <w:szCs w:val="22"/>
        </w:rPr>
        <w:t>extend</w:t>
      </w:r>
      <w:r>
        <w:rPr>
          <w:rFonts w:cs="Arial"/>
          <w:szCs w:val="22"/>
        </w:rPr>
        <w:t xml:space="preserve"> time, the Tribunal refuses to extend time in respect of the application lodged on 25 </w:t>
      </w:r>
      <w:r>
        <w:rPr>
          <w:rFonts w:cs="Arial"/>
          <w:szCs w:val="22"/>
        </w:rPr>
        <w:t>September 2021.</w:t>
      </w:r>
    </w:p>
    <w:tbl>
      <w:tblPr>
        <w:tblW w:w="0" w:type="auto"/>
        <w:tblInd w:w="142" w:type="dxa"/>
        <w:tblLayout w:type="fixed"/>
        <w:tblCellMar>
          <w:left w:w="0" w:type="dxa"/>
          <w:right w:w="0" w:type="dxa"/>
        </w:tblCellMar>
        <w:tblLook w:val="04A0" w:firstRow="1" w:lastRow="0" w:firstColumn="1" w:lastColumn="0" w:noHBand="0" w:noVBand="1"/>
      </w:tblPr>
      <w:tblGrid>
        <w:gridCol w:w="3509"/>
      </w:tblGrid>
      <w:tr w:rsidR="00140E52" w:rsidRPr="00140E52" w14:paraId="6F40D6C9" w14:textId="77777777">
        <w:tc>
          <w:tcPr>
            <w:tcW w:w="3509" w:type="dxa"/>
            <w:tcBorders>
              <w:top w:val="nil"/>
              <w:left w:val="nil"/>
              <w:bottom w:val="nil"/>
              <w:right w:val="nil"/>
            </w:tcBorders>
            <w:tcMar>
              <w:top w:w="0" w:type="dxa"/>
              <w:left w:w="0" w:type="dxa"/>
              <w:bottom w:w="0" w:type="dxa"/>
              <w:right w:w="0" w:type="dxa"/>
            </w:tcMar>
          </w:tcPr>
          <w:p w14:paraId="50EC8814" w14:textId="77777777" w:rsidR="00140E52" w:rsidRPr="00140E52" w:rsidRDefault="00140E52" w:rsidP="00E02515">
            <w:pPr>
              <w:widowControl/>
              <w:rPr>
                <w:i/>
                <w:iCs/>
              </w:rPr>
            </w:pPr>
          </w:p>
          <w:p w14:paraId="1D2D55CA" w14:textId="77777777" w:rsidR="00140E52" w:rsidRPr="00140E52" w:rsidRDefault="00E654A2" w:rsidP="00E40360">
            <w:pPr>
              <w:widowControl/>
              <w:numPr>
                <w:ilvl w:val="0"/>
                <w:numId w:val="13"/>
              </w:numPr>
              <w:tabs>
                <w:tab w:val="left" w:pos="0"/>
              </w:tabs>
              <w:rPr>
                <w:i/>
                <w:iCs/>
              </w:rPr>
            </w:pPr>
            <w:r w:rsidRPr="00140E52">
              <w:rPr>
                <w:i/>
                <w:iCs/>
              </w:rPr>
              <w:t xml:space="preserve">I </w:t>
            </w:r>
            <w:bookmarkStart w:id="8" w:name="StartStamp"/>
            <w:bookmarkEnd w:id="8"/>
            <w:r w:rsidRPr="00140E52">
              <w:rPr>
                <w:i/>
                <w:iCs/>
              </w:rPr>
              <w:t xml:space="preserve">certify that the preceding </w:t>
            </w:r>
            <w:r w:rsidR="00D660A1">
              <w:rPr>
                <w:i/>
                <w:iCs/>
              </w:rPr>
              <w:t>2</w:t>
            </w:r>
            <w:r w:rsidR="0097371F">
              <w:rPr>
                <w:i/>
                <w:iCs/>
              </w:rPr>
              <w:t>3</w:t>
            </w:r>
            <w:r w:rsidRPr="00140E52">
              <w:rPr>
                <w:i/>
                <w:iCs/>
              </w:rPr>
              <w:t xml:space="preserve"> (</w:t>
            </w:r>
            <w:r w:rsidR="00D660A1">
              <w:rPr>
                <w:i/>
                <w:iCs/>
              </w:rPr>
              <w:t>twenty-t</w:t>
            </w:r>
            <w:r w:rsidR="0097371F">
              <w:rPr>
                <w:i/>
                <w:iCs/>
              </w:rPr>
              <w:t>hree</w:t>
            </w:r>
            <w:r w:rsidRPr="00140E52">
              <w:rPr>
                <w:i/>
                <w:iCs/>
              </w:rPr>
              <w:t xml:space="preserve">) paragraphs are a true copy of </w:t>
            </w:r>
            <w:r w:rsidRPr="00140E52">
              <w:rPr>
                <w:bCs/>
                <w:i/>
                <w:iCs/>
              </w:rPr>
              <w:t xml:space="preserve">the written reasons for the decision of </w:t>
            </w:r>
            <w:r w:rsidRPr="00140E52">
              <w:rPr>
                <w:i/>
                <w:iCs/>
              </w:rPr>
              <w:fldChar w:fldCharType="begin"/>
            </w:r>
            <w:r w:rsidRPr="00140E52">
              <w:rPr>
                <w:i/>
                <w:iCs/>
              </w:rPr>
              <w:instrText xml:space="preserve"> DOCPROPERTY  TribunalLastPgForm</w:instrText>
            </w:r>
            <w:r w:rsidRPr="00140E52">
              <w:rPr>
                <w:i/>
                <w:iCs/>
              </w:rPr>
              <w:fldChar w:fldCharType="separate"/>
            </w:r>
            <w:r w:rsidRPr="00140E52">
              <w:rPr>
                <w:i/>
                <w:iCs/>
              </w:rPr>
              <w:t>Senior Member D. J. Morris</w:t>
            </w:r>
            <w:r w:rsidRPr="00140E52">
              <w:rPr>
                <w:i/>
                <w:iCs/>
              </w:rPr>
              <w:fldChar w:fldCharType="end"/>
            </w:r>
          </w:p>
        </w:tc>
      </w:tr>
    </w:tbl>
    <w:p w14:paraId="257CC3E6" w14:textId="77777777" w:rsidR="00140E52" w:rsidRPr="00140E52" w:rsidRDefault="00E654A2" w:rsidP="00140E52">
      <w:pPr>
        <w:widowControl/>
        <w:rPr>
          <w:lang w:val="en-US"/>
        </w:rPr>
      </w:pPr>
      <w:r w:rsidRPr="00140E52">
        <w:t>..................[sgd]......................................................</w:t>
      </w:r>
    </w:p>
    <w:p w14:paraId="3E74112B" w14:textId="77777777" w:rsidR="00140E52" w:rsidRPr="00140E52" w:rsidRDefault="00E654A2" w:rsidP="00140E52">
      <w:pPr>
        <w:widowControl/>
        <w:rPr>
          <w:lang w:val="en-US"/>
        </w:rPr>
      </w:pPr>
      <w:r>
        <w:fldChar w:fldCharType="begin"/>
      </w:r>
      <w:r>
        <w:instrText xml:space="preserve"> DOCPROPERTY  SigneeDesignation </w:instrText>
      </w:r>
      <w:r>
        <w:fldChar w:fldCharType="separate"/>
      </w:r>
      <w:r w:rsidR="00140E52" w:rsidRPr="00140E52">
        <w:t>Associate</w:t>
      </w:r>
      <w:r>
        <w:fldChar w:fldCharType="end"/>
      </w:r>
    </w:p>
    <w:p w14:paraId="05C36475" w14:textId="77777777" w:rsidR="00140E52" w:rsidRPr="00140E52" w:rsidRDefault="00E654A2" w:rsidP="00140E52">
      <w:pPr>
        <w:widowControl/>
        <w:rPr>
          <w:lang w:val="en-US"/>
        </w:rPr>
      </w:pPr>
      <w:r w:rsidRPr="00140E52">
        <w:t xml:space="preserve">Dated: </w:t>
      </w:r>
      <w:r w:rsidR="00E02515">
        <w:t>20</w:t>
      </w:r>
      <w:r>
        <w:t xml:space="preserve"> </w:t>
      </w:r>
      <w:r w:rsidRPr="00140E52">
        <w:t xml:space="preserve">October 2021 </w:t>
      </w:r>
    </w:p>
    <w:tbl>
      <w:tblPr>
        <w:tblW w:w="8789" w:type="dxa"/>
        <w:tblLayout w:type="fixed"/>
        <w:tblLook w:val="00A0" w:firstRow="1" w:lastRow="0" w:firstColumn="1" w:lastColumn="0" w:noHBand="0" w:noVBand="0"/>
      </w:tblPr>
      <w:tblGrid>
        <w:gridCol w:w="3510"/>
        <w:gridCol w:w="5279"/>
      </w:tblGrid>
      <w:tr w:rsidR="00140E52" w:rsidRPr="00140E52" w14:paraId="09C51FC5" w14:textId="77777777">
        <w:trPr>
          <w:trHeight w:val="567"/>
        </w:trPr>
        <w:tc>
          <w:tcPr>
            <w:tcW w:w="3510" w:type="dxa"/>
            <w:tcBorders>
              <w:top w:val="nil"/>
              <w:left w:val="nil"/>
              <w:bottom w:val="nil"/>
              <w:right w:val="nil"/>
            </w:tcBorders>
            <w:tcMar>
              <w:top w:w="0" w:type="dxa"/>
              <w:left w:w="108" w:type="dxa"/>
              <w:bottom w:w="0" w:type="dxa"/>
              <w:right w:w="108" w:type="dxa"/>
            </w:tcMar>
          </w:tcPr>
          <w:p w14:paraId="33F19B12" w14:textId="77777777" w:rsidR="00140E52" w:rsidRPr="00140E52" w:rsidRDefault="00E654A2" w:rsidP="00140E52">
            <w:pPr>
              <w:widowControl/>
              <w:ind w:left="-105"/>
            </w:pPr>
            <w:r w:rsidRPr="00140E52">
              <w:t>Date of interlocutory hearing:</w:t>
            </w:r>
          </w:p>
        </w:tc>
        <w:tc>
          <w:tcPr>
            <w:tcW w:w="5279" w:type="dxa"/>
            <w:tcBorders>
              <w:top w:val="nil"/>
              <w:left w:val="nil"/>
              <w:bottom w:val="nil"/>
              <w:right w:val="nil"/>
            </w:tcBorders>
            <w:tcMar>
              <w:top w:w="0" w:type="dxa"/>
              <w:left w:w="108" w:type="dxa"/>
              <w:bottom w:w="0" w:type="dxa"/>
              <w:right w:w="108" w:type="dxa"/>
            </w:tcMar>
          </w:tcPr>
          <w:p w14:paraId="56D6CEB7" w14:textId="77777777" w:rsidR="00140E52" w:rsidRPr="00140E52" w:rsidRDefault="00E654A2" w:rsidP="00140E52">
            <w:pPr>
              <w:widowControl/>
              <w:rPr>
                <w:b/>
                <w:bCs/>
              </w:rPr>
            </w:pPr>
            <w:r>
              <w:rPr>
                <w:b/>
                <w:bCs/>
              </w:rPr>
              <w:t>14 October</w:t>
            </w:r>
            <w:r w:rsidRPr="00140E52">
              <w:rPr>
                <w:b/>
                <w:bCs/>
              </w:rPr>
              <w:t xml:space="preserve"> 2021</w:t>
            </w:r>
          </w:p>
        </w:tc>
      </w:tr>
      <w:tr w:rsidR="00140E52" w:rsidRPr="00140E52" w14:paraId="4C734287" w14:textId="77777777">
        <w:trPr>
          <w:trHeight w:val="567"/>
        </w:trPr>
        <w:tc>
          <w:tcPr>
            <w:tcW w:w="3510" w:type="dxa"/>
            <w:tcBorders>
              <w:top w:val="nil"/>
              <w:left w:val="nil"/>
              <w:bottom w:val="nil"/>
              <w:right w:val="nil"/>
            </w:tcBorders>
            <w:tcMar>
              <w:top w:w="0" w:type="dxa"/>
              <w:left w:w="108" w:type="dxa"/>
              <w:bottom w:w="0" w:type="dxa"/>
              <w:right w:w="108" w:type="dxa"/>
            </w:tcMar>
          </w:tcPr>
          <w:p w14:paraId="6A608182" w14:textId="77777777" w:rsidR="00140E52" w:rsidRPr="00140E52" w:rsidRDefault="00E654A2" w:rsidP="00140E52">
            <w:pPr>
              <w:widowControl/>
              <w:ind w:left="-105"/>
            </w:pPr>
            <w:bookmarkStart w:id="9" w:name="DateFinalSubmission"/>
            <w:bookmarkStart w:id="10" w:name="Applicant_Counsel"/>
            <w:bookmarkEnd w:id="9"/>
            <w:bookmarkEnd w:id="10"/>
            <w:r w:rsidRPr="00140E52">
              <w:lastRenderedPageBreak/>
              <w:t>Applicant:</w:t>
            </w:r>
          </w:p>
        </w:tc>
        <w:tc>
          <w:tcPr>
            <w:tcW w:w="5279" w:type="dxa"/>
            <w:tcBorders>
              <w:top w:val="nil"/>
              <w:left w:val="nil"/>
              <w:bottom w:val="nil"/>
              <w:right w:val="nil"/>
            </w:tcBorders>
            <w:tcMar>
              <w:top w:w="0" w:type="dxa"/>
              <w:left w:w="108" w:type="dxa"/>
              <w:bottom w:w="0" w:type="dxa"/>
              <w:right w:w="108" w:type="dxa"/>
            </w:tcMar>
          </w:tcPr>
          <w:p w14:paraId="13555A3B" w14:textId="77777777" w:rsidR="00140E52" w:rsidRPr="00140E52" w:rsidRDefault="00E654A2" w:rsidP="00140E52">
            <w:pPr>
              <w:widowControl/>
              <w:rPr>
                <w:b/>
                <w:bCs/>
              </w:rPr>
            </w:pPr>
            <w:r w:rsidRPr="00140E52">
              <w:rPr>
                <w:b/>
                <w:bCs/>
              </w:rPr>
              <w:t>Self-Represented</w:t>
            </w:r>
          </w:p>
        </w:tc>
      </w:tr>
      <w:tr w:rsidR="00140E52" w:rsidRPr="00140E52" w14:paraId="7369F35B" w14:textId="77777777">
        <w:trPr>
          <w:trHeight w:val="567"/>
        </w:trPr>
        <w:tc>
          <w:tcPr>
            <w:tcW w:w="3510" w:type="dxa"/>
            <w:tcBorders>
              <w:top w:val="nil"/>
              <w:left w:val="nil"/>
              <w:bottom w:val="nil"/>
              <w:right w:val="nil"/>
            </w:tcBorders>
            <w:tcMar>
              <w:top w:w="0" w:type="dxa"/>
              <w:left w:w="108" w:type="dxa"/>
              <w:bottom w:w="0" w:type="dxa"/>
              <w:right w:w="108" w:type="dxa"/>
            </w:tcMar>
          </w:tcPr>
          <w:p w14:paraId="7CCC1E9D" w14:textId="77777777" w:rsidR="00140E52" w:rsidRPr="00140E52" w:rsidRDefault="00E654A2" w:rsidP="00140E52">
            <w:pPr>
              <w:widowControl/>
              <w:ind w:left="-105"/>
            </w:pPr>
            <w:bookmarkStart w:id="11" w:name="Applicant_Solicitors"/>
            <w:bookmarkStart w:id="12" w:name="Respondent_Advocate"/>
            <w:bookmarkEnd w:id="11"/>
            <w:bookmarkEnd w:id="12"/>
            <w:r w:rsidRPr="00140E52">
              <w:t>Advocate for the Respondent:</w:t>
            </w:r>
          </w:p>
        </w:tc>
        <w:tc>
          <w:tcPr>
            <w:tcW w:w="5279" w:type="dxa"/>
            <w:tcBorders>
              <w:top w:val="nil"/>
              <w:left w:val="nil"/>
              <w:bottom w:val="nil"/>
              <w:right w:val="nil"/>
            </w:tcBorders>
            <w:tcMar>
              <w:top w:w="0" w:type="dxa"/>
              <w:left w:w="108" w:type="dxa"/>
              <w:bottom w:w="0" w:type="dxa"/>
              <w:right w:w="108" w:type="dxa"/>
            </w:tcMar>
          </w:tcPr>
          <w:p w14:paraId="3DBF6A9E" w14:textId="77777777" w:rsidR="00140E52" w:rsidRPr="00140E52" w:rsidRDefault="00E654A2" w:rsidP="00140E52">
            <w:pPr>
              <w:widowControl/>
              <w:rPr>
                <w:b/>
                <w:bCs/>
              </w:rPr>
            </w:pPr>
            <w:r>
              <w:rPr>
                <w:b/>
                <w:bCs/>
              </w:rPr>
              <w:t xml:space="preserve">Mr Brian Sparkes </w:t>
            </w:r>
          </w:p>
        </w:tc>
      </w:tr>
      <w:tr w:rsidR="00140E52" w:rsidRPr="00140E52" w14:paraId="24B85654" w14:textId="77777777">
        <w:trPr>
          <w:trHeight w:val="567"/>
        </w:trPr>
        <w:tc>
          <w:tcPr>
            <w:tcW w:w="3510" w:type="dxa"/>
            <w:tcBorders>
              <w:top w:val="nil"/>
              <w:left w:val="nil"/>
              <w:bottom w:val="nil"/>
              <w:right w:val="nil"/>
            </w:tcBorders>
            <w:tcMar>
              <w:top w:w="0" w:type="dxa"/>
              <w:left w:w="108" w:type="dxa"/>
              <w:bottom w:w="0" w:type="dxa"/>
              <w:right w:w="108" w:type="dxa"/>
            </w:tcMar>
          </w:tcPr>
          <w:p w14:paraId="42A9E098" w14:textId="77777777" w:rsidR="00140E52" w:rsidRPr="00140E52" w:rsidRDefault="00E654A2" w:rsidP="00140E52">
            <w:pPr>
              <w:widowControl/>
              <w:ind w:left="-105"/>
            </w:pPr>
            <w:bookmarkStart w:id="13" w:name="Respondent_Solicitors"/>
            <w:bookmarkEnd w:id="13"/>
            <w:r w:rsidRPr="00140E52">
              <w:t>Solicitors for the Respondent:</w:t>
            </w:r>
          </w:p>
        </w:tc>
        <w:tc>
          <w:tcPr>
            <w:tcW w:w="5279" w:type="dxa"/>
            <w:tcBorders>
              <w:top w:val="nil"/>
              <w:left w:val="nil"/>
              <w:bottom w:val="nil"/>
              <w:right w:val="nil"/>
            </w:tcBorders>
            <w:tcMar>
              <w:top w:w="0" w:type="dxa"/>
              <w:left w:w="108" w:type="dxa"/>
              <w:bottom w:w="0" w:type="dxa"/>
              <w:right w:w="108" w:type="dxa"/>
            </w:tcMar>
          </w:tcPr>
          <w:p w14:paraId="0A1A0ED9" w14:textId="77777777" w:rsidR="00140E52" w:rsidRPr="00140E52" w:rsidRDefault="00E654A2" w:rsidP="00140E52">
            <w:pPr>
              <w:widowControl/>
              <w:rPr>
                <w:b/>
                <w:bCs/>
              </w:rPr>
            </w:pPr>
            <w:r>
              <w:rPr>
                <w:b/>
                <w:bCs/>
              </w:rPr>
              <w:t xml:space="preserve">Services Australia </w:t>
            </w:r>
          </w:p>
        </w:tc>
      </w:tr>
    </w:tbl>
    <w:p w14:paraId="4ED49088" w14:textId="77777777" w:rsidR="00391759" w:rsidRDefault="00391759" w:rsidP="00880CF9">
      <w:pPr>
        <w:widowControl/>
        <w:rPr>
          <w:lang w:val="en-US"/>
        </w:rPr>
      </w:pPr>
    </w:p>
    <w:sectPr w:rsidR="00391759">
      <w:headerReference w:type="even" r:id="rId7"/>
      <w:footerReference w:type="default" r:id="rId8"/>
      <w:headerReference w:type="first" r:id="rId9"/>
      <w:footerReference w:type="first" r:id="rId10"/>
      <w:type w:val="continuous"/>
      <w:pgSz w:w="11907" w:h="16834" w:code="9"/>
      <w:pgMar w:top="1758" w:right="1134" w:bottom="1758" w:left="1985" w:header="567" w:footer="1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C50D" w14:textId="77777777" w:rsidR="00E654A2" w:rsidRDefault="00E654A2">
      <w:pPr>
        <w:rPr>
          <w:lang w:val="en-US"/>
        </w:rPr>
      </w:pPr>
      <w:r>
        <w:rPr>
          <w:lang w:val="en-US"/>
        </w:rPr>
        <w:separator/>
      </w:r>
    </w:p>
  </w:endnote>
  <w:endnote w:type="continuationSeparator" w:id="0">
    <w:p w14:paraId="666EB2FA" w14:textId="77777777" w:rsidR="00E654A2" w:rsidRDefault="00E654A2">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rsidRPr="006F16E0" w14:paraId="25362C9B" w14:textId="77777777">
      <w:tc>
        <w:tcPr>
          <w:tcW w:w="1447" w:type="dxa"/>
          <w:tcBorders>
            <w:top w:val="nil"/>
            <w:left w:val="nil"/>
            <w:bottom w:val="nil"/>
            <w:right w:val="nil"/>
          </w:tcBorders>
          <w:tcMar>
            <w:top w:w="0" w:type="dxa"/>
            <w:left w:w="0" w:type="dxa"/>
            <w:bottom w:w="0" w:type="dxa"/>
            <w:right w:w="0" w:type="dxa"/>
          </w:tcMar>
          <w:vAlign w:val="center"/>
        </w:tcPr>
        <w:p w14:paraId="397F1856" w14:textId="77777777" w:rsidR="003B4BBD" w:rsidRPr="006F16E0" w:rsidRDefault="003B4BBD" w:rsidP="003B4BBD">
          <w:pPr>
            <w:pStyle w:val="Footer"/>
            <w:widowControl/>
          </w:pPr>
        </w:p>
      </w:tc>
      <w:tc>
        <w:tcPr>
          <w:tcW w:w="8763" w:type="dxa"/>
          <w:tcBorders>
            <w:top w:val="nil"/>
            <w:left w:val="nil"/>
            <w:bottom w:val="nil"/>
            <w:right w:val="nil"/>
          </w:tcBorders>
          <w:tcMar>
            <w:top w:w="0" w:type="dxa"/>
            <w:left w:w="0" w:type="dxa"/>
            <w:bottom w:w="0" w:type="dxa"/>
            <w:right w:w="0" w:type="dxa"/>
          </w:tcMar>
          <w:vAlign w:val="center"/>
        </w:tcPr>
        <w:p w14:paraId="5BD56951" w14:textId="77777777" w:rsidR="003B4BBD" w:rsidRPr="006F16E0" w:rsidRDefault="00E654A2" w:rsidP="003B4BBD">
          <w:pPr>
            <w:pStyle w:val="Footer"/>
            <w:widowControl/>
            <w:jc w:val="right"/>
          </w:pPr>
          <w:r>
            <w:t xml:space="preserve">Page </w:t>
          </w:r>
          <w:r>
            <w:fldChar w:fldCharType="begin"/>
          </w:r>
          <w:r>
            <w:instrText xml:space="preserve"> PAGE  \* Arabic </w:instrText>
          </w:r>
          <w:r>
            <w:fldChar w:fldCharType="separate"/>
          </w:r>
          <w:r>
            <w:t>7</w:t>
          </w:r>
          <w:r>
            <w:fldChar w:fldCharType="end"/>
          </w:r>
          <w:r>
            <w:t xml:space="preserve"> of </w:t>
          </w:r>
          <w:r>
            <w:fldChar w:fldCharType="begin"/>
          </w:r>
          <w:r>
            <w:instrText xml:space="preserve"> NUMPAGES  \* Arabic </w:instrText>
          </w:r>
          <w:r>
            <w:fldChar w:fldCharType="separate"/>
          </w:r>
          <w:r>
            <w:t>7</w:t>
          </w:r>
          <w:r>
            <w:fldChar w:fldCharType="end"/>
          </w:r>
        </w:p>
      </w:tc>
    </w:tr>
  </w:tbl>
  <w:p w14:paraId="2A5A0A88" w14:textId="77777777" w:rsidR="003B4BBD" w:rsidRDefault="003B4BBD">
    <w:pPr>
      <w:pStyle w:val="Footer"/>
      <w:widowControl/>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3B4BBD" w14:paraId="186BDF94" w14:textId="77777777">
      <w:tc>
        <w:tcPr>
          <w:tcW w:w="1447" w:type="dxa"/>
          <w:tcBorders>
            <w:top w:val="nil"/>
            <w:left w:val="nil"/>
            <w:bottom w:val="nil"/>
            <w:right w:val="nil"/>
          </w:tcBorders>
          <w:tcMar>
            <w:top w:w="0" w:type="dxa"/>
            <w:left w:w="0" w:type="dxa"/>
            <w:bottom w:w="0" w:type="dxa"/>
            <w:right w:w="0" w:type="dxa"/>
          </w:tcMar>
          <w:vAlign w:val="center"/>
        </w:tcPr>
        <w:p w14:paraId="49B7914A" w14:textId="77777777" w:rsidR="003B4BBD" w:rsidRDefault="003B4BBD" w:rsidP="003B4BBD">
          <w:pPr>
            <w:pStyle w:val="FooterPage1"/>
            <w:widowControl/>
          </w:pPr>
        </w:p>
      </w:tc>
      <w:tc>
        <w:tcPr>
          <w:tcW w:w="8763" w:type="dxa"/>
          <w:tcBorders>
            <w:top w:val="nil"/>
            <w:left w:val="nil"/>
            <w:bottom w:val="nil"/>
            <w:right w:val="nil"/>
          </w:tcBorders>
          <w:tcMar>
            <w:top w:w="0" w:type="dxa"/>
            <w:left w:w="85" w:type="dxa"/>
            <w:bottom w:w="0" w:type="dxa"/>
            <w:right w:w="0" w:type="dxa"/>
          </w:tcMar>
          <w:vAlign w:val="center"/>
        </w:tcPr>
        <w:p w14:paraId="224DA97D" w14:textId="77777777" w:rsidR="003B4BBD" w:rsidRDefault="00E654A2" w:rsidP="004017C6">
          <w:pPr>
            <w:pStyle w:val="FooterPage1"/>
            <w:widowControl/>
            <w:jc w:val="right"/>
          </w:pPr>
          <w:r>
            <w:t>© Commonwealth of Australia</w:t>
          </w:r>
          <w:r w:rsidR="00400241">
            <w:t xml:space="preserve"> </w:t>
          </w:r>
          <w:r w:rsidR="00E335D1">
            <w:t>20</w:t>
          </w:r>
          <w:r w:rsidR="004017C6">
            <w:t>2</w:t>
          </w:r>
          <w:r w:rsidR="006C75FD">
            <w:t>1</w:t>
          </w:r>
        </w:p>
      </w:tc>
    </w:tr>
  </w:tbl>
  <w:p w14:paraId="7D6CE8F5" w14:textId="77777777" w:rsidR="003B4BBD" w:rsidRDefault="003B4BBD">
    <w:pPr>
      <w:pStyle w:val="Footer"/>
      <w:widowControl/>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E334" w14:textId="77777777" w:rsidR="00E654A2" w:rsidRDefault="00E654A2">
      <w:pPr>
        <w:rPr>
          <w:lang w:val="en-US"/>
        </w:rPr>
      </w:pPr>
      <w:r>
        <w:rPr>
          <w:lang w:val="en-US"/>
        </w:rPr>
        <w:separator/>
      </w:r>
    </w:p>
  </w:footnote>
  <w:footnote w:type="continuationSeparator" w:id="0">
    <w:p w14:paraId="0BFCF54C" w14:textId="77777777" w:rsidR="00E654A2" w:rsidRDefault="00E654A2">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59A4" w14:textId="77777777" w:rsidR="003B4BBD" w:rsidRDefault="00E654A2">
    <w:pPr>
      <w:framePr w:wrap="around" w:vAnchor="text" w:hAnchor="margin" w:xAlign="center" w:y="2"/>
      <w:widowControl/>
      <w:numPr>
        <w:ilvl w:val="12"/>
        <w:numId w:val="0"/>
      </w:numPr>
      <w:ind w:hanging="851"/>
      <w:rPr>
        <w:lang w:val="en-US"/>
      </w:rPr>
    </w:pPr>
    <w:r>
      <w:fldChar w:fldCharType="begin"/>
    </w:r>
    <w:r>
      <w:instrText xml:space="preserve">PAGE  </w:instrText>
    </w:r>
    <w:r>
      <w:fldChar w:fldCharType="end"/>
    </w:r>
  </w:p>
  <w:p w14:paraId="111FADF7" w14:textId="77777777" w:rsidR="003B4BBD" w:rsidRDefault="003B4BBD">
    <w:pPr>
      <w:widowControl/>
      <w:numPr>
        <w:ilvl w:val="12"/>
        <w:numId w:val="0"/>
      </w:numPr>
      <w:ind w:hanging="851"/>
      <w:rPr>
        <w:lang w:val="en-US"/>
      </w:rPr>
    </w:pPr>
  </w:p>
  <w:p w14:paraId="076197DA" w14:textId="77777777" w:rsidR="003B4BBD" w:rsidRDefault="003B4BBD">
    <w:pPr>
      <w:widowControl/>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3B4BBD" w14:paraId="26FBAF0C" w14:textId="77777777">
      <w:trPr>
        <w:trHeight w:hRule="exact" w:val="1702"/>
      </w:trPr>
      <w:tc>
        <w:tcPr>
          <w:tcW w:w="6407" w:type="dxa"/>
          <w:tcBorders>
            <w:top w:val="nil"/>
            <w:left w:val="nil"/>
            <w:bottom w:val="nil"/>
            <w:right w:val="nil"/>
          </w:tcBorders>
          <w:tcMar>
            <w:top w:w="0" w:type="dxa"/>
            <w:left w:w="0" w:type="dxa"/>
            <w:bottom w:w="0" w:type="dxa"/>
            <w:right w:w="0" w:type="dxa"/>
          </w:tcMar>
        </w:tcPr>
        <w:p w14:paraId="103042EA" w14:textId="77777777" w:rsidR="003B4BBD" w:rsidRDefault="00E654A2" w:rsidP="003B4BBD">
          <w:pPr>
            <w:widowControl/>
            <w:numPr>
              <w:ilvl w:val="12"/>
              <w:numId w:val="0"/>
            </w:numPr>
            <w:rPr>
              <w:sz w:val="22"/>
            </w:rPr>
          </w:pPr>
          <w:r>
            <w:rPr>
              <w:noProof/>
              <w:lang w:val="en-US"/>
            </w:rPr>
            <w:drawing>
              <wp:inline distT="0" distB="0" distL="0" distR="0" wp14:anchorId="3282BD75" wp14:editId="5CAB0173">
                <wp:extent cx="2451100" cy="920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920750"/>
                        </a:xfrm>
                        <a:prstGeom prst="rect">
                          <a:avLst/>
                        </a:prstGeom>
                        <a:noFill/>
                        <a:ln>
                          <a:noFill/>
                        </a:ln>
                      </pic:spPr>
                    </pic:pic>
                  </a:graphicData>
                </a:graphic>
              </wp:inline>
            </w:drawing>
          </w:r>
        </w:p>
      </w:tc>
      <w:tc>
        <w:tcPr>
          <w:tcW w:w="3969" w:type="dxa"/>
          <w:tcBorders>
            <w:top w:val="nil"/>
            <w:left w:val="nil"/>
            <w:bottom w:val="nil"/>
            <w:right w:val="nil"/>
          </w:tcBorders>
          <w:tcMar>
            <w:top w:w="0" w:type="dxa"/>
            <w:left w:w="0" w:type="dxa"/>
            <w:bottom w:w="0" w:type="dxa"/>
            <w:right w:w="0" w:type="dxa"/>
          </w:tcMar>
          <w:vAlign w:val="bottom"/>
        </w:tcPr>
        <w:p w14:paraId="2683BD23" w14:textId="77777777" w:rsidR="003B4BBD" w:rsidRDefault="00E654A2" w:rsidP="003B4BBD">
          <w:pPr>
            <w:widowControl/>
            <w:numPr>
              <w:ilvl w:val="12"/>
              <w:numId w:val="0"/>
            </w:numPr>
            <w:jc w:val="right"/>
            <w:rPr>
              <w:sz w:val="22"/>
            </w:rPr>
          </w:pPr>
          <w:r>
            <w:rPr>
              <w:noProof/>
            </w:rPr>
            <w:drawing>
              <wp:anchor distT="0" distB="0" distL="114300" distR="114300" simplePos="0" relativeHeight="251659264" behindDoc="1" locked="0" layoutInCell="1" allowOverlap="1" wp14:anchorId="276391B7" wp14:editId="31D9D367">
                <wp:simplePos x="0" y="0"/>
                <wp:positionH relativeFrom="column">
                  <wp:posOffset>4445</wp:posOffset>
                </wp:positionH>
                <wp:positionV relativeFrom="paragraph">
                  <wp:posOffset>685800</wp:posOffset>
                </wp:positionV>
                <wp:extent cx="2106930" cy="246380"/>
                <wp:effectExtent l="0" t="0" r="0" b="0"/>
                <wp:wrapNone/>
                <wp:docPr id="1" name="Picture 314" descr="C:\Users\ediwel.ADMINTRIBUNAL\Desktop\reasons for deci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Users\ediwel.ADMINTRIBUNAL\Desktop\reasons for decisi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246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773634" w14:textId="77777777" w:rsidR="003B4BBD" w:rsidRDefault="003B4BBD" w:rsidP="00DD17FC">
    <w:pPr>
      <w:pStyle w:val="NoSpacing"/>
      <w:widowContro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7B69FF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E3BC5C20"/>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A76904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09C864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AC6C569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D164084"/>
    <w:multiLevelType w:val="multilevel"/>
    <w:tmpl w:val="028CECC4"/>
    <w:styleLink w:val="ListNumbers"/>
    <w:lvl w:ilvl="0">
      <w:start w:val="1"/>
      <w:numFmt w:val="decimal"/>
      <w:lvlText w:val="%1."/>
      <w:lvlJc w:val="left"/>
      <w:pPr>
        <w:tabs>
          <w:tab w:val="num" w:pos="0"/>
        </w:tabs>
        <w:ind w:hanging="709"/>
      </w:pPr>
    </w:lvl>
    <w:lvl w:ilvl="1">
      <w:start w:val="1"/>
      <w:numFmt w:val="lowerLetter"/>
      <w:lvlRestart w:val="0"/>
      <w:lvlText w:val="(%2)"/>
      <w:lvlJc w:val="left"/>
      <w:pPr>
        <w:tabs>
          <w:tab w:val="num" w:pos="709"/>
        </w:tabs>
        <w:ind w:left="709" w:hanging="709"/>
      </w:pPr>
    </w:lvl>
    <w:lvl w:ilvl="2">
      <w:start w:val="1"/>
      <w:numFmt w:val="lowerRoman"/>
      <w:lvlRestart w:val="0"/>
      <w:lvlText w:val="(%3)"/>
      <w:lvlJc w:val="left"/>
      <w:pPr>
        <w:tabs>
          <w:tab w:val="num" w:pos="1418"/>
        </w:tabs>
        <w:ind w:left="1418" w:hanging="709"/>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6" w15:restartNumberingAfterBreak="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6B378B"/>
    <w:multiLevelType w:val="multilevel"/>
    <w:tmpl w:val="C38441E4"/>
    <w:numStyleLink w:val="Quotes"/>
  </w:abstractNum>
  <w:abstractNum w:abstractNumId="8" w15:restartNumberingAfterBreak="0">
    <w:nsid w:val="2D8E4DEF"/>
    <w:multiLevelType w:val="multilevel"/>
    <w:tmpl w:val="C38441E4"/>
    <w:styleLink w:val="Quotes"/>
    <w:lvl w:ilvl="0">
      <w:start w:val="1"/>
      <w:numFmt w:val="decimal"/>
      <w:lvlText w:val="%1"/>
      <w:lvlJc w:val="left"/>
      <w:pPr>
        <w:tabs>
          <w:tab w:val="num" w:pos="1276"/>
        </w:tabs>
        <w:ind w:left="1276" w:hanging="567"/>
      </w:pPr>
    </w:lvl>
    <w:lvl w:ilvl="1">
      <w:start w:val="1"/>
      <w:numFmt w:val="lowerLetter"/>
      <w:lvlText w:val="(%2)"/>
      <w:lvlJc w:val="left"/>
      <w:pPr>
        <w:tabs>
          <w:tab w:val="num" w:pos="1843"/>
        </w:tabs>
        <w:ind w:left="1843" w:hanging="567"/>
      </w:pPr>
    </w:lvl>
    <w:lvl w:ilvl="2">
      <w:start w:val="1"/>
      <w:numFmt w:val="lowerRoman"/>
      <w:lvlText w:val="(%3)"/>
      <w:lvlJc w:val="left"/>
      <w:pPr>
        <w:tabs>
          <w:tab w:val="num" w:pos="2410"/>
        </w:tabs>
        <w:ind w:left="2410" w:hanging="567"/>
      </w:pPr>
    </w:lvl>
    <w:lvl w:ilvl="3">
      <w:start w:val="1"/>
      <w:numFmt w:val="none"/>
      <w:lvlText w:val=""/>
      <w:lvlJc w:val="left"/>
      <w:pPr>
        <w:tabs>
          <w:tab w:val="num" w:pos="2410"/>
        </w:tabs>
        <w:ind w:left="2410" w:hanging="567"/>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9" w15:restartNumberingAfterBreak="0">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C95644A"/>
    <w:multiLevelType w:val="multilevel"/>
    <w:tmpl w:val="2160D004"/>
    <w:styleLink w:val="Bullets"/>
    <w:lvl w:ilvl="0">
      <w:start w:val="1"/>
      <w:numFmt w:val="bullet"/>
      <w:lvlText w:val=""/>
      <w:lvlJc w:val="left"/>
      <w:pPr>
        <w:tabs>
          <w:tab w:val="num" w:pos="1276"/>
        </w:tabs>
        <w:ind w:left="709" w:hanging="709"/>
      </w:pPr>
      <w:rPr>
        <w:rFonts w:ascii="Symbol" w:hAnsi="Symbol"/>
        <w:b w:val="0"/>
        <w:i w:val="0"/>
        <w:color w:val="auto"/>
        <w:sz w:val="24"/>
      </w:rPr>
    </w:lvl>
    <w:lvl w:ilvl="1">
      <w:start w:val="1"/>
      <w:numFmt w:val="bullet"/>
      <w:lvlRestart w:val="0"/>
      <w:lvlText w:val="o"/>
      <w:lvlJc w:val="left"/>
      <w:pPr>
        <w:tabs>
          <w:tab w:val="num" w:pos="1843"/>
        </w:tabs>
        <w:ind w:left="1418" w:hanging="709"/>
      </w:pPr>
      <w:rPr>
        <w:rFonts w:ascii="Courier New" w:hAnsi="Courier New"/>
        <w:color w:val="auto"/>
      </w:rPr>
    </w:lvl>
    <w:lvl w:ilvl="2">
      <w:start w:val="1"/>
      <w:numFmt w:val="bullet"/>
      <w:lvlRestart w:val="0"/>
      <w:lvlText w:val=""/>
      <w:lvlJc w:val="left"/>
      <w:pPr>
        <w:tabs>
          <w:tab w:val="num" w:pos="2410"/>
        </w:tabs>
        <w:ind w:left="2410" w:hanging="567"/>
      </w:pPr>
      <w:rPr>
        <w:rFonts w:ascii="Symbol" w:hAnsi="Symbol"/>
        <w:color w:val="auto"/>
      </w:rPr>
    </w:lvl>
    <w:lvl w:ilvl="3">
      <w:start w:val="1"/>
      <w:numFmt w:val="bullet"/>
      <w:lvlRestart w:val="0"/>
      <w:lvlText w:val=""/>
      <w:lvlJc w:val="left"/>
      <w:pPr>
        <w:tabs>
          <w:tab w:val="num" w:pos="2977"/>
        </w:tabs>
        <w:ind w:left="2977" w:hanging="567"/>
      </w:pPr>
      <w:rPr>
        <w:rFonts w:ascii="Symbol" w:hAnsi="Symbol"/>
        <w:color w:val="auto"/>
      </w:rPr>
    </w:lvl>
    <w:lvl w:ilvl="4">
      <w:start w:val="1"/>
      <w:numFmt w:val="bullet"/>
      <w:lvlRestart w:val="0"/>
      <w:lvlText w:val=""/>
      <w:lvlJc w:val="left"/>
      <w:pPr>
        <w:tabs>
          <w:tab w:val="num" w:pos="3544"/>
        </w:tabs>
        <w:ind w:left="3544" w:hanging="567"/>
      </w:pPr>
      <w:rPr>
        <w:rFonts w:ascii="Symbol" w:hAnsi="Symbol"/>
        <w:color w:val="auto"/>
      </w:rPr>
    </w:lvl>
    <w:lvl w:ilvl="5">
      <w:start w:val="1"/>
      <w:numFmt w:val="bullet"/>
      <w:lvlRestart w:val="0"/>
      <w:lvlText w:val=""/>
      <w:lvlJc w:val="left"/>
      <w:pPr>
        <w:tabs>
          <w:tab w:val="num" w:pos="4111"/>
        </w:tabs>
        <w:ind w:left="4111" w:hanging="567"/>
      </w:pPr>
      <w:rPr>
        <w:rFonts w:ascii="Symbol" w:hAnsi="Symbol"/>
        <w:color w:val="auto"/>
      </w:rPr>
    </w:lvl>
    <w:lvl w:ilvl="6">
      <w:start w:val="1"/>
      <w:numFmt w:val="bullet"/>
      <w:lvlRestart w:val="0"/>
      <w:lvlText w:val=""/>
      <w:lvlJc w:val="left"/>
      <w:pPr>
        <w:tabs>
          <w:tab w:val="num" w:pos="4678"/>
        </w:tabs>
        <w:ind w:left="4678" w:hanging="567"/>
      </w:pPr>
      <w:rPr>
        <w:rFonts w:ascii="Symbol" w:hAnsi="Symbol"/>
        <w:color w:val="auto"/>
      </w:rPr>
    </w:lvl>
    <w:lvl w:ilvl="7">
      <w:start w:val="1"/>
      <w:numFmt w:val="bullet"/>
      <w:lvlRestart w:val="0"/>
      <w:lvlText w:val=""/>
      <w:lvlJc w:val="left"/>
      <w:pPr>
        <w:tabs>
          <w:tab w:val="num" w:pos="5245"/>
        </w:tabs>
        <w:ind w:left="5245" w:hanging="567"/>
      </w:pPr>
      <w:rPr>
        <w:rFonts w:ascii="Symbol" w:hAnsi="Symbol"/>
        <w:color w:val="auto"/>
      </w:rPr>
    </w:lvl>
    <w:lvl w:ilvl="8">
      <w:start w:val="1"/>
      <w:numFmt w:val="bullet"/>
      <w:lvlRestart w:val="0"/>
      <w:lvlText w:val=""/>
      <w:lvlJc w:val="left"/>
      <w:pPr>
        <w:tabs>
          <w:tab w:val="num" w:pos="5812"/>
        </w:tabs>
        <w:ind w:left="5812" w:hanging="567"/>
      </w:pPr>
      <w:rPr>
        <w:rFonts w:ascii="Symbol" w:hAnsi="Symbol"/>
        <w:color w:val="auto"/>
      </w:rPr>
    </w:lvl>
  </w:abstractNum>
  <w:abstractNum w:abstractNumId="11" w15:restartNumberingAfterBreak="0">
    <w:nsid w:val="641E12EB"/>
    <w:multiLevelType w:val="multilevel"/>
    <w:tmpl w:val="2160D004"/>
    <w:numStyleLink w:val="Bullets"/>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9"/>
  </w:num>
  <w:num w:numId="8">
    <w:abstractNumId w:val="10"/>
  </w:num>
  <w:num w:numId="9">
    <w:abstractNumId w:val="11"/>
  </w:num>
  <w:num w:numId="10">
    <w:abstractNumId w:val="5"/>
  </w:num>
  <w:num w:numId="11">
    <w:abstractNumId w:val="8"/>
  </w:num>
  <w:num w:numId="12">
    <w:abstractNumId w:val="7"/>
  </w:num>
  <w:num w:numId="13">
    <w:abstractNumId w:val="5"/>
    <w:lvlOverride w:ilvl="0">
      <w:lvl w:ilvl="0">
        <w:start w:val="1"/>
        <w:numFmt w:val="decimal"/>
        <w:lvlText w:val="%1."/>
        <w:lvlJc w:val="left"/>
        <w:pPr>
          <w:tabs>
            <w:tab w:val="num" w:pos="0"/>
          </w:tabs>
          <w:ind w:hanging="70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3"/>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docVars>
    <w:docVar w:name="FirstRun" w:val="True"/>
    <w:docVar w:name="RunAlready" w:val="False"/>
  </w:docVars>
  <w:rsids>
    <w:rsidRoot w:val="00C977E4"/>
    <w:rsid w:val="00000438"/>
    <w:rsid w:val="00000788"/>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5615"/>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0E52"/>
    <w:rsid w:val="00143874"/>
    <w:rsid w:val="0014665F"/>
    <w:rsid w:val="001466C7"/>
    <w:rsid w:val="00152EB0"/>
    <w:rsid w:val="00155013"/>
    <w:rsid w:val="00156035"/>
    <w:rsid w:val="00161B81"/>
    <w:rsid w:val="001623BA"/>
    <w:rsid w:val="001625D8"/>
    <w:rsid w:val="0016425D"/>
    <w:rsid w:val="00167157"/>
    <w:rsid w:val="0016773D"/>
    <w:rsid w:val="00170921"/>
    <w:rsid w:val="00170BEE"/>
    <w:rsid w:val="00173896"/>
    <w:rsid w:val="00174965"/>
    <w:rsid w:val="001761FE"/>
    <w:rsid w:val="00177ECF"/>
    <w:rsid w:val="001803FE"/>
    <w:rsid w:val="00183666"/>
    <w:rsid w:val="00184EF2"/>
    <w:rsid w:val="001851A9"/>
    <w:rsid w:val="00185304"/>
    <w:rsid w:val="0018598D"/>
    <w:rsid w:val="00187636"/>
    <w:rsid w:val="0019014B"/>
    <w:rsid w:val="00197BFF"/>
    <w:rsid w:val="001A1E93"/>
    <w:rsid w:val="001A2C68"/>
    <w:rsid w:val="001A3530"/>
    <w:rsid w:val="001A364D"/>
    <w:rsid w:val="001A364E"/>
    <w:rsid w:val="001A37DD"/>
    <w:rsid w:val="001A4085"/>
    <w:rsid w:val="001A4617"/>
    <w:rsid w:val="001B1E7D"/>
    <w:rsid w:val="001B7953"/>
    <w:rsid w:val="001C1058"/>
    <w:rsid w:val="001C59B1"/>
    <w:rsid w:val="001D0804"/>
    <w:rsid w:val="001D5528"/>
    <w:rsid w:val="001D5B26"/>
    <w:rsid w:val="001D661E"/>
    <w:rsid w:val="001D734A"/>
    <w:rsid w:val="001E0794"/>
    <w:rsid w:val="001E1E9E"/>
    <w:rsid w:val="001E237C"/>
    <w:rsid w:val="001E4799"/>
    <w:rsid w:val="001F058C"/>
    <w:rsid w:val="001F2404"/>
    <w:rsid w:val="001F2C5D"/>
    <w:rsid w:val="001F3698"/>
    <w:rsid w:val="001F50D1"/>
    <w:rsid w:val="001F708A"/>
    <w:rsid w:val="001F711F"/>
    <w:rsid w:val="00200058"/>
    <w:rsid w:val="00200390"/>
    <w:rsid w:val="00201958"/>
    <w:rsid w:val="00202BDD"/>
    <w:rsid w:val="002037D9"/>
    <w:rsid w:val="00203F58"/>
    <w:rsid w:val="002044E0"/>
    <w:rsid w:val="00207656"/>
    <w:rsid w:val="002101C7"/>
    <w:rsid w:val="0021136A"/>
    <w:rsid w:val="00211543"/>
    <w:rsid w:val="002135E8"/>
    <w:rsid w:val="002137DF"/>
    <w:rsid w:val="00213896"/>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341E"/>
    <w:rsid w:val="00305792"/>
    <w:rsid w:val="003058C9"/>
    <w:rsid w:val="003070FA"/>
    <w:rsid w:val="00307689"/>
    <w:rsid w:val="00311F36"/>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4501"/>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0241"/>
    <w:rsid w:val="00401581"/>
    <w:rsid w:val="004017C6"/>
    <w:rsid w:val="004022B2"/>
    <w:rsid w:val="004050E6"/>
    <w:rsid w:val="00406B68"/>
    <w:rsid w:val="00411738"/>
    <w:rsid w:val="004152C5"/>
    <w:rsid w:val="00416CE8"/>
    <w:rsid w:val="00417658"/>
    <w:rsid w:val="00426A4B"/>
    <w:rsid w:val="00434C15"/>
    <w:rsid w:val="00434C43"/>
    <w:rsid w:val="0044330A"/>
    <w:rsid w:val="0045440C"/>
    <w:rsid w:val="00454437"/>
    <w:rsid w:val="00463C53"/>
    <w:rsid w:val="00466655"/>
    <w:rsid w:val="0047066D"/>
    <w:rsid w:val="00472670"/>
    <w:rsid w:val="004727B7"/>
    <w:rsid w:val="00473144"/>
    <w:rsid w:val="00473AB1"/>
    <w:rsid w:val="00477F42"/>
    <w:rsid w:val="00480DF4"/>
    <w:rsid w:val="00483EB6"/>
    <w:rsid w:val="004856B3"/>
    <w:rsid w:val="00485A89"/>
    <w:rsid w:val="004905BD"/>
    <w:rsid w:val="00490C0A"/>
    <w:rsid w:val="00490EC7"/>
    <w:rsid w:val="004A0002"/>
    <w:rsid w:val="004A4F2C"/>
    <w:rsid w:val="004A55A2"/>
    <w:rsid w:val="004A75CC"/>
    <w:rsid w:val="004B6924"/>
    <w:rsid w:val="004C4132"/>
    <w:rsid w:val="004C7483"/>
    <w:rsid w:val="004C74C6"/>
    <w:rsid w:val="004D0176"/>
    <w:rsid w:val="004D14B7"/>
    <w:rsid w:val="004D3365"/>
    <w:rsid w:val="004E5063"/>
    <w:rsid w:val="004E720A"/>
    <w:rsid w:val="004E7541"/>
    <w:rsid w:val="004F13F5"/>
    <w:rsid w:val="004F5034"/>
    <w:rsid w:val="004F62A5"/>
    <w:rsid w:val="004F63A1"/>
    <w:rsid w:val="0050054F"/>
    <w:rsid w:val="0050166A"/>
    <w:rsid w:val="00502ACA"/>
    <w:rsid w:val="00505CF1"/>
    <w:rsid w:val="0050670F"/>
    <w:rsid w:val="00513A55"/>
    <w:rsid w:val="0051593B"/>
    <w:rsid w:val="00517BE6"/>
    <w:rsid w:val="00520D65"/>
    <w:rsid w:val="00522817"/>
    <w:rsid w:val="00522908"/>
    <w:rsid w:val="00526022"/>
    <w:rsid w:val="0052665E"/>
    <w:rsid w:val="00531AA1"/>
    <w:rsid w:val="00531B56"/>
    <w:rsid w:val="005328A4"/>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B60F0"/>
    <w:rsid w:val="005C0179"/>
    <w:rsid w:val="005C01A0"/>
    <w:rsid w:val="005C2BEF"/>
    <w:rsid w:val="005C5785"/>
    <w:rsid w:val="005C6B79"/>
    <w:rsid w:val="005D01F0"/>
    <w:rsid w:val="005D0FEB"/>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35CEE"/>
    <w:rsid w:val="00635E9D"/>
    <w:rsid w:val="00645512"/>
    <w:rsid w:val="00647330"/>
    <w:rsid w:val="00653401"/>
    <w:rsid w:val="0066062A"/>
    <w:rsid w:val="00661217"/>
    <w:rsid w:val="00661270"/>
    <w:rsid w:val="00662B1E"/>
    <w:rsid w:val="00663243"/>
    <w:rsid w:val="00664295"/>
    <w:rsid w:val="00667129"/>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5FD"/>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1FFC"/>
    <w:rsid w:val="006E4432"/>
    <w:rsid w:val="006E467D"/>
    <w:rsid w:val="006E5759"/>
    <w:rsid w:val="006E5CA8"/>
    <w:rsid w:val="006F0A2D"/>
    <w:rsid w:val="006F16E0"/>
    <w:rsid w:val="006F4185"/>
    <w:rsid w:val="006F569F"/>
    <w:rsid w:val="0070444D"/>
    <w:rsid w:val="00705F57"/>
    <w:rsid w:val="0070693C"/>
    <w:rsid w:val="0070746A"/>
    <w:rsid w:val="00707C6C"/>
    <w:rsid w:val="00713462"/>
    <w:rsid w:val="00713ADF"/>
    <w:rsid w:val="0072102D"/>
    <w:rsid w:val="00721D66"/>
    <w:rsid w:val="007221CA"/>
    <w:rsid w:val="00724C6E"/>
    <w:rsid w:val="00726B2F"/>
    <w:rsid w:val="00726DE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1E98"/>
    <w:rsid w:val="0077217E"/>
    <w:rsid w:val="0077250E"/>
    <w:rsid w:val="00773CCF"/>
    <w:rsid w:val="00776FD2"/>
    <w:rsid w:val="007800EC"/>
    <w:rsid w:val="0078314E"/>
    <w:rsid w:val="007840EF"/>
    <w:rsid w:val="00785FFA"/>
    <w:rsid w:val="00797D4B"/>
    <w:rsid w:val="007A2C86"/>
    <w:rsid w:val="007B585F"/>
    <w:rsid w:val="007B6AC8"/>
    <w:rsid w:val="007B71FC"/>
    <w:rsid w:val="007C276C"/>
    <w:rsid w:val="007C2885"/>
    <w:rsid w:val="007C2DF2"/>
    <w:rsid w:val="007C326A"/>
    <w:rsid w:val="007C49E5"/>
    <w:rsid w:val="007C7239"/>
    <w:rsid w:val="007C7784"/>
    <w:rsid w:val="007C7CFC"/>
    <w:rsid w:val="007D1803"/>
    <w:rsid w:val="007D21A6"/>
    <w:rsid w:val="007D5ED6"/>
    <w:rsid w:val="007D7592"/>
    <w:rsid w:val="007E173D"/>
    <w:rsid w:val="007F3BD7"/>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338C0"/>
    <w:rsid w:val="00835198"/>
    <w:rsid w:val="00840681"/>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25B1"/>
    <w:rsid w:val="008629EB"/>
    <w:rsid w:val="00862CFE"/>
    <w:rsid w:val="00864777"/>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7170"/>
    <w:rsid w:val="008C1ACF"/>
    <w:rsid w:val="008C2C0A"/>
    <w:rsid w:val="008C4D87"/>
    <w:rsid w:val="008D0B03"/>
    <w:rsid w:val="008D1E16"/>
    <w:rsid w:val="008D75FE"/>
    <w:rsid w:val="008F0E23"/>
    <w:rsid w:val="008F49AD"/>
    <w:rsid w:val="008F4CE4"/>
    <w:rsid w:val="009003F4"/>
    <w:rsid w:val="00900A96"/>
    <w:rsid w:val="009030DC"/>
    <w:rsid w:val="009061A1"/>
    <w:rsid w:val="0091202C"/>
    <w:rsid w:val="009151B2"/>
    <w:rsid w:val="00916850"/>
    <w:rsid w:val="009201DC"/>
    <w:rsid w:val="00921243"/>
    <w:rsid w:val="00924FD7"/>
    <w:rsid w:val="00926EDE"/>
    <w:rsid w:val="009271DA"/>
    <w:rsid w:val="00934AD0"/>
    <w:rsid w:val="00935401"/>
    <w:rsid w:val="009356EB"/>
    <w:rsid w:val="00943F4B"/>
    <w:rsid w:val="00947603"/>
    <w:rsid w:val="00947F2E"/>
    <w:rsid w:val="00950B47"/>
    <w:rsid w:val="00952EBD"/>
    <w:rsid w:val="00954082"/>
    <w:rsid w:val="009602B5"/>
    <w:rsid w:val="0096159B"/>
    <w:rsid w:val="00963197"/>
    <w:rsid w:val="00963ABB"/>
    <w:rsid w:val="00964E99"/>
    <w:rsid w:val="00966E06"/>
    <w:rsid w:val="0097371F"/>
    <w:rsid w:val="00975559"/>
    <w:rsid w:val="00985BC9"/>
    <w:rsid w:val="00985FF8"/>
    <w:rsid w:val="00987A78"/>
    <w:rsid w:val="00990F29"/>
    <w:rsid w:val="00994A78"/>
    <w:rsid w:val="00994F17"/>
    <w:rsid w:val="0099661B"/>
    <w:rsid w:val="009A42E4"/>
    <w:rsid w:val="009A6063"/>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06DE"/>
    <w:rsid w:val="00A237DD"/>
    <w:rsid w:val="00A240E9"/>
    <w:rsid w:val="00A27932"/>
    <w:rsid w:val="00A32543"/>
    <w:rsid w:val="00A336C1"/>
    <w:rsid w:val="00A421E8"/>
    <w:rsid w:val="00A42C48"/>
    <w:rsid w:val="00A47435"/>
    <w:rsid w:val="00A51A9C"/>
    <w:rsid w:val="00A55F5C"/>
    <w:rsid w:val="00A57111"/>
    <w:rsid w:val="00A575A7"/>
    <w:rsid w:val="00A66C12"/>
    <w:rsid w:val="00A71ACA"/>
    <w:rsid w:val="00A724F3"/>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1CB4"/>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16C9"/>
    <w:rsid w:val="00B819B4"/>
    <w:rsid w:val="00B825B3"/>
    <w:rsid w:val="00B87FB8"/>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D2F"/>
    <w:rsid w:val="00BB4DDC"/>
    <w:rsid w:val="00BB6A72"/>
    <w:rsid w:val="00BB7405"/>
    <w:rsid w:val="00BB74E6"/>
    <w:rsid w:val="00BC1CC8"/>
    <w:rsid w:val="00BC2D09"/>
    <w:rsid w:val="00BC3D36"/>
    <w:rsid w:val="00BC53EB"/>
    <w:rsid w:val="00BC75C3"/>
    <w:rsid w:val="00BD007E"/>
    <w:rsid w:val="00BD0F9A"/>
    <w:rsid w:val="00BD1CBC"/>
    <w:rsid w:val="00BD1CE4"/>
    <w:rsid w:val="00BD33AF"/>
    <w:rsid w:val="00BD40FE"/>
    <w:rsid w:val="00BE1AAE"/>
    <w:rsid w:val="00BE4DCE"/>
    <w:rsid w:val="00BF0304"/>
    <w:rsid w:val="00BF1A7B"/>
    <w:rsid w:val="00BF2524"/>
    <w:rsid w:val="00BF384D"/>
    <w:rsid w:val="00BF5513"/>
    <w:rsid w:val="00BF654D"/>
    <w:rsid w:val="00BF6ED6"/>
    <w:rsid w:val="00C00EAE"/>
    <w:rsid w:val="00C03EAA"/>
    <w:rsid w:val="00C05300"/>
    <w:rsid w:val="00C116C1"/>
    <w:rsid w:val="00C1753D"/>
    <w:rsid w:val="00C2072D"/>
    <w:rsid w:val="00C33D54"/>
    <w:rsid w:val="00C34FCC"/>
    <w:rsid w:val="00C36FD6"/>
    <w:rsid w:val="00C40AD0"/>
    <w:rsid w:val="00C41CEB"/>
    <w:rsid w:val="00C4309C"/>
    <w:rsid w:val="00C435F7"/>
    <w:rsid w:val="00C45890"/>
    <w:rsid w:val="00C4589C"/>
    <w:rsid w:val="00C46F19"/>
    <w:rsid w:val="00C519F0"/>
    <w:rsid w:val="00C52E97"/>
    <w:rsid w:val="00C5401C"/>
    <w:rsid w:val="00C54247"/>
    <w:rsid w:val="00C56C6C"/>
    <w:rsid w:val="00C57261"/>
    <w:rsid w:val="00C5781A"/>
    <w:rsid w:val="00C57B09"/>
    <w:rsid w:val="00C638C3"/>
    <w:rsid w:val="00C66CB9"/>
    <w:rsid w:val="00C70812"/>
    <w:rsid w:val="00C70B49"/>
    <w:rsid w:val="00C72F83"/>
    <w:rsid w:val="00C756F8"/>
    <w:rsid w:val="00C7661D"/>
    <w:rsid w:val="00C77C64"/>
    <w:rsid w:val="00C83CA0"/>
    <w:rsid w:val="00C83E00"/>
    <w:rsid w:val="00C845EA"/>
    <w:rsid w:val="00C93672"/>
    <w:rsid w:val="00C94EDA"/>
    <w:rsid w:val="00C95193"/>
    <w:rsid w:val="00C977E4"/>
    <w:rsid w:val="00CA099E"/>
    <w:rsid w:val="00CA211B"/>
    <w:rsid w:val="00CA2EC5"/>
    <w:rsid w:val="00CA469B"/>
    <w:rsid w:val="00CA69DA"/>
    <w:rsid w:val="00CB18AE"/>
    <w:rsid w:val="00CB4124"/>
    <w:rsid w:val="00CB4DCF"/>
    <w:rsid w:val="00CC0C86"/>
    <w:rsid w:val="00CC1A6B"/>
    <w:rsid w:val="00CC2329"/>
    <w:rsid w:val="00CC370F"/>
    <w:rsid w:val="00CC7478"/>
    <w:rsid w:val="00CC7598"/>
    <w:rsid w:val="00CD03C5"/>
    <w:rsid w:val="00CD0A16"/>
    <w:rsid w:val="00CD25EE"/>
    <w:rsid w:val="00CD2AD9"/>
    <w:rsid w:val="00CD497A"/>
    <w:rsid w:val="00CD4BDE"/>
    <w:rsid w:val="00CD5897"/>
    <w:rsid w:val="00CD6D47"/>
    <w:rsid w:val="00CE004E"/>
    <w:rsid w:val="00CE01F2"/>
    <w:rsid w:val="00CE08F6"/>
    <w:rsid w:val="00CE0B8E"/>
    <w:rsid w:val="00CE1622"/>
    <w:rsid w:val="00CE20EC"/>
    <w:rsid w:val="00CE5FF6"/>
    <w:rsid w:val="00CE68E5"/>
    <w:rsid w:val="00CF25D6"/>
    <w:rsid w:val="00CF3697"/>
    <w:rsid w:val="00CF5E0E"/>
    <w:rsid w:val="00CF7872"/>
    <w:rsid w:val="00D02DA5"/>
    <w:rsid w:val="00D03E1D"/>
    <w:rsid w:val="00D05215"/>
    <w:rsid w:val="00D0526C"/>
    <w:rsid w:val="00D054A3"/>
    <w:rsid w:val="00D05659"/>
    <w:rsid w:val="00D11646"/>
    <w:rsid w:val="00D11CBE"/>
    <w:rsid w:val="00D1397A"/>
    <w:rsid w:val="00D15C72"/>
    <w:rsid w:val="00D160CA"/>
    <w:rsid w:val="00D20486"/>
    <w:rsid w:val="00D20507"/>
    <w:rsid w:val="00D23357"/>
    <w:rsid w:val="00D23EFB"/>
    <w:rsid w:val="00D25909"/>
    <w:rsid w:val="00D26417"/>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60E86"/>
    <w:rsid w:val="00D660A1"/>
    <w:rsid w:val="00D729CB"/>
    <w:rsid w:val="00D73168"/>
    <w:rsid w:val="00D750F5"/>
    <w:rsid w:val="00D753E7"/>
    <w:rsid w:val="00D7573B"/>
    <w:rsid w:val="00D76EE5"/>
    <w:rsid w:val="00D832F6"/>
    <w:rsid w:val="00D83F73"/>
    <w:rsid w:val="00D86AF2"/>
    <w:rsid w:val="00D90A26"/>
    <w:rsid w:val="00D90A28"/>
    <w:rsid w:val="00D94FCE"/>
    <w:rsid w:val="00D9651F"/>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B0E"/>
    <w:rsid w:val="00DE0DFC"/>
    <w:rsid w:val="00DE3378"/>
    <w:rsid w:val="00DE35A0"/>
    <w:rsid w:val="00DE6020"/>
    <w:rsid w:val="00DE67BB"/>
    <w:rsid w:val="00DE6F75"/>
    <w:rsid w:val="00DF1A18"/>
    <w:rsid w:val="00E01B62"/>
    <w:rsid w:val="00E02515"/>
    <w:rsid w:val="00E02C96"/>
    <w:rsid w:val="00E05562"/>
    <w:rsid w:val="00E069C4"/>
    <w:rsid w:val="00E14A70"/>
    <w:rsid w:val="00E1533A"/>
    <w:rsid w:val="00E15377"/>
    <w:rsid w:val="00E17137"/>
    <w:rsid w:val="00E20D75"/>
    <w:rsid w:val="00E219DF"/>
    <w:rsid w:val="00E21BB2"/>
    <w:rsid w:val="00E21F00"/>
    <w:rsid w:val="00E22DC4"/>
    <w:rsid w:val="00E22FD9"/>
    <w:rsid w:val="00E26F98"/>
    <w:rsid w:val="00E31B49"/>
    <w:rsid w:val="00E31B91"/>
    <w:rsid w:val="00E335D1"/>
    <w:rsid w:val="00E35425"/>
    <w:rsid w:val="00E40360"/>
    <w:rsid w:val="00E41546"/>
    <w:rsid w:val="00E419D2"/>
    <w:rsid w:val="00E43144"/>
    <w:rsid w:val="00E53225"/>
    <w:rsid w:val="00E537F4"/>
    <w:rsid w:val="00E53E11"/>
    <w:rsid w:val="00E56B7F"/>
    <w:rsid w:val="00E60680"/>
    <w:rsid w:val="00E616B9"/>
    <w:rsid w:val="00E654A2"/>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D04F9"/>
    <w:rsid w:val="00EE0F4C"/>
    <w:rsid w:val="00EE19C3"/>
    <w:rsid w:val="00EE24D8"/>
    <w:rsid w:val="00EE6F06"/>
    <w:rsid w:val="00EE7912"/>
    <w:rsid w:val="00EF123D"/>
    <w:rsid w:val="00EF1394"/>
    <w:rsid w:val="00EF1799"/>
    <w:rsid w:val="00EF31CA"/>
    <w:rsid w:val="00EF380F"/>
    <w:rsid w:val="00EF54FD"/>
    <w:rsid w:val="00EF7890"/>
    <w:rsid w:val="00F01399"/>
    <w:rsid w:val="00F01667"/>
    <w:rsid w:val="00F0287F"/>
    <w:rsid w:val="00F061FA"/>
    <w:rsid w:val="00F067BB"/>
    <w:rsid w:val="00F06915"/>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2BE4"/>
    <w:rsid w:val="00F63CE5"/>
    <w:rsid w:val="00F66A79"/>
    <w:rsid w:val="00F72777"/>
    <w:rsid w:val="00F75AAB"/>
    <w:rsid w:val="00F77901"/>
    <w:rsid w:val="00F8376A"/>
    <w:rsid w:val="00F83E86"/>
    <w:rsid w:val="00FA041A"/>
    <w:rsid w:val="00FA1573"/>
    <w:rsid w:val="00FC1949"/>
    <w:rsid w:val="00FC2148"/>
    <w:rsid w:val="00FC43A5"/>
    <w:rsid w:val="00FC7D39"/>
    <w:rsid w:val="00FD391D"/>
    <w:rsid w:val="00FD3DB2"/>
    <w:rsid w:val="00FD72BB"/>
    <w:rsid w:val="00FE036A"/>
    <w:rsid w:val="00FE3C23"/>
    <w:rsid w:val="00FE435A"/>
    <w:rsid w:val="00FE72AC"/>
    <w:rsid w:val="00FE7EFA"/>
    <w:rsid w:val="00FF0105"/>
    <w:rsid w:val="00FF0F13"/>
    <w:rsid w:val="00FF1892"/>
    <w:rsid w:val="00FF2873"/>
    <w:rsid w:val="00FF2B2F"/>
    <w:rsid w:val="00FF3321"/>
    <w:rsid w:val="00FF511E"/>
    <w:rsid w:val="00FF7402"/>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9ECD7"/>
  <w14:defaultImageDpi w14:val="0"/>
  <w15:docId w15:val="{E68EF906-A3F7-490C-91F0-8E8B50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0"/>
    <w:lsdException w:name="macro" w:semiHidden="1" w:unhideWhenUsed="1"/>
    <w:lsdException w:name="toa heading" w:semiHidden="1" w:unhideWhenUsed="1"/>
    <w:lsdException w:name="List" w:locked="0"/>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locked="0"/>
    <w:lsdException w:name="List Continue 3" w:locked="0"/>
    <w:lsdException w:name="List Continue 4" w:locked="0"/>
    <w:lsdException w:name="List Continue 5" w:locked="0"/>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Normal">
    <w:name w:val="Normal"/>
    <w:qFormat/>
    <w:rsid w:val="00A575A7"/>
    <w:pPr>
      <w:widowControl w:val="0"/>
      <w:spacing w:before="240" w:after="0" w:line="360" w:lineRule="auto"/>
      <w:jc w:val="both"/>
    </w:pPr>
    <w:rPr>
      <w:rFonts w:ascii="Arial" w:hAnsi="Arial"/>
      <w:szCs w:val="20"/>
    </w:rPr>
  </w:style>
  <w:style w:type="paragraph" w:styleId="Heading1">
    <w:name w:val="heading 1"/>
    <w:basedOn w:val="Normal"/>
    <w:next w:val="ListNumber"/>
    <w:link w:val="Heading1Char"/>
    <w:uiPriority w:val="9"/>
    <w:qFormat/>
    <w:rsid w:val="006D113F"/>
    <w:pPr>
      <w:keepNext/>
      <w:spacing w:before="360" w:line="240" w:lineRule="auto"/>
      <w:jc w:val="left"/>
      <w:outlineLvl w:val="0"/>
    </w:pPr>
    <w:rPr>
      <w:b/>
      <w:caps/>
    </w:rPr>
  </w:style>
  <w:style w:type="paragraph" w:styleId="Heading2">
    <w:name w:val="heading 2"/>
    <w:basedOn w:val="Normal"/>
    <w:next w:val="ListNumber"/>
    <w:link w:val="Heading2Char"/>
    <w:uiPriority w:val="9"/>
    <w:qFormat/>
    <w:rsid w:val="006D113F"/>
    <w:pPr>
      <w:keepNext/>
      <w:spacing w:before="360" w:line="240" w:lineRule="auto"/>
      <w:jc w:val="left"/>
      <w:outlineLvl w:val="1"/>
    </w:pPr>
    <w:rPr>
      <w:b/>
    </w:rPr>
  </w:style>
  <w:style w:type="paragraph" w:styleId="Heading3">
    <w:name w:val="heading 3"/>
    <w:basedOn w:val="Normal"/>
    <w:next w:val="ListNumber"/>
    <w:link w:val="Heading3Char"/>
    <w:uiPriority w:val="9"/>
    <w:qFormat/>
    <w:rsid w:val="006D113F"/>
    <w:pPr>
      <w:keepNext/>
      <w:spacing w:before="360" w:line="240" w:lineRule="auto"/>
      <w:jc w:val="lef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D113F"/>
    <w:rPr>
      <w:rFonts w:ascii="Arial" w:hAnsi="Arial"/>
      <w:b/>
      <w:i/>
      <w:sz w:val="22"/>
    </w:rPr>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tabs>
        <w:tab w:val="left" w:pos="360"/>
      </w:tabs>
    </w:pPr>
  </w:style>
  <w:style w:type="paragraph" w:styleId="Quote">
    <w:name w:val="Quote"/>
    <w:basedOn w:val="Normal"/>
    <w:link w:val="QuoteChar"/>
    <w:uiPriority w:val="29"/>
    <w:qFormat/>
    <w:rsid w:val="009F2340"/>
    <w:pPr>
      <w:spacing w:before="120" w:line="240" w:lineRule="auto"/>
      <w:ind w:left="709"/>
    </w:pPr>
    <w:rPr>
      <w:i/>
    </w:rPr>
  </w:style>
  <w:style w:type="character" w:customStyle="1" w:styleId="QuoteChar">
    <w:name w:val="Quote Char"/>
    <w:basedOn w:val="DefaultParagraphFont"/>
    <w:link w:val="Quote"/>
    <w:uiPriority w:val="29"/>
    <w:rsid w:val="00167157"/>
    <w:rPr>
      <w:rFonts w:ascii="Arial" w:hAnsi="Arial"/>
      <w:i/>
      <w:sz w:val="22"/>
    </w:rPr>
  </w:style>
  <w:style w:type="paragraph" w:styleId="Footer">
    <w:name w:val="footer"/>
    <w:basedOn w:val="Normal"/>
    <w:link w:val="FooterChar"/>
    <w:uiPriority w:val="99"/>
    <w:rsid w:val="009D1AEA"/>
    <w:rPr>
      <w:b/>
      <w:caps/>
      <w:sz w:val="16"/>
    </w:rPr>
  </w:style>
  <w:style w:type="character" w:customStyle="1" w:styleId="FooterChar">
    <w:name w:val="Footer Char"/>
    <w:basedOn w:val="DefaultParagraphFont"/>
    <w:link w:val="Footer"/>
    <w:uiPriority w:val="99"/>
    <w:semiHidden/>
    <w:rPr>
      <w:rFonts w:ascii="Arial" w:hAnsi="Arial"/>
      <w:szCs w:val="20"/>
    </w:rPr>
  </w:style>
  <w:style w:type="table" w:styleId="TableGrid">
    <w:name w:val="Table Grid"/>
    <w:basedOn w:val="TableNormal"/>
    <w:uiPriority w:val="39"/>
    <w:rsid w:val="003E45BA"/>
    <w:pPr>
      <w:widowControl w:val="0"/>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uiPriority w:val="99"/>
    <w:qFormat/>
    <w:rsid w:val="0066062A"/>
    <w:pPr>
      <w:ind w:left="709"/>
    </w:pPr>
  </w:style>
  <w:style w:type="paragraph" w:customStyle="1" w:styleId="NumberedQuote3">
    <w:name w:val="Numbered Quote 3"/>
    <w:basedOn w:val="Quote"/>
    <w:qFormat/>
    <w:rsid w:val="00BF384D"/>
    <w:pPr>
      <w:numPr>
        <w:ilvl w:val="1"/>
        <w:numId w:val="7"/>
      </w:numPr>
      <w:tabs>
        <w:tab w:val="left" w:pos="1843"/>
      </w:tabs>
      <w:ind w:left="1843" w:hanging="567"/>
    </w:pPr>
  </w:style>
  <w:style w:type="paragraph" w:customStyle="1" w:styleId="NumberedQuote4">
    <w:name w:val="Numbered Quote 4"/>
    <w:basedOn w:val="Quote"/>
    <w:qFormat/>
    <w:rsid w:val="00BF384D"/>
    <w:pPr>
      <w:numPr>
        <w:ilvl w:val="2"/>
        <w:numId w:val="7"/>
      </w:numPr>
      <w:tabs>
        <w:tab w:val="left" w:pos="2410"/>
      </w:tabs>
      <w:ind w:left="2410" w:hanging="567"/>
    </w:pPr>
  </w:style>
  <w:style w:type="paragraph" w:styleId="ListBullet">
    <w:name w:val="List Bullet"/>
    <w:basedOn w:val="Normal"/>
    <w:uiPriority w:val="99"/>
    <w:qFormat/>
    <w:rsid w:val="000903C8"/>
    <w:pPr>
      <w:numPr>
        <w:numId w:val="4"/>
      </w:numPr>
      <w:tabs>
        <w:tab w:val="clear" w:pos="643"/>
        <w:tab w:val="left" w:pos="1276"/>
      </w:tabs>
      <w:spacing w:before="120"/>
      <w:ind w:left="709" w:hanging="709"/>
      <w:jc w:val="left"/>
    </w:pPr>
    <w:rPr>
      <w:rFonts w:eastAsia="MS Mincho"/>
      <w:szCs w:val="24"/>
      <w:lang w:eastAsia="ja-JP"/>
    </w:rPr>
  </w:style>
  <w:style w:type="paragraph" w:styleId="ListBullet2">
    <w:name w:val="List Bullet 2"/>
    <w:basedOn w:val="Normal"/>
    <w:uiPriority w:val="99"/>
    <w:qFormat/>
    <w:rsid w:val="000903C8"/>
    <w:pPr>
      <w:numPr>
        <w:ilvl w:val="1"/>
        <w:numId w:val="4"/>
      </w:numPr>
      <w:tabs>
        <w:tab w:val="clear" w:pos="643"/>
        <w:tab w:val="left" w:pos="1843"/>
      </w:tabs>
      <w:spacing w:before="120"/>
      <w:ind w:left="1418" w:hanging="709"/>
      <w:jc w:val="left"/>
    </w:pPr>
    <w:rPr>
      <w:rFonts w:eastAsia="MS Mincho"/>
      <w:szCs w:val="24"/>
      <w:lang w:eastAsia="ja-JP"/>
    </w:rPr>
  </w:style>
  <w:style w:type="paragraph" w:styleId="ListNumber">
    <w:name w:val="List Number"/>
    <w:basedOn w:val="Normal"/>
    <w:uiPriority w:val="99"/>
    <w:qFormat/>
    <w:rsid w:val="007B585F"/>
    <w:pPr>
      <w:numPr>
        <w:numId w:val="8"/>
      </w:numPr>
      <w:tabs>
        <w:tab w:val="left" w:pos="0"/>
      </w:tabs>
      <w:spacing w:before="360"/>
    </w:pPr>
    <w:rPr>
      <w:rFonts w:eastAsia="MS Mincho"/>
      <w:szCs w:val="24"/>
      <w:lang w:eastAsia="ja-JP"/>
    </w:rPr>
  </w:style>
  <w:style w:type="paragraph" w:styleId="ListNumber2">
    <w:name w:val="List Number 2"/>
    <w:basedOn w:val="Normal"/>
    <w:uiPriority w:val="99"/>
    <w:qFormat/>
    <w:rsid w:val="007B585F"/>
    <w:pPr>
      <w:numPr>
        <w:ilvl w:val="1"/>
        <w:numId w:val="8"/>
      </w:numPr>
      <w:tabs>
        <w:tab w:val="left" w:pos="360"/>
      </w:tabs>
    </w:pPr>
    <w:rPr>
      <w:rFonts w:eastAsia="MS Mincho"/>
      <w:szCs w:val="24"/>
      <w:lang w:eastAsia="ja-JP"/>
    </w:rPr>
  </w:style>
  <w:style w:type="paragraph" w:styleId="ListNumber3">
    <w:name w:val="List Number 3"/>
    <w:basedOn w:val="Normal"/>
    <w:uiPriority w:val="99"/>
    <w:qFormat/>
    <w:rsid w:val="007B585F"/>
    <w:pPr>
      <w:numPr>
        <w:ilvl w:val="2"/>
        <w:numId w:val="8"/>
      </w:numPr>
      <w:tabs>
        <w:tab w:val="left" w:pos="360"/>
      </w:tabs>
    </w:pPr>
    <w:rPr>
      <w:rFonts w:eastAsia="MS Mincho"/>
      <w:szCs w:val="24"/>
      <w:lang w:eastAsia="ja-JP"/>
    </w:rPr>
  </w:style>
  <w:style w:type="table" w:customStyle="1" w:styleId="TableAAT">
    <w:name w:val="Table AAT"/>
    <w:basedOn w:val="TableNormal"/>
    <w:qFormat/>
    <w:rsid w:val="003E261A"/>
    <w:pPr>
      <w:widowControl w:val="0"/>
      <w:spacing w:before="60" w:after="60" w:line="240" w:lineRule="auto"/>
      <w:jc w:val="center"/>
    </w:pPr>
    <w:rPr>
      <w:rFonts w:eastAsia="MS Mincho"/>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autoSpaceDE/>
        <w:autoSpaceDN/>
        <w:adjustRightInd/>
        <w:ind w:left="0" w:right="0"/>
        <w:jc w:val="center"/>
        <w:textAlignment w:val="auto"/>
      </w:pPr>
      <w:rPr>
        <w:rFonts w:ascii="Times New Roman" w:hAnsi="Times New Roman"/>
        <w:b/>
        <w:i w:val="0"/>
        <w:color w:val="auto"/>
        <w:kern w:val="0"/>
        <w:sz w:val="24"/>
      </w:rPr>
      <w:tblPr/>
      <w:tcPr>
        <w:tcBorders>
          <w:top w:val="single" w:sz="4" w:space="0" w:color="auto"/>
          <w:left w:val="single" w:sz="4" w:space="0" w:color="auto"/>
          <w:right w:val="single" w:sz="4" w:space="0" w:color="auto"/>
          <w:insideV w:val="single" w:sz="4" w:space="0" w:color="auto"/>
        </w:tcBorders>
      </w:tcPr>
    </w:tblStylePr>
    <w:tblStylePr w:type="firstCol">
      <w:pPr>
        <w:autoSpaceDE/>
        <w:autoSpaceDN/>
        <w:adjustRightInd/>
        <w:ind w:left="0" w:right="0"/>
        <w:jc w:val="left"/>
        <w:textAlignment w:val="auto"/>
      </w:pPr>
    </w:tblStylePr>
  </w:style>
  <w:style w:type="paragraph" w:styleId="NoSpacing">
    <w:name w:val="No Spacing"/>
    <w:uiPriority w:val="1"/>
    <w:qFormat/>
    <w:rsid w:val="003B4BBD"/>
    <w:pPr>
      <w:widowControl w:val="0"/>
      <w:spacing w:after="0" w:line="240" w:lineRule="auto"/>
      <w:jc w:val="both"/>
    </w:pPr>
    <w:rPr>
      <w:rFonts w:ascii="Arial" w:hAnsi="Arial"/>
      <w:szCs w:val="20"/>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uiPriority w:val="99"/>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36"/>
    <w:rPr>
      <w:rFonts w:ascii="Tahoma" w:hAnsi="Tahoma" w:cs="Tahoma"/>
      <w:sz w:val="16"/>
      <w:szCs w:val="16"/>
    </w:rPr>
  </w:style>
  <w:style w:type="paragraph" w:styleId="Header">
    <w:name w:val="header"/>
    <w:basedOn w:val="Normal"/>
    <w:link w:val="HeaderChar"/>
    <w:uiPriority w:val="99"/>
    <w:rsid w:val="00DD17F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uiPriority w:val="99"/>
    <w:qFormat/>
    <w:rsid w:val="003B4BBD"/>
    <w:pPr>
      <w:spacing w:before="60" w:line="240" w:lineRule="auto"/>
    </w:pPr>
    <w:rPr>
      <w:sz w:val="18"/>
    </w:rPr>
  </w:style>
  <w:style w:type="character" w:customStyle="1" w:styleId="FootnoteTextChar">
    <w:name w:val="Footnote Text Char"/>
    <w:basedOn w:val="DefaultParagraphFont"/>
    <w:link w:val="FootnoteText"/>
    <w:uiPriority w:val="99"/>
    <w:rsid w:val="003B4BBD"/>
    <w:rPr>
      <w:rFonts w:ascii="Arial" w:hAnsi="Arial"/>
      <w:sz w:val="18"/>
    </w:rPr>
  </w:style>
  <w:style w:type="character" w:styleId="FootnoteReference">
    <w:name w:val="footnote reference"/>
    <w:basedOn w:val="DefaultParagraphFont"/>
    <w:uiPriority w:val="99"/>
    <w:rsid w:val="0012021D"/>
    <w:rPr>
      <w:vertAlign w:val="superscript"/>
    </w:rPr>
  </w:style>
  <w:style w:type="character" w:styleId="PlaceholderText">
    <w:name w:val="Placeholder Text"/>
    <w:basedOn w:val="DefaultParagraphFont"/>
    <w:uiPriority w:val="99"/>
    <w:semiHidden/>
    <w:rsid w:val="004A55A2"/>
    <w:rPr>
      <w:color w:val="000000"/>
    </w:rPr>
  </w:style>
  <w:style w:type="paragraph" w:styleId="Title">
    <w:name w:val="Title"/>
    <w:basedOn w:val="Normal"/>
    <w:next w:val="Normal"/>
    <w:link w:val="TitleChar"/>
    <w:uiPriority w:val="10"/>
    <w:qFormat/>
    <w:rsid w:val="000D1F26"/>
    <w:pPr>
      <w:tabs>
        <w:tab w:val="left" w:pos="5681"/>
      </w:tabs>
    </w:pPr>
    <w:rPr>
      <w:b/>
      <w:szCs w:val="52"/>
    </w:rPr>
  </w:style>
  <w:style w:type="character" w:customStyle="1" w:styleId="TitleChar">
    <w:name w:val="Title Char"/>
    <w:basedOn w:val="DefaultParagraphFont"/>
    <w:link w:val="Title"/>
    <w:uiPriority w:val="10"/>
    <w:rsid w:val="000D1F26"/>
    <w:rPr>
      <w:rFonts w:cs="Times New Roman"/>
      <w:b/>
      <w:sz w:val="24"/>
      <w:szCs w:val="52"/>
    </w:r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styleId="ListParagraph">
    <w:name w:val="List Paragraph"/>
    <w:basedOn w:val="Normal"/>
    <w:uiPriority w:val="34"/>
    <w:qFormat/>
    <w:rsid w:val="005328A4"/>
    <w:pPr>
      <w:spacing w:before="0" w:line="240" w:lineRule="auto"/>
      <w:ind w:left="720"/>
      <w:jc w:val="left"/>
    </w:pPr>
    <w:rPr>
      <w:rFonts w:ascii="Times New Roman" w:hAnsi="Times New Roman"/>
      <w:sz w:val="24"/>
    </w:rPr>
  </w:style>
  <w:style w:type="paragraph" w:styleId="Date">
    <w:name w:val="Date"/>
    <w:basedOn w:val="Normal"/>
    <w:next w:val="Normal"/>
    <w:link w:val="DateChar"/>
    <w:uiPriority w:val="99"/>
    <w:semiHidden/>
    <w:unhideWhenUsed/>
    <w:rsid w:val="009A6063"/>
  </w:style>
  <w:style w:type="character" w:customStyle="1" w:styleId="DateChar">
    <w:name w:val="Date Char"/>
    <w:basedOn w:val="DefaultParagraphFont"/>
    <w:link w:val="Date"/>
    <w:uiPriority w:val="99"/>
    <w:semiHidden/>
    <w:rsid w:val="009A6063"/>
    <w:rPr>
      <w:rFonts w:ascii="Arial" w:hAnsi="Arial"/>
      <w:sz w:val="22"/>
    </w:rPr>
  </w:style>
  <w:style w:type="numbering" w:customStyle="1" w:styleId="ListNumbers">
    <w:name w:val="ListNumbers"/>
    <w:pPr>
      <w:numPr>
        <w:numId w:val="10"/>
      </w:numPr>
    </w:pPr>
  </w:style>
  <w:style w:type="numbering" w:customStyle="1" w:styleId="Style1">
    <w:name w:val="Style1"/>
    <w:pPr>
      <w:numPr>
        <w:numId w:val="6"/>
      </w:numPr>
    </w:pPr>
  </w:style>
  <w:style w:type="numbering" w:customStyle="1" w:styleId="Quotes">
    <w:name w:val="Quotes"/>
    <w:pPr>
      <w:numPr>
        <w:numId w:val="11"/>
      </w:numPr>
    </w:pPr>
  </w:style>
  <w:style w:type="numbering" w:customStyle="1" w:styleId="Style2">
    <w:name w:val="Style2"/>
    <w:pPr>
      <w:numPr>
        <w:numId w:val="7"/>
      </w:numPr>
    </w:pPr>
  </w:style>
  <w:style w:type="numbering" w:customStyle="1" w:styleId="Bullets">
    <w:name w:val="Bullets"/>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mintribunal.internal\aatdfs\shares\Templates\GD%20Templates\Decisions\DecisionAndReasons_A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DecisionAndReasons_AAT</Template>
  <TotalTime>1</TotalTime>
  <Pages>7</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Broomfield</dc:creator>
  <cp:keywords/>
  <dc:description/>
  <cp:lastModifiedBy>Amy Broomfield</cp:lastModifiedBy>
  <cp:revision>2</cp:revision>
  <dcterms:created xsi:type="dcterms:W3CDTF">2021-10-21T04:07:00Z</dcterms:created>
  <dcterms:modified xsi:type="dcterms:W3CDTF">2021-10-21T04:07:00Z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tion">
    <vt:lpwstr>Cini and Secretary, Department of Social Services (Social services second review) [2021] AATA 3656 (14 October 2021)</vt:lpwstr>
  </property>
</Properties>
</file>