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5B24" w:rsidRDefault="00343077" w:rsidP="00A22932">
      <w:pPr>
        <w:pStyle w:val="CourtTitle"/>
      </w:pPr>
      <w:r>
        <w:fldChar w:fldCharType="begin"/>
      </w:r>
      <w:r>
        <w:instrText xml:space="preserve"> DOCPROPERTY  Court  \* MERGEFORMAT </w:instrText>
      </w:r>
      <w:r>
        <w:fldChar w:fldCharType="separate"/>
      </w:r>
      <w:r w:rsidR="00572D95">
        <w:t>Federal Court of Australia</w:t>
      </w:r>
      <w:r>
        <w:fldChar w:fldCharType="end"/>
      </w:r>
    </w:p>
    <w:p w:rsidR="00395B24" w:rsidRDefault="00395B24">
      <w:pPr>
        <w:pStyle w:val="NormalHeadings"/>
        <w:jc w:val="center"/>
        <w:rPr>
          <w:sz w:val="32"/>
        </w:rPr>
      </w:pPr>
    </w:p>
    <w:bookmarkStart w:id="0" w:name="MNC"/>
    <w:p w:rsidR="00374CC4" w:rsidRPr="000D0F4E" w:rsidRDefault="00E22D6E" w:rsidP="001A2B40">
      <w:pPr>
        <w:pStyle w:val="MNC"/>
      </w:pPr>
      <w:sdt>
        <w:sdtPr>
          <w:rPr>
            <w:bCs/>
          </w:rPr>
          <w:alias w:val="MNC"/>
          <w:tag w:val="MNC"/>
          <w:id w:val="343289786"/>
          <w:lock w:val="sdtLocked"/>
          <w:placeholder>
            <w:docPart w:val="672FDBF1018C49C896A536BD4E7EE3B5"/>
          </w:placeholder>
          <w:dataBinding w:prefixMappings="xmlns:ns0='http://schemas.globalmacros.com/FCA'" w:xpath="/ns0:root[1]/ns0:Name[1]" w:storeItemID="{687E7CCB-4AA5-44E7-B148-17BA2B6F57C0}"/>
          <w:text w:multiLine="1"/>
        </w:sdtPr>
        <w:sdtEndPr/>
        <w:sdtContent>
          <w:proofErr w:type="spellStart"/>
          <w:r w:rsidR="008C7DD9" w:rsidRPr="00194A1B">
            <w:rPr>
              <w:bCs/>
            </w:rPr>
            <w:t>Dallow</w:t>
          </w:r>
          <w:proofErr w:type="spellEnd"/>
          <w:r w:rsidR="008C7DD9" w:rsidRPr="00194A1B">
            <w:rPr>
              <w:bCs/>
            </w:rPr>
            <w:t xml:space="preserve"> v </w:t>
          </w:r>
          <w:r w:rsidR="008C7DD9">
            <w:rPr>
              <w:bCs/>
            </w:rPr>
            <w:t xml:space="preserve">Ferguson [2021] FCA 1124 </w:t>
          </w:r>
        </w:sdtContent>
      </w:sdt>
      <w:bookmarkEnd w:id="0"/>
      <w:r w:rsidR="005C185C" w:rsidRPr="000D0F4E">
        <w:t xml:space="preserve"> </w:t>
      </w:r>
    </w:p>
    <w:tbl>
      <w:tblPr>
        <w:tblW w:w="9073" w:type="dxa"/>
        <w:tblLayout w:type="fixed"/>
        <w:tblLook w:val="01E0" w:firstRow="1" w:lastRow="1" w:firstColumn="1" w:lastColumn="1" w:noHBand="0" w:noVBand="0"/>
        <w:tblCaption w:val="Cover Table"/>
        <w:tblDescription w:val="Cover Table"/>
      </w:tblPr>
      <w:tblGrid>
        <w:gridCol w:w="3084"/>
        <w:gridCol w:w="5989"/>
      </w:tblGrid>
      <w:tr w:rsidR="00395B24" w:rsidTr="004062E7">
        <w:tc>
          <w:tcPr>
            <w:tcW w:w="3084" w:type="dxa"/>
            <w:shd w:val="clear" w:color="auto" w:fill="auto"/>
          </w:tcPr>
          <w:p w:rsidR="00395B24" w:rsidRDefault="00AD4DAC" w:rsidP="00AD4DAC">
            <w:pPr>
              <w:pStyle w:val="Normal1linespace"/>
              <w:widowControl w:val="0"/>
              <w:jc w:val="left"/>
            </w:pPr>
            <w:r>
              <w:t>File number</w:t>
            </w:r>
            <w:r w:rsidR="002C7385">
              <w:t>:</w:t>
            </w:r>
          </w:p>
        </w:tc>
        <w:tc>
          <w:tcPr>
            <w:tcW w:w="5989" w:type="dxa"/>
            <w:shd w:val="clear" w:color="auto" w:fill="auto"/>
          </w:tcPr>
          <w:p w:rsidR="00395B24" w:rsidRPr="00572D95" w:rsidRDefault="00F56241" w:rsidP="00572D95">
            <w:pPr>
              <w:pStyle w:val="Normal1linespace"/>
              <w:jc w:val="left"/>
            </w:pPr>
            <w:fldSimple w:instr=" REF  FileNo  \* MERGEFORMAT " w:fldLock="1">
              <w:r w:rsidR="00572D95" w:rsidRPr="00572D95">
                <w:t>TAD 34 of 2021</w:t>
              </w:r>
            </w:fldSimple>
          </w:p>
        </w:tc>
      </w:tr>
      <w:tr w:rsidR="00395B24" w:rsidTr="004062E7">
        <w:tc>
          <w:tcPr>
            <w:tcW w:w="3084" w:type="dxa"/>
            <w:shd w:val="clear" w:color="auto" w:fill="auto"/>
          </w:tcPr>
          <w:p w:rsidR="00395B24" w:rsidRDefault="00395B24" w:rsidP="00663878">
            <w:pPr>
              <w:pStyle w:val="Normal1linespace"/>
              <w:widowControl w:val="0"/>
              <w:jc w:val="left"/>
            </w:pPr>
          </w:p>
        </w:tc>
        <w:tc>
          <w:tcPr>
            <w:tcW w:w="5989" w:type="dxa"/>
            <w:shd w:val="clear" w:color="auto" w:fill="auto"/>
          </w:tcPr>
          <w:p w:rsidR="00395B24" w:rsidRDefault="00395B24" w:rsidP="00663878">
            <w:pPr>
              <w:pStyle w:val="Normal1linespace"/>
              <w:widowControl w:val="0"/>
              <w:jc w:val="left"/>
            </w:pPr>
          </w:p>
        </w:tc>
      </w:tr>
      <w:tr w:rsidR="00395B24" w:rsidTr="004062E7">
        <w:tc>
          <w:tcPr>
            <w:tcW w:w="3084" w:type="dxa"/>
            <w:shd w:val="clear" w:color="auto" w:fill="auto"/>
          </w:tcPr>
          <w:p w:rsidR="00395B24" w:rsidRDefault="002C7385" w:rsidP="00663878">
            <w:pPr>
              <w:pStyle w:val="Normal1linespace"/>
              <w:widowControl w:val="0"/>
              <w:jc w:val="left"/>
            </w:pPr>
            <w:r>
              <w:t>Judg</w:t>
            </w:r>
            <w:r w:rsidR="005724F6">
              <w:t>ment of</w:t>
            </w:r>
            <w:r>
              <w:t>:</w:t>
            </w:r>
          </w:p>
        </w:tc>
        <w:tc>
          <w:tcPr>
            <w:tcW w:w="5989" w:type="dxa"/>
            <w:shd w:val="clear" w:color="auto" w:fill="auto"/>
          </w:tcPr>
          <w:p w:rsidR="00395B24" w:rsidRDefault="002C7385" w:rsidP="00663878">
            <w:pPr>
              <w:pStyle w:val="Normal1linespace"/>
              <w:widowControl w:val="0"/>
              <w:jc w:val="left"/>
              <w:rPr>
                <w:b/>
              </w:rPr>
            </w:pPr>
            <w:r w:rsidRPr="00572D95">
              <w:rPr>
                <w:b/>
              </w:rPr>
              <w:fldChar w:fldCharType="begin" w:fldLock="1"/>
            </w:r>
            <w:r w:rsidRPr="00572D95">
              <w:rPr>
                <w:b/>
              </w:rPr>
              <w:instrText xml:space="preserve"> REF  Judge  \* MERGEFORMAT </w:instrText>
            </w:r>
            <w:r w:rsidRPr="00572D95">
              <w:rPr>
                <w:b/>
              </w:rPr>
              <w:fldChar w:fldCharType="separate"/>
            </w:r>
            <w:r w:rsidR="00572D95" w:rsidRPr="00572D95">
              <w:rPr>
                <w:b/>
                <w:caps/>
                <w:szCs w:val="24"/>
              </w:rPr>
              <w:t>ANDERSON J</w:t>
            </w:r>
            <w:r w:rsidRPr="00572D95">
              <w:rPr>
                <w:b/>
              </w:rPr>
              <w:fldChar w:fldCharType="end"/>
            </w:r>
          </w:p>
        </w:tc>
      </w:tr>
      <w:tr w:rsidR="00395B24" w:rsidTr="004062E7">
        <w:tc>
          <w:tcPr>
            <w:tcW w:w="3084" w:type="dxa"/>
            <w:shd w:val="clear" w:color="auto" w:fill="auto"/>
          </w:tcPr>
          <w:p w:rsidR="00395B24" w:rsidRDefault="00395B24" w:rsidP="00663878">
            <w:pPr>
              <w:pStyle w:val="Normal1linespace"/>
              <w:widowControl w:val="0"/>
              <w:jc w:val="left"/>
            </w:pPr>
          </w:p>
        </w:tc>
        <w:tc>
          <w:tcPr>
            <w:tcW w:w="5989" w:type="dxa"/>
            <w:shd w:val="clear" w:color="auto" w:fill="auto"/>
          </w:tcPr>
          <w:p w:rsidR="00395B24" w:rsidRDefault="00395B24" w:rsidP="00663878">
            <w:pPr>
              <w:pStyle w:val="Normal1linespace"/>
              <w:widowControl w:val="0"/>
              <w:jc w:val="left"/>
            </w:pPr>
          </w:p>
        </w:tc>
      </w:tr>
      <w:tr w:rsidR="00395B24" w:rsidTr="004062E7">
        <w:tc>
          <w:tcPr>
            <w:tcW w:w="3084" w:type="dxa"/>
            <w:shd w:val="clear" w:color="auto" w:fill="auto"/>
          </w:tcPr>
          <w:p w:rsidR="00395B24" w:rsidRDefault="002C7385" w:rsidP="00663878">
            <w:pPr>
              <w:pStyle w:val="Normal1linespace"/>
              <w:widowControl w:val="0"/>
              <w:jc w:val="left"/>
            </w:pPr>
            <w:r>
              <w:t>Date of judgment:</w:t>
            </w:r>
          </w:p>
        </w:tc>
        <w:tc>
          <w:tcPr>
            <w:tcW w:w="5989" w:type="dxa"/>
            <w:shd w:val="clear" w:color="auto" w:fill="auto"/>
          </w:tcPr>
          <w:p w:rsidR="00395B24" w:rsidRDefault="005430DF" w:rsidP="00BA15F9">
            <w:pPr>
              <w:pStyle w:val="Normal1linespace"/>
              <w:widowControl w:val="0"/>
              <w:jc w:val="left"/>
            </w:pPr>
            <w:bookmarkStart w:id="1" w:name="JudgmentDate"/>
            <w:r>
              <w:t xml:space="preserve">17 </w:t>
            </w:r>
            <w:r w:rsidR="00BA15F9">
              <w:t xml:space="preserve">September </w:t>
            </w:r>
            <w:r w:rsidR="00572D95">
              <w:t>2021</w:t>
            </w:r>
            <w:bookmarkEnd w:id="1"/>
          </w:p>
        </w:tc>
      </w:tr>
      <w:tr w:rsidR="00395B24" w:rsidTr="004062E7">
        <w:tc>
          <w:tcPr>
            <w:tcW w:w="3084" w:type="dxa"/>
            <w:shd w:val="clear" w:color="auto" w:fill="auto"/>
          </w:tcPr>
          <w:p w:rsidR="00395B24" w:rsidRDefault="00395B24" w:rsidP="00663878">
            <w:pPr>
              <w:pStyle w:val="Normal1linespace"/>
              <w:widowControl w:val="0"/>
              <w:jc w:val="left"/>
            </w:pPr>
          </w:p>
        </w:tc>
        <w:tc>
          <w:tcPr>
            <w:tcW w:w="5989" w:type="dxa"/>
            <w:shd w:val="clear" w:color="auto" w:fill="auto"/>
          </w:tcPr>
          <w:p w:rsidR="00395B24" w:rsidRDefault="00395B24" w:rsidP="00663878">
            <w:pPr>
              <w:pStyle w:val="Normal1linespace"/>
              <w:widowControl w:val="0"/>
              <w:jc w:val="left"/>
            </w:pPr>
          </w:p>
        </w:tc>
      </w:tr>
      <w:tr w:rsidR="00395B24" w:rsidTr="004062E7">
        <w:tc>
          <w:tcPr>
            <w:tcW w:w="3084" w:type="dxa"/>
            <w:shd w:val="clear" w:color="auto" w:fill="auto"/>
          </w:tcPr>
          <w:p w:rsidR="00395B24" w:rsidRDefault="002C7385" w:rsidP="00663878">
            <w:pPr>
              <w:pStyle w:val="Normal1linespace"/>
              <w:widowControl w:val="0"/>
              <w:jc w:val="left"/>
            </w:pPr>
            <w:r>
              <w:t>Catchwords:</w:t>
            </w:r>
          </w:p>
        </w:tc>
        <w:tc>
          <w:tcPr>
            <w:tcW w:w="5989" w:type="dxa"/>
            <w:shd w:val="clear" w:color="auto" w:fill="auto"/>
          </w:tcPr>
          <w:p w:rsidR="00395B24" w:rsidRDefault="001C4211" w:rsidP="008B26A5">
            <w:pPr>
              <w:pStyle w:val="Normal1linespace"/>
              <w:widowControl w:val="0"/>
              <w:jc w:val="left"/>
            </w:pPr>
            <w:bookmarkStart w:id="2" w:name="Catchwords"/>
            <w:r>
              <w:rPr>
                <w:b/>
              </w:rPr>
              <w:t>PRACTICE AND PROCEDURE</w:t>
            </w:r>
            <w:r>
              <w:t xml:space="preserve"> – application for extension of time for leave to appeal</w:t>
            </w:r>
            <w:r w:rsidR="00277FA1">
              <w:t xml:space="preserve"> under r 36.05 </w:t>
            </w:r>
            <w:r w:rsidR="00277FA1" w:rsidRPr="00F5638C">
              <w:rPr>
                <w:szCs w:val="22"/>
              </w:rPr>
              <w:t>of the</w:t>
            </w:r>
            <w:r w:rsidR="00277FA1" w:rsidRPr="00F5638C">
              <w:rPr>
                <w:i/>
                <w:szCs w:val="22"/>
              </w:rPr>
              <w:t> Federal Court Rules 2011</w:t>
            </w:r>
            <w:r w:rsidR="00277FA1" w:rsidRPr="00F5638C">
              <w:rPr>
                <w:szCs w:val="22"/>
              </w:rPr>
              <w:t> (</w:t>
            </w:r>
            <w:proofErr w:type="spellStart"/>
            <w:r w:rsidR="00277FA1" w:rsidRPr="00F5638C">
              <w:rPr>
                <w:szCs w:val="22"/>
              </w:rPr>
              <w:t>Cth</w:t>
            </w:r>
            <w:proofErr w:type="spellEnd"/>
            <w:r w:rsidR="00277FA1" w:rsidRPr="00F5638C">
              <w:rPr>
                <w:szCs w:val="22"/>
              </w:rPr>
              <w:t>)</w:t>
            </w:r>
            <w:r w:rsidR="00867ED5">
              <w:t xml:space="preserve"> – where the applicant was incarcerated </w:t>
            </w:r>
            <w:r w:rsidR="0075629A">
              <w:t xml:space="preserve">in prison </w:t>
            </w:r>
            <w:r w:rsidR="00867ED5">
              <w:t xml:space="preserve">and </w:t>
            </w:r>
            <w:r w:rsidR="00C81B66">
              <w:t xml:space="preserve">stated that he </w:t>
            </w:r>
            <w:r w:rsidR="00867ED5">
              <w:t>faced difficulty in filing the application</w:t>
            </w:r>
            <w:r w:rsidR="00B134DD">
              <w:t xml:space="preserve"> for leave to appeal </w:t>
            </w:r>
            <w:r w:rsidR="00867ED5">
              <w:t xml:space="preserve">– where there is </w:t>
            </w:r>
            <w:r w:rsidR="004B6683">
              <w:t>no merit in the applicant’s application</w:t>
            </w:r>
            <w:r w:rsidR="00867ED5">
              <w:t xml:space="preserve"> –</w:t>
            </w:r>
            <w:r w:rsidR="00A150EB">
              <w:t xml:space="preserve"> </w:t>
            </w:r>
            <w:r>
              <w:t xml:space="preserve">application </w:t>
            </w:r>
            <w:bookmarkEnd w:id="2"/>
            <w:r w:rsidR="004B6683">
              <w:t xml:space="preserve">denied  </w:t>
            </w:r>
          </w:p>
        </w:tc>
      </w:tr>
      <w:tr w:rsidR="00395B24" w:rsidTr="004062E7">
        <w:tc>
          <w:tcPr>
            <w:tcW w:w="3084" w:type="dxa"/>
            <w:shd w:val="clear" w:color="auto" w:fill="auto"/>
          </w:tcPr>
          <w:p w:rsidR="00395B24" w:rsidRDefault="00395B24" w:rsidP="00663878">
            <w:pPr>
              <w:pStyle w:val="Normal1linespace"/>
              <w:widowControl w:val="0"/>
              <w:jc w:val="left"/>
            </w:pPr>
          </w:p>
        </w:tc>
        <w:tc>
          <w:tcPr>
            <w:tcW w:w="5989" w:type="dxa"/>
            <w:shd w:val="clear" w:color="auto" w:fill="auto"/>
          </w:tcPr>
          <w:p w:rsidR="00395B24" w:rsidRDefault="00395B24" w:rsidP="00663878">
            <w:pPr>
              <w:pStyle w:val="Normal1linespace"/>
              <w:widowControl w:val="0"/>
              <w:jc w:val="left"/>
            </w:pPr>
          </w:p>
        </w:tc>
      </w:tr>
      <w:tr w:rsidR="00395B24" w:rsidTr="004062E7">
        <w:tc>
          <w:tcPr>
            <w:tcW w:w="3084" w:type="dxa"/>
            <w:shd w:val="clear" w:color="auto" w:fill="auto"/>
          </w:tcPr>
          <w:p w:rsidR="00395B24" w:rsidRDefault="002C7385" w:rsidP="00663878">
            <w:pPr>
              <w:pStyle w:val="Normal1linespace"/>
              <w:widowControl w:val="0"/>
              <w:jc w:val="left"/>
            </w:pPr>
            <w:r>
              <w:t>Legislation:</w:t>
            </w:r>
          </w:p>
        </w:tc>
        <w:tc>
          <w:tcPr>
            <w:tcW w:w="5989" w:type="dxa"/>
            <w:shd w:val="clear" w:color="auto" w:fill="auto"/>
          </w:tcPr>
          <w:p w:rsidR="000C5F89" w:rsidRPr="00E37F6E" w:rsidRDefault="00E37F6E">
            <w:pPr>
              <w:pStyle w:val="CasesLegislationAppealFrom"/>
              <w:spacing w:after="60"/>
            </w:pPr>
            <w:bookmarkStart w:id="3" w:name="Legislation"/>
            <w:r w:rsidRPr="00706393">
              <w:rPr>
                <w:i/>
              </w:rPr>
              <w:t xml:space="preserve">Federal Court Rules 2011 </w:t>
            </w:r>
            <w:r w:rsidRPr="00706393">
              <w:t>(</w:t>
            </w:r>
            <w:proofErr w:type="spellStart"/>
            <w:r w:rsidRPr="00706393">
              <w:t>Cth</w:t>
            </w:r>
            <w:proofErr w:type="spellEnd"/>
            <w:r w:rsidRPr="00706393">
              <w:t>)</w:t>
            </w:r>
            <w:bookmarkEnd w:id="3"/>
          </w:p>
        </w:tc>
      </w:tr>
      <w:tr w:rsidR="00395B24" w:rsidTr="004062E7">
        <w:tc>
          <w:tcPr>
            <w:tcW w:w="3084" w:type="dxa"/>
            <w:shd w:val="clear" w:color="auto" w:fill="auto"/>
          </w:tcPr>
          <w:p w:rsidR="00395B24" w:rsidRDefault="00395B24" w:rsidP="00663878">
            <w:pPr>
              <w:pStyle w:val="Normal1linespace"/>
              <w:widowControl w:val="0"/>
              <w:jc w:val="left"/>
            </w:pPr>
          </w:p>
        </w:tc>
        <w:tc>
          <w:tcPr>
            <w:tcW w:w="5989" w:type="dxa"/>
            <w:shd w:val="clear" w:color="auto" w:fill="auto"/>
          </w:tcPr>
          <w:p w:rsidR="00395B24" w:rsidRDefault="00395B24" w:rsidP="00663878">
            <w:pPr>
              <w:pStyle w:val="Normal1linespace"/>
              <w:widowControl w:val="0"/>
              <w:jc w:val="left"/>
            </w:pPr>
          </w:p>
        </w:tc>
      </w:tr>
      <w:tr w:rsidR="00395B24" w:rsidTr="004062E7">
        <w:tc>
          <w:tcPr>
            <w:tcW w:w="3084" w:type="dxa"/>
            <w:shd w:val="clear" w:color="auto" w:fill="auto"/>
          </w:tcPr>
          <w:p w:rsidR="00395B24" w:rsidRDefault="002C7385" w:rsidP="00663878">
            <w:pPr>
              <w:pStyle w:val="Normal1linespace"/>
              <w:widowControl w:val="0"/>
              <w:jc w:val="left"/>
            </w:pPr>
            <w:r>
              <w:t>Cases cited:</w:t>
            </w:r>
          </w:p>
        </w:tc>
        <w:tc>
          <w:tcPr>
            <w:tcW w:w="5989" w:type="dxa"/>
            <w:shd w:val="clear" w:color="auto" w:fill="auto"/>
          </w:tcPr>
          <w:p w:rsidR="006D56FD" w:rsidRPr="00F17E34" w:rsidRDefault="006D56FD" w:rsidP="00D82620">
            <w:pPr>
              <w:pStyle w:val="CasesLegislationAppealFrom"/>
              <w:spacing w:after="60"/>
            </w:pPr>
            <w:bookmarkStart w:id="4" w:name="Cases_Cited"/>
            <w:proofErr w:type="spellStart"/>
            <w:r w:rsidRPr="00706393">
              <w:rPr>
                <w:i/>
              </w:rPr>
              <w:t>Allbeury</w:t>
            </w:r>
            <w:proofErr w:type="spellEnd"/>
            <w:r w:rsidRPr="00706393">
              <w:rPr>
                <w:i/>
              </w:rPr>
              <w:t xml:space="preserve"> v Corruption and Crime Commission</w:t>
            </w:r>
            <w:r w:rsidRPr="00706393">
              <w:t xml:space="preserve"> [2012] WASCA 84</w:t>
            </w:r>
            <w:r w:rsidR="00C6747C">
              <w:t>; 42 WAR 425</w:t>
            </w:r>
          </w:p>
          <w:p w:rsidR="00B004A8" w:rsidRPr="00F17E34" w:rsidRDefault="00B004A8" w:rsidP="00D82620">
            <w:pPr>
              <w:pStyle w:val="CasesLegislationAppealFrom"/>
              <w:spacing w:after="60"/>
            </w:pPr>
            <w:r w:rsidRPr="00706393">
              <w:rPr>
                <w:i/>
              </w:rPr>
              <w:t xml:space="preserve">Ferguson v </w:t>
            </w:r>
            <w:proofErr w:type="spellStart"/>
            <w:r w:rsidRPr="00706393">
              <w:rPr>
                <w:i/>
              </w:rPr>
              <w:t>Dallow</w:t>
            </w:r>
            <w:proofErr w:type="spellEnd"/>
            <w:r w:rsidRPr="00706393">
              <w:rPr>
                <w:i/>
              </w:rPr>
              <w:t xml:space="preserve"> (No 3)</w:t>
            </w:r>
            <w:r w:rsidRPr="00706393">
              <w:t xml:space="preserve"> [2021] FCA 177</w:t>
            </w:r>
          </w:p>
          <w:p w:rsidR="00B004A8" w:rsidRPr="00F17E34" w:rsidRDefault="00B004A8" w:rsidP="00D82620">
            <w:pPr>
              <w:pStyle w:val="CasesLegislationAppealFrom"/>
              <w:spacing w:after="60"/>
            </w:pPr>
            <w:r w:rsidRPr="00706393">
              <w:rPr>
                <w:i/>
              </w:rPr>
              <w:t xml:space="preserve">Ferguson v </w:t>
            </w:r>
            <w:proofErr w:type="spellStart"/>
            <w:r w:rsidRPr="00706393">
              <w:rPr>
                <w:i/>
              </w:rPr>
              <w:t>Dallow</w:t>
            </w:r>
            <w:proofErr w:type="spellEnd"/>
            <w:r w:rsidRPr="00706393">
              <w:rPr>
                <w:i/>
              </w:rPr>
              <w:t xml:space="preserve"> (No 4)</w:t>
            </w:r>
            <w:r w:rsidRPr="00706393">
              <w:t xml:space="preserve"> [2021] FCA 513</w:t>
            </w:r>
          </w:p>
          <w:p w:rsidR="006D56FD" w:rsidRPr="00F17E34" w:rsidRDefault="00E37F6E" w:rsidP="00D82620">
            <w:pPr>
              <w:pStyle w:val="CasesLegislationAppealFrom"/>
              <w:spacing w:after="60"/>
            </w:pPr>
            <w:r w:rsidRPr="00706393">
              <w:rPr>
                <w:i/>
              </w:rPr>
              <w:t xml:space="preserve">Ferguson v </w:t>
            </w:r>
            <w:proofErr w:type="spellStart"/>
            <w:r w:rsidRPr="00706393">
              <w:rPr>
                <w:i/>
              </w:rPr>
              <w:t>Dallow</w:t>
            </w:r>
            <w:proofErr w:type="spellEnd"/>
            <w:r w:rsidRPr="00706393">
              <w:rPr>
                <w:i/>
              </w:rPr>
              <w:t xml:space="preserve"> (No 5)</w:t>
            </w:r>
            <w:r w:rsidRPr="00706393">
              <w:t xml:space="preserve"> [2021] FCA 698</w:t>
            </w:r>
          </w:p>
          <w:p w:rsidR="001E42F6" w:rsidRPr="00F17E34" w:rsidRDefault="001E42F6" w:rsidP="00D82620">
            <w:pPr>
              <w:pStyle w:val="CasesLegislationAppealFrom"/>
              <w:spacing w:after="60"/>
            </w:pPr>
            <w:r w:rsidRPr="00706393">
              <w:rPr>
                <w:i/>
                <w:iCs/>
                <w:bdr w:val="none" w:sz="0" w:space="0" w:color="auto" w:frame="1"/>
                <w:shd w:val="clear" w:color="auto" w:fill="FFFFFF"/>
              </w:rPr>
              <w:t>Gallagher v Durack</w:t>
            </w:r>
            <w:r w:rsidRPr="00706393">
              <w:rPr>
                <w:bdr w:val="none" w:sz="0" w:space="0" w:color="auto" w:frame="1"/>
                <w:shd w:val="clear" w:color="auto" w:fill="FFFFFF"/>
              </w:rPr>
              <w:t> [1983] HCA 2; (1983) 152 CLR 238</w:t>
            </w:r>
          </w:p>
          <w:p w:rsidR="00395B24" w:rsidRPr="00F17E34" w:rsidRDefault="006D56FD" w:rsidP="00D82620">
            <w:pPr>
              <w:pStyle w:val="CasesLegislationAppealFrom"/>
              <w:spacing w:after="60"/>
            </w:pPr>
            <w:proofErr w:type="spellStart"/>
            <w:r w:rsidRPr="00706393">
              <w:rPr>
                <w:i/>
              </w:rPr>
              <w:t>Hili</w:t>
            </w:r>
            <w:proofErr w:type="spellEnd"/>
            <w:r w:rsidRPr="00706393">
              <w:rPr>
                <w:i/>
              </w:rPr>
              <w:t xml:space="preserve"> v The Queen</w:t>
            </w:r>
            <w:r w:rsidRPr="00706393">
              <w:t xml:space="preserve"> [2010] HCA 45</w:t>
            </w:r>
            <w:r w:rsidR="00DB111A">
              <w:t xml:space="preserve">; </w:t>
            </w:r>
            <w:r w:rsidR="000056F6">
              <w:t xml:space="preserve">(2010) </w:t>
            </w:r>
            <w:r w:rsidR="00DB111A" w:rsidRPr="00515F75">
              <w:t>242 CLR 520</w:t>
            </w:r>
            <w:r w:rsidR="002C7385" w:rsidRPr="00F17E34">
              <w:t xml:space="preserve"> </w:t>
            </w:r>
            <w:bookmarkEnd w:id="4"/>
          </w:p>
          <w:p w:rsidR="006D56FD" w:rsidRPr="00F17E34" w:rsidRDefault="006D56FD" w:rsidP="00D82620">
            <w:pPr>
              <w:pStyle w:val="CasesLegislationAppealFrom"/>
              <w:spacing w:after="60"/>
            </w:pPr>
            <w:r w:rsidRPr="00706393">
              <w:rPr>
                <w:i/>
              </w:rPr>
              <w:t>House v The King</w:t>
            </w:r>
            <w:r w:rsidRPr="00706393">
              <w:t xml:space="preserve"> (1936) 55 CLR 499</w:t>
            </w:r>
          </w:p>
          <w:p w:rsidR="00E37F6E" w:rsidRPr="00F17E34" w:rsidRDefault="00E37F6E" w:rsidP="00D82620">
            <w:pPr>
              <w:pStyle w:val="CasesLegislationAppealFrom"/>
              <w:spacing w:after="60"/>
            </w:pPr>
            <w:r w:rsidRPr="00706393">
              <w:rPr>
                <w:i/>
              </w:rPr>
              <w:t xml:space="preserve">Hunter Valley Developments Pty Ltd v Cohen </w:t>
            </w:r>
            <w:r w:rsidRPr="00706393">
              <w:t>(1984) 3 FCR 344</w:t>
            </w:r>
          </w:p>
          <w:p w:rsidR="006D56FD" w:rsidRPr="00F17E34" w:rsidRDefault="006D56FD" w:rsidP="00D82620">
            <w:pPr>
              <w:pStyle w:val="CasesLegislationAppealFrom"/>
              <w:spacing w:after="60"/>
            </w:pPr>
            <w:proofErr w:type="spellStart"/>
            <w:r w:rsidRPr="00706393">
              <w:rPr>
                <w:i/>
              </w:rPr>
              <w:t>Jackamarra</w:t>
            </w:r>
            <w:proofErr w:type="spellEnd"/>
            <w:r w:rsidRPr="00706393">
              <w:rPr>
                <w:i/>
              </w:rPr>
              <w:t xml:space="preserve"> v </w:t>
            </w:r>
            <w:proofErr w:type="spellStart"/>
            <w:r w:rsidRPr="00706393">
              <w:rPr>
                <w:i/>
              </w:rPr>
              <w:t>Krakouer</w:t>
            </w:r>
            <w:proofErr w:type="spellEnd"/>
            <w:r w:rsidRPr="00706393">
              <w:rPr>
                <w:i/>
              </w:rPr>
              <w:t xml:space="preserve"> </w:t>
            </w:r>
            <w:r w:rsidRPr="00706393">
              <w:t>(1998) 195 CLR 516</w:t>
            </w:r>
          </w:p>
          <w:p w:rsidR="006F1DC0" w:rsidRPr="00F17E34" w:rsidRDefault="006F1DC0" w:rsidP="00D82620">
            <w:pPr>
              <w:pStyle w:val="CasesLegislationAppealFrom"/>
              <w:spacing w:after="60"/>
            </w:pPr>
            <w:r w:rsidRPr="00706393">
              <w:rPr>
                <w:i/>
                <w:iCs/>
                <w:color w:val="000000"/>
                <w:szCs w:val="24"/>
                <w:bdr w:val="none" w:sz="0" w:space="0" w:color="auto" w:frame="1"/>
                <w:shd w:val="clear" w:color="auto" w:fill="FFFFFF"/>
              </w:rPr>
              <w:t xml:space="preserve">Jones v </w:t>
            </w:r>
            <w:proofErr w:type="spellStart"/>
            <w:r w:rsidRPr="00706393">
              <w:rPr>
                <w:i/>
                <w:iCs/>
                <w:color w:val="000000"/>
                <w:szCs w:val="24"/>
                <w:bdr w:val="none" w:sz="0" w:space="0" w:color="auto" w:frame="1"/>
                <w:shd w:val="clear" w:color="auto" w:fill="FFFFFF"/>
              </w:rPr>
              <w:t>Toben</w:t>
            </w:r>
            <w:proofErr w:type="spellEnd"/>
            <w:r w:rsidRPr="00706393">
              <w:rPr>
                <w:i/>
                <w:iCs/>
                <w:color w:val="000000"/>
                <w:szCs w:val="24"/>
                <w:bdr w:val="none" w:sz="0" w:space="0" w:color="auto" w:frame="1"/>
                <w:shd w:val="clear" w:color="auto" w:fill="FFFFFF"/>
              </w:rPr>
              <w:t xml:space="preserve"> (No 2) </w:t>
            </w:r>
            <w:r w:rsidRPr="00706393">
              <w:rPr>
                <w:color w:val="000000"/>
                <w:szCs w:val="24"/>
                <w:bdr w:val="none" w:sz="0" w:space="0" w:color="auto" w:frame="1"/>
                <w:shd w:val="clear" w:color="auto" w:fill="FFFFFF"/>
              </w:rPr>
              <w:t>[2009] FCA 477</w:t>
            </w:r>
          </w:p>
          <w:p w:rsidR="006D56FD" w:rsidRPr="00F17E34" w:rsidRDefault="006D56FD" w:rsidP="00D82620">
            <w:pPr>
              <w:pStyle w:val="CasesLegislationAppealFrom"/>
              <w:spacing w:after="60"/>
            </w:pPr>
            <w:proofErr w:type="spellStart"/>
            <w:r w:rsidRPr="00706393">
              <w:rPr>
                <w:i/>
              </w:rPr>
              <w:t>Kalanje</w:t>
            </w:r>
            <w:proofErr w:type="spellEnd"/>
            <w:r w:rsidRPr="00706393">
              <w:rPr>
                <w:i/>
              </w:rPr>
              <w:t xml:space="preserve"> v Minister for Immigration and Multicultural Affairs</w:t>
            </w:r>
            <w:r w:rsidRPr="00706393">
              <w:t xml:space="preserve"> [2006] FCA 1618</w:t>
            </w:r>
          </w:p>
          <w:p w:rsidR="001E42F6" w:rsidRPr="00F17E34" w:rsidRDefault="001E42F6" w:rsidP="00D82620">
            <w:pPr>
              <w:pStyle w:val="CasesLegislationAppealFrom"/>
              <w:spacing w:after="60"/>
            </w:pPr>
            <w:proofErr w:type="spellStart"/>
            <w:r w:rsidRPr="00706393">
              <w:rPr>
                <w:i/>
              </w:rPr>
              <w:t>Kazal</w:t>
            </w:r>
            <w:proofErr w:type="spellEnd"/>
            <w:r w:rsidRPr="00706393">
              <w:rPr>
                <w:i/>
              </w:rPr>
              <w:t xml:space="preserve"> v Thunder Studios </w:t>
            </w:r>
            <w:proofErr w:type="spellStart"/>
            <w:r w:rsidRPr="00706393">
              <w:rPr>
                <w:i/>
              </w:rPr>
              <w:t>Inc</w:t>
            </w:r>
            <w:proofErr w:type="spellEnd"/>
            <w:r w:rsidRPr="00706393">
              <w:rPr>
                <w:i/>
              </w:rPr>
              <w:t xml:space="preserve"> (California) </w:t>
            </w:r>
            <w:r w:rsidRPr="00706393">
              <w:t>[2017] FCAFC 111</w:t>
            </w:r>
            <w:r w:rsidR="00FB4EA2">
              <w:t>; (2017) 256 FCR 90</w:t>
            </w:r>
          </w:p>
          <w:p w:rsidR="006D56FD" w:rsidRPr="00F17E34" w:rsidRDefault="006D56FD" w:rsidP="00D82620">
            <w:pPr>
              <w:pStyle w:val="CasesLegislationAppealFrom"/>
              <w:spacing w:after="60"/>
            </w:pPr>
            <w:r w:rsidRPr="00706393">
              <w:rPr>
                <w:i/>
              </w:rPr>
              <w:t>Lowndes v the Queen</w:t>
            </w:r>
            <w:r w:rsidRPr="00706393">
              <w:t xml:space="preserve"> (1999) 195 CLR 655</w:t>
            </w:r>
          </w:p>
          <w:p w:rsidR="002A68E6" w:rsidRPr="00F17E34" w:rsidRDefault="002A68E6" w:rsidP="00D82620">
            <w:pPr>
              <w:pStyle w:val="CasesLegislationAppealFrom"/>
              <w:spacing w:after="60"/>
              <w:rPr>
                <w:szCs w:val="24"/>
              </w:rPr>
            </w:pPr>
            <w:r w:rsidRPr="00706393">
              <w:rPr>
                <w:i/>
                <w:szCs w:val="24"/>
              </w:rPr>
              <w:t>Martin v Norton Rose Fulbright Australia</w:t>
            </w:r>
            <w:r w:rsidRPr="00706393">
              <w:rPr>
                <w:szCs w:val="24"/>
              </w:rPr>
              <w:t xml:space="preserve"> [2019] FCAFC 234</w:t>
            </w:r>
          </w:p>
          <w:p w:rsidR="002A68E6" w:rsidRPr="00F17E34" w:rsidRDefault="002A68E6" w:rsidP="00D82620">
            <w:pPr>
              <w:pStyle w:val="CasesLegislationAppealFrom"/>
              <w:spacing w:after="60"/>
            </w:pPr>
            <w:proofErr w:type="spellStart"/>
            <w:r w:rsidRPr="00706393">
              <w:rPr>
                <w:i/>
                <w:iCs/>
                <w:color w:val="000000"/>
                <w:szCs w:val="24"/>
                <w:bdr w:val="none" w:sz="0" w:space="0" w:color="auto" w:frame="1"/>
                <w:shd w:val="clear" w:color="auto" w:fill="FFFFFF"/>
              </w:rPr>
              <w:t>Mentink</w:t>
            </w:r>
            <w:proofErr w:type="spellEnd"/>
            <w:r w:rsidRPr="00706393">
              <w:rPr>
                <w:i/>
                <w:iCs/>
                <w:color w:val="000000"/>
                <w:szCs w:val="24"/>
                <w:bdr w:val="none" w:sz="0" w:space="0" w:color="auto" w:frame="1"/>
                <w:shd w:val="clear" w:color="auto" w:fill="FFFFFF"/>
              </w:rPr>
              <w:t> v Minister for Home Affairs </w:t>
            </w:r>
            <w:r w:rsidRPr="00706393">
              <w:rPr>
                <w:color w:val="000000"/>
                <w:szCs w:val="24"/>
                <w:bdr w:val="none" w:sz="0" w:space="0" w:color="auto" w:frame="1"/>
                <w:shd w:val="clear" w:color="auto" w:fill="FFFFFF"/>
              </w:rPr>
              <w:t>[2013] FCAFC 113</w:t>
            </w:r>
          </w:p>
          <w:p w:rsidR="002A68E6" w:rsidRPr="00F17E34" w:rsidRDefault="002A68E6" w:rsidP="00D82620">
            <w:pPr>
              <w:pStyle w:val="CasesLegislationAppealFrom"/>
              <w:spacing w:after="60"/>
            </w:pPr>
            <w:r w:rsidRPr="00706393">
              <w:rPr>
                <w:i/>
              </w:rPr>
              <w:t xml:space="preserve">Parker v R </w:t>
            </w:r>
            <w:r w:rsidRPr="00706393">
              <w:t>[2002] FCAFC 133</w:t>
            </w:r>
          </w:p>
          <w:p w:rsidR="006D56FD" w:rsidRPr="00F17E34" w:rsidRDefault="006D56FD" w:rsidP="00D82620">
            <w:pPr>
              <w:pStyle w:val="CasesLegislationAppealFrom"/>
              <w:spacing w:after="60"/>
            </w:pPr>
            <w:proofErr w:type="spellStart"/>
            <w:r w:rsidRPr="00706393">
              <w:rPr>
                <w:i/>
              </w:rPr>
              <w:t>Postiglione</w:t>
            </w:r>
            <w:proofErr w:type="spellEnd"/>
            <w:r w:rsidRPr="00706393">
              <w:rPr>
                <w:i/>
              </w:rPr>
              <w:t xml:space="preserve"> v The Queen </w:t>
            </w:r>
            <w:r w:rsidRPr="00706393">
              <w:t>(1997) 189 CLR 295</w:t>
            </w:r>
          </w:p>
          <w:p w:rsidR="00B004A8" w:rsidRPr="00F17E34" w:rsidRDefault="00B004A8" w:rsidP="00D82620">
            <w:pPr>
              <w:pStyle w:val="CasesLegislationAppealFrom"/>
              <w:spacing w:after="60"/>
            </w:pPr>
            <w:proofErr w:type="spellStart"/>
            <w:r w:rsidRPr="00706393">
              <w:rPr>
                <w:i/>
              </w:rPr>
              <w:t>Vaysman</w:t>
            </w:r>
            <w:proofErr w:type="spellEnd"/>
            <w:r w:rsidRPr="00706393">
              <w:rPr>
                <w:i/>
              </w:rPr>
              <w:t xml:space="preserve"> v Deckers Outdoor Corporation </w:t>
            </w:r>
            <w:proofErr w:type="spellStart"/>
            <w:r w:rsidRPr="00706393">
              <w:rPr>
                <w:i/>
              </w:rPr>
              <w:t>Inc</w:t>
            </w:r>
            <w:proofErr w:type="spellEnd"/>
            <w:r w:rsidRPr="00706393">
              <w:t xml:space="preserve"> [2014] FCAFC 60</w:t>
            </w:r>
            <w:r w:rsidR="00E43925">
              <w:t xml:space="preserve">; </w:t>
            </w:r>
            <w:r w:rsidR="00D16A38">
              <w:t xml:space="preserve">(2014) </w:t>
            </w:r>
            <w:r w:rsidR="00E43925">
              <w:t>222 FCR 387</w:t>
            </w:r>
          </w:p>
          <w:p w:rsidR="006D56FD" w:rsidRDefault="006D56FD" w:rsidP="00D82620">
            <w:pPr>
              <w:pStyle w:val="CasesLegislationAppealFrom"/>
              <w:spacing w:after="60"/>
            </w:pPr>
            <w:r w:rsidRPr="00706393">
              <w:rPr>
                <w:i/>
              </w:rPr>
              <w:lastRenderedPageBreak/>
              <w:t>Wong v The Queen</w:t>
            </w:r>
            <w:r w:rsidRPr="00706393">
              <w:t xml:space="preserve"> [2001] HCA 64</w:t>
            </w:r>
            <w:r w:rsidR="00402241">
              <w:t xml:space="preserve">; </w:t>
            </w:r>
            <w:r w:rsidR="00B979F7">
              <w:t xml:space="preserve">(2001) </w:t>
            </w:r>
            <w:r w:rsidR="00402241">
              <w:t>207 CLR 584</w:t>
            </w:r>
          </w:p>
        </w:tc>
      </w:tr>
      <w:tr w:rsidR="00572D95" w:rsidTr="004062E7">
        <w:tc>
          <w:tcPr>
            <w:tcW w:w="3084" w:type="dxa"/>
            <w:shd w:val="clear" w:color="auto" w:fill="auto"/>
          </w:tcPr>
          <w:p w:rsidR="00572D95" w:rsidRDefault="00572D95" w:rsidP="002F7154">
            <w:pPr>
              <w:pStyle w:val="Normal1linespace"/>
              <w:widowControl w:val="0"/>
            </w:pPr>
          </w:p>
        </w:tc>
        <w:tc>
          <w:tcPr>
            <w:tcW w:w="5989" w:type="dxa"/>
            <w:shd w:val="clear" w:color="auto" w:fill="auto"/>
          </w:tcPr>
          <w:p w:rsidR="00572D95" w:rsidRDefault="00572D95" w:rsidP="002F7154">
            <w:pPr>
              <w:pStyle w:val="Normal1linespace"/>
              <w:widowControl w:val="0"/>
              <w:jc w:val="left"/>
            </w:pPr>
          </w:p>
        </w:tc>
      </w:tr>
      <w:tr w:rsidR="00572D95" w:rsidTr="004062E7">
        <w:tc>
          <w:tcPr>
            <w:tcW w:w="3084" w:type="dxa"/>
            <w:shd w:val="clear" w:color="auto" w:fill="auto"/>
          </w:tcPr>
          <w:p w:rsidR="00572D95" w:rsidRDefault="00572D95" w:rsidP="00501A12">
            <w:pPr>
              <w:pStyle w:val="Normal1linespace"/>
              <w:widowControl w:val="0"/>
            </w:pPr>
            <w:r>
              <w:t>Division:</w:t>
            </w:r>
          </w:p>
        </w:tc>
        <w:tc>
          <w:tcPr>
            <w:tcW w:w="5989" w:type="dxa"/>
            <w:shd w:val="clear" w:color="auto" w:fill="auto"/>
          </w:tcPr>
          <w:p w:rsidR="00572D95" w:rsidRPr="00F17599" w:rsidRDefault="00F56241" w:rsidP="00501A12">
            <w:pPr>
              <w:pStyle w:val="Normal1linespace"/>
              <w:widowControl w:val="0"/>
              <w:jc w:val="left"/>
            </w:pPr>
            <w:fldSimple w:instr=" DOCPROPERTY  Division ">
              <w:r w:rsidR="00572D95">
                <w:t>General Division</w:t>
              </w:r>
            </w:fldSimple>
          </w:p>
        </w:tc>
      </w:tr>
      <w:tr w:rsidR="00572D95" w:rsidTr="004062E7">
        <w:tc>
          <w:tcPr>
            <w:tcW w:w="3084" w:type="dxa"/>
            <w:shd w:val="clear" w:color="auto" w:fill="auto"/>
          </w:tcPr>
          <w:p w:rsidR="00572D95" w:rsidRDefault="00572D95" w:rsidP="00501A12">
            <w:pPr>
              <w:pStyle w:val="Normal1linespace"/>
              <w:widowControl w:val="0"/>
            </w:pPr>
            <w:bookmarkStart w:id="5" w:name="Registry_rows" w:colFirst="0" w:colLast="1"/>
          </w:p>
        </w:tc>
        <w:tc>
          <w:tcPr>
            <w:tcW w:w="5989" w:type="dxa"/>
            <w:shd w:val="clear" w:color="auto" w:fill="auto"/>
          </w:tcPr>
          <w:p w:rsidR="00572D95" w:rsidRDefault="00572D95" w:rsidP="00501A12">
            <w:pPr>
              <w:pStyle w:val="Normal1linespace"/>
              <w:widowControl w:val="0"/>
              <w:jc w:val="left"/>
            </w:pPr>
          </w:p>
        </w:tc>
      </w:tr>
      <w:tr w:rsidR="00572D95" w:rsidTr="004062E7">
        <w:tc>
          <w:tcPr>
            <w:tcW w:w="3084" w:type="dxa"/>
            <w:shd w:val="clear" w:color="auto" w:fill="auto"/>
          </w:tcPr>
          <w:p w:rsidR="00572D95" w:rsidRDefault="00572D95" w:rsidP="00501A12">
            <w:pPr>
              <w:pStyle w:val="Normal1linespace"/>
              <w:widowControl w:val="0"/>
            </w:pPr>
            <w:r>
              <w:t>Registry:</w:t>
            </w:r>
          </w:p>
        </w:tc>
        <w:tc>
          <w:tcPr>
            <w:tcW w:w="5989" w:type="dxa"/>
            <w:shd w:val="clear" w:color="auto" w:fill="auto"/>
          </w:tcPr>
          <w:p w:rsidR="00572D95" w:rsidRPr="00F17599" w:rsidRDefault="001066F9" w:rsidP="00501A12">
            <w:pPr>
              <w:pStyle w:val="Normal1linespace"/>
              <w:widowControl w:val="0"/>
              <w:jc w:val="left"/>
            </w:pPr>
            <w:r>
              <w:t>Tasmania</w:t>
            </w:r>
          </w:p>
        </w:tc>
      </w:tr>
      <w:tr w:rsidR="00CE0FBC" w:rsidTr="004062E7">
        <w:tc>
          <w:tcPr>
            <w:tcW w:w="3084" w:type="dxa"/>
            <w:shd w:val="clear" w:color="auto" w:fill="auto"/>
          </w:tcPr>
          <w:p w:rsidR="00CE0FBC" w:rsidRDefault="00CE0FBC" w:rsidP="00501A12">
            <w:pPr>
              <w:pStyle w:val="Normal1linespace"/>
              <w:widowControl w:val="0"/>
            </w:pPr>
          </w:p>
        </w:tc>
        <w:tc>
          <w:tcPr>
            <w:tcW w:w="5989" w:type="dxa"/>
            <w:shd w:val="clear" w:color="auto" w:fill="auto"/>
          </w:tcPr>
          <w:p w:rsidR="00CE0FBC" w:rsidRDefault="00CE0FBC" w:rsidP="00501A12">
            <w:pPr>
              <w:pStyle w:val="Normal1linespace"/>
              <w:widowControl w:val="0"/>
              <w:jc w:val="left"/>
            </w:pPr>
          </w:p>
        </w:tc>
      </w:tr>
      <w:tr w:rsidR="00CE0FBC" w:rsidTr="004062E7">
        <w:tc>
          <w:tcPr>
            <w:tcW w:w="3084" w:type="dxa"/>
            <w:shd w:val="clear" w:color="auto" w:fill="auto"/>
          </w:tcPr>
          <w:p w:rsidR="00CE0FBC" w:rsidRDefault="00CE0FBC" w:rsidP="00F53ED1">
            <w:pPr>
              <w:pStyle w:val="Normal1linespace"/>
              <w:widowControl w:val="0"/>
              <w:jc w:val="left"/>
            </w:pPr>
            <w:r>
              <w:t>National Practice Area:</w:t>
            </w:r>
          </w:p>
        </w:tc>
        <w:tc>
          <w:tcPr>
            <w:tcW w:w="5989" w:type="dxa"/>
            <w:shd w:val="clear" w:color="auto" w:fill="auto"/>
          </w:tcPr>
          <w:p w:rsidR="00CE0FBC" w:rsidRDefault="0030143B" w:rsidP="00BE54F4">
            <w:pPr>
              <w:pStyle w:val="Normal1linespace"/>
              <w:widowControl w:val="0"/>
              <w:jc w:val="left"/>
            </w:pPr>
            <w:r>
              <w:t xml:space="preserve">Federal </w:t>
            </w:r>
            <w:r w:rsidR="00BE54F4">
              <w:t>Crime and Related Proceedings</w:t>
            </w:r>
          </w:p>
        </w:tc>
      </w:tr>
      <w:bookmarkEnd w:id="5"/>
      <w:tr w:rsidR="00572D95" w:rsidTr="004062E7">
        <w:tc>
          <w:tcPr>
            <w:tcW w:w="3084" w:type="dxa"/>
            <w:shd w:val="clear" w:color="auto" w:fill="auto"/>
          </w:tcPr>
          <w:p w:rsidR="00572D95" w:rsidRDefault="00572D95" w:rsidP="00F53ED1">
            <w:pPr>
              <w:pStyle w:val="Normal1linespace"/>
              <w:widowControl w:val="0"/>
              <w:jc w:val="left"/>
            </w:pPr>
          </w:p>
        </w:tc>
        <w:tc>
          <w:tcPr>
            <w:tcW w:w="5989" w:type="dxa"/>
            <w:shd w:val="clear" w:color="auto" w:fill="auto"/>
          </w:tcPr>
          <w:p w:rsidR="00572D95" w:rsidRDefault="00572D95" w:rsidP="00F53ED1">
            <w:pPr>
              <w:pStyle w:val="Normal1linespace"/>
              <w:widowControl w:val="0"/>
              <w:jc w:val="left"/>
            </w:pPr>
          </w:p>
        </w:tc>
      </w:tr>
      <w:tr w:rsidR="00572D95" w:rsidTr="004062E7">
        <w:tc>
          <w:tcPr>
            <w:tcW w:w="3084" w:type="dxa"/>
            <w:shd w:val="clear" w:color="auto" w:fill="auto"/>
          </w:tcPr>
          <w:p w:rsidR="00572D95" w:rsidRDefault="00572D95" w:rsidP="00501A12">
            <w:pPr>
              <w:pStyle w:val="Normal1linespace"/>
              <w:widowControl w:val="0"/>
            </w:pPr>
            <w:r>
              <w:t>Number of paragraphs:</w:t>
            </w:r>
          </w:p>
        </w:tc>
        <w:tc>
          <w:tcPr>
            <w:tcW w:w="5989" w:type="dxa"/>
            <w:shd w:val="clear" w:color="auto" w:fill="auto"/>
          </w:tcPr>
          <w:p w:rsidR="00572D95" w:rsidRDefault="00721793" w:rsidP="004E1E7F">
            <w:pPr>
              <w:pStyle w:val="Normal1linespace"/>
              <w:widowControl w:val="0"/>
              <w:jc w:val="left"/>
            </w:pPr>
            <w:r>
              <w:t>52</w:t>
            </w:r>
          </w:p>
        </w:tc>
      </w:tr>
      <w:tr w:rsidR="00572D95" w:rsidTr="004062E7">
        <w:tc>
          <w:tcPr>
            <w:tcW w:w="3084" w:type="dxa"/>
            <w:shd w:val="clear" w:color="auto" w:fill="auto"/>
          </w:tcPr>
          <w:p w:rsidR="00572D95" w:rsidRDefault="00572D95" w:rsidP="00572D95">
            <w:pPr>
              <w:pStyle w:val="Normal1linespace"/>
              <w:widowControl w:val="0"/>
              <w:jc w:val="left"/>
            </w:pPr>
            <w:bookmarkStart w:id="6" w:name="CounselDate" w:colFirst="0" w:colLast="2"/>
          </w:p>
        </w:tc>
        <w:tc>
          <w:tcPr>
            <w:tcW w:w="5989" w:type="dxa"/>
            <w:shd w:val="clear" w:color="auto" w:fill="auto"/>
          </w:tcPr>
          <w:p w:rsidR="00572D95" w:rsidRDefault="00572D95" w:rsidP="00572D95">
            <w:pPr>
              <w:pStyle w:val="Normal1linespace"/>
              <w:widowControl w:val="0"/>
              <w:jc w:val="left"/>
            </w:pPr>
          </w:p>
        </w:tc>
      </w:tr>
      <w:tr w:rsidR="004062E7" w:rsidTr="00CE0FBC">
        <w:tc>
          <w:tcPr>
            <w:tcW w:w="3084" w:type="dxa"/>
            <w:shd w:val="clear" w:color="auto" w:fill="auto"/>
          </w:tcPr>
          <w:p w:rsidR="004062E7" w:rsidRDefault="00BC7135" w:rsidP="004062E7">
            <w:pPr>
              <w:pStyle w:val="Normal1linespace"/>
              <w:widowControl w:val="0"/>
              <w:jc w:val="left"/>
            </w:pPr>
            <w:bookmarkStart w:id="7" w:name="Counsel" w:colFirst="0" w:colLast="2"/>
            <w:bookmarkEnd w:id="6"/>
            <w:r>
              <w:t>Counsel</w:t>
            </w:r>
            <w:r w:rsidR="004062E7">
              <w:t xml:space="preserve"> for the Applicant:</w:t>
            </w:r>
          </w:p>
        </w:tc>
        <w:tc>
          <w:tcPr>
            <w:tcW w:w="5989" w:type="dxa"/>
            <w:shd w:val="clear" w:color="auto" w:fill="auto"/>
          </w:tcPr>
          <w:p w:rsidR="004062E7" w:rsidRDefault="00CA7054" w:rsidP="00CA7054">
            <w:pPr>
              <w:pStyle w:val="Normal1linespace"/>
              <w:widowControl w:val="0"/>
              <w:jc w:val="left"/>
            </w:pPr>
            <w:bookmarkStart w:id="8" w:name="AppCounsel"/>
            <w:bookmarkEnd w:id="8"/>
            <w:r>
              <w:t xml:space="preserve">Professor K </w:t>
            </w:r>
            <w:proofErr w:type="spellStart"/>
            <w:r>
              <w:t>Karunadasa</w:t>
            </w:r>
            <w:proofErr w:type="spellEnd"/>
          </w:p>
        </w:tc>
      </w:tr>
      <w:tr w:rsidR="004062E7" w:rsidTr="00CE0FBC">
        <w:tc>
          <w:tcPr>
            <w:tcW w:w="3084" w:type="dxa"/>
            <w:shd w:val="clear" w:color="auto" w:fill="auto"/>
          </w:tcPr>
          <w:p w:rsidR="004062E7" w:rsidRDefault="004062E7" w:rsidP="004062E7">
            <w:pPr>
              <w:pStyle w:val="Normal1linespace"/>
              <w:widowControl w:val="0"/>
              <w:jc w:val="left"/>
            </w:pPr>
          </w:p>
        </w:tc>
        <w:tc>
          <w:tcPr>
            <w:tcW w:w="5989" w:type="dxa"/>
            <w:shd w:val="clear" w:color="auto" w:fill="auto"/>
          </w:tcPr>
          <w:p w:rsidR="004062E7" w:rsidRDefault="004062E7" w:rsidP="004062E7">
            <w:pPr>
              <w:pStyle w:val="Normal1linespace"/>
              <w:widowControl w:val="0"/>
              <w:jc w:val="left"/>
            </w:pPr>
          </w:p>
        </w:tc>
      </w:tr>
      <w:tr w:rsidR="004062E7" w:rsidTr="00CE0FBC">
        <w:tc>
          <w:tcPr>
            <w:tcW w:w="3084" w:type="dxa"/>
            <w:shd w:val="clear" w:color="auto" w:fill="auto"/>
          </w:tcPr>
          <w:p w:rsidR="004062E7" w:rsidRDefault="00BC7135" w:rsidP="004062E7">
            <w:pPr>
              <w:pStyle w:val="Normal1linespace"/>
              <w:widowControl w:val="0"/>
              <w:jc w:val="left"/>
            </w:pPr>
            <w:r>
              <w:t xml:space="preserve">Solicitor </w:t>
            </w:r>
            <w:r w:rsidR="004062E7">
              <w:t>for the Applicant:</w:t>
            </w:r>
          </w:p>
        </w:tc>
        <w:tc>
          <w:tcPr>
            <w:tcW w:w="5989" w:type="dxa"/>
            <w:shd w:val="clear" w:color="auto" w:fill="auto"/>
          </w:tcPr>
          <w:p w:rsidR="004062E7" w:rsidRDefault="00BC7135" w:rsidP="004062E7">
            <w:pPr>
              <w:pStyle w:val="Normal1linespace"/>
              <w:widowControl w:val="0"/>
              <w:jc w:val="left"/>
            </w:pPr>
            <w:r>
              <w:t>Tai Lawyers Darwin</w:t>
            </w:r>
          </w:p>
        </w:tc>
      </w:tr>
      <w:tr w:rsidR="004062E7" w:rsidTr="00CE0FBC">
        <w:tc>
          <w:tcPr>
            <w:tcW w:w="3084" w:type="dxa"/>
            <w:shd w:val="clear" w:color="auto" w:fill="auto"/>
          </w:tcPr>
          <w:p w:rsidR="004062E7" w:rsidRDefault="004062E7" w:rsidP="004062E7">
            <w:pPr>
              <w:pStyle w:val="Normal1linespace"/>
              <w:widowControl w:val="0"/>
              <w:jc w:val="left"/>
            </w:pPr>
          </w:p>
        </w:tc>
        <w:tc>
          <w:tcPr>
            <w:tcW w:w="5989" w:type="dxa"/>
            <w:shd w:val="clear" w:color="auto" w:fill="auto"/>
          </w:tcPr>
          <w:p w:rsidR="004062E7" w:rsidRDefault="004062E7" w:rsidP="004062E7">
            <w:pPr>
              <w:pStyle w:val="Normal1linespace"/>
              <w:widowControl w:val="0"/>
              <w:jc w:val="left"/>
            </w:pPr>
          </w:p>
        </w:tc>
      </w:tr>
      <w:tr w:rsidR="004062E7" w:rsidTr="00CE0FBC">
        <w:tc>
          <w:tcPr>
            <w:tcW w:w="3084" w:type="dxa"/>
            <w:shd w:val="clear" w:color="auto" w:fill="auto"/>
          </w:tcPr>
          <w:p w:rsidR="004062E7" w:rsidRDefault="004062E7" w:rsidP="004062E7">
            <w:pPr>
              <w:pStyle w:val="Normal1linespace"/>
              <w:widowControl w:val="0"/>
              <w:jc w:val="left"/>
            </w:pPr>
            <w:r>
              <w:t>Counsel for the Respondent:</w:t>
            </w:r>
          </w:p>
        </w:tc>
        <w:tc>
          <w:tcPr>
            <w:tcW w:w="5989" w:type="dxa"/>
            <w:shd w:val="clear" w:color="auto" w:fill="auto"/>
          </w:tcPr>
          <w:p w:rsidR="004062E7" w:rsidRDefault="00A8643F">
            <w:pPr>
              <w:pStyle w:val="Normal1linespace"/>
              <w:widowControl w:val="0"/>
              <w:jc w:val="left"/>
            </w:pPr>
            <w:r>
              <w:t xml:space="preserve">Ms </w:t>
            </w:r>
            <w:r w:rsidR="00CA7054">
              <w:t>J Sawyer</w:t>
            </w:r>
          </w:p>
        </w:tc>
      </w:tr>
      <w:tr w:rsidR="004062E7" w:rsidTr="00CE0FBC">
        <w:tc>
          <w:tcPr>
            <w:tcW w:w="3084" w:type="dxa"/>
            <w:shd w:val="clear" w:color="auto" w:fill="auto"/>
          </w:tcPr>
          <w:p w:rsidR="004062E7" w:rsidRDefault="004062E7" w:rsidP="004062E7">
            <w:pPr>
              <w:pStyle w:val="Normal1linespace"/>
              <w:widowControl w:val="0"/>
              <w:jc w:val="left"/>
            </w:pPr>
          </w:p>
        </w:tc>
        <w:tc>
          <w:tcPr>
            <w:tcW w:w="5989" w:type="dxa"/>
            <w:shd w:val="clear" w:color="auto" w:fill="auto"/>
          </w:tcPr>
          <w:p w:rsidR="004062E7" w:rsidRDefault="004062E7" w:rsidP="004062E7">
            <w:pPr>
              <w:pStyle w:val="Normal1linespace"/>
              <w:widowControl w:val="0"/>
              <w:jc w:val="left"/>
            </w:pPr>
          </w:p>
        </w:tc>
      </w:tr>
      <w:tr w:rsidR="004062E7" w:rsidTr="00CE0FBC">
        <w:tc>
          <w:tcPr>
            <w:tcW w:w="3084" w:type="dxa"/>
            <w:shd w:val="clear" w:color="auto" w:fill="auto"/>
          </w:tcPr>
          <w:p w:rsidR="004062E7" w:rsidRDefault="004062E7" w:rsidP="004062E7">
            <w:pPr>
              <w:pStyle w:val="Normal1linespace"/>
              <w:widowControl w:val="0"/>
              <w:jc w:val="left"/>
            </w:pPr>
            <w:r>
              <w:t>Solicitor for the Respondent:</w:t>
            </w:r>
          </w:p>
        </w:tc>
        <w:tc>
          <w:tcPr>
            <w:tcW w:w="5989" w:type="dxa"/>
            <w:shd w:val="clear" w:color="auto" w:fill="auto"/>
          </w:tcPr>
          <w:p w:rsidR="004062E7" w:rsidRDefault="00E03024" w:rsidP="004062E7">
            <w:pPr>
              <w:pStyle w:val="Normal1linespace"/>
              <w:widowControl w:val="0"/>
              <w:jc w:val="left"/>
            </w:pPr>
            <w:r>
              <w:t xml:space="preserve">Page </w:t>
            </w:r>
            <w:proofErr w:type="spellStart"/>
            <w:r>
              <w:t>Seager</w:t>
            </w:r>
            <w:proofErr w:type="spellEnd"/>
          </w:p>
        </w:tc>
      </w:tr>
      <w:bookmarkEnd w:id="7"/>
    </w:tbl>
    <w:p w:rsidR="0037118F" w:rsidRDefault="0037118F" w:rsidP="00045BB7">
      <w:pPr>
        <w:pStyle w:val="NormalHeadings"/>
        <w:spacing w:line="480" w:lineRule="auto"/>
        <w:jc w:val="center"/>
        <w:rPr>
          <w:sz w:val="28"/>
          <w:szCs w:val="28"/>
        </w:rPr>
      </w:pPr>
    </w:p>
    <w:p w:rsidR="0037118F" w:rsidRDefault="0037118F" w:rsidP="00045BB7">
      <w:pPr>
        <w:pStyle w:val="NormalHeadings"/>
        <w:spacing w:line="480" w:lineRule="auto"/>
        <w:jc w:val="center"/>
        <w:rPr>
          <w:sz w:val="28"/>
          <w:szCs w:val="28"/>
        </w:rPr>
      </w:pPr>
    </w:p>
    <w:p w:rsidR="0037118F" w:rsidRDefault="0037118F" w:rsidP="00045BB7">
      <w:pPr>
        <w:pStyle w:val="NormalHeadings"/>
        <w:spacing w:line="480" w:lineRule="auto"/>
        <w:jc w:val="center"/>
        <w:rPr>
          <w:sz w:val="28"/>
          <w:szCs w:val="28"/>
        </w:rPr>
      </w:pPr>
    </w:p>
    <w:p w:rsidR="0037118F" w:rsidRDefault="0037118F" w:rsidP="00045BB7">
      <w:pPr>
        <w:pStyle w:val="NormalHeadings"/>
        <w:spacing w:line="480" w:lineRule="auto"/>
        <w:jc w:val="center"/>
        <w:rPr>
          <w:sz w:val="28"/>
          <w:szCs w:val="28"/>
        </w:rPr>
      </w:pPr>
    </w:p>
    <w:p w:rsidR="0037118F" w:rsidRDefault="0037118F" w:rsidP="00045BB7">
      <w:pPr>
        <w:pStyle w:val="NormalHeadings"/>
        <w:spacing w:line="480" w:lineRule="auto"/>
        <w:jc w:val="center"/>
        <w:rPr>
          <w:sz w:val="28"/>
          <w:szCs w:val="28"/>
        </w:rPr>
      </w:pPr>
    </w:p>
    <w:p w:rsidR="0037118F" w:rsidRDefault="0037118F" w:rsidP="00045BB7">
      <w:pPr>
        <w:pStyle w:val="NormalHeadings"/>
        <w:spacing w:line="480" w:lineRule="auto"/>
        <w:jc w:val="center"/>
        <w:rPr>
          <w:sz w:val="28"/>
          <w:szCs w:val="28"/>
        </w:rPr>
      </w:pPr>
    </w:p>
    <w:p w:rsidR="0037118F" w:rsidRDefault="0037118F" w:rsidP="00045BB7">
      <w:pPr>
        <w:pStyle w:val="NormalHeadings"/>
        <w:spacing w:line="480" w:lineRule="auto"/>
        <w:jc w:val="center"/>
        <w:rPr>
          <w:sz w:val="28"/>
          <w:szCs w:val="28"/>
        </w:rPr>
      </w:pPr>
    </w:p>
    <w:p w:rsidR="0037118F" w:rsidRDefault="0037118F" w:rsidP="00045BB7">
      <w:pPr>
        <w:pStyle w:val="NormalHeadings"/>
        <w:spacing w:line="480" w:lineRule="auto"/>
        <w:jc w:val="center"/>
        <w:rPr>
          <w:sz w:val="28"/>
          <w:szCs w:val="28"/>
        </w:rPr>
      </w:pPr>
    </w:p>
    <w:p w:rsidR="0037118F" w:rsidRDefault="0037118F" w:rsidP="00045BB7">
      <w:pPr>
        <w:pStyle w:val="NormalHeadings"/>
        <w:spacing w:line="480" w:lineRule="auto"/>
        <w:jc w:val="center"/>
        <w:rPr>
          <w:sz w:val="28"/>
          <w:szCs w:val="28"/>
        </w:rPr>
      </w:pPr>
    </w:p>
    <w:p w:rsidR="00F56241" w:rsidRDefault="00F56241">
      <w:pPr>
        <w:spacing w:line="240" w:lineRule="auto"/>
        <w:jc w:val="left"/>
        <w:rPr>
          <w:b/>
          <w:sz w:val="28"/>
          <w:szCs w:val="28"/>
        </w:rPr>
      </w:pPr>
      <w:r>
        <w:rPr>
          <w:sz w:val="28"/>
          <w:szCs w:val="28"/>
        </w:rPr>
        <w:br w:type="page"/>
      </w:r>
    </w:p>
    <w:p w:rsidR="008C7167" w:rsidRPr="00045BB7" w:rsidRDefault="0011419D" w:rsidP="00045BB7">
      <w:pPr>
        <w:pStyle w:val="NormalHeadings"/>
        <w:spacing w:line="480" w:lineRule="auto"/>
        <w:jc w:val="center"/>
        <w:rPr>
          <w:sz w:val="28"/>
          <w:szCs w:val="28"/>
        </w:rPr>
      </w:pPr>
      <w:r w:rsidRPr="00045BB7">
        <w:rPr>
          <w:sz w:val="28"/>
          <w:szCs w:val="28"/>
        </w:rPr>
        <w:lastRenderedPageBreak/>
        <w:t>ORDERS</w:t>
      </w:r>
    </w:p>
    <w:tbl>
      <w:tblPr>
        <w:tblW w:w="0" w:type="auto"/>
        <w:tblLayout w:type="fixed"/>
        <w:tblLook w:val="0000" w:firstRow="0" w:lastRow="0" w:firstColumn="0" w:lastColumn="0" w:noHBand="0" w:noVBand="0"/>
        <w:tblCaption w:val="Parties"/>
        <w:tblDescription w:val="Parties"/>
      </w:tblPr>
      <w:tblGrid>
        <w:gridCol w:w="2376"/>
        <w:gridCol w:w="4536"/>
        <w:gridCol w:w="2330"/>
      </w:tblGrid>
      <w:tr w:rsidR="00A46CCC" w:rsidTr="00E81DA6">
        <w:tc>
          <w:tcPr>
            <w:tcW w:w="6912" w:type="dxa"/>
            <w:gridSpan w:val="2"/>
          </w:tcPr>
          <w:p w:rsidR="00A46CCC" w:rsidRPr="001765E0" w:rsidRDefault="00A46CCC" w:rsidP="00525A49">
            <w:pPr>
              <w:pStyle w:val="NormalHeadings"/>
            </w:pPr>
          </w:p>
        </w:tc>
        <w:tc>
          <w:tcPr>
            <w:tcW w:w="2330" w:type="dxa"/>
          </w:tcPr>
          <w:p w:rsidR="00A46CCC" w:rsidRDefault="00572D95" w:rsidP="00F92355">
            <w:pPr>
              <w:pStyle w:val="NormalHeadings"/>
              <w:jc w:val="right"/>
            </w:pPr>
            <w:bookmarkStart w:id="9" w:name="FileNo"/>
            <w:r>
              <w:t>TAD 34 of 2021</w:t>
            </w:r>
            <w:bookmarkEnd w:id="9"/>
          </w:p>
        </w:tc>
      </w:tr>
      <w:tr w:rsidR="00A76C13" w:rsidTr="00F461A4">
        <w:tc>
          <w:tcPr>
            <w:tcW w:w="9242" w:type="dxa"/>
            <w:gridSpan w:val="3"/>
          </w:tcPr>
          <w:p w:rsidR="00A76C13" w:rsidRPr="00A76C13" w:rsidRDefault="00A76C13" w:rsidP="00C44532">
            <w:pPr>
              <w:pStyle w:val="MNC"/>
              <w:jc w:val="both"/>
            </w:pPr>
          </w:p>
        </w:tc>
      </w:tr>
      <w:tr w:rsidR="00A46CCC" w:rsidTr="005041F0">
        <w:trPr>
          <w:trHeight w:val="386"/>
        </w:trPr>
        <w:tc>
          <w:tcPr>
            <w:tcW w:w="2376" w:type="dxa"/>
          </w:tcPr>
          <w:p w:rsidR="00A46CCC" w:rsidRDefault="00A46CCC" w:rsidP="005041F0">
            <w:pPr>
              <w:pStyle w:val="NormalHeadings"/>
              <w:jc w:val="left"/>
              <w:rPr>
                <w:caps/>
                <w:szCs w:val="24"/>
              </w:rPr>
            </w:pPr>
            <w:bookmarkStart w:id="10" w:name="Parties"/>
            <w:r>
              <w:rPr>
                <w:caps/>
                <w:szCs w:val="24"/>
              </w:rPr>
              <w:t>BETWEEN:</w:t>
            </w:r>
          </w:p>
        </w:tc>
        <w:tc>
          <w:tcPr>
            <w:tcW w:w="6866" w:type="dxa"/>
            <w:gridSpan w:val="2"/>
          </w:tcPr>
          <w:p w:rsidR="00572D95" w:rsidRDefault="00572D95" w:rsidP="00572D95">
            <w:pPr>
              <w:pStyle w:val="NormalHeadings"/>
              <w:jc w:val="left"/>
            </w:pPr>
            <w:bookmarkStart w:id="11" w:name="Applicant"/>
            <w:r>
              <w:t>KANE DALLOW</w:t>
            </w:r>
          </w:p>
          <w:p w:rsidR="00572D95" w:rsidRDefault="00572D95" w:rsidP="00572D95">
            <w:pPr>
              <w:pStyle w:val="PartyType"/>
            </w:pPr>
            <w:r>
              <w:t>Applicant</w:t>
            </w:r>
          </w:p>
          <w:bookmarkEnd w:id="11"/>
          <w:p w:rsidR="00A46CCC" w:rsidRPr="006555B4" w:rsidRDefault="00A46CCC" w:rsidP="005041F0">
            <w:pPr>
              <w:pStyle w:val="NormalHeadings"/>
              <w:jc w:val="left"/>
            </w:pPr>
          </w:p>
        </w:tc>
      </w:tr>
      <w:tr w:rsidR="00A46CCC" w:rsidTr="005041F0">
        <w:trPr>
          <w:trHeight w:val="386"/>
        </w:trPr>
        <w:tc>
          <w:tcPr>
            <w:tcW w:w="2376" w:type="dxa"/>
          </w:tcPr>
          <w:p w:rsidR="00A46CCC" w:rsidRDefault="00A46CCC" w:rsidP="005041F0">
            <w:pPr>
              <w:pStyle w:val="NormalHeadings"/>
              <w:jc w:val="left"/>
              <w:rPr>
                <w:caps/>
                <w:szCs w:val="24"/>
              </w:rPr>
            </w:pPr>
            <w:r>
              <w:rPr>
                <w:caps/>
                <w:szCs w:val="24"/>
              </w:rPr>
              <w:t>AND:</w:t>
            </w:r>
          </w:p>
        </w:tc>
        <w:tc>
          <w:tcPr>
            <w:tcW w:w="6866" w:type="dxa"/>
            <w:gridSpan w:val="2"/>
          </w:tcPr>
          <w:p w:rsidR="00572D95" w:rsidRDefault="00572D95" w:rsidP="00572D95">
            <w:pPr>
              <w:pStyle w:val="NormalHeadings"/>
              <w:jc w:val="left"/>
            </w:pPr>
            <w:bookmarkStart w:id="12" w:name="Respondent"/>
            <w:r>
              <w:t xml:space="preserve">MICHAEL </w:t>
            </w:r>
            <w:r w:rsidR="00932700">
              <w:t xml:space="preserve">DARREL JOSEPH </w:t>
            </w:r>
            <w:r>
              <w:t>FERGUSON</w:t>
            </w:r>
          </w:p>
          <w:p w:rsidR="00A46CCC" w:rsidRPr="006555B4" w:rsidRDefault="00572D95" w:rsidP="00314586">
            <w:pPr>
              <w:pStyle w:val="PartyType"/>
            </w:pPr>
            <w:r>
              <w:t>Respondent</w:t>
            </w:r>
            <w:bookmarkEnd w:id="12"/>
          </w:p>
        </w:tc>
      </w:tr>
    </w:tbl>
    <w:p w:rsidR="00395B24" w:rsidRDefault="00395B24">
      <w:pPr>
        <w:pStyle w:val="NormalHeadings"/>
      </w:pPr>
      <w:bookmarkStart w:id="13" w:name="CrossClaimPosition"/>
      <w:bookmarkEnd w:id="10"/>
      <w:bookmarkEnd w:id="13"/>
    </w:p>
    <w:tbl>
      <w:tblPr>
        <w:tblW w:w="0" w:type="auto"/>
        <w:tblLayout w:type="fixed"/>
        <w:tblLook w:val="0000" w:firstRow="0" w:lastRow="0" w:firstColumn="0" w:lastColumn="0" w:noHBand="0" w:noVBand="0"/>
        <w:tblCaption w:val="Judge"/>
        <w:tblDescription w:val="Judge"/>
      </w:tblPr>
      <w:tblGrid>
        <w:gridCol w:w="2376"/>
        <w:gridCol w:w="6866"/>
      </w:tblGrid>
      <w:tr w:rsidR="00395B24">
        <w:tc>
          <w:tcPr>
            <w:tcW w:w="2376" w:type="dxa"/>
          </w:tcPr>
          <w:p w:rsidR="00395B24" w:rsidRDefault="00974709">
            <w:pPr>
              <w:pStyle w:val="NormalHeadings"/>
              <w:spacing w:after="120"/>
              <w:jc w:val="left"/>
              <w:rPr>
                <w:caps/>
                <w:szCs w:val="24"/>
              </w:rPr>
            </w:pPr>
            <w:bookmarkStart w:id="14" w:name="JudgeText"/>
            <w:r>
              <w:rPr>
                <w:caps/>
                <w:szCs w:val="24"/>
              </w:rPr>
              <w:t>order made by</w:t>
            </w:r>
            <w:bookmarkEnd w:id="14"/>
            <w:r w:rsidR="002C7385">
              <w:rPr>
                <w:caps/>
                <w:szCs w:val="24"/>
              </w:rPr>
              <w:t>:</w:t>
            </w:r>
          </w:p>
        </w:tc>
        <w:tc>
          <w:tcPr>
            <w:tcW w:w="6866" w:type="dxa"/>
          </w:tcPr>
          <w:p w:rsidR="00395B24" w:rsidRDefault="00572D95">
            <w:pPr>
              <w:pStyle w:val="NormalHeadings"/>
              <w:jc w:val="left"/>
              <w:rPr>
                <w:caps/>
                <w:szCs w:val="24"/>
              </w:rPr>
            </w:pPr>
            <w:bookmarkStart w:id="15" w:name="Judge"/>
            <w:r>
              <w:rPr>
                <w:caps/>
                <w:szCs w:val="24"/>
              </w:rPr>
              <w:t>ANDERSON J</w:t>
            </w:r>
            <w:bookmarkEnd w:id="15"/>
          </w:p>
        </w:tc>
      </w:tr>
      <w:tr w:rsidR="00395B24">
        <w:tc>
          <w:tcPr>
            <w:tcW w:w="2376" w:type="dxa"/>
          </w:tcPr>
          <w:p w:rsidR="00395B24" w:rsidRDefault="002C7385">
            <w:pPr>
              <w:pStyle w:val="NormalHeadings"/>
              <w:spacing w:after="120"/>
              <w:jc w:val="left"/>
              <w:rPr>
                <w:caps/>
                <w:szCs w:val="24"/>
              </w:rPr>
            </w:pPr>
            <w:r>
              <w:rPr>
                <w:caps/>
                <w:szCs w:val="24"/>
              </w:rPr>
              <w:t>DATE OF ORDER:</w:t>
            </w:r>
          </w:p>
        </w:tc>
        <w:tc>
          <w:tcPr>
            <w:tcW w:w="6866" w:type="dxa"/>
          </w:tcPr>
          <w:p w:rsidR="00395B24" w:rsidRDefault="005430DF" w:rsidP="000050AB">
            <w:pPr>
              <w:pStyle w:val="NormalHeadings"/>
              <w:jc w:val="left"/>
              <w:rPr>
                <w:caps/>
                <w:szCs w:val="24"/>
              </w:rPr>
            </w:pPr>
            <w:bookmarkStart w:id="16" w:name="Judgment_Dated"/>
            <w:r>
              <w:rPr>
                <w:caps/>
                <w:szCs w:val="24"/>
              </w:rPr>
              <w:t>17</w:t>
            </w:r>
            <w:r w:rsidR="00572D95">
              <w:rPr>
                <w:caps/>
                <w:szCs w:val="24"/>
              </w:rPr>
              <w:t xml:space="preserve"> </w:t>
            </w:r>
            <w:r w:rsidR="009E531E">
              <w:rPr>
                <w:caps/>
                <w:szCs w:val="24"/>
              </w:rPr>
              <w:t xml:space="preserve">September </w:t>
            </w:r>
            <w:r w:rsidR="00572D95">
              <w:rPr>
                <w:caps/>
                <w:szCs w:val="24"/>
              </w:rPr>
              <w:t>202</w:t>
            </w:r>
            <w:bookmarkEnd w:id="16"/>
            <w:r w:rsidR="0059002F">
              <w:rPr>
                <w:caps/>
                <w:szCs w:val="24"/>
              </w:rPr>
              <w:t>1</w:t>
            </w:r>
          </w:p>
        </w:tc>
      </w:tr>
    </w:tbl>
    <w:p w:rsidR="00395B24" w:rsidRDefault="00395B24">
      <w:pPr>
        <w:pStyle w:val="NormalHeadings"/>
        <w:rPr>
          <w:b w:val="0"/>
        </w:rPr>
      </w:pPr>
    </w:p>
    <w:p w:rsidR="008D1617" w:rsidRDefault="008D1617">
      <w:pPr>
        <w:pStyle w:val="NormalHeadings"/>
        <w:rPr>
          <w:b w:val="0"/>
        </w:rPr>
      </w:pPr>
    </w:p>
    <w:p w:rsidR="00395B24" w:rsidRDefault="002C7385">
      <w:pPr>
        <w:pStyle w:val="NormalHeadings"/>
      </w:pPr>
      <w:r>
        <w:t>THE COURT ORDERS THAT:</w:t>
      </w:r>
    </w:p>
    <w:p w:rsidR="007F60DF" w:rsidRDefault="007F60DF" w:rsidP="00243E5E">
      <w:pPr>
        <w:pStyle w:val="NormalHeadings"/>
      </w:pPr>
    </w:p>
    <w:p w:rsidR="00E26920" w:rsidRDefault="00AF4731" w:rsidP="00E26920">
      <w:pPr>
        <w:pStyle w:val="Order1"/>
      </w:pPr>
      <w:r>
        <w:t>The applicant’s application for an exten</w:t>
      </w:r>
      <w:r w:rsidRPr="00F17E34">
        <w:t xml:space="preserve">sion of time under r 36.05 of the </w:t>
      </w:r>
      <w:r w:rsidRPr="00F17E34">
        <w:rPr>
          <w:i/>
        </w:rPr>
        <w:t xml:space="preserve">Federal Court Rules 2011 </w:t>
      </w:r>
      <w:r w:rsidRPr="00F17E34">
        <w:t>(</w:t>
      </w:r>
      <w:proofErr w:type="spellStart"/>
      <w:r w:rsidRPr="00F17E34">
        <w:t>Cth</w:t>
      </w:r>
      <w:proofErr w:type="spellEnd"/>
      <w:r w:rsidRPr="00F17E34">
        <w:t xml:space="preserve">) </w:t>
      </w:r>
      <w:r w:rsidR="00706393">
        <w:t xml:space="preserve">in which to file a notice of </w:t>
      </w:r>
      <w:r w:rsidR="00CB256E">
        <w:t>appeal</w:t>
      </w:r>
      <w:r>
        <w:t xml:space="preserve"> be dismissed.</w:t>
      </w:r>
    </w:p>
    <w:p w:rsidR="00AF4731" w:rsidRDefault="00AF4731" w:rsidP="00E26920">
      <w:pPr>
        <w:pStyle w:val="Order1"/>
      </w:pPr>
      <w:r>
        <w:t>The applicant pay the respondent’s costs of the application on a lump sum basis in an amount to be agreed</w:t>
      </w:r>
      <w:r w:rsidR="00475CC0">
        <w:t xml:space="preserve"> or</w:t>
      </w:r>
      <w:r>
        <w:t xml:space="preserve"> in default of agreement such lump sum be fixed by a Registrar of the Court.</w:t>
      </w:r>
    </w:p>
    <w:p w:rsidR="00A431E6" w:rsidRDefault="00A431E6" w:rsidP="001A6C52">
      <w:pPr>
        <w:pStyle w:val="BodyText"/>
      </w:pPr>
    </w:p>
    <w:p w:rsidR="00902011" w:rsidRDefault="00902011" w:rsidP="001A6C52">
      <w:pPr>
        <w:pStyle w:val="BodyText"/>
      </w:pPr>
    </w:p>
    <w:p w:rsidR="00902011" w:rsidRDefault="00902011" w:rsidP="001A6C52">
      <w:pPr>
        <w:pStyle w:val="BodyText"/>
      </w:pPr>
    </w:p>
    <w:p w:rsidR="0050309C" w:rsidRDefault="00572D95" w:rsidP="004D53E5">
      <w:pPr>
        <w:pStyle w:val="SingleSpace"/>
      </w:pPr>
      <w:bookmarkStart w:id="17" w:name="OrdersStatement"/>
      <w:r>
        <w:t>Note:</w:t>
      </w:r>
      <w:r>
        <w:tab/>
        <w:t xml:space="preserve">Entry of orders is dealt with in Rule 39.32 of the </w:t>
      </w:r>
      <w:r>
        <w:rPr>
          <w:i/>
        </w:rPr>
        <w:t>Federal Court Rules 2011</w:t>
      </w:r>
      <w:r>
        <w:t>.</w:t>
      </w:r>
      <w:bookmarkEnd w:id="17"/>
    </w:p>
    <w:p w:rsidR="009335D2" w:rsidRDefault="009335D2" w:rsidP="004D53E5">
      <w:pPr>
        <w:pStyle w:val="SingleSpace"/>
      </w:pPr>
    </w:p>
    <w:p w:rsidR="009335D2" w:rsidRDefault="009335D2" w:rsidP="002B0E91">
      <w:pPr>
        <w:pStyle w:val="BodyText"/>
        <w:sectPr w:rsidR="009335D2" w:rsidSect="00A84FD0">
          <w:headerReference w:type="default" r:id="rId9"/>
          <w:footerReference w:type="default" r:id="rId10"/>
          <w:headerReference w:type="first" r:id="rId11"/>
          <w:footerReference w:type="first" r:id="rId12"/>
          <w:endnotePr>
            <w:numFmt w:val="decimal"/>
          </w:endnotePr>
          <w:pgSz w:w="11907" w:h="16840" w:code="9"/>
          <w:pgMar w:top="1440" w:right="1440" w:bottom="1440" w:left="1440" w:header="851" w:footer="851" w:gutter="0"/>
          <w:pgNumType w:start="1"/>
          <w:cols w:space="720"/>
          <w:noEndnote/>
          <w:titlePg/>
        </w:sectPr>
      </w:pPr>
    </w:p>
    <w:p w:rsidR="00484F6D" w:rsidRPr="00045BB7" w:rsidRDefault="00484F6D" w:rsidP="00045BB7">
      <w:pPr>
        <w:pStyle w:val="NormalHeadings"/>
        <w:spacing w:line="480" w:lineRule="auto"/>
        <w:jc w:val="center"/>
        <w:rPr>
          <w:sz w:val="28"/>
          <w:szCs w:val="28"/>
        </w:rPr>
      </w:pPr>
      <w:bookmarkStart w:id="18" w:name="ReasonsPage"/>
      <w:bookmarkEnd w:id="18"/>
      <w:r w:rsidRPr="00045BB7">
        <w:rPr>
          <w:sz w:val="28"/>
          <w:szCs w:val="28"/>
        </w:rPr>
        <w:lastRenderedPageBreak/>
        <w:t>REASONS FOR JUDGMENT</w:t>
      </w:r>
    </w:p>
    <w:p w:rsidR="00694BEB" w:rsidRDefault="003A6482" w:rsidP="005E0510">
      <w:pPr>
        <w:pStyle w:val="NormalHeadings"/>
        <w:spacing w:line="360" w:lineRule="auto"/>
        <w:jc w:val="left"/>
        <w:rPr>
          <w:sz w:val="26"/>
          <w:szCs w:val="26"/>
        </w:rPr>
      </w:pPr>
      <w:r>
        <w:rPr>
          <w:sz w:val="26"/>
          <w:szCs w:val="26"/>
        </w:rPr>
        <w:t>ANDERSON J</w:t>
      </w:r>
      <w:r w:rsidR="00CD4822">
        <w:rPr>
          <w:sz w:val="26"/>
          <w:szCs w:val="26"/>
        </w:rPr>
        <w:t>:</w:t>
      </w:r>
    </w:p>
    <w:p w:rsidR="00B53230" w:rsidRDefault="00B53230" w:rsidP="00B53230">
      <w:pPr>
        <w:pStyle w:val="Heading2"/>
      </w:pPr>
      <w:r>
        <w:t>Introduction</w:t>
      </w:r>
    </w:p>
    <w:p w:rsidR="0092379E" w:rsidRDefault="0092379E" w:rsidP="0092379E">
      <w:pPr>
        <w:pStyle w:val="ParaNumbering"/>
      </w:pPr>
      <w:r w:rsidRPr="0092379E">
        <w:t xml:space="preserve">This is an application </w:t>
      </w:r>
      <w:r w:rsidR="00D96223">
        <w:t xml:space="preserve">for an extension of time </w:t>
      </w:r>
      <w:r w:rsidR="00772B04">
        <w:t>in</w:t>
      </w:r>
      <w:r w:rsidR="004A6D03">
        <w:t xml:space="preserve"> which to </w:t>
      </w:r>
      <w:r w:rsidRPr="0092379E">
        <w:t>file an appeal</w:t>
      </w:r>
      <w:r w:rsidR="00FD7A30">
        <w:t xml:space="preserve"> to this Court under r 36.05 of the </w:t>
      </w:r>
      <w:r w:rsidR="00FD7A30" w:rsidRPr="008F0E5E">
        <w:rPr>
          <w:i/>
        </w:rPr>
        <w:t xml:space="preserve">Federal Court Rules 2011 </w:t>
      </w:r>
      <w:r w:rsidR="00FD7A30">
        <w:t>(</w:t>
      </w:r>
      <w:proofErr w:type="spellStart"/>
      <w:r w:rsidR="00FD7A30">
        <w:t>Cth</w:t>
      </w:r>
      <w:proofErr w:type="spellEnd"/>
      <w:r w:rsidR="00FD7A30">
        <w:t>) (</w:t>
      </w:r>
      <w:r w:rsidR="00FD7A30">
        <w:rPr>
          <w:b/>
        </w:rPr>
        <w:t>Rules</w:t>
      </w:r>
      <w:r w:rsidR="00FD7A30">
        <w:t>)</w:t>
      </w:r>
      <w:r w:rsidR="0000656F">
        <w:t>.</w:t>
      </w:r>
    </w:p>
    <w:p w:rsidR="008A5226" w:rsidRDefault="008A5226" w:rsidP="008A5226">
      <w:pPr>
        <w:pStyle w:val="Heading2"/>
      </w:pPr>
      <w:r>
        <w:t>Background</w:t>
      </w:r>
    </w:p>
    <w:p w:rsidR="0051434F" w:rsidRDefault="00B53230" w:rsidP="0051434F">
      <w:pPr>
        <w:pStyle w:val="ParaNumbering"/>
      </w:pPr>
      <w:r>
        <w:t xml:space="preserve">The applicant in this proceeding, Mr Kane </w:t>
      </w:r>
      <w:proofErr w:type="spellStart"/>
      <w:r>
        <w:t>Dallow</w:t>
      </w:r>
      <w:proofErr w:type="spellEnd"/>
      <w:r>
        <w:t xml:space="preserve"> (</w:t>
      </w:r>
      <w:r>
        <w:rPr>
          <w:b/>
        </w:rPr>
        <w:t xml:space="preserve">Mr </w:t>
      </w:r>
      <w:proofErr w:type="spellStart"/>
      <w:r>
        <w:rPr>
          <w:b/>
        </w:rPr>
        <w:t>Dallow</w:t>
      </w:r>
      <w:proofErr w:type="spellEnd"/>
      <w:r>
        <w:t>)</w:t>
      </w:r>
      <w:r w:rsidR="00B26C41">
        <w:t xml:space="preserve"> was sentenced to s</w:t>
      </w:r>
      <w:r w:rsidR="00B26C41" w:rsidRPr="00B26C41">
        <w:t>erve a</w:t>
      </w:r>
      <w:r w:rsidR="00B26C41">
        <w:t xml:space="preserve"> </w:t>
      </w:r>
      <w:r w:rsidR="00B20248">
        <w:t>term of imprisonment of nine</w:t>
      </w:r>
      <w:r w:rsidR="00B26C41" w:rsidRPr="00B26C41">
        <w:t xml:space="preserve"> months</w:t>
      </w:r>
      <w:r w:rsidR="00E03079">
        <w:t xml:space="preserve"> from 28 June 2021 to 27 March 2022</w:t>
      </w:r>
      <w:r w:rsidR="00B26C41">
        <w:t>, having been found guilty of four charges o</w:t>
      </w:r>
      <w:r w:rsidR="00B26C41" w:rsidRPr="00F17E34">
        <w:t xml:space="preserve">f contempt </w:t>
      </w:r>
      <w:r w:rsidR="00DB0AE7" w:rsidRPr="00F17E34">
        <w:t>of court</w:t>
      </w:r>
      <w:r w:rsidR="005F4072" w:rsidRPr="00F17E34">
        <w:t xml:space="preserve">, including </w:t>
      </w:r>
      <w:r w:rsidR="005C1F94">
        <w:t xml:space="preserve">one charge of </w:t>
      </w:r>
      <w:r w:rsidR="005F4072" w:rsidRPr="00F17E34">
        <w:t>scandalising the Court,</w:t>
      </w:r>
      <w:r w:rsidR="00DB0AE7" w:rsidRPr="00F17E34">
        <w:t xml:space="preserve"> </w:t>
      </w:r>
      <w:r w:rsidR="00584ED1" w:rsidRPr="00F17E34">
        <w:t xml:space="preserve">on 28 June 2021, </w:t>
      </w:r>
      <w:r w:rsidR="00B26C41" w:rsidRPr="00F17E34">
        <w:t xml:space="preserve">by the </w:t>
      </w:r>
      <w:r w:rsidR="002F537F">
        <w:t>sentencing</w:t>
      </w:r>
      <w:r w:rsidR="00B26C41" w:rsidRPr="00F17E34">
        <w:t xml:space="preserve"> judge in </w:t>
      </w:r>
      <w:r w:rsidR="00B26C41" w:rsidRPr="00F17E34">
        <w:rPr>
          <w:i/>
        </w:rPr>
        <w:t xml:space="preserve">Ferguson v </w:t>
      </w:r>
      <w:proofErr w:type="spellStart"/>
      <w:r w:rsidR="00B26C41" w:rsidRPr="00F17E34">
        <w:rPr>
          <w:i/>
        </w:rPr>
        <w:t>Dallow</w:t>
      </w:r>
      <w:proofErr w:type="spellEnd"/>
      <w:r w:rsidR="00B26C41" w:rsidRPr="00F17E34">
        <w:rPr>
          <w:i/>
        </w:rPr>
        <w:t xml:space="preserve"> (No 5)</w:t>
      </w:r>
      <w:r w:rsidR="00B26C41" w:rsidRPr="00F17E34">
        <w:t xml:space="preserve"> [2021] FCA 698</w:t>
      </w:r>
      <w:r w:rsidR="00B07432">
        <w:t xml:space="preserve"> (</w:t>
      </w:r>
      <w:r w:rsidR="0084392B" w:rsidRPr="00706393">
        <w:rPr>
          <w:b/>
          <w:i/>
        </w:rPr>
        <w:t xml:space="preserve">Ferguson v </w:t>
      </w:r>
      <w:proofErr w:type="spellStart"/>
      <w:r w:rsidR="0084392B" w:rsidRPr="00706393">
        <w:rPr>
          <w:b/>
          <w:i/>
        </w:rPr>
        <w:t>Dallow</w:t>
      </w:r>
      <w:proofErr w:type="spellEnd"/>
      <w:r w:rsidR="0084392B" w:rsidRPr="00706393">
        <w:rPr>
          <w:b/>
          <w:i/>
        </w:rPr>
        <w:t xml:space="preserve"> (No 5)</w:t>
      </w:r>
      <w:r w:rsidR="00B07432">
        <w:t>)</w:t>
      </w:r>
      <w:r w:rsidR="00B26C41">
        <w:t>.</w:t>
      </w:r>
      <w:r w:rsidR="0084392B">
        <w:t xml:space="preserve"> </w:t>
      </w:r>
    </w:p>
    <w:p w:rsidR="00B76100" w:rsidRDefault="00B76100" w:rsidP="00B76100">
      <w:pPr>
        <w:pStyle w:val="ParaNumbering"/>
      </w:pPr>
      <w:r>
        <w:t xml:space="preserve">Rule 36.03 of the </w:t>
      </w:r>
      <w:r w:rsidR="00A36543" w:rsidRPr="00A36543">
        <w:t>Rules</w:t>
      </w:r>
      <w:r>
        <w:t xml:space="preserve"> </w:t>
      </w:r>
      <w:r w:rsidR="00D52F94">
        <w:t>provides</w:t>
      </w:r>
      <w:r>
        <w:t xml:space="preserve"> that an appellant must file a notice of appeal within 28 days after </w:t>
      </w:r>
      <w:r w:rsidRPr="009E7B29">
        <w:t>the date on which the judgment was pronounced</w:t>
      </w:r>
      <w:r w:rsidR="00BB23D0">
        <w:t>.  Therefore, a</w:t>
      </w:r>
      <w:r w:rsidR="00D52F94">
        <w:t xml:space="preserve">ny notice of appeal with respect to </w:t>
      </w:r>
      <w:r w:rsidR="00E75AA0" w:rsidRPr="00F17E34">
        <w:rPr>
          <w:i/>
        </w:rPr>
        <w:t xml:space="preserve">Ferguson v </w:t>
      </w:r>
      <w:proofErr w:type="spellStart"/>
      <w:r w:rsidR="00E75AA0" w:rsidRPr="00F17E34">
        <w:rPr>
          <w:i/>
        </w:rPr>
        <w:t>Dallow</w:t>
      </w:r>
      <w:proofErr w:type="spellEnd"/>
      <w:r w:rsidR="00E75AA0" w:rsidRPr="00F17E34">
        <w:rPr>
          <w:i/>
        </w:rPr>
        <w:t xml:space="preserve"> (No 5)</w:t>
      </w:r>
      <w:r w:rsidR="00E75AA0">
        <w:rPr>
          <w:i/>
        </w:rPr>
        <w:t xml:space="preserve"> </w:t>
      </w:r>
      <w:r w:rsidR="00D52F94">
        <w:t>was</w:t>
      </w:r>
      <w:r w:rsidR="00D42DF1">
        <w:t xml:space="preserve"> </w:t>
      </w:r>
      <w:r w:rsidR="00D52F94">
        <w:t>required to be filed by</w:t>
      </w:r>
      <w:r>
        <w:t xml:space="preserve"> </w:t>
      </w:r>
      <w:r w:rsidR="00CA202E">
        <w:t>26</w:t>
      </w:r>
      <w:r w:rsidR="00731DE9">
        <w:t xml:space="preserve"> </w:t>
      </w:r>
      <w:r>
        <w:t>Ju</w:t>
      </w:r>
      <w:r w:rsidR="00D42DF1">
        <w:t>ly</w:t>
      </w:r>
      <w:r>
        <w:t xml:space="preserve"> 2021.</w:t>
      </w:r>
      <w:r w:rsidR="00D52F94">
        <w:t xml:space="preserve"> </w:t>
      </w:r>
      <w:r w:rsidR="00A241C0">
        <w:t xml:space="preserve"> </w:t>
      </w:r>
      <w:r w:rsidR="00D52F94">
        <w:t>The applicant did not file a notice of appeal by that date.</w:t>
      </w:r>
      <w:r w:rsidR="00AF4731">
        <w:t xml:space="preserve">  The notice of appeal was filed on </w:t>
      </w:r>
      <w:r w:rsidR="00965AED" w:rsidRPr="00706393">
        <w:t>1</w:t>
      </w:r>
      <w:r w:rsidR="00FE176D">
        <w:t>3</w:t>
      </w:r>
      <w:r w:rsidR="00965AED" w:rsidRPr="00706393">
        <w:t xml:space="preserve"> August 2021</w:t>
      </w:r>
      <w:r w:rsidR="00BC3752">
        <w:t>,</w:t>
      </w:r>
      <w:r w:rsidR="00AF4731">
        <w:t xml:space="preserve"> being </w:t>
      </w:r>
      <w:r w:rsidR="005D0A7F">
        <w:t>18</w:t>
      </w:r>
      <w:r w:rsidR="00AF4731">
        <w:t xml:space="preserve"> days late.</w:t>
      </w:r>
      <w:r w:rsidR="00D52F94">
        <w:t xml:space="preserve">  </w:t>
      </w:r>
      <w:r w:rsidR="00A241C0">
        <w:t>The applicant therefore requires</w:t>
      </w:r>
      <w:r w:rsidR="00D52F94">
        <w:t xml:space="preserve"> an extension of time</w:t>
      </w:r>
      <w:r w:rsidR="009162FD">
        <w:t xml:space="preserve"> under</w:t>
      </w:r>
      <w:r w:rsidR="00D52F94">
        <w:t xml:space="preserve"> r 36.05 of the Rules</w:t>
      </w:r>
      <w:r w:rsidR="00C109E9">
        <w:t xml:space="preserve"> to file a notice of appeal</w:t>
      </w:r>
      <w:r w:rsidR="00D52F94">
        <w:t>.</w:t>
      </w:r>
    </w:p>
    <w:p w:rsidR="00251B6A" w:rsidRDefault="0044320C" w:rsidP="0044320C">
      <w:pPr>
        <w:pStyle w:val="ParaNumbering"/>
      </w:pPr>
      <w:r>
        <w:t xml:space="preserve">On 13 August 2021, Mr </w:t>
      </w:r>
      <w:proofErr w:type="spellStart"/>
      <w:r>
        <w:t>Dallow</w:t>
      </w:r>
      <w:proofErr w:type="spellEnd"/>
      <w:r>
        <w:t xml:space="preserve"> through his solicitor, Mr Jeffrey Ian Thompson</w:t>
      </w:r>
      <w:r w:rsidR="000D56E6">
        <w:t xml:space="preserve"> (</w:t>
      </w:r>
      <w:r w:rsidR="000D56E6">
        <w:rPr>
          <w:b/>
        </w:rPr>
        <w:t>Mr Thompson</w:t>
      </w:r>
      <w:r w:rsidR="000D56E6">
        <w:t>)</w:t>
      </w:r>
      <w:r>
        <w:t xml:space="preserve">, filed an application for an extension of time under r 36.05 of the </w:t>
      </w:r>
      <w:r w:rsidRPr="00706393">
        <w:t>Rules</w:t>
      </w:r>
      <w:r>
        <w:t xml:space="preserve"> with an accompanying affidavit</w:t>
      </w:r>
      <w:r w:rsidR="000D56E6">
        <w:t xml:space="preserve">.  </w:t>
      </w:r>
    </w:p>
    <w:p w:rsidR="0044320C" w:rsidRDefault="000D56E6" w:rsidP="0044320C">
      <w:pPr>
        <w:pStyle w:val="ParaNumbering"/>
      </w:pPr>
      <w:r>
        <w:t xml:space="preserve">In his affidavit, Mr Thompson deposed that on 3 August 2021, </w:t>
      </w:r>
      <w:r w:rsidR="002B7B20">
        <w:t>he</w:t>
      </w:r>
      <w:r>
        <w:t xml:space="preserve"> received a text message from Mr </w:t>
      </w:r>
      <w:proofErr w:type="spellStart"/>
      <w:r>
        <w:t>Dallow’s</w:t>
      </w:r>
      <w:proofErr w:type="spellEnd"/>
      <w:r>
        <w:t xml:space="preserve"> husband</w:t>
      </w:r>
      <w:r w:rsidR="00EF3A9A">
        <w:t xml:space="preserve"> requesting his assistance to lodge an application for appeal</w:t>
      </w:r>
      <w:r w:rsidR="0044320C" w:rsidRPr="00182BBF">
        <w:t>.</w:t>
      </w:r>
      <w:r w:rsidR="0044320C">
        <w:t xml:space="preserve"> </w:t>
      </w:r>
      <w:r w:rsidR="00564D9A">
        <w:t xml:space="preserve"> </w:t>
      </w:r>
    </w:p>
    <w:p w:rsidR="00EF3A9A" w:rsidRDefault="00EF3A9A" w:rsidP="0044320C">
      <w:pPr>
        <w:pStyle w:val="ParaNumbering"/>
      </w:pPr>
      <w:r>
        <w:t xml:space="preserve">Following receipt of this text message, Mr Thompson caused a telephone call to be made to the applicant </w:t>
      </w:r>
      <w:r w:rsidR="006C38AB">
        <w:t xml:space="preserve">at his location in Risdon Prison </w:t>
      </w:r>
      <w:r w:rsidR="00C82F27">
        <w:t>i</w:t>
      </w:r>
      <w:r w:rsidR="007E39DE">
        <w:t>n the evening of 3 August 2021</w:t>
      </w:r>
      <w:r w:rsidR="00EF3B3D">
        <w:t xml:space="preserve">.  Mr Thompson </w:t>
      </w:r>
      <w:r w:rsidR="00E128A5">
        <w:t>deposed</w:t>
      </w:r>
      <w:r w:rsidR="00EF3B3D">
        <w:t xml:space="preserve"> that he </w:t>
      </w:r>
      <w:r w:rsidR="000222BD">
        <w:t xml:space="preserve">obtained what </w:t>
      </w:r>
      <w:r w:rsidR="00B118DB">
        <w:t>he</w:t>
      </w:r>
      <w:r w:rsidR="000222BD">
        <w:t xml:space="preserve"> described as “limited instructions” from Mr </w:t>
      </w:r>
      <w:proofErr w:type="spellStart"/>
      <w:r w:rsidR="000222BD">
        <w:t>Dallow</w:t>
      </w:r>
      <w:proofErr w:type="spellEnd"/>
      <w:r w:rsidR="009473FB">
        <w:t xml:space="preserve"> during that telephone conversation</w:t>
      </w:r>
      <w:r w:rsidR="007E39DE">
        <w:t xml:space="preserve">. </w:t>
      </w:r>
    </w:p>
    <w:p w:rsidR="00536C17" w:rsidRDefault="006C38AB" w:rsidP="0044320C">
      <w:pPr>
        <w:pStyle w:val="ParaNumbering"/>
      </w:pPr>
      <w:r>
        <w:t>On 4 August 2021, Mr Thompson caused a further telephone call to be made to Risdon Prison</w:t>
      </w:r>
      <w:r w:rsidR="00536C17">
        <w:t xml:space="preserve"> to obtain further instructions</w:t>
      </w:r>
      <w:r w:rsidR="00511708">
        <w:t xml:space="preserve"> from Mr </w:t>
      </w:r>
      <w:proofErr w:type="spellStart"/>
      <w:r w:rsidR="00511708">
        <w:t>Dallow</w:t>
      </w:r>
      <w:proofErr w:type="spellEnd"/>
      <w:r>
        <w:t>.</w:t>
      </w:r>
      <w:r w:rsidR="00536C17">
        <w:t xml:space="preserve">  Mr Thompson deposed that he requested </w:t>
      </w:r>
      <w:r w:rsidR="007E2F08">
        <w:t>(</w:t>
      </w:r>
      <w:r w:rsidR="00F96D3F">
        <w:t>p</w:t>
      </w:r>
      <w:r w:rsidR="007E2F08">
        <w:t xml:space="preserve">resumably to the prison staff) </w:t>
      </w:r>
      <w:r w:rsidR="00536C17">
        <w:t xml:space="preserve">the first available appointment to speak with Mr </w:t>
      </w:r>
      <w:proofErr w:type="spellStart"/>
      <w:r w:rsidR="00536C17">
        <w:t>Dallow</w:t>
      </w:r>
      <w:proofErr w:type="spellEnd"/>
      <w:r w:rsidR="00536C17">
        <w:t xml:space="preserve"> via </w:t>
      </w:r>
      <w:r w:rsidR="00536C17">
        <w:lastRenderedPageBreak/>
        <w:t>telephone, and was able to organise fo</w:t>
      </w:r>
      <w:r w:rsidR="006E5287">
        <w:t xml:space="preserve">r a telephone conversation </w:t>
      </w:r>
      <w:r w:rsidR="00536C17">
        <w:t xml:space="preserve">to be made with </w:t>
      </w:r>
      <w:r w:rsidR="006E5287">
        <w:t xml:space="preserve">Mr </w:t>
      </w:r>
      <w:proofErr w:type="spellStart"/>
      <w:r w:rsidR="006E5287">
        <w:t>Dallow</w:t>
      </w:r>
      <w:proofErr w:type="spellEnd"/>
      <w:r w:rsidR="00536C17">
        <w:t xml:space="preserve"> on 9 August 2021 at 2:30 PM.  </w:t>
      </w:r>
    </w:p>
    <w:p w:rsidR="006C38AB" w:rsidRDefault="00536C17" w:rsidP="0044320C">
      <w:pPr>
        <w:pStyle w:val="ParaNumbering"/>
      </w:pPr>
      <w:r>
        <w:t>Mr Thompson state</w:t>
      </w:r>
      <w:r w:rsidR="00950C5B">
        <w:t>d</w:t>
      </w:r>
      <w:r>
        <w:t xml:space="preserve"> that </w:t>
      </w:r>
      <w:r w:rsidR="00CD7CDB">
        <w:t xml:space="preserve">during the telephone call with Mr </w:t>
      </w:r>
      <w:proofErr w:type="spellStart"/>
      <w:r w:rsidR="00CD7CDB">
        <w:t>Dallow</w:t>
      </w:r>
      <w:proofErr w:type="spellEnd"/>
      <w:r w:rsidR="00CD7CDB">
        <w:t xml:space="preserve"> on 9 August 2021, Mr </w:t>
      </w:r>
      <w:proofErr w:type="spellStart"/>
      <w:r w:rsidR="00CD7CDB">
        <w:t>Dallow</w:t>
      </w:r>
      <w:proofErr w:type="spellEnd"/>
      <w:r w:rsidR="00CD7CDB">
        <w:t xml:space="preserve"> stated the following</w:t>
      </w:r>
      <w:r w:rsidR="00DE643D">
        <w:t>:</w:t>
      </w:r>
    </w:p>
    <w:p w:rsidR="007602A3" w:rsidRDefault="007602A3" w:rsidP="007602A3">
      <w:pPr>
        <w:pStyle w:val="Quote1"/>
      </w:pPr>
      <w:r>
        <w:t>During the telephone conversation on 9 Augu</w:t>
      </w:r>
      <w:r w:rsidR="00B57F94">
        <w:t xml:space="preserve">st 2021 the Applicant Kane </w:t>
      </w:r>
      <w:proofErr w:type="spellStart"/>
      <w:r w:rsidR="00B57F94">
        <w:t>Dall</w:t>
      </w:r>
      <w:r>
        <w:t>ow</w:t>
      </w:r>
      <w:proofErr w:type="spellEnd"/>
      <w:r>
        <w:t xml:space="preserve"> stated to me that</w:t>
      </w:r>
    </w:p>
    <w:p w:rsidR="007602A3" w:rsidRDefault="007602A3" w:rsidP="00160504">
      <w:pPr>
        <w:pStyle w:val="Quote2"/>
        <w:ind w:left="2160" w:hanging="720"/>
      </w:pPr>
      <w:r>
        <w:t>a)</w:t>
      </w:r>
      <w:r>
        <w:tab/>
        <w:t xml:space="preserve">After the sentence was handed down on 28 July 2021 </w:t>
      </w:r>
      <w:r w:rsidR="00F662B6">
        <w:t xml:space="preserve">[sic] </w:t>
      </w:r>
      <w:r>
        <w:t>he was unsure as to whether he could appeal the sentence.</w:t>
      </w:r>
    </w:p>
    <w:p w:rsidR="007602A3" w:rsidRDefault="007602A3" w:rsidP="00160504">
      <w:pPr>
        <w:pStyle w:val="Quote2"/>
        <w:ind w:left="2160" w:hanging="720"/>
      </w:pPr>
      <w:r>
        <w:t>b)</w:t>
      </w:r>
      <w:r>
        <w:tab/>
        <w:t xml:space="preserve">He had tried to find but was unable to obtain any legal representation in respect of the matter whilst in </w:t>
      </w:r>
      <w:proofErr w:type="spellStart"/>
      <w:r>
        <w:t>Risden</w:t>
      </w:r>
      <w:proofErr w:type="spellEnd"/>
      <w:r>
        <w:t xml:space="preserve"> Prison</w:t>
      </w:r>
      <w:r w:rsidR="00C82F27">
        <w:t xml:space="preserve"> [sic]</w:t>
      </w:r>
      <w:r>
        <w:t>.</w:t>
      </w:r>
    </w:p>
    <w:p w:rsidR="007602A3" w:rsidRDefault="007602A3" w:rsidP="00160504">
      <w:pPr>
        <w:pStyle w:val="Quote2"/>
        <w:ind w:left="2160" w:hanging="720"/>
      </w:pPr>
      <w:r>
        <w:t>c)</w:t>
      </w:r>
      <w:r>
        <w:tab/>
        <w:t xml:space="preserve">He had sought assistance from a Planning Officer at the prison named </w:t>
      </w:r>
      <w:r w:rsidR="001E3141">
        <w:t>[redacted]</w:t>
      </w:r>
      <w:r>
        <w:t xml:space="preserve"> who had told him that she had no idea how he could go about appealing his sentence.</w:t>
      </w:r>
    </w:p>
    <w:p w:rsidR="007602A3" w:rsidRPr="00AD33C9" w:rsidRDefault="007602A3" w:rsidP="00160504">
      <w:pPr>
        <w:pStyle w:val="Quote2"/>
        <w:ind w:left="2160" w:hanging="720"/>
        <w:rPr>
          <w:b/>
          <w:sz w:val="24"/>
          <w:szCs w:val="24"/>
        </w:rPr>
      </w:pPr>
      <w:r>
        <w:t>d)</w:t>
      </w:r>
      <w:r>
        <w:tab/>
        <w:t xml:space="preserve">He had sought assistance from a solicitor acting for him in another matter named </w:t>
      </w:r>
      <w:r w:rsidR="001E3141">
        <w:t>[redacted]</w:t>
      </w:r>
      <w:r>
        <w:t xml:space="preserve"> from </w:t>
      </w:r>
      <w:r w:rsidR="001E1323">
        <w:t>[redacted]</w:t>
      </w:r>
      <w:r>
        <w:t xml:space="preserve"> in Launceston. But was advised that she could not assist him in Federal Court matters.</w:t>
      </w:r>
    </w:p>
    <w:p w:rsidR="007602A3" w:rsidRDefault="007602A3" w:rsidP="00160504">
      <w:pPr>
        <w:pStyle w:val="Quote2"/>
        <w:ind w:left="2160" w:hanging="720"/>
      </w:pPr>
      <w:r>
        <w:t>e)</w:t>
      </w:r>
      <w:r>
        <w:tab/>
        <w:t>He had sought assistance from a Legal Aid Duty Solicitor who visited the prison who advised they thought Legal Aid would not fund a Federal Court matter.</w:t>
      </w:r>
    </w:p>
    <w:p w:rsidR="007602A3" w:rsidRDefault="007602A3" w:rsidP="00160504">
      <w:pPr>
        <w:pStyle w:val="Quote2"/>
        <w:ind w:left="2160" w:hanging="720"/>
      </w:pPr>
      <w:r>
        <w:t>f)</w:t>
      </w:r>
      <w:r>
        <w:tab/>
        <w:t>That the prison would not let him hand over documents relating to submissions he had made to his partner to be passed on to a legal representative.</w:t>
      </w:r>
    </w:p>
    <w:p w:rsidR="007602A3" w:rsidRDefault="007602A3" w:rsidP="00160504">
      <w:pPr>
        <w:pStyle w:val="Quote2"/>
        <w:ind w:left="2160" w:hanging="720"/>
      </w:pPr>
      <w:r>
        <w:t>g)</w:t>
      </w:r>
      <w:r>
        <w:tab/>
        <w:t xml:space="preserve">That being incarcerated in </w:t>
      </w:r>
      <w:proofErr w:type="spellStart"/>
      <w:r>
        <w:t>Risden</w:t>
      </w:r>
      <w:proofErr w:type="spellEnd"/>
      <w:r>
        <w:t xml:space="preserve"> Prison</w:t>
      </w:r>
      <w:r w:rsidR="00A756DC">
        <w:t xml:space="preserve"> [sic]</w:t>
      </w:r>
      <w:r>
        <w:t xml:space="preserve"> he had been significantly prejudiced is seeking assistance relating to appealing his Federal Court matter.</w:t>
      </w:r>
    </w:p>
    <w:p w:rsidR="00637CAB" w:rsidRPr="00706393" w:rsidRDefault="007602A3" w:rsidP="00AF4731">
      <w:pPr>
        <w:pStyle w:val="Quote2"/>
        <w:ind w:left="2160" w:hanging="720"/>
        <w:rPr>
          <w:b/>
        </w:rPr>
      </w:pPr>
      <w:r>
        <w:t>h)</w:t>
      </w:r>
      <w:r>
        <w:tab/>
        <w:t xml:space="preserve">That there had been 15 lock downs in the prison </w:t>
      </w:r>
      <w:r w:rsidR="00B57F94">
        <w:t xml:space="preserve">during the 44 days he had spent </w:t>
      </w:r>
      <w:r>
        <w:t>there due to staff shortages. Those lockdowns had caused further delays in him attempting to address the matter.</w:t>
      </w:r>
      <w:r w:rsidR="001E3141">
        <w:t xml:space="preserve"> </w:t>
      </w:r>
    </w:p>
    <w:p w:rsidR="00475CC0" w:rsidRDefault="00475CC0" w:rsidP="00160504">
      <w:pPr>
        <w:pStyle w:val="ParaNumbering"/>
      </w:pPr>
      <w:r>
        <w:t>Rule 36.</w:t>
      </w:r>
      <w:r w:rsidR="00DD406B">
        <w:t xml:space="preserve">05 </w:t>
      </w:r>
      <w:r>
        <w:t xml:space="preserve">of the Rules requires that any application for an extension of time be accompanied by a draft notice of appeal that complies with </w:t>
      </w:r>
      <w:proofErr w:type="spellStart"/>
      <w:r>
        <w:t>rr</w:t>
      </w:r>
      <w:proofErr w:type="spellEnd"/>
      <w:r>
        <w:t xml:space="preserve"> 36.01(1) and (2).</w:t>
      </w:r>
      <w:r w:rsidR="00DD406B">
        <w:t xml:space="preserve"> </w:t>
      </w:r>
    </w:p>
    <w:p w:rsidR="00475CC0" w:rsidRDefault="00475CC0" w:rsidP="00160504">
      <w:pPr>
        <w:pStyle w:val="ParaNumbering"/>
      </w:pPr>
      <w:r>
        <w:t>Rule 36.01 of the Rules requires a notice of appeal to be in accordance with the correct form, in this case</w:t>
      </w:r>
      <w:r w:rsidR="009335D2">
        <w:t>,</w:t>
      </w:r>
      <w:r>
        <w:t xml:space="preserve"> Form 122.  The notice must state briefly but specifically</w:t>
      </w:r>
      <w:r w:rsidR="00D1412A">
        <w:t>,</w:t>
      </w:r>
      <w:r>
        <w:t xml:space="preserve"> the grounds relied on in support of the appeal: r 36.01(2)(c).</w:t>
      </w:r>
    </w:p>
    <w:p w:rsidR="00475CC0" w:rsidRPr="00706393" w:rsidRDefault="00CC7D7B" w:rsidP="00160504">
      <w:pPr>
        <w:pStyle w:val="ParaNumbering"/>
        <w:rPr>
          <w:b/>
        </w:rPr>
      </w:pPr>
      <w:r>
        <w:t xml:space="preserve">On 24 August 2021, </w:t>
      </w:r>
      <w:r w:rsidR="00B90347">
        <w:t>I heard the application</w:t>
      </w:r>
      <w:r>
        <w:t>.</w:t>
      </w:r>
      <w:r w:rsidR="00344B17">
        <w:t xml:space="preserve"> </w:t>
      </w:r>
      <w:r>
        <w:t xml:space="preserve"> On that occasion, Professor </w:t>
      </w:r>
      <w:proofErr w:type="spellStart"/>
      <w:r>
        <w:t>Karunadasa</w:t>
      </w:r>
      <w:proofErr w:type="spellEnd"/>
      <w:r w:rsidR="009335D2">
        <w:t>,</w:t>
      </w:r>
      <w:r>
        <w:t xml:space="preserve"> who appeared for the applicant</w:t>
      </w:r>
      <w:r w:rsidR="009335D2">
        <w:t>,</w:t>
      </w:r>
      <w:r>
        <w:t xml:space="preserve"> made </w:t>
      </w:r>
      <w:r w:rsidR="00D11560">
        <w:t xml:space="preserve">an </w:t>
      </w:r>
      <w:r>
        <w:t>application for an adjournment to enable the applicant’s legal representatives to obtain further instructions from the applicant.  I granted that adjournment and ordered that by 4.00 p.m. on 2 September 2021</w:t>
      </w:r>
      <w:r w:rsidR="009335D2">
        <w:t>,</w:t>
      </w:r>
      <w:r>
        <w:t xml:space="preserve"> the applicant file and serve </w:t>
      </w:r>
      <w:r>
        <w:lastRenderedPageBreak/>
        <w:t>an amended notice of appeal, any further affidavit material and written submissions.  The applicant sought a further extension of time in which to file material to 12 noon on 3 September 2021</w:t>
      </w:r>
      <w:r w:rsidR="009548B1">
        <w:t>, which I granted</w:t>
      </w:r>
      <w:r>
        <w:t>.</w:t>
      </w:r>
      <w:r w:rsidR="009548B1">
        <w:t xml:space="preserve">  Notwithstanding this, the applicant did not file the material until the afternoon of 6 September</w:t>
      </w:r>
      <w:r w:rsidR="00792421">
        <w:t xml:space="preserve"> 2021.</w:t>
      </w:r>
      <w:r w:rsidR="00497616">
        <w:t xml:space="preserve"> </w:t>
      </w:r>
      <w:r w:rsidR="00792421">
        <w:t xml:space="preserve"> Further,</w:t>
      </w:r>
      <w:r>
        <w:t xml:space="preserve"> no amended draft notice of appeal </w:t>
      </w:r>
      <w:r w:rsidR="00055671">
        <w:t>in support of the applicant’s claim</w:t>
      </w:r>
      <w:r w:rsidR="00C07EB3">
        <w:t xml:space="preserve"> </w:t>
      </w:r>
      <w:r w:rsidR="00792421">
        <w:t>was</w:t>
      </w:r>
      <w:r>
        <w:t xml:space="preserve"> filed.</w:t>
      </w:r>
      <w:r w:rsidR="00772B04">
        <w:t xml:space="preserve">  </w:t>
      </w:r>
    </w:p>
    <w:p w:rsidR="00CC7D7B" w:rsidRDefault="00CC7D7B" w:rsidP="00160504">
      <w:pPr>
        <w:pStyle w:val="ParaNumbering"/>
      </w:pPr>
      <w:r>
        <w:t xml:space="preserve">On </w:t>
      </w:r>
      <w:r w:rsidR="00161742">
        <w:t>6</w:t>
      </w:r>
      <w:r>
        <w:t xml:space="preserve"> September 2021, the applicant filed an amended application for extension of time which purported to include the proposed grounds of appeal relied upon by the applicant.  Those grounds are as follows:</w:t>
      </w:r>
    </w:p>
    <w:p w:rsidR="00AF4731" w:rsidRDefault="00AF4731" w:rsidP="00160504">
      <w:pPr>
        <w:pStyle w:val="ListNo1"/>
      </w:pPr>
      <w:r>
        <w:t xml:space="preserve">Ground 1 – The sentencing </w:t>
      </w:r>
      <w:r w:rsidRPr="00AF4731">
        <w:t>judge has erred in imposing an excessive punishment.</w:t>
      </w:r>
    </w:p>
    <w:p w:rsidR="00AF4731" w:rsidRDefault="00ED3646" w:rsidP="00160504">
      <w:pPr>
        <w:pStyle w:val="ListNo1"/>
      </w:pPr>
      <w:r>
        <w:t xml:space="preserve">Ground 2 </w:t>
      </w:r>
      <w:r w:rsidR="008B462D">
        <w:t>–</w:t>
      </w:r>
      <w:r>
        <w:t xml:space="preserve"> The sentencing j</w:t>
      </w:r>
      <w:r w:rsidR="00AF4731">
        <w:t xml:space="preserve">udge failed to </w:t>
      </w:r>
      <w:r w:rsidR="00CC7D7B">
        <w:t>distinguish between civil and criminal contempt.</w:t>
      </w:r>
    </w:p>
    <w:p w:rsidR="00AF4731" w:rsidRDefault="00ED3646" w:rsidP="00160504">
      <w:pPr>
        <w:pStyle w:val="ListNo1"/>
      </w:pPr>
      <w:r>
        <w:t xml:space="preserve">Ground 3 </w:t>
      </w:r>
      <w:r w:rsidR="008B462D">
        <w:t>–</w:t>
      </w:r>
      <w:r>
        <w:t xml:space="preserve"> </w:t>
      </w:r>
      <w:r w:rsidR="00CC7D7B">
        <w:t>The sentencing judge erred in overstating the serious</w:t>
      </w:r>
      <w:r w:rsidR="009335D2">
        <w:t>ness</w:t>
      </w:r>
      <w:r w:rsidR="00CC7D7B">
        <w:t xml:space="preserve"> of each of the </w:t>
      </w:r>
      <w:proofErr w:type="spellStart"/>
      <w:r w:rsidR="00CC7D7B">
        <w:t>contempts</w:t>
      </w:r>
      <w:proofErr w:type="spellEnd"/>
      <w:r w:rsidR="00CC7D7B">
        <w:t>.</w:t>
      </w:r>
    </w:p>
    <w:p w:rsidR="00674C3B" w:rsidRDefault="00AF4731" w:rsidP="00674C3B">
      <w:pPr>
        <w:pStyle w:val="ListNo1"/>
      </w:pPr>
      <w:r>
        <w:t xml:space="preserve">Ground 4 </w:t>
      </w:r>
      <w:r w:rsidR="008B462D">
        <w:t>–</w:t>
      </w:r>
      <w:r>
        <w:t xml:space="preserve"> </w:t>
      </w:r>
      <w:r w:rsidR="00CC7D7B">
        <w:t>The sentencing judge erred in that the sentence was arbitrary and the sentence was one of imprisonment.</w:t>
      </w:r>
    </w:p>
    <w:p w:rsidR="00AF4731" w:rsidRDefault="00AF4731" w:rsidP="00674C3B">
      <w:pPr>
        <w:pStyle w:val="ListNo1"/>
      </w:pPr>
      <w:r>
        <w:t>Ground 5 – The sentencing judge did not give due weight to the evidence placed before him and consequently the decision falls into the category of an arbitrary decision.</w:t>
      </w:r>
    </w:p>
    <w:p w:rsidR="00AF4731" w:rsidRDefault="00AF4731" w:rsidP="00160504">
      <w:pPr>
        <w:pStyle w:val="ListNo1"/>
      </w:pPr>
      <w:r>
        <w:t xml:space="preserve">Ground 6 </w:t>
      </w:r>
      <w:r w:rsidR="008B462D">
        <w:t>–</w:t>
      </w:r>
      <w:r>
        <w:t xml:space="preserve"> The sentencing judge erred by not giving appropriate weight to the fact that the a</w:t>
      </w:r>
      <w:r w:rsidR="0085466F">
        <w:t>pplicant</w:t>
      </w:r>
      <w:r>
        <w:t xml:space="preserve"> was legally unrepresented and did not have an opportunity to present the mitigating factors at the time of sentencing.</w:t>
      </w:r>
      <w:r w:rsidR="0085466F">
        <w:t xml:space="preserve"> </w:t>
      </w:r>
    </w:p>
    <w:p w:rsidR="0085466F" w:rsidRDefault="00FC659B" w:rsidP="00160504">
      <w:pPr>
        <w:pStyle w:val="ParaNumbering"/>
      </w:pPr>
      <w:r>
        <w:t>These grounds are more extensive than the initial three grounds of appeal filed with the Court on 1</w:t>
      </w:r>
      <w:r w:rsidR="00FE176D">
        <w:t>3</w:t>
      </w:r>
      <w:r>
        <w:t xml:space="preserve"> August 2021.  The application proceeded before me on the basis of the </w:t>
      </w:r>
      <w:r w:rsidR="002C5080">
        <w:t xml:space="preserve">six </w:t>
      </w:r>
      <w:r>
        <w:t>grounds of appeal outlined above and contained in the applicant’s amended application dated 5 September 2021.</w:t>
      </w:r>
    </w:p>
    <w:p w:rsidR="00E677FC" w:rsidRPr="00E677FC" w:rsidRDefault="00E677FC" w:rsidP="00E677FC">
      <w:pPr>
        <w:pStyle w:val="ParaNumbering"/>
        <w:numPr>
          <w:ilvl w:val="0"/>
          <w:numId w:val="0"/>
        </w:numPr>
        <w:rPr>
          <w:b/>
          <w:szCs w:val="24"/>
        </w:rPr>
      </w:pPr>
      <w:r w:rsidRPr="00E677FC">
        <w:rPr>
          <w:b/>
          <w:szCs w:val="24"/>
        </w:rPr>
        <w:t>Principles applicable to an extension of time for leave to appeal</w:t>
      </w:r>
    </w:p>
    <w:p w:rsidR="008577CE" w:rsidRDefault="008577CE" w:rsidP="00DD7CE7">
      <w:pPr>
        <w:pStyle w:val="ParaNumbering"/>
      </w:pPr>
      <w:r>
        <w:t xml:space="preserve">The exercise of power to grant an extension application </w:t>
      </w:r>
      <w:r w:rsidR="002469BC">
        <w:t xml:space="preserve">under r 36.05 </w:t>
      </w:r>
      <w:r>
        <w:t xml:space="preserve">involves an exercise of </w:t>
      </w:r>
      <w:r w:rsidR="0049273F">
        <w:t xml:space="preserve">the Court’s </w:t>
      </w:r>
      <w:r>
        <w:t>discretion.</w:t>
      </w:r>
      <w:r w:rsidR="00486EC8">
        <w:t xml:space="preserve"> </w:t>
      </w:r>
    </w:p>
    <w:p w:rsidR="00911DC5" w:rsidRPr="00F17E34" w:rsidRDefault="00DD7CE7" w:rsidP="00DD7CE7">
      <w:pPr>
        <w:pStyle w:val="ParaNumbering"/>
      </w:pPr>
      <w:r w:rsidRPr="00DD7CE7">
        <w:t xml:space="preserve">The principles applicable to the exercise of the Court’s discretion </w:t>
      </w:r>
      <w:r w:rsidR="00A531FE">
        <w:t xml:space="preserve">are well established, and </w:t>
      </w:r>
      <w:r w:rsidRPr="00DD7CE7">
        <w:t xml:space="preserve">were set out </w:t>
      </w:r>
      <w:r w:rsidR="00085D23">
        <w:t xml:space="preserve">by Wilcox J </w:t>
      </w:r>
      <w:r w:rsidRPr="00F17E34">
        <w:t>in</w:t>
      </w:r>
      <w:r w:rsidRPr="00F17E34">
        <w:rPr>
          <w:i/>
        </w:rPr>
        <w:t xml:space="preserve"> Hunter Valley Developments Pty Ltd v Cohen </w:t>
      </w:r>
      <w:r w:rsidRPr="00F17E34">
        <w:t xml:space="preserve">(1984) 3 FCR 344 </w:t>
      </w:r>
      <w:r w:rsidRPr="00F17E34">
        <w:lastRenderedPageBreak/>
        <w:t xml:space="preserve">at </w:t>
      </w:r>
      <w:r w:rsidR="00727276" w:rsidRPr="00F17E34">
        <w:t>[</w:t>
      </w:r>
      <w:r w:rsidRPr="00F17E34">
        <w:t>348</w:t>
      </w:r>
      <w:r w:rsidR="00D52D20" w:rsidRPr="00F17E34">
        <w:t>]-</w:t>
      </w:r>
      <w:r w:rsidR="00727276" w:rsidRPr="00F17E34">
        <w:t>[34</w:t>
      </w:r>
      <w:r w:rsidRPr="00F17E34">
        <w:t>9</w:t>
      </w:r>
      <w:r w:rsidR="00727276" w:rsidRPr="00F17E34">
        <w:t>]</w:t>
      </w:r>
      <w:r w:rsidRPr="00F17E34">
        <w:t xml:space="preserve">, which were adopted by the Full Federal Court </w:t>
      </w:r>
      <w:r w:rsidR="00946355" w:rsidRPr="00F17E34">
        <w:t>of Australia (</w:t>
      </w:r>
      <w:r w:rsidR="00946355" w:rsidRPr="00F17E34">
        <w:rPr>
          <w:b/>
        </w:rPr>
        <w:t>Full Court</w:t>
      </w:r>
      <w:r w:rsidR="00946355" w:rsidRPr="00F17E34">
        <w:t xml:space="preserve">) </w:t>
      </w:r>
      <w:r w:rsidRPr="00F17E34">
        <w:t xml:space="preserve">in </w:t>
      </w:r>
      <w:r w:rsidRPr="00F17E34">
        <w:rPr>
          <w:i/>
        </w:rPr>
        <w:t xml:space="preserve">Parker v R </w:t>
      </w:r>
      <w:r w:rsidRPr="00F17E34">
        <w:t>[2002] FCAFC 133 at [6]</w:t>
      </w:r>
      <w:r w:rsidR="00D31ADB" w:rsidRPr="00F17E34">
        <w:t>, where the Full Court identifies that</w:t>
      </w:r>
      <w:r w:rsidRPr="00F17E34">
        <w:t>:</w:t>
      </w:r>
    </w:p>
    <w:p w:rsidR="00DD7CE7" w:rsidRDefault="00DD7CE7" w:rsidP="00160504">
      <w:pPr>
        <w:pStyle w:val="ListNo1"/>
        <w:numPr>
          <w:ilvl w:val="0"/>
          <w:numId w:val="28"/>
        </w:numPr>
      </w:pPr>
      <w:r w:rsidRPr="00F17E34">
        <w:rPr>
          <w:bdr w:val="none" w:sz="0" w:space="0" w:color="auto" w:frame="1"/>
        </w:rPr>
        <w:t>Applications for an extension of</w:t>
      </w:r>
      <w:r w:rsidRPr="00AF4731">
        <w:rPr>
          <w:bdr w:val="none" w:sz="0" w:space="0" w:color="auto" w:frame="1"/>
        </w:rPr>
        <w:t xml:space="preserve"> time are not to be granted unless it is proper to do so; the legislated time limits are not to be ignored</w:t>
      </w:r>
      <w:r w:rsidR="00F71A49" w:rsidRPr="00AF4731">
        <w:rPr>
          <w:bdr w:val="none" w:sz="0" w:space="0" w:color="auto" w:frame="1"/>
        </w:rPr>
        <w:t>.</w:t>
      </w:r>
    </w:p>
    <w:p w:rsidR="00DD7CE7" w:rsidRPr="00DD7CE7" w:rsidRDefault="00DD7CE7" w:rsidP="00F56241">
      <w:pPr>
        <w:pStyle w:val="ListNo1"/>
        <w:numPr>
          <w:ilvl w:val="0"/>
          <w:numId w:val="28"/>
        </w:numPr>
      </w:pPr>
      <w:r w:rsidRPr="00F56241">
        <w:rPr>
          <w:bdr w:val="none" w:sz="0" w:space="0" w:color="auto" w:frame="1"/>
        </w:rPr>
        <w:t>There must be some acceptable explanation for the delay.</w:t>
      </w:r>
    </w:p>
    <w:p w:rsidR="00DD7CE7" w:rsidRPr="00DD7CE7" w:rsidRDefault="00DD7CE7" w:rsidP="00F56241">
      <w:pPr>
        <w:pStyle w:val="ListNo1"/>
        <w:numPr>
          <w:ilvl w:val="0"/>
          <w:numId w:val="28"/>
        </w:numPr>
      </w:pPr>
      <w:r>
        <w:rPr>
          <w:bdr w:val="none" w:sz="0" w:space="0" w:color="auto" w:frame="1"/>
        </w:rPr>
        <w:t>Any prejudice to the respondent in defending the proceedings that is caused by the delay is a material factor militating against the grant of an extension.</w:t>
      </w:r>
    </w:p>
    <w:p w:rsidR="00DD7CE7" w:rsidRPr="00DD7CE7" w:rsidRDefault="00DD7CE7" w:rsidP="00F56241">
      <w:pPr>
        <w:pStyle w:val="ListNo1"/>
        <w:numPr>
          <w:ilvl w:val="0"/>
          <w:numId w:val="28"/>
        </w:numPr>
      </w:pPr>
      <w:r>
        <w:rPr>
          <w:bdr w:val="none" w:sz="0" w:space="0" w:color="auto" w:frame="1"/>
        </w:rPr>
        <w:t>The mere absence of prejudice to the respondent is not enough to justify the grant of an extension.</w:t>
      </w:r>
    </w:p>
    <w:p w:rsidR="00DD7CE7" w:rsidRDefault="00DD7CE7" w:rsidP="00F56241">
      <w:pPr>
        <w:pStyle w:val="ListNo1"/>
        <w:numPr>
          <w:ilvl w:val="0"/>
          <w:numId w:val="28"/>
        </w:numPr>
      </w:pPr>
      <w:r>
        <w:rPr>
          <w:bdr w:val="none" w:sz="0" w:space="0" w:color="auto" w:frame="1"/>
        </w:rPr>
        <w:t>The merits of the substantial application are to be taken into account in considering whether an extension is to be granted.</w:t>
      </w:r>
    </w:p>
    <w:p w:rsidR="002C5080" w:rsidRPr="00F17E34" w:rsidRDefault="00744A65" w:rsidP="00744A65">
      <w:pPr>
        <w:pStyle w:val="ParaNumbering"/>
        <w:rPr>
          <w:szCs w:val="24"/>
        </w:rPr>
      </w:pPr>
      <w:r w:rsidRPr="00744A65">
        <w:rPr>
          <w:szCs w:val="24"/>
        </w:rPr>
        <w:t>It is a matter for th</w:t>
      </w:r>
      <w:r w:rsidRPr="00F17E34">
        <w:rPr>
          <w:szCs w:val="24"/>
        </w:rPr>
        <w:t xml:space="preserve">e applicant to demonstrate that there should be a departure </w:t>
      </w:r>
      <w:r w:rsidR="007327C8" w:rsidRPr="00F17E34">
        <w:rPr>
          <w:szCs w:val="24"/>
        </w:rPr>
        <w:t xml:space="preserve">from the time to file an appeal.  In </w:t>
      </w:r>
      <w:r w:rsidR="007327C8" w:rsidRPr="00F17E34">
        <w:rPr>
          <w:i/>
          <w:szCs w:val="24"/>
        </w:rPr>
        <w:t>Martin v Norton Rose Fulbright Australia</w:t>
      </w:r>
      <w:r w:rsidR="007327C8" w:rsidRPr="00F17E34">
        <w:rPr>
          <w:szCs w:val="24"/>
        </w:rPr>
        <w:t xml:space="preserve"> [2019] FCAFC 234, Besanko, Flick and Abraham JJ observed</w:t>
      </w:r>
      <w:r w:rsidR="00A32224" w:rsidRPr="00F17E34">
        <w:rPr>
          <w:szCs w:val="24"/>
        </w:rPr>
        <w:t xml:space="preserve"> at [20], that</w:t>
      </w:r>
      <w:r w:rsidR="007327C8" w:rsidRPr="00F17E34">
        <w:rPr>
          <w:szCs w:val="24"/>
        </w:rPr>
        <w:t>:</w:t>
      </w:r>
    </w:p>
    <w:p w:rsidR="00744A65" w:rsidRPr="00706393" w:rsidRDefault="00744A65" w:rsidP="00772B04">
      <w:pPr>
        <w:pStyle w:val="Quote1"/>
        <w:rPr>
          <w:sz w:val="20"/>
        </w:rPr>
      </w:pPr>
      <w:r w:rsidRPr="00F17E34">
        <w:t>The nature of the discretion conferred upon the Court to mak</w:t>
      </w:r>
      <w:r w:rsidRPr="00744A65">
        <w:t xml:space="preserve">e such an order is well-settled. Although it is routinely accepted that the discretion has been described as “unfettered”, the starting point for any exercise of discretion is that the requirement to file an appeal within time is a manifestation of the public interest in bringing disputes to finality; any exercise of discretion to depart from that starting point must be soundly based: cf. </w:t>
      </w:r>
      <w:r w:rsidRPr="00772B04">
        <w:rPr>
          <w:i/>
        </w:rPr>
        <w:t xml:space="preserve">Reaper v </w:t>
      </w:r>
      <w:proofErr w:type="spellStart"/>
      <w:r w:rsidRPr="00772B04">
        <w:rPr>
          <w:i/>
        </w:rPr>
        <w:t>Baycorp</w:t>
      </w:r>
      <w:proofErr w:type="spellEnd"/>
      <w:r w:rsidRPr="00772B04">
        <w:rPr>
          <w:i/>
        </w:rPr>
        <w:t xml:space="preserve"> Collections PDL (Australia) Pty Ltd</w:t>
      </w:r>
      <w:r w:rsidRPr="00744A65">
        <w:t xml:space="preserve"> [2014] FCA 426 at [12] per Tracey J (“</w:t>
      </w:r>
      <w:r w:rsidRPr="00772B04">
        <w:rPr>
          <w:i/>
        </w:rPr>
        <w:t>Reaper</w:t>
      </w:r>
      <w:r w:rsidRPr="00744A65">
        <w:t xml:space="preserve">”); </w:t>
      </w:r>
      <w:r w:rsidRPr="00772B04">
        <w:rPr>
          <w:i/>
        </w:rPr>
        <w:t>AZAEY v Minister for Immigration and Border Protection</w:t>
      </w:r>
      <w:r w:rsidRPr="00744A65">
        <w:t xml:space="preserve"> [2015] FCAFC 193 at [10] per North, Besanko and Flick JJ.</w:t>
      </w:r>
      <w:r w:rsidR="00087612">
        <w:t xml:space="preserve"> </w:t>
      </w:r>
      <w:r w:rsidR="008A5381">
        <w:rPr>
          <w:b/>
        </w:rPr>
        <w:t xml:space="preserve"> </w:t>
      </w:r>
    </w:p>
    <w:p w:rsidR="007E11AC" w:rsidRPr="00F17E34" w:rsidRDefault="007E11AC" w:rsidP="00C15CFA">
      <w:pPr>
        <w:pStyle w:val="ParaNumbering"/>
        <w:rPr>
          <w:szCs w:val="24"/>
        </w:rPr>
      </w:pPr>
      <w:r w:rsidRPr="007E11AC">
        <w:rPr>
          <w:color w:val="000000"/>
          <w:szCs w:val="24"/>
          <w:bdr w:val="none" w:sz="0" w:space="0" w:color="auto" w:frame="1"/>
          <w:shd w:val="clear" w:color="auto" w:fill="FFFFFF"/>
        </w:rPr>
        <w:t>Such considerations are not exhaustive</w:t>
      </w:r>
      <w:r w:rsidR="007620D7">
        <w:rPr>
          <w:color w:val="000000"/>
          <w:szCs w:val="24"/>
          <w:bdr w:val="none" w:sz="0" w:space="0" w:color="auto" w:frame="1"/>
          <w:shd w:val="clear" w:color="auto" w:fill="FFFFFF"/>
        </w:rPr>
        <w:t xml:space="preserve"> however</w:t>
      </w:r>
      <w:r w:rsidRPr="007E11AC">
        <w:rPr>
          <w:color w:val="000000"/>
          <w:szCs w:val="24"/>
          <w:bdr w:val="none" w:sz="0" w:space="0" w:color="auto" w:frame="1"/>
          <w:shd w:val="clear" w:color="auto" w:fill="FFFFFF"/>
        </w:rPr>
        <w:t>, and the outcome of an application for an extension of time will depend upon the particular circumst</w:t>
      </w:r>
      <w:r w:rsidRPr="00F17E34">
        <w:rPr>
          <w:color w:val="000000"/>
          <w:szCs w:val="24"/>
          <w:bdr w:val="none" w:sz="0" w:space="0" w:color="auto" w:frame="1"/>
          <w:shd w:val="clear" w:color="auto" w:fill="FFFFFF"/>
        </w:rPr>
        <w:t>ances of the case: </w:t>
      </w:r>
      <w:proofErr w:type="spellStart"/>
      <w:r w:rsidRPr="00F17E34">
        <w:rPr>
          <w:i/>
          <w:iCs/>
          <w:color w:val="000000"/>
          <w:szCs w:val="24"/>
          <w:bdr w:val="none" w:sz="0" w:space="0" w:color="auto" w:frame="1"/>
          <w:shd w:val="clear" w:color="auto" w:fill="FFFFFF"/>
        </w:rPr>
        <w:t>Mentink</w:t>
      </w:r>
      <w:proofErr w:type="spellEnd"/>
      <w:r w:rsidRPr="00F17E34">
        <w:rPr>
          <w:i/>
          <w:iCs/>
          <w:color w:val="000000"/>
          <w:szCs w:val="24"/>
          <w:bdr w:val="none" w:sz="0" w:space="0" w:color="auto" w:frame="1"/>
          <w:shd w:val="clear" w:color="auto" w:fill="FFFFFF"/>
        </w:rPr>
        <w:t> v Minister for Home Affairs </w:t>
      </w:r>
      <w:r w:rsidRPr="00F17E34">
        <w:rPr>
          <w:color w:val="000000"/>
          <w:szCs w:val="24"/>
          <w:bdr w:val="none" w:sz="0" w:space="0" w:color="auto" w:frame="1"/>
          <w:shd w:val="clear" w:color="auto" w:fill="FFFFFF"/>
        </w:rPr>
        <w:t>[2013] FCAFC 113 at [32]-[38] (Griffiths J, with Edmonds J agreeing).</w:t>
      </w:r>
    </w:p>
    <w:p w:rsidR="00DD7CE7" w:rsidRPr="00F17E34" w:rsidRDefault="00C15CFA" w:rsidP="00C15CFA">
      <w:pPr>
        <w:pStyle w:val="ParaNumbering"/>
      </w:pPr>
      <w:r w:rsidRPr="00F17E34">
        <w:t xml:space="preserve">Leave will not be granted where there are no reasonable prospects of success on the appeal: </w:t>
      </w:r>
      <w:proofErr w:type="spellStart"/>
      <w:r w:rsidRPr="00F17E34">
        <w:rPr>
          <w:i/>
        </w:rPr>
        <w:t>Kalanje</w:t>
      </w:r>
      <w:proofErr w:type="spellEnd"/>
      <w:r w:rsidRPr="00F17E34">
        <w:rPr>
          <w:i/>
        </w:rPr>
        <w:t xml:space="preserve"> v Minister for Immigration and Multicultural Affairs</w:t>
      </w:r>
      <w:r w:rsidRPr="00F17E34">
        <w:t xml:space="preserve"> [2006] FCA 1618 at [5]. </w:t>
      </w:r>
      <w:r w:rsidR="009335D2" w:rsidRPr="00F17E34">
        <w:t xml:space="preserve"> </w:t>
      </w:r>
      <w:r w:rsidRPr="00F17E34">
        <w:t xml:space="preserve">The applicant will have no real prospects of success where the case is devoid of merit or clearly fails; is hopeless; or is unarguable. </w:t>
      </w:r>
      <w:r w:rsidR="00671348" w:rsidRPr="00F17E34">
        <w:t xml:space="preserve"> </w:t>
      </w:r>
      <w:r w:rsidRPr="00F17E34">
        <w:t xml:space="preserve">In making an assessment the Court is not required to go into too great a detail, but is to “assess the merits in a fairly rough and ready way”: </w:t>
      </w:r>
      <w:proofErr w:type="spellStart"/>
      <w:r w:rsidRPr="00F17E34">
        <w:rPr>
          <w:i/>
        </w:rPr>
        <w:t>Jackamarra</w:t>
      </w:r>
      <w:proofErr w:type="spellEnd"/>
      <w:r w:rsidRPr="00F17E34">
        <w:rPr>
          <w:i/>
        </w:rPr>
        <w:t xml:space="preserve"> v </w:t>
      </w:r>
      <w:proofErr w:type="spellStart"/>
      <w:r w:rsidRPr="00F17E34">
        <w:rPr>
          <w:i/>
        </w:rPr>
        <w:t>Krakouer</w:t>
      </w:r>
      <w:proofErr w:type="spellEnd"/>
      <w:r w:rsidRPr="00F17E34">
        <w:rPr>
          <w:i/>
        </w:rPr>
        <w:t xml:space="preserve"> </w:t>
      </w:r>
      <w:r w:rsidRPr="00F17E34">
        <w:t>(1998) 195 CLR 516 at [7]-[9].</w:t>
      </w:r>
    </w:p>
    <w:p w:rsidR="00092182" w:rsidRDefault="00092182" w:rsidP="00F763DA">
      <w:pPr>
        <w:pStyle w:val="ParaNumbering"/>
        <w:numPr>
          <w:ilvl w:val="0"/>
          <w:numId w:val="0"/>
        </w:numPr>
        <w:rPr>
          <w:b/>
          <w:szCs w:val="24"/>
        </w:rPr>
      </w:pPr>
    </w:p>
    <w:p w:rsidR="00092182" w:rsidRDefault="00092182" w:rsidP="00F763DA">
      <w:pPr>
        <w:pStyle w:val="ParaNumbering"/>
        <w:numPr>
          <w:ilvl w:val="0"/>
          <w:numId w:val="0"/>
        </w:numPr>
        <w:rPr>
          <w:b/>
          <w:szCs w:val="24"/>
        </w:rPr>
      </w:pPr>
    </w:p>
    <w:p w:rsidR="00F763DA" w:rsidRDefault="009F2E0A" w:rsidP="00F763DA">
      <w:pPr>
        <w:pStyle w:val="ParaNumbering"/>
        <w:numPr>
          <w:ilvl w:val="0"/>
          <w:numId w:val="0"/>
        </w:numPr>
      </w:pPr>
      <w:r>
        <w:rPr>
          <w:b/>
          <w:szCs w:val="24"/>
        </w:rPr>
        <w:lastRenderedPageBreak/>
        <w:t>Consideration</w:t>
      </w:r>
    </w:p>
    <w:p w:rsidR="00C67923" w:rsidRDefault="00C67923" w:rsidP="00C67923">
      <w:pPr>
        <w:pStyle w:val="ParaNumbering"/>
      </w:pPr>
      <w:r>
        <w:t>I accept the explanations provided in Mr Thompson’s affidavit filed with the Court on 13 August 2021, and I consider the difficulties faced by the applicant during his time at Risdon Prison are an acceptable reason for the delay in filing the notice of appeal.</w:t>
      </w:r>
    </w:p>
    <w:p w:rsidR="00FC659B" w:rsidRDefault="00C67923" w:rsidP="00C15CFA">
      <w:pPr>
        <w:pStyle w:val="ParaNumbering"/>
      </w:pPr>
      <w:r>
        <w:t xml:space="preserve">I am also satisfied on the evidence that a delay of </w:t>
      </w:r>
      <w:r w:rsidR="005D0A7F">
        <w:t>18</w:t>
      </w:r>
      <w:r>
        <w:t xml:space="preserve"> days will not prejudice the respondent should an extension of time be granted.  However, as the authorities referred to above make clear, the mere absence of prejudice to the respondent is not enough to justify the grant of an extension of time.  The merits of the substantive application must be taken into account in considering whether an extension of time is to be granted.  I now turn to consider the proposed grounds of appeal to make an assessment of whether the applicant has any real prospect of success on appeal or whether the case is devoid of merit.</w:t>
      </w:r>
      <w:r w:rsidR="00447A42">
        <w:t xml:space="preserve"> </w:t>
      </w:r>
    </w:p>
    <w:p w:rsidR="00FC659B" w:rsidRDefault="00FC659B" w:rsidP="00160504">
      <w:pPr>
        <w:pStyle w:val="Heading1"/>
      </w:pPr>
      <w:r>
        <w:t>proposed ground 1</w:t>
      </w:r>
    </w:p>
    <w:p w:rsidR="00FC659B" w:rsidRDefault="00FC659B">
      <w:pPr>
        <w:pStyle w:val="ParaNumbering"/>
      </w:pPr>
      <w:r>
        <w:t>By this ground, the applicant contends that the sentencing judge’s sentence was manifestly excessive.</w:t>
      </w:r>
    </w:p>
    <w:p w:rsidR="00FC659B" w:rsidRDefault="00087612">
      <w:pPr>
        <w:pStyle w:val="ParaNumbering"/>
      </w:pPr>
      <w:r>
        <w:t>The applicant submits that the sentencing judge erred in law in imposing a manifestly excessive sentence.  The applicant submits that the sentencing judge failed to consider alternative punishments such as a fin</w:t>
      </w:r>
      <w:r w:rsidR="00772B04">
        <w:t>e.  The applicant also submits</w:t>
      </w:r>
      <w:r>
        <w:t xml:space="preserve"> that the sentencing judge failed to take into account the applicant’s personal circumstances</w:t>
      </w:r>
      <w:r w:rsidR="00772B04">
        <w:t xml:space="preserve"> when sentencing</w:t>
      </w:r>
      <w:r>
        <w:t xml:space="preserve">.  For these </w:t>
      </w:r>
      <w:r w:rsidR="009335D2">
        <w:t>reasons, the applicant submits</w:t>
      </w:r>
      <w:r>
        <w:t xml:space="preserve">, that the sentencing </w:t>
      </w:r>
      <w:r w:rsidR="009335D2">
        <w:t>judge had</w:t>
      </w:r>
      <w:r>
        <w:t xml:space="preserve"> not weighed the evidence before him in an appropriate manner.</w:t>
      </w:r>
    </w:p>
    <w:p w:rsidR="00FC659B" w:rsidRDefault="00FC659B">
      <w:pPr>
        <w:pStyle w:val="ParaNumbering"/>
      </w:pPr>
      <w:r>
        <w:t>The respondent submitted that the principles on which an applicant must succeed on an appeal against sentence are well settled and may be distilled as follows:</w:t>
      </w:r>
    </w:p>
    <w:p w:rsidR="00FC659B" w:rsidRPr="00F17E34" w:rsidRDefault="00FC659B" w:rsidP="00160504">
      <w:pPr>
        <w:pStyle w:val="ListNo1alt"/>
      </w:pPr>
      <w:r w:rsidRPr="00FC659B">
        <w:t>To succeed the applic</w:t>
      </w:r>
      <w:r w:rsidRPr="00F17E34">
        <w:t xml:space="preserve">ant must demonstrate that the sentencing judge made an error in the exercise of his discretion: </w:t>
      </w:r>
      <w:r w:rsidRPr="00F17E34">
        <w:rPr>
          <w:i/>
        </w:rPr>
        <w:t>House v The King</w:t>
      </w:r>
      <w:r w:rsidRPr="00F17E34">
        <w:t xml:space="preserve"> (1936) 55 CLR 499 at 505.</w:t>
      </w:r>
    </w:p>
    <w:p w:rsidR="00FC659B" w:rsidRPr="00F17E34" w:rsidRDefault="00FC659B" w:rsidP="00160504">
      <w:pPr>
        <w:pStyle w:val="ListNo1alt"/>
      </w:pPr>
      <w:r w:rsidRPr="00F17E34">
        <w:t xml:space="preserve">Appellate intervention is not justified simply because the result is markedly different from other sentences, rather, it is warranted only where the difference is such that, in all the circumstances, the appellate court concludes that there must have been some misapplication of principle, even though where and how is not apparent from the statement of reasons: </w:t>
      </w:r>
      <w:proofErr w:type="spellStart"/>
      <w:r w:rsidRPr="00F17E34">
        <w:rPr>
          <w:i/>
        </w:rPr>
        <w:t>Hili</w:t>
      </w:r>
      <w:proofErr w:type="spellEnd"/>
      <w:r w:rsidRPr="00F17E34">
        <w:rPr>
          <w:i/>
        </w:rPr>
        <w:t xml:space="preserve"> v The Queen</w:t>
      </w:r>
      <w:r w:rsidRPr="00F17E34">
        <w:t xml:space="preserve"> [2010] HCA 45</w:t>
      </w:r>
      <w:r w:rsidR="00D71175">
        <w:t xml:space="preserve">; </w:t>
      </w:r>
      <w:r w:rsidR="00D71175" w:rsidRPr="00515F75">
        <w:t>242 CLR 520</w:t>
      </w:r>
      <w:r w:rsidR="00D71175">
        <w:t xml:space="preserve"> (</w:t>
      </w:r>
      <w:proofErr w:type="spellStart"/>
      <w:r w:rsidR="00D71175">
        <w:rPr>
          <w:b/>
          <w:i/>
        </w:rPr>
        <w:t>Hili</w:t>
      </w:r>
      <w:proofErr w:type="spellEnd"/>
      <w:r w:rsidR="00D71175">
        <w:t>)</w:t>
      </w:r>
      <w:r w:rsidRPr="00F17E34">
        <w:t xml:space="preserve"> at [59]</w:t>
      </w:r>
      <w:r w:rsidR="007D479E" w:rsidRPr="00F17E34">
        <w:t>-</w:t>
      </w:r>
      <w:r w:rsidRPr="00F17E34">
        <w:t xml:space="preserve">[60] referring to </w:t>
      </w:r>
      <w:proofErr w:type="spellStart"/>
      <w:r w:rsidRPr="00F17E34">
        <w:rPr>
          <w:i/>
        </w:rPr>
        <w:t>Dinsdale</w:t>
      </w:r>
      <w:proofErr w:type="spellEnd"/>
      <w:r w:rsidRPr="00F17E34">
        <w:rPr>
          <w:i/>
        </w:rPr>
        <w:t xml:space="preserve"> v The Queen</w:t>
      </w:r>
      <w:r w:rsidRPr="00F17E34">
        <w:t xml:space="preserve"> [2000] HCA 54 and </w:t>
      </w:r>
      <w:r w:rsidRPr="00F17E34">
        <w:rPr>
          <w:i/>
        </w:rPr>
        <w:t>Wong v The Queen</w:t>
      </w:r>
      <w:r w:rsidRPr="00F17E34">
        <w:t xml:space="preserve"> [2001] HCA 64</w:t>
      </w:r>
      <w:r w:rsidR="00402241">
        <w:t>; 207 CLR 584</w:t>
      </w:r>
      <w:r w:rsidRPr="00F17E34">
        <w:t>.</w:t>
      </w:r>
    </w:p>
    <w:p w:rsidR="00FC659B" w:rsidRPr="00F17E34" w:rsidRDefault="00FC659B" w:rsidP="00160504">
      <w:pPr>
        <w:pStyle w:val="ListNo1alt"/>
      </w:pPr>
      <w:r w:rsidRPr="00F17E34">
        <w:lastRenderedPageBreak/>
        <w:t xml:space="preserve">An appellate court must not substitute its own opinion for that of the sentencing judge merely because the appellate court would have exercised its discretion in a manner different form the sentencing judge: </w:t>
      </w:r>
      <w:r w:rsidRPr="00F17E34">
        <w:rPr>
          <w:i/>
        </w:rPr>
        <w:t>Lowndes v the Queen</w:t>
      </w:r>
      <w:r w:rsidRPr="00F17E34">
        <w:t xml:space="preserve"> (1999) 195 CLR 655.</w:t>
      </w:r>
    </w:p>
    <w:p w:rsidR="00FC659B" w:rsidRPr="00F17E34" w:rsidRDefault="00FC659B" w:rsidP="00160504">
      <w:pPr>
        <w:pStyle w:val="ListNo1alt"/>
      </w:pPr>
      <w:r w:rsidRPr="00F17E34">
        <w:t xml:space="preserve">The sentencing judge should be afforded ‘wide measure of latitude’: </w:t>
      </w:r>
      <w:proofErr w:type="spellStart"/>
      <w:r w:rsidRPr="00F17E34">
        <w:rPr>
          <w:i/>
        </w:rPr>
        <w:t>Postiglione</w:t>
      </w:r>
      <w:proofErr w:type="spellEnd"/>
      <w:r w:rsidRPr="00F17E34">
        <w:rPr>
          <w:i/>
        </w:rPr>
        <w:t xml:space="preserve"> v </w:t>
      </w:r>
      <w:r w:rsidR="004B5C32" w:rsidRPr="00F17E34">
        <w:rPr>
          <w:i/>
        </w:rPr>
        <w:t>T</w:t>
      </w:r>
      <w:r w:rsidRPr="00F17E34">
        <w:rPr>
          <w:i/>
        </w:rPr>
        <w:t xml:space="preserve">he Queen </w:t>
      </w:r>
      <w:r w:rsidRPr="00F17E34">
        <w:t>(1997) 189 CLR 295.</w:t>
      </w:r>
    </w:p>
    <w:p w:rsidR="00FC659B" w:rsidRPr="00F17E34" w:rsidRDefault="00FC659B">
      <w:pPr>
        <w:pStyle w:val="ParaNumbering"/>
      </w:pPr>
      <w:r w:rsidRPr="00F17E34">
        <w:t xml:space="preserve">The respondent submits that establishing a “tariff” or a sentencing range is especially problematic in contempt matters and may in fact be unachievable: </w:t>
      </w:r>
      <w:proofErr w:type="spellStart"/>
      <w:r w:rsidRPr="00F17E34">
        <w:rPr>
          <w:i/>
        </w:rPr>
        <w:t>Allbeury</w:t>
      </w:r>
      <w:proofErr w:type="spellEnd"/>
      <w:r w:rsidRPr="00F17E34">
        <w:rPr>
          <w:i/>
        </w:rPr>
        <w:t xml:space="preserve"> v Corruption and Crime Commission</w:t>
      </w:r>
      <w:r w:rsidRPr="00F17E34">
        <w:t xml:space="preserve"> [2012] WASCA 84</w:t>
      </w:r>
      <w:r w:rsidR="007B7210">
        <w:t>; 42 WAR 425</w:t>
      </w:r>
      <w:r w:rsidRPr="00F17E34">
        <w:t xml:space="preserve"> at [251], per Buss JA </w:t>
      </w:r>
      <w:r w:rsidR="00925591">
        <w:t>(</w:t>
      </w:r>
      <w:r w:rsidRPr="00F17E34">
        <w:t>as his Honour then was</w:t>
      </w:r>
      <w:r w:rsidR="00925591">
        <w:t>)</w:t>
      </w:r>
      <w:r w:rsidRPr="00F17E34">
        <w:t xml:space="preserve">, with </w:t>
      </w:r>
      <w:proofErr w:type="spellStart"/>
      <w:r w:rsidRPr="00F17E34">
        <w:t>McLure</w:t>
      </w:r>
      <w:proofErr w:type="spellEnd"/>
      <w:r w:rsidRPr="00F17E34">
        <w:t xml:space="preserve"> P and </w:t>
      </w:r>
      <w:proofErr w:type="spellStart"/>
      <w:r w:rsidRPr="00F17E34">
        <w:t>Mazza</w:t>
      </w:r>
      <w:proofErr w:type="spellEnd"/>
      <w:r w:rsidRPr="00F17E34">
        <w:t xml:space="preserve"> JA agreeing.</w:t>
      </w:r>
    </w:p>
    <w:p w:rsidR="00FC659B" w:rsidRPr="00F17E34" w:rsidRDefault="00020EE7">
      <w:pPr>
        <w:pStyle w:val="ParaNumbering"/>
      </w:pPr>
      <w:r w:rsidRPr="00F17E34">
        <w:t xml:space="preserve">A review of contempt sentences as a ‘yardstick’ was undertaken by Besanko J in </w:t>
      </w:r>
      <w:proofErr w:type="spellStart"/>
      <w:r w:rsidRPr="00F17E34">
        <w:rPr>
          <w:i/>
        </w:rPr>
        <w:t>Vaysman</w:t>
      </w:r>
      <w:proofErr w:type="spellEnd"/>
      <w:r w:rsidRPr="00F17E34">
        <w:rPr>
          <w:i/>
        </w:rPr>
        <w:t xml:space="preserve"> v Deckers Outdoor Corporation </w:t>
      </w:r>
      <w:proofErr w:type="spellStart"/>
      <w:r w:rsidRPr="00F17E34">
        <w:rPr>
          <w:i/>
        </w:rPr>
        <w:t>Inc</w:t>
      </w:r>
      <w:proofErr w:type="spellEnd"/>
      <w:r w:rsidRPr="00F17E34">
        <w:t xml:space="preserve"> [2014] FCAFC 60</w:t>
      </w:r>
      <w:r w:rsidR="008342BB">
        <w:t xml:space="preserve">; </w:t>
      </w:r>
      <w:r w:rsidR="00F250E0">
        <w:t xml:space="preserve">(2014) </w:t>
      </w:r>
      <w:r w:rsidR="008342BB">
        <w:t>222 FCR 387</w:t>
      </w:r>
      <w:r w:rsidR="00B07877">
        <w:t xml:space="preserve"> (</w:t>
      </w:r>
      <w:proofErr w:type="spellStart"/>
      <w:r w:rsidR="00B07877">
        <w:rPr>
          <w:b/>
          <w:i/>
        </w:rPr>
        <w:t>Vaysman</w:t>
      </w:r>
      <w:proofErr w:type="spellEnd"/>
      <w:r w:rsidR="00B07877">
        <w:t>)</w:t>
      </w:r>
      <w:r w:rsidRPr="00F17E34">
        <w:t xml:space="preserve"> commencing at </w:t>
      </w:r>
      <w:r w:rsidR="00B34319" w:rsidRPr="00F17E34">
        <w:t>[</w:t>
      </w:r>
      <w:r w:rsidRPr="00F17E34">
        <w:t>126</w:t>
      </w:r>
      <w:r w:rsidR="00B34319" w:rsidRPr="00F17E34">
        <w:t>]</w:t>
      </w:r>
      <w:r w:rsidRPr="00F17E34">
        <w:t xml:space="preserve"> through to </w:t>
      </w:r>
      <w:r w:rsidR="00B34319" w:rsidRPr="00F17E34">
        <w:t>[</w:t>
      </w:r>
      <w:r w:rsidRPr="00F17E34">
        <w:t>137</w:t>
      </w:r>
      <w:r w:rsidR="00B34319" w:rsidRPr="00F17E34">
        <w:t>]</w:t>
      </w:r>
      <w:r w:rsidRPr="00F17E34">
        <w:t xml:space="preserve">.  At </w:t>
      </w:r>
      <w:r w:rsidR="00D2101E" w:rsidRPr="00F17E34">
        <w:t>[</w:t>
      </w:r>
      <w:r w:rsidRPr="00F17E34">
        <w:t>137</w:t>
      </w:r>
      <w:r w:rsidR="00D2101E" w:rsidRPr="00F17E34">
        <w:t>]</w:t>
      </w:r>
      <w:r w:rsidRPr="00F17E34">
        <w:t xml:space="preserve"> Besanko J </w:t>
      </w:r>
      <w:r w:rsidR="000C0EDA" w:rsidRPr="00F17E34">
        <w:t>identified that</w:t>
      </w:r>
      <w:r w:rsidRPr="00F17E34">
        <w:t>:</w:t>
      </w:r>
    </w:p>
    <w:p w:rsidR="003A09AB" w:rsidRDefault="003A09AB" w:rsidP="00160504">
      <w:pPr>
        <w:pStyle w:val="Quote1"/>
      </w:pPr>
      <w:r w:rsidRPr="00F17E34">
        <w:t>“The many and varied circumstances which may give rise to a contempt of court means that it is difficult to identify a range of</w:t>
      </w:r>
      <w:r w:rsidRPr="003A09AB">
        <w:t xml:space="preserve"> appropriate sentences for contempt or a standard sentence for a serious contempt (</w:t>
      </w:r>
      <w:proofErr w:type="spellStart"/>
      <w:r w:rsidRPr="00160504">
        <w:rPr>
          <w:i/>
        </w:rPr>
        <w:t>Hili</w:t>
      </w:r>
      <w:proofErr w:type="spellEnd"/>
      <w:r w:rsidRPr="003A09AB">
        <w:t xml:space="preserve"> at 537, [54]). I do not think it possible to say that, in 2010, the standard or prevailing sentence for a serious contempt of court was 12 months imprisonment. That said, the sentence imposed by the primary judge in this case was three times as long, or at least twice as long, as the sentences previously imposed. This was no doubt a most serious contempt of court, but beyond that the primary judge did not identify any factors which would justify a sentence which was so out of the ordinary. With respect to the primary judge, I think the sentence of three years imprisonment was manifestly excessive (</w:t>
      </w:r>
      <w:r w:rsidRPr="00160504">
        <w:rPr>
          <w:i/>
        </w:rPr>
        <w:t>Wong v The Queen</w:t>
      </w:r>
      <w:r w:rsidRPr="003A09AB">
        <w:t xml:space="preserve"> [2001] HCA 64; (2001) 207 CLR 584 at 591 [6] per Gleeson CJ; </w:t>
      </w:r>
      <w:proofErr w:type="spellStart"/>
      <w:r w:rsidRPr="00160504">
        <w:rPr>
          <w:i/>
        </w:rPr>
        <w:t>Hili</w:t>
      </w:r>
      <w:proofErr w:type="spellEnd"/>
      <w:r w:rsidRPr="003A09AB">
        <w:t xml:space="preserve"> at 534</w:t>
      </w:r>
      <w:r w:rsidR="00087968">
        <w:t>-</w:t>
      </w:r>
      <w:r w:rsidRPr="003A09AB">
        <w:t>538 [45]</w:t>
      </w:r>
      <w:r w:rsidR="005617E9">
        <w:t>-</w:t>
      </w:r>
      <w:r w:rsidRPr="003A09AB">
        <w:t>[57]).”</w:t>
      </w:r>
    </w:p>
    <w:p w:rsidR="00460B36" w:rsidRDefault="00460B36" w:rsidP="001872B1">
      <w:pPr>
        <w:pStyle w:val="ParaNumbering"/>
      </w:pPr>
      <w:r>
        <w:t>The r</w:t>
      </w:r>
      <w:r w:rsidRPr="00460B36">
        <w:t>espondent submits the sentence imposed for each contempt was appropriate having</w:t>
      </w:r>
      <w:r w:rsidR="00772B04">
        <w:t xml:space="preserve"> regard to the fact the </w:t>
      </w:r>
      <w:r w:rsidRPr="00460B36">
        <w:t xml:space="preserve">sentencing judge correctly characterised each of the </w:t>
      </w:r>
      <w:proofErr w:type="spellStart"/>
      <w:r w:rsidRPr="00460B36">
        <w:t>contempts</w:t>
      </w:r>
      <w:proofErr w:type="spellEnd"/>
      <w:r w:rsidRPr="00460B36">
        <w:t xml:space="preserve"> as </w:t>
      </w:r>
      <w:r w:rsidR="00357A5D">
        <w:t>“</w:t>
      </w:r>
      <w:r w:rsidRPr="001C54CA">
        <w:rPr>
          <w:i/>
        </w:rPr>
        <w:t>serious instance</w:t>
      </w:r>
      <w:r w:rsidR="003B69AF" w:rsidRPr="001C54CA">
        <w:rPr>
          <w:i/>
        </w:rPr>
        <w:t>s</w:t>
      </w:r>
      <w:r w:rsidRPr="001C54CA">
        <w:rPr>
          <w:i/>
        </w:rPr>
        <w:t xml:space="preserve"> of contempt</w:t>
      </w:r>
      <w:r w:rsidR="00357A5D">
        <w:t>”</w:t>
      </w:r>
      <w:r w:rsidRPr="00460B36">
        <w:t xml:space="preserve">: </w:t>
      </w:r>
      <w:r w:rsidRPr="001C54CA">
        <w:rPr>
          <w:i/>
        </w:rPr>
        <w:t xml:space="preserve">Ferguson v </w:t>
      </w:r>
      <w:proofErr w:type="spellStart"/>
      <w:r w:rsidRPr="001C54CA">
        <w:rPr>
          <w:i/>
        </w:rPr>
        <w:t>Dallow</w:t>
      </w:r>
      <w:proofErr w:type="spellEnd"/>
      <w:r w:rsidRPr="001C54CA">
        <w:rPr>
          <w:i/>
        </w:rPr>
        <w:t xml:space="preserve"> (No 5)</w:t>
      </w:r>
      <w:r w:rsidRPr="00460B36">
        <w:t xml:space="preserve"> at [29].</w:t>
      </w:r>
      <w:r w:rsidR="006F6587">
        <w:t xml:space="preserve"> </w:t>
      </w:r>
      <w:r>
        <w:t xml:space="preserve">In relation to each of the </w:t>
      </w:r>
      <w:proofErr w:type="spellStart"/>
      <w:r>
        <w:t>contempts</w:t>
      </w:r>
      <w:proofErr w:type="spellEnd"/>
      <w:r>
        <w:t>, I accept the respondent’s submissions as to the seriousness of each instance of</w:t>
      </w:r>
      <w:r w:rsidR="00ED3646">
        <w:t xml:space="preserve"> con</w:t>
      </w:r>
      <w:r w:rsidR="00772B04">
        <w:t>tempt as follows</w:t>
      </w:r>
      <w:r>
        <w:t>:</w:t>
      </w:r>
    </w:p>
    <w:p w:rsidR="00460B36" w:rsidRPr="00F17E34" w:rsidRDefault="00460B36" w:rsidP="00160504">
      <w:pPr>
        <w:pStyle w:val="ListNo1alt"/>
        <w:numPr>
          <w:ilvl w:val="0"/>
          <w:numId w:val="29"/>
        </w:numPr>
      </w:pPr>
      <w:r w:rsidRPr="00460B36">
        <w:t>The first contempt was a breach of an order of Justice Kerr made on 2 December 2020 by publishing a video</w:t>
      </w:r>
      <w:r w:rsidR="00EA3B72">
        <w:t xml:space="preserve"> entitled</w:t>
      </w:r>
      <w:r w:rsidRPr="00460B36">
        <w:t xml:space="preserve"> “Legal Update” (referred to in </w:t>
      </w:r>
      <w:r w:rsidR="002801D2">
        <w:t xml:space="preserve">the </w:t>
      </w:r>
      <w:r w:rsidRPr="00460B36">
        <w:t xml:space="preserve">proceedings as the </w:t>
      </w:r>
      <w:r w:rsidR="00F43DD9">
        <w:t>(</w:t>
      </w:r>
      <w:r w:rsidRPr="00706393">
        <w:rPr>
          <w:b/>
        </w:rPr>
        <w:t>Third Video</w:t>
      </w:r>
      <w:r w:rsidR="00F43DD9">
        <w:t>)</w:t>
      </w:r>
      <w:r w:rsidRPr="00460B36">
        <w:t>) that indirectly re-published the defamatory allegations that were subject to</w:t>
      </w:r>
      <w:r w:rsidR="001E39D6">
        <w:t xml:space="preserve"> the</w:t>
      </w:r>
      <w:r w:rsidRPr="00460B36">
        <w:t xml:space="preserve"> Order of Justice Kerr on 2 December 2020. </w:t>
      </w:r>
      <w:r w:rsidR="00ED3646">
        <w:t xml:space="preserve"> </w:t>
      </w:r>
      <w:r w:rsidR="00772B04">
        <w:t xml:space="preserve">The </w:t>
      </w:r>
      <w:r w:rsidRPr="00460B36">
        <w:t>sentencing judge found this was “beyond reasonable doubt an intentional brea</w:t>
      </w:r>
      <w:r w:rsidRPr="00F17E34">
        <w:t xml:space="preserve">ch”: </w:t>
      </w:r>
      <w:r w:rsidR="007D479E" w:rsidRPr="00F17E34">
        <w:rPr>
          <w:i/>
        </w:rPr>
        <w:t xml:space="preserve">Ferguson v </w:t>
      </w:r>
      <w:proofErr w:type="spellStart"/>
      <w:r w:rsidR="007D479E" w:rsidRPr="00F17E34">
        <w:rPr>
          <w:i/>
        </w:rPr>
        <w:t>Dallow</w:t>
      </w:r>
      <w:proofErr w:type="spellEnd"/>
      <w:r w:rsidR="007D479E" w:rsidRPr="00F17E34">
        <w:rPr>
          <w:i/>
        </w:rPr>
        <w:t xml:space="preserve"> (No 3)</w:t>
      </w:r>
      <w:r w:rsidR="007D479E" w:rsidRPr="00F17E34">
        <w:t xml:space="preserve"> [2021] FCA 177 (</w:t>
      </w:r>
      <w:proofErr w:type="spellStart"/>
      <w:r w:rsidR="007D479E" w:rsidRPr="00F17E34">
        <w:rPr>
          <w:b/>
          <w:i/>
        </w:rPr>
        <w:t>Dallow</w:t>
      </w:r>
      <w:proofErr w:type="spellEnd"/>
      <w:r w:rsidR="007D479E" w:rsidRPr="00F17E34">
        <w:rPr>
          <w:b/>
          <w:i/>
        </w:rPr>
        <w:t xml:space="preserve"> (No 3)</w:t>
      </w:r>
      <w:r w:rsidR="007D479E" w:rsidRPr="00F17E34">
        <w:t>)</w:t>
      </w:r>
      <w:r w:rsidRPr="00F17E34">
        <w:t xml:space="preserve"> at [70]; his Honour ruled out an inadvertent, accidental or reckless breach because the applicant himself conceded in cross examination that he </w:t>
      </w:r>
      <w:r w:rsidRPr="00F17E34">
        <w:lastRenderedPageBreak/>
        <w:t xml:space="preserve">knew and understood the effect of the order at [72]; and ultimately the </w:t>
      </w:r>
      <w:r w:rsidR="003F3E72">
        <w:t>C</w:t>
      </w:r>
      <w:r w:rsidRPr="00F17E34">
        <w:t>ourt concluded the breach could only have been a deliberate one: [73].</w:t>
      </w:r>
    </w:p>
    <w:p w:rsidR="00460B36" w:rsidRPr="00F17E34" w:rsidRDefault="00D4068E" w:rsidP="00160504">
      <w:pPr>
        <w:pStyle w:val="ListNo1alt"/>
        <w:numPr>
          <w:ilvl w:val="0"/>
          <w:numId w:val="29"/>
        </w:numPr>
      </w:pPr>
      <w:r w:rsidRPr="00F17E34">
        <w:t xml:space="preserve">With </w:t>
      </w:r>
      <w:r w:rsidR="00460B36" w:rsidRPr="00F17E34">
        <w:t xml:space="preserve">respect </w:t>
      </w:r>
      <w:r w:rsidRPr="00F17E34">
        <w:t xml:space="preserve">to </w:t>
      </w:r>
      <w:r w:rsidR="00460B36" w:rsidRPr="00F17E34">
        <w:t xml:space="preserve">the second contempt, the applicant was required by an order of Justice White on 9 December 2020 to take down the Third Video within two hours </w:t>
      </w:r>
      <w:r w:rsidR="003023EE" w:rsidRPr="00F17E34">
        <w:t xml:space="preserve">of the orders </w:t>
      </w:r>
      <w:r w:rsidR="00460B36" w:rsidRPr="00F17E34">
        <w:t xml:space="preserve">or as soon thereafter as </w:t>
      </w:r>
      <w:r w:rsidR="001E39D6" w:rsidRPr="00F17E34">
        <w:t xml:space="preserve">was </w:t>
      </w:r>
      <w:r w:rsidR="00460B36" w:rsidRPr="00F17E34">
        <w:t xml:space="preserve">reasonably possible. </w:t>
      </w:r>
      <w:r w:rsidR="00ED3646" w:rsidRPr="00F17E34">
        <w:t xml:space="preserve"> </w:t>
      </w:r>
      <w:r w:rsidR="00460B36" w:rsidRPr="00F17E34">
        <w:t xml:space="preserve">The applicant failed to remove the video until approximately five hours after the order was made. </w:t>
      </w:r>
      <w:r w:rsidR="00ED3646" w:rsidRPr="00F17E34">
        <w:t xml:space="preserve"> </w:t>
      </w:r>
      <w:r w:rsidR="00460B36" w:rsidRPr="00F17E34">
        <w:t xml:space="preserve">The sentencing judge found the applicant “deliberately refused to comply with the order to remove the </w:t>
      </w:r>
      <w:r w:rsidR="003023EE" w:rsidRPr="00F17E34">
        <w:t>T</w:t>
      </w:r>
      <w:r w:rsidR="00460B36" w:rsidRPr="00F17E34">
        <w:t xml:space="preserve">hird </w:t>
      </w:r>
      <w:r w:rsidR="00A76660" w:rsidRPr="00F17E34">
        <w:t>V</w:t>
      </w:r>
      <w:r w:rsidR="00460B36" w:rsidRPr="00F17E34">
        <w:t xml:space="preserve">ideo from YouTube”, in circumstances where the applicant “had the capability to immediately to [remove the video from YouTube] without travelling back to Launceston”: </w:t>
      </w:r>
      <w:r w:rsidR="00F54A8E" w:rsidRPr="00F17E34">
        <w:rPr>
          <w:i/>
        </w:rPr>
        <w:t xml:space="preserve">Ferguson v </w:t>
      </w:r>
      <w:proofErr w:type="spellStart"/>
      <w:r w:rsidR="00F54A8E" w:rsidRPr="00F17E34">
        <w:rPr>
          <w:i/>
        </w:rPr>
        <w:t>Dallow</w:t>
      </w:r>
      <w:proofErr w:type="spellEnd"/>
      <w:r w:rsidR="00F54A8E" w:rsidRPr="00F17E34">
        <w:rPr>
          <w:i/>
        </w:rPr>
        <w:t xml:space="preserve"> (No 3)</w:t>
      </w:r>
      <w:r w:rsidR="00F54A8E" w:rsidRPr="00F17E34">
        <w:t xml:space="preserve"> </w:t>
      </w:r>
      <w:r w:rsidR="00460B36" w:rsidRPr="00F17E34">
        <w:t>at [80].</w:t>
      </w:r>
    </w:p>
    <w:p w:rsidR="00460B36" w:rsidRPr="00F17E34" w:rsidRDefault="00FE1959" w:rsidP="00160504">
      <w:pPr>
        <w:pStyle w:val="ListNo1alt"/>
        <w:numPr>
          <w:ilvl w:val="0"/>
          <w:numId w:val="29"/>
        </w:numPr>
      </w:pPr>
      <w:r w:rsidRPr="00F17E34">
        <w:t>With respect to</w:t>
      </w:r>
      <w:r w:rsidRPr="00F17E34" w:rsidDel="00FE1959">
        <w:t xml:space="preserve"> </w:t>
      </w:r>
      <w:r w:rsidR="00460B36" w:rsidRPr="00F17E34">
        <w:t>the third contempt, the applicant breached the order of Justice White made on 19 February 2021 by publishing a new video</w:t>
      </w:r>
      <w:r w:rsidR="00972388" w:rsidRPr="00F17E34">
        <w:t xml:space="preserve"> entitle</w:t>
      </w:r>
      <w:r w:rsidR="00536618" w:rsidRPr="00F17E34">
        <w:t>d</w:t>
      </w:r>
      <w:r w:rsidR="00460B36" w:rsidRPr="00F17E34">
        <w:t xml:space="preserve"> “Broken Parliament” (referred to in the proceedings as the </w:t>
      </w:r>
      <w:r w:rsidR="009D0F85" w:rsidRPr="00F17E34">
        <w:t>(</w:t>
      </w:r>
      <w:r w:rsidR="00460B36" w:rsidRPr="00706393">
        <w:rPr>
          <w:b/>
        </w:rPr>
        <w:t>Fourth Video</w:t>
      </w:r>
      <w:r w:rsidR="009D0F85" w:rsidRPr="00F17E34">
        <w:t>)</w:t>
      </w:r>
      <w:r w:rsidR="00460B36" w:rsidRPr="00F17E34">
        <w:t xml:space="preserve">), which indirectly re-published the allegations subject of the 19 February 2021 Order. </w:t>
      </w:r>
      <w:r w:rsidR="00ED3646" w:rsidRPr="00F17E34">
        <w:t xml:space="preserve"> </w:t>
      </w:r>
      <w:r w:rsidR="00460B36" w:rsidRPr="00F17E34">
        <w:t>The sentencing judge found</w:t>
      </w:r>
      <w:r w:rsidR="00F649F9" w:rsidRPr="00F17E34">
        <w:t xml:space="preserve"> that it was beyond reasonable doubt that</w:t>
      </w:r>
      <w:r w:rsidR="00460B36" w:rsidRPr="00F17E34">
        <w:t xml:space="preserve"> the applicant intentionally disobeyed the orders of White J and rejected any </w:t>
      </w:r>
      <w:r w:rsidR="009658C8" w:rsidRPr="00F17E34">
        <w:t xml:space="preserve">other </w:t>
      </w:r>
      <w:r w:rsidR="00460B36" w:rsidRPr="00F17E34">
        <w:t xml:space="preserve">explanation </w:t>
      </w:r>
      <w:r w:rsidR="00742D59" w:rsidRPr="00F17E34">
        <w:t xml:space="preserve">that </w:t>
      </w:r>
      <w:r w:rsidR="00460B36" w:rsidRPr="00F17E34">
        <w:t xml:space="preserve">the video could have been intended to convey any other meaning that was asserted by the applicant: </w:t>
      </w:r>
      <w:r w:rsidR="00F54A8E" w:rsidRPr="00F17E34">
        <w:rPr>
          <w:i/>
        </w:rPr>
        <w:t xml:space="preserve">Ferguson v </w:t>
      </w:r>
      <w:proofErr w:type="spellStart"/>
      <w:r w:rsidR="00F54A8E" w:rsidRPr="00F17E34">
        <w:rPr>
          <w:i/>
        </w:rPr>
        <w:t>Dallow</w:t>
      </w:r>
      <w:proofErr w:type="spellEnd"/>
      <w:r w:rsidR="00F54A8E" w:rsidRPr="00F17E34">
        <w:rPr>
          <w:i/>
        </w:rPr>
        <w:t xml:space="preserve"> (No 4)</w:t>
      </w:r>
      <w:r w:rsidR="00F54A8E" w:rsidRPr="00F17E34">
        <w:t xml:space="preserve"> [2021] FCA 513 (</w:t>
      </w:r>
      <w:proofErr w:type="spellStart"/>
      <w:r w:rsidR="00F54A8E" w:rsidRPr="00F17E34">
        <w:rPr>
          <w:b/>
          <w:i/>
        </w:rPr>
        <w:t>Dallow</w:t>
      </w:r>
      <w:proofErr w:type="spellEnd"/>
      <w:r w:rsidR="00F54A8E" w:rsidRPr="00F17E34">
        <w:rPr>
          <w:b/>
          <w:i/>
        </w:rPr>
        <w:t xml:space="preserve"> (No 4)</w:t>
      </w:r>
      <w:r w:rsidR="00F54A8E" w:rsidRPr="00F17E34">
        <w:t>)</w:t>
      </w:r>
      <w:r w:rsidR="00460B36" w:rsidRPr="00F17E34">
        <w:t xml:space="preserve"> at [28].</w:t>
      </w:r>
    </w:p>
    <w:p w:rsidR="00460B36" w:rsidRDefault="00FE1959" w:rsidP="00160504">
      <w:pPr>
        <w:pStyle w:val="ListNo1alt"/>
        <w:numPr>
          <w:ilvl w:val="0"/>
          <w:numId w:val="29"/>
        </w:numPr>
      </w:pPr>
      <w:r>
        <w:t xml:space="preserve">Lastly, </w:t>
      </w:r>
      <w:r w:rsidR="00600EB4">
        <w:t>t</w:t>
      </w:r>
      <w:r w:rsidR="00460B36" w:rsidRPr="00460B36">
        <w:t xml:space="preserve">he fourth contempt arose out of the same circumstances as the third contempt but was a charge of scandalising the court. </w:t>
      </w:r>
      <w:r w:rsidR="00ED3646">
        <w:t xml:space="preserve"> </w:t>
      </w:r>
      <w:r w:rsidR="00460B36" w:rsidRPr="00460B36">
        <w:t xml:space="preserve">The sentencing judge found “beyond reasonable doubt that the [applicant] intended his comments about the “ring of protection” to include this court, and that the public would so understand them”: </w:t>
      </w:r>
      <w:r w:rsidR="00460B36" w:rsidRPr="00160504">
        <w:rPr>
          <w:i/>
        </w:rPr>
        <w:t xml:space="preserve">Ferguson v </w:t>
      </w:r>
      <w:proofErr w:type="spellStart"/>
      <w:r w:rsidR="00460B36" w:rsidRPr="00160504">
        <w:rPr>
          <w:i/>
        </w:rPr>
        <w:t>Dallow</w:t>
      </w:r>
      <w:proofErr w:type="spellEnd"/>
      <w:r w:rsidR="00460B36" w:rsidRPr="00160504">
        <w:rPr>
          <w:i/>
        </w:rPr>
        <w:t xml:space="preserve"> (No 4)</w:t>
      </w:r>
      <w:r w:rsidR="00460B36" w:rsidRPr="00460B36">
        <w:t xml:space="preserve"> at [39] and that an assertion [by the applicant] that a member of the executive can have the court do his or her bidding was serious one: </w:t>
      </w:r>
      <w:r w:rsidR="00460B36" w:rsidRPr="00160504">
        <w:rPr>
          <w:i/>
        </w:rPr>
        <w:t xml:space="preserve">Ferguson v </w:t>
      </w:r>
      <w:proofErr w:type="spellStart"/>
      <w:r w:rsidR="00460B36" w:rsidRPr="00160504">
        <w:rPr>
          <w:i/>
        </w:rPr>
        <w:t>Dallow</w:t>
      </w:r>
      <w:proofErr w:type="spellEnd"/>
      <w:r w:rsidR="00460B36" w:rsidRPr="00160504">
        <w:rPr>
          <w:i/>
        </w:rPr>
        <w:t xml:space="preserve"> (No 4)</w:t>
      </w:r>
      <w:r w:rsidR="00460B36" w:rsidRPr="00460B36">
        <w:t xml:space="preserve"> at [42].</w:t>
      </w:r>
    </w:p>
    <w:p w:rsidR="00460B36" w:rsidRDefault="00460B36">
      <w:pPr>
        <w:pStyle w:val="ParaNumbering"/>
      </w:pPr>
      <w:r>
        <w:t>I also accept the respondent’s submissions that in sentencing the applicant, the following aggravating factors were noted by the sentencing judge and these factors warranted denunciation and an immediate penalty of imprisonment:</w:t>
      </w:r>
    </w:p>
    <w:p w:rsidR="00460B36" w:rsidRDefault="002A2EB5" w:rsidP="00160504">
      <w:pPr>
        <w:pStyle w:val="ListNo1alt"/>
        <w:numPr>
          <w:ilvl w:val="0"/>
          <w:numId w:val="30"/>
        </w:numPr>
      </w:pPr>
      <w:r w:rsidRPr="002A2EB5">
        <w:t xml:space="preserve">The applicant had a high degree of culpability in respect of each contempt: </w:t>
      </w:r>
      <w:r w:rsidRPr="00160504">
        <w:rPr>
          <w:i/>
        </w:rPr>
        <w:t xml:space="preserve">Ferguson v </w:t>
      </w:r>
      <w:proofErr w:type="spellStart"/>
      <w:r w:rsidRPr="00160504">
        <w:rPr>
          <w:i/>
        </w:rPr>
        <w:t>Dallow</w:t>
      </w:r>
      <w:proofErr w:type="spellEnd"/>
      <w:r w:rsidRPr="00160504">
        <w:rPr>
          <w:i/>
        </w:rPr>
        <w:t xml:space="preserve"> (No 5)</w:t>
      </w:r>
      <w:r w:rsidRPr="002A2EB5">
        <w:t xml:space="preserve"> </w:t>
      </w:r>
      <w:r w:rsidR="00F54A8E">
        <w:t>at</w:t>
      </w:r>
      <w:r w:rsidRPr="002A2EB5">
        <w:t xml:space="preserve"> [30]</w:t>
      </w:r>
      <w:r>
        <w:t>.</w:t>
      </w:r>
    </w:p>
    <w:p w:rsidR="002A2EB5" w:rsidRDefault="002A2EB5" w:rsidP="003B5C8C">
      <w:pPr>
        <w:pStyle w:val="ListNo1alt"/>
        <w:numPr>
          <w:ilvl w:val="0"/>
          <w:numId w:val="30"/>
        </w:numPr>
      </w:pPr>
      <w:r w:rsidRPr="002A2EB5">
        <w:t xml:space="preserve">The contempt charges which involved publication of allegations in contravention of court orders on YouTube and the internet, had the potential to cause substantial harm </w:t>
      </w:r>
      <w:r w:rsidRPr="002A2EB5">
        <w:lastRenderedPageBreak/>
        <w:t xml:space="preserve">to the respondent. </w:t>
      </w:r>
      <w:r>
        <w:t xml:space="preserve"> </w:t>
      </w:r>
      <w:r w:rsidRPr="002A2EB5">
        <w:t>The potential for harm was acknowledged by the applicant during evidence he gave in the proceedings</w:t>
      </w:r>
      <w:r w:rsidR="003B5C8C" w:rsidRPr="002A2EB5">
        <w:t xml:space="preserve">: </w:t>
      </w:r>
      <w:r w:rsidR="003B5C8C" w:rsidRPr="00160504">
        <w:rPr>
          <w:i/>
        </w:rPr>
        <w:t xml:space="preserve">Ferguson v </w:t>
      </w:r>
      <w:proofErr w:type="spellStart"/>
      <w:r w:rsidR="003B5C8C" w:rsidRPr="00160504">
        <w:rPr>
          <w:i/>
        </w:rPr>
        <w:t>Dallow</w:t>
      </w:r>
      <w:proofErr w:type="spellEnd"/>
      <w:r w:rsidR="003B5C8C" w:rsidRPr="00160504">
        <w:rPr>
          <w:i/>
        </w:rPr>
        <w:t xml:space="preserve"> (No 5)</w:t>
      </w:r>
      <w:r w:rsidR="003B5C8C" w:rsidRPr="002A2EB5">
        <w:t xml:space="preserve"> </w:t>
      </w:r>
      <w:r w:rsidR="003B5C8C">
        <w:t>at [36</w:t>
      </w:r>
      <w:r w:rsidR="003B5C8C" w:rsidRPr="002A2EB5">
        <w:t>]</w:t>
      </w:r>
      <w:r w:rsidR="003B5C8C">
        <w:t>.</w:t>
      </w:r>
    </w:p>
    <w:p w:rsidR="002A2EB5" w:rsidRDefault="002A2EB5" w:rsidP="00160504">
      <w:pPr>
        <w:pStyle w:val="ListNo1alt"/>
        <w:numPr>
          <w:ilvl w:val="0"/>
          <w:numId w:val="30"/>
        </w:numPr>
      </w:pPr>
      <w:r w:rsidRPr="002A2EB5">
        <w:t xml:space="preserve">The applicant demonstrated deliberate and ongoing defiance of court orders throughout the proceedings. </w:t>
      </w:r>
      <w:r>
        <w:t xml:space="preserve"> </w:t>
      </w:r>
      <w:r w:rsidRPr="002A2EB5">
        <w:t xml:space="preserve">The contempt allegations were not a single instance, but repeated and sustained defiance of the orders of the court. </w:t>
      </w:r>
      <w:r>
        <w:t xml:space="preserve"> </w:t>
      </w:r>
      <w:r w:rsidRPr="002A2EB5">
        <w:t xml:space="preserve">His later </w:t>
      </w:r>
      <w:proofErr w:type="spellStart"/>
      <w:r w:rsidRPr="002A2EB5">
        <w:t>contempts</w:t>
      </w:r>
      <w:proofErr w:type="spellEnd"/>
      <w:r w:rsidRPr="002A2EB5">
        <w:t xml:space="preserve"> were committed whilst under charge for his earlier </w:t>
      </w:r>
      <w:proofErr w:type="spellStart"/>
      <w:r w:rsidRPr="002A2EB5">
        <w:t>contempts</w:t>
      </w:r>
      <w:proofErr w:type="spellEnd"/>
      <w:r w:rsidRPr="002A2EB5">
        <w:t>.</w:t>
      </w:r>
    </w:p>
    <w:p w:rsidR="00460B36" w:rsidRDefault="002A2EB5">
      <w:pPr>
        <w:pStyle w:val="ParaNumbering"/>
      </w:pPr>
      <w:r>
        <w:t xml:space="preserve">I accept the respondent’s submission that the sentencing judge appropriately considered that given the applicant’s ongoing </w:t>
      </w:r>
      <w:r w:rsidR="00BA15F9">
        <w:t>defiance</w:t>
      </w:r>
      <w:r>
        <w:t xml:space="preserve"> of court orders, specific deterrence was a weighty sentencing factor: </w:t>
      </w:r>
      <w:r w:rsidR="00BA15F9">
        <w:rPr>
          <w:i/>
        </w:rPr>
        <w:t>Ferguson</w:t>
      </w:r>
      <w:r>
        <w:rPr>
          <w:i/>
        </w:rPr>
        <w:t xml:space="preserve"> v </w:t>
      </w:r>
      <w:proofErr w:type="spellStart"/>
      <w:r>
        <w:rPr>
          <w:i/>
        </w:rPr>
        <w:t>Dallow</w:t>
      </w:r>
      <w:proofErr w:type="spellEnd"/>
      <w:r>
        <w:rPr>
          <w:i/>
        </w:rPr>
        <w:t xml:space="preserve"> (No 5)</w:t>
      </w:r>
      <w:r>
        <w:t xml:space="preserve"> </w:t>
      </w:r>
      <w:r w:rsidR="00F54A8E">
        <w:t xml:space="preserve">at </w:t>
      </w:r>
      <w:r>
        <w:t>[48]</w:t>
      </w:r>
      <w:r w:rsidR="007D479E">
        <w:t>-</w:t>
      </w:r>
      <w:r w:rsidR="00C47499">
        <w:t>[49]</w:t>
      </w:r>
      <w:r>
        <w:t>.  General deterrence also loomed large as it does in all contempt proceedings where charges of intentional disobedience of orders and scandalising the court were concerned.</w:t>
      </w:r>
    </w:p>
    <w:p w:rsidR="002A2EB5" w:rsidRDefault="002A2EB5">
      <w:pPr>
        <w:pStyle w:val="ParaNumbering"/>
      </w:pPr>
      <w:r>
        <w:t>The sentencing judge in sentencing the applicant noted the absence of any mitigating factors</w:t>
      </w:r>
      <w:r w:rsidR="00C53EA8">
        <w:t>.  These findings are</w:t>
      </w:r>
      <w:r w:rsidR="00772B04">
        <w:t xml:space="preserve"> as follows</w:t>
      </w:r>
      <w:r>
        <w:t>:</w:t>
      </w:r>
    </w:p>
    <w:p w:rsidR="002A2EB5" w:rsidRDefault="002A2EB5" w:rsidP="002A2EB5">
      <w:pPr>
        <w:pStyle w:val="ListNo1alt"/>
        <w:numPr>
          <w:ilvl w:val="0"/>
          <w:numId w:val="31"/>
        </w:numPr>
      </w:pPr>
      <w:r>
        <w:t>The applicant had not entered a plea of guilty to any of the charges</w:t>
      </w:r>
      <w:r w:rsidR="009C3A03">
        <w:t xml:space="preserve">, and in fact pleaded not guilty to any of the charges of contempt: </w:t>
      </w:r>
      <w:r w:rsidR="009C3A03" w:rsidRPr="00160504">
        <w:rPr>
          <w:i/>
        </w:rPr>
        <w:t xml:space="preserve">Ferguson v </w:t>
      </w:r>
      <w:proofErr w:type="spellStart"/>
      <w:r w:rsidR="009C3A03" w:rsidRPr="00160504">
        <w:rPr>
          <w:i/>
        </w:rPr>
        <w:t>Dallow</w:t>
      </w:r>
      <w:proofErr w:type="spellEnd"/>
      <w:r w:rsidR="009C3A03" w:rsidRPr="00160504">
        <w:rPr>
          <w:i/>
        </w:rPr>
        <w:t xml:space="preserve"> (No 5)</w:t>
      </w:r>
      <w:r w:rsidR="009C3A03">
        <w:t xml:space="preserve"> at [33].</w:t>
      </w:r>
    </w:p>
    <w:p w:rsidR="002A2EB5" w:rsidRDefault="002A2EB5" w:rsidP="002A2EB5">
      <w:pPr>
        <w:pStyle w:val="ListNo1alt"/>
        <w:numPr>
          <w:ilvl w:val="0"/>
          <w:numId w:val="31"/>
        </w:numPr>
      </w:pPr>
      <w:r>
        <w:t>The applicant never expressed any apology to the court, or remorse for his conduct</w:t>
      </w:r>
      <w:r w:rsidR="00B10247">
        <w:t xml:space="preserve">: </w:t>
      </w:r>
      <w:r w:rsidR="00B10247" w:rsidRPr="00160504">
        <w:rPr>
          <w:i/>
        </w:rPr>
        <w:t xml:space="preserve">Ferguson v </w:t>
      </w:r>
      <w:proofErr w:type="spellStart"/>
      <w:r w:rsidR="00B10247" w:rsidRPr="00160504">
        <w:rPr>
          <w:i/>
        </w:rPr>
        <w:t>Dallow</w:t>
      </w:r>
      <w:proofErr w:type="spellEnd"/>
      <w:r w:rsidR="00B10247" w:rsidRPr="00160504">
        <w:rPr>
          <w:i/>
        </w:rPr>
        <w:t xml:space="preserve"> (No 5)</w:t>
      </w:r>
      <w:r w:rsidR="00B10247">
        <w:t xml:space="preserve"> at [35].</w:t>
      </w:r>
    </w:p>
    <w:p w:rsidR="002A2EB5" w:rsidRDefault="006C42D2" w:rsidP="002A2EB5">
      <w:pPr>
        <w:pStyle w:val="ListNo1alt"/>
        <w:numPr>
          <w:ilvl w:val="0"/>
          <w:numId w:val="31"/>
        </w:numPr>
      </w:pPr>
      <w:r>
        <w:t>The sentencing</w:t>
      </w:r>
      <w:r w:rsidR="002A2EB5">
        <w:t xml:space="preserve"> judge explicitly rejected the applicant’s claims to have been acting in the public interest: </w:t>
      </w:r>
      <w:r w:rsidR="002A2EB5" w:rsidRPr="00160504">
        <w:rPr>
          <w:i/>
        </w:rPr>
        <w:t xml:space="preserve">Ferguson v </w:t>
      </w:r>
      <w:proofErr w:type="spellStart"/>
      <w:r w:rsidR="002A2EB5" w:rsidRPr="00160504">
        <w:rPr>
          <w:i/>
        </w:rPr>
        <w:t>Dallow</w:t>
      </w:r>
      <w:proofErr w:type="spellEnd"/>
      <w:r w:rsidR="002A2EB5" w:rsidRPr="00160504">
        <w:rPr>
          <w:i/>
        </w:rPr>
        <w:t xml:space="preserve"> (No 5)</w:t>
      </w:r>
      <w:r w:rsidR="002A2EB5">
        <w:t xml:space="preserve"> at [33].</w:t>
      </w:r>
    </w:p>
    <w:p w:rsidR="002A2EB5" w:rsidRDefault="006C42D2" w:rsidP="002A2EB5">
      <w:pPr>
        <w:pStyle w:val="ListNo1alt"/>
        <w:numPr>
          <w:ilvl w:val="0"/>
          <w:numId w:val="31"/>
        </w:numPr>
      </w:pPr>
      <w:r>
        <w:t xml:space="preserve">The </w:t>
      </w:r>
      <w:r w:rsidR="002A2EB5">
        <w:t xml:space="preserve">sentencing judge rejected the applicant’s attempted apology to the respondent, finding the apology was sent just 48 hours before the sentencing hearing and the content did not express any contrition for the applicant’s actions: </w:t>
      </w:r>
      <w:r w:rsidR="002A2EB5" w:rsidRPr="00160504">
        <w:rPr>
          <w:i/>
        </w:rPr>
        <w:t xml:space="preserve">Ferguson v </w:t>
      </w:r>
      <w:proofErr w:type="spellStart"/>
      <w:r w:rsidR="002A2EB5" w:rsidRPr="00160504">
        <w:rPr>
          <w:i/>
        </w:rPr>
        <w:t>Dallow</w:t>
      </w:r>
      <w:proofErr w:type="spellEnd"/>
      <w:r w:rsidR="002A2EB5" w:rsidRPr="00160504">
        <w:rPr>
          <w:i/>
        </w:rPr>
        <w:t xml:space="preserve"> (No 5)</w:t>
      </w:r>
      <w:r w:rsidR="002A2EB5">
        <w:t xml:space="preserve"> at [40].</w:t>
      </w:r>
    </w:p>
    <w:p w:rsidR="002A2EB5" w:rsidRDefault="002F537F" w:rsidP="00160504">
      <w:pPr>
        <w:pStyle w:val="ListNo1alt"/>
        <w:numPr>
          <w:ilvl w:val="0"/>
          <w:numId w:val="31"/>
        </w:numPr>
      </w:pPr>
      <w:r>
        <w:t>The C</w:t>
      </w:r>
      <w:r w:rsidR="002A2EB5">
        <w:t xml:space="preserve">ourt was not presented with antecedents or personal circumstances that would warrant mitigation: </w:t>
      </w:r>
      <w:r w:rsidR="002A2EB5" w:rsidRPr="00160504">
        <w:rPr>
          <w:i/>
        </w:rPr>
        <w:t xml:space="preserve">Ferguson v </w:t>
      </w:r>
      <w:proofErr w:type="spellStart"/>
      <w:r w:rsidR="002A2EB5" w:rsidRPr="00160504">
        <w:rPr>
          <w:i/>
        </w:rPr>
        <w:t>Dallow</w:t>
      </w:r>
      <w:proofErr w:type="spellEnd"/>
      <w:r w:rsidR="002A2EB5" w:rsidRPr="00160504">
        <w:rPr>
          <w:i/>
        </w:rPr>
        <w:t xml:space="preserve"> (No 5)</w:t>
      </w:r>
      <w:r w:rsidR="002A2EB5">
        <w:t xml:space="preserve"> at [42].</w:t>
      </w:r>
    </w:p>
    <w:p w:rsidR="002A2EB5" w:rsidRDefault="002A2EB5">
      <w:pPr>
        <w:pStyle w:val="ParaNumbering"/>
      </w:pPr>
      <w:r>
        <w:t xml:space="preserve">The sentencing judge correctly </w:t>
      </w:r>
      <w:r w:rsidRPr="002A2EB5">
        <w:t xml:space="preserve">noted </w:t>
      </w:r>
      <w:r w:rsidR="00F271A7">
        <w:t xml:space="preserve">that </w:t>
      </w:r>
      <w:r w:rsidRPr="002A2EB5">
        <w:t>the only mitigating factor was the applicant’s absence of any prior convictions for contempt or similar offences.</w:t>
      </w:r>
    </w:p>
    <w:p w:rsidR="002A2EB5" w:rsidRDefault="002A2EB5">
      <w:pPr>
        <w:pStyle w:val="ParaNumbering"/>
      </w:pPr>
      <w:r>
        <w:t xml:space="preserve">The sentencing judge undertook a detailed consideration of all relevant factors in arriving at the sentence to be imposed.  That evaluation included considering </w:t>
      </w:r>
      <w:r w:rsidR="0091347B">
        <w:t xml:space="preserve">the cumulative total of the sentence.  The sentencing judge made provision for the sentence on the third and fourth </w:t>
      </w:r>
      <w:r w:rsidR="0091347B">
        <w:lastRenderedPageBreak/>
        <w:t xml:space="preserve">contempt charges to be served concurrently and gave consideration to the principle of totality: </w:t>
      </w:r>
      <w:r w:rsidR="0091347B">
        <w:rPr>
          <w:i/>
        </w:rPr>
        <w:t xml:space="preserve">Ferguson v </w:t>
      </w:r>
      <w:proofErr w:type="spellStart"/>
      <w:r w:rsidR="0091347B">
        <w:rPr>
          <w:i/>
        </w:rPr>
        <w:t>Dallow</w:t>
      </w:r>
      <w:proofErr w:type="spellEnd"/>
      <w:r w:rsidR="0091347B">
        <w:rPr>
          <w:i/>
        </w:rPr>
        <w:t xml:space="preserve"> (No 5)</w:t>
      </w:r>
      <w:r w:rsidR="0091347B">
        <w:t xml:space="preserve"> at </w:t>
      </w:r>
      <w:r w:rsidR="00DD6448">
        <w:t>[53]-</w:t>
      </w:r>
      <w:r w:rsidR="0091347B">
        <w:t>[55].</w:t>
      </w:r>
    </w:p>
    <w:p w:rsidR="00592B2E" w:rsidRDefault="00087612">
      <w:pPr>
        <w:pStyle w:val="ParaNumbering"/>
      </w:pPr>
      <w:r>
        <w:t>I am satisfied that the sentencing judge’s consideration does not demonstrate any misapplication of principle and that the sentence imposed could</w:t>
      </w:r>
      <w:r w:rsidR="00772B04">
        <w:t xml:space="preserve"> not</w:t>
      </w:r>
      <w:r>
        <w:t xml:space="preserve"> be said to fall outside the range of appropriate sentences for contempt.  </w:t>
      </w:r>
    </w:p>
    <w:p w:rsidR="00FE6B2C" w:rsidRDefault="00734D1C">
      <w:pPr>
        <w:pStyle w:val="ParaNumbering"/>
      </w:pPr>
      <w:r>
        <w:t>In terms of the length of imprisonment</w:t>
      </w:r>
      <w:r w:rsidR="007415B1">
        <w:t xml:space="preserve"> that is to be imposed</w:t>
      </w:r>
      <w:r w:rsidR="00253AFD">
        <w:t xml:space="preserve"> on contemnors that have been </w:t>
      </w:r>
      <w:r w:rsidR="00FE6B2C">
        <w:t>found</w:t>
      </w:r>
      <w:r w:rsidR="00276C17">
        <w:t xml:space="preserve"> guilty on charges of</w:t>
      </w:r>
      <w:r w:rsidR="00253AFD">
        <w:t xml:space="preserve"> serious </w:t>
      </w:r>
      <w:proofErr w:type="spellStart"/>
      <w:r w:rsidR="00FE6B2C">
        <w:t>contempts</w:t>
      </w:r>
      <w:proofErr w:type="spellEnd"/>
      <w:r>
        <w:t>,</w:t>
      </w:r>
      <w:r w:rsidR="00FE6B2C">
        <w:t xml:space="preserve"> </w:t>
      </w:r>
      <w:r w:rsidR="00FE6B2C" w:rsidRPr="00706393">
        <w:t xml:space="preserve">Besanko J, with whom </w:t>
      </w:r>
      <w:proofErr w:type="spellStart"/>
      <w:r w:rsidR="00FE6B2C" w:rsidRPr="00706393">
        <w:t>Siopis</w:t>
      </w:r>
      <w:proofErr w:type="spellEnd"/>
      <w:r w:rsidR="00FE6B2C" w:rsidRPr="00706393">
        <w:t xml:space="preserve"> J agreed, said in </w:t>
      </w:r>
      <w:proofErr w:type="spellStart"/>
      <w:r w:rsidR="00FE6B2C" w:rsidRPr="00706393">
        <w:rPr>
          <w:i/>
        </w:rPr>
        <w:t>Vaysman</w:t>
      </w:r>
      <w:proofErr w:type="spellEnd"/>
      <w:r w:rsidR="00FE6B2C" w:rsidRPr="00706393">
        <w:rPr>
          <w:i/>
        </w:rPr>
        <w:t> </w:t>
      </w:r>
      <w:r w:rsidR="00FE6B2C">
        <w:t>that</w:t>
      </w:r>
      <w:r w:rsidR="00FE6B2C" w:rsidRPr="00706393">
        <w:t>, it is difficult to identify a range of appropriate sentences for contempt or a standard or prevailing sentence for a serious contempt. That is due to the many and varied circumstances that can give rise to the particular contempt and the factors to which the Court can have regard in assessing what sentence is appropriate in the factual scenario at the time of sentencing</w:t>
      </w:r>
      <w:r w:rsidR="00897ACE">
        <w:t>.</w:t>
      </w:r>
    </w:p>
    <w:p w:rsidR="00734D1C" w:rsidRDefault="00515F75" w:rsidP="00515F75">
      <w:pPr>
        <w:pStyle w:val="ParaNumbering"/>
      </w:pPr>
      <w:r w:rsidRPr="00515F75">
        <w:t xml:space="preserve">There is no maximum penalty for contempt and the circumstances surrounding </w:t>
      </w:r>
      <w:proofErr w:type="spellStart"/>
      <w:r w:rsidRPr="00515F75">
        <w:t>contempts</w:t>
      </w:r>
      <w:proofErr w:type="spellEnd"/>
      <w:r w:rsidRPr="00515F75">
        <w:t xml:space="preserve"> of court may vary considerably. Nevertheless, it is appropriate to consider comparable cases because they constitute or may constitute a yardstick against which to examine a proposed sentence</w:t>
      </w:r>
      <w:r w:rsidR="00897ACE">
        <w:t>:</w:t>
      </w:r>
      <w:r w:rsidRPr="00515F75">
        <w:t xml:space="preserve"> (</w:t>
      </w:r>
      <w:proofErr w:type="spellStart"/>
      <w:r w:rsidRPr="00706393">
        <w:rPr>
          <w:i/>
        </w:rPr>
        <w:t>Hili</w:t>
      </w:r>
      <w:proofErr w:type="spellEnd"/>
      <w:r w:rsidRPr="00706393">
        <w:rPr>
          <w:i/>
        </w:rPr>
        <w:t xml:space="preserve"> </w:t>
      </w:r>
      <w:r w:rsidRPr="00515F75">
        <w:t>at [54])</w:t>
      </w:r>
      <w:r w:rsidR="00897ACE">
        <w:t>.</w:t>
      </w:r>
    </w:p>
    <w:p w:rsidR="0044362C" w:rsidRPr="00706393" w:rsidRDefault="007B7D34" w:rsidP="00DA035F">
      <w:pPr>
        <w:pStyle w:val="ParaNumbering"/>
      </w:pPr>
      <w:r>
        <w:t>I</w:t>
      </w:r>
      <w:r w:rsidRPr="00F17E34">
        <w:t xml:space="preserve">n </w:t>
      </w:r>
      <w:r w:rsidRPr="00706393">
        <w:rPr>
          <w:i/>
          <w:iCs/>
          <w:bdr w:val="none" w:sz="0" w:space="0" w:color="auto" w:frame="1"/>
          <w:shd w:val="clear" w:color="auto" w:fill="FFFFFF"/>
        </w:rPr>
        <w:t>Gallagher v Durack</w:t>
      </w:r>
      <w:r w:rsidRPr="00706393">
        <w:rPr>
          <w:bdr w:val="none" w:sz="0" w:space="0" w:color="auto" w:frame="1"/>
          <w:shd w:val="clear" w:color="auto" w:fill="FFFFFF"/>
        </w:rPr>
        <w:t> </w:t>
      </w:r>
      <w:r w:rsidR="00586950" w:rsidRPr="00F17E34">
        <w:rPr>
          <w:bdr w:val="none" w:sz="0" w:space="0" w:color="auto" w:frame="1"/>
          <w:shd w:val="clear" w:color="auto" w:fill="FFFFFF"/>
        </w:rPr>
        <w:t xml:space="preserve">[1983] HCA 2; </w:t>
      </w:r>
      <w:r w:rsidRPr="00706393">
        <w:rPr>
          <w:bdr w:val="none" w:sz="0" w:space="0" w:color="auto" w:frame="1"/>
          <w:shd w:val="clear" w:color="auto" w:fill="FFFFFF"/>
        </w:rPr>
        <w:t>(1983) 152 CLR 238</w:t>
      </w:r>
      <w:r w:rsidR="008F147A" w:rsidRPr="00F17E34">
        <w:rPr>
          <w:bdr w:val="none" w:sz="0" w:space="0" w:color="auto" w:frame="1"/>
          <w:shd w:val="clear" w:color="auto" w:fill="FFFFFF"/>
        </w:rPr>
        <w:t xml:space="preserve"> (</w:t>
      </w:r>
      <w:r w:rsidR="008F147A" w:rsidRPr="00706393">
        <w:rPr>
          <w:b/>
          <w:i/>
          <w:color w:val="000000"/>
          <w:szCs w:val="24"/>
          <w:bdr w:val="none" w:sz="0" w:space="0" w:color="auto" w:frame="1"/>
          <w:shd w:val="clear" w:color="auto" w:fill="FFFFFF"/>
        </w:rPr>
        <w:t>Gallagher</w:t>
      </w:r>
      <w:r w:rsidR="008F147A" w:rsidRPr="00F17E34">
        <w:rPr>
          <w:bdr w:val="none" w:sz="0" w:space="0" w:color="auto" w:frame="1"/>
          <w:shd w:val="clear" w:color="auto" w:fill="FFFFFF"/>
        </w:rPr>
        <w:t>)</w:t>
      </w:r>
      <w:r w:rsidRPr="00F17E34">
        <w:rPr>
          <w:bdr w:val="none" w:sz="0" w:space="0" w:color="auto" w:frame="1"/>
          <w:shd w:val="clear" w:color="auto" w:fill="FFFFFF"/>
        </w:rPr>
        <w:t xml:space="preserve">, </w:t>
      </w:r>
      <w:r w:rsidR="00586950" w:rsidRPr="00F17E34">
        <w:rPr>
          <w:bdr w:val="none" w:sz="0" w:space="0" w:color="auto" w:frame="1"/>
          <w:shd w:val="clear" w:color="auto" w:fill="FFFFFF"/>
        </w:rPr>
        <w:t>the</w:t>
      </w:r>
      <w:r w:rsidR="003419D9" w:rsidRPr="00F17E34">
        <w:rPr>
          <w:bdr w:val="none" w:sz="0" w:space="0" w:color="auto" w:frame="1"/>
          <w:shd w:val="clear" w:color="auto" w:fill="FFFFFF"/>
        </w:rPr>
        <w:t xml:space="preserve"> contemnor was sentenced to </w:t>
      </w:r>
      <w:r w:rsidR="00A86BBE" w:rsidRPr="00F17E34">
        <w:rPr>
          <w:bdr w:val="none" w:sz="0" w:space="0" w:color="auto" w:frame="1"/>
          <w:shd w:val="clear" w:color="auto" w:fill="FFFFFF"/>
        </w:rPr>
        <w:t xml:space="preserve">a term of three months’ imprisonment for </w:t>
      </w:r>
      <w:r w:rsidR="00480807" w:rsidRPr="00F17E34">
        <w:rPr>
          <w:bdr w:val="none" w:sz="0" w:space="0" w:color="auto" w:frame="1"/>
          <w:shd w:val="clear" w:color="auto" w:fill="FFFFFF"/>
        </w:rPr>
        <w:t xml:space="preserve">one charge of </w:t>
      </w:r>
      <w:r w:rsidR="00A86BBE" w:rsidRPr="00F17E34">
        <w:rPr>
          <w:bdr w:val="none" w:sz="0" w:space="0" w:color="auto" w:frame="1"/>
          <w:shd w:val="clear" w:color="auto" w:fill="FFFFFF"/>
        </w:rPr>
        <w:t xml:space="preserve">contempt </w:t>
      </w:r>
      <w:r w:rsidR="008F5801" w:rsidRPr="00F17E34">
        <w:rPr>
          <w:bdr w:val="none" w:sz="0" w:space="0" w:color="auto" w:frame="1"/>
          <w:shd w:val="clear" w:color="auto" w:fill="FFFFFF"/>
        </w:rPr>
        <w:t>of the kind that</w:t>
      </w:r>
      <w:r w:rsidR="00A86BBE" w:rsidRPr="00F17E34">
        <w:rPr>
          <w:bdr w:val="none" w:sz="0" w:space="0" w:color="auto" w:frame="1"/>
          <w:shd w:val="clear" w:color="auto" w:fill="FFFFFF"/>
        </w:rPr>
        <w:t xml:space="preserve"> scandalised the Court</w:t>
      </w:r>
      <w:r w:rsidR="0053206A" w:rsidRPr="00F17E34">
        <w:rPr>
          <w:bdr w:val="none" w:sz="0" w:space="0" w:color="auto" w:frame="1"/>
          <w:shd w:val="clear" w:color="auto" w:fill="FFFFFF"/>
        </w:rPr>
        <w:t>.  The</w:t>
      </w:r>
      <w:r w:rsidR="00273D9B" w:rsidRPr="00F17E34">
        <w:rPr>
          <w:bdr w:val="none" w:sz="0" w:space="0" w:color="auto" w:frame="1"/>
          <w:shd w:val="clear" w:color="auto" w:fill="FFFFFF"/>
        </w:rPr>
        <w:t xml:space="preserve"> contemnor </w:t>
      </w:r>
      <w:r w:rsidR="0053206A" w:rsidRPr="00F17E34">
        <w:rPr>
          <w:bdr w:val="none" w:sz="0" w:space="0" w:color="auto" w:frame="1"/>
          <w:shd w:val="clear" w:color="auto" w:fill="FFFFFF"/>
        </w:rPr>
        <w:t xml:space="preserve">in that case </w:t>
      </w:r>
      <w:r w:rsidR="00273D9B" w:rsidRPr="00F17E34">
        <w:rPr>
          <w:bdr w:val="none" w:sz="0" w:space="0" w:color="auto" w:frame="1"/>
          <w:shd w:val="clear" w:color="auto" w:fill="FFFFFF"/>
        </w:rPr>
        <w:t>suggested that the Court was not independent</w:t>
      </w:r>
      <w:r w:rsidR="001A7236" w:rsidRPr="00F17E34">
        <w:rPr>
          <w:bdr w:val="none" w:sz="0" w:space="0" w:color="auto" w:frame="1"/>
          <w:shd w:val="clear" w:color="auto" w:fill="FFFFFF"/>
        </w:rPr>
        <w:t>.</w:t>
      </w:r>
      <w:r w:rsidR="0053206A" w:rsidRPr="00F17E34">
        <w:rPr>
          <w:bdr w:val="none" w:sz="0" w:space="0" w:color="auto" w:frame="1"/>
          <w:shd w:val="clear" w:color="auto" w:fill="FFFFFF"/>
        </w:rPr>
        <w:t xml:space="preserve"> </w:t>
      </w:r>
      <w:r w:rsidR="005A3247" w:rsidRPr="00F17E34">
        <w:rPr>
          <w:bdr w:val="none" w:sz="0" w:space="0" w:color="auto" w:frame="1"/>
          <w:shd w:val="clear" w:color="auto" w:fill="FFFFFF"/>
        </w:rPr>
        <w:t xml:space="preserve"> </w:t>
      </w:r>
      <w:r w:rsidR="005A3247" w:rsidRPr="00F17E34">
        <w:rPr>
          <w:color w:val="000000"/>
          <w:szCs w:val="24"/>
          <w:bdr w:val="none" w:sz="0" w:space="0" w:color="auto" w:frame="1"/>
          <w:shd w:val="clear" w:color="auto" w:fill="FFFFFF"/>
        </w:rPr>
        <w:t>Comparatively in this case, the applicant state</w:t>
      </w:r>
      <w:r w:rsidR="000F0B09" w:rsidRPr="00F17E34">
        <w:rPr>
          <w:color w:val="000000"/>
          <w:szCs w:val="24"/>
          <w:bdr w:val="none" w:sz="0" w:space="0" w:color="auto" w:frame="1"/>
          <w:shd w:val="clear" w:color="auto" w:fill="FFFFFF"/>
        </w:rPr>
        <w:t>d</w:t>
      </w:r>
      <w:r w:rsidR="005A3247" w:rsidRPr="00F17E34">
        <w:rPr>
          <w:color w:val="000000"/>
          <w:szCs w:val="24"/>
          <w:bdr w:val="none" w:sz="0" w:space="0" w:color="auto" w:frame="1"/>
          <w:shd w:val="clear" w:color="auto" w:fill="FFFFFF"/>
        </w:rPr>
        <w:t xml:space="preserve"> that the judicia</w:t>
      </w:r>
      <w:r w:rsidR="000F0B09" w:rsidRPr="00F17E34">
        <w:rPr>
          <w:color w:val="000000"/>
          <w:szCs w:val="24"/>
          <w:bdr w:val="none" w:sz="0" w:space="0" w:color="auto" w:frame="1"/>
          <w:shd w:val="clear" w:color="auto" w:fill="FFFFFF"/>
        </w:rPr>
        <w:t>ry is not independent from the E</w:t>
      </w:r>
      <w:r w:rsidR="005A3247" w:rsidRPr="00F17E34">
        <w:rPr>
          <w:color w:val="000000"/>
          <w:szCs w:val="24"/>
          <w:bdr w:val="none" w:sz="0" w:space="0" w:color="auto" w:frame="1"/>
          <w:shd w:val="clear" w:color="auto" w:fill="FFFFFF"/>
        </w:rPr>
        <w:t xml:space="preserve">xecutive arm of </w:t>
      </w:r>
      <w:r w:rsidR="000F0B09" w:rsidRPr="00F17E34">
        <w:rPr>
          <w:color w:val="000000"/>
          <w:szCs w:val="24"/>
          <w:bdr w:val="none" w:sz="0" w:space="0" w:color="auto" w:frame="1"/>
          <w:shd w:val="clear" w:color="auto" w:fill="FFFFFF"/>
        </w:rPr>
        <w:t xml:space="preserve">the </w:t>
      </w:r>
      <w:r w:rsidR="005A3247" w:rsidRPr="00F17E34">
        <w:rPr>
          <w:color w:val="000000"/>
          <w:szCs w:val="24"/>
          <w:bdr w:val="none" w:sz="0" w:space="0" w:color="auto" w:frame="1"/>
          <w:shd w:val="clear" w:color="auto" w:fill="FFFFFF"/>
        </w:rPr>
        <w:t xml:space="preserve">government and that not only </w:t>
      </w:r>
      <w:r w:rsidR="000F0B09" w:rsidRPr="00F17E34">
        <w:rPr>
          <w:color w:val="000000"/>
          <w:szCs w:val="24"/>
          <w:bdr w:val="none" w:sz="0" w:space="0" w:color="auto" w:frame="1"/>
          <w:shd w:val="clear" w:color="auto" w:fill="FFFFFF"/>
        </w:rPr>
        <w:t>can the Executive control the Court,</w:t>
      </w:r>
      <w:r w:rsidR="005A3247" w:rsidRPr="00F17E34">
        <w:rPr>
          <w:color w:val="000000"/>
          <w:szCs w:val="24"/>
          <w:bdr w:val="none" w:sz="0" w:space="0" w:color="auto" w:frame="1"/>
          <w:shd w:val="clear" w:color="auto" w:fill="FFFFFF"/>
        </w:rPr>
        <w:t xml:space="preserve"> but </w:t>
      </w:r>
      <w:r w:rsidR="000F0B09" w:rsidRPr="00F17E34">
        <w:rPr>
          <w:color w:val="000000"/>
          <w:szCs w:val="24"/>
          <w:bdr w:val="none" w:sz="0" w:space="0" w:color="auto" w:frame="1"/>
          <w:shd w:val="clear" w:color="auto" w:fill="FFFFFF"/>
        </w:rPr>
        <w:t xml:space="preserve">that </w:t>
      </w:r>
      <w:r w:rsidR="005A3247" w:rsidRPr="00F17E34">
        <w:rPr>
          <w:color w:val="000000"/>
          <w:szCs w:val="24"/>
          <w:bdr w:val="none" w:sz="0" w:space="0" w:color="auto" w:frame="1"/>
          <w:shd w:val="clear" w:color="auto" w:fill="FFFFFF"/>
        </w:rPr>
        <w:t xml:space="preserve">the Courts are actively engaged in a conspiracy to protect </w:t>
      </w:r>
      <w:r w:rsidR="008A30EF">
        <w:rPr>
          <w:color w:val="000000"/>
          <w:szCs w:val="24"/>
          <w:bdr w:val="none" w:sz="0" w:space="0" w:color="auto" w:frame="1"/>
          <w:shd w:val="clear" w:color="auto" w:fill="FFFFFF"/>
        </w:rPr>
        <w:t>i</w:t>
      </w:r>
      <w:r w:rsidR="005A3247" w:rsidRPr="00F17E34">
        <w:rPr>
          <w:color w:val="000000"/>
          <w:szCs w:val="24"/>
          <w:bdr w:val="none" w:sz="0" w:space="0" w:color="auto" w:frame="1"/>
          <w:shd w:val="clear" w:color="auto" w:fill="FFFFFF"/>
        </w:rPr>
        <w:t xml:space="preserve">t.  This is a far more serious accusation than that voiced </w:t>
      </w:r>
      <w:r w:rsidR="003B45FF">
        <w:rPr>
          <w:color w:val="000000"/>
          <w:szCs w:val="24"/>
          <w:bdr w:val="none" w:sz="0" w:space="0" w:color="auto" w:frame="1"/>
          <w:shd w:val="clear" w:color="auto" w:fill="FFFFFF"/>
        </w:rPr>
        <w:t xml:space="preserve">by the contemnor </w:t>
      </w:r>
      <w:r w:rsidR="005A3247" w:rsidRPr="00F17E34">
        <w:rPr>
          <w:color w:val="000000"/>
          <w:szCs w:val="24"/>
          <w:bdr w:val="none" w:sz="0" w:space="0" w:color="auto" w:frame="1"/>
          <w:shd w:val="clear" w:color="auto" w:fill="FFFFFF"/>
        </w:rPr>
        <w:t xml:space="preserve">in </w:t>
      </w:r>
      <w:r w:rsidR="005A3247" w:rsidRPr="00706393">
        <w:rPr>
          <w:i/>
          <w:color w:val="000000"/>
          <w:szCs w:val="24"/>
          <w:bdr w:val="none" w:sz="0" w:space="0" w:color="auto" w:frame="1"/>
          <w:shd w:val="clear" w:color="auto" w:fill="FFFFFF"/>
        </w:rPr>
        <w:t>Gallagher</w:t>
      </w:r>
      <w:r w:rsidR="005A3247" w:rsidRPr="00F17E34">
        <w:rPr>
          <w:color w:val="000000"/>
          <w:szCs w:val="24"/>
          <w:bdr w:val="none" w:sz="0" w:space="0" w:color="auto" w:frame="1"/>
          <w:shd w:val="clear" w:color="auto" w:fill="FFFFFF"/>
        </w:rPr>
        <w:t>.</w:t>
      </w:r>
      <w:r w:rsidR="005A3247" w:rsidRPr="00F17E34">
        <w:rPr>
          <w:bdr w:val="none" w:sz="0" w:space="0" w:color="auto" w:frame="1"/>
          <w:shd w:val="clear" w:color="auto" w:fill="FFFFFF"/>
        </w:rPr>
        <w:t xml:space="preserve"> </w:t>
      </w:r>
    </w:p>
    <w:p w:rsidR="00A9446E" w:rsidRPr="00F17E34" w:rsidRDefault="007A613E" w:rsidP="006E2BD6">
      <w:pPr>
        <w:pStyle w:val="ParaNumbering"/>
      </w:pPr>
      <w:r w:rsidRPr="00F17E34">
        <w:t>I</w:t>
      </w:r>
      <w:r w:rsidRPr="00F17E34">
        <w:rPr>
          <w:szCs w:val="24"/>
        </w:rPr>
        <w:t>n</w:t>
      </w:r>
      <w:r w:rsidR="00880772" w:rsidRPr="00706393">
        <w:rPr>
          <w:i/>
        </w:rPr>
        <w:t> </w:t>
      </w:r>
      <w:proofErr w:type="spellStart"/>
      <w:r w:rsidR="00880772" w:rsidRPr="00706393">
        <w:rPr>
          <w:i/>
        </w:rPr>
        <w:t>Kazal</w:t>
      </w:r>
      <w:proofErr w:type="spellEnd"/>
      <w:r w:rsidR="007D479E" w:rsidRPr="00F17E34">
        <w:rPr>
          <w:i/>
        </w:rPr>
        <w:t xml:space="preserve"> v Thunder Studios </w:t>
      </w:r>
      <w:proofErr w:type="spellStart"/>
      <w:r w:rsidR="007D479E" w:rsidRPr="00F17E34">
        <w:rPr>
          <w:i/>
        </w:rPr>
        <w:t>Inc</w:t>
      </w:r>
      <w:proofErr w:type="spellEnd"/>
      <w:r w:rsidR="007D479E" w:rsidRPr="00F17E34">
        <w:rPr>
          <w:i/>
        </w:rPr>
        <w:t xml:space="preserve"> (California) </w:t>
      </w:r>
      <w:r w:rsidR="007D479E" w:rsidRPr="00F17E34">
        <w:t>[2017] FCAFC 111</w:t>
      </w:r>
      <w:r w:rsidR="00A21EB9">
        <w:t>; (2017) 256 FCR 90</w:t>
      </w:r>
      <w:r w:rsidR="002B671D" w:rsidRPr="00F17E34">
        <w:t xml:space="preserve">, </w:t>
      </w:r>
      <w:r w:rsidR="00880772" w:rsidRPr="00F17E34">
        <w:t xml:space="preserve">the contemnor was sentenced to </w:t>
      </w:r>
      <w:r w:rsidR="00AC75B3" w:rsidRPr="00F17E34">
        <w:t xml:space="preserve">serve a </w:t>
      </w:r>
      <w:r w:rsidR="00474887" w:rsidRPr="00F17E34">
        <w:t>total of 15 months</w:t>
      </w:r>
      <w:r w:rsidR="00AC75B3" w:rsidRPr="00F17E34">
        <w:t xml:space="preserve"> imprisonment in relation to </w:t>
      </w:r>
      <w:r w:rsidR="00CA718D" w:rsidRPr="00F17E34">
        <w:t>four</w:t>
      </w:r>
      <w:r w:rsidR="00AC75B3" w:rsidRPr="00F17E34">
        <w:t xml:space="preserve"> charges of contempt</w:t>
      </w:r>
      <w:r w:rsidR="002B205A" w:rsidRPr="00F17E34">
        <w:t>,</w:t>
      </w:r>
      <w:r w:rsidR="00FA7996" w:rsidRPr="00F17E34">
        <w:t xml:space="preserve"> including publishing prohibited material on his fleet of vans as well as online</w:t>
      </w:r>
      <w:r w:rsidR="005861CE" w:rsidRPr="00F17E34">
        <w:t xml:space="preserve">.  </w:t>
      </w:r>
      <w:r w:rsidR="006573A8" w:rsidRPr="00F17E34">
        <w:t xml:space="preserve"> </w:t>
      </w:r>
    </w:p>
    <w:p w:rsidR="00276C17" w:rsidRPr="00F17E34" w:rsidRDefault="00276C17" w:rsidP="006E2BD6">
      <w:pPr>
        <w:pStyle w:val="ParaNumbering"/>
      </w:pPr>
      <w:r w:rsidRPr="00F17E34">
        <w:t xml:space="preserve">In </w:t>
      </w:r>
      <w:proofErr w:type="spellStart"/>
      <w:r w:rsidRPr="00F17E34">
        <w:rPr>
          <w:i/>
        </w:rPr>
        <w:t>Vaysman</w:t>
      </w:r>
      <w:proofErr w:type="spellEnd"/>
      <w:r w:rsidRPr="00F17E34">
        <w:t xml:space="preserve"> at [137], the</w:t>
      </w:r>
      <w:r w:rsidR="00DC0A65" w:rsidRPr="00F17E34">
        <w:t xml:space="preserve"> contemnor, among other charges of contempt, was found guilty of manufacturing and selling counterfeit footwear in contrary to Court orders. </w:t>
      </w:r>
      <w:r w:rsidRPr="00F17E34">
        <w:t xml:space="preserve"> </w:t>
      </w:r>
      <w:r w:rsidR="00D942B9" w:rsidRPr="00F17E34">
        <w:t xml:space="preserve">Besanko J, with whom </w:t>
      </w:r>
      <w:proofErr w:type="spellStart"/>
      <w:r w:rsidR="00D942B9" w:rsidRPr="00F17E34">
        <w:t>Siopsis</w:t>
      </w:r>
      <w:proofErr w:type="spellEnd"/>
      <w:r w:rsidR="00D942B9" w:rsidRPr="00F17E34">
        <w:t xml:space="preserve"> J agreed</w:t>
      </w:r>
      <w:r w:rsidRPr="00F17E34">
        <w:t xml:space="preserve"> found that a sentence of three years imprisonment </w:t>
      </w:r>
      <w:r w:rsidR="00196F18" w:rsidRPr="00F17E34">
        <w:t xml:space="preserve">was manifestly excessive, and </w:t>
      </w:r>
      <w:r w:rsidR="00D942B9" w:rsidRPr="00F17E34">
        <w:t>the contemnor</w:t>
      </w:r>
      <w:r w:rsidR="00E1173D">
        <w:t>’</w:t>
      </w:r>
      <w:r w:rsidR="00D942B9" w:rsidRPr="00F17E34">
        <w:t>s sentence was then</w:t>
      </w:r>
      <w:r w:rsidR="00196F18" w:rsidRPr="00F17E34">
        <w:t xml:space="preserve"> reduced </w:t>
      </w:r>
      <w:r w:rsidR="00D942B9" w:rsidRPr="00F17E34">
        <w:t>to</w:t>
      </w:r>
      <w:r w:rsidR="00196F18" w:rsidRPr="00F17E34">
        <w:t xml:space="preserve"> two years imprisonment.</w:t>
      </w:r>
    </w:p>
    <w:p w:rsidR="004C5185" w:rsidRPr="00706393" w:rsidRDefault="00891BF7" w:rsidP="00706A9B">
      <w:pPr>
        <w:pStyle w:val="ParaNumbering"/>
        <w:rPr>
          <w:szCs w:val="24"/>
        </w:rPr>
      </w:pPr>
      <w:r w:rsidRPr="00706393">
        <w:rPr>
          <w:color w:val="000000"/>
          <w:szCs w:val="24"/>
          <w:bdr w:val="none" w:sz="0" w:space="0" w:color="auto" w:frame="1"/>
          <w:shd w:val="clear" w:color="auto" w:fill="FFFFFF"/>
        </w:rPr>
        <w:lastRenderedPageBreak/>
        <w:t> In </w:t>
      </w:r>
      <w:r w:rsidRPr="00706393">
        <w:rPr>
          <w:i/>
          <w:iCs/>
          <w:color w:val="000000"/>
          <w:szCs w:val="24"/>
          <w:bdr w:val="none" w:sz="0" w:space="0" w:color="auto" w:frame="1"/>
          <w:shd w:val="clear" w:color="auto" w:fill="FFFFFF"/>
        </w:rPr>
        <w:t xml:space="preserve">Jones v </w:t>
      </w:r>
      <w:proofErr w:type="spellStart"/>
      <w:r w:rsidRPr="00706393">
        <w:rPr>
          <w:i/>
          <w:iCs/>
          <w:color w:val="000000"/>
          <w:szCs w:val="24"/>
          <w:bdr w:val="none" w:sz="0" w:space="0" w:color="auto" w:frame="1"/>
          <w:shd w:val="clear" w:color="auto" w:fill="FFFFFF"/>
        </w:rPr>
        <w:t>Toben</w:t>
      </w:r>
      <w:proofErr w:type="spellEnd"/>
      <w:r w:rsidRPr="00706393">
        <w:rPr>
          <w:i/>
          <w:iCs/>
          <w:color w:val="000000"/>
          <w:szCs w:val="24"/>
          <w:bdr w:val="none" w:sz="0" w:space="0" w:color="auto" w:frame="1"/>
          <w:shd w:val="clear" w:color="auto" w:fill="FFFFFF"/>
        </w:rPr>
        <w:t xml:space="preserve"> (No 2) </w:t>
      </w:r>
      <w:r w:rsidRPr="00706393">
        <w:rPr>
          <w:color w:val="000000"/>
          <w:szCs w:val="24"/>
          <w:bdr w:val="none" w:sz="0" w:space="0" w:color="auto" w:frame="1"/>
          <w:shd w:val="clear" w:color="auto" w:fill="FFFFFF"/>
        </w:rPr>
        <w:t xml:space="preserve">[2009] FCA 477, Lander J imposed a sentence of three </w:t>
      </w:r>
      <w:proofErr w:type="spellStart"/>
      <w:r w:rsidRPr="00706393">
        <w:rPr>
          <w:color w:val="000000"/>
          <w:szCs w:val="24"/>
          <w:bdr w:val="none" w:sz="0" w:space="0" w:color="auto" w:frame="1"/>
          <w:shd w:val="clear" w:color="auto" w:fill="FFFFFF"/>
        </w:rPr>
        <w:t>months</w:t>
      </w:r>
      <w:proofErr w:type="spellEnd"/>
      <w:r w:rsidRPr="00706393">
        <w:rPr>
          <w:color w:val="000000"/>
          <w:szCs w:val="24"/>
          <w:bdr w:val="none" w:sz="0" w:space="0" w:color="auto" w:frame="1"/>
          <w:shd w:val="clear" w:color="auto" w:fill="FFFFFF"/>
        </w:rPr>
        <w:t xml:space="preserve"> imprisonment on a respondent who had committed a wilfu</w:t>
      </w:r>
      <w:r w:rsidR="002B205A">
        <w:rPr>
          <w:color w:val="000000"/>
          <w:szCs w:val="24"/>
          <w:bdr w:val="none" w:sz="0" w:space="0" w:color="auto" w:frame="1"/>
          <w:shd w:val="clear" w:color="auto" w:fill="FFFFFF"/>
        </w:rPr>
        <w:t>l and contumacious contempt of C</w:t>
      </w:r>
      <w:r w:rsidRPr="00706393">
        <w:rPr>
          <w:color w:val="000000"/>
          <w:szCs w:val="24"/>
          <w:bdr w:val="none" w:sz="0" w:space="0" w:color="auto" w:frame="1"/>
          <w:shd w:val="clear" w:color="auto" w:fill="FFFFFF"/>
        </w:rPr>
        <w:t>ourt on 24 occasions by publishing material</w:t>
      </w:r>
      <w:r w:rsidR="005C4285" w:rsidRPr="004C5185">
        <w:rPr>
          <w:color w:val="000000"/>
          <w:szCs w:val="24"/>
          <w:bdr w:val="none" w:sz="0" w:space="0" w:color="auto" w:frame="1"/>
          <w:shd w:val="clear" w:color="auto" w:fill="FFFFFF"/>
        </w:rPr>
        <w:t xml:space="preserve"> on the internet that was</w:t>
      </w:r>
      <w:r w:rsidRPr="00706393">
        <w:rPr>
          <w:color w:val="000000"/>
          <w:szCs w:val="24"/>
          <w:bdr w:val="none" w:sz="0" w:space="0" w:color="auto" w:frame="1"/>
          <w:shd w:val="clear" w:color="auto" w:fill="FFFFFF"/>
        </w:rPr>
        <w:t xml:space="preserve"> in breach of </w:t>
      </w:r>
      <w:r w:rsidR="00845CD4">
        <w:rPr>
          <w:color w:val="000000"/>
          <w:szCs w:val="24"/>
          <w:bdr w:val="none" w:sz="0" w:space="0" w:color="auto" w:frame="1"/>
          <w:shd w:val="clear" w:color="auto" w:fill="FFFFFF"/>
        </w:rPr>
        <w:t>C</w:t>
      </w:r>
      <w:r w:rsidRPr="00706393">
        <w:rPr>
          <w:color w:val="000000"/>
          <w:szCs w:val="24"/>
          <w:bdr w:val="none" w:sz="0" w:space="0" w:color="auto" w:frame="1"/>
          <w:shd w:val="clear" w:color="auto" w:fill="FFFFFF"/>
        </w:rPr>
        <w:t xml:space="preserve">ourt orders and of an undertaking given to the Court. </w:t>
      </w:r>
    </w:p>
    <w:p w:rsidR="00CA5C1E" w:rsidRDefault="00A22874">
      <w:pPr>
        <w:pStyle w:val="ParaNumbering"/>
      </w:pPr>
      <w:r>
        <w:t xml:space="preserve">Having regard to </w:t>
      </w:r>
      <w:r w:rsidR="001A7236">
        <w:t xml:space="preserve">the </w:t>
      </w:r>
      <w:r w:rsidR="00F578E4">
        <w:t xml:space="preserve">sentences imposed by this Court in the </w:t>
      </w:r>
      <w:r w:rsidR="00F538D4">
        <w:t xml:space="preserve">above </w:t>
      </w:r>
      <w:r w:rsidR="001A7236">
        <w:t>authorities</w:t>
      </w:r>
      <w:r w:rsidR="00F538D4">
        <w:t>,</w:t>
      </w:r>
      <w:r w:rsidR="001A7236">
        <w:t xml:space="preserve"> the sentencing judge</w:t>
      </w:r>
      <w:r w:rsidR="00F47BA0">
        <w:t xml:space="preserve">, in sentencing the applicant to a total of </w:t>
      </w:r>
      <w:r w:rsidR="00891BF7">
        <w:t>nine</w:t>
      </w:r>
      <w:r w:rsidR="00F47BA0">
        <w:t xml:space="preserve"> </w:t>
      </w:r>
      <w:r w:rsidR="00CF2B0F">
        <w:t>months’</w:t>
      </w:r>
      <w:r w:rsidR="00F47BA0">
        <w:t xml:space="preserve"> imprisonment in relation to</w:t>
      </w:r>
      <w:r w:rsidR="007928A8" w:rsidRPr="007928A8">
        <w:t xml:space="preserve"> </w:t>
      </w:r>
      <w:r w:rsidR="007928A8">
        <w:t xml:space="preserve">each of the four </w:t>
      </w:r>
      <w:proofErr w:type="spellStart"/>
      <w:r w:rsidR="007928A8">
        <w:t>contempts</w:t>
      </w:r>
      <w:proofErr w:type="spellEnd"/>
      <w:r w:rsidR="007928A8">
        <w:t xml:space="preserve"> </w:t>
      </w:r>
      <w:r w:rsidR="00B8310A">
        <w:t>is consistent with the kinds of sentences</w:t>
      </w:r>
      <w:r w:rsidR="00003AF7">
        <w:t xml:space="preserve"> that </w:t>
      </w:r>
      <w:r w:rsidR="00F538D4">
        <w:t>have</w:t>
      </w:r>
      <w:r w:rsidR="00003AF7">
        <w:t xml:space="preserve"> be</w:t>
      </w:r>
      <w:r w:rsidR="00F538D4">
        <w:t>en</w:t>
      </w:r>
      <w:r w:rsidR="00003AF7">
        <w:t xml:space="preserve"> imposed</w:t>
      </w:r>
      <w:r w:rsidR="00F538D4">
        <w:t xml:space="preserve"> </w:t>
      </w:r>
      <w:r w:rsidR="00D453BC">
        <w:t>in comparable cases within this</w:t>
      </w:r>
      <w:r w:rsidR="00F538D4">
        <w:t xml:space="preserve"> Court</w:t>
      </w:r>
      <w:r w:rsidR="00D453BC">
        <w:t>.</w:t>
      </w:r>
    </w:p>
    <w:p w:rsidR="0091347B" w:rsidRDefault="0091347B" w:rsidP="00444AFC">
      <w:pPr>
        <w:pStyle w:val="ParaNumbering"/>
      </w:pPr>
      <w:r>
        <w:t>I am satisfied that there is no demonstrated error in the manner in which the sentencing judge exercised his discretion.  I am satisfied that the substantive appeal has no reasonable prospects of success and that leave for an extension of time in which to file the notice of appeal should be refused.</w:t>
      </w:r>
    </w:p>
    <w:p w:rsidR="0091347B" w:rsidRDefault="0091347B" w:rsidP="00160504">
      <w:pPr>
        <w:pStyle w:val="Heading1"/>
      </w:pPr>
      <w:r>
        <w:t>proposed ground 2</w:t>
      </w:r>
    </w:p>
    <w:p w:rsidR="0091347B" w:rsidRDefault="0041526A">
      <w:pPr>
        <w:pStyle w:val="ParaNumbering"/>
      </w:pPr>
      <w:r>
        <w:t xml:space="preserve">By this proposed ground of appeal, the applicant contends that the sentencing judge failed to distinguish between civil and criminal contempt.  This ground of appeal is completely without merit.  Whilst contempt can be characterised as either civil or criminal, the sentencing judge determined that all four charges were criminal contempt.  That much is plain from the sentencing judge’s reasons in </w:t>
      </w:r>
      <w:r>
        <w:rPr>
          <w:i/>
        </w:rPr>
        <w:t xml:space="preserve">Ferguson v </w:t>
      </w:r>
      <w:proofErr w:type="spellStart"/>
      <w:r>
        <w:rPr>
          <w:i/>
        </w:rPr>
        <w:t>Dallow</w:t>
      </w:r>
      <w:proofErr w:type="spellEnd"/>
      <w:r>
        <w:rPr>
          <w:i/>
        </w:rPr>
        <w:t xml:space="preserve"> (No 3)</w:t>
      </w:r>
      <w:r>
        <w:t xml:space="preserve"> at [54]-[57] where the sentencing judge found that the first and second charges were criminal because of the applicant’s deliberate and intentional breach of the court orders.  The sentencing judge also found that charges 3 and 4 were criminal contempt in </w:t>
      </w:r>
      <w:r w:rsidR="00444249">
        <w:rPr>
          <w:i/>
        </w:rPr>
        <w:t>Fergu</w:t>
      </w:r>
      <w:r w:rsidRPr="0041526A">
        <w:rPr>
          <w:i/>
        </w:rPr>
        <w:t xml:space="preserve">son v </w:t>
      </w:r>
      <w:proofErr w:type="spellStart"/>
      <w:r w:rsidRPr="0041526A">
        <w:rPr>
          <w:i/>
        </w:rPr>
        <w:t>Dallow</w:t>
      </w:r>
      <w:proofErr w:type="spellEnd"/>
      <w:r w:rsidRPr="0041526A">
        <w:rPr>
          <w:i/>
        </w:rPr>
        <w:t xml:space="preserve"> (No 4)</w:t>
      </w:r>
      <w:r>
        <w:t xml:space="preserve"> at [13]-[16].   The applicant prior to the sentencing hearing was on notice that the four </w:t>
      </w:r>
      <w:proofErr w:type="spellStart"/>
      <w:r>
        <w:t>contempts</w:t>
      </w:r>
      <w:proofErr w:type="spellEnd"/>
      <w:r>
        <w:t xml:space="preserve"> had been found to be criminal in nature by reason of </w:t>
      </w:r>
      <w:proofErr w:type="spellStart"/>
      <w:r w:rsidRPr="0041526A">
        <w:rPr>
          <w:i/>
        </w:rPr>
        <w:t>Dallow</w:t>
      </w:r>
      <w:proofErr w:type="spellEnd"/>
      <w:r w:rsidRPr="0041526A">
        <w:rPr>
          <w:i/>
        </w:rPr>
        <w:t xml:space="preserve"> (No 3)</w:t>
      </w:r>
      <w:r>
        <w:t xml:space="preserve"> and </w:t>
      </w:r>
      <w:proofErr w:type="spellStart"/>
      <w:r w:rsidRPr="0041526A">
        <w:rPr>
          <w:i/>
        </w:rPr>
        <w:t>Dallow</w:t>
      </w:r>
      <w:proofErr w:type="spellEnd"/>
      <w:r w:rsidRPr="0041526A">
        <w:rPr>
          <w:i/>
        </w:rPr>
        <w:t xml:space="preserve"> (No 4)</w:t>
      </w:r>
      <w:r>
        <w:t xml:space="preserve"> and as a consequence of the respondent’s sentencing submissions at [3].</w:t>
      </w:r>
    </w:p>
    <w:p w:rsidR="0041526A" w:rsidRDefault="0041526A">
      <w:pPr>
        <w:pStyle w:val="ParaNumbering"/>
      </w:pPr>
      <w:r>
        <w:t>This proposed ground has no reasonable prospect of success.</w:t>
      </w:r>
    </w:p>
    <w:p w:rsidR="0091347B" w:rsidRDefault="0091347B" w:rsidP="00160504">
      <w:pPr>
        <w:pStyle w:val="Heading1"/>
      </w:pPr>
      <w:r>
        <w:t>proposed ground 3</w:t>
      </w:r>
    </w:p>
    <w:p w:rsidR="0091347B" w:rsidRDefault="0041526A">
      <w:pPr>
        <w:pStyle w:val="ParaNumbering"/>
      </w:pPr>
      <w:r>
        <w:t xml:space="preserve">By this proposed ground of appeal, the applicant contends that the sentencing judge erred in overstating the seriousness of each of the </w:t>
      </w:r>
      <w:proofErr w:type="spellStart"/>
      <w:r>
        <w:t>contempts</w:t>
      </w:r>
      <w:proofErr w:type="spellEnd"/>
      <w:r>
        <w:t xml:space="preserve">.  The applicant submits that because </w:t>
      </w:r>
      <w:r w:rsidR="006F04A3">
        <w:t xml:space="preserve">the videos which he published on his </w:t>
      </w:r>
      <w:r>
        <w:t xml:space="preserve">YouTube </w:t>
      </w:r>
      <w:r w:rsidR="006F04A3">
        <w:t xml:space="preserve">channel </w:t>
      </w:r>
      <w:r>
        <w:t>an</w:t>
      </w:r>
      <w:r w:rsidR="00772B04">
        <w:t xml:space="preserve">d </w:t>
      </w:r>
      <w:r w:rsidR="006F04A3">
        <w:t xml:space="preserve">on his </w:t>
      </w:r>
      <w:r w:rsidR="00772B04">
        <w:t xml:space="preserve">website did not have a wide audience </w:t>
      </w:r>
      <w:r>
        <w:t>that the risk of harm that could be occasioned by any publication was minimal as it was unlikely many p</w:t>
      </w:r>
      <w:r w:rsidR="00444249">
        <w:t>eople would see the publications</w:t>
      </w:r>
      <w:r>
        <w:t>.</w:t>
      </w:r>
    </w:p>
    <w:p w:rsidR="0041526A" w:rsidRDefault="0041526A">
      <w:pPr>
        <w:pStyle w:val="ParaNumbering"/>
      </w:pPr>
      <w:r>
        <w:lastRenderedPageBreak/>
        <w:t xml:space="preserve">I reject this submission.  The seriousness of the grossly defamatory statements was referred to by the sentencing judge in the redacted parts of </w:t>
      </w:r>
      <w:proofErr w:type="spellStart"/>
      <w:r>
        <w:rPr>
          <w:i/>
        </w:rPr>
        <w:t>Dallow</w:t>
      </w:r>
      <w:proofErr w:type="spellEnd"/>
      <w:r>
        <w:rPr>
          <w:i/>
        </w:rPr>
        <w:t xml:space="preserve"> (No 3)</w:t>
      </w:r>
      <w:r>
        <w:t xml:space="preserve"> at [67]-[6</w:t>
      </w:r>
      <w:r w:rsidR="006F04A3">
        <w:t>9</w:t>
      </w:r>
      <w:r>
        <w:t xml:space="preserve">] and the confidential annexure A as well as the sentencing judge referring to the deliberate and serious nature of each of the </w:t>
      </w:r>
      <w:proofErr w:type="spellStart"/>
      <w:r>
        <w:t>contempts</w:t>
      </w:r>
      <w:proofErr w:type="spellEnd"/>
      <w:r>
        <w:t xml:space="preserve"> in </w:t>
      </w:r>
      <w:proofErr w:type="spellStart"/>
      <w:r>
        <w:rPr>
          <w:i/>
        </w:rPr>
        <w:t>Dallow</w:t>
      </w:r>
      <w:proofErr w:type="spellEnd"/>
      <w:r>
        <w:rPr>
          <w:i/>
        </w:rPr>
        <w:t xml:space="preserve"> (No 5)</w:t>
      </w:r>
      <w:r>
        <w:t xml:space="preserve"> at [22]-[29].  The </w:t>
      </w:r>
      <w:proofErr w:type="spellStart"/>
      <w:r>
        <w:t>contempts</w:t>
      </w:r>
      <w:proofErr w:type="spellEnd"/>
      <w:r>
        <w:t xml:space="preserve"> are as the sentencing judge observed in </w:t>
      </w:r>
      <w:proofErr w:type="spellStart"/>
      <w:r>
        <w:rPr>
          <w:i/>
        </w:rPr>
        <w:t>Dallow</w:t>
      </w:r>
      <w:proofErr w:type="spellEnd"/>
      <w:r>
        <w:rPr>
          <w:i/>
        </w:rPr>
        <w:t xml:space="preserve"> (No 5)</w:t>
      </w:r>
      <w:r>
        <w:t xml:space="preserve"> at [22] self-evidently deliberate and serious.</w:t>
      </w:r>
    </w:p>
    <w:p w:rsidR="0041526A" w:rsidRDefault="0041526A">
      <w:pPr>
        <w:pStyle w:val="ParaNumbering"/>
      </w:pPr>
      <w:r>
        <w:t>This proposed ground of appeal has no reasonable prospect of success.</w:t>
      </w:r>
    </w:p>
    <w:p w:rsidR="0091347B" w:rsidRDefault="0091347B" w:rsidP="00160504">
      <w:pPr>
        <w:pStyle w:val="Heading1"/>
      </w:pPr>
      <w:r>
        <w:t>proposed ground 4</w:t>
      </w:r>
    </w:p>
    <w:p w:rsidR="007F38EC" w:rsidRDefault="0091347B">
      <w:pPr>
        <w:pStyle w:val="ParaNumbering"/>
      </w:pPr>
      <w:r>
        <w:t xml:space="preserve">By this proposed ground of appeal, the applicant contends that the sentence imposed by the sentencing judge was arbitrary.  </w:t>
      </w:r>
    </w:p>
    <w:p w:rsidR="005E0064" w:rsidRDefault="0091347B">
      <w:pPr>
        <w:pStyle w:val="ParaNumbering"/>
      </w:pPr>
      <w:r>
        <w:t xml:space="preserve">The submissions advanced by the applicant in support of this proposed ground have no reasonable prospect of success.  </w:t>
      </w:r>
    </w:p>
    <w:p w:rsidR="0091347B" w:rsidRDefault="0091347B">
      <w:pPr>
        <w:pStyle w:val="ParaNumbering"/>
      </w:pPr>
      <w:r>
        <w:t xml:space="preserve">The sentencing judge’s reasons provide a comprehensive consideration of the factors which were relevant to the sentence to be imposed for each contempt.  There is no substance to the claim that the sentence imposed for the </w:t>
      </w:r>
      <w:proofErr w:type="spellStart"/>
      <w:r>
        <w:t>contempts</w:t>
      </w:r>
      <w:proofErr w:type="spellEnd"/>
      <w:r>
        <w:t xml:space="preserve"> was arbitrary.</w:t>
      </w:r>
      <w:r w:rsidR="0041526A">
        <w:t xml:space="preserve">  It was the result of the sentencing judge applying the correct principles to the facts as found and then evaluating the appropriate sentence.  </w:t>
      </w:r>
      <w:r w:rsidR="00536366">
        <w:t xml:space="preserve">It is in no way possible to characterise </w:t>
      </w:r>
      <w:r w:rsidR="00B44F60">
        <w:t>the sentencing judge’s</w:t>
      </w:r>
      <w:r w:rsidR="00536366">
        <w:t xml:space="preserve"> </w:t>
      </w:r>
      <w:r w:rsidR="00016685">
        <w:t>well considered assessment of the facts</w:t>
      </w:r>
      <w:r w:rsidR="00B44F60">
        <w:t xml:space="preserve"> and the subsequent sentence</w:t>
      </w:r>
      <w:r w:rsidR="007E5FF8">
        <w:t xml:space="preserve"> imposed</w:t>
      </w:r>
      <w:r w:rsidR="00374EBB">
        <w:t xml:space="preserve"> on the applicant</w:t>
      </w:r>
      <w:r w:rsidR="00016685">
        <w:t xml:space="preserve"> </w:t>
      </w:r>
      <w:r w:rsidR="00536366">
        <w:t>as</w:t>
      </w:r>
      <w:r w:rsidR="0041526A">
        <w:t xml:space="preserve"> arbitrary.</w:t>
      </w:r>
    </w:p>
    <w:p w:rsidR="0091347B" w:rsidRDefault="0091347B" w:rsidP="00160504">
      <w:pPr>
        <w:pStyle w:val="Heading1"/>
      </w:pPr>
      <w:r>
        <w:t>proposed ground 5</w:t>
      </w:r>
    </w:p>
    <w:p w:rsidR="0091347B" w:rsidRDefault="0091347B">
      <w:pPr>
        <w:pStyle w:val="ParaNumbering"/>
      </w:pPr>
      <w:r>
        <w:t>This</w:t>
      </w:r>
      <w:r w:rsidR="00F271A7">
        <w:t xml:space="preserve"> proposed</w:t>
      </w:r>
      <w:r>
        <w:t xml:space="preserve"> ground</w:t>
      </w:r>
      <w:r w:rsidR="00F271A7">
        <w:t xml:space="preserve"> of appeal</w:t>
      </w:r>
      <w:r>
        <w:t>, as best as I can understand it, contends that the sentencing judge did not give due weight to the evidence placed before him and consequently the decision (the sentencing decision) falls into the category of an arbitrary decision.  For the reasons given in respect to proposed ground</w:t>
      </w:r>
      <w:r w:rsidR="00F271A7">
        <w:t xml:space="preserve"> </w:t>
      </w:r>
      <w:r>
        <w:t>4 above, there is no prospect of this proposed ground succeeding on appeal.</w:t>
      </w:r>
    </w:p>
    <w:p w:rsidR="0091347B" w:rsidRDefault="0091347B" w:rsidP="00160504">
      <w:pPr>
        <w:pStyle w:val="Heading1"/>
      </w:pPr>
      <w:r>
        <w:t>proposed ground 6</w:t>
      </w:r>
    </w:p>
    <w:p w:rsidR="0091347B" w:rsidRDefault="0091347B">
      <w:pPr>
        <w:pStyle w:val="ParaNumbering"/>
      </w:pPr>
      <w:r>
        <w:t>By this proposed ground</w:t>
      </w:r>
      <w:r w:rsidR="00F271A7">
        <w:t xml:space="preserve"> of appeal</w:t>
      </w:r>
      <w:r>
        <w:t xml:space="preserve">, the applicant submits that the sentencing judge erred by not giving appropriate weight to the fact that the applicant was legally unrepresented and did not have an opportunity to present the mitigating factors at the time of sentencing.  The applicant represented himself at the sentencing hearing.  The applicant was afforded every opportunity </w:t>
      </w:r>
      <w:r>
        <w:lastRenderedPageBreak/>
        <w:t>by the sentencing judge to present the mitigating factors which he relied upon at the sentencing hearing.  I am not satisfied that this proposed ground of appeal enjoys any prospect of success.</w:t>
      </w:r>
    </w:p>
    <w:p w:rsidR="0091347B" w:rsidRDefault="0091347B" w:rsidP="00160504">
      <w:pPr>
        <w:pStyle w:val="Heading1"/>
      </w:pPr>
      <w:r>
        <w:t>disposition</w:t>
      </w:r>
    </w:p>
    <w:p w:rsidR="0091347B" w:rsidRDefault="0091347B">
      <w:pPr>
        <w:pStyle w:val="ParaNumbering"/>
      </w:pPr>
      <w:r>
        <w:t xml:space="preserve">For the reasons given, leave for an extension of time within which to file the notice of appeal </w:t>
      </w:r>
      <w:r w:rsidR="003A2DAD">
        <w:t xml:space="preserve">will be refused </w:t>
      </w:r>
      <w:r>
        <w:t>as the substantive appeal has no reasonable prospects of success.</w:t>
      </w:r>
    </w:p>
    <w:p w:rsidR="00BA15F9" w:rsidRDefault="00BA15F9">
      <w:pPr>
        <w:pStyle w:val="ParaNumbering"/>
      </w:pPr>
      <w:r>
        <w:t>The application will be dismissed.</w:t>
      </w:r>
      <w:r w:rsidR="003A2DAD">
        <w:t xml:space="preserve">  The applicant will pay the respondent’s costs of the application on a lump sum basis which</w:t>
      </w:r>
      <w:r w:rsidR="00444249">
        <w:t>,</w:t>
      </w:r>
      <w:r w:rsidR="003A2DAD">
        <w:t xml:space="preserve"> in default of agreement</w:t>
      </w:r>
      <w:r w:rsidR="00444249">
        <w:t>,</w:t>
      </w:r>
      <w:r w:rsidR="003A2DAD">
        <w:t xml:space="preserve"> will be fixe</w:t>
      </w:r>
      <w:r w:rsidR="00772B04">
        <w:t>d by a Registrar of the Court.</w:t>
      </w:r>
    </w:p>
    <w:tbl>
      <w:tblPr>
        <w:tblW w:w="0" w:type="auto"/>
        <w:tblLook w:val="04A0" w:firstRow="1" w:lastRow="0" w:firstColumn="1" w:lastColumn="0" w:noHBand="0" w:noVBand="1"/>
      </w:tblPr>
      <w:tblGrid>
        <w:gridCol w:w="3794"/>
      </w:tblGrid>
      <w:tr w:rsidR="004062E7" w:rsidRPr="004062E7">
        <w:tc>
          <w:tcPr>
            <w:tcW w:w="3794" w:type="dxa"/>
            <w:shd w:val="clear" w:color="auto" w:fill="auto"/>
          </w:tcPr>
          <w:p w:rsidR="004062E7" w:rsidRPr="004062E7" w:rsidRDefault="004062E7">
            <w:pPr>
              <w:pStyle w:val="Normal1linespace"/>
            </w:pPr>
            <w:bookmarkStart w:id="19" w:name="Certification"/>
            <w:r w:rsidRPr="00441EDD">
              <w:t xml:space="preserve">I certify that the </w:t>
            </w:r>
            <w:r w:rsidRPr="005430DF">
              <w:t xml:space="preserve">preceding </w:t>
            </w:r>
            <w:r w:rsidR="00E81405" w:rsidRPr="005430DF">
              <w:t>fifty two</w:t>
            </w:r>
            <w:r w:rsidR="00502538" w:rsidRPr="005430DF">
              <w:t xml:space="preserve"> </w:t>
            </w:r>
            <w:r w:rsidRPr="005430DF">
              <w:t>(</w:t>
            </w:r>
            <w:r w:rsidR="00E81405" w:rsidRPr="005430DF">
              <w:t>52</w:t>
            </w:r>
            <w:r w:rsidRPr="005430DF">
              <w:t xml:space="preserve">) numbered </w:t>
            </w:r>
            <w:bookmarkStart w:id="20" w:name="CertPara"/>
            <w:r w:rsidRPr="00441EDD">
              <w:t>paragraphs are</w:t>
            </w:r>
            <w:bookmarkEnd w:id="20"/>
            <w:r w:rsidRPr="00441EDD">
              <w:t xml:space="preserve"> a true copy of the Reasons for Judgment of </w:t>
            </w:r>
            <w:bookmarkStart w:id="21" w:name="bkHonourable"/>
            <w:r w:rsidRPr="00441EDD">
              <w:t>the Honour</w:t>
            </w:r>
            <w:r w:rsidRPr="004062E7">
              <w:t xml:space="preserve">able </w:t>
            </w:r>
            <w:bookmarkStart w:id="22" w:name="Justice"/>
            <w:bookmarkEnd w:id="21"/>
            <w:r>
              <w:t>Justice Anderson</w:t>
            </w:r>
            <w:bookmarkEnd w:id="22"/>
            <w:r w:rsidRPr="004062E7">
              <w:t>.</w:t>
            </w:r>
          </w:p>
        </w:tc>
      </w:tr>
    </w:tbl>
    <w:p w:rsidR="004062E7" w:rsidRDefault="00A2403E" w:rsidP="00815065">
      <w:pPr>
        <w:pStyle w:val="BodyText"/>
      </w:pPr>
      <w:r>
        <w:br/>
      </w:r>
      <w:r w:rsidR="004062E7">
        <w:t>Associate:</w:t>
      </w:r>
      <w:r w:rsidR="00ED0ADF">
        <w:t xml:space="preserve"> </w:t>
      </w:r>
      <w:bookmarkStart w:id="23" w:name="_GoBack"/>
      <w:bookmarkEnd w:id="23"/>
    </w:p>
    <w:p w:rsidR="004062E7" w:rsidRDefault="004062E7" w:rsidP="00815065">
      <w:pPr>
        <w:pStyle w:val="BodyText"/>
      </w:pPr>
    </w:p>
    <w:p w:rsidR="004062E7" w:rsidRDefault="004062E7" w:rsidP="00815065">
      <w:pPr>
        <w:pStyle w:val="BodyText"/>
        <w:tabs>
          <w:tab w:val="left" w:pos="1134"/>
        </w:tabs>
      </w:pPr>
      <w:r>
        <w:t>Dated:</w:t>
      </w:r>
      <w:r>
        <w:tab/>
      </w:r>
      <w:bookmarkStart w:id="24" w:name="CertifyDated"/>
      <w:r w:rsidR="0053587C">
        <w:t>17</w:t>
      </w:r>
      <w:r>
        <w:t xml:space="preserve"> </w:t>
      </w:r>
      <w:r w:rsidR="009E531E">
        <w:t>September</w:t>
      </w:r>
      <w:r w:rsidR="003C7D09">
        <w:t xml:space="preserve"> </w:t>
      </w:r>
      <w:r>
        <w:t>2021</w:t>
      </w:r>
      <w:bookmarkEnd w:id="24"/>
    </w:p>
    <w:bookmarkEnd w:id="19"/>
    <w:p w:rsidR="004062E7" w:rsidRDefault="004062E7" w:rsidP="004062E7">
      <w:pPr>
        <w:pStyle w:val="BodyText"/>
      </w:pPr>
    </w:p>
    <w:sectPr w:rsidR="004062E7" w:rsidSect="00A84FD0">
      <w:endnotePr>
        <w:numFmt w:val="decimal"/>
      </w:endnotePr>
      <w:pgSz w:w="11907" w:h="16840" w:code="9"/>
      <w:pgMar w:top="1440" w:right="1440" w:bottom="1440" w:left="1440" w:header="851" w:footer="851"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3077" w:rsidRDefault="00343077">
      <w:pPr>
        <w:spacing w:line="20" w:lineRule="exact"/>
      </w:pPr>
    </w:p>
    <w:p w:rsidR="00343077" w:rsidRDefault="00343077"/>
    <w:p w:rsidR="00343077" w:rsidRDefault="00343077"/>
  </w:endnote>
  <w:endnote w:type="continuationSeparator" w:id="0">
    <w:p w:rsidR="00343077" w:rsidRDefault="00343077">
      <w:r>
        <w:t xml:space="preserve"> </w:t>
      </w:r>
    </w:p>
    <w:p w:rsidR="00343077" w:rsidRDefault="00343077"/>
    <w:p w:rsidR="00343077" w:rsidRDefault="00343077"/>
  </w:endnote>
  <w:endnote w:type="continuationNotice" w:id="1">
    <w:p w:rsidR="00343077" w:rsidRDefault="00343077">
      <w:r>
        <w:t xml:space="preserve"> </w:t>
      </w:r>
    </w:p>
    <w:p w:rsidR="00343077" w:rsidRDefault="00343077"/>
    <w:p w:rsidR="00343077" w:rsidRDefault="003430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Arial Unicode MS"/>
    <w:panose1 w:val="02030600000101010101"/>
    <w:charset w:val="81"/>
    <w:family w:val="roman"/>
    <w:pitch w:val="variable"/>
    <w:sig w:usb0="00000000"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BSHCPI+HelveticaNeue-Italic">
    <w:altName w:val="Helvetica Neue"/>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4FD0" w:rsidRPr="00C47B9D" w:rsidRDefault="00A84FD0"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67456" behindDoc="0" locked="0" layoutInCell="1" allowOverlap="1" wp14:anchorId="7E83757A" wp14:editId="506693F7">
              <wp:simplePos x="0" y="0"/>
              <wp:positionH relativeFrom="column">
                <wp:posOffset>-28575</wp:posOffset>
              </wp:positionH>
              <wp:positionV relativeFrom="paragraph">
                <wp:posOffset>21590</wp:posOffset>
              </wp:positionV>
              <wp:extent cx="2943225"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EEC127B" id="Straight Connector 7"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" strokecolor="black [3213]"/>
          </w:pict>
        </mc:Fallback>
      </mc:AlternateContent>
    </w:r>
    <w:sdt>
      <w:sdtPr>
        <w:rPr>
          <w:bCs/>
          <w:sz w:val="18"/>
          <w:szCs w:val="18"/>
        </w:rPr>
        <w:tag w:val="MNC"/>
        <w:id w:val="1095746746"/>
        <w:placeholder>
          <w:docPart w:val="597FB0B36F3248FBA136F072E310F7F7"/>
        </w:placeholder>
        <w:dataBinding w:prefixMappings="xmlns:ns0='http://schemas.globalmacros.com/FCA'" w:xpath="/ns0:root[1]/ns0:Name[1]" w:storeItemID="{687E7CCB-4AA5-44E7-B148-17BA2B6F57C0}"/>
        <w:text w:multiLine="1"/>
      </w:sdtPr>
      <w:sdtEndPr/>
      <w:sdtContent>
        <w:proofErr w:type="spellStart"/>
        <w:r w:rsidR="00F56241">
          <w:rPr>
            <w:bCs/>
            <w:sz w:val="18"/>
            <w:szCs w:val="18"/>
          </w:rPr>
          <w:t>Dallow</w:t>
        </w:r>
        <w:proofErr w:type="spellEnd"/>
        <w:r w:rsidR="00F56241">
          <w:rPr>
            <w:bCs/>
            <w:sz w:val="18"/>
            <w:szCs w:val="18"/>
          </w:rPr>
          <w:t xml:space="preserve"> v Ferguson [2021] FCA 1124 </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sidR="00E22D6E">
      <w:rPr>
        <w:bCs/>
        <w:noProof/>
        <w:sz w:val="20"/>
      </w:rPr>
      <w:t>12</w:t>
    </w:r>
    <w:r w:rsidRPr="00EA7F6D">
      <w:rPr>
        <w:bCs/>
        <w:noProof/>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4FD0" w:rsidRPr="00C47B9D" w:rsidRDefault="00A84FD0"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65408" behindDoc="0" locked="0" layoutInCell="1" allowOverlap="1" wp14:anchorId="57C57200" wp14:editId="26FB309B">
              <wp:simplePos x="0" y="0"/>
              <wp:positionH relativeFrom="column">
                <wp:posOffset>-28575</wp:posOffset>
              </wp:positionH>
              <wp:positionV relativeFrom="paragraph">
                <wp:posOffset>21590</wp:posOffset>
              </wp:positionV>
              <wp:extent cx="294322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17A8BD2" id="Straight Connector 3"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" strokecolor="black [3213]"/>
          </w:pict>
        </mc:Fallback>
      </mc:AlternateContent>
    </w:r>
    <w:sdt>
      <w:sdtPr>
        <w:rPr>
          <w:bCs/>
          <w:sz w:val="18"/>
          <w:szCs w:val="18"/>
        </w:rPr>
        <w:tag w:val="MNC"/>
        <w:id w:val="-1532949365"/>
        <w:placeholder>
          <w:docPart w:val="A87C4AFF5EDD4412B443BA9511C7950C"/>
        </w:placeholder>
        <w:dataBinding w:prefixMappings="xmlns:ns0='http://schemas.globalmacros.com/FCA'" w:xpath="/ns0:root[1]/ns0:Name[1]" w:storeItemID="{687E7CCB-4AA5-44E7-B148-17BA2B6F57C0}"/>
        <w:text w:multiLine="1"/>
      </w:sdtPr>
      <w:sdtEndPr/>
      <w:sdtContent>
        <w:proofErr w:type="spellStart"/>
        <w:r w:rsidR="00F56241">
          <w:rPr>
            <w:bCs/>
            <w:sz w:val="18"/>
            <w:szCs w:val="18"/>
          </w:rPr>
          <w:t>Dallow</w:t>
        </w:r>
        <w:proofErr w:type="spellEnd"/>
        <w:r w:rsidR="00F56241">
          <w:rPr>
            <w:bCs/>
            <w:sz w:val="18"/>
            <w:szCs w:val="18"/>
          </w:rPr>
          <w:t xml:space="preserve"> v Ferguson [2021] FCA 1124 </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sidR="00E22D6E">
      <w:rPr>
        <w:bCs/>
        <w:noProof/>
        <w:sz w:val="20"/>
      </w:rPr>
      <w:t>1</w:t>
    </w:r>
    <w:r w:rsidRPr="00EA7F6D">
      <w:rPr>
        <w:bCs/>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3077" w:rsidRDefault="00343077"/>
    <w:p w:rsidR="00343077" w:rsidRDefault="00343077"/>
    <w:p w:rsidR="00343077" w:rsidRDefault="00343077"/>
  </w:footnote>
  <w:footnote w:type="continuationSeparator" w:id="0">
    <w:p w:rsidR="00343077" w:rsidRDefault="00343077">
      <w:r>
        <w:continuationSeparator/>
      </w:r>
    </w:p>
    <w:p w:rsidR="00343077" w:rsidRDefault="00343077"/>
    <w:p w:rsidR="00343077" w:rsidRDefault="0034307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5B24" w:rsidRDefault="00395B24">
    <w:pPr>
      <w:tabs>
        <w:tab w:val="center" w:pos="4512"/>
      </w:tabs>
      <w:suppressAutoHyphen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5B24" w:rsidRDefault="00395B24" w:rsidP="00A436E8">
    <w:pPr>
      <w:pStyle w:val="Header"/>
      <w:tabs>
        <w:tab w:val="clear" w:pos="4320"/>
        <w:tab w:val="clear"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23ACBC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04AF16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63689C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B22946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8E2E98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726AA5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D947F0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C5AED4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5EC114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6DC146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59E2A2F"/>
    <w:multiLevelType w:val="multilevel"/>
    <w:tmpl w:val="F61AF490"/>
    <w:styleLink w:val="FCListNoalt"/>
    <w:lvl w:ilvl="0">
      <w:start w:val="1"/>
      <w:numFmt w:val="lowerLetter"/>
      <w:lvlRestart w:val="0"/>
      <w:pStyle w:val="ListNo1alt"/>
      <w:lvlText w:val="(%1)"/>
      <w:lvlJc w:val="left"/>
      <w:pPr>
        <w:tabs>
          <w:tab w:val="num" w:pos="720"/>
        </w:tabs>
        <w:ind w:left="720" w:hanging="720"/>
      </w:pPr>
      <w:rPr>
        <w:rFonts w:ascii="Times New Roman" w:hAnsi="Times New Roman" w:hint="default"/>
      </w:rPr>
    </w:lvl>
    <w:lvl w:ilvl="1">
      <w:start w:val="1"/>
      <w:numFmt w:val="lowerRoman"/>
      <w:pStyle w:val="ListNo2alt"/>
      <w:lvlText w:val="(%2)"/>
      <w:lvlJc w:val="left"/>
      <w:pPr>
        <w:tabs>
          <w:tab w:val="num" w:pos="1440"/>
        </w:tabs>
        <w:ind w:left="1440" w:hanging="720"/>
      </w:pPr>
      <w:rPr>
        <w:rFonts w:hint="default"/>
      </w:rPr>
    </w:lvl>
    <w:lvl w:ilvl="2">
      <w:start w:val="1"/>
      <w:numFmt w:val="upperLetter"/>
      <w:pStyle w:val="ListNo3alt"/>
      <w:lvlText w:val="(%3)"/>
      <w:lvlJc w:val="left"/>
      <w:pPr>
        <w:tabs>
          <w:tab w:val="num" w:pos="2160"/>
        </w:tabs>
        <w:ind w:left="2160" w:hanging="720"/>
      </w:pPr>
      <w:rPr>
        <w:rFonts w:hint="default"/>
      </w:rPr>
    </w:lvl>
    <w:lvl w:ilvl="3">
      <w:numFmt w:val="none"/>
      <w:lvlRestart w:val="0"/>
      <w:suff w:val="nothing"/>
      <w:lvlText w:val=""/>
      <w:lvlJc w:val="left"/>
      <w:pPr>
        <w:ind w:left="-32767" w:firstLine="0"/>
      </w:pPr>
      <w:rPr>
        <w:rFonts w:hint="default"/>
      </w:rPr>
    </w:lvl>
    <w:lvl w:ilvl="4">
      <w:start w:val="1"/>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1" w15:restartNumberingAfterBreak="0">
    <w:nsid w:val="0B9B7C7A"/>
    <w:multiLevelType w:val="hybridMultilevel"/>
    <w:tmpl w:val="0D8E828C"/>
    <w:lvl w:ilvl="0" w:tplc="E5462CDA">
      <w:start w:val="1"/>
      <w:numFmt w:val="bullet"/>
      <w:pStyle w:val="Quote2Bullet"/>
      <w:lvlText w:val=""/>
      <w:lvlJc w:val="left"/>
      <w:pPr>
        <w:ind w:left="2160" w:hanging="360"/>
      </w:pPr>
      <w:rPr>
        <w:rFonts w:ascii="Wingdings" w:hAnsi="Wingdings"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2" w15:restartNumberingAfterBreak="0">
    <w:nsid w:val="168F28D0"/>
    <w:multiLevelType w:val="multilevel"/>
    <w:tmpl w:val="93FA7D28"/>
    <w:lvl w:ilvl="0">
      <w:start w:val="1"/>
      <w:numFmt w:val="bullet"/>
      <w:pStyle w:val="FCBullets"/>
      <w:lvlText w:val=""/>
      <w:lvlJc w:val="left"/>
      <w:pPr>
        <w:tabs>
          <w:tab w:val="num" w:pos="720"/>
        </w:tabs>
        <w:ind w:left="720" w:hanging="720"/>
      </w:pPr>
      <w:rPr>
        <w:rFonts w:ascii="Symbol" w:hAnsi="Symbol"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13" w15:restartNumberingAfterBreak="0">
    <w:nsid w:val="1C1468D3"/>
    <w:multiLevelType w:val="multilevel"/>
    <w:tmpl w:val="0F0EC90E"/>
    <w:styleLink w:val="FCListNo"/>
    <w:lvl w:ilvl="0">
      <w:start w:val="1"/>
      <w:numFmt w:val="decimal"/>
      <w:lvlRestart w:val="0"/>
      <w:pStyle w:val="ListNo1"/>
      <w:lvlText w:val="(%1)"/>
      <w:lvlJc w:val="left"/>
      <w:pPr>
        <w:tabs>
          <w:tab w:val="num" w:pos="720"/>
        </w:tabs>
        <w:ind w:left="720" w:hanging="720"/>
      </w:pPr>
      <w:rPr>
        <w:rFonts w:ascii="Times New Roman" w:hAnsi="Times New Roman" w:hint="default"/>
      </w:rPr>
    </w:lvl>
    <w:lvl w:ilvl="1">
      <w:start w:val="1"/>
      <w:numFmt w:val="lowerLetter"/>
      <w:pStyle w:val="ListNo2"/>
      <w:lvlText w:val="(%2)"/>
      <w:lvlJc w:val="left"/>
      <w:pPr>
        <w:tabs>
          <w:tab w:val="num" w:pos="1440"/>
        </w:tabs>
        <w:ind w:left="1440" w:hanging="720"/>
      </w:pPr>
      <w:rPr>
        <w:rFonts w:hint="default"/>
      </w:rPr>
    </w:lvl>
    <w:lvl w:ilvl="2">
      <w:start w:val="1"/>
      <w:numFmt w:val="lowerRoman"/>
      <w:pStyle w:val="ListNo3"/>
      <w:lvlText w:val="(%3)"/>
      <w:lvlJc w:val="left"/>
      <w:pPr>
        <w:tabs>
          <w:tab w:val="num" w:pos="2160"/>
        </w:tabs>
        <w:ind w:left="2160" w:hanging="720"/>
      </w:pPr>
      <w:rPr>
        <w:rFonts w:hint="default"/>
      </w:rPr>
    </w:lvl>
    <w:lvl w:ilvl="3">
      <w:numFmt w:val="none"/>
      <w:lvlRestart w:val="0"/>
      <w:suff w:val="nothing"/>
      <w:lvlText w:val=""/>
      <w:lvlJc w:val="left"/>
      <w:pPr>
        <w:ind w:left="-32767" w:firstLine="0"/>
      </w:pPr>
      <w:rPr>
        <w:rFonts w:hint="default"/>
      </w:rPr>
    </w:lvl>
    <w:lvl w:ilvl="4">
      <w:start w:val="1"/>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4" w15:restartNumberingAfterBreak="0">
    <w:nsid w:val="29AE3DD1"/>
    <w:multiLevelType w:val="singleLevel"/>
    <w:tmpl w:val="132AA2E0"/>
    <w:lvl w:ilvl="0">
      <w:start w:val="1"/>
      <w:numFmt w:val="decimal"/>
      <w:lvlRestart w:val="0"/>
      <w:pStyle w:val="ParaNumbering"/>
      <w:lvlText w:val="%1"/>
      <w:lvlJc w:val="left"/>
      <w:pPr>
        <w:tabs>
          <w:tab w:val="num" w:pos="720"/>
        </w:tabs>
        <w:ind w:left="0" w:hanging="720"/>
      </w:pPr>
      <w:rPr>
        <w:rFonts w:hint="default"/>
        <w:b w:val="0"/>
        <w:sz w:val="20"/>
      </w:rPr>
    </w:lvl>
  </w:abstractNum>
  <w:abstractNum w:abstractNumId="15" w15:restartNumberingAfterBreak="0">
    <w:nsid w:val="2AD4345C"/>
    <w:multiLevelType w:val="multilevel"/>
    <w:tmpl w:val="77206CB0"/>
    <w:styleLink w:val="FCOrders"/>
    <w:lvl w:ilvl="0">
      <w:start w:val="1"/>
      <w:numFmt w:val="decimal"/>
      <w:pStyle w:val="Order1"/>
      <w:lvlText w:val="%1."/>
      <w:lvlJc w:val="left"/>
      <w:pPr>
        <w:tabs>
          <w:tab w:val="num" w:pos="720"/>
        </w:tabs>
        <w:ind w:left="720" w:hanging="720"/>
      </w:pPr>
      <w:rPr>
        <w:rFonts w:ascii="Times New Roman" w:hAnsi="Times New Roman" w:hint="default"/>
        <w:sz w:val="24"/>
      </w:rPr>
    </w:lvl>
    <w:lvl w:ilvl="1">
      <w:start w:val="1"/>
      <w:numFmt w:val="lowerLetter"/>
      <w:pStyle w:val="Order2"/>
      <w:lvlText w:val="(%2)"/>
      <w:lvlJc w:val="left"/>
      <w:pPr>
        <w:tabs>
          <w:tab w:val="num" w:pos="1440"/>
        </w:tabs>
        <w:ind w:left="1440" w:hanging="720"/>
      </w:pPr>
      <w:rPr>
        <w:rFonts w:hint="default"/>
      </w:rPr>
    </w:lvl>
    <w:lvl w:ilvl="2">
      <w:start w:val="1"/>
      <w:numFmt w:val="lowerRoman"/>
      <w:pStyle w:val="Order3"/>
      <w:lvlText w:val="(%3)"/>
      <w:lvlJc w:val="left"/>
      <w:pPr>
        <w:tabs>
          <w:tab w:val="num" w:pos="1440"/>
        </w:tabs>
        <w:ind w:left="2160" w:hanging="720"/>
      </w:pPr>
      <w:rPr>
        <w:rFonts w:hint="default"/>
      </w:rPr>
    </w:lvl>
    <w:lvl w:ilvl="3">
      <w:start w:val="1"/>
      <w:numFmt w:val="upperLetter"/>
      <w:pStyle w:val="Order4"/>
      <w:lvlText w:val="%4."/>
      <w:lvlJc w:val="left"/>
      <w:pPr>
        <w:tabs>
          <w:tab w:val="num" w:pos="2160"/>
        </w:tabs>
        <w:ind w:left="2880" w:hanging="720"/>
      </w:pPr>
      <w:rPr>
        <w:rFonts w:hint="default"/>
      </w:rPr>
    </w:lvl>
    <w:lvl w:ilvl="4">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16" w15:restartNumberingAfterBreak="0">
    <w:nsid w:val="2AF11FCB"/>
    <w:multiLevelType w:val="hybridMultilevel"/>
    <w:tmpl w:val="94A6534E"/>
    <w:lvl w:ilvl="0" w:tplc="31029F3C">
      <w:start w:val="1"/>
      <w:numFmt w:val="bullet"/>
      <w:pStyle w:val="Quote4Bullet"/>
      <w:lvlText w:val=""/>
      <w:lvlJc w:val="left"/>
      <w:pPr>
        <w:ind w:left="3600" w:hanging="360"/>
      </w:pPr>
      <w:rPr>
        <w:rFonts w:ascii="Symbol" w:hAnsi="Symbol" w:hint="default"/>
        <w:sz w:val="16"/>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17" w15:restartNumberingAfterBreak="0">
    <w:nsid w:val="33561E2E"/>
    <w:multiLevelType w:val="hybridMultilevel"/>
    <w:tmpl w:val="433821BE"/>
    <w:lvl w:ilvl="0" w:tplc="DE3AD0E2">
      <w:start w:val="1"/>
      <w:numFmt w:val="bullet"/>
      <w:pStyle w:val="Quote3Bullet"/>
      <w:lvlText w:val=""/>
      <w:lvlJc w:val="left"/>
      <w:pPr>
        <w:ind w:left="2880" w:hanging="360"/>
      </w:pPr>
      <w:rPr>
        <w:rFonts w:ascii="Wingdings" w:hAnsi="Wingdings" w:hint="default"/>
      </w:rPr>
    </w:lvl>
    <w:lvl w:ilvl="1" w:tplc="0C090003">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18" w15:restartNumberingAfterBreak="0">
    <w:nsid w:val="44407D1D"/>
    <w:multiLevelType w:val="hybridMultilevel"/>
    <w:tmpl w:val="95729F9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94817A7"/>
    <w:multiLevelType w:val="multilevel"/>
    <w:tmpl w:val="0F0EC90E"/>
    <w:numStyleLink w:val="FCListNo"/>
  </w:abstractNum>
  <w:abstractNum w:abstractNumId="20" w15:restartNumberingAfterBreak="0">
    <w:nsid w:val="49B30D2B"/>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4A736C9D"/>
    <w:multiLevelType w:val="multilevel"/>
    <w:tmpl w:val="0C090023"/>
    <w:styleLink w:val="ArticleSection"/>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2" w15:restartNumberingAfterBreak="0">
    <w:nsid w:val="668713D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3" w15:restartNumberingAfterBreak="0">
    <w:nsid w:val="6F9B6398"/>
    <w:multiLevelType w:val="hybridMultilevel"/>
    <w:tmpl w:val="0E4CBD92"/>
    <w:lvl w:ilvl="0" w:tplc="907C4790">
      <w:start w:val="1"/>
      <w:numFmt w:val="bullet"/>
      <w:pStyle w:val="Quote1Bullet"/>
      <w:lvlText w:val=""/>
      <w:lvlJc w:val="left"/>
      <w:pPr>
        <w:ind w:left="1457" w:hanging="360"/>
      </w:pPr>
      <w:rPr>
        <w:rFonts w:ascii="Wingdings" w:hAnsi="Wingdings" w:hint="default"/>
      </w:rPr>
    </w:lvl>
    <w:lvl w:ilvl="1" w:tplc="0C090003" w:tentative="1">
      <w:start w:val="1"/>
      <w:numFmt w:val="bullet"/>
      <w:lvlText w:val="o"/>
      <w:lvlJc w:val="left"/>
      <w:pPr>
        <w:ind w:left="2177" w:hanging="360"/>
      </w:pPr>
      <w:rPr>
        <w:rFonts w:ascii="Courier New" w:hAnsi="Courier New" w:cs="Courier New" w:hint="default"/>
      </w:rPr>
    </w:lvl>
    <w:lvl w:ilvl="2" w:tplc="0C090005" w:tentative="1">
      <w:start w:val="1"/>
      <w:numFmt w:val="bullet"/>
      <w:lvlText w:val=""/>
      <w:lvlJc w:val="left"/>
      <w:pPr>
        <w:ind w:left="2897" w:hanging="360"/>
      </w:pPr>
      <w:rPr>
        <w:rFonts w:ascii="Wingdings" w:hAnsi="Wingdings" w:hint="default"/>
      </w:rPr>
    </w:lvl>
    <w:lvl w:ilvl="3" w:tplc="0C090001" w:tentative="1">
      <w:start w:val="1"/>
      <w:numFmt w:val="bullet"/>
      <w:lvlText w:val=""/>
      <w:lvlJc w:val="left"/>
      <w:pPr>
        <w:ind w:left="3617" w:hanging="360"/>
      </w:pPr>
      <w:rPr>
        <w:rFonts w:ascii="Symbol" w:hAnsi="Symbol" w:hint="default"/>
      </w:rPr>
    </w:lvl>
    <w:lvl w:ilvl="4" w:tplc="0C090003" w:tentative="1">
      <w:start w:val="1"/>
      <w:numFmt w:val="bullet"/>
      <w:lvlText w:val="o"/>
      <w:lvlJc w:val="left"/>
      <w:pPr>
        <w:ind w:left="4337" w:hanging="360"/>
      </w:pPr>
      <w:rPr>
        <w:rFonts w:ascii="Courier New" w:hAnsi="Courier New" w:cs="Courier New" w:hint="default"/>
      </w:rPr>
    </w:lvl>
    <w:lvl w:ilvl="5" w:tplc="0C090005" w:tentative="1">
      <w:start w:val="1"/>
      <w:numFmt w:val="bullet"/>
      <w:lvlText w:val=""/>
      <w:lvlJc w:val="left"/>
      <w:pPr>
        <w:ind w:left="5057" w:hanging="360"/>
      </w:pPr>
      <w:rPr>
        <w:rFonts w:ascii="Wingdings" w:hAnsi="Wingdings" w:hint="default"/>
      </w:rPr>
    </w:lvl>
    <w:lvl w:ilvl="6" w:tplc="0C090001" w:tentative="1">
      <w:start w:val="1"/>
      <w:numFmt w:val="bullet"/>
      <w:lvlText w:val=""/>
      <w:lvlJc w:val="left"/>
      <w:pPr>
        <w:ind w:left="5777" w:hanging="360"/>
      </w:pPr>
      <w:rPr>
        <w:rFonts w:ascii="Symbol" w:hAnsi="Symbol" w:hint="default"/>
      </w:rPr>
    </w:lvl>
    <w:lvl w:ilvl="7" w:tplc="0C090003" w:tentative="1">
      <w:start w:val="1"/>
      <w:numFmt w:val="bullet"/>
      <w:lvlText w:val="o"/>
      <w:lvlJc w:val="left"/>
      <w:pPr>
        <w:ind w:left="6497" w:hanging="360"/>
      </w:pPr>
      <w:rPr>
        <w:rFonts w:ascii="Courier New" w:hAnsi="Courier New" w:cs="Courier New" w:hint="default"/>
      </w:rPr>
    </w:lvl>
    <w:lvl w:ilvl="8" w:tplc="0C090005" w:tentative="1">
      <w:start w:val="1"/>
      <w:numFmt w:val="bullet"/>
      <w:lvlText w:val=""/>
      <w:lvlJc w:val="left"/>
      <w:pPr>
        <w:ind w:left="7217" w:hanging="360"/>
      </w:pPr>
      <w:rPr>
        <w:rFonts w:ascii="Wingdings" w:hAnsi="Wingdings" w:hint="default"/>
      </w:rPr>
    </w:lvl>
  </w:abstractNum>
  <w:abstractNum w:abstractNumId="24" w15:restartNumberingAfterBreak="0">
    <w:nsid w:val="7D0861FF"/>
    <w:multiLevelType w:val="multilevel"/>
    <w:tmpl w:val="1BC46E94"/>
    <w:lvl w:ilvl="0">
      <w:start w:val="1"/>
      <w:numFmt w:val="decimal"/>
      <w:lvlRestart w:val="0"/>
      <w:pStyle w:val="fcHeading1"/>
      <w:lvlText w:val="%1."/>
      <w:lvlJc w:val="left"/>
      <w:pPr>
        <w:tabs>
          <w:tab w:val="num" w:pos="1134"/>
        </w:tabs>
        <w:ind w:left="1134" w:hanging="1134"/>
      </w:pPr>
      <w:rPr>
        <w:rFonts w:hint="default"/>
      </w:rPr>
    </w:lvl>
    <w:lvl w:ilvl="1">
      <w:start w:val="1"/>
      <w:numFmt w:val="decimal"/>
      <w:pStyle w:val="fcHeading2"/>
      <w:lvlText w:val="%1.%2"/>
      <w:lvlJc w:val="left"/>
      <w:pPr>
        <w:tabs>
          <w:tab w:val="num" w:pos="1134"/>
        </w:tabs>
        <w:ind w:left="1134" w:hanging="1134"/>
      </w:pPr>
      <w:rPr>
        <w:rFonts w:hint="default"/>
      </w:rPr>
    </w:lvl>
    <w:lvl w:ilvl="2">
      <w:start w:val="1"/>
      <w:numFmt w:val="decimal"/>
      <w:pStyle w:val="fcHeading3"/>
      <w:lvlText w:val="%1.%2.%3"/>
      <w:lvlJc w:val="left"/>
      <w:pPr>
        <w:tabs>
          <w:tab w:val="num" w:pos="1134"/>
        </w:tabs>
        <w:ind w:left="1134" w:hanging="1134"/>
      </w:pPr>
      <w:rPr>
        <w:rFonts w:hint="default"/>
      </w:rPr>
    </w:lvl>
    <w:lvl w:ilvl="3">
      <w:start w:val="1"/>
      <w:numFmt w:val="decimal"/>
      <w:pStyle w:val="fcHeading4"/>
      <w:lvlText w:val="%1.%2.%3.%4"/>
      <w:lvlJc w:val="left"/>
      <w:pPr>
        <w:tabs>
          <w:tab w:val="num" w:pos="1134"/>
        </w:tabs>
        <w:ind w:left="1134" w:hanging="1134"/>
      </w:pPr>
      <w:rPr>
        <w:rFonts w:hint="default"/>
      </w:rPr>
    </w:lvl>
    <w:lvl w:ilvl="4">
      <w:start w:val="1"/>
      <w:numFmt w:val="decimal"/>
      <w:pStyle w:val="fcHeading5"/>
      <w:lvlText w:val="%1.%2.%3.%4.%5"/>
      <w:lvlJc w:val="left"/>
      <w:pPr>
        <w:tabs>
          <w:tab w:val="num" w:pos="1134"/>
        </w:tabs>
        <w:ind w:left="1134" w:hanging="113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num w:numId="1">
    <w:abstractNumId w:val="14"/>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2"/>
  </w:num>
  <w:num w:numId="14">
    <w:abstractNumId w:val="20"/>
  </w:num>
  <w:num w:numId="15">
    <w:abstractNumId w:val="21"/>
  </w:num>
  <w:num w:numId="16">
    <w:abstractNumId w:val="24"/>
  </w:num>
  <w:num w:numId="17">
    <w:abstractNumId w:val="13"/>
  </w:num>
  <w:num w:numId="18">
    <w:abstractNumId w:val="23"/>
  </w:num>
  <w:num w:numId="19">
    <w:abstractNumId w:val="11"/>
  </w:num>
  <w:num w:numId="20">
    <w:abstractNumId w:val="17"/>
  </w:num>
  <w:num w:numId="21">
    <w:abstractNumId w:val="15"/>
    <w:lvlOverride w:ilvl="0">
      <w:lvl w:ilvl="0">
        <w:start w:val="1"/>
        <w:numFmt w:val="decimal"/>
        <w:pStyle w:val="Order1"/>
        <w:lvlText w:val="%1."/>
        <w:lvlJc w:val="left"/>
        <w:pPr>
          <w:tabs>
            <w:tab w:val="num" w:pos="720"/>
          </w:tabs>
          <w:ind w:left="720" w:hanging="720"/>
        </w:pPr>
        <w:rPr>
          <w:rFonts w:ascii="Times New Roman" w:hAnsi="Times New Roman" w:hint="default"/>
          <w:sz w:val="24"/>
        </w:rPr>
      </w:lvl>
    </w:lvlOverride>
  </w:num>
  <w:num w:numId="22">
    <w:abstractNumId w:val="16"/>
  </w:num>
  <w:num w:numId="23">
    <w:abstractNumId w:val="19"/>
  </w:num>
  <w:num w:numId="24">
    <w:abstractNumId w:val="10"/>
  </w:num>
  <w:num w:numId="25">
    <w:abstractNumId w:val="10"/>
  </w:num>
  <w:num w:numId="26">
    <w:abstractNumId w:val="15"/>
    <w:lvlOverride w:ilvl="0">
      <w:startOverride w:val="1"/>
    </w:lvlOverride>
    <w:lvlOverride w:ilvl="1">
      <w:startOverride w:val="1"/>
    </w:lvlOverride>
    <w:lvlOverride w:ilvl="2">
      <w:startOverride w:val="1"/>
    </w:lvlOverride>
    <w:lvlOverride w:ilvl="3"/>
    <w:lvlOverride w:ilvl="4"/>
    <w:lvlOverride w:ilvl="5">
      <w:startOverride w:val="1"/>
    </w:lvlOverride>
    <w:lvlOverride w:ilvl="6">
      <w:startOverride w:val="1"/>
    </w:lvlOverride>
    <w:lvlOverride w:ilvl="7">
      <w:startOverride w:val="1"/>
    </w:lvlOverride>
    <w:lvlOverride w:ilvl="8">
      <w:startOverride w:val="1"/>
    </w:lvlOverride>
  </w:num>
  <w:num w:numId="27">
    <w:abstractNumId w:val="19"/>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8"/>
  </w:num>
  <w:num w:numId="33">
    <w:abstractNumId w:val="19"/>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9"/>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en-AU" w:vendorID="64" w:dllVersion="4096" w:nlCheck="1" w:checkStyle="0"/>
  <w:activeWritingStyle w:appName="MSWord" w:lang="en-US" w:vendorID="64" w:dllVersion="4096" w:nlCheck="1" w:checkStyle="0"/>
  <w:activeWritingStyle w:appName="MSWord" w:lang="en-AU" w:vendorID="64" w:dllVersion="131078" w:nlCheck="1" w:checkStyle="1"/>
  <w:activeWritingStyle w:appName="MSWord" w:lang="en-AU" w:vendorID="8" w:dllVersion="513" w:checkStyle="1"/>
  <w:proofState w:spelling="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916"/>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PAndAnother" w:val="True"/>
    <w:docVar w:name="APPAndOthers" w:val="False"/>
    <w:docVar w:name="Applicant" w:val="Kane Dallow"/>
    <w:docVar w:name="CounselParties" w:val="Respondent"/>
    <w:docVar w:name="CounselType" w:val="Solicitor for the "/>
    <w:docVar w:name="Court" w:val="Federal Court of Australia"/>
    <w:docVar w:name="Cross1AndAnother" w:val="True"/>
    <w:docVar w:name="Cross1AndOthers" w:val="False"/>
    <w:docVar w:name="Cross2AndAnother" w:val="True"/>
    <w:docVar w:name="Cross2AndOthers" w:val="False"/>
    <w:docVar w:name="Defenders" w:val="(and another named in the Schedule)"/>
    <w:docVar w:name="Division" w:val="General Division of the FCA"/>
    <w:docVar w:name="DocCreated" w:val="True"/>
    <w:docVar w:name="FileNumbers" w:val="TAD 34 of 2021"/>
    <w:docVar w:name="grpRadioJudges" w:val="Justice"/>
    <w:docVar w:name="Initiators" w:val="(and another named in the Schedule)"/>
    <w:docVar w:name="InTheMatterOf" w:val="Kane Dallow "/>
    <w:docVar w:name="Judgdate" w:val="## August 2021"/>
    <w:docVar w:name="Judge" w:val="Anderson J"/>
    <w:docVar w:name="lstEntryList" w:val="-1"/>
    <w:docVar w:name="myEntryList" w:val="Solicitor for the Applicant=|Counsel for the Applicant=|Counsel for the Respondent=|Solicitor for the Respondent="/>
    <w:docVar w:name="NSD" w:val="NSD "/>
    <w:docVar w:name="NumApps" w:val="1"/>
    <w:docVar w:name="NumApps_" w:val="1"/>
    <w:docVar w:name="NumCrossResps" w:val="0"/>
    <w:docVar w:name="NumDefs" w:val="1"/>
    <w:docVar w:name="NumOthers" w:val="0"/>
    <w:docVar w:name="OtherNum" w:val="0"/>
    <w:docVar w:name="Parties1" w:val="Applicant"/>
    <w:docVar w:name="Parties2" w:val="Respondent"/>
    <w:docVar w:name="Parties3" w:val="Cross-Appellant"/>
    <w:docVar w:name="Parties4" w:val="Cross-Defendant"/>
    <w:docVar w:name="Parties5" w:val="Intervener"/>
    <w:docVar w:name="Place" w:val="Melbourne"/>
    <w:docVar w:name="PracticeArea" w:val="N/A FCC, FCoA"/>
    <w:docVar w:name="RadioJudge" w:val="False"/>
    <w:docVar w:name="RadioJustice" w:val="True"/>
    <w:docVar w:name="RadioJustices" w:val="False"/>
    <w:docVar w:name="RESAndAnother" w:val="True"/>
    <w:docVar w:name="RESAndOthers" w:val="False"/>
    <w:docVar w:name="Respondent" w:val="Michael Ferguson"/>
    <w:docVar w:name="ResState" w:val="Australian Capital Territory"/>
    <w:docVar w:name="SubArea" w:val="[none]"/>
  </w:docVars>
  <w:rsids>
    <w:rsidRoot w:val="00572D95"/>
    <w:rsid w:val="00000747"/>
    <w:rsid w:val="00003AF7"/>
    <w:rsid w:val="000050AB"/>
    <w:rsid w:val="000056F6"/>
    <w:rsid w:val="0000656F"/>
    <w:rsid w:val="00007388"/>
    <w:rsid w:val="00010868"/>
    <w:rsid w:val="000115C5"/>
    <w:rsid w:val="0001469E"/>
    <w:rsid w:val="00015993"/>
    <w:rsid w:val="00016067"/>
    <w:rsid w:val="00016685"/>
    <w:rsid w:val="00020001"/>
    <w:rsid w:val="00020EE7"/>
    <w:rsid w:val="00021CCB"/>
    <w:rsid w:val="00022289"/>
    <w:rsid w:val="000222BD"/>
    <w:rsid w:val="00025D6A"/>
    <w:rsid w:val="000264CA"/>
    <w:rsid w:val="00027398"/>
    <w:rsid w:val="0003201A"/>
    <w:rsid w:val="0003207A"/>
    <w:rsid w:val="00032F9F"/>
    <w:rsid w:val="00034EF5"/>
    <w:rsid w:val="00041C07"/>
    <w:rsid w:val="00045530"/>
    <w:rsid w:val="00045BB7"/>
    <w:rsid w:val="00050CF5"/>
    <w:rsid w:val="0005476E"/>
    <w:rsid w:val="00055671"/>
    <w:rsid w:val="00055719"/>
    <w:rsid w:val="00055FE2"/>
    <w:rsid w:val="0005641B"/>
    <w:rsid w:val="0006196A"/>
    <w:rsid w:val="00073FF8"/>
    <w:rsid w:val="00081497"/>
    <w:rsid w:val="00085255"/>
    <w:rsid w:val="00085D23"/>
    <w:rsid w:val="00087612"/>
    <w:rsid w:val="00087968"/>
    <w:rsid w:val="00092182"/>
    <w:rsid w:val="00093A7D"/>
    <w:rsid w:val="000A0E0A"/>
    <w:rsid w:val="000A2E76"/>
    <w:rsid w:val="000A4807"/>
    <w:rsid w:val="000A4BE4"/>
    <w:rsid w:val="000B5561"/>
    <w:rsid w:val="000C023E"/>
    <w:rsid w:val="000C070A"/>
    <w:rsid w:val="000C0EDA"/>
    <w:rsid w:val="000C285A"/>
    <w:rsid w:val="000C5195"/>
    <w:rsid w:val="000C5F89"/>
    <w:rsid w:val="000C62EF"/>
    <w:rsid w:val="000D0F4E"/>
    <w:rsid w:val="000D2137"/>
    <w:rsid w:val="000D3FD2"/>
    <w:rsid w:val="000D4B2E"/>
    <w:rsid w:val="000D56E6"/>
    <w:rsid w:val="000E3C0C"/>
    <w:rsid w:val="000E3FC8"/>
    <w:rsid w:val="000E7BAE"/>
    <w:rsid w:val="000F0B09"/>
    <w:rsid w:val="000F133D"/>
    <w:rsid w:val="000F3976"/>
    <w:rsid w:val="000F405C"/>
    <w:rsid w:val="000F6CE5"/>
    <w:rsid w:val="0010536B"/>
    <w:rsid w:val="001066F9"/>
    <w:rsid w:val="0011145C"/>
    <w:rsid w:val="00111558"/>
    <w:rsid w:val="00112316"/>
    <w:rsid w:val="001128BD"/>
    <w:rsid w:val="00113584"/>
    <w:rsid w:val="0011419D"/>
    <w:rsid w:val="00114B02"/>
    <w:rsid w:val="001226C0"/>
    <w:rsid w:val="00124A91"/>
    <w:rsid w:val="001250D1"/>
    <w:rsid w:val="00126EC8"/>
    <w:rsid w:val="0012731C"/>
    <w:rsid w:val="001276CE"/>
    <w:rsid w:val="00132054"/>
    <w:rsid w:val="00134964"/>
    <w:rsid w:val="001351B9"/>
    <w:rsid w:val="00137143"/>
    <w:rsid w:val="00147174"/>
    <w:rsid w:val="00153FD6"/>
    <w:rsid w:val="00155CD2"/>
    <w:rsid w:val="001562B2"/>
    <w:rsid w:val="00160504"/>
    <w:rsid w:val="00161742"/>
    <w:rsid w:val="00161F86"/>
    <w:rsid w:val="001727A4"/>
    <w:rsid w:val="00172A80"/>
    <w:rsid w:val="0017376C"/>
    <w:rsid w:val="001738AB"/>
    <w:rsid w:val="001765E0"/>
    <w:rsid w:val="00177759"/>
    <w:rsid w:val="00180BB3"/>
    <w:rsid w:val="00182BBF"/>
    <w:rsid w:val="00185E6B"/>
    <w:rsid w:val="0018651F"/>
    <w:rsid w:val="00186722"/>
    <w:rsid w:val="00187BBC"/>
    <w:rsid w:val="001932B7"/>
    <w:rsid w:val="001932F3"/>
    <w:rsid w:val="00195E34"/>
    <w:rsid w:val="00196F18"/>
    <w:rsid w:val="00196F6D"/>
    <w:rsid w:val="001A2B40"/>
    <w:rsid w:val="001A4309"/>
    <w:rsid w:val="001A46AE"/>
    <w:rsid w:val="001A59D4"/>
    <w:rsid w:val="001A6C52"/>
    <w:rsid w:val="001A7236"/>
    <w:rsid w:val="001B0DAE"/>
    <w:rsid w:val="001B1053"/>
    <w:rsid w:val="001B14AC"/>
    <w:rsid w:val="001B36E7"/>
    <w:rsid w:val="001B3CAB"/>
    <w:rsid w:val="001B6A39"/>
    <w:rsid w:val="001B739A"/>
    <w:rsid w:val="001B7940"/>
    <w:rsid w:val="001C171A"/>
    <w:rsid w:val="001C37CA"/>
    <w:rsid w:val="001C4085"/>
    <w:rsid w:val="001C4211"/>
    <w:rsid w:val="001C4BED"/>
    <w:rsid w:val="001C54CA"/>
    <w:rsid w:val="001D4303"/>
    <w:rsid w:val="001D6746"/>
    <w:rsid w:val="001E1323"/>
    <w:rsid w:val="001E3141"/>
    <w:rsid w:val="001E39D6"/>
    <w:rsid w:val="001E3B49"/>
    <w:rsid w:val="001E42F6"/>
    <w:rsid w:val="001E42FF"/>
    <w:rsid w:val="001E4A05"/>
    <w:rsid w:val="001E7388"/>
    <w:rsid w:val="001F13DD"/>
    <w:rsid w:val="001F2473"/>
    <w:rsid w:val="001F2DBC"/>
    <w:rsid w:val="001F73E8"/>
    <w:rsid w:val="001F7F4A"/>
    <w:rsid w:val="0020172C"/>
    <w:rsid w:val="0020262C"/>
    <w:rsid w:val="00202723"/>
    <w:rsid w:val="00205C6A"/>
    <w:rsid w:val="00211A3E"/>
    <w:rsid w:val="00213471"/>
    <w:rsid w:val="00215BCA"/>
    <w:rsid w:val="00217AC4"/>
    <w:rsid w:val="00221461"/>
    <w:rsid w:val="00222F1B"/>
    <w:rsid w:val="00224537"/>
    <w:rsid w:val="00235956"/>
    <w:rsid w:val="00243E5E"/>
    <w:rsid w:val="00244A7F"/>
    <w:rsid w:val="002469BC"/>
    <w:rsid w:val="00247C9A"/>
    <w:rsid w:val="0025160C"/>
    <w:rsid w:val="00251B6A"/>
    <w:rsid w:val="002535D0"/>
    <w:rsid w:val="002539B3"/>
    <w:rsid w:val="00253AFD"/>
    <w:rsid w:val="00256336"/>
    <w:rsid w:val="00257C3E"/>
    <w:rsid w:val="002602C2"/>
    <w:rsid w:val="00265CF3"/>
    <w:rsid w:val="002666C9"/>
    <w:rsid w:val="00270136"/>
    <w:rsid w:val="00270FD7"/>
    <w:rsid w:val="00271C13"/>
    <w:rsid w:val="00273D9B"/>
    <w:rsid w:val="00274F5B"/>
    <w:rsid w:val="00276C17"/>
    <w:rsid w:val="002775CA"/>
    <w:rsid w:val="00277FA1"/>
    <w:rsid w:val="002801D2"/>
    <w:rsid w:val="00280836"/>
    <w:rsid w:val="00282E1A"/>
    <w:rsid w:val="002840F1"/>
    <w:rsid w:val="0029113B"/>
    <w:rsid w:val="002934C0"/>
    <w:rsid w:val="00295B05"/>
    <w:rsid w:val="0029764C"/>
    <w:rsid w:val="002A1B50"/>
    <w:rsid w:val="002A2EB5"/>
    <w:rsid w:val="002A68E6"/>
    <w:rsid w:val="002B0427"/>
    <w:rsid w:val="002B0E91"/>
    <w:rsid w:val="002B132C"/>
    <w:rsid w:val="002B205A"/>
    <w:rsid w:val="002B3F23"/>
    <w:rsid w:val="002B4EB5"/>
    <w:rsid w:val="002B5AF5"/>
    <w:rsid w:val="002B671D"/>
    <w:rsid w:val="002B6779"/>
    <w:rsid w:val="002B6C1B"/>
    <w:rsid w:val="002B71C0"/>
    <w:rsid w:val="002B7A34"/>
    <w:rsid w:val="002B7B20"/>
    <w:rsid w:val="002C31AD"/>
    <w:rsid w:val="002C3876"/>
    <w:rsid w:val="002C5080"/>
    <w:rsid w:val="002C5C2A"/>
    <w:rsid w:val="002C648D"/>
    <w:rsid w:val="002C7385"/>
    <w:rsid w:val="002C7F59"/>
    <w:rsid w:val="002D2DBB"/>
    <w:rsid w:val="002D37D8"/>
    <w:rsid w:val="002D3ED4"/>
    <w:rsid w:val="002D54A6"/>
    <w:rsid w:val="002E5BF9"/>
    <w:rsid w:val="002E66F3"/>
    <w:rsid w:val="002E6A7A"/>
    <w:rsid w:val="002F1E49"/>
    <w:rsid w:val="002F3B81"/>
    <w:rsid w:val="002F3F20"/>
    <w:rsid w:val="002F4E9C"/>
    <w:rsid w:val="002F537F"/>
    <w:rsid w:val="0030143B"/>
    <w:rsid w:val="003023EE"/>
    <w:rsid w:val="00302F4E"/>
    <w:rsid w:val="0030538E"/>
    <w:rsid w:val="00306E34"/>
    <w:rsid w:val="0031256C"/>
    <w:rsid w:val="00312ED0"/>
    <w:rsid w:val="00314586"/>
    <w:rsid w:val="00314974"/>
    <w:rsid w:val="00314D6C"/>
    <w:rsid w:val="00316D2A"/>
    <w:rsid w:val="00322A7C"/>
    <w:rsid w:val="00322EEC"/>
    <w:rsid w:val="00323061"/>
    <w:rsid w:val="003402D3"/>
    <w:rsid w:val="003419D9"/>
    <w:rsid w:val="00343077"/>
    <w:rsid w:val="00343ABC"/>
    <w:rsid w:val="00344B17"/>
    <w:rsid w:val="003463FE"/>
    <w:rsid w:val="00347D41"/>
    <w:rsid w:val="00350612"/>
    <w:rsid w:val="003554B3"/>
    <w:rsid w:val="00356632"/>
    <w:rsid w:val="00356652"/>
    <w:rsid w:val="00357A5D"/>
    <w:rsid w:val="00357C7E"/>
    <w:rsid w:val="003653B6"/>
    <w:rsid w:val="0037118F"/>
    <w:rsid w:val="00372C82"/>
    <w:rsid w:val="00374CC4"/>
    <w:rsid w:val="00374EBB"/>
    <w:rsid w:val="003774B2"/>
    <w:rsid w:val="0038007D"/>
    <w:rsid w:val="00380F2D"/>
    <w:rsid w:val="003845A9"/>
    <w:rsid w:val="003850C9"/>
    <w:rsid w:val="00386159"/>
    <w:rsid w:val="00387EDA"/>
    <w:rsid w:val="00390883"/>
    <w:rsid w:val="003922F8"/>
    <w:rsid w:val="00395B24"/>
    <w:rsid w:val="003A09AB"/>
    <w:rsid w:val="003A2D38"/>
    <w:rsid w:val="003A2DAD"/>
    <w:rsid w:val="003A6482"/>
    <w:rsid w:val="003A7ECC"/>
    <w:rsid w:val="003B0E43"/>
    <w:rsid w:val="003B1EEC"/>
    <w:rsid w:val="003B2C72"/>
    <w:rsid w:val="003B45FF"/>
    <w:rsid w:val="003B58B4"/>
    <w:rsid w:val="003B5C8C"/>
    <w:rsid w:val="003B69AF"/>
    <w:rsid w:val="003C1333"/>
    <w:rsid w:val="003C20FF"/>
    <w:rsid w:val="003C550A"/>
    <w:rsid w:val="003C6055"/>
    <w:rsid w:val="003C7D09"/>
    <w:rsid w:val="003D2650"/>
    <w:rsid w:val="003D560C"/>
    <w:rsid w:val="003D5C00"/>
    <w:rsid w:val="003E3154"/>
    <w:rsid w:val="003E5874"/>
    <w:rsid w:val="003E72D3"/>
    <w:rsid w:val="003F193E"/>
    <w:rsid w:val="003F242C"/>
    <w:rsid w:val="003F34F1"/>
    <w:rsid w:val="003F3E72"/>
    <w:rsid w:val="003F4E8F"/>
    <w:rsid w:val="00402241"/>
    <w:rsid w:val="004062E7"/>
    <w:rsid w:val="004104B6"/>
    <w:rsid w:val="00410706"/>
    <w:rsid w:val="00411AE8"/>
    <w:rsid w:val="00412EAA"/>
    <w:rsid w:val="00413B74"/>
    <w:rsid w:val="0041526A"/>
    <w:rsid w:val="004277EB"/>
    <w:rsid w:val="004342F3"/>
    <w:rsid w:val="00435C5F"/>
    <w:rsid w:val="00436155"/>
    <w:rsid w:val="00441E98"/>
    <w:rsid w:val="00441EDD"/>
    <w:rsid w:val="0044320C"/>
    <w:rsid w:val="0044362C"/>
    <w:rsid w:val="00444249"/>
    <w:rsid w:val="00447A42"/>
    <w:rsid w:val="00450F3A"/>
    <w:rsid w:val="00450FD1"/>
    <w:rsid w:val="004532F7"/>
    <w:rsid w:val="00454BEC"/>
    <w:rsid w:val="00460B36"/>
    <w:rsid w:val="00464D51"/>
    <w:rsid w:val="00472027"/>
    <w:rsid w:val="00474887"/>
    <w:rsid w:val="0047594C"/>
    <w:rsid w:val="00475BAE"/>
    <w:rsid w:val="00475CC0"/>
    <w:rsid w:val="00476030"/>
    <w:rsid w:val="00476553"/>
    <w:rsid w:val="004804CF"/>
    <w:rsid w:val="00480807"/>
    <w:rsid w:val="00484962"/>
    <w:rsid w:val="00484F6D"/>
    <w:rsid w:val="00484FB7"/>
    <w:rsid w:val="0048554D"/>
    <w:rsid w:val="00486EC8"/>
    <w:rsid w:val="0049273F"/>
    <w:rsid w:val="00492B17"/>
    <w:rsid w:val="0049338A"/>
    <w:rsid w:val="0049417F"/>
    <w:rsid w:val="00495F99"/>
    <w:rsid w:val="004964F8"/>
    <w:rsid w:val="00496D41"/>
    <w:rsid w:val="004970E2"/>
    <w:rsid w:val="00497616"/>
    <w:rsid w:val="004A4251"/>
    <w:rsid w:val="004A6602"/>
    <w:rsid w:val="004A6D03"/>
    <w:rsid w:val="004B3AC2"/>
    <w:rsid w:val="004B3EFA"/>
    <w:rsid w:val="004B5C32"/>
    <w:rsid w:val="004B6683"/>
    <w:rsid w:val="004B6817"/>
    <w:rsid w:val="004C2A87"/>
    <w:rsid w:val="004C4D7B"/>
    <w:rsid w:val="004C4ED3"/>
    <w:rsid w:val="004C5185"/>
    <w:rsid w:val="004C667B"/>
    <w:rsid w:val="004C7ECD"/>
    <w:rsid w:val="004D2EA5"/>
    <w:rsid w:val="004D32A6"/>
    <w:rsid w:val="004D3F88"/>
    <w:rsid w:val="004D53E5"/>
    <w:rsid w:val="004E1E7F"/>
    <w:rsid w:val="004E6DC4"/>
    <w:rsid w:val="004F0B65"/>
    <w:rsid w:val="004F1971"/>
    <w:rsid w:val="004F1C0B"/>
    <w:rsid w:val="004F21C1"/>
    <w:rsid w:val="004F4B1F"/>
    <w:rsid w:val="004F640F"/>
    <w:rsid w:val="00501A12"/>
    <w:rsid w:val="00502538"/>
    <w:rsid w:val="0050309C"/>
    <w:rsid w:val="00507396"/>
    <w:rsid w:val="00511708"/>
    <w:rsid w:val="00512A92"/>
    <w:rsid w:val="0051327C"/>
    <w:rsid w:val="0051346D"/>
    <w:rsid w:val="00513EAE"/>
    <w:rsid w:val="0051434F"/>
    <w:rsid w:val="00515F75"/>
    <w:rsid w:val="00516806"/>
    <w:rsid w:val="005172A4"/>
    <w:rsid w:val="0052098C"/>
    <w:rsid w:val="00520BD9"/>
    <w:rsid w:val="00525A49"/>
    <w:rsid w:val="005262D1"/>
    <w:rsid w:val="00530876"/>
    <w:rsid w:val="0053206A"/>
    <w:rsid w:val="00535613"/>
    <w:rsid w:val="0053587C"/>
    <w:rsid w:val="005359EB"/>
    <w:rsid w:val="00536366"/>
    <w:rsid w:val="00536618"/>
    <w:rsid w:val="005369B3"/>
    <w:rsid w:val="00536C17"/>
    <w:rsid w:val="00541221"/>
    <w:rsid w:val="0054254A"/>
    <w:rsid w:val="005430DF"/>
    <w:rsid w:val="0054500B"/>
    <w:rsid w:val="005466B5"/>
    <w:rsid w:val="00553FB0"/>
    <w:rsid w:val="00554314"/>
    <w:rsid w:val="005544AE"/>
    <w:rsid w:val="005616BB"/>
    <w:rsid w:val="005617E9"/>
    <w:rsid w:val="00562829"/>
    <w:rsid w:val="005629B3"/>
    <w:rsid w:val="00564D9A"/>
    <w:rsid w:val="0056627D"/>
    <w:rsid w:val="005662AB"/>
    <w:rsid w:val="005717D3"/>
    <w:rsid w:val="005724F6"/>
    <w:rsid w:val="00572D95"/>
    <w:rsid w:val="00573AC4"/>
    <w:rsid w:val="005801FC"/>
    <w:rsid w:val="0058053B"/>
    <w:rsid w:val="005812F2"/>
    <w:rsid w:val="00582E79"/>
    <w:rsid w:val="00582E83"/>
    <w:rsid w:val="00584ED1"/>
    <w:rsid w:val="00585BA9"/>
    <w:rsid w:val="005861CE"/>
    <w:rsid w:val="00586950"/>
    <w:rsid w:val="00587359"/>
    <w:rsid w:val="0059002F"/>
    <w:rsid w:val="00592B2E"/>
    <w:rsid w:val="00595016"/>
    <w:rsid w:val="00597AAE"/>
    <w:rsid w:val="005A222C"/>
    <w:rsid w:val="005A3247"/>
    <w:rsid w:val="005A4DF8"/>
    <w:rsid w:val="005A71B9"/>
    <w:rsid w:val="005A78C8"/>
    <w:rsid w:val="005A7D4C"/>
    <w:rsid w:val="005B1426"/>
    <w:rsid w:val="005B74F4"/>
    <w:rsid w:val="005B7F43"/>
    <w:rsid w:val="005C0A8E"/>
    <w:rsid w:val="005C1767"/>
    <w:rsid w:val="005C185C"/>
    <w:rsid w:val="005C1F94"/>
    <w:rsid w:val="005C4285"/>
    <w:rsid w:val="005C42EF"/>
    <w:rsid w:val="005C6B08"/>
    <w:rsid w:val="005C6DBE"/>
    <w:rsid w:val="005D0A7F"/>
    <w:rsid w:val="005D32EC"/>
    <w:rsid w:val="005E0064"/>
    <w:rsid w:val="005E02F5"/>
    <w:rsid w:val="005E0510"/>
    <w:rsid w:val="005E176E"/>
    <w:rsid w:val="005E218E"/>
    <w:rsid w:val="005E35A0"/>
    <w:rsid w:val="005E4E61"/>
    <w:rsid w:val="005F0D1B"/>
    <w:rsid w:val="005F1865"/>
    <w:rsid w:val="005F4072"/>
    <w:rsid w:val="005F6BE6"/>
    <w:rsid w:val="006007BD"/>
    <w:rsid w:val="00600EB4"/>
    <w:rsid w:val="006013C8"/>
    <w:rsid w:val="0060270D"/>
    <w:rsid w:val="00604611"/>
    <w:rsid w:val="00611586"/>
    <w:rsid w:val="00612D26"/>
    <w:rsid w:val="00615855"/>
    <w:rsid w:val="00620AE5"/>
    <w:rsid w:val="00620DA8"/>
    <w:rsid w:val="00621887"/>
    <w:rsid w:val="006225FB"/>
    <w:rsid w:val="00622B5E"/>
    <w:rsid w:val="00624520"/>
    <w:rsid w:val="006271F5"/>
    <w:rsid w:val="00632300"/>
    <w:rsid w:val="00632BB7"/>
    <w:rsid w:val="006346A0"/>
    <w:rsid w:val="00635B36"/>
    <w:rsid w:val="00635D21"/>
    <w:rsid w:val="00636871"/>
    <w:rsid w:val="00637CAB"/>
    <w:rsid w:val="00640EE1"/>
    <w:rsid w:val="00640F4E"/>
    <w:rsid w:val="00642201"/>
    <w:rsid w:val="00643DE0"/>
    <w:rsid w:val="0064437D"/>
    <w:rsid w:val="00644E85"/>
    <w:rsid w:val="00651B38"/>
    <w:rsid w:val="00652C52"/>
    <w:rsid w:val="006573A8"/>
    <w:rsid w:val="0066063F"/>
    <w:rsid w:val="00662BB0"/>
    <w:rsid w:val="00663878"/>
    <w:rsid w:val="00667773"/>
    <w:rsid w:val="00670238"/>
    <w:rsid w:val="00670743"/>
    <w:rsid w:val="00671348"/>
    <w:rsid w:val="0067453A"/>
    <w:rsid w:val="00674C3B"/>
    <w:rsid w:val="00680A85"/>
    <w:rsid w:val="00681ADF"/>
    <w:rsid w:val="00690EE2"/>
    <w:rsid w:val="00693854"/>
    <w:rsid w:val="00694BEB"/>
    <w:rsid w:val="006A0856"/>
    <w:rsid w:val="006A0D0A"/>
    <w:rsid w:val="006A0E20"/>
    <w:rsid w:val="006A24E3"/>
    <w:rsid w:val="006A3D76"/>
    <w:rsid w:val="006A5695"/>
    <w:rsid w:val="006B0439"/>
    <w:rsid w:val="006B3904"/>
    <w:rsid w:val="006B5B7D"/>
    <w:rsid w:val="006B798A"/>
    <w:rsid w:val="006C27BD"/>
    <w:rsid w:val="006C38AB"/>
    <w:rsid w:val="006C42D2"/>
    <w:rsid w:val="006C5A9D"/>
    <w:rsid w:val="006C5B46"/>
    <w:rsid w:val="006C6E39"/>
    <w:rsid w:val="006D0ECF"/>
    <w:rsid w:val="006D3D5B"/>
    <w:rsid w:val="006D43EB"/>
    <w:rsid w:val="006D4C92"/>
    <w:rsid w:val="006D4EB6"/>
    <w:rsid w:val="006D5507"/>
    <w:rsid w:val="006D56FD"/>
    <w:rsid w:val="006E35BF"/>
    <w:rsid w:val="006E5287"/>
    <w:rsid w:val="006E7850"/>
    <w:rsid w:val="006F04A3"/>
    <w:rsid w:val="006F1DC0"/>
    <w:rsid w:val="006F46D6"/>
    <w:rsid w:val="006F6587"/>
    <w:rsid w:val="006F7A7D"/>
    <w:rsid w:val="007028D9"/>
    <w:rsid w:val="00706393"/>
    <w:rsid w:val="00707218"/>
    <w:rsid w:val="00710D04"/>
    <w:rsid w:val="00712B1D"/>
    <w:rsid w:val="00715751"/>
    <w:rsid w:val="007171BA"/>
    <w:rsid w:val="00717616"/>
    <w:rsid w:val="00721793"/>
    <w:rsid w:val="0072521C"/>
    <w:rsid w:val="00727276"/>
    <w:rsid w:val="00731DE9"/>
    <w:rsid w:val="007325D9"/>
    <w:rsid w:val="007327C8"/>
    <w:rsid w:val="00734D1C"/>
    <w:rsid w:val="0073583B"/>
    <w:rsid w:val="007358FA"/>
    <w:rsid w:val="007360CA"/>
    <w:rsid w:val="007415B1"/>
    <w:rsid w:val="00742D59"/>
    <w:rsid w:val="00742F36"/>
    <w:rsid w:val="00744A65"/>
    <w:rsid w:val="0074667B"/>
    <w:rsid w:val="00746A44"/>
    <w:rsid w:val="007470BD"/>
    <w:rsid w:val="0075629A"/>
    <w:rsid w:val="0075766B"/>
    <w:rsid w:val="007602A3"/>
    <w:rsid w:val="00760EC0"/>
    <w:rsid w:val="007620D7"/>
    <w:rsid w:val="0076653E"/>
    <w:rsid w:val="007711BD"/>
    <w:rsid w:val="00771E9A"/>
    <w:rsid w:val="00772B04"/>
    <w:rsid w:val="00774721"/>
    <w:rsid w:val="0078003A"/>
    <w:rsid w:val="00780771"/>
    <w:rsid w:val="007824D9"/>
    <w:rsid w:val="00792421"/>
    <w:rsid w:val="007928A8"/>
    <w:rsid w:val="007929CF"/>
    <w:rsid w:val="00796C94"/>
    <w:rsid w:val="007A2162"/>
    <w:rsid w:val="007A49E7"/>
    <w:rsid w:val="007A613E"/>
    <w:rsid w:val="007A6EAD"/>
    <w:rsid w:val="007A6F28"/>
    <w:rsid w:val="007A7696"/>
    <w:rsid w:val="007B03C6"/>
    <w:rsid w:val="007B0DB1"/>
    <w:rsid w:val="007B5673"/>
    <w:rsid w:val="007B7210"/>
    <w:rsid w:val="007B7238"/>
    <w:rsid w:val="007B76FF"/>
    <w:rsid w:val="007B7D34"/>
    <w:rsid w:val="007C0C37"/>
    <w:rsid w:val="007C3BF6"/>
    <w:rsid w:val="007C4A44"/>
    <w:rsid w:val="007C67B3"/>
    <w:rsid w:val="007D0FD2"/>
    <w:rsid w:val="007D1DDE"/>
    <w:rsid w:val="007D2E29"/>
    <w:rsid w:val="007D2EF8"/>
    <w:rsid w:val="007D479E"/>
    <w:rsid w:val="007D4B80"/>
    <w:rsid w:val="007D561F"/>
    <w:rsid w:val="007D7FD2"/>
    <w:rsid w:val="007E11AC"/>
    <w:rsid w:val="007E13D9"/>
    <w:rsid w:val="007E2AEC"/>
    <w:rsid w:val="007E2F08"/>
    <w:rsid w:val="007E39DE"/>
    <w:rsid w:val="007E41BE"/>
    <w:rsid w:val="007E4DB6"/>
    <w:rsid w:val="007E5FF8"/>
    <w:rsid w:val="007E6733"/>
    <w:rsid w:val="007E7CD4"/>
    <w:rsid w:val="007F12AC"/>
    <w:rsid w:val="007F38EC"/>
    <w:rsid w:val="007F4501"/>
    <w:rsid w:val="007F60DF"/>
    <w:rsid w:val="00801800"/>
    <w:rsid w:val="00801861"/>
    <w:rsid w:val="00801B5B"/>
    <w:rsid w:val="00807F60"/>
    <w:rsid w:val="008216E7"/>
    <w:rsid w:val="00825345"/>
    <w:rsid w:val="00825BE6"/>
    <w:rsid w:val="008276B4"/>
    <w:rsid w:val="00831927"/>
    <w:rsid w:val="008342BB"/>
    <w:rsid w:val="00837288"/>
    <w:rsid w:val="00841BD3"/>
    <w:rsid w:val="0084273D"/>
    <w:rsid w:val="0084392B"/>
    <w:rsid w:val="00844E3F"/>
    <w:rsid w:val="00845A83"/>
    <w:rsid w:val="00845CD4"/>
    <w:rsid w:val="00846BB9"/>
    <w:rsid w:val="0085466F"/>
    <w:rsid w:val="00854CD3"/>
    <w:rsid w:val="008577CE"/>
    <w:rsid w:val="008649D5"/>
    <w:rsid w:val="00867ED5"/>
    <w:rsid w:val="008712BB"/>
    <w:rsid w:val="00871450"/>
    <w:rsid w:val="00880772"/>
    <w:rsid w:val="008830E7"/>
    <w:rsid w:val="00886793"/>
    <w:rsid w:val="00890EDE"/>
    <w:rsid w:val="00891BF7"/>
    <w:rsid w:val="00892B38"/>
    <w:rsid w:val="00897ACE"/>
    <w:rsid w:val="008A1741"/>
    <w:rsid w:val="008A2484"/>
    <w:rsid w:val="008A30EF"/>
    <w:rsid w:val="008A5226"/>
    <w:rsid w:val="008A52F3"/>
    <w:rsid w:val="008A5381"/>
    <w:rsid w:val="008B1D05"/>
    <w:rsid w:val="008B26A5"/>
    <w:rsid w:val="008B462D"/>
    <w:rsid w:val="008B796C"/>
    <w:rsid w:val="008C1897"/>
    <w:rsid w:val="008C26D9"/>
    <w:rsid w:val="008C6D50"/>
    <w:rsid w:val="008C7167"/>
    <w:rsid w:val="008C7503"/>
    <w:rsid w:val="008C7DD9"/>
    <w:rsid w:val="008D1617"/>
    <w:rsid w:val="008D330F"/>
    <w:rsid w:val="008D48C1"/>
    <w:rsid w:val="008E62D2"/>
    <w:rsid w:val="008E6315"/>
    <w:rsid w:val="008F07FC"/>
    <w:rsid w:val="008F0E5E"/>
    <w:rsid w:val="008F11E0"/>
    <w:rsid w:val="008F147A"/>
    <w:rsid w:val="008F3EA7"/>
    <w:rsid w:val="008F5801"/>
    <w:rsid w:val="008F78BC"/>
    <w:rsid w:val="008F7B63"/>
    <w:rsid w:val="008F7D6A"/>
    <w:rsid w:val="009017F6"/>
    <w:rsid w:val="00901C86"/>
    <w:rsid w:val="00902011"/>
    <w:rsid w:val="00903603"/>
    <w:rsid w:val="009054CB"/>
    <w:rsid w:val="009059DB"/>
    <w:rsid w:val="0091096A"/>
    <w:rsid w:val="00910F61"/>
    <w:rsid w:val="00911DC5"/>
    <w:rsid w:val="00911F8D"/>
    <w:rsid w:val="00912F94"/>
    <w:rsid w:val="0091347B"/>
    <w:rsid w:val="009162FD"/>
    <w:rsid w:val="009171BC"/>
    <w:rsid w:val="0092379E"/>
    <w:rsid w:val="0092497E"/>
    <w:rsid w:val="00925591"/>
    <w:rsid w:val="0092590B"/>
    <w:rsid w:val="00925BF3"/>
    <w:rsid w:val="00925E60"/>
    <w:rsid w:val="009264B3"/>
    <w:rsid w:val="00926A65"/>
    <w:rsid w:val="00932700"/>
    <w:rsid w:val="009335D2"/>
    <w:rsid w:val="00933C97"/>
    <w:rsid w:val="009365E0"/>
    <w:rsid w:val="00942BA2"/>
    <w:rsid w:val="009432B7"/>
    <w:rsid w:val="00943513"/>
    <w:rsid w:val="00944C86"/>
    <w:rsid w:val="00946355"/>
    <w:rsid w:val="009473FB"/>
    <w:rsid w:val="00947C02"/>
    <w:rsid w:val="00950BE6"/>
    <w:rsid w:val="00950C5B"/>
    <w:rsid w:val="009548B1"/>
    <w:rsid w:val="00957DE8"/>
    <w:rsid w:val="00957EBB"/>
    <w:rsid w:val="00960ECB"/>
    <w:rsid w:val="009612D5"/>
    <w:rsid w:val="009615D6"/>
    <w:rsid w:val="009658C8"/>
    <w:rsid w:val="00965AED"/>
    <w:rsid w:val="009676DD"/>
    <w:rsid w:val="00967855"/>
    <w:rsid w:val="009718B0"/>
    <w:rsid w:val="00972388"/>
    <w:rsid w:val="00974709"/>
    <w:rsid w:val="00980736"/>
    <w:rsid w:val="00981A39"/>
    <w:rsid w:val="00982D56"/>
    <w:rsid w:val="00983CD3"/>
    <w:rsid w:val="00983DBF"/>
    <w:rsid w:val="0098551E"/>
    <w:rsid w:val="00987097"/>
    <w:rsid w:val="00991123"/>
    <w:rsid w:val="00991CAB"/>
    <w:rsid w:val="00997FD9"/>
    <w:rsid w:val="009A3A9C"/>
    <w:rsid w:val="009B046C"/>
    <w:rsid w:val="009B13FA"/>
    <w:rsid w:val="009B1E2D"/>
    <w:rsid w:val="009B7CB5"/>
    <w:rsid w:val="009C3A03"/>
    <w:rsid w:val="009C59FB"/>
    <w:rsid w:val="009C6F3B"/>
    <w:rsid w:val="009D0F85"/>
    <w:rsid w:val="009D135A"/>
    <w:rsid w:val="009D1467"/>
    <w:rsid w:val="009D328D"/>
    <w:rsid w:val="009E4FA6"/>
    <w:rsid w:val="009E531E"/>
    <w:rsid w:val="009E7B29"/>
    <w:rsid w:val="009E7D93"/>
    <w:rsid w:val="009F2E0A"/>
    <w:rsid w:val="009F3C34"/>
    <w:rsid w:val="009F462C"/>
    <w:rsid w:val="009F4BF0"/>
    <w:rsid w:val="009F5A1C"/>
    <w:rsid w:val="009F5C33"/>
    <w:rsid w:val="009F5D03"/>
    <w:rsid w:val="009F66C6"/>
    <w:rsid w:val="00A026F0"/>
    <w:rsid w:val="00A03EAC"/>
    <w:rsid w:val="00A04DBB"/>
    <w:rsid w:val="00A07EA0"/>
    <w:rsid w:val="00A11CA6"/>
    <w:rsid w:val="00A14910"/>
    <w:rsid w:val="00A150EB"/>
    <w:rsid w:val="00A20C49"/>
    <w:rsid w:val="00A21EB9"/>
    <w:rsid w:val="00A22874"/>
    <w:rsid w:val="00A22932"/>
    <w:rsid w:val="00A2403E"/>
    <w:rsid w:val="00A241C0"/>
    <w:rsid w:val="00A25506"/>
    <w:rsid w:val="00A269CA"/>
    <w:rsid w:val="00A31827"/>
    <w:rsid w:val="00A32224"/>
    <w:rsid w:val="00A32977"/>
    <w:rsid w:val="00A336EE"/>
    <w:rsid w:val="00A33F46"/>
    <w:rsid w:val="00A3427E"/>
    <w:rsid w:val="00A359AC"/>
    <w:rsid w:val="00A36543"/>
    <w:rsid w:val="00A40F83"/>
    <w:rsid w:val="00A410FB"/>
    <w:rsid w:val="00A41413"/>
    <w:rsid w:val="00A431E6"/>
    <w:rsid w:val="00A43439"/>
    <w:rsid w:val="00A436E8"/>
    <w:rsid w:val="00A45FB1"/>
    <w:rsid w:val="00A46CCC"/>
    <w:rsid w:val="00A47996"/>
    <w:rsid w:val="00A51CFE"/>
    <w:rsid w:val="00A5204D"/>
    <w:rsid w:val="00A531FE"/>
    <w:rsid w:val="00A54C54"/>
    <w:rsid w:val="00A61605"/>
    <w:rsid w:val="00A65F97"/>
    <w:rsid w:val="00A72AB0"/>
    <w:rsid w:val="00A756DC"/>
    <w:rsid w:val="00A76660"/>
    <w:rsid w:val="00A76C13"/>
    <w:rsid w:val="00A84FD0"/>
    <w:rsid w:val="00A8643F"/>
    <w:rsid w:val="00A86BBE"/>
    <w:rsid w:val="00A92E79"/>
    <w:rsid w:val="00A9446E"/>
    <w:rsid w:val="00A950B6"/>
    <w:rsid w:val="00A95D45"/>
    <w:rsid w:val="00A95D69"/>
    <w:rsid w:val="00A97A4F"/>
    <w:rsid w:val="00AB41C1"/>
    <w:rsid w:val="00AB4CF2"/>
    <w:rsid w:val="00AB6CCA"/>
    <w:rsid w:val="00AC223F"/>
    <w:rsid w:val="00AC2930"/>
    <w:rsid w:val="00AC33B1"/>
    <w:rsid w:val="00AC75B3"/>
    <w:rsid w:val="00AD12A8"/>
    <w:rsid w:val="00AD33C9"/>
    <w:rsid w:val="00AD4DAC"/>
    <w:rsid w:val="00AD5AE7"/>
    <w:rsid w:val="00AE023F"/>
    <w:rsid w:val="00AE40E3"/>
    <w:rsid w:val="00AF3577"/>
    <w:rsid w:val="00AF35F9"/>
    <w:rsid w:val="00AF4731"/>
    <w:rsid w:val="00AF5347"/>
    <w:rsid w:val="00B004A8"/>
    <w:rsid w:val="00B0424C"/>
    <w:rsid w:val="00B05C7D"/>
    <w:rsid w:val="00B07432"/>
    <w:rsid w:val="00B07877"/>
    <w:rsid w:val="00B10247"/>
    <w:rsid w:val="00B118DB"/>
    <w:rsid w:val="00B134DD"/>
    <w:rsid w:val="00B15D57"/>
    <w:rsid w:val="00B16347"/>
    <w:rsid w:val="00B16FA6"/>
    <w:rsid w:val="00B17D6E"/>
    <w:rsid w:val="00B20248"/>
    <w:rsid w:val="00B2435E"/>
    <w:rsid w:val="00B26C41"/>
    <w:rsid w:val="00B279FC"/>
    <w:rsid w:val="00B34319"/>
    <w:rsid w:val="00B346C3"/>
    <w:rsid w:val="00B36B4D"/>
    <w:rsid w:val="00B4005C"/>
    <w:rsid w:val="00B4227E"/>
    <w:rsid w:val="00B4471C"/>
    <w:rsid w:val="00B44F60"/>
    <w:rsid w:val="00B451A6"/>
    <w:rsid w:val="00B45360"/>
    <w:rsid w:val="00B51FC9"/>
    <w:rsid w:val="00B53230"/>
    <w:rsid w:val="00B56D6E"/>
    <w:rsid w:val="00B57F94"/>
    <w:rsid w:val="00B64347"/>
    <w:rsid w:val="00B65DC6"/>
    <w:rsid w:val="00B67AC2"/>
    <w:rsid w:val="00B722DE"/>
    <w:rsid w:val="00B751E3"/>
    <w:rsid w:val="00B75360"/>
    <w:rsid w:val="00B75BA6"/>
    <w:rsid w:val="00B76100"/>
    <w:rsid w:val="00B76C44"/>
    <w:rsid w:val="00B8184A"/>
    <w:rsid w:val="00B82283"/>
    <w:rsid w:val="00B828D8"/>
    <w:rsid w:val="00B8310A"/>
    <w:rsid w:val="00B83F87"/>
    <w:rsid w:val="00B87CDC"/>
    <w:rsid w:val="00B90347"/>
    <w:rsid w:val="00B910C1"/>
    <w:rsid w:val="00B91A7B"/>
    <w:rsid w:val="00B9733C"/>
    <w:rsid w:val="00B979F7"/>
    <w:rsid w:val="00BA15F9"/>
    <w:rsid w:val="00BA25C3"/>
    <w:rsid w:val="00BA2CA4"/>
    <w:rsid w:val="00BA2EFA"/>
    <w:rsid w:val="00BA3DBC"/>
    <w:rsid w:val="00BA707A"/>
    <w:rsid w:val="00BB1AFB"/>
    <w:rsid w:val="00BB23D0"/>
    <w:rsid w:val="00BB27AE"/>
    <w:rsid w:val="00BB2DA2"/>
    <w:rsid w:val="00BB56DC"/>
    <w:rsid w:val="00BB6558"/>
    <w:rsid w:val="00BC3752"/>
    <w:rsid w:val="00BC5E01"/>
    <w:rsid w:val="00BC7135"/>
    <w:rsid w:val="00BD31AC"/>
    <w:rsid w:val="00BE183D"/>
    <w:rsid w:val="00BE54F4"/>
    <w:rsid w:val="00BF5D7A"/>
    <w:rsid w:val="00C01C2E"/>
    <w:rsid w:val="00C02D33"/>
    <w:rsid w:val="00C04B53"/>
    <w:rsid w:val="00C05DCB"/>
    <w:rsid w:val="00C07EB3"/>
    <w:rsid w:val="00C109E9"/>
    <w:rsid w:val="00C1232C"/>
    <w:rsid w:val="00C15CFA"/>
    <w:rsid w:val="00C16CA4"/>
    <w:rsid w:val="00C27C6B"/>
    <w:rsid w:val="00C301A2"/>
    <w:rsid w:val="00C3594D"/>
    <w:rsid w:val="00C35C3B"/>
    <w:rsid w:val="00C36442"/>
    <w:rsid w:val="00C400CE"/>
    <w:rsid w:val="00C410FD"/>
    <w:rsid w:val="00C44532"/>
    <w:rsid w:val="00C457DE"/>
    <w:rsid w:val="00C47499"/>
    <w:rsid w:val="00C47DD3"/>
    <w:rsid w:val="00C52196"/>
    <w:rsid w:val="00C521A5"/>
    <w:rsid w:val="00C53562"/>
    <w:rsid w:val="00C539FB"/>
    <w:rsid w:val="00C53EA8"/>
    <w:rsid w:val="00C56664"/>
    <w:rsid w:val="00C6003B"/>
    <w:rsid w:val="00C61245"/>
    <w:rsid w:val="00C6140F"/>
    <w:rsid w:val="00C66E57"/>
    <w:rsid w:val="00C6747C"/>
    <w:rsid w:val="00C67923"/>
    <w:rsid w:val="00C722A8"/>
    <w:rsid w:val="00C74150"/>
    <w:rsid w:val="00C75594"/>
    <w:rsid w:val="00C8022F"/>
    <w:rsid w:val="00C81B66"/>
    <w:rsid w:val="00C81BBC"/>
    <w:rsid w:val="00C82A29"/>
    <w:rsid w:val="00C82F27"/>
    <w:rsid w:val="00C85982"/>
    <w:rsid w:val="00C867A5"/>
    <w:rsid w:val="00C93BE8"/>
    <w:rsid w:val="00C95DEA"/>
    <w:rsid w:val="00CA0466"/>
    <w:rsid w:val="00CA202E"/>
    <w:rsid w:val="00CA246D"/>
    <w:rsid w:val="00CA50D9"/>
    <w:rsid w:val="00CA5C1E"/>
    <w:rsid w:val="00CA7054"/>
    <w:rsid w:val="00CA718D"/>
    <w:rsid w:val="00CB256E"/>
    <w:rsid w:val="00CB3054"/>
    <w:rsid w:val="00CB5636"/>
    <w:rsid w:val="00CC3EE5"/>
    <w:rsid w:val="00CC7D7B"/>
    <w:rsid w:val="00CD4822"/>
    <w:rsid w:val="00CD7CDB"/>
    <w:rsid w:val="00CE0FBC"/>
    <w:rsid w:val="00CE2181"/>
    <w:rsid w:val="00CE425C"/>
    <w:rsid w:val="00CE58AC"/>
    <w:rsid w:val="00CF2B0F"/>
    <w:rsid w:val="00CF5A80"/>
    <w:rsid w:val="00D00033"/>
    <w:rsid w:val="00D01E65"/>
    <w:rsid w:val="00D045EE"/>
    <w:rsid w:val="00D05091"/>
    <w:rsid w:val="00D10CA6"/>
    <w:rsid w:val="00D10F21"/>
    <w:rsid w:val="00D11560"/>
    <w:rsid w:val="00D129E8"/>
    <w:rsid w:val="00D134CF"/>
    <w:rsid w:val="00D1412A"/>
    <w:rsid w:val="00D1573B"/>
    <w:rsid w:val="00D16A38"/>
    <w:rsid w:val="00D17FC6"/>
    <w:rsid w:val="00D200AC"/>
    <w:rsid w:val="00D2101E"/>
    <w:rsid w:val="00D231C6"/>
    <w:rsid w:val="00D24806"/>
    <w:rsid w:val="00D271E0"/>
    <w:rsid w:val="00D27B2D"/>
    <w:rsid w:val="00D31ADB"/>
    <w:rsid w:val="00D3264E"/>
    <w:rsid w:val="00D34040"/>
    <w:rsid w:val="00D34E69"/>
    <w:rsid w:val="00D350A8"/>
    <w:rsid w:val="00D36C78"/>
    <w:rsid w:val="00D375EE"/>
    <w:rsid w:val="00D4068E"/>
    <w:rsid w:val="00D41DA9"/>
    <w:rsid w:val="00D42DF1"/>
    <w:rsid w:val="00D453BC"/>
    <w:rsid w:val="00D52D20"/>
    <w:rsid w:val="00D52F94"/>
    <w:rsid w:val="00D55AE8"/>
    <w:rsid w:val="00D56056"/>
    <w:rsid w:val="00D6085F"/>
    <w:rsid w:val="00D62699"/>
    <w:rsid w:val="00D646A4"/>
    <w:rsid w:val="00D71175"/>
    <w:rsid w:val="00D778E9"/>
    <w:rsid w:val="00D812BF"/>
    <w:rsid w:val="00D82620"/>
    <w:rsid w:val="00D85707"/>
    <w:rsid w:val="00D91846"/>
    <w:rsid w:val="00D930BD"/>
    <w:rsid w:val="00D942B9"/>
    <w:rsid w:val="00D96223"/>
    <w:rsid w:val="00D9725F"/>
    <w:rsid w:val="00DA01B1"/>
    <w:rsid w:val="00DA11A2"/>
    <w:rsid w:val="00DA14ED"/>
    <w:rsid w:val="00DA26D6"/>
    <w:rsid w:val="00DA30D3"/>
    <w:rsid w:val="00DB0AE7"/>
    <w:rsid w:val="00DB0C9E"/>
    <w:rsid w:val="00DB111A"/>
    <w:rsid w:val="00DB162D"/>
    <w:rsid w:val="00DB2EF1"/>
    <w:rsid w:val="00DB34F7"/>
    <w:rsid w:val="00DB3DE1"/>
    <w:rsid w:val="00DB5DA0"/>
    <w:rsid w:val="00DB67C9"/>
    <w:rsid w:val="00DB716C"/>
    <w:rsid w:val="00DC0A65"/>
    <w:rsid w:val="00DC4F4E"/>
    <w:rsid w:val="00DC5C85"/>
    <w:rsid w:val="00DC7C5D"/>
    <w:rsid w:val="00DD406B"/>
    <w:rsid w:val="00DD4236"/>
    <w:rsid w:val="00DD44F1"/>
    <w:rsid w:val="00DD6448"/>
    <w:rsid w:val="00DD6957"/>
    <w:rsid w:val="00DD6E7A"/>
    <w:rsid w:val="00DD7CE7"/>
    <w:rsid w:val="00DE3067"/>
    <w:rsid w:val="00DE643D"/>
    <w:rsid w:val="00DF0669"/>
    <w:rsid w:val="00DF0AEC"/>
    <w:rsid w:val="00DF28BC"/>
    <w:rsid w:val="00DF3EEE"/>
    <w:rsid w:val="00DF61D6"/>
    <w:rsid w:val="00DF75E1"/>
    <w:rsid w:val="00E027BC"/>
    <w:rsid w:val="00E03024"/>
    <w:rsid w:val="00E03079"/>
    <w:rsid w:val="00E102FB"/>
    <w:rsid w:val="00E10F0D"/>
    <w:rsid w:val="00E1173D"/>
    <w:rsid w:val="00E128A5"/>
    <w:rsid w:val="00E14EA5"/>
    <w:rsid w:val="00E15EE1"/>
    <w:rsid w:val="00E2070E"/>
    <w:rsid w:val="00E21133"/>
    <w:rsid w:val="00E215CB"/>
    <w:rsid w:val="00E22D6E"/>
    <w:rsid w:val="00E2327E"/>
    <w:rsid w:val="00E266EF"/>
    <w:rsid w:val="00E26920"/>
    <w:rsid w:val="00E26CDD"/>
    <w:rsid w:val="00E326A8"/>
    <w:rsid w:val="00E358E1"/>
    <w:rsid w:val="00E37F6E"/>
    <w:rsid w:val="00E37F7C"/>
    <w:rsid w:val="00E409CF"/>
    <w:rsid w:val="00E43925"/>
    <w:rsid w:val="00E45B9D"/>
    <w:rsid w:val="00E47428"/>
    <w:rsid w:val="00E51F1B"/>
    <w:rsid w:val="00E52163"/>
    <w:rsid w:val="00E556CB"/>
    <w:rsid w:val="00E56C8E"/>
    <w:rsid w:val="00E5716B"/>
    <w:rsid w:val="00E57F1F"/>
    <w:rsid w:val="00E66B9F"/>
    <w:rsid w:val="00E677FC"/>
    <w:rsid w:val="00E70A6A"/>
    <w:rsid w:val="00E710D6"/>
    <w:rsid w:val="00E73DA4"/>
    <w:rsid w:val="00E759ED"/>
    <w:rsid w:val="00E75AA0"/>
    <w:rsid w:val="00E76E45"/>
    <w:rsid w:val="00E777C9"/>
    <w:rsid w:val="00E81405"/>
    <w:rsid w:val="00E81DA6"/>
    <w:rsid w:val="00E84212"/>
    <w:rsid w:val="00E8427D"/>
    <w:rsid w:val="00E9086C"/>
    <w:rsid w:val="00E90AAA"/>
    <w:rsid w:val="00E91A0F"/>
    <w:rsid w:val="00E94A71"/>
    <w:rsid w:val="00E94CBF"/>
    <w:rsid w:val="00E955EE"/>
    <w:rsid w:val="00EA03CE"/>
    <w:rsid w:val="00EA23E5"/>
    <w:rsid w:val="00EA34D7"/>
    <w:rsid w:val="00EA3B72"/>
    <w:rsid w:val="00EA4E2E"/>
    <w:rsid w:val="00EB2417"/>
    <w:rsid w:val="00EB2CCB"/>
    <w:rsid w:val="00EB7A25"/>
    <w:rsid w:val="00EC0F3E"/>
    <w:rsid w:val="00EC261F"/>
    <w:rsid w:val="00EC5041"/>
    <w:rsid w:val="00EC57A7"/>
    <w:rsid w:val="00ED0817"/>
    <w:rsid w:val="00ED0ADF"/>
    <w:rsid w:val="00ED3646"/>
    <w:rsid w:val="00ED71F3"/>
    <w:rsid w:val="00ED7DD9"/>
    <w:rsid w:val="00EE445B"/>
    <w:rsid w:val="00EF3113"/>
    <w:rsid w:val="00EF3A9A"/>
    <w:rsid w:val="00EF3B3D"/>
    <w:rsid w:val="00EF3F84"/>
    <w:rsid w:val="00EF4C25"/>
    <w:rsid w:val="00F00B1D"/>
    <w:rsid w:val="00F07196"/>
    <w:rsid w:val="00F14683"/>
    <w:rsid w:val="00F176AC"/>
    <w:rsid w:val="00F17E34"/>
    <w:rsid w:val="00F250E0"/>
    <w:rsid w:val="00F26F28"/>
    <w:rsid w:val="00F271A7"/>
    <w:rsid w:val="00F27714"/>
    <w:rsid w:val="00F3276E"/>
    <w:rsid w:val="00F33D3C"/>
    <w:rsid w:val="00F34308"/>
    <w:rsid w:val="00F349A4"/>
    <w:rsid w:val="00F34D1B"/>
    <w:rsid w:val="00F37A91"/>
    <w:rsid w:val="00F40123"/>
    <w:rsid w:val="00F408A0"/>
    <w:rsid w:val="00F43DD9"/>
    <w:rsid w:val="00F45CF5"/>
    <w:rsid w:val="00F46133"/>
    <w:rsid w:val="00F47BA0"/>
    <w:rsid w:val="00F47DB0"/>
    <w:rsid w:val="00F50C3F"/>
    <w:rsid w:val="00F50E34"/>
    <w:rsid w:val="00F538D4"/>
    <w:rsid w:val="00F53ED1"/>
    <w:rsid w:val="00F53EF7"/>
    <w:rsid w:val="00F54A8E"/>
    <w:rsid w:val="00F54BF2"/>
    <w:rsid w:val="00F555B2"/>
    <w:rsid w:val="00F56241"/>
    <w:rsid w:val="00F5638C"/>
    <w:rsid w:val="00F578E4"/>
    <w:rsid w:val="00F649F9"/>
    <w:rsid w:val="00F662B6"/>
    <w:rsid w:val="00F71A49"/>
    <w:rsid w:val="00F74601"/>
    <w:rsid w:val="00F763DA"/>
    <w:rsid w:val="00F775AC"/>
    <w:rsid w:val="00F91953"/>
    <w:rsid w:val="00F92355"/>
    <w:rsid w:val="00F93963"/>
    <w:rsid w:val="00F94291"/>
    <w:rsid w:val="00F96D3F"/>
    <w:rsid w:val="00F97081"/>
    <w:rsid w:val="00FA298A"/>
    <w:rsid w:val="00FA5B66"/>
    <w:rsid w:val="00FA6BAB"/>
    <w:rsid w:val="00FA7996"/>
    <w:rsid w:val="00FB30EB"/>
    <w:rsid w:val="00FB4EA2"/>
    <w:rsid w:val="00FB7982"/>
    <w:rsid w:val="00FC0734"/>
    <w:rsid w:val="00FC0A42"/>
    <w:rsid w:val="00FC0FC5"/>
    <w:rsid w:val="00FC588F"/>
    <w:rsid w:val="00FC659B"/>
    <w:rsid w:val="00FC6879"/>
    <w:rsid w:val="00FD029E"/>
    <w:rsid w:val="00FD089C"/>
    <w:rsid w:val="00FD119A"/>
    <w:rsid w:val="00FD7567"/>
    <w:rsid w:val="00FD7A30"/>
    <w:rsid w:val="00FE176D"/>
    <w:rsid w:val="00FE1959"/>
    <w:rsid w:val="00FE1B30"/>
    <w:rsid w:val="00FE6B2C"/>
    <w:rsid w:val="00FE7273"/>
    <w:rsid w:val="00FE7B44"/>
    <w:rsid w:val="00FF0B8A"/>
    <w:rsid w:val="00FF3C90"/>
    <w:rsid w:val="00FF409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4D6F2C7E-8B03-447A-A0DC-453F4FD32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AU" w:eastAsia="en-AU"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765E0"/>
    <w:pPr>
      <w:spacing w:line="360" w:lineRule="auto"/>
      <w:jc w:val="both"/>
    </w:pPr>
    <w:rPr>
      <w:sz w:val="24"/>
      <w:lang w:eastAsia="en-US"/>
    </w:rPr>
  </w:style>
  <w:style w:type="paragraph" w:styleId="Heading1">
    <w:name w:val="heading 1"/>
    <w:basedOn w:val="Normal"/>
    <w:next w:val="ParaNumbering"/>
    <w:qFormat/>
    <w:pPr>
      <w:keepNext/>
      <w:spacing w:before="240" w:after="60" w:line="240" w:lineRule="auto"/>
      <w:outlineLvl w:val="0"/>
    </w:pPr>
    <w:rPr>
      <w:b/>
      <w:caps/>
      <w:kern w:val="28"/>
    </w:rPr>
  </w:style>
  <w:style w:type="paragraph" w:styleId="Heading2">
    <w:name w:val="heading 2"/>
    <w:basedOn w:val="Normal"/>
    <w:next w:val="ParaNumbering"/>
    <w:qFormat/>
    <w:pPr>
      <w:keepNext/>
      <w:spacing w:before="240" w:after="60" w:line="240" w:lineRule="auto"/>
      <w:outlineLvl w:val="1"/>
    </w:pPr>
    <w:rPr>
      <w:b/>
      <w:szCs w:val="24"/>
    </w:rPr>
  </w:style>
  <w:style w:type="paragraph" w:styleId="Heading3">
    <w:name w:val="heading 3"/>
    <w:basedOn w:val="Normal"/>
    <w:next w:val="ParaNumbering"/>
    <w:qFormat/>
    <w:pPr>
      <w:keepNext/>
      <w:spacing w:before="240" w:after="60" w:line="240" w:lineRule="auto"/>
      <w:outlineLvl w:val="2"/>
    </w:pPr>
    <w:rPr>
      <w:b/>
      <w:i/>
    </w:rPr>
  </w:style>
  <w:style w:type="paragraph" w:styleId="Heading4">
    <w:name w:val="heading 4"/>
    <w:basedOn w:val="Normal"/>
    <w:next w:val="ParaNumbering"/>
    <w:qFormat/>
    <w:rsid w:val="009F5C33"/>
    <w:pPr>
      <w:keepNext/>
      <w:spacing w:before="240" w:after="60" w:line="240" w:lineRule="auto"/>
      <w:jc w:val="left"/>
      <w:outlineLvl w:val="3"/>
    </w:pPr>
    <w:rPr>
      <w:i/>
      <w:szCs w:val="24"/>
    </w:rPr>
  </w:style>
  <w:style w:type="paragraph" w:styleId="Heading5">
    <w:name w:val="heading 5"/>
    <w:basedOn w:val="fcHeading1"/>
    <w:next w:val="ParaNumbering"/>
    <w:qFormat/>
    <w:rsid w:val="000E7BAE"/>
    <w:pPr>
      <w:outlineLvl w:val="4"/>
    </w:pPr>
    <w:rPr>
      <w:caps w:val="0"/>
    </w:rPr>
  </w:style>
  <w:style w:type="paragraph" w:styleId="Heading6">
    <w:name w:val="heading 6"/>
    <w:basedOn w:val="fcHeading2"/>
    <w:next w:val="ParaNumbering"/>
    <w:qFormat/>
    <w:pPr>
      <w:outlineLvl w:val="5"/>
    </w:pPr>
  </w:style>
  <w:style w:type="paragraph" w:styleId="Heading7">
    <w:name w:val="heading 7"/>
    <w:basedOn w:val="fcHeading3"/>
    <w:next w:val="ParaNumbering"/>
    <w:qFormat/>
    <w:rsid w:val="00635B36"/>
    <w:pPr>
      <w:outlineLvl w:val="6"/>
    </w:pPr>
    <w:rPr>
      <w:i w:val="0"/>
    </w:rPr>
  </w:style>
  <w:style w:type="paragraph" w:styleId="Heading8">
    <w:name w:val="heading 8"/>
    <w:basedOn w:val="fcHeading4"/>
    <w:next w:val="ParaNumbering"/>
    <w:rsid w:val="00635B36"/>
    <w:pPr>
      <w:outlineLvl w:val="7"/>
    </w:pPr>
    <w:rPr>
      <w:smallCaps w:val="0"/>
    </w:rPr>
  </w:style>
  <w:style w:type="paragraph" w:styleId="Heading9">
    <w:name w:val="heading 9"/>
    <w:basedOn w:val="fcHeading5"/>
    <w:next w:val="ParaNumbering"/>
    <w:rsid w:val="00635B36"/>
    <w:pPr>
      <w:outlineLvl w:val="8"/>
    </w:pPr>
    <w:rPr>
      <w:cap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rdersPage">
    <w:name w:val="OrdersPage"/>
    <w:basedOn w:val="Normal"/>
    <w:semiHidden/>
    <w:pPr>
      <w:spacing w:line="240" w:lineRule="auto"/>
    </w:p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customStyle="1" w:styleId="ParaNumbering">
    <w:name w:val="ParaNumbering"/>
    <w:basedOn w:val="Normal"/>
    <w:rsid w:val="00967855"/>
    <w:pPr>
      <w:numPr>
        <w:numId w:val="1"/>
      </w:numPr>
      <w:spacing w:before="180" w:after="180"/>
    </w:pPr>
  </w:style>
  <w:style w:type="paragraph" w:customStyle="1" w:styleId="Quote1">
    <w:name w:val="Quote1"/>
    <w:rsid w:val="00960ECB"/>
    <w:pPr>
      <w:widowControl w:val="0"/>
      <w:spacing w:after="180"/>
      <w:ind w:left="737" w:right="737"/>
      <w:jc w:val="both"/>
    </w:pPr>
    <w:rPr>
      <w:sz w:val="22"/>
      <w:lang w:eastAsia="en-US"/>
    </w:rPr>
  </w:style>
  <w:style w:type="paragraph" w:customStyle="1" w:styleId="NormalHeadings">
    <w:name w:val="Normal Headings"/>
    <w:link w:val="NormalHeadingsChar"/>
    <w:pPr>
      <w:widowControl w:val="0"/>
      <w:jc w:val="both"/>
    </w:pPr>
    <w:rPr>
      <w:b/>
      <w:sz w:val="24"/>
      <w:lang w:eastAsia="en-US"/>
    </w:rPr>
  </w:style>
  <w:style w:type="table" w:styleId="TableGrid">
    <w:name w:val="Table Grid"/>
    <w:basedOn w:val="TableNormal"/>
    <w:semiHidden/>
    <w:pPr>
      <w:widowControl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aNeutralStyle">
    <w:name w:val="Media Neutral Style"/>
    <w:basedOn w:val="Normal"/>
    <w:next w:val="Normal1linespace"/>
    <w:semiHidden/>
    <w:pPr>
      <w:spacing w:before="20" w:after="20"/>
      <w:jc w:val="center"/>
    </w:pPr>
    <w:rPr>
      <w:b/>
      <w:sz w:val="26"/>
    </w:rPr>
  </w:style>
  <w:style w:type="paragraph" w:customStyle="1" w:styleId="Normal1linespace">
    <w:name w:val="Normal1linespace"/>
    <w:basedOn w:val="Normal"/>
    <w:pPr>
      <w:spacing w:line="240" w:lineRule="auto"/>
    </w:pPr>
  </w:style>
  <w:style w:type="paragraph" w:styleId="BalloonText">
    <w:name w:val="Balloon Text"/>
    <w:basedOn w:val="Normal"/>
    <w:semiHidden/>
    <w:rPr>
      <w:rFonts w:ascii="Tahoma" w:hAnsi="Tahoma" w:cs="Tahoma"/>
      <w:sz w:val="16"/>
      <w:szCs w:val="16"/>
    </w:rPr>
  </w:style>
  <w:style w:type="paragraph" w:customStyle="1" w:styleId="StyleBold">
    <w:name w:val="Style Bold"/>
    <w:basedOn w:val="Normal"/>
    <w:next w:val="BodyText"/>
    <w:semiHidden/>
    <w:rPr>
      <w:szCs w:val="24"/>
    </w:rPr>
  </w:style>
  <w:style w:type="paragraph" w:customStyle="1" w:styleId="Bold">
    <w:name w:val="Bold"/>
    <w:basedOn w:val="Normal"/>
    <w:next w:val="Normal"/>
    <w:semiHidden/>
    <w:pPr>
      <w:suppressAutoHyphens/>
      <w:jc w:val="left"/>
    </w:pPr>
    <w:rPr>
      <w:b/>
      <w:szCs w:val="24"/>
    </w:rPr>
  </w:style>
  <w:style w:type="paragraph" w:customStyle="1" w:styleId="Certify">
    <w:name w:val="Certify"/>
    <w:basedOn w:val="Normal"/>
    <w:link w:val="CertifyChar"/>
    <w:semiHidden/>
    <w:pPr>
      <w:spacing w:line="240" w:lineRule="auto"/>
    </w:pPr>
    <w:rPr>
      <w:szCs w:val="24"/>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customStyle="1" w:styleId="FCBullets">
    <w:name w:val="FCBullets"/>
    <w:basedOn w:val="Normal"/>
    <w:pPr>
      <w:numPr>
        <w:numId w:val="2"/>
      </w:numPr>
      <w:spacing w:before="60" w:after="60"/>
    </w:pPr>
  </w:style>
  <w:style w:type="paragraph" w:customStyle="1" w:styleId="JudgeStyle">
    <w:name w:val="JudgeStyle"/>
    <w:basedOn w:val="Heading1"/>
    <w:next w:val="ParaNumbering"/>
    <w:semiHidden/>
  </w:style>
  <w:style w:type="paragraph" w:styleId="TOC1">
    <w:name w:val="toc 1"/>
    <w:basedOn w:val="Normal"/>
    <w:next w:val="Normal"/>
    <w:autoRedefine/>
    <w:semiHidden/>
    <w:pPr>
      <w:tabs>
        <w:tab w:val="right" w:leader="dot" w:pos="9071"/>
      </w:tabs>
    </w:pPr>
  </w:style>
  <w:style w:type="paragraph" w:styleId="TOC2">
    <w:name w:val="toc 2"/>
    <w:basedOn w:val="Normal"/>
    <w:next w:val="Normal"/>
    <w:autoRedefine/>
    <w:semiHidden/>
    <w:pPr>
      <w:tabs>
        <w:tab w:val="right" w:leader="dot" w:pos="9071"/>
      </w:tabs>
      <w:ind w:left="240"/>
    </w:pPr>
  </w:style>
  <w:style w:type="paragraph" w:styleId="TOC3">
    <w:name w:val="toc 3"/>
    <w:basedOn w:val="Normal"/>
    <w:next w:val="Normal"/>
    <w:autoRedefine/>
    <w:semiHidden/>
    <w:pPr>
      <w:tabs>
        <w:tab w:val="right" w:leader="dot" w:pos="9071"/>
      </w:tabs>
      <w:ind w:left="480"/>
    </w:pPr>
  </w:style>
  <w:style w:type="paragraph" w:styleId="TOC4">
    <w:name w:val="toc 4"/>
    <w:basedOn w:val="Normal"/>
    <w:next w:val="Normal"/>
    <w:autoRedefine/>
    <w:semiHidden/>
    <w:pPr>
      <w:tabs>
        <w:tab w:val="right" w:leader="dot" w:pos="9071"/>
      </w:tabs>
      <w:ind w:left="720"/>
    </w:pPr>
  </w:style>
  <w:style w:type="paragraph" w:customStyle="1" w:styleId="NoNum">
    <w:name w:val="No Num"/>
    <w:basedOn w:val="Normal1linespace"/>
    <w:pPr>
      <w:spacing w:before="120" w:after="180" w:line="360" w:lineRule="auto"/>
    </w:pPr>
  </w:style>
  <w:style w:type="paragraph" w:customStyle="1" w:styleId="AppealTable">
    <w:name w:val="AppealTable"/>
    <w:basedOn w:val="Normal"/>
    <w:unhideWhenUsed/>
    <w:pPr>
      <w:spacing w:line="240" w:lineRule="auto"/>
      <w:jc w:val="left"/>
    </w:pPr>
    <w:rPr>
      <w:b/>
      <w:caps/>
      <w:sz w:val="22"/>
      <w:szCs w:val="22"/>
    </w:rPr>
  </w:style>
  <w:style w:type="paragraph" w:customStyle="1" w:styleId="Quote3">
    <w:name w:val="Quote3"/>
    <w:basedOn w:val="Quote1"/>
    <w:pPr>
      <w:ind w:left="2160"/>
    </w:pPr>
  </w:style>
  <w:style w:type="paragraph" w:customStyle="1" w:styleId="Quote2">
    <w:name w:val="Quote2"/>
    <w:basedOn w:val="Quote1"/>
    <w:pPr>
      <w:ind w:left="1440"/>
    </w:pPr>
  </w:style>
  <w:style w:type="paragraph" w:customStyle="1" w:styleId="FTOC1">
    <w:name w:val="FTOC 1"/>
    <w:basedOn w:val="Normal"/>
    <w:semiHidden/>
    <w:rsid w:val="00681ADF"/>
    <w:pPr>
      <w:tabs>
        <w:tab w:val="right" w:leader="dot" w:pos="9072"/>
      </w:tabs>
      <w:spacing w:before="120" w:after="60" w:line="240" w:lineRule="auto"/>
      <w:jc w:val="left"/>
    </w:pPr>
    <w:rPr>
      <w:b/>
      <w:caps/>
      <w:kern w:val="28"/>
    </w:rPr>
  </w:style>
  <w:style w:type="paragraph" w:customStyle="1" w:styleId="ListNo1">
    <w:name w:val="List No 1"/>
    <w:basedOn w:val="Normal"/>
    <w:rsid w:val="0052098C"/>
    <w:pPr>
      <w:numPr>
        <w:numId w:val="23"/>
      </w:numPr>
      <w:spacing w:before="60" w:after="60"/>
    </w:pPr>
  </w:style>
  <w:style w:type="paragraph" w:customStyle="1" w:styleId="FTOC2">
    <w:name w:val="FTOC 2"/>
    <w:basedOn w:val="Normal"/>
    <w:semiHidden/>
    <w:rsid w:val="00681ADF"/>
    <w:pPr>
      <w:tabs>
        <w:tab w:val="right" w:leader="dot" w:pos="9072"/>
      </w:tabs>
      <w:spacing w:before="120" w:after="60" w:line="240" w:lineRule="auto"/>
      <w:ind w:left="238"/>
      <w:jc w:val="left"/>
    </w:pPr>
    <w:rPr>
      <w:b/>
    </w:rPr>
  </w:style>
  <w:style w:type="paragraph" w:customStyle="1" w:styleId="FTOC3">
    <w:name w:val="FTOC 3"/>
    <w:basedOn w:val="Normal"/>
    <w:semiHidden/>
    <w:rsid w:val="00681ADF"/>
    <w:pPr>
      <w:tabs>
        <w:tab w:val="right" w:leader="dot" w:pos="9072"/>
      </w:tabs>
      <w:spacing w:before="120" w:after="60" w:line="240" w:lineRule="auto"/>
      <w:ind w:left="482"/>
      <w:jc w:val="left"/>
    </w:pPr>
    <w:rPr>
      <w:b/>
      <w:i/>
    </w:rPr>
  </w:style>
  <w:style w:type="paragraph" w:customStyle="1" w:styleId="FTOC4">
    <w:name w:val="FTOC 4"/>
    <w:basedOn w:val="Normal"/>
    <w:semiHidden/>
    <w:rsid w:val="00681ADF"/>
    <w:pPr>
      <w:tabs>
        <w:tab w:val="right" w:leader="dot" w:pos="9072"/>
      </w:tabs>
      <w:spacing w:before="120" w:after="60" w:line="240" w:lineRule="auto"/>
      <w:ind w:left="720"/>
      <w:jc w:val="left"/>
    </w:pPr>
    <w:rPr>
      <w:i/>
    </w:rPr>
  </w:style>
  <w:style w:type="paragraph" w:styleId="TOC5">
    <w:name w:val="toc 5"/>
    <w:basedOn w:val="Normal"/>
    <w:next w:val="Normal"/>
    <w:autoRedefine/>
    <w:semiHidden/>
    <w:pPr>
      <w:tabs>
        <w:tab w:val="right" w:leader="dot" w:pos="9072"/>
      </w:tabs>
      <w:ind w:left="960"/>
    </w:pPr>
  </w:style>
  <w:style w:type="numbering" w:styleId="111111">
    <w:name w:val="Outline List 2"/>
    <w:basedOn w:val="NoList"/>
    <w:semiHidden/>
    <w:pPr>
      <w:numPr>
        <w:numId w:val="13"/>
      </w:numPr>
    </w:pPr>
  </w:style>
  <w:style w:type="numbering" w:styleId="1ai">
    <w:name w:val="Outline List 1"/>
    <w:basedOn w:val="NoList"/>
    <w:semiHidden/>
    <w:pPr>
      <w:numPr>
        <w:numId w:val="14"/>
      </w:numPr>
    </w:pPr>
  </w:style>
  <w:style w:type="numbering" w:styleId="ArticleSection">
    <w:name w:val="Outline List 3"/>
    <w:basedOn w:val="NoList"/>
    <w:semiHidden/>
    <w:pPr>
      <w:numPr>
        <w:numId w:val="15"/>
      </w:numPr>
    </w:pPr>
  </w:style>
  <w:style w:type="paragraph" w:styleId="BodyText">
    <w:name w:val="Body Text"/>
    <w:basedOn w:val="Normal"/>
    <w:link w:val="BodyTextChar"/>
    <w:qFormat/>
    <w:rsid w:val="002B0E91"/>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6"/>
      <w:szCs w:val="16"/>
    </w:rPr>
  </w:style>
  <w:style w:type="paragraph" w:styleId="Closing">
    <w:name w:val="Closing"/>
    <w:basedOn w:val="Normal"/>
    <w:semiHidden/>
    <w:pPr>
      <w:ind w:left="4252"/>
    </w:pPr>
  </w:style>
  <w:style w:type="paragraph" w:styleId="Date">
    <w:name w:val="Date"/>
    <w:basedOn w:val="Normal"/>
    <w:next w:val="Normal"/>
    <w:semiHidden/>
  </w:style>
  <w:style w:type="paragraph" w:styleId="E-mailSignature">
    <w:name w:val="E-mail Signature"/>
    <w:basedOn w:val="Normal"/>
    <w:semiHidden/>
  </w:style>
  <w:style w:type="character" w:styleId="Emphasis">
    <w:name w:val="Emphasis"/>
    <w:semiHidden/>
    <w:rPr>
      <w:i/>
      <w:iCs/>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semiHidden/>
    <w:rPr>
      <w:rFonts w:ascii="Arial" w:hAnsi="Arial" w:cs="Arial"/>
      <w:sz w:val="20"/>
    </w:rPr>
  </w:style>
  <w:style w:type="character" w:styleId="FollowedHyperlink">
    <w:name w:val="FollowedHyperlink"/>
    <w:semiHidden/>
    <w:rPr>
      <w:color w:val="800080"/>
      <w:u w:val="single"/>
    </w:r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semiHidden/>
    <w:rPr>
      <w:color w:val="0000FF"/>
      <w:u w:val="single"/>
    </w:rPr>
  </w:style>
  <w:style w:type="character" w:styleId="LineNumber">
    <w:name w:val="line number"/>
    <w:basedOn w:val="DefaultParagraphFont"/>
    <w:semiHidden/>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semiHidden/>
    <w:pPr>
      <w:numPr>
        <w:numId w:val="3"/>
      </w:numPr>
    </w:pPr>
  </w:style>
  <w:style w:type="paragraph" w:styleId="ListBullet2">
    <w:name w:val="List Bullet 2"/>
    <w:basedOn w:val="Normal"/>
    <w:semiHidden/>
    <w:pPr>
      <w:numPr>
        <w:numId w:val="4"/>
      </w:numPr>
    </w:pPr>
  </w:style>
  <w:style w:type="paragraph" w:styleId="ListBullet3">
    <w:name w:val="List Bullet 3"/>
    <w:basedOn w:val="Normal"/>
    <w:semiHidden/>
    <w:pPr>
      <w:numPr>
        <w:numId w:val="5"/>
      </w:numPr>
    </w:pPr>
  </w:style>
  <w:style w:type="paragraph" w:styleId="ListBullet4">
    <w:name w:val="List Bullet 4"/>
    <w:basedOn w:val="Normal"/>
    <w:semiHidden/>
    <w:pPr>
      <w:numPr>
        <w:numId w:val="6"/>
      </w:numPr>
    </w:pPr>
  </w:style>
  <w:style w:type="paragraph" w:styleId="ListBullet5">
    <w:name w:val="List Bullet 5"/>
    <w:basedOn w:val="Normal"/>
    <w:semiHidden/>
    <w:pPr>
      <w:numPr>
        <w:numId w:val="7"/>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pPr>
  </w:style>
  <w:style w:type="paragraph" w:styleId="ListNumber3">
    <w:name w:val="List Number 3"/>
    <w:basedOn w:val="Normal"/>
    <w:semiHidden/>
    <w:pPr>
      <w:numPr>
        <w:numId w:val="10"/>
      </w:numPr>
    </w:pPr>
  </w:style>
  <w:style w:type="paragraph" w:styleId="ListNumber4">
    <w:name w:val="List Number 4"/>
    <w:basedOn w:val="Normal"/>
    <w:semiHidden/>
    <w:pPr>
      <w:numPr>
        <w:numId w:val="11"/>
      </w:numPr>
    </w:pPr>
  </w:style>
  <w:style w:type="paragraph" w:styleId="ListNumber5">
    <w:name w:val="List Number 5"/>
    <w:basedOn w:val="Normal"/>
    <w:semiHidden/>
    <w:pPr>
      <w:numPr>
        <w:numId w:val="12"/>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paragraph" w:styleId="NormalWeb">
    <w:name w:val="Normal (Web)"/>
    <w:basedOn w:val="Normal"/>
    <w:semiHidden/>
    <w:rPr>
      <w:szCs w:val="24"/>
    </w:rPr>
  </w:style>
  <w:style w:type="paragraph" w:styleId="NormalIndent">
    <w:name w:val="Normal Indent"/>
    <w:basedOn w:val="Normal"/>
    <w:semiHidden/>
    <w:pPr>
      <w:ind w:left="720"/>
    </w:pPr>
  </w:style>
  <w:style w:type="paragraph" w:styleId="NoteHeading">
    <w:name w:val="Note Heading"/>
    <w:basedOn w:val="Normal"/>
    <w:next w:val="Normal"/>
    <w:semiHidden/>
  </w:style>
  <w:style w:type="character" w:styleId="PageNumber">
    <w:name w:val="page number"/>
    <w:basedOn w:val="DefaultParagraphFont"/>
    <w:semiHidden/>
  </w:style>
  <w:style w:type="paragraph" w:styleId="PlainText">
    <w:name w:val="Plain Text"/>
    <w:basedOn w:val="Normal"/>
    <w:semiHidden/>
    <w:rPr>
      <w:rFonts w:ascii="Courier New" w:hAnsi="Courier New" w:cs="Courier New"/>
      <w:sz w:val="20"/>
    </w:rPr>
  </w:style>
  <w:style w:type="paragraph" w:styleId="Salutation">
    <w:name w:val="Salutation"/>
    <w:basedOn w:val="Normal"/>
    <w:next w:val="Normal"/>
    <w:semiHidden/>
  </w:style>
  <w:style w:type="paragraph" w:styleId="Signature">
    <w:name w:val="Signature"/>
    <w:basedOn w:val="Normal"/>
    <w:semiHidden/>
    <w:pPr>
      <w:ind w:left="4252"/>
    </w:pPr>
  </w:style>
  <w:style w:type="character" w:styleId="Strong">
    <w:name w:val="Strong"/>
    <w:semiHidden/>
    <w:rPr>
      <w:b/>
      <w:bCs/>
    </w:rPr>
  </w:style>
  <w:style w:type="paragraph" w:styleId="Subtitle">
    <w:name w:val="Subtitle"/>
    <w:basedOn w:val="Normal"/>
    <w:semiHidden/>
    <w:pPr>
      <w:spacing w:after="60"/>
      <w:jc w:val="center"/>
      <w:outlineLvl w:val="1"/>
    </w:pPr>
    <w:rPr>
      <w:rFonts w:ascii="Arial" w:hAnsi="Arial" w:cs="Arial"/>
      <w:szCs w:val="24"/>
    </w:rPr>
  </w:style>
  <w:style w:type="table" w:styleId="Table3Deffects1">
    <w:name w:val="Table 3D effects 1"/>
    <w:basedOn w:val="TableNormal"/>
    <w:semiHidden/>
    <w:pPr>
      <w:spacing w:line="360"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pPr>
      <w:spacing w:line="360"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pPr>
      <w:spacing w:line="360"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pPr>
      <w:spacing w:line="360"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pPr>
      <w:spacing w:line="360"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pPr>
      <w:spacing w:line="360"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pPr>
      <w:spacing w:line="360"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pPr>
      <w:spacing w:line="360"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pPr>
      <w:spacing w:line="360"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pPr>
      <w:spacing w:line="360"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pPr>
      <w:spacing w:line="360"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pPr>
      <w:spacing w:line="360"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pPr>
      <w:spacing w:line="360"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pPr>
      <w:spacing w:line="360"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pPr>
      <w:spacing w:line="360"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pPr>
      <w:spacing w:line="360"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pPr>
      <w:spacing w:line="360"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pPr>
      <w:spacing w:line="360"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pPr>
      <w:spacing w:line="360"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pPr>
      <w:spacing w:line="360"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pPr>
      <w:spacing w:line="360"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pPr>
      <w:spacing w:line="360"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pPr>
      <w:spacing w:line="360"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pPr>
      <w:spacing w:line="360"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pPr>
      <w:spacing w:line="360"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pPr>
      <w:spacing w:line="360"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pPr>
      <w:spacing w:line="360"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pPr>
      <w:spacing w:line="360"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pPr>
      <w:spacing w:line="360"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pPr>
      <w:spacing w:line="360"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pPr>
      <w:spacing w:line="360"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TOC1">
    <w:name w:val="bTOC 1"/>
    <w:basedOn w:val="TOC1"/>
    <w:rsid w:val="00323061"/>
    <w:pPr>
      <w:spacing w:before="120" w:after="60" w:line="240" w:lineRule="auto"/>
      <w:jc w:val="left"/>
    </w:pPr>
  </w:style>
  <w:style w:type="paragraph" w:customStyle="1" w:styleId="bTOC2">
    <w:name w:val="bTOC 2"/>
    <w:basedOn w:val="TOC2"/>
    <w:semiHidden/>
    <w:rsid w:val="00323061"/>
    <w:pPr>
      <w:spacing w:before="120" w:after="60" w:line="240" w:lineRule="auto"/>
      <w:ind w:left="238"/>
      <w:jc w:val="left"/>
    </w:pPr>
  </w:style>
  <w:style w:type="paragraph" w:customStyle="1" w:styleId="bTOC3">
    <w:name w:val="bTOC 3"/>
    <w:basedOn w:val="TOC3"/>
    <w:semiHidden/>
    <w:rsid w:val="00323061"/>
    <w:pPr>
      <w:spacing w:before="120" w:after="60" w:line="240" w:lineRule="auto"/>
      <w:ind w:left="482"/>
      <w:jc w:val="left"/>
    </w:pPr>
  </w:style>
  <w:style w:type="paragraph" w:customStyle="1" w:styleId="bTOC4">
    <w:name w:val="bTOC 4"/>
    <w:basedOn w:val="TOC4"/>
    <w:semiHidden/>
    <w:rsid w:val="00323061"/>
    <w:pPr>
      <w:spacing w:before="120" w:after="60" w:line="240" w:lineRule="auto"/>
      <w:jc w:val="left"/>
    </w:pPr>
  </w:style>
  <w:style w:type="paragraph" w:customStyle="1" w:styleId="Counsel">
    <w:name w:val="Counsel"/>
    <w:basedOn w:val="Normal"/>
    <w:unhideWhenUsed/>
    <w:pPr>
      <w:widowControl w:val="0"/>
      <w:suppressAutoHyphens/>
      <w:spacing w:line="240" w:lineRule="auto"/>
    </w:pPr>
  </w:style>
  <w:style w:type="character" w:customStyle="1" w:styleId="CertifyChar">
    <w:name w:val="Certify Char"/>
    <w:link w:val="Certify"/>
    <w:rPr>
      <w:sz w:val="24"/>
      <w:szCs w:val="24"/>
      <w:lang w:val="en-AU" w:eastAsia="en-US" w:bidi="ar-SA"/>
    </w:rPr>
  </w:style>
  <w:style w:type="paragraph" w:customStyle="1" w:styleId="fcHeading1">
    <w:name w:val="fcHeading 1"/>
    <w:basedOn w:val="Normal"/>
    <w:next w:val="ParaNumbering"/>
    <w:semiHidden/>
    <w:pPr>
      <w:keepNext/>
      <w:numPr>
        <w:numId w:val="16"/>
      </w:numPr>
      <w:spacing w:before="240" w:after="60" w:line="240" w:lineRule="auto"/>
    </w:pPr>
    <w:rPr>
      <w:b/>
      <w:caps/>
      <w:kern w:val="28"/>
    </w:rPr>
  </w:style>
  <w:style w:type="paragraph" w:customStyle="1" w:styleId="fcHeading2">
    <w:name w:val="fcHeading 2"/>
    <w:basedOn w:val="Normal"/>
    <w:next w:val="ParaNumbering"/>
    <w:semiHidden/>
    <w:pPr>
      <w:keepNext/>
      <w:numPr>
        <w:ilvl w:val="1"/>
        <w:numId w:val="16"/>
      </w:numPr>
      <w:spacing w:before="240" w:after="60" w:line="240" w:lineRule="auto"/>
    </w:pPr>
    <w:rPr>
      <w:b/>
    </w:rPr>
  </w:style>
  <w:style w:type="paragraph" w:customStyle="1" w:styleId="fcHeading3">
    <w:name w:val="fcHeading 3"/>
    <w:basedOn w:val="Normal"/>
    <w:next w:val="ParaNumbering"/>
    <w:semiHidden/>
    <w:pPr>
      <w:keepNext/>
      <w:numPr>
        <w:ilvl w:val="2"/>
        <w:numId w:val="16"/>
      </w:numPr>
      <w:spacing w:before="240" w:after="60" w:line="240" w:lineRule="auto"/>
    </w:pPr>
    <w:rPr>
      <w:b/>
      <w:i/>
    </w:rPr>
  </w:style>
  <w:style w:type="paragraph" w:customStyle="1" w:styleId="fcHeading4">
    <w:name w:val="fcHeading 4"/>
    <w:basedOn w:val="Normal"/>
    <w:next w:val="ParaNumbering"/>
    <w:semiHidden/>
    <w:pPr>
      <w:keepNext/>
      <w:numPr>
        <w:ilvl w:val="3"/>
        <w:numId w:val="16"/>
      </w:numPr>
      <w:spacing w:before="240" w:after="60" w:line="240" w:lineRule="auto"/>
    </w:pPr>
    <w:rPr>
      <w:b/>
      <w:smallCaps/>
    </w:rPr>
  </w:style>
  <w:style w:type="paragraph" w:customStyle="1" w:styleId="fcHeading5">
    <w:name w:val="fcHeading 5"/>
    <w:basedOn w:val="Normal"/>
    <w:next w:val="ParaNumbering"/>
    <w:semiHidden/>
    <w:pPr>
      <w:keepNext/>
      <w:numPr>
        <w:ilvl w:val="4"/>
        <w:numId w:val="16"/>
      </w:numPr>
      <w:spacing w:before="240" w:after="60" w:line="240" w:lineRule="auto"/>
    </w:pPr>
    <w:rPr>
      <w:b/>
      <w:caps/>
    </w:rPr>
  </w:style>
  <w:style w:type="paragraph" w:customStyle="1" w:styleId="FTOC5">
    <w:name w:val="FTOC 5"/>
    <w:basedOn w:val="Normal"/>
    <w:semiHidden/>
    <w:rsid w:val="003774B2"/>
    <w:pPr>
      <w:tabs>
        <w:tab w:val="right" w:leader="dot" w:pos="9072"/>
      </w:tabs>
      <w:spacing w:before="120" w:after="60" w:line="240" w:lineRule="auto"/>
      <w:ind w:left="709" w:hanging="709"/>
      <w:jc w:val="left"/>
    </w:pPr>
    <w:rPr>
      <w:b/>
      <w:kern w:val="28"/>
    </w:rPr>
  </w:style>
  <w:style w:type="paragraph" w:customStyle="1" w:styleId="FTOC6">
    <w:name w:val="FTOC 6"/>
    <w:basedOn w:val="Normal"/>
    <w:semiHidden/>
    <w:rsid w:val="003774B2"/>
    <w:pPr>
      <w:tabs>
        <w:tab w:val="right" w:leader="dot" w:pos="9072"/>
      </w:tabs>
      <w:spacing w:before="120" w:after="60" w:line="240" w:lineRule="auto"/>
      <w:ind w:left="1418" w:hanging="709"/>
      <w:jc w:val="left"/>
    </w:pPr>
    <w:rPr>
      <w:b/>
    </w:rPr>
  </w:style>
  <w:style w:type="paragraph" w:customStyle="1" w:styleId="FTOC7">
    <w:name w:val="FTOC 7"/>
    <w:basedOn w:val="Normal"/>
    <w:semiHidden/>
    <w:rsid w:val="003774B2"/>
    <w:pPr>
      <w:tabs>
        <w:tab w:val="right" w:leader="dot" w:pos="9072"/>
      </w:tabs>
      <w:spacing w:before="120" w:after="60" w:line="240" w:lineRule="auto"/>
      <w:ind w:left="2127" w:hanging="709"/>
      <w:jc w:val="left"/>
    </w:pPr>
    <w:rPr>
      <w:b/>
    </w:rPr>
  </w:style>
  <w:style w:type="paragraph" w:customStyle="1" w:styleId="FTOC8">
    <w:name w:val="FTOC 8"/>
    <w:basedOn w:val="Normal"/>
    <w:semiHidden/>
    <w:rsid w:val="003774B2"/>
    <w:pPr>
      <w:tabs>
        <w:tab w:val="right" w:leader="dot" w:pos="9072"/>
      </w:tabs>
      <w:spacing w:before="120" w:after="60" w:line="240" w:lineRule="auto"/>
      <w:ind w:left="3260" w:hanging="1134"/>
      <w:jc w:val="left"/>
    </w:pPr>
    <w:rPr>
      <w:b/>
    </w:rPr>
  </w:style>
  <w:style w:type="paragraph" w:customStyle="1" w:styleId="FTOC9">
    <w:name w:val="FTOC 9"/>
    <w:basedOn w:val="Normal"/>
    <w:semiHidden/>
    <w:rsid w:val="003774B2"/>
    <w:pPr>
      <w:tabs>
        <w:tab w:val="right" w:leader="dot" w:pos="9072"/>
      </w:tabs>
      <w:spacing w:before="120" w:after="60" w:line="240" w:lineRule="auto"/>
      <w:ind w:left="3969" w:hanging="1134"/>
      <w:jc w:val="left"/>
    </w:pPr>
    <w:rPr>
      <w:b/>
    </w:rPr>
  </w:style>
  <w:style w:type="paragraph" w:customStyle="1" w:styleId="bTOC5">
    <w:name w:val="bTOC 5"/>
    <w:basedOn w:val="Normal"/>
    <w:semiHidden/>
    <w:rsid w:val="00323061"/>
    <w:pPr>
      <w:tabs>
        <w:tab w:val="right" w:leader="dot" w:pos="9072"/>
      </w:tabs>
      <w:spacing w:before="120" w:after="60" w:line="240" w:lineRule="auto"/>
      <w:ind w:left="709" w:hanging="709"/>
      <w:jc w:val="left"/>
    </w:pPr>
  </w:style>
  <w:style w:type="paragraph" w:customStyle="1" w:styleId="bTOC6">
    <w:name w:val="bTOC 6"/>
    <w:basedOn w:val="Normal"/>
    <w:semiHidden/>
    <w:rsid w:val="00323061"/>
    <w:pPr>
      <w:tabs>
        <w:tab w:val="right" w:leader="dot" w:pos="9072"/>
      </w:tabs>
      <w:spacing w:before="120" w:after="60" w:line="240" w:lineRule="auto"/>
      <w:ind w:left="1418" w:hanging="709"/>
      <w:jc w:val="left"/>
    </w:pPr>
  </w:style>
  <w:style w:type="paragraph" w:customStyle="1" w:styleId="bTOC7">
    <w:name w:val="bTOC 7"/>
    <w:basedOn w:val="Normal"/>
    <w:semiHidden/>
    <w:rsid w:val="00323061"/>
    <w:pPr>
      <w:tabs>
        <w:tab w:val="right" w:leader="dot" w:pos="9072"/>
      </w:tabs>
      <w:spacing w:before="120" w:after="60" w:line="240" w:lineRule="auto"/>
      <w:ind w:left="2127" w:hanging="709"/>
      <w:jc w:val="left"/>
    </w:pPr>
  </w:style>
  <w:style w:type="paragraph" w:customStyle="1" w:styleId="bTOC8">
    <w:name w:val="bTOC 8"/>
    <w:basedOn w:val="Normal"/>
    <w:semiHidden/>
    <w:rsid w:val="00323061"/>
    <w:pPr>
      <w:keepNext/>
      <w:tabs>
        <w:tab w:val="right" w:leader="dot" w:pos="9072"/>
      </w:tabs>
      <w:spacing w:before="120" w:after="60" w:line="240" w:lineRule="auto"/>
      <w:ind w:left="3260" w:hanging="1134"/>
      <w:jc w:val="left"/>
    </w:pPr>
  </w:style>
  <w:style w:type="paragraph" w:customStyle="1" w:styleId="bTOC9">
    <w:name w:val="bTOC 9"/>
    <w:basedOn w:val="Normal"/>
    <w:semiHidden/>
    <w:rsid w:val="00323061"/>
    <w:pPr>
      <w:keepNext/>
      <w:tabs>
        <w:tab w:val="right" w:leader="dot" w:pos="9072"/>
      </w:tabs>
      <w:spacing w:before="120" w:after="60" w:line="240" w:lineRule="auto"/>
      <w:ind w:left="3969" w:hanging="1134"/>
      <w:jc w:val="left"/>
    </w:pPr>
  </w:style>
  <w:style w:type="paragraph" w:customStyle="1" w:styleId="ListNo2">
    <w:name w:val="List No 2"/>
    <w:basedOn w:val="ListNo1"/>
    <w:rsid w:val="0052098C"/>
    <w:pPr>
      <w:numPr>
        <w:ilvl w:val="1"/>
      </w:numPr>
    </w:pPr>
  </w:style>
  <w:style w:type="paragraph" w:customStyle="1" w:styleId="ListNo3">
    <w:name w:val="List No 3"/>
    <w:basedOn w:val="ListNo2"/>
    <w:rsid w:val="0052098C"/>
    <w:pPr>
      <w:numPr>
        <w:ilvl w:val="2"/>
      </w:numPr>
    </w:pPr>
  </w:style>
  <w:style w:type="numbering" w:customStyle="1" w:styleId="FCListNo">
    <w:name w:val="FCListNo"/>
    <w:uiPriority w:val="99"/>
    <w:rsid w:val="0052098C"/>
    <w:pPr>
      <w:numPr>
        <w:numId w:val="17"/>
      </w:numPr>
    </w:pPr>
  </w:style>
  <w:style w:type="paragraph" w:customStyle="1" w:styleId="SingleSpace">
    <w:name w:val="SingleSpace"/>
    <w:basedOn w:val="Normal"/>
    <w:rsid w:val="00055719"/>
    <w:pPr>
      <w:spacing w:line="240" w:lineRule="auto"/>
    </w:pPr>
    <w:rPr>
      <w:szCs w:val="22"/>
    </w:rPr>
  </w:style>
  <w:style w:type="paragraph" w:customStyle="1" w:styleId="Quote1Bullet">
    <w:name w:val="Quote1 Bullet"/>
    <w:basedOn w:val="Quote1"/>
    <w:rsid w:val="00EF3F84"/>
    <w:pPr>
      <w:numPr>
        <w:numId w:val="18"/>
      </w:numPr>
      <w:ind w:left="1440" w:hanging="720"/>
    </w:pPr>
  </w:style>
  <w:style w:type="paragraph" w:customStyle="1" w:styleId="Quote2Bullet">
    <w:name w:val="Quote2 Bullet"/>
    <w:basedOn w:val="Quote2"/>
    <w:rsid w:val="00EF3F84"/>
    <w:pPr>
      <w:numPr>
        <w:numId w:val="19"/>
      </w:numPr>
      <w:ind w:hanging="720"/>
    </w:pPr>
  </w:style>
  <w:style w:type="paragraph" w:customStyle="1" w:styleId="Quote3Bullet">
    <w:name w:val="Quote3 Bullet"/>
    <w:basedOn w:val="Quote3"/>
    <w:rsid w:val="00EE445B"/>
    <w:pPr>
      <w:numPr>
        <w:numId w:val="20"/>
      </w:numPr>
      <w:ind w:hanging="720"/>
    </w:pPr>
  </w:style>
  <w:style w:type="paragraph" w:customStyle="1" w:styleId="Order1">
    <w:name w:val="Order 1"/>
    <w:basedOn w:val="Normal"/>
    <w:rsid w:val="004104B6"/>
    <w:pPr>
      <w:numPr>
        <w:numId w:val="21"/>
      </w:numPr>
      <w:spacing w:before="60" w:after="60"/>
    </w:pPr>
  </w:style>
  <w:style w:type="numbering" w:customStyle="1" w:styleId="FCOrders">
    <w:name w:val="FCOrders"/>
    <w:uiPriority w:val="99"/>
    <w:rsid w:val="004104B6"/>
    <w:pPr>
      <w:numPr>
        <w:numId w:val="35"/>
      </w:numPr>
    </w:pPr>
  </w:style>
  <w:style w:type="paragraph" w:customStyle="1" w:styleId="BodyTextBold">
    <w:name w:val="Body Text Bold"/>
    <w:basedOn w:val="BodyText"/>
    <w:rsid w:val="00484F6D"/>
    <w:rPr>
      <w:b/>
    </w:rPr>
  </w:style>
  <w:style w:type="paragraph" w:customStyle="1" w:styleId="GeneralHeading">
    <w:name w:val="General Heading"/>
    <w:basedOn w:val="BodyTextBold"/>
    <w:next w:val="BodyText"/>
    <w:rsid w:val="008C7167"/>
    <w:pPr>
      <w:spacing w:line="480" w:lineRule="auto"/>
      <w:jc w:val="center"/>
    </w:pPr>
    <w:rPr>
      <w:sz w:val="28"/>
    </w:rPr>
  </w:style>
  <w:style w:type="paragraph" w:customStyle="1" w:styleId="ReasonJudge">
    <w:name w:val="Reason Judge"/>
    <w:basedOn w:val="BodyText"/>
    <w:next w:val="BodyText"/>
    <w:rsid w:val="008C7167"/>
    <w:pPr>
      <w:jc w:val="left"/>
    </w:pPr>
    <w:rPr>
      <w:b/>
      <w:sz w:val="26"/>
    </w:rPr>
  </w:style>
  <w:style w:type="paragraph" w:customStyle="1" w:styleId="FileNo">
    <w:name w:val="FileNo"/>
    <w:basedOn w:val="NormalHeadings"/>
    <w:rsid w:val="007E4DB6"/>
    <w:pPr>
      <w:tabs>
        <w:tab w:val="right" w:pos="3609"/>
      </w:tabs>
      <w:spacing w:line="276" w:lineRule="auto"/>
      <w:jc w:val="right"/>
    </w:pPr>
    <w:rPr>
      <w:szCs w:val="24"/>
    </w:rPr>
  </w:style>
  <w:style w:type="paragraph" w:customStyle="1" w:styleId="CasesLegislationAppealFrom">
    <w:name w:val="Cases Legislation Appeal From"/>
    <w:basedOn w:val="Normal1linespace"/>
    <w:rsid w:val="000C023E"/>
    <w:pPr>
      <w:widowControl w:val="0"/>
      <w:spacing w:after="100"/>
      <w:jc w:val="left"/>
    </w:pPr>
  </w:style>
  <w:style w:type="paragraph" w:customStyle="1" w:styleId="PartyName">
    <w:name w:val="Party Name"/>
    <w:basedOn w:val="NormalHeadings"/>
    <w:rsid w:val="00A45FB1"/>
    <w:pPr>
      <w:jc w:val="left"/>
    </w:pPr>
    <w:rPr>
      <w:szCs w:val="24"/>
    </w:rPr>
  </w:style>
  <w:style w:type="paragraph" w:customStyle="1" w:styleId="PartyType">
    <w:name w:val="Party Type"/>
    <w:basedOn w:val="PartyName"/>
    <w:rsid w:val="00A45FB1"/>
    <w:rPr>
      <w:b w:val="0"/>
    </w:rPr>
  </w:style>
  <w:style w:type="paragraph" w:customStyle="1" w:styleId="Small-TableswithinQuotes">
    <w:name w:val="Small - Tables within Quotes"/>
    <w:basedOn w:val="BodyText"/>
    <w:rsid w:val="005E0510"/>
    <w:pPr>
      <w:spacing w:line="240" w:lineRule="auto"/>
      <w:jc w:val="left"/>
    </w:pPr>
    <w:rPr>
      <w:sz w:val="22"/>
    </w:rPr>
  </w:style>
  <w:style w:type="character" w:customStyle="1" w:styleId="BodyTextChar">
    <w:name w:val="Body Text Char"/>
    <w:basedOn w:val="DefaultParagraphFont"/>
    <w:link w:val="BodyText"/>
    <w:rsid w:val="00E91A0F"/>
    <w:rPr>
      <w:sz w:val="24"/>
      <w:lang w:eastAsia="en-US"/>
    </w:rPr>
  </w:style>
  <w:style w:type="character" w:customStyle="1" w:styleId="NormalHeadingsChar">
    <w:name w:val="Normal Headings Char"/>
    <w:basedOn w:val="DefaultParagraphFont"/>
    <w:link w:val="NormalHeadings"/>
    <w:rsid w:val="00E91A0F"/>
    <w:rPr>
      <w:b/>
      <w:sz w:val="24"/>
      <w:lang w:eastAsia="en-US"/>
    </w:rPr>
  </w:style>
  <w:style w:type="paragraph" w:customStyle="1" w:styleId="CourtTitle">
    <w:name w:val="CourtTitle"/>
    <w:basedOn w:val="NormalHeadings"/>
    <w:rsid w:val="00A22932"/>
    <w:pPr>
      <w:jc w:val="center"/>
    </w:pPr>
    <w:rPr>
      <w:caps/>
      <w:sz w:val="32"/>
    </w:rPr>
  </w:style>
  <w:style w:type="paragraph" w:customStyle="1" w:styleId="MNC">
    <w:name w:val="MNC"/>
    <w:basedOn w:val="MediaNeutralStyle"/>
    <w:rsid w:val="00085255"/>
    <w:pPr>
      <w:spacing w:after="240"/>
    </w:pPr>
    <w:rPr>
      <w:sz w:val="28"/>
    </w:rPr>
  </w:style>
  <w:style w:type="paragraph" w:customStyle="1" w:styleId="Quote4">
    <w:name w:val="Quote4"/>
    <w:basedOn w:val="Quote1"/>
    <w:rsid w:val="00DF75E1"/>
    <w:pPr>
      <w:ind w:left="2880"/>
    </w:pPr>
  </w:style>
  <w:style w:type="paragraph" w:customStyle="1" w:styleId="Quote4Bullet">
    <w:name w:val="Quote4 Bullet"/>
    <w:basedOn w:val="Quote4"/>
    <w:rsid w:val="00EE445B"/>
    <w:pPr>
      <w:numPr>
        <w:numId w:val="22"/>
      </w:numPr>
      <w:ind w:hanging="720"/>
    </w:pPr>
  </w:style>
  <w:style w:type="character" w:styleId="PlaceholderText">
    <w:name w:val="Placeholder Text"/>
    <w:basedOn w:val="DefaultParagraphFont"/>
    <w:uiPriority w:val="99"/>
    <w:semiHidden/>
    <w:rsid w:val="00CF5A80"/>
    <w:rPr>
      <w:color w:val="808080"/>
    </w:rPr>
  </w:style>
  <w:style w:type="paragraph" w:customStyle="1" w:styleId="Order2">
    <w:name w:val="Order 2"/>
    <w:basedOn w:val="Order1"/>
    <w:rsid w:val="001351B9"/>
    <w:pPr>
      <w:numPr>
        <w:ilvl w:val="1"/>
      </w:numPr>
    </w:pPr>
  </w:style>
  <w:style w:type="paragraph" w:customStyle="1" w:styleId="Order3">
    <w:name w:val="Order 3"/>
    <w:basedOn w:val="Order2"/>
    <w:rsid w:val="00DD6957"/>
    <w:pPr>
      <w:numPr>
        <w:ilvl w:val="2"/>
      </w:numPr>
    </w:pPr>
  </w:style>
  <w:style w:type="paragraph" w:customStyle="1" w:styleId="ListNo1alt">
    <w:name w:val="List No 1 (alt)"/>
    <w:basedOn w:val="Normal"/>
    <w:rsid w:val="008A1741"/>
    <w:pPr>
      <w:numPr>
        <w:numId w:val="25"/>
      </w:numPr>
      <w:spacing w:before="60" w:after="60"/>
    </w:pPr>
  </w:style>
  <w:style w:type="paragraph" w:customStyle="1" w:styleId="ListNo2alt">
    <w:name w:val="List No 2 (alt)"/>
    <w:basedOn w:val="ListNo1alt"/>
    <w:rsid w:val="008A1741"/>
    <w:pPr>
      <w:numPr>
        <w:ilvl w:val="1"/>
      </w:numPr>
    </w:pPr>
  </w:style>
  <w:style w:type="paragraph" w:customStyle="1" w:styleId="ListNo3alt">
    <w:name w:val="List No 3 (alt)"/>
    <w:basedOn w:val="ListNo2alt"/>
    <w:rsid w:val="008A1741"/>
    <w:pPr>
      <w:numPr>
        <w:ilvl w:val="2"/>
      </w:numPr>
    </w:pPr>
  </w:style>
  <w:style w:type="numbering" w:customStyle="1" w:styleId="FCListNoalt">
    <w:name w:val="FC List No (alt)"/>
    <w:uiPriority w:val="99"/>
    <w:rsid w:val="008A1741"/>
    <w:pPr>
      <w:numPr>
        <w:numId w:val="24"/>
      </w:numPr>
    </w:pPr>
  </w:style>
  <w:style w:type="paragraph" w:customStyle="1" w:styleId="Order4">
    <w:name w:val="Order 4"/>
    <w:basedOn w:val="Order3"/>
    <w:rsid w:val="004104B6"/>
    <w:pPr>
      <w:numPr>
        <w:ilvl w:val="3"/>
      </w:numPr>
    </w:pPr>
  </w:style>
  <w:style w:type="paragraph" w:customStyle="1" w:styleId="00d5196c">
    <w:name w:val="00d5196c"/>
    <w:basedOn w:val="Normal"/>
    <w:rsid w:val="00DD7CE7"/>
    <w:pPr>
      <w:spacing w:before="100" w:beforeAutospacing="1" w:after="100" w:afterAutospacing="1" w:line="240" w:lineRule="auto"/>
      <w:jc w:val="left"/>
    </w:pPr>
    <w:rPr>
      <w:rFonts w:eastAsia="Times New Roman"/>
      <w:szCs w:val="24"/>
      <w:lang w:eastAsia="en-AU"/>
    </w:rPr>
  </w:style>
  <w:style w:type="paragraph" w:customStyle="1" w:styleId="007407ef">
    <w:name w:val="007407ef"/>
    <w:basedOn w:val="Normal"/>
    <w:rsid w:val="00DD7CE7"/>
    <w:pPr>
      <w:spacing w:before="100" w:beforeAutospacing="1" w:after="100" w:afterAutospacing="1" w:line="240" w:lineRule="auto"/>
      <w:jc w:val="left"/>
    </w:pPr>
    <w:rPr>
      <w:rFonts w:eastAsia="Times New Roman"/>
      <w:szCs w:val="24"/>
      <w:lang w:eastAsia="en-AU"/>
    </w:rPr>
  </w:style>
  <w:style w:type="paragraph" w:customStyle="1" w:styleId="acthead5">
    <w:name w:val="acthead5"/>
    <w:basedOn w:val="Normal"/>
    <w:rsid w:val="009E7B29"/>
    <w:pPr>
      <w:spacing w:before="100" w:beforeAutospacing="1" w:after="100" w:afterAutospacing="1" w:line="240" w:lineRule="auto"/>
      <w:jc w:val="left"/>
    </w:pPr>
    <w:rPr>
      <w:rFonts w:eastAsia="Times New Roman"/>
      <w:szCs w:val="24"/>
      <w:lang w:eastAsia="en-AU"/>
    </w:rPr>
  </w:style>
  <w:style w:type="character" w:customStyle="1" w:styleId="charsectno">
    <w:name w:val="charsectno"/>
    <w:basedOn w:val="DefaultParagraphFont"/>
    <w:rsid w:val="009E7B29"/>
  </w:style>
  <w:style w:type="paragraph" w:customStyle="1" w:styleId="subsection">
    <w:name w:val="subsection"/>
    <w:basedOn w:val="Normal"/>
    <w:rsid w:val="009E7B29"/>
    <w:pPr>
      <w:spacing w:before="100" w:beforeAutospacing="1" w:after="100" w:afterAutospacing="1" w:line="240" w:lineRule="auto"/>
      <w:jc w:val="left"/>
    </w:pPr>
    <w:rPr>
      <w:rFonts w:eastAsia="Times New Roman"/>
      <w:szCs w:val="24"/>
      <w:lang w:eastAsia="en-AU"/>
    </w:rPr>
  </w:style>
  <w:style w:type="paragraph" w:customStyle="1" w:styleId="paragraph">
    <w:name w:val="paragraph"/>
    <w:basedOn w:val="Normal"/>
    <w:rsid w:val="009E7B29"/>
    <w:pPr>
      <w:spacing w:before="100" w:beforeAutospacing="1" w:after="100" w:afterAutospacing="1" w:line="240" w:lineRule="auto"/>
      <w:jc w:val="left"/>
    </w:pPr>
    <w:rPr>
      <w:rFonts w:eastAsia="Times New Roman"/>
      <w:szCs w:val="24"/>
      <w:lang w:eastAsia="en-AU"/>
    </w:rPr>
  </w:style>
  <w:style w:type="paragraph" w:customStyle="1" w:styleId="paragraphsub">
    <w:name w:val="paragraphsub"/>
    <w:basedOn w:val="Normal"/>
    <w:rsid w:val="009E7B29"/>
    <w:pPr>
      <w:spacing w:before="100" w:beforeAutospacing="1" w:after="100" w:afterAutospacing="1" w:line="240" w:lineRule="auto"/>
      <w:jc w:val="left"/>
    </w:pPr>
    <w:rPr>
      <w:rFonts w:eastAsia="Times New Roman"/>
      <w:szCs w:val="24"/>
      <w:lang w:eastAsia="en-AU"/>
    </w:rPr>
  </w:style>
  <w:style w:type="paragraph" w:customStyle="1" w:styleId="00aa6e54">
    <w:name w:val="00aa6e54"/>
    <w:basedOn w:val="Normal"/>
    <w:rsid w:val="00CA5C1E"/>
    <w:pPr>
      <w:spacing w:before="100" w:beforeAutospacing="1" w:after="100" w:afterAutospacing="1" w:line="240" w:lineRule="auto"/>
      <w:jc w:val="left"/>
    </w:pPr>
    <w:rPr>
      <w:rFonts w:eastAsia="Times New Roman"/>
      <w:szCs w:val="24"/>
      <w:lang w:eastAsia="en-AU"/>
    </w:rPr>
  </w:style>
  <w:style w:type="paragraph" w:customStyle="1" w:styleId="Default">
    <w:name w:val="Default"/>
    <w:rsid w:val="00734D1C"/>
    <w:pPr>
      <w:autoSpaceDE w:val="0"/>
      <w:autoSpaceDN w:val="0"/>
      <w:adjustRightInd w:val="0"/>
    </w:pPr>
    <w:rPr>
      <w:rFonts w:ascii="BSHCPI+HelveticaNeue-Italic" w:hAnsi="BSHCPI+HelveticaNeue-Italic" w:cs="BSHCPI+HelveticaNeue-Italic"/>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757020">
      <w:bodyDiv w:val="1"/>
      <w:marLeft w:val="0"/>
      <w:marRight w:val="0"/>
      <w:marTop w:val="0"/>
      <w:marBottom w:val="0"/>
      <w:divBdr>
        <w:top w:val="none" w:sz="0" w:space="0" w:color="auto"/>
        <w:left w:val="none" w:sz="0" w:space="0" w:color="auto"/>
        <w:bottom w:val="none" w:sz="0" w:space="0" w:color="auto"/>
        <w:right w:val="none" w:sz="0" w:space="0" w:color="auto"/>
      </w:divBdr>
    </w:div>
    <w:div w:id="343285672">
      <w:bodyDiv w:val="1"/>
      <w:marLeft w:val="0"/>
      <w:marRight w:val="0"/>
      <w:marTop w:val="0"/>
      <w:marBottom w:val="0"/>
      <w:divBdr>
        <w:top w:val="none" w:sz="0" w:space="0" w:color="auto"/>
        <w:left w:val="none" w:sz="0" w:space="0" w:color="auto"/>
        <w:bottom w:val="none" w:sz="0" w:space="0" w:color="auto"/>
        <w:right w:val="none" w:sz="0" w:space="0" w:color="auto"/>
      </w:divBdr>
    </w:div>
    <w:div w:id="1169977016">
      <w:bodyDiv w:val="1"/>
      <w:marLeft w:val="0"/>
      <w:marRight w:val="0"/>
      <w:marTop w:val="0"/>
      <w:marBottom w:val="0"/>
      <w:divBdr>
        <w:top w:val="none" w:sz="0" w:space="0" w:color="auto"/>
        <w:left w:val="none" w:sz="0" w:space="0" w:color="auto"/>
        <w:bottom w:val="none" w:sz="0" w:space="0" w:color="auto"/>
        <w:right w:val="none" w:sz="0" w:space="0" w:color="auto"/>
      </w:divBdr>
    </w:div>
    <w:div w:id="1592005557">
      <w:bodyDiv w:val="1"/>
      <w:marLeft w:val="0"/>
      <w:marRight w:val="0"/>
      <w:marTop w:val="0"/>
      <w:marBottom w:val="0"/>
      <w:divBdr>
        <w:top w:val="none" w:sz="0" w:space="0" w:color="auto"/>
        <w:left w:val="none" w:sz="0" w:space="0" w:color="auto"/>
        <w:bottom w:val="none" w:sz="0" w:space="0" w:color="auto"/>
        <w:right w:val="none" w:sz="0" w:space="0" w:color="auto"/>
      </w:divBdr>
    </w:div>
    <w:div w:id="1609505733">
      <w:bodyDiv w:val="1"/>
      <w:marLeft w:val="0"/>
      <w:marRight w:val="0"/>
      <w:marTop w:val="0"/>
      <w:marBottom w:val="0"/>
      <w:divBdr>
        <w:top w:val="none" w:sz="0" w:space="0" w:color="auto"/>
        <w:left w:val="none" w:sz="0" w:space="0" w:color="auto"/>
        <w:bottom w:val="none" w:sz="0" w:space="0" w:color="auto"/>
        <w:right w:val="none" w:sz="0" w:space="0" w:color="auto"/>
      </w:divBdr>
    </w:div>
    <w:div w:id="1870487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H:\My%20Documents\Judg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72FDBF1018C49C896A536BD4E7EE3B5"/>
        <w:category>
          <w:name w:val="General"/>
          <w:gallery w:val="placeholder"/>
        </w:category>
        <w:types>
          <w:type w:val="bbPlcHdr"/>
        </w:types>
        <w:behaviors>
          <w:behavior w:val="content"/>
        </w:behaviors>
        <w:guid w:val="{5B22826C-39A9-4086-8E3C-22B263FACC11}"/>
      </w:docPartPr>
      <w:docPartBody>
        <w:p w:rsidR="002A12B8" w:rsidRDefault="0078306F">
          <w:pPr>
            <w:pStyle w:val="672FDBF1018C49C896A536BD4E7EE3B5"/>
          </w:pPr>
          <w:r>
            <w:rPr>
              <w:rStyle w:val="PlaceholderText"/>
            </w:rPr>
            <w:t>MNC Text</w:t>
          </w:r>
        </w:p>
      </w:docPartBody>
    </w:docPart>
    <w:docPart>
      <w:docPartPr>
        <w:name w:val="597FB0B36F3248FBA136F072E310F7F7"/>
        <w:category>
          <w:name w:val="General"/>
          <w:gallery w:val="placeholder"/>
        </w:category>
        <w:types>
          <w:type w:val="bbPlcHdr"/>
        </w:types>
        <w:behaviors>
          <w:behavior w:val="content"/>
        </w:behaviors>
        <w:guid w:val="{8154AB6F-4539-4732-BA9C-AAAFC86A59F0}"/>
      </w:docPartPr>
      <w:docPartBody>
        <w:p w:rsidR="002A12B8" w:rsidRDefault="0078306F">
          <w:pPr>
            <w:pStyle w:val="597FB0B36F3248FBA136F072E310F7F7"/>
          </w:pPr>
          <w:r w:rsidRPr="005C44BE">
            <w:rPr>
              <w:rStyle w:val="PlaceholderText"/>
            </w:rPr>
            <w:t>Click or tap here to enter text.</w:t>
          </w:r>
        </w:p>
      </w:docPartBody>
    </w:docPart>
    <w:docPart>
      <w:docPartPr>
        <w:name w:val="A87C4AFF5EDD4412B443BA9511C7950C"/>
        <w:category>
          <w:name w:val="General"/>
          <w:gallery w:val="placeholder"/>
        </w:category>
        <w:types>
          <w:type w:val="bbPlcHdr"/>
        </w:types>
        <w:behaviors>
          <w:behavior w:val="content"/>
        </w:behaviors>
        <w:guid w:val="{CE2CA1CD-F7E9-4DF4-8407-CF4D55E7BFF9}"/>
      </w:docPartPr>
      <w:docPartBody>
        <w:p w:rsidR="002A12B8" w:rsidRDefault="0078306F">
          <w:pPr>
            <w:pStyle w:val="A87C4AFF5EDD4412B443BA9511C7950C"/>
          </w:pPr>
          <w:r w:rsidRPr="005C44B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Arial Unicode MS"/>
    <w:panose1 w:val="02030600000101010101"/>
    <w:charset w:val="81"/>
    <w:family w:val="roman"/>
    <w:pitch w:val="variable"/>
    <w:sig w:usb0="00000000"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BSHCPI+HelveticaNeue-Italic">
    <w:altName w:val="Helvetica Neue"/>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306F"/>
    <w:rsid w:val="000E4D7E"/>
    <w:rsid w:val="00123D0E"/>
    <w:rsid w:val="002350E2"/>
    <w:rsid w:val="00270662"/>
    <w:rsid w:val="002A12B8"/>
    <w:rsid w:val="00461E9D"/>
    <w:rsid w:val="004F779F"/>
    <w:rsid w:val="006005EF"/>
    <w:rsid w:val="006927F1"/>
    <w:rsid w:val="006A3E67"/>
    <w:rsid w:val="0078306F"/>
    <w:rsid w:val="007B0383"/>
    <w:rsid w:val="008469DE"/>
    <w:rsid w:val="009855B5"/>
    <w:rsid w:val="00A82EF8"/>
    <w:rsid w:val="00DE186D"/>
    <w:rsid w:val="00F63B5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469DE"/>
    <w:rPr>
      <w:color w:val="808080"/>
    </w:rPr>
  </w:style>
  <w:style w:type="paragraph" w:customStyle="1" w:styleId="672FDBF1018C49C896A536BD4E7EE3B5">
    <w:name w:val="672FDBF1018C49C896A536BD4E7EE3B5"/>
  </w:style>
  <w:style w:type="paragraph" w:customStyle="1" w:styleId="B6540F18058647D9A53A3D892526C061">
    <w:name w:val="B6540F18058647D9A53A3D892526C061"/>
  </w:style>
  <w:style w:type="paragraph" w:customStyle="1" w:styleId="65D4F1BE8B8244A3A989185BB48FF494">
    <w:name w:val="65D4F1BE8B8244A3A989185BB48FF494"/>
  </w:style>
  <w:style w:type="paragraph" w:customStyle="1" w:styleId="597FB0B36F3248FBA136F072E310F7F7">
    <w:name w:val="597FB0B36F3248FBA136F072E310F7F7"/>
  </w:style>
  <w:style w:type="paragraph" w:customStyle="1" w:styleId="A87C4AFF5EDD4412B443BA9511C7950C">
    <w:name w:val="A87C4AFF5EDD4412B443BA9511C7950C"/>
  </w:style>
  <w:style w:type="paragraph" w:customStyle="1" w:styleId="349E1505834342E3B50EFF9FD13E47F0">
    <w:name w:val="349E1505834342E3B50EFF9FD13E47F0"/>
    <w:rsid w:val="008469D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root xmlns="http://schemas.globalmacros.com/FCA">
  <Name>Dallow v Ferguson [2021] FCA 1124 </Name>
</root>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7E7CCB-4AA5-44E7-B148-17BA2B6F57C0}">
  <ds:schemaRefs>
    <ds:schemaRef ds:uri="http://schemas.globalmacros.com/FCA"/>
  </ds:schemaRefs>
</ds:datastoreItem>
</file>

<file path=customXml/itemProps2.xml><?xml version="1.0" encoding="utf-8"?>
<ds:datastoreItem xmlns:ds="http://schemas.openxmlformats.org/officeDocument/2006/customXml" ds:itemID="{73DC9CFD-71E1-44CE-9E92-097269B403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Judgment.dotx</Template>
  <TotalTime>1</TotalTime>
  <Pages>15</Pages>
  <Words>4908</Words>
  <Characters>24295</Characters>
  <Application>Microsoft Office Word</Application>
  <DocSecurity>0</DocSecurity>
  <Lines>495</Lines>
  <Paragraphs>204</Paragraphs>
  <ScaleCrop>false</ScaleCrop>
  <HeadingPairs>
    <vt:vector size="2" baseType="variant">
      <vt:variant>
        <vt:lpstr>Title</vt:lpstr>
      </vt:variant>
      <vt:variant>
        <vt:i4>1</vt:i4>
      </vt:variant>
    </vt:vector>
  </HeadingPairs>
  <TitlesOfParts>
    <vt:vector size="1" baseType="lpstr">
      <vt:lpstr>Dallow v Ferguson [2021] FCA 1124 </vt:lpstr>
    </vt:vector>
  </TitlesOfParts>
  <Company>Federal Court of Australia</Company>
  <LinksUpToDate>false</LinksUpToDate>
  <CharactersWithSpaces>28999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Dallow v Ferguson [2021] FCA 1124</dc:title>
  <dc:creator>Federal Court of Australia</dc:creator>
  <cp:lastModifiedBy>Federal Court of Australia</cp:lastModifiedBy>
  <cp:revision>3</cp:revision>
  <cp:lastPrinted>2021-09-17T00:38:00Z</cp:lastPrinted>
  <dcterms:created xsi:type="dcterms:W3CDTF">2021-09-22T23:08:00Z</dcterms:created>
  <dcterms:modified xsi:type="dcterms:W3CDTF">2021-09-22T23:09:00Z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licant">
    <vt:lpwstr> </vt:lpwstr>
  </property>
  <property fmtid="{D5CDD505-2E9C-101B-9397-08002B2CF9AE}" pid="3" name="Distribution">
    <vt:lpwstr>GENERAL DISTRIBUTION</vt:lpwstr>
  </property>
  <property fmtid="{D5CDD505-2E9C-101B-9397-08002B2CF9AE}" pid="4" name="MNC">
    <vt:lpwstr> </vt:lpwstr>
  </property>
  <property fmtid="{D5CDD505-2E9C-101B-9397-08002B2CF9AE}" pid="5" name="Pages">
    <vt:lpwstr>3</vt:lpwstr>
  </property>
  <property fmtid="{D5CDD505-2E9C-101B-9397-08002B2CF9AE}" pid="6" name="Parties">
    <vt:lpwstr> </vt:lpwstr>
  </property>
  <property fmtid="{D5CDD505-2E9C-101B-9397-08002B2CF9AE}" pid="7" name="Place">
    <vt:lpwstr>Melbourne</vt:lpwstr>
  </property>
  <property fmtid="{D5CDD505-2E9C-101B-9397-08002B2CF9AE}" pid="8" name="Respondent">
    <vt:lpwstr> </vt:lpwstr>
  </property>
  <property fmtid="{D5CDD505-2E9C-101B-9397-08002B2CF9AE}" pid="9" name="Year">
    <vt:lpwstr>2020</vt:lpwstr>
  </property>
  <property fmtid="{D5CDD505-2E9C-101B-9397-08002B2CF9AE}" pid="10" name="Judgment Template">
    <vt:lpwstr>True</vt:lpwstr>
  </property>
  <property fmtid="{D5CDD505-2E9C-101B-9397-08002B2CF9AE}" pid="11" name="VERSION">
    <vt:lpwstr>1.0</vt:lpwstr>
  </property>
  <property fmtid="{D5CDD505-2E9C-101B-9397-08002B2CF9AE}" pid="12" name="Registry">
    <vt:lpwstr>Australian Capital Territory</vt:lpwstr>
  </property>
  <property fmtid="{D5CDD505-2E9C-101B-9397-08002B2CF9AE}" pid="13" name="Division">
    <vt:lpwstr>General Division</vt:lpwstr>
  </property>
  <property fmtid="{D5CDD505-2E9C-101B-9397-08002B2CF9AE}" pid="14" name="FileNo">
    <vt:lpwstr>&lt;FILE NO&gt;</vt:lpwstr>
  </property>
  <property fmtid="{D5CDD505-2E9C-101B-9397-08002B2CF9AE}" pid="15" name="Practice Area">
    <vt:lpwstr>N/A FCC, FCoA</vt:lpwstr>
  </property>
  <property fmtid="{D5CDD505-2E9C-101B-9397-08002B2CF9AE}" pid="16" name="Court">
    <vt:lpwstr>Federal Court of Australia</vt:lpwstr>
  </property>
  <property fmtid="{D5CDD505-2E9C-101B-9397-08002B2CF9AE}" pid="17" name="Sub Area">
    <vt:lpwstr>Delete these rows - not required</vt:lpwstr>
  </property>
  <property fmtid="{D5CDD505-2E9C-101B-9397-08002B2CF9AE}" pid="18" name="AppealFrom">
    <vt:lpwstr>&lt;AppealFrom&gt;</vt:lpwstr>
  </property>
  <property fmtid="{D5CDD505-2E9C-101B-9397-08002B2CF9AE}" pid="19" name="Judge">
    <vt:lpwstr>Judge</vt:lpwstr>
  </property>
  <property fmtid="{D5CDD505-2E9C-101B-9397-08002B2CF9AE}" pid="20" name="Judgment_dated">
    <vt:lpwstr>Judgment_dated</vt:lpwstr>
  </property>
  <property fmtid="{D5CDD505-2E9C-101B-9397-08002B2CF9AE}" pid="21" name="Legislation">
    <vt:lpwstr>Legislation</vt:lpwstr>
  </property>
  <property fmtid="{D5CDD505-2E9C-101B-9397-08002B2CF9AE}" pid="22" name="Catchwords">
    <vt:lpwstr>Catchwords</vt:lpwstr>
  </property>
  <property fmtid="{D5CDD505-2E9C-101B-9397-08002B2CF9AE}" pid="23" name="Words_Phrases">
    <vt:lpwstr>WordsPhrases</vt:lpwstr>
  </property>
  <property fmtid="{D5CDD505-2E9C-101B-9397-08002B2CF9AE}" pid="24" name="Cases_Cited">
    <vt:lpwstr>CasesCited</vt:lpwstr>
  </property>
  <property fmtid="{D5CDD505-2E9C-101B-9397-08002B2CF9AE}" pid="25" name="File_Number">
    <vt:lpwstr>Num</vt:lpwstr>
  </property>
  <property fmtid="{D5CDD505-2E9C-101B-9397-08002B2CF9AE}" pid="26" name="State">
    <vt:lpwstr>State</vt:lpwstr>
  </property>
</Properties>
</file>