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6671" w14:textId="278BF55E" w:rsidR="00395B24" w:rsidRDefault="000871B4" w:rsidP="00A22932">
      <w:pPr>
        <w:pStyle w:val="CourtTitle"/>
      </w:pPr>
      <w:r>
        <w:fldChar w:fldCharType="begin"/>
      </w:r>
      <w:r>
        <w:instrText xml:space="preserve"> DOCPROPERTY  Court  \* MERGEFORMAT </w:instrText>
      </w:r>
      <w:r>
        <w:fldChar w:fldCharType="separate"/>
      </w:r>
      <w:r w:rsidR="001408BB">
        <w:t>Federal Court of Australia</w:t>
      </w:r>
      <w:r>
        <w:fldChar w:fldCharType="end"/>
      </w:r>
    </w:p>
    <w:p w14:paraId="4684E4D4" w14:textId="77777777" w:rsidR="00395B24" w:rsidRDefault="00395B24">
      <w:pPr>
        <w:pStyle w:val="NormalHeadings"/>
        <w:jc w:val="center"/>
        <w:rPr>
          <w:sz w:val="32"/>
        </w:rPr>
      </w:pPr>
    </w:p>
    <w:bookmarkStart w:id="0" w:name="MNC"/>
    <w:p w14:paraId="734B6271" w14:textId="68170940" w:rsidR="00374CC4" w:rsidRDefault="00435088" w:rsidP="001A2B40">
      <w:pPr>
        <w:pStyle w:val="MNC"/>
      </w:pPr>
      <w:sdt>
        <w:sdtPr>
          <w:alias w:val="MNC"/>
          <w:tag w:val="MNC"/>
          <w:id w:val="343289786"/>
          <w:lock w:val="sdtLocked"/>
          <w:placeholder>
            <w:docPart w:val="96B1E7E0F4534549A324960D30D175F8"/>
          </w:placeholder>
          <w:dataBinding w:prefixMappings="xmlns:ns0='http://schemas.globalmacros.com/FCA'" w:xpath="/ns0:root[1]/ns0:Name[1]" w:storeItemID="{687E7CCB-4AA5-44E7-B148-17BA2B6F57C0}"/>
          <w:text w:multiLine="1"/>
        </w:sdtPr>
        <w:sdtEndPr/>
        <w:sdtContent>
          <w:r w:rsidR="00E02D1A">
            <w:t>RB (Hygiene Home) Australia Pty Ltd v Henkel Australia Pty Ltd [2021] FCA 1094</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249CD558" w14:textId="77777777" w:rsidTr="00C020E3">
        <w:tc>
          <w:tcPr>
            <w:tcW w:w="3083" w:type="dxa"/>
            <w:shd w:val="clear" w:color="auto" w:fill="auto"/>
          </w:tcPr>
          <w:p w14:paraId="2E0C898E" w14:textId="48A83CFF" w:rsidR="00395B24" w:rsidRDefault="00697062" w:rsidP="00663878">
            <w:pPr>
              <w:pStyle w:val="Normal1linespace"/>
              <w:widowControl w:val="0"/>
              <w:jc w:val="left"/>
            </w:pPr>
            <w:r>
              <w:t>File number</w:t>
            </w:r>
            <w:r w:rsidR="002C7385">
              <w:t>:</w:t>
            </w:r>
          </w:p>
        </w:tc>
        <w:tc>
          <w:tcPr>
            <w:tcW w:w="5989" w:type="dxa"/>
            <w:shd w:val="clear" w:color="auto" w:fill="auto"/>
          </w:tcPr>
          <w:p w14:paraId="3205D3D8" w14:textId="7110DAC1" w:rsidR="00395B24" w:rsidRPr="001408BB" w:rsidRDefault="00B05333" w:rsidP="001408BB">
            <w:pPr>
              <w:pStyle w:val="Normal1linespace"/>
              <w:jc w:val="left"/>
            </w:pPr>
            <w:fldSimple w:instr=" REF  FileNo  \* MERGEFORMAT " w:fldLock="1">
              <w:r w:rsidR="001408BB" w:rsidRPr="001408BB">
                <w:t>NSD 823 of 2021</w:t>
              </w:r>
            </w:fldSimple>
          </w:p>
        </w:tc>
      </w:tr>
      <w:tr w:rsidR="00395B24" w14:paraId="272AA52D" w14:textId="77777777" w:rsidTr="00C020E3">
        <w:tc>
          <w:tcPr>
            <w:tcW w:w="3083" w:type="dxa"/>
            <w:shd w:val="clear" w:color="auto" w:fill="auto"/>
          </w:tcPr>
          <w:p w14:paraId="2FB15C93" w14:textId="77777777" w:rsidR="00395B24" w:rsidRDefault="00395B24" w:rsidP="00663878">
            <w:pPr>
              <w:pStyle w:val="Normal1linespace"/>
              <w:widowControl w:val="0"/>
              <w:jc w:val="left"/>
            </w:pPr>
          </w:p>
        </w:tc>
        <w:tc>
          <w:tcPr>
            <w:tcW w:w="5989" w:type="dxa"/>
            <w:shd w:val="clear" w:color="auto" w:fill="auto"/>
          </w:tcPr>
          <w:p w14:paraId="42393171" w14:textId="77777777" w:rsidR="00395B24" w:rsidRDefault="00395B24" w:rsidP="00663878">
            <w:pPr>
              <w:pStyle w:val="Normal1linespace"/>
              <w:widowControl w:val="0"/>
              <w:jc w:val="left"/>
            </w:pPr>
          </w:p>
        </w:tc>
      </w:tr>
      <w:tr w:rsidR="00395B24" w14:paraId="3AD8326B" w14:textId="77777777" w:rsidTr="00C020E3">
        <w:tc>
          <w:tcPr>
            <w:tcW w:w="3083" w:type="dxa"/>
            <w:shd w:val="clear" w:color="auto" w:fill="auto"/>
          </w:tcPr>
          <w:p w14:paraId="2A0F831F"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025F296" w14:textId="1C72D7B1" w:rsidR="00395B24" w:rsidRDefault="002C7385" w:rsidP="00663878">
            <w:pPr>
              <w:pStyle w:val="Normal1linespace"/>
              <w:widowControl w:val="0"/>
              <w:jc w:val="left"/>
              <w:rPr>
                <w:b/>
              </w:rPr>
            </w:pPr>
            <w:r w:rsidRPr="001408BB">
              <w:rPr>
                <w:b/>
              </w:rPr>
              <w:fldChar w:fldCharType="begin" w:fldLock="1"/>
            </w:r>
            <w:r w:rsidRPr="001408BB">
              <w:rPr>
                <w:b/>
              </w:rPr>
              <w:instrText xml:space="preserve"> REF  Judge  \* MERGEFORMAT </w:instrText>
            </w:r>
            <w:r w:rsidRPr="001408BB">
              <w:rPr>
                <w:b/>
              </w:rPr>
              <w:fldChar w:fldCharType="separate"/>
            </w:r>
            <w:r w:rsidR="001408BB" w:rsidRPr="001408BB">
              <w:rPr>
                <w:b/>
                <w:caps/>
                <w:szCs w:val="24"/>
              </w:rPr>
              <w:t>HALLEY J</w:t>
            </w:r>
            <w:r w:rsidRPr="001408BB">
              <w:rPr>
                <w:b/>
              </w:rPr>
              <w:fldChar w:fldCharType="end"/>
            </w:r>
          </w:p>
        </w:tc>
      </w:tr>
      <w:tr w:rsidR="00395B24" w14:paraId="3CC20B05" w14:textId="77777777" w:rsidTr="00C020E3">
        <w:tc>
          <w:tcPr>
            <w:tcW w:w="3083" w:type="dxa"/>
            <w:shd w:val="clear" w:color="auto" w:fill="auto"/>
          </w:tcPr>
          <w:p w14:paraId="1313091E" w14:textId="77777777" w:rsidR="00395B24" w:rsidRDefault="00395B24" w:rsidP="00663878">
            <w:pPr>
              <w:pStyle w:val="Normal1linespace"/>
              <w:widowControl w:val="0"/>
              <w:jc w:val="left"/>
            </w:pPr>
          </w:p>
        </w:tc>
        <w:tc>
          <w:tcPr>
            <w:tcW w:w="5989" w:type="dxa"/>
            <w:shd w:val="clear" w:color="auto" w:fill="auto"/>
          </w:tcPr>
          <w:p w14:paraId="5C5179FF" w14:textId="77777777" w:rsidR="00395B24" w:rsidRDefault="00395B24" w:rsidP="00663878">
            <w:pPr>
              <w:pStyle w:val="Normal1linespace"/>
              <w:widowControl w:val="0"/>
              <w:jc w:val="left"/>
            </w:pPr>
          </w:p>
        </w:tc>
      </w:tr>
      <w:tr w:rsidR="00395B24" w14:paraId="49DBD610" w14:textId="77777777" w:rsidTr="00C020E3">
        <w:tc>
          <w:tcPr>
            <w:tcW w:w="3083" w:type="dxa"/>
            <w:shd w:val="clear" w:color="auto" w:fill="auto"/>
          </w:tcPr>
          <w:p w14:paraId="7B2DA16B" w14:textId="77777777" w:rsidR="00395B24" w:rsidRDefault="002C7385" w:rsidP="00663878">
            <w:pPr>
              <w:pStyle w:val="Normal1linespace"/>
              <w:widowControl w:val="0"/>
              <w:jc w:val="left"/>
            </w:pPr>
            <w:r>
              <w:t>Date of judgment:</w:t>
            </w:r>
          </w:p>
        </w:tc>
        <w:tc>
          <w:tcPr>
            <w:tcW w:w="5989" w:type="dxa"/>
            <w:shd w:val="clear" w:color="auto" w:fill="auto"/>
          </w:tcPr>
          <w:p w14:paraId="20968793" w14:textId="0195BD88" w:rsidR="00395B24" w:rsidRDefault="001F284E" w:rsidP="00663878">
            <w:pPr>
              <w:pStyle w:val="Normal1linespace"/>
              <w:widowControl w:val="0"/>
              <w:jc w:val="left"/>
            </w:pPr>
            <w:r>
              <w:t>3 September 2021</w:t>
            </w:r>
          </w:p>
        </w:tc>
      </w:tr>
      <w:tr w:rsidR="00395B24" w14:paraId="66E68CCA" w14:textId="77777777" w:rsidTr="00C020E3">
        <w:tc>
          <w:tcPr>
            <w:tcW w:w="3083" w:type="dxa"/>
            <w:shd w:val="clear" w:color="auto" w:fill="auto"/>
          </w:tcPr>
          <w:p w14:paraId="11AFFE7B" w14:textId="77777777" w:rsidR="00395B24" w:rsidRDefault="00395B24" w:rsidP="00663878">
            <w:pPr>
              <w:pStyle w:val="Normal1linespace"/>
              <w:widowControl w:val="0"/>
              <w:jc w:val="left"/>
            </w:pPr>
          </w:p>
        </w:tc>
        <w:tc>
          <w:tcPr>
            <w:tcW w:w="5989" w:type="dxa"/>
            <w:shd w:val="clear" w:color="auto" w:fill="auto"/>
          </w:tcPr>
          <w:p w14:paraId="27C25FEB" w14:textId="77777777" w:rsidR="00395B24" w:rsidRDefault="00395B24" w:rsidP="00663878">
            <w:pPr>
              <w:pStyle w:val="Normal1linespace"/>
              <w:widowControl w:val="0"/>
              <w:jc w:val="left"/>
            </w:pPr>
          </w:p>
        </w:tc>
      </w:tr>
      <w:tr w:rsidR="001408BB" w14:paraId="29C70F6A" w14:textId="77777777" w:rsidTr="00C020E3">
        <w:tc>
          <w:tcPr>
            <w:tcW w:w="3083" w:type="dxa"/>
            <w:shd w:val="clear" w:color="auto" w:fill="auto"/>
          </w:tcPr>
          <w:p w14:paraId="0CFBB887" w14:textId="15A8E453" w:rsidR="001408BB" w:rsidRDefault="001408BB" w:rsidP="001408BB">
            <w:pPr>
              <w:pStyle w:val="Normal1linespace"/>
              <w:widowControl w:val="0"/>
              <w:jc w:val="left"/>
            </w:pPr>
            <w:r>
              <w:t>Date of publication of reasons:</w:t>
            </w:r>
          </w:p>
        </w:tc>
        <w:tc>
          <w:tcPr>
            <w:tcW w:w="5989" w:type="dxa"/>
            <w:shd w:val="clear" w:color="auto" w:fill="auto"/>
          </w:tcPr>
          <w:p w14:paraId="2FE2C5B2" w14:textId="7AF44EEF" w:rsidR="001408BB" w:rsidRDefault="001408BB" w:rsidP="009C6DFD">
            <w:pPr>
              <w:pStyle w:val="Normal1linespace"/>
              <w:widowControl w:val="0"/>
              <w:jc w:val="left"/>
            </w:pPr>
            <w:r>
              <w:t>10 September 2021</w:t>
            </w:r>
          </w:p>
        </w:tc>
      </w:tr>
      <w:tr w:rsidR="001408BB" w14:paraId="388EA339" w14:textId="77777777" w:rsidTr="00C020E3">
        <w:tc>
          <w:tcPr>
            <w:tcW w:w="3083" w:type="dxa"/>
            <w:shd w:val="clear" w:color="auto" w:fill="auto"/>
          </w:tcPr>
          <w:p w14:paraId="54A70F80" w14:textId="77777777" w:rsidR="001408BB" w:rsidRDefault="001408BB" w:rsidP="009C6DFD">
            <w:pPr>
              <w:pStyle w:val="Normal1linespace"/>
              <w:widowControl w:val="0"/>
              <w:jc w:val="left"/>
            </w:pPr>
          </w:p>
        </w:tc>
        <w:tc>
          <w:tcPr>
            <w:tcW w:w="5989" w:type="dxa"/>
            <w:shd w:val="clear" w:color="auto" w:fill="auto"/>
          </w:tcPr>
          <w:p w14:paraId="280A91F8" w14:textId="77777777" w:rsidR="001408BB" w:rsidRDefault="001408BB" w:rsidP="009C6DFD">
            <w:pPr>
              <w:pStyle w:val="Normal1linespace"/>
              <w:widowControl w:val="0"/>
              <w:jc w:val="left"/>
            </w:pPr>
          </w:p>
        </w:tc>
      </w:tr>
      <w:tr w:rsidR="00395B24" w14:paraId="66774C94" w14:textId="77777777" w:rsidTr="00C020E3">
        <w:tc>
          <w:tcPr>
            <w:tcW w:w="3083" w:type="dxa"/>
            <w:shd w:val="clear" w:color="auto" w:fill="auto"/>
          </w:tcPr>
          <w:p w14:paraId="35B41A18" w14:textId="77777777" w:rsidR="00395B24" w:rsidRDefault="002C7385" w:rsidP="00663878">
            <w:pPr>
              <w:pStyle w:val="Normal1linespace"/>
              <w:widowControl w:val="0"/>
              <w:jc w:val="left"/>
            </w:pPr>
            <w:r>
              <w:t>Catchwords:</w:t>
            </w:r>
          </w:p>
        </w:tc>
        <w:tc>
          <w:tcPr>
            <w:tcW w:w="5989" w:type="dxa"/>
            <w:shd w:val="clear" w:color="auto" w:fill="auto"/>
          </w:tcPr>
          <w:p w14:paraId="5959D618" w14:textId="29CF1429" w:rsidR="00395B24" w:rsidRDefault="00E02D1A" w:rsidP="00296694">
            <w:pPr>
              <w:pStyle w:val="Normal1linespace"/>
              <w:widowControl w:val="0"/>
              <w:jc w:val="left"/>
            </w:pPr>
            <w:bookmarkStart w:id="1" w:name="Catchwords"/>
            <w:r w:rsidRPr="00E02D1A">
              <w:rPr>
                <w:b/>
              </w:rPr>
              <w:t>TRA</w:t>
            </w:r>
            <w:r>
              <w:rPr>
                <w:b/>
              </w:rPr>
              <w:t>DE MARKS</w:t>
            </w:r>
            <w:r w:rsidR="00697062">
              <w:rPr>
                <w:b/>
              </w:rPr>
              <w:t xml:space="preserve"> </w:t>
            </w:r>
            <w:r w:rsidRPr="00E02D1A">
              <w:t xml:space="preserve">– application for </w:t>
            </w:r>
            <w:r w:rsidR="004B7407">
              <w:t>interim</w:t>
            </w:r>
            <w:r w:rsidRPr="00E02D1A">
              <w:t xml:space="preserve"> injunction</w:t>
            </w:r>
            <w:r w:rsidR="004B7407">
              <w:t xml:space="preserve"> restraining alleged </w:t>
            </w:r>
            <w:r w:rsidRPr="00E02D1A">
              <w:t xml:space="preserve">trade mark infringement </w:t>
            </w:r>
            <w:r w:rsidR="004B7407">
              <w:t xml:space="preserve">– whether applicants have established a prima facie case – </w:t>
            </w:r>
            <w:r w:rsidRPr="00E02D1A">
              <w:t xml:space="preserve">use as a trade mark – deceptive similarity – </w:t>
            </w:r>
            <w:r w:rsidR="004B7407">
              <w:t xml:space="preserve">cross-claim alleging non-use </w:t>
            </w:r>
            <w:r w:rsidR="009E7798">
              <w:t xml:space="preserve">– balance of convenience </w:t>
            </w:r>
            <w:r w:rsidRPr="00E02D1A">
              <w:t>–</w:t>
            </w:r>
            <w:r w:rsidR="00B40D15">
              <w:t xml:space="preserve"> whether interlocutory relief decisive in resolution of dispute – </w:t>
            </w:r>
            <w:r w:rsidR="009E7798">
              <w:t xml:space="preserve">justification for preservation of the </w:t>
            </w:r>
            <w:r w:rsidR="009E7798">
              <w:rPr>
                <w:i/>
              </w:rPr>
              <w:t xml:space="preserve">status </w:t>
            </w:r>
            <w:r w:rsidR="009E7798" w:rsidRPr="009E7798">
              <w:t>quo</w:t>
            </w:r>
            <w:r w:rsidR="009E7798">
              <w:t xml:space="preserve"> –</w:t>
            </w:r>
            <w:r w:rsidR="00296694">
              <w:t xml:space="preserve"> reputation and goodwill of </w:t>
            </w:r>
            <w:r w:rsidR="009E7798">
              <w:t xml:space="preserve">established incumbent </w:t>
            </w:r>
            <w:r w:rsidR="00296694">
              <w:t xml:space="preserve">compared to </w:t>
            </w:r>
            <w:r w:rsidR="009E7798">
              <w:t xml:space="preserve">new entrant – assessment and recovery of damages – </w:t>
            </w:r>
            <w:r w:rsidR="00C57773">
              <w:t xml:space="preserve">relevance of impact on </w:t>
            </w:r>
            <w:r w:rsidR="009E7798">
              <w:t>competition</w:t>
            </w:r>
            <w:r w:rsidR="00C57773">
              <w:t xml:space="preserve"> – </w:t>
            </w:r>
            <w:r w:rsidR="009E7798">
              <w:t xml:space="preserve">interim </w:t>
            </w:r>
            <w:r>
              <w:t>injunction granted</w:t>
            </w:r>
            <w:r w:rsidR="002C7385">
              <w:t xml:space="preserve"> </w:t>
            </w:r>
            <w:bookmarkEnd w:id="1"/>
          </w:p>
        </w:tc>
      </w:tr>
      <w:tr w:rsidR="00395B24" w14:paraId="7FCB1239" w14:textId="77777777" w:rsidTr="00C020E3">
        <w:tc>
          <w:tcPr>
            <w:tcW w:w="3083" w:type="dxa"/>
            <w:shd w:val="clear" w:color="auto" w:fill="auto"/>
          </w:tcPr>
          <w:p w14:paraId="09C1BF42" w14:textId="77777777" w:rsidR="00395B24" w:rsidRDefault="00395B24" w:rsidP="00663878">
            <w:pPr>
              <w:pStyle w:val="Normal1linespace"/>
              <w:widowControl w:val="0"/>
              <w:jc w:val="left"/>
            </w:pPr>
          </w:p>
        </w:tc>
        <w:tc>
          <w:tcPr>
            <w:tcW w:w="5989" w:type="dxa"/>
            <w:shd w:val="clear" w:color="auto" w:fill="auto"/>
          </w:tcPr>
          <w:p w14:paraId="68D2F342" w14:textId="77777777" w:rsidR="00395B24" w:rsidRDefault="00395B24" w:rsidP="00663878">
            <w:pPr>
              <w:pStyle w:val="Normal1linespace"/>
              <w:widowControl w:val="0"/>
              <w:jc w:val="left"/>
            </w:pPr>
          </w:p>
        </w:tc>
      </w:tr>
      <w:tr w:rsidR="00395B24" w14:paraId="03898FDA" w14:textId="77777777" w:rsidTr="00C020E3">
        <w:tc>
          <w:tcPr>
            <w:tcW w:w="3083" w:type="dxa"/>
            <w:shd w:val="clear" w:color="auto" w:fill="auto"/>
          </w:tcPr>
          <w:p w14:paraId="2C872073" w14:textId="77777777" w:rsidR="00395B24" w:rsidRDefault="002C7385" w:rsidP="00663878">
            <w:pPr>
              <w:pStyle w:val="Normal1linespace"/>
              <w:widowControl w:val="0"/>
              <w:jc w:val="left"/>
            </w:pPr>
            <w:r>
              <w:t>Legislation:</w:t>
            </w:r>
          </w:p>
        </w:tc>
        <w:tc>
          <w:tcPr>
            <w:tcW w:w="5989" w:type="dxa"/>
            <w:shd w:val="clear" w:color="auto" w:fill="auto"/>
          </w:tcPr>
          <w:p w14:paraId="56F4AC79" w14:textId="2DA48CA6" w:rsidR="00395B24" w:rsidRDefault="001F284E" w:rsidP="00D82620">
            <w:pPr>
              <w:pStyle w:val="CasesLegislationAppealFrom"/>
              <w:spacing w:after="60"/>
            </w:pPr>
            <w:bookmarkStart w:id="2" w:name="Legislation"/>
            <w:r w:rsidRPr="001648BF">
              <w:rPr>
                <w:i/>
              </w:rPr>
              <w:t xml:space="preserve">Trade Marks Act 1995 </w:t>
            </w:r>
            <w:r w:rsidRPr="001648BF">
              <w:t>(</w:t>
            </w:r>
            <w:proofErr w:type="spellStart"/>
            <w:r w:rsidRPr="001648BF">
              <w:t>Cth</w:t>
            </w:r>
            <w:proofErr w:type="spellEnd"/>
            <w:r w:rsidRPr="001648BF">
              <w:t>)</w:t>
            </w:r>
            <w:r>
              <w:t xml:space="preserve"> </w:t>
            </w:r>
            <w:proofErr w:type="spellStart"/>
            <w:r>
              <w:t>ss</w:t>
            </w:r>
            <w:proofErr w:type="spellEnd"/>
            <w:r>
              <w:t xml:space="preserve"> </w:t>
            </w:r>
            <w:r w:rsidR="005E5CA0">
              <w:t xml:space="preserve">7, 10, </w:t>
            </w:r>
            <w:r w:rsidR="005E5CA0" w:rsidRPr="000E03C9">
              <w:t xml:space="preserve">17, 20, </w:t>
            </w:r>
            <w:r w:rsidRPr="000E03C9">
              <w:t>120</w:t>
            </w:r>
            <w:r w:rsidR="002C7385">
              <w:t xml:space="preserve"> </w:t>
            </w:r>
            <w:bookmarkEnd w:id="2"/>
          </w:p>
        </w:tc>
      </w:tr>
      <w:tr w:rsidR="00395B24" w14:paraId="3D4883AC" w14:textId="77777777" w:rsidTr="00C020E3">
        <w:tc>
          <w:tcPr>
            <w:tcW w:w="3083" w:type="dxa"/>
            <w:shd w:val="clear" w:color="auto" w:fill="auto"/>
          </w:tcPr>
          <w:p w14:paraId="4F605544" w14:textId="77777777" w:rsidR="00395B24" w:rsidRDefault="00395B24" w:rsidP="00663878">
            <w:pPr>
              <w:pStyle w:val="Normal1linespace"/>
              <w:widowControl w:val="0"/>
              <w:jc w:val="left"/>
            </w:pPr>
          </w:p>
        </w:tc>
        <w:tc>
          <w:tcPr>
            <w:tcW w:w="5989" w:type="dxa"/>
            <w:shd w:val="clear" w:color="auto" w:fill="auto"/>
          </w:tcPr>
          <w:p w14:paraId="3DB3FEF3" w14:textId="77777777" w:rsidR="00395B24" w:rsidRDefault="00395B24" w:rsidP="00663878">
            <w:pPr>
              <w:pStyle w:val="Normal1linespace"/>
              <w:widowControl w:val="0"/>
              <w:jc w:val="left"/>
            </w:pPr>
          </w:p>
        </w:tc>
      </w:tr>
      <w:tr w:rsidR="00395B24" w14:paraId="57966CBF" w14:textId="77777777" w:rsidTr="00C020E3">
        <w:tc>
          <w:tcPr>
            <w:tcW w:w="3083" w:type="dxa"/>
            <w:shd w:val="clear" w:color="auto" w:fill="auto"/>
          </w:tcPr>
          <w:p w14:paraId="21F03DB2" w14:textId="77777777" w:rsidR="00395B24" w:rsidRDefault="002C7385" w:rsidP="00663878">
            <w:pPr>
              <w:pStyle w:val="Normal1linespace"/>
              <w:widowControl w:val="0"/>
              <w:jc w:val="left"/>
            </w:pPr>
            <w:r>
              <w:t>Cases cited:</w:t>
            </w:r>
          </w:p>
        </w:tc>
        <w:tc>
          <w:tcPr>
            <w:tcW w:w="5989" w:type="dxa"/>
            <w:shd w:val="clear" w:color="auto" w:fill="auto"/>
          </w:tcPr>
          <w:p w14:paraId="78FAA436" w14:textId="5B52FD61" w:rsidR="005E5CA0" w:rsidRPr="001408BB" w:rsidRDefault="005E5CA0" w:rsidP="00D82620">
            <w:pPr>
              <w:pStyle w:val="CasesLegislationAppealFrom"/>
              <w:spacing w:after="60"/>
              <w:rPr>
                <w:i/>
              </w:rPr>
            </w:pPr>
            <w:bookmarkStart w:id="3" w:name="Cases_Cited"/>
            <w:r w:rsidRPr="001408BB">
              <w:rPr>
                <w:i/>
              </w:rPr>
              <w:t xml:space="preserve">Anheuser-Busch, </w:t>
            </w:r>
            <w:proofErr w:type="spellStart"/>
            <w:r w:rsidRPr="001408BB">
              <w:rPr>
                <w:i/>
              </w:rPr>
              <w:t>Inc</w:t>
            </w:r>
            <w:proofErr w:type="spellEnd"/>
            <w:r w:rsidRPr="001408BB">
              <w:rPr>
                <w:i/>
              </w:rPr>
              <w:t xml:space="preserve"> v </w:t>
            </w:r>
            <w:proofErr w:type="spellStart"/>
            <w:r w:rsidRPr="001408BB">
              <w:rPr>
                <w:i/>
              </w:rPr>
              <w:t>Budĕjovický</w:t>
            </w:r>
            <w:proofErr w:type="spellEnd"/>
            <w:r w:rsidRPr="001408BB">
              <w:rPr>
                <w:i/>
              </w:rPr>
              <w:t xml:space="preserve"> Budvar, </w:t>
            </w:r>
            <w:proofErr w:type="spellStart"/>
            <w:r w:rsidRPr="001408BB">
              <w:rPr>
                <w:i/>
              </w:rPr>
              <w:t>Národní</w:t>
            </w:r>
            <w:proofErr w:type="spellEnd"/>
            <w:r w:rsidRPr="001408BB">
              <w:rPr>
                <w:i/>
              </w:rPr>
              <w:t xml:space="preserve"> </w:t>
            </w:r>
            <w:proofErr w:type="spellStart"/>
            <w:r w:rsidRPr="001408BB">
              <w:rPr>
                <w:i/>
              </w:rPr>
              <w:t>Podnik</w:t>
            </w:r>
            <w:proofErr w:type="spellEnd"/>
            <w:r w:rsidRPr="001408BB">
              <w:rPr>
                <w:i/>
              </w:rPr>
              <w:t xml:space="preserve"> </w:t>
            </w:r>
            <w:r w:rsidRPr="001408BB">
              <w:t>(2002) 56 IPR 182; [2002] FCA 390</w:t>
            </w:r>
          </w:p>
          <w:p w14:paraId="4051F59C" w14:textId="19FCA115" w:rsidR="001F284E" w:rsidRPr="001408BB" w:rsidRDefault="001F284E" w:rsidP="00D82620">
            <w:pPr>
              <w:pStyle w:val="CasesLegislationAppealFrom"/>
              <w:spacing w:after="60"/>
            </w:pPr>
            <w:r w:rsidRPr="001408BB">
              <w:rPr>
                <w:i/>
              </w:rPr>
              <w:t>Australian Broadcasting Corporation v O</w:t>
            </w:r>
            <w:r w:rsidR="0059586C" w:rsidRPr="001408BB">
              <w:rPr>
                <w:i/>
              </w:rPr>
              <w:t>’</w:t>
            </w:r>
            <w:r w:rsidRPr="001408BB">
              <w:rPr>
                <w:i/>
              </w:rPr>
              <w:t xml:space="preserve">Neill </w:t>
            </w:r>
            <w:r w:rsidRPr="001408BB">
              <w:t>(2006) 227 CLR 57; [2006] HCA 46</w:t>
            </w:r>
          </w:p>
          <w:p w14:paraId="3BFC15E4" w14:textId="613B8E3B" w:rsidR="005E5CA0" w:rsidRPr="001408BB" w:rsidRDefault="00842E76" w:rsidP="00D82620">
            <w:pPr>
              <w:pStyle w:val="CasesLegislationAppealFrom"/>
              <w:spacing w:after="60"/>
              <w:rPr>
                <w:i/>
              </w:rPr>
            </w:pPr>
            <w:r w:rsidRPr="001408BB">
              <w:rPr>
                <w:i/>
              </w:rPr>
              <w:t>Australian Woollen Mills Limited v F. S. Walton and Company Limited</w:t>
            </w:r>
            <w:r w:rsidR="005E5CA0" w:rsidRPr="001408BB">
              <w:rPr>
                <w:i/>
              </w:rPr>
              <w:t xml:space="preserve"> </w:t>
            </w:r>
            <w:r w:rsidR="005E5CA0" w:rsidRPr="001408BB">
              <w:t>(1937) 58 CLR 641</w:t>
            </w:r>
            <w:r w:rsidRPr="001408BB">
              <w:t>; [1937] HCA 51</w:t>
            </w:r>
          </w:p>
          <w:p w14:paraId="341EC64F" w14:textId="3E6A631C" w:rsidR="006D57CB" w:rsidRPr="001408BB" w:rsidRDefault="006D57CB" w:rsidP="00D82620">
            <w:pPr>
              <w:pStyle w:val="CasesLegislationAppealFrom"/>
              <w:spacing w:after="60"/>
            </w:pPr>
            <w:r w:rsidRPr="001408BB">
              <w:rPr>
                <w:i/>
              </w:rPr>
              <w:t xml:space="preserve">Beecham Group Limited v Bristol Laboratories Pty Limited </w:t>
            </w:r>
            <w:r w:rsidRPr="001408BB">
              <w:t>(1968) 118 CLR 618; [1968] HCA 1</w:t>
            </w:r>
          </w:p>
          <w:p w14:paraId="167CDC03" w14:textId="6E6F04F9" w:rsidR="005E5CA0" w:rsidRPr="001408BB" w:rsidRDefault="009101FD" w:rsidP="00D82620">
            <w:pPr>
              <w:pStyle w:val="CasesLegislationAppealFrom"/>
              <w:spacing w:after="60"/>
            </w:pPr>
            <w:r w:rsidRPr="001408BB">
              <w:rPr>
                <w:i/>
              </w:rPr>
              <w:t xml:space="preserve">Beecham Group PLC v Colgate-Palmolive Pty Ltd </w:t>
            </w:r>
            <w:r w:rsidRPr="001408BB">
              <w:t>(2004) 64 IPR 45; [2004] FCA 1335</w:t>
            </w:r>
          </w:p>
          <w:p w14:paraId="1C424E17" w14:textId="45F0887C" w:rsidR="005E5CA0" w:rsidRPr="001408BB" w:rsidRDefault="00A45569" w:rsidP="00D82620">
            <w:pPr>
              <w:pStyle w:val="CasesLegislationAppealFrom"/>
              <w:spacing w:after="60"/>
            </w:pPr>
            <w:r w:rsidRPr="001408BB">
              <w:rPr>
                <w:i/>
              </w:rPr>
              <w:t>Beecham Group Plc</w:t>
            </w:r>
            <w:r w:rsidR="005E5CA0" w:rsidRPr="001408BB">
              <w:rPr>
                <w:i/>
              </w:rPr>
              <w:t xml:space="preserve"> v Colgate-Palmolive Pty Ltd</w:t>
            </w:r>
            <w:r w:rsidR="005E5CA0" w:rsidRPr="001408BB">
              <w:t xml:space="preserve"> (2005) 66 IPR 254; [2005] FCA 838</w:t>
            </w:r>
          </w:p>
          <w:p w14:paraId="1848D389" w14:textId="0FBFA7BB" w:rsidR="001F284E" w:rsidRPr="001408BB" w:rsidRDefault="001F284E" w:rsidP="00D82620">
            <w:pPr>
              <w:pStyle w:val="CasesLegislationAppealFrom"/>
              <w:spacing w:after="60"/>
            </w:pPr>
            <w:r w:rsidRPr="001408BB">
              <w:rPr>
                <w:i/>
              </w:rPr>
              <w:t xml:space="preserve">Bullock v The Federated Furnishing Trades Society of Australasia (No 1) </w:t>
            </w:r>
            <w:r w:rsidRPr="001408BB">
              <w:t>(1985) 5 FCR 464</w:t>
            </w:r>
            <w:r w:rsidR="00BD2559" w:rsidRPr="001408BB">
              <w:t>; [1985] FCA 48</w:t>
            </w:r>
          </w:p>
          <w:p w14:paraId="2A9964D6" w14:textId="23B391DF" w:rsidR="005E5CA0" w:rsidRPr="001408BB" w:rsidRDefault="005E5CA0" w:rsidP="00D82620">
            <w:pPr>
              <w:pStyle w:val="CasesLegislationAppealFrom"/>
              <w:spacing w:after="60"/>
            </w:pPr>
            <w:r w:rsidRPr="001408BB">
              <w:rPr>
                <w:i/>
              </w:rPr>
              <w:t xml:space="preserve">Christodoulou v Disney Enterprises </w:t>
            </w:r>
            <w:proofErr w:type="spellStart"/>
            <w:r w:rsidRPr="001408BB">
              <w:rPr>
                <w:i/>
              </w:rPr>
              <w:t>Inc</w:t>
            </w:r>
            <w:proofErr w:type="spellEnd"/>
            <w:r w:rsidRPr="001408BB">
              <w:rPr>
                <w:i/>
              </w:rPr>
              <w:t xml:space="preserve"> </w:t>
            </w:r>
            <w:r w:rsidRPr="001408BB">
              <w:t>(2005) 156 FCR 344; [2005] FCA 1401</w:t>
            </w:r>
          </w:p>
          <w:p w14:paraId="0F6EF27E" w14:textId="24130A67" w:rsidR="001F284E" w:rsidRPr="001408BB" w:rsidRDefault="001408BB" w:rsidP="00D82620">
            <w:pPr>
              <w:pStyle w:val="CasesLegislationAppealFrom"/>
              <w:spacing w:after="60"/>
            </w:pPr>
            <w:r>
              <w:rPr>
                <w:i/>
              </w:rPr>
              <w:t>G</w:t>
            </w:r>
            <w:r w:rsidR="001F284E" w:rsidRPr="001408BB">
              <w:rPr>
                <w:i/>
              </w:rPr>
              <w:t xml:space="preserve">laxoSmithKline Australia Pty Ltd v Reckitt Benckiser Healthcare (UK) </w:t>
            </w:r>
            <w:r w:rsidR="006D57CB" w:rsidRPr="001408BB">
              <w:rPr>
                <w:i/>
              </w:rPr>
              <w:t xml:space="preserve">Limited </w:t>
            </w:r>
            <w:r w:rsidR="001F284E" w:rsidRPr="001408BB">
              <w:t xml:space="preserve">(2013) </w:t>
            </w:r>
            <w:r w:rsidR="006D57CB" w:rsidRPr="001408BB">
              <w:t>305 ALR 363</w:t>
            </w:r>
            <w:r w:rsidR="001F284E" w:rsidRPr="001408BB">
              <w:t>; [2013] FCAFC 1</w:t>
            </w:r>
            <w:r w:rsidR="00995E91" w:rsidRPr="001408BB">
              <w:t>0</w:t>
            </w:r>
            <w:r w:rsidR="001F284E" w:rsidRPr="001408BB">
              <w:t>2</w:t>
            </w:r>
          </w:p>
          <w:p w14:paraId="00DEBBA3" w14:textId="5E6ADAEA" w:rsidR="007F4577" w:rsidRPr="001408BB" w:rsidRDefault="007F4577" w:rsidP="00D82620">
            <w:pPr>
              <w:pStyle w:val="CasesLegislationAppealFrom"/>
              <w:spacing w:after="60"/>
            </w:pPr>
            <w:r w:rsidRPr="001408BB">
              <w:rPr>
                <w:i/>
              </w:rPr>
              <w:lastRenderedPageBreak/>
              <w:t>Johnson &amp; Johnson</w:t>
            </w:r>
            <w:r w:rsidRPr="001408BB">
              <w:t xml:space="preserve"> </w:t>
            </w:r>
            <w:r w:rsidRPr="001408BB">
              <w:rPr>
                <w:i/>
              </w:rPr>
              <w:t xml:space="preserve">Australia Pty Limited v Sterling Pharmaceuticals Pty Limited </w:t>
            </w:r>
            <w:r w:rsidRPr="001408BB">
              <w:t>(1991) 30 FCR 326</w:t>
            </w:r>
            <w:r w:rsidR="00305F9A" w:rsidRPr="001408BB">
              <w:t>; [1991]</w:t>
            </w:r>
            <w:r w:rsidR="00305F9A" w:rsidRPr="001408BB">
              <w:rPr>
                <w:i/>
              </w:rPr>
              <w:t xml:space="preserve"> </w:t>
            </w:r>
            <w:r w:rsidR="00305F9A" w:rsidRPr="001408BB">
              <w:t>FCA 402</w:t>
            </w:r>
          </w:p>
          <w:p w14:paraId="11B92A39" w14:textId="7B67F8F0" w:rsidR="004D2159" w:rsidRPr="001408BB" w:rsidRDefault="004D2159" w:rsidP="00D82620">
            <w:pPr>
              <w:pStyle w:val="CasesLegislationAppealFrom"/>
              <w:spacing w:after="60"/>
            </w:pPr>
            <w:r w:rsidRPr="001408BB">
              <w:rPr>
                <w:i/>
              </w:rPr>
              <w:t xml:space="preserve">Levi Strauss &amp; Co v </w:t>
            </w:r>
            <w:proofErr w:type="spellStart"/>
            <w:r w:rsidRPr="001408BB">
              <w:rPr>
                <w:i/>
              </w:rPr>
              <w:t>Kimbyr</w:t>
            </w:r>
            <w:proofErr w:type="spellEnd"/>
            <w:r w:rsidRPr="001408BB">
              <w:rPr>
                <w:i/>
              </w:rPr>
              <w:t xml:space="preserve"> Investments Ltd </w:t>
            </w:r>
            <w:r w:rsidRPr="001408BB">
              <w:t>(1993) 28 IPR 249</w:t>
            </w:r>
            <w:r w:rsidR="00305F9A" w:rsidRPr="001408BB">
              <w:t>; [1994] NZLR 332</w:t>
            </w:r>
          </w:p>
          <w:p w14:paraId="37E0D887" w14:textId="1AA6F2B1" w:rsidR="005E5CA0" w:rsidRPr="001408BB" w:rsidRDefault="005E5CA0" w:rsidP="00D82620">
            <w:pPr>
              <w:pStyle w:val="CasesLegislationAppealFrom"/>
              <w:spacing w:after="60"/>
            </w:pPr>
            <w:r w:rsidRPr="001408BB">
              <w:rPr>
                <w:i/>
              </w:rPr>
              <w:t xml:space="preserve">Martin &amp; Pleasance Pty Ltd v A Nelson &amp; Co Ltd </w:t>
            </w:r>
            <w:r w:rsidRPr="001408BB">
              <w:t>[2021] FCAFC 80</w:t>
            </w:r>
          </w:p>
          <w:p w14:paraId="2E95AB67" w14:textId="3EDD5BAB" w:rsidR="005E5CA0" w:rsidRPr="001408BB" w:rsidRDefault="005E5CA0" w:rsidP="00D82620">
            <w:pPr>
              <w:pStyle w:val="CasesLegislationAppealFrom"/>
              <w:spacing w:after="60"/>
            </w:pPr>
            <w:r w:rsidRPr="001408BB">
              <w:rPr>
                <w:i/>
              </w:rPr>
              <w:t xml:space="preserve">Midas Australia Pty Ltd v </w:t>
            </w:r>
            <w:proofErr w:type="spellStart"/>
            <w:r w:rsidRPr="001408BB">
              <w:rPr>
                <w:i/>
              </w:rPr>
              <w:t>Ravecroft</w:t>
            </w:r>
            <w:proofErr w:type="spellEnd"/>
            <w:r w:rsidRPr="001408BB">
              <w:rPr>
                <w:i/>
              </w:rPr>
              <w:t xml:space="preserve"> Pty Ltd </w:t>
            </w:r>
            <w:r w:rsidRPr="001408BB">
              <w:t>[2004] FCA 771</w:t>
            </w:r>
          </w:p>
          <w:p w14:paraId="7E11854B" w14:textId="13DE6958" w:rsidR="001F284E" w:rsidRPr="001408BB" w:rsidRDefault="001F284E" w:rsidP="00D82620">
            <w:pPr>
              <w:pStyle w:val="CasesLegislationAppealFrom"/>
              <w:spacing w:after="60"/>
            </w:pPr>
            <w:r w:rsidRPr="001408BB">
              <w:rPr>
                <w:i/>
              </w:rPr>
              <w:t xml:space="preserve">Mishawaka Rubber &amp; Woollen Manufacturing Co v S </w:t>
            </w:r>
            <w:proofErr w:type="spellStart"/>
            <w:r w:rsidRPr="001408BB">
              <w:rPr>
                <w:i/>
              </w:rPr>
              <w:t>S</w:t>
            </w:r>
            <w:proofErr w:type="spellEnd"/>
            <w:r w:rsidRPr="001408BB">
              <w:rPr>
                <w:i/>
              </w:rPr>
              <w:t xml:space="preserve"> </w:t>
            </w:r>
            <w:proofErr w:type="spellStart"/>
            <w:r w:rsidRPr="001408BB">
              <w:rPr>
                <w:i/>
              </w:rPr>
              <w:t>Kresge</w:t>
            </w:r>
            <w:proofErr w:type="spellEnd"/>
            <w:r w:rsidRPr="001408BB">
              <w:rPr>
                <w:i/>
              </w:rPr>
              <w:t xml:space="preserve"> Co</w:t>
            </w:r>
            <w:r w:rsidRPr="001408BB">
              <w:t xml:space="preserve"> (1942) 316 US 203</w:t>
            </w:r>
          </w:p>
          <w:p w14:paraId="567C2212" w14:textId="621DAE60" w:rsidR="005E5CA0" w:rsidRPr="001408BB" w:rsidRDefault="005E5CA0" w:rsidP="00D82620">
            <w:pPr>
              <w:pStyle w:val="CasesLegislationAppealFrom"/>
              <w:spacing w:after="60"/>
            </w:pPr>
            <w:r w:rsidRPr="001408BB">
              <w:rPr>
                <w:i/>
              </w:rPr>
              <w:t xml:space="preserve">Optical 88 Limited v Optical 88 Pty Limited (No 2) </w:t>
            </w:r>
            <w:r w:rsidRPr="001408BB">
              <w:t xml:space="preserve">(2010) </w:t>
            </w:r>
            <w:r w:rsidR="005905F2" w:rsidRPr="001408BB">
              <w:t>275 ALR 526</w:t>
            </w:r>
            <w:r w:rsidRPr="001408BB">
              <w:t>; [2010] FCA 1380</w:t>
            </w:r>
          </w:p>
          <w:p w14:paraId="1211649D" w14:textId="580EF953" w:rsidR="00052C51" w:rsidRPr="001408BB" w:rsidRDefault="00052C51" w:rsidP="00D82620">
            <w:pPr>
              <w:pStyle w:val="CasesLegislationAppealFrom"/>
              <w:spacing w:after="60"/>
            </w:pPr>
            <w:r w:rsidRPr="001408BB">
              <w:rPr>
                <w:i/>
              </w:rPr>
              <w:t xml:space="preserve">Paramount Pictures Corporation v </w:t>
            </w:r>
            <w:proofErr w:type="spellStart"/>
            <w:r w:rsidRPr="001408BB">
              <w:rPr>
                <w:i/>
              </w:rPr>
              <w:t>Hasluck</w:t>
            </w:r>
            <w:proofErr w:type="spellEnd"/>
            <w:r w:rsidRPr="001408BB">
              <w:t xml:space="preserve"> (2006) 70 IPR 293; [2006] FCA 1431</w:t>
            </w:r>
          </w:p>
          <w:p w14:paraId="517FC163" w14:textId="78960E28" w:rsidR="00052C51" w:rsidRPr="001408BB" w:rsidRDefault="00052C51" w:rsidP="00D82620">
            <w:pPr>
              <w:pStyle w:val="CasesLegislationAppealFrom"/>
              <w:spacing w:after="60"/>
            </w:pPr>
            <w:proofErr w:type="spellStart"/>
            <w:r w:rsidRPr="001408BB">
              <w:rPr>
                <w:i/>
              </w:rPr>
              <w:t>Parfums</w:t>
            </w:r>
            <w:proofErr w:type="spellEnd"/>
            <w:r w:rsidRPr="001408BB">
              <w:rPr>
                <w:i/>
              </w:rPr>
              <w:t xml:space="preserve"> Christian Dior (Australia) Pty Ltd v </w:t>
            </w:r>
            <w:proofErr w:type="spellStart"/>
            <w:r w:rsidRPr="001408BB">
              <w:rPr>
                <w:i/>
              </w:rPr>
              <w:t>Dimmey</w:t>
            </w:r>
            <w:r w:rsidR="0059586C" w:rsidRPr="001408BB">
              <w:rPr>
                <w:i/>
              </w:rPr>
              <w:t>’</w:t>
            </w:r>
            <w:r w:rsidRPr="001408BB">
              <w:rPr>
                <w:i/>
              </w:rPr>
              <w:t>s</w:t>
            </w:r>
            <w:proofErr w:type="spellEnd"/>
            <w:r w:rsidRPr="001408BB">
              <w:rPr>
                <w:i/>
              </w:rPr>
              <w:t xml:space="preserve"> Stores Pty Ltd</w:t>
            </w:r>
            <w:r w:rsidRPr="001408BB">
              <w:t xml:space="preserve"> (1997) 39 IPR 349</w:t>
            </w:r>
            <w:r w:rsidR="00BD2559" w:rsidRPr="001408BB">
              <w:t>; [1997] FCA 1232</w:t>
            </w:r>
          </w:p>
          <w:p w14:paraId="0DA0204D" w14:textId="097B04C0" w:rsidR="005E5CA0" w:rsidRPr="001408BB" w:rsidRDefault="005E5CA0" w:rsidP="00D82620">
            <w:pPr>
              <w:pStyle w:val="CasesLegislationAppealFrom"/>
              <w:spacing w:after="60"/>
            </w:pPr>
            <w:r w:rsidRPr="001408BB">
              <w:rPr>
                <w:i/>
              </w:rPr>
              <w:t xml:space="preserve">PDP Capital Pty Ltd v Grasshopper Ventures Pty Ltd </w:t>
            </w:r>
            <w:r w:rsidRPr="001408BB">
              <w:t>[2021] FCAFC 128</w:t>
            </w:r>
          </w:p>
          <w:p w14:paraId="4B55567C" w14:textId="0D384208" w:rsidR="005E5CA0" w:rsidRPr="001408BB" w:rsidRDefault="005E5CA0" w:rsidP="00D82620">
            <w:pPr>
              <w:pStyle w:val="CasesLegislationAppealFrom"/>
              <w:spacing w:after="60"/>
            </w:pPr>
            <w:r w:rsidRPr="001408BB">
              <w:rPr>
                <w:i/>
              </w:rPr>
              <w:t>Plimpton v Spiller</w:t>
            </w:r>
            <w:r w:rsidRPr="001408BB">
              <w:t xml:space="preserve"> [1876] 4 </w:t>
            </w:r>
            <w:proofErr w:type="spellStart"/>
            <w:r w:rsidRPr="001408BB">
              <w:t>Ch</w:t>
            </w:r>
            <w:proofErr w:type="spellEnd"/>
            <w:r w:rsidRPr="001408BB">
              <w:t xml:space="preserve"> D 286</w:t>
            </w:r>
          </w:p>
          <w:p w14:paraId="398BBD9B" w14:textId="3648DCC5" w:rsidR="005E5CA0" w:rsidRPr="001408BB" w:rsidRDefault="005E5CA0" w:rsidP="00D82620">
            <w:pPr>
              <w:pStyle w:val="CasesLegislationAppealFrom"/>
              <w:spacing w:after="60"/>
            </w:pPr>
            <w:r w:rsidRPr="001408BB">
              <w:rPr>
                <w:i/>
              </w:rPr>
              <w:t xml:space="preserve">Registrar of Trade Marks v Woolworths Ltd </w:t>
            </w:r>
            <w:r w:rsidRPr="001408BB">
              <w:t>(1999) 93 FCR 365; [1999] FCA 1020</w:t>
            </w:r>
          </w:p>
          <w:p w14:paraId="386E484A" w14:textId="77777777" w:rsidR="006D57CB" w:rsidRPr="001408BB" w:rsidRDefault="006D57CB" w:rsidP="00D82620">
            <w:pPr>
              <w:pStyle w:val="CasesLegislationAppealFrom"/>
              <w:spacing w:after="60"/>
            </w:pPr>
            <w:r w:rsidRPr="001408BB">
              <w:rPr>
                <w:i/>
              </w:rPr>
              <w:t xml:space="preserve">Samsung Electronics Company Ltd v Apple </w:t>
            </w:r>
            <w:proofErr w:type="spellStart"/>
            <w:r w:rsidRPr="001408BB">
              <w:rPr>
                <w:i/>
              </w:rPr>
              <w:t>Inc</w:t>
            </w:r>
            <w:proofErr w:type="spellEnd"/>
            <w:r w:rsidRPr="001408BB">
              <w:t xml:space="preserve"> (2011) 217 FCR 238; [2011] FCAFC 156</w:t>
            </w:r>
          </w:p>
          <w:p w14:paraId="4D0276FB" w14:textId="77777777" w:rsidR="00E25AAB" w:rsidRPr="001408BB" w:rsidRDefault="00E25AAB" w:rsidP="00E25AAB">
            <w:pPr>
              <w:pStyle w:val="CasesLegislationAppealFrom"/>
              <w:spacing w:after="60"/>
            </w:pPr>
            <w:r w:rsidRPr="001408BB">
              <w:rPr>
                <w:i/>
              </w:rPr>
              <w:t>The Shell Company of Australia Limited v Esso Standard Oil (Australia) Limited</w:t>
            </w:r>
            <w:r w:rsidRPr="001408BB">
              <w:t xml:space="preserve"> (1963) 109 CLR 407; [1963] HCA 66</w:t>
            </w:r>
          </w:p>
          <w:p w14:paraId="187B91D6" w14:textId="05C8B995" w:rsidR="00395B24" w:rsidRDefault="001F284E" w:rsidP="00D82620">
            <w:pPr>
              <w:pStyle w:val="CasesLegislationAppealFrom"/>
              <w:spacing w:after="60"/>
            </w:pPr>
            <w:r w:rsidRPr="001408BB">
              <w:rPr>
                <w:i/>
              </w:rPr>
              <w:t xml:space="preserve">Warner-Lambert Company LLC v </w:t>
            </w:r>
            <w:proofErr w:type="spellStart"/>
            <w:r w:rsidRPr="001408BB">
              <w:rPr>
                <w:i/>
              </w:rPr>
              <w:t>Apotex</w:t>
            </w:r>
            <w:proofErr w:type="spellEnd"/>
            <w:r w:rsidRPr="001408BB">
              <w:rPr>
                <w:i/>
              </w:rPr>
              <w:t xml:space="preserve"> Pty Ltd </w:t>
            </w:r>
            <w:r w:rsidRPr="001408BB">
              <w:t xml:space="preserve">(2014) </w:t>
            </w:r>
            <w:r w:rsidR="00AF5354" w:rsidRPr="001408BB">
              <w:t>311 ALR 632; [2014] FCAFC 59</w:t>
            </w:r>
            <w:bookmarkEnd w:id="3"/>
          </w:p>
        </w:tc>
      </w:tr>
      <w:tr w:rsidR="00F135C8" w14:paraId="68BE57E4" w14:textId="77777777" w:rsidTr="00C020E3">
        <w:tc>
          <w:tcPr>
            <w:tcW w:w="3083" w:type="dxa"/>
            <w:shd w:val="clear" w:color="auto" w:fill="auto"/>
          </w:tcPr>
          <w:p w14:paraId="40D6C975" w14:textId="77777777" w:rsidR="00F135C8" w:rsidRDefault="00F135C8" w:rsidP="002A0885">
            <w:pPr>
              <w:pStyle w:val="Normal1linespace"/>
              <w:widowControl w:val="0"/>
            </w:pPr>
          </w:p>
        </w:tc>
        <w:tc>
          <w:tcPr>
            <w:tcW w:w="5989" w:type="dxa"/>
            <w:shd w:val="clear" w:color="auto" w:fill="auto"/>
          </w:tcPr>
          <w:p w14:paraId="0AFB60D4" w14:textId="77777777" w:rsidR="00F135C8" w:rsidRDefault="00F135C8" w:rsidP="002A0885">
            <w:pPr>
              <w:pStyle w:val="Normal1linespace"/>
              <w:widowControl w:val="0"/>
              <w:jc w:val="left"/>
            </w:pPr>
          </w:p>
        </w:tc>
      </w:tr>
      <w:tr w:rsidR="00F135C8" w14:paraId="547EE470" w14:textId="77777777" w:rsidTr="00C020E3">
        <w:tc>
          <w:tcPr>
            <w:tcW w:w="3083" w:type="dxa"/>
            <w:shd w:val="clear" w:color="auto" w:fill="auto"/>
          </w:tcPr>
          <w:p w14:paraId="693EAC7A" w14:textId="77777777" w:rsidR="00F135C8" w:rsidRDefault="00F135C8" w:rsidP="00501A12">
            <w:pPr>
              <w:pStyle w:val="Normal1linespace"/>
              <w:widowControl w:val="0"/>
            </w:pPr>
            <w:r>
              <w:t>Division:</w:t>
            </w:r>
          </w:p>
        </w:tc>
        <w:tc>
          <w:tcPr>
            <w:tcW w:w="5989" w:type="dxa"/>
            <w:shd w:val="clear" w:color="auto" w:fill="auto"/>
          </w:tcPr>
          <w:p w14:paraId="246BBEAE" w14:textId="6EEDF7D6" w:rsidR="00F135C8" w:rsidRPr="00F17599" w:rsidRDefault="00B05333" w:rsidP="00501A12">
            <w:pPr>
              <w:pStyle w:val="Normal1linespace"/>
              <w:widowControl w:val="0"/>
              <w:jc w:val="left"/>
            </w:pPr>
            <w:fldSimple w:instr=" DOCPROPERTY  Division ">
              <w:r w:rsidR="001408BB">
                <w:t>General Division</w:t>
              </w:r>
            </w:fldSimple>
          </w:p>
        </w:tc>
      </w:tr>
      <w:tr w:rsidR="00F135C8" w14:paraId="17200B51" w14:textId="77777777" w:rsidTr="00C020E3">
        <w:tc>
          <w:tcPr>
            <w:tcW w:w="3083" w:type="dxa"/>
            <w:shd w:val="clear" w:color="auto" w:fill="auto"/>
          </w:tcPr>
          <w:p w14:paraId="230E849D" w14:textId="77777777" w:rsidR="00F135C8" w:rsidRDefault="00F135C8" w:rsidP="00501A12">
            <w:pPr>
              <w:pStyle w:val="Normal1linespace"/>
              <w:widowControl w:val="0"/>
            </w:pPr>
          </w:p>
        </w:tc>
        <w:tc>
          <w:tcPr>
            <w:tcW w:w="5989" w:type="dxa"/>
            <w:shd w:val="clear" w:color="auto" w:fill="auto"/>
          </w:tcPr>
          <w:p w14:paraId="7F025266" w14:textId="77777777" w:rsidR="00F135C8" w:rsidRDefault="00F135C8" w:rsidP="00501A12">
            <w:pPr>
              <w:pStyle w:val="Normal1linespace"/>
              <w:widowControl w:val="0"/>
              <w:jc w:val="left"/>
            </w:pPr>
          </w:p>
        </w:tc>
      </w:tr>
      <w:tr w:rsidR="00F135C8" w14:paraId="60EC6049" w14:textId="77777777" w:rsidTr="00C020E3">
        <w:tc>
          <w:tcPr>
            <w:tcW w:w="3083" w:type="dxa"/>
            <w:shd w:val="clear" w:color="auto" w:fill="auto"/>
          </w:tcPr>
          <w:p w14:paraId="435EEA6F" w14:textId="77777777" w:rsidR="00F135C8" w:rsidRDefault="00F135C8" w:rsidP="00501A12">
            <w:pPr>
              <w:pStyle w:val="Normal1linespace"/>
              <w:widowControl w:val="0"/>
            </w:pPr>
            <w:r>
              <w:t>Registry:</w:t>
            </w:r>
          </w:p>
        </w:tc>
        <w:tc>
          <w:tcPr>
            <w:tcW w:w="5989" w:type="dxa"/>
            <w:shd w:val="clear" w:color="auto" w:fill="auto"/>
          </w:tcPr>
          <w:p w14:paraId="2B546D28" w14:textId="38152208" w:rsidR="00F135C8" w:rsidRPr="00F17599" w:rsidRDefault="00B05333" w:rsidP="00501A12">
            <w:pPr>
              <w:pStyle w:val="Normal1linespace"/>
              <w:widowControl w:val="0"/>
              <w:jc w:val="left"/>
            </w:pPr>
            <w:fldSimple w:instr=" DOCPROPERTY  Registry ">
              <w:r w:rsidR="001408BB">
                <w:t>New South Wales</w:t>
              </w:r>
            </w:fldSimple>
          </w:p>
        </w:tc>
      </w:tr>
      <w:tr w:rsidR="00F135C8" w14:paraId="68B33C39" w14:textId="77777777" w:rsidTr="00C020E3">
        <w:tc>
          <w:tcPr>
            <w:tcW w:w="3083" w:type="dxa"/>
            <w:shd w:val="clear" w:color="auto" w:fill="auto"/>
          </w:tcPr>
          <w:p w14:paraId="6736B8AB" w14:textId="77777777" w:rsidR="00F135C8" w:rsidRDefault="00F135C8" w:rsidP="00501A12">
            <w:pPr>
              <w:pStyle w:val="Normal1linespace"/>
              <w:widowControl w:val="0"/>
            </w:pPr>
          </w:p>
        </w:tc>
        <w:tc>
          <w:tcPr>
            <w:tcW w:w="5989" w:type="dxa"/>
            <w:shd w:val="clear" w:color="auto" w:fill="auto"/>
          </w:tcPr>
          <w:p w14:paraId="39576465" w14:textId="77777777" w:rsidR="00F135C8" w:rsidRPr="00F17599" w:rsidRDefault="00F135C8" w:rsidP="00501A12">
            <w:pPr>
              <w:pStyle w:val="Normal1linespace"/>
              <w:widowControl w:val="0"/>
              <w:jc w:val="left"/>
              <w:rPr>
                <w:b/>
              </w:rPr>
            </w:pPr>
          </w:p>
        </w:tc>
      </w:tr>
      <w:tr w:rsidR="00F135C8" w14:paraId="3AE7274F" w14:textId="77777777" w:rsidTr="00C020E3">
        <w:tc>
          <w:tcPr>
            <w:tcW w:w="3083" w:type="dxa"/>
            <w:shd w:val="clear" w:color="auto" w:fill="auto"/>
          </w:tcPr>
          <w:p w14:paraId="3F1A4620" w14:textId="77777777" w:rsidR="00F135C8" w:rsidRDefault="00F135C8" w:rsidP="00501A12">
            <w:pPr>
              <w:pStyle w:val="Normal1linespace"/>
              <w:widowControl w:val="0"/>
            </w:pPr>
            <w:r>
              <w:t>National Practice Area:</w:t>
            </w:r>
          </w:p>
        </w:tc>
        <w:tc>
          <w:tcPr>
            <w:tcW w:w="5989" w:type="dxa"/>
            <w:shd w:val="clear" w:color="auto" w:fill="auto"/>
          </w:tcPr>
          <w:p w14:paraId="6E011748" w14:textId="6A65479D" w:rsidR="00F135C8" w:rsidRPr="00F17599" w:rsidRDefault="00C56FA1" w:rsidP="002A0885">
            <w:pPr>
              <w:pStyle w:val="Normal1linespace"/>
              <w:widowControl w:val="0"/>
              <w:jc w:val="left"/>
              <w:rPr>
                <w:b/>
              </w:rPr>
            </w:pPr>
            <w:r>
              <w:t>Intellectual Property</w:t>
            </w:r>
          </w:p>
        </w:tc>
      </w:tr>
      <w:tr w:rsidR="00F135C8" w14:paraId="70BB658F" w14:textId="77777777" w:rsidTr="00C020E3">
        <w:tc>
          <w:tcPr>
            <w:tcW w:w="3083" w:type="dxa"/>
            <w:shd w:val="clear" w:color="auto" w:fill="auto"/>
          </w:tcPr>
          <w:p w14:paraId="50DBC8CE" w14:textId="77777777" w:rsidR="00F135C8" w:rsidRDefault="00F135C8" w:rsidP="00501A12">
            <w:pPr>
              <w:pStyle w:val="Normal1linespace"/>
              <w:widowControl w:val="0"/>
            </w:pPr>
          </w:p>
        </w:tc>
        <w:tc>
          <w:tcPr>
            <w:tcW w:w="5989" w:type="dxa"/>
            <w:shd w:val="clear" w:color="auto" w:fill="auto"/>
          </w:tcPr>
          <w:p w14:paraId="1AB36F24" w14:textId="77777777" w:rsidR="00F135C8" w:rsidRDefault="00F135C8" w:rsidP="002A0885">
            <w:pPr>
              <w:pStyle w:val="Normal1linespace"/>
              <w:widowControl w:val="0"/>
              <w:jc w:val="left"/>
            </w:pPr>
          </w:p>
        </w:tc>
      </w:tr>
      <w:tr w:rsidR="00F135C8" w14:paraId="3C13F4E5" w14:textId="77777777" w:rsidTr="00C020E3">
        <w:tc>
          <w:tcPr>
            <w:tcW w:w="3083" w:type="dxa"/>
            <w:shd w:val="clear" w:color="auto" w:fill="auto"/>
          </w:tcPr>
          <w:p w14:paraId="6034029A" w14:textId="77777777" w:rsidR="00F135C8" w:rsidRDefault="00F135C8" w:rsidP="00501A12">
            <w:pPr>
              <w:pStyle w:val="Normal1linespace"/>
              <w:widowControl w:val="0"/>
            </w:pPr>
            <w:r>
              <w:t>Sub-area:</w:t>
            </w:r>
          </w:p>
        </w:tc>
        <w:tc>
          <w:tcPr>
            <w:tcW w:w="5989" w:type="dxa"/>
            <w:shd w:val="clear" w:color="auto" w:fill="auto"/>
          </w:tcPr>
          <w:p w14:paraId="4654BE43" w14:textId="05E78169" w:rsidR="00F135C8" w:rsidRPr="00837288" w:rsidRDefault="00B05333" w:rsidP="002A0885">
            <w:pPr>
              <w:pStyle w:val="Normal1linespace"/>
              <w:widowControl w:val="0"/>
              <w:jc w:val="left"/>
            </w:pPr>
            <w:fldSimple w:instr=" DOCPROPERTY  &quot;Sub Area&quot;  \* MERGEFORMAT ">
              <w:r w:rsidR="001408BB" w:rsidRPr="001408BB">
                <w:rPr>
                  <w:lang w:val="en-US"/>
                </w:rPr>
                <w:t>Trade Marks</w:t>
              </w:r>
            </w:fldSimple>
          </w:p>
        </w:tc>
      </w:tr>
      <w:tr w:rsidR="00F135C8" w14:paraId="150F8B7F" w14:textId="77777777" w:rsidTr="00C020E3">
        <w:tc>
          <w:tcPr>
            <w:tcW w:w="3083" w:type="dxa"/>
            <w:shd w:val="clear" w:color="auto" w:fill="auto"/>
          </w:tcPr>
          <w:p w14:paraId="64A6C5E3" w14:textId="77777777" w:rsidR="00F135C8" w:rsidRDefault="00F135C8" w:rsidP="00501A12">
            <w:pPr>
              <w:pStyle w:val="Normal1linespace"/>
              <w:widowControl w:val="0"/>
            </w:pPr>
          </w:p>
        </w:tc>
        <w:tc>
          <w:tcPr>
            <w:tcW w:w="5989" w:type="dxa"/>
            <w:shd w:val="clear" w:color="auto" w:fill="auto"/>
          </w:tcPr>
          <w:p w14:paraId="6D02875A" w14:textId="77777777" w:rsidR="00F135C8" w:rsidRDefault="00F135C8" w:rsidP="00501A12">
            <w:pPr>
              <w:pStyle w:val="Normal1linespace"/>
              <w:widowControl w:val="0"/>
              <w:jc w:val="left"/>
            </w:pPr>
          </w:p>
        </w:tc>
      </w:tr>
      <w:tr w:rsidR="00F135C8" w14:paraId="38CE06B7" w14:textId="77777777" w:rsidTr="00C020E3">
        <w:tc>
          <w:tcPr>
            <w:tcW w:w="3083" w:type="dxa"/>
            <w:shd w:val="clear" w:color="auto" w:fill="auto"/>
          </w:tcPr>
          <w:p w14:paraId="10674E19" w14:textId="77777777" w:rsidR="00F135C8" w:rsidRDefault="00F135C8" w:rsidP="00501A12">
            <w:pPr>
              <w:pStyle w:val="Normal1linespace"/>
              <w:widowControl w:val="0"/>
            </w:pPr>
            <w:r>
              <w:t>Number of paragraphs:</w:t>
            </w:r>
          </w:p>
        </w:tc>
        <w:tc>
          <w:tcPr>
            <w:tcW w:w="5989" w:type="dxa"/>
            <w:shd w:val="clear" w:color="auto" w:fill="auto"/>
          </w:tcPr>
          <w:p w14:paraId="662BC915" w14:textId="2AFF6C46" w:rsidR="00F135C8" w:rsidRDefault="00C020E3" w:rsidP="00501A12">
            <w:pPr>
              <w:pStyle w:val="Normal1linespace"/>
              <w:widowControl w:val="0"/>
              <w:jc w:val="left"/>
            </w:pPr>
            <w:bookmarkStart w:id="4" w:name="PlaceCategoryParagraphs"/>
            <w:r>
              <w:t>114</w:t>
            </w:r>
            <w:bookmarkEnd w:id="4"/>
          </w:p>
        </w:tc>
      </w:tr>
      <w:tr w:rsidR="00F135C8" w14:paraId="178A7808" w14:textId="77777777" w:rsidTr="00C020E3">
        <w:tc>
          <w:tcPr>
            <w:tcW w:w="3083" w:type="dxa"/>
            <w:shd w:val="clear" w:color="auto" w:fill="auto"/>
          </w:tcPr>
          <w:p w14:paraId="52E47D63" w14:textId="77777777" w:rsidR="00F135C8" w:rsidRDefault="00F135C8" w:rsidP="00F135C8">
            <w:pPr>
              <w:pStyle w:val="Normal1linespace"/>
              <w:widowControl w:val="0"/>
              <w:jc w:val="left"/>
            </w:pPr>
          </w:p>
        </w:tc>
        <w:tc>
          <w:tcPr>
            <w:tcW w:w="5989" w:type="dxa"/>
            <w:shd w:val="clear" w:color="auto" w:fill="auto"/>
          </w:tcPr>
          <w:p w14:paraId="22AB0FD1" w14:textId="77777777" w:rsidR="00F135C8" w:rsidRDefault="00F135C8" w:rsidP="00F135C8">
            <w:pPr>
              <w:pStyle w:val="Normal1linespace"/>
              <w:widowControl w:val="0"/>
              <w:jc w:val="left"/>
            </w:pPr>
          </w:p>
        </w:tc>
      </w:tr>
      <w:tr w:rsidR="00F135C8" w14:paraId="0368CB1D" w14:textId="77777777" w:rsidTr="00C020E3">
        <w:tc>
          <w:tcPr>
            <w:tcW w:w="3083" w:type="dxa"/>
            <w:shd w:val="clear" w:color="auto" w:fill="auto"/>
          </w:tcPr>
          <w:p w14:paraId="1B324A2C" w14:textId="77777777" w:rsidR="00F135C8" w:rsidRDefault="00F135C8" w:rsidP="00F135C8">
            <w:pPr>
              <w:pStyle w:val="Normal1linespace"/>
              <w:widowControl w:val="0"/>
              <w:jc w:val="left"/>
            </w:pPr>
            <w:bookmarkStart w:id="5" w:name="CounselDate" w:colFirst="0" w:colLast="2"/>
            <w:r w:rsidRPr="006A24E3">
              <w:t>Date of hearing:</w:t>
            </w:r>
          </w:p>
        </w:tc>
        <w:tc>
          <w:tcPr>
            <w:tcW w:w="5989" w:type="dxa"/>
            <w:shd w:val="clear" w:color="auto" w:fill="auto"/>
          </w:tcPr>
          <w:p w14:paraId="7354485B" w14:textId="77777777" w:rsidR="00F135C8" w:rsidRDefault="00300214" w:rsidP="00F135C8">
            <w:pPr>
              <w:pStyle w:val="Normal1linespace"/>
              <w:widowControl w:val="0"/>
              <w:jc w:val="left"/>
            </w:pPr>
            <w:bookmarkStart w:id="6" w:name="HearingDate"/>
            <w:r>
              <w:t>2-3 September 2021</w:t>
            </w:r>
            <w:r w:rsidR="00F135C8">
              <w:t xml:space="preserve"> </w:t>
            </w:r>
            <w:bookmarkEnd w:id="6"/>
          </w:p>
        </w:tc>
      </w:tr>
      <w:tr w:rsidR="00F135C8" w14:paraId="59EC5565" w14:textId="77777777" w:rsidTr="00C020E3">
        <w:tc>
          <w:tcPr>
            <w:tcW w:w="3083" w:type="dxa"/>
            <w:shd w:val="clear" w:color="auto" w:fill="auto"/>
          </w:tcPr>
          <w:p w14:paraId="6644DB58" w14:textId="77777777" w:rsidR="00F135C8" w:rsidRDefault="00F135C8" w:rsidP="00F135C8">
            <w:pPr>
              <w:pStyle w:val="Normal1linespace"/>
              <w:widowControl w:val="0"/>
              <w:jc w:val="left"/>
            </w:pPr>
          </w:p>
        </w:tc>
        <w:tc>
          <w:tcPr>
            <w:tcW w:w="5989" w:type="dxa"/>
            <w:shd w:val="clear" w:color="auto" w:fill="auto"/>
          </w:tcPr>
          <w:p w14:paraId="7A9FA791" w14:textId="77777777" w:rsidR="00F135C8" w:rsidRDefault="00F135C8" w:rsidP="00F135C8">
            <w:pPr>
              <w:pStyle w:val="Normal1linespace"/>
              <w:widowControl w:val="0"/>
              <w:jc w:val="left"/>
            </w:pPr>
          </w:p>
        </w:tc>
      </w:tr>
      <w:tr w:rsidR="001408BB" w14:paraId="00512C1B" w14:textId="77777777" w:rsidTr="00C020E3">
        <w:tc>
          <w:tcPr>
            <w:tcW w:w="3083" w:type="dxa"/>
            <w:shd w:val="clear" w:color="auto" w:fill="auto"/>
          </w:tcPr>
          <w:p w14:paraId="04696DCB" w14:textId="248807FC" w:rsidR="001408BB" w:rsidRDefault="001408BB" w:rsidP="001408BB">
            <w:pPr>
              <w:pStyle w:val="Normal1linespace"/>
              <w:widowControl w:val="0"/>
              <w:jc w:val="left"/>
            </w:pPr>
            <w:bookmarkStart w:id="7" w:name="Counsel" w:colFirst="0" w:colLast="2"/>
            <w:bookmarkEnd w:id="5"/>
            <w:r>
              <w:t>Counsel for the Applicants</w:t>
            </w:r>
            <w:r w:rsidR="00A46F29">
              <w:t xml:space="preserve"> / Cross-Respondent</w:t>
            </w:r>
            <w:r>
              <w:t>:</w:t>
            </w:r>
          </w:p>
        </w:tc>
        <w:tc>
          <w:tcPr>
            <w:tcW w:w="5989" w:type="dxa"/>
            <w:shd w:val="clear" w:color="auto" w:fill="auto"/>
          </w:tcPr>
          <w:p w14:paraId="5BA5BD04" w14:textId="6E6569B0" w:rsidR="001408BB" w:rsidRDefault="001408BB" w:rsidP="001408BB">
            <w:pPr>
              <w:pStyle w:val="Normal1linespace"/>
              <w:widowControl w:val="0"/>
              <w:jc w:val="left"/>
            </w:pPr>
            <w:bookmarkStart w:id="8" w:name="AppCounsel"/>
            <w:bookmarkEnd w:id="8"/>
            <w:r>
              <w:t>Mr M Hall SC with Mr G Tsang</w:t>
            </w:r>
          </w:p>
        </w:tc>
      </w:tr>
      <w:tr w:rsidR="001408BB" w14:paraId="6AAC0261" w14:textId="77777777" w:rsidTr="00C020E3">
        <w:tc>
          <w:tcPr>
            <w:tcW w:w="3083" w:type="dxa"/>
            <w:shd w:val="clear" w:color="auto" w:fill="auto"/>
          </w:tcPr>
          <w:p w14:paraId="604FAA93" w14:textId="77777777" w:rsidR="001408BB" w:rsidRDefault="001408BB" w:rsidP="001408BB">
            <w:pPr>
              <w:pStyle w:val="Normal1linespace"/>
              <w:widowControl w:val="0"/>
              <w:jc w:val="left"/>
            </w:pPr>
          </w:p>
        </w:tc>
        <w:tc>
          <w:tcPr>
            <w:tcW w:w="5989" w:type="dxa"/>
            <w:shd w:val="clear" w:color="auto" w:fill="auto"/>
          </w:tcPr>
          <w:p w14:paraId="6B4FACFB" w14:textId="77777777" w:rsidR="001408BB" w:rsidRDefault="001408BB" w:rsidP="001408BB">
            <w:pPr>
              <w:pStyle w:val="Normal1linespace"/>
              <w:widowControl w:val="0"/>
              <w:jc w:val="left"/>
            </w:pPr>
          </w:p>
        </w:tc>
      </w:tr>
      <w:tr w:rsidR="001408BB" w14:paraId="12FBED62" w14:textId="77777777" w:rsidTr="00C020E3">
        <w:tc>
          <w:tcPr>
            <w:tcW w:w="3083" w:type="dxa"/>
            <w:shd w:val="clear" w:color="auto" w:fill="auto"/>
          </w:tcPr>
          <w:p w14:paraId="7B73E448" w14:textId="544174A8" w:rsidR="001408BB" w:rsidRDefault="001408BB" w:rsidP="001408BB">
            <w:pPr>
              <w:pStyle w:val="Normal1linespace"/>
              <w:widowControl w:val="0"/>
              <w:jc w:val="left"/>
            </w:pPr>
            <w:r>
              <w:t>Solicitor for the Applicants</w:t>
            </w:r>
            <w:r w:rsidR="00A46F29">
              <w:t xml:space="preserve"> / Cross-Respondent</w:t>
            </w:r>
            <w:r>
              <w:t>:</w:t>
            </w:r>
          </w:p>
        </w:tc>
        <w:tc>
          <w:tcPr>
            <w:tcW w:w="5989" w:type="dxa"/>
            <w:shd w:val="clear" w:color="auto" w:fill="auto"/>
          </w:tcPr>
          <w:p w14:paraId="2809973E" w14:textId="3E977022" w:rsidR="001408BB" w:rsidRDefault="001408BB" w:rsidP="001408BB">
            <w:pPr>
              <w:pStyle w:val="Normal1linespace"/>
              <w:widowControl w:val="0"/>
              <w:jc w:val="left"/>
            </w:pPr>
            <w:r>
              <w:t>Thomson Geer</w:t>
            </w:r>
          </w:p>
        </w:tc>
      </w:tr>
      <w:tr w:rsidR="001408BB" w14:paraId="6137B57D" w14:textId="77777777" w:rsidTr="00C020E3">
        <w:tc>
          <w:tcPr>
            <w:tcW w:w="3083" w:type="dxa"/>
            <w:shd w:val="clear" w:color="auto" w:fill="auto"/>
          </w:tcPr>
          <w:p w14:paraId="4E86F08E" w14:textId="77777777" w:rsidR="001408BB" w:rsidRDefault="001408BB" w:rsidP="001408BB">
            <w:pPr>
              <w:pStyle w:val="Normal1linespace"/>
              <w:widowControl w:val="0"/>
              <w:jc w:val="left"/>
            </w:pPr>
          </w:p>
        </w:tc>
        <w:tc>
          <w:tcPr>
            <w:tcW w:w="5989" w:type="dxa"/>
            <w:shd w:val="clear" w:color="auto" w:fill="auto"/>
          </w:tcPr>
          <w:p w14:paraId="29C76342" w14:textId="77777777" w:rsidR="001408BB" w:rsidRDefault="001408BB" w:rsidP="001408BB">
            <w:pPr>
              <w:pStyle w:val="Normal1linespace"/>
              <w:widowControl w:val="0"/>
              <w:jc w:val="left"/>
            </w:pPr>
          </w:p>
        </w:tc>
      </w:tr>
      <w:tr w:rsidR="001408BB" w14:paraId="495E30A7" w14:textId="77777777" w:rsidTr="00C020E3">
        <w:tc>
          <w:tcPr>
            <w:tcW w:w="3083" w:type="dxa"/>
            <w:shd w:val="clear" w:color="auto" w:fill="auto"/>
          </w:tcPr>
          <w:p w14:paraId="3378DD82" w14:textId="016C43E7" w:rsidR="001408BB" w:rsidRDefault="001408BB" w:rsidP="00A46F29">
            <w:pPr>
              <w:pStyle w:val="Normal1linespace"/>
              <w:widowControl w:val="0"/>
              <w:jc w:val="left"/>
            </w:pPr>
            <w:r>
              <w:t>Counsel for the Respondent</w:t>
            </w:r>
            <w:r w:rsidR="00A46F29">
              <w:t xml:space="preserve"> / Cross-Claimant</w:t>
            </w:r>
            <w:r>
              <w:t>:</w:t>
            </w:r>
          </w:p>
        </w:tc>
        <w:tc>
          <w:tcPr>
            <w:tcW w:w="5989" w:type="dxa"/>
            <w:shd w:val="clear" w:color="auto" w:fill="auto"/>
          </w:tcPr>
          <w:p w14:paraId="3ED696A6" w14:textId="095B95DD" w:rsidR="001408BB" w:rsidRDefault="001408BB" w:rsidP="001408BB">
            <w:pPr>
              <w:pStyle w:val="Normal1linespace"/>
              <w:widowControl w:val="0"/>
              <w:jc w:val="left"/>
            </w:pPr>
            <w:r>
              <w:t>Mr E Heerey QC with Ms F St John</w:t>
            </w:r>
          </w:p>
        </w:tc>
      </w:tr>
      <w:tr w:rsidR="001408BB" w14:paraId="1F5EA722" w14:textId="77777777" w:rsidTr="00C020E3">
        <w:tc>
          <w:tcPr>
            <w:tcW w:w="3083" w:type="dxa"/>
            <w:shd w:val="clear" w:color="auto" w:fill="auto"/>
          </w:tcPr>
          <w:p w14:paraId="4104F89D" w14:textId="77777777" w:rsidR="001408BB" w:rsidRDefault="001408BB" w:rsidP="001408BB">
            <w:pPr>
              <w:pStyle w:val="Normal1linespace"/>
              <w:widowControl w:val="0"/>
              <w:jc w:val="left"/>
            </w:pPr>
          </w:p>
        </w:tc>
        <w:tc>
          <w:tcPr>
            <w:tcW w:w="5989" w:type="dxa"/>
            <w:shd w:val="clear" w:color="auto" w:fill="auto"/>
          </w:tcPr>
          <w:p w14:paraId="76C28469" w14:textId="77777777" w:rsidR="001408BB" w:rsidRDefault="001408BB" w:rsidP="001408BB">
            <w:pPr>
              <w:pStyle w:val="Normal1linespace"/>
              <w:widowControl w:val="0"/>
              <w:jc w:val="left"/>
            </w:pPr>
          </w:p>
        </w:tc>
      </w:tr>
      <w:tr w:rsidR="001408BB" w14:paraId="1DE26DE9" w14:textId="77777777" w:rsidTr="00C020E3">
        <w:tc>
          <w:tcPr>
            <w:tcW w:w="3083" w:type="dxa"/>
            <w:shd w:val="clear" w:color="auto" w:fill="auto"/>
          </w:tcPr>
          <w:p w14:paraId="5C7CAC66" w14:textId="626BA315" w:rsidR="001408BB" w:rsidRDefault="001408BB" w:rsidP="00A46F29">
            <w:pPr>
              <w:pStyle w:val="Normal1linespace"/>
              <w:widowControl w:val="0"/>
              <w:jc w:val="left"/>
            </w:pPr>
            <w:r>
              <w:t>Solicitor for the Respondent</w:t>
            </w:r>
            <w:r w:rsidR="00A46F29">
              <w:t xml:space="preserve"> / Cross-Claimant</w:t>
            </w:r>
            <w:r>
              <w:t>:</w:t>
            </w:r>
          </w:p>
        </w:tc>
        <w:tc>
          <w:tcPr>
            <w:tcW w:w="5989" w:type="dxa"/>
            <w:shd w:val="clear" w:color="auto" w:fill="auto"/>
          </w:tcPr>
          <w:p w14:paraId="35EE9BF9" w14:textId="0218062B" w:rsidR="001408BB" w:rsidRDefault="001408BB" w:rsidP="001408BB">
            <w:pPr>
              <w:pStyle w:val="Normal1linespace"/>
              <w:widowControl w:val="0"/>
              <w:jc w:val="left"/>
            </w:pPr>
            <w:proofErr w:type="spellStart"/>
            <w:r>
              <w:t>Ashurst</w:t>
            </w:r>
            <w:proofErr w:type="spellEnd"/>
            <w:r>
              <w:t xml:space="preserve"> Australia</w:t>
            </w:r>
          </w:p>
        </w:tc>
      </w:tr>
      <w:bookmarkEnd w:id="7"/>
    </w:tbl>
    <w:p w14:paraId="1B068776" w14:textId="77777777" w:rsidR="007470BD" w:rsidRDefault="007470BD">
      <w:pPr>
        <w:pStyle w:val="Normal1linespace"/>
      </w:pPr>
    </w:p>
    <w:p w14:paraId="64877E46" w14:textId="77777777" w:rsidR="00E94CBF" w:rsidRDefault="00E94CBF">
      <w:pPr>
        <w:pStyle w:val="Normal1linespace"/>
      </w:pPr>
    </w:p>
    <w:p w14:paraId="3D043D6A"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66B4DA41"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71FE053" w14:textId="77777777" w:rsidTr="00E81DA6">
        <w:tc>
          <w:tcPr>
            <w:tcW w:w="6912" w:type="dxa"/>
            <w:gridSpan w:val="2"/>
          </w:tcPr>
          <w:p w14:paraId="4325EC25" w14:textId="77777777" w:rsidR="00A46CCC" w:rsidRPr="001765E0" w:rsidRDefault="00A46CCC" w:rsidP="00525A49">
            <w:pPr>
              <w:pStyle w:val="NormalHeadings"/>
            </w:pPr>
          </w:p>
        </w:tc>
        <w:tc>
          <w:tcPr>
            <w:tcW w:w="2330" w:type="dxa"/>
          </w:tcPr>
          <w:p w14:paraId="20E11CF0" w14:textId="77777777" w:rsidR="00A46CCC" w:rsidRDefault="00F135C8" w:rsidP="00F92355">
            <w:pPr>
              <w:pStyle w:val="NormalHeadings"/>
              <w:jc w:val="right"/>
            </w:pPr>
            <w:bookmarkStart w:id="9" w:name="FileNo"/>
            <w:r>
              <w:t>NSD 823 of 2021</w:t>
            </w:r>
            <w:bookmarkEnd w:id="9"/>
          </w:p>
        </w:tc>
      </w:tr>
      <w:tr w:rsidR="00A76C13" w14:paraId="6BA0F652" w14:textId="77777777" w:rsidTr="002A0885">
        <w:tc>
          <w:tcPr>
            <w:tcW w:w="9242" w:type="dxa"/>
            <w:gridSpan w:val="3"/>
          </w:tcPr>
          <w:p w14:paraId="1CEDD8C0" w14:textId="6BD015F0" w:rsidR="00A76C13" w:rsidRPr="00A76C13" w:rsidRDefault="001408BB" w:rsidP="001408BB">
            <w:pPr>
              <w:pStyle w:val="NormalHeadings"/>
              <w:jc w:val="left"/>
            </w:pPr>
            <w:bookmarkStart w:id="10" w:name="InTheMatterOf"/>
            <w:r>
              <w:t xml:space="preserve"> </w:t>
            </w:r>
            <w:bookmarkEnd w:id="10"/>
          </w:p>
        </w:tc>
      </w:tr>
      <w:tr w:rsidR="00A46CCC" w14:paraId="3BCBF476" w14:textId="77777777" w:rsidTr="002A0885">
        <w:trPr>
          <w:trHeight w:val="386"/>
        </w:trPr>
        <w:tc>
          <w:tcPr>
            <w:tcW w:w="2376" w:type="dxa"/>
          </w:tcPr>
          <w:p w14:paraId="191686F3" w14:textId="77777777" w:rsidR="00A46CCC" w:rsidRDefault="00A46CCC" w:rsidP="002A0885">
            <w:pPr>
              <w:pStyle w:val="NormalHeadings"/>
              <w:jc w:val="left"/>
              <w:rPr>
                <w:caps/>
                <w:szCs w:val="24"/>
              </w:rPr>
            </w:pPr>
            <w:bookmarkStart w:id="11" w:name="Parties"/>
            <w:r>
              <w:rPr>
                <w:caps/>
                <w:szCs w:val="24"/>
              </w:rPr>
              <w:t>BETWEEN:</w:t>
            </w:r>
          </w:p>
        </w:tc>
        <w:tc>
          <w:tcPr>
            <w:tcW w:w="6866" w:type="dxa"/>
            <w:gridSpan w:val="2"/>
          </w:tcPr>
          <w:p w14:paraId="1043E622" w14:textId="5B260A21" w:rsidR="00F135C8" w:rsidRDefault="00F135C8" w:rsidP="001408BB">
            <w:pPr>
              <w:pStyle w:val="NormalHeadings"/>
              <w:jc w:val="left"/>
            </w:pPr>
            <w:bookmarkStart w:id="12" w:name="Applicant"/>
            <w:r>
              <w:t>RB (H</w:t>
            </w:r>
            <w:r w:rsidR="00C56FA1">
              <w:t>YGIENE HOME) AUSTRALIA PTY LTD ACN 629 549 506</w:t>
            </w:r>
          </w:p>
          <w:p w14:paraId="17E04F44" w14:textId="77777777" w:rsidR="00F135C8" w:rsidRDefault="00F135C8" w:rsidP="001408BB">
            <w:pPr>
              <w:pStyle w:val="PartyType"/>
            </w:pPr>
            <w:r>
              <w:t>First Applicant</w:t>
            </w:r>
          </w:p>
          <w:p w14:paraId="134D9DED" w14:textId="77777777" w:rsidR="00F135C8" w:rsidRDefault="00F135C8" w:rsidP="002A0885">
            <w:pPr>
              <w:pStyle w:val="NormalHeadings"/>
              <w:jc w:val="left"/>
              <w:rPr>
                <w:szCs w:val="24"/>
              </w:rPr>
            </w:pPr>
          </w:p>
          <w:p w14:paraId="23B045BF" w14:textId="3EA21843" w:rsidR="00F135C8" w:rsidRDefault="00F135C8" w:rsidP="001408BB">
            <w:pPr>
              <w:pStyle w:val="NormalHeadings"/>
              <w:jc w:val="left"/>
            </w:pPr>
            <w:r>
              <w:t xml:space="preserve">RECKITT BENCKISER </w:t>
            </w:r>
            <w:r w:rsidR="00C133FD">
              <w:t>FINISH</w:t>
            </w:r>
            <w:r>
              <w:t xml:space="preserve"> B.V.</w:t>
            </w:r>
          </w:p>
          <w:p w14:paraId="3C707027" w14:textId="77777777" w:rsidR="00F135C8" w:rsidRDefault="00F135C8" w:rsidP="001408BB">
            <w:pPr>
              <w:pStyle w:val="PartyType"/>
            </w:pPr>
            <w:r>
              <w:t>Second Applicant</w:t>
            </w:r>
          </w:p>
          <w:bookmarkEnd w:id="12"/>
          <w:p w14:paraId="408B51BF" w14:textId="77777777" w:rsidR="00A46CCC" w:rsidRPr="006555B4" w:rsidRDefault="00A46CCC" w:rsidP="002A0885">
            <w:pPr>
              <w:pStyle w:val="NormalHeadings"/>
              <w:jc w:val="left"/>
            </w:pPr>
          </w:p>
        </w:tc>
      </w:tr>
      <w:tr w:rsidR="00A46CCC" w14:paraId="678458EC" w14:textId="77777777" w:rsidTr="002A0885">
        <w:trPr>
          <w:trHeight w:val="386"/>
        </w:trPr>
        <w:tc>
          <w:tcPr>
            <w:tcW w:w="2376" w:type="dxa"/>
          </w:tcPr>
          <w:p w14:paraId="1A6E382C" w14:textId="77777777" w:rsidR="00A46CCC" w:rsidRDefault="00A46CCC" w:rsidP="002A0885">
            <w:pPr>
              <w:pStyle w:val="NormalHeadings"/>
              <w:jc w:val="left"/>
              <w:rPr>
                <w:caps/>
                <w:szCs w:val="24"/>
              </w:rPr>
            </w:pPr>
            <w:r>
              <w:rPr>
                <w:caps/>
                <w:szCs w:val="24"/>
              </w:rPr>
              <w:t>AND:</w:t>
            </w:r>
          </w:p>
        </w:tc>
        <w:tc>
          <w:tcPr>
            <w:tcW w:w="6866" w:type="dxa"/>
            <w:gridSpan w:val="2"/>
          </w:tcPr>
          <w:p w14:paraId="116DB9A4" w14:textId="644BCAFF" w:rsidR="00F135C8" w:rsidRDefault="00C56FA1" w:rsidP="001408BB">
            <w:pPr>
              <w:pStyle w:val="NormalHeadings"/>
              <w:jc w:val="left"/>
            </w:pPr>
            <w:bookmarkStart w:id="13" w:name="Respondent"/>
            <w:r>
              <w:t>HENKEL AUSTRALIA PTY LTD ACN 0001 302 996</w:t>
            </w:r>
          </w:p>
          <w:p w14:paraId="39779142" w14:textId="77777777" w:rsidR="00F135C8" w:rsidRDefault="00F135C8" w:rsidP="001408BB">
            <w:pPr>
              <w:pStyle w:val="PartyType"/>
            </w:pPr>
            <w:r>
              <w:t>Respondent</w:t>
            </w:r>
          </w:p>
          <w:bookmarkEnd w:id="13"/>
          <w:p w14:paraId="3B0C7229" w14:textId="77777777" w:rsidR="00A46CCC" w:rsidRPr="006555B4" w:rsidRDefault="00A46CCC" w:rsidP="002A0885">
            <w:pPr>
              <w:pStyle w:val="NormalHeadings"/>
              <w:jc w:val="left"/>
            </w:pPr>
          </w:p>
        </w:tc>
      </w:tr>
      <w:tr w:rsidR="001408BB" w14:paraId="76385CB8" w14:textId="77777777" w:rsidTr="001408BB">
        <w:trPr>
          <w:trHeight w:val="300"/>
        </w:trPr>
        <w:tc>
          <w:tcPr>
            <w:tcW w:w="2376" w:type="dxa"/>
          </w:tcPr>
          <w:p w14:paraId="68D297A4" w14:textId="77777777" w:rsidR="001408BB" w:rsidRDefault="001408BB">
            <w:pPr>
              <w:pStyle w:val="NormalHeadings"/>
              <w:jc w:val="left"/>
              <w:rPr>
                <w:caps/>
                <w:szCs w:val="24"/>
              </w:rPr>
            </w:pPr>
            <w:bookmarkStart w:id="14" w:name="CrossClaimPosition"/>
            <w:bookmarkEnd w:id="11"/>
            <w:bookmarkEnd w:id="14"/>
          </w:p>
        </w:tc>
        <w:tc>
          <w:tcPr>
            <w:tcW w:w="6866" w:type="dxa"/>
            <w:gridSpan w:val="2"/>
          </w:tcPr>
          <w:p w14:paraId="72104BC9" w14:textId="77777777" w:rsidR="001408BB" w:rsidRDefault="001408BB">
            <w:pPr>
              <w:pStyle w:val="NormalHeadings"/>
              <w:jc w:val="left"/>
              <w:rPr>
                <w:szCs w:val="24"/>
              </w:rPr>
            </w:pPr>
          </w:p>
        </w:tc>
      </w:tr>
      <w:tr w:rsidR="001408BB" w14:paraId="3031A07F" w14:textId="77777777">
        <w:trPr>
          <w:trHeight w:val="386"/>
        </w:trPr>
        <w:tc>
          <w:tcPr>
            <w:tcW w:w="2376" w:type="dxa"/>
          </w:tcPr>
          <w:p w14:paraId="6B4A050A" w14:textId="77777777" w:rsidR="001408BB" w:rsidRDefault="001408BB">
            <w:pPr>
              <w:pStyle w:val="NormalHeadings"/>
              <w:jc w:val="left"/>
              <w:rPr>
                <w:caps/>
                <w:szCs w:val="24"/>
              </w:rPr>
            </w:pPr>
            <w:r>
              <w:rPr>
                <w:caps/>
                <w:szCs w:val="24"/>
              </w:rPr>
              <w:t>AND BETWEEN:</w:t>
            </w:r>
          </w:p>
        </w:tc>
        <w:tc>
          <w:tcPr>
            <w:tcW w:w="6866" w:type="dxa"/>
            <w:gridSpan w:val="2"/>
          </w:tcPr>
          <w:p w14:paraId="569A0BE0" w14:textId="77777777" w:rsidR="00C56FA1" w:rsidRDefault="00C56FA1" w:rsidP="00C56FA1">
            <w:pPr>
              <w:pStyle w:val="NormalHeadings"/>
              <w:jc w:val="left"/>
            </w:pPr>
            <w:bookmarkStart w:id="15" w:name="Cross_Applicant"/>
            <w:r>
              <w:t>HENKEL AUSTRALIA PTY LTD ACN 0001 302 996</w:t>
            </w:r>
          </w:p>
          <w:bookmarkEnd w:id="15"/>
          <w:p w14:paraId="69270175" w14:textId="772EF0A5" w:rsidR="001408BB" w:rsidRPr="00435088" w:rsidRDefault="00C56FA1" w:rsidP="00435088">
            <w:pPr>
              <w:pStyle w:val="PartyType"/>
            </w:pPr>
            <w:r>
              <w:t>Cross-</w:t>
            </w:r>
            <w:r w:rsidR="00A46F29">
              <w:t>C</w:t>
            </w:r>
            <w:r>
              <w:t>laimant</w:t>
            </w:r>
          </w:p>
          <w:p w14:paraId="11B036C3" w14:textId="2259C6A9" w:rsidR="00C56FA1" w:rsidRPr="00C56FA1" w:rsidRDefault="00C56FA1" w:rsidP="00C56FA1">
            <w:pPr>
              <w:pStyle w:val="NormalHeadings"/>
              <w:jc w:val="left"/>
              <w:rPr>
                <w:b w:val="0"/>
              </w:rPr>
            </w:pPr>
          </w:p>
        </w:tc>
      </w:tr>
      <w:tr w:rsidR="001408BB" w14:paraId="1833F347" w14:textId="77777777">
        <w:trPr>
          <w:trHeight w:val="386"/>
        </w:trPr>
        <w:tc>
          <w:tcPr>
            <w:tcW w:w="2376" w:type="dxa"/>
          </w:tcPr>
          <w:p w14:paraId="7AE6F0D0" w14:textId="77777777" w:rsidR="001408BB" w:rsidRDefault="001408BB">
            <w:pPr>
              <w:pStyle w:val="NormalHeadings"/>
              <w:jc w:val="left"/>
              <w:rPr>
                <w:caps/>
                <w:szCs w:val="24"/>
              </w:rPr>
            </w:pPr>
            <w:r>
              <w:rPr>
                <w:caps/>
                <w:szCs w:val="24"/>
              </w:rPr>
              <w:t>AND:</w:t>
            </w:r>
          </w:p>
        </w:tc>
        <w:tc>
          <w:tcPr>
            <w:tcW w:w="6866" w:type="dxa"/>
            <w:gridSpan w:val="2"/>
          </w:tcPr>
          <w:p w14:paraId="76C7359E" w14:textId="77777777" w:rsidR="00C56FA1" w:rsidRDefault="00C56FA1" w:rsidP="00C56FA1">
            <w:pPr>
              <w:pStyle w:val="NormalHeadings"/>
              <w:jc w:val="left"/>
            </w:pPr>
            <w:r>
              <w:t>RECKITT BENCKISER FINISH B.V.</w:t>
            </w:r>
          </w:p>
          <w:p w14:paraId="43381F61" w14:textId="36EB9A6E" w:rsidR="001408BB" w:rsidRPr="00435088" w:rsidRDefault="00A46F29" w:rsidP="00435088">
            <w:pPr>
              <w:pStyle w:val="PartyType"/>
            </w:pPr>
            <w:r>
              <w:t>Cross-R</w:t>
            </w:r>
            <w:r w:rsidR="00C56FA1" w:rsidRPr="00C56FA1">
              <w:t>espondent</w:t>
            </w:r>
          </w:p>
          <w:p w14:paraId="08B1631D" w14:textId="637CBBA9" w:rsidR="00C56FA1" w:rsidRDefault="00C56FA1" w:rsidP="001408BB">
            <w:pPr>
              <w:pStyle w:val="NormalHeadings"/>
              <w:jc w:val="left"/>
            </w:pPr>
          </w:p>
        </w:tc>
      </w:tr>
    </w:tbl>
    <w:p w14:paraId="5B544141"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087FF154" w14:textId="77777777">
        <w:tc>
          <w:tcPr>
            <w:tcW w:w="2376" w:type="dxa"/>
          </w:tcPr>
          <w:p w14:paraId="4A584D8E" w14:textId="6B35AAF3"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38A40C7D" w14:textId="77777777" w:rsidR="00395B24" w:rsidRDefault="00F135C8">
            <w:pPr>
              <w:pStyle w:val="NormalHeadings"/>
              <w:jc w:val="left"/>
              <w:rPr>
                <w:caps/>
                <w:szCs w:val="24"/>
              </w:rPr>
            </w:pPr>
            <w:bookmarkStart w:id="17" w:name="Judge"/>
            <w:r>
              <w:rPr>
                <w:caps/>
                <w:szCs w:val="24"/>
              </w:rPr>
              <w:t>HALLEY J</w:t>
            </w:r>
            <w:bookmarkEnd w:id="17"/>
          </w:p>
        </w:tc>
      </w:tr>
      <w:tr w:rsidR="00395B24" w14:paraId="5033420D" w14:textId="77777777">
        <w:tc>
          <w:tcPr>
            <w:tcW w:w="2376" w:type="dxa"/>
          </w:tcPr>
          <w:p w14:paraId="2F59D5CB" w14:textId="77777777" w:rsidR="00395B24" w:rsidRDefault="002C7385">
            <w:pPr>
              <w:pStyle w:val="NormalHeadings"/>
              <w:spacing w:after="120"/>
              <w:jc w:val="left"/>
              <w:rPr>
                <w:caps/>
                <w:szCs w:val="24"/>
              </w:rPr>
            </w:pPr>
            <w:r>
              <w:rPr>
                <w:caps/>
                <w:szCs w:val="24"/>
              </w:rPr>
              <w:t>DATE OF ORDER:</w:t>
            </w:r>
          </w:p>
        </w:tc>
        <w:tc>
          <w:tcPr>
            <w:tcW w:w="6866" w:type="dxa"/>
          </w:tcPr>
          <w:p w14:paraId="246BA204" w14:textId="7C50D045" w:rsidR="00395B24" w:rsidRDefault="00B66EAB">
            <w:pPr>
              <w:pStyle w:val="NormalHeadings"/>
              <w:jc w:val="left"/>
              <w:rPr>
                <w:caps/>
                <w:szCs w:val="24"/>
              </w:rPr>
            </w:pPr>
            <w:r>
              <w:rPr>
                <w:caps/>
                <w:szCs w:val="24"/>
              </w:rPr>
              <w:t>3 september 2021</w:t>
            </w:r>
          </w:p>
        </w:tc>
      </w:tr>
    </w:tbl>
    <w:p w14:paraId="5979DB51" w14:textId="77777777" w:rsidR="00395B24" w:rsidRDefault="00395B24">
      <w:pPr>
        <w:pStyle w:val="NormalHeadings"/>
        <w:rPr>
          <w:b w:val="0"/>
        </w:rPr>
      </w:pPr>
    </w:p>
    <w:p w14:paraId="32DF902A" w14:textId="2AF47161" w:rsidR="008D1617" w:rsidRDefault="008D1617">
      <w:pPr>
        <w:pStyle w:val="NormalHeadings"/>
        <w:rPr>
          <w:b w:val="0"/>
        </w:rPr>
      </w:pPr>
    </w:p>
    <w:p w14:paraId="0F7D2EA4" w14:textId="58B56690" w:rsidR="001F284E" w:rsidRDefault="001F284E" w:rsidP="001F284E">
      <w:pPr>
        <w:pStyle w:val="NormalHeadings"/>
        <w:spacing w:after="200" w:line="360" w:lineRule="auto"/>
      </w:pPr>
      <w:r>
        <w:t>THE COURT NOTES THAT:</w:t>
      </w:r>
    </w:p>
    <w:p w14:paraId="48457240" w14:textId="77777777" w:rsidR="001F284E" w:rsidRDefault="001F284E" w:rsidP="00697062">
      <w:pPr>
        <w:pStyle w:val="Order1"/>
      </w:pPr>
      <w:r>
        <w:t xml:space="preserve">The applicants by their counsel give to the court the following undertaking jointly and severally: </w:t>
      </w:r>
    </w:p>
    <w:p w14:paraId="7EBC68C9" w14:textId="77777777" w:rsidR="001F284E" w:rsidRDefault="001F284E" w:rsidP="00697062">
      <w:pPr>
        <w:pStyle w:val="Order2"/>
      </w:pPr>
      <w:r w:rsidRPr="001F284E">
        <w:t xml:space="preserve">to submit to such order (if any) as the court may consider to be just for the payment of compensation, to be assessed by the court or as it may direct, to any person, whether or not a party, adversely affected by the operation of the interlocutory order set out below (with or without variation) thereof; </w:t>
      </w:r>
    </w:p>
    <w:p w14:paraId="16938EA6" w14:textId="77777777" w:rsidR="001F284E" w:rsidRDefault="001F284E" w:rsidP="00697062">
      <w:pPr>
        <w:pStyle w:val="Order2"/>
      </w:pPr>
      <w:r w:rsidRPr="001F284E">
        <w:t xml:space="preserve">to pay the compensation referred to in (a) above to the person there referred to; and </w:t>
      </w:r>
    </w:p>
    <w:p w14:paraId="7DEF95BE" w14:textId="4B2331CE" w:rsidR="001F284E" w:rsidRPr="001F284E" w:rsidRDefault="001F284E" w:rsidP="00697062">
      <w:pPr>
        <w:pStyle w:val="Order2"/>
      </w:pPr>
      <w:r w:rsidRPr="001F284E">
        <w:t xml:space="preserve">to take the earliest possible date for the final hearing of these proceedings. </w:t>
      </w:r>
    </w:p>
    <w:p w14:paraId="49170FFE" w14:textId="77777777" w:rsidR="001F284E" w:rsidRDefault="001F284E">
      <w:pPr>
        <w:pStyle w:val="NormalHeadings"/>
      </w:pPr>
    </w:p>
    <w:p w14:paraId="45AA57A6" w14:textId="50257C1C" w:rsidR="00395B24" w:rsidRDefault="002C7385" w:rsidP="00C56FA1">
      <w:pPr>
        <w:pStyle w:val="NormalHeadings"/>
        <w:keepNext/>
        <w:keepLines/>
        <w:spacing w:after="200" w:line="360" w:lineRule="auto"/>
      </w:pPr>
      <w:r>
        <w:lastRenderedPageBreak/>
        <w:t>THE COURT ORDERS THAT:</w:t>
      </w:r>
    </w:p>
    <w:p w14:paraId="7B8A6D73" w14:textId="41FE8134" w:rsidR="001F284E" w:rsidRDefault="001F284E" w:rsidP="00C56FA1">
      <w:pPr>
        <w:pStyle w:val="Order1"/>
        <w:keepNext/>
        <w:keepLines/>
      </w:pPr>
      <w:r w:rsidRPr="001F284E">
        <w:t>Until the determination of these proceeding between the applicants and the respondent or further order of a judge of the court, the respondent, whether by itself, its directors, employees or agents, is restrained from offering for sale (except to the extent that having taken all reasonable steps, the respondent is not able to cancel advertisements that had been placed with third parties prior to the making of these orders) or selling dishwashing products under or by reference to:</w:t>
      </w:r>
    </w:p>
    <w:p w14:paraId="5BAF87B9" w14:textId="7BFD1C64" w:rsidR="001F284E" w:rsidRDefault="001F284E" w:rsidP="00697062">
      <w:pPr>
        <w:pStyle w:val="Order2"/>
      </w:pPr>
      <w:r w:rsidRPr="001F284E">
        <w:t>the trade</w:t>
      </w:r>
      <w:r w:rsidR="001A1572">
        <w:t xml:space="preserve"> </w:t>
      </w:r>
      <w:r w:rsidRPr="001F284E">
        <w:t xml:space="preserve">mark, a visual image of which is annexed to these orders and marked </w:t>
      </w:r>
      <w:r w:rsidR="0059586C">
        <w:t>“</w:t>
      </w:r>
      <w:r w:rsidRPr="001F284E">
        <w:rPr>
          <w:b/>
        </w:rPr>
        <w:t>A</w:t>
      </w:r>
      <w:r w:rsidR="0059586C">
        <w:t>”</w:t>
      </w:r>
      <w:r w:rsidRPr="001F284E">
        <w:t xml:space="preserve"> or any other trade mark substantially similar to that mark; and</w:t>
      </w:r>
    </w:p>
    <w:p w14:paraId="17E35020" w14:textId="0FD7F443" w:rsidR="001F284E" w:rsidRDefault="001F284E" w:rsidP="00697062">
      <w:pPr>
        <w:pStyle w:val="Order2"/>
      </w:pPr>
      <w:r w:rsidRPr="001F284E">
        <w:t xml:space="preserve">registered Australian </w:t>
      </w:r>
      <w:proofErr w:type="spellStart"/>
      <w:r w:rsidRPr="001F284E">
        <w:t>trade marks</w:t>
      </w:r>
      <w:proofErr w:type="spellEnd"/>
      <w:r w:rsidRPr="001F284E">
        <w:t xml:space="preserve"> 1008914 and/or 1211311 or under or by reference to any trade mark substantially identical or deceptively similar to either of those marks.</w:t>
      </w:r>
    </w:p>
    <w:p w14:paraId="24415FBE" w14:textId="1EF4A575" w:rsidR="001F284E" w:rsidRDefault="001F284E" w:rsidP="00697062">
      <w:pPr>
        <w:pStyle w:val="Order1"/>
      </w:pPr>
      <w:r w:rsidRPr="001F284E">
        <w:t>The costs of and incidental to the interlocutory hearing on 2 September 2021 be the applicants</w:t>
      </w:r>
      <w:r w:rsidR="0059586C">
        <w:t>’</w:t>
      </w:r>
      <w:r w:rsidRPr="001F284E">
        <w:t xml:space="preserve"> costs in the proceeding.</w:t>
      </w:r>
    </w:p>
    <w:p w14:paraId="7B02C4ED" w14:textId="5562C7FD" w:rsidR="001F284E" w:rsidRDefault="001F284E" w:rsidP="00697062">
      <w:pPr>
        <w:pStyle w:val="Order1"/>
      </w:pPr>
      <w:r>
        <w:t>Order 3 hereof be suspended for a period of 21 days.</w:t>
      </w:r>
    </w:p>
    <w:p w14:paraId="3449AE30" w14:textId="4B44024F" w:rsidR="001F284E" w:rsidRDefault="001F284E" w:rsidP="00697062">
      <w:pPr>
        <w:pStyle w:val="Order1"/>
      </w:pPr>
      <w:r>
        <w:t>Any party wishing to apply for a costs order different to order 3 above may file and serve a written submission (limited to 3 pages in length) within 7 days.</w:t>
      </w:r>
    </w:p>
    <w:p w14:paraId="09AC251B" w14:textId="6B3411B1" w:rsidR="001F284E" w:rsidRDefault="001F284E" w:rsidP="00697062">
      <w:pPr>
        <w:pStyle w:val="Order1"/>
      </w:pPr>
      <w:r>
        <w:t>Any party wishing to reply to any such written submission is to file and serve a written submission in reply (limited to 2 pages in length) within 14 days.</w:t>
      </w:r>
    </w:p>
    <w:p w14:paraId="2840485A" w14:textId="33187E16" w:rsidR="001F284E" w:rsidRDefault="001F284E" w:rsidP="00697062">
      <w:pPr>
        <w:pStyle w:val="Order1"/>
      </w:pPr>
      <w:r>
        <w:t>The balance of the proceeding be referred to the National Operations Registrar for allocation to a docket judge and be listed for further case management on a date to be fixed.</w:t>
      </w:r>
    </w:p>
    <w:p w14:paraId="350C6346" w14:textId="77777777" w:rsidR="00A46F29" w:rsidRDefault="00A46F29" w:rsidP="00A46F29">
      <w:pPr>
        <w:pStyle w:val="Order1"/>
        <w:numPr>
          <w:ilvl w:val="0"/>
          <w:numId w:val="0"/>
        </w:numPr>
      </w:pPr>
      <w:bookmarkStart w:id="18" w:name="OrdersStatement"/>
    </w:p>
    <w:p w14:paraId="5F54A28A" w14:textId="3EC8B674" w:rsidR="00A46F29" w:rsidRDefault="00A46F29" w:rsidP="00A46F29">
      <w:pPr>
        <w:pStyle w:val="Order1"/>
        <w:numPr>
          <w:ilvl w:val="0"/>
          <w:numId w:val="0"/>
        </w:numPr>
      </w:pPr>
      <w:r>
        <w:t>Note:</w:t>
      </w:r>
      <w:r>
        <w:tab/>
        <w:t xml:space="preserve">Entry of orders is dealt with in Rule 39.32 of the </w:t>
      </w:r>
      <w:r>
        <w:rPr>
          <w:i/>
        </w:rPr>
        <w:t>Federal Court Rules 2011</w:t>
      </w:r>
      <w:r>
        <w:t>.</w:t>
      </w:r>
      <w:bookmarkEnd w:id="18"/>
    </w:p>
    <w:p w14:paraId="4DA9D401" w14:textId="77777777" w:rsidR="001F284E" w:rsidRDefault="001F284E">
      <w:pPr>
        <w:spacing w:line="240" w:lineRule="auto"/>
        <w:jc w:val="left"/>
      </w:pPr>
      <w:r>
        <w:br w:type="page"/>
      </w:r>
    </w:p>
    <w:p w14:paraId="7FE5EF41" w14:textId="66007FE2" w:rsidR="001F284E" w:rsidRDefault="001F284E" w:rsidP="001F284E">
      <w:pPr>
        <w:pStyle w:val="BodyText"/>
        <w:spacing w:after="200"/>
        <w:jc w:val="center"/>
        <w:rPr>
          <w:b/>
        </w:rPr>
      </w:pPr>
      <w:r>
        <w:rPr>
          <w:b/>
        </w:rPr>
        <w:lastRenderedPageBreak/>
        <w:t>ANNEXURE A</w:t>
      </w:r>
    </w:p>
    <w:p w14:paraId="3C36EEF2" w14:textId="3E774D31" w:rsidR="001F284E" w:rsidRPr="001F284E" w:rsidRDefault="00735977" w:rsidP="001F284E">
      <w:pPr>
        <w:pStyle w:val="BodyText"/>
        <w:spacing w:after="200"/>
        <w:jc w:val="center"/>
      </w:pPr>
      <w:r>
        <w:rPr>
          <w:noProof/>
          <w:lang w:eastAsia="en-AU"/>
        </w:rPr>
        <w:drawing>
          <wp:inline distT="0" distB="0" distL="0" distR="0" wp14:anchorId="01D91ECE" wp14:editId="71CE6103">
            <wp:extent cx="2666161" cy="178117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1.jpg"/>
                    <pic:cNvPicPr/>
                  </pic:nvPicPr>
                  <pic:blipFill>
                    <a:blip r:embed="rId15">
                      <a:extLst>
                        <a:ext uri="{28A0092B-C50C-407E-A947-70E740481C1C}">
                          <a14:useLocalDpi xmlns:a14="http://schemas.microsoft.com/office/drawing/2010/main" val="0"/>
                        </a:ext>
                      </a:extLst>
                    </a:blip>
                    <a:stretch>
                      <a:fillRect/>
                    </a:stretch>
                  </pic:blipFill>
                  <pic:spPr>
                    <a:xfrm>
                      <a:off x="0" y="0"/>
                      <a:ext cx="2675744" cy="1787577"/>
                    </a:xfrm>
                    <a:prstGeom prst="rect">
                      <a:avLst/>
                    </a:prstGeom>
                  </pic:spPr>
                </pic:pic>
              </a:graphicData>
            </a:graphic>
          </wp:inline>
        </w:drawing>
      </w:r>
    </w:p>
    <w:p w14:paraId="7050572A" w14:textId="77777777" w:rsidR="00A431E6" w:rsidRDefault="00A431E6" w:rsidP="001A6C52">
      <w:pPr>
        <w:pStyle w:val="BodyText"/>
      </w:pPr>
    </w:p>
    <w:p w14:paraId="360814D3" w14:textId="77777777" w:rsidR="009D328D" w:rsidRDefault="009D328D" w:rsidP="002B0E91">
      <w:pPr>
        <w:pStyle w:val="BodyText"/>
      </w:pPr>
    </w:p>
    <w:p w14:paraId="6F13A2A3" w14:textId="77777777" w:rsidR="00395B24" w:rsidRDefault="00395B24">
      <w:pPr>
        <w:pStyle w:val="NormalHeadings"/>
        <w:spacing w:before="240" w:after="120"/>
        <w:rPr>
          <w:b w:val="0"/>
        </w:rPr>
        <w:sectPr w:rsidR="00395B24" w:rsidSect="0092590B">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fmt="lowerRoman" w:start="1"/>
          <w:cols w:space="720"/>
          <w:noEndnote/>
          <w:titlePg/>
        </w:sectPr>
      </w:pPr>
    </w:p>
    <w:p w14:paraId="5F534C10"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1999DD9A" w14:textId="77777777" w:rsidR="00694BEB" w:rsidRDefault="00F135C8" w:rsidP="005E0510">
      <w:pPr>
        <w:pStyle w:val="NormalHeadings"/>
        <w:spacing w:line="360" w:lineRule="auto"/>
        <w:jc w:val="left"/>
        <w:rPr>
          <w:sz w:val="26"/>
          <w:szCs w:val="26"/>
        </w:rPr>
      </w:pPr>
      <w:r>
        <w:rPr>
          <w:sz w:val="26"/>
          <w:szCs w:val="26"/>
        </w:rPr>
        <w:t xml:space="preserve">HALLEY J: </w:t>
      </w:r>
    </w:p>
    <w:p w14:paraId="3ED723FA" w14:textId="1FC4953A" w:rsidR="00300214" w:rsidRPr="00300214" w:rsidRDefault="001648BF" w:rsidP="001648BF">
      <w:pPr>
        <w:pStyle w:val="ParaNumbering"/>
      </w:pPr>
      <w:r w:rsidRPr="001648BF">
        <w:t>By an originating application dated 12</w:t>
      </w:r>
      <w:r w:rsidR="00697062">
        <w:t> </w:t>
      </w:r>
      <w:r w:rsidRPr="001648BF">
        <w:t>August 2021 the applicants, RB (Hygiene Home) Australia Pty Ltd (</w:t>
      </w:r>
      <w:r w:rsidRPr="001648BF">
        <w:rPr>
          <w:b/>
        </w:rPr>
        <w:t>RB</w:t>
      </w:r>
      <w:r w:rsidRPr="001648BF">
        <w:t xml:space="preserve">) and Reckitt Benckiser </w:t>
      </w:r>
      <w:r w:rsidR="00697062">
        <w:t>Finish</w:t>
      </w:r>
      <w:r w:rsidR="00697062" w:rsidRPr="001648BF">
        <w:t xml:space="preserve"> </w:t>
      </w:r>
      <w:r w:rsidRPr="001648BF">
        <w:t>B.V. (</w:t>
      </w:r>
      <w:r w:rsidRPr="001648BF">
        <w:rPr>
          <w:b/>
        </w:rPr>
        <w:t>RBF</w:t>
      </w:r>
      <w:r w:rsidRPr="001648BF">
        <w:t xml:space="preserve">), sought urgent interlocutory relief because of an alleged trade mark infringement under </w:t>
      </w:r>
      <w:r>
        <w:t>s</w:t>
      </w:r>
      <w:r w:rsidR="00697062">
        <w:t> </w:t>
      </w:r>
      <w:r w:rsidRPr="001648BF">
        <w:t xml:space="preserve">120(1) of the </w:t>
      </w:r>
      <w:r w:rsidRPr="001648BF">
        <w:rPr>
          <w:i/>
        </w:rPr>
        <w:t xml:space="preserve">Trade Marks Act 1995 </w:t>
      </w:r>
      <w:r w:rsidRPr="001648BF">
        <w:t>(</w:t>
      </w:r>
      <w:proofErr w:type="spellStart"/>
      <w:r w:rsidRPr="001648BF">
        <w:t>Cth</w:t>
      </w:r>
      <w:proofErr w:type="spellEnd"/>
      <w:r w:rsidRPr="001648BF">
        <w:t xml:space="preserve">) </w:t>
      </w:r>
      <w:r w:rsidR="004003CA">
        <w:t>(</w:t>
      </w:r>
      <w:r w:rsidR="00602EAC">
        <w:rPr>
          <w:b/>
        </w:rPr>
        <w:t>TM</w:t>
      </w:r>
      <w:r w:rsidR="004003CA">
        <w:rPr>
          <w:b/>
        </w:rPr>
        <w:t>A</w:t>
      </w:r>
      <w:r w:rsidR="004003CA">
        <w:t xml:space="preserve">) </w:t>
      </w:r>
      <w:r w:rsidRPr="001648BF">
        <w:t>by the respondent, Henkel Australia Pty Ltd (</w:t>
      </w:r>
      <w:r w:rsidRPr="001648BF">
        <w:rPr>
          <w:b/>
        </w:rPr>
        <w:t>Henkel</w:t>
      </w:r>
      <w:r w:rsidRPr="001648BF">
        <w:t>).</w:t>
      </w:r>
      <w:r w:rsidR="00300214" w:rsidRPr="00300214">
        <w:t xml:space="preserve"> </w:t>
      </w:r>
    </w:p>
    <w:p w14:paraId="5E8C0F27" w14:textId="2FCFA338" w:rsidR="00300214" w:rsidRPr="00300214" w:rsidRDefault="001648BF" w:rsidP="001648BF">
      <w:pPr>
        <w:pStyle w:val="ParaNumbering"/>
      </w:pPr>
      <w:r w:rsidRPr="001648BF">
        <w:t>The applicants sought an interim injunction restraining the respondent from importing into Australia, offering for sale or selling dishwashing products under or by reference to:</w:t>
      </w:r>
    </w:p>
    <w:p w14:paraId="3E2E2322" w14:textId="77777777" w:rsidR="0051434F" w:rsidRDefault="00300214" w:rsidP="00697062">
      <w:pPr>
        <w:pStyle w:val="ListNo1alt"/>
      </w:pPr>
      <w:r w:rsidRPr="00300214">
        <w:t>the following sign or any other sign substantially similar thereto (noting that the applicants contend that the red background is not part of the sign):</w:t>
      </w:r>
    </w:p>
    <w:p w14:paraId="34D0899C" w14:textId="79B13459" w:rsidR="00ED329A" w:rsidRDefault="00735977" w:rsidP="005905F2">
      <w:pPr>
        <w:pStyle w:val="NoNum"/>
        <w:jc w:val="center"/>
      </w:pPr>
      <w:r>
        <w:rPr>
          <w:noProof/>
          <w:lang w:eastAsia="en-AU"/>
        </w:rPr>
        <w:drawing>
          <wp:inline distT="0" distB="0" distL="0" distR="0" wp14:anchorId="1E3245C7" wp14:editId="73F38AF1">
            <wp:extent cx="1914094" cy="127874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1.jpg"/>
                    <pic:cNvPicPr/>
                  </pic:nvPicPr>
                  <pic:blipFill>
                    <a:blip r:embed="rId15">
                      <a:extLst>
                        <a:ext uri="{28A0092B-C50C-407E-A947-70E740481C1C}">
                          <a14:useLocalDpi xmlns:a14="http://schemas.microsoft.com/office/drawing/2010/main" val="0"/>
                        </a:ext>
                      </a:extLst>
                    </a:blip>
                    <a:stretch>
                      <a:fillRect/>
                    </a:stretch>
                  </pic:blipFill>
                  <pic:spPr>
                    <a:xfrm>
                      <a:off x="0" y="0"/>
                      <a:ext cx="1926219" cy="1286843"/>
                    </a:xfrm>
                    <a:prstGeom prst="rect">
                      <a:avLst/>
                    </a:prstGeom>
                  </pic:spPr>
                </pic:pic>
              </a:graphicData>
            </a:graphic>
          </wp:inline>
        </w:drawing>
      </w:r>
    </w:p>
    <w:p w14:paraId="0B06B2A3" w14:textId="7FEB2BB2" w:rsidR="00300214" w:rsidRPr="00FA2030" w:rsidRDefault="00FA2030" w:rsidP="00697062">
      <w:pPr>
        <w:pStyle w:val="ListNo1alt"/>
        <w:numPr>
          <w:ilvl w:val="0"/>
          <w:numId w:val="0"/>
        </w:numPr>
        <w:ind w:left="720"/>
      </w:pPr>
      <w:r>
        <w:t xml:space="preserve">(the </w:t>
      </w:r>
      <w:r w:rsidRPr="007F6785">
        <w:rPr>
          <w:b/>
        </w:rPr>
        <w:t>SE Logo</w:t>
      </w:r>
      <w:r>
        <w:t>)</w:t>
      </w:r>
      <w:r w:rsidR="00552B2F">
        <w:t xml:space="preserve">; and </w:t>
      </w:r>
    </w:p>
    <w:p w14:paraId="1AFFBE2E" w14:textId="77777777" w:rsidR="00300214" w:rsidRDefault="00300214" w:rsidP="00697062">
      <w:pPr>
        <w:pStyle w:val="ListNo1alt"/>
      </w:pPr>
      <w:r w:rsidRPr="00300214">
        <w:t>Australian trade mark registrations 1008914 (</w:t>
      </w:r>
      <w:r w:rsidRPr="00300214">
        <w:rPr>
          <w:b/>
        </w:rPr>
        <w:t>914 Mark</w:t>
      </w:r>
      <w:r w:rsidRPr="00300214">
        <w:t>) and/or 1211311 (</w:t>
      </w:r>
      <w:r w:rsidRPr="00300214">
        <w:rPr>
          <w:b/>
        </w:rPr>
        <w:t>311 Mark</w:t>
      </w:r>
      <w:r w:rsidRPr="00300214">
        <w:t>) or any trade mark substantially identical or deceptively similar to either of those registrations.</w:t>
      </w:r>
    </w:p>
    <w:p w14:paraId="602FAF92" w14:textId="5B94CF95" w:rsidR="00300214" w:rsidRDefault="001648BF" w:rsidP="001648BF">
      <w:pPr>
        <w:pStyle w:val="ParaNumbering"/>
      </w:pPr>
      <w:r w:rsidRPr="001648BF">
        <w:t>On 3 September 2021 I made orders restraining Henkel from offering for sale or selling dishwashing products under or by reference to the SE Logo, the 914 Mark or the 311 Mark. The orders were made on the basis of the provision to the Court by the applicants of the usual undertaking as to damages and an undertaking to take the first available final hearing date. These are my reasons for making those orders.</w:t>
      </w:r>
    </w:p>
    <w:p w14:paraId="206F4B1C" w14:textId="7BC4A919" w:rsidR="00FA2030" w:rsidRPr="00974FC1" w:rsidRDefault="001648BF" w:rsidP="001648BF">
      <w:pPr>
        <w:pStyle w:val="ParaNumbering"/>
      </w:pPr>
      <w:r w:rsidRPr="001648BF">
        <w:rPr>
          <w:szCs w:val="24"/>
        </w:rPr>
        <w:t>For the reasons that follow, I am satisfied that the applicants have established a prima facie case of reg</w:t>
      </w:r>
      <w:r w:rsidR="00B94522">
        <w:rPr>
          <w:szCs w:val="24"/>
        </w:rPr>
        <w:t>istered trade mark infringement</w:t>
      </w:r>
      <w:r w:rsidRPr="001648BF">
        <w:rPr>
          <w:szCs w:val="24"/>
        </w:rPr>
        <w:t xml:space="preserve"> and </w:t>
      </w:r>
      <w:r w:rsidR="00B94522">
        <w:rPr>
          <w:szCs w:val="24"/>
        </w:rPr>
        <w:t xml:space="preserve">that </w:t>
      </w:r>
      <w:r w:rsidRPr="001648BF">
        <w:rPr>
          <w:szCs w:val="24"/>
        </w:rPr>
        <w:t xml:space="preserve">the balance of convenience favours the grant of an injunction to restore the </w:t>
      </w:r>
      <w:r w:rsidRPr="001648BF">
        <w:rPr>
          <w:i/>
          <w:szCs w:val="24"/>
        </w:rPr>
        <w:t>status quo</w:t>
      </w:r>
      <w:r w:rsidRPr="001648BF">
        <w:rPr>
          <w:szCs w:val="24"/>
        </w:rPr>
        <w:t xml:space="preserve"> pending final determination of the applicants</w:t>
      </w:r>
      <w:r w:rsidR="0059586C">
        <w:rPr>
          <w:szCs w:val="24"/>
        </w:rPr>
        <w:t>’</w:t>
      </w:r>
      <w:r w:rsidRPr="001648BF">
        <w:rPr>
          <w:szCs w:val="24"/>
        </w:rPr>
        <w:t xml:space="preserve"> claims for trade mark infringement.</w:t>
      </w:r>
      <w:r w:rsidR="00FA2030" w:rsidRPr="00974FC1">
        <w:t xml:space="preserve"> </w:t>
      </w:r>
    </w:p>
    <w:p w14:paraId="3CDC2C0C" w14:textId="537C1D27" w:rsidR="001648BF" w:rsidRDefault="00041A6C" w:rsidP="001648BF">
      <w:pPr>
        <w:pStyle w:val="ParaNumbering"/>
      </w:pPr>
      <w:r>
        <w:lastRenderedPageBreak/>
        <w:t>The a</w:t>
      </w:r>
      <w:r w:rsidR="001648BF">
        <w:t xml:space="preserve">pplicants relied on two affidavits of </w:t>
      </w:r>
      <w:proofErr w:type="spellStart"/>
      <w:r w:rsidR="001648BF">
        <w:t>Sachit</w:t>
      </w:r>
      <w:proofErr w:type="spellEnd"/>
      <w:r w:rsidR="001648BF">
        <w:t xml:space="preserve"> </w:t>
      </w:r>
      <w:proofErr w:type="spellStart"/>
      <w:r w:rsidR="001648BF">
        <w:t>Barooah</w:t>
      </w:r>
      <w:proofErr w:type="spellEnd"/>
      <w:r w:rsidR="001648BF">
        <w:t xml:space="preserve"> sworn </w:t>
      </w:r>
      <w:r w:rsidR="00B94522">
        <w:t xml:space="preserve">on </w:t>
      </w:r>
      <w:r w:rsidR="001648BF">
        <w:t>16</w:t>
      </w:r>
      <w:r w:rsidR="00B94522">
        <w:t> </w:t>
      </w:r>
      <w:r w:rsidR="001648BF">
        <w:t xml:space="preserve">August 2021 (the first of which was initially signed on 12 August 2021), an affidavit of Trent Kennedy sworn </w:t>
      </w:r>
      <w:r w:rsidR="00B94522">
        <w:t xml:space="preserve">on </w:t>
      </w:r>
      <w:r w:rsidR="001648BF">
        <w:t>13</w:t>
      </w:r>
      <w:r w:rsidR="00B94522">
        <w:t> August 2021</w:t>
      </w:r>
      <w:r w:rsidR="001648BF">
        <w:t xml:space="preserve"> and an affidavit of Duncan Watson affirmed </w:t>
      </w:r>
      <w:r w:rsidR="00B94522">
        <w:t xml:space="preserve">on 16 August 2021. The applicants also relied on the </w:t>
      </w:r>
      <w:r w:rsidR="001648BF">
        <w:t xml:space="preserve">affidavits in reply </w:t>
      </w:r>
      <w:r w:rsidR="00B94522">
        <w:t xml:space="preserve">of </w:t>
      </w:r>
      <w:r w:rsidR="001648BF">
        <w:t xml:space="preserve">Jonathon Gale affirmed </w:t>
      </w:r>
      <w:r w:rsidR="00B94522">
        <w:t xml:space="preserve">on </w:t>
      </w:r>
      <w:r w:rsidR="001648BF">
        <w:t xml:space="preserve">26 August 2021 and Peter Le Guay affirmed </w:t>
      </w:r>
      <w:r w:rsidR="00B94522">
        <w:t xml:space="preserve">on </w:t>
      </w:r>
      <w:r w:rsidR="001648BF">
        <w:t>26 August 2021.</w:t>
      </w:r>
    </w:p>
    <w:p w14:paraId="6592A99D" w14:textId="7B9EC8E3" w:rsidR="001648BF" w:rsidRDefault="001648BF" w:rsidP="001648BF">
      <w:pPr>
        <w:pStyle w:val="ParaNumbering"/>
      </w:pPr>
      <w:r>
        <w:t xml:space="preserve">Henkel relied on affidavits </w:t>
      </w:r>
      <w:r w:rsidR="00B94522">
        <w:t>of</w:t>
      </w:r>
      <w:r>
        <w:t xml:space="preserve"> Dr Karen </w:t>
      </w:r>
      <w:proofErr w:type="spellStart"/>
      <w:r>
        <w:t>Scheunemann</w:t>
      </w:r>
      <w:proofErr w:type="spellEnd"/>
      <w:r>
        <w:t xml:space="preserve"> affirmed </w:t>
      </w:r>
      <w:r w:rsidR="00B94522">
        <w:t xml:space="preserve">on </w:t>
      </w:r>
      <w:r>
        <w:t xml:space="preserve">24 August 2021, Melissa Sherry affirmed </w:t>
      </w:r>
      <w:r w:rsidR="00B94522">
        <w:t xml:space="preserve">on </w:t>
      </w:r>
      <w:r>
        <w:t xml:space="preserve">24 August 2021 and Scott Hull affirmed </w:t>
      </w:r>
      <w:r w:rsidR="00B94522">
        <w:t xml:space="preserve">on </w:t>
      </w:r>
      <w:r>
        <w:t>24 August 2021.</w:t>
      </w:r>
    </w:p>
    <w:p w14:paraId="2F9CF17E" w14:textId="4681E365" w:rsidR="00FA2030" w:rsidRPr="00974FC1" w:rsidRDefault="001648BF" w:rsidP="001648BF">
      <w:pPr>
        <w:pStyle w:val="ParaNumbering"/>
      </w:pPr>
      <w:r>
        <w:t>RBF owns the 914 Mark and 311 Mark.</w:t>
      </w:r>
    </w:p>
    <w:p w14:paraId="32E949BD" w14:textId="03A0AC9C" w:rsidR="00FA2030" w:rsidRDefault="001648BF" w:rsidP="001648BF">
      <w:pPr>
        <w:pStyle w:val="ParaNumbering"/>
      </w:pPr>
      <w:r w:rsidRPr="001648BF">
        <w:t xml:space="preserve">The 914 Mark relevantly carries an endorsement stating: </w:t>
      </w:r>
      <w:r w:rsidR="0059586C">
        <w:t>“</w:t>
      </w:r>
      <w:r w:rsidR="00DF6D4B">
        <w:t>[t]</w:t>
      </w:r>
      <w:r w:rsidRPr="001648BF">
        <w:t>he trade mark consists of the shape and colour of the goods as depicted in the representation attached to the application form …</w:t>
      </w:r>
      <w:r w:rsidR="0059586C">
        <w:t>”</w:t>
      </w:r>
      <w:r w:rsidRPr="001648BF">
        <w:t>. That representation is as follows:</w:t>
      </w:r>
    </w:p>
    <w:p w14:paraId="3ABE9EC5" w14:textId="2EAD31CE" w:rsidR="00FA2030" w:rsidRDefault="00735977" w:rsidP="005905F2">
      <w:pPr>
        <w:pStyle w:val="NoNum"/>
        <w:jc w:val="center"/>
      </w:pPr>
      <w:r>
        <w:rPr>
          <w:noProof/>
          <w:lang w:eastAsia="en-AU"/>
        </w:rPr>
        <w:drawing>
          <wp:inline distT="0" distB="0" distL="0" distR="0" wp14:anchorId="455C8227" wp14:editId="7801DD8C">
            <wp:extent cx="1329865" cy="124777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2.jpg"/>
                    <pic:cNvPicPr/>
                  </pic:nvPicPr>
                  <pic:blipFill>
                    <a:blip r:embed="rId20">
                      <a:extLst>
                        <a:ext uri="{28A0092B-C50C-407E-A947-70E740481C1C}">
                          <a14:useLocalDpi xmlns:a14="http://schemas.microsoft.com/office/drawing/2010/main" val="0"/>
                        </a:ext>
                      </a:extLst>
                    </a:blip>
                    <a:stretch>
                      <a:fillRect/>
                    </a:stretch>
                  </pic:blipFill>
                  <pic:spPr>
                    <a:xfrm>
                      <a:off x="0" y="0"/>
                      <a:ext cx="1347546" cy="1264365"/>
                    </a:xfrm>
                    <a:prstGeom prst="rect">
                      <a:avLst/>
                    </a:prstGeom>
                  </pic:spPr>
                </pic:pic>
              </a:graphicData>
            </a:graphic>
          </wp:inline>
        </w:drawing>
      </w:r>
    </w:p>
    <w:p w14:paraId="34011AFF" w14:textId="1C65E935" w:rsidR="001648BF" w:rsidRDefault="001648BF" w:rsidP="001648BF">
      <w:pPr>
        <w:pStyle w:val="ParaNumbering"/>
      </w:pPr>
      <w:r>
        <w:t>The 914 Mark is registered in respect of goods includ</w:t>
      </w:r>
      <w:r w:rsidR="00E31676">
        <w:t xml:space="preserve">ing the following in class 3: </w:t>
      </w:r>
      <w:r w:rsidR="0059586C">
        <w:t>“</w:t>
      </w:r>
      <w:r w:rsidR="00E31676">
        <w:t>[b]</w:t>
      </w:r>
      <w:r>
        <w:t xml:space="preserve">leaching preparations and other substances for laundry use and dishwashing … dishwasher cleaner … laundry preparations for dry cleaning; … stain removing preparations; … all of the aforementioned goods being in </w:t>
      </w:r>
      <w:proofErr w:type="spellStart"/>
      <w:r>
        <w:t>gelcap</w:t>
      </w:r>
      <w:proofErr w:type="spellEnd"/>
      <w:r>
        <w:t xml:space="preserve"> form</w:t>
      </w:r>
      <w:r w:rsidR="0059586C">
        <w:t>”</w:t>
      </w:r>
      <w:r>
        <w:t>.</w:t>
      </w:r>
    </w:p>
    <w:p w14:paraId="7C5601B4" w14:textId="158D9D4F" w:rsidR="00FA2030" w:rsidRDefault="001648BF" w:rsidP="001648BF">
      <w:pPr>
        <w:pStyle w:val="ParaNumbering"/>
      </w:pPr>
      <w:r>
        <w:t>The 311 Mark is registered in respec</w:t>
      </w:r>
      <w:r w:rsidR="00E31676">
        <w:t xml:space="preserve">t of goods in class 3 relevantly including </w:t>
      </w:r>
      <w:r w:rsidR="0059586C">
        <w:t>“</w:t>
      </w:r>
      <w:r w:rsidR="00E31676">
        <w:t>dishwashing preparations; …</w:t>
      </w:r>
      <w:r w:rsidR="0059586C">
        <w:t>”</w:t>
      </w:r>
      <w:r>
        <w:t xml:space="preserve"> and is registered in respect of the following </w:t>
      </w:r>
      <w:r w:rsidR="00E31676">
        <w:t>image</w:t>
      </w:r>
      <w:r>
        <w:t>:</w:t>
      </w:r>
    </w:p>
    <w:p w14:paraId="0A8C606A" w14:textId="0E565E49" w:rsidR="00FA2030" w:rsidRDefault="00735977" w:rsidP="005905F2">
      <w:pPr>
        <w:pStyle w:val="NoNum"/>
        <w:jc w:val="center"/>
      </w:pPr>
      <w:r>
        <w:rPr>
          <w:noProof/>
          <w:lang w:eastAsia="en-AU"/>
        </w:rPr>
        <w:drawing>
          <wp:inline distT="0" distB="0" distL="0" distR="0" wp14:anchorId="226BCBCC" wp14:editId="1BDA1DC2">
            <wp:extent cx="1466850" cy="1269742"/>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jpg"/>
                    <pic:cNvPicPr/>
                  </pic:nvPicPr>
                  <pic:blipFill>
                    <a:blip r:embed="rId21">
                      <a:extLst>
                        <a:ext uri="{28A0092B-C50C-407E-A947-70E740481C1C}">
                          <a14:useLocalDpi xmlns:a14="http://schemas.microsoft.com/office/drawing/2010/main" val="0"/>
                        </a:ext>
                      </a:extLst>
                    </a:blip>
                    <a:stretch>
                      <a:fillRect/>
                    </a:stretch>
                  </pic:blipFill>
                  <pic:spPr>
                    <a:xfrm>
                      <a:off x="0" y="0"/>
                      <a:ext cx="1493440" cy="1292759"/>
                    </a:xfrm>
                    <a:prstGeom prst="rect">
                      <a:avLst/>
                    </a:prstGeom>
                  </pic:spPr>
                </pic:pic>
              </a:graphicData>
            </a:graphic>
          </wp:inline>
        </w:drawing>
      </w:r>
    </w:p>
    <w:p w14:paraId="68A62E21" w14:textId="42DCA743" w:rsidR="001648BF" w:rsidRDefault="001648BF" w:rsidP="001648BF">
      <w:pPr>
        <w:pStyle w:val="ParaNumbering"/>
      </w:pPr>
      <w:r>
        <w:t xml:space="preserve">The applicants contend that both the 914 Mark and 311 Mark are used by RB (and its predecessor) in relation to the distribution and sale in Australia of the </w:t>
      </w:r>
      <w:r w:rsidR="00C133FD">
        <w:t>FINISH</w:t>
      </w:r>
      <w:r>
        <w:t xml:space="preserve"> brand of dishwashing tablets. The </w:t>
      </w:r>
      <w:r w:rsidR="00C133FD">
        <w:t>FINISH</w:t>
      </w:r>
      <w:r>
        <w:t xml:space="preserve"> range of dishwasher tablets has been available since </w:t>
      </w:r>
      <w:r>
        <w:lastRenderedPageBreak/>
        <w:t xml:space="preserve">approximately 1999, </w:t>
      </w:r>
      <w:r w:rsidR="00E31676">
        <w:t xml:space="preserve">using </w:t>
      </w:r>
      <w:r>
        <w:t xml:space="preserve">the colours of white and light blue and a protruding red </w:t>
      </w:r>
      <w:r w:rsidR="0059586C">
        <w:t>“</w:t>
      </w:r>
      <w:proofErr w:type="spellStart"/>
      <w:r>
        <w:t>powerball</w:t>
      </w:r>
      <w:proofErr w:type="spellEnd"/>
      <w:r w:rsidR="0059586C">
        <w:t>”</w:t>
      </w:r>
      <w:r>
        <w:t xml:space="preserve"> that the applicants contend is depicted, in different forms, in both the 914 Mark and the 311</w:t>
      </w:r>
      <w:r w:rsidR="00E31676">
        <w:t> </w:t>
      </w:r>
      <w:r>
        <w:t>Mark.</w:t>
      </w:r>
    </w:p>
    <w:p w14:paraId="4A448832" w14:textId="651F1856" w:rsidR="001648BF" w:rsidRDefault="001648BF" w:rsidP="001648BF">
      <w:pPr>
        <w:pStyle w:val="ParaNumbering"/>
      </w:pPr>
      <w:r>
        <w:t>The applicants contend that the 914 Mark has been used by RB and its predecessors over a number of years and predominantly in conjunction with RB</w:t>
      </w:r>
      <w:r w:rsidR="0059586C">
        <w:t>’</w:t>
      </w:r>
      <w:r>
        <w:t xml:space="preserve">s </w:t>
      </w:r>
      <w:r w:rsidR="0059586C">
        <w:t>“</w:t>
      </w:r>
      <w:r w:rsidR="00C133FD">
        <w:t>FINISH</w:t>
      </w:r>
      <w:r>
        <w:t xml:space="preserve"> Quantum</w:t>
      </w:r>
      <w:r w:rsidR="0059586C">
        <w:t>”</w:t>
      </w:r>
      <w:r>
        <w:t xml:space="preserve"> tablets, including on product packa</w:t>
      </w:r>
      <w:r w:rsidR="00E31676">
        <w:t>ging, in television commercials</w:t>
      </w:r>
      <w:r>
        <w:t xml:space="preserve"> and in online stores such as Amazon. The applicants further contend that the 311 Mark has been used in relation to almost all </w:t>
      </w:r>
      <w:r w:rsidR="00E31676">
        <w:t xml:space="preserve">of </w:t>
      </w:r>
      <w:r>
        <w:t xml:space="preserve">the </w:t>
      </w:r>
      <w:r w:rsidR="00C133FD">
        <w:t>FINISH</w:t>
      </w:r>
      <w:r>
        <w:t xml:space="preserve"> dishwasher tablets since the introduction of the red </w:t>
      </w:r>
      <w:proofErr w:type="spellStart"/>
      <w:r>
        <w:t>powerball</w:t>
      </w:r>
      <w:proofErr w:type="spellEnd"/>
      <w:r w:rsidR="004B3807">
        <w:t xml:space="preserve"> in 1999</w:t>
      </w:r>
      <w:r>
        <w:t>.</w:t>
      </w:r>
    </w:p>
    <w:p w14:paraId="3A738AEA" w14:textId="48432A08" w:rsidR="00FA2030" w:rsidRDefault="001648BF" w:rsidP="001648BF">
      <w:pPr>
        <w:pStyle w:val="ParaNumbering"/>
      </w:pPr>
      <w:r>
        <w:t xml:space="preserve">In the year to 18 July 2021, </w:t>
      </w:r>
      <w:r w:rsidR="00C133FD">
        <w:t>FINISH</w:t>
      </w:r>
      <w:r w:rsidR="00E31676">
        <w:t xml:space="preserve"> t</w:t>
      </w:r>
      <w:r>
        <w:t>abl</w:t>
      </w:r>
      <w:r w:rsidR="00E31676">
        <w:t>et products had an approximate</w:t>
      </w:r>
      <w:r>
        <w:t xml:space="preserve"> 63.3% (by value) share of the market for dishwashing tablets in Australia. The FAIRY branded products </w:t>
      </w:r>
      <w:r w:rsidR="00E31676">
        <w:t xml:space="preserve">of Procter &amp; Gamble </w:t>
      </w:r>
      <w:r>
        <w:t xml:space="preserve">have a market share of over 17%. The amount of revenue that RB generates from sales of its </w:t>
      </w:r>
      <w:r w:rsidR="00C133FD">
        <w:t>FINISH</w:t>
      </w:r>
      <w:r>
        <w:t xml:space="preserve"> tablet products is very substantial.</w:t>
      </w:r>
      <w:r w:rsidR="00FA2030">
        <w:t xml:space="preserve"> </w:t>
      </w:r>
    </w:p>
    <w:p w14:paraId="7DA4FE88" w14:textId="0DE65778" w:rsidR="00FA2030" w:rsidRDefault="00FA2030" w:rsidP="00FA2030">
      <w:pPr>
        <w:pStyle w:val="ParaNumbering"/>
      </w:pPr>
      <w:r>
        <w:t xml:space="preserve">Henkel </w:t>
      </w:r>
      <w:r w:rsidR="001648BF">
        <w:t xml:space="preserve">has </w:t>
      </w:r>
      <w:r>
        <w:t xml:space="preserve">sold the </w:t>
      </w:r>
      <w:r w:rsidR="00C133FD">
        <w:rPr>
          <w:bCs/>
        </w:rPr>
        <w:t>SOMAT</w:t>
      </w:r>
      <w:r w:rsidR="00F63CE3" w:rsidRPr="00DF69E8">
        <w:rPr>
          <w:b/>
          <w:bCs/>
        </w:rPr>
        <w:t xml:space="preserve"> </w:t>
      </w:r>
      <w:r>
        <w:t xml:space="preserve">branded range of dishwashing products in </w:t>
      </w:r>
      <w:r w:rsidR="00F63CE3">
        <w:t xml:space="preserve">Europe </w:t>
      </w:r>
      <w:r>
        <w:t xml:space="preserve">for over </w:t>
      </w:r>
      <w:r w:rsidR="00F63CE3">
        <w:t>5</w:t>
      </w:r>
      <w:r>
        <w:t>0</w:t>
      </w:r>
      <w:r w:rsidR="00E31676">
        <w:rPr>
          <w:spacing w:val="23"/>
        </w:rPr>
        <w:t> </w:t>
      </w:r>
      <w:r>
        <w:t>years.</w:t>
      </w:r>
    </w:p>
    <w:p w14:paraId="71392173" w14:textId="1EA462D7" w:rsidR="00E406D4" w:rsidRDefault="00E406D4" w:rsidP="004003CA">
      <w:pPr>
        <w:pStyle w:val="ParaNumbering"/>
      </w:pPr>
      <w:r>
        <w:t>Henkel</w:t>
      </w:r>
      <w:r w:rsidR="0059586C">
        <w:t>’</w:t>
      </w:r>
      <w:r>
        <w:t>s i</w:t>
      </w:r>
      <w:r w:rsidR="00E31676">
        <w:t xml:space="preserve">nternal plans anticipated that </w:t>
      </w:r>
      <w:r w:rsidR="0059586C">
        <w:t>“</w:t>
      </w:r>
      <w:r>
        <w:t>existing competitors are likely to react strongly with large-scale, sustained activities in</w:t>
      </w:r>
      <w:r w:rsidR="00E31676">
        <w:t xml:space="preserve"> order to derail the new launch</w:t>
      </w:r>
      <w:r w:rsidR="0059586C">
        <w:t>”</w:t>
      </w:r>
      <w:r>
        <w:t xml:space="preserve"> into the Australian m</w:t>
      </w:r>
      <w:r w:rsidR="00E31676">
        <w:t>arket for dishwashing products.</w:t>
      </w:r>
    </w:p>
    <w:p w14:paraId="37C53AEE" w14:textId="54F4EDD1" w:rsidR="00E406D4" w:rsidRDefault="00E406D4" w:rsidP="00E406D4">
      <w:pPr>
        <w:pStyle w:val="ParaNumbering"/>
      </w:pPr>
      <w:r>
        <w:t>The SE Logo appears on the packaging of, and promotional mat</w:t>
      </w:r>
      <w:r w:rsidR="00602EAC">
        <w:t>erials for, Henkel</w:t>
      </w:r>
      <w:r w:rsidR="0059586C">
        <w:t>’</w:t>
      </w:r>
      <w:r w:rsidR="00602EAC">
        <w:t xml:space="preserve">s range of </w:t>
      </w:r>
      <w:r w:rsidR="0059586C">
        <w:t>“</w:t>
      </w:r>
      <w:r w:rsidR="00C133FD">
        <w:t>SOMAT</w:t>
      </w:r>
      <w:r w:rsidR="00602EAC">
        <w:t xml:space="preserve"> Excellence 4in1</w:t>
      </w:r>
      <w:r w:rsidR="0059586C">
        <w:t>”</w:t>
      </w:r>
      <w:r>
        <w:t xml:space="preserve"> d</w:t>
      </w:r>
      <w:r w:rsidR="00602EAC">
        <w:t>ishwasher gel caps</w:t>
      </w:r>
      <w:r>
        <w:t xml:space="preserve"> (</w:t>
      </w:r>
      <w:r w:rsidRPr="00C133FD">
        <w:rPr>
          <w:b/>
        </w:rPr>
        <w:t>SE Capsules</w:t>
      </w:r>
      <w:r>
        <w:t>). The SE Capsules are being offered for sale in packages of 15, 30 and 45 capsules, and have been available for purchase in retail supermarkets in Australia including at IGA since approximately 11</w:t>
      </w:r>
      <w:r w:rsidR="00E31676">
        <w:t> </w:t>
      </w:r>
      <w:r>
        <w:t>August 2021. It appears that Henkel</w:t>
      </w:r>
      <w:r w:rsidR="0059586C">
        <w:t>’</w:t>
      </w:r>
      <w:r>
        <w:t xml:space="preserve">s intention is to sell the SE </w:t>
      </w:r>
      <w:r w:rsidR="00C52327">
        <w:t>Capsules</w:t>
      </w:r>
      <w:r>
        <w:t>, in the impugned packaging, through IGA, Coles, Big W and Amazon. The applicants</w:t>
      </w:r>
      <w:r w:rsidR="0059586C">
        <w:t>’</w:t>
      </w:r>
      <w:r>
        <w:t xml:space="preserve"> products are also sold through those retailers. </w:t>
      </w:r>
    </w:p>
    <w:p w14:paraId="7824D544" w14:textId="1DA9C099" w:rsidR="00FA2030" w:rsidRPr="00FC024E" w:rsidRDefault="00E406D4" w:rsidP="00E406D4">
      <w:pPr>
        <w:pStyle w:val="ParaNumbering"/>
      </w:pPr>
      <w:r>
        <w:t>In May 2021, RB</w:t>
      </w:r>
      <w:r w:rsidR="0059586C">
        <w:t>’</w:t>
      </w:r>
      <w:r>
        <w:t xml:space="preserve">s National Field Operations Manager, Mr Trent Kennedy, learnt, from reviewing a </w:t>
      </w:r>
      <w:r w:rsidR="0059586C">
        <w:t>“</w:t>
      </w:r>
      <w:r>
        <w:t>new lines</w:t>
      </w:r>
      <w:r w:rsidR="0059586C">
        <w:t>”</w:t>
      </w:r>
      <w:r>
        <w:t xml:space="preserve"> spreadsheet prepared by one of its wholesale distributors, Metcash</w:t>
      </w:r>
      <w:r w:rsidR="00B97E41">
        <w:t xml:space="preserve"> Limited</w:t>
      </w:r>
      <w:r w:rsidR="001440D6">
        <w:t xml:space="preserve"> (</w:t>
      </w:r>
      <w:r w:rsidR="001440D6" w:rsidRPr="001440D6">
        <w:rPr>
          <w:b/>
        </w:rPr>
        <w:t>Metcash</w:t>
      </w:r>
      <w:r w:rsidR="001440D6">
        <w:t>)</w:t>
      </w:r>
      <w:r>
        <w:t>, that the latter was planning to supply a new range of 10</w:t>
      </w:r>
      <w:r w:rsidR="00B94522">
        <w:t xml:space="preserve"> </w:t>
      </w:r>
      <w:r w:rsidR="0059586C">
        <w:t>“</w:t>
      </w:r>
      <w:r w:rsidR="00C133FD">
        <w:t>SOMAT</w:t>
      </w:r>
      <w:r w:rsidR="0059586C">
        <w:t>”</w:t>
      </w:r>
      <w:r>
        <w:t xml:space="preserve"> branded dishwashing products from Henkel. Metcash</w:t>
      </w:r>
      <w:r w:rsidR="0059586C">
        <w:t>’</w:t>
      </w:r>
      <w:r>
        <w:t xml:space="preserve">s spreadsheet did not identify any launch date. Nor did it disclose the form of any packaging in which the </w:t>
      </w:r>
      <w:r w:rsidR="00C133FD">
        <w:t>SOMAT</w:t>
      </w:r>
      <w:r>
        <w:t xml:space="preserve"> products would be sold.</w:t>
      </w:r>
      <w:r w:rsidR="00FA2030" w:rsidRPr="00974FC1">
        <w:rPr>
          <w:spacing w:val="49"/>
        </w:rPr>
        <w:t xml:space="preserve"> </w:t>
      </w:r>
    </w:p>
    <w:p w14:paraId="1BF0B0AA" w14:textId="142825C3" w:rsidR="00E406D4" w:rsidRDefault="00E406D4" w:rsidP="00E406D4">
      <w:pPr>
        <w:pStyle w:val="ParaNumbering"/>
      </w:pPr>
      <w:r>
        <w:t xml:space="preserve">By June 2021, Mr Kennedy had come to believe that the </w:t>
      </w:r>
      <w:r w:rsidR="00C133FD">
        <w:t>SOMAT</w:t>
      </w:r>
      <w:r>
        <w:t xml:space="preserve"> products would be launched in IGA stores in October 2021.</w:t>
      </w:r>
    </w:p>
    <w:p w14:paraId="7BB633B5" w14:textId="5453A6A4" w:rsidR="00E406D4" w:rsidRDefault="00E406D4" w:rsidP="00E406D4">
      <w:pPr>
        <w:pStyle w:val="ParaNumbering"/>
      </w:pPr>
      <w:r>
        <w:lastRenderedPageBreak/>
        <w:t>On about 8 July 2021, Mr Kennedy received from one of RB</w:t>
      </w:r>
      <w:r w:rsidR="0059586C">
        <w:t>’</w:t>
      </w:r>
      <w:r>
        <w:t xml:space="preserve">s sales representatives several photographs of a trade presenter, apparently taken from the computer screen of a person working at Lloyds </w:t>
      </w:r>
      <w:proofErr w:type="spellStart"/>
      <w:r>
        <w:t>Supa</w:t>
      </w:r>
      <w:proofErr w:type="spellEnd"/>
      <w:r>
        <w:t xml:space="preserve"> IGA Panania. Whilst the photographs disclosed for the first time Henkel</w:t>
      </w:r>
      <w:r w:rsidR="0059586C">
        <w:t>’</w:t>
      </w:r>
      <w:r>
        <w:t xml:space="preserve">s actual and intended use of the SE Logo in relation to the SE Capsules, they did not confirm that the </w:t>
      </w:r>
      <w:r w:rsidR="00C133FD">
        <w:t>SOMAT</w:t>
      </w:r>
      <w:r>
        <w:t xml:space="preserve"> products had been accepted by IGA nor did they disclose any launch date. </w:t>
      </w:r>
    </w:p>
    <w:p w14:paraId="17EAB1AC" w14:textId="77777777" w:rsidR="00E406D4" w:rsidRDefault="00E406D4" w:rsidP="00E406D4">
      <w:pPr>
        <w:pStyle w:val="ParaNumbering"/>
      </w:pPr>
      <w:r>
        <w:t xml:space="preserve">It was not until 5 August 2021 that RB first learnt, through discussions with one of its sales representatives regarding information received from a staff member of Lloyds </w:t>
      </w:r>
      <w:proofErr w:type="spellStart"/>
      <w:r>
        <w:t>Supa</w:t>
      </w:r>
      <w:proofErr w:type="spellEnd"/>
      <w:r>
        <w:t xml:space="preserve"> IGA Hurstville, that the SE Capsules were to be launched in IGA supermarkets on 13 August 2021.</w:t>
      </w:r>
    </w:p>
    <w:p w14:paraId="21AEE456" w14:textId="5804BF32" w:rsidR="00E406D4" w:rsidRDefault="00E406D4" w:rsidP="00E406D4">
      <w:pPr>
        <w:pStyle w:val="ParaNumbering"/>
      </w:pPr>
      <w:bookmarkStart w:id="20" w:name="_Ref82092291"/>
      <w:r>
        <w:t>On 10 August 2021, RB</w:t>
      </w:r>
      <w:r w:rsidR="0059586C">
        <w:t>’</w:t>
      </w:r>
      <w:r>
        <w:t>s solicitors, Thomson Geer, issued by email a letter of demand to Henkel seeking undertakings including relevantly to cease all use of the SE Logo. On 11</w:t>
      </w:r>
      <w:r w:rsidR="001440D6">
        <w:t> </w:t>
      </w:r>
      <w:r>
        <w:t>August 2021, a Henkel territory manager apparently unloaded stock from his car on</w:t>
      </w:r>
      <w:r w:rsidR="001440D6">
        <w:t>to</w:t>
      </w:r>
      <w:r>
        <w:t xml:space="preserve"> the shelves of Lloyds </w:t>
      </w:r>
      <w:proofErr w:type="spellStart"/>
      <w:r w:rsidR="001440D6">
        <w:t>Supa</w:t>
      </w:r>
      <w:proofErr w:type="spellEnd"/>
      <w:r w:rsidR="001440D6">
        <w:t xml:space="preserve"> </w:t>
      </w:r>
      <w:r>
        <w:t xml:space="preserve">IGA Springwood. On 12 August 2021, Thomson Geer received a substantive response from the solicitors for Henkel, </w:t>
      </w:r>
      <w:proofErr w:type="spellStart"/>
      <w:r>
        <w:t>Ashurst</w:t>
      </w:r>
      <w:proofErr w:type="spellEnd"/>
      <w:r w:rsidR="001440D6">
        <w:t xml:space="preserve"> Australia</w:t>
      </w:r>
      <w:r>
        <w:t>. At 7.18 pm on 12</w:t>
      </w:r>
      <w:r w:rsidR="001440D6">
        <w:t> </w:t>
      </w:r>
      <w:r>
        <w:t xml:space="preserve">August 2021, RB </w:t>
      </w:r>
      <w:r w:rsidR="001440D6">
        <w:t xml:space="preserve">electronically </w:t>
      </w:r>
      <w:r>
        <w:t>lodged for filing the originating application commencing these proceedings.</w:t>
      </w:r>
      <w:bookmarkEnd w:id="20"/>
    </w:p>
    <w:p w14:paraId="127B90C1" w14:textId="16828CEA" w:rsidR="00FA2030" w:rsidRDefault="00E406D4" w:rsidP="00E406D4">
      <w:pPr>
        <w:pStyle w:val="ParaNumbering"/>
      </w:pPr>
      <w:r>
        <w:t>To date</w:t>
      </w:r>
      <w:r w:rsidR="001440D6">
        <w:t>,</w:t>
      </w:r>
      <w:r>
        <w:t xml:space="preserve"> the SE Capsules have been offered for sale in IGA stores across metropolitan Sydney. It is apparent from Henkel</w:t>
      </w:r>
      <w:r w:rsidR="0059586C">
        <w:t>’</w:t>
      </w:r>
      <w:r>
        <w:t xml:space="preserve">s website that its intention is to sell </w:t>
      </w:r>
      <w:r w:rsidR="00C133FD">
        <w:t>SOMAT</w:t>
      </w:r>
      <w:r>
        <w:t xml:space="preserve"> branded products to IGA, Coles, Big W and on Amazon.</w:t>
      </w:r>
    </w:p>
    <w:p w14:paraId="296D0878" w14:textId="77777777" w:rsidR="00FA2030" w:rsidRPr="00974FC1" w:rsidRDefault="00FA2030" w:rsidP="00FA2030">
      <w:pPr>
        <w:pStyle w:val="Heading1"/>
      </w:pPr>
      <w:r>
        <w:t>Legal principles</w:t>
      </w:r>
    </w:p>
    <w:p w14:paraId="56EA9A97" w14:textId="6DF0F512" w:rsidR="00FA2030" w:rsidRPr="00974FC1" w:rsidRDefault="00E406D4" w:rsidP="006D57CB">
      <w:pPr>
        <w:pStyle w:val="ParaNumbering"/>
      </w:pPr>
      <w:r w:rsidRPr="00E406D4">
        <w:t xml:space="preserve">The principles which should generally be applied to an application for interlocutory relief were set out by the Full Court in </w:t>
      </w:r>
      <w:r w:rsidRPr="00E406D4">
        <w:rPr>
          <w:i/>
        </w:rPr>
        <w:t xml:space="preserve">Samsung Electronics </w:t>
      </w:r>
      <w:r w:rsidR="006D57CB">
        <w:rPr>
          <w:i/>
        </w:rPr>
        <w:t>Company</w:t>
      </w:r>
      <w:r w:rsidRPr="00E406D4">
        <w:rPr>
          <w:i/>
        </w:rPr>
        <w:t xml:space="preserve"> Ltd v Apple </w:t>
      </w:r>
      <w:proofErr w:type="spellStart"/>
      <w:r w:rsidRPr="00E406D4">
        <w:rPr>
          <w:i/>
        </w:rPr>
        <w:t>Inc</w:t>
      </w:r>
      <w:proofErr w:type="spellEnd"/>
      <w:r w:rsidRPr="00E406D4">
        <w:t xml:space="preserve"> (2011) 217 FCR 238; [2011] FCAFC 156 (</w:t>
      </w:r>
      <w:r w:rsidRPr="00E406D4">
        <w:rPr>
          <w:b/>
          <w:i/>
        </w:rPr>
        <w:t>Samsung</w:t>
      </w:r>
      <w:r w:rsidRPr="00E406D4">
        <w:t>) at [52]-[74]</w:t>
      </w:r>
      <w:r>
        <w:t xml:space="preserve"> (</w:t>
      </w:r>
      <w:proofErr w:type="spellStart"/>
      <w:r>
        <w:t>Dowsett</w:t>
      </w:r>
      <w:proofErr w:type="spellEnd"/>
      <w:r>
        <w:t>, Foster and Yates</w:t>
      </w:r>
      <w:r w:rsidR="006D57CB">
        <w:t> </w:t>
      </w:r>
      <w:r>
        <w:t>JJ)</w:t>
      </w:r>
      <w:r w:rsidR="001440D6">
        <w:t xml:space="preserve"> </w:t>
      </w:r>
      <w:r w:rsidRPr="00E406D4">
        <w:t xml:space="preserve">and more recently in </w:t>
      </w:r>
      <w:r w:rsidRPr="00E406D4">
        <w:rPr>
          <w:i/>
        </w:rPr>
        <w:t>Glaxo</w:t>
      </w:r>
      <w:r>
        <w:rPr>
          <w:i/>
        </w:rPr>
        <w:t>S</w:t>
      </w:r>
      <w:r w:rsidRPr="00E406D4">
        <w:rPr>
          <w:i/>
        </w:rPr>
        <w:t>mith</w:t>
      </w:r>
      <w:r>
        <w:rPr>
          <w:i/>
        </w:rPr>
        <w:t>K</w:t>
      </w:r>
      <w:r w:rsidRPr="00E406D4">
        <w:rPr>
          <w:i/>
        </w:rPr>
        <w:t xml:space="preserve">line Australia Pty Ltd v Reckitt Benckiser Healthcare (UK) </w:t>
      </w:r>
      <w:r w:rsidR="006D57CB">
        <w:rPr>
          <w:i/>
        </w:rPr>
        <w:t xml:space="preserve">Limited </w:t>
      </w:r>
      <w:r w:rsidR="006D57CB">
        <w:t xml:space="preserve">(2013) </w:t>
      </w:r>
      <w:r w:rsidR="006D57CB" w:rsidRPr="006D57CB">
        <w:t>305 ALR 363</w:t>
      </w:r>
      <w:r>
        <w:t>; [2013] FCAFC 1</w:t>
      </w:r>
      <w:r w:rsidR="00995E91">
        <w:t>0</w:t>
      </w:r>
      <w:r>
        <w:t>2</w:t>
      </w:r>
      <w:r w:rsidRPr="00E406D4">
        <w:t xml:space="preserve"> (</w:t>
      </w:r>
      <w:r w:rsidRPr="00E406D4">
        <w:rPr>
          <w:b/>
          <w:i/>
        </w:rPr>
        <w:t>GSK</w:t>
      </w:r>
      <w:r w:rsidRPr="00E406D4">
        <w:t>) at [81]</w:t>
      </w:r>
      <w:r>
        <w:t xml:space="preserve"> (Bennett, Jagot and Griffiths JJ)</w:t>
      </w:r>
      <w:r w:rsidRPr="00E406D4">
        <w:t>.</w:t>
      </w:r>
    </w:p>
    <w:p w14:paraId="7D8D2638" w14:textId="014E7E50" w:rsidR="00E406D4" w:rsidRDefault="00E406D4" w:rsidP="00E406D4">
      <w:pPr>
        <w:pStyle w:val="ParaNumbering"/>
      </w:pPr>
      <w:r>
        <w:t xml:space="preserve">Arising from </w:t>
      </w:r>
      <w:r>
        <w:rPr>
          <w:i/>
        </w:rPr>
        <w:t xml:space="preserve">Samsung </w:t>
      </w:r>
      <w:r>
        <w:t xml:space="preserve">at [55], </w:t>
      </w:r>
      <w:r w:rsidR="00A57263">
        <w:t>which quoted</w:t>
      </w:r>
      <w:r>
        <w:t xml:space="preserve"> </w:t>
      </w:r>
      <w:r>
        <w:rPr>
          <w:i/>
        </w:rPr>
        <w:t xml:space="preserve">Beecham Group </w:t>
      </w:r>
      <w:r w:rsidR="006D57CB">
        <w:rPr>
          <w:i/>
        </w:rPr>
        <w:t>Limited</w:t>
      </w:r>
      <w:r>
        <w:rPr>
          <w:i/>
        </w:rPr>
        <w:t xml:space="preserve"> v Bristol Laboratories Pty </w:t>
      </w:r>
      <w:r w:rsidR="006D57CB">
        <w:rPr>
          <w:i/>
        </w:rPr>
        <w:t xml:space="preserve">Limited </w:t>
      </w:r>
      <w:r w:rsidR="006D57CB">
        <w:t xml:space="preserve">[1968] HCA 1; </w:t>
      </w:r>
      <w:r>
        <w:t>(1968) 118 CLR 618</w:t>
      </w:r>
      <w:r w:rsidR="006D57CB">
        <w:t xml:space="preserve"> </w:t>
      </w:r>
      <w:r>
        <w:t>(</w:t>
      </w:r>
      <w:r>
        <w:rPr>
          <w:b/>
          <w:i/>
        </w:rPr>
        <w:t>Beecham</w:t>
      </w:r>
      <w:r>
        <w:t>) at 622-3</w:t>
      </w:r>
      <w:r w:rsidR="00A57263">
        <w:t xml:space="preserve"> (</w:t>
      </w:r>
      <w:proofErr w:type="spellStart"/>
      <w:r w:rsidR="00A57263">
        <w:t>Kitto</w:t>
      </w:r>
      <w:proofErr w:type="spellEnd"/>
      <w:r w:rsidR="00A57263">
        <w:t>, Taylor, Menzies and Owen JJ)</w:t>
      </w:r>
      <w:r>
        <w:t>,</w:t>
      </w:r>
      <w:r>
        <w:rPr>
          <w:i/>
        </w:rPr>
        <w:t xml:space="preserve"> </w:t>
      </w:r>
      <w:r>
        <w:t xml:space="preserve">the two main </w:t>
      </w:r>
      <w:r w:rsidR="004735A6">
        <w:t>i</w:t>
      </w:r>
      <w:r>
        <w:t>nquiries are:</w:t>
      </w:r>
    </w:p>
    <w:p w14:paraId="2B0031F3" w14:textId="0638E56C" w:rsidR="00E406D4" w:rsidRDefault="00E406D4" w:rsidP="004735A6">
      <w:pPr>
        <w:pStyle w:val="ListNo1alt"/>
        <w:numPr>
          <w:ilvl w:val="0"/>
          <w:numId w:val="44"/>
        </w:numPr>
      </w:pPr>
      <w:r>
        <w:t xml:space="preserve">whether the applicant has made out a prima facie case, in the sense that if the evidence remains as it is there is a probability that at the trial of the action it will be held entitled to relief; and </w:t>
      </w:r>
    </w:p>
    <w:p w14:paraId="45A0F87C" w14:textId="4188F7A4" w:rsidR="00FA2030" w:rsidRPr="00974FC1" w:rsidRDefault="00E406D4" w:rsidP="00B05333">
      <w:pPr>
        <w:pStyle w:val="ListNo1alt"/>
        <w:numPr>
          <w:ilvl w:val="0"/>
          <w:numId w:val="44"/>
        </w:numPr>
      </w:pPr>
      <w:r>
        <w:lastRenderedPageBreak/>
        <w:t>whether the inconvenience or injury which the applicant would be likely to suffer if an injunction were refused outweighs or is outweighed by the injury which the respondent would suffer if an injunction were granted.</w:t>
      </w:r>
    </w:p>
    <w:p w14:paraId="07781A3A" w14:textId="77777777" w:rsidR="0028674B" w:rsidRDefault="0028674B" w:rsidP="0028674B">
      <w:pPr>
        <w:pStyle w:val="ParaNumbering"/>
      </w:pPr>
      <w:r>
        <w:t>Of particular relevance to these proceedings are the following principles:</w:t>
      </w:r>
    </w:p>
    <w:p w14:paraId="2592DC78" w14:textId="1616F395" w:rsidR="0028674B" w:rsidRDefault="004735A6" w:rsidP="004735A6">
      <w:pPr>
        <w:pStyle w:val="ListNo1alt"/>
        <w:numPr>
          <w:ilvl w:val="0"/>
          <w:numId w:val="45"/>
        </w:numPr>
      </w:pPr>
      <w:r>
        <w:t>t</w:t>
      </w:r>
      <w:r w:rsidR="0028674B">
        <w:t xml:space="preserve">he requirement to </w:t>
      </w:r>
      <w:r>
        <w:t>establish</w:t>
      </w:r>
      <w:r w:rsidR="0028674B">
        <w:t xml:space="preserve"> a prima facie case does not mean that the applicant must show that it is more probable than not that it will succeed at the trial. It is sufficient to show a sufficient likelihood of success to justify in the circumstances the preservation of the </w:t>
      </w:r>
      <w:r w:rsidR="0028674B" w:rsidRPr="004735A6">
        <w:rPr>
          <w:i/>
        </w:rPr>
        <w:t>status quo</w:t>
      </w:r>
      <w:r w:rsidR="004F2F55">
        <w:t xml:space="preserve"> pending the trial</w:t>
      </w:r>
      <w:r w:rsidR="0028674B">
        <w:t xml:space="preserve">: </w:t>
      </w:r>
      <w:r w:rsidR="0028674B" w:rsidRPr="004735A6">
        <w:rPr>
          <w:i/>
        </w:rPr>
        <w:t>Samsung</w:t>
      </w:r>
      <w:r w:rsidR="0028674B">
        <w:t xml:space="preserve"> at [57], quoting from </w:t>
      </w:r>
      <w:r w:rsidR="0028674B" w:rsidRPr="004735A6">
        <w:rPr>
          <w:i/>
        </w:rPr>
        <w:t>Australian Broadcasting Corporation v O</w:t>
      </w:r>
      <w:r w:rsidR="0059586C">
        <w:rPr>
          <w:i/>
        </w:rPr>
        <w:t>’</w:t>
      </w:r>
      <w:r w:rsidR="0028674B" w:rsidRPr="004735A6">
        <w:rPr>
          <w:i/>
        </w:rPr>
        <w:t xml:space="preserve">Neill </w:t>
      </w:r>
      <w:r w:rsidR="0028674B">
        <w:t>(2006) 227 CLR 57; [2006] HCA 46 at [65] (</w:t>
      </w:r>
      <w:proofErr w:type="spellStart"/>
      <w:r w:rsidR="0028674B">
        <w:t>Gummow</w:t>
      </w:r>
      <w:proofErr w:type="spellEnd"/>
      <w:r w:rsidR="0028674B">
        <w:t xml:space="preserve"> and Hayne JJ, with whom Gleeson CJ and </w:t>
      </w:r>
      <w:proofErr w:type="spellStart"/>
      <w:r w:rsidR="0028674B">
        <w:t>Crennan</w:t>
      </w:r>
      <w:proofErr w:type="spellEnd"/>
      <w:r w:rsidR="0028674B">
        <w:t xml:space="preserve"> J relevantly agreed at [19]);</w:t>
      </w:r>
    </w:p>
    <w:p w14:paraId="0E20A051" w14:textId="5319D33C" w:rsidR="0028674B" w:rsidRDefault="004735A6" w:rsidP="00B05333">
      <w:pPr>
        <w:pStyle w:val="ListNo1alt"/>
        <w:numPr>
          <w:ilvl w:val="0"/>
          <w:numId w:val="45"/>
        </w:numPr>
      </w:pPr>
      <w:r>
        <w:t>h</w:t>
      </w:r>
      <w:r w:rsidR="0028674B">
        <w:t xml:space="preserve">ow strong the probability of success needs to be depends upon the nature of the rights asserted and the practical consequences likely to flow from the grant of the injunction. The extent of the strength of a case that is required will vary from case to case: </w:t>
      </w:r>
      <w:r w:rsidR="0028674B" w:rsidRPr="00B05333">
        <w:rPr>
          <w:i/>
        </w:rPr>
        <w:t>GSK</w:t>
      </w:r>
      <w:r w:rsidR="0028674B">
        <w:t xml:space="preserve"> at [81</w:t>
      </w:r>
      <w:r>
        <w:t>(g)</w:t>
      </w:r>
      <w:r w:rsidR="0028674B">
        <w:t xml:space="preserve">]. If merely pecuniary interests are involved, </w:t>
      </w:r>
      <w:r w:rsidR="0059586C">
        <w:t>“</w:t>
      </w:r>
      <w:r w:rsidR="0028674B">
        <w:t>some</w:t>
      </w:r>
      <w:r w:rsidR="0059586C">
        <w:t>”</w:t>
      </w:r>
      <w:r w:rsidR="0028674B">
        <w:t xml:space="preserve"> probability of success is enough: </w:t>
      </w:r>
      <w:r w:rsidR="0028674B" w:rsidRPr="00B05333">
        <w:rPr>
          <w:i/>
        </w:rPr>
        <w:t>Samsung</w:t>
      </w:r>
      <w:r w:rsidR="0028674B">
        <w:t xml:space="preserve"> at [55]</w:t>
      </w:r>
      <w:r w:rsidR="0059586C">
        <w:t xml:space="preserve"> citing </w:t>
      </w:r>
      <w:r w:rsidR="0059586C" w:rsidRPr="00B05333">
        <w:rPr>
          <w:i/>
        </w:rPr>
        <w:t>Beecham</w:t>
      </w:r>
      <w:r w:rsidR="0059586C">
        <w:t xml:space="preserve"> at 622</w:t>
      </w:r>
      <w:r w:rsidR="0028674B">
        <w:t>;</w:t>
      </w:r>
    </w:p>
    <w:p w14:paraId="14B30A29" w14:textId="4604F89B" w:rsidR="0028674B" w:rsidRDefault="0059586C" w:rsidP="00B05333">
      <w:pPr>
        <w:pStyle w:val="ListNo1alt"/>
        <w:numPr>
          <w:ilvl w:val="0"/>
          <w:numId w:val="45"/>
        </w:numPr>
      </w:pPr>
      <w:r>
        <w:t>w</w:t>
      </w:r>
      <w:r w:rsidR="0028674B">
        <w:t xml:space="preserve">here the merits and the question of balance of convenience are fairly </w:t>
      </w:r>
      <w:r>
        <w:t>even</w:t>
      </w:r>
      <w:r w:rsidR="0028674B">
        <w:t xml:space="preserve">, there will be no injustice in requiring the party seeking an interlocutory injunction to demonstrate good prospects for success before imposing almost certain prejudice on the other party: </w:t>
      </w:r>
      <w:r w:rsidR="0028674B" w:rsidRPr="004F2F55">
        <w:rPr>
          <w:i/>
        </w:rPr>
        <w:t>GSK</w:t>
      </w:r>
      <w:r>
        <w:t xml:space="preserve"> at [81</w:t>
      </w:r>
      <w:r w:rsidR="0028674B">
        <w:t>(c)</w:t>
      </w:r>
      <w:r>
        <w:t>];</w:t>
      </w:r>
    </w:p>
    <w:p w14:paraId="33998C5B" w14:textId="0C2F8C67" w:rsidR="0028674B" w:rsidRDefault="0059586C" w:rsidP="00B05333">
      <w:pPr>
        <w:pStyle w:val="ListNo1alt"/>
        <w:numPr>
          <w:ilvl w:val="0"/>
          <w:numId w:val="45"/>
        </w:numPr>
      </w:pPr>
      <w:r>
        <w:t>i</w:t>
      </w:r>
      <w:r w:rsidR="0028674B">
        <w:t>t is necessary to weigh the inconvenience of injury to the party against whom the injunction is sought and third parties against the inconvenience that the party seeking the injunction may suffer if the injunction is refused</w:t>
      </w:r>
      <w:r>
        <w:t>. T</w:t>
      </w:r>
      <w:r w:rsidR="00C133FD">
        <w:t>he balance of convenience should not be considered independently of the s</w:t>
      </w:r>
      <w:r>
        <w:t>trength of the prima facie case.</w:t>
      </w:r>
      <w:r w:rsidR="00C133FD">
        <w:t xml:space="preserve"> </w:t>
      </w:r>
      <w:r>
        <w:t>A</w:t>
      </w:r>
      <w:r w:rsidR="00C133FD">
        <w:t xml:space="preserve"> strong prima facie case might lead a Court more readily to grant an injunction if the balance of convenience is fairly even and less likely to do so in the absence of a strong prima facie case</w:t>
      </w:r>
      <w:r w:rsidR="0028674B">
        <w:t xml:space="preserve">: </w:t>
      </w:r>
      <w:r w:rsidR="00841970">
        <w:rPr>
          <w:i/>
        </w:rPr>
        <w:t xml:space="preserve">GSK </w:t>
      </w:r>
      <w:r w:rsidR="00841970">
        <w:t>at [81(</w:t>
      </w:r>
      <w:r w:rsidR="00A57263">
        <w:t>j</w:t>
      </w:r>
      <w:r w:rsidR="00841970">
        <w:t>)</w:t>
      </w:r>
      <w:r>
        <w:t>]</w:t>
      </w:r>
      <w:r w:rsidR="00841970">
        <w:t xml:space="preserve">; </w:t>
      </w:r>
      <w:r w:rsidR="0028674B" w:rsidRPr="004F2F55">
        <w:rPr>
          <w:i/>
        </w:rPr>
        <w:t>Bullock v The Federated Furnishing Trades Society of Australasia (No 1)</w:t>
      </w:r>
      <w:r w:rsidR="00BD2559" w:rsidRPr="00BD2559">
        <w:t xml:space="preserve"> </w:t>
      </w:r>
      <w:r w:rsidR="00BD2559">
        <w:t>[1985] FCA 48;</w:t>
      </w:r>
      <w:r w:rsidR="0028674B" w:rsidRPr="004F2F55">
        <w:rPr>
          <w:i/>
        </w:rPr>
        <w:t xml:space="preserve"> </w:t>
      </w:r>
      <w:r w:rsidR="0028674B">
        <w:t>(1985) 5 FCR 464</w:t>
      </w:r>
      <w:r w:rsidR="00BD2559">
        <w:t xml:space="preserve"> </w:t>
      </w:r>
      <w:r w:rsidR="0028674B">
        <w:t xml:space="preserve">at 472 </w:t>
      </w:r>
      <w:r w:rsidR="004F2F55">
        <w:t>(</w:t>
      </w:r>
      <w:r w:rsidR="0028674B">
        <w:t xml:space="preserve">Woodward J, </w:t>
      </w:r>
      <w:r w:rsidR="004F2F55">
        <w:t xml:space="preserve">with whom </w:t>
      </w:r>
      <w:r w:rsidR="0028674B">
        <w:t>Smithers and Sweeney JJ agree</w:t>
      </w:r>
      <w:r w:rsidR="004F2F55">
        <w:t>d</w:t>
      </w:r>
      <w:r w:rsidR="0028674B">
        <w:t xml:space="preserve"> at 467 and 469</w:t>
      </w:r>
      <w:r w:rsidRPr="0059586C">
        <w:t xml:space="preserve"> respectively</w:t>
      </w:r>
      <w:r w:rsidR="004F2F55">
        <w:t>)</w:t>
      </w:r>
      <w:r w:rsidR="003B760C">
        <w:t>;</w:t>
      </w:r>
      <w:r w:rsidR="0028674B">
        <w:t xml:space="preserve"> </w:t>
      </w:r>
    </w:p>
    <w:p w14:paraId="24AA4126" w14:textId="6EF445EF" w:rsidR="0028674B" w:rsidRDefault="0059586C" w:rsidP="00B05333">
      <w:pPr>
        <w:pStyle w:val="ListNo1alt"/>
        <w:numPr>
          <w:ilvl w:val="0"/>
          <w:numId w:val="45"/>
        </w:numPr>
      </w:pPr>
      <w:r>
        <w:t>i</w:t>
      </w:r>
      <w:r w:rsidR="0028674B">
        <w:t>t is not the Court</w:t>
      </w:r>
      <w:r>
        <w:t>’</w:t>
      </w:r>
      <w:r w:rsidR="0028674B">
        <w:t>s function at the interlocutory stage to conduct a preliminary trial, nor to resolve conflict between the parties</w:t>
      </w:r>
      <w:r>
        <w:t>’</w:t>
      </w:r>
      <w:r w:rsidR="0028674B">
        <w:t xml:space="preserve"> evidence. Where a conflict exists the use whic</w:t>
      </w:r>
      <w:r>
        <w:t>h may be made of the respondent’</w:t>
      </w:r>
      <w:r w:rsidR="0028674B">
        <w:t xml:space="preserve">s evidence in determining whether a prima facie </w:t>
      </w:r>
      <w:r w:rsidR="0028674B">
        <w:lastRenderedPageBreak/>
        <w:t xml:space="preserve">case has been made out is a limited one: </w:t>
      </w:r>
      <w:r w:rsidR="0028674B" w:rsidRPr="00A57263">
        <w:rPr>
          <w:i/>
        </w:rPr>
        <w:t xml:space="preserve">Warner-Lambert </w:t>
      </w:r>
      <w:r w:rsidR="00A57263">
        <w:rPr>
          <w:i/>
        </w:rPr>
        <w:t xml:space="preserve">Company LLC </w:t>
      </w:r>
      <w:r w:rsidR="0028674B" w:rsidRPr="00A57263">
        <w:rPr>
          <w:i/>
        </w:rPr>
        <w:t xml:space="preserve">v </w:t>
      </w:r>
      <w:proofErr w:type="spellStart"/>
      <w:r w:rsidR="0028674B" w:rsidRPr="00A57263">
        <w:rPr>
          <w:i/>
        </w:rPr>
        <w:t>Apotex</w:t>
      </w:r>
      <w:proofErr w:type="spellEnd"/>
      <w:r w:rsidR="0028674B">
        <w:t xml:space="preserve"> </w:t>
      </w:r>
      <w:r w:rsidR="00A57263">
        <w:rPr>
          <w:i/>
        </w:rPr>
        <w:t xml:space="preserve">Pty Ltd </w:t>
      </w:r>
      <w:r w:rsidR="0028674B">
        <w:t xml:space="preserve">(2014) </w:t>
      </w:r>
      <w:r w:rsidR="00AF5354">
        <w:t>311 ALR 632</w:t>
      </w:r>
      <w:r w:rsidR="00A57263">
        <w:t xml:space="preserve">; </w:t>
      </w:r>
      <w:r w:rsidR="00AF5354">
        <w:t xml:space="preserve">[2014] FCAFC 59 </w:t>
      </w:r>
      <w:r w:rsidR="0028674B">
        <w:t xml:space="preserve">at </w:t>
      </w:r>
      <w:r w:rsidR="00A57263">
        <w:t>[72] (Allsop CJ, Jagot and Nicholas JJ)</w:t>
      </w:r>
      <w:r w:rsidR="0028674B">
        <w:t xml:space="preserve">, quoting with approval from </w:t>
      </w:r>
      <w:proofErr w:type="spellStart"/>
      <w:r w:rsidR="0028674B" w:rsidRPr="00A57263">
        <w:rPr>
          <w:i/>
        </w:rPr>
        <w:t>Shercliff</w:t>
      </w:r>
      <w:proofErr w:type="spellEnd"/>
      <w:r w:rsidR="0028674B" w:rsidRPr="00A57263">
        <w:rPr>
          <w:i/>
        </w:rPr>
        <w:t xml:space="preserve"> v Engadine Acceptance Corp</w:t>
      </w:r>
      <w:r w:rsidR="00A57263">
        <w:rPr>
          <w:i/>
        </w:rPr>
        <w:t>oration</w:t>
      </w:r>
      <w:r w:rsidR="0028674B" w:rsidRPr="00A57263">
        <w:rPr>
          <w:i/>
        </w:rPr>
        <w:t xml:space="preserve"> Pty</w:t>
      </w:r>
      <w:r w:rsidR="00A57263">
        <w:rPr>
          <w:i/>
        </w:rPr>
        <w:t>.</w:t>
      </w:r>
      <w:r w:rsidR="0028674B" w:rsidRPr="00A57263">
        <w:rPr>
          <w:i/>
        </w:rPr>
        <w:t xml:space="preserve"> Ltd</w:t>
      </w:r>
      <w:r w:rsidR="00A57263">
        <w:rPr>
          <w:i/>
        </w:rPr>
        <w:t>.</w:t>
      </w:r>
      <w:r w:rsidR="0028674B" w:rsidRPr="00A57263">
        <w:rPr>
          <w:i/>
        </w:rPr>
        <w:t xml:space="preserve"> </w:t>
      </w:r>
      <w:r w:rsidR="00A57263">
        <w:t>[</w:t>
      </w:r>
      <w:r w:rsidR="0028674B">
        <w:t>1978</w:t>
      </w:r>
      <w:r w:rsidR="00A57263">
        <w:t>]</w:t>
      </w:r>
      <w:r w:rsidR="0028674B">
        <w:t xml:space="preserve"> 1 NSWLR 729 at 734</w:t>
      </w:r>
      <w:r w:rsidR="003B760C">
        <w:t>;</w:t>
      </w:r>
    </w:p>
    <w:p w14:paraId="32920A39" w14:textId="4563A686" w:rsidR="0028674B" w:rsidRDefault="001A1572" w:rsidP="00B05333">
      <w:pPr>
        <w:pStyle w:val="ListNo1alt"/>
        <w:numPr>
          <w:ilvl w:val="0"/>
          <w:numId w:val="45"/>
        </w:numPr>
      </w:pPr>
      <w:r>
        <w:t>w</w:t>
      </w:r>
      <w:r w:rsidR="0028674B">
        <w:t>hether or not the applicant will suffer irreparable harm for which damages will not be an adequate remedy is but one of the matters to be addressed in conside</w:t>
      </w:r>
      <w:r>
        <w:t>ring the balance of convenience,</w:t>
      </w:r>
      <w:r w:rsidR="0028674B">
        <w:t xml:space="preserve"> not a separate and antecedent requirement: </w:t>
      </w:r>
      <w:r w:rsidR="0028674B" w:rsidRPr="00A57263">
        <w:rPr>
          <w:i/>
        </w:rPr>
        <w:t>GSK</w:t>
      </w:r>
      <w:r>
        <w:t xml:space="preserve"> at [81</w:t>
      </w:r>
      <w:r w:rsidR="0028674B">
        <w:t>(h)</w:t>
      </w:r>
      <w:r>
        <w:t>]</w:t>
      </w:r>
      <w:r w:rsidR="00A57263">
        <w:t xml:space="preserve">; </w:t>
      </w:r>
      <w:r w:rsidR="00A57263" w:rsidRPr="00A57263">
        <w:rPr>
          <w:i/>
        </w:rPr>
        <w:t>Samsung</w:t>
      </w:r>
      <w:r w:rsidR="00A57263">
        <w:t xml:space="preserve"> at [63]</w:t>
      </w:r>
      <w:r w:rsidR="003B760C">
        <w:t>;</w:t>
      </w:r>
    </w:p>
    <w:p w14:paraId="279F081F" w14:textId="6FFDF322" w:rsidR="0028674B" w:rsidRDefault="001A1572" w:rsidP="00B05333">
      <w:pPr>
        <w:pStyle w:val="ListNo1alt"/>
        <w:numPr>
          <w:ilvl w:val="0"/>
          <w:numId w:val="45"/>
        </w:numPr>
      </w:pPr>
      <w:r>
        <w:t>i</w:t>
      </w:r>
      <w:r w:rsidR="0028674B">
        <w:t xml:space="preserve">n assessing the balance of convenience, the Court will give little weight to harm that would be caused by the grant of an injunction if </w:t>
      </w:r>
      <w:r w:rsidR="0059586C">
        <w:t>“</w:t>
      </w:r>
      <w:r w:rsidR="0028674B">
        <w:t xml:space="preserve">that was a risk that the </w:t>
      </w:r>
      <w:r w:rsidR="003B760C">
        <w:t xml:space="preserve">[respondent] </w:t>
      </w:r>
      <w:r w:rsidR="0028674B">
        <w:t>took with its eyes open</w:t>
      </w:r>
      <w:r w:rsidR="0059586C">
        <w:t>”</w:t>
      </w:r>
      <w:r w:rsidR="0028674B">
        <w:t xml:space="preserve">: </w:t>
      </w:r>
      <w:r w:rsidR="0028674B" w:rsidRPr="00A57263">
        <w:rPr>
          <w:i/>
        </w:rPr>
        <w:t>Beecham</w:t>
      </w:r>
      <w:r w:rsidR="0028674B">
        <w:t xml:space="preserve"> at 626</w:t>
      </w:r>
      <w:r w:rsidR="003B760C">
        <w:t>;</w:t>
      </w:r>
    </w:p>
    <w:p w14:paraId="1B0757D1" w14:textId="607FB5AB" w:rsidR="0028674B" w:rsidRDefault="001A1572" w:rsidP="00B05333">
      <w:pPr>
        <w:pStyle w:val="ListNo1alt"/>
        <w:numPr>
          <w:ilvl w:val="0"/>
          <w:numId w:val="45"/>
        </w:numPr>
      </w:pPr>
      <w:r>
        <w:t>t</w:t>
      </w:r>
      <w:r w:rsidR="0028674B">
        <w:t>he Court should assess and compare the prejudice and hardship likely to be suffered by the respondent, third parties and the public general</w:t>
      </w:r>
      <w:r>
        <w:t>ly if an injunction is granted, against</w:t>
      </w:r>
      <w:r w:rsidR="0028674B">
        <w:t xml:space="preserve"> that which is likely to be suffered by the applicant if no injunction is granted: </w:t>
      </w:r>
      <w:r w:rsidR="0028674B" w:rsidRPr="003B760C">
        <w:rPr>
          <w:i/>
        </w:rPr>
        <w:t>GSK</w:t>
      </w:r>
      <w:r>
        <w:t xml:space="preserve"> at [81</w:t>
      </w:r>
      <w:r w:rsidR="0028674B">
        <w:t>(</w:t>
      </w:r>
      <w:proofErr w:type="spellStart"/>
      <w:r w:rsidR="0028674B">
        <w:t>i</w:t>
      </w:r>
      <w:proofErr w:type="spellEnd"/>
      <w:r w:rsidR="0028674B">
        <w:t>)</w:t>
      </w:r>
      <w:r>
        <w:t>]</w:t>
      </w:r>
      <w:r w:rsidR="0028674B">
        <w:t>.</w:t>
      </w:r>
      <w:r w:rsidR="003B760C">
        <w:t xml:space="preserve"> However, hardship visited on third parties or the public will rarely be decisive: </w:t>
      </w:r>
      <w:r w:rsidR="003B760C" w:rsidRPr="003B760C">
        <w:rPr>
          <w:i/>
        </w:rPr>
        <w:t>Samsung</w:t>
      </w:r>
      <w:r w:rsidR="003B760C">
        <w:t xml:space="preserve"> at [68]-[69];</w:t>
      </w:r>
      <w:r>
        <w:t xml:space="preserve"> and</w:t>
      </w:r>
    </w:p>
    <w:p w14:paraId="1018B802" w14:textId="7099CBC2" w:rsidR="00FA2030" w:rsidRPr="00974FC1" w:rsidRDefault="001A1572" w:rsidP="00B05333">
      <w:pPr>
        <w:pStyle w:val="ListNo1alt"/>
        <w:numPr>
          <w:ilvl w:val="0"/>
          <w:numId w:val="45"/>
        </w:numPr>
        <w:rPr>
          <w:szCs w:val="24"/>
        </w:rPr>
      </w:pPr>
      <w:r>
        <w:t>t</w:t>
      </w:r>
      <w:r w:rsidR="0028674B">
        <w:t>he question of whether there is a serious question to be tried or a prima facie case should not be considered in isolation from the balance of convenienc</w:t>
      </w:r>
      <w:r>
        <w:t>e because they involve related i</w:t>
      </w:r>
      <w:r w:rsidR="0028674B">
        <w:t>nquiries and the apparent strength of the parties</w:t>
      </w:r>
      <w:r w:rsidR="0059586C">
        <w:t>’</w:t>
      </w:r>
      <w:r w:rsidR="0028674B">
        <w:t xml:space="preserve"> substantive cases will often be an important consideration that needs to be weighed in the balance: </w:t>
      </w:r>
      <w:r w:rsidR="0028674B" w:rsidRPr="003B760C">
        <w:rPr>
          <w:i/>
        </w:rPr>
        <w:t>GSK</w:t>
      </w:r>
      <w:r>
        <w:t xml:space="preserve"> at [81(</w:t>
      </w:r>
      <w:r w:rsidR="0028674B">
        <w:t>j)</w:t>
      </w:r>
      <w:r>
        <w:t>]</w:t>
      </w:r>
      <w:r w:rsidR="0028674B">
        <w:t>.</w:t>
      </w:r>
    </w:p>
    <w:p w14:paraId="079B19BD" w14:textId="348AC0E7" w:rsidR="00FA2030" w:rsidRDefault="003B760C" w:rsidP="007E193A">
      <w:pPr>
        <w:pStyle w:val="ParaNumbering"/>
      </w:pPr>
      <w:bookmarkStart w:id="21" w:name="_bookmark1"/>
      <w:bookmarkEnd w:id="21"/>
      <w:r w:rsidRPr="003B760C">
        <w:t>In these proceedings, the rights asserted are registered trade mark rights. The nature of those rights and what they are intended to protect is, as the applicants submit, usefully encapsulated in the following passage of Frankfurter</w:t>
      </w:r>
      <w:r w:rsidR="001A1572">
        <w:t> </w:t>
      </w:r>
      <w:r w:rsidRPr="003B760C">
        <w:t xml:space="preserve">J in </w:t>
      </w:r>
      <w:r w:rsidRPr="003B760C">
        <w:rPr>
          <w:i/>
        </w:rPr>
        <w:t xml:space="preserve">Mishawaka Rubber &amp; Woollen Manufacturing Co v S </w:t>
      </w:r>
      <w:proofErr w:type="spellStart"/>
      <w:r w:rsidRPr="003B760C">
        <w:rPr>
          <w:i/>
        </w:rPr>
        <w:t>S</w:t>
      </w:r>
      <w:proofErr w:type="spellEnd"/>
      <w:r w:rsidRPr="003B760C">
        <w:rPr>
          <w:i/>
        </w:rPr>
        <w:t xml:space="preserve"> </w:t>
      </w:r>
      <w:proofErr w:type="spellStart"/>
      <w:r w:rsidRPr="003B760C">
        <w:rPr>
          <w:i/>
        </w:rPr>
        <w:t>Kresge</w:t>
      </w:r>
      <w:proofErr w:type="spellEnd"/>
      <w:r w:rsidRPr="003B760C">
        <w:rPr>
          <w:i/>
        </w:rPr>
        <w:t xml:space="preserve"> Co</w:t>
      </w:r>
      <w:r w:rsidRPr="003B760C">
        <w:t xml:space="preserve"> (1942) 316 US 203 from which Williams</w:t>
      </w:r>
      <w:r w:rsidR="007E193A">
        <w:t> </w:t>
      </w:r>
      <w:r w:rsidRPr="003B760C">
        <w:t xml:space="preserve">J </w:t>
      </w:r>
      <w:r w:rsidR="007E193A">
        <w:t xml:space="preserve">of the High Court of New Zealand </w:t>
      </w:r>
      <w:r w:rsidRPr="003B760C">
        <w:t xml:space="preserve">quoted in </w:t>
      </w:r>
      <w:r w:rsidRPr="003B760C">
        <w:rPr>
          <w:i/>
        </w:rPr>
        <w:t xml:space="preserve">Levi Strauss </w:t>
      </w:r>
      <w:r w:rsidR="004D2159">
        <w:rPr>
          <w:i/>
        </w:rPr>
        <w:t xml:space="preserve">&amp; Co </w:t>
      </w:r>
      <w:r w:rsidRPr="003B760C">
        <w:rPr>
          <w:i/>
        </w:rPr>
        <w:t xml:space="preserve">v </w:t>
      </w:r>
      <w:proofErr w:type="spellStart"/>
      <w:r w:rsidRPr="003B760C">
        <w:rPr>
          <w:i/>
        </w:rPr>
        <w:t>Kimbyr</w:t>
      </w:r>
      <w:proofErr w:type="spellEnd"/>
      <w:r w:rsidRPr="003B760C">
        <w:rPr>
          <w:i/>
        </w:rPr>
        <w:t xml:space="preserve"> Investments</w:t>
      </w:r>
      <w:r w:rsidR="004D2159">
        <w:rPr>
          <w:i/>
        </w:rPr>
        <w:t xml:space="preserve"> Ltd</w:t>
      </w:r>
      <w:r w:rsidRPr="003B760C">
        <w:rPr>
          <w:i/>
        </w:rPr>
        <w:t xml:space="preserve"> </w:t>
      </w:r>
      <w:r w:rsidR="007E193A">
        <w:t xml:space="preserve">[1994] NZLR 332; </w:t>
      </w:r>
      <w:r w:rsidRPr="003B760C">
        <w:t>(1993) 28 IPR 249</w:t>
      </w:r>
      <w:r w:rsidR="007E193A">
        <w:t xml:space="preserve"> </w:t>
      </w:r>
      <w:r w:rsidRPr="003B760C">
        <w:t>at 254:</w:t>
      </w:r>
    </w:p>
    <w:p w14:paraId="0CA1AA41" w14:textId="4FD36B40" w:rsidR="003B760C" w:rsidRPr="00974FC1" w:rsidRDefault="003B760C" w:rsidP="003B760C">
      <w:pPr>
        <w:pStyle w:val="Quote1"/>
      </w:pPr>
      <w:r w:rsidRPr="003B760C">
        <w:t>The protection of trade marks is the law</w:t>
      </w:r>
      <w:r w:rsidR="0059586C">
        <w:t>’</w:t>
      </w:r>
      <w:r w:rsidRPr="003B760C">
        <w:t xml:space="preserve">s recognition of the psychological function of symbols. If it is true that we live by symbols, it is no less true that we purchase goods by them. A trade mark is a merchandising short-cut which induces a purchaser to select what he wants, or what he has been led to believe he wants. The owner of a trade mark exploits this human propensity by making every human effort to impregnate the atmosphere of the market with the drawing power of a congenial symbol. Whatever the means employed, the aim is the same: to convey through the mark, in the minds of potential customers, the desirability of the commodity upon which it appears. Once </w:t>
      </w:r>
      <w:r w:rsidRPr="003B760C">
        <w:lastRenderedPageBreak/>
        <w:t>this is attained, the trade mark owner has something of value. If another poaches upon the commercial magnetism of the symbol he has created, the owner can obtain legal redress</w:t>
      </w:r>
      <w:r>
        <w:t>.</w:t>
      </w:r>
    </w:p>
    <w:p w14:paraId="64372613" w14:textId="0599B4D3" w:rsidR="00FA2030" w:rsidRDefault="00FA2030" w:rsidP="00FA2030">
      <w:pPr>
        <w:pStyle w:val="ParaNumbering"/>
      </w:pPr>
      <w:r w:rsidRPr="00974FC1">
        <w:t>Further, the</w:t>
      </w:r>
      <w:r w:rsidRPr="003B760C">
        <w:rPr>
          <w:i/>
        </w:rPr>
        <w:t xml:space="preserve"> status quo</w:t>
      </w:r>
      <w:r w:rsidRPr="00974FC1">
        <w:t xml:space="preserve"> is </w:t>
      </w:r>
      <w:r w:rsidR="00C52327">
        <w:t xml:space="preserve">generally </w:t>
      </w:r>
      <w:r w:rsidRPr="00974FC1">
        <w:t xml:space="preserve">the state of affairs existing during the period immediately preceding the commencement of the proceedings. </w:t>
      </w:r>
      <w:r w:rsidR="0038410E">
        <w:t>Other than in circumstances</w:t>
      </w:r>
      <w:r w:rsidRPr="00974FC1">
        <w:t xml:space="preserve"> where there has been</w:t>
      </w:r>
      <w:r w:rsidRPr="00974FC1">
        <w:rPr>
          <w:spacing w:val="-4"/>
        </w:rPr>
        <w:t xml:space="preserve"> </w:t>
      </w:r>
      <w:r w:rsidRPr="00974FC1">
        <w:t>unreasonable</w:t>
      </w:r>
      <w:r w:rsidRPr="00974FC1">
        <w:rPr>
          <w:spacing w:val="-3"/>
        </w:rPr>
        <w:t xml:space="preserve"> </w:t>
      </w:r>
      <w:r w:rsidRPr="00974FC1">
        <w:t>delay</w:t>
      </w:r>
      <w:r w:rsidRPr="00974FC1">
        <w:rPr>
          <w:spacing w:val="-6"/>
        </w:rPr>
        <w:t xml:space="preserve"> </w:t>
      </w:r>
      <w:r w:rsidRPr="00974FC1">
        <w:t>in</w:t>
      </w:r>
      <w:r w:rsidRPr="00974FC1">
        <w:rPr>
          <w:spacing w:val="-3"/>
        </w:rPr>
        <w:t xml:space="preserve"> </w:t>
      </w:r>
      <w:r w:rsidRPr="00974FC1">
        <w:t>issuing</w:t>
      </w:r>
      <w:r w:rsidRPr="00974FC1">
        <w:rPr>
          <w:spacing w:val="-2"/>
        </w:rPr>
        <w:t xml:space="preserve"> </w:t>
      </w:r>
      <w:r w:rsidRPr="00974FC1">
        <w:t>the</w:t>
      </w:r>
      <w:r w:rsidRPr="00974FC1">
        <w:rPr>
          <w:spacing w:val="-6"/>
        </w:rPr>
        <w:t xml:space="preserve"> </w:t>
      </w:r>
      <w:r w:rsidRPr="00974FC1">
        <w:t>motion</w:t>
      </w:r>
      <w:r w:rsidRPr="00974FC1">
        <w:rPr>
          <w:spacing w:val="-6"/>
        </w:rPr>
        <w:t xml:space="preserve"> </w:t>
      </w:r>
      <w:r w:rsidRPr="00974FC1">
        <w:t>for</w:t>
      </w:r>
      <w:r w:rsidRPr="00974FC1">
        <w:rPr>
          <w:spacing w:val="-3"/>
        </w:rPr>
        <w:t xml:space="preserve"> </w:t>
      </w:r>
      <w:r w:rsidRPr="00974FC1">
        <w:t>interlocutory</w:t>
      </w:r>
      <w:r w:rsidRPr="00974FC1">
        <w:rPr>
          <w:spacing w:val="-5"/>
        </w:rPr>
        <w:t xml:space="preserve"> </w:t>
      </w:r>
      <w:r w:rsidRPr="00974FC1">
        <w:t>relief,</w:t>
      </w:r>
      <w:r w:rsidRPr="00974FC1">
        <w:rPr>
          <w:spacing w:val="-3"/>
        </w:rPr>
        <w:t xml:space="preserve"> </w:t>
      </w:r>
      <w:r w:rsidRPr="00974FC1">
        <w:t>which</w:t>
      </w:r>
      <w:r w:rsidRPr="00974FC1">
        <w:rPr>
          <w:spacing w:val="-3"/>
        </w:rPr>
        <w:t xml:space="preserve"> </w:t>
      </w:r>
      <w:r w:rsidRPr="00974FC1">
        <w:t>is</w:t>
      </w:r>
      <w:r w:rsidRPr="00974FC1">
        <w:rPr>
          <w:spacing w:val="-3"/>
        </w:rPr>
        <w:t xml:space="preserve"> </w:t>
      </w:r>
      <w:r w:rsidRPr="00974FC1">
        <w:t>not</w:t>
      </w:r>
      <w:r w:rsidRPr="00974FC1">
        <w:rPr>
          <w:spacing w:val="-5"/>
        </w:rPr>
        <w:t xml:space="preserve"> </w:t>
      </w:r>
      <w:r w:rsidRPr="00974FC1">
        <w:t>the</w:t>
      </w:r>
      <w:r w:rsidRPr="00974FC1">
        <w:rPr>
          <w:spacing w:val="-6"/>
        </w:rPr>
        <w:t xml:space="preserve"> </w:t>
      </w:r>
      <w:r w:rsidRPr="00974FC1">
        <w:t xml:space="preserve">case here, the relevant </w:t>
      </w:r>
      <w:r w:rsidRPr="003B760C">
        <w:rPr>
          <w:i/>
        </w:rPr>
        <w:t>status quo</w:t>
      </w:r>
      <w:r w:rsidRPr="00974FC1">
        <w:t xml:space="preserve"> is the </w:t>
      </w:r>
      <w:r w:rsidR="0059586C">
        <w:t>“</w:t>
      </w:r>
      <w:r w:rsidRPr="00974FC1">
        <w:t>state of affairs before the last change</w:t>
      </w:r>
      <w:r w:rsidR="0059586C">
        <w:t>”</w:t>
      </w:r>
      <w:r w:rsidRPr="00974FC1">
        <w:t xml:space="preserve">: </w:t>
      </w:r>
      <w:r w:rsidRPr="00974FC1">
        <w:rPr>
          <w:i/>
        </w:rPr>
        <w:t xml:space="preserve">Martin &amp; Pleasance Pty Ltd v A Nelson &amp; Co Ltd </w:t>
      </w:r>
      <w:r w:rsidRPr="00974FC1">
        <w:t xml:space="preserve">[2021] FCAFC 80 </w:t>
      </w:r>
      <w:r w:rsidR="004B3807">
        <w:t>(</w:t>
      </w:r>
      <w:r w:rsidR="004B3807" w:rsidRPr="008A0E76">
        <w:rPr>
          <w:b/>
          <w:i/>
        </w:rPr>
        <w:t>Martin &amp; Pleasance</w:t>
      </w:r>
      <w:r w:rsidR="004B3807">
        <w:t xml:space="preserve">) </w:t>
      </w:r>
      <w:r w:rsidRPr="00974FC1">
        <w:t>at [62]</w:t>
      </w:r>
      <w:r w:rsidR="004003CA">
        <w:t xml:space="preserve"> (Jagot, Yates and Jackson JJ), quoting </w:t>
      </w:r>
      <w:r w:rsidR="004003CA">
        <w:rPr>
          <w:i/>
        </w:rPr>
        <w:t xml:space="preserve">Garden Cottage Foods Ltd v Milk Marketing Board </w:t>
      </w:r>
      <w:r w:rsidR="00CE7E41">
        <w:t xml:space="preserve">[1983] 2 All ER 770; </w:t>
      </w:r>
      <w:r w:rsidR="004003CA">
        <w:t>[1984] AC 130 at 140</w:t>
      </w:r>
      <w:r w:rsidRPr="00974FC1">
        <w:t>. Here, the last change occurred on 1</w:t>
      </w:r>
      <w:r w:rsidR="004B3807">
        <w:t>1</w:t>
      </w:r>
      <w:r w:rsidRPr="00974FC1">
        <w:t xml:space="preserve"> August 2021: see </w:t>
      </w:r>
      <w:hyperlink w:anchor="_bookmark0" w:history="1">
        <w:r w:rsidRPr="00974FC1">
          <w:t>[</w:t>
        </w:r>
      </w:hyperlink>
      <w:r w:rsidR="00A87AEF">
        <w:fldChar w:fldCharType="begin" w:fldLock="1"/>
      </w:r>
      <w:r w:rsidR="00A87AEF">
        <w:instrText xml:space="preserve"> REF _Ref82092291 \r \h </w:instrText>
      </w:r>
      <w:r w:rsidR="00A87AEF">
        <w:fldChar w:fldCharType="separate"/>
      </w:r>
      <w:r w:rsidR="001408BB">
        <w:t>21</w:t>
      </w:r>
      <w:r w:rsidR="00A87AEF">
        <w:fldChar w:fldCharType="end"/>
      </w:r>
      <w:r w:rsidRPr="00974FC1">
        <w:t>]</w:t>
      </w:r>
      <w:r w:rsidRPr="00974FC1">
        <w:rPr>
          <w:spacing w:val="-2"/>
        </w:rPr>
        <w:t xml:space="preserve"> </w:t>
      </w:r>
      <w:r w:rsidRPr="00974FC1">
        <w:t>above.</w:t>
      </w:r>
    </w:p>
    <w:p w14:paraId="32BC8C82" w14:textId="77777777" w:rsidR="00FA2030" w:rsidRDefault="00FA2030" w:rsidP="00FA2030">
      <w:pPr>
        <w:pStyle w:val="Heading1"/>
      </w:pPr>
      <w:r>
        <w:t>Do the applicants have a prima facie case?</w:t>
      </w:r>
    </w:p>
    <w:p w14:paraId="06671665" w14:textId="0CA5F6A6" w:rsidR="00FA2030" w:rsidRPr="00974FC1" w:rsidRDefault="00A87AEF" w:rsidP="00FA2030">
      <w:pPr>
        <w:pStyle w:val="ParaNumbering"/>
      </w:pPr>
      <w:r>
        <w:t>The a</w:t>
      </w:r>
      <w:r w:rsidR="00FA2030" w:rsidRPr="00974FC1">
        <w:t xml:space="preserve">pplicants </w:t>
      </w:r>
      <w:r w:rsidR="00FA2030">
        <w:t xml:space="preserve">submit that they </w:t>
      </w:r>
      <w:r w:rsidR="00FA2030" w:rsidRPr="00974FC1">
        <w:t xml:space="preserve">have a strong prima facie case of infringement under s 120(1) of the </w:t>
      </w:r>
      <w:r w:rsidR="0038410E" w:rsidRPr="008010D2">
        <w:t>T</w:t>
      </w:r>
      <w:r w:rsidR="00602EAC">
        <w:t>M</w:t>
      </w:r>
      <w:r w:rsidR="0038410E" w:rsidRPr="008010D2">
        <w:t>A</w:t>
      </w:r>
      <w:r w:rsidR="0038410E">
        <w:rPr>
          <w:i/>
        </w:rPr>
        <w:t>.</w:t>
      </w:r>
    </w:p>
    <w:p w14:paraId="22D75F26" w14:textId="05F52273" w:rsidR="00FA2030" w:rsidRDefault="004003CA" w:rsidP="004003CA">
      <w:pPr>
        <w:pStyle w:val="ParaNumbering"/>
      </w:pPr>
      <w:r w:rsidRPr="004003CA">
        <w:t>Section 120(1) of the T</w:t>
      </w:r>
      <w:r w:rsidR="00602EAC">
        <w:t>M</w:t>
      </w:r>
      <w:r w:rsidRPr="004003CA">
        <w:t>A provides:</w:t>
      </w:r>
    </w:p>
    <w:p w14:paraId="69CB8B21" w14:textId="5D30AA08" w:rsidR="004003CA" w:rsidRPr="00974FC1" w:rsidRDefault="004003CA" w:rsidP="004003CA">
      <w:pPr>
        <w:pStyle w:val="Quote1"/>
      </w:pPr>
      <w:r w:rsidRPr="004003CA">
        <w:t>A person infringes a registered trade mark if the person uses as a trade mark a sign that is substantially identical with, or deceptively similar to, the trade mark in relation to goods or services in respect of which the trade mark is registered.</w:t>
      </w:r>
    </w:p>
    <w:p w14:paraId="3B69F0BF" w14:textId="51AB5928" w:rsidR="00FA2030" w:rsidRPr="00974FC1" w:rsidRDefault="00FA2030" w:rsidP="00FA2030">
      <w:pPr>
        <w:pStyle w:val="ParaNumbering"/>
      </w:pPr>
      <w:r>
        <w:t xml:space="preserve">Henkel accepts </w:t>
      </w:r>
      <w:r w:rsidRPr="00974FC1">
        <w:t>t</w:t>
      </w:r>
      <w:r>
        <w:t>hat</w:t>
      </w:r>
      <w:r w:rsidRPr="00974FC1">
        <w:t xml:space="preserve"> the SE Capsules are goods in respect of which both the 914 Mark and 311</w:t>
      </w:r>
      <w:r w:rsidR="007F4577">
        <w:t> </w:t>
      </w:r>
      <w:r w:rsidRPr="00974FC1">
        <w:t xml:space="preserve">Mark are registered. They fall within the description of </w:t>
      </w:r>
      <w:r w:rsidR="0059586C">
        <w:t>“</w:t>
      </w:r>
      <w:r w:rsidRPr="008010D2">
        <w:t xml:space="preserve">substances </w:t>
      </w:r>
      <w:r w:rsidR="00602EAC">
        <w:t xml:space="preserve">for </w:t>
      </w:r>
      <w:r w:rsidRPr="008010D2">
        <w:t>.</w:t>
      </w:r>
      <w:r w:rsidR="004003CA" w:rsidRPr="008010D2">
        <w:t>.</w:t>
      </w:r>
      <w:r w:rsidRPr="008010D2">
        <w:t xml:space="preserve">. dishwashing … in </w:t>
      </w:r>
      <w:proofErr w:type="spellStart"/>
      <w:r w:rsidRPr="008010D2">
        <w:t>gelcap</w:t>
      </w:r>
      <w:proofErr w:type="spellEnd"/>
      <w:r w:rsidRPr="008010D2">
        <w:t xml:space="preserve"> form</w:t>
      </w:r>
      <w:r w:rsidR="0059586C">
        <w:t>”</w:t>
      </w:r>
      <w:r w:rsidRPr="00974FC1">
        <w:rPr>
          <w:i/>
        </w:rPr>
        <w:t xml:space="preserve"> </w:t>
      </w:r>
      <w:r w:rsidRPr="00974FC1">
        <w:t xml:space="preserve">(for the 914 Mark) and </w:t>
      </w:r>
      <w:r w:rsidR="0059586C">
        <w:t>“</w:t>
      </w:r>
      <w:r w:rsidRPr="008010D2">
        <w:t>dishwashing preparations</w:t>
      </w:r>
      <w:r w:rsidR="0059586C">
        <w:t>”</w:t>
      </w:r>
      <w:r w:rsidRPr="00974FC1">
        <w:rPr>
          <w:i/>
        </w:rPr>
        <w:t xml:space="preserve"> </w:t>
      </w:r>
      <w:r w:rsidRPr="00974FC1">
        <w:t>(for the</w:t>
      </w:r>
      <w:r w:rsidRPr="00974FC1">
        <w:rPr>
          <w:spacing w:val="-16"/>
        </w:rPr>
        <w:t xml:space="preserve"> </w:t>
      </w:r>
      <w:r w:rsidRPr="00974FC1">
        <w:t>311</w:t>
      </w:r>
      <w:r w:rsidRPr="00974FC1">
        <w:rPr>
          <w:spacing w:val="-19"/>
        </w:rPr>
        <w:t xml:space="preserve"> </w:t>
      </w:r>
      <w:r w:rsidRPr="00974FC1">
        <w:t>Mark).</w:t>
      </w:r>
      <w:r w:rsidRPr="00974FC1">
        <w:rPr>
          <w:spacing w:val="26"/>
        </w:rPr>
        <w:t xml:space="preserve"> </w:t>
      </w:r>
      <w:r w:rsidRPr="00974FC1">
        <w:t>The</w:t>
      </w:r>
      <w:r w:rsidRPr="00974FC1">
        <w:rPr>
          <w:spacing w:val="-15"/>
        </w:rPr>
        <w:t xml:space="preserve"> </w:t>
      </w:r>
      <w:r w:rsidRPr="00974FC1">
        <w:t>packaging</w:t>
      </w:r>
      <w:r w:rsidRPr="00974FC1">
        <w:rPr>
          <w:spacing w:val="-16"/>
        </w:rPr>
        <w:t xml:space="preserve"> </w:t>
      </w:r>
      <w:r w:rsidRPr="00974FC1">
        <w:t>for</w:t>
      </w:r>
      <w:r w:rsidRPr="00974FC1">
        <w:rPr>
          <w:spacing w:val="-19"/>
        </w:rPr>
        <w:t xml:space="preserve"> </w:t>
      </w:r>
      <w:r w:rsidRPr="00974FC1">
        <w:t>the</w:t>
      </w:r>
      <w:r w:rsidRPr="00974FC1">
        <w:rPr>
          <w:spacing w:val="-16"/>
        </w:rPr>
        <w:t xml:space="preserve"> </w:t>
      </w:r>
      <w:r w:rsidRPr="00974FC1">
        <w:t>SE</w:t>
      </w:r>
      <w:r w:rsidRPr="00974FC1">
        <w:rPr>
          <w:spacing w:val="-19"/>
        </w:rPr>
        <w:t xml:space="preserve"> </w:t>
      </w:r>
      <w:r w:rsidRPr="00974FC1">
        <w:t>Capsules</w:t>
      </w:r>
      <w:r w:rsidRPr="00974FC1">
        <w:rPr>
          <w:spacing w:val="-15"/>
        </w:rPr>
        <w:t xml:space="preserve"> </w:t>
      </w:r>
      <w:r w:rsidRPr="00974FC1">
        <w:t>itself</w:t>
      </w:r>
      <w:r w:rsidRPr="00974FC1">
        <w:rPr>
          <w:spacing w:val="-15"/>
        </w:rPr>
        <w:t xml:space="preserve"> </w:t>
      </w:r>
      <w:r w:rsidRPr="00974FC1">
        <w:t>describes</w:t>
      </w:r>
      <w:r w:rsidRPr="00974FC1">
        <w:rPr>
          <w:spacing w:val="-17"/>
        </w:rPr>
        <w:t xml:space="preserve"> </w:t>
      </w:r>
      <w:r w:rsidRPr="00974FC1">
        <w:t>them</w:t>
      </w:r>
      <w:r w:rsidRPr="00974FC1">
        <w:rPr>
          <w:spacing w:val="-17"/>
        </w:rPr>
        <w:t xml:space="preserve"> </w:t>
      </w:r>
      <w:r w:rsidRPr="00974FC1">
        <w:t>as</w:t>
      </w:r>
      <w:r w:rsidRPr="00974FC1">
        <w:rPr>
          <w:spacing w:val="-19"/>
        </w:rPr>
        <w:t xml:space="preserve"> </w:t>
      </w:r>
      <w:r w:rsidR="0059586C">
        <w:t>“</w:t>
      </w:r>
      <w:r w:rsidRPr="00974FC1">
        <w:t>4in1</w:t>
      </w:r>
      <w:r w:rsidRPr="00974FC1">
        <w:rPr>
          <w:spacing w:val="-18"/>
        </w:rPr>
        <w:t xml:space="preserve"> </w:t>
      </w:r>
      <w:r w:rsidRPr="00974FC1">
        <w:t>Gel</w:t>
      </w:r>
      <w:r w:rsidRPr="00974FC1">
        <w:rPr>
          <w:spacing w:val="-14"/>
        </w:rPr>
        <w:t xml:space="preserve"> </w:t>
      </w:r>
      <w:r w:rsidRPr="00974FC1">
        <w:t>Caps</w:t>
      </w:r>
      <w:r w:rsidR="0059586C">
        <w:t>”</w:t>
      </w:r>
      <w:r w:rsidRPr="00974FC1">
        <w:t>.</w:t>
      </w:r>
    </w:p>
    <w:p w14:paraId="4552645F" w14:textId="1B9B89C9" w:rsidR="00602EAC" w:rsidRDefault="00602EAC" w:rsidP="00602EAC">
      <w:pPr>
        <w:pStyle w:val="ParaNumbering"/>
      </w:pPr>
      <w:r>
        <w:t xml:space="preserve">The applicants do not contend that the SE Logo is substantially identical to the 914 Mark or </w:t>
      </w:r>
      <w:r w:rsidR="007F4577">
        <w:t xml:space="preserve">the </w:t>
      </w:r>
      <w:r>
        <w:t xml:space="preserve">311 Mark. </w:t>
      </w:r>
    </w:p>
    <w:p w14:paraId="0F45D30E" w14:textId="42298ED5" w:rsidR="00FA2030" w:rsidRDefault="00602EAC" w:rsidP="00602EAC">
      <w:pPr>
        <w:pStyle w:val="ParaNumbering"/>
      </w:pPr>
      <w:r>
        <w:t xml:space="preserve">Accordingly, the two issues that arise under s 120(1) for consideration in the present context are </w:t>
      </w:r>
      <w:r w:rsidRPr="00602EAC">
        <w:rPr>
          <w:i/>
        </w:rPr>
        <w:t>first</w:t>
      </w:r>
      <w:r>
        <w:t xml:space="preserve">, whether the SE Logo is being used as a trade mark and </w:t>
      </w:r>
      <w:r w:rsidRPr="00602EAC">
        <w:rPr>
          <w:i/>
        </w:rPr>
        <w:t>second</w:t>
      </w:r>
      <w:r>
        <w:t>, whether the SE Logo is deceptively similar to the 914 Mark and/or the 311 Mark.</w:t>
      </w:r>
    </w:p>
    <w:p w14:paraId="04BE6BEC" w14:textId="77777777" w:rsidR="00FA2030" w:rsidRDefault="00FA2030" w:rsidP="00FA2030">
      <w:pPr>
        <w:pStyle w:val="Heading2"/>
      </w:pPr>
      <w:r>
        <w:t>Use as a trade mark</w:t>
      </w:r>
    </w:p>
    <w:p w14:paraId="183EFA2E" w14:textId="77777777" w:rsidR="00FA2030" w:rsidRDefault="00FA2030" w:rsidP="00FA2030">
      <w:pPr>
        <w:pStyle w:val="ParaNumbering"/>
      </w:pPr>
      <w:r>
        <w:t xml:space="preserve">The applicants allege that </w:t>
      </w:r>
      <w:r w:rsidRPr="00974FC1">
        <w:t>Henkel has used, is using and threatens to use the SE Logo as a trade</w:t>
      </w:r>
      <w:r w:rsidRPr="00974FC1">
        <w:rPr>
          <w:spacing w:val="-17"/>
        </w:rPr>
        <w:t xml:space="preserve"> </w:t>
      </w:r>
      <w:r w:rsidRPr="00974FC1">
        <w:t>mark.</w:t>
      </w:r>
      <w:r w:rsidRPr="00546BCF">
        <w:t xml:space="preserve"> </w:t>
      </w:r>
    </w:p>
    <w:p w14:paraId="43106817" w14:textId="63C91C63" w:rsidR="00FA2030" w:rsidRDefault="00FA2030" w:rsidP="00FA2030">
      <w:pPr>
        <w:pStyle w:val="ParaNumbering"/>
      </w:pPr>
      <w:r>
        <w:lastRenderedPageBreak/>
        <w:t xml:space="preserve">Henkel contends that an orthodox application of well-established principles would lead to the conclusion that Henkel is not using the depiction of its SE </w:t>
      </w:r>
      <w:r w:rsidR="00C133FD">
        <w:t>Capsules</w:t>
      </w:r>
      <w:r>
        <w:t xml:space="preserve"> </w:t>
      </w:r>
      <w:r w:rsidR="0059586C">
        <w:t>“</w:t>
      </w:r>
      <w:r w:rsidRPr="008010D2">
        <w:rPr>
          <w:iCs/>
        </w:rPr>
        <w:t>as a trade mark</w:t>
      </w:r>
      <w:r w:rsidR="0059586C">
        <w:t>”</w:t>
      </w:r>
      <w:r>
        <w:t xml:space="preserve"> and therefore </w:t>
      </w:r>
      <w:r w:rsidR="005C532A">
        <w:t xml:space="preserve">the applicants’ </w:t>
      </w:r>
      <w:r>
        <w:t>claim under s</w:t>
      </w:r>
      <w:r w:rsidR="007F4577">
        <w:t> </w:t>
      </w:r>
      <w:r>
        <w:t xml:space="preserve">120 of the </w:t>
      </w:r>
      <w:r w:rsidR="0038410E" w:rsidRPr="0038410E">
        <w:rPr>
          <w:iCs/>
        </w:rPr>
        <w:t>TMA</w:t>
      </w:r>
      <w:r>
        <w:t xml:space="preserve"> fails at this threshold</w:t>
      </w:r>
      <w:r>
        <w:rPr>
          <w:spacing w:val="-28"/>
        </w:rPr>
        <w:t xml:space="preserve"> </w:t>
      </w:r>
      <w:r>
        <w:t>point.</w:t>
      </w:r>
    </w:p>
    <w:p w14:paraId="46D06FA2" w14:textId="31A2E9CD" w:rsidR="00D92CAF" w:rsidRPr="00974FC1" w:rsidRDefault="00D92CAF" w:rsidP="00D92CAF">
      <w:pPr>
        <w:pStyle w:val="Heading3"/>
      </w:pPr>
      <w:r>
        <w:t xml:space="preserve">Legal </w:t>
      </w:r>
      <w:r w:rsidR="00602EAC">
        <w:t>principles</w:t>
      </w:r>
    </w:p>
    <w:p w14:paraId="677608BA" w14:textId="74FCC25F" w:rsidR="00FA2030" w:rsidRPr="00974FC1" w:rsidRDefault="00FA2030" w:rsidP="00FA2030">
      <w:pPr>
        <w:pStyle w:val="ParaNumbering"/>
      </w:pPr>
      <w:r w:rsidRPr="00974FC1">
        <w:t>What</w:t>
      </w:r>
      <w:r w:rsidRPr="00974FC1">
        <w:rPr>
          <w:spacing w:val="-7"/>
        </w:rPr>
        <w:t xml:space="preserve"> </w:t>
      </w:r>
      <w:r w:rsidRPr="00974FC1">
        <w:t>constitutes</w:t>
      </w:r>
      <w:r w:rsidRPr="00974FC1">
        <w:rPr>
          <w:spacing w:val="-5"/>
        </w:rPr>
        <w:t xml:space="preserve"> </w:t>
      </w:r>
      <w:r w:rsidRPr="00974FC1">
        <w:t>use</w:t>
      </w:r>
      <w:r w:rsidRPr="00974FC1">
        <w:rPr>
          <w:spacing w:val="-7"/>
        </w:rPr>
        <w:t xml:space="preserve"> </w:t>
      </w:r>
      <w:r w:rsidR="0059586C">
        <w:t>“</w:t>
      </w:r>
      <w:r w:rsidRPr="00974FC1">
        <w:t>as</w:t>
      </w:r>
      <w:r w:rsidRPr="00974FC1">
        <w:rPr>
          <w:spacing w:val="-10"/>
        </w:rPr>
        <w:t xml:space="preserve"> </w:t>
      </w:r>
      <w:r w:rsidRPr="00974FC1">
        <w:t>a</w:t>
      </w:r>
      <w:r w:rsidRPr="00974FC1">
        <w:rPr>
          <w:spacing w:val="-5"/>
        </w:rPr>
        <w:t xml:space="preserve"> </w:t>
      </w:r>
      <w:r w:rsidRPr="00974FC1">
        <w:t>trade</w:t>
      </w:r>
      <w:r w:rsidRPr="00974FC1">
        <w:rPr>
          <w:spacing w:val="-8"/>
        </w:rPr>
        <w:t xml:space="preserve"> </w:t>
      </w:r>
      <w:r w:rsidRPr="00974FC1">
        <w:t>mark</w:t>
      </w:r>
      <w:r w:rsidR="0059586C">
        <w:t>”</w:t>
      </w:r>
      <w:r w:rsidRPr="00974FC1">
        <w:rPr>
          <w:spacing w:val="-7"/>
        </w:rPr>
        <w:t xml:space="preserve"> </w:t>
      </w:r>
      <w:r>
        <w:t>is construed as a reference to a use</w:t>
      </w:r>
      <w:r w:rsidRPr="00974FC1">
        <w:rPr>
          <w:spacing w:val="-10"/>
        </w:rPr>
        <w:t xml:space="preserve"> </w:t>
      </w:r>
      <w:r w:rsidRPr="00974FC1">
        <w:t>upon,</w:t>
      </w:r>
      <w:r w:rsidRPr="00974FC1">
        <w:rPr>
          <w:spacing w:val="-10"/>
        </w:rPr>
        <w:t xml:space="preserve"> </w:t>
      </w:r>
      <w:r w:rsidRPr="00974FC1">
        <w:t>or</w:t>
      </w:r>
      <w:r w:rsidRPr="00974FC1">
        <w:rPr>
          <w:spacing w:val="-9"/>
        </w:rPr>
        <w:t xml:space="preserve"> </w:t>
      </w:r>
      <w:r w:rsidRPr="00974FC1">
        <w:t>in</w:t>
      </w:r>
      <w:r w:rsidRPr="00974FC1">
        <w:rPr>
          <w:spacing w:val="-11"/>
        </w:rPr>
        <w:t xml:space="preserve"> </w:t>
      </w:r>
      <w:r w:rsidRPr="00974FC1">
        <w:t>physical or</w:t>
      </w:r>
      <w:r w:rsidRPr="00974FC1">
        <w:rPr>
          <w:spacing w:val="-7"/>
        </w:rPr>
        <w:t xml:space="preserve"> </w:t>
      </w:r>
      <w:r w:rsidRPr="00974FC1">
        <w:t>other</w:t>
      </w:r>
      <w:r w:rsidRPr="00974FC1">
        <w:rPr>
          <w:spacing w:val="-9"/>
        </w:rPr>
        <w:t xml:space="preserve"> </w:t>
      </w:r>
      <w:r w:rsidRPr="00974FC1">
        <w:t>relation</w:t>
      </w:r>
      <w:r w:rsidRPr="00974FC1">
        <w:rPr>
          <w:spacing w:val="-7"/>
        </w:rPr>
        <w:t xml:space="preserve"> </w:t>
      </w:r>
      <w:r w:rsidRPr="00974FC1">
        <w:t>to,</w:t>
      </w:r>
      <w:r w:rsidRPr="00974FC1">
        <w:rPr>
          <w:spacing w:val="-9"/>
        </w:rPr>
        <w:t xml:space="preserve"> </w:t>
      </w:r>
      <w:r w:rsidRPr="00974FC1">
        <w:t>goods</w:t>
      </w:r>
      <w:r w:rsidRPr="00974FC1">
        <w:rPr>
          <w:spacing w:val="-7"/>
        </w:rPr>
        <w:t xml:space="preserve"> </w:t>
      </w:r>
      <w:r w:rsidRPr="00974FC1">
        <w:t>as</w:t>
      </w:r>
      <w:r w:rsidRPr="00974FC1">
        <w:rPr>
          <w:spacing w:val="-7"/>
        </w:rPr>
        <w:t xml:space="preserve"> </w:t>
      </w:r>
      <w:r w:rsidRPr="00974FC1">
        <w:t>a</w:t>
      </w:r>
      <w:r w:rsidRPr="00974FC1">
        <w:rPr>
          <w:spacing w:val="-10"/>
        </w:rPr>
        <w:t xml:space="preserve"> </w:t>
      </w:r>
      <w:r w:rsidRPr="00974FC1">
        <w:t>sign</w:t>
      </w:r>
      <w:r w:rsidRPr="00974FC1">
        <w:rPr>
          <w:spacing w:val="-9"/>
        </w:rPr>
        <w:t xml:space="preserve"> </w:t>
      </w:r>
      <w:r w:rsidRPr="00974FC1">
        <w:t>used,</w:t>
      </w:r>
      <w:r w:rsidRPr="00974FC1">
        <w:rPr>
          <w:spacing w:val="-9"/>
        </w:rPr>
        <w:t xml:space="preserve"> </w:t>
      </w:r>
      <w:r w:rsidRPr="00974FC1">
        <w:t>or</w:t>
      </w:r>
      <w:r w:rsidRPr="00974FC1">
        <w:rPr>
          <w:spacing w:val="-7"/>
        </w:rPr>
        <w:t xml:space="preserve"> </w:t>
      </w:r>
      <w:r w:rsidRPr="00974FC1">
        <w:t>intended</w:t>
      </w:r>
      <w:r w:rsidRPr="00974FC1">
        <w:rPr>
          <w:spacing w:val="-7"/>
        </w:rPr>
        <w:t xml:space="preserve"> </w:t>
      </w:r>
      <w:r w:rsidRPr="00974FC1">
        <w:t>to</w:t>
      </w:r>
      <w:r w:rsidRPr="00974FC1">
        <w:rPr>
          <w:spacing w:val="-8"/>
        </w:rPr>
        <w:t xml:space="preserve"> </w:t>
      </w:r>
      <w:r w:rsidRPr="00974FC1">
        <w:t>be</w:t>
      </w:r>
      <w:r w:rsidRPr="00974FC1">
        <w:rPr>
          <w:spacing w:val="-10"/>
        </w:rPr>
        <w:t xml:space="preserve"> </w:t>
      </w:r>
      <w:r w:rsidRPr="00974FC1">
        <w:t>used,</w:t>
      </w:r>
      <w:r w:rsidRPr="00974FC1">
        <w:rPr>
          <w:spacing w:val="-9"/>
        </w:rPr>
        <w:t xml:space="preserve"> </w:t>
      </w:r>
      <w:r w:rsidRPr="00974FC1">
        <w:t>to</w:t>
      </w:r>
      <w:r w:rsidRPr="00974FC1">
        <w:rPr>
          <w:spacing w:val="-10"/>
        </w:rPr>
        <w:t xml:space="preserve"> </w:t>
      </w:r>
      <w:r w:rsidRPr="00974FC1">
        <w:t>distinguish</w:t>
      </w:r>
      <w:r w:rsidRPr="00974FC1">
        <w:rPr>
          <w:spacing w:val="-7"/>
        </w:rPr>
        <w:t xml:space="preserve"> </w:t>
      </w:r>
      <w:r w:rsidRPr="00974FC1">
        <w:t>goods</w:t>
      </w:r>
      <w:r w:rsidRPr="00974FC1">
        <w:rPr>
          <w:spacing w:val="-10"/>
        </w:rPr>
        <w:t xml:space="preserve"> </w:t>
      </w:r>
      <w:r w:rsidRPr="00974FC1">
        <w:t>dealt with or provided in the course of trade from goods so dealt with or provided by any other</w:t>
      </w:r>
      <w:r w:rsidRPr="00974FC1">
        <w:rPr>
          <w:spacing w:val="-2"/>
        </w:rPr>
        <w:t xml:space="preserve"> </w:t>
      </w:r>
      <w:r w:rsidRPr="00974FC1">
        <w:t>person</w:t>
      </w:r>
      <w:r>
        <w:t>:</w:t>
      </w:r>
      <w:r w:rsidRPr="0013314C">
        <w:t xml:space="preserve"> </w:t>
      </w:r>
      <w:proofErr w:type="spellStart"/>
      <w:r w:rsidR="00602EAC">
        <w:t>ss</w:t>
      </w:r>
      <w:proofErr w:type="spellEnd"/>
      <w:r w:rsidR="007F4577">
        <w:rPr>
          <w:spacing w:val="-5"/>
        </w:rPr>
        <w:t> </w:t>
      </w:r>
      <w:r w:rsidRPr="00974FC1">
        <w:t>7</w:t>
      </w:r>
      <w:r>
        <w:t>(1), 7</w:t>
      </w:r>
      <w:r w:rsidRPr="00974FC1">
        <w:t>(4)</w:t>
      </w:r>
      <w:r w:rsidRPr="00974FC1">
        <w:rPr>
          <w:spacing w:val="-7"/>
        </w:rPr>
        <w:t xml:space="preserve"> </w:t>
      </w:r>
      <w:r w:rsidRPr="00974FC1">
        <w:t>and 17</w:t>
      </w:r>
      <w:r w:rsidRPr="00974FC1">
        <w:rPr>
          <w:spacing w:val="-12"/>
        </w:rPr>
        <w:t xml:space="preserve"> </w:t>
      </w:r>
      <w:r w:rsidRPr="00974FC1">
        <w:t>of</w:t>
      </w:r>
      <w:r w:rsidRPr="00974FC1">
        <w:rPr>
          <w:spacing w:val="-9"/>
        </w:rPr>
        <w:t xml:space="preserve"> </w:t>
      </w:r>
      <w:r w:rsidRPr="00974FC1">
        <w:t>the</w:t>
      </w:r>
      <w:r w:rsidR="00602EAC">
        <w:t xml:space="preserve"> TMA</w:t>
      </w:r>
      <w:r w:rsidRPr="00974FC1">
        <w:t>.</w:t>
      </w:r>
    </w:p>
    <w:p w14:paraId="3639C7A0" w14:textId="7874B1CC" w:rsidR="00FA2030" w:rsidRDefault="00FA2030" w:rsidP="00FA2030">
      <w:pPr>
        <w:pStyle w:val="ParaNumbering"/>
      </w:pPr>
      <w:r w:rsidRPr="00974FC1">
        <w:t>The following principles are</w:t>
      </w:r>
      <w:r w:rsidRPr="00974FC1">
        <w:rPr>
          <w:spacing w:val="-5"/>
        </w:rPr>
        <w:t xml:space="preserve"> </w:t>
      </w:r>
      <w:r>
        <w:t>relevant in the current context</w:t>
      </w:r>
      <w:r w:rsidRPr="00974FC1">
        <w:t>.</w:t>
      </w:r>
    </w:p>
    <w:p w14:paraId="61AC08DC" w14:textId="3B17A942" w:rsidR="00FA2030" w:rsidRPr="00602EAC" w:rsidRDefault="00602EAC" w:rsidP="00602EAC">
      <w:pPr>
        <w:pStyle w:val="ParaNumbering"/>
      </w:pPr>
      <w:r w:rsidRPr="00602EAC">
        <w:rPr>
          <w:i/>
        </w:rPr>
        <w:t>First</w:t>
      </w:r>
      <w:r w:rsidRPr="00602EAC">
        <w:t>, there will be no infringement under s</w:t>
      </w:r>
      <w:r w:rsidR="007F4577">
        <w:t> </w:t>
      </w:r>
      <w:r w:rsidRPr="00602EAC">
        <w:t xml:space="preserve">120 </w:t>
      </w:r>
      <w:r w:rsidR="007F4577">
        <w:t xml:space="preserve">of the TMA </w:t>
      </w:r>
      <w:r w:rsidRPr="00602EAC">
        <w:t xml:space="preserve">unless </w:t>
      </w:r>
      <w:r w:rsidR="005C532A">
        <w:t xml:space="preserve">the applicants </w:t>
      </w:r>
      <w:r w:rsidRPr="00602EAC">
        <w:t xml:space="preserve">can establish the threshold requirement that Henkel is using the depiction of its SE </w:t>
      </w:r>
      <w:r w:rsidR="00C133FD">
        <w:t>Capsules</w:t>
      </w:r>
      <w:r w:rsidRPr="00602EAC">
        <w:t xml:space="preserve"> </w:t>
      </w:r>
      <w:r w:rsidR="0059586C">
        <w:t>“</w:t>
      </w:r>
      <w:r w:rsidRPr="00602EAC">
        <w:t>as a trade mark</w:t>
      </w:r>
      <w:r w:rsidR="0059586C">
        <w:t>”</w:t>
      </w:r>
      <w:r w:rsidRPr="00602EAC">
        <w:t xml:space="preserve">. The mere application of a mark to packaging of goods so as to refer to those goods would not, without more, establish a trade mark use: </w:t>
      </w:r>
      <w:r w:rsidRPr="00602EAC">
        <w:rPr>
          <w:i/>
        </w:rPr>
        <w:t>Johnson &amp; Johnson</w:t>
      </w:r>
      <w:r w:rsidRPr="00602EAC">
        <w:t xml:space="preserve"> </w:t>
      </w:r>
      <w:r w:rsidR="007F4577">
        <w:rPr>
          <w:i/>
        </w:rPr>
        <w:t>Australia</w:t>
      </w:r>
      <w:r w:rsidR="0007337C">
        <w:rPr>
          <w:i/>
        </w:rPr>
        <w:t xml:space="preserve"> Pty </w:t>
      </w:r>
      <w:r w:rsidR="007F4577">
        <w:rPr>
          <w:i/>
        </w:rPr>
        <w:t xml:space="preserve">Limited </w:t>
      </w:r>
      <w:r w:rsidR="0007337C">
        <w:rPr>
          <w:i/>
        </w:rPr>
        <w:t>v Sterling Pharmaceuticals</w:t>
      </w:r>
      <w:r w:rsidR="007F4577">
        <w:rPr>
          <w:i/>
        </w:rPr>
        <w:t xml:space="preserve"> Pty Limited</w:t>
      </w:r>
      <w:r w:rsidR="0007337C">
        <w:rPr>
          <w:i/>
        </w:rPr>
        <w:t xml:space="preserve"> </w:t>
      </w:r>
      <w:r w:rsidR="00305F9A" w:rsidRPr="00305F9A">
        <w:t>[1991]</w:t>
      </w:r>
      <w:r w:rsidR="00305F9A">
        <w:rPr>
          <w:i/>
        </w:rPr>
        <w:t xml:space="preserve"> </w:t>
      </w:r>
      <w:r w:rsidR="00305F9A">
        <w:t xml:space="preserve">FCA 402; </w:t>
      </w:r>
      <w:r w:rsidRPr="00602EAC">
        <w:t xml:space="preserve">(1991) 30 FCR 326 </w:t>
      </w:r>
      <w:r w:rsidR="0007337C">
        <w:t>(</w:t>
      </w:r>
      <w:r w:rsidR="0007337C">
        <w:rPr>
          <w:b/>
          <w:i/>
        </w:rPr>
        <w:t>Johnson &amp; Johnson</w:t>
      </w:r>
      <w:r w:rsidR="0007337C">
        <w:t xml:space="preserve">) </w:t>
      </w:r>
      <w:r w:rsidRPr="00602EAC">
        <w:t>at 348</w:t>
      </w:r>
      <w:r w:rsidR="0007337C">
        <w:t xml:space="preserve"> (</w:t>
      </w:r>
      <w:proofErr w:type="spellStart"/>
      <w:r w:rsidRPr="00602EAC">
        <w:t>Gummow</w:t>
      </w:r>
      <w:proofErr w:type="spellEnd"/>
      <w:r w:rsidRPr="00602EAC">
        <w:t xml:space="preserve"> J</w:t>
      </w:r>
      <w:r w:rsidR="0007337C">
        <w:t>)</w:t>
      </w:r>
      <w:r w:rsidRPr="00602EAC">
        <w:t>, cited with approval by Burchett</w:t>
      </w:r>
      <w:r w:rsidR="007F4577">
        <w:t> </w:t>
      </w:r>
      <w:r w:rsidRPr="00602EAC">
        <w:t xml:space="preserve">J (Hill and Branson JJ agreeing) in </w:t>
      </w:r>
      <w:proofErr w:type="spellStart"/>
      <w:r w:rsidRPr="0007337C">
        <w:rPr>
          <w:i/>
        </w:rPr>
        <w:t>Koninklijke</w:t>
      </w:r>
      <w:proofErr w:type="spellEnd"/>
      <w:r w:rsidRPr="0007337C">
        <w:rPr>
          <w:i/>
        </w:rPr>
        <w:t xml:space="preserve"> Philips Electronics NV v Remington Products Australia Pty </w:t>
      </w:r>
      <w:r w:rsidR="00805072">
        <w:rPr>
          <w:i/>
        </w:rPr>
        <w:t>Ltd</w:t>
      </w:r>
      <w:r w:rsidR="00805072" w:rsidRPr="00602EAC">
        <w:t xml:space="preserve"> </w:t>
      </w:r>
      <w:r w:rsidRPr="00602EAC">
        <w:t>(2000) 100 FCR 90</w:t>
      </w:r>
      <w:r w:rsidR="0007337C">
        <w:t>; [2000] FCA 876</w:t>
      </w:r>
      <w:r w:rsidRPr="00602EAC">
        <w:t xml:space="preserve"> at [8].</w:t>
      </w:r>
    </w:p>
    <w:p w14:paraId="1031A27E" w14:textId="045F7BCF" w:rsidR="00FA2030" w:rsidRPr="00974FC1" w:rsidRDefault="00805072" w:rsidP="00805072">
      <w:pPr>
        <w:pStyle w:val="ParaNumbering"/>
      </w:pPr>
      <w:r w:rsidRPr="00805072">
        <w:rPr>
          <w:i/>
        </w:rPr>
        <w:t>Second</w:t>
      </w:r>
      <w:r w:rsidRPr="00805072">
        <w:t>, the Court</w:t>
      </w:r>
      <w:r w:rsidR="0059586C">
        <w:t>’</w:t>
      </w:r>
      <w:r w:rsidRPr="00805072">
        <w:t>s task is to examine the way in which the sign has been used in each of its contexts to assess whether, from the perspective of the consumer, it would appear as possessing the character of a device or brand which the trader is using, or proposing to use,</w:t>
      </w:r>
      <w:r w:rsidR="007F4577">
        <w:t xml:space="preserve"> </w:t>
      </w:r>
      <w:r w:rsidRPr="00805072">
        <w:t xml:space="preserve">in relation to a product for the purposes of indicating a connection in the course of trade between that product and the trader: </w:t>
      </w:r>
      <w:r w:rsidR="007F4577">
        <w:rPr>
          <w:i/>
        </w:rPr>
        <w:t xml:space="preserve">The </w:t>
      </w:r>
      <w:r w:rsidRPr="00805072">
        <w:rPr>
          <w:i/>
        </w:rPr>
        <w:t>Shell</w:t>
      </w:r>
      <w:r>
        <w:rPr>
          <w:i/>
        </w:rPr>
        <w:t xml:space="preserve"> Company of Australia Limited v Esso Standard Oil (Australia) Limited </w:t>
      </w:r>
      <w:r>
        <w:t>[1963] HCA 66;</w:t>
      </w:r>
      <w:r>
        <w:rPr>
          <w:i/>
        </w:rPr>
        <w:t xml:space="preserve"> </w:t>
      </w:r>
      <w:r>
        <w:t>(1963) 109 CLR 407</w:t>
      </w:r>
      <w:r w:rsidR="005C14F4">
        <w:t xml:space="preserve"> (</w:t>
      </w:r>
      <w:r w:rsidR="005C14F4">
        <w:rPr>
          <w:b/>
          <w:i/>
        </w:rPr>
        <w:t>Shell</w:t>
      </w:r>
      <w:r w:rsidR="005C14F4">
        <w:t>)</w:t>
      </w:r>
      <w:r w:rsidRPr="00805072">
        <w:t xml:space="preserve"> at 425 (</w:t>
      </w:r>
      <w:proofErr w:type="spellStart"/>
      <w:r w:rsidRPr="00805072">
        <w:t>Kitto</w:t>
      </w:r>
      <w:proofErr w:type="spellEnd"/>
      <w:r w:rsidRPr="00805072">
        <w:t xml:space="preserve"> J); </w:t>
      </w:r>
      <w:r w:rsidRPr="00805072">
        <w:rPr>
          <w:i/>
        </w:rPr>
        <w:t xml:space="preserve">E &amp; J Gallo Winery v Lion Nathan Australia Pty </w:t>
      </w:r>
      <w:r w:rsidR="00E25AAB">
        <w:rPr>
          <w:i/>
        </w:rPr>
        <w:t xml:space="preserve">Ltd </w:t>
      </w:r>
      <w:r w:rsidRPr="00805072">
        <w:rPr>
          <w:i/>
        </w:rPr>
        <w:t xml:space="preserve"> </w:t>
      </w:r>
      <w:r w:rsidRPr="00805072">
        <w:t>(2010) 241 CLR 144</w:t>
      </w:r>
      <w:r>
        <w:t>; [2010] HCA 15</w:t>
      </w:r>
      <w:r w:rsidRPr="00805072">
        <w:t xml:space="preserve"> at [43]</w:t>
      </w:r>
      <w:r>
        <w:t xml:space="preserve"> (French CJ, </w:t>
      </w:r>
      <w:proofErr w:type="spellStart"/>
      <w:r>
        <w:t>Gummow</w:t>
      </w:r>
      <w:proofErr w:type="spellEnd"/>
      <w:r>
        <w:t xml:space="preserve">, </w:t>
      </w:r>
      <w:proofErr w:type="spellStart"/>
      <w:r>
        <w:t>Crennan</w:t>
      </w:r>
      <w:proofErr w:type="spellEnd"/>
      <w:r>
        <w:t xml:space="preserve"> and Bell JJ), quoting with approval </w:t>
      </w:r>
      <w:r>
        <w:rPr>
          <w:i/>
        </w:rPr>
        <w:t>Coca-Cola Co</w:t>
      </w:r>
      <w:r w:rsidR="00E25AAB">
        <w:rPr>
          <w:i/>
        </w:rPr>
        <w:t>mpany</w:t>
      </w:r>
      <w:r>
        <w:rPr>
          <w:i/>
        </w:rPr>
        <w:t xml:space="preserve"> v All-</w:t>
      </w:r>
      <w:proofErr w:type="spellStart"/>
      <w:r>
        <w:rPr>
          <w:i/>
        </w:rPr>
        <w:t>Fect</w:t>
      </w:r>
      <w:proofErr w:type="spellEnd"/>
      <w:r>
        <w:rPr>
          <w:i/>
        </w:rPr>
        <w:t xml:space="preserve"> Distributors Ltd </w:t>
      </w:r>
      <w:r>
        <w:t xml:space="preserve">(1999) 96 FCR 107; [1999] FCA 1721 at [19] (Black CJ, </w:t>
      </w:r>
      <w:proofErr w:type="spellStart"/>
      <w:r>
        <w:t>Sundberg</w:t>
      </w:r>
      <w:proofErr w:type="spellEnd"/>
      <w:r>
        <w:t xml:space="preserve"> and Finkelstein JJ)</w:t>
      </w:r>
      <w:r w:rsidRPr="00805072">
        <w:t>.</w:t>
      </w:r>
    </w:p>
    <w:p w14:paraId="5B336A61" w14:textId="6130621F" w:rsidR="00FA2030" w:rsidRPr="00974FC1" w:rsidRDefault="00E36017" w:rsidP="00E36017">
      <w:pPr>
        <w:pStyle w:val="ParaNumbering"/>
      </w:pPr>
      <w:r w:rsidRPr="00E36017">
        <w:rPr>
          <w:i/>
        </w:rPr>
        <w:t>Third</w:t>
      </w:r>
      <w:r w:rsidRPr="00E36017">
        <w:t>, the display of a sign or mark in relation to goods may have more than one function. For example a word may have a role in identifying a geographical location, but also a trade mark or branding or distinguishing role. Provided that one of the roles is to distinguish the trader</w:t>
      </w:r>
      <w:r w:rsidR="0059586C">
        <w:t>’</w:t>
      </w:r>
      <w:r w:rsidRPr="00E36017">
        <w:t>s goods dealt with or provided in the course of trade from the goods of other traders, the display of the mark in advertising will be use as a trade mark:</w:t>
      </w:r>
      <w:r w:rsidRPr="00E36017">
        <w:rPr>
          <w:i/>
        </w:rPr>
        <w:t xml:space="preserve"> Pinnacle Runway Pty Ltd v </w:t>
      </w:r>
      <w:proofErr w:type="spellStart"/>
      <w:r w:rsidRPr="00E36017">
        <w:rPr>
          <w:i/>
        </w:rPr>
        <w:t>Triangl</w:t>
      </w:r>
      <w:proofErr w:type="spellEnd"/>
      <w:r w:rsidRPr="00E36017">
        <w:rPr>
          <w:i/>
        </w:rPr>
        <w:t xml:space="preserve"> </w:t>
      </w:r>
      <w:r w:rsidRPr="00E36017">
        <w:rPr>
          <w:i/>
        </w:rPr>
        <w:lastRenderedPageBreak/>
        <w:t xml:space="preserve">Limited </w:t>
      </w:r>
      <w:r w:rsidR="00E25AAB">
        <w:t xml:space="preserve">(2019) 375 ALR 251; </w:t>
      </w:r>
      <w:r w:rsidRPr="00E36017">
        <w:t>[2019] FCA 1662 at [171]</w:t>
      </w:r>
      <w:r>
        <w:t xml:space="preserve"> (Murphy J), quoting </w:t>
      </w:r>
      <w:r w:rsidRPr="00974FC1">
        <w:rPr>
          <w:i/>
        </w:rPr>
        <w:t>Anheuser-Busch</w:t>
      </w:r>
      <w:r>
        <w:rPr>
          <w:i/>
        </w:rPr>
        <w:t xml:space="preserve">, </w:t>
      </w:r>
      <w:proofErr w:type="spellStart"/>
      <w:r>
        <w:rPr>
          <w:i/>
        </w:rPr>
        <w:t>Inc</w:t>
      </w:r>
      <w:proofErr w:type="spellEnd"/>
      <w:r>
        <w:rPr>
          <w:i/>
        </w:rPr>
        <w:t xml:space="preserve"> v </w:t>
      </w:r>
      <w:proofErr w:type="spellStart"/>
      <w:r>
        <w:rPr>
          <w:i/>
        </w:rPr>
        <w:t>Budĕ</w:t>
      </w:r>
      <w:r w:rsidRPr="00974FC1">
        <w:rPr>
          <w:i/>
        </w:rPr>
        <w:t>jovický</w:t>
      </w:r>
      <w:proofErr w:type="spellEnd"/>
      <w:r w:rsidRPr="00974FC1">
        <w:rPr>
          <w:i/>
        </w:rPr>
        <w:t xml:space="preserve"> Budvar, </w:t>
      </w:r>
      <w:proofErr w:type="spellStart"/>
      <w:r w:rsidRPr="00974FC1">
        <w:rPr>
          <w:i/>
        </w:rPr>
        <w:t>Nár</w:t>
      </w:r>
      <w:r>
        <w:rPr>
          <w:i/>
        </w:rPr>
        <w:t>od</w:t>
      </w:r>
      <w:r w:rsidRPr="00974FC1">
        <w:rPr>
          <w:i/>
        </w:rPr>
        <w:t>ní</w:t>
      </w:r>
      <w:proofErr w:type="spellEnd"/>
      <w:r w:rsidRPr="00974FC1">
        <w:rPr>
          <w:i/>
        </w:rPr>
        <w:t xml:space="preserve"> </w:t>
      </w:r>
      <w:proofErr w:type="spellStart"/>
      <w:r w:rsidRPr="00974FC1">
        <w:rPr>
          <w:i/>
        </w:rPr>
        <w:t>Podnik</w:t>
      </w:r>
      <w:proofErr w:type="spellEnd"/>
      <w:r w:rsidRPr="00974FC1">
        <w:rPr>
          <w:i/>
        </w:rPr>
        <w:t xml:space="preserve"> </w:t>
      </w:r>
      <w:r w:rsidRPr="00974FC1">
        <w:t>(2002) 56 IPR 182</w:t>
      </w:r>
      <w:r>
        <w:t>; [2002] FCA 390 (</w:t>
      </w:r>
      <w:r w:rsidRPr="008010D2">
        <w:rPr>
          <w:b/>
          <w:i/>
        </w:rPr>
        <w:t>Anheuser-Busch</w:t>
      </w:r>
      <w:r>
        <w:t xml:space="preserve">) at [189] (Allsop J, as </w:t>
      </w:r>
      <w:r w:rsidR="00E25AAB">
        <w:t>he</w:t>
      </w:r>
      <w:r>
        <w:t xml:space="preserve"> then was)</w:t>
      </w:r>
      <w:r w:rsidRPr="00E36017">
        <w:t>.</w:t>
      </w:r>
    </w:p>
    <w:p w14:paraId="5E84E454" w14:textId="513BFFA1" w:rsidR="00FA2030" w:rsidRPr="00974FC1" w:rsidRDefault="00E36017" w:rsidP="00E36017">
      <w:pPr>
        <w:pStyle w:val="ParaNumbering"/>
      </w:pPr>
      <w:r w:rsidRPr="00E36017">
        <w:t xml:space="preserve">Thus, there may be a trade mark use and infringement even when, as here, a </w:t>
      </w:r>
      <w:r>
        <w:t>respondent</w:t>
      </w:r>
      <w:r w:rsidRPr="00E36017">
        <w:t xml:space="preserve"> adds words to indicate that it, rather than the </w:t>
      </w:r>
      <w:r>
        <w:t>applicant</w:t>
      </w:r>
      <w:r w:rsidRPr="00E36017">
        <w:t xml:space="preserve">, is the trade origin of the goods in question: </w:t>
      </w:r>
      <w:r w:rsidRPr="00E36017">
        <w:rPr>
          <w:i/>
        </w:rPr>
        <w:t xml:space="preserve">Johnson &amp; Johnson </w:t>
      </w:r>
      <w:r w:rsidRPr="00E36017">
        <w:t>at 349 (</w:t>
      </w:r>
      <w:proofErr w:type="spellStart"/>
      <w:r w:rsidRPr="00E36017">
        <w:t>Gummow</w:t>
      </w:r>
      <w:proofErr w:type="spellEnd"/>
      <w:r w:rsidRPr="00E36017">
        <w:t xml:space="preserve"> J).</w:t>
      </w:r>
    </w:p>
    <w:p w14:paraId="28780AAC" w14:textId="7F511254" w:rsidR="00FA2030" w:rsidRDefault="00E36017" w:rsidP="00194D80">
      <w:pPr>
        <w:pStyle w:val="ParaNumbering"/>
      </w:pPr>
      <w:r w:rsidRPr="00E36017">
        <w:t xml:space="preserve">As Allsop J (as he then was) stated in </w:t>
      </w:r>
      <w:r w:rsidRPr="00E36017">
        <w:rPr>
          <w:i/>
        </w:rPr>
        <w:t xml:space="preserve">Anheuser-Busch </w:t>
      </w:r>
      <w:r w:rsidR="00194D80">
        <w:t>at [191]:</w:t>
      </w:r>
    </w:p>
    <w:p w14:paraId="025F7690" w14:textId="0957EE08" w:rsidR="00194D80" w:rsidRDefault="00194D80" w:rsidP="00194D80">
      <w:pPr>
        <w:pStyle w:val="Quote1"/>
      </w:pPr>
      <w:r w:rsidRPr="00194D80">
        <w:t xml:space="preserve">It is not to the point, with respect, to say that because another part of the label ... is the obvious and important </w:t>
      </w:r>
      <w:r w:rsidR="0059586C">
        <w:t>‘</w:t>
      </w:r>
      <w:r w:rsidRPr="00194D80">
        <w:t>brand</w:t>
      </w:r>
      <w:r w:rsidR="0059586C">
        <w:t>’</w:t>
      </w:r>
      <w:r w:rsidRPr="00194D80">
        <w:t xml:space="preserve">, that another part of the label cannot act to distinguish the goods. The </w:t>
      </w:r>
      <w:r w:rsidR="0059586C">
        <w:t>‘</w:t>
      </w:r>
      <w:r w:rsidRPr="00194D80">
        <w:t>branding function</w:t>
      </w:r>
      <w:r w:rsidR="0059586C">
        <w:t>’</w:t>
      </w:r>
      <w:r w:rsidRPr="00194D80">
        <w:t xml:space="preserve">, if that expression is merely used as a synonym for the contents of </w:t>
      </w:r>
      <w:proofErr w:type="spellStart"/>
      <w:r w:rsidRPr="00194D80">
        <w:t>ss</w:t>
      </w:r>
      <w:proofErr w:type="spellEnd"/>
      <w:r w:rsidRPr="00194D80">
        <w:t xml:space="preserve"> 7 and 17 of the </w:t>
      </w:r>
      <w:r>
        <w:t>[TMA]</w:t>
      </w:r>
      <w:r w:rsidRPr="00194D80">
        <w:t>, can be carried out in different places on packaging</w:t>
      </w:r>
      <w:r>
        <w:t>,</w:t>
      </w:r>
      <w:r w:rsidRPr="00194D80">
        <w:t xml:space="preserve"> with different degrees of strength and subtlety.</w:t>
      </w:r>
    </w:p>
    <w:p w14:paraId="203E32F7" w14:textId="70D4CDEE" w:rsidR="00FA2030" w:rsidRDefault="005C14F4" w:rsidP="005C14F4">
      <w:pPr>
        <w:pStyle w:val="ParaNumbering"/>
      </w:pPr>
      <w:r w:rsidRPr="005C14F4">
        <w:rPr>
          <w:i/>
        </w:rPr>
        <w:t>Fourth</w:t>
      </w:r>
      <w:r w:rsidRPr="005C14F4">
        <w:t xml:space="preserve">, the test involves consideration of the context in which the allegedly infringing use occurs. This can encompass factors such as the positioning of the sign, the type of font, the size of words or letters and the colours which are used, as well as how the sign is applied to advertising materials or the packaging of the goods in relation to other features: </w:t>
      </w:r>
      <w:r w:rsidRPr="005C14F4">
        <w:rPr>
          <w:i/>
        </w:rPr>
        <w:t xml:space="preserve">Christodoulou v Disney Enterprises </w:t>
      </w:r>
      <w:proofErr w:type="spellStart"/>
      <w:r w:rsidRPr="005C14F4">
        <w:rPr>
          <w:i/>
        </w:rPr>
        <w:t>Inc</w:t>
      </w:r>
      <w:proofErr w:type="spellEnd"/>
      <w:r w:rsidRPr="005C14F4">
        <w:t xml:space="preserve"> (2005) 156 FCR 344</w:t>
      </w:r>
      <w:r>
        <w:t>; [2005] FCA 1401</w:t>
      </w:r>
      <w:r w:rsidRPr="005C14F4">
        <w:t xml:space="preserve"> at [35] </w:t>
      </w:r>
      <w:r>
        <w:t>(</w:t>
      </w:r>
      <w:proofErr w:type="spellStart"/>
      <w:r w:rsidRPr="005C14F4">
        <w:t>Crennan</w:t>
      </w:r>
      <w:proofErr w:type="spellEnd"/>
      <w:r w:rsidRPr="005C14F4">
        <w:t xml:space="preserve"> J</w:t>
      </w:r>
      <w:r>
        <w:t>)</w:t>
      </w:r>
      <w:r w:rsidRPr="005C14F4">
        <w:t>.</w:t>
      </w:r>
    </w:p>
    <w:p w14:paraId="4B300ADC" w14:textId="585D0ECB" w:rsidR="0025277A" w:rsidRDefault="005C14F4" w:rsidP="005C14F4">
      <w:pPr>
        <w:pStyle w:val="ParaNumbering"/>
      </w:pPr>
      <w:r w:rsidRPr="005C14F4">
        <w:t>Where the prominence or positioning of the mark on packaging or advertising material, including its font size, styling, colour and shading, suggest that it has greater significance than the respondent</w:t>
      </w:r>
      <w:r w:rsidR="0059586C">
        <w:t>’</w:t>
      </w:r>
      <w:r w:rsidRPr="005C14F4">
        <w:t xml:space="preserve">s trade mark, the mark may well be found to be used as a trade mark: </w:t>
      </w:r>
      <w:r w:rsidR="00A45569">
        <w:rPr>
          <w:i/>
        </w:rPr>
        <w:t>Beecham Group Plc</w:t>
      </w:r>
      <w:r w:rsidRPr="005C14F4">
        <w:rPr>
          <w:i/>
        </w:rPr>
        <w:t xml:space="preserve"> v Colgate-Palmolive Pty Ltd </w:t>
      </w:r>
      <w:r w:rsidRPr="005C14F4">
        <w:t>(2005) 66 IPR 254</w:t>
      </w:r>
      <w:r>
        <w:t>; [2005] FCA 838</w:t>
      </w:r>
      <w:r w:rsidRPr="005C14F4">
        <w:t xml:space="preserve"> at [47]-[49]</w:t>
      </w:r>
      <w:r>
        <w:t xml:space="preserve"> (Emmett J)</w:t>
      </w:r>
      <w:r w:rsidRPr="005C14F4">
        <w:t>.</w:t>
      </w:r>
    </w:p>
    <w:p w14:paraId="6E338405" w14:textId="21AA9C0E" w:rsidR="006B6E51" w:rsidRPr="00A73D8E" w:rsidRDefault="00A73D8E" w:rsidP="00A73D8E">
      <w:pPr>
        <w:pStyle w:val="ParaNumbering"/>
      </w:pPr>
      <w:r w:rsidRPr="00A73D8E">
        <w:rPr>
          <w:i/>
        </w:rPr>
        <w:t>Fifth</w:t>
      </w:r>
      <w:r w:rsidRPr="00A73D8E">
        <w:t xml:space="preserve">, a trade mark use will not be established in circumstances where the use made of the sign is </w:t>
      </w:r>
      <w:r w:rsidR="0059586C">
        <w:t>“</w:t>
      </w:r>
      <w:r w:rsidRPr="00A73D8E">
        <w:t>essentially descriptive</w:t>
      </w:r>
      <w:r w:rsidR="0059586C">
        <w:t>”</w:t>
      </w:r>
      <w:r w:rsidRPr="00A73D8E">
        <w:t xml:space="preserve"> and not a </w:t>
      </w:r>
      <w:r w:rsidR="0059586C">
        <w:t>“</w:t>
      </w:r>
      <w:r w:rsidRPr="00A73D8E">
        <w:t>badge of origin</w:t>
      </w:r>
      <w:r w:rsidR="0059586C">
        <w:t>”</w:t>
      </w:r>
      <w:r w:rsidRPr="00A73D8E">
        <w:t xml:space="preserve"> connoting a connection in the course of trade between the product an</w:t>
      </w:r>
      <w:r w:rsidR="00A45569">
        <w:t xml:space="preserve">d a person or entity. This </w:t>
      </w:r>
      <w:r w:rsidRPr="00A73D8E">
        <w:t xml:space="preserve">is essentially an objective inquiry: </w:t>
      </w:r>
      <w:proofErr w:type="spellStart"/>
      <w:r w:rsidRPr="00A73D8E">
        <w:rPr>
          <w:i/>
        </w:rPr>
        <w:t>Pepsico</w:t>
      </w:r>
      <w:proofErr w:type="spellEnd"/>
      <w:r w:rsidRPr="00A73D8E">
        <w:rPr>
          <w:i/>
        </w:rPr>
        <w:t xml:space="preserve"> Australia P</w:t>
      </w:r>
      <w:r>
        <w:rPr>
          <w:i/>
        </w:rPr>
        <w:t xml:space="preserve">ty </w:t>
      </w:r>
      <w:r w:rsidRPr="00A73D8E">
        <w:rPr>
          <w:i/>
        </w:rPr>
        <w:t>L</w:t>
      </w:r>
      <w:r w:rsidR="00A45569">
        <w:rPr>
          <w:i/>
        </w:rPr>
        <w:t>td and a</w:t>
      </w:r>
      <w:r>
        <w:rPr>
          <w:i/>
        </w:rPr>
        <w:t>nother (t/as Frito Lay Australia)</w:t>
      </w:r>
      <w:r w:rsidRPr="00A73D8E">
        <w:rPr>
          <w:i/>
        </w:rPr>
        <w:t xml:space="preserve"> v Kettle Chip Co P</w:t>
      </w:r>
      <w:r>
        <w:rPr>
          <w:i/>
        </w:rPr>
        <w:t xml:space="preserve">ty </w:t>
      </w:r>
      <w:r w:rsidRPr="00A73D8E">
        <w:rPr>
          <w:i/>
        </w:rPr>
        <w:t>L</w:t>
      </w:r>
      <w:r>
        <w:rPr>
          <w:i/>
        </w:rPr>
        <w:t>td</w:t>
      </w:r>
      <w:r w:rsidRPr="00A73D8E">
        <w:t xml:space="preserve"> (1996) 135 AL</w:t>
      </w:r>
      <w:r w:rsidR="00A45569">
        <w:t xml:space="preserve">R 192 at 193-4 (Lockhart J), 200-1 (Sheppard J), </w:t>
      </w:r>
      <w:r w:rsidRPr="00A73D8E">
        <w:t>213</w:t>
      </w:r>
      <w:r w:rsidR="00A45569">
        <w:t xml:space="preserve"> and </w:t>
      </w:r>
      <w:r w:rsidRPr="00A73D8E">
        <w:t xml:space="preserve">218-19 (Sackville J); </w:t>
      </w:r>
      <w:r w:rsidRPr="00A73D8E">
        <w:rPr>
          <w:i/>
        </w:rPr>
        <w:t>Johnson &amp; Johnson</w:t>
      </w:r>
      <w:r w:rsidRPr="00A73D8E">
        <w:t xml:space="preserve"> at 343-4 (Burchett</w:t>
      </w:r>
      <w:r w:rsidR="00A45569">
        <w:t> J) and</w:t>
      </w:r>
      <w:r w:rsidRPr="00A73D8E">
        <w:t xml:space="preserve"> 350 (</w:t>
      </w:r>
      <w:proofErr w:type="spellStart"/>
      <w:r w:rsidRPr="00A73D8E">
        <w:t>Gummow</w:t>
      </w:r>
      <w:proofErr w:type="spellEnd"/>
      <w:r w:rsidRPr="00A73D8E">
        <w:t xml:space="preserve"> J); </w:t>
      </w:r>
      <w:proofErr w:type="spellStart"/>
      <w:r w:rsidRPr="00A73D8E">
        <w:rPr>
          <w:i/>
        </w:rPr>
        <w:t>Frucor</w:t>
      </w:r>
      <w:proofErr w:type="spellEnd"/>
      <w:r w:rsidRPr="00A73D8E">
        <w:rPr>
          <w:i/>
        </w:rPr>
        <w:t xml:space="preserve"> Beverages </w:t>
      </w:r>
      <w:r w:rsidR="00A45569">
        <w:rPr>
          <w:i/>
        </w:rPr>
        <w:t>Limited</w:t>
      </w:r>
      <w:r w:rsidRPr="00A73D8E">
        <w:rPr>
          <w:i/>
        </w:rPr>
        <w:t xml:space="preserve"> v </w:t>
      </w:r>
      <w:r w:rsidR="00A45569">
        <w:rPr>
          <w:i/>
        </w:rPr>
        <w:t xml:space="preserve">The </w:t>
      </w:r>
      <w:r w:rsidRPr="00A73D8E">
        <w:rPr>
          <w:i/>
        </w:rPr>
        <w:t>Coca-Cola Company</w:t>
      </w:r>
      <w:r w:rsidRPr="00A73D8E">
        <w:t xml:space="preserve"> </w:t>
      </w:r>
      <w:r w:rsidR="0088761B">
        <w:t xml:space="preserve">(2018) </w:t>
      </w:r>
      <w:r w:rsidR="00A45569">
        <w:t>358 ALR 336</w:t>
      </w:r>
      <w:r w:rsidR="0088761B">
        <w:t xml:space="preserve">; </w:t>
      </w:r>
      <w:r w:rsidRPr="00A73D8E">
        <w:t>[2018] FCA 993 at [163]-[167] (Yates J).</w:t>
      </w:r>
    </w:p>
    <w:p w14:paraId="1B9A9466" w14:textId="3BCE9E58" w:rsidR="0038410E" w:rsidRPr="00974FC1" w:rsidRDefault="00694E32" w:rsidP="0038410E">
      <w:pPr>
        <w:pStyle w:val="Heading3"/>
      </w:pPr>
      <w:r>
        <w:t>Applicants</w:t>
      </w:r>
      <w:r w:rsidR="0059586C">
        <w:t>’</w:t>
      </w:r>
      <w:r>
        <w:t xml:space="preserve"> submissions</w:t>
      </w:r>
    </w:p>
    <w:p w14:paraId="32C94B53" w14:textId="327B2E03" w:rsidR="0088761B" w:rsidRDefault="0088761B" w:rsidP="0088761B">
      <w:pPr>
        <w:pStyle w:val="ParaNumbering"/>
      </w:pPr>
      <w:r>
        <w:t>The applicants contend that Henkel</w:t>
      </w:r>
      <w:r w:rsidR="0059586C">
        <w:t>’</w:t>
      </w:r>
      <w:r>
        <w:t>s various uses of the SE Logo, whether on the product packaging or various other promotional materials, all constitute use as a trade mark.</w:t>
      </w:r>
    </w:p>
    <w:p w14:paraId="0AC889B2" w14:textId="0B51F78C" w:rsidR="00694E32" w:rsidRDefault="0088761B" w:rsidP="0088761B">
      <w:pPr>
        <w:pStyle w:val="ParaNumbering"/>
      </w:pPr>
      <w:r>
        <w:lastRenderedPageBreak/>
        <w:t xml:space="preserve">The applicants placed particular emphasis on the various uses of the SE Logo by Henkel </w:t>
      </w:r>
      <w:r w:rsidR="00FD111D">
        <w:t xml:space="preserve">in </w:t>
      </w:r>
      <w:r w:rsidR="00077A07">
        <w:t xml:space="preserve">the packaging and promotional materials for the </w:t>
      </w:r>
      <w:r w:rsidR="00FD111D">
        <w:t>S</w:t>
      </w:r>
      <w:r w:rsidR="00FD111D" w:rsidRPr="00077A07">
        <w:t>E Capsules</w:t>
      </w:r>
      <w:r w:rsidR="00077A07">
        <w:rPr>
          <w:b/>
        </w:rPr>
        <w:t xml:space="preserve">, </w:t>
      </w:r>
      <w:r>
        <w:t xml:space="preserve">reproduced </w:t>
      </w:r>
      <w:r w:rsidR="00077A07">
        <w:t>as follows</w:t>
      </w:r>
      <w:r>
        <w:t>:</w:t>
      </w:r>
    </w:p>
    <w:tbl>
      <w:tblPr>
        <w:tblStyle w:val="TableGrid"/>
        <w:tblW w:w="0" w:type="auto"/>
        <w:tblLook w:val="04A0" w:firstRow="1" w:lastRow="0" w:firstColumn="1" w:lastColumn="0" w:noHBand="0" w:noVBand="1"/>
      </w:tblPr>
      <w:tblGrid>
        <w:gridCol w:w="2452"/>
        <w:gridCol w:w="1533"/>
        <w:gridCol w:w="2166"/>
        <w:gridCol w:w="2866"/>
      </w:tblGrid>
      <w:tr w:rsidR="00735977" w14:paraId="10A32C1D" w14:textId="77777777" w:rsidTr="0088761B">
        <w:tc>
          <w:tcPr>
            <w:tcW w:w="2466" w:type="dxa"/>
          </w:tcPr>
          <w:p w14:paraId="4A572A3D" w14:textId="0D9CF7BB" w:rsidR="00694E32" w:rsidRDefault="00735977" w:rsidP="00FD111D">
            <w:pPr>
              <w:pStyle w:val="Small-TableswithinQuotes"/>
              <w:rPr>
                <w:noProof/>
                <w:lang w:eastAsia="en-AU"/>
              </w:rPr>
            </w:pPr>
            <w:r>
              <w:rPr>
                <w:noProof/>
                <w:lang w:eastAsia="en-AU"/>
              </w:rPr>
              <w:drawing>
                <wp:inline distT="0" distB="0" distL="0" distR="0" wp14:anchorId="59D870BD" wp14:editId="566938B1">
                  <wp:extent cx="1400695" cy="1550324"/>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4.jpg"/>
                          <pic:cNvPicPr/>
                        </pic:nvPicPr>
                        <pic:blipFill>
                          <a:blip r:embed="rId22">
                            <a:extLst>
                              <a:ext uri="{28A0092B-C50C-407E-A947-70E740481C1C}">
                                <a14:useLocalDpi xmlns:a14="http://schemas.microsoft.com/office/drawing/2010/main" val="0"/>
                              </a:ext>
                            </a:extLst>
                          </a:blip>
                          <a:stretch>
                            <a:fillRect/>
                          </a:stretch>
                        </pic:blipFill>
                        <pic:spPr>
                          <a:xfrm>
                            <a:off x="0" y="0"/>
                            <a:ext cx="1400695" cy="1550324"/>
                          </a:xfrm>
                          <a:prstGeom prst="rect">
                            <a:avLst/>
                          </a:prstGeom>
                        </pic:spPr>
                      </pic:pic>
                    </a:graphicData>
                  </a:graphic>
                </wp:inline>
              </w:drawing>
            </w:r>
          </w:p>
          <w:p w14:paraId="0CFC35F4" w14:textId="5D12EBEA" w:rsidR="00694E32" w:rsidRDefault="00694E32" w:rsidP="00FD111D">
            <w:pPr>
              <w:pStyle w:val="Small-TableswithinQuotes"/>
            </w:pPr>
            <w:r>
              <w:rPr>
                <w:noProof/>
                <w:lang w:eastAsia="en-AU"/>
              </w:rPr>
              <w:t xml:space="preserve">Product packaging </w:t>
            </w:r>
            <w:r w:rsidR="00FD111D">
              <w:rPr>
                <w:noProof/>
                <w:lang w:eastAsia="en-AU"/>
              </w:rPr>
              <w:br/>
            </w:r>
            <w:r>
              <w:rPr>
                <w:noProof/>
                <w:lang w:eastAsia="en-AU"/>
              </w:rPr>
              <w:t>(45 caps)</w:t>
            </w:r>
          </w:p>
        </w:tc>
        <w:tc>
          <w:tcPr>
            <w:tcW w:w="1638" w:type="dxa"/>
          </w:tcPr>
          <w:p w14:paraId="42AE86FD" w14:textId="2FF7DBD9" w:rsidR="00694E32" w:rsidRDefault="00735977" w:rsidP="00FD111D">
            <w:pPr>
              <w:pStyle w:val="Small-TableswithinQuotes"/>
            </w:pPr>
            <w:r>
              <w:rPr>
                <w:noProof/>
                <w:lang w:eastAsia="en-AU"/>
              </w:rPr>
              <w:drawing>
                <wp:inline distT="0" distB="0" distL="0" distR="0" wp14:anchorId="52B9DB9D" wp14:editId="6B3082B5">
                  <wp:extent cx="752475" cy="28384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5.jpg"/>
                          <pic:cNvPicPr/>
                        </pic:nvPicPr>
                        <pic:blipFill>
                          <a:blip r:embed="rId23">
                            <a:extLst>
                              <a:ext uri="{28A0092B-C50C-407E-A947-70E740481C1C}">
                                <a14:useLocalDpi xmlns:a14="http://schemas.microsoft.com/office/drawing/2010/main" val="0"/>
                              </a:ext>
                            </a:extLst>
                          </a:blip>
                          <a:stretch>
                            <a:fillRect/>
                          </a:stretch>
                        </pic:blipFill>
                        <pic:spPr>
                          <a:xfrm>
                            <a:off x="0" y="0"/>
                            <a:ext cx="752475" cy="2838450"/>
                          </a:xfrm>
                          <a:prstGeom prst="rect">
                            <a:avLst/>
                          </a:prstGeom>
                        </pic:spPr>
                      </pic:pic>
                    </a:graphicData>
                  </a:graphic>
                </wp:inline>
              </w:drawing>
            </w:r>
          </w:p>
          <w:p w14:paraId="3C7D7E56" w14:textId="3A6361B4" w:rsidR="00DD4C17" w:rsidRDefault="00694E32" w:rsidP="00FD111D">
            <w:pPr>
              <w:pStyle w:val="Small-TableswithinQuotes"/>
            </w:pPr>
            <w:r>
              <w:t xml:space="preserve">Proposed </w:t>
            </w:r>
            <w:r w:rsidR="00FD111D">
              <w:br/>
            </w:r>
            <w:r>
              <w:t>aisle fin</w:t>
            </w:r>
          </w:p>
        </w:tc>
        <w:tc>
          <w:tcPr>
            <w:tcW w:w="2057" w:type="dxa"/>
          </w:tcPr>
          <w:p w14:paraId="35648EB2" w14:textId="16C25808" w:rsidR="00694E32" w:rsidRDefault="00735977" w:rsidP="00FD111D">
            <w:pPr>
              <w:pStyle w:val="Small-TableswithinQuotes"/>
            </w:pPr>
            <w:r>
              <w:rPr>
                <w:noProof/>
                <w:lang w:eastAsia="en-AU"/>
              </w:rPr>
              <w:drawing>
                <wp:inline distT="0" distB="0" distL="0" distR="0" wp14:anchorId="38B7D8B0" wp14:editId="062F3215">
                  <wp:extent cx="1229949" cy="1971675"/>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6.jpg"/>
                          <pic:cNvPicPr/>
                        </pic:nvPicPr>
                        <pic:blipFill>
                          <a:blip r:embed="rId24">
                            <a:extLst>
                              <a:ext uri="{28A0092B-C50C-407E-A947-70E740481C1C}">
                                <a14:useLocalDpi xmlns:a14="http://schemas.microsoft.com/office/drawing/2010/main" val="0"/>
                              </a:ext>
                            </a:extLst>
                          </a:blip>
                          <a:stretch>
                            <a:fillRect/>
                          </a:stretch>
                        </pic:blipFill>
                        <pic:spPr>
                          <a:xfrm>
                            <a:off x="0" y="0"/>
                            <a:ext cx="1282799" cy="2056397"/>
                          </a:xfrm>
                          <a:prstGeom prst="rect">
                            <a:avLst/>
                          </a:prstGeom>
                        </pic:spPr>
                      </pic:pic>
                    </a:graphicData>
                  </a:graphic>
                </wp:inline>
              </w:drawing>
            </w:r>
          </w:p>
          <w:p w14:paraId="6DC31A41" w14:textId="77777777" w:rsidR="00694E32" w:rsidRDefault="00694E32" w:rsidP="00FD111D">
            <w:pPr>
              <w:pStyle w:val="Small-TableswithinQuotes"/>
            </w:pPr>
            <w:r>
              <w:t>Proposed bins</w:t>
            </w:r>
          </w:p>
        </w:tc>
        <w:tc>
          <w:tcPr>
            <w:tcW w:w="2856" w:type="dxa"/>
          </w:tcPr>
          <w:p w14:paraId="70D3166A" w14:textId="6055FF30" w:rsidR="00694E32" w:rsidRDefault="00735977" w:rsidP="00FD111D">
            <w:pPr>
              <w:pStyle w:val="Small-TableswithinQuotes"/>
            </w:pPr>
            <w:r>
              <w:rPr>
                <w:noProof/>
                <w:lang w:eastAsia="en-AU"/>
              </w:rPr>
              <w:drawing>
                <wp:inline distT="0" distB="0" distL="0" distR="0" wp14:anchorId="5E2BBD43" wp14:editId="2AEEB606">
                  <wp:extent cx="1683327" cy="174151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7.jpg"/>
                          <pic:cNvPicPr/>
                        </pic:nvPicPr>
                        <pic:blipFill>
                          <a:blip r:embed="rId25">
                            <a:extLst>
                              <a:ext uri="{28A0092B-C50C-407E-A947-70E740481C1C}">
                                <a14:useLocalDpi xmlns:a14="http://schemas.microsoft.com/office/drawing/2010/main" val="0"/>
                              </a:ext>
                            </a:extLst>
                          </a:blip>
                          <a:stretch>
                            <a:fillRect/>
                          </a:stretch>
                        </pic:blipFill>
                        <pic:spPr>
                          <a:xfrm>
                            <a:off x="0" y="0"/>
                            <a:ext cx="1683327" cy="1741516"/>
                          </a:xfrm>
                          <a:prstGeom prst="rect">
                            <a:avLst/>
                          </a:prstGeom>
                        </pic:spPr>
                      </pic:pic>
                    </a:graphicData>
                  </a:graphic>
                </wp:inline>
              </w:drawing>
            </w:r>
          </w:p>
          <w:p w14:paraId="6D0FC270" w14:textId="4700C99A" w:rsidR="00694E32" w:rsidRDefault="00C133FD" w:rsidP="00FD111D">
            <w:pPr>
              <w:pStyle w:val="Small-TableswithinQuotes"/>
            </w:pPr>
            <w:r>
              <w:t>SOMAT</w:t>
            </w:r>
            <w:r w:rsidR="00694E32">
              <w:t xml:space="preserve"> website</w:t>
            </w:r>
          </w:p>
        </w:tc>
      </w:tr>
    </w:tbl>
    <w:p w14:paraId="0B32D64E" w14:textId="1801945A" w:rsidR="00694E32" w:rsidRDefault="0088761B" w:rsidP="0088761B">
      <w:pPr>
        <w:pStyle w:val="ParaNumbering"/>
      </w:pPr>
      <w:r w:rsidRPr="0088761B">
        <w:t xml:space="preserve">The applicants submit that the SE Logo is displayed prominently on the front of the packaging for the </w:t>
      </w:r>
      <w:r w:rsidR="007B0B13">
        <w:t>SE Capsules</w:t>
      </w:r>
      <w:r w:rsidRPr="0088761B">
        <w:t xml:space="preserve"> and is positioned substantially at its centre. They submit that:</w:t>
      </w:r>
    </w:p>
    <w:p w14:paraId="20F0328B" w14:textId="5E4A3544" w:rsidR="000A521C" w:rsidRDefault="0088761B" w:rsidP="000A521C">
      <w:pPr>
        <w:pStyle w:val="Quote1"/>
      </w:pPr>
      <w:r w:rsidRPr="0088761B">
        <w:t xml:space="preserve">[The SE Logo] is surrounded by white rays of light creating the visual effect of a </w:t>
      </w:r>
      <w:r w:rsidR="0059586C">
        <w:t>‘</w:t>
      </w:r>
      <w:r w:rsidRPr="0088761B">
        <w:t>sunburst</w:t>
      </w:r>
      <w:r w:rsidR="0059586C">
        <w:t>’</w:t>
      </w:r>
      <w:r w:rsidRPr="0088761B">
        <w:t xml:space="preserve">. The bright blue, red and white colours present a stark visual contrast to the background, which can be in various colours. Measured vertically, the SE Logo is the largest object appearing on the packaging, being slightly larger than the text of the word </w:t>
      </w:r>
      <w:r w:rsidR="0059586C">
        <w:t>‘</w:t>
      </w:r>
      <w:r w:rsidR="00C133FD">
        <w:t>SOMAT</w:t>
      </w:r>
      <w:r w:rsidR="0059586C">
        <w:t>’</w:t>
      </w:r>
      <w:r w:rsidRPr="0088761B">
        <w:t xml:space="preserve"> and considerably larger than the descriptions </w:t>
      </w:r>
      <w:r w:rsidR="0059586C">
        <w:t>“</w:t>
      </w:r>
      <w:r w:rsidRPr="0088761B">
        <w:rPr>
          <w:i/>
        </w:rPr>
        <w:t>Unique GEL Technology</w:t>
      </w:r>
      <w:r w:rsidR="0059586C">
        <w:t>”</w:t>
      </w:r>
      <w:r w:rsidRPr="0088761B">
        <w:t xml:space="preserve">, </w:t>
      </w:r>
      <w:r w:rsidR="0059586C">
        <w:t>“</w:t>
      </w:r>
      <w:r w:rsidRPr="0088761B">
        <w:rPr>
          <w:i/>
        </w:rPr>
        <w:t>Fast dissolving</w:t>
      </w:r>
      <w:r w:rsidR="0059586C">
        <w:t>”</w:t>
      </w:r>
      <w:r w:rsidRPr="0088761B">
        <w:t xml:space="preserve">, and </w:t>
      </w:r>
      <w:r w:rsidR="0059586C">
        <w:t>“</w:t>
      </w:r>
      <w:r w:rsidRPr="0088761B">
        <w:rPr>
          <w:i/>
        </w:rPr>
        <w:t>Deep clean</w:t>
      </w:r>
      <w:r w:rsidR="0059586C">
        <w:t>”</w:t>
      </w:r>
      <w:r w:rsidRPr="0088761B">
        <w:t xml:space="preserve">. It appears three times on the plastic tub for the 30 and 45 </w:t>
      </w:r>
      <w:proofErr w:type="spellStart"/>
      <w:r w:rsidRPr="0088761B">
        <w:t>gelcap</w:t>
      </w:r>
      <w:proofErr w:type="spellEnd"/>
      <w:r w:rsidRPr="0088761B">
        <w:t xml:space="preserve"> SKUs and twice on the cushion packs. The effect is that the SE Logo is given prominence whatever the orientation of the pack.</w:t>
      </w:r>
    </w:p>
    <w:p w14:paraId="4400C447" w14:textId="4729CBED" w:rsidR="000A521C" w:rsidRPr="00974FC1" w:rsidRDefault="000A521C" w:rsidP="000A521C">
      <w:pPr>
        <w:pStyle w:val="Quote1"/>
      </w:pPr>
      <w:r>
        <w:t>(Original emphasis.)</w:t>
      </w:r>
    </w:p>
    <w:p w14:paraId="11C9B5E6" w14:textId="15CEBAF8" w:rsidR="00694E32" w:rsidRDefault="0088761B" w:rsidP="0088761B">
      <w:pPr>
        <w:pStyle w:val="ParaNumbering"/>
      </w:pPr>
      <w:r w:rsidRPr="0088761B">
        <w:t xml:space="preserve">The applicants contend that the SE Logo is the largest object appearing on both the aisle fin and the multi-level supermarket bin. They submit that on the shorter bin </w:t>
      </w:r>
      <w:r w:rsidR="0059586C">
        <w:t>“</w:t>
      </w:r>
      <w:r w:rsidRPr="0088761B">
        <w:t>the SE Logo is followed by a multi-coloured streak creating the visual effect of the SE Logo flying into the dishwasher</w:t>
      </w:r>
      <w:r w:rsidR="0059586C">
        <w:t>”</w:t>
      </w:r>
      <w:r w:rsidRPr="0088761B">
        <w:t xml:space="preserve"> and that the </w:t>
      </w:r>
      <w:r w:rsidR="00C133FD">
        <w:t>SOMAT</w:t>
      </w:r>
      <w:r w:rsidRPr="0088761B">
        <w:t xml:space="preserve"> website image </w:t>
      </w:r>
      <w:r w:rsidR="0059586C">
        <w:t>“</w:t>
      </w:r>
      <w:r w:rsidRPr="0088761B">
        <w:t>speaks for itself, noting that this depic</w:t>
      </w:r>
      <w:r>
        <w:t>ts the SE Capsule</w:t>
      </w:r>
      <w:r w:rsidR="0059586C">
        <w:t>”</w:t>
      </w:r>
      <w:r>
        <w:t>. They submit:</w:t>
      </w:r>
    </w:p>
    <w:p w14:paraId="2251973F" w14:textId="72A9080C" w:rsidR="0088761B" w:rsidRDefault="0088761B" w:rsidP="0088761B">
      <w:pPr>
        <w:pStyle w:val="Quote1"/>
      </w:pPr>
      <w:r w:rsidRPr="0088761B">
        <w:t>In all of these instances, by virtue of its prominence, style and contrast, the consumer</w:t>
      </w:r>
      <w:r w:rsidR="0059586C">
        <w:t>’</w:t>
      </w:r>
      <w:r w:rsidRPr="0088761B">
        <w:t xml:space="preserve">s eye is drawn immediately and predominantly to the SE Logo or the depiction of the SE Capsule. What all of these instances of use are calculated to induce in the mind of the consumer is the response, adapting the words of </w:t>
      </w:r>
      <w:proofErr w:type="spellStart"/>
      <w:r w:rsidRPr="0088761B">
        <w:t>Kitto</w:t>
      </w:r>
      <w:proofErr w:type="spellEnd"/>
      <w:r w:rsidRPr="0088761B">
        <w:t xml:space="preserve"> J in </w:t>
      </w:r>
      <w:r w:rsidRPr="008010D2">
        <w:rPr>
          <w:i/>
        </w:rPr>
        <w:t>Shell</w:t>
      </w:r>
      <w:r w:rsidRPr="0088761B">
        <w:t xml:space="preserve"> at 425: </w:t>
      </w:r>
      <w:r w:rsidR="0059586C">
        <w:t>“</w:t>
      </w:r>
      <w:r w:rsidRPr="008010D2">
        <w:rPr>
          <w:i/>
        </w:rPr>
        <w:t>There I see something that the Henkel people are showing me as being a mark by which I may know that any dishwasher tablet in relation to which I see it used is theirs.</w:t>
      </w:r>
      <w:r w:rsidR="0059586C">
        <w:rPr>
          <w:i/>
        </w:rPr>
        <w:t>”</w:t>
      </w:r>
    </w:p>
    <w:p w14:paraId="5DDA7E90" w14:textId="7091CE37" w:rsidR="000A521C" w:rsidRPr="000A521C" w:rsidRDefault="000A521C" w:rsidP="0088761B">
      <w:pPr>
        <w:pStyle w:val="Quote1"/>
      </w:pPr>
      <w:r>
        <w:lastRenderedPageBreak/>
        <w:t>(Original emphasis.)</w:t>
      </w:r>
    </w:p>
    <w:p w14:paraId="03B1A5E6" w14:textId="6FE136EF" w:rsidR="0015198D" w:rsidRDefault="00A45569" w:rsidP="0015198D">
      <w:pPr>
        <w:pStyle w:val="Heading3"/>
      </w:pPr>
      <w:r>
        <w:t xml:space="preserve">Respondent’s </w:t>
      </w:r>
      <w:r w:rsidR="0015198D">
        <w:t>submissions</w:t>
      </w:r>
    </w:p>
    <w:p w14:paraId="0E2CF488" w14:textId="2853085D" w:rsidR="004D7D41" w:rsidRDefault="004D7D41" w:rsidP="004D7D41">
      <w:pPr>
        <w:pStyle w:val="ParaNumbering"/>
      </w:pPr>
      <w:r>
        <w:t xml:space="preserve">Henkel submits that the following factors </w:t>
      </w:r>
      <w:r w:rsidR="00C133FD">
        <w:t xml:space="preserve">emerge from the authorities and </w:t>
      </w:r>
      <w:r>
        <w:t>must lead to the conclusion that the SE Logo does not operate as a trade</w:t>
      </w:r>
      <w:r>
        <w:rPr>
          <w:spacing w:val="-28"/>
        </w:rPr>
        <w:t xml:space="preserve"> </w:t>
      </w:r>
      <w:r>
        <w:t>mark.</w:t>
      </w:r>
    </w:p>
    <w:p w14:paraId="128F92B7" w14:textId="07AF5392" w:rsidR="004D7D41" w:rsidRDefault="004D7D41" w:rsidP="004D7D41">
      <w:pPr>
        <w:pStyle w:val="ParaNumbering"/>
      </w:pPr>
      <w:r w:rsidRPr="008F0300">
        <w:rPr>
          <w:i/>
        </w:rPr>
        <w:t>First</w:t>
      </w:r>
      <w:r w:rsidRPr="008F0300">
        <w:t xml:space="preserve">, the clear and dominant </w:t>
      </w:r>
      <w:r w:rsidR="00C133FD">
        <w:t>SOMAT</w:t>
      </w:r>
      <w:r w:rsidR="000A521C" w:rsidRPr="008F0300">
        <w:t xml:space="preserve"> </w:t>
      </w:r>
      <w:r w:rsidRPr="008F0300">
        <w:t>brand</w:t>
      </w:r>
      <w:r>
        <w:rPr>
          <w:b/>
        </w:rPr>
        <w:t xml:space="preserve"> </w:t>
      </w:r>
      <w:r>
        <w:t>indicates to consumers the commercial source of the product.</w:t>
      </w:r>
    </w:p>
    <w:p w14:paraId="1D7B8F01" w14:textId="4B8DE383" w:rsidR="004D7D41" w:rsidRPr="004D7D41" w:rsidRDefault="004D7D41" w:rsidP="004D7D41">
      <w:pPr>
        <w:pStyle w:val="ParaNumbering"/>
      </w:pPr>
      <w:r w:rsidRPr="008F0300">
        <w:rPr>
          <w:i/>
        </w:rPr>
        <w:t>Second</w:t>
      </w:r>
      <w:r>
        <w:t>,</w:t>
      </w:r>
      <w:r w:rsidRPr="008F0300">
        <w:rPr>
          <w:spacing w:val="-3"/>
        </w:rPr>
        <w:t xml:space="preserve"> </w:t>
      </w:r>
      <w:r>
        <w:t>the</w:t>
      </w:r>
      <w:r w:rsidRPr="008F0300">
        <w:rPr>
          <w:spacing w:val="-4"/>
        </w:rPr>
        <w:t xml:space="preserve"> </w:t>
      </w:r>
      <w:r>
        <w:t>SE</w:t>
      </w:r>
      <w:r w:rsidRPr="008F0300">
        <w:rPr>
          <w:spacing w:val="-4"/>
        </w:rPr>
        <w:t xml:space="preserve"> </w:t>
      </w:r>
      <w:r>
        <w:t>Logo denotes</w:t>
      </w:r>
      <w:r w:rsidRPr="008F0300">
        <w:rPr>
          <w:spacing w:val="-6"/>
        </w:rPr>
        <w:t xml:space="preserve"> </w:t>
      </w:r>
      <w:r>
        <w:t>a</w:t>
      </w:r>
      <w:r w:rsidRPr="008F0300">
        <w:rPr>
          <w:spacing w:val="-3"/>
        </w:rPr>
        <w:t xml:space="preserve"> </w:t>
      </w:r>
      <w:r w:rsidRPr="008F0300">
        <w:t>variant</w:t>
      </w:r>
      <w:r w:rsidRPr="008F0300">
        <w:rPr>
          <w:spacing w:val="-4"/>
        </w:rPr>
        <w:t xml:space="preserve"> </w:t>
      </w:r>
      <w:r>
        <w:t>within</w:t>
      </w:r>
      <w:r w:rsidRPr="008F0300">
        <w:rPr>
          <w:spacing w:val="-4"/>
        </w:rPr>
        <w:t xml:space="preserve"> </w:t>
      </w:r>
      <w:r>
        <w:t>the</w:t>
      </w:r>
      <w:r w:rsidRPr="008F0300">
        <w:rPr>
          <w:spacing w:val="-4"/>
        </w:rPr>
        <w:t xml:space="preserve"> </w:t>
      </w:r>
      <w:r w:rsidR="00C133FD">
        <w:t>SOMAT</w:t>
      </w:r>
      <w:r w:rsidR="000A521C">
        <w:t xml:space="preserve"> </w:t>
      </w:r>
      <w:r>
        <w:t>brande</w:t>
      </w:r>
      <w:r w:rsidR="005C532A">
        <w:t>d range of dishwashing products</w:t>
      </w:r>
      <w:r>
        <w:t xml:space="preserve"> and serves to distinguish the SE </w:t>
      </w:r>
      <w:r w:rsidR="00C133FD">
        <w:t>Capsules</w:t>
      </w:r>
      <w:r w:rsidR="00B94522">
        <w:t xml:space="preserve"> </w:t>
      </w:r>
      <w:r>
        <w:t>from</w:t>
      </w:r>
      <w:r w:rsidRPr="008F0300">
        <w:rPr>
          <w:spacing w:val="-7"/>
        </w:rPr>
        <w:t xml:space="preserve"> </w:t>
      </w:r>
      <w:r>
        <w:t>other</w:t>
      </w:r>
      <w:r w:rsidRPr="008F0300">
        <w:rPr>
          <w:spacing w:val="-7"/>
        </w:rPr>
        <w:t xml:space="preserve"> </w:t>
      </w:r>
      <w:r w:rsidR="00C133FD">
        <w:t>SOMAT</w:t>
      </w:r>
      <w:r w:rsidR="00C133FD">
        <w:rPr>
          <w:spacing w:val="-9"/>
        </w:rPr>
        <w:t xml:space="preserve"> </w:t>
      </w:r>
      <w:r>
        <w:t>branded</w:t>
      </w:r>
      <w:r w:rsidRPr="008F0300">
        <w:rPr>
          <w:spacing w:val="-9"/>
        </w:rPr>
        <w:t xml:space="preserve"> </w:t>
      </w:r>
      <w:r>
        <w:t>products,</w:t>
      </w:r>
      <w:r w:rsidRPr="008F0300">
        <w:rPr>
          <w:spacing w:val="-10"/>
        </w:rPr>
        <w:t xml:space="preserve"> </w:t>
      </w:r>
      <w:r>
        <w:t>rather</w:t>
      </w:r>
      <w:r w:rsidRPr="008F0300">
        <w:rPr>
          <w:spacing w:val="-8"/>
        </w:rPr>
        <w:t xml:space="preserve"> </w:t>
      </w:r>
      <w:r>
        <w:t>than</w:t>
      </w:r>
      <w:r w:rsidRPr="008F0300">
        <w:rPr>
          <w:spacing w:val="-9"/>
        </w:rPr>
        <w:t xml:space="preserve"> </w:t>
      </w:r>
      <w:r>
        <w:t>operating</w:t>
      </w:r>
      <w:r w:rsidRPr="008F0300">
        <w:rPr>
          <w:spacing w:val="-9"/>
        </w:rPr>
        <w:t xml:space="preserve"> </w:t>
      </w:r>
      <w:r>
        <w:t>as</w:t>
      </w:r>
      <w:r w:rsidRPr="008F0300">
        <w:rPr>
          <w:spacing w:val="-8"/>
        </w:rPr>
        <w:t xml:space="preserve"> </w:t>
      </w:r>
      <w:r>
        <w:t>a</w:t>
      </w:r>
      <w:r w:rsidRPr="008F0300">
        <w:rPr>
          <w:spacing w:val="-12"/>
        </w:rPr>
        <w:t xml:space="preserve"> </w:t>
      </w:r>
      <w:r>
        <w:t>trade mark to distinguish Henkel</w:t>
      </w:r>
      <w:r w:rsidR="0059586C">
        <w:t>’</w:t>
      </w:r>
      <w:r>
        <w:t>s product from oth</w:t>
      </w:r>
      <w:r w:rsidR="00DD4C17">
        <w:t>er branded dishwashing products.</w:t>
      </w:r>
    </w:p>
    <w:p w14:paraId="08E92CF7" w14:textId="64EF7D5B" w:rsidR="004D7D41" w:rsidRDefault="004D7D41" w:rsidP="000A521C">
      <w:pPr>
        <w:pStyle w:val="ParaNumbering"/>
        <w:rPr>
          <w:sz w:val="14"/>
        </w:rPr>
      </w:pPr>
      <w:r w:rsidRPr="008F0300">
        <w:rPr>
          <w:i/>
        </w:rPr>
        <w:t>Third</w:t>
      </w:r>
      <w:r w:rsidRPr="008F0300">
        <w:t>, it is common in the trade</w:t>
      </w:r>
      <w:r w:rsidRPr="008F0300">
        <w:rPr>
          <w:i/>
          <w:szCs w:val="24"/>
        </w:rPr>
        <w:t xml:space="preserve"> </w:t>
      </w:r>
      <w:r>
        <w:t>to include depictions on the packaging of dishwashing</w:t>
      </w:r>
      <w:r>
        <w:rPr>
          <w:spacing w:val="-17"/>
        </w:rPr>
        <w:t xml:space="preserve"> </w:t>
      </w:r>
      <w:r>
        <w:t>tablets</w:t>
      </w:r>
      <w:r>
        <w:rPr>
          <w:spacing w:val="-16"/>
        </w:rPr>
        <w:t xml:space="preserve"> </w:t>
      </w:r>
      <w:r>
        <w:t>of</w:t>
      </w:r>
      <w:r>
        <w:rPr>
          <w:spacing w:val="-18"/>
        </w:rPr>
        <w:t xml:space="preserve"> </w:t>
      </w:r>
      <w:r>
        <w:t>the</w:t>
      </w:r>
      <w:r>
        <w:rPr>
          <w:spacing w:val="-17"/>
        </w:rPr>
        <w:t xml:space="preserve"> </w:t>
      </w:r>
      <w:r>
        <w:t>different</w:t>
      </w:r>
      <w:r>
        <w:rPr>
          <w:spacing w:val="-17"/>
        </w:rPr>
        <w:t xml:space="preserve"> </w:t>
      </w:r>
      <w:r>
        <w:t>appearance</w:t>
      </w:r>
      <w:r>
        <w:rPr>
          <w:spacing w:val="-19"/>
        </w:rPr>
        <w:t xml:space="preserve"> </w:t>
      </w:r>
      <w:r>
        <w:t>of</w:t>
      </w:r>
      <w:r>
        <w:rPr>
          <w:spacing w:val="-20"/>
        </w:rPr>
        <w:t xml:space="preserve"> </w:t>
      </w:r>
      <w:r>
        <w:t>the</w:t>
      </w:r>
      <w:r>
        <w:rPr>
          <w:spacing w:val="-17"/>
        </w:rPr>
        <w:t xml:space="preserve"> </w:t>
      </w:r>
      <w:r>
        <w:t>various</w:t>
      </w:r>
      <w:r>
        <w:rPr>
          <w:spacing w:val="-16"/>
        </w:rPr>
        <w:t xml:space="preserve"> </w:t>
      </w:r>
      <w:r>
        <w:t>products</w:t>
      </w:r>
      <w:r>
        <w:rPr>
          <w:spacing w:val="-19"/>
        </w:rPr>
        <w:t xml:space="preserve"> </w:t>
      </w:r>
      <w:r>
        <w:t xml:space="preserve">therein. </w:t>
      </w:r>
      <w:r w:rsidR="000A521C">
        <w:t>For example,</w:t>
      </w:r>
      <w:r w:rsidR="000A521C">
        <w:rPr>
          <w:spacing w:val="-9"/>
        </w:rPr>
        <w:t xml:space="preserve"> </w:t>
      </w:r>
      <w:r>
        <w:t>the</w:t>
      </w:r>
      <w:r>
        <w:rPr>
          <w:spacing w:val="-9"/>
        </w:rPr>
        <w:t xml:space="preserve"> </w:t>
      </w:r>
      <w:r>
        <w:t>current</w:t>
      </w:r>
      <w:r>
        <w:rPr>
          <w:spacing w:val="-9"/>
        </w:rPr>
        <w:t xml:space="preserve"> </w:t>
      </w:r>
      <w:r>
        <w:t>ranges</w:t>
      </w:r>
      <w:r>
        <w:rPr>
          <w:spacing w:val="-8"/>
        </w:rPr>
        <w:t xml:space="preserve"> </w:t>
      </w:r>
      <w:r>
        <w:t>of</w:t>
      </w:r>
      <w:r>
        <w:rPr>
          <w:spacing w:val="-7"/>
        </w:rPr>
        <w:t xml:space="preserve"> </w:t>
      </w:r>
      <w:r w:rsidR="00C133FD">
        <w:t>FINISH</w:t>
      </w:r>
      <w:r w:rsidR="00077A07">
        <w:t xml:space="preserve"> </w:t>
      </w:r>
      <w:r>
        <w:t>and</w:t>
      </w:r>
      <w:r>
        <w:rPr>
          <w:spacing w:val="-9"/>
        </w:rPr>
        <w:t xml:space="preserve"> </w:t>
      </w:r>
      <w:r>
        <w:t>FAIRY</w:t>
      </w:r>
      <w:r>
        <w:rPr>
          <w:spacing w:val="-8"/>
        </w:rPr>
        <w:t xml:space="preserve"> </w:t>
      </w:r>
      <w:r>
        <w:t>products</w:t>
      </w:r>
      <w:r w:rsidR="00077A07">
        <w:t>,</w:t>
      </w:r>
      <w:r>
        <w:rPr>
          <w:spacing w:val="-8"/>
        </w:rPr>
        <w:t xml:space="preserve"> </w:t>
      </w:r>
      <w:r>
        <w:t>which</w:t>
      </w:r>
      <w:r>
        <w:rPr>
          <w:spacing w:val="-9"/>
        </w:rPr>
        <w:t xml:space="preserve"> </w:t>
      </w:r>
      <w:r>
        <w:t>depict</w:t>
      </w:r>
      <w:r>
        <w:rPr>
          <w:spacing w:val="-6"/>
        </w:rPr>
        <w:t xml:space="preserve"> </w:t>
      </w:r>
      <w:r>
        <w:t>a</w:t>
      </w:r>
      <w:r>
        <w:rPr>
          <w:spacing w:val="-11"/>
        </w:rPr>
        <w:t xml:space="preserve"> </w:t>
      </w:r>
      <w:r>
        <w:t>range</w:t>
      </w:r>
      <w:r>
        <w:rPr>
          <w:spacing w:val="-8"/>
        </w:rPr>
        <w:t xml:space="preserve"> </w:t>
      </w:r>
      <w:r>
        <w:t>of differently appearing product variants sold under each of those</w:t>
      </w:r>
      <w:r>
        <w:rPr>
          <w:spacing w:val="-15"/>
        </w:rPr>
        <w:t xml:space="preserve"> </w:t>
      </w:r>
      <w:r>
        <w:t>brands:</w:t>
      </w:r>
    </w:p>
    <w:p w14:paraId="39445CCB" w14:textId="63A336D8" w:rsidR="000A521C" w:rsidRDefault="00735977" w:rsidP="000A521C">
      <w:pPr>
        <w:pStyle w:val="NoNum"/>
        <w:ind w:left="720" w:firstLine="720"/>
      </w:pPr>
      <w:r>
        <w:rPr>
          <w:noProof/>
          <w:lang w:eastAsia="en-AU"/>
        </w:rPr>
        <w:drawing>
          <wp:inline distT="0" distB="0" distL="0" distR="0" wp14:anchorId="51A6CF6C" wp14:editId="0AA418EF">
            <wp:extent cx="1130531" cy="124275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8.jpg"/>
                    <pic:cNvPicPr/>
                  </pic:nvPicPr>
                  <pic:blipFill>
                    <a:blip r:embed="rId26">
                      <a:extLst>
                        <a:ext uri="{28A0092B-C50C-407E-A947-70E740481C1C}">
                          <a14:useLocalDpi xmlns:a14="http://schemas.microsoft.com/office/drawing/2010/main" val="0"/>
                        </a:ext>
                      </a:extLst>
                    </a:blip>
                    <a:stretch>
                      <a:fillRect/>
                    </a:stretch>
                  </pic:blipFill>
                  <pic:spPr>
                    <a:xfrm>
                      <a:off x="0" y="0"/>
                      <a:ext cx="1130531" cy="1242753"/>
                    </a:xfrm>
                    <a:prstGeom prst="rect">
                      <a:avLst/>
                    </a:prstGeom>
                  </pic:spPr>
                </pic:pic>
              </a:graphicData>
            </a:graphic>
          </wp:inline>
        </w:drawing>
      </w:r>
      <w:r w:rsidR="000A521C">
        <w:tab/>
      </w:r>
      <w:r>
        <w:rPr>
          <w:noProof/>
          <w:lang w:eastAsia="en-AU"/>
        </w:rPr>
        <w:drawing>
          <wp:inline distT="0" distB="0" distL="0" distR="0" wp14:anchorId="7658EF0E" wp14:editId="7E7C4760">
            <wp:extent cx="1100138" cy="1238250"/>
            <wp:effectExtent l="0" t="0" r="508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9.jpg"/>
                    <pic:cNvPicPr/>
                  </pic:nvPicPr>
                  <pic:blipFill>
                    <a:blip r:embed="rId27">
                      <a:extLst>
                        <a:ext uri="{28A0092B-C50C-407E-A947-70E740481C1C}">
                          <a14:useLocalDpi xmlns:a14="http://schemas.microsoft.com/office/drawing/2010/main" val="0"/>
                        </a:ext>
                      </a:extLst>
                    </a:blip>
                    <a:stretch>
                      <a:fillRect/>
                    </a:stretch>
                  </pic:blipFill>
                  <pic:spPr>
                    <a:xfrm>
                      <a:off x="0" y="0"/>
                      <a:ext cx="1110663" cy="1250096"/>
                    </a:xfrm>
                    <a:prstGeom prst="rect">
                      <a:avLst/>
                    </a:prstGeom>
                  </pic:spPr>
                </pic:pic>
              </a:graphicData>
            </a:graphic>
          </wp:inline>
        </w:drawing>
      </w:r>
      <w:r w:rsidR="000A521C">
        <w:tab/>
      </w:r>
      <w:r>
        <w:rPr>
          <w:noProof/>
          <w:lang w:eastAsia="en-AU"/>
        </w:rPr>
        <w:drawing>
          <wp:inline distT="0" distB="0" distL="0" distR="0" wp14:anchorId="077BF99B" wp14:editId="61131EDD">
            <wp:extent cx="1051465" cy="12668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10.jpg"/>
                    <pic:cNvPicPr/>
                  </pic:nvPicPr>
                  <pic:blipFill>
                    <a:blip r:embed="rId28">
                      <a:extLst>
                        <a:ext uri="{28A0092B-C50C-407E-A947-70E740481C1C}">
                          <a14:useLocalDpi xmlns:a14="http://schemas.microsoft.com/office/drawing/2010/main" val="0"/>
                        </a:ext>
                      </a:extLst>
                    </a:blip>
                    <a:stretch>
                      <a:fillRect/>
                    </a:stretch>
                  </pic:blipFill>
                  <pic:spPr>
                    <a:xfrm>
                      <a:off x="0" y="0"/>
                      <a:ext cx="1061870" cy="1279362"/>
                    </a:xfrm>
                    <a:prstGeom prst="rect">
                      <a:avLst/>
                    </a:prstGeom>
                  </pic:spPr>
                </pic:pic>
              </a:graphicData>
            </a:graphic>
          </wp:inline>
        </w:drawing>
      </w:r>
    </w:p>
    <w:p w14:paraId="07D523C5" w14:textId="48B16841" w:rsidR="000A521C" w:rsidRPr="000A521C" w:rsidRDefault="00735977" w:rsidP="000A521C">
      <w:pPr>
        <w:pStyle w:val="NoNum"/>
        <w:ind w:firstLine="720"/>
      </w:pPr>
      <w:r>
        <w:rPr>
          <w:noProof/>
          <w:lang w:eastAsia="en-AU"/>
        </w:rPr>
        <w:drawing>
          <wp:inline distT="0" distB="0" distL="0" distR="0" wp14:anchorId="1CEB6DDA" wp14:editId="0D96B704">
            <wp:extent cx="1155469" cy="1221971"/>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11.jpg"/>
                    <pic:cNvPicPr/>
                  </pic:nvPicPr>
                  <pic:blipFill>
                    <a:blip r:embed="rId29">
                      <a:extLst>
                        <a:ext uri="{28A0092B-C50C-407E-A947-70E740481C1C}">
                          <a14:useLocalDpi xmlns:a14="http://schemas.microsoft.com/office/drawing/2010/main" val="0"/>
                        </a:ext>
                      </a:extLst>
                    </a:blip>
                    <a:stretch>
                      <a:fillRect/>
                    </a:stretch>
                  </pic:blipFill>
                  <pic:spPr>
                    <a:xfrm>
                      <a:off x="0" y="0"/>
                      <a:ext cx="1155469" cy="1221971"/>
                    </a:xfrm>
                    <a:prstGeom prst="rect">
                      <a:avLst/>
                    </a:prstGeom>
                  </pic:spPr>
                </pic:pic>
              </a:graphicData>
            </a:graphic>
          </wp:inline>
        </w:drawing>
      </w:r>
      <w:r w:rsidR="000A521C">
        <w:tab/>
      </w:r>
      <w:r>
        <w:rPr>
          <w:noProof/>
          <w:lang w:eastAsia="en-AU"/>
        </w:rPr>
        <w:drawing>
          <wp:inline distT="0" distB="0" distL="0" distR="0" wp14:anchorId="4BDC0232" wp14:editId="1C22D59B">
            <wp:extent cx="1100138" cy="1200150"/>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12.jpg"/>
                    <pic:cNvPicPr/>
                  </pic:nvPicPr>
                  <pic:blipFill>
                    <a:blip r:embed="rId30">
                      <a:extLst>
                        <a:ext uri="{28A0092B-C50C-407E-A947-70E740481C1C}">
                          <a14:useLocalDpi xmlns:a14="http://schemas.microsoft.com/office/drawing/2010/main" val="0"/>
                        </a:ext>
                      </a:extLst>
                    </a:blip>
                    <a:stretch>
                      <a:fillRect/>
                    </a:stretch>
                  </pic:blipFill>
                  <pic:spPr>
                    <a:xfrm>
                      <a:off x="0" y="0"/>
                      <a:ext cx="1112312" cy="1213430"/>
                    </a:xfrm>
                    <a:prstGeom prst="rect">
                      <a:avLst/>
                    </a:prstGeom>
                  </pic:spPr>
                </pic:pic>
              </a:graphicData>
            </a:graphic>
          </wp:inline>
        </w:drawing>
      </w:r>
      <w:r w:rsidR="000A521C">
        <w:tab/>
      </w:r>
      <w:r>
        <w:rPr>
          <w:noProof/>
          <w:lang w:eastAsia="en-AU"/>
        </w:rPr>
        <w:drawing>
          <wp:inline distT="0" distB="0" distL="0" distR="0" wp14:anchorId="598DDDD7" wp14:editId="035CD556">
            <wp:extent cx="1126375" cy="1176251"/>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13.jpg"/>
                    <pic:cNvPicPr/>
                  </pic:nvPicPr>
                  <pic:blipFill>
                    <a:blip r:embed="rId31">
                      <a:extLst>
                        <a:ext uri="{28A0092B-C50C-407E-A947-70E740481C1C}">
                          <a14:useLocalDpi xmlns:a14="http://schemas.microsoft.com/office/drawing/2010/main" val="0"/>
                        </a:ext>
                      </a:extLst>
                    </a:blip>
                    <a:stretch>
                      <a:fillRect/>
                    </a:stretch>
                  </pic:blipFill>
                  <pic:spPr>
                    <a:xfrm>
                      <a:off x="0" y="0"/>
                      <a:ext cx="1126375" cy="1176251"/>
                    </a:xfrm>
                    <a:prstGeom prst="rect">
                      <a:avLst/>
                    </a:prstGeom>
                  </pic:spPr>
                </pic:pic>
              </a:graphicData>
            </a:graphic>
          </wp:inline>
        </w:drawing>
      </w:r>
      <w:r w:rsidR="000A521C">
        <w:tab/>
      </w:r>
      <w:r>
        <w:rPr>
          <w:noProof/>
          <w:lang w:eastAsia="en-AU"/>
        </w:rPr>
        <w:drawing>
          <wp:inline distT="0" distB="0" distL="0" distR="0" wp14:anchorId="58F9679E" wp14:editId="6341D3FA">
            <wp:extent cx="885305" cy="11887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14.jpg"/>
                    <pic:cNvPicPr/>
                  </pic:nvPicPr>
                  <pic:blipFill>
                    <a:blip r:embed="rId32">
                      <a:extLst>
                        <a:ext uri="{28A0092B-C50C-407E-A947-70E740481C1C}">
                          <a14:useLocalDpi xmlns:a14="http://schemas.microsoft.com/office/drawing/2010/main" val="0"/>
                        </a:ext>
                      </a:extLst>
                    </a:blip>
                    <a:stretch>
                      <a:fillRect/>
                    </a:stretch>
                  </pic:blipFill>
                  <pic:spPr>
                    <a:xfrm>
                      <a:off x="0" y="0"/>
                      <a:ext cx="885305" cy="1188720"/>
                    </a:xfrm>
                    <a:prstGeom prst="rect">
                      <a:avLst/>
                    </a:prstGeom>
                  </pic:spPr>
                </pic:pic>
              </a:graphicData>
            </a:graphic>
          </wp:inline>
        </w:drawing>
      </w:r>
    </w:p>
    <w:p w14:paraId="62CE18F9" w14:textId="5290C5C2" w:rsidR="004D7D41" w:rsidRDefault="004D7D41" w:rsidP="004D7D41">
      <w:pPr>
        <w:pStyle w:val="ParaNumbering"/>
      </w:pPr>
      <w:r>
        <w:rPr>
          <w:i/>
        </w:rPr>
        <w:t>F</w:t>
      </w:r>
      <w:r w:rsidRPr="004D7D41">
        <w:rPr>
          <w:i/>
        </w:rPr>
        <w:t>ourth</w:t>
      </w:r>
      <w:r>
        <w:t xml:space="preserve">, if a consumer only saw the depiction of the SE </w:t>
      </w:r>
      <w:r w:rsidR="00C133FD">
        <w:t>Capsules</w:t>
      </w:r>
      <w:r>
        <w:t xml:space="preserve">, without the </w:t>
      </w:r>
      <w:r w:rsidR="00C133FD">
        <w:t>SOMAT</w:t>
      </w:r>
      <w:r w:rsidR="00F4619B">
        <w:rPr>
          <w:spacing w:val="-6"/>
        </w:rPr>
        <w:t xml:space="preserve"> </w:t>
      </w:r>
      <w:r>
        <w:t>brand,</w:t>
      </w:r>
      <w:r>
        <w:rPr>
          <w:spacing w:val="-7"/>
        </w:rPr>
        <w:t xml:space="preserve"> </w:t>
      </w:r>
      <w:r>
        <w:t>the</w:t>
      </w:r>
      <w:r>
        <w:rPr>
          <w:spacing w:val="-8"/>
        </w:rPr>
        <w:t xml:space="preserve"> </w:t>
      </w:r>
      <w:r>
        <w:t>consumer</w:t>
      </w:r>
      <w:r>
        <w:rPr>
          <w:spacing w:val="-5"/>
        </w:rPr>
        <w:t xml:space="preserve"> </w:t>
      </w:r>
      <w:r>
        <w:t>would</w:t>
      </w:r>
      <w:r>
        <w:rPr>
          <w:spacing w:val="-6"/>
        </w:rPr>
        <w:t xml:space="preserve"> </w:t>
      </w:r>
      <w:r>
        <w:t>have</w:t>
      </w:r>
      <w:r>
        <w:rPr>
          <w:spacing w:val="-8"/>
        </w:rPr>
        <w:t xml:space="preserve"> </w:t>
      </w:r>
      <w:r>
        <w:t>no</w:t>
      </w:r>
      <w:r>
        <w:rPr>
          <w:spacing w:val="-5"/>
        </w:rPr>
        <w:t xml:space="preserve"> </w:t>
      </w:r>
      <w:r>
        <w:t>information</w:t>
      </w:r>
      <w:r>
        <w:rPr>
          <w:spacing w:val="-6"/>
        </w:rPr>
        <w:t xml:space="preserve"> </w:t>
      </w:r>
      <w:r>
        <w:t>as</w:t>
      </w:r>
      <w:r>
        <w:rPr>
          <w:spacing w:val="-9"/>
        </w:rPr>
        <w:t xml:space="preserve"> </w:t>
      </w:r>
      <w:r>
        <w:t>to</w:t>
      </w:r>
      <w:r>
        <w:rPr>
          <w:spacing w:val="-8"/>
        </w:rPr>
        <w:t xml:space="preserve"> </w:t>
      </w:r>
      <w:r>
        <w:t>the</w:t>
      </w:r>
      <w:r>
        <w:rPr>
          <w:spacing w:val="-6"/>
        </w:rPr>
        <w:t xml:space="preserve"> </w:t>
      </w:r>
      <w:r>
        <w:t>origin</w:t>
      </w:r>
      <w:r>
        <w:rPr>
          <w:spacing w:val="-6"/>
        </w:rPr>
        <w:t xml:space="preserve"> </w:t>
      </w:r>
      <w:r>
        <w:t>of</w:t>
      </w:r>
      <w:r>
        <w:rPr>
          <w:spacing w:val="-6"/>
        </w:rPr>
        <w:t xml:space="preserve"> </w:t>
      </w:r>
      <w:r>
        <w:t>the product.</w:t>
      </w:r>
    </w:p>
    <w:p w14:paraId="56FD3A61" w14:textId="28DEC39F" w:rsidR="0015198D" w:rsidRDefault="0015198D" w:rsidP="0015198D">
      <w:pPr>
        <w:pStyle w:val="Heading3"/>
      </w:pPr>
      <w:r>
        <w:t>Consideration</w:t>
      </w:r>
    </w:p>
    <w:p w14:paraId="657CF6EC" w14:textId="4E4C9006" w:rsidR="007D467E" w:rsidRDefault="007D467E" w:rsidP="004D7D41">
      <w:pPr>
        <w:pStyle w:val="ParaNumbering"/>
      </w:pPr>
      <w:r>
        <w:t xml:space="preserve">On balance, I do not accept that the factors identified by Henkel establish that the SE Logo is not operating as a trade mark. </w:t>
      </w:r>
    </w:p>
    <w:p w14:paraId="0A9F2A51" w14:textId="7CFAB147" w:rsidR="00C55167" w:rsidRDefault="007D467E" w:rsidP="004D7D41">
      <w:pPr>
        <w:pStyle w:val="ParaNumbering"/>
      </w:pPr>
      <w:r>
        <w:lastRenderedPageBreak/>
        <w:t xml:space="preserve">The </w:t>
      </w:r>
      <w:r w:rsidR="0059586C">
        <w:t>“</w:t>
      </w:r>
      <w:r>
        <w:t>clear and dominant</w:t>
      </w:r>
      <w:r w:rsidR="0059586C">
        <w:t>”</w:t>
      </w:r>
      <w:r>
        <w:t xml:space="preserve"> use of the </w:t>
      </w:r>
      <w:r w:rsidR="0059586C">
        <w:t>“</w:t>
      </w:r>
      <w:r w:rsidR="00C133FD">
        <w:t>SOMAT</w:t>
      </w:r>
      <w:r>
        <w:t xml:space="preserve"> brand</w:t>
      </w:r>
      <w:r w:rsidR="0059586C">
        <w:t>”</w:t>
      </w:r>
      <w:r>
        <w:t xml:space="preserve"> does not, in itself, dictate a conclusion that the SE Logo cannot also operate as a trade mark. </w:t>
      </w:r>
    </w:p>
    <w:p w14:paraId="43DB8A62" w14:textId="1B0E680D" w:rsidR="00C55167" w:rsidRDefault="007B0B13" w:rsidP="004D7D41">
      <w:pPr>
        <w:pStyle w:val="ParaNumbering"/>
      </w:pPr>
      <w:r>
        <w:t>Further</w:t>
      </w:r>
      <w:r w:rsidR="001427E4">
        <w:t>,</w:t>
      </w:r>
      <w:r w:rsidR="00C55167">
        <w:t xml:space="preserve"> the use of </w:t>
      </w:r>
      <w:r w:rsidR="009B66E6">
        <w:t xml:space="preserve">the SE Logo on only the </w:t>
      </w:r>
      <w:r w:rsidR="00C133FD">
        <w:t xml:space="preserve">packaging for the SE Capsules </w:t>
      </w:r>
      <w:r>
        <w:t xml:space="preserve">does not </w:t>
      </w:r>
      <w:r w:rsidR="009B66E6">
        <w:t>mean that it</w:t>
      </w:r>
      <w:r w:rsidR="00C55167">
        <w:t xml:space="preserve"> can only be </w:t>
      </w:r>
      <w:r w:rsidR="009B66E6">
        <w:t xml:space="preserve">characterised as a use to </w:t>
      </w:r>
      <w:r w:rsidR="00C55167">
        <w:t xml:space="preserve">distinguish </w:t>
      </w:r>
      <w:r w:rsidR="009B66E6">
        <w:t xml:space="preserve">those products from other </w:t>
      </w:r>
      <w:r>
        <w:t xml:space="preserve">SOMAT </w:t>
      </w:r>
      <w:r w:rsidR="009B66E6">
        <w:t xml:space="preserve">products offered for sale by </w:t>
      </w:r>
      <w:r>
        <w:t>Henkel</w:t>
      </w:r>
      <w:r w:rsidR="00C133FD">
        <w:t xml:space="preserve">. It may serve that function and also be </w:t>
      </w:r>
      <w:r w:rsidR="009B66E6">
        <w:t>use</w:t>
      </w:r>
      <w:r w:rsidR="00C133FD">
        <w:t>d</w:t>
      </w:r>
      <w:r w:rsidR="009B66E6">
        <w:t xml:space="preserve"> as a trade</w:t>
      </w:r>
      <w:r w:rsidR="001A1572">
        <w:t xml:space="preserve"> </w:t>
      </w:r>
      <w:r w:rsidR="009B66E6">
        <w:t>mark</w:t>
      </w:r>
      <w:r w:rsidR="00C133FD">
        <w:t xml:space="preserve"> to identify the source of the origin of those goods</w:t>
      </w:r>
      <w:r w:rsidR="009B66E6">
        <w:t>.</w:t>
      </w:r>
    </w:p>
    <w:p w14:paraId="5E135DA2" w14:textId="4574F703" w:rsidR="009B66E6" w:rsidRDefault="007D467E" w:rsidP="004D7D41">
      <w:pPr>
        <w:pStyle w:val="ParaNumbering"/>
      </w:pPr>
      <w:r>
        <w:t xml:space="preserve">A </w:t>
      </w:r>
      <w:r w:rsidR="00C55167">
        <w:t>trader</w:t>
      </w:r>
      <w:r>
        <w:t xml:space="preserve"> may </w:t>
      </w:r>
      <w:r w:rsidR="00C55167">
        <w:t>use more than one trade</w:t>
      </w:r>
      <w:r w:rsidR="001A1572">
        <w:t xml:space="preserve"> </w:t>
      </w:r>
      <w:r w:rsidR="00C55167">
        <w:t xml:space="preserve">mark on a product </w:t>
      </w:r>
      <w:r w:rsidR="009B66E6">
        <w:t>and may use a sign or logo on a product for more than one purpose</w:t>
      </w:r>
      <w:r w:rsidR="00F4619B">
        <w:t>.</w:t>
      </w:r>
    </w:p>
    <w:p w14:paraId="29D88C7D" w14:textId="0825DCF2" w:rsidR="002A0885" w:rsidRDefault="002A0885" w:rsidP="004D7D41">
      <w:pPr>
        <w:pStyle w:val="ParaNumbering"/>
      </w:pPr>
      <w:r>
        <w:t xml:space="preserve">Nor is it an answer to a </w:t>
      </w:r>
      <w:r w:rsidR="001427E4">
        <w:t xml:space="preserve">contention that a sign was being used as a </w:t>
      </w:r>
      <w:r>
        <w:t>trade</w:t>
      </w:r>
      <w:r w:rsidR="001A1572">
        <w:t xml:space="preserve"> </w:t>
      </w:r>
      <w:r>
        <w:t xml:space="preserve">mark </w:t>
      </w:r>
      <w:r w:rsidR="001427E4">
        <w:t xml:space="preserve">to claim </w:t>
      </w:r>
      <w:r>
        <w:t xml:space="preserve">that the impugned sign simply depicted the product to be sold. The relevant question is whether the impugned sign was </w:t>
      </w:r>
      <w:r w:rsidR="001427E4">
        <w:t xml:space="preserve">being used as a </w:t>
      </w:r>
      <w:r>
        <w:t>trade</w:t>
      </w:r>
      <w:r w:rsidR="001A1572">
        <w:t xml:space="preserve"> </w:t>
      </w:r>
      <w:r>
        <w:t>mark</w:t>
      </w:r>
      <w:r w:rsidR="00F4619B">
        <w:t xml:space="preserve"> and</w:t>
      </w:r>
      <w:r>
        <w:t xml:space="preserve"> that question is not answered by asking whether it was common in the relevant trade to depict pictures of the products to be sold on packaging. </w:t>
      </w:r>
    </w:p>
    <w:p w14:paraId="6FF37C79" w14:textId="09F6B749" w:rsidR="001427E4" w:rsidRDefault="00A730E1" w:rsidP="004D7D41">
      <w:pPr>
        <w:pStyle w:val="ParaNumbering"/>
      </w:pPr>
      <w:r>
        <w:t>Further, the respondent’s contention that the SE Logo by itself could not provide a customer with any information about the origin of the SE Capsules does not relevantly advance matters</w:t>
      </w:r>
      <w:r w:rsidR="00DD4C17">
        <w:t>, as i</w:t>
      </w:r>
      <w:r>
        <w:t xml:space="preserve">t appears to proceed necessarily on the assumption that the SE Logo is not deceptively similar to the </w:t>
      </w:r>
      <w:r w:rsidR="009F5210">
        <w:t xml:space="preserve">RBF’s </w:t>
      </w:r>
      <w:r>
        <w:t>914 Mark and 311 Mark</w:t>
      </w:r>
      <w:r w:rsidR="009F5210">
        <w:t>.</w:t>
      </w:r>
    </w:p>
    <w:p w14:paraId="007EFF83" w14:textId="4BC76017" w:rsidR="007D467E" w:rsidRDefault="00AC10CC" w:rsidP="009E0146">
      <w:pPr>
        <w:pStyle w:val="ParaNumbering"/>
      </w:pPr>
      <w:r>
        <w:t>Due to</w:t>
      </w:r>
      <w:r w:rsidR="00C55167">
        <w:t xml:space="preserve"> the prominence given to the SE Logo by Henkel on </w:t>
      </w:r>
      <w:r w:rsidR="007B0B13">
        <w:t xml:space="preserve">the packaging for </w:t>
      </w:r>
      <w:r w:rsidR="00C55167">
        <w:t xml:space="preserve">the </w:t>
      </w:r>
      <w:r w:rsidR="007B0B13">
        <w:t>SE Capsules</w:t>
      </w:r>
      <w:r>
        <w:t xml:space="preserve"> and the use of the SE Logo </w:t>
      </w:r>
      <w:r w:rsidR="00C55167">
        <w:t>on proposed aisle fins and product bins</w:t>
      </w:r>
      <w:r w:rsidR="002A0885">
        <w:t xml:space="preserve"> as outlined above,</w:t>
      </w:r>
      <w:r w:rsidR="00B94522">
        <w:t xml:space="preserve"> </w:t>
      </w:r>
      <w:r w:rsidR="00C55167">
        <w:t xml:space="preserve">I am satisfied that the applicants have established a prima facie case that there has been a use of the SE Logo as a trade mark by </w:t>
      </w:r>
      <w:r w:rsidR="009B66E6">
        <w:t>Henkel.</w:t>
      </w:r>
      <w:r w:rsidR="002A0885">
        <w:t xml:space="preserve"> </w:t>
      </w:r>
    </w:p>
    <w:p w14:paraId="494F6B39" w14:textId="7E3BEC82" w:rsidR="004D7D41" w:rsidRPr="00842E76" w:rsidRDefault="004D7D41" w:rsidP="00D92CAF">
      <w:pPr>
        <w:pStyle w:val="Heading2"/>
      </w:pPr>
      <w:r w:rsidRPr="00842E76">
        <w:t>Deceptive similarity</w:t>
      </w:r>
    </w:p>
    <w:p w14:paraId="41B5DC49" w14:textId="4F395436" w:rsidR="004D7D41" w:rsidRPr="00842E76" w:rsidRDefault="004D7D41" w:rsidP="004D7D41">
      <w:pPr>
        <w:pStyle w:val="ParaNumbering"/>
      </w:pPr>
      <w:r w:rsidRPr="00842E76">
        <w:t xml:space="preserve">Pursuant to s 10 of the </w:t>
      </w:r>
      <w:r w:rsidR="0015198D" w:rsidRPr="00842E76">
        <w:t>TMA</w:t>
      </w:r>
      <w:r w:rsidR="00AC10CC" w:rsidRPr="00842E76">
        <w:t>,</w:t>
      </w:r>
      <w:r w:rsidRPr="00842E76">
        <w:t xml:space="preserve"> a trade mark will be deceptively similar to another trade mark if it so nearly resembles that other trade mark that it is likely to deceive or cause</w:t>
      </w:r>
      <w:r w:rsidRPr="00842E76">
        <w:rPr>
          <w:spacing w:val="-23"/>
        </w:rPr>
        <w:t xml:space="preserve"> </w:t>
      </w:r>
      <w:r w:rsidRPr="00842E76">
        <w:t>confusion.</w:t>
      </w:r>
    </w:p>
    <w:p w14:paraId="567125EE" w14:textId="37377ADE" w:rsidR="00D92CAF" w:rsidRDefault="00D92CAF" w:rsidP="00D92CAF">
      <w:pPr>
        <w:pStyle w:val="Heading3"/>
      </w:pPr>
      <w:r>
        <w:t>Legal principles</w:t>
      </w:r>
    </w:p>
    <w:p w14:paraId="75CC83FD" w14:textId="4983303A" w:rsidR="00F6059D" w:rsidRDefault="00F6059D" w:rsidP="004D7D41">
      <w:pPr>
        <w:pStyle w:val="ParaNumbering"/>
      </w:pPr>
      <w:r>
        <w:t xml:space="preserve">The definition of </w:t>
      </w:r>
      <w:r w:rsidR="0059586C">
        <w:t>“</w:t>
      </w:r>
      <w:r>
        <w:t>deceptive similarity</w:t>
      </w:r>
      <w:r w:rsidR="0059586C">
        <w:t>”</w:t>
      </w:r>
      <w:r>
        <w:t xml:space="preserve"> requires an attempt to be made to estimate the </w:t>
      </w:r>
      <w:r w:rsidR="0059586C">
        <w:t>“</w:t>
      </w:r>
      <w:r>
        <w:t>effect or impression</w:t>
      </w:r>
      <w:r w:rsidR="0059586C">
        <w:t>”</w:t>
      </w:r>
      <w:r>
        <w:t xml:space="preserve"> that would be produced on the minds of potential customers being persons of ordinary intelligence and memory by th</w:t>
      </w:r>
      <w:r w:rsidR="00842E76">
        <w:t xml:space="preserve">e normal use of the trade mark. The </w:t>
      </w:r>
      <w:r>
        <w:t xml:space="preserve">task is not to place the marks </w:t>
      </w:r>
      <w:r w:rsidR="0059586C">
        <w:t>“</w:t>
      </w:r>
      <w:r>
        <w:t>side by side</w:t>
      </w:r>
      <w:r w:rsidR="0059586C">
        <w:t>”</w:t>
      </w:r>
      <w:r>
        <w:t xml:space="preserve"> in order to demonstrate how small the chance of error might be: </w:t>
      </w:r>
      <w:r w:rsidRPr="00D34B15">
        <w:rPr>
          <w:i/>
        </w:rPr>
        <w:t>Australian Woollen Mills</w:t>
      </w:r>
      <w:r w:rsidR="00C7368B">
        <w:rPr>
          <w:i/>
        </w:rPr>
        <w:t xml:space="preserve"> </w:t>
      </w:r>
      <w:r w:rsidR="00842E76">
        <w:rPr>
          <w:i/>
        </w:rPr>
        <w:t>Limited</w:t>
      </w:r>
      <w:r w:rsidRPr="00D34B15">
        <w:rPr>
          <w:i/>
        </w:rPr>
        <w:t xml:space="preserve"> v F. S. Walton </w:t>
      </w:r>
      <w:r w:rsidR="00842E76">
        <w:rPr>
          <w:i/>
        </w:rPr>
        <w:t>and</w:t>
      </w:r>
      <w:r w:rsidRPr="00D34B15">
        <w:rPr>
          <w:i/>
        </w:rPr>
        <w:t xml:space="preserve"> </w:t>
      </w:r>
      <w:r w:rsidR="00842E76">
        <w:rPr>
          <w:i/>
        </w:rPr>
        <w:t>Company</w:t>
      </w:r>
      <w:r w:rsidRPr="00D34B15">
        <w:rPr>
          <w:i/>
        </w:rPr>
        <w:t xml:space="preserve"> </w:t>
      </w:r>
      <w:r w:rsidR="00842E76">
        <w:rPr>
          <w:i/>
        </w:rPr>
        <w:t xml:space="preserve">Limited </w:t>
      </w:r>
      <w:r w:rsidR="00C7368B">
        <w:t xml:space="preserve">[1937] HCA 51; </w:t>
      </w:r>
      <w:r>
        <w:t xml:space="preserve">(1937) </w:t>
      </w:r>
      <w:r>
        <w:lastRenderedPageBreak/>
        <w:t xml:space="preserve">58 CLR 641 </w:t>
      </w:r>
      <w:r w:rsidR="00CE3DA7">
        <w:t>(</w:t>
      </w:r>
      <w:r w:rsidR="00CE3DA7" w:rsidRPr="00CE3DA7">
        <w:rPr>
          <w:b/>
          <w:i/>
        </w:rPr>
        <w:t>Australian Woollen Mills</w:t>
      </w:r>
      <w:r w:rsidR="00CE3DA7">
        <w:t xml:space="preserve">) </w:t>
      </w:r>
      <w:r>
        <w:t xml:space="preserve">at 658 (Dixon and </w:t>
      </w:r>
      <w:proofErr w:type="spellStart"/>
      <w:r>
        <w:t>McTiernan</w:t>
      </w:r>
      <w:proofErr w:type="spellEnd"/>
      <w:r>
        <w:t xml:space="preserve"> JJ); </w:t>
      </w:r>
      <w:r w:rsidR="00C7368B">
        <w:rPr>
          <w:i/>
        </w:rPr>
        <w:t>Shell</w:t>
      </w:r>
      <w:r>
        <w:t xml:space="preserve"> at 415 (Windeyer J).</w:t>
      </w:r>
    </w:p>
    <w:p w14:paraId="6BF424B2" w14:textId="7B001AEF" w:rsidR="00CE3DA7" w:rsidRDefault="00CE3DA7" w:rsidP="004D7D41">
      <w:pPr>
        <w:pStyle w:val="ParaNumbering"/>
      </w:pPr>
      <w:r>
        <w:t xml:space="preserve">The test for deceptive similarity has been described as </w:t>
      </w:r>
      <w:r w:rsidR="0059586C">
        <w:t>“</w:t>
      </w:r>
      <w:r>
        <w:t>a question never susceptible of much discussion</w:t>
      </w:r>
      <w:r w:rsidR="0059586C">
        <w:t>”</w:t>
      </w:r>
      <w:r>
        <w:t xml:space="preserve"> and a test that depends on a </w:t>
      </w:r>
      <w:r w:rsidR="0059586C">
        <w:t>“</w:t>
      </w:r>
      <w:r>
        <w:t xml:space="preserve">combination of visual </w:t>
      </w:r>
      <w:r w:rsidR="00C7368B">
        <w:t xml:space="preserve">impression </w:t>
      </w:r>
      <w:r>
        <w:t xml:space="preserve">and judicial estimation of the effect likely </w:t>
      </w:r>
      <w:r w:rsidRPr="00C7368B">
        <w:t>to be</w:t>
      </w:r>
      <w:r w:rsidRPr="00C76881">
        <w:rPr>
          <w:sz w:val="28"/>
        </w:rPr>
        <w:t xml:space="preserve"> </w:t>
      </w:r>
      <w:r>
        <w:t>produced in the course of the ordinary conduct of affairs</w:t>
      </w:r>
      <w:r w:rsidR="0059586C">
        <w:t>”</w:t>
      </w:r>
      <w:r>
        <w:t xml:space="preserve">: </w:t>
      </w:r>
      <w:r w:rsidRPr="00CE3DA7">
        <w:rPr>
          <w:i/>
        </w:rPr>
        <w:t>Australian Woollen Mills</w:t>
      </w:r>
      <w:r>
        <w:t xml:space="preserve"> at 659 (Dixon and </w:t>
      </w:r>
      <w:proofErr w:type="spellStart"/>
      <w:r>
        <w:t>McTiernan</w:t>
      </w:r>
      <w:proofErr w:type="spellEnd"/>
      <w:r>
        <w:t xml:space="preserve"> JJ).</w:t>
      </w:r>
    </w:p>
    <w:p w14:paraId="56624128" w14:textId="4F3242B8" w:rsidR="00FD12A7" w:rsidRDefault="00FD12A7" w:rsidP="004D7D41">
      <w:pPr>
        <w:pStyle w:val="ParaNumbering"/>
      </w:pPr>
      <w:r>
        <w:t xml:space="preserve">In order to determine whether one mark is deceptively similar to another mark it is necessary to focus on </w:t>
      </w:r>
      <w:r w:rsidR="0059586C">
        <w:t>“</w:t>
      </w:r>
      <w:r>
        <w:t>the impression or recollection which is carried away and retained of the registered mark</w:t>
      </w:r>
      <w:r w:rsidR="00C7368B">
        <w:t>,</w:t>
      </w:r>
      <w:r>
        <w:t xml:space="preserve"> when conducting the comparison</w:t>
      </w:r>
      <w:r w:rsidR="0059586C">
        <w:t>”</w:t>
      </w:r>
      <w:r>
        <w:t xml:space="preserve">: </w:t>
      </w:r>
      <w:r w:rsidRPr="00FD12A7">
        <w:rPr>
          <w:i/>
        </w:rPr>
        <w:t>PDP Capital Pty Ltd v Grasshopper Ventures Pty Ltd</w:t>
      </w:r>
      <w:r>
        <w:t xml:space="preserve"> [2021] FCAFC 128 (</w:t>
      </w:r>
      <w:r w:rsidRPr="00DB50A7">
        <w:rPr>
          <w:b/>
          <w:i/>
        </w:rPr>
        <w:t>PDP</w:t>
      </w:r>
      <w:r>
        <w:t>)</w:t>
      </w:r>
      <w:r w:rsidR="00B94522">
        <w:t xml:space="preserve"> </w:t>
      </w:r>
      <w:r>
        <w:t>at [97] (Jagot, Nicholas and Burley JJ).</w:t>
      </w:r>
    </w:p>
    <w:p w14:paraId="40CF6E1F" w14:textId="0BB5237E" w:rsidR="00C84758" w:rsidRDefault="00C7368B" w:rsidP="00C7368B">
      <w:pPr>
        <w:pStyle w:val="ParaNumbering"/>
      </w:pPr>
      <w:r w:rsidRPr="00C7368B">
        <w:t>It is sufficient to establish likely confusion if the result of a mark</w:t>
      </w:r>
      <w:r w:rsidR="0059586C">
        <w:t>’</w:t>
      </w:r>
      <w:r w:rsidRPr="00C7368B">
        <w:t>s use would be</w:t>
      </w:r>
      <w:r w:rsidR="00B0556A">
        <w:t xml:space="preserve"> that a number of persons are</w:t>
      </w:r>
      <w:r w:rsidRPr="00C7368B">
        <w:t xml:space="preserve"> caused to wonder whether it might not be the case that two closely related products come from th</w:t>
      </w:r>
      <w:r>
        <w:t>e same source</w:t>
      </w:r>
      <w:r w:rsidR="00B0556A">
        <w:t>.</w:t>
      </w:r>
      <w:r>
        <w:t xml:space="preserve"> </w:t>
      </w:r>
      <w:r w:rsidR="00B0556A">
        <w:t>I</w:t>
      </w:r>
      <w:r>
        <w:t xml:space="preserve">t is enough if </w:t>
      </w:r>
      <w:r w:rsidRPr="00C7368B">
        <w:t>a</w:t>
      </w:r>
      <w:r w:rsidR="00B0556A">
        <w:t>n ordinary</w:t>
      </w:r>
      <w:r w:rsidRPr="00C7368B">
        <w:t xml:space="preserve"> person might entertain a reasonable doubt: </w:t>
      </w:r>
      <w:r w:rsidRPr="00C7368B">
        <w:rPr>
          <w:i/>
        </w:rPr>
        <w:t xml:space="preserve">Registrar of Trade Marks v Woolworths Ltd </w:t>
      </w:r>
      <w:r w:rsidRPr="00C7368B">
        <w:t>(1999) 93 FCR 365</w:t>
      </w:r>
      <w:r w:rsidR="00B0556A">
        <w:t>; [1999] FCA 1020</w:t>
      </w:r>
      <w:r w:rsidRPr="00C7368B">
        <w:t xml:space="preserve"> at [50] (French J) (as his Honour then was)</w:t>
      </w:r>
      <w:r>
        <w:t>.</w:t>
      </w:r>
    </w:p>
    <w:p w14:paraId="009DA937" w14:textId="73EE8553" w:rsidR="00FD12A7" w:rsidRDefault="00FE450C" w:rsidP="00FE450C">
      <w:pPr>
        <w:pStyle w:val="ParaNumbering"/>
      </w:pPr>
      <w:r w:rsidRPr="00FE450C">
        <w:t xml:space="preserve">The determination of whether a sign used as a trade mark is deceptively similar to a registered trade mark involves an exercise that is evaluative and upon which reasonable minds may differ: </w:t>
      </w:r>
      <w:r w:rsidRPr="00FE450C">
        <w:rPr>
          <w:i/>
        </w:rPr>
        <w:t>PDP</w:t>
      </w:r>
      <w:r w:rsidRPr="00FE450C">
        <w:t xml:space="preserve"> at [98].</w:t>
      </w:r>
    </w:p>
    <w:p w14:paraId="57CF7B40" w14:textId="0B718EBF" w:rsidR="006E5ED6" w:rsidRDefault="00FE450C" w:rsidP="00FE450C">
      <w:pPr>
        <w:pStyle w:val="ParaNumbering"/>
      </w:pPr>
      <w:r w:rsidRPr="00FE450C">
        <w:t>Whilst surrounding circumstances have some relevance</w:t>
      </w:r>
      <w:r w:rsidR="00842E76">
        <w:t>,</w:t>
      </w:r>
      <w:r w:rsidRPr="00FE450C">
        <w:t xml:space="preserve"> the essential task remains one of trade mark comparison. The inquiry is thus a relatively limited one</w:t>
      </w:r>
      <w:r w:rsidR="005C532A">
        <w:t>,</w:t>
      </w:r>
      <w:r w:rsidRPr="00FE450C">
        <w:t xml:space="preserve"> but the context of surrounding circumstances cannot be ignored</w:t>
      </w:r>
      <w:r>
        <w:t xml:space="preserve">: </w:t>
      </w:r>
      <w:r w:rsidRPr="00FE450C">
        <w:rPr>
          <w:i/>
        </w:rPr>
        <w:t>Optical 88 Limited v Optical 88 Pty Limited (No 2)</w:t>
      </w:r>
      <w:r w:rsidRPr="00FE450C">
        <w:t xml:space="preserve"> </w:t>
      </w:r>
      <w:r>
        <w:t xml:space="preserve">(2010) </w:t>
      </w:r>
      <w:r w:rsidR="005905F2">
        <w:t>275 ALR 526</w:t>
      </w:r>
      <w:r>
        <w:t>; [2010] FCA 1380</w:t>
      </w:r>
      <w:r w:rsidRPr="00FE450C">
        <w:t xml:space="preserve"> (</w:t>
      </w:r>
      <w:r w:rsidRPr="00FE450C">
        <w:rPr>
          <w:b/>
          <w:i/>
        </w:rPr>
        <w:t>Optical 88</w:t>
      </w:r>
      <w:r w:rsidRPr="00FE450C">
        <w:t>) at [94] (Yates J).</w:t>
      </w:r>
    </w:p>
    <w:p w14:paraId="6853266A" w14:textId="2E759C89" w:rsidR="00CE3DA7" w:rsidRDefault="00C84758" w:rsidP="004D7D41">
      <w:pPr>
        <w:pStyle w:val="ParaNumbering"/>
      </w:pPr>
      <w:r>
        <w:t>It is necessary to</w:t>
      </w:r>
      <w:r w:rsidR="005905F2">
        <w:t xml:space="preserve"> consider each mark as a whole. This </w:t>
      </w:r>
      <w:r>
        <w:t xml:space="preserve">is of particular significance with respect to composite marks which may </w:t>
      </w:r>
      <w:r w:rsidR="00041A6C">
        <w:t xml:space="preserve">consist </w:t>
      </w:r>
      <w:r>
        <w:t xml:space="preserve">of a number of elements. Each of those elements must be looked at in their context. This will include the size, prominence and stylisation of words and device elements used in the mark and their relationship to each other: </w:t>
      </w:r>
      <w:r w:rsidRPr="00C84758">
        <w:rPr>
          <w:i/>
        </w:rPr>
        <w:t>Optical 88</w:t>
      </w:r>
      <w:r>
        <w:t xml:space="preserve"> at [100].</w:t>
      </w:r>
    </w:p>
    <w:p w14:paraId="3CCD0B93" w14:textId="2F863BDF" w:rsidR="00DB50A7" w:rsidRPr="00974FC1" w:rsidRDefault="0015198D" w:rsidP="00DB50A7">
      <w:pPr>
        <w:pStyle w:val="Heading3"/>
      </w:pPr>
      <w:r>
        <w:t>Applicants</w:t>
      </w:r>
      <w:r w:rsidR="0059586C">
        <w:t>’</w:t>
      </w:r>
      <w:r>
        <w:t xml:space="preserve"> submissions</w:t>
      </w:r>
    </w:p>
    <w:p w14:paraId="57FC63D9" w14:textId="7B9A58D6" w:rsidR="004D7D41" w:rsidRDefault="007B0B13" w:rsidP="00041A6C">
      <w:pPr>
        <w:pStyle w:val="ParaNumbering"/>
      </w:pPr>
      <w:r>
        <w:t>T</w:t>
      </w:r>
      <w:r w:rsidR="00041A6C" w:rsidRPr="00041A6C">
        <w:t xml:space="preserve">he </w:t>
      </w:r>
      <w:r>
        <w:t>applicant</w:t>
      </w:r>
      <w:r w:rsidR="005905F2">
        <w:t>s contend</w:t>
      </w:r>
      <w:r>
        <w:t xml:space="preserve"> that the </w:t>
      </w:r>
      <w:r w:rsidR="008E53CB">
        <w:t>SE Logo consists of the stylis</w:t>
      </w:r>
      <w:r w:rsidR="00041A6C" w:rsidRPr="00041A6C">
        <w:t xml:space="preserve">ed depiction of the capsule in blue, red and white, </w:t>
      </w:r>
      <w:r>
        <w:t>with</w:t>
      </w:r>
      <w:r w:rsidR="00041A6C" w:rsidRPr="00041A6C">
        <w:t xml:space="preserve"> white rays radiating from it.</w:t>
      </w:r>
    </w:p>
    <w:p w14:paraId="1933A490" w14:textId="123E32FE" w:rsidR="004D7D41" w:rsidRDefault="00041A6C" w:rsidP="00041A6C">
      <w:pPr>
        <w:pStyle w:val="ParaNumbering"/>
      </w:pPr>
      <w:r w:rsidRPr="00041A6C">
        <w:t>The applicants submit that:</w:t>
      </w:r>
    </w:p>
    <w:p w14:paraId="7736F623" w14:textId="28CAD7B5" w:rsidR="00041A6C" w:rsidRDefault="00041A6C" w:rsidP="00041A6C">
      <w:pPr>
        <w:pStyle w:val="Quote1"/>
      </w:pPr>
      <w:r w:rsidRPr="00041A6C">
        <w:lastRenderedPageBreak/>
        <w:t xml:space="preserve">The similarities between the SE Logo and the 914 Mark are inescapable. Both feature a white-coloured </w:t>
      </w:r>
      <w:proofErr w:type="spellStart"/>
      <w:r w:rsidRPr="00041A6C">
        <w:t>gelcap</w:t>
      </w:r>
      <w:proofErr w:type="spellEnd"/>
      <w:r w:rsidRPr="00041A6C">
        <w:t xml:space="preserve"> with blue speckles. Both feature in the </w:t>
      </w:r>
      <w:proofErr w:type="spellStart"/>
      <w:r w:rsidRPr="00041A6C">
        <w:t>gelcaps</w:t>
      </w:r>
      <w:proofErr w:type="spellEnd"/>
      <w:r w:rsidR="0059586C">
        <w:t>’</w:t>
      </w:r>
      <w:r w:rsidRPr="00041A6C">
        <w:t xml:space="preserve"> centre a circular compartment in red. Both feature a blue component that partially surrounds the red centre, and which is contoured to resemble a swirling wave. The difference between the two is that the SE Logo includes an additional light blue wave component to complement the darker blue component. The overall impression created by the SE Logo remains that of a white tablet, with a red centre component, partially surrounded by waves of blue. In these circumstances, and bearing in mind the test is one of imperfect recollection, consumers will be caused to wonder whether the SE Capsules come from the same source i.e. they will be caused to wonder whether the SE Capsules are somehow associated with the Applicants</w:t>
      </w:r>
      <w:r w:rsidR="0059586C">
        <w:t>’</w:t>
      </w:r>
      <w:r w:rsidRPr="00041A6C">
        <w:t xml:space="preserve"> </w:t>
      </w:r>
      <w:r w:rsidR="00C133FD">
        <w:t>FINISH</w:t>
      </w:r>
      <w:r w:rsidRPr="00041A6C">
        <w:t xml:space="preserve"> products.</w:t>
      </w:r>
    </w:p>
    <w:p w14:paraId="1B3AE518" w14:textId="776C6377" w:rsidR="004D7D41" w:rsidRDefault="003019EE" w:rsidP="003019EE">
      <w:pPr>
        <w:pStyle w:val="ParaNumbering"/>
      </w:pPr>
      <w:r w:rsidRPr="003019EE">
        <w:t xml:space="preserve">While the </w:t>
      </w:r>
      <w:r>
        <w:t>a</w:t>
      </w:r>
      <w:r w:rsidRPr="003019EE">
        <w:t>pplicants place their strongest emphasis on the 914 Mark, they submit that the 311 Mark does have independent significance. They submit that:</w:t>
      </w:r>
    </w:p>
    <w:p w14:paraId="1C283004" w14:textId="16527747" w:rsidR="003019EE" w:rsidRDefault="003019EE" w:rsidP="003019EE">
      <w:pPr>
        <w:pStyle w:val="Quote1"/>
      </w:pPr>
      <w:r w:rsidRPr="003019EE">
        <w:t xml:space="preserve">It calls up the idea of the star burst, and of light or energy radiating from the red </w:t>
      </w:r>
      <w:proofErr w:type="spellStart"/>
      <w:r w:rsidRPr="003019EE">
        <w:t>powerball</w:t>
      </w:r>
      <w:proofErr w:type="spellEnd"/>
      <w:r w:rsidRPr="003019EE">
        <w:t>. The Respondent</w:t>
      </w:r>
      <w:r w:rsidR="0059586C">
        <w:t>’</w:t>
      </w:r>
      <w:r w:rsidRPr="003019EE">
        <w:t>s particular use of radiating lines does vary somewhat</w:t>
      </w:r>
      <w:r>
        <w:t xml:space="preserve"> …</w:t>
      </w:r>
      <w:r w:rsidRPr="003019EE">
        <w:t xml:space="preserve"> But what is common to them is that same idea of white rays of light or energy radiating out from the red </w:t>
      </w:r>
      <w:proofErr w:type="spellStart"/>
      <w:r w:rsidRPr="003019EE">
        <w:t>powerball</w:t>
      </w:r>
      <w:proofErr w:type="spellEnd"/>
      <w:r w:rsidRPr="003019EE">
        <w:t xml:space="preserve">, the </w:t>
      </w:r>
      <w:proofErr w:type="spellStart"/>
      <w:r w:rsidRPr="003019EE">
        <w:t>powerball</w:t>
      </w:r>
      <w:proofErr w:type="spellEnd"/>
      <w:r w:rsidRPr="003019EE">
        <w:t xml:space="preserve"> being surrounded by a blue background. Again, an overall impression of similarity emerges and the consumer will be caused to wonder whether this is another use of another of the familiar 311 Mark in a new context.</w:t>
      </w:r>
    </w:p>
    <w:p w14:paraId="7B8A4DB5" w14:textId="21B22604" w:rsidR="0015198D" w:rsidRDefault="00A45569" w:rsidP="0015198D">
      <w:pPr>
        <w:pStyle w:val="Heading3"/>
      </w:pPr>
      <w:r>
        <w:t>Respondent’s</w:t>
      </w:r>
      <w:r w:rsidR="0015198D">
        <w:t xml:space="preserve"> submissions</w:t>
      </w:r>
    </w:p>
    <w:p w14:paraId="23A736A6" w14:textId="77777777" w:rsidR="000871B4" w:rsidRDefault="004D7D41" w:rsidP="000871B4">
      <w:pPr>
        <w:pStyle w:val="ParaNumbering"/>
      </w:pPr>
      <w:r>
        <w:t xml:space="preserve">Henkel submits that consumers who view the </w:t>
      </w:r>
      <w:r w:rsidR="007B0B13">
        <w:t xml:space="preserve">packaging for the </w:t>
      </w:r>
      <w:r>
        <w:t xml:space="preserve">SE </w:t>
      </w:r>
      <w:r w:rsidR="007B0B13">
        <w:t>Capsules</w:t>
      </w:r>
      <w:r>
        <w:t xml:space="preserve"> as a whole would understand the dominant </w:t>
      </w:r>
      <w:r w:rsidR="00C133FD">
        <w:t>SOMAT</w:t>
      </w:r>
      <w:r w:rsidR="003019EE">
        <w:t xml:space="preserve"> </w:t>
      </w:r>
      <w:r>
        <w:t>trade mark as the brand of the product rather than the SE Logo. It submits that the SE Logo (that it chooses to refer</w:t>
      </w:r>
      <w:r w:rsidR="005C532A">
        <w:t xml:space="preserve"> to</w:t>
      </w:r>
      <w:r>
        <w:t xml:space="preserve"> </w:t>
      </w:r>
      <w:r w:rsidR="0015198D">
        <w:t xml:space="preserve">in its submissions </w:t>
      </w:r>
      <w:r>
        <w:t xml:space="preserve">as the </w:t>
      </w:r>
      <w:r w:rsidR="0059586C">
        <w:t>“</w:t>
      </w:r>
      <w:r>
        <w:t>depiction of the SE Product</w:t>
      </w:r>
      <w:r w:rsidR="0059586C">
        <w:t>”</w:t>
      </w:r>
      <w:r>
        <w:t xml:space="preserve">) distinguishes that product from other variants in the </w:t>
      </w:r>
      <w:r w:rsidR="00C133FD">
        <w:t>SOMAT</w:t>
      </w:r>
      <w:r>
        <w:t xml:space="preserve"> range of dishwa</w:t>
      </w:r>
      <w:r w:rsidR="000871B4">
        <w:t>shing products, as shown below:</w:t>
      </w:r>
    </w:p>
    <w:p w14:paraId="10353446" w14:textId="2CF72C7A" w:rsidR="004D7D41" w:rsidRPr="00F02EE4" w:rsidRDefault="000871B4" w:rsidP="000871B4">
      <w:pPr>
        <w:pStyle w:val="ParaNumbering"/>
        <w:numPr>
          <w:ilvl w:val="0"/>
          <w:numId w:val="0"/>
        </w:numPr>
      </w:pPr>
      <w:r>
        <w:rPr>
          <w:noProof/>
          <w:lang w:eastAsia="en-AU"/>
        </w:rPr>
        <w:drawing>
          <wp:inline distT="0" distB="0" distL="0" distR="0" wp14:anchorId="2898A4AC" wp14:editId="3A850AAE">
            <wp:extent cx="5732145" cy="1791335"/>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et of 4.JPG"/>
                    <pic:cNvPicPr/>
                  </pic:nvPicPr>
                  <pic:blipFill rotWithShape="1">
                    <a:blip r:embed="rId33">
                      <a:extLst>
                        <a:ext uri="{28A0092B-C50C-407E-A947-70E740481C1C}">
                          <a14:useLocalDpi xmlns:a14="http://schemas.microsoft.com/office/drawing/2010/main" val="0"/>
                        </a:ext>
                      </a:extLst>
                    </a:blip>
                    <a:srcRect t="3588"/>
                    <a:stretch/>
                  </pic:blipFill>
                  <pic:spPr bwMode="auto">
                    <a:xfrm>
                      <a:off x="0" y="0"/>
                      <a:ext cx="5732145" cy="1791335"/>
                    </a:xfrm>
                    <a:prstGeom prst="rect">
                      <a:avLst/>
                    </a:prstGeom>
                    <a:ln>
                      <a:noFill/>
                    </a:ln>
                    <a:extLst>
                      <a:ext uri="{53640926-AAD7-44D8-BBD7-CCE9431645EC}">
                        <a14:shadowObscured xmlns:a14="http://schemas.microsoft.com/office/drawing/2010/main"/>
                      </a:ext>
                    </a:extLst>
                  </pic:spPr>
                </pic:pic>
              </a:graphicData>
            </a:graphic>
          </wp:inline>
        </w:drawing>
      </w:r>
    </w:p>
    <w:p w14:paraId="6C8C277B" w14:textId="5F3B99D1" w:rsidR="004D7D41" w:rsidRDefault="004D7D41" w:rsidP="005C532A">
      <w:pPr>
        <w:pStyle w:val="ParaNumbering"/>
        <w:keepNext/>
        <w:keepLines/>
      </w:pPr>
      <w:r>
        <w:lastRenderedPageBreak/>
        <w:t xml:space="preserve">Henkel submits that </w:t>
      </w:r>
      <w:r w:rsidR="005905F2">
        <w:t>the applicants’</w:t>
      </w:r>
      <w:r>
        <w:t xml:space="preserve"> claim is also likely to fail because there is insufficient resemblance between the respective marks to establish deceptive similarity within </w:t>
      </w:r>
      <w:proofErr w:type="spellStart"/>
      <w:r>
        <w:t>ss</w:t>
      </w:r>
      <w:proofErr w:type="spellEnd"/>
      <w:r w:rsidR="005C532A">
        <w:t> </w:t>
      </w:r>
      <w:r>
        <w:t>10 and 120(1) of the</w:t>
      </w:r>
      <w:r w:rsidR="005905F2">
        <w:t xml:space="preserve"> </w:t>
      </w:r>
      <w:r>
        <w:t>TMA:</w:t>
      </w:r>
    </w:p>
    <w:p w14:paraId="7E37D85A" w14:textId="1C9320B3" w:rsidR="004D7D41" w:rsidRPr="00F02EE4" w:rsidRDefault="000871B4" w:rsidP="005C532A">
      <w:pPr>
        <w:pStyle w:val="NoNum"/>
        <w:keepNext/>
        <w:keepLines/>
        <w:jc w:val="center"/>
      </w:pPr>
      <w:r>
        <w:rPr>
          <w:noProof/>
          <w:lang w:eastAsia="en-AU"/>
        </w:rPr>
        <w:drawing>
          <wp:inline distT="0" distB="0" distL="0" distR="0" wp14:anchorId="6DCED72B" wp14:editId="11BC6C64">
            <wp:extent cx="1309562" cy="1228725"/>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19.jpg"/>
                    <pic:cNvPicPr/>
                  </pic:nvPicPr>
                  <pic:blipFill>
                    <a:blip r:embed="rId20">
                      <a:extLst>
                        <a:ext uri="{28A0092B-C50C-407E-A947-70E740481C1C}">
                          <a14:useLocalDpi xmlns:a14="http://schemas.microsoft.com/office/drawing/2010/main" val="0"/>
                        </a:ext>
                      </a:extLst>
                    </a:blip>
                    <a:stretch>
                      <a:fillRect/>
                    </a:stretch>
                  </pic:blipFill>
                  <pic:spPr>
                    <a:xfrm>
                      <a:off x="0" y="0"/>
                      <a:ext cx="1323227" cy="1241546"/>
                    </a:xfrm>
                    <a:prstGeom prst="rect">
                      <a:avLst/>
                    </a:prstGeom>
                  </pic:spPr>
                </pic:pic>
              </a:graphicData>
            </a:graphic>
          </wp:inline>
        </w:drawing>
      </w:r>
      <w:r w:rsidR="005905F2">
        <w:tab/>
      </w:r>
      <w:r>
        <w:rPr>
          <w:noProof/>
          <w:lang w:eastAsia="en-AU"/>
        </w:rPr>
        <w:drawing>
          <wp:inline distT="0" distB="0" distL="0" distR="0" wp14:anchorId="4EFB64CA" wp14:editId="2328E8C0">
            <wp:extent cx="1452046" cy="1256927"/>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20.jpg"/>
                    <pic:cNvPicPr/>
                  </pic:nvPicPr>
                  <pic:blipFill>
                    <a:blip r:embed="rId21">
                      <a:extLst>
                        <a:ext uri="{28A0092B-C50C-407E-A947-70E740481C1C}">
                          <a14:useLocalDpi xmlns:a14="http://schemas.microsoft.com/office/drawing/2010/main" val="0"/>
                        </a:ext>
                      </a:extLst>
                    </a:blip>
                    <a:stretch>
                      <a:fillRect/>
                    </a:stretch>
                  </pic:blipFill>
                  <pic:spPr>
                    <a:xfrm>
                      <a:off x="0" y="0"/>
                      <a:ext cx="1475095" cy="1276879"/>
                    </a:xfrm>
                    <a:prstGeom prst="rect">
                      <a:avLst/>
                    </a:prstGeom>
                  </pic:spPr>
                </pic:pic>
              </a:graphicData>
            </a:graphic>
          </wp:inline>
        </w:drawing>
      </w:r>
      <w:r w:rsidR="005905F2">
        <w:tab/>
      </w:r>
      <w:r>
        <w:rPr>
          <w:noProof/>
          <w:lang w:eastAsia="en-AU"/>
        </w:rPr>
        <w:drawing>
          <wp:inline distT="0" distB="0" distL="0" distR="0" wp14:anchorId="535A2681" wp14:editId="74AEF051">
            <wp:extent cx="1771650" cy="118358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21.jpg"/>
                    <pic:cNvPicPr/>
                  </pic:nvPicPr>
                  <pic:blipFill>
                    <a:blip r:embed="rId15">
                      <a:extLst>
                        <a:ext uri="{28A0092B-C50C-407E-A947-70E740481C1C}">
                          <a14:useLocalDpi xmlns:a14="http://schemas.microsoft.com/office/drawing/2010/main" val="0"/>
                        </a:ext>
                      </a:extLst>
                    </a:blip>
                    <a:stretch>
                      <a:fillRect/>
                    </a:stretch>
                  </pic:blipFill>
                  <pic:spPr>
                    <a:xfrm>
                      <a:off x="0" y="0"/>
                      <a:ext cx="1784993" cy="1192495"/>
                    </a:xfrm>
                    <a:prstGeom prst="rect">
                      <a:avLst/>
                    </a:prstGeom>
                  </pic:spPr>
                </pic:pic>
              </a:graphicData>
            </a:graphic>
          </wp:inline>
        </w:drawing>
      </w:r>
    </w:p>
    <w:p w14:paraId="1C801314" w14:textId="6ABF874D" w:rsidR="004D7D41" w:rsidRDefault="004D7D41" w:rsidP="005C532A">
      <w:pPr>
        <w:pStyle w:val="NoNum"/>
        <w:keepNext/>
        <w:keepLines/>
        <w:jc w:val="center"/>
      </w:pPr>
      <w:r>
        <w:t>(RB</w:t>
      </w:r>
      <w:r w:rsidR="0059586C">
        <w:t>’</w:t>
      </w:r>
      <w:r>
        <w:t xml:space="preserve">s </w:t>
      </w:r>
      <w:r>
        <w:rPr>
          <w:b/>
          <w:bCs/>
        </w:rPr>
        <w:t xml:space="preserve">Rectangular Tablet Mark </w:t>
      </w:r>
      <w:r>
        <w:t xml:space="preserve">and </w:t>
      </w:r>
      <w:r>
        <w:rPr>
          <w:b/>
          <w:bCs/>
        </w:rPr>
        <w:t>Ball in Explosion Mark</w:t>
      </w:r>
      <w:r w:rsidR="005905F2">
        <w:t xml:space="preserve"> and </w:t>
      </w:r>
      <w:r w:rsidR="000C5B59">
        <w:t xml:space="preserve">Henkel’s </w:t>
      </w:r>
      <w:r>
        <w:t xml:space="preserve">SE </w:t>
      </w:r>
      <w:r w:rsidR="0015198D">
        <w:t>Logo</w:t>
      </w:r>
      <w:r>
        <w:t>).</w:t>
      </w:r>
    </w:p>
    <w:p w14:paraId="487092E9" w14:textId="08F4347F" w:rsidR="004D7D41" w:rsidRDefault="00B63CF6" w:rsidP="00B63CF6">
      <w:pPr>
        <w:pStyle w:val="ParaNumbering"/>
      </w:pPr>
      <w:r w:rsidRPr="00B63CF6">
        <w:t>Henkel submits that the SE Logo prominently displays two large swirling droplets which have no counterpart in either of RB</w:t>
      </w:r>
      <w:r w:rsidR="0059586C">
        <w:t>’</w:t>
      </w:r>
      <w:r w:rsidRPr="00B63CF6">
        <w:t>s asserted marks. Further, the two swirling droplets interact to surround a centre elemen</w:t>
      </w:r>
      <w:r w:rsidR="000C5B59">
        <w:t>t</w:t>
      </w:r>
      <w:r w:rsidRPr="00B63CF6">
        <w:t xml:space="preserve"> and sit together on top of a base which is rounded, not rectangular. Henkel also submits that the SE Logo incorporates the red background which is consistent </w:t>
      </w:r>
      <w:r w:rsidR="007B0B13">
        <w:t>across</w:t>
      </w:r>
      <w:r w:rsidRPr="00B63CF6">
        <w:t xml:space="preserve"> all of the </w:t>
      </w:r>
      <w:r w:rsidR="00C133FD">
        <w:t>SOMAT</w:t>
      </w:r>
      <w:r w:rsidRPr="00B63CF6">
        <w:t xml:space="preserve"> range and absent from either of RB</w:t>
      </w:r>
      <w:r w:rsidR="0059586C">
        <w:t>’</w:t>
      </w:r>
      <w:r w:rsidRPr="00B63CF6">
        <w:t>s asserted marks.</w:t>
      </w:r>
    </w:p>
    <w:p w14:paraId="21C0C019" w14:textId="1ED42DE7" w:rsidR="004D7D41" w:rsidRDefault="00B63CF6" w:rsidP="00B63CF6">
      <w:pPr>
        <w:pStyle w:val="ParaNumbering"/>
      </w:pPr>
      <w:r w:rsidRPr="00B63CF6">
        <w:t xml:space="preserve">Henkel submits that even if a consumer were to focus only on the SE Logo and ignore the dominant </w:t>
      </w:r>
      <w:r w:rsidR="00C133FD">
        <w:t>SOMAT</w:t>
      </w:r>
      <w:r w:rsidRPr="00B63CF6">
        <w:t xml:space="preserve"> branding on that product, it is difficult to see any real risk that the consumer would confuse the commercial source of the respective products.</w:t>
      </w:r>
    </w:p>
    <w:p w14:paraId="7634A05A" w14:textId="1AB43902" w:rsidR="0015198D" w:rsidRDefault="0015198D" w:rsidP="0015198D">
      <w:pPr>
        <w:pStyle w:val="Heading3"/>
      </w:pPr>
      <w:r>
        <w:t>Consideration</w:t>
      </w:r>
    </w:p>
    <w:p w14:paraId="017F7370" w14:textId="10EA77C5" w:rsidR="00C76881" w:rsidRDefault="00C76881" w:rsidP="00F6059D">
      <w:pPr>
        <w:pStyle w:val="ParaNumbering"/>
      </w:pPr>
      <w:r>
        <w:t>I am satisfied that the applicants have established a prima facie case of deceptive similarity, at least between the SE Logo and the 914 Mark</w:t>
      </w:r>
      <w:r w:rsidR="00293D6D">
        <w:t>,</w:t>
      </w:r>
      <w:r>
        <w:t xml:space="preserve"> but I am not persuaded, contrary to the a</w:t>
      </w:r>
      <w:r w:rsidR="00C81DB1">
        <w:t>pplicants</w:t>
      </w:r>
      <w:r w:rsidR="0059586C">
        <w:t>’</w:t>
      </w:r>
      <w:r w:rsidR="00C81DB1">
        <w:t xml:space="preserve"> submissions, that it is</w:t>
      </w:r>
      <w:r w:rsidR="00B94522">
        <w:t xml:space="preserve"> </w:t>
      </w:r>
      <w:r>
        <w:t xml:space="preserve">a </w:t>
      </w:r>
      <w:r w:rsidR="0059586C">
        <w:t>“</w:t>
      </w:r>
      <w:r>
        <w:t>strong</w:t>
      </w:r>
      <w:r w:rsidR="0059586C">
        <w:t>”</w:t>
      </w:r>
      <w:r>
        <w:t xml:space="preserve"> prima facie case.</w:t>
      </w:r>
    </w:p>
    <w:p w14:paraId="50116DD0" w14:textId="6B4C3FBB" w:rsidR="00626309" w:rsidRDefault="00F6059D" w:rsidP="00F6059D">
      <w:pPr>
        <w:pStyle w:val="ParaNumbering"/>
      </w:pPr>
      <w:r>
        <w:t xml:space="preserve">In making that finding I </w:t>
      </w:r>
      <w:r w:rsidR="00C76881">
        <w:t>have had regard to the difficulties of conducting on an urgent interlocutory basis what is essentially an evaluative and impressionist comparison</w:t>
      </w:r>
      <w:r w:rsidR="00626309">
        <w:t xml:space="preserve"> involving visual interpretation and judicial estimation</w:t>
      </w:r>
      <w:r w:rsidR="00C76881">
        <w:t xml:space="preserve"> to determine</w:t>
      </w:r>
      <w:r w:rsidR="00626309">
        <w:t xml:space="preserve"> deceptive similarity, a concept incapable of empirical measurement and ultimately largely intuitive. </w:t>
      </w:r>
      <w:r w:rsidR="00056846">
        <w:t>In that context I have had particular regard to the visual impression created by the juxtaposition of the bright blue, red and white colours on the dishwashing tablet and the effect or impression of the SE Logo on consumers of ordinary intelligence and imperfect recollection.</w:t>
      </w:r>
    </w:p>
    <w:p w14:paraId="7E7E1BDF" w14:textId="36C3524B" w:rsidR="00F6059D" w:rsidRDefault="00626309" w:rsidP="00F6059D">
      <w:pPr>
        <w:pStyle w:val="ParaNumbering"/>
      </w:pPr>
      <w:r>
        <w:t xml:space="preserve">I also recognise the significance and force of the matters raised by Henkel but the question of deceptive similarity, </w:t>
      </w:r>
      <w:r w:rsidR="00293D6D">
        <w:t>however tempting,</w:t>
      </w:r>
      <w:r>
        <w:t xml:space="preserve"> cannot be determined by conducting a </w:t>
      </w:r>
      <w:r w:rsidR="00293D6D">
        <w:t xml:space="preserve">simple </w:t>
      </w:r>
      <w:r w:rsidR="0059586C">
        <w:t>“</w:t>
      </w:r>
      <w:r>
        <w:t xml:space="preserve">side by </w:t>
      </w:r>
      <w:r>
        <w:lastRenderedPageBreak/>
        <w:t>side</w:t>
      </w:r>
      <w:r w:rsidR="0059586C">
        <w:t>”</w:t>
      </w:r>
      <w:r>
        <w:t xml:space="preserve"> comparison of the respective marks. </w:t>
      </w:r>
      <w:r w:rsidR="00056846">
        <w:t xml:space="preserve">Nor do I agree that the use of the </w:t>
      </w:r>
      <w:r w:rsidR="0059586C">
        <w:t>“</w:t>
      </w:r>
      <w:r w:rsidR="000C5B59">
        <w:t>swirling droplets</w:t>
      </w:r>
      <w:r w:rsidR="0059586C">
        <w:t>”</w:t>
      </w:r>
      <w:r w:rsidR="00056846">
        <w:t xml:space="preserve"> is determinative for the purposes of resisting the deceptive similarity contention advanced by the applicants or that the apparent absence of a rectangular prism on which the </w:t>
      </w:r>
      <w:r w:rsidR="000C5B59">
        <w:t xml:space="preserve">swirling droplets </w:t>
      </w:r>
      <w:r w:rsidR="00056846">
        <w:t xml:space="preserve">and red circle sit is a complete answer. </w:t>
      </w:r>
      <w:r w:rsidR="001600C3">
        <w:t>I consider that t</w:t>
      </w:r>
      <w:r w:rsidR="00056846">
        <w:t xml:space="preserve">he </w:t>
      </w:r>
      <w:r w:rsidR="001600C3">
        <w:t xml:space="preserve">objective </w:t>
      </w:r>
      <w:r w:rsidR="00056846">
        <w:t>impression that is conveyed by the SE Logo</w:t>
      </w:r>
      <w:r w:rsidR="001600C3">
        <w:t xml:space="preserve"> to consumers</w:t>
      </w:r>
      <w:r w:rsidR="00056846">
        <w:t xml:space="preserve">, at least at first glance and having regard to imperfect recollection, is of dynamic blue shapes surrounding a red dot sitting on a white object of largely rectangular </w:t>
      </w:r>
      <w:r w:rsidR="001600C3">
        <w:t>shape with perhaps rounded edges.</w:t>
      </w:r>
      <w:r w:rsidR="00056846">
        <w:t xml:space="preserve"> </w:t>
      </w:r>
    </w:p>
    <w:p w14:paraId="470024C9" w14:textId="7E38CD4D" w:rsidR="00F6059D" w:rsidRDefault="00F6059D" w:rsidP="00F6059D">
      <w:pPr>
        <w:pStyle w:val="ParaNumbering"/>
      </w:pPr>
      <w:r>
        <w:t>I accept</w:t>
      </w:r>
      <w:r w:rsidR="00056846">
        <w:t xml:space="preserve">, as forcefully submitted by Henkel, that it is necessary to conduct a </w:t>
      </w:r>
      <w:r w:rsidR="0059586C">
        <w:t>“</w:t>
      </w:r>
      <w:r w:rsidR="00056846">
        <w:t>mark to mark</w:t>
      </w:r>
      <w:r w:rsidR="0059586C">
        <w:t>”</w:t>
      </w:r>
      <w:r w:rsidR="00293D6D">
        <w:t xml:space="preserve"> </w:t>
      </w:r>
      <w:r w:rsidR="00056846">
        <w:t>comparison and</w:t>
      </w:r>
      <w:r>
        <w:t xml:space="preserve"> that </w:t>
      </w:r>
      <w:r w:rsidR="00056846">
        <w:t xml:space="preserve">in that context </w:t>
      </w:r>
      <w:r>
        <w:t>the 914 Mark is a rectangular shaped capsule with a red cylindrical compartment embedded in the capsule</w:t>
      </w:r>
      <w:r w:rsidR="000C5B59">
        <w:t>,</w:t>
      </w:r>
      <w:r>
        <w:t xml:space="preserve"> rather than a red ball bursting out of the capsule</w:t>
      </w:r>
      <w:r w:rsidR="00056846">
        <w:t>.</w:t>
      </w:r>
      <w:r>
        <w:t xml:space="preserve"> I consider</w:t>
      </w:r>
      <w:r w:rsidR="00056846">
        <w:t>, however,</w:t>
      </w:r>
      <w:r>
        <w:t xml:space="preserve"> that it is reasonably arguable that having regard to all the circumstances</w:t>
      </w:r>
      <w:r w:rsidR="00056846">
        <w:t xml:space="preserve"> and</w:t>
      </w:r>
      <w:r>
        <w:t xml:space="preserve"> at least </w:t>
      </w:r>
      <w:r w:rsidR="00C76881">
        <w:t>for the purpose of determining whether</w:t>
      </w:r>
      <w:r>
        <w:t xml:space="preserve"> a prima facie </w:t>
      </w:r>
      <w:r w:rsidR="00C76881">
        <w:t>case has been established</w:t>
      </w:r>
      <w:r>
        <w:t xml:space="preserve">, that the differences between the SE Logo and the </w:t>
      </w:r>
      <w:r w:rsidR="000C5B59">
        <w:t>914 Mark</w:t>
      </w:r>
      <w:r>
        <w:t xml:space="preserve"> could be characterised as additions or alterations that do not substantially affect the identity of the trade mark for the purposes of s 7(1) of the TMA.</w:t>
      </w:r>
    </w:p>
    <w:p w14:paraId="5E396F31" w14:textId="1600E59C" w:rsidR="00293D6D" w:rsidRDefault="00293D6D" w:rsidP="00F6059D">
      <w:pPr>
        <w:pStyle w:val="ParaNumbering"/>
      </w:pPr>
      <w:r>
        <w:t xml:space="preserve">Ultimately, while I accept that the applicants have not established a </w:t>
      </w:r>
      <w:r w:rsidR="00A730E1">
        <w:t xml:space="preserve">strong </w:t>
      </w:r>
      <w:r>
        <w:t>prima facie case, I am not persuaded that on the material before me that it is a case without any substantial foundation</w:t>
      </w:r>
      <w:r w:rsidR="00C81DB1">
        <w:t xml:space="preserve"> or that it could be described as so weak or fanciful or lacking in substance to preclude the grant of </w:t>
      </w:r>
      <w:r w:rsidR="009A4E84">
        <w:t xml:space="preserve">interim </w:t>
      </w:r>
      <w:r w:rsidR="00C81DB1">
        <w:t>injunctive relief</w:t>
      </w:r>
      <w:r>
        <w:t>.</w:t>
      </w:r>
    </w:p>
    <w:p w14:paraId="22ED9600" w14:textId="1E58158B" w:rsidR="00B66EAB" w:rsidRDefault="00B66EAB" w:rsidP="00B66EAB">
      <w:pPr>
        <w:pStyle w:val="Heading1"/>
      </w:pPr>
      <w:r>
        <w:t>Cross</w:t>
      </w:r>
      <w:r w:rsidR="000C5B59">
        <w:t>-</w:t>
      </w:r>
      <w:r>
        <w:t>claim</w:t>
      </w:r>
    </w:p>
    <w:p w14:paraId="5670F39D" w14:textId="7BC329D0" w:rsidR="002F73A5" w:rsidRDefault="002F73A5" w:rsidP="002F73A5">
      <w:pPr>
        <w:pStyle w:val="ParaNumbering"/>
      </w:pPr>
      <w:r>
        <w:t xml:space="preserve">An additional reason advanced by Henkel that </w:t>
      </w:r>
      <w:r w:rsidR="00C56FA1">
        <w:t xml:space="preserve">the applicants’ </w:t>
      </w:r>
      <w:r>
        <w:t xml:space="preserve">trade mark case is likely to fail and </w:t>
      </w:r>
      <w:r w:rsidR="00C56FA1">
        <w:t xml:space="preserve">they </w:t>
      </w:r>
      <w:r>
        <w:t xml:space="preserve">have thereby not established the existence of a prima facie case is </w:t>
      </w:r>
      <w:r w:rsidR="00C56FA1">
        <w:t xml:space="preserve">Henkel’s </w:t>
      </w:r>
      <w:r>
        <w:t xml:space="preserve">cross-claim for cancellation or removal of each of </w:t>
      </w:r>
      <w:r w:rsidR="009A4E84">
        <w:t xml:space="preserve">RBF’s </w:t>
      </w:r>
      <w:r>
        <w:t>asserted trade mark registrations. Th</w:t>
      </w:r>
      <w:r w:rsidR="000C5B59">
        <w:t>e grounds advanced in the cross-</w:t>
      </w:r>
      <w:r>
        <w:t xml:space="preserve">claim include that </w:t>
      </w:r>
      <w:r w:rsidR="00A730E1">
        <w:t xml:space="preserve">the 914 </w:t>
      </w:r>
      <w:r w:rsidR="009A4E84">
        <w:t>Mark</w:t>
      </w:r>
      <w:r w:rsidR="000E03C9">
        <w:t xml:space="preserve"> and </w:t>
      </w:r>
      <w:r w:rsidR="0039456C">
        <w:t xml:space="preserve">the 311 </w:t>
      </w:r>
      <w:r w:rsidR="000E03C9">
        <w:t xml:space="preserve">Mark </w:t>
      </w:r>
      <w:r>
        <w:t xml:space="preserve">have not been used as trade marks by </w:t>
      </w:r>
      <w:r w:rsidR="009A4E84">
        <w:t>the applicants</w:t>
      </w:r>
      <w:r>
        <w:t xml:space="preserve">. Cancellation or removal of </w:t>
      </w:r>
      <w:r w:rsidR="009A4E84">
        <w:t>RBF</w:t>
      </w:r>
      <w:r w:rsidR="0059586C">
        <w:t>’</w:t>
      </w:r>
      <w:r>
        <w:t>s asserted registrations would remove any basis for any ongoing injunction after trial.</w:t>
      </w:r>
    </w:p>
    <w:p w14:paraId="463EBB21" w14:textId="6389756E" w:rsidR="002F73A5" w:rsidRDefault="002F73A5" w:rsidP="002F73A5">
      <w:pPr>
        <w:pStyle w:val="ParaNumbering"/>
      </w:pPr>
      <w:r>
        <w:t xml:space="preserve">Henkel contends that there has been no use of </w:t>
      </w:r>
      <w:r w:rsidR="009A4E84">
        <w:t xml:space="preserve">the 311 Mark (the </w:t>
      </w:r>
      <w:r>
        <w:t>Ball in Explosion</w:t>
      </w:r>
      <w:r w:rsidR="009A4E84">
        <w:t>)</w:t>
      </w:r>
      <w:r>
        <w:t xml:space="preserve"> other than in a truncated form as a constituent part of the dominant stylised </w:t>
      </w:r>
      <w:r w:rsidR="00C133FD">
        <w:t>FINISH</w:t>
      </w:r>
      <w:r>
        <w:t xml:space="preserve"> mark.</w:t>
      </w:r>
    </w:p>
    <w:p w14:paraId="04D57E87" w14:textId="3754806D" w:rsidR="00B66EAB" w:rsidRDefault="002F73A5" w:rsidP="002F73A5">
      <w:pPr>
        <w:pStyle w:val="ParaNumbering"/>
      </w:pPr>
      <w:r>
        <w:t xml:space="preserve">Henkel submits that the </w:t>
      </w:r>
      <w:r w:rsidR="00C30EB8">
        <w:t xml:space="preserve">914 Mark (the </w:t>
      </w:r>
      <w:r>
        <w:t>Rectangular Tablet</w:t>
      </w:r>
      <w:r w:rsidR="00C30EB8">
        <w:t>)</w:t>
      </w:r>
      <w:r>
        <w:t xml:space="preserve"> has never been used </w:t>
      </w:r>
      <w:r w:rsidR="0059586C">
        <w:t>“</w:t>
      </w:r>
      <w:r w:rsidRPr="002F73A5">
        <w:rPr>
          <w:i/>
        </w:rPr>
        <w:t>as a trade mark</w:t>
      </w:r>
      <w:r w:rsidR="0059586C">
        <w:t>”</w:t>
      </w:r>
      <w:r w:rsidR="000C5B59">
        <w:t xml:space="preserve"> – </w:t>
      </w:r>
      <w:r>
        <w:t xml:space="preserve">rather it has simply been presented as the appearance of one of many differently appearing tablet products sold under the </w:t>
      </w:r>
      <w:r w:rsidR="00C133FD">
        <w:t>FINISH</w:t>
      </w:r>
      <w:r>
        <w:t xml:space="preserve"> brand. Moreover, </w:t>
      </w:r>
      <w:r w:rsidR="009A4E84">
        <w:t xml:space="preserve">the applicants’ </w:t>
      </w:r>
      <w:r>
        <w:t xml:space="preserve">case for a </w:t>
      </w:r>
      <w:r>
        <w:lastRenderedPageBreak/>
        <w:t xml:space="preserve">special and valuable trade mark significance in the appearance of the Rectangular Tablet Mark is submitted to be undermined by the fact that its current </w:t>
      </w:r>
      <w:r w:rsidR="00C133FD">
        <w:t>FINISH</w:t>
      </w:r>
      <w:r>
        <w:t xml:space="preserve"> products use a range of different tablets:</w:t>
      </w:r>
    </w:p>
    <w:p w14:paraId="0D63C588" w14:textId="61A90790" w:rsidR="00B66EAB" w:rsidRDefault="000871B4" w:rsidP="000C5B59">
      <w:pPr>
        <w:pStyle w:val="NoNum"/>
        <w:jc w:val="center"/>
      </w:pPr>
      <w:r>
        <w:rPr>
          <w:noProof/>
          <w:lang w:eastAsia="en-AU"/>
        </w:rPr>
        <w:drawing>
          <wp:inline distT="0" distB="0" distL="0" distR="0" wp14:anchorId="03CC6B30" wp14:editId="564F6D03">
            <wp:extent cx="1214105" cy="1381125"/>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22.jpg"/>
                    <pic:cNvPicPr/>
                  </pic:nvPicPr>
                  <pic:blipFill>
                    <a:blip r:embed="rId34">
                      <a:extLst>
                        <a:ext uri="{28A0092B-C50C-407E-A947-70E740481C1C}">
                          <a14:useLocalDpi xmlns:a14="http://schemas.microsoft.com/office/drawing/2010/main" val="0"/>
                        </a:ext>
                      </a:extLst>
                    </a:blip>
                    <a:stretch>
                      <a:fillRect/>
                    </a:stretch>
                  </pic:blipFill>
                  <pic:spPr>
                    <a:xfrm>
                      <a:off x="0" y="0"/>
                      <a:ext cx="1224443" cy="1392885"/>
                    </a:xfrm>
                    <a:prstGeom prst="rect">
                      <a:avLst/>
                    </a:prstGeom>
                  </pic:spPr>
                </pic:pic>
              </a:graphicData>
            </a:graphic>
          </wp:inline>
        </w:drawing>
      </w:r>
      <w:r w:rsidR="000C5B59">
        <w:t xml:space="preserve"> </w:t>
      </w:r>
      <w:r>
        <w:rPr>
          <w:noProof/>
          <w:lang w:eastAsia="en-AU"/>
        </w:rPr>
        <w:drawing>
          <wp:inline distT="0" distB="0" distL="0" distR="0" wp14:anchorId="6C4A83AA" wp14:editId="10C4C2CC">
            <wp:extent cx="1400375" cy="13716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23.jpg"/>
                    <pic:cNvPicPr/>
                  </pic:nvPicPr>
                  <pic:blipFill>
                    <a:blip r:embed="rId35">
                      <a:extLst>
                        <a:ext uri="{28A0092B-C50C-407E-A947-70E740481C1C}">
                          <a14:useLocalDpi xmlns:a14="http://schemas.microsoft.com/office/drawing/2010/main" val="0"/>
                        </a:ext>
                      </a:extLst>
                    </a:blip>
                    <a:stretch>
                      <a:fillRect/>
                    </a:stretch>
                  </pic:blipFill>
                  <pic:spPr>
                    <a:xfrm>
                      <a:off x="0" y="0"/>
                      <a:ext cx="1418185" cy="1389044"/>
                    </a:xfrm>
                    <a:prstGeom prst="rect">
                      <a:avLst/>
                    </a:prstGeom>
                  </pic:spPr>
                </pic:pic>
              </a:graphicData>
            </a:graphic>
          </wp:inline>
        </w:drawing>
      </w:r>
      <w:r w:rsidR="000C5B59">
        <w:t xml:space="preserve"> </w:t>
      </w:r>
      <w:r>
        <w:rPr>
          <w:noProof/>
          <w:lang w:eastAsia="en-AU"/>
        </w:rPr>
        <w:drawing>
          <wp:inline distT="0" distB="0" distL="0" distR="0" wp14:anchorId="3D765D9C" wp14:editId="3C29127E">
            <wp:extent cx="1314450" cy="1370046"/>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24.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18585" cy="1374356"/>
                    </a:xfrm>
                    <a:prstGeom prst="rect">
                      <a:avLst/>
                    </a:prstGeom>
                  </pic:spPr>
                </pic:pic>
              </a:graphicData>
            </a:graphic>
          </wp:inline>
        </w:drawing>
      </w:r>
      <w:r w:rsidR="000C5B59">
        <w:t xml:space="preserve"> </w:t>
      </w:r>
      <w:r>
        <w:rPr>
          <w:noProof/>
          <w:lang w:eastAsia="en-AU"/>
        </w:rPr>
        <w:drawing>
          <wp:inline distT="0" distB="0" distL="0" distR="0" wp14:anchorId="2C93FD93" wp14:editId="56239608">
            <wp:extent cx="1647825" cy="1370170"/>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25.jpg"/>
                    <pic:cNvPicPr/>
                  </pic:nvPicPr>
                  <pic:blipFill>
                    <a:blip r:embed="rId37">
                      <a:extLst>
                        <a:ext uri="{28A0092B-C50C-407E-A947-70E740481C1C}">
                          <a14:useLocalDpi xmlns:a14="http://schemas.microsoft.com/office/drawing/2010/main" val="0"/>
                        </a:ext>
                      </a:extLst>
                    </a:blip>
                    <a:stretch>
                      <a:fillRect/>
                    </a:stretch>
                  </pic:blipFill>
                  <pic:spPr>
                    <a:xfrm>
                      <a:off x="0" y="0"/>
                      <a:ext cx="1666423" cy="1385634"/>
                    </a:xfrm>
                    <a:prstGeom prst="rect">
                      <a:avLst/>
                    </a:prstGeom>
                  </pic:spPr>
                </pic:pic>
              </a:graphicData>
            </a:graphic>
          </wp:inline>
        </w:drawing>
      </w:r>
    </w:p>
    <w:p w14:paraId="077385C8" w14:textId="2F762960" w:rsidR="00B66EAB" w:rsidRDefault="002F73A5" w:rsidP="002F73A5">
      <w:pPr>
        <w:pStyle w:val="ParaNumbering"/>
      </w:pPr>
      <w:r w:rsidRPr="002F73A5">
        <w:t xml:space="preserve">On the limited evidence before me as to the use of </w:t>
      </w:r>
      <w:r w:rsidR="009A4E84">
        <w:t xml:space="preserve">the 914 </w:t>
      </w:r>
      <w:r w:rsidR="00C56FA1">
        <w:t xml:space="preserve">Mark and </w:t>
      </w:r>
      <w:r w:rsidR="009A4E84">
        <w:t xml:space="preserve">the 311 </w:t>
      </w:r>
      <w:r w:rsidR="00C56FA1">
        <w:t xml:space="preserve">Mark </w:t>
      </w:r>
      <w:r w:rsidRPr="002F73A5">
        <w:t xml:space="preserve">by </w:t>
      </w:r>
      <w:r w:rsidR="009A4E84">
        <w:t>the applicants</w:t>
      </w:r>
      <w:r w:rsidR="000C5B59">
        <w:t>,</w:t>
      </w:r>
      <w:r w:rsidRPr="002F73A5">
        <w:t xml:space="preserve"> I do not consider that it is possible to reach any view as to the merits of the challenge to the registration of those </w:t>
      </w:r>
      <w:proofErr w:type="spellStart"/>
      <w:r w:rsidRPr="002F73A5">
        <w:t>trade marks</w:t>
      </w:r>
      <w:proofErr w:type="spellEnd"/>
      <w:r w:rsidRPr="002F73A5">
        <w:t xml:space="preserve">. For present purposes, I have proceeded on the basis that the </w:t>
      </w:r>
      <w:r w:rsidR="009A4E84">
        <w:t xml:space="preserve">914 Mark and the 311 Mark </w:t>
      </w:r>
      <w:r w:rsidRPr="002F73A5">
        <w:t xml:space="preserve">have the status of registered </w:t>
      </w:r>
      <w:proofErr w:type="spellStart"/>
      <w:r w:rsidRPr="002F73A5">
        <w:t>trade marks</w:t>
      </w:r>
      <w:proofErr w:type="spellEnd"/>
      <w:r w:rsidRPr="002F73A5">
        <w:t xml:space="preserve"> and have determined this application on that premise.</w:t>
      </w:r>
    </w:p>
    <w:p w14:paraId="0D1AEC36" w14:textId="175FC71F" w:rsidR="004D7D41" w:rsidRDefault="004D7D41" w:rsidP="00DB20D5">
      <w:pPr>
        <w:pStyle w:val="Heading1"/>
      </w:pPr>
      <w:r>
        <w:t>Balance of convenience</w:t>
      </w:r>
    </w:p>
    <w:p w14:paraId="3D1306F2" w14:textId="71D4346D" w:rsidR="00D92CAF" w:rsidRDefault="002F73A5" w:rsidP="002F73A5">
      <w:pPr>
        <w:pStyle w:val="ParaNumbering"/>
      </w:pPr>
      <w:r w:rsidRPr="002F73A5">
        <w:t>The applicants and Henkel approach the balance of convenience from fundamentally different perspectives.</w:t>
      </w:r>
    </w:p>
    <w:p w14:paraId="535ECCEF" w14:textId="0610E3E0" w:rsidR="00DB20D5" w:rsidRDefault="00DB20D5" w:rsidP="00DB20D5">
      <w:pPr>
        <w:pStyle w:val="Heading2"/>
      </w:pPr>
      <w:r>
        <w:t>Applicants</w:t>
      </w:r>
      <w:r w:rsidR="0059586C">
        <w:t>’</w:t>
      </w:r>
      <w:r>
        <w:t xml:space="preserve"> </w:t>
      </w:r>
      <w:r w:rsidR="001600C3">
        <w:t>submissions</w:t>
      </w:r>
      <w:r>
        <w:t xml:space="preserve"> </w:t>
      </w:r>
    </w:p>
    <w:p w14:paraId="66AD40F1" w14:textId="069B408C" w:rsidR="004D7D41" w:rsidRDefault="002F73A5" w:rsidP="002F73A5">
      <w:pPr>
        <w:pStyle w:val="ParaNumbering"/>
      </w:pPr>
      <w:r w:rsidRPr="002F73A5">
        <w:t>The applicants submit that the exclusive rights afforded by s</w:t>
      </w:r>
      <w:r w:rsidR="000E03C9">
        <w:t> </w:t>
      </w:r>
      <w:r w:rsidRPr="002F73A5">
        <w:t xml:space="preserve">20 of the TMA </w:t>
      </w:r>
      <w:r w:rsidR="000E03C9">
        <w:t xml:space="preserve">– </w:t>
      </w:r>
      <w:r w:rsidRPr="002F73A5">
        <w:t xml:space="preserve">to use, and authorise others to use, the 914 Mark and 311 Mark in relation to the goods in respect of which they are registered </w:t>
      </w:r>
      <w:r w:rsidR="000E03C9">
        <w:t xml:space="preserve">– </w:t>
      </w:r>
      <w:r w:rsidRPr="002F73A5">
        <w:t>is an exclusivity that</w:t>
      </w:r>
      <w:r w:rsidR="000E03C9">
        <w:t>,</w:t>
      </w:r>
      <w:r w:rsidRPr="002F73A5">
        <w:t xml:space="preserve"> once lost, cannot be readily compensated or regained given the difficulty of measuring such damages in monetary terms. They contend that permitting Henkel to continue infringing the 914 Mark and </w:t>
      </w:r>
      <w:r w:rsidR="00C30EB8">
        <w:t xml:space="preserve">the </w:t>
      </w:r>
      <w:r w:rsidRPr="002F73A5">
        <w:t>311 Mark would be to sanction an ongoing interference with the g</w:t>
      </w:r>
      <w:r w:rsidR="000E03C9">
        <w:t xml:space="preserve">oodwill residing in those marks. The applicants </w:t>
      </w:r>
      <w:r w:rsidRPr="002F73A5">
        <w:t xml:space="preserve">seek to adopt the words of Heerey J in </w:t>
      </w:r>
      <w:r w:rsidRPr="002F73A5">
        <w:rPr>
          <w:i/>
        </w:rPr>
        <w:t xml:space="preserve">Midas Australia Pty Ltd v </w:t>
      </w:r>
      <w:proofErr w:type="spellStart"/>
      <w:r w:rsidRPr="002F73A5">
        <w:rPr>
          <w:i/>
        </w:rPr>
        <w:t>Ravecroft</w:t>
      </w:r>
      <w:proofErr w:type="spellEnd"/>
      <w:r w:rsidRPr="002F73A5">
        <w:rPr>
          <w:i/>
        </w:rPr>
        <w:t xml:space="preserve"> Pty Ltd </w:t>
      </w:r>
      <w:r>
        <w:t xml:space="preserve">(2004) 62 IPR 387; </w:t>
      </w:r>
      <w:r w:rsidRPr="002F73A5">
        <w:t>[2004] FCA 771 at [7]:</w:t>
      </w:r>
    </w:p>
    <w:p w14:paraId="2058775A" w14:textId="307FAC28" w:rsidR="002F73A5" w:rsidRPr="00974FC1" w:rsidRDefault="002F73A5" w:rsidP="002F73A5">
      <w:pPr>
        <w:pStyle w:val="Quote1"/>
      </w:pPr>
      <w:r>
        <w:t>U</w:t>
      </w:r>
      <w:r w:rsidRPr="002F73A5">
        <w:t>nauthorised use of the marks would erode their value in a way that would not be compensable.</w:t>
      </w:r>
    </w:p>
    <w:p w14:paraId="27666D2D" w14:textId="240FF6E2" w:rsidR="002F73A5" w:rsidRDefault="002F73A5" w:rsidP="002F73A5">
      <w:pPr>
        <w:pStyle w:val="ParaNumbering"/>
      </w:pPr>
      <w:r>
        <w:t>The applicants contend that their consumers have been taught to recognise the marks as signifying a product they know and can trust. They adopted the language of Frankfurter</w:t>
      </w:r>
      <w:r w:rsidR="000E03C9">
        <w:t> </w:t>
      </w:r>
      <w:r>
        <w:t xml:space="preserve">J, quoted </w:t>
      </w:r>
      <w:r w:rsidR="00C30EB8">
        <w:t>at</w:t>
      </w:r>
      <w:r>
        <w:t xml:space="preserve"> [26] above, and submitted: </w:t>
      </w:r>
      <w:r w:rsidR="0059586C">
        <w:t>“</w:t>
      </w:r>
      <w:r w:rsidR="000E03C9">
        <w:t>[</w:t>
      </w:r>
      <w:proofErr w:type="spellStart"/>
      <w:r w:rsidR="000E03C9">
        <w:t>i</w:t>
      </w:r>
      <w:proofErr w:type="spellEnd"/>
      <w:r w:rsidR="000E03C9">
        <w:t>]</w:t>
      </w:r>
      <w:r>
        <w:t xml:space="preserve">f they once use it and get the wrong product, they will </w:t>
      </w:r>
      <w:r>
        <w:lastRenderedPageBreak/>
        <w:t>not trust the short cut again</w:t>
      </w:r>
      <w:r w:rsidR="000E03C9">
        <w:t>”</w:t>
      </w:r>
      <w:r>
        <w:t>. They submit that damages cannot make good that loss to the trade mark owner.</w:t>
      </w:r>
    </w:p>
    <w:p w14:paraId="1F772799" w14:textId="28731437" w:rsidR="002F73A5" w:rsidRDefault="002F73A5" w:rsidP="002F73A5">
      <w:pPr>
        <w:pStyle w:val="ParaNumbering"/>
      </w:pPr>
      <w:r>
        <w:t>The applicants submit, by contrast, that any harm suffered by Henkel by the granting of an injunction would be purely monetary, rela</w:t>
      </w:r>
      <w:r w:rsidR="000E03C9">
        <w:t>tively easy to calculate</w:t>
      </w:r>
      <w:r>
        <w:t xml:space="preserve"> and limited to the period pending final hearing. They point to the fact that the SE Capsules have only very recently been launched for sale, whereas the </w:t>
      </w:r>
      <w:r w:rsidR="00C133FD">
        <w:t>FINISH</w:t>
      </w:r>
      <w:r>
        <w:t xml:space="preserve"> Quantum products have been on the market since 1999. They maintain that the task of calculating the compensation payable to Henkel under an undertaking as to damages is conceptually more straightforward.</w:t>
      </w:r>
    </w:p>
    <w:p w14:paraId="3936E0AA" w14:textId="65BB5DCC" w:rsidR="002F73A5" w:rsidRDefault="002F73A5" w:rsidP="002F73A5">
      <w:pPr>
        <w:pStyle w:val="ParaNumbering"/>
      </w:pPr>
      <w:r>
        <w:t xml:space="preserve">They submit that the suggestion </w:t>
      </w:r>
      <w:r w:rsidR="0059586C">
        <w:t>“</w:t>
      </w:r>
      <w:r>
        <w:t>that an injunction will cause Henkel to suffer irreparable reputational harm is founded on little more than supposition. The reality is that genuine trading partnerships built over several years and a considerable portfolio are not endangered by the fate of the packaging and advertising for three SKUs</w:t>
      </w:r>
      <w:r w:rsidR="009F3222">
        <w:t xml:space="preserve"> [stock keeping units]</w:t>
      </w:r>
      <w:r w:rsidR="0059586C">
        <w:t>”</w:t>
      </w:r>
      <w:r w:rsidR="003F7F32">
        <w:t>.</w:t>
      </w:r>
    </w:p>
    <w:p w14:paraId="0955A98F" w14:textId="72A8D87E" w:rsidR="002F73A5" w:rsidRDefault="002F73A5" w:rsidP="002F73A5">
      <w:pPr>
        <w:pStyle w:val="ParaNumbering"/>
      </w:pPr>
      <w:r>
        <w:t xml:space="preserve">The applicants contend that the harm to Henkel is further reduced here by the fact that the </w:t>
      </w:r>
      <w:r w:rsidR="003F7F32">
        <w:t>a</w:t>
      </w:r>
      <w:r>
        <w:t xml:space="preserve">pplicants attack only a subset of the products in the new </w:t>
      </w:r>
      <w:r w:rsidR="00C133FD">
        <w:t>SOMAT</w:t>
      </w:r>
      <w:r>
        <w:t xml:space="preserve"> range. There is no criticism of the </w:t>
      </w:r>
      <w:r w:rsidR="00C133FD">
        <w:t>SOMAT</w:t>
      </w:r>
      <w:r>
        <w:t xml:space="preserve"> Gold product or of their gels or accessories. There therefore need be no loss of supermarket shelf space: other SKUs in the </w:t>
      </w:r>
      <w:r w:rsidR="00C133FD">
        <w:t>SOMAT</w:t>
      </w:r>
      <w:r>
        <w:t xml:space="preserve"> range can be expanded. Henkel is also a large company with many other prominent consumer brands. Any pre-booked promotional activity or advertising space could therefore more readily be diverted to another of its own products. As demonstrated by the actions of its own territory manager at Lloyds </w:t>
      </w:r>
      <w:proofErr w:type="spellStart"/>
      <w:r w:rsidR="009F3222">
        <w:t>Supa</w:t>
      </w:r>
      <w:proofErr w:type="spellEnd"/>
      <w:r w:rsidR="009F3222">
        <w:t xml:space="preserve"> </w:t>
      </w:r>
      <w:r>
        <w:t>IGA Springwood on 11 August (see [</w:t>
      </w:r>
      <w:r w:rsidR="009F3222">
        <w:fldChar w:fldCharType="begin" w:fldLock="1"/>
      </w:r>
      <w:r w:rsidR="009F3222">
        <w:instrText xml:space="preserve"> REF _Ref82092291 \r \h </w:instrText>
      </w:r>
      <w:r w:rsidR="009F3222">
        <w:fldChar w:fldCharType="separate"/>
      </w:r>
      <w:r w:rsidR="001408BB">
        <w:t>21</w:t>
      </w:r>
      <w:r w:rsidR="009F3222">
        <w:fldChar w:fldCharType="end"/>
      </w:r>
      <w:r>
        <w:t>] above), Henkel is well able to adapt quickly to changing circumstances.</w:t>
      </w:r>
    </w:p>
    <w:p w14:paraId="5C33CF3A" w14:textId="70922948" w:rsidR="004D7D41" w:rsidRDefault="003F7F32" w:rsidP="004D7D41">
      <w:pPr>
        <w:pStyle w:val="ParaNumbering"/>
      </w:pPr>
      <w:r>
        <w:t>The applicants submitted that t</w:t>
      </w:r>
      <w:r w:rsidR="004D7D41" w:rsidRPr="00974FC1">
        <w:t>here</w:t>
      </w:r>
      <w:r w:rsidR="004D7D41" w:rsidRPr="00974FC1">
        <w:rPr>
          <w:spacing w:val="-15"/>
        </w:rPr>
        <w:t xml:space="preserve"> </w:t>
      </w:r>
      <w:r w:rsidR="004D7D41" w:rsidRPr="00974FC1">
        <w:t>is</w:t>
      </w:r>
      <w:r w:rsidR="004D7D41" w:rsidRPr="00974FC1">
        <w:rPr>
          <w:spacing w:val="-15"/>
        </w:rPr>
        <w:t xml:space="preserve"> </w:t>
      </w:r>
      <w:r w:rsidR="004D7D41" w:rsidRPr="00974FC1">
        <w:t>no</w:t>
      </w:r>
      <w:r w:rsidR="004D7D41" w:rsidRPr="00974FC1">
        <w:rPr>
          <w:spacing w:val="-19"/>
        </w:rPr>
        <w:t xml:space="preserve"> </w:t>
      </w:r>
      <w:r w:rsidR="004D7D41" w:rsidRPr="00974FC1">
        <w:t>evidence</w:t>
      </w:r>
      <w:r w:rsidR="004D7D41" w:rsidRPr="00974FC1">
        <w:rPr>
          <w:spacing w:val="-15"/>
        </w:rPr>
        <w:t xml:space="preserve"> </w:t>
      </w:r>
      <w:r w:rsidR="004D7D41" w:rsidRPr="00974FC1">
        <w:t>that</w:t>
      </w:r>
      <w:r w:rsidR="004D7D41" w:rsidRPr="00974FC1">
        <w:rPr>
          <w:spacing w:val="-16"/>
        </w:rPr>
        <w:t xml:space="preserve"> </w:t>
      </w:r>
      <w:r w:rsidR="004D7D41" w:rsidRPr="00974FC1">
        <w:t>the</w:t>
      </w:r>
      <w:r w:rsidR="004D7D41" w:rsidRPr="00974FC1">
        <w:rPr>
          <w:spacing w:val="-19"/>
        </w:rPr>
        <w:t xml:space="preserve"> </w:t>
      </w:r>
      <w:r w:rsidR="004D7D41" w:rsidRPr="00974FC1">
        <w:t>grant</w:t>
      </w:r>
      <w:r w:rsidR="004D7D41" w:rsidRPr="00974FC1">
        <w:rPr>
          <w:spacing w:val="-16"/>
        </w:rPr>
        <w:t xml:space="preserve"> </w:t>
      </w:r>
      <w:r w:rsidR="004D7D41" w:rsidRPr="00974FC1">
        <w:t>of</w:t>
      </w:r>
      <w:r w:rsidR="004D7D41" w:rsidRPr="00974FC1">
        <w:rPr>
          <w:spacing w:val="-14"/>
        </w:rPr>
        <w:t xml:space="preserve"> </w:t>
      </w:r>
      <w:r w:rsidR="004D7D41" w:rsidRPr="00974FC1">
        <w:t>an</w:t>
      </w:r>
      <w:r w:rsidR="004D7D41" w:rsidRPr="00974FC1">
        <w:rPr>
          <w:spacing w:val="-16"/>
        </w:rPr>
        <w:t xml:space="preserve"> </w:t>
      </w:r>
      <w:r w:rsidR="004D7D41" w:rsidRPr="00974FC1">
        <w:t>injunction</w:t>
      </w:r>
      <w:r w:rsidR="004D7D41" w:rsidRPr="00974FC1">
        <w:rPr>
          <w:spacing w:val="-18"/>
        </w:rPr>
        <w:t xml:space="preserve"> </w:t>
      </w:r>
      <w:r w:rsidR="004D7D41" w:rsidRPr="00974FC1">
        <w:t>would</w:t>
      </w:r>
      <w:r w:rsidR="004D7D41" w:rsidRPr="00974FC1">
        <w:rPr>
          <w:spacing w:val="-15"/>
        </w:rPr>
        <w:t xml:space="preserve"> </w:t>
      </w:r>
      <w:r w:rsidR="004D7D41" w:rsidRPr="00974FC1">
        <w:t>materially affect the interests of third parties or the public generally. As already noted, Henkel has other lines, both of dishwash</w:t>
      </w:r>
      <w:r w:rsidR="004D7D41">
        <w:t>ing</w:t>
      </w:r>
      <w:r w:rsidR="004D7D41" w:rsidRPr="00974FC1">
        <w:t xml:space="preserve"> products and other goods, with which to fill advertising or promotional commitments. </w:t>
      </w:r>
      <w:r>
        <w:t>The applicants conceded that this would n</w:t>
      </w:r>
      <w:r w:rsidR="004D7D41" w:rsidRPr="00974FC1">
        <w:t>o doubt ha</w:t>
      </w:r>
      <w:r>
        <w:t>ve</w:t>
      </w:r>
      <w:r w:rsidR="004D7D41" w:rsidRPr="00974FC1">
        <w:t xml:space="preserve"> a cost to Henkel, but</w:t>
      </w:r>
      <w:r>
        <w:t xml:space="preserve"> contended</w:t>
      </w:r>
      <w:r w:rsidR="004D7D41" w:rsidRPr="00974FC1">
        <w:t xml:space="preserve"> it is disingenuous to suggest, as </w:t>
      </w:r>
      <w:r>
        <w:t>Henkel</w:t>
      </w:r>
      <w:r w:rsidR="0059586C">
        <w:t>’</w:t>
      </w:r>
      <w:r>
        <w:t>s</w:t>
      </w:r>
      <w:r w:rsidR="004D7D41" w:rsidRPr="00974FC1">
        <w:t xml:space="preserve"> witnesses do, that their concern is for the third party. </w:t>
      </w:r>
      <w:r w:rsidR="007B0B13">
        <w:t>They submit that r</w:t>
      </w:r>
      <w:r w:rsidR="004D7D41" w:rsidRPr="00974FC1">
        <w:t>etailers are expert</w:t>
      </w:r>
      <w:r w:rsidR="009F3222">
        <w:t>s</w:t>
      </w:r>
      <w:r w:rsidR="004D7D41" w:rsidRPr="00974FC1">
        <w:t xml:space="preserve"> at using their shelf space profitably. Henkel does not suggest that any retailer is contractually obliged to hold space exc</w:t>
      </w:r>
      <w:r w:rsidR="002F73A5">
        <w:t xml:space="preserve">lusively for </w:t>
      </w:r>
      <w:r w:rsidR="00DD2ECF">
        <w:t>SE Capsules</w:t>
      </w:r>
      <w:r w:rsidR="004D7D41" w:rsidRPr="00974FC1">
        <w:t>.</w:t>
      </w:r>
    </w:p>
    <w:p w14:paraId="6946C91B" w14:textId="495D9613" w:rsidR="007565EF" w:rsidRDefault="003F7F32" w:rsidP="003F7F32">
      <w:pPr>
        <w:pStyle w:val="ParaNumbering"/>
      </w:pPr>
      <w:r w:rsidRPr="003F7F32">
        <w:t xml:space="preserve">Finally, the applicants submit that the fact that they have taken issue with the use of the SE Logo in Australia should come as little surprise to Henkel given the commencement of similar </w:t>
      </w:r>
      <w:r w:rsidRPr="003F7F32">
        <w:lastRenderedPageBreak/>
        <w:t xml:space="preserve">proceedings in Germany in March 2021. To that extent, </w:t>
      </w:r>
      <w:r>
        <w:t xml:space="preserve">the applicants contend, </w:t>
      </w:r>
      <w:r w:rsidRPr="003F7F32">
        <w:t xml:space="preserve">any prejudice visited upon Henkel by the grant of an </w:t>
      </w:r>
      <w:r w:rsidR="00C30EB8">
        <w:t xml:space="preserve">interim </w:t>
      </w:r>
      <w:r w:rsidRPr="003F7F32">
        <w:t>injunction was a calculated risk that Henkel took with its eyes wide open</w:t>
      </w:r>
      <w:r>
        <w:t xml:space="preserve">, pointing to the principle from </w:t>
      </w:r>
      <w:r>
        <w:rPr>
          <w:i/>
        </w:rPr>
        <w:t xml:space="preserve">Beecham </w:t>
      </w:r>
      <w:r>
        <w:t>at 626 referred to at [25(g)</w:t>
      </w:r>
      <w:r w:rsidR="001A1572">
        <w:t>]</w:t>
      </w:r>
      <w:r>
        <w:t xml:space="preserve"> above.</w:t>
      </w:r>
      <w:r w:rsidRPr="003F7F32">
        <w:t xml:space="preserve"> </w:t>
      </w:r>
    </w:p>
    <w:p w14:paraId="48408610" w14:textId="7402E955" w:rsidR="00DB20D5" w:rsidRDefault="00A45569" w:rsidP="00DB20D5">
      <w:pPr>
        <w:pStyle w:val="Heading2"/>
      </w:pPr>
      <w:r>
        <w:t xml:space="preserve">Respondent’s </w:t>
      </w:r>
      <w:r w:rsidR="001600C3">
        <w:t>submissions</w:t>
      </w:r>
    </w:p>
    <w:p w14:paraId="2AD55FDB" w14:textId="030DDC36" w:rsidR="003F7F32" w:rsidRDefault="003F7F32" w:rsidP="003F7F32">
      <w:pPr>
        <w:pStyle w:val="ParaNumbering"/>
      </w:pPr>
      <w:r>
        <w:t xml:space="preserve">Henkel submits that the applicants have said </w:t>
      </w:r>
      <w:r w:rsidR="0059586C">
        <w:t>“</w:t>
      </w:r>
      <w:r>
        <w:t xml:space="preserve">remarkably little about any prejudice </w:t>
      </w:r>
      <w:r w:rsidR="009F3222">
        <w:t>[they]</w:t>
      </w:r>
      <w:r>
        <w:t xml:space="preserve"> would suffer pending trial if the interlocutory injunction were not granted</w:t>
      </w:r>
      <w:r w:rsidR="0059586C">
        <w:t>”</w:t>
      </w:r>
      <w:r w:rsidR="009F3222">
        <w:t>. G</w:t>
      </w:r>
      <w:r>
        <w:t>iven the weak claim for trade mark infringement advanced by the applicants</w:t>
      </w:r>
      <w:r w:rsidR="009F3222">
        <w:t>, Henkel contends that</w:t>
      </w:r>
      <w:r>
        <w:t xml:space="preserve"> </w:t>
      </w:r>
      <w:r w:rsidR="0059586C">
        <w:t>“</w:t>
      </w:r>
      <w:r>
        <w:t>this alone ought to be reason enough to deny interlocutory relief</w:t>
      </w:r>
      <w:r w:rsidR="0059586C">
        <w:t>”</w:t>
      </w:r>
      <w:r>
        <w:t>. It submits that</w:t>
      </w:r>
      <w:r w:rsidR="00B94522">
        <w:t xml:space="preserve"> </w:t>
      </w:r>
      <w:r w:rsidR="00995E91">
        <w:t xml:space="preserve">due to this alleged weak claim, </w:t>
      </w:r>
      <w:r>
        <w:t xml:space="preserve">it is necessary for </w:t>
      </w:r>
      <w:r w:rsidR="009F3222">
        <w:t>the applicants</w:t>
      </w:r>
      <w:r>
        <w:t xml:space="preserve"> to establish a </w:t>
      </w:r>
      <w:r w:rsidRPr="00995E91">
        <w:t xml:space="preserve">marked balance of convenience in </w:t>
      </w:r>
      <w:r w:rsidR="009F3222">
        <w:t xml:space="preserve">their </w:t>
      </w:r>
      <w:r w:rsidRPr="00995E91">
        <w:t>favour</w:t>
      </w:r>
      <w:r>
        <w:t xml:space="preserve">, which </w:t>
      </w:r>
      <w:r w:rsidR="009F3222">
        <w:t xml:space="preserve">they have </w:t>
      </w:r>
      <w:r>
        <w:t>failed to do</w:t>
      </w:r>
      <w:r w:rsidR="00995E91">
        <w:t>, citing</w:t>
      </w:r>
      <w:r>
        <w:t xml:space="preserve"> </w:t>
      </w:r>
      <w:r w:rsidR="00995E91">
        <w:rPr>
          <w:i/>
        </w:rPr>
        <w:t xml:space="preserve">Bullock </w:t>
      </w:r>
      <w:r w:rsidR="00995E91">
        <w:t>at 472 (Woodward J, with whom Smithers and Swe</w:t>
      </w:r>
      <w:r w:rsidR="00B40D15">
        <w:t xml:space="preserve">eney JJ agreed at 467 and 469) and </w:t>
      </w:r>
      <w:r w:rsidRPr="003F7F32">
        <w:rPr>
          <w:i/>
        </w:rPr>
        <w:t>GSK</w:t>
      </w:r>
      <w:r w:rsidR="001A1572">
        <w:t xml:space="preserve"> at [81</w:t>
      </w:r>
      <w:r>
        <w:t>(j)</w:t>
      </w:r>
      <w:r w:rsidR="001A1572">
        <w:t>]</w:t>
      </w:r>
      <w:r>
        <w:t>.</w:t>
      </w:r>
    </w:p>
    <w:p w14:paraId="254F5D76" w14:textId="7E492EC2" w:rsidR="00F35AA8" w:rsidRDefault="003F7F32" w:rsidP="003F7F32">
      <w:pPr>
        <w:pStyle w:val="ParaNumbering"/>
      </w:pPr>
      <w:r>
        <w:t>Henkel contends that an interlocutory injunction would cause it significant damage.</w:t>
      </w:r>
      <w:r w:rsidR="00B94522">
        <w:t xml:space="preserve"> </w:t>
      </w:r>
      <w:r w:rsidR="009F3222">
        <w:t>In summary, it submits that an interlocutory injunction</w:t>
      </w:r>
      <w:r>
        <w:t xml:space="preserve"> would:</w:t>
      </w:r>
      <w:r w:rsidR="00F35AA8">
        <w:t xml:space="preserve"> </w:t>
      </w:r>
    </w:p>
    <w:p w14:paraId="5875BB24" w14:textId="76267620" w:rsidR="00995E91" w:rsidRDefault="00995E91" w:rsidP="009F3222">
      <w:pPr>
        <w:pStyle w:val="ListNo1alt"/>
        <w:numPr>
          <w:ilvl w:val="0"/>
          <w:numId w:val="46"/>
        </w:numPr>
      </w:pPr>
      <w:r>
        <w:t xml:space="preserve">lead to a disruption and loss of momentum for the launch of the whole </w:t>
      </w:r>
      <w:r w:rsidR="00C133FD">
        <w:t>SOMAT</w:t>
      </w:r>
      <w:r>
        <w:t xml:space="preserve"> range</w:t>
      </w:r>
      <w:r w:rsidR="009F3222">
        <w:t xml:space="preserve">, </w:t>
      </w:r>
      <w:r>
        <w:t xml:space="preserve">given that the SE </w:t>
      </w:r>
      <w:r w:rsidR="007B0B13">
        <w:t>Capsules</w:t>
      </w:r>
      <w:r>
        <w:t xml:space="preserve"> </w:t>
      </w:r>
      <w:r w:rsidR="007B0B13">
        <w:t>are</w:t>
      </w:r>
      <w:r>
        <w:t xml:space="preserve"> its flagship lead product;</w:t>
      </w:r>
    </w:p>
    <w:p w14:paraId="37992DB1" w14:textId="747ED73E" w:rsidR="00995E91" w:rsidRDefault="009F3222" w:rsidP="00B05333">
      <w:pPr>
        <w:pStyle w:val="ListNo1alt"/>
        <w:numPr>
          <w:ilvl w:val="0"/>
          <w:numId w:val="46"/>
        </w:numPr>
      </w:pPr>
      <w:r>
        <w:t xml:space="preserve">cause </w:t>
      </w:r>
      <w:r w:rsidR="00995E91">
        <w:t>unquantifiable damage to its reputation with its retailer based customers;</w:t>
      </w:r>
    </w:p>
    <w:p w14:paraId="0A7AC26F" w14:textId="77777777" w:rsidR="00995E91" w:rsidRDefault="00995E91" w:rsidP="00B05333">
      <w:pPr>
        <w:pStyle w:val="ListNo1alt"/>
        <w:numPr>
          <w:ilvl w:val="0"/>
          <w:numId w:val="46"/>
        </w:numPr>
      </w:pPr>
      <w:r>
        <w:t>cause it to incur costs and suffer delays in designing new packaging and having existing products repackaged;</w:t>
      </w:r>
    </w:p>
    <w:p w14:paraId="2281DBB7" w14:textId="2E691551" w:rsidR="00995E91" w:rsidRDefault="00995E91" w:rsidP="00B05333">
      <w:pPr>
        <w:pStyle w:val="ListNo1alt"/>
        <w:numPr>
          <w:ilvl w:val="0"/>
          <w:numId w:val="46"/>
        </w:numPr>
      </w:pPr>
      <w:r>
        <w:t>give rise to a loss of efficacy in the promotional effect of the redesigned packaging because customers would have no way of knowing what the product they were considering buying looked like;</w:t>
      </w:r>
      <w:r w:rsidR="009F3222">
        <w:t xml:space="preserve"> and</w:t>
      </w:r>
    </w:p>
    <w:p w14:paraId="6AD6C894" w14:textId="77777777" w:rsidR="00995E91" w:rsidRDefault="00995E91" w:rsidP="00B05333">
      <w:pPr>
        <w:pStyle w:val="ListNo1alt"/>
        <w:numPr>
          <w:ilvl w:val="0"/>
          <w:numId w:val="46"/>
        </w:numPr>
      </w:pPr>
      <w:r>
        <w:t>cause it to incur costs in ceasing its marketing campaign and redesigning campaign materials, which presently focus on the SE Capsules.</w:t>
      </w:r>
    </w:p>
    <w:p w14:paraId="5D092C32" w14:textId="43F194DF" w:rsidR="00CB378A" w:rsidRPr="00CB378A" w:rsidRDefault="00CB378A" w:rsidP="00CB378A">
      <w:pPr>
        <w:pStyle w:val="ParaNumbering"/>
      </w:pPr>
      <w:r w:rsidRPr="00CB378A">
        <w:t>Henkel contends that if the injunction is granted</w:t>
      </w:r>
      <w:r w:rsidR="009F3222">
        <w:t xml:space="preserve"> and the applicants’ </w:t>
      </w:r>
      <w:r>
        <w:t>case ultimately fails</w:t>
      </w:r>
      <w:r w:rsidR="009F3222">
        <w:t xml:space="preserve">, </w:t>
      </w:r>
      <w:r w:rsidRPr="00CB378A">
        <w:t xml:space="preserve">it would be very difficult, if not impossible, to predict what levels of sales and market share it could have achieved if the launch of the </w:t>
      </w:r>
      <w:r w:rsidR="00C133FD">
        <w:t>SOMAT</w:t>
      </w:r>
      <w:r w:rsidRPr="00CB378A">
        <w:t xml:space="preserve"> range had not been disrupted.</w:t>
      </w:r>
    </w:p>
    <w:p w14:paraId="43F15BA5" w14:textId="0D3E6FE6" w:rsidR="00CB378A" w:rsidRPr="00CB378A" w:rsidRDefault="00CB378A" w:rsidP="00CB378A">
      <w:pPr>
        <w:pStyle w:val="ParaNumbering"/>
      </w:pPr>
      <w:r w:rsidRPr="00CB378A">
        <w:t>Henkel also submit</w:t>
      </w:r>
      <w:r w:rsidR="007B0B13">
        <w:t>s</w:t>
      </w:r>
      <w:r w:rsidR="00B94522">
        <w:t xml:space="preserve"> </w:t>
      </w:r>
      <w:r w:rsidRPr="00CB378A">
        <w:t>that if an interlocutory injunction were granted</w:t>
      </w:r>
      <w:r>
        <w:t>:</w:t>
      </w:r>
      <w:r w:rsidRPr="00CB378A">
        <w:t xml:space="preserve"> consumers and retailers would be denied the immediate benefit of a major new competitor</w:t>
      </w:r>
      <w:r>
        <w:t>;</w:t>
      </w:r>
      <w:r w:rsidRPr="00CB378A">
        <w:t xml:space="preserve"> business plans of retailers who had agreed to sell the </w:t>
      </w:r>
      <w:r w:rsidR="00C133FD">
        <w:t>SOMAT</w:t>
      </w:r>
      <w:r w:rsidRPr="00CB378A">
        <w:t xml:space="preserve"> range in the expectation that </w:t>
      </w:r>
      <w:r w:rsidR="009F3222">
        <w:t xml:space="preserve">it </w:t>
      </w:r>
      <w:r w:rsidRPr="00CB378A">
        <w:t>would be profitable to them would be disrupted</w:t>
      </w:r>
      <w:r>
        <w:t>;</w:t>
      </w:r>
      <w:r w:rsidRPr="00CB378A">
        <w:t xml:space="preserve"> and retailers would lose the benefit of the significant investments that they </w:t>
      </w:r>
      <w:r w:rsidRPr="00CB378A">
        <w:lastRenderedPageBreak/>
        <w:t xml:space="preserve">had made with Henkel and planned joint marketing activities for the </w:t>
      </w:r>
      <w:r w:rsidR="00C133FD">
        <w:t>SOMAT</w:t>
      </w:r>
      <w:r w:rsidRPr="00CB378A">
        <w:t xml:space="preserve"> range</w:t>
      </w:r>
      <w:r>
        <w:t>, which</w:t>
      </w:r>
      <w:r w:rsidRPr="00CB378A">
        <w:t xml:space="preserve"> includ</w:t>
      </w:r>
      <w:r>
        <w:t>ed</w:t>
      </w:r>
      <w:r w:rsidRPr="00CB378A">
        <w:t xml:space="preserve"> store promotions, catalogue placements and </w:t>
      </w:r>
      <w:r w:rsidR="0059586C">
        <w:t>“</w:t>
      </w:r>
      <w:r w:rsidRPr="00CB378A">
        <w:t>collectables</w:t>
      </w:r>
      <w:r w:rsidR="0059586C">
        <w:t>”</w:t>
      </w:r>
      <w:r w:rsidRPr="00CB378A">
        <w:t xml:space="preserve"> promotions.</w:t>
      </w:r>
    </w:p>
    <w:p w14:paraId="634258ED" w14:textId="0CB465E4" w:rsidR="001600C3" w:rsidRDefault="001600C3" w:rsidP="0063699F">
      <w:pPr>
        <w:pStyle w:val="Heading3"/>
      </w:pPr>
      <w:r>
        <w:t>Consideration</w:t>
      </w:r>
    </w:p>
    <w:p w14:paraId="1DD2AACF" w14:textId="77777777" w:rsidR="00CB378A" w:rsidRDefault="00CB378A" w:rsidP="00CB378A">
      <w:pPr>
        <w:pStyle w:val="ParaNumbering"/>
      </w:pPr>
      <w:r>
        <w:t>I am satisfied that in this case the balance of convenience strongly favours the granting of the injunctions sought by the applicants for the following reasons.</w:t>
      </w:r>
    </w:p>
    <w:p w14:paraId="35EF94FA" w14:textId="53110A74" w:rsidR="00CB378A" w:rsidRDefault="00CB378A" w:rsidP="00CB378A">
      <w:pPr>
        <w:pStyle w:val="ParaNumbering"/>
      </w:pPr>
      <w:r w:rsidRPr="00CB378A">
        <w:rPr>
          <w:i/>
        </w:rPr>
        <w:t>First</w:t>
      </w:r>
      <w:r>
        <w:t xml:space="preserve">, the granting of the interlocutory relief would not be decisive in resolving the dispute between the parties. It is not suggested that the effect of the relief sought would, from a commercial perspective, prevent Henkel from recommencing the launch of the SE Capsules in Australia if it were successful at a final hearing or that it would prevent Henkel from otherwise continuing with the launch of the balance of the </w:t>
      </w:r>
      <w:r w:rsidR="00C133FD">
        <w:t>SOMAT</w:t>
      </w:r>
      <w:r>
        <w:t xml:space="preserve"> range in Australia.</w:t>
      </w:r>
    </w:p>
    <w:p w14:paraId="43330320" w14:textId="6D681F79" w:rsidR="00CB378A" w:rsidRDefault="00CB378A" w:rsidP="00CB378A">
      <w:pPr>
        <w:pStyle w:val="ParaNumbering"/>
      </w:pPr>
      <w:r>
        <w:t>This consideration is of particular significance in this case</w:t>
      </w:r>
      <w:r w:rsidR="00637435">
        <w:t>,</w:t>
      </w:r>
      <w:r>
        <w:t xml:space="preserve"> given that I am not satisfied that the applicants have established a strong prima facie case of trade mark infringement. Had the </w:t>
      </w:r>
      <w:r w:rsidR="00637435">
        <w:t xml:space="preserve">balance of convenience </w:t>
      </w:r>
      <w:r>
        <w:t xml:space="preserve">been </w:t>
      </w:r>
      <w:r w:rsidR="009E7798">
        <w:t xml:space="preserve">less </w:t>
      </w:r>
      <w:r>
        <w:t>decisive in the present context, the absence of a strong prima facie case would have weighed very heavily against the grant of the interlocutory relief sought by the applicants.</w:t>
      </w:r>
    </w:p>
    <w:p w14:paraId="38CD82DD" w14:textId="5C959DAF" w:rsidR="009C6DFD" w:rsidRDefault="00CB378A" w:rsidP="009101FD">
      <w:pPr>
        <w:pStyle w:val="ParaNumbering"/>
      </w:pPr>
      <w:r w:rsidRPr="00CB378A">
        <w:rPr>
          <w:i/>
        </w:rPr>
        <w:t>Second</w:t>
      </w:r>
      <w:r>
        <w:t xml:space="preserve">, the Court is in substance in this case being asked to weigh a potential diminution in value of registered </w:t>
      </w:r>
      <w:proofErr w:type="spellStart"/>
      <w:r>
        <w:t>trade marks</w:t>
      </w:r>
      <w:proofErr w:type="spellEnd"/>
      <w:r>
        <w:t xml:space="preserve"> of an established incumbent against potential harm to a new entrant if it is precluded until the final determination of the proceedings from using a particular logo or sign on the launch of one of a number of products that it wishes to launch in the Australian market. </w:t>
      </w:r>
      <w:r w:rsidR="00C46096">
        <w:t>I am satisfied that</w:t>
      </w:r>
      <w:r w:rsidR="00B40D15" w:rsidRPr="00B40D15">
        <w:t xml:space="preserve"> </w:t>
      </w:r>
      <w:r w:rsidR="00B40D15">
        <w:t>the applicants have</w:t>
      </w:r>
      <w:r w:rsidR="009C6DFD">
        <w:t xml:space="preserve">, at least on a prima facie basis, an established reputation and substantial goodwill in the 914 Mark and the 311 Mark by reason of </w:t>
      </w:r>
      <w:r w:rsidR="001A1B27" w:rsidRPr="00B40D15">
        <w:rPr>
          <w:i/>
        </w:rPr>
        <w:t>first</w:t>
      </w:r>
      <w:r w:rsidR="001A1B27">
        <w:t xml:space="preserve">, </w:t>
      </w:r>
      <w:r w:rsidR="009C6DFD">
        <w:t>the length of time they have been used (acknowledging that this alleged use is challenged by Henkel in its cross</w:t>
      </w:r>
      <w:r w:rsidR="00B40D15">
        <w:t>-</w:t>
      </w:r>
      <w:r w:rsidR="009C6DFD">
        <w:t>claim) and</w:t>
      </w:r>
      <w:r w:rsidR="001A1B27">
        <w:t xml:space="preserve">, </w:t>
      </w:r>
      <w:r w:rsidR="001A1B27" w:rsidRPr="00B40D15">
        <w:rPr>
          <w:i/>
        </w:rPr>
        <w:t>second</w:t>
      </w:r>
      <w:r w:rsidR="001A1B27">
        <w:t xml:space="preserve">, the dominant market share and </w:t>
      </w:r>
      <w:r w:rsidR="009C6DFD">
        <w:t xml:space="preserve">the quantum of the revenue that it has generated from products bearing those marks. </w:t>
      </w:r>
    </w:p>
    <w:p w14:paraId="3B899347" w14:textId="7CEA65E0" w:rsidR="00FA19CF" w:rsidRDefault="00FA19CF" w:rsidP="009101FD">
      <w:pPr>
        <w:pStyle w:val="ParaNumbering"/>
      </w:pPr>
      <w:r>
        <w:t>Here, by way of contrast, Henkel has no established reputation or goodwill in any Austral</w:t>
      </w:r>
      <w:r w:rsidR="00B40D15">
        <w:t>ian market for the sale of dish</w:t>
      </w:r>
      <w:r>
        <w:t xml:space="preserve">washing products and has only just commenced selling its product in a limited range of retail stores in this country. </w:t>
      </w:r>
    </w:p>
    <w:p w14:paraId="0D78C1E5" w14:textId="47984CF7" w:rsidR="0063699F" w:rsidRDefault="00CB378A" w:rsidP="009101FD">
      <w:pPr>
        <w:pStyle w:val="ParaNumbering"/>
      </w:pPr>
      <w:r>
        <w:t xml:space="preserve">Subject to particular prejudice, the </w:t>
      </w:r>
      <w:r w:rsidRPr="00CB378A">
        <w:rPr>
          <w:i/>
        </w:rPr>
        <w:t>status quo</w:t>
      </w:r>
      <w:r>
        <w:t xml:space="preserve"> would best be served by suspending the use of that particular logo or sign until the Court can make a final determination of the respective merits of the alleged trade mark contraventions. As Brett </w:t>
      </w:r>
      <w:r w:rsidR="00637435">
        <w:t>J</w:t>
      </w:r>
      <w:r>
        <w:t>JA stated in</w:t>
      </w:r>
      <w:r w:rsidRPr="00CB378A">
        <w:rPr>
          <w:i/>
        </w:rPr>
        <w:t xml:space="preserve"> Plimpton v Spiller</w:t>
      </w:r>
      <w:r>
        <w:t xml:space="preserve"> [1876] </w:t>
      </w:r>
      <w:r>
        <w:lastRenderedPageBreak/>
        <w:t xml:space="preserve">4 </w:t>
      </w:r>
      <w:proofErr w:type="spellStart"/>
      <w:r>
        <w:t>Ch</w:t>
      </w:r>
      <w:proofErr w:type="spellEnd"/>
      <w:r>
        <w:t xml:space="preserve"> D 286 at 292-3, cited with approval by </w:t>
      </w:r>
      <w:proofErr w:type="spellStart"/>
      <w:r>
        <w:t>Tamberlin</w:t>
      </w:r>
      <w:proofErr w:type="spellEnd"/>
      <w:r>
        <w:t xml:space="preserve"> J in </w:t>
      </w:r>
      <w:r w:rsidRPr="00CB378A">
        <w:rPr>
          <w:i/>
        </w:rPr>
        <w:t xml:space="preserve">Beecham Group </w:t>
      </w:r>
      <w:r w:rsidR="009101FD">
        <w:rPr>
          <w:i/>
        </w:rPr>
        <w:t xml:space="preserve">PLC </w:t>
      </w:r>
      <w:r w:rsidRPr="00CB378A">
        <w:rPr>
          <w:i/>
        </w:rPr>
        <w:t>v Colgate-Palmolive</w:t>
      </w:r>
      <w:r w:rsidR="009101FD">
        <w:rPr>
          <w:i/>
        </w:rPr>
        <w:t xml:space="preserve"> Pty Ltd</w:t>
      </w:r>
      <w:r>
        <w:t xml:space="preserve"> (2004) 64 IPR 45</w:t>
      </w:r>
      <w:r w:rsidR="009101FD">
        <w:t>; [2004] FCA 1335</w:t>
      </w:r>
      <w:r>
        <w:t xml:space="preserve"> (</w:t>
      </w:r>
      <w:r w:rsidRPr="00CB378A">
        <w:rPr>
          <w:b/>
          <w:i/>
        </w:rPr>
        <w:t>Beecham Group</w:t>
      </w:r>
      <w:r>
        <w:t>) at [37]:</w:t>
      </w:r>
    </w:p>
    <w:p w14:paraId="143879F9" w14:textId="284ACDEF" w:rsidR="009101FD" w:rsidRDefault="009101FD" w:rsidP="009101FD">
      <w:pPr>
        <w:pStyle w:val="Quote1"/>
      </w:pPr>
      <w:r w:rsidRPr="009101FD">
        <w:t>Now if the trade of a Defendant be an old and established trade, I should say that the hardship upon him would be too great if an injunction were granted.</w:t>
      </w:r>
      <w:r w:rsidR="00B94522">
        <w:t xml:space="preserve"> </w:t>
      </w:r>
      <w:r w:rsidRPr="009101FD">
        <w:t xml:space="preserve">But where, as here, the trade of the </w:t>
      </w:r>
      <w:r>
        <w:t>D</w:t>
      </w:r>
      <w:r w:rsidRPr="009101FD">
        <w:t>efendant is a new trade, and he is the seller of goods to a vast number of people, it seems to me to be less inconvenient and less likely to produce irreparable damage, to stop him from selling, than it would be to allow him to sell and merely keep an account, thus forcing the plaintiff to commence a multitude of actions against the purchasers.</w:t>
      </w:r>
    </w:p>
    <w:p w14:paraId="58CB0E9B" w14:textId="75652A99" w:rsidR="001A1B27" w:rsidRDefault="001A1B27" w:rsidP="00B40D15">
      <w:pPr>
        <w:pStyle w:val="ParaNumbering"/>
      </w:pPr>
      <w:r>
        <w:t xml:space="preserve">Further, the following analysis by the Full Court in </w:t>
      </w:r>
      <w:r w:rsidR="002C747A" w:rsidRPr="00B40D15">
        <w:rPr>
          <w:i/>
        </w:rPr>
        <w:t>Martin &amp; Pleasance</w:t>
      </w:r>
      <w:r>
        <w:t xml:space="preserve"> </w:t>
      </w:r>
      <w:r w:rsidR="00296694">
        <w:t xml:space="preserve">at [60]-[61] </w:t>
      </w:r>
      <w:r>
        <w:t xml:space="preserve">is </w:t>
      </w:r>
      <w:r w:rsidR="002C747A">
        <w:t>apposite in the current context:</w:t>
      </w:r>
    </w:p>
    <w:p w14:paraId="2904FA93" w14:textId="0E4A7082" w:rsidR="002C747A" w:rsidRDefault="002C747A" w:rsidP="00296694">
      <w:pPr>
        <w:pStyle w:val="Quote1"/>
        <w:ind w:left="1440" w:hanging="703"/>
      </w:pPr>
      <w:r>
        <w:t xml:space="preserve">[60]  </w:t>
      </w:r>
      <w:r w:rsidR="00296694">
        <w:tab/>
      </w:r>
      <w:r>
        <w:t>The appellants argued that [55] of the primary judge’s reasons discloses a logical error, in that it does not follow from the length of time the respondents’ products had been on the market (since 1993), compared to the length of time the appellants’ products had been on the market (since mid-February 2021, two weeks before the respondents filed an application for interlocutory relief), that, in granting the interlocutory injunction: (a) there would be any harm to the respondents, and (b) the harm to the respondents from the failure to grant the interlocutory injunction would be greater than that to the appellants, third parties and the public interest from the grant of the injunction.</w:t>
      </w:r>
    </w:p>
    <w:p w14:paraId="1397D9A3" w14:textId="3F22553C" w:rsidR="002C747A" w:rsidRDefault="002C747A" w:rsidP="00296694">
      <w:pPr>
        <w:pStyle w:val="Quote1"/>
        <w:ind w:left="1440" w:hanging="703"/>
      </w:pPr>
      <w:r>
        <w:t xml:space="preserve">[61] </w:t>
      </w:r>
      <w:r w:rsidR="00296694">
        <w:tab/>
      </w:r>
      <w:r>
        <w:t>We have already quoted [55] of the primary judge’s reasons. It does not reveal any illogical reasoning. The relative length of time the competing products had been on the market was an important consideration. It founded the primary judge’s conclusion that the respondents had an established reputation and substantial goodwill: [45]. In contrast, the appellants did not have an established reputation and substantial goodwill, which is why the primary judge considered the fact of recent entry by the appellants to be a factor of “considerable weight”: [62]; see also [70].</w:t>
      </w:r>
    </w:p>
    <w:p w14:paraId="1C01C8CE" w14:textId="03A9DE0B" w:rsidR="002C747A" w:rsidRDefault="00C30892" w:rsidP="00F35AA8">
      <w:pPr>
        <w:pStyle w:val="ParaNumbering"/>
      </w:pPr>
      <w:r w:rsidRPr="00EC755D">
        <w:rPr>
          <w:i/>
        </w:rPr>
        <w:t>Third</w:t>
      </w:r>
      <w:r>
        <w:t xml:space="preserve">, </w:t>
      </w:r>
      <w:r w:rsidR="002C747A">
        <w:t>the granting of the interlocutory relief sought by the applicants will not preclude Henkel from proceeding with a launch of a substantial proportion of its SOMAT range of products in circumstances where suppliers of</w:t>
      </w:r>
      <w:r w:rsidR="00296694">
        <w:t xml:space="preserve"> dish</w:t>
      </w:r>
      <w:r w:rsidR="002C747A">
        <w:t>washing products do not necessarily compete across all product</w:t>
      </w:r>
      <w:r w:rsidR="00FA19CF">
        <w:t xml:space="preserve"> segments</w:t>
      </w:r>
      <w:r w:rsidR="002C747A">
        <w:t>.</w:t>
      </w:r>
      <w:r w:rsidR="00296694">
        <w:t xml:space="preserve"> Part of Henkel’s recent business plan </w:t>
      </w:r>
      <w:r w:rsidR="006936E7">
        <w:t xml:space="preserve">showed selective participation by competitor brands across a number of </w:t>
      </w:r>
      <w:r w:rsidR="00296694">
        <w:t>distinct product segments in the Australian dishwashing product market</w:t>
      </w:r>
      <w:r w:rsidR="006936E7">
        <w:t>.</w:t>
      </w:r>
    </w:p>
    <w:p w14:paraId="09BFE3AB" w14:textId="1AD87126" w:rsidR="004C694C" w:rsidRDefault="00FA19CF" w:rsidP="00F35AA8">
      <w:pPr>
        <w:pStyle w:val="ParaNumbering"/>
      </w:pPr>
      <w:r w:rsidRPr="00B40D15">
        <w:rPr>
          <w:i/>
        </w:rPr>
        <w:t>Fourth</w:t>
      </w:r>
      <w:r>
        <w:t xml:space="preserve">, </w:t>
      </w:r>
      <w:r w:rsidR="00C30892">
        <w:t>I am satisfied that the applicants would face considerable</w:t>
      </w:r>
      <w:r w:rsidR="00EC755D">
        <w:t>,</w:t>
      </w:r>
      <w:r w:rsidR="00C30892">
        <w:t xml:space="preserve"> if not insurmountable</w:t>
      </w:r>
      <w:r w:rsidR="006936E7">
        <w:t>,</w:t>
      </w:r>
      <w:r w:rsidR="00C30892">
        <w:t xml:space="preserve"> hurdles in seeking to quantify the diminution in the value of thei</w:t>
      </w:r>
      <w:r w:rsidR="00B97E41">
        <w:t xml:space="preserve">r </w:t>
      </w:r>
      <w:proofErr w:type="spellStart"/>
      <w:r w:rsidR="00B97E41">
        <w:t>trade marks</w:t>
      </w:r>
      <w:proofErr w:type="spellEnd"/>
      <w:r w:rsidR="00B97E41">
        <w:t xml:space="preserve"> if the respondent</w:t>
      </w:r>
      <w:r w:rsidR="00C30892">
        <w:t xml:space="preserve"> </w:t>
      </w:r>
      <w:r w:rsidR="00B97E41">
        <w:t xml:space="preserve">was </w:t>
      </w:r>
      <w:r w:rsidR="00C30892">
        <w:t>permitted to continue to use the SE Logo in the period up to the final determination of these proceedings. Henkel</w:t>
      </w:r>
      <w:r w:rsidR="0059586C">
        <w:t>’</w:t>
      </w:r>
      <w:r w:rsidR="00C30892">
        <w:t>s submissions</w:t>
      </w:r>
      <w:r w:rsidR="00637435">
        <w:t xml:space="preserve"> regarding </w:t>
      </w:r>
      <w:r w:rsidR="00C30892">
        <w:t xml:space="preserve">the lack of precision in the harm that the applicants claim they would suffer if the interlocutory relief was not granted serve to highlight these hurdles. </w:t>
      </w:r>
    </w:p>
    <w:p w14:paraId="43864CC5" w14:textId="1296AF13" w:rsidR="004C694C" w:rsidRDefault="00C30892" w:rsidP="00F35AA8">
      <w:pPr>
        <w:pStyle w:val="ParaNumbering"/>
      </w:pPr>
      <w:r>
        <w:lastRenderedPageBreak/>
        <w:t>The Courts have recognised that an applicant might be entitled to damages referrable to the devaluation of a trade mark or reputation and goodwill associated with a trade mark</w:t>
      </w:r>
      <w:r w:rsidR="00637435">
        <w:t>,</w:t>
      </w:r>
      <w:r>
        <w:t xml:space="preserve"> </w:t>
      </w:r>
      <w:r w:rsidR="00C047D0">
        <w:t>but have emphasised the difficulty of making any award for damages in the absence of a principled assessment or rational basis</w:t>
      </w:r>
      <w:r w:rsidR="00637435">
        <w:t xml:space="preserve"> and the difficulty </w:t>
      </w:r>
      <w:r w:rsidR="007B0B13">
        <w:t>of obtaining</w:t>
      </w:r>
      <w:r w:rsidR="00B94522">
        <w:t xml:space="preserve"> </w:t>
      </w:r>
      <w:r w:rsidR="000552A5">
        <w:t xml:space="preserve">specific evidence </w:t>
      </w:r>
      <w:r w:rsidR="007B0B13">
        <w:t xml:space="preserve">from which such harm can be quantified </w:t>
      </w:r>
      <w:r w:rsidR="00C047D0">
        <w:t xml:space="preserve">: </w:t>
      </w:r>
      <w:r w:rsidR="00C047D0" w:rsidRPr="00C047D0">
        <w:rPr>
          <w:i/>
        </w:rPr>
        <w:t xml:space="preserve">Paramount Pictures Corporation v </w:t>
      </w:r>
      <w:proofErr w:type="spellStart"/>
      <w:r w:rsidR="00C047D0" w:rsidRPr="00C047D0">
        <w:rPr>
          <w:i/>
        </w:rPr>
        <w:t>Hasluck</w:t>
      </w:r>
      <w:proofErr w:type="spellEnd"/>
      <w:r w:rsidR="00C047D0">
        <w:t xml:space="preserve"> (2006) 70 IPR 293</w:t>
      </w:r>
      <w:r w:rsidR="00FF1E52">
        <w:t>; [2006] FCA 1431</w:t>
      </w:r>
      <w:r w:rsidR="00C047D0">
        <w:t xml:space="preserve"> at [50]-[51]</w:t>
      </w:r>
      <w:r w:rsidR="00EC755D">
        <w:t xml:space="preserve"> (French J)</w:t>
      </w:r>
      <w:r w:rsidR="00FF1E52">
        <w:t>;</w:t>
      </w:r>
      <w:r w:rsidR="004C694C">
        <w:t xml:space="preserve"> see also, </w:t>
      </w:r>
      <w:r w:rsidR="00330BAC" w:rsidRPr="00330BAC">
        <w:rPr>
          <w:i/>
        </w:rPr>
        <w:t>Bing! Software Pty</w:t>
      </w:r>
      <w:r w:rsidR="00BD2559">
        <w:rPr>
          <w:i/>
        </w:rPr>
        <w:t xml:space="preserve"> Ltd v Bing Technologies Pty Limited</w:t>
      </w:r>
      <w:r w:rsidR="00330BAC" w:rsidRPr="00330BAC">
        <w:rPr>
          <w:i/>
        </w:rPr>
        <w:t xml:space="preserve"> (No 1)</w:t>
      </w:r>
      <w:r w:rsidR="00330BAC">
        <w:t xml:space="preserve"> (2008) 79 IPR 454</w:t>
      </w:r>
      <w:r w:rsidR="00FF1E52">
        <w:t>; [2008] FCA 1760</w:t>
      </w:r>
      <w:r w:rsidR="00330BAC">
        <w:t xml:space="preserve"> at [125] (Collier J);</w:t>
      </w:r>
      <w:r w:rsidR="00B94522">
        <w:t xml:space="preserve"> </w:t>
      </w:r>
      <w:r w:rsidR="00EC755D" w:rsidRPr="00EC755D">
        <w:rPr>
          <w:i/>
        </w:rPr>
        <w:t xml:space="preserve">Halal Certification Authority Pty </w:t>
      </w:r>
      <w:r w:rsidR="00BD2559">
        <w:rPr>
          <w:i/>
        </w:rPr>
        <w:t>Limited</w:t>
      </w:r>
      <w:r w:rsidR="00EC755D" w:rsidRPr="00EC755D">
        <w:rPr>
          <w:i/>
        </w:rPr>
        <w:t xml:space="preserve"> v </w:t>
      </w:r>
      <w:proofErr w:type="spellStart"/>
      <w:r w:rsidR="00EC755D" w:rsidRPr="00EC755D">
        <w:rPr>
          <w:i/>
        </w:rPr>
        <w:t>Scadilone</w:t>
      </w:r>
      <w:proofErr w:type="spellEnd"/>
      <w:r w:rsidR="00EC755D" w:rsidRPr="00EC755D">
        <w:rPr>
          <w:i/>
        </w:rPr>
        <w:t xml:space="preserve"> Pty </w:t>
      </w:r>
      <w:r w:rsidR="00BD2559">
        <w:rPr>
          <w:i/>
        </w:rPr>
        <w:t>Limited</w:t>
      </w:r>
      <w:r w:rsidR="00BD2559" w:rsidRPr="00EC755D">
        <w:rPr>
          <w:i/>
        </w:rPr>
        <w:t xml:space="preserve"> </w:t>
      </w:r>
      <w:r w:rsidR="00FF1E52">
        <w:t xml:space="preserve">(2014) 107 IPR 23; </w:t>
      </w:r>
      <w:r w:rsidR="00EC755D">
        <w:t>[2014] FCA 614 at [84]-[87] (Perram</w:t>
      </w:r>
      <w:r w:rsidR="00637435">
        <w:t> </w:t>
      </w:r>
      <w:r w:rsidR="00EC755D">
        <w:t xml:space="preserve">J); </w:t>
      </w:r>
      <w:r w:rsidR="00C047D0">
        <w:t>see also in a copyright context</w:t>
      </w:r>
      <w:r w:rsidR="00330BAC">
        <w:t>,</w:t>
      </w:r>
      <w:r w:rsidR="00C047D0">
        <w:t xml:space="preserve"> </w:t>
      </w:r>
      <w:proofErr w:type="spellStart"/>
      <w:r w:rsidR="00C047D0" w:rsidRPr="00C047D0">
        <w:rPr>
          <w:i/>
        </w:rPr>
        <w:t>Facton</w:t>
      </w:r>
      <w:proofErr w:type="spellEnd"/>
      <w:r w:rsidR="00C047D0" w:rsidRPr="00C047D0">
        <w:rPr>
          <w:i/>
        </w:rPr>
        <w:t xml:space="preserve"> Ltd v </w:t>
      </w:r>
      <w:proofErr w:type="spellStart"/>
      <w:r w:rsidR="00C047D0" w:rsidRPr="00C047D0">
        <w:rPr>
          <w:i/>
        </w:rPr>
        <w:t>Rifai</w:t>
      </w:r>
      <w:proofErr w:type="spellEnd"/>
      <w:r w:rsidR="00C047D0" w:rsidRPr="00C047D0">
        <w:rPr>
          <w:i/>
        </w:rPr>
        <w:t xml:space="preserve"> Fashions Pty Ltd</w:t>
      </w:r>
      <w:r w:rsidR="00C047D0">
        <w:t xml:space="preserve"> (2012) 199 FCR 569</w:t>
      </w:r>
      <w:r w:rsidR="000552A5">
        <w:t>; [2012] FCAFC 9</w:t>
      </w:r>
      <w:r w:rsidR="00C047D0">
        <w:t xml:space="preserve"> at [24]-[28] (Lander and Gordon JJ)</w:t>
      </w:r>
      <w:r w:rsidR="00330BAC">
        <w:t xml:space="preserve">; </w:t>
      </w:r>
      <w:r w:rsidR="00330BAC" w:rsidRPr="00330BAC">
        <w:rPr>
          <w:i/>
        </w:rPr>
        <w:t>Elwood Clothing Pty Ltd v Cotton on Clothing Pty Ltd</w:t>
      </w:r>
      <w:r w:rsidR="00330BAC">
        <w:t xml:space="preserve"> (2009) 81 IPR 378</w:t>
      </w:r>
      <w:r w:rsidR="000552A5">
        <w:t>; [2009] FCA 633</w:t>
      </w:r>
      <w:r w:rsidR="00330BAC">
        <w:t xml:space="preserve"> at [33]-[34]</w:t>
      </w:r>
      <w:r w:rsidR="000552A5">
        <w:t xml:space="preserve"> (Gordon J);</w:t>
      </w:r>
      <w:r w:rsidR="00EC755D">
        <w:t xml:space="preserve"> and in a designs context</w:t>
      </w:r>
      <w:r w:rsidR="00330BAC">
        <w:t>,</w:t>
      </w:r>
      <w:r w:rsidR="00EC755D">
        <w:t xml:space="preserve"> </w:t>
      </w:r>
      <w:r w:rsidR="00EC755D" w:rsidRPr="00EC755D">
        <w:rPr>
          <w:i/>
        </w:rPr>
        <w:t>Review Australia Pty Ltd v Innovative Lifestyle Investments Pty Ltd</w:t>
      </w:r>
      <w:r w:rsidR="00EC755D">
        <w:t xml:space="preserve"> (2008) 166 FCR 358</w:t>
      </w:r>
      <w:r w:rsidR="000552A5">
        <w:t>; [2008] FCA 74</w:t>
      </w:r>
      <w:r w:rsidR="00EC755D">
        <w:t xml:space="preserve"> at [30]-[31] (Jessup J)</w:t>
      </w:r>
      <w:r w:rsidR="004C694C">
        <w:t>.</w:t>
      </w:r>
    </w:p>
    <w:p w14:paraId="39C6AC91" w14:textId="783D4EBC" w:rsidR="00C30892" w:rsidRDefault="004C694C" w:rsidP="00F35AA8">
      <w:pPr>
        <w:pStyle w:val="ParaNumbering"/>
      </w:pPr>
      <w:r>
        <w:t>The diminution in value of a trade mark caused by the raising of doubt in relation to similar products has been considered persuasive in determining whether damages could be an appropriate remedy</w:t>
      </w:r>
      <w:r w:rsidR="00F76457">
        <w:t>,</w:t>
      </w:r>
      <w:r>
        <w:t xml:space="preserve"> given that it would be difficult to assess damages in that context: </w:t>
      </w:r>
      <w:proofErr w:type="spellStart"/>
      <w:r w:rsidRPr="00F76457">
        <w:rPr>
          <w:i/>
        </w:rPr>
        <w:t>Parfums</w:t>
      </w:r>
      <w:proofErr w:type="spellEnd"/>
      <w:r w:rsidRPr="00F76457">
        <w:rPr>
          <w:i/>
        </w:rPr>
        <w:t xml:space="preserve"> Christian Dior (Australia) Pty Ltd v </w:t>
      </w:r>
      <w:proofErr w:type="spellStart"/>
      <w:r w:rsidRPr="00F76457">
        <w:rPr>
          <w:i/>
        </w:rPr>
        <w:t>Dimmeys</w:t>
      </w:r>
      <w:proofErr w:type="spellEnd"/>
      <w:r w:rsidRPr="00F76457">
        <w:rPr>
          <w:i/>
        </w:rPr>
        <w:t xml:space="preserve"> Stores Pty Ltd</w:t>
      </w:r>
      <w:r>
        <w:t xml:space="preserve"> </w:t>
      </w:r>
      <w:r w:rsidR="00BD2559">
        <w:t xml:space="preserve">[1997] FCA 1232; </w:t>
      </w:r>
      <w:r>
        <w:t>(1997) 39 IPR 349</w:t>
      </w:r>
      <w:r w:rsidR="00BD2559">
        <w:t xml:space="preserve"> </w:t>
      </w:r>
      <w:r>
        <w:t>at 354-</w:t>
      </w:r>
      <w:r w:rsidR="0063699F">
        <w:t>5</w:t>
      </w:r>
      <w:r>
        <w:t xml:space="preserve"> (</w:t>
      </w:r>
      <w:r w:rsidR="00637435">
        <w:t>Branson J);</w:t>
      </w:r>
      <w:r w:rsidR="0063699F">
        <w:t xml:space="preserve"> </w:t>
      </w:r>
      <w:r w:rsidR="0063699F" w:rsidRPr="00293D6D">
        <w:rPr>
          <w:i/>
        </w:rPr>
        <w:t>Beecham Group</w:t>
      </w:r>
      <w:r w:rsidR="0063699F">
        <w:t xml:space="preserve"> at </w:t>
      </w:r>
      <w:r w:rsidR="00293D6D">
        <w:t>[32]-[33] (</w:t>
      </w:r>
      <w:proofErr w:type="spellStart"/>
      <w:r w:rsidR="00293D6D">
        <w:t>Tamberlin</w:t>
      </w:r>
      <w:proofErr w:type="spellEnd"/>
      <w:r w:rsidR="00293D6D">
        <w:t xml:space="preserve"> J)</w:t>
      </w:r>
      <w:r w:rsidR="0063699F">
        <w:t>.</w:t>
      </w:r>
    </w:p>
    <w:p w14:paraId="6A9AA127" w14:textId="48D80617" w:rsidR="0039456C" w:rsidRDefault="00FA19CF" w:rsidP="000552A5">
      <w:pPr>
        <w:pStyle w:val="ParaNumbering"/>
      </w:pPr>
      <w:r w:rsidRPr="000552A5">
        <w:rPr>
          <w:i/>
        </w:rPr>
        <w:t>F</w:t>
      </w:r>
      <w:r>
        <w:rPr>
          <w:i/>
        </w:rPr>
        <w:t>if</w:t>
      </w:r>
      <w:r w:rsidRPr="000552A5">
        <w:rPr>
          <w:i/>
        </w:rPr>
        <w:t>th</w:t>
      </w:r>
      <w:r w:rsidR="000552A5" w:rsidRPr="000552A5">
        <w:t xml:space="preserve">, I am not persuaded that the majority of the potential substantive harm identified by Henkel to its interests could not be quantified and recoverable pursuant to an undertaking as to damages from the applicants. The costs of revising advertising and promotional campaigns and repackaging could be expected to be calculated with some precision. Further, </w:t>
      </w:r>
      <w:r w:rsidR="0039456C">
        <w:t xml:space="preserve">a determination of </w:t>
      </w:r>
      <w:r w:rsidR="000552A5" w:rsidRPr="000552A5">
        <w:t xml:space="preserve">lost revenue due to the suspension of sales of SE Capsules with the SE Logo and </w:t>
      </w:r>
      <w:r w:rsidR="0039456C">
        <w:t xml:space="preserve">any </w:t>
      </w:r>
      <w:r w:rsidR="000552A5" w:rsidRPr="000552A5">
        <w:t xml:space="preserve">loss of momentum in the launch of the </w:t>
      </w:r>
      <w:r w:rsidR="00C133FD">
        <w:t>SOMAT</w:t>
      </w:r>
      <w:r w:rsidR="008114F4" w:rsidRPr="000552A5">
        <w:t xml:space="preserve"> </w:t>
      </w:r>
      <w:r w:rsidR="000552A5" w:rsidRPr="000552A5">
        <w:t>range more generally could</w:t>
      </w:r>
      <w:r w:rsidR="0039456C">
        <w:t xml:space="preserve">, at least as a starting point, </w:t>
      </w:r>
      <w:r w:rsidR="000552A5" w:rsidRPr="000552A5">
        <w:t>be informed by comparisons of sales achieved if Henkel is successful at the final hearing and resumes the launch of th</w:t>
      </w:r>
      <w:r w:rsidR="006936E7">
        <w:t>e SE Capsules with the SE Logo.</w:t>
      </w:r>
    </w:p>
    <w:p w14:paraId="6AAB59F9" w14:textId="52AF0A2D" w:rsidR="000552A5" w:rsidRPr="000552A5" w:rsidRDefault="0039456C" w:rsidP="000552A5">
      <w:pPr>
        <w:pStyle w:val="ParaNumbering"/>
      </w:pPr>
      <w:r>
        <w:t xml:space="preserve">I acknowledge that there would necessarily be some difficulties in quantifying with precision the extent of the impact of any loss of momentum in the launch of the SOMAT range in Australia, but I consider that it is likely to be a much easier exercise than any attempt to </w:t>
      </w:r>
      <w:r w:rsidR="006936E7">
        <w:t xml:space="preserve">quantify </w:t>
      </w:r>
      <w:r>
        <w:t>the diminution in value of the 91</w:t>
      </w:r>
      <w:r w:rsidR="009A4E84">
        <w:t>4</w:t>
      </w:r>
      <w:r>
        <w:t xml:space="preserve"> Mark and the 311 Mark to the applicants if an interlocutory injunction were not granted and the applicants were ultimately successful in establishing the alleged trade mark infringements by Henkel.</w:t>
      </w:r>
    </w:p>
    <w:p w14:paraId="4AA79B65" w14:textId="6B8E08E2" w:rsidR="000552A5" w:rsidRPr="000552A5" w:rsidRDefault="000552A5" w:rsidP="000552A5">
      <w:pPr>
        <w:pStyle w:val="ParaNumbering"/>
      </w:pPr>
      <w:r w:rsidRPr="000552A5">
        <w:lastRenderedPageBreak/>
        <w:t>I accept that any loss of reputation would be difficult to quantify</w:t>
      </w:r>
      <w:r w:rsidR="006936E7">
        <w:t>,</w:t>
      </w:r>
      <w:r w:rsidRPr="000552A5">
        <w:t xml:space="preserve"> but given the relatively short period in which Henkel has had to establish a reputation in the Australian market for dishwashing products and that Henkel</w:t>
      </w:r>
      <w:r w:rsidR="0059586C">
        <w:t>’</w:t>
      </w:r>
      <w:r w:rsidRPr="000552A5">
        <w:t xml:space="preserve">s reputation is unlikely to be materially harmed in circumstances where the explanation for the disruption to business plans is an interlocutory injunction imposed by the Court </w:t>
      </w:r>
      <w:r w:rsidR="006936E7">
        <w:t>(</w:t>
      </w:r>
      <w:r w:rsidRPr="000552A5">
        <w:t>rather than any inherent problems with the product or Henkel</w:t>
      </w:r>
      <w:r w:rsidR="0059586C">
        <w:t>’</w:t>
      </w:r>
      <w:r w:rsidRPr="000552A5">
        <w:t xml:space="preserve">s </w:t>
      </w:r>
      <w:r w:rsidR="009C6DFD">
        <w:t xml:space="preserve">technical </w:t>
      </w:r>
      <w:r w:rsidRPr="000552A5">
        <w:t>capacity to supply it</w:t>
      </w:r>
      <w:r w:rsidR="006936E7">
        <w:t>)</w:t>
      </w:r>
      <w:r w:rsidR="009C6DFD">
        <w:t>,</w:t>
      </w:r>
      <w:r w:rsidR="006936E7">
        <w:t xml:space="preserve"> </w:t>
      </w:r>
      <w:r w:rsidR="009C6DFD">
        <w:t>I do not give this consideration much weight</w:t>
      </w:r>
      <w:r w:rsidRPr="000552A5">
        <w:t>.</w:t>
      </w:r>
    </w:p>
    <w:p w14:paraId="1B0147C9" w14:textId="46E00FA7" w:rsidR="000552A5" w:rsidRPr="000552A5" w:rsidRDefault="00FA19CF" w:rsidP="000552A5">
      <w:pPr>
        <w:pStyle w:val="ParaNumbering"/>
      </w:pPr>
      <w:r>
        <w:rPr>
          <w:i/>
        </w:rPr>
        <w:t>Six</w:t>
      </w:r>
      <w:r w:rsidRPr="000552A5">
        <w:rPr>
          <w:i/>
        </w:rPr>
        <w:t>th</w:t>
      </w:r>
      <w:r w:rsidR="000552A5" w:rsidRPr="000552A5">
        <w:t>, retailers</w:t>
      </w:r>
      <w:r w:rsidR="0059586C">
        <w:t>’</w:t>
      </w:r>
      <w:r w:rsidR="000552A5" w:rsidRPr="000552A5">
        <w:t xml:space="preserve"> loss of the benefit of the investments that they had made with Henkel and planned joint marketing activities for the </w:t>
      </w:r>
      <w:r w:rsidR="00C133FD">
        <w:t>SOMAT</w:t>
      </w:r>
      <w:r w:rsidR="008114F4" w:rsidRPr="000552A5">
        <w:t xml:space="preserve"> </w:t>
      </w:r>
      <w:r w:rsidR="000552A5" w:rsidRPr="000552A5">
        <w:t xml:space="preserve">range including store promotions, catalogue placements and </w:t>
      </w:r>
      <w:r w:rsidR="0059586C">
        <w:t>“</w:t>
      </w:r>
      <w:r w:rsidR="000552A5" w:rsidRPr="000552A5">
        <w:t>collectables</w:t>
      </w:r>
      <w:r w:rsidR="0059586C">
        <w:t>”</w:t>
      </w:r>
      <w:r w:rsidR="000552A5" w:rsidRPr="000552A5">
        <w:t xml:space="preserve"> promotions would only be partially lost and then only temporarily pending the final determination of the proceedings. The costs of necessary amendments and revisions to those marketing activities by reason of the grant of an interlocutory injunction could be expected to be quantifiable and recoverable pursuant to an undertaking from the applicants as to damages.</w:t>
      </w:r>
    </w:p>
    <w:p w14:paraId="1B2BB88C" w14:textId="1CC56412" w:rsidR="000552A5" w:rsidRPr="000552A5" w:rsidRDefault="00FA19CF" w:rsidP="000552A5">
      <w:pPr>
        <w:pStyle w:val="ParaNumbering"/>
      </w:pPr>
      <w:r w:rsidRPr="000552A5">
        <w:rPr>
          <w:i/>
        </w:rPr>
        <w:t>S</w:t>
      </w:r>
      <w:r>
        <w:rPr>
          <w:i/>
        </w:rPr>
        <w:t>even</w:t>
      </w:r>
      <w:r w:rsidRPr="000552A5">
        <w:rPr>
          <w:i/>
        </w:rPr>
        <w:t>th</w:t>
      </w:r>
      <w:r w:rsidR="000552A5" w:rsidRPr="000552A5">
        <w:t>, I am not able to place any significant weight on the alleged harm to competition. I appreciate that a new entrant may be beneficial for competition and that a new entrant may increase sales in a market</w:t>
      </w:r>
      <w:r w:rsidR="00FC6716">
        <w:t>,</w:t>
      </w:r>
      <w:r w:rsidR="000552A5" w:rsidRPr="000552A5">
        <w:t xml:space="preserve"> but those are not matters that can be accepted as propositions independently of any competition analysis. No such analysis has been advanced and in any event, the interlocutory relief sought will not preclude Henkel </w:t>
      </w:r>
      <w:r w:rsidR="00FC6716">
        <w:t>from</w:t>
      </w:r>
      <w:r w:rsidR="000552A5" w:rsidRPr="000552A5">
        <w:t xml:space="preserve"> entering the market with its </w:t>
      </w:r>
      <w:r w:rsidR="00C133FD">
        <w:t>SOMAT</w:t>
      </w:r>
      <w:r w:rsidR="008114F4" w:rsidRPr="000552A5">
        <w:t xml:space="preserve"> </w:t>
      </w:r>
      <w:r w:rsidR="00FC6716">
        <w:t>range. T</w:t>
      </w:r>
      <w:r w:rsidR="000552A5" w:rsidRPr="000552A5">
        <w:t xml:space="preserve">he only restriction will be that it cannot use the SE Logo to promote, market and sell its SE </w:t>
      </w:r>
      <w:r w:rsidR="008114F4">
        <w:t>Capsules</w:t>
      </w:r>
      <w:r w:rsidR="00FC6716">
        <w:t>, which will only be temporary</w:t>
      </w:r>
      <w:r w:rsidR="000552A5" w:rsidRPr="000552A5">
        <w:t xml:space="preserve"> if Henkel is ultimately successful at the final hearing. </w:t>
      </w:r>
    </w:p>
    <w:p w14:paraId="7753941E" w14:textId="5BE91204" w:rsidR="000552A5" w:rsidRPr="000552A5" w:rsidRDefault="000552A5" w:rsidP="000552A5">
      <w:pPr>
        <w:pStyle w:val="ParaNumbering"/>
      </w:pPr>
      <w:r w:rsidRPr="000552A5">
        <w:t xml:space="preserve">It is necessary to bear in mind that the inquiry in the present case is not whether any restrictions placed on the Henkel launch of the </w:t>
      </w:r>
      <w:r w:rsidR="00C133FD">
        <w:t>SOMAT</w:t>
      </w:r>
      <w:r w:rsidR="008114F4" w:rsidRPr="000552A5">
        <w:t xml:space="preserve"> </w:t>
      </w:r>
      <w:r w:rsidRPr="000552A5">
        <w:t>range of products will be likely to have a harmful impact on the market for dis</w:t>
      </w:r>
      <w:r w:rsidR="00FC6716">
        <w:t xml:space="preserve">hwashing products in Australia. Rather, the relevant inquiry is </w:t>
      </w:r>
      <w:r w:rsidRPr="000552A5">
        <w:t xml:space="preserve">whether the applicants have established the existence of a prima facie case of trade mark infringement and </w:t>
      </w:r>
      <w:r w:rsidR="00FC6716">
        <w:t xml:space="preserve">whether </w:t>
      </w:r>
      <w:r w:rsidRPr="000552A5">
        <w:t xml:space="preserve">the balance of convenience favours the grant </w:t>
      </w:r>
      <w:r w:rsidR="00FC6716">
        <w:t>of an interim injunction.</w:t>
      </w:r>
    </w:p>
    <w:p w14:paraId="2497407A" w14:textId="4F9137E8" w:rsidR="004D7D41" w:rsidRDefault="00855CBB" w:rsidP="00855CBB">
      <w:pPr>
        <w:pStyle w:val="Heading1"/>
      </w:pPr>
      <w:r>
        <w:t>Disposition</w:t>
      </w:r>
    </w:p>
    <w:p w14:paraId="23856555" w14:textId="39E74114" w:rsidR="004D7D41" w:rsidRDefault="00112B01" w:rsidP="00552B2F">
      <w:pPr>
        <w:pStyle w:val="ParaNumbering"/>
      </w:pPr>
      <w:r>
        <w:t>For the reasons outlined above, I made orders on 3</w:t>
      </w:r>
      <w:r w:rsidR="00FC6716">
        <w:t> </w:t>
      </w:r>
      <w:r>
        <w:t xml:space="preserve">September 2021 restraining </w:t>
      </w:r>
      <w:r w:rsidR="00020623">
        <w:t>Henkel from offering for sale</w:t>
      </w:r>
      <w:r w:rsidR="00020623" w:rsidRPr="001F284E">
        <w:t xml:space="preserve"> or selling dishwashing products under or by reference to</w:t>
      </w:r>
      <w:r w:rsidR="00020623">
        <w:t xml:space="preserve"> </w:t>
      </w:r>
      <w:r w:rsidR="00020623" w:rsidRPr="001F284E">
        <w:t xml:space="preserve">the </w:t>
      </w:r>
      <w:r w:rsidR="00020623">
        <w:t xml:space="preserve">SE Logo </w:t>
      </w:r>
      <w:r w:rsidR="00FC6716">
        <w:t>(</w:t>
      </w:r>
      <w:r w:rsidR="00020623" w:rsidRPr="001F284E">
        <w:t>or any other trade mark sub</w:t>
      </w:r>
      <w:r w:rsidR="00020623">
        <w:t>st</w:t>
      </w:r>
      <w:r w:rsidR="00FC6716">
        <w:t xml:space="preserve">antially similar to that mark) </w:t>
      </w:r>
      <w:r w:rsidR="00020623" w:rsidRPr="001F284E">
        <w:t>and</w:t>
      </w:r>
      <w:r w:rsidR="00020623">
        <w:t xml:space="preserve"> </w:t>
      </w:r>
      <w:r w:rsidR="00DD2ECF">
        <w:t>the 914 Mark</w:t>
      </w:r>
      <w:r w:rsidR="00020623" w:rsidRPr="001F284E">
        <w:t xml:space="preserve"> and/or </w:t>
      </w:r>
      <w:r w:rsidR="00DD2ECF">
        <w:t xml:space="preserve">the 311 Mark </w:t>
      </w:r>
      <w:r w:rsidR="00FC6716">
        <w:t>(</w:t>
      </w:r>
      <w:r w:rsidR="00020623" w:rsidRPr="001F284E">
        <w:t xml:space="preserve">or under or by reference to any trade mark substantially identical or deceptively similar to either </w:t>
      </w:r>
      <w:r w:rsidR="00020623" w:rsidRPr="001F284E">
        <w:lastRenderedPageBreak/>
        <w:t>of those marks</w:t>
      </w:r>
      <w:r w:rsidR="00FC6716">
        <w:t>)</w:t>
      </w:r>
      <w:r w:rsidR="00020623" w:rsidRPr="001F284E">
        <w:t>.</w:t>
      </w:r>
      <w:r w:rsidR="00020623">
        <w:t xml:space="preserve"> I </w:t>
      </w:r>
      <w:r w:rsidR="00B66EAB">
        <w:t>noted the und</w:t>
      </w:r>
      <w:r w:rsidR="00020623">
        <w:t>ertaking from the applicants to submit to any order of th</w:t>
      </w:r>
      <w:r w:rsidR="00FC6716">
        <w:t>e Court that the C</w:t>
      </w:r>
      <w:r w:rsidR="00020623">
        <w:t>ourt may consider to be</w:t>
      </w:r>
      <w:r w:rsidR="00B66EAB">
        <w:t xml:space="preserve"> </w:t>
      </w:r>
      <w:r w:rsidR="00020623">
        <w:t xml:space="preserve">just for the payment of compensation, to pay that compensation and to take the earliest possible date for the final hearing of these proceedings. Finally, I </w:t>
      </w:r>
      <w:r w:rsidR="00B66EAB">
        <w:t xml:space="preserve">ordered that the costs of </w:t>
      </w:r>
      <w:r w:rsidR="006936E7">
        <w:t xml:space="preserve">and incidental to </w:t>
      </w:r>
      <w:r w:rsidR="00FC6716">
        <w:t>this</w:t>
      </w:r>
      <w:r w:rsidR="00B66EAB">
        <w:t xml:space="preserve"> interlocutory hearing be the applicants</w:t>
      </w:r>
      <w:r w:rsidR="0059586C">
        <w:t>’</w:t>
      </w:r>
      <w:r w:rsidR="00B66EAB">
        <w:t xml:space="preserve"> costs in the proceedings.</w:t>
      </w:r>
    </w:p>
    <w:p w14:paraId="4E3B678B" w14:textId="77777777" w:rsidR="00C020E3" w:rsidRDefault="00C020E3" w:rsidP="00815065">
      <w:pPr>
        <w:pStyle w:val="BodyText"/>
      </w:pPr>
      <w:bookmarkStart w:id="22" w:name="Certification"/>
    </w:p>
    <w:tbl>
      <w:tblPr>
        <w:tblW w:w="0" w:type="auto"/>
        <w:tblLook w:val="04A0" w:firstRow="1" w:lastRow="0" w:firstColumn="1" w:lastColumn="0" w:noHBand="0" w:noVBand="1"/>
      </w:tblPr>
      <w:tblGrid>
        <w:gridCol w:w="3794"/>
      </w:tblGrid>
      <w:tr w:rsidR="00C020E3" w:rsidRPr="00C020E3" w14:paraId="1599B846" w14:textId="77777777">
        <w:tc>
          <w:tcPr>
            <w:tcW w:w="3794" w:type="dxa"/>
            <w:shd w:val="clear" w:color="auto" w:fill="auto"/>
          </w:tcPr>
          <w:p w14:paraId="58001104" w14:textId="0BFB230C" w:rsidR="00C020E3" w:rsidRPr="00C020E3" w:rsidRDefault="00C020E3" w:rsidP="00C020E3">
            <w:pPr>
              <w:pStyle w:val="Normal1linespace"/>
            </w:pPr>
            <w:r w:rsidRPr="00C020E3">
              <w:t xml:space="preserve">I certify that the preceding </w:t>
            </w:r>
            <w:bookmarkStart w:id="23" w:name="NumberWord"/>
            <w:r>
              <w:t>one hundred and fourteen</w:t>
            </w:r>
            <w:bookmarkEnd w:id="23"/>
            <w:r w:rsidRPr="00C020E3">
              <w:t xml:space="preserve"> (</w:t>
            </w:r>
            <w:bookmarkStart w:id="24" w:name="NumberNumeral"/>
            <w:r>
              <w:t>114</w:t>
            </w:r>
            <w:bookmarkEnd w:id="24"/>
            <w:r w:rsidRPr="00C020E3">
              <w:t xml:space="preserve">) numbered </w:t>
            </w:r>
            <w:bookmarkStart w:id="25" w:name="CertPara"/>
            <w:r>
              <w:t>paragraphs are</w:t>
            </w:r>
            <w:bookmarkEnd w:id="25"/>
            <w:r w:rsidRPr="00C020E3">
              <w:t xml:space="preserve"> a true copy of the Reasons for Judgment of </w:t>
            </w:r>
            <w:bookmarkStart w:id="26" w:name="bkHonourable"/>
            <w:r w:rsidRPr="00C020E3">
              <w:t xml:space="preserve">the Honourable </w:t>
            </w:r>
            <w:bookmarkStart w:id="27" w:name="Justice"/>
            <w:bookmarkEnd w:id="26"/>
            <w:r>
              <w:t>Justice Halley</w:t>
            </w:r>
            <w:bookmarkEnd w:id="27"/>
            <w:r w:rsidRPr="00C020E3">
              <w:t>.</w:t>
            </w:r>
          </w:p>
        </w:tc>
      </w:tr>
    </w:tbl>
    <w:p w14:paraId="089D35F4" w14:textId="77777777" w:rsidR="00C020E3" w:rsidRDefault="00C020E3" w:rsidP="00815065">
      <w:pPr>
        <w:pStyle w:val="BodyText"/>
      </w:pPr>
    </w:p>
    <w:p w14:paraId="122B8F03" w14:textId="71141D42" w:rsidR="00C020E3" w:rsidRDefault="00C020E3" w:rsidP="00815065">
      <w:pPr>
        <w:pStyle w:val="BodyText"/>
      </w:pPr>
      <w:r>
        <w:t>Associate:</w:t>
      </w:r>
      <w:r>
        <w:tab/>
      </w:r>
    </w:p>
    <w:p w14:paraId="2C1A1080" w14:textId="77777777" w:rsidR="00C020E3" w:rsidRDefault="00C020E3" w:rsidP="00815065">
      <w:pPr>
        <w:pStyle w:val="BodyText"/>
      </w:pPr>
    </w:p>
    <w:p w14:paraId="7EF7D0FE" w14:textId="6BC95E83" w:rsidR="00C020E3" w:rsidRDefault="00C020E3" w:rsidP="00815065">
      <w:pPr>
        <w:pStyle w:val="BodyText"/>
        <w:tabs>
          <w:tab w:val="left" w:pos="1134"/>
        </w:tabs>
      </w:pPr>
      <w:r>
        <w:t>Dated:</w:t>
      </w:r>
      <w:r>
        <w:tab/>
      </w:r>
      <w:bookmarkStart w:id="28" w:name="CertifyDated"/>
      <w:r>
        <w:t>10 September 2021</w:t>
      </w:r>
      <w:bookmarkEnd w:id="28"/>
    </w:p>
    <w:p w14:paraId="04199FF5" w14:textId="77777777" w:rsidR="00C020E3" w:rsidRDefault="00C020E3" w:rsidP="00815065">
      <w:pPr>
        <w:pStyle w:val="BodyText"/>
      </w:pPr>
    </w:p>
    <w:p w14:paraId="0DFB40EE" w14:textId="77777777" w:rsidR="00C020E3" w:rsidRPr="004D7D41" w:rsidRDefault="00C020E3" w:rsidP="00C020E3">
      <w:pPr>
        <w:pStyle w:val="BodyText"/>
      </w:pPr>
      <w:bookmarkStart w:id="29" w:name="_GoBack"/>
      <w:bookmarkEnd w:id="22"/>
      <w:bookmarkEnd w:id="29"/>
    </w:p>
    <w:sectPr w:rsidR="00C020E3" w:rsidRPr="004D7D41" w:rsidSect="00A84FD0">
      <w:headerReference w:type="even" r:id="rId38"/>
      <w:headerReference w:type="default" r:id="rId39"/>
      <w:footerReference w:type="default" r:id="rId40"/>
      <w:headerReference w:type="first" r:id="rId41"/>
      <w:footerReference w:type="first" r:id="rId4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10BDC" w14:textId="77777777" w:rsidR="00296694" w:rsidRDefault="00296694">
      <w:pPr>
        <w:spacing w:line="20" w:lineRule="exact"/>
      </w:pPr>
    </w:p>
    <w:p w14:paraId="1840C7FF" w14:textId="77777777" w:rsidR="00296694" w:rsidRDefault="00296694"/>
    <w:p w14:paraId="084549A6" w14:textId="77777777" w:rsidR="00296694" w:rsidRDefault="00296694"/>
  </w:endnote>
  <w:endnote w:type="continuationSeparator" w:id="0">
    <w:p w14:paraId="2561FFB0" w14:textId="77777777" w:rsidR="00296694" w:rsidRDefault="00296694">
      <w:r>
        <w:t xml:space="preserve"> </w:t>
      </w:r>
    </w:p>
    <w:p w14:paraId="3B9AC4BA" w14:textId="77777777" w:rsidR="00296694" w:rsidRDefault="00296694"/>
    <w:p w14:paraId="3B79D97B" w14:textId="77777777" w:rsidR="00296694" w:rsidRDefault="00296694"/>
  </w:endnote>
  <w:endnote w:type="continuationNotice" w:id="1">
    <w:p w14:paraId="26037267" w14:textId="77777777" w:rsidR="00296694" w:rsidRDefault="00296694">
      <w:r>
        <w:t xml:space="preserve"> </w:t>
      </w:r>
    </w:p>
    <w:p w14:paraId="6D4890B6" w14:textId="77777777" w:rsidR="00296694" w:rsidRDefault="00296694"/>
    <w:p w14:paraId="13E49845" w14:textId="77777777" w:rsidR="00296694" w:rsidRDefault="00296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16F0" w14:textId="77777777" w:rsidR="00296694" w:rsidRDefault="00296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BE49" w14:textId="0416ECAC" w:rsidR="00296694" w:rsidRPr="00C47B9D" w:rsidRDefault="0029669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06F0BF55" wp14:editId="5CE8C92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BC0E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RB (Hygiene Home) Australia Pty Ltd v Henkel Australia Pty Ltd [2021] FCA 1094</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F9DC" w14:textId="0EA1A2B8" w:rsidR="00296694" w:rsidRPr="00A46F29" w:rsidRDefault="00296694" w:rsidP="00A46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1506" w14:textId="192D91F0" w:rsidR="00296694" w:rsidRPr="00C47B9D" w:rsidRDefault="00296694"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97A444F" wp14:editId="129B897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B7DF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F5C4C7A89C044E7B26B0F90E6B38ADC"/>
        </w:placeholder>
        <w:dataBinding w:prefixMappings="xmlns:ns0='http://schemas.globalmacros.com/FCA'" w:xpath="/ns0:root[1]/ns0:Name[1]" w:storeItemID="{687E7CCB-4AA5-44E7-B148-17BA2B6F57C0}"/>
        <w:text w:multiLine="1"/>
      </w:sdtPr>
      <w:sdtEndPr/>
      <w:sdtContent>
        <w:r>
          <w:rPr>
            <w:bCs/>
            <w:sz w:val="18"/>
            <w:szCs w:val="18"/>
          </w:rPr>
          <w:t>RB (Hygiene Home) Australia Pty Ltd v Henkel Australia Pty Ltd [2021] FCA 1094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35088">
      <w:rPr>
        <w:bCs/>
        <w:noProof/>
        <w:sz w:val="20"/>
      </w:rPr>
      <w:t>iii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8AF8" w14:textId="2EDDDFAB" w:rsidR="00296694" w:rsidRPr="00C47B9D" w:rsidRDefault="0029669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3F5F40B" wp14:editId="3DA04B5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262E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55501074EA204813B7D63490CF8AAC35"/>
        </w:placeholder>
        <w:dataBinding w:prefixMappings="xmlns:ns0='http://schemas.globalmacros.com/FCA'" w:xpath="/ns0:root[1]/ns0:Name[1]" w:storeItemID="{687E7CCB-4AA5-44E7-B148-17BA2B6F57C0}"/>
        <w:text w:multiLine="1"/>
      </w:sdtPr>
      <w:sdtEndPr/>
      <w:sdtContent>
        <w:r>
          <w:rPr>
            <w:bCs/>
            <w:sz w:val="18"/>
            <w:szCs w:val="18"/>
          </w:rPr>
          <w:t>RB (Hygiene Home) Australia Pty Ltd v Henkel Australia Pty Ltd [2021] FCA 1094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3508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F596" w14:textId="3A45479E" w:rsidR="00296694" w:rsidRPr="00C47B9D" w:rsidRDefault="0029669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006D2765" wp14:editId="768CF7A6">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5C1D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5309B121A49414BB1F3BCE5E0365E3D"/>
        </w:placeholder>
        <w:dataBinding w:prefixMappings="xmlns:ns0='http://schemas.globalmacros.com/FCA'" w:xpath="/ns0:root[1]/ns0:Name[1]" w:storeItemID="{687E7CCB-4AA5-44E7-B148-17BA2B6F57C0}"/>
        <w:text w:multiLine="1"/>
      </w:sdtPr>
      <w:sdtEndPr/>
      <w:sdtContent>
        <w:r>
          <w:rPr>
            <w:bCs/>
            <w:sz w:val="18"/>
            <w:szCs w:val="18"/>
          </w:rPr>
          <w:t>RB (Hygiene Home) Australia Pty Ltd v Henkel Australia Pty Ltd [2021] FCA 1094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35088">
      <w:rPr>
        <w:bCs/>
        <w:noProof/>
        <w:sz w:val="20"/>
      </w:rPr>
      <w:t>24</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9EC0" w14:textId="4C6B2BDC" w:rsidR="00296694" w:rsidRPr="00C47B9D" w:rsidRDefault="0029669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90590B9" wp14:editId="058DBA2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C1EE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1DB4118E5D4845529C684CE5C7DDFED9"/>
        </w:placeholder>
        <w:dataBinding w:prefixMappings="xmlns:ns0='http://schemas.globalmacros.com/FCA'" w:xpath="/ns0:root[1]/ns0:Name[1]" w:storeItemID="{687E7CCB-4AA5-44E7-B148-17BA2B6F57C0}"/>
        <w:text w:multiLine="1"/>
      </w:sdtPr>
      <w:sdtEndPr/>
      <w:sdtContent>
        <w:r>
          <w:rPr>
            <w:bCs/>
            <w:sz w:val="18"/>
            <w:szCs w:val="18"/>
          </w:rPr>
          <w:t>RB (Hygiene Home) Australia Pty Ltd v Henkel Australia Pty Ltd [2021] FCA 1094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3508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C7D6" w14:textId="77777777" w:rsidR="00296694" w:rsidRDefault="00296694"/>
    <w:p w14:paraId="165F3469" w14:textId="77777777" w:rsidR="00296694" w:rsidRDefault="00296694"/>
    <w:p w14:paraId="5D6A678D" w14:textId="77777777" w:rsidR="00296694" w:rsidRDefault="00296694"/>
  </w:footnote>
  <w:footnote w:type="continuationSeparator" w:id="0">
    <w:p w14:paraId="41D79EA1" w14:textId="77777777" w:rsidR="00296694" w:rsidRDefault="00296694">
      <w:r>
        <w:continuationSeparator/>
      </w:r>
    </w:p>
    <w:p w14:paraId="07ED6BA5" w14:textId="77777777" w:rsidR="00296694" w:rsidRDefault="00296694"/>
    <w:p w14:paraId="3A4754A9" w14:textId="77777777" w:rsidR="00296694" w:rsidRDefault="002966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D" w14:textId="77777777" w:rsidR="00296694" w:rsidRDefault="00296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CFCA" w14:textId="77777777" w:rsidR="00296694" w:rsidRDefault="00296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60F0" w14:textId="77777777" w:rsidR="00296694" w:rsidRDefault="00296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2049" w14:textId="77777777" w:rsidR="00296694" w:rsidRDefault="0029669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6C0C" w14:textId="77777777" w:rsidR="00296694" w:rsidRDefault="0029669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5A08" w14:textId="77777777" w:rsidR="00296694" w:rsidRDefault="0029669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9925" w14:textId="77777777" w:rsidR="00296694" w:rsidRDefault="0029669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F51F" w14:textId="77777777" w:rsidR="00296694" w:rsidRDefault="0029669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0F96424"/>
    <w:multiLevelType w:val="hybridMultilevel"/>
    <w:tmpl w:val="371C79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1"/>
  </w:num>
  <w:num w:numId="15">
    <w:abstractNumId w:val="22"/>
  </w:num>
  <w:num w:numId="16">
    <w:abstractNumId w:val="25"/>
  </w:num>
  <w:num w:numId="17">
    <w:abstractNumId w:val="13"/>
  </w:num>
  <w:num w:numId="18">
    <w:abstractNumId w:val="24"/>
  </w:num>
  <w:num w:numId="19">
    <w:abstractNumId w:val="11"/>
  </w:num>
  <w:num w:numId="20">
    <w:abstractNumId w:val="18"/>
  </w:num>
  <w:num w:numId="21">
    <w:abstractNumId w:val="15"/>
  </w:num>
  <w:num w:numId="22">
    <w:abstractNumId w:val="16"/>
  </w:num>
  <w:num w:numId="23">
    <w:abstractNumId w:val="20"/>
  </w:num>
  <w:num w:numId="24">
    <w:abstractNumId w:val="10"/>
  </w:num>
  <w:num w:numId="25">
    <w:abstractNumId w:val="10"/>
  </w:num>
  <w:num w:numId="2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4"/>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0"/>
  </w:num>
  <w:num w:numId="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RB (Hygiene Home) Australia Pty Ltd (ACN 629 549 506)|Reckitt Benckiser Finish B.V."/>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Cross-Claimant" w:val="Henkel Australia Pty Ltd ACN 001 302 996"/>
    <w:docVar w:name="Cross-Respondent" w:val="Reckitt Benckiser Finish B.V."/>
    <w:docVar w:name="Defenders" w:val="(and another named in the Schedule)"/>
    <w:docVar w:name="dgnword-docGUID" w:val="{9CA01D43-32A6-40CC-B1D9-518394DFFC53}"/>
    <w:docVar w:name="dgnword-eventsink" w:val="440839664"/>
    <w:docVar w:name="Division" w:val="FCA General Division"/>
    <w:docVar w:name="DocCreated" w:val="True"/>
    <w:docVar w:name="Initiators" w:val="(and another named in the Schedule)"/>
    <w:docVar w:name="Judgdate" w:val="3 September 2021"/>
    <w:docVar w:name="Judge" w:val="Halley"/>
    <w:docVar w:name="JudgeType" w:val="Justice"/>
    <w:docVar w:name="lstEntryList" w:val="-1"/>
    <w:docVar w:name="myEntryList" w:val="Counsel for the Applicants=Mr M Hall SC with Mr G Tsang|Solicitor for the Applicants=Thomson Geer|Counsel for the Respondent=Mr E Heerey QC with Ms F St John|Solicitor for the Respondent=Ashurst Australia"/>
    <w:docVar w:name="NSD" w:val="NSD "/>
    <w:docVar w:name="NumApps" w:val="2"/>
    <w:docVar w:name="NumApps_" w:val="2"/>
    <w:docVar w:name="NumCrossResps" w:val="1"/>
    <w:docVar w:name="NumDefs" w:val="1"/>
    <w:docVar w:name="NumOthers" w:val="1"/>
    <w:docVar w:name="OtherNum" w:val="0"/>
    <w:docVar w:name="Parties1" w:val="Applicant"/>
    <w:docVar w:name="Parties2" w:val="Respondent"/>
    <w:docVar w:name="Parties3" w:val="Cross-Claimant"/>
    <w:docVar w:name="Parties4" w:val="Cross-Respondent"/>
    <w:docVar w:name="Parties5" w:val="Intervener"/>
    <w:docVar w:name="Place" w:val="N/A FCA"/>
    <w:docVar w:name="PracticeArea" w:val="TBC"/>
    <w:docVar w:name="RESAndAnother" w:val="True"/>
    <w:docVar w:name="RESAndOthers" w:val="False"/>
    <w:docVar w:name="Respondent" w:val="Henkel Australia Pty Ltd (ACN 0001 302 996)"/>
    <w:docVar w:name="ResState" w:val="New South Wales"/>
    <w:docVar w:name="SubArea" w:val="Trade Marks (IP)"/>
  </w:docVars>
  <w:rsids>
    <w:rsidRoot w:val="00F135C8"/>
    <w:rsid w:val="00000747"/>
    <w:rsid w:val="000115C5"/>
    <w:rsid w:val="0001469E"/>
    <w:rsid w:val="00015993"/>
    <w:rsid w:val="00020623"/>
    <w:rsid w:val="00021CCB"/>
    <w:rsid w:val="00022289"/>
    <w:rsid w:val="00027398"/>
    <w:rsid w:val="0003201A"/>
    <w:rsid w:val="0003207A"/>
    <w:rsid w:val="00032F9F"/>
    <w:rsid w:val="00041A6C"/>
    <w:rsid w:val="00041C07"/>
    <w:rsid w:val="00045BB7"/>
    <w:rsid w:val="00052C51"/>
    <w:rsid w:val="000552A5"/>
    <w:rsid w:val="00055719"/>
    <w:rsid w:val="0005641B"/>
    <w:rsid w:val="00056846"/>
    <w:rsid w:val="0006196A"/>
    <w:rsid w:val="0007337C"/>
    <w:rsid w:val="000736CB"/>
    <w:rsid w:val="0007459D"/>
    <w:rsid w:val="00077A07"/>
    <w:rsid w:val="00081497"/>
    <w:rsid w:val="00085255"/>
    <w:rsid w:val="000871B4"/>
    <w:rsid w:val="00087253"/>
    <w:rsid w:val="000A2E76"/>
    <w:rsid w:val="000A4807"/>
    <w:rsid w:val="000A4BE4"/>
    <w:rsid w:val="000A521C"/>
    <w:rsid w:val="000C023E"/>
    <w:rsid w:val="000C5195"/>
    <w:rsid w:val="000C5B59"/>
    <w:rsid w:val="000C62EF"/>
    <w:rsid w:val="000D2137"/>
    <w:rsid w:val="000D3FD2"/>
    <w:rsid w:val="000D4B2E"/>
    <w:rsid w:val="000E03C9"/>
    <w:rsid w:val="000E3FC8"/>
    <w:rsid w:val="000E7BAE"/>
    <w:rsid w:val="000F133D"/>
    <w:rsid w:val="0010536B"/>
    <w:rsid w:val="0011145C"/>
    <w:rsid w:val="001128BD"/>
    <w:rsid w:val="00112B01"/>
    <w:rsid w:val="0011419D"/>
    <w:rsid w:val="00114B02"/>
    <w:rsid w:val="001226C0"/>
    <w:rsid w:val="00126EC8"/>
    <w:rsid w:val="0012731C"/>
    <w:rsid w:val="00132054"/>
    <w:rsid w:val="00134964"/>
    <w:rsid w:val="001351B9"/>
    <w:rsid w:val="001408BB"/>
    <w:rsid w:val="001427E4"/>
    <w:rsid w:val="001440D6"/>
    <w:rsid w:val="0015198D"/>
    <w:rsid w:val="00155CD2"/>
    <w:rsid w:val="001600C3"/>
    <w:rsid w:val="001648BF"/>
    <w:rsid w:val="001727A4"/>
    <w:rsid w:val="0017376C"/>
    <w:rsid w:val="001738AB"/>
    <w:rsid w:val="001765E0"/>
    <w:rsid w:val="00177759"/>
    <w:rsid w:val="00180BB3"/>
    <w:rsid w:val="00185E6B"/>
    <w:rsid w:val="00187BBC"/>
    <w:rsid w:val="001932F3"/>
    <w:rsid w:val="00194D80"/>
    <w:rsid w:val="001A1572"/>
    <w:rsid w:val="001A1B27"/>
    <w:rsid w:val="001A2B40"/>
    <w:rsid w:val="001A4309"/>
    <w:rsid w:val="001A46AE"/>
    <w:rsid w:val="001A6C52"/>
    <w:rsid w:val="001B1053"/>
    <w:rsid w:val="001B14AC"/>
    <w:rsid w:val="001B7940"/>
    <w:rsid w:val="001C171A"/>
    <w:rsid w:val="001C37CA"/>
    <w:rsid w:val="001C4085"/>
    <w:rsid w:val="001D4303"/>
    <w:rsid w:val="001D6746"/>
    <w:rsid w:val="001E3B49"/>
    <w:rsid w:val="001E4A05"/>
    <w:rsid w:val="001E7388"/>
    <w:rsid w:val="001F13DD"/>
    <w:rsid w:val="001F2473"/>
    <w:rsid w:val="001F284E"/>
    <w:rsid w:val="001F2DBC"/>
    <w:rsid w:val="001F73E8"/>
    <w:rsid w:val="0020262C"/>
    <w:rsid w:val="00202723"/>
    <w:rsid w:val="00211A3E"/>
    <w:rsid w:val="00215BCA"/>
    <w:rsid w:val="00217AC4"/>
    <w:rsid w:val="00221461"/>
    <w:rsid w:val="00224537"/>
    <w:rsid w:val="00235956"/>
    <w:rsid w:val="00243E5E"/>
    <w:rsid w:val="00246A12"/>
    <w:rsid w:val="00247C9A"/>
    <w:rsid w:val="0025160C"/>
    <w:rsid w:val="0025277A"/>
    <w:rsid w:val="002535D0"/>
    <w:rsid w:val="002539B3"/>
    <w:rsid w:val="00256336"/>
    <w:rsid w:val="00257C3E"/>
    <w:rsid w:val="002602C2"/>
    <w:rsid w:val="002612DE"/>
    <w:rsid w:val="002666C9"/>
    <w:rsid w:val="00270136"/>
    <w:rsid w:val="00270FD7"/>
    <w:rsid w:val="00274F5B"/>
    <w:rsid w:val="00280836"/>
    <w:rsid w:val="00282E1A"/>
    <w:rsid w:val="002840F1"/>
    <w:rsid w:val="0028674B"/>
    <w:rsid w:val="0029113B"/>
    <w:rsid w:val="002934C0"/>
    <w:rsid w:val="00293D6D"/>
    <w:rsid w:val="00296694"/>
    <w:rsid w:val="0029764C"/>
    <w:rsid w:val="002A0885"/>
    <w:rsid w:val="002A1B50"/>
    <w:rsid w:val="002B0E91"/>
    <w:rsid w:val="002B132C"/>
    <w:rsid w:val="002B3F23"/>
    <w:rsid w:val="002B4EB5"/>
    <w:rsid w:val="002B5AF5"/>
    <w:rsid w:val="002B6779"/>
    <w:rsid w:val="002B71C0"/>
    <w:rsid w:val="002B7A34"/>
    <w:rsid w:val="002C31AD"/>
    <w:rsid w:val="002C6CF0"/>
    <w:rsid w:val="002C7385"/>
    <w:rsid w:val="002C747A"/>
    <w:rsid w:val="002D2DBB"/>
    <w:rsid w:val="002D37D8"/>
    <w:rsid w:val="002D54A6"/>
    <w:rsid w:val="002E5BF9"/>
    <w:rsid w:val="002E6A7A"/>
    <w:rsid w:val="002F1E49"/>
    <w:rsid w:val="002F4E9C"/>
    <w:rsid w:val="002F73A5"/>
    <w:rsid w:val="00300214"/>
    <w:rsid w:val="003019EE"/>
    <w:rsid w:val="00302F4E"/>
    <w:rsid w:val="00305F9A"/>
    <w:rsid w:val="0031256C"/>
    <w:rsid w:val="00314D6C"/>
    <w:rsid w:val="00316D2A"/>
    <w:rsid w:val="00322A7C"/>
    <w:rsid w:val="00322EEC"/>
    <w:rsid w:val="00323061"/>
    <w:rsid w:val="00324BEA"/>
    <w:rsid w:val="00330BAC"/>
    <w:rsid w:val="003402D3"/>
    <w:rsid w:val="00343ABC"/>
    <w:rsid w:val="003463FE"/>
    <w:rsid w:val="00347D41"/>
    <w:rsid w:val="003554B3"/>
    <w:rsid w:val="00356632"/>
    <w:rsid w:val="00357C7E"/>
    <w:rsid w:val="003653B6"/>
    <w:rsid w:val="00374CC4"/>
    <w:rsid w:val="003774B2"/>
    <w:rsid w:val="00380F2D"/>
    <w:rsid w:val="0038410E"/>
    <w:rsid w:val="003845A9"/>
    <w:rsid w:val="003850C9"/>
    <w:rsid w:val="00390883"/>
    <w:rsid w:val="003922F8"/>
    <w:rsid w:val="0039456C"/>
    <w:rsid w:val="00395B24"/>
    <w:rsid w:val="003A2D38"/>
    <w:rsid w:val="003A7ECC"/>
    <w:rsid w:val="003B2C72"/>
    <w:rsid w:val="003B58B4"/>
    <w:rsid w:val="003B760C"/>
    <w:rsid w:val="003C1333"/>
    <w:rsid w:val="003C20FF"/>
    <w:rsid w:val="003C550A"/>
    <w:rsid w:val="003C6055"/>
    <w:rsid w:val="003D2364"/>
    <w:rsid w:val="003D2650"/>
    <w:rsid w:val="003D560C"/>
    <w:rsid w:val="003D5C00"/>
    <w:rsid w:val="003E3154"/>
    <w:rsid w:val="003E5874"/>
    <w:rsid w:val="003E72D3"/>
    <w:rsid w:val="003F193E"/>
    <w:rsid w:val="003F242C"/>
    <w:rsid w:val="003F34F1"/>
    <w:rsid w:val="003F7F32"/>
    <w:rsid w:val="004003CA"/>
    <w:rsid w:val="004104B6"/>
    <w:rsid w:val="00411AE8"/>
    <w:rsid w:val="00413B74"/>
    <w:rsid w:val="004342F3"/>
    <w:rsid w:val="00435088"/>
    <w:rsid w:val="00435C5F"/>
    <w:rsid w:val="00436155"/>
    <w:rsid w:val="004367F7"/>
    <w:rsid w:val="00441E98"/>
    <w:rsid w:val="00450F3A"/>
    <w:rsid w:val="004532F7"/>
    <w:rsid w:val="00464D51"/>
    <w:rsid w:val="00472027"/>
    <w:rsid w:val="004735A6"/>
    <w:rsid w:val="004804CF"/>
    <w:rsid w:val="00484962"/>
    <w:rsid w:val="00484F6D"/>
    <w:rsid w:val="00484FB7"/>
    <w:rsid w:val="0048554D"/>
    <w:rsid w:val="00486426"/>
    <w:rsid w:val="0049338A"/>
    <w:rsid w:val="0049417F"/>
    <w:rsid w:val="00496D41"/>
    <w:rsid w:val="004A6602"/>
    <w:rsid w:val="004B3807"/>
    <w:rsid w:val="004B3EFA"/>
    <w:rsid w:val="004B7407"/>
    <w:rsid w:val="004C2A87"/>
    <w:rsid w:val="004C4D7B"/>
    <w:rsid w:val="004C4ED3"/>
    <w:rsid w:val="004C667B"/>
    <w:rsid w:val="004C694C"/>
    <w:rsid w:val="004C7ECD"/>
    <w:rsid w:val="004D2159"/>
    <w:rsid w:val="004D2EA5"/>
    <w:rsid w:val="004D32A6"/>
    <w:rsid w:val="004D53E5"/>
    <w:rsid w:val="004D7D41"/>
    <w:rsid w:val="004E1623"/>
    <w:rsid w:val="004E6DC4"/>
    <w:rsid w:val="004F21C1"/>
    <w:rsid w:val="004F2F55"/>
    <w:rsid w:val="00501A12"/>
    <w:rsid w:val="0050309C"/>
    <w:rsid w:val="0051327C"/>
    <w:rsid w:val="0051346D"/>
    <w:rsid w:val="00513EAE"/>
    <w:rsid w:val="0051434F"/>
    <w:rsid w:val="00516806"/>
    <w:rsid w:val="0052098C"/>
    <w:rsid w:val="00525A49"/>
    <w:rsid w:val="005262D1"/>
    <w:rsid w:val="00526577"/>
    <w:rsid w:val="00530876"/>
    <w:rsid w:val="00535613"/>
    <w:rsid w:val="005359EB"/>
    <w:rsid w:val="0054254A"/>
    <w:rsid w:val="0054500B"/>
    <w:rsid w:val="005466B5"/>
    <w:rsid w:val="00552B2F"/>
    <w:rsid w:val="00554314"/>
    <w:rsid w:val="00562829"/>
    <w:rsid w:val="005629B3"/>
    <w:rsid w:val="005724F6"/>
    <w:rsid w:val="00573AC4"/>
    <w:rsid w:val="005801FC"/>
    <w:rsid w:val="00585BA9"/>
    <w:rsid w:val="00587359"/>
    <w:rsid w:val="005905F2"/>
    <w:rsid w:val="00595016"/>
    <w:rsid w:val="0059586C"/>
    <w:rsid w:val="00597AAE"/>
    <w:rsid w:val="005A222C"/>
    <w:rsid w:val="005A4DF8"/>
    <w:rsid w:val="005A78C8"/>
    <w:rsid w:val="005B1426"/>
    <w:rsid w:val="005C0A8E"/>
    <w:rsid w:val="005C14F4"/>
    <w:rsid w:val="005C1767"/>
    <w:rsid w:val="005C185C"/>
    <w:rsid w:val="005C42EF"/>
    <w:rsid w:val="005C532A"/>
    <w:rsid w:val="005D3C66"/>
    <w:rsid w:val="005E02F5"/>
    <w:rsid w:val="005E0510"/>
    <w:rsid w:val="005E176E"/>
    <w:rsid w:val="005E218E"/>
    <w:rsid w:val="005E35A0"/>
    <w:rsid w:val="005E5CA0"/>
    <w:rsid w:val="005F0D1B"/>
    <w:rsid w:val="005F1865"/>
    <w:rsid w:val="006007BD"/>
    <w:rsid w:val="006013C8"/>
    <w:rsid w:val="0060270D"/>
    <w:rsid w:val="00602EAC"/>
    <w:rsid w:val="00604611"/>
    <w:rsid w:val="00611586"/>
    <w:rsid w:val="00612D26"/>
    <w:rsid w:val="00615855"/>
    <w:rsid w:val="00620DA8"/>
    <w:rsid w:val="00621887"/>
    <w:rsid w:val="00624520"/>
    <w:rsid w:val="00626309"/>
    <w:rsid w:val="006271F5"/>
    <w:rsid w:val="00630C04"/>
    <w:rsid w:val="00632300"/>
    <w:rsid w:val="00632BB7"/>
    <w:rsid w:val="00635B36"/>
    <w:rsid w:val="00636871"/>
    <w:rsid w:val="0063699F"/>
    <w:rsid w:val="00637435"/>
    <w:rsid w:val="00640EE1"/>
    <w:rsid w:val="00640F4E"/>
    <w:rsid w:val="00641C92"/>
    <w:rsid w:val="00643DE0"/>
    <w:rsid w:val="0064437D"/>
    <w:rsid w:val="00644E85"/>
    <w:rsid w:val="00652C52"/>
    <w:rsid w:val="0066063F"/>
    <w:rsid w:val="00662BB0"/>
    <w:rsid w:val="00663878"/>
    <w:rsid w:val="00667773"/>
    <w:rsid w:val="00670743"/>
    <w:rsid w:val="00680A85"/>
    <w:rsid w:val="00681ADF"/>
    <w:rsid w:val="00683D36"/>
    <w:rsid w:val="00683E1E"/>
    <w:rsid w:val="00690EE2"/>
    <w:rsid w:val="006936E7"/>
    <w:rsid w:val="00693854"/>
    <w:rsid w:val="00694BEB"/>
    <w:rsid w:val="00694E32"/>
    <w:rsid w:val="00697062"/>
    <w:rsid w:val="006A0E20"/>
    <w:rsid w:val="006A24E3"/>
    <w:rsid w:val="006A5695"/>
    <w:rsid w:val="006B0439"/>
    <w:rsid w:val="006B3904"/>
    <w:rsid w:val="006B5B7D"/>
    <w:rsid w:val="006B6E51"/>
    <w:rsid w:val="006C5B46"/>
    <w:rsid w:val="006C6E39"/>
    <w:rsid w:val="006D0ECF"/>
    <w:rsid w:val="006D3D5B"/>
    <w:rsid w:val="006D4C92"/>
    <w:rsid w:val="006D4EB6"/>
    <w:rsid w:val="006D57CB"/>
    <w:rsid w:val="006E35BF"/>
    <w:rsid w:val="006E5ED6"/>
    <w:rsid w:val="006E7850"/>
    <w:rsid w:val="006F46D6"/>
    <w:rsid w:val="007028D9"/>
    <w:rsid w:val="00707218"/>
    <w:rsid w:val="00710D04"/>
    <w:rsid w:val="00712B1D"/>
    <w:rsid w:val="00715751"/>
    <w:rsid w:val="007171BA"/>
    <w:rsid w:val="00717616"/>
    <w:rsid w:val="007325D9"/>
    <w:rsid w:val="0073583B"/>
    <w:rsid w:val="00735977"/>
    <w:rsid w:val="007360CA"/>
    <w:rsid w:val="0074667B"/>
    <w:rsid w:val="007470BD"/>
    <w:rsid w:val="007565EF"/>
    <w:rsid w:val="00760EC0"/>
    <w:rsid w:val="007711BD"/>
    <w:rsid w:val="0078003A"/>
    <w:rsid w:val="00780771"/>
    <w:rsid w:val="007929CF"/>
    <w:rsid w:val="007A49E7"/>
    <w:rsid w:val="007A6F28"/>
    <w:rsid w:val="007B03C6"/>
    <w:rsid w:val="007B0B13"/>
    <w:rsid w:val="007B0DB1"/>
    <w:rsid w:val="007B5673"/>
    <w:rsid w:val="007B7238"/>
    <w:rsid w:val="007B76FF"/>
    <w:rsid w:val="007C3BF6"/>
    <w:rsid w:val="007C67B3"/>
    <w:rsid w:val="007D0FD2"/>
    <w:rsid w:val="007D2EF8"/>
    <w:rsid w:val="007D467E"/>
    <w:rsid w:val="007D561F"/>
    <w:rsid w:val="007D7FD2"/>
    <w:rsid w:val="007E13D9"/>
    <w:rsid w:val="007E193A"/>
    <w:rsid w:val="007E2AEC"/>
    <w:rsid w:val="007E41BE"/>
    <w:rsid w:val="007E4DB6"/>
    <w:rsid w:val="007E6733"/>
    <w:rsid w:val="007E7CD4"/>
    <w:rsid w:val="007F12AC"/>
    <w:rsid w:val="007F4501"/>
    <w:rsid w:val="007F4577"/>
    <w:rsid w:val="007F60DF"/>
    <w:rsid w:val="007F6785"/>
    <w:rsid w:val="008010D2"/>
    <w:rsid w:val="00801800"/>
    <w:rsid w:val="00801861"/>
    <w:rsid w:val="00801B5B"/>
    <w:rsid w:val="00805072"/>
    <w:rsid w:val="008114F4"/>
    <w:rsid w:val="008216E7"/>
    <w:rsid w:val="008241F1"/>
    <w:rsid w:val="00825BE6"/>
    <w:rsid w:val="008276B4"/>
    <w:rsid w:val="00831927"/>
    <w:rsid w:val="00837288"/>
    <w:rsid w:val="00841970"/>
    <w:rsid w:val="00841BD3"/>
    <w:rsid w:val="0084273D"/>
    <w:rsid w:val="00842E76"/>
    <w:rsid w:val="00844E3F"/>
    <w:rsid w:val="00845A83"/>
    <w:rsid w:val="00846BB9"/>
    <w:rsid w:val="00855CBB"/>
    <w:rsid w:val="0086497D"/>
    <w:rsid w:val="008649D5"/>
    <w:rsid w:val="00867118"/>
    <w:rsid w:val="008712BB"/>
    <w:rsid w:val="008830E7"/>
    <w:rsid w:val="0088761B"/>
    <w:rsid w:val="00890EDE"/>
    <w:rsid w:val="00892B38"/>
    <w:rsid w:val="008A0E76"/>
    <w:rsid w:val="008A1741"/>
    <w:rsid w:val="008A2484"/>
    <w:rsid w:val="008A52F3"/>
    <w:rsid w:val="008C26D9"/>
    <w:rsid w:val="008C6D50"/>
    <w:rsid w:val="008C7167"/>
    <w:rsid w:val="008C7503"/>
    <w:rsid w:val="008D1617"/>
    <w:rsid w:val="008D330F"/>
    <w:rsid w:val="008D48C1"/>
    <w:rsid w:val="008E53CB"/>
    <w:rsid w:val="008E6315"/>
    <w:rsid w:val="008F07FC"/>
    <w:rsid w:val="008F11E0"/>
    <w:rsid w:val="008F3EA7"/>
    <w:rsid w:val="008F78BC"/>
    <w:rsid w:val="008F7B63"/>
    <w:rsid w:val="008F7D6A"/>
    <w:rsid w:val="00901C86"/>
    <w:rsid w:val="00903603"/>
    <w:rsid w:val="009054CB"/>
    <w:rsid w:val="009101FD"/>
    <w:rsid w:val="00911F8D"/>
    <w:rsid w:val="00911FCB"/>
    <w:rsid w:val="00912F94"/>
    <w:rsid w:val="009171BC"/>
    <w:rsid w:val="0092497E"/>
    <w:rsid w:val="0092590B"/>
    <w:rsid w:val="00925BF3"/>
    <w:rsid w:val="00925E60"/>
    <w:rsid w:val="009264B3"/>
    <w:rsid w:val="009365E0"/>
    <w:rsid w:val="00942BA2"/>
    <w:rsid w:val="009432B7"/>
    <w:rsid w:val="00944C86"/>
    <w:rsid w:val="00947C02"/>
    <w:rsid w:val="00950BE6"/>
    <w:rsid w:val="00957DE8"/>
    <w:rsid w:val="00960ECB"/>
    <w:rsid w:val="009615D6"/>
    <w:rsid w:val="00967855"/>
    <w:rsid w:val="00974709"/>
    <w:rsid w:val="00980736"/>
    <w:rsid w:val="00981A39"/>
    <w:rsid w:val="00982D56"/>
    <w:rsid w:val="00983DBF"/>
    <w:rsid w:val="00985F1A"/>
    <w:rsid w:val="00987097"/>
    <w:rsid w:val="00991123"/>
    <w:rsid w:val="00991CAB"/>
    <w:rsid w:val="00995E91"/>
    <w:rsid w:val="009A3A9C"/>
    <w:rsid w:val="009A4E84"/>
    <w:rsid w:val="009B046C"/>
    <w:rsid w:val="009B13FA"/>
    <w:rsid w:val="009B1E2D"/>
    <w:rsid w:val="009B66E6"/>
    <w:rsid w:val="009C59FB"/>
    <w:rsid w:val="009C6DFD"/>
    <w:rsid w:val="009C6F3B"/>
    <w:rsid w:val="009D1467"/>
    <w:rsid w:val="009D328D"/>
    <w:rsid w:val="009E0146"/>
    <w:rsid w:val="009E4FA6"/>
    <w:rsid w:val="009E676C"/>
    <w:rsid w:val="009E7798"/>
    <w:rsid w:val="009E7D93"/>
    <w:rsid w:val="009F27D0"/>
    <w:rsid w:val="009F3222"/>
    <w:rsid w:val="009F3C34"/>
    <w:rsid w:val="009F462C"/>
    <w:rsid w:val="009F5210"/>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569"/>
    <w:rsid w:val="00A45FB1"/>
    <w:rsid w:val="00A46CCC"/>
    <w:rsid w:val="00A46F29"/>
    <w:rsid w:val="00A47996"/>
    <w:rsid w:val="00A51CFE"/>
    <w:rsid w:val="00A5204D"/>
    <w:rsid w:val="00A57263"/>
    <w:rsid w:val="00A60E51"/>
    <w:rsid w:val="00A61605"/>
    <w:rsid w:val="00A65F97"/>
    <w:rsid w:val="00A730E1"/>
    <w:rsid w:val="00A73D8E"/>
    <w:rsid w:val="00A76C13"/>
    <w:rsid w:val="00A84FD0"/>
    <w:rsid w:val="00A86DF3"/>
    <w:rsid w:val="00A87AEF"/>
    <w:rsid w:val="00A92E79"/>
    <w:rsid w:val="00A950B6"/>
    <w:rsid w:val="00A95D45"/>
    <w:rsid w:val="00AB41C1"/>
    <w:rsid w:val="00AB4CF2"/>
    <w:rsid w:val="00AB6CCA"/>
    <w:rsid w:val="00AC10CC"/>
    <w:rsid w:val="00AC223F"/>
    <w:rsid w:val="00AC33B1"/>
    <w:rsid w:val="00AD12A8"/>
    <w:rsid w:val="00AE023F"/>
    <w:rsid w:val="00AF3577"/>
    <w:rsid w:val="00AF35F9"/>
    <w:rsid w:val="00AF5354"/>
    <w:rsid w:val="00B0424C"/>
    <w:rsid w:val="00B05333"/>
    <w:rsid w:val="00B0556A"/>
    <w:rsid w:val="00B05C7D"/>
    <w:rsid w:val="00B15D57"/>
    <w:rsid w:val="00B16347"/>
    <w:rsid w:val="00B17D6E"/>
    <w:rsid w:val="00B2435E"/>
    <w:rsid w:val="00B346C3"/>
    <w:rsid w:val="00B378FD"/>
    <w:rsid w:val="00B4005C"/>
    <w:rsid w:val="00B40D15"/>
    <w:rsid w:val="00B4227E"/>
    <w:rsid w:val="00B4471C"/>
    <w:rsid w:val="00B451A6"/>
    <w:rsid w:val="00B56D6E"/>
    <w:rsid w:val="00B618DC"/>
    <w:rsid w:val="00B61E7A"/>
    <w:rsid w:val="00B63CF6"/>
    <w:rsid w:val="00B64347"/>
    <w:rsid w:val="00B65DC6"/>
    <w:rsid w:val="00B66EAB"/>
    <w:rsid w:val="00B67AC2"/>
    <w:rsid w:val="00B722DE"/>
    <w:rsid w:val="00B751E3"/>
    <w:rsid w:val="00B75BA6"/>
    <w:rsid w:val="00B76C44"/>
    <w:rsid w:val="00B8184A"/>
    <w:rsid w:val="00B82283"/>
    <w:rsid w:val="00B828D8"/>
    <w:rsid w:val="00B83F87"/>
    <w:rsid w:val="00B87CDC"/>
    <w:rsid w:val="00B910C1"/>
    <w:rsid w:val="00B94522"/>
    <w:rsid w:val="00B97E41"/>
    <w:rsid w:val="00BA2CA4"/>
    <w:rsid w:val="00BA2EFA"/>
    <w:rsid w:val="00BA3DBC"/>
    <w:rsid w:val="00BA707A"/>
    <w:rsid w:val="00BB1AFB"/>
    <w:rsid w:val="00BB27AE"/>
    <w:rsid w:val="00BB2DA2"/>
    <w:rsid w:val="00BB56DC"/>
    <w:rsid w:val="00BC41C0"/>
    <w:rsid w:val="00BD2559"/>
    <w:rsid w:val="00BE183D"/>
    <w:rsid w:val="00BF5D7A"/>
    <w:rsid w:val="00C01C2E"/>
    <w:rsid w:val="00C020E3"/>
    <w:rsid w:val="00C02D33"/>
    <w:rsid w:val="00C047D0"/>
    <w:rsid w:val="00C04B53"/>
    <w:rsid w:val="00C1232C"/>
    <w:rsid w:val="00C133FD"/>
    <w:rsid w:val="00C27C6B"/>
    <w:rsid w:val="00C30892"/>
    <w:rsid w:val="00C30EB8"/>
    <w:rsid w:val="00C3594D"/>
    <w:rsid w:val="00C36442"/>
    <w:rsid w:val="00C400CE"/>
    <w:rsid w:val="00C410FD"/>
    <w:rsid w:val="00C457DE"/>
    <w:rsid w:val="00C46096"/>
    <w:rsid w:val="00C47DD3"/>
    <w:rsid w:val="00C52327"/>
    <w:rsid w:val="00C53562"/>
    <w:rsid w:val="00C539FB"/>
    <w:rsid w:val="00C55167"/>
    <w:rsid w:val="00C56FA1"/>
    <w:rsid w:val="00C57773"/>
    <w:rsid w:val="00C66E57"/>
    <w:rsid w:val="00C7368B"/>
    <w:rsid w:val="00C74150"/>
    <w:rsid w:val="00C75594"/>
    <w:rsid w:val="00C76881"/>
    <w:rsid w:val="00C81DB1"/>
    <w:rsid w:val="00C84758"/>
    <w:rsid w:val="00C85982"/>
    <w:rsid w:val="00CA0466"/>
    <w:rsid w:val="00CA246D"/>
    <w:rsid w:val="00CA50D9"/>
    <w:rsid w:val="00CB3054"/>
    <w:rsid w:val="00CB378A"/>
    <w:rsid w:val="00CB5636"/>
    <w:rsid w:val="00CB7C00"/>
    <w:rsid w:val="00CC3EE5"/>
    <w:rsid w:val="00CE3DA7"/>
    <w:rsid w:val="00CE425C"/>
    <w:rsid w:val="00CE58AC"/>
    <w:rsid w:val="00CE7E41"/>
    <w:rsid w:val="00CF5A80"/>
    <w:rsid w:val="00D045EE"/>
    <w:rsid w:val="00D05091"/>
    <w:rsid w:val="00D109BA"/>
    <w:rsid w:val="00D10CA6"/>
    <w:rsid w:val="00D10F21"/>
    <w:rsid w:val="00D134CF"/>
    <w:rsid w:val="00D1573B"/>
    <w:rsid w:val="00D24806"/>
    <w:rsid w:val="00D34040"/>
    <w:rsid w:val="00D34B15"/>
    <w:rsid w:val="00D34E69"/>
    <w:rsid w:val="00D36C78"/>
    <w:rsid w:val="00D375EE"/>
    <w:rsid w:val="00D4665F"/>
    <w:rsid w:val="00D55AE8"/>
    <w:rsid w:val="00D56056"/>
    <w:rsid w:val="00D6085F"/>
    <w:rsid w:val="00D62699"/>
    <w:rsid w:val="00D778E9"/>
    <w:rsid w:val="00D812BF"/>
    <w:rsid w:val="00D82620"/>
    <w:rsid w:val="00D85707"/>
    <w:rsid w:val="00D92CAF"/>
    <w:rsid w:val="00D9725F"/>
    <w:rsid w:val="00DA01B1"/>
    <w:rsid w:val="00DA11A2"/>
    <w:rsid w:val="00DA14ED"/>
    <w:rsid w:val="00DA26D6"/>
    <w:rsid w:val="00DB20D5"/>
    <w:rsid w:val="00DB2EF1"/>
    <w:rsid w:val="00DB3DE1"/>
    <w:rsid w:val="00DB50A7"/>
    <w:rsid w:val="00DB5DA0"/>
    <w:rsid w:val="00DB716C"/>
    <w:rsid w:val="00DC5C85"/>
    <w:rsid w:val="00DC7C5D"/>
    <w:rsid w:val="00DD2ECF"/>
    <w:rsid w:val="00DD4236"/>
    <w:rsid w:val="00DD44F1"/>
    <w:rsid w:val="00DD4C17"/>
    <w:rsid w:val="00DD6957"/>
    <w:rsid w:val="00DD6E7A"/>
    <w:rsid w:val="00DE3067"/>
    <w:rsid w:val="00DF3EEE"/>
    <w:rsid w:val="00DF6D4B"/>
    <w:rsid w:val="00DF75E1"/>
    <w:rsid w:val="00E027BC"/>
    <w:rsid w:val="00E02D1A"/>
    <w:rsid w:val="00E02E69"/>
    <w:rsid w:val="00E10F0D"/>
    <w:rsid w:val="00E14EA5"/>
    <w:rsid w:val="00E2070E"/>
    <w:rsid w:val="00E21133"/>
    <w:rsid w:val="00E2327E"/>
    <w:rsid w:val="00E25AAB"/>
    <w:rsid w:val="00E266EF"/>
    <w:rsid w:val="00E31676"/>
    <w:rsid w:val="00E326A8"/>
    <w:rsid w:val="00E36017"/>
    <w:rsid w:val="00E406D4"/>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C755D"/>
    <w:rsid w:val="00ED0817"/>
    <w:rsid w:val="00ED329A"/>
    <w:rsid w:val="00ED7DD9"/>
    <w:rsid w:val="00EE445B"/>
    <w:rsid w:val="00EF26C7"/>
    <w:rsid w:val="00EF3113"/>
    <w:rsid w:val="00EF3F84"/>
    <w:rsid w:val="00F02EE4"/>
    <w:rsid w:val="00F135C8"/>
    <w:rsid w:val="00F141B1"/>
    <w:rsid w:val="00F176AC"/>
    <w:rsid w:val="00F26F28"/>
    <w:rsid w:val="00F27714"/>
    <w:rsid w:val="00F3276E"/>
    <w:rsid w:val="00F33D3C"/>
    <w:rsid w:val="00F35AA8"/>
    <w:rsid w:val="00F37A91"/>
    <w:rsid w:val="00F408A0"/>
    <w:rsid w:val="00F45CF5"/>
    <w:rsid w:val="00F4619B"/>
    <w:rsid w:val="00F47DB0"/>
    <w:rsid w:val="00F50C3F"/>
    <w:rsid w:val="00F50E34"/>
    <w:rsid w:val="00F53EF7"/>
    <w:rsid w:val="00F54BF2"/>
    <w:rsid w:val="00F6059D"/>
    <w:rsid w:val="00F63CE3"/>
    <w:rsid w:val="00F76457"/>
    <w:rsid w:val="00F775AC"/>
    <w:rsid w:val="00F92355"/>
    <w:rsid w:val="00F93963"/>
    <w:rsid w:val="00F94291"/>
    <w:rsid w:val="00FA19CF"/>
    <w:rsid w:val="00FA2030"/>
    <w:rsid w:val="00FA298A"/>
    <w:rsid w:val="00FA5B66"/>
    <w:rsid w:val="00FB30EB"/>
    <w:rsid w:val="00FB7982"/>
    <w:rsid w:val="00FC0734"/>
    <w:rsid w:val="00FC0FC5"/>
    <w:rsid w:val="00FC588F"/>
    <w:rsid w:val="00FC6716"/>
    <w:rsid w:val="00FC6879"/>
    <w:rsid w:val="00FD111D"/>
    <w:rsid w:val="00FD12A7"/>
    <w:rsid w:val="00FE1B30"/>
    <w:rsid w:val="00FE450C"/>
    <w:rsid w:val="00FE7B44"/>
    <w:rsid w:val="00FF1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767669"/>
  <w15:docId w15:val="{45D69EFC-2EA1-4FB5-951F-15104F1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48BF"/>
    <w:pPr>
      <w:spacing w:line="360" w:lineRule="auto"/>
      <w:jc w:val="both"/>
    </w:pPr>
    <w:rPr>
      <w:sz w:val="24"/>
      <w:lang w:eastAsia="en-US"/>
    </w:rPr>
  </w:style>
  <w:style w:type="paragraph" w:styleId="Heading1">
    <w:name w:val="heading 1"/>
    <w:basedOn w:val="Normal"/>
    <w:next w:val="ParaNumbering"/>
    <w:qFormat/>
    <w:rsid w:val="001648BF"/>
    <w:pPr>
      <w:keepNext/>
      <w:spacing w:before="240" w:after="60" w:line="240" w:lineRule="auto"/>
      <w:outlineLvl w:val="0"/>
    </w:pPr>
    <w:rPr>
      <w:b/>
      <w:caps/>
      <w:kern w:val="28"/>
    </w:rPr>
  </w:style>
  <w:style w:type="paragraph" w:styleId="Heading2">
    <w:name w:val="heading 2"/>
    <w:basedOn w:val="Normal"/>
    <w:next w:val="ParaNumbering"/>
    <w:qFormat/>
    <w:rsid w:val="001648BF"/>
    <w:pPr>
      <w:keepNext/>
      <w:spacing w:before="240" w:after="60" w:line="240" w:lineRule="auto"/>
      <w:outlineLvl w:val="1"/>
    </w:pPr>
    <w:rPr>
      <w:b/>
      <w:szCs w:val="24"/>
    </w:rPr>
  </w:style>
  <w:style w:type="paragraph" w:styleId="Heading3">
    <w:name w:val="heading 3"/>
    <w:basedOn w:val="Normal"/>
    <w:next w:val="ParaNumbering"/>
    <w:qFormat/>
    <w:rsid w:val="001648BF"/>
    <w:pPr>
      <w:keepNext/>
      <w:spacing w:before="240" w:after="60" w:line="240" w:lineRule="auto"/>
      <w:outlineLvl w:val="2"/>
    </w:pPr>
    <w:rPr>
      <w:b/>
      <w:i/>
    </w:rPr>
  </w:style>
  <w:style w:type="paragraph" w:styleId="Heading4">
    <w:name w:val="heading 4"/>
    <w:basedOn w:val="Normal"/>
    <w:next w:val="ParaNumbering"/>
    <w:qFormat/>
    <w:rsid w:val="001648BF"/>
    <w:pPr>
      <w:keepNext/>
      <w:spacing w:before="240" w:after="60" w:line="240" w:lineRule="auto"/>
      <w:jc w:val="left"/>
      <w:outlineLvl w:val="3"/>
    </w:pPr>
    <w:rPr>
      <w:i/>
      <w:szCs w:val="24"/>
    </w:rPr>
  </w:style>
  <w:style w:type="paragraph" w:styleId="Heading5">
    <w:name w:val="heading 5"/>
    <w:basedOn w:val="fcHeading1"/>
    <w:next w:val="ParaNumbering"/>
    <w:qFormat/>
    <w:rsid w:val="001648BF"/>
    <w:pPr>
      <w:outlineLvl w:val="4"/>
    </w:pPr>
    <w:rPr>
      <w:caps w:val="0"/>
    </w:rPr>
  </w:style>
  <w:style w:type="paragraph" w:styleId="Heading6">
    <w:name w:val="heading 6"/>
    <w:basedOn w:val="fcHeading2"/>
    <w:next w:val="ParaNumbering"/>
    <w:qFormat/>
    <w:rsid w:val="001648BF"/>
    <w:pPr>
      <w:outlineLvl w:val="5"/>
    </w:pPr>
  </w:style>
  <w:style w:type="paragraph" w:styleId="Heading7">
    <w:name w:val="heading 7"/>
    <w:basedOn w:val="fcHeading3"/>
    <w:next w:val="ParaNumbering"/>
    <w:qFormat/>
    <w:rsid w:val="001648BF"/>
    <w:pPr>
      <w:outlineLvl w:val="6"/>
    </w:pPr>
    <w:rPr>
      <w:i w:val="0"/>
    </w:rPr>
  </w:style>
  <w:style w:type="paragraph" w:styleId="Heading8">
    <w:name w:val="heading 8"/>
    <w:basedOn w:val="fcHeading4"/>
    <w:next w:val="ParaNumbering"/>
    <w:rsid w:val="001648BF"/>
    <w:pPr>
      <w:outlineLvl w:val="7"/>
    </w:pPr>
    <w:rPr>
      <w:smallCaps w:val="0"/>
    </w:rPr>
  </w:style>
  <w:style w:type="paragraph" w:styleId="Heading9">
    <w:name w:val="heading 9"/>
    <w:basedOn w:val="fcHeading5"/>
    <w:next w:val="ParaNumbering"/>
    <w:rsid w:val="001648BF"/>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1648BF"/>
    <w:pPr>
      <w:spacing w:line="240" w:lineRule="auto"/>
    </w:pPr>
  </w:style>
  <w:style w:type="paragraph" w:styleId="Header">
    <w:name w:val="header"/>
    <w:basedOn w:val="Normal"/>
    <w:semiHidden/>
    <w:rsid w:val="001648BF"/>
    <w:pPr>
      <w:tabs>
        <w:tab w:val="center" w:pos="4320"/>
        <w:tab w:val="right" w:pos="8640"/>
      </w:tabs>
    </w:pPr>
  </w:style>
  <w:style w:type="paragraph" w:styleId="Footer">
    <w:name w:val="footer"/>
    <w:basedOn w:val="Normal"/>
    <w:semiHidden/>
    <w:rsid w:val="001648BF"/>
    <w:pPr>
      <w:tabs>
        <w:tab w:val="center" w:pos="4320"/>
        <w:tab w:val="right" w:pos="8640"/>
      </w:tabs>
    </w:pPr>
  </w:style>
  <w:style w:type="paragraph" w:customStyle="1" w:styleId="ParaNumbering">
    <w:name w:val="ParaNumbering"/>
    <w:basedOn w:val="Normal"/>
    <w:rsid w:val="001648BF"/>
    <w:pPr>
      <w:numPr>
        <w:numId w:val="1"/>
      </w:numPr>
      <w:spacing w:before="180" w:after="180"/>
    </w:pPr>
  </w:style>
  <w:style w:type="paragraph" w:customStyle="1" w:styleId="Quote1">
    <w:name w:val="Quote1"/>
    <w:rsid w:val="001648BF"/>
    <w:pPr>
      <w:widowControl w:val="0"/>
      <w:spacing w:after="180"/>
      <w:ind w:left="737" w:right="737"/>
      <w:jc w:val="both"/>
    </w:pPr>
    <w:rPr>
      <w:sz w:val="22"/>
      <w:lang w:eastAsia="en-US"/>
    </w:rPr>
  </w:style>
  <w:style w:type="paragraph" w:customStyle="1" w:styleId="NormalHeadings">
    <w:name w:val="Normal Headings"/>
    <w:link w:val="NormalHeadingsChar"/>
    <w:rsid w:val="001648BF"/>
    <w:pPr>
      <w:widowControl w:val="0"/>
      <w:jc w:val="both"/>
    </w:pPr>
    <w:rPr>
      <w:b/>
      <w:sz w:val="24"/>
      <w:lang w:eastAsia="en-US"/>
    </w:rPr>
  </w:style>
  <w:style w:type="table" w:styleId="TableGrid">
    <w:name w:val="Table Grid"/>
    <w:basedOn w:val="TableNormal"/>
    <w:semiHidden/>
    <w:rsid w:val="001648BF"/>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1648BF"/>
    <w:pPr>
      <w:spacing w:before="20" w:after="20"/>
      <w:jc w:val="center"/>
    </w:pPr>
    <w:rPr>
      <w:b/>
      <w:sz w:val="26"/>
    </w:rPr>
  </w:style>
  <w:style w:type="paragraph" w:customStyle="1" w:styleId="Normal1linespace">
    <w:name w:val="Normal1linespace"/>
    <w:basedOn w:val="Normal"/>
    <w:rsid w:val="001648BF"/>
    <w:pPr>
      <w:spacing w:line="240" w:lineRule="auto"/>
    </w:pPr>
  </w:style>
  <w:style w:type="paragraph" w:styleId="BalloonText">
    <w:name w:val="Balloon Text"/>
    <w:basedOn w:val="Normal"/>
    <w:semiHidden/>
    <w:rsid w:val="001648BF"/>
    <w:rPr>
      <w:rFonts w:ascii="Tahoma" w:hAnsi="Tahoma" w:cs="Tahoma"/>
      <w:sz w:val="16"/>
      <w:szCs w:val="16"/>
    </w:rPr>
  </w:style>
  <w:style w:type="paragraph" w:customStyle="1" w:styleId="StyleBold">
    <w:name w:val="Style Bold"/>
    <w:basedOn w:val="Normal"/>
    <w:next w:val="BodyText"/>
    <w:semiHidden/>
    <w:rsid w:val="001648BF"/>
    <w:rPr>
      <w:szCs w:val="24"/>
    </w:rPr>
  </w:style>
  <w:style w:type="paragraph" w:customStyle="1" w:styleId="Bold">
    <w:name w:val="Bold"/>
    <w:basedOn w:val="Normal"/>
    <w:next w:val="Normal"/>
    <w:semiHidden/>
    <w:rsid w:val="001648BF"/>
    <w:pPr>
      <w:suppressAutoHyphens/>
      <w:jc w:val="left"/>
    </w:pPr>
    <w:rPr>
      <w:b/>
      <w:szCs w:val="24"/>
    </w:rPr>
  </w:style>
  <w:style w:type="paragraph" w:customStyle="1" w:styleId="Certify">
    <w:name w:val="Certify"/>
    <w:basedOn w:val="Normal"/>
    <w:link w:val="CertifyChar"/>
    <w:semiHidden/>
    <w:rsid w:val="001648BF"/>
    <w:pPr>
      <w:spacing w:line="240" w:lineRule="auto"/>
    </w:pPr>
    <w:rPr>
      <w:szCs w:val="24"/>
    </w:rPr>
  </w:style>
  <w:style w:type="character" w:styleId="CommentReference">
    <w:name w:val="annotation reference"/>
    <w:semiHidden/>
    <w:rsid w:val="001648BF"/>
    <w:rPr>
      <w:sz w:val="16"/>
      <w:szCs w:val="16"/>
    </w:rPr>
  </w:style>
  <w:style w:type="paragraph" w:styleId="CommentText">
    <w:name w:val="annotation text"/>
    <w:basedOn w:val="Normal"/>
    <w:semiHidden/>
    <w:rsid w:val="001648BF"/>
    <w:rPr>
      <w:sz w:val="20"/>
    </w:rPr>
  </w:style>
  <w:style w:type="paragraph" w:styleId="CommentSubject">
    <w:name w:val="annotation subject"/>
    <w:basedOn w:val="CommentText"/>
    <w:next w:val="CommentText"/>
    <w:semiHidden/>
    <w:rsid w:val="001648BF"/>
    <w:rPr>
      <w:b/>
      <w:bCs/>
    </w:rPr>
  </w:style>
  <w:style w:type="paragraph" w:customStyle="1" w:styleId="FCBullets">
    <w:name w:val="FCBullets"/>
    <w:basedOn w:val="Normal"/>
    <w:rsid w:val="001648BF"/>
    <w:pPr>
      <w:numPr>
        <w:numId w:val="2"/>
      </w:numPr>
      <w:spacing w:before="60" w:after="60"/>
    </w:pPr>
  </w:style>
  <w:style w:type="paragraph" w:customStyle="1" w:styleId="JudgeStyle">
    <w:name w:val="JudgeStyle"/>
    <w:basedOn w:val="Heading1"/>
    <w:next w:val="ParaNumbering"/>
    <w:semiHidden/>
    <w:rsid w:val="001648BF"/>
  </w:style>
  <w:style w:type="paragraph" w:styleId="TOC1">
    <w:name w:val="toc 1"/>
    <w:basedOn w:val="Normal"/>
    <w:next w:val="Normal"/>
    <w:autoRedefine/>
    <w:semiHidden/>
    <w:rsid w:val="001648BF"/>
    <w:pPr>
      <w:tabs>
        <w:tab w:val="right" w:leader="dot" w:pos="9071"/>
      </w:tabs>
    </w:pPr>
  </w:style>
  <w:style w:type="paragraph" w:styleId="TOC2">
    <w:name w:val="toc 2"/>
    <w:basedOn w:val="Normal"/>
    <w:next w:val="Normal"/>
    <w:autoRedefine/>
    <w:semiHidden/>
    <w:rsid w:val="001648BF"/>
    <w:pPr>
      <w:tabs>
        <w:tab w:val="right" w:leader="dot" w:pos="9071"/>
      </w:tabs>
      <w:ind w:left="240"/>
    </w:pPr>
  </w:style>
  <w:style w:type="paragraph" w:styleId="TOC3">
    <w:name w:val="toc 3"/>
    <w:basedOn w:val="Normal"/>
    <w:next w:val="Normal"/>
    <w:autoRedefine/>
    <w:semiHidden/>
    <w:rsid w:val="001648BF"/>
    <w:pPr>
      <w:tabs>
        <w:tab w:val="right" w:leader="dot" w:pos="9071"/>
      </w:tabs>
      <w:ind w:left="480"/>
    </w:pPr>
  </w:style>
  <w:style w:type="paragraph" w:styleId="TOC4">
    <w:name w:val="toc 4"/>
    <w:basedOn w:val="Normal"/>
    <w:next w:val="Normal"/>
    <w:autoRedefine/>
    <w:semiHidden/>
    <w:rsid w:val="001648BF"/>
    <w:pPr>
      <w:tabs>
        <w:tab w:val="right" w:leader="dot" w:pos="9071"/>
      </w:tabs>
      <w:ind w:left="720"/>
    </w:pPr>
  </w:style>
  <w:style w:type="paragraph" w:customStyle="1" w:styleId="NoNum">
    <w:name w:val="No Num"/>
    <w:basedOn w:val="Normal1linespace"/>
    <w:rsid w:val="001648BF"/>
    <w:pPr>
      <w:spacing w:before="120" w:after="180" w:line="360" w:lineRule="auto"/>
    </w:pPr>
  </w:style>
  <w:style w:type="paragraph" w:customStyle="1" w:styleId="AppealTable">
    <w:name w:val="AppealTable"/>
    <w:basedOn w:val="Normal"/>
    <w:unhideWhenUsed/>
    <w:rsid w:val="001648BF"/>
    <w:pPr>
      <w:spacing w:line="240" w:lineRule="auto"/>
      <w:jc w:val="left"/>
    </w:pPr>
    <w:rPr>
      <w:b/>
      <w:caps/>
      <w:sz w:val="22"/>
      <w:szCs w:val="22"/>
    </w:rPr>
  </w:style>
  <w:style w:type="paragraph" w:customStyle="1" w:styleId="Quote3">
    <w:name w:val="Quote3"/>
    <w:basedOn w:val="Quote1"/>
    <w:rsid w:val="001648BF"/>
    <w:pPr>
      <w:ind w:left="2160"/>
    </w:pPr>
  </w:style>
  <w:style w:type="paragraph" w:customStyle="1" w:styleId="Quote2">
    <w:name w:val="Quote2"/>
    <w:basedOn w:val="Quote1"/>
    <w:rsid w:val="001648BF"/>
    <w:pPr>
      <w:ind w:left="1440"/>
    </w:pPr>
  </w:style>
  <w:style w:type="paragraph" w:customStyle="1" w:styleId="FTOC1">
    <w:name w:val="FTOC 1"/>
    <w:basedOn w:val="Normal"/>
    <w:semiHidden/>
    <w:rsid w:val="001648BF"/>
    <w:pPr>
      <w:tabs>
        <w:tab w:val="right" w:leader="dot" w:pos="9072"/>
      </w:tabs>
      <w:spacing w:before="120" w:after="60" w:line="240" w:lineRule="auto"/>
      <w:jc w:val="left"/>
    </w:pPr>
    <w:rPr>
      <w:b/>
      <w:caps/>
      <w:kern w:val="28"/>
    </w:rPr>
  </w:style>
  <w:style w:type="paragraph" w:customStyle="1" w:styleId="ListNo1">
    <w:name w:val="List No 1"/>
    <w:basedOn w:val="Normal"/>
    <w:rsid w:val="001648BF"/>
    <w:pPr>
      <w:numPr>
        <w:numId w:val="23"/>
      </w:numPr>
      <w:spacing w:before="60" w:after="60"/>
    </w:pPr>
  </w:style>
  <w:style w:type="paragraph" w:customStyle="1" w:styleId="FTOC2">
    <w:name w:val="FTOC 2"/>
    <w:basedOn w:val="Normal"/>
    <w:semiHidden/>
    <w:rsid w:val="001648BF"/>
    <w:pPr>
      <w:tabs>
        <w:tab w:val="right" w:leader="dot" w:pos="9072"/>
      </w:tabs>
      <w:spacing w:before="120" w:after="60" w:line="240" w:lineRule="auto"/>
      <w:ind w:left="238"/>
      <w:jc w:val="left"/>
    </w:pPr>
    <w:rPr>
      <w:b/>
    </w:rPr>
  </w:style>
  <w:style w:type="paragraph" w:customStyle="1" w:styleId="FTOC3">
    <w:name w:val="FTOC 3"/>
    <w:basedOn w:val="Normal"/>
    <w:semiHidden/>
    <w:rsid w:val="001648BF"/>
    <w:pPr>
      <w:tabs>
        <w:tab w:val="right" w:leader="dot" w:pos="9072"/>
      </w:tabs>
      <w:spacing w:before="120" w:after="60" w:line="240" w:lineRule="auto"/>
      <w:ind w:left="482"/>
      <w:jc w:val="left"/>
    </w:pPr>
    <w:rPr>
      <w:b/>
      <w:i/>
    </w:rPr>
  </w:style>
  <w:style w:type="paragraph" w:customStyle="1" w:styleId="FTOC4">
    <w:name w:val="FTOC 4"/>
    <w:basedOn w:val="Normal"/>
    <w:semiHidden/>
    <w:rsid w:val="001648BF"/>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1648BF"/>
    <w:pPr>
      <w:tabs>
        <w:tab w:val="right" w:leader="dot" w:pos="9072"/>
      </w:tabs>
      <w:ind w:left="960"/>
    </w:pPr>
  </w:style>
  <w:style w:type="numbering" w:styleId="111111">
    <w:name w:val="Outline List 2"/>
    <w:basedOn w:val="NoList"/>
    <w:semiHidden/>
    <w:rsid w:val="001648BF"/>
    <w:pPr>
      <w:numPr>
        <w:numId w:val="13"/>
      </w:numPr>
    </w:pPr>
  </w:style>
  <w:style w:type="numbering" w:styleId="1ai">
    <w:name w:val="Outline List 1"/>
    <w:basedOn w:val="NoList"/>
    <w:semiHidden/>
    <w:rsid w:val="001648BF"/>
    <w:pPr>
      <w:numPr>
        <w:numId w:val="14"/>
      </w:numPr>
    </w:pPr>
  </w:style>
  <w:style w:type="numbering" w:styleId="ArticleSection">
    <w:name w:val="Outline List 3"/>
    <w:basedOn w:val="NoList"/>
    <w:semiHidden/>
    <w:rsid w:val="001648BF"/>
    <w:pPr>
      <w:numPr>
        <w:numId w:val="15"/>
      </w:numPr>
    </w:pPr>
  </w:style>
  <w:style w:type="paragraph" w:styleId="BodyText">
    <w:name w:val="Body Text"/>
    <w:basedOn w:val="Normal"/>
    <w:link w:val="BodyTextChar"/>
    <w:qFormat/>
    <w:rsid w:val="001648BF"/>
  </w:style>
  <w:style w:type="paragraph" w:styleId="BodyText2">
    <w:name w:val="Body Text 2"/>
    <w:basedOn w:val="Normal"/>
    <w:semiHidden/>
    <w:rsid w:val="001648BF"/>
    <w:pPr>
      <w:spacing w:after="120" w:line="480" w:lineRule="auto"/>
    </w:pPr>
  </w:style>
  <w:style w:type="paragraph" w:styleId="BodyText3">
    <w:name w:val="Body Text 3"/>
    <w:basedOn w:val="Normal"/>
    <w:semiHidden/>
    <w:rsid w:val="001648BF"/>
    <w:pPr>
      <w:spacing w:after="120"/>
    </w:pPr>
    <w:rPr>
      <w:sz w:val="16"/>
      <w:szCs w:val="16"/>
    </w:rPr>
  </w:style>
  <w:style w:type="paragraph" w:styleId="BodyTextFirstIndent">
    <w:name w:val="Body Text First Indent"/>
    <w:basedOn w:val="BodyText"/>
    <w:semiHidden/>
    <w:rsid w:val="001648BF"/>
    <w:pPr>
      <w:ind w:firstLine="210"/>
    </w:pPr>
  </w:style>
  <w:style w:type="paragraph" w:styleId="BodyTextIndent">
    <w:name w:val="Body Text Indent"/>
    <w:basedOn w:val="Normal"/>
    <w:semiHidden/>
    <w:rsid w:val="001648BF"/>
    <w:pPr>
      <w:spacing w:after="120"/>
      <w:ind w:left="283"/>
    </w:pPr>
  </w:style>
  <w:style w:type="paragraph" w:styleId="BodyTextFirstIndent2">
    <w:name w:val="Body Text First Indent 2"/>
    <w:basedOn w:val="BodyTextIndent"/>
    <w:semiHidden/>
    <w:rsid w:val="001648BF"/>
    <w:pPr>
      <w:ind w:firstLine="210"/>
    </w:pPr>
  </w:style>
  <w:style w:type="paragraph" w:styleId="BodyTextIndent2">
    <w:name w:val="Body Text Indent 2"/>
    <w:basedOn w:val="Normal"/>
    <w:semiHidden/>
    <w:rsid w:val="001648BF"/>
    <w:pPr>
      <w:spacing w:after="120" w:line="480" w:lineRule="auto"/>
      <w:ind w:left="283"/>
    </w:pPr>
  </w:style>
  <w:style w:type="paragraph" w:styleId="BodyTextIndent3">
    <w:name w:val="Body Text Indent 3"/>
    <w:basedOn w:val="Normal"/>
    <w:semiHidden/>
    <w:rsid w:val="001648BF"/>
    <w:pPr>
      <w:spacing w:after="120"/>
      <w:ind w:left="283"/>
    </w:pPr>
    <w:rPr>
      <w:sz w:val="16"/>
      <w:szCs w:val="16"/>
    </w:rPr>
  </w:style>
  <w:style w:type="paragraph" w:styleId="Closing">
    <w:name w:val="Closing"/>
    <w:basedOn w:val="Normal"/>
    <w:semiHidden/>
    <w:rsid w:val="001648BF"/>
    <w:pPr>
      <w:ind w:left="4252"/>
    </w:pPr>
  </w:style>
  <w:style w:type="paragraph" w:styleId="Date">
    <w:name w:val="Date"/>
    <w:basedOn w:val="Normal"/>
    <w:next w:val="Normal"/>
    <w:semiHidden/>
    <w:rsid w:val="001648BF"/>
  </w:style>
  <w:style w:type="paragraph" w:styleId="E-mailSignature">
    <w:name w:val="E-mail Signature"/>
    <w:basedOn w:val="Normal"/>
    <w:semiHidden/>
    <w:rsid w:val="001648BF"/>
  </w:style>
  <w:style w:type="character" w:styleId="Emphasis">
    <w:name w:val="Emphasis"/>
    <w:semiHidden/>
    <w:rsid w:val="001648BF"/>
    <w:rPr>
      <w:i/>
      <w:iCs/>
    </w:rPr>
  </w:style>
  <w:style w:type="paragraph" w:styleId="EnvelopeAddress">
    <w:name w:val="envelope address"/>
    <w:basedOn w:val="Normal"/>
    <w:semiHidden/>
    <w:rsid w:val="001648B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1648BF"/>
    <w:rPr>
      <w:rFonts w:ascii="Arial" w:hAnsi="Arial" w:cs="Arial"/>
      <w:sz w:val="20"/>
    </w:rPr>
  </w:style>
  <w:style w:type="character" w:styleId="FollowedHyperlink">
    <w:name w:val="FollowedHyperlink"/>
    <w:semiHidden/>
    <w:rsid w:val="001648BF"/>
    <w:rPr>
      <w:color w:val="800080"/>
      <w:u w:val="single"/>
    </w:rPr>
  </w:style>
  <w:style w:type="character" w:styleId="HTMLAcronym">
    <w:name w:val="HTML Acronym"/>
    <w:basedOn w:val="DefaultParagraphFont"/>
    <w:semiHidden/>
    <w:rsid w:val="001648BF"/>
  </w:style>
  <w:style w:type="paragraph" w:styleId="HTMLAddress">
    <w:name w:val="HTML Address"/>
    <w:basedOn w:val="Normal"/>
    <w:semiHidden/>
    <w:rsid w:val="001648BF"/>
    <w:rPr>
      <w:i/>
      <w:iCs/>
    </w:rPr>
  </w:style>
  <w:style w:type="character" w:styleId="HTMLCite">
    <w:name w:val="HTML Cite"/>
    <w:semiHidden/>
    <w:rsid w:val="001648BF"/>
    <w:rPr>
      <w:i/>
      <w:iCs/>
    </w:rPr>
  </w:style>
  <w:style w:type="character" w:styleId="HTMLCode">
    <w:name w:val="HTML Code"/>
    <w:semiHidden/>
    <w:rsid w:val="001648BF"/>
    <w:rPr>
      <w:rFonts w:ascii="Courier New" w:hAnsi="Courier New" w:cs="Courier New"/>
      <w:sz w:val="20"/>
      <w:szCs w:val="20"/>
    </w:rPr>
  </w:style>
  <w:style w:type="character" w:styleId="HTMLDefinition">
    <w:name w:val="HTML Definition"/>
    <w:semiHidden/>
    <w:rsid w:val="001648BF"/>
    <w:rPr>
      <w:i/>
      <w:iCs/>
    </w:rPr>
  </w:style>
  <w:style w:type="character" w:styleId="HTMLKeyboard">
    <w:name w:val="HTML Keyboard"/>
    <w:semiHidden/>
    <w:rsid w:val="001648BF"/>
    <w:rPr>
      <w:rFonts w:ascii="Courier New" w:hAnsi="Courier New" w:cs="Courier New"/>
      <w:sz w:val="20"/>
      <w:szCs w:val="20"/>
    </w:rPr>
  </w:style>
  <w:style w:type="paragraph" w:styleId="HTMLPreformatted">
    <w:name w:val="HTML Preformatted"/>
    <w:basedOn w:val="Normal"/>
    <w:semiHidden/>
    <w:rsid w:val="001648BF"/>
    <w:rPr>
      <w:rFonts w:ascii="Courier New" w:hAnsi="Courier New" w:cs="Courier New"/>
      <w:sz w:val="20"/>
    </w:rPr>
  </w:style>
  <w:style w:type="character" w:styleId="HTMLSample">
    <w:name w:val="HTML Sample"/>
    <w:semiHidden/>
    <w:rsid w:val="001648BF"/>
    <w:rPr>
      <w:rFonts w:ascii="Courier New" w:hAnsi="Courier New" w:cs="Courier New"/>
    </w:rPr>
  </w:style>
  <w:style w:type="character" w:styleId="HTMLTypewriter">
    <w:name w:val="HTML Typewriter"/>
    <w:semiHidden/>
    <w:rsid w:val="001648BF"/>
    <w:rPr>
      <w:rFonts w:ascii="Courier New" w:hAnsi="Courier New" w:cs="Courier New"/>
      <w:sz w:val="20"/>
      <w:szCs w:val="20"/>
    </w:rPr>
  </w:style>
  <w:style w:type="character" w:styleId="HTMLVariable">
    <w:name w:val="HTML Variable"/>
    <w:semiHidden/>
    <w:rsid w:val="001648BF"/>
    <w:rPr>
      <w:i/>
      <w:iCs/>
    </w:rPr>
  </w:style>
  <w:style w:type="character" w:styleId="Hyperlink">
    <w:name w:val="Hyperlink"/>
    <w:semiHidden/>
    <w:rsid w:val="001648BF"/>
    <w:rPr>
      <w:color w:val="0000FF"/>
      <w:u w:val="single"/>
    </w:rPr>
  </w:style>
  <w:style w:type="character" w:styleId="LineNumber">
    <w:name w:val="line number"/>
    <w:basedOn w:val="DefaultParagraphFont"/>
    <w:semiHidden/>
    <w:rsid w:val="001648BF"/>
  </w:style>
  <w:style w:type="paragraph" w:styleId="List">
    <w:name w:val="List"/>
    <w:basedOn w:val="Normal"/>
    <w:semiHidden/>
    <w:rsid w:val="001648BF"/>
    <w:pPr>
      <w:ind w:left="283" w:hanging="283"/>
    </w:pPr>
  </w:style>
  <w:style w:type="paragraph" w:styleId="List2">
    <w:name w:val="List 2"/>
    <w:basedOn w:val="Normal"/>
    <w:semiHidden/>
    <w:rsid w:val="001648BF"/>
    <w:pPr>
      <w:ind w:left="566" w:hanging="283"/>
    </w:pPr>
  </w:style>
  <w:style w:type="paragraph" w:styleId="List3">
    <w:name w:val="List 3"/>
    <w:basedOn w:val="Normal"/>
    <w:semiHidden/>
    <w:rsid w:val="001648BF"/>
    <w:pPr>
      <w:ind w:left="849" w:hanging="283"/>
    </w:pPr>
  </w:style>
  <w:style w:type="paragraph" w:styleId="List4">
    <w:name w:val="List 4"/>
    <w:basedOn w:val="Normal"/>
    <w:semiHidden/>
    <w:rsid w:val="001648BF"/>
    <w:pPr>
      <w:ind w:left="1132" w:hanging="283"/>
    </w:pPr>
  </w:style>
  <w:style w:type="paragraph" w:styleId="List5">
    <w:name w:val="List 5"/>
    <w:basedOn w:val="Normal"/>
    <w:semiHidden/>
    <w:rsid w:val="001648BF"/>
    <w:pPr>
      <w:ind w:left="1415" w:hanging="283"/>
    </w:pPr>
  </w:style>
  <w:style w:type="paragraph" w:styleId="ListBullet">
    <w:name w:val="List Bullet"/>
    <w:basedOn w:val="Normal"/>
    <w:semiHidden/>
    <w:rsid w:val="001648BF"/>
    <w:pPr>
      <w:numPr>
        <w:numId w:val="3"/>
      </w:numPr>
    </w:pPr>
  </w:style>
  <w:style w:type="paragraph" w:styleId="ListBullet2">
    <w:name w:val="List Bullet 2"/>
    <w:basedOn w:val="Normal"/>
    <w:semiHidden/>
    <w:rsid w:val="001648BF"/>
    <w:pPr>
      <w:numPr>
        <w:numId w:val="4"/>
      </w:numPr>
    </w:pPr>
  </w:style>
  <w:style w:type="paragraph" w:styleId="ListBullet3">
    <w:name w:val="List Bullet 3"/>
    <w:basedOn w:val="Normal"/>
    <w:semiHidden/>
    <w:rsid w:val="001648BF"/>
    <w:pPr>
      <w:numPr>
        <w:numId w:val="5"/>
      </w:numPr>
    </w:pPr>
  </w:style>
  <w:style w:type="paragraph" w:styleId="ListBullet4">
    <w:name w:val="List Bullet 4"/>
    <w:basedOn w:val="Normal"/>
    <w:semiHidden/>
    <w:rsid w:val="001648BF"/>
    <w:pPr>
      <w:numPr>
        <w:numId w:val="6"/>
      </w:numPr>
    </w:pPr>
  </w:style>
  <w:style w:type="paragraph" w:styleId="ListBullet5">
    <w:name w:val="List Bullet 5"/>
    <w:basedOn w:val="Normal"/>
    <w:semiHidden/>
    <w:rsid w:val="001648BF"/>
    <w:pPr>
      <w:numPr>
        <w:numId w:val="7"/>
      </w:numPr>
    </w:pPr>
  </w:style>
  <w:style w:type="paragraph" w:styleId="ListContinue">
    <w:name w:val="List Continue"/>
    <w:basedOn w:val="Normal"/>
    <w:semiHidden/>
    <w:rsid w:val="001648BF"/>
    <w:pPr>
      <w:spacing w:after="120"/>
      <w:ind w:left="283"/>
    </w:pPr>
  </w:style>
  <w:style w:type="paragraph" w:styleId="ListContinue2">
    <w:name w:val="List Continue 2"/>
    <w:basedOn w:val="Normal"/>
    <w:semiHidden/>
    <w:rsid w:val="001648BF"/>
    <w:pPr>
      <w:spacing w:after="120"/>
      <w:ind w:left="566"/>
    </w:pPr>
  </w:style>
  <w:style w:type="paragraph" w:styleId="ListContinue3">
    <w:name w:val="List Continue 3"/>
    <w:basedOn w:val="Normal"/>
    <w:semiHidden/>
    <w:rsid w:val="001648BF"/>
    <w:pPr>
      <w:spacing w:after="120"/>
      <w:ind w:left="849"/>
    </w:pPr>
  </w:style>
  <w:style w:type="paragraph" w:styleId="ListContinue4">
    <w:name w:val="List Continue 4"/>
    <w:basedOn w:val="Normal"/>
    <w:semiHidden/>
    <w:rsid w:val="001648BF"/>
    <w:pPr>
      <w:spacing w:after="120"/>
      <w:ind w:left="1132"/>
    </w:pPr>
  </w:style>
  <w:style w:type="paragraph" w:styleId="ListContinue5">
    <w:name w:val="List Continue 5"/>
    <w:basedOn w:val="Normal"/>
    <w:semiHidden/>
    <w:rsid w:val="001648BF"/>
    <w:pPr>
      <w:spacing w:after="120"/>
      <w:ind w:left="1415"/>
    </w:pPr>
  </w:style>
  <w:style w:type="paragraph" w:styleId="ListNumber">
    <w:name w:val="List Number"/>
    <w:basedOn w:val="Normal"/>
    <w:semiHidden/>
    <w:rsid w:val="001648BF"/>
    <w:pPr>
      <w:numPr>
        <w:numId w:val="8"/>
      </w:numPr>
    </w:pPr>
  </w:style>
  <w:style w:type="paragraph" w:styleId="ListNumber2">
    <w:name w:val="List Number 2"/>
    <w:basedOn w:val="Normal"/>
    <w:semiHidden/>
    <w:rsid w:val="001648BF"/>
    <w:pPr>
      <w:numPr>
        <w:numId w:val="9"/>
      </w:numPr>
    </w:pPr>
  </w:style>
  <w:style w:type="paragraph" w:styleId="ListNumber3">
    <w:name w:val="List Number 3"/>
    <w:basedOn w:val="Normal"/>
    <w:semiHidden/>
    <w:rsid w:val="001648BF"/>
    <w:pPr>
      <w:numPr>
        <w:numId w:val="10"/>
      </w:numPr>
    </w:pPr>
  </w:style>
  <w:style w:type="paragraph" w:styleId="ListNumber4">
    <w:name w:val="List Number 4"/>
    <w:basedOn w:val="Normal"/>
    <w:semiHidden/>
    <w:rsid w:val="001648BF"/>
    <w:pPr>
      <w:numPr>
        <w:numId w:val="11"/>
      </w:numPr>
    </w:pPr>
  </w:style>
  <w:style w:type="paragraph" w:styleId="ListNumber5">
    <w:name w:val="List Number 5"/>
    <w:basedOn w:val="Normal"/>
    <w:semiHidden/>
    <w:rsid w:val="001648BF"/>
    <w:pPr>
      <w:numPr>
        <w:numId w:val="12"/>
      </w:numPr>
    </w:pPr>
  </w:style>
  <w:style w:type="paragraph" w:styleId="MessageHeader">
    <w:name w:val="Message Header"/>
    <w:basedOn w:val="Normal"/>
    <w:semiHidden/>
    <w:rsid w:val="001648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1648BF"/>
    <w:rPr>
      <w:szCs w:val="24"/>
    </w:rPr>
  </w:style>
  <w:style w:type="paragraph" w:styleId="NormalIndent">
    <w:name w:val="Normal Indent"/>
    <w:basedOn w:val="Normal"/>
    <w:semiHidden/>
    <w:rsid w:val="001648BF"/>
    <w:pPr>
      <w:ind w:left="720"/>
    </w:pPr>
  </w:style>
  <w:style w:type="paragraph" w:styleId="NoteHeading">
    <w:name w:val="Note Heading"/>
    <w:basedOn w:val="Normal"/>
    <w:next w:val="Normal"/>
    <w:semiHidden/>
    <w:rsid w:val="001648BF"/>
  </w:style>
  <w:style w:type="character" w:styleId="PageNumber">
    <w:name w:val="page number"/>
    <w:basedOn w:val="DefaultParagraphFont"/>
    <w:semiHidden/>
    <w:rsid w:val="001648BF"/>
  </w:style>
  <w:style w:type="paragraph" w:styleId="PlainText">
    <w:name w:val="Plain Text"/>
    <w:basedOn w:val="Normal"/>
    <w:semiHidden/>
    <w:rsid w:val="001648BF"/>
    <w:rPr>
      <w:rFonts w:ascii="Courier New" w:hAnsi="Courier New" w:cs="Courier New"/>
      <w:sz w:val="20"/>
    </w:rPr>
  </w:style>
  <w:style w:type="paragraph" w:styleId="Salutation">
    <w:name w:val="Salutation"/>
    <w:basedOn w:val="Normal"/>
    <w:next w:val="Normal"/>
    <w:semiHidden/>
    <w:rsid w:val="001648BF"/>
  </w:style>
  <w:style w:type="paragraph" w:styleId="Signature">
    <w:name w:val="Signature"/>
    <w:basedOn w:val="Normal"/>
    <w:semiHidden/>
    <w:rsid w:val="001648BF"/>
    <w:pPr>
      <w:ind w:left="4252"/>
    </w:pPr>
  </w:style>
  <w:style w:type="character" w:styleId="Strong">
    <w:name w:val="Strong"/>
    <w:semiHidden/>
    <w:rsid w:val="001648BF"/>
    <w:rPr>
      <w:b/>
      <w:bCs/>
    </w:rPr>
  </w:style>
  <w:style w:type="paragraph" w:styleId="Subtitle">
    <w:name w:val="Subtitle"/>
    <w:basedOn w:val="Normal"/>
    <w:semiHidden/>
    <w:rsid w:val="001648BF"/>
    <w:pPr>
      <w:spacing w:after="60"/>
      <w:jc w:val="center"/>
      <w:outlineLvl w:val="1"/>
    </w:pPr>
    <w:rPr>
      <w:rFonts w:ascii="Arial" w:hAnsi="Arial" w:cs="Arial"/>
      <w:szCs w:val="24"/>
    </w:rPr>
  </w:style>
  <w:style w:type="table" w:styleId="Table3Deffects1">
    <w:name w:val="Table 3D effects 1"/>
    <w:basedOn w:val="TableNormal"/>
    <w:semiHidden/>
    <w:rsid w:val="001648BF"/>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648BF"/>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648BF"/>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648BF"/>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648BF"/>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648BF"/>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648BF"/>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648BF"/>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648BF"/>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648BF"/>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648BF"/>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648BF"/>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648BF"/>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648BF"/>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648BF"/>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648BF"/>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648BF"/>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648B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648BF"/>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648BF"/>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648BF"/>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648BF"/>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648BF"/>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648BF"/>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648BF"/>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648BF"/>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648BF"/>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648BF"/>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648BF"/>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648B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648BF"/>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648BF"/>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648BF"/>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648B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648BF"/>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648BF"/>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648BF"/>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648BF"/>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648BF"/>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648B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648BF"/>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648BF"/>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648BF"/>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1648BF"/>
    <w:pPr>
      <w:spacing w:before="120" w:after="60" w:line="240" w:lineRule="auto"/>
      <w:jc w:val="left"/>
    </w:pPr>
  </w:style>
  <w:style w:type="paragraph" w:customStyle="1" w:styleId="bTOC2">
    <w:name w:val="bTOC 2"/>
    <w:basedOn w:val="TOC2"/>
    <w:semiHidden/>
    <w:rsid w:val="001648BF"/>
    <w:pPr>
      <w:spacing w:before="120" w:after="60" w:line="240" w:lineRule="auto"/>
      <w:ind w:left="238"/>
      <w:jc w:val="left"/>
    </w:pPr>
  </w:style>
  <w:style w:type="paragraph" w:customStyle="1" w:styleId="bTOC3">
    <w:name w:val="bTOC 3"/>
    <w:basedOn w:val="TOC3"/>
    <w:semiHidden/>
    <w:rsid w:val="001648BF"/>
    <w:pPr>
      <w:spacing w:before="120" w:after="60" w:line="240" w:lineRule="auto"/>
      <w:ind w:left="482"/>
      <w:jc w:val="left"/>
    </w:pPr>
  </w:style>
  <w:style w:type="paragraph" w:customStyle="1" w:styleId="bTOC4">
    <w:name w:val="bTOC 4"/>
    <w:basedOn w:val="TOC4"/>
    <w:semiHidden/>
    <w:rsid w:val="001648BF"/>
    <w:pPr>
      <w:spacing w:before="120" w:after="60" w:line="240" w:lineRule="auto"/>
      <w:jc w:val="left"/>
    </w:pPr>
  </w:style>
  <w:style w:type="paragraph" w:customStyle="1" w:styleId="Counsel">
    <w:name w:val="Counsel"/>
    <w:basedOn w:val="Normal"/>
    <w:unhideWhenUsed/>
    <w:rsid w:val="001648BF"/>
    <w:pPr>
      <w:widowControl w:val="0"/>
      <w:suppressAutoHyphens/>
      <w:spacing w:line="240" w:lineRule="auto"/>
    </w:pPr>
  </w:style>
  <w:style w:type="character" w:customStyle="1" w:styleId="CertifyChar">
    <w:name w:val="Certify Char"/>
    <w:link w:val="Certify"/>
    <w:semiHidden/>
    <w:rsid w:val="001648BF"/>
    <w:rPr>
      <w:sz w:val="24"/>
      <w:szCs w:val="24"/>
      <w:lang w:eastAsia="en-US"/>
    </w:rPr>
  </w:style>
  <w:style w:type="paragraph" w:customStyle="1" w:styleId="fcHeading1">
    <w:name w:val="fcHeading 1"/>
    <w:basedOn w:val="Normal"/>
    <w:next w:val="ParaNumbering"/>
    <w:semiHidden/>
    <w:rsid w:val="001648BF"/>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1648BF"/>
    <w:pPr>
      <w:keepNext/>
      <w:tabs>
        <w:tab w:val="num" w:pos="1134"/>
      </w:tabs>
      <w:spacing w:before="240" w:after="60" w:line="240" w:lineRule="auto"/>
      <w:ind w:left="1134" w:hanging="1134"/>
    </w:pPr>
    <w:rPr>
      <w:b/>
    </w:rPr>
  </w:style>
  <w:style w:type="paragraph" w:customStyle="1" w:styleId="fcHeading3">
    <w:name w:val="fcHeading 3"/>
    <w:basedOn w:val="Normal"/>
    <w:next w:val="ParaNumbering"/>
    <w:semiHidden/>
    <w:rsid w:val="001648BF"/>
    <w:pPr>
      <w:keepNext/>
      <w:tabs>
        <w:tab w:val="num" w:pos="1134"/>
      </w:tabs>
      <w:spacing w:before="240" w:after="60" w:line="240" w:lineRule="auto"/>
      <w:ind w:left="1134" w:hanging="1134"/>
    </w:pPr>
    <w:rPr>
      <w:b/>
      <w:i/>
    </w:rPr>
  </w:style>
  <w:style w:type="paragraph" w:customStyle="1" w:styleId="fcHeading4">
    <w:name w:val="fcHeading 4"/>
    <w:basedOn w:val="Normal"/>
    <w:next w:val="ParaNumbering"/>
    <w:semiHidden/>
    <w:rsid w:val="001648BF"/>
    <w:pPr>
      <w:keepNext/>
      <w:tabs>
        <w:tab w:val="num" w:pos="1134"/>
      </w:tabs>
      <w:spacing w:before="240" w:after="60" w:line="240" w:lineRule="auto"/>
      <w:ind w:left="1134" w:hanging="1134"/>
    </w:pPr>
    <w:rPr>
      <w:b/>
      <w:smallCaps/>
    </w:rPr>
  </w:style>
  <w:style w:type="paragraph" w:customStyle="1" w:styleId="fcHeading5">
    <w:name w:val="fcHeading 5"/>
    <w:basedOn w:val="Normal"/>
    <w:next w:val="ParaNumbering"/>
    <w:semiHidden/>
    <w:rsid w:val="001648BF"/>
    <w:pPr>
      <w:keepNext/>
      <w:tabs>
        <w:tab w:val="num" w:pos="1134"/>
      </w:tabs>
      <w:spacing w:before="240" w:after="60" w:line="240" w:lineRule="auto"/>
      <w:ind w:left="1134" w:hanging="1134"/>
    </w:pPr>
    <w:rPr>
      <w:b/>
      <w:caps/>
    </w:rPr>
  </w:style>
  <w:style w:type="paragraph" w:customStyle="1" w:styleId="FTOC5">
    <w:name w:val="FTOC 5"/>
    <w:basedOn w:val="Normal"/>
    <w:semiHidden/>
    <w:rsid w:val="001648BF"/>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1648BF"/>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1648BF"/>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1648BF"/>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1648BF"/>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1648BF"/>
    <w:pPr>
      <w:tabs>
        <w:tab w:val="right" w:leader="dot" w:pos="9072"/>
      </w:tabs>
      <w:spacing w:before="120" w:after="60" w:line="240" w:lineRule="auto"/>
      <w:ind w:left="709" w:hanging="709"/>
      <w:jc w:val="left"/>
    </w:pPr>
  </w:style>
  <w:style w:type="paragraph" w:customStyle="1" w:styleId="bTOC6">
    <w:name w:val="bTOC 6"/>
    <w:basedOn w:val="Normal"/>
    <w:semiHidden/>
    <w:rsid w:val="001648BF"/>
    <w:pPr>
      <w:tabs>
        <w:tab w:val="right" w:leader="dot" w:pos="9072"/>
      </w:tabs>
      <w:spacing w:before="120" w:after="60" w:line="240" w:lineRule="auto"/>
      <w:ind w:left="1418" w:hanging="709"/>
      <w:jc w:val="left"/>
    </w:pPr>
  </w:style>
  <w:style w:type="paragraph" w:customStyle="1" w:styleId="bTOC7">
    <w:name w:val="bTOC 7"/>
    <w:basedOn w:val="Normal"/>
    <w:semiHidden/>
    <w:rsid w:val="001648BF"/>
    <w:pPr>
      <w:tabs>
        <w:tab w:val="right" w:leader="dot" w:pos="9072"/>
      </w:tabs>
      <w:spacing w:before="120" w:after="60" w:line="240" w:lineRule="auto"/>
      <w:ind w:left="2240" w:hanging="822"/>
      <w:jc w:val="left"/>
    </w:pPr>
  </w:style>
  <w:style w:type="paragraph" w:customStyle="1" w:styleId="bTOC8">
    <w:name w:val="bTOC 8"/>
    <w:basedOn w:val="Normal"/>
    <w:semiHidden/>
    <w:rsid w:val="001648BF"/>
    <w:pPr>
      <w:keepNext/>
      <w:tabs>
        <w:tab w:val="right" w:leader="dot" w:pos="9072"/>
      </w:tabs>
      <w:spacing w:before="120" w:after="60" w:line="240" w:lineRule="auto"/>
      <w:ind w:left="3373" w:hanging="1247"/>
      <w:jc w:val="left"/>
    </w:pPr>
  </w:style>
  <w:style w:type="paragraph" w:customStyle="1" w:styleId="bTOC9">
    <w:name w:val="bTOC 9"/>
    <w:basedOn w:val="Normal"/>
    <w:semiHidden/>
    <w:rsid w:val="001648BF"/>
    <w:pPr>
      <w:keepNext/>
      <w:tabs>
        <w:tab w:val="right" w:leader="dot" w:pos="9072"/>
      </w:tabs>
      <w:spacing w:before="120" w:after="60" w:line="240" w:lineRule="auto"/>
      <w:ind w:left="4082" w:hanging="1247"/>
      <w:jc w:val="left"/>
    </w:pPr>
  </w:style>
  <w:style w:type="paragraph" w:customStyle="1" w:styleId="ListNo2">
    <w:name w:val="List No 2"/>
    <w:basedOn w:val="ListNo1"/>
    <w:rsid w:val="001648BF"/>
    <w:pPr>
      <w:numPr>
        <w:ilvl w:val="1"/>
      </w:numPr>
    </w:pPr>
  </w:style>
  <w:style w:type="paragraph" w:customStyle="1" w:styleId="ListNo3">
    <w:name w:val="List No 3"/>
    <w:basedOn w:val="ListNo2"/>
    <w:rsid w:val="001648BF"/>
    <w:pPr>
      <w:numPr>
        <w:ilvl w:val="2"/>
      </w:numPr>
    </w:pPr>
  </w:style>
  <w:style w:type="numbering" w:customStyle="1" w:styleId="FCListNo">
    <w:name w:val="FCListNo"/>
    <w:uiPriority w:val="99"/>
    <w:rsid w:val="001648BF"/>
    <w:pPr>
      <w:numPr>
        <w:numId w:val="17"/>
      </w:numPr>
    </w:pPr>
  </w:style>
  <w:style w:type="paragraph" w:customStyle="1" w:styleId="SingleSpace">
    <w:name w:val="SingleSpace"/>
    <w:basedOn w:val="Normal"/>
    <w:rsid w:val="001648BF"/>
    <w:pPr>
      <w:spacing w:line="240" w:lineRule="auto"/>
    </w:pPr>
    <w:rPr>
      <w:szCs w:val="22"/>
    </w:rPr>
  </w:style>
  <w:style w:type="paragraph" w:customStyle="1" w:styleId="Quote1Bullet">
    <w:name w:val="Quote1 Bullet"/>
    <w:basedOn w:val="Quote1"/>
    <w:rsid w:val="001648BF"/>
    <w:pPr>
      <w:numPr>
        <w:numId w:val="18"/>
      </w:numPr>
      <w:ind w:left="1440" w:hanging="720"/>
    </w:pPr>
  </w:style>
  <w:style w:type="paragraph" w:customStyle="1" w:styleId="Quote2Bullet">
    <w:name w:val="Quote2 Bullet"/>
    <w:basedOn w:val="Quote2"/>
    <w:rsid w:val="001648BF"/>
    <w:pPr>
      <w:numPr>
        <w:numId w:val="19"/>
      </w:numPr>
      <w:ind w:hanging="720"/>
    </w:pPr>
  </w:style>
  <w:style w:type="paragraph" w:customStyle="1" w:styleId="Quote3Bullet">
    <w:name w:val="Quote3 Bullet"/>
    <w:basedOn w:val="Quote3"/>
    <w:rsid w:val="001648BF"/>
    <w:pPr>
      <w:numPr>
        <w:numId w:val="20"/>
      </w:numPr>
      <w:ind w:hanging="720"/>
    </w:pPr>
  </w:style>
  <w:style w:type="paragraph" w:customStyle="1" w:styleId="Order1">
    <w:name w:val="Order 1"/>
    <w:basedOn w:val="Normal"/>
    <w:rsid w:val="001648BF"/>
    <w:pPr>
      <w:numPr>
        <w:numId w:val="21"/>
      </w:numPr>
      <w:spacing w:before="60" w:after="60"/>
    </w:pPr>
  </w:style>
  <w:style w:type="numbering" w:customStyle="1" w:styleId="FCOrders">
    <w:name w:val="FCOrders"/>
    <w:uiPriority w:val="99"/>
    <w:rsid w:val="001648BF"/>
    <w:pPr>
      <w:numPr>
        <w:numId w:val="21"/>
      </w:numPr>
    </w:pPr>
  </w:style>
  <w:style w:type="paragraph" w:customStyle="1" w:styleId="BodyTextBold">
    <w:name w:val="Body Text Bold"/>
    <w:basedOn w:val="BodyText"/>
    <w:rsid w:val="001648BF"/>
    <w:rPr>
      <w:b/>
    </w:rPr>
  </w:style>
  <w:style w:type="paragraph" w:customStyle="1" w:styleId="GeneralHeading">
    <w:name w:val="General Heading"/>
    <w:basedOn w:val="BodyTextBold"/>
    <w:next w:val="BodyText"/>
    <w:rsid w:val="001648BF"/>
    <w:pPr>
      <w:spacing w:line="480" w:lineRule="auto"/>
      <w:jc w:val="center"/>
    </w:pPr>
    <w:rPr>
      <w:sz w:val="28"/>
    </w:rPr>
  </w:style>
  <w:style w:type="paragraph" w:customStyle="1" w:styleId="ReasonJudge">
    <w:name w:val="Reason Judge"/>
    <w:basedOn w:val="BodyText"/>
    <w:next w:val="BodyText"/>
    <w:rsid w:val="001648BF"/>
    <w:pPr>
      <w:jc w:val="left"/>
    </w:pPr>
    <w:rPr>
      <w:b/>
      <w:sz w:val="26"/>
    </w:rPr>
  </w:style>
  <w:style w:type="paragraph" w:customStyle="1" w:styleId="FileNo">
    <w:name w:val="FileNo"/>
    <w:basedOn w:val="NormalHeadings"/>
    <w:rsid w:val="001648BF"/>
    <w:pPr>
      <w:tabs>
        <w:tab w:val="right" w:pos="3609"/>
      </w:tabs>
      <w:spacing w:line="276" w:lineRule="auto"/>
      <w:jc w:val="right"/>
    </w:pPr>
    <w:rPr>
      <w:szCs w:val="24"/>
    </w:rPr>
  </w:style>
  <w:style w:type="paragraph" w:customStyle="1" w:styleId="CasesLegislationAppealFrom">
    <w:name w:val="Cases Legislation Appeal From"/>
    <w:basedOn w:val="Normal1linespace"/>
    <w:rsid w:val="001648BF"/>
    <w:pPr>
      <w:widowControl w:val="0"/>
      <w:spacing w:after="100"/>
      <w:jc w:val="left"/>
    </w:pPr>
  </w:style>
  <w:style w:type="paragraph" w:customStyle="1" w:styleId="PartyName">
    <w:name w:val="Party Name"/>
    <w:basedOn w:val="NormalHeadings"/>
    <w:rsid w:val="001648BF"/>
    <w:pPr>
      <w:jc w:val="left"/>
    </w:pPr>
    <w:rPr>
      <w:szCs w:val="24"/>
    </w:rPr>
  </w:style>
  <w:style w:type="paragraph" w:customStyle="1" w:styleId="PartyType">
    <w:name w:val="Party Type"/>
    <w:basedOn w:val="PartyName"/>
    <w:rsid w:val="001648BF"/>
    <w:rPr>
      <w:b w:val="0"/>
    </w:rPr>
  </w:style>
  <w:style w:type="paragraph" w:customStyle="1" w:styleId="Small-TableswithinQuotes">
    <w:name w:val="Small - Tables within Quotes"/>
    <w:basedOn w:val="BodyText"/>
    <w:rsid w:val="001648BF"/>
    <w:pPr>
      <w:spacing w:line="240" w:lineRule="auto"/>
      <w:jc w:val="left"/>
    </w:pPr>
    <w:rPr>
      <w:sz w:val="22"/>
    </w:rPr>
  </w:style>
  <w:style w:type="character" w:customStyle="1" w:styleId="BodyTextChar">
    <w:name w:val="Body Text Char"/>
    <w:basedOn w:val="DefaultParagraphFont"/>
    <w:link w:val="BodyText"/>
    <w:rsid w:val="001648BF"/>
    <w:rPr>
      <w:sz w:val="24"/>
      <w:lang w:eastAsia="en-US"/>
    </w:rPr>
  </w:style>
  <w:style w:type="character" w:customStyle="1" w:styleId="NormalHeadingsChar">
    <w:name w:val="Normal Headings Char"/>
    <w:basedOn w:val="DefaultParagraphFont"/>
    <w:link w:val="NormalHeadings"/>
    <w:rsid w:val="001648BF"/>
    <w:rPr>
      <w:b/>
      <w:sz w:val="24"/>
      <w:lang w:eastAsia="en-US"/>
    </w:rPr>
  </w:style>
  <w:style w:type="paragraph" w:customStyle="1" w:styleId="CourtTitle">
    <w:name w:val="CourtTitle"/>
    <w:basedOn w:val="NormalHeadings"/>
    <w:rsid w:val="001648BF"/>
    <w:pPr>
      <w:jc w:val="center"/>
    </w:pPr>
    <w:rPr>
      <w:caps/>
      <w:sz w:val="32"/>
    </w:rPr>
  </w:style>
  <w:style w:type="paragraph" w:customStyle="1" w:styleId="MNC">
    <w:name w:val="MNC"/>
    <w:basedOn w:val="MediaNeutralStyle"/>
    <w:rsid w:val="001648BF"/>
    <w:pPr>
      <w:spacing w:after="240"/>
    </w:pPr>
    <w:rPr>
      <w:sz w:val="28"/>
    </w:rPr>
  </w:style>
  <w:style w:type="paragraph" w:customStyle="1" w:styleId="Quote4">
    <w:name w:val="Quote4"/>
    <w:basedOn w:val="Quote1"/>
    <w:rsid w:val="001648BF"/>
    <w:pPr>
      <w:ind w:left="2880"/>
    </w:pPr>
  </w:style>
  <w:style w:type="paragraph" w:customStyle="1" w:styleId="Quote4Bullet">
    <w:name w:val="Quote4 Bullet"/>
    <w:basedOn w:val="Quote4"/>
    <w:rsid w:val="001648BF"/>
    <w:pPr>
      <w:numPr>
        <w:numId w:val="22"/>
      </w:numPr>
      <w:ind w:hanging="720"/>
    </w:pPr>
  </w:style>
  <w:style w:type="character" w:styleId="PlaceholderText">
    <w:name w:val="Placeholder Text"/>
    <w:basedOn w:val="DefaultParagraphFont"/>
    <w:uiPriority w:val="99"/>
    <w:semiHidden/>
    <w:rsid w:val="001648BF"/>
    <w:rPr>
      <w:color w:val="808080"/>
    </w:rPr>
  </w:style>
  <w:style w:type="paragraph" w:customStyle="1" w:styleId="Order2">
    <w:name w:val="Order 2"/>
    <w:basedOn w:val="Order1"/>
    <w:rsid w:val="001648BF"/>
    <w:pPr>
      <w:numPr>
        <w:ilvl w:val="1"/>
      </w:numPr>
      <w:tabs>
        <w:tab w:val="clear" w:pos="1440"/>
      </w:tabs>
    </w:pPr>
  </w:style>
  <w:style w:type="paragraph" w:customStyle="1" w:styleId="Order3">
    <w:name w:val="Order 3"/>
    <w:basedOn w:val="Order2"/>
    <w:rsid w:val="001648BF"/>
    <w:pPr>
      <w:numPr>
        <w:ilvl w:val="2"/>
      </w:numPr>
    </w:pPr>
  </w:style>
  <w:style w:type="paragraph" w:customStyle="1" w:styleId="ListNo1alt">
    <w:name w:val="List No 1 (alt)"/>
    <w:basedOn w:val="Normal"/>
    <w:rsid w:val="001648BF"/>
    <w:pPr>
      <w:numPr>
        <w:numId w:val="24"/>
      </w:numPr>
      <w:spacing w:before="60" w:after="60"/>
    </w:pPr>
  </w:style>
  <w:style w:type="paragraph" w:customStyle="1" w:styleId="ListNo2alt">
    <w:name w:val="List No 2 (alt)"/>
    <w:basedOn w:val="ListNo1alt"/>
    <w:rsid w:val="001648BF"/>
    <w:pPr>
      <w:numPr>
        <w:ilvl w:val="1"/>
      </w:numPr>
    </w:pPr>
  </w:style>
  <w:style w:type="paragraph" w:customStyle="1" w:styleId="ListNo3alt">
    <w:name w:val="List No 3 (alt)"/>
    <w:basedOn w:val="ListNo2alt"/>
    <w:rsid w:val="001648BF"/>
    <w:pPr>
      <w:numPr>
        <w:ilvl w:val="2"/>
      </w:numPr>
    </w:pPr>
  </w:style>
  <w:style w:type="numbering" w:customStyle="1" w:styleId="FCListNoalt">
    <w:name w:val="FC List No (alt)"/>
    <w:uiPriority w:val="99"/>
    <w:rsid w:val="001648BF"/>
    <w:pPr>
      <w:numPr>
        <w:numId w:val="24"/>
      </w:numPr>
    </w:pPr>
  </w:style>
  <w:style w:type="paragraph" w:customStyle="1" w:styleId="Order4">
    <w:name w:val="Order 4"/>
    <w:basedOn w:val="Order3"/>
    <w:rsid w:val="001648BF"/>
    <w:pPr>
      <w:numPr>
        <w:ilvl w:val="3"/>
      </w:numPr>
    </w:pPr>
  </w:style>
  <w:style w:type="paragraph" w:styleId="ListParagraph">
    <w:name w:val="List Paragraph"/>
    <w:basedOn w:val="Normal"/>
    <w:uiPriority w:val="1"/>
    <w:qFormat/>
    <w:rsid w:val="00FA2030"/>
    <w:pPr>
      <w:widowControl w:val="0"/>
      <w:autoSpaceDE w:val="0"/>
      <w:autoSpaceDN w:val="0"/>
      <w:spacing w:before="121" w:line="240" w:lineRule="auto"/>
      <w:ind w:left="963" w:hanging="566"/>
    </w:pPr>
    <w:rPr>
      <w:rFonts w:ascii="Arial" w:eastAsia="Arial" w:hAnsi="Arial" w:cs="Arial"/>
      <w:sz w:val="22"/>
      <w:szCs w:val="22"/>
      <w:lang w:eastAsia="en-AU" w:bidi="en-AU"/>
    </w:rPr>
  </w:style>
  <w:style w:type="paragraph" w:styleId="FootnoteText">
    <w:name w:val="footnote text"/>
    <w:basedOn w:val="Normal"/>
    <w:link w:val="FootnoteTextChar"/>
    <w:semiHidden/>
    <w:unhideWhenUsed/>
    <w:rsid w:val="001648BF"/>
    <w:pPr>
      <w:spacing w:line="240" w:lineRule="auto"/>
    </w:pPr>
    <w:rPr>
      <w:sz w:val="20"/>
    </w:rPr>
  </w:style>
  <w:style w:type="character" w:customStyle="1" w:styleId="FootnoteTextChar">
    <w:name w:val="Footnote Text Char"/>
    <w:basedOn w:val="DefaultParagraphFont"/>
    <w:link w:val="FootnoteText"/>
    <w:semiHidden/>
    <w:rsid w:val="001648BF"/>
    <w:rPr>
      <w:lang w:eastAsia="en-US"/>
    </w:rPr>
  </w:style>
  <w:style w:type="character" w:styleId="FootnoteReference">
    <w:name w:val="footnote reference"/>
    <w:basedOn w:val="DefaultParagraphFont"/>
    <w:semiHidden/>
    <w:unhideWhenUsed/>
    <w:rsid w:val="001648BF"/>
    <w:rPr>
      <w:vertAlign w:val="superscript"/>
    </w:rPr>
  </w:style>
  <w:style w:type="paragraph" w:customStyle="1" w:styleId="FCBullets2">
    <w:name w:val="FCBullets2"/>
    <w:basedOn w:val="FCBullets"/>
    <w:rsid w:val="001648BF"/>
    <w:pPr>
      <w:numPr>
        <w:ilvl w:val="1"/>
      </w:numPr>
    </w:pPr>
  </w:style>
  <w:style w:type="numbering" w:customStyle="1" w:styleId="FCNotes">
    <w:name w:val="FCNotes"/>
    <w:uiPriority w:val="99"/>
    <w:rsid w:val="001648BF"/>
    <w:pPr>
      <w:numPr>
        <w:numId w:val="30"/>
      </w:numPr>
    </w:pPr>
  </w:style>
  <w:style w:type="paragraph" w:customStyle="1" w:styleId="Notes">
    <w:name w:val="Notes"/>
    <w:basedOn w:val="Normal"/>
    <w:rsid w:val="001648BF"/>
    <w:pPr>
      <w:numPr>
        <w:numId w:val="30"/>
      </w:numPr>
      <w:spacing w:before="60" w:after="60"/>
    </w:pPr>
  </w:style>
  <w:style w:type="paragraph" w:customStyle="1" w:styleId="OrdersHeading1">
    <w:name w:val="Orders Heading 1"/>
    <w:basedOn w:val="Normal"/>
    <w:next w:val="BodyText"/>
    <w:rsid w:val="001648BF"/>
    <w:pPr>
      <w:keepNext/>
      <w:spacing w:before="240" w:after="180" w:line="240" w:lineRule="auto"/>
    </w:pPr>
    <w:rPr>
      <w:b/>
      <w:caps/>
    </w:rPr>
  </w:style>
  <w:style w:type="paragraph" w:customStyle="1" w:styleId="OrdersHeading2">
    <w:name w:val="Orders Heading 2"/>
    <w:basedOn w:val="Normal"/>
    <w:next w:val="BodyText"/>
    <w:rsid w:val="001648BF"/>
    <w:pPr>
      <w:keepNext/>
      <w:spacing w:before="240" w:after="180" w:line="240" w:lineRule="auto"/>
    </w:pPr>
    <w:rPr>
      <w:b/>
    </w:rPr>
  </w:style>
  <w:style w:type="paragraph" w:customStyle="1" w:styleId="Default">
    <w:name w:val="Default"/>
    <w:rsid w:val="001F284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8.jpg"/><Relationship Id="rId39"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image" Target="media/image3.jpg"/><Relationship Id="rId34" Type="http://schemas.openxmlformats.org/officeDocument/2006/relationships/image" Target="media/image16.jpg"/><Relationship Id="rId42"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jpg"/><Relationship Id="rId33" Type="http://schemas.openxmlformats.org/officeDocument/2006/relationships/image" Target="media/image15.JPG"/><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g"/><Relationship Id="rId29" Type="http://schemas.openxmlformats.org/officeDocument/2006/relationships/image" Target="media/image11.jpg"/><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g"/><Relationship Id="rId32" Type="http://schemas.openxmlformats.org/officeDocument/2006/relationships/image" Target="media/image14.jpg"/><Relationship Id="rId37" Type="http://schemas.openxmlformats.org/officeDocument/2006/relationships/image" Target="media/image19.jpg"/><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image" Target="media/image5.jpg"/><Relationship Id="rId28" Type="http://schemas.openxmlformats.org/officeDocument/2006/relationships/image" Target="media/image10.jpg"/><Relationship Id="rId36" Type="http://schemas.openxmlformats.org/officeDocument/2006/relationships/image" Target="media/image18.jp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13.jpg"/><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g"/><Relationship Id="rId27" Type="http://schemas.openxmlformats.org/officeDocument/2006/relationships/image" Target="media/image9.jpg"/><Relationship Id="rId30" Type="http://schemas.openxmlformats.org/officeDocument/2006/relationships/image" Target="media/image12.jpg"/><Relationship Id="rId35" Type="http://schemas.openxmlformats.org/officeDocument/2006/relationships/image" Target="media/image17.jp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B1E7E0F4534549A324960D30D175F8"/>
        <w:category>
          <w:name w:val="General"/>
          <w:gallery w:val="placeholder"/>
        </w:category>
        <w:types>
          <w:type w:val="bbPlcHdr"/>
        </w:types>
        <w:behaviors>
          <w:behavior w:val="content"/>
        </w:behaviors>
        <w:guid w:val="{3F4D02A8-B59A-4BBE-95D6-33BD15AF9713}"/>
      </w:docPartPr>
      <w:docPartBody>
        <w:p w:rsidR="00DF5A9E" w:rsidRDefault="00DF5A9E">
          <w:pPr>
            <w:pStyle w:val="96B1E7E0F4534549A324960D30D175F8"/>
          </w:pPr>
          <w:r>
            <w:rPr>
              <w:rStyle w:val="PlaceholderText"/>
            </w:rPr>
            <w:t>MNC Text</w:t>
          </w:r>
        </w:p>
      </w:docPartBody>
    </w:docPart>
    <w:docPart>
      <w:docPartPr>
        <w:name w:val="4F5C4C7A89C044E7B26B0F90E6B38ADC"/>
        <w:category>
          <w:name w:val="General"/>
          <w:gallery w:val="placeholder"/>
        </w:category>
        <w:types>
          <w:type w:val="bbPlcHdr"/>
        </w:types>
        <w:behaviors>
          <w:behavior w:val="content"/>
        </w:behaviors>
        <w:guid w:val="{420AB6E8-9CCE-4918-BE6E-8A0580602E7C}"/>
      </w:docPartPr>
      <w:docPartBody>
        <w:p w:rsidR="00DF5A9E" w:rsidRDefault="00DF5A9E">
          <w:pPr>
            <w:pStyle w:val="4F5C4C7A89C044E7B26B0F90E6B38ADC"/>
          </w:pPr>
          <w:r w:rsidRPr="005C44BE">
            <w:rPr>
              <w:rStyle w:val="PlaceholderText"/>
            </w:rPr>
            <w:t>Click or tap here to enter text.</w:t>
          </w:r>
        </w:p>
      </w:docPartBody>
    </w:docPart>
    <w:docPart>
      <w:docPartPr>
        <w:name w:val="55501074EA204813B7D63490CF8AAC35"/>
        <w:category>
          <w:name w:val="General"/>
          <w:gallery w:val="placeholder"/>
        </w:category>
        <w:types>
          <w:type w:val="bbPlcHdr"/>
        </w:types>
        <w:behaviors>
          <w:behavior w:val="content"/>
        </w:behaviors>
        <w:guid w:val="{323D0668-92AA-4D88-A795-A380A50C7CFF}"/>
      </w:docPartPr>
      <w:docPartBody>
        <w:p w:rsidR="00DF5A9E" w:rsidRDefault="00DF5A9E">
          <w:pPr>
            <w:pStyle w:val="55501074EA204813B7D63490CF8AAC35"/>
          </w:pPr>
          <w:r w:rsidRPr="005C44BE">
            <w:rPr>
              <w:rStyle w:val="PlaceholderText"/>
            </w:rPr>
            <w:t>Click or tap here to enter text.</w:t>
          </w:r>
        </w:p>
      </w:docPartBody>
    </w:docPart>
    <w:docPart>
      <w:docPartPr>
        <w:name w:val="A5309B121A49414BB1F3BCE5E0365E3D"/>
        <w:category>
          <w:name w:val="General"/>
          <w:gallery w:val="placeholder"/>
        </w:category>
        <w:types>
          <w:type w:val="bbPlcHdr"/>
        </w:types>
        <w:behaviors>
          <w:behavior w:val="content"/>
        </w:behaviors>
        <w:guid w:val="{7893B1CB-103F-42ED-B1CF-481FB6F06D7B}"/>
      </w:docPartPr>
      <w:docPartBody>
        <w:p w:rsidR="00DF5A9E" w:rsidRDefault="00DF5A9E">
          <w:pPr>
            <w:pStyle w:val="A5309B121A49414BB1F3BCE5E0365E3D"/>
          </w:pPr>
          <w:r w:rsidRPr="005C44BE">
            <w:rPr>
              <w:rStyle w:val="PlaceholderText"/>
            </w:rPr>
            <w:t>Click or tap here to enter text.</w:t>
          </w:r>
        </w:p>
      </w:docPartBody>
    </w:docPart>
    <w:docPart>
      <w:docPartPr>
        <w:name w:val="1DB4118E5D4845529C684CE5C7DDFED9"/>
        <w:category>
          <w:name w:val="General"/>
          <w:gallery w:val="placeholder"/>
        </w:category>
        <w:types>
          <w:type w:val="bbPlcHdr"/>
        </w:types>
        <w:behaviors>
          <w:behavior w:val="content"/>
        </w:behaviors>
        <w:guid w:val="{AC5CF5B0-5E7A-4DD8-9106-69B093463F13}"/>
      </w:docPartPr>
      <w:docPartBody>
        <w:p w:rsidR="00DF5A9E" w:rsidRDefault="00DF5A9E">
          <w:pPr>
            <w:pStyle w:val="1DB4118E5D4845529C684CE5C7DDFED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9E"/>
    <w:rsid w:val="0077069C"/>
    <w:rsid w:val="007B408C"/>
    <w:rsid w:val="008F15A9"/>
    <w:rsid w:val="00B225E7"/>
    <w:rsid w:val="00D676D0"/>
    <w:rsid w:val="00DF5A9E"/>
    <w:rsid w:val="00E769C6"/>
    <w:rsid w:val="00FD2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B1E7E0F4534549A324960D30D175F8">
    <w:name w:val="96B1E7E0F4534549A324960D30D175F8"/>
  </w:style>
  <w:style w:type="paragraph" w:customStyle="1" w:styleId="4F5C4C7A89C044E7B26B0F90E6B38ADC">
    <w:name w:val="4F5C4C7A89C044E7B26B0F90E6B38ADC"/>
  </w:style>
  <w:style w:type="paragraph" w:customStyle="1" w:styleId="55501074EA204813B7D63490CF8AAC35">
    <w:name w:val="55501074EA204813B7D63490CF8AAC35"/>
  </w:style>
  <w:style w:type="paragraph" w:customStyle="1" w:styleId="A5309B121A49414BB1F3BCE5E0365E3D">
    <w:name w:val="A5309B121A49414BB1F3BCE5E0365E3D"/>
  </w:style>
  <w:style w:type="paragraph" w:customStyle="1" w:styleId="1DB4118E5D4845529C684CE5C7DDFED9">
    <w:name w:val="1DB4118E5D4845529C684CE5C7DDF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RB (Hygiene Home) Australia Pty Ltd v Henkel Australia Pty Ltd [2021] FCA 1094</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32148CD-5A62-41CB-9DC1-A58DB97A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30</Pages>
  <Words>10129</Words>
  <Characters>49557</Characters>
  <Application>Microsoft Office Word</Application>
  <DocSecurity>0</DocSecurity>
  <Lines>917</Lines>
  <Paragraphs>322</Paragraphs>
  <ScaleCrop>false</ScaleCrop>
  <HeadingPairs>
    <vt:vector size="2" baseType="variant">
      <vt:variant>
        <vt:lpstr>Title</vt:lpstr>
      </vt:variant>
      <vt:variant>
        <vt:i4>1</vt:i4>
      </vt:variant>
    </vt:vector>
  </HeadingPairs>
  <TitlesOfParts>
    <vt:vector size="1" baseType="lpstr">
      <vt:lpstr>RB (Hygiene Home) Australia Pty Ltd v Henkel Australia Pty Ltd [2021] FCA 1094 </vt:lpstr>
    </vt:vector>
  </TitlesOfParts>
  <Company>Federal Court of Australia</Company>
  <LinksUpToDate>false</LinksUpToDate>
  <CharactersWithSpaces>59364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 (Hygiene Home) Australia Pty Ltd v Henkel Australia Pty Ltd [2021] FCA 1094</dc:title>
  <dc:creator>Federal Court of Australia</dc:creator>
  <cp:lastModifiedBy>Federal Court of Australia</cp:lastModifiedBy>
  <cp:revision>4</cp:revision>
  <cp:lastPrinted>2006-02-06T01:31:00Z</cp:lastPrinted>
  <dcterms:created xsi:type="dcterms:W3CDTF">2021-09-10T04:47:00Z</dcterms:created>
  <dcterms:modified xsi:type="dcterms:W3CDTF">2021-09-10T04:51:00Z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29</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Trade Marks</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