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CC14" w14:textId="77777777" w:rsidR="002178D2" w:rsidRDefault="002178D2" w:rsidP="002178D2">
      <w:pPr>
        <w:rPr>
          <w:b/>
        </w:rPr>
      </w:pPr>
    </w:p>
    <w:p w14:paraId="26B8EBE4" w14:textId="77777777" w:rsidR="002178D2" w:rsidRPr="00FB2F38" w:rsidRDefault="00D54D5E" w:rsidP="002178D2">
      <w:pPr>
        <w:jc w:val="center"/>
        <w:rPr>
          <w:b/>
        </w:rPr>
      </w:pPr>
      <w:r w:rsidRPr="00D54D5E">
        <w:rPr>
          <w:b/>
          <w:noProof/>
        </w:rPr>
        <w:drawing>
          <wp:inline distT="0" distB="0" distL="0" distR="0" wp14:anchorId="0F3A1D0E" wp14:editId="437952DD">
            <wp:extent cx="1282700" cy="1314450"/>
            <wp:effectExtent l="0" t="0" r="0" b="0"/>
            <wp:docPr id="1" name="Picture 1" descr="color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crest"/>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82700" cy="1314450"/>
                    </a:xfrm>
                    <a:prstGeom prst="rect">
                      <a:avLst/>
                    </a:prstGeom>
                    <a:solidFill>
                      <a:srgbClr val="333333"/>
                    </a:solidFill>
                    <a:ln>
                      <a:noFill/>
                    </a:ln>
                  </pic:spPr>
                </pic:pic>
              </a:graphicData>
            </a:graphic>
          </wp:inline>
        </w:drawing>
      </w:r>
    </w:p>
    <w:p w14:paraId="1F3E4E64" w14:textId="77777777" w:rsidR="002178D2" w:rsidRPr="00FB2F38" w:rsidRDefault="002178D2" w:rsidP="002178D2">
      <w:pPr>
        <w:rPr>
          <w:b/>
        </w:rPr>
      </w:pPr>
    </w:p>
    <w:p w14:paraId="34520D86" w14:textId="77777777" w:rsidR="002178D2" w:rsidRPr="00FB2F38" w:rsidRDefault="002178D2" w:rsidP="002178D2">
      <w:pPr>
        <w:rPr>
          <w:b/>
        </w:rPr>
      </w:pPr>
    </w:p>
    <w:p w14:paraId="4ADD9430" w14:textId="77777777" w:rsidR="002178D2" w:rsidRPr="00FB2F38" w:rsidRDefault="002178D2" w:rsidP="002178D2">
      <w:pPr>
        <w:jc w:val="center"/>
        <w:rPr>
          <w:b/>
          <w:sz w:val="36"/>
          <w:szCs w:val="36"/>
        </w:rPr>
      </w:pPr>
      <w:r w:rsidRPr="00FB2F38">
        <w:rPr>
          <w:b/>
          <w:sz w:val="36"/>
          <w:szCs w:val="36"/>
        </w:rPr>
        <w:t>MAGISTRATES COURT OF QUEENSLAND</w:t>
      </w:r>
    </w:p>
    <w:p w14:paraId="318ACC5B" w14:textId="77777777" w:rsidR="002178D2" w:rsidRPr="00FB2F38" w:rsidRDefault="002178D2" w:rsidP="002178D2">
      <w:pPr>
        <w:tabs>
          <w:tab w:val="left" w:pos="2520"/>
        </w:tabs>
        <w:rPr>
          <w:b/>
        </w:rPr>
      </w:pPr>
    </w:p>
    <w:p w14:paraId="34CE8D82" w14:textId="77777777" w:rsidR="002178D2" w:rsidRPr="00FB2F38" w:rsidRDefault="002178D2" w:rsidP="002178D2">
      <w:pPr>
        <w:tabs>
          <w:tab w:val="left" w:pos="2520"/>
        </w:tabs>
        <w:ind w:left="2880" w:hanging="2880"/>
      </w:pPr>
      <w:r w:rsidRPr="004D1D1B">
        <w:t>CITATION:</w:t>
      </w:r>
      <w:r w:rsidRPr="00FB2F38">
        <w:rPr>
          <w:b/>
        </w:rPr>
        <w:tab/>
      </w:r>
      <w:r w:rsidRPr="00FB2F38">
        <w:rPr>
          <w:b/>
        </w:rPr>
        <w:tab/>
      </w:r>
      <w:r w:rsidRPr="004D1D1B">
        <w:rPr>
          <w:i/>
        </w:rPr>
        <w:t>Guilfoyle v Niepe Constructions Pty Ltd</w:t>
      </w:r>
      <w:r w:rsidR="00266FCE" w:rsidRPr="004D1D1B">
        <w:rPr>
          <w:i/>
        </w:rPr>
        <w:t xml:space="preserve"> (No 2)</w:t>
      </w:r>
      <w:r w:rsidR="004D1D1B">
        <w:t xml:space="preserve"> (2021) QMC 3</w:t>
      </w:r>
      <w:r w:rsidRPr="00FB2F38">
        <w:t xml:space="preserve"> </w:t>
      </w:r>
    </w:p>
    <w:p w14:paraId="731794E2" w14:textId="77777777" w:rsidR="002178D2" w:rsidRPr="00FB2F38" w:rsidRDefault="002178D2" w:rsidP="002178D2">
      <w:pPr>
        <w:tabs>
          <w:tab w:val="left" w:pos="2520"/>
        </w:tabs>
        <w:ind w:left="2880" w:hanging="2880"/>
      </w:pPr>
    </w:p>
    <w:p w14:paraId="6AB78814" w14:textId="77777777" w:rsidR="002178D2" w:rsidRPr="00FB2F38" w:rsidRDefault="002178D2" w:rsidP="002178D2">
      <w:pPr>
        <w:tabs>
          <w:tab w:val="left" w:pos="2520"/>
        </w:tabs>
        <w:ind w:left="2880" w:hanging="2880"/>
        <w:rPr>
          <w:b/>
        </w:rPr>
      </w:pPr>
      <w:r w:rsidRPr="004D1D1B">
        <w:t>PARTIES:</w:t>
      </w:r>
      <w:r w:rsidRPr="00FB2F38">
        <w:rPr>
          <w:b/>
        </w:rPr>
        <w:tab/>
      </w:r>
      <w:r w:rsidRPr="00FB2F38">
        <w:rPr>
          <w:b/>
        </w:rPr>
        <w:tab/>
        <w:t xml:space="preserve">Aaron John Guilfoyle </w:t>
      </w:r>
      <w:r w:rsidRPr="00FB2F38">
        <w:rPr>
          <w:b/>
        </w:rPr>
        <w:tab/>
      </w:r>
      <w:r w:rsidRPr="004D1D1B">
        <w:t>(Complainant/Respondent)</w:t>
      </w:r>
      <w:r w:rsidRPr="00FB2F38">
        <w:rPr>
          <w:b/>
        </w:rPr>
        <w:t xml:space="preserve"> </w:t>
      </w:r>
    </w:p>
    <w:p w14:paraId="1DEC4959" w14:textId="77777777" w:rsidR="002178D2" w:rsidRPr="00FB2F38" w:rsidRDefault="002178D2" w:rsidP="002178D2">
      <w:pPr>
        <w:tabs>
          <w:tab w:val="left" w:pos="2520"/>
        </w:tabs>
        <w:rPr>
          <w:b/>
        </w:rPr>
      </w:pPr>
      <w:r w:rsidRPr="00FB2F38">
        <w:rPr>
          <w:b/>
        </w:rPr>
        <w:tab/>
      </w:r>
      <w:r w:rsidRPr="00FB2F38">
        <w:rPr>
          <w:b/>
        </w:rPr>
        <w:tab/>
      </w:r>
      <w:r w:rsidRPr="00FB2F38">
        <w:rPr>
          <w:b/>
        </w:rPr>
        <w:tab/>
      </w:r>
    </w:p>
    <w:p w14:paraId="0CC6AC42" w14:textId="77777777" w:rsidR="002178D2" w:rsidRPr="00FB2F38" w:rsidRDefault="002178D2" w:rsidP="002178D2">
      <w:pPr>
        <w:tabs>
          <w:tab w:val="left" w:pos="2520"/>
        </w:tabs>
        <w:rPr>
          <w:b/>
        </w:rPr>
      </w:pPr>
      <w:r w:rsidRPr="00FB2F38">
        <w:rPr>
          <w:b/>
        </w:rPr>
        <w:tab/>
      </w:r>
      <w:r w:rsidRPr="00FB2F38">
        <w:rPr>
          <w:b/>
        </w:rPr>
        <w:tab/>
      </w:r>
      <w:r w:rsidRPr="00FB2F38">
        <w:rPr>
          <w:b/>
        </w:rPr>
        <w:tab/>
      </w:r>
      <w:r w:rsidRPr="00FB2F38">
        <w:rPr>
          <w:b/>
        </w:rPr>
        <w:tab/>
      </w:r>
      <w:r w:rsidR="004D1D1B">
        <w:rPr>
          <w:b/>
        </w:rPr>
        <w:t>v</w:t>
      </w:r>
    </w:p>
    <w:p w14:paraId="3CCB1A0C" w14:textId="77777777" w:rsidR="002178D2" w:rsidRPr="00FB2F38" w:rsidRDefault="002178D2" w:rsidP="002178D2">
      <w:pPr>
        <w:tabs>
          <w:tab w:val="left" w:pos="2520"/>
        </w:tabs>
        <w:spacing w:before="120" w:after="120"/>
        <w:ind w:left="2520"/>
        <w:rPr>
          <w:b/>
        </w:rPr>
      </w:pPr>
      <w:r w:rsidRPr="00FB2F38">
        <w:rPr>
          <w:b/>
        </w:rPr>
        <w:tab/>
        <w:t xml:space="preserve">Niepe Constructions Pty Ltd </w:t>
      </w:r>
      <w:r w:rsidRPr="004D1D1B">
        <w:t>(Defendant/Applicant)</w:t>
      </w:r>
    </w:p>
    <w:p w14:paraId="56B30F6E" w14:textId="77777777" w:rsidR="002178D2" w:rsidRPr="00FB2F38" w:rsidRDefault="002178D2" w:rsidP="002178D2">
      <w:pPr>
        <w:tabs>
          <w:tab w:val="left" w:pos="2520"/>
        </w:tabs>
        <w:spacing w:before="120" w:after="120"/>
        <w:ind w:left="2520"/>
        <w:rPr>
          <w:b/>
        </w:rPr>
      </w:pPr>
      <w:r w:rsidRPr="00FB2F38">
        <w:rPr>
          <w:b/>
        </w:rPr>
        <w:tab/>
      </w:r>
    </w:p>
    <w:p w14:paraId="2E63DD55" w14:textId="77777777" w:rsidR="002178D2" w:rsidRPr="004D1D1B" w:rsidRDefault="002178D2" w:rsidP="002178D2">
      <w:pPr>
        <w:tabs>
          <w:tab w:val="left" w:pos="2520"/>
        </w:tabs>
        <w:rPr>
          <w:bCs/>
        </w:rPr>
      </w:pPr>
      <w:r w:rsidRPr="004D1D1B">
        <w:t>FILE NOS:</w:t>
      </w:r>
      <w:r w:rsidRPr="004D1D1B">
        <w:tab/>
      </w:r>
      <w:r w:rsidRPr="004D1D1B">
        <w:tab/>
      </w:r>
      <w:r w:rsidRPr="004D1D1B">
        <w:rPr>
          <w:bCs/>
        </w:rPr>
        <w:t>MAG 33501/20(0)</w:t>
      </w:r>
    </w:p>
    <w:p w14:paraId="482ECEB6" w14:textId="77777777" w:rsidR="002178D2" w:rsidRPr="004D1D1B" w:rsidRDefault="002178D2" w:rsidP="002178D2">
      <w:pPr>
        <w:tabs>
          <w:tab w:val="left" w:pos="2520"/>
        </w:tabs>
        <w:rPr>
          <w:bCs/>
        </w:rPr>
      </w:pPr>
    </w:p>
    <w:p w14:paraId="46BCE4DF" w14:textId="77777777" w:rsidR="002178D2" w:rsidRPr="004D1D1B" w:rsidRDefault="002178D2" w:rsidP="002178D2">
      <w:pPr>
        <w:tabs>
          <w:tab w:val="left" w:pos="2520"/>
        </w:tabs>
      </w:pPr>
      <w:r w:rsidRPr="004D1D1B">
        <w:t>ORIGINATING COURT:</w:t>
      </w:r>
      <w:r w:rsidRPr="004D1D1B">
        <w:tab/>
        <w:t>Magistrates Court</w:t>
      </w:r>
    </w:p>
    <w:p w14:paraId="57A52729" w14:textId="77777777" w:rsidR="002178D2" w:rsidRPr="004D1D1B" w:rsidRDefault="002178D2" w:rsidP="002178D2">
      <w:pPr>
        <w:tabs>
          <w:tab w:val="left" w:pos="2520"/>
        </w:tabs>
      </w:pPr>
    </w:p>
    <w:p w14:paraId="75DC3C2A" w14:textId="77777777" w:rsidR="002178D2" w:rsidRPr="004D1D1B" w:rsidRDefault="002178D2" w:rsidP="002178D2">
      <w:pPr>
        <w:tabs>
          <w:tab w:val="left" w:pos="2520"/>
        </w:tabs>
      </w:pPr>
      <w:r w:rsidRPr="004D1D1B">
        <w:t>PROCEEDING:</w:t>
      </w:r>
      <w:r w:rsidRPr="004D1D1B">
        <w:tab/>
      </w:r>
      <w:r w:rsidRPr="004D1D1B">
        <w:tab/>
        <w:t xml:space="preserve">Application </w:t>
      </w:r>
      <w:r w:rsidR="00266FCE" w:rsidRPr="004D1D1B">
        <w:t xml:space="preserve">for costs </w:t>
      </w:r>
    </w:p>
    <w:p w14:paraId="1CFD0328" w14:textId="77777777" w:rsidR="002178D2" w:rsidRPr="004D1D1B" w:rsidRDefault="002178D2" w:rsidP="002178D2">
      <w:pPr>
        <w:tabs>
          <w:tab w:val="left" w:pos="2520"/>
        </w:tabs>
        <w:rPr>
          <w:bCs/>
        </w:rPr>
      </w:pPr>
    </w:p>
    <w:p w14:paraId="316EDE96" w14:textId="77777777" w:rsidR="002178D2" w:rsidRPr="004D1D1B" w:rsidRDefault="002178D2" w:rsidP="002178D2">
      <w:pPr>
        <w:tabs>
          <w:tab w:val="left" w:pos="2520"/>
        </w:tabs>
        <w:rPr>
          <w:bCs/>
        </w:rPr>
      </w:pPr>
      <w:r w:rsidRPr="004D1D1B">
        <w:t>DELIVERED ON:</w:t>
      </w:r>
      <w:r w:rsidRPr="004D1D1B">
        <w:tab/>
      </w:r>
      <w:r w:rsidRPr="004D1D1B">
        <w:tab/>
      </w:r>
      <w:r w:rsidR="008C5988" w:rsidRPr="004D1D1B">
        <w:t>29</w:t>
      </w:r>
      <w:r w:rsidR="00BF190F" w:rsidRPr="004D1D1B">
        <w:t xml:space="preserve"> June 2021</w:t>
      </w:r>
    </w:p>
    <w:p w14:paraId="055DFE28" w14:textId="77777777" w:rsidR="002178D2" w:rsidRPr="004D1D1B" w:rsidRDefault="002178D2" w:rsidP="002178D2">
      <w:pPr>
        <w:tabs>
          <w:tab w:val="left" w:pos="2520"/>
        </w:tabs>
      </w:pPr>
    </w:p>
    <w:p w14:paraId="01EBF9F6" w14:textId="77777777" w:rsidR="002178D2" w:rsidRPr="004D1D1B" w:rsidRDefault="002178D2" w:rsidP="002178D2">
      <w:pPr>
        <w:tabs>
          <w:tab w:val="left" w:pos="2520"/>
        </w:tabs>
        <w:rPr>
          <w:bCs/>
        </w:rPr>
      </w:pPr>
      <w:r w:rsidRPr="004D1D1B">
        <w:t>DELIVERED AT:</w:t>
      </w:r>
      <w:r w:rsidRPr="004D1D1B">
        <w:tab/>
      </w:r>
      <w:r w:rsidRPr="004D1D1B">
        <w:tab/>
        <w:t xml:space="preserve">Toowoomba   </w:t>
      </w:r>
    </w:p>
    <w:p w14:paraId="54E0F309" w14:textId="77777777" w:rsidR="002178D2" w:rsidRPr="004D1D1B" w:rsidRDefault="002178D2" w:rsidP="002178D2">
      <w:pPr>
        <w:tabs>
          <w:tab w:val="left" w:pos="2520"/>
        </w:tabs>
      </w:pPr>
    </w:p>
    <w:p w14:paraId="54D8819A" w14:textId="77777777" w:rsidR="002178D2" w:rsidRPr="004D1D1B" w:rsidRDefault="002178D2" w:rsidP="002178D2">
      <w:pPr>
        <w:tabs>
          <w:tab w:val="left" w:pos="2520"/>
        </w:tabs>
      </w:pPr>
      <w:r w:rsidRPr="004D1D1B">
        <w:t>HEARING DATE:</w:t>
      </w:r>
      <w:r w:rsidRPr="004D1D1B">
        <w:tab/>
      </w:r>
      <w:r w:rsidRPr="004D1D1B">
        <w:tab/>
      </w:r>
      <w:r w:rsidR="0089148B" w:rsidRPr="004D1D1B">
        <w:t>O</w:t>
      </w:r>
      <w:r w:rsidR="00BF190F" w:rsidRPr="004D1D1B">
        <w:t>n the papers</w:t>
      </w:r>
    </w:p>
    <w:p w14:paraId="10F0DFEB" w14:textId="77777777" w:rsidR="002178D2" w:rsidRPr="004D1D1B" w:rsidRDefault="002178D2" w:rsidP="002178D2">
      <w:pPr>
        <w:tabs>
          <w:tab w:val="left" w:pos="2520"/>
        </w:tabs>
      </w:pPr>
    </w:p>
    <w:p w14:paraId="03CAEE3A" w14:textId="77777777" w:rsidR="002178D2" w:rsidRPr="004D1D1B" w:rsidRDefault="002178D2" w:rsidP="002178D2">
      <w:pPr>
        <w:tabs>
          <w:tab w:val="left" w:pos="2520"/>
        </w:tabs>
        <w:rPr>
          <w:bCs/>
        </w:rPr>
      </w:pPr>
      <w:r w:rsidRPr="004D1D1B">
        <w:t>MAGISTRATE:</w:t>
      </w:r>
      <w:r w:rsidRPr="004D1D1B">
        <w:tab/>
      </w:r>
      <w:r w:rsidRPr="004D1D1B">
        <w:tab/>
        <w:t>G. Lee</w:t>
      </w:r>
    </w:p>
    <w:p w14:paraId="1B21CEDC" w14:textId="77777777" w:rsidR="002178D2" w:rsidRPr="004D1D1B" w:rsidRDefault="002178D2" w:rsidP="002178D2">
      <w:pPr>
        <w:tabs>
          <w:tab w:val="left" w:pos="2520"/>
        </w:tabs>
      </w:pPr>
    </w:p>
    <w:p w14:paraId="7B0992B4" w14:textId="77777777" w:rsidR="00C36E2E" w:rsidRPr="00FB2F38" w:rsidRDefault="002178D2" w:rsidP="002178D2">
      <w:pPr>
        <w:ind w:left="2880" w:hanging="2880"/>
        <w:rPr>
          <w:b/>
        </w:rPr>
      </w:pPr>
      <w:r w:rsidRPr="004D1D1B">
        <w:t>ORDER:</w:t>
      </w:r>
      <w:r w:rsidRPr="00FB2F38">
        <w:rPr>
          <w:b/>
        </w:rPr>
        <w:tab/>
      </w:r>
      <w:r w:rsidR="00C36E2E" w:rsidRPr="00FB2F38">
        <w:rPr>
          <w:b/>
        </w:rPr>
        <w:t>(1)</w:t>
      </w:r>
      <w:r w:rsidR="00C36E2E" w:rsidRPr="00FB2F38">
        <w:rPr>
          <w:b/>
        </w:rPr>
        <w:tab/>
        <w:t>The Complaint is struck out for want of jurisdiction.</w:t>
      </w:r>
    </w:p>
    <w:p w14:paraId="394DF9DA" w14:textId="77777777" w:rsidR="00C36E2E" w:rsidRPr="00FB2F38" w:rsidRDefault="00C36E2E" w:rsidP="002178D2">
      <w:pPr>
        <w:ind w:left="2880" w:hanging="2880"/>
        <w:rPr>
          <w:b/>
        </w:rPr>
      </w:pPr>
    </w:p>
    <w:p w14:paraId="7F7700C6" w14:textId="77777777" w:rsidR="002178D2" w:rsidRPr="00FB2F38" w:rsidRDefault="00C36E2E" w:rsidP="00C36E2E">
      <w:pPr>
        <w:ind w:left="2880"/>
        <w:rPr>
          <w:b/>
        </w:rPr>
      </w:pPr>
      <w:r w:rsidRPr="00FB2F38">
        <w:rPr>
          <w:b/>
        </w:rPr>
        <w:t xml:space="preserve">(2) </w:t>
      </w:r>
      <w:r w:rsidRPr="00FB2F38">
        <w:rPr>
          <w:b/>
        </w:rPr>
        <w:tab/>
      </w:r>
      <w:r w:rsidR="00DD29E5" w:rsidRPr="00FB2F38">
        <w:rPr>
          <w:b/>
        </w:rPr>
        <w:t xml:space="preserve">The complainant </w:t>
      </w:r>
      <w:r w:rsidR="00BC41EB" w:rsidRPr="00FB2F38">
        <w:rPr>
          <w:b/>
        </w:rPr>
        <w:t>pay</w:t>
      </w:r>
      <w:r w:rsidR="00DD29E5" w:rsidRPr="00FB2F38">
        <w:rPr>
          <w:b/>
        </w:rPr>
        <w:t xml:space="preserve"> the defendant’s cost</w:t>
      </w:r>
      <w:r w:rsidR="00B45775" w:rsidRPr="00FB2F38">
        <w:rPr>
          <w:b/>
        </w:rPr>
        <w:t>s</w:t>
      </w:r>
      <w:r w:rsidR="00DD29E5" w:rsidRPr="00FB2F38">
        <w:rPr>
          <w:b/>
        </w:rPr>
        <w:t xml:space="preserve"> in the amount of $</w:t>
      </w:r>
      <w:r w:rsidR="00890CAD" w:rsidRPr="00FB2F38">
        <w:rPr>
          <w:b/>
        </w:rPr>
        <w:t>13,834.52.</w:t>
      </w:r>
    </w:p>
    <w:p w14:paraId="1365B14E" w14:textId="77777777" w:rsidR="002178D2" w:rsidRPr="00FB2F38" w:rsidRDefault="002178D2" w:rsidP="002178D2">
      <w:pPr>
        <w:ind w:left="2880" w:hanging="2880"/>
        <w:rPr>
          <w:b/>
        </w:rPr>
      </w:pPr>
    </w:p>
    <w:p w14:paraId="3F4FBD1A" w14:textId="77777777" w:rsidR="002178D2" w:rsidRPr="004D1D1B" w:rsidRDefault="002178D2" w:rsidP="002178D2">
      <w:pPr>
        <w:ind w:left="2880" w:hanging="2880"/>
      </w:pPr>
      <w:r w:rsidRPr="004D1D1B">
        <w:t>CATCHWORDS:</w:t>
      </w:r>
      <w:r w:rsidRPr="004D1D1B">
        <w:tab/>
      </w:r>
      <w:r w:rsidR="00906532" w:rsidRPr="004D1D1B">
        <w:t xml:space="preserve">COSTS </w:t>
      </w:r>
      <w:r w:rsidRPr="004D1D1B">
        <w:t xml:space="preserve">– </w:t>
      </w:r>
      <w:r w:rsidR="00906532" w:rsidRPr="004D1D1B">
        <w:t xml:space="preserve">where Complaint struck out due to </w:t>
      </w:r>
      <w:r w:rsidR="00D91FDA" w:rsidRPr="004D1D1B">
        <w:t xml:space="preserve">lack of jurisdiction </w:t>
      </w:r>
      <w:r w:rsidR="00980E5B" w:rsidRPr="004D1D1B">
        <w:t xml:space="preserve">of court </w:t>
      </w:r>
      <w:r w:rsidR="00D91FDA" w:rsidRPr="004D1D1B">
        <w:t xml:space="preserve">to hear and determine the Complaint </w:t>
      </w:r>
      <w:r w:rsidR="00980E5B" w:rsidRPr="004D1D1B">
        <w:t>–</w:t>
      </w:r>
      <w:r w:rsidR="00D91FDA" w:rsidRPr="004D1D1B">
        <w:t xml:space="preserve"> </w:t>
      </w:r>
      <w:r w:rsidR="00980E5B" w:rsidRPr="004D1D1B">
        <w:t>whether costs that are “just and reasonable” should be awarded – whether those costs</w:t>
      </w:r>
      <w:r w:rsidR="008B4ADB" w:rsidRPr="004D1D1B">
        <w:t xml:space="preserve"> should be as per scale in the Justices Regulation 2014, Schedule 2 – whether </w:t>
      </w:r>
      <w:r w:rsidR="005C257D" w:rsidRPr="004D1D1B">
        <w:t xml:space="preserve">a higher amount is justified because of the “special difficulty, complexity or importance” of the case </w:t>
      </w:r>
    </w:p>
    <w:p w14:paraId="71165806" w14:textId="77777777" w:rsidR="002178D2" w:rsidRPr="00FB2F38" w:rsidRDefault="002178D2" w:rsidP="002178D2">
      <w:pPr>
        <w:ind w:left="2880" w:hanging="2880"/>
        <w:rPr>
          <w:b/>
        </w:rPr>
      </w:pPr>
    </w:p>
    <w:p w14:paraId="013BC642" w14:textId="77777777" w:rsidR="002178D2" w:rsidRPr="00FB2F38" w:rsidRDefault="002178D2" w:rsidP="002178D2">
      <w:pPr>
        <w:ind w:left="2880" w:hanging="2880"/>
        <w:rPr>
          <w:i/>
        </w:rPr>
      </w:pPr>
      <w:r w:rsidRPr="00FB2F38">
        <w:rPr>
          <w:b/>
        </w:rPr>
        <w:tab/>
      </w:r>
      <w:r w:rsidRPr="00FB2F38">
        <w:rPr>
          <w:i/>
        </w:rPr>
        <w:t xml:space="preserve">Justices Act 1886 (Qld), ss </w:t>
      </w:r>
      <w:r w:rsidR="00A833F9" w:rsidRPr="00FB2F38">
        <w:rPr>
          <w:i/>
        </w:rPr>
        <w:t xml:space="preserve">157, </w:t>
      </w:r>
      <w:r w:rsidR="005C7D24" w:rsidRPr="00FB2F38">
        <w:rPr>
          <w:i/>
        </w:rPr>
        <w:t>158, 158B &amp; 159</w:t>
      </w:r>
    </w:p>
    <w:p w14:paraId="6D3190FD" w14:textId="77777777" w:rsidR="00B27B2A" w:rsidRPr="00FB2F38" w:rsidRDefault="00B27B2A" w:rsidP="002178D2">
      <w:pPr>
        <w:ind w:left="2880" w:hanging="2880"/>
        <w:rPr>
          <w:i/>
        </w:rPr>
      </w:pPr>
      <w:r w:rsidRPr="00FB2F38">
        <w:rPr>
          <w:i/>
        </w:rPr>
        <w:tab/>
        <w:t>Justices Regulation 2014, Schedule 2</w:t>
      </w:r>
    </w:p>
    <w:p w14:paraId="219430E6" w14:textId="77777777" w:rsidR="00B27B2A" w:rsidRPr="00FB2F38" w:rsidRDefault="00B27B2A" w:rsidP="002178D2">
      <w:pPr>
        <w:ind w:left="2880" w:hanging="2880"/>
        <w:rPr>
          <w:i/>
        </w:rPr>
      </w:pPr>
    </w:p>
    <w:p w14:paraId="4D24B7A7" w14:textId="77777777" w:rsidR="007A2AAB" w:rsidRPr="00FB2F38" w:rsidRDefault="00B65CEC" w:rsidP="002178D2">
      <w:pPr>
        <w:ind w:left="2880" w:hanging="2880"/>
        <w:rPr>
          <w:i/>
        </w:rPr>
      </w:pPr>
      <w:r w:rsidRPr="00FB2F38">
        <w:rPr>
          <w:i/>
        </w:rPr>
        <w:tab/>
      </w:r>
      <w:r w:rsidR="007A2AAB" w:rsidRPr="00FB2F38">
        <w:rPr>
          <w:i/>
        </w:rPr>
        <w:t>Baker v Smith (No 2)</w:t>
      </w:r>
      <w:r w:rsidR="007A2AAB" w:rsidRPr="00C301EA">
        <w:t xml:space="preserve"> [2019] QDC 242</w:t>
      </w:r>
    </w:p>
    <w:p w14:paraId="14A6622E" w14:textId="77777777" w:rsidR="00B65CEC" w:rsidRPr="00FB2F38" w:rsidRDefault="00B65CEC" w:rsidP="007A2AAB">
      <w:pPr>
        <w:ind w:left="2880"/>
        <w:rPr>
          <w:i/>
        </w:rPr>
      </w:pPr>
      <w:r w:rsidRPr="00FB2F38">
        <w:rPr>
          <w:i/>
        </w:rPr>
        <w:t xml:space="preserve">Bell v Townsend </w:t>
      </w:r>
      <w:r w:rsidRPr="00C301EA">
        <w:t>[2014] QMC 30</w:t>
      </w:r>
    </w:p>
    <w:p w14:paraId="4E113063" w14:textId="77777777" w:rsidR="007C3A65" w:rsidRPr="00FB2F38" w:rsidRDefault="007C3A65" w:rsidP="007A2AAB">
      <w:pPr>
        <w:ind w:left="2880"/>
        <w:rPr>
          <w:i/>
        </w:rPr>
      </w:pPr>
      <w:r w:rsidRPr="00FB2F38">
        <w:rPr>
          <w:i/>
        </w:rPr>
        <w:t xml:space="preserve">Cullinane v McCahon </w:t>
      </w:r>
      <w:r w:rsidRPr="00C301EA">
        <w:t>[2014] QDC 120</w:t>
      </w:r>
      <w:r w:rsidRPr="00FB2F38">
        <w:rPr>
          <w:i/>
        </w:rPr>
        <w:t xml:space="preserve"> </w:t>
      </w:r>
    </w:p>
    <w:p w14:paraId="047A3038" w14:textId="77777777" w:rsidR="008913D1" w:rsidRPr="00FB2F38" w:rsidRDefault="008913D1" w:rsidP="002178D2">
      <w:pPr>
        <w:ind w:left="2880" w:hanging="2880"/>
        <w:rPr>
          <w:i/>
        </w:rPr>
      </w:pPr>
      <w:r w:rsidRPr="00FB2F38">
        <w:rPr>
          <w:i/>
        </w:rPr>
        <w:tab/>
        <w:t xml:space="preserve">Durant v Gardner </w:t>
      </w:r>
      <w:r w:rsidRPr="00C301EA">
        <w:t>[2000] QDC 198</w:t>
      </w:r>
    </w:p>
    <w:p w14:paraId="5E98772F" w14:textId="77777777" w:rsidR="007E1F25" w:rsidRPr="00FB2F38" w:rsidRDefault="007E1F25" w:rsidP="002178D2">
      <w:pPr>
        <w:ind w:left="2880" w:hanging="2880"/>
        <w:rPr>
          <w:i/>
        </w:rPr>
      </w:pPr>
      <w:r w:rsidRPr="00FB2F38">
        <w:rPr>
          <w:i/>
        </w:rPr>
        <w:tab/>
        <w:t xml:space="preserve">Fletcher v Demag Cranes and Components Pty Ltd </w:t>
      </w:r>
      <w:r w:rsidRPr="00C301EA">
        <w:t>[2020] QMC 9</w:t>
      </w:r>
    </w:p>
    <w:p w14:paraId="1A2131AD" w14:textId="77777777" w:rsidR="00B65CEC" w:rsidRPr="00FB2F38" w:rsidRDefault="00B65CEC" w:rsidP="002178D2">
      <w:pPr>
        <w:ind w:left="2880" w:hanging="2880"/>
        <w:rPr>
          <w:i/>
        </w:rPr>
      </w:pPr>
      <w:r w:rsidRPr="00FB2F38">
        <w:rPr>
          <w:i/>
        </w:rPr>
        <w:tab/>
      </w:r>
      <w:r w:rsidR="007E1F25" w:rsidRPr="00FB2F38">
        <w:rPr>
          <w:i/>
        </w:rPr>
        <w:t xml:space="preserve">Hickey v Crime and Misconduct Commission </w:t>
      </w:r>
      <w:r w:rsidR="007E1F25" w:rsidRPr="00C301EA">
        <w:t>[2008] QDC 340</w:t>
      </w:r>
    </w:p>
    <w:p w14:paraId="067B6709" w14:textId="77777777" w:rsidR="007307ED" w:rsidRPr="00FB2F38" w:rsidRDefault="007307ED" w:rsidP="002178D2">
      <w:pPr>
        <w:ind w:left="2880" w:hanging="2880"/>
        <w:rPr>
          <w:i/>
        </w:rPr>
      </w:pPr>
      <w:r w:rsidRPr="00FB2F38">
        <w:rPr>
          <w:i/>
        </w:rPr>
        <w:tab/>
        <w:t xml:space="preserve">Interclean Services Ltd </w:t>
      </w:r>
      <w:r w:rsidR="00FC7597" w:rsidRPr="00FB2F38">
        <w:rPr>
          <w:i/>
        </w:rPr>
        <w:t xml:space="preserve">v </w:t>
      </w:r>
      <w:r w:rsidRPr="00FB2F38">
        <w:rPr>
          <w:i/>
        </w:rPr>
        <w:t xml:space="preserve">Auckland Regional Council </w:t>
      </w:r>
      <w:r w:rsidRPr="00C301EA">
        <w:t>[2002] 3 NZLR 489</w:t>
      </w:r>
    </w:p>
    <w:p w14:paraId="472C65B0" w14:textId="77777777" w:rsidR="00DB6F54" w:rsidRPr="00FB2F38" w:rsidRDefault="00DB6F54" w:rsidP="002178D2">
      <w:pPr>
        <w:ind w:left="2880" w:hanging="2880"/>
        <w:rPr>
          <w:i/>
        </w:rPr>
      </w:pPr>
      <w:r w:rsidRPr="00FB2F38">
        <w:rPr>
          <w:i/>
        </w:rPr>
        <w:tab/>
        <w:t xml:space="preserve">Latoudis v Casey </w:t>
      </w:r>
      <w:r w:rsidRPr="00C301EA">
        <w:t>(1990) 170 CLR 534</w:t>
      </w:r>
    </w:p>
    <w:p w14:paraId="0D45EB3B" w14:textId="77777777" w:rsidR="00D972E9" w:rsidRPr="00FB2F38" w:rsidRDefault="00D972E9" w:rsidP="002178D2">
      <w:pPr>
        <w:ind w:left="2880" w:hanging="2880"/>
        <w:rPr>
          <w:i/>
        </w:rPr>
      </w:pPr>
      <w:r w:rsidRPr="00FB2F38">
        <w:rPr>
          <w:i/>
        </w:rPr>
        <w:tab/>
        <w:t xml:space="preserve">Morley v Senewiratne </w:t>
      </w:r>
      <w:r w:rsidRPr="00C301EA">
        <w:t>[2008] QDC 296</w:t>
      </w:r>
    </w:p>
    <w:p w14:paraId="4E5DE530" w14:textId="77777777" w:rsidR="007E1F25" w:rsidRPr="00FB2F38" w:rsidRDefault="007E1F25" w:rsidP="002178D2">
      <w:pPr>
        <w:ind w:left="2880" w:hanging="2880"/>
        <w:rPr>
          <w:i/>
        </w:rPr>
      </w:pPr>
      <w:r w:rsidRPr="00FB2F38">
        <w:rPr>
          <w:i/>
        </w:rPr>
        <w:tab/>
        <w:t>Schloss v Bell</w:t>
      </w:r>
      <w:r w:rsidR="00583316" w:rsidRPr="00FB2F38">
        <w:rPr>
          <w:i/>
        </w:rPr>
        <w:t xml:space="preserve">; Bell v Schloss </w:t>
      </w:r>
      <w:r w:rsidR="00583316" w:rsidRPr="00C301EA">
        <w:t>[2016] ICQ 17</w:t>
      </w:r>
    </w:p>
    <w:p w14:paraId="032E4978" w14:textId="77777777" w:rsidR="00583316" w:rsidRPr="00FB2F38" w:rsidRDefault="00583316" w:rsidP="002178D2">
      <w:pPr>
        <w:ind w:left="2880" w:hanging="2880"/>
        <w:rPr>
          <w:i/>
        </w:rPr>
      </w:pPr>
      <w:r w:rsidRPr="00FB2F38">
        <w:rPr>
          <w:i/>
        </w:rPr>
        <w:tab/>
        <w:t xml:space="preserve">Travers v McDonagh; Carey v La Rocca </w:t>
      </w:r>
      <w:r w:rsidRPr="00C301EA">
        <w:t>[201</w:t>
      </w:r>
      <w:r w:rsidR="00520578" w:rsidRPr="00C301EA">
        <w:t>3</w:t>
      </w:r>
      <w:r w:rsidRPr="00C301EA">
        <w:t>] QDC 177</w:t>
      </w:r>
    </w:p>
    <w:p w14:paraId="21C52AB5" w14:textId="77777777" w:rsidR="00583316" w:rsidRPr="00FB2F38" w:rsidRDefault="00583316" w:rsidP="002178D2">
      <w:pPr>
        <w:ind w:left="2880" w:hanging="2880"/>
        <w:rPr>
          <w:i/>
        </w:rPr>
      </w:pPr>
      <w:r w:rsidRPr="00FB2F38">
        <w:rPr>
          <w:i/>
        </w:rPr>
        <w:tab/>
        <w:t xml:space="preserve">Whitby v Stockair Pty Ltd &amp; Jackson </w:t>
      </w:r>
      <w:r w:rsidRPr="00C301EA">
        <w:t>[2015] QDC 79</w:t>
      </w:r>
    </w:p>
    <w:p w14:paraId="24041862" w14:textId="77777777" w:rsidR="007E1F25" w:rsidRPr="00FB2F38" w:rsidRDefault="007E1F25" w:rsidP="002178D2">
      <w:pPr>
        <w:ind w:left="2880" w:hanging="2880"/>
        <w:rPr>
          <w:i/>
        </w:rPr>
      </w:pPr>
      <w:r w:rsidRPr="00FB2F38">
        <w:rPr>
          <w:i/>
        </w:rPr>
        <w:tab/>
      </w:r>
    </w:p>
    <w:p w14:paraId="4C281BAD" w14:textId="77777777" w:rsidR="00BF190F" w:rsidRPr="00FB2F38" w:rsidRDefault="00BF190F" w:rsidP="002178D2">
      <w:pPr>
        <w:ind w:left="2880" w:hanging="2880"/>
        <w:rPr>
          <w:i/>
        </w:rPr>
      </w:pPr>
    </w:p>
    <w:p w14:paraId="39BA9EE7" w14:textId="77777777" w:rsidR="002178D2" w:rsidRPr="004D1D1B" w:rsidRDefault="002178D2" w:rsidP="002178D2">
      <w:pPr>
        <w:ind w:left="2880" w:hanging="2880"/>
      </w:pPr>
      <w:r w:rsidRPr="004D1D1B">
        <w:t>COUNSEL:</w:t>
      </w:r>
      <w:r w:rsidRPr="004D1D1B">
        <w:tab/>
        <w:t xml:space="preserve">Ms </w:t>
      </w:r>
      <w:r w:rsidR="00DD29E5" w:rsidRPr="004D1D1B">
        <w:t xml:space="preserve">A Sanderson </w:t>
      </w:r>
      <w:r w:rsidRPr="004D1D1B">
        <w:t>for the Complainant/Respondent</w:t>
      </w:r>
    </w:p>
    <w:p w14:paraId="476EE2B4" w14:textId="77777777" w:rsidR="002178D2" w:rsidRPr="004D1D1B" w:rsidRDefault="002178D2" w:rsidP="002178D2">
      <w:pPr>
        <w:ind w:left="2880" w:hanging="2880"/>
      </w:pPr>
      <w:r w:rsidRPr="004D1D1B">
        <w:tab/>
        <w:t>Mr P Roney QC for the Defendant/Applicant</w:t>
      </w:r>
    </w:p>
    <w:p w14:paraId="03FBE49E" w14:textId="77777777" w:rsidR="002178D2" w:rsidRPr="004D1D1B" w:rsidRDefault="002178D2" w:rsidP="002178D2">
      <w:pPr>
        <w:ind w:left="2880" w:hanging="2880"/>
      </w:pPr>
    </w:p>
    <w:p w14:paraId="717E30FA" w14:textId="77777777" w:rsidR="002178D2" w:rsidRPr="004D1D1B" w:rsidRDefault="002178D2" w:rsidP="002178D2">
      <w:pPr>
        <w:ind w:left="2880" w:hanging="2880"/>
      </w:pPr>
      <w:r w:rsidRPr="004D1D1B">
        <w:t>SOLICITORS:</w:t>
      </w:r>
      <w:r w:rsidRPr="004D1D1B">
        <w:tab/>
        <w:t xml:space="preserve">Office of the Work Health and Safety for the Complainant/Respondent </w:t>
      </w:r>
    </w:p>
    <w:p w14:paraId="1129CDC6" w14:textId="77777777" w:rsidR="002178D2" w:rsidRPr="004D1D1B" w:rsidRDefault="002178D2" w:rsidP="002178D2">
      <w:pPr>
        <w:ind w:left="2880" w:hanging="2880"/>
      </w:pPr>
      <w:r w:rsidRPr="004D1D1B">
        <w:tab/>
        <w:t xml:space="preserve">Herbert Smith Freehills for the Defendant/Applicant  </w:t>
      </w:r>
    </w:p>
    <w:p w14:paraId="0BC7EE96" w14:textId="77777777" w:rsidR="00784C11" w:rsidRPr="00FB2F38" w:rsidRDefault="00784C11" w:rsidP="00784C11"/>
    <w:p w14:paraId="1018B92D" w14:textId="77777777" w:rsidR="004431E4" w:rsidRPr="00FB2F38" w:rsidRDefault="00784C11" w:rsidP="00784C11">
      <w:r w:rsidRPr="00FB2F38">
        <w:t>[1]</w:t>
      </w:r>
      <w:r w:rsidRPr="00FB2F38">
        <w:tab/>
        <w:t xml:space="preserve">On </w:t>
      </w:r>
      <w:r w:rsidR="0042557C" w:rsidRPr="00FB2F38">
        <w:t xml:space="preserve">29 April 2021 I delivered judgement </w:t>
      </w:r>
      <w:r w:rsidR="00620BC7" w:rsidRPr="00FB2F38">
        <w:t>in Ni</w:t>
      </w:r>
      <w:r w:rsidR="00585C48" w:rsidRPr="00FB2F38">
        <w:t>e</w:t>
      </w:r>
      <w:r w:rsidR="00620BC7" w:rsidRPr="00FB2F38">
        <w:t>pe’s application to stay a complaint</w:t>
      </w:r>
      <w:r w:rsidR="00A833F9" w:rsidRPr="00FB2F38">
        <w:t xml:space="preserve"> made </w:t>
      </w:r>
      <w:r w:rsidR="0042557C" w:rsidRPr="00FB2F38">
        <w:t>on 13 February 202</w:t>
      </w:r>
      <w:r w:rsidR="004246F3" w:rsidRPr="00FB2F38">
        <w:t>0</w:t>
      </w:r>
      <w:r w:rsidR="0042557C" w:rsidRPr="00FB2F38">
        <w:t xml:space="preserve"> charging </w:t>
      </w:r>
      <w:r w:rsidR="00A833F9" w:rsidRPr="00FB2F38">
        <w:t xml:space="preserve">it </w:t>
      </w:r>
      <w:r w:rsidR="0042557C" w:rsidRPr="00FB2F38">
        <w:t xml:space="preserve">with two offences under the </w:t>
      </w:r>
      <w:r w:rsidR="0042557C" w:rsidRPr="00FB2F38">
        <w:rPr>
          <w:i/>
        </w:rPr>
        <w:t xml:space="preserve">Work Health and Safety Act </w:t>
      </w:r>
      <w:r w:rsidR="0042557C" w:rsidRPr="00FB2F38">
        <w:t>20</w:t>
      </w:r>
      <w:r w:rsidR="00E81A23" w:rsidRPr="00FB2F38">
        <w:t>1</w:t>
      </w:r>
      <w:r w:rsidR="0042557C" w:rsidRPr="00FB2F38">
        <w:t>1</w:t>
      </w:r>
      <w:r w:rsidR="00A833F9" w:rsidRPr="00FB2F38">
        <w:t xml:space="preserve"> finding that the complaint was void ab initio</w:t>
      </w:r>
      <w:r w:rsidR="00B27B2A" w:rsidRPr="00FB2F38">
        <w:rPr>
          <w:rStyle w:val="FootnoteReference"/>
        </w:rPr>
        <w:footnoteReference w:id="1"/>
      </w:r>
      <w:r w:rsidR="00A833F9" w:rsidRPr="00FB2F38">
        <w:t xml:space="preserve">.  </w:t>
      </w:r>
      <w:r w:rsidR="00620BC7" w:rsidRPr="00FB2F38">
        <w:t>Formal orders were deferred to afford the parties the opportunity of considering the reasons for judgment</w:t>
      </w:r>
      <w:r w:rsidR="004431E4" w:rsidRPr="00FB2F38">
        <w:t xml:space="preserve"> and to hear submissions as to costs</w:t>
      </w:r>
      <w:r w:rsidR="004246F3" w:rsidRPr="00FB2F38">
        <w:t xml:space="preserve"> at a later date when for</w:t>
      </w:r>
      <w:r w:rsidR="00810E68" w:rsidRPr="00FB2F38">
        <w:t>m</w:t>
      </w:r>
      <w:r w:rsidR="004246F3" w:rsidRPr="00FB2F38">
        <w:t>al orders</w:t>
      </w:r>
      <w:r w:rsidR="00810E68" w:rsidRPr="00FB2F38">
        <w:t xml:space="preserve"> would then be made</w:t>
      </w:r>
      <w:r w:rsidR="00810E68" w:rsidRPr="00FB2F38">
        <w:rPr>
          <w:rStyle w:val="FootnoteReference"/>
        </w:rPr>
        <w:footnoteReference w:id="2"/>
      </w:r>
      <w:r w:rsidR="00810E68" w:rsidRPr="00FB2F38">
        <w:t>.</w:t>
      </w:r>
      <w:r w:rsidR="004431E4" w:rsidRPr="00FB2F38">
        <w:t xml:space="preserve">  </w:t>
      </w:r>
    </w:p>
    <w:p w14:paraId="1F84AE2B" w14:textId="77777777" w:rsidR="004431E4" w:rsidRPr="00FB2F38" w:rsidRDefault="004431E4" w:rsidP="00784C11"/>
    <w:p w14:paraId="401A71A7" w14:textId="77777777" w:rsidR="00A20318" w:rsidRPr="00FB2F38" w:rsidRDefault="004431E4" w:rsidP="00784C11">
      <w:r w:rsidRPr="00FB2F38">
        <w:t>[2]</w:t>
      </w:r>
      <w:r w:rsidRPr="00FB2F38">
        <w:tab/>
      </w:r>
      <w:r w:rsidR="00456B31" w:rsidRPr="00FB2F38">
        <w:t>Directions were subsequently made for the filing and serving of submissions on Ni</w:t>
      </w:r>
      <w:r w:rsidR="00BC41EB" w:rsidRPr="00FB2F38">
        <w:t>e</w:t>
      </w:r>
      <w:r w:rsidR="00456B31" w:rsidRPr="00FB2F38">
        <w:t xml:space="preserve">pe’s application for costs.  </w:t>
      </w:r>
      <w:r w:rsidR="001B03BA" w:rsidRPr="00FB2F38">
        <w:t>Written submissions for N</w:t>
      </w:r>
      <w:r w:rsidR="00585C48" w:rsidRPr="00FB2F38">
        <w:t>ie</w:t>
      </w:r>
      <w:r w:rsidR="001B03BA" w:rsidRPr="00FB2F38">
        <w:t>pe</w:t>
      </w:r>
      <w:r w:rsidR="00A20318" w:rsidRPr="00FB2F38">
        <w:t xml:space="preserve"> (with annexures)</w:t>
      </w:r>
      <w:r w:rsidR="001B03BA" w:rsidRPr="00FB2F38">
        <w:t xml:space="preserve"> </w:t>
      </w:r>
      <w:r w:rsidR="003A15BE" w:rsidRPr="00FB2F38">
        <w:t xml:space="preserve">are dated </w:t>
      </w:r>
      <w:r w:rsidR="001B03BA" w:rsidRPr="00FB2F38">
        <w:t>24 May 2021</w:t>
      </w:r>
      <w:r w:rsidR="003A15BE" w:rsidRPr="00FB2F38">
        <w:t xml:space="preserve"> and</w:t>
      </w:r>
      <w:r w:rsidR="00585C48" w:rsidRPr="00FB2F38">
        <w:t>,</w:t>
      </w:r>
      <w:r w:rsidR="003A15BE" w:rsidRPr="00FB2F38">
        <w:t xml:space="preserve"> for the complainant</w:t>
      </w:r>
      <w:r w:rsidR="00585C48" w:rsidRPr="00FB2F38">
        <w:t>,</w:t>
      </w:r>
      <w:r w:rsidR="003A15BE" w:rsidRPr="00FB2F38">
        <w:t xml:space="preserve"> dated 2 June 2021.</w:t>
      </w:r>
      <w:r w:rsidR="007E13E2" w:rsidRPr="00FB2F38">
        <w:t xml:space="preserve">  The parties agreed to the issue of costs being decided on the papers.  </w:t>
      </w:r>
    </w:p>
    <w:p w14:paraId="5186D8D3" w14:textId="77777777" w:rsidR="007E13E2" w:rsidRPr="00FB2F38" w:rsidRDefault="007E13E2" w:rsidP="00784C11"/>
    <w:p w14:paraId="3D390998" w14:textId="77777777" w:rsidR="00BB30FA" w:rsidRPr="00FB2F38" w:rsidRDefault="00A20318" w:rsidP="00784C11">
      <w:r w:rsidRPr="00FB2F38">
        <w:t>[3]</w:t>
      </w:r>
      <w:r w:rsidRPr="00FB2F38">
        <w:tab/>
        <w:t>The annexures to Niepe’s submissions</w:t>
      </w:r>
      <w:r w:rsidR="00BB30FA" w:rsidRPr="00FB2F38">
        <w:t xml:space="preserve"> were:</w:t>
      </w:r>
    </w:p>
    <w:p w14:paraId="5031D81F" w14:textId="77777777" w:rsidR="00BB30FA" w:rsidRPr="00FB2F38" w:rsidRDefault="00BB30FA" w:rsidP="00784C11"/>
    <w:p w14:paraId="233CF72E" w14:textId="77777777" w:rsidR="00BB30FA" w:rsidRPr="00FB2F38" w:rsidRDefault="00BB30FA" w:rsidP="00784C11">
      <w:pPr>
        <w:pStyle w:val="ListParagraph"/>
        <w:numPr>
          <w:ilvl w:val="0"/>
          <w:numId w:val="21"/>
        </w:numPr>
      </w:pPr>
      <w:r w:rsidRPr="00FB2F38">
        <w:t xml:space="preserve">A letter dated 3 September 2020 </w:t>
      </w:r>
      <w:r w:rsidR="00C3387E" w:rsidRPr="00FB2F38">
        <w:t xml:space="preserve">from Niepe’s solicitors </w:t>
      </w:r>
      <w:r w:rsidRPr="00FB2F38">
        <w:t>to the prosecution</w:t>
      </w:r>
      <w:r w:rsidR="00C3387E" w:rsidRPr="00FB2F38">
        <w:t xml:space="preserve"> inviting a withdrawal </w:t>
      </w:r>
      <w:r w:rsidR="00922C01" w:rsidRPr="00FB2F38">
        <w:t xml:space="preserve">of </w:t>
      </w:r>
      <w:r w:rsidR="00C3387E" w:rsidRPr="00FB2F38">
        <w:t xml:space="preserve">the complaint for reasons </w:t>
      </w:r>
      <w:r w:rsidR="005D76CA" w:rsidRPr="00FB2F38">
        <w:t>along similar lines as outlined in my judgement.</w:t>
      </w:r>
      <w:r w:rsidR="00C3387E" w:rsidRPr="00FB2F38">
        <w:t xml:space="preserve">  </w:t>
      </w:r>
    </w:p>
    <w:p w14:paraId="74E351FC" w14:textId="77777777" w:rsidR="00C3387E" w:rsidRPr="00FB2F38" w:rsidRDefault="00C3387E" w:rsidP="00784C11">
      <w:pPr>
        <w:pStyle w:val="ListParagraph"/>
        <w:numPr>
          <w:ilvl w:val="0"/>
          <w:numId w:val="21"/>
        </w:numPr>
      </w:pPr>
      <w:r w:rsidRPr="00FB2F38">
        <w:t xml:space="preserve">A letter from the prosecutor in response dated 22 October 2020 declining that request. </w:t>
      </w:r>
    </w:p>
    <w:p w14:paraId="4FCD2C2E" w14:textId="77777777" w:rsidR="00495EC7" w:rsidRPr="00FB2F38" w:rsidRDefault="00495EC7" w:rsidP="00784C11">
      <w:pPr>
        <w:pStyle w:val="ListParagraph"/>
        <w:numPr>
          <w:ilvl w:val="0"/>
          <w:numId w:val="21"/>
        </w:numPr>
      </w:pPr>
      <w:r w:rsidRPr="00FB2F38">
        <w:t xml:space="preserve">Thirteen monthly invoices for professional services </w:t>
      </w:r>
      <w:r w:rsidR="00922C01" w:rsidRPr="00FB2F38">
        <w:t xml:space="preserve">of Herbert Smith Freehills </w:t>
      </w:r>
      <w:r w:rsidRPr="00FB2F38">
        <w:t>charged to Niepe.</w:t>
      </w:r>
    </w:p>
    <w:p w14:paraId="0D24AF77" w14:textId="77777777" w:rsidR="00C3387E" w:rsidRPr="00FB2F38" w:rsidRDefault="00495EC7" w:rsidP="00784C11">
      <w:pPr>
        <w:pStyle w:val="ListParagraph"/>
        <w:numPr>
          <w:ilvl w:val="0"/>
          <w:numId w:val="21"/>
        </w:numPr>
      </w:pPr>
      <w:r w:rsidRPr="00FB2F38">
        <w:t xml:space="preserve">Two Memorandum of Fees of </w:t>
      </w:r>
      <w:r w:rsidR="007B034E" w:rsidRPr="00FB2F38">
        <w:t>Mr Roney QC.</w:t>
      </w:r>
      <w:r w:rsidRPr="00FB2F38">
        <w:t xml:space="preserve">  </w:t>
      </w:r>
      <w:r w:rsidR="00C3387E" w:rsidRPr="00FB2F38">
        <w:t xml:space="preserve"> </w:t>
      </w:r>
    </w:p>
    <w:p w14:paraId="536C1809" w14:textId="77777777" w:rsidR="00BB30FA" w:rsidRPr="00FB2F38" w:rsidRDefault="00BB30FA" w:rsidP="00784C11"/>
    <w:p w14:paraId="74E2E6C3" w14:textId="77777777" w:rsidR="005B7539" w:rsidRPr="00FB2F38" w:rsidRDefault="005B7539" w:rsidP="00784C11">
      <w:pPr>
        <w:rPr>
          <w:b/>
        </w:rPr>
      </w:pPr>
      <w:r w:rsidRPr="00FB2F38">
        <w:rPr>
          <w:b/>
        </w:rPr>
        <w:t>Statutory provisions</w:t>
      </w:r>
    </w:p>
    <w:p w14:paraId="3FBBAA58" w14:textId="77777777" w:rsidR="005B7539" w:rsidRPr="00FB2F38" w:rsidRDefault="005B7539" w:rsidP="00784C11"/>
    <w:p w14:paraId="1D82D434" w14:textId="77777777" w:rsidR="00D4100C" w:rsidRPr="00FB2F38" w:rsidRDefault="00BB30FA" w:rsidP="00784C11">
      <w:r w:rsidRPr="00FB2F38">
        <w:lastRenderedPageBreak/>
        <w:t xml:space="preserve">[4] </w:t>
      </w:r>
      <w:r w:rsidR="00A20318" w:rsidRPr="00FB2F38">
        <w:t xml:space="preserve"> </w:t>
      </w:r>
      <w:r w:rsidR="003A15BE" w:rsidRPr="00FB2F38">
        <w:t xml:space="preserve"> </w:t>
      </w:r>
      <w:r w:rsidR="00735270" w:rsidRPr="00FB2F38">
        <w:t xml:space="preserve">Provisions for costs </w:t>
      </w:r>
      <w:r w:rsidR="00F17F66" w:rsidRPr="00FB2F38">
        <w:t xml:space="preserve">in relation to proceedings for simple offences </w:t>
      </w:r>
      <w:r w:rsidR="00735270" w:rsidRPr="00FB2F38">
        <w:t xml:space="preserve">under the </w:t>
      </w:r>
      <w:r w:rsidR="00735270" w:rsidRPr="00FB2F38">
        <w:rPr>
          <w:i/>
        </w:rPr>
        <w:t>Justices Act 1886</w:t>
      </w:r>
      <w:r w:rsidR="00735270" w:rsidRPr="00FB2F38">
        <w:t xml:space="preserve"> (JA) are contained in Division 8 (Costs) </w:t>
      </w:r>
      <w:r w:rsidR="00D4100C" w:rsidRPr="00FB2F38">
        <w:t>of Part 6.</w:t>
      </w:r>
    </w:p>
    <w:p w14:paraId="3F138763" w14:textId="77777777" w:rsidR="00D4100C" w:rsidRPr="00FB2F38" w:rsidRDefault="00D4100C" w:rsidP="00784C11"/>
    <w:p w14:paraId="6B3DB927" w14:textId="77777777" w:rsidR="00D4100C" w:rsidRPr="00FB2F38" w:rsidRDefault="00D4100C" w:rsidP="00C27974">
      <w:pPr>
        <w:autoSpaceDE w:val="0"/>
        <w:autoSpaceDN w:val="0"/>
        <w:adjustRightInd w:val="0"/>
        <w:ind w:left="720"/>
        <w:rPr>
          <w:b/>
          <w:bCs/>
          <w:sz w:val="28"/>
          <w:szCs w:val="28"/>
          <w:lang w:eastAsia="en-US"/>
        </w:rPr>
      </w:pPr>
      <w:r w:rsidRPr="00FB2F38">
        <w:rPr>
          <w:b/>
          <w:bCs/>
          <w:sz w:val="28"/>
          <w:szCs w:val="28"/>
          <w:lang w:eastAsia="en-US"/>
        </w:rPr>
        <w:t>Division 8 Costs</w:t>
      </w:r>
    </w:p>
    <w:p w14:paraId="39F5055B" w14:textId="77777777" w:rsidR="00C27974" w:rsidRPr="00FB2F38" w:rsidRDefault="00C27974" w:rsidP="00C27974">
      <w:pPr>
        <w:autoSpaceDE w:val="0"/>
        <w:autoSpaceDN w:val="0"/>
        <w:adjustRightInd w:val="0"/>
        <w:ind w:left="720"/>
        <w:rPr>
          <w:b/>
          <w:bCs/>
          <w:lang w:eastAsia="en-US"/>
        </w:rPr>
      </w:pPr>
    </w:p>
    <w:p w14:paraId="07DB3506" w14:textId="77777777" w:rsidR="00D4100C" w:rsidRPr="00FB2F38" w:rsidRDefault="00D4100C" w:rsidP="00C27974">
      <w:pPr>
        <w:autoSpaceDE w:val="0"/>
        <w:autoSpaceDN w:val="0"/>
        <w:adjustRightInd w:val="0"/>
        <w:ind w:left="720"/>
        <w:rPr>
          <w:b/>
          <w:bCs/>
          <w:lang w:eastAsia="en-US"/>
        </w:rPr>
      </w:pPr>
      <w:r w:rsidRPr="00FB2F38">
        <w:rPr>
          <w:b/>
          <w:bCs/>
          <w:lang w:eastAsia="en-US"/>
        </w:rPr>
        <w:t>158 Costs on dismissal</w:t>
      </w:r>
    </w:p>
    <w:p w14:paraId="7F8DED29" w14:textId="77777777" w:rsidR="00D4100C" w:rsidRPr="00FB2F38" w:rsidRDefault="00D4100C" w:rsidP="00C27974">
      <w:pPr>
        <w:autoSpaceDE w:val="0"/>
        <w:autoSpaceDN w:val="0"/>
        <w:adjustRightInd w:val="0"/>
        <w:ind w:left="720"/>
        <w:rPr>
          <w:lang w:eastAsia="en-US"/>
        </w:rPr>
      </w:pPr>
      <w:r w:rsidRPr="00FB2F38">
        <w:rPr>
          <w:lang w:eastAsia="en-US"/>
        </w:rPr>
        <w:t xml:space="preserve">(1) </w:t>
      </w:r>
      <w:r w:rsidR="002874F5" w:rsidRPr="00FB2F38">
        <w:rPr>
          <w:lang w:eastAsia="en-US"/>
        </w:rPr>
        <w:t xml:space="preserve">… </w:t>
      </w:r>
    </w:p>
    <w:p w14:paraId="02D030C3" w14:textId="77777777" w:rsidR="00D4100C" w:rsidRPr="00FB2F38" w:rsidRDefault="00D4100C" w:rsidP="00C27974">
      <w:pPr>
        <w:autoSpaceDE w:val="0"/>
        <w:autoSpaceDN w:val="0"/>
        <w:adjustRightInd w:val="0"/>
        <w:ind w:left="720"/>
        <w:rPr>
          <w:lang w:eastAsia="en-US"/>
        </w:rPr>
      </w:pPr>
      <w:r w:rsidRPr="00FB2F38">
        <w:rPr>
          <w:lang w:eastAsia="en-US"/>
        </w:rPr>
        <w:t>(2) When a complaint is before a Magistrates Court which the</w:t>
      </w:r>
    </w:p>
    <w:p w14:paraId="07EB6DDA" w14:textId="77777777" w:rsidR="00D4100C" w:rsidRPr="00FB2F38" w:rsidRDefault="00D4100C" w:rsidP="00C27974">
      <w:pPr>
        <w:autoSpaceDE w:val="0"/>
        <w:autoSpaceDN w:val="0"/>
        <w:adjustRightInd w:val="0"/>
        <w:ind w:left="720"/>
        <w:rPr>
          <w:lang w:eastAsia="en-US"/>
        </w:rPr>
      </w:pPr>
      <w:r w:rsidRPr="00FB2F38">
        <w:rPr>
          <w:lang w:eastAsia="en-US"/>
        </w:rPr>
        <w:t>court has not jurisdiction to hear and determine the court shall</w:t>
      </w:r>
    </w:p>
    <w:p w14:paraId="6DE202D6" w14:textId="77777777" w:rsidR="00D4100C" w:rsidRPr="00FB2F38" w:rsidRDefault="00D4100C" w:rsidP="00C27974">
      <w:pPr>
        <w:autoSpaceDE w:val="0"/>
        <w:autoSpaceDN w:val="0"/>
        <w:adjustRightInd w:val="0"/>
        <w:ind w:left="720"/>
        <w:rPr>
          <w:lang w:eastAsia="en-US"/>
        </w:rPr>
      </w:pPr>
      <w:r w:rsidRPr="00FB2F38">
        <w:rPr>
          <w:lang w:eastAsia="en-US"/>
        </w:rPr>
        <w:t>order the complaint to be struck out for want of jurisdiction</w:t>
      </w:r>
    </w:p>
    <w:p w14:paraId="1293B6E2" w14:textId="77777777" w:rsidR="00D4100C" w:rsidRPr="00FB2F38" w:rsidRDefault="00D4100C" w:rsidP="00C27974">
      <w:pPr>
        <w:autoSpaceDE w:val="0"/>
        <w:autoSpaceDN w:val="0"/>
        <w:adjustRightInd w:val="0"/>
        <w:ind w:left="720"/>
        <w:rPr>
          <w:lang w:eastAsia="en-US"/>
        </w:rPr>
      </w:pPr>
      <w:r w:rsidRPr="00FB2F38">
        <w:rPr>
          <w:lang w:eastAsia="en-US"/>
        </w:rPr>
        <w:t>and may order that the complainant pay to the defendant such</w:t>
      </w:r>
    </w:p>
    <w:p w14:paraId="47DBBD10" w14:textId="77777777" w:rsidR="005B7539" w:rsidRPr="00FB2F38" w:rsidRDefault="00D4100C" w:rsidP="00C27974">
      <w:pPr>
        <w:ind w:left="720"/>
      </w:pPr>
      <w:r w:rsidRPr="00FB2F38">
        <w:rPr>
          <w:lang w:eastAsia="en-US"/>
        </w:rPr>
        <w:t>costs as to the court seem just and reasonable.</w:t>
      </w:r>
      <w:r w:rsidRPr="00FB2F38">
        <w:t xml:space="preserve"> </w:t>
      </w:r>
      <w:r w:rsidR="00735270" w:rsidRPr="00FB2F38">
        <w:t xml:space="preserve"> </w:t>
      </w:r>
    </w:p>
    <w:p w14:paraId="53F0FB28" w14:textId="77777777" w:rsidR="00784C11" w:rsidRPr="00FB2F38" w:rsidRDefault="00D75789" w:rsidP="00C27974">
      <w:pPr>
        <w:ind w:left="720"/>
      </w:pPr>
      <w:r w:rsidRPr="00FB2F38">
        <w:t>…</w:t>
      </w:r>
      <w:r w:rsidR="003A15BE" w:rsidRPr="00FB2F38">
        <w:t xml:space="preserve"> </w:t>
      </w:r>
      <w:r w:rsidR="00456B31" w:rsidRPr="00FB2F38">
        <w:t xml:space="preserve"> </w:t>
      </w:r>
      <w:r w:rsidR="00620BC7" w:rsidRPr="00FB2F38">
        <w:t xml:space="preserve"> </w:t>
      </w:r>
    </w:p>
    <w:p w14:paraId="5EE02065" w14:textId="77777777" w:rsidR="00183A63" w:rsidRPr="00FB2F38" w:rsidRDefault="00183A63" w:rsidP="00C27974">
      <w:pPr>
        <w:autoSpaceDE w:val="0"/>
        <w:autoSpaceDN w:val="0"/>
        <w:adjustRightInd w:val="0"/>
        <w:ind w:left="720"/>
        <w:rPr>
          <w:b/>
          <w:bCs/>
          <w:lang w:eastAsia="en-US"/>
        </w:rPr>
      </w:pPr>
    </w:p>
    <w:p w14:paraId="5747ADFD" w14:textId="77777777" w:rsidR="00C27974" w:rsidRPr="00FB2F38" w:rsidRDefault="00C27974" w:rsidP="00C27974">
      <w:pPr>
        <w:autoSpaceDE w:val="0"/>
        <w:autoSpaceDN w:val="0"/>
        <w:adjustRightInd w:val="0"/>
        <w:ind w:left="720"/>
        <w:rPr>
          <w:b/>
          <w:bCs/>
          <w:lang w:eastAsia="en-US"/>
        </w:rPr>
      </w:pPr>
      <w:r w:rsidRPr="00FB2F38">
        <w:rPr>
          <w:b/>
          <w:bCs/>
          <w:lang w:eastAsia="en-US"/>
        </w:rPr>
        <w:t>158B Costs for division</w:t>
      </w:r>
    </w:p>
    <w:p w14:paraId="73EAA0F1" w14:textId="77777777" w:rsidR="00C27974" w:rsidRPr="00FB2F38" w:rsidRDefault="00C27974" w:rsidP="00C27974">
      <w:pPr>
        <w:autoSpaceDE w:val="0"/>
        <w:autoSpaceDN w:val="0"/>
        <w:adjustRightInd w:val="0"/>
        <w:ind w:left="720"/>
        <w:rPr>
          <w:lang w:eastAsia="en-US"/>
        </w:rPr>
      </w:pPr>
      <w:r w:rsidRPr="00FB2F38">
        <w:rPr>
          <w:lang w:eastAsia="en-US"/>
        </w:rPr>
        <w:t>(1) In deciding the costs that are just and reasonable for this</w:t>
      </w:r>
    </w:p>
    <w:p w14:paraId="0B2D3C2F" w14:textId="77777777" w:rsidR="00C27974" w:rsidRPr="00FB2F38" w:rsidRDefault="00C27974" w:rsidP="00C27974">
      <w:pPr>
        <w:autoSpaceDE w:val="0"/>
        <w:autoSpaceDN w:val="0"/>
        <w:adjustRightInd w:val="0"/>
        <w:ind w:left="720"/>
        <w:rPr>
          <w:lang w:eastAsia="en-US"/>
        </w:rPr>
      </w:pPr>
      <w:r w:rsidRPr="00FB2F38">
        <w:rPr>
          <w:lang w:eastAsia="en-US"/>
        </w:rPr>
        <w:t>division, the justices may award costs only—</w:t>
      </w:r>
    </w:p>
    <w:p w14:paraId="616A89A6" w14:textId="77777777" w:rsidR="00C27974" w:rsidRPr="00FB2F38" w:rsidRDefault="00C27974" w:rsidP="00EC502A">
      <w:pPr>
        <w:autoSpaceDE w:val="0"/>
        <w:autoSpaceDN w:val="0"/>
        <w:adjustRightInd w:val="0"/>
        <w:ind w:left="720" w:firstLine="720"/>
        <w:rPr>
          <w:lang w:eastAsia="en-US"/>
        </w:rPr>
      </w:pPr>
      <w:r w:rsidRPr="00FB2F38">
        <w:rPr>
          <w:lang w:eastAsia="en-US"/>
        </w:rPr>
        <w:t>(a) for an item allowed for this division under a scale of</w:t>
      </w:r>
    </w:p>
    <w:p w14:paraId="4F2F9672" w14:textId="77777777" w:rsidR="00C27974" w:rsidRPr="00FB2F38" w:rsidRDefault="00C27974" w:rsidP="00EC502A">
      <w:pPr>
        <w:autoSpaceDE w:val="0"/>
        <w:autoSpaceDN w:val="0"/>
        <w:adjustRightInd w:val="0"/>
        <w:ind w:left="720" w:firstLine="720"/>
        <w:rPr>
          <w:lang w:eastAsia="en-US"/>
        </w:rPr>
      </w:pPr>
      <w:r w:rsidRPr="00FB2F38">
        <w:rPr>
          <w:lang w:eastAsia="en-US"/>
        </w:rPr>
        <w:t>costs prescribed under a regulation; and</w:t>
      </w:r>
    </w:p>
    <w:p w14:paraId="6FAB77E4" w14:textId="77777777" w:rsidR="00C27974" w:rsidRPr="00FB2F38" w:rsidRDefault="00C27974" w:rsidP="00EC502A">
      <w:pPr>
        <w:autoSpaceDE w:val="0"/>
        <w:autoSpaceDN w:val="0"/>
        <w:adjustRightInd w:val="0"/>
        <w:ind w:left="720" w:firstLine="720"/>
        <w:rPr>
          <w:lang w:eastAsia="en-US"/>
        </w:rPr>
      </w:pPr>
      <w:r w:rsidRPr="00FB2F38">
        <w:rPr>
          <w:lang w:eastAsia="en-US"/>
        </w:rPr>
        <w:t>(b) up to the amount allowed for the item under the scale.</w:t>
      </w:r>
    </w:p>
    <w:p w14:paraId="202355EC" w14:textId="77777777" w:rsidR="00C27974" w:rsidRPr="00FB2F38" w:rsidRDefault="00C27974" w:rsidP="00C27974">
      <w:pPr>
        <w:autoSpaceDE w:val="0"/>
        <w:autoSpaceDN w:val="0"/>
        <w:adjustRightInd w:val="0"/>
        <w:ind w:left="720"/>
        <w:rPr>
          <w:lang w:eastAsia="en-US"/>
        </w:rPr>
      </w:pPr>
      <w:r w:rsidRPr="00FB2F38">
        <w:rPr>
          <w:lang w:eastAsia="en-US"/>
        </w:rPr>
        <w:t>(2) However, the justices may allow a higher amount for costs if</w:t>
      </w:r>
    </w:p>
    <w:p w14:paraId="06A40E63" w14:textId="77777777" w:rsidR="00C27974" w:rsidRPr="00FB2F38" w:rsidRDefault="00C27974" w:rsidP="00C27974">
      <w:pPr>
        <w:autoSpaceDE w:val="0"/>
        <w:autoSpaceDN w:val="0"/>
        <w:adjustRightInd w:val="0"/>
        <w:ind w:left="720"/>
        <w:rPr>
          <w:lang w:eastAsia="en-US"/>
        </w:rPr>
      </w:pPr>
      <w:r w:rsidRPr="00FB2F38">
        <w:rPr>
          <w:lang w:eastAsia="en-US"/>
        </w:rPr>
        <w:t>the justices are satisfied that the higher amount is just and</w:t>
      </w:r>
    </w:p>
    <w:p w14:paraId="5EC8A2A9" w14:textId="77777777" w:rsidR="00C27974" w:rsidRPr="00FB2F38" w:rsidRDefault="00C27974" w:rsidP="00C27974">
      <w:pPr>
        <w:autoSpaceDE w:val="0"/>
        <w:autoSpaceDN w:val="0"/>
        <w:adjustRightInd w:val="0"/>
        <w:ind w:left="720"/>
        <w:rPr>
          <w:lang w:eastAsia="en-US"/>
        </w:rPr>
      </w:pPr>
      <w:r w:rsidRPr="00FB2F38">
        <w:rPr>
          <w:lang w:eastAsia="en-US"/>
        </w:rPr>
        <w:t>reasonable having regard to the special difficulty, complexity</w:t>
      </w:r>
    </w:p>
    <w:p w14:paraId="52151E29" w14:textId="77777777" w:rsidR="00C27974" w:rsidRPr="00FB2F38" w:rsidRDefault="00C27974" w:rsidP="00C27974">
      <w:pPr>
        <w:autoSpaceDE w:val="0"/>
        <w:autoSpaceDN w:val="0"/>
        <w:adjustRightInd w:val="0"/>
        <w:ind w:left="720"/>
        <w:rPr>
          <w:lang w:eastAsia="en-US"/>
        </w:rPr>
      </w:pPr>
      <w:r w:rsidRPr="00FB2F38">
        <w:rPr>
          <w:lang w:eastAsia="en-US"/>
        </w:rPr>
        <w:t>or importance of the case.</w:t>
      </w:r>
    </w:p>
    <w:p w14:paraId="0F32F2E6" w14:textId="77777777" w:rsidR="00C27974" w:rsidRPr="00FB2F38" w:rsidRDefault="00C27974" w:rsidP="00C27974">
      <w:pPr>
        <w:autoSpaceDE w:val="0"/>
        <w:autoSpaceDN w:val="0"/>
        <w:adjustRightInd w:val="0"/>
        <w:ind w:left="720"/>
        <w:rPr>
          <w:b/>
          <w:bCs/>
          <w:lang w:eastAsia="en-US"/>
        </w:rPr>
      </w:pPr>
    </w:p>
    <w:p w14:paraId="309D1987" w14:textId="77777777" w:rsidR="00C27974" w:rsidRPr="00FB2F38" w:rsidRDefault="00C27974" w:rsidP="00C27974">
      <w:pPr>
        <w:autoSpaceDE w:val="0"/>
        <w:autoSpaceDN w:val="0"/>
        <w:adjustRightInd w:val="0"/>
        <w:ind w:left="720"/>
        <w:rPr>
          <w:b/>
          <w:bCs/>
          <w:lang w:eastAsia="en-US"/>
        </w:rPr>
      </w:pPr>
      <w:r w:rsidRPr="00FB2F38">
        <w:rPr>
          <w:b/>
          <w:bCs/>
          <w:lang w:eastAsia="en-US"/>
        </w:rPr>
        <w:t>159 The sum allowed for costs to be specified in the</w:t>
      </w:r>
    </w:p>
    <w:p w14:paraId="15E91DD2" w14:textId="77777777" w:rsidR="00C27974" w:rsidRPr="00FB2F38" w:rsidRDefault="00C27974" w:rsidP="00C27974">
      <w:pPr>
        <w:autoSpaceDE w:val="0"/>
        <w:autoSpaceDN w:val="0"/>
        <w:adjustRightInd w:val="0"/>
        <w:ind w:left="720"/>
        <w:rPr>
          <w:b/>
          <w:bCs/>
          <w:lang w:eastAsia="en-US"/>
        </w:rPr>
      </w:pPr>
      <w:r w:rsidRPr="00FB2F38">
        <w:rPr>
          <w:b/>
          <w:bCs/>
          <w:lang w:eastAsia="en-US"/>
        </w:rPr>
        <w:t>conviction or order</w:t>
      </w:r>
    </w:p>
    <w:p w14:paraId="2B29C999" w14:textId="77777777" w:rsidR="00C27974" w:rsidRPr="00FB2F38" w:rsidRDefault="00C27974" w:rsidP="00C27974">
      <w:pPr>
        <w:autoSpaceDE w:val="0"/>
        <w:autoSpaceDN w:val="0"/>
        <w:adjustRightInd w:val="0"/>
        <w:ind w:left="720"/>
        <w:rPr>
          <w:lang w:eastAsia="en-US"/>
        </w:rPr>
      </w:pPr>
      <w:r w:rsidRPr="00FB2F38">
        <w:rPr>
          <w:lang w:eastAsia="en-US"/>
        </w:rPr>
        <w:t>The sum so allowed for costs shall in all cases be specified in</w:t>
      </w:r>
    </w:p>
    <w:p w14:paraId="7D27B0EB" w14:textId="77777777" w:rsidR="00C27974" w:rsidRPr="00FB2F38" w:rsidRDefault="00C27974" w:rsidP="00C27974">
      <w:pPr>
        <w:autoSpaceDE w:val="0"/>
        <w:autoSpaceDN w:val="0"/>
        <w:adjustRightInd w:val="0"/>
        <w:ind w:left="720"/>
        <w:rPr>
          <w:lang w:eastAsia="en-US"/>
        </w:rPr>
      </w:pPr>
      <w:r w:rsidRPr="00FB2F38">
        <w:rPr>
          <w:lang w:eastAsia="en-US"/>
        </w:rPr>
        <w:t>the conviction or order or order of dismissal, or order striking</w:t>
      </w:r>
    </w:p>
    <w:p w14:paraId="76BB2C5E" w14:textId="77777777" w:rsidR="00C27974" w:rsidRPr="00FB2F38" w:rsidRDefault="00C27974" w:rsidP="00C27974">
      <w:pPr>
        <w:ind w:left="720"/>
      </w:pPr>
      <w:r w:rsidRPr="00FB2F38">
        <w:rPr>
          <w:lang w:eastAsia="en-US"/>
        </w:rPr>
        <w:t>out a complaint for want of jurisdiction.</w:t>
      </w:r>
    </w:p>
    <w:p w14:paraId="05A1FBE0" w14:textId="77777777" w:rsidR="00040A1D" w:rsidRPr="00FB2F38" w:rsidRDefault="00040A1D" w:rsidP="002178D2"/>
    <w:p w14:paraId="32487F3E" w14:textId="77777777" w:rsidR="007D3E63" w:rsidRPr="00FB2F38" w:rsidRDefault="00D059AF" w:rsidP="002178D2">
      <w:r w:rsidRPr="00FB2F38">
        <w:t>[5]</w:t>
      </w:r>
      <w:r w:rsidRPr="00FB2F38">
        <w:tab/>
      </w:r>
      <w:r w:rsidR="007D3E63" w:rsidRPr="00FB2F38">
        <w:t xml:space="preserve">The </w:t>
      </w:r>
      <w:r w:rsidR="007D3E63" w:rsidRPr="00FB2F38">
        <w:rPr>
          <w:i/>
        </w:rPr>
        <w:t>Justices Regulation</w:t>
      </w:r>
      <w:r w:rsidR="007D3E63" w:rsidRPr="00FB2F38">
        <w:t xml:space="preserve"> 2014 relevantly provides:</w:t>
      </w:r>
    </w:p>
    <w:p w14:paraId="22463036" w14:textId="77777777" w:rsidR="002874F5" w:rsidRPr="00FB2F38" w:rsidRDefault="002874F5" w:rsidP="00B96760">
      <w:pPr>
        <w:autoSpaceDE w:val="0"/>
        <w:autoSpaceDN w:val="0"/>
        <w:adjustRightInd w:val="0"/>
        <w:ind w:left="720"/>
        <w:rPr>
          <w:b/>
          <w:bCs/>
          <w:sz w:val="32"/>
          <w:szCs w:val="32"/>
          <w:lang w:eastAsia="en-US"/>
        </w:rPr>
      </w:pPr>
    </w:p>
    <w:p w14:paraId="79B4546A" w14:textId="77777777" w:rsidR="007D3E63" w:rsidRPr="00FB2F38" w:rsidRDefault="007D3E63" w:rsidP="00B96760">
      <w:pPr>
        <w:autoSpaceDE w:val="0"/>
        <w:autoSpaceDN w:val="0"/>
        <w:adjustRightInd w:val="0"/>
        <w:ind w:left="720"/>
        <w:rPr>
          <w:b/>
          <w:bCs/>
          <w:sz w:val="32"/>
          <w:szCs w:val="32"/>
          <w:lang w:eastAsia="en-US"/>
        </w:rPr>
      </w:pPr>
      <w:r w:rsidRPr="00FB2F38">
        <w:rPr>
          <w:b/>
          <w:bCs/>
          <w:sz w:val="32"/>
          <w:szCs w:val="32"/>
          <w:lang w:eastAsia="en-US"/>
        </w:rPr>
        <w:t>Part 6 Costs and fees</w:t>
      </w:r>
    </w:p>
    <w:p w14:paraId="16176DAE" w14:textId="77777777" w:rsidR="007D3E63" w:rsidRPr="00FB2F38" w:rsidRDefault="007D3E63" w:rsidP="00B96760">
      <w:pPr>
        <w:autoSpaceDE w:val="0"/>
        <w:autoSpaceDN w:val="0"/>
        <w:adjustRightInd w:val="0"/>
        <w:ind w:left="720"/>
        <w:rPr>
          <w:b/>
          <w:bCs/>
          <w:lang w:eastAsia="en-US"/>
        </w:rPr>
      </w:pPr>
    </w:p>
    <w:p w14:paraId="1BD779C4" w14:textId="77777777" w:rsidR="007D3E63" w:rsidRPr="00FB2F38" w:rsidRDefault="007D3E63" w:rsidP="00B96760">
      <w:pPr>
        <w:autoSpaceDE w:val="0"/>
        <w:autoSpaceDN w:val="0"/>
        <w:adjustRightInd w:val="0"/>
        <w:ind w:left="720"/>
        <w:rPr>
          <w:b/>
          <w:bCs/>
          <w:lang w:eastAsia="en-US"/>
        </w:rPr>
      </w:pPr>
      <w:r w:rsidRPr="00FB2F38">
        <w:rPr>
          <w:b/>
          <w:bCs/>
          <w:lang w:eastAsia="en-US"/>
        </w:rPr>
        <w:t>19 Scale of costs for Act, pt 6, div 8 and pt 9, div 1—Act, ss</w:t>
      </w:r>
    </w:p>
    <w:p w14:paraId="3467079B" w14:textId="77777777" w:rsidR="007D3E63" w:rsidRPr="00FB2F38" w:rsidRDefault="007D3E63" w:rsidP="00B96760">
      <w:pPr>
        <w:autoSpaceDE w:val="0"/>
        <w:autoSpaceDN w:val="0"/>
        <w:adjustRightInd w:val="0"/>
        <w:ind w:left="720"/>
        <w:rPr>
          <w:b/>
          <w:bCs/>
          <w:lang w:eastAsia="en-US"/>
        </w:rPr>
      </w:pPr>
      <w:r w:rsidRPr="00FB2F38">
        <w:rPr>
          <w:b/>
          <w:bCs/>
          <w:lang w:eastAsia="en-US"/>
        </w:rPr>
        <w:t>158B(1)(a) and 232A(1)(a)</w:t>
      </w:r>
    </w:p>
    <w:p w14:paraId="6F9B9002" w14:textId="77777777" w:rsidR="007D3E63" w:rsidRPr="00FB2F38" w:rsidRDefault="007D3E63" w:rsidP="00B96760">
      <w:pPr>
        <w:autoSpaceDE w:val="0"/>
        <w:autoSpaceDN w:val="0"/>
        <w:adjustRightInd w:val="0"/>
        <w:ind w:left="720"/>
        <w:rPr>
          <w:lang w:eastAsia="en-US"/>
        </w:rPr>
      </w:pPr>
      <w:r w:rsidRPr="00FB2F38">
        <w:rPr>
          <w:lang w:eastAsia="en-US"/>
        </w:rPr>
        <w:t>The scale of costs for part 6, division 8 and part 9, division 1</w:t>
      </w:r>
    </w:p>
    <w:p w14:paraId="3DF0A09A" w14:textId="77777777" w:rsidR="007D3E63" w:rsidRPr="00FB2F38" w:rsidRDefault="007D3E63" w:rsidP="00B96760">
      <w:pPr>
        <w:ind w:left="720"/>
        <w:rPr>
          <w:lang w:eastAsia="en-US"/>
        </w:rPr>
      </w:pPr>
      <w:r w:rsidRPr="00FB2F38">
        <w:rPr>
          <w:lang w:eastAsia="en-US"/>
        </w:rPr>
        <w:t>of the Act is in schedule 2.</w:t>
      </w:r>
    </w:p>
    <w:p w14:paraId="534E01CC" w14:textId="77777777" w:rsidR="009A5936" w:rsidRPr="00FB2F38" w:rsidRDefault="009A5936" w:rsidP="00B96760">
      <w:pPr>
        <w:autoSpaceDE w:val="0"/>
        <w:autoSpaceDN w:val="0"/>
        <w:adjustRightInd w:val="0"/>
        <w:ind w:left="720"/>
        <w:rPr>
          <w:b/>
          <w:bCs/>
          <w:sz w:val="32"/>
          <w:szCs w:val="32"/>
          <w:lang w:eastAsia="en-US"/>
        </w:rPr>
      </w:pPr>
    </w:p>
    <w:p w14:paraId="72A7BE61" w14:textId="77777777" w:rsidR="007D3E63" w:rsidRPr="00FB2F38" w:rsidRDefault="007D3E63" w:rsidP="00B96760">
      <w:pPr>
        <w:autoSpaceDE w:val="0"/>
        <w:autoSpaceDN w:val="0"/>
        <w:adjustRightInd w:val="0"/>
        <w:ind w:left="720"/>
        <w:rPr>
          <w:b/>
          <w:bCs/>
          <w:sz w:val="32"/>
          <w:szCs w:val="32"/>
          <w:lang w:eastAsia="en-US"/>
        </w:rPr>
      </w:pPr>
      <w:r w:rsidRPr="00FB2F38">
        <w:rPr>
          <w:b/>
          <w:bCs/>
          <w:sz w:val="32"/>
          <w:szCs w:val="32"/>
          <w:lang w:eastAsia="en-US"/>
        </w:rPr>
        <w:t>Schedule 2 Scale of costs for Act, part 6,</w:t>
      </w:r>
    </w:p>
    <w:p w14:paraId="283F9630" w14:textId="77777777" w:rsidR="007D3E63" w:rsidRPr="00FB2F38" w:rsidRDefault="007D3E63" w:rsidP="00B96760">
      <w:pPr>
        <w:autoSpaceDE w:val="0"/>
        <w:autoSpaceDN w:val="0"/>
        <w:adjustRightInd w:val="0"/>
        <w:ind w:left="720"/>
        <w:rPr>
          <w:b/>
          <w:bCs/>
          <w:sz w:val="32"/>
          <w:szCs w:val="32"/>
          <w:lang w:eastAsia="en-US"/>
        </w:rPr>
      </w:pPr>
      <w:r w:rsidRPr="00FB2F38">
        <w:rPr>
          <w:b/>
          <w:bCs/>
          <w:sz w:val="32"/>
          <w:szCs w:val="32"/>
          <w:lang w:eastAsia="en-US"/>
        </w:rPr>
        <w:t>division 8 and part 9, division 1</w:t>
      </w:r>
    </w:p>
    <w:p w14:paraId="2A716829" w14:textId="77777777" w:rsidR="007D3E63" w:rsidRPr="00FB2F38" w:rsidRDefault="007D3E63" w:rsidP="00B96760">
      <w:pPr>
        <w:autoSpaceDE w:val="0"/>
        <w:autoSpaceDN w:val="0"/>
        <w:adjustRightInd w:val="0"/>
        <w:ind w:left="720"/>
        <w:rPr>
          <w:b/>
          <w:bCs/>
          <w:sz w:val="32"/>
          <w:szCs w:val="32"/>
          <w:lang w:eastAsia="en-US"/>
        </w:rPr>
      </w:pPr>
      <w:r w:rsidRPr="00FB2F38">
        <w:rPr>
          <w:b/>
          <w:bCs/>
          <w:sz w:val="32"/>
          <w:szCs w:val="32"/>
          <w:lang w:eastAsia="en-US"/>
        </w:rPr>
        <w:t>Part 1 General</w:t>
      </w:r>
    </w:p>
    <w:p w14:paraId="5BB5B3A0" w14:textId="77777777" w:rsidR="00F07FD0" w:rsidRPr="00FB2F38" w:rsidRDefault="00F07FD0" w:rsidP="00B96760">
      <w:pPr>
        <w:autoSpaceDE w:val="0"/>
        <w:autoSpaceDN w:val="0"/>
        <w:adjustRightInd w:val="0"/>
        <w:ind w:left="720"/>
        <w:rPr>
          <w:b/>
          <w:bCs/>
          <w:lang w:eastAsia="en-US"/>
        </w:rPr>
      </w:pPr>
    </w:p>
    <w:p w14:paraId="64B8ECF2" w14:textId="77777777" w:rsidR="007D3E63" w:rsidRPr="00FB2F38" w:rsidRDefault="007D3E63" w:rsidP="00B96760">
      <w:pPr>
        <w:autoSpaceDE w:val="0"/>
        <w:autoSpaceDN w:val="0"/>
        <w:adjustRightInd w:val="0"/>
        <w:ind w:left="720"/>
        <w:rPr>
          <w:b/>
          <w:bCs/>
          <w:lang w:eastAsia="en-US"/>
        </w:rPr>
      </w:pPr>
      <w:r w:rsidRPr="00FB2F38">
        <w:rPr>
          <w:b/>
          <w:bCs/>
          <w:lang w:eastAsia="en-US"/>
        </w:rPr>
        <w:t>1 Scale sets out amounts up to which costs may be</w:t>
      </w:r>
    </w:p>
    <w:p w14:paraId="2566E85E" w14:textId="77777777" w:rsidR="007D3E63" w:rsidRPr="00FB2F38" w:rsidRDefault="007D3E63" w:rsidP="00B96760">
      <w:pPr>
        <w:autoSpaceDE w:val="0"/>
        <w:autoSpaceDN w:val="0"/>
        <w:adjustRightInd w:val="0"/>
        <w:ind w:left="720"/>
        <w:rPr>
          <w:b/>
          <w:bCs/>
          <w:lang w:eastAsia="en-US"/>
        </w:rPr>
      </w:pPr>
      <w:r w:rsidRPr="00FB2F38">
        <w:rPr>
          <w:b/>
          <w:bCs/>
          <w:lang w:eastAsia="en-US"/>
        </w:rPr>
        <w:t>allowed</w:t>
      </w:r>
    </w:p>
    <w:p w14:paraId="77ED1990" w14:textId="77777777" w:rsidR="007D3E63" w:rsidRPr="00FB2F38" w:rsidRDefault="007D3E63" w:rsidP="00B96760">
      <w:pPr>
        <w:autoSpaceDE w:val="0"/>
        <w:autoSpaceDN w:val="0"/>
        <w:adjustRightInd w:val="0"/>
        <w:ind w:left="720"/>
        <w:rPr>
          <w:lang w:eastAsia="en-US"/>
        </w:rPr>
      </w:pPr>
      <w:r w:rsidRPr="00FB2F38">
        <w:rPr>
          <w:lang w:eastAsia="en-US"/>
        </w:rPr>
        <w:t>This scale sets out—</w:t>
      </w:r>
    </w:p>
    <w:p w14:paraId="5DFAAB16" w14:textId="77777777" w:rsidR="007D3E63" w:rsidRPr="00FB2F38" w:rsidRDefault="007D3E63" w:rsidP="00EC502A">
      <w:pPr>
        <w:autoSpaceDE w:val="0"/>
        <w:autoSpaceDN w:val="0"/>
        <w:adjustRightInd w:val="0"/>
        <w:ind w:left="720" w:firstLine="720"/>
        <w:rPr>
          <w:lang w:eastAsia="en-US"/>
        </w:rPr>
      </w:pPr>
      <w:r w:rsidRPr="00FB2F38">
        <w:rPr>
          <w:lang w:eastAsia="en-US"/>
        </w:rPr>
        <w:t>(a) the only items for which costs may be allowed for part</w:t>
      </w:r>
    </w:p>
    <w:p w14:paraId="74825BE8" w14:textId="77777777" w:rsidR="007D3E63" w:rsidRPr="00FB2F38" w:rsidRDefault="007D3E63" w:rsidP="00EC502A">
      <w:pPr>
        <w:autoSpaceDE w:val="0"/>
        <w:autoSpaceDN w:val="0"/>
        <w:adjustRightInd w:val="0"/>
        <w:ind w:left="720" w:firstLine="720"/>
        <w:rPr>
          <w:lang w:eastAsia="en-US"/>
        </w:rPr>
      </w:pPr>
      <w:r w:rsidRPr="00FB2F38">
        <w:rPr>
          <w:lang w:eastAsia="en-US"/>
        </w:rPr>
        <w:lastRenderedPageBreak/>
        <w:t>6, division 8 and part 9, division 1 of the Act; and</w:t>
      </w:r>
    </w:p>
    <w:p w14:paraId="480CC938" w14:textId="77777777" w:rsidR="007D3E63" w:rsidRPr="00FB2F38" w:rsidRDefault="007D3E63" w:rsidP="00EC502A">
      <w:pPr>
        <w:autoSpaceDE w:val="0"/>
        <w:autoSpaceDN w:val="0"/>
        <w:adjustRightInd w:val="0"/>
        <w:ind w:left="720" w:firstLine="720"/>
        <w:rPr>
          <w:lang w:eastAsia="en-US"/>
        </w:rPr>
      </w:pPr>
      <w:r w:rsidRPr="00FB2F38">
        <w:rPr>
          <w:lang w:eastAsia="en-US"/>
        </w:rPr>
        <w:t>(b) the amount up to which costs may be allowed for each</w:t>
      </w:r>
    </w:p>
    <w:p w14:paraId="2D903F96" w14:textId="77777777" w:rsidR="007D3E63" w:rsidRPr="00FB2F38" w:rsidRDefault="007D3E63" w:rsidP="00EC502A">
      <w:pPr>
        <w:autoSpaceDE w:val="0"/>
        <w:autoSpaceDN w:val="0"/>
        <w:adjustRightInd w:val="0"/>
        <w:ind w:left="720" w:firstLine="720"/>
        <w:rPr>
          <w:lang w:eastAsia="en-US"/>
        </w:rPr>
      </w:pPr>
      <w:r w:rsidRPr="00FB2F38">
        <w:rPr>
          <w:lang w:eastAsia="en-US"/>
        </w:rPr>
        <w:t>item.</w:t>
      </w:r>
    </w:p>
    <w:p w14:paraId="11E439F5" w14:textId="77777777" w:rsidR="00F07FD0" w:rsidRPr="00FB2F38" w:rsidRDefault="00F07FD0" w:rsidP="00B96760">
      <w:pPr>
        <w:autoSpaceDE w:val="0"/>
        <w:autoSpaceDN w:val="0"/>
        <w:adjustRightInd w:val="0"/>
        <w:ind w:left="720"/>
        <w:rPr>
          <w:b/>
          <w:bCs/>
          <w:lang w:eastAsia="en-US"/>
        </w:rPr>
      </w:pPr>
    </w:p>
    <w:p w14:paraId="7B902505" w14:textId="77777777" w:rsidR="007D3E63" w:rsidRPr="00FB2F38" w:rsidRDefault="007D3E63" w:rsidP="00B96760">
      <w:pPr>
        <w:autoSpaceDE w:val="0"/>
        <w:autoSpaceDN w:val="0"/>
        <w:adjustRightInd w:val="0"/>
        <w:ind w:left="720"/>
        <w:rPr>
          <w:b/>
          <w:bCs/>
          <w:lang w:eastAsia="en-US"/>
        </w:rPr>
      </w:pPr>
      <w:r w:rsidRPr="00FB2F38">
        <w:rPr>
          <w:b/>
          <w:bCs/>
          <w:lang w:eastAsia="en-US"/>
        </w:rPr>
        <w:t>2 Item of costs covers all legal professional work</w:t>
      </w:r>
    </w:p>
    <w:p w14:paraId="63E939C9" w14:textId="77777777" w:rsidR="007D3E63" w:rsidRPr="00FB2F38" w:rsidRDefault="007D3E63" w:rsidP="00B96760">
      <w:pPr>
        <w:autoSpaceDE w:val="0"/>
        <w:autoSpaceDN w:val="0"/>
        <w:adjustRightInd w:val="0"/>
        <w:ind w:left="720"/>
        <w:rPr>
          <w:lang w:eastAsia="en-US"/>
        </w:rPr>
      </w:pPr>
      <w:r w:rsidRPr="00FB2F38">
        <w:rPr>
          <w:lang w:eastAsia="en-US"/>
        </w:rPr>
        <w:t>An item in part 2 covers all legal professional work, even if</w:t>
      </w:r>
    </w:p>
    <w:p w14:paraId="055AAF5C" w14:textId="77777777" w:rsidR="007D3E63" w:rsidRPr="00FB2F38" w:rsidRDefault="007D3E63" w:rsidP="00B96760">
      <w:pPr>
        <w:autoSpaceDE w:val="0"/>
        <w:autoSpaceDN w:val="0"/>
        <w:adjustRightInd w:val="0"/>
        <w:ind w:left="720"/>
        <w:rPr>
          <w:lang w:eastAsia="en-US"/>
        </w:rPr>
      </w:pPr>
      <w:r w:rsidRPr="00FB2F38">
        <w:rPr>
          <w:lang w:eastAsia="en-US"/>
        </w:rPr>
        <w:t>the work is done by more than 1 lawyer.</w:t>
      </w:r>
    </w:p>
    <w:p w14:paraId="03062003" w14:textId="77777777" w:rsidR="00F07FD0" w:rsidRPr="00FB2F38" w:rsidRDefault="00F07FD0" w:rsidP="00B96760">
      <w:pPr>
        <w:autoSpaceDE w:val="0"/>
        <w:autoSpaceDN w:val="0"/>
        <w:adjustRightInd w:val="0"/>
        <w:ind w:left="720"/>
        <w:rPr>
          <w:b/>
          <w:bCs/>
          <w:lang w:eastAsia="en-US"/>
        </w:rPr>
      </w:pPr>
    </w:p>
    <w:p w14:paraId="1D06C06D" w14:textId="77777777" w:rsidR="007D3E63" w:rsidRPr="00FB2F38" w:rsidRDefault="007D3E63" w:rsidP="00B96760">
      <w:pPr>
        <w:autoSpaceDE w:val="0"/>
        <w:autoSpaceDN w:val="0"/>
        <w:adjustRightInd w:val="0"/>
        <w:ind w:left="720"/>
        <w:rPr>
          <w:b/>
          <w:bCs/>
          <w:lang w:eastAsia="en-US"/>
        </w:rPr>
      </w:pPr>
      <w:r w:rsidRPr="00FB2F38">
        <w:rPr>
          <w:b/>
          <w:bCs/>
          <w:lang w:eastAsia="en-US"/>
        </w:rPr>
        <w:t>3 Only necessary or proper costs may be allowed</w:t>
      </w:r>
    </w:p>
    <w:p w14:paraId="2710C4F5" w14:textId="77777777" w:rsidR="007D3E63" w:rsidRPr="00FB2F38" w:rsidRDefault="007D3E63" w:rsidP="00B96760">
      <w:pPr>
        <w:autoSpaceDE w:val="0"/>
        <w:autoSpaceDN w:val="0"/>
        <w:adjustRightInd w:val="0"/>
        <w:ind w:left="720"/>
        <w:rPr>
          <w:lang w:eastAsia="en-US"/>
        </w:rPr>
      </w:pPr>
      <w:r w:rsidRPr="00FB2F38">
        <w:rPr>
          <w:lang w:eastAsia="en-US"/>
        </w:rPr>
        <w:t>A cost is to be allowed only to the extent to which—</w:t>
      </w:r>
    </w:p>
    <w:p w14:paraId="4960ADB1" w14:textId="77777777" w:rsidR="007D3E63" w:rsidRPr="00FB2F38" w:rsidRDefault="007D3E63" w:rsidP="00EC502A">
      <w:pPr>
        <w:autoSpaceDE w:val="0"/>
        <w:autoSpaceDN w:val="0"/>
        <w:adjustRightInd w:val="0"/>
        <w:ind w:left="720" w:firstLine="720"/>
        <w:rPr>
          <w:lang w:eastAsia="en-US"/>
        </w:rPr>
      </w:pPr>
      <w:r w:rsidRPr="00FB2F38">
        <w:rPr>
          <w:lang w:eastAsia="en-US"/>
        </w:rPr>
        <w:t>(a) incurring the cost was necessary or proper to achieve</w:t>
      </w:r>
    </w:p>
    <w:p w14:paraId="1CF42C1B" w14:textId="77777777" w:rsidR="007D3E63" w:rsidRPr="00FB2F38" w:rsidRDefault="007D3E63" w:rsidP="00EC502A">
      <w:pPr>
        <w:autoSpaceDE w:val="0"/>
        <w:autoSpaceDN w:val="0"/>
        <w:adjustRightInd w:val="0"/>
        <w:ind w:left="720" w:firstLine="720"/>
        <w:rPr>
          <w:lang w:eastAsia="en-US"/>
        </w:rPr>
      </w:pPr>
      <w:r w:rsidRPr="00FB2F38">
        <w:rPr>
          <w:lang w:eastAsia="en-US"/>
        </w:rPr>
        <w:t>justice or to defend the rights of the party; or</w:t>
      </w:r>
    </w:p>
    <w:p w14:paraId="5E4CC240" w14:textId="77777777" w:rsidR="007D3E63" w:rsidRPr="00FB2F38" w:rsidRDefault="007D3E63" w:rsidP="00EC502A">
      <w:pPr>
        <w:autoSpaceDE w:val="0"/>
        <w:autoSpaceDN w:val="0"/>
        <w:adjustRightInd w:val="0"/>
        <w:ind w:left="720" w:firstLine="720"/>
        <w:rPr>
          <w:lang w:eastAsia="en-US"/>
        </w:rPr>
      </w:pPr>
      <w:r w:rsidRPr="00FB2F38">
        <w:rPr>
          <w:lang w:eastAsia="en-US"/>
        </w:rPr>
        <w:t>(b) the cost was not incurred by over-caution, negligence,</w:t>
      </w:r>
    </w:p>
    <w:p w14:paraId="41C5052A" w14:textId="77777777" w:rsidR="00F07FD0" w:rsidRPr="00FB2F38" w:rsidRDefault="007D3E63" w:rsidP="00EC502A">
      <w:pPr>
        <w:ind w:left="720" w:firstLine="720"/>
        <w:rPr>
          <w:lang w:eastAsia="en-US"/>
        </w:rPr>
      </w:pPr>
      <w:r w:rsidRPr="00FB2F38">
        <w:rPr>
          <w:lang w:eastAsia="en-US"/>
        </w:rPr>
        <w:t>mistake or merely at the wish of the party.</w:t>
      </w:r>
    </w:p>
    <w:p w14:paraId="3E63F606" w14:textId="77777777" w:rsidR="00F07FD0" w:rsidRPr="00FB2F38" w:rsidRDefault="00F07FD0" w:rsidP="00B96760">
      <w:pPr>
        <w:ind w:left="720"/>
        <w:rPr>
          <w:lang w:eastAsia="en-US"/>
        </w:rPr>
      </w:pPr>
    </w:p>
    <w:p w14:paraId="1BE20EE3" w14:textId="77777777" w:rsidR="00F07FD0" w:rsidRPr="00FB2F38" w:rsidRDefault="00F07FD0" w:rsidP="00B96760">
      <w:pPr>
        <w:autoSpaceDE w:val="0"/>
        <w:autoSpaceDN w:val="0"/>
        <w:adjustRightInd w:val="0"/>
        <w:ind w:left="720"/>
        <w:rPr>
          <w:b/>
          <w:bCs/>
          <w:sz w:val="32"/>
          <w:szCs w:val="32"/>
          <w:lang w:eastAsia="en-US"/>
        </w:rPr>
      </w:pPr>
      <w:r w:rsidRPr="00FB2F38">
        <w:rPr>
          <w:b/>
          <w:bCs/>
          <w:sz w:val="32"/>
          <w:szCs w:val="32"/>
          <w:lang w:eastAsia="en-US"/>
        </w:rPr>
        <w:t>Part 2 Amounts up to which costs</w:t>
      </w:r>
    </w:p>
    <w:p w14:paraId="4A61D19D" w14:textId="77777777" w:rsidR="00F07FD0" w:rsidRPr="00FB2F38" w:rsidRDefault="00F07FD0" w:rsidP="00B96760">
      <w:pPr>
        <w:autoSpaceDE w:val="0"/>
        <w:autoSpaceDN w:val="0"/>
        <w:adjustRightInd w:val="0"/>
        <w:ind w:left="720"/>
        <w:rPr>
          <w:b/>
          <w:bCs/>
          <w:sz w:val="32"/>
          <w:szCs w:val="32"/>
          <w:lang w:eastAsia="en-US"/>
        </w:rPr>
      </w:pPr>
      <w:r w:rsidRPr="00FB2F38">
        <w:rPr>
          <w:b/>
          <w:bCs/>
          <w:sz w:val="32"/>
          <w:szCs w:val="32"/>
          <w:lang w:eastAsia="en-US"/>
        </w:rPr>
        <w:t>may be allowed for legal</w:t>
      </w:r>
    </w:p>
    <w:p w14:paraId="25B341E3" w14:textId="77777777" w:rsidR="00F07FD0" w:rsidRPr="00FB2F38" w:rsidRDefault="00F07FD0" w:rsidP="00B96760">
      <w:pPr>
        <w:autoSpaceDE w:val="0"/>
        <w:autoSpaceDN w:val="0"/>
        <w:adjustRightInd w:val="0"/>
        <w:ind w:left="720"/>
        <w:rPr>
          <w:b/>
          <w:bCs/>
          <w:sz w:val="32"/>
          <w:szCs w:val="32"/>
          <w:lang w:eastAsia="en-US"/>
        </w:rPr>
      </w:pPr>
      <w:r w:rsidRPr="00FB2F38">
        <w:rPr>
          <w:b/>
          <w:bCs/>
          <w:sz w:val="32"/>
          <w:szCs w:val="32"/>
          <w:lang w:eastAsia="en-US"/>
        </w:rPr>
        <w:t>professional work</w:t>
      </w:r>
    </w:p>
    <w:p w14:paraId="68F370BD" w14:textId="77777777" w:rsidR="002A374C" w:rsidRPr="00FB2F38" w:rsidRDefault="002A374C" w:rsidP="00B96760">
      <w:pPr>
        <w:autoSpaceDE w:val="0"/>
        <w:autoSpaceDN w:val="0"/>
        <w:adjustRightInd w:val="0"/>
        <w:ind w:left="720"/>
        <w:rPr>
          <w:b/>
          <w:bCs/>
          <w:sz w:val="32"/>
          <w:szCs w:val="32"/>
          <w:lang w:eastAsia="en-US"/>
        </w:rPr>
      </w:pPr>
    </w:p>
    <w:p w14:paraId="5E38E33E" w14:textId="77777777" w:rsidR="002A374C" w:rsidRPr="00FB2F38" w:rsidRDefault="002A374C" w:rsidP="00B96760">
      <w:pPr>
        <w:autoSpaceDE w:val="0"/>
        <w:autoSpaceDN w:val="0"/>
        <w:adjustRightInd w:val="0"/>
        <w:ind w:left="720"/>
        <w:rPr>
          <w:b/>
          <w:bCs/>
          <w:lang w:eastAsia="en-US"/>
        </w:rPr>
      </w:pPr>
      <w:r w:rsidRPr="00FB2F38">
        <w:rPr>
          <w:b/>
          <w:bCs/>
          <w:lang w:eastAsia="en-US"/>
        </w:rPr>
        <w:t>Work for hearing of complaint up to and</w:t>
      </w:r>
    </w:p>
    <w:p w14:paraId="4772A088" w14:textId="77777777" w:rsidR="002A374C" w:rsidRPr="00FB2F38" w:rsidRDefault="002A374C" w:rsidP="00B96760">
      <w:pPr>
        <w:autoSpaceDE w:val="0"/>
        <w:autoSpaceDN w:val="0"/>
        <w:adjustRightInd w:val="0"/>
        <w:ind w:left="720"/>
        <w:rPr>
          <w:b/>
          <w:bCs/>
          <w:lang w:eastAsia="en-US"/>
        </w:rPr>
      </w:pPr>
      <w:r w:rsidRPr="00FB2F38">
        <w:rPr>
          <w:b/>
          <w:bCs/>
          <w:lang w:eastAsia="en-US"/>
        </w:rPr>
        <w:t>including day 1</w:t>
      </w:r>
    </w:p>
    <w:p w14:paraId="13856789" w14:textId="77777777" w:rsidR="009249CF" w:rsidRPr="00FB2F38" w:rsidRDefault="002A374C" w:rsidP="00B96760">
      <w:pPr>
        <w:autoSpaceDE w:val="0"/>
        <w:autoSpaceDN w:val="0"/>
        <w:adjustRightInd w:val="0"/>
        <w:ind w:left="720"/>
        <w:rPr>
          <w:lang w:eastAsia="en-US"/>
        </w:rPr>
      </w:pPr>
      <w:r w:rsidRPr="00FB2F38">
        <w:rPr>
          <w:lang w:eastAsia="en-US"/>
        </w:rPr>
        <w:t>1 Instructions and preparation for the hearing,</w:t>
      </w:r>
      <w:r w:rsidR="009249CF" w:rsidRPr="00FB2F38">
        <w:rPr>
          <w:lang w:eastAsia="en-US"/>
        </w:rPr>
        <w:t xml:space="preserve"> </w:t>
      </w:r>
      <w:r w:rsidRPr="00FB2F38">
        <w:rPr>
          <w:lang w:eastAsia="en-US"/>
        </w:rPr>
        <w:t xml:space="preserve">including </w:t>
      </w:r>
    </w:p>
    <w:p w14:paraId="7FE1BC58" w14:textId="77777777" w:rsidR="002A374C" w:rsidRPr="00FB2F38" w:rsidRDefault="002A374C" w:rsidP="00B96760">
      <w:pPr>
        <w:autoSpaceDE w:val="0"/>
        <w:autoSpaceDN w:val="0"/>
        <w:adjustRightInd w:val="0"/>
        <w:ind w:left="720"/>
        <w:rPr>
          <w:lang w:eastAsia="en-US"/>
        </w:rPr>
      </w:pPr>
      <w:r w:rsidRPr="00FB2F38">
        <w:rPr>
          <w:lang w:eastAsia="en-US"/>
        </w:rPr>
        <w:t>attendance on day 1 of the hearing</w:t>
      </w:r>
      <w:r w:rsidR="009249CF" w:rsidRPr="00FB2F38">
        <w:rPr>
          <w:lang w:eastAsia="en-US"/>
        </w:rPr>
        <w:t xml:space="preserve"> .</w:t>
      </w:r>
      <w:r w:rsidR="00A35724" w:rsidRPr="00FB2F38">
        <w:rPr>
          <w:lang w:eastAsia="en-US"/>
        </w:rPr>
        <w:t>….</w:t>
      </w:r>
      <w:r w:rsidRPr="00FB2F38">
        <w:rPr>
          <w:lang w:eastAsia="en-US"/>
        </w:rPr>
        <w:t>up to $1,500.00</w:t>
      </w:r>
    </w:p>
    <w:p w14:paraId="12038A69" w14:textId="77777777" w:rsidR="002A374C" w:rsidRPr="00FB2F38" w:rsidRDefault="002A374C" w:rsidP="00B96760">
      <w:pPr>
        <w:autoSpaceDE w:val="0"/>
        <w:autoSpaceDN w:val="0"/>
        <w:adjustRightInd w:val="0"/>
        <w:ind w:left="720"/>
        <w:rPr>
          <w:b/>
          <w:bCs/>
          <w:lang w:eastAsia="en-US"/>
        </w:rPr>
      </w:pPr>
      <w:r w:rsidRPr="00FB2F38">
        <w:rPr>
          <w:b/>
          <w:bCs/>
          <w:lang w:eastAsia="en-US"/>
        </w:rPr>
        <w:t>After day 1</w:t>
      </w:r>
    </w:p>
    <w:p w14:paraId="2CE19D29" w14:textId="77777777" w:rsidR="002A374C" w:rsidRPr="00FB2F38" w:rsidRDefault="002A374C" w:rsidP="00B96760">
      <w:pPr>
        <w:autoSpaceDE w:val="0"/>
        <w:autoSpaceDN w:val="0"/>
        <w:adjustRightInd w:val="0"/>
        <w:ind w:left="720"/>
        <w:rPr>
          <w:lang w:eastAsia="en-US"/>
        </w:rPr>
      </w:pPr>
      <w:r w:rsidRPr="00FB2F38">
        <w:rPr>
          <w:lang w:eastAsia="en-US"/>
        </w:rPr>
        <w:t>2 For each day of the hearing after day 1 up to $875.00</w:t>
      </w:r>
    </w:p>
    <w:p w14:paraId="6656FE84" w14:textId="77777777" w:rsidR="002A374C" w:rsidRPr="00FB2F38" w:rsidRDefault="002A374C" w:rsidP="00B96760">
      <w:pPr>
        <w:autoSpaceDE w:val="0"/>
        <w:autoSpaceDN w:val="0"/>
        <w:adjustRightInd w:val="0"/>
        <w:ind w:left="720"/>
        <w:rPr>
          <w:b/>
          <w:bCs/>
          <w:lang w:eastAsia="en-US"/>
        </w:rPr>
      </w:pPr>
      <w:r w:rsidRPr="00FB2F38">
        <w:rPr>
          <w:b/>
          <w:bCs/>
          <w:lang w:eastAsia="en-US"/>
        </w:rPr>
        <w:t>Other court attendances</w:t>
      </w:r>
    </w:p>
    <w:p w14:paraId="326EF8E0" w14:textId="77777777" w:rsidR="002A374C" w:rsidRPr="00FB2F38" w:rsidRDefault="002A374C" w:rsidP="00B96760">
      <w:pPr>
        <w:autoSpaceDE w:val="0"/>
        <w:autoSpaceDN w:val="0"/>
        <w:adjustRightInd w:val="0"/>
        <w:ind w:left="720"/>
        <w:rPr>
          <w:lang w:eastAsia="en-US"/>
        </w:rPr>
      </w:pPr>
      <w:r w:rsidRPr="00FB2F38">
        <w:rPr>
          <w:lang w:eastAsia="en-US"/>
        </w:rPr>
        <w:t>3 Court attendance, other than on the hearing of the</w:t>
      </w:r>
    </w:p>
    <w:p w14:paraId="664E8AEE" w14:textId="77777777" w:rsidR="002A374C" w:rsidRPr="00FB2F38" w:rsidRDefault="002A374C" w:rsidP="00B96760">
      <w:pPr>
        <w:autoSpaceDE w:val="0"/>
        <w:autoSpaceDN w:val="0"/>
        <w:adjustRightInd w:val="0"/>
        <w:ind w:left="720"/>
        <w:rPr>
          <w:b/>
          <w:bCs/>
          <w:sz w:val="32"/>
          <w:szCs w:val="32"/>
          <w:lang w:eastAsia="en-US"/>
        </w:rPr>
      </w:pPr>
      <w:r w:rsidRPr="00FB2F38">
        <w:rPr>
          <w:lang w:eastAsia="en-US"/>
        </w:rPr>
        <w:t xml:space="preserve">complaint </w:t>
      </w:r>
      <w:r w:rsidR="00A35724" w:rsidRPr="00FB2F38">
        <w:rPr>
          <w:lang w:eastAsia="en-US"/>
        </w:rPr>
        <w:t>………………………………</w:t>
      </w:r>
      <w:r w:rsidRPr="00FB2F38">
        <w:rPr>
          <w:lang w:eastAsia="en-US"/>
        </w:rPr>
        <w:t>up to $250.00</w:t>
      </w:r>
    </w:p>
    <w:p w14:paraId="6E34B954" w14:textId="77777777" w:rsidR="002A374C" w:rsidRPr="00FB2F38" w:rsidRDefault="002A374C" w:rsidP="00B96760">
      <w:pPr>
        <w:autoSpaceDE w:val="0"/>
        <w:autoSpaceDN w:val="0"/>
        <w:adjustRightInd w:val="0"/>
        <w:ind w:left="720"/>
        <w:rPr>
          <w:b/>
          <w:bCs/>
          <w:sz w:val="32"/>
          <w:szCs w:val="32"/>
          <w:lang w:eastAsia="en-US"/>
        </w:rPr>
      </w:pPr>
    </w:p>
    <w:p w14:paraId="77B6C8CB" w14:textId="77777777" w:rsidR="00F07FD0" w:rsidRPr="00FB2F38" w:rsidRDefault="00F07FD0" w:rsidP="00B96760">
      <w:pPr>
        <w:autoSpaceDE w:val="0"/>
        <w:autoSpaceDN w:val="0"/>
        <w:adjustRightInd w:val="0"/>
        <w:ind w:left="720"/>
        <w:rPr>
          <w:b/>
          <w:bCs/>
          <w:sz w:val="32"/>
          <w:szCs w:val="32"/>
          <w:lang w:eastAsia="en-US"/>
        </w:rPr>
      </w:pPr>
      <w:r w:rsidRPr="00FB2F38">
        <w:rPr>
          <w:b/>
          <w:bCs/>
          <w:sz w:val="32"/>
          <w:szCs w:val="32"/>
          <w:lang w:eastAsia="en-US"/>
        </w:rPr>
        <w:t>Part 3 Disbursements (including</w:t>
      </w:r>
    </w:p>
    <w:p w14:paraId="3A42088F" w14:textId="77777777" w:rsidR="00F07FD0" w:rsidRPr="00FB2F38" w:rsidRDefault="00F07FD0" w:rsidP="00B96760">
      <w:pPr>
        <w:autoSpaceDE w:val="0"/>
        <w:autoSpaceDN w:val="0"/>
        <w:adjustRightInd w:val="0"/>
        <w:ind w:left="720"/>
        <w:rPr>
          <w:b/>
          <w:bCs/>
          <w:sz w:val="32"/>
          <w:szCs w:val="32"/>
          <w:lang w:eastAsia="en-US"/>
        </w:rPr>
      </w:pPr>
      <w:r w:rsidRPr="00FB2F38">
        <w:rPr>
          <w:b/>
          <w:bCs/>
          <w:sz w:val="32"/>
          <w:szCs w:val="32"/>
          <w:lang w:eastAsia="en-US"/>
        </w:rPr>
        <w:t>disbursements to witnesses</w:t>
      </w:r>
    </w:p>
    <w:p w14:paraId="124F36AF" w14:textId="77777777" w:rsidR="00F07FD0" w:rsidRPr="00FB2F38" w:rsidRDefault="00F07FD0" w:rsidP="00B96760">
      <w:pPr>
        <w:autoSpaceDE w:val="0"/>
        <w:autoSpaceDN w:val="0"/>
        <w:adjustRightInd w:val="0"/>
        <w:ind w:left="720"/>
        <w:rPr>
          <w:b/>
          <w:bCs/>
          <w:sz w:val="32"/>
          <w:szCs w:val="32"/>
          <w:lang w:eastAsia="en-US"/>
        </w:rPr>
      </w:pPr>
      <w:r w:rsidRPr="00FB2F38">
        <w:rPr>
          <w:b/>
          <w:bCs/>
          <w:sz w:val="32"/>
          <w:szCs w:val="32"/>
          <w:lang w:eastAsia="en-US"/>
        </w:rPr>
        <w:t>and interpreters)</w:t>
      </w:r>
    </w:p>
    <w:p w14:paraId="03F19E29" w14:textId="77777777" w:rsidR="002A374C" w:rsidRPr="00FB2F38" w:rsidRDefault="002A374C" w:rsidP="00B96760">
      <w:pPr>
        <w:autoSpaceDE w:val="0"/>
        <w:autoSpaceDN w:val="0"/>
        <w:adjustRightInd w:val="0"/>
        <w:ind w:left="720"/>
        <w:rPr>
          <w:b/>
          <w:bCs/>
          <w:lang w:eastAsia="en-US"/>
        </w:rPr>
      </w:pPr>
    </w:p>
    <w:p w14:paraId="674D426A" w14:textId="77777777" w:rsidR="00F07FD0" w:rsidRPr="00FB2F38" w:rsidRDefault="00F07FD0" w:rsidP="00B96760">
      <w:pPr>
        <w:autoSpaceDE w:val="0"/>
        <w:autoSpaceDN w:val="0"/>
        <w:adjustRightInd w:val="0"/>
        <w:ind w:left="720"/>
        <w:rPr>
          <w:b/>
          <w:bCs/>
          <w:lang w:eastAsia="en-US"/>
        </w:rPr>
      </w:pPr>
      <w:r w:rsidRPr="00FB2F38">
        <w:rPr>
          <w:b/>
          <w:bCs/>
          <w:lang w:eastAsia="en-US"/>
        </w:rPr>
        <w:t>5 Disbursements, other than to witness for attending</w:t>
      </w:r>
    </w:p>
    <w:p w14:paraId="19F9CD34" w14:textId="77777777" w:rsidR="008C542A" w:rsidRPr="00FB2F38" w:rsidRDefault="00F07FD0" w:rsidP="00B96760">
      <w:pPr>
        <w:autoSpaceDE w:val="0"/>
        <w:autoSpaceDN w:val="0"/>
        <w:adjustRightInd w:val="0"/>
        <w:ind w:left="720"/>
        <w:rPr>
          <w:lang w:eastAsia="en-US"/>
        </w:rPr>
      </w:pPr>
      <w:r w:rsidRPr="00FB2F38">
        <w:rPr>
          <w:lang w:eastAsia="en-US"/>
        </w:rPr>
        <w:t>Court fees and other fees and payments (other than</w:t>
      </w:r>
      <w:r w:rsidR="008C542A" w:rsidRPr="00FB2F38">
        <w:rPr>
          <w:lang w:eastAsia="en-US"/>
        </w:rPr>
        <w:t xml:space="preserve"> </w:t>
      </w:r>
      <w:r w:rsidRPr="00FB2F38">
        <w:rPr>
          <w:lang w:eastAsia="en-US"/>
        </w:rPr>
        <w:t>allowances</w:t>
      </w:r>
    </w:p>
    <w:p w14:paraId="1F41FE90" w14:textId="77777777" w:rsidR="008C542A" w:rsidRPr="00FB2F38" w:rsidRDefault="00F07FD0" w:rsidP="00B96760">
      <w:pPr>
        <w:autoSpaceDE w:val="0"/>
        <w:autoSpaceDN w:val="0"/>
        <w:adjustRightInd w:val="0"/>
        <w:ind w:left="720"/>
        <w:rPr>
          <w:lang w:eastAsia="en-US"/>
        </w:rPr>
      </w:pPr>
      <w:r w:rsidRPr="00FB2F38">
        <w:rPr>
          <w:lang w:eastAsia="en-US"/>
        </w:rPr>
        <w:t xml:space="preserve"> to witnesses to attend proceedings) including</w:t>
      </w:r>
      <w:r w:rsidR="008C542A" w:rsidRPr="00FB2F38">
        <w:rPr>
          <w:lang w:eastAsia="en-US"/>
        </w:rPr>
        <w:t xml:space="preserve"> </w:t>
      </w:r>
      <w:r w:rsidRPr="00FB2F38">
        <w:rPr>
          <w:lang w:eastAsia="en-US"/>
        </w:rPr>
        <w:t>allowances to</w:t>
      </w:r>
    </w:p>
    <w:p w14:paraId="41CF9668" w14:textId="77777777" w:rsidR="008C542A" w:rsidRPr="00FB2F38" w:rsidRDefault="00F07FD0" w:rsidP="00B96760">
      <w:pPr>
        <w:autoSpaceDE w:val="0"/>
        <w:autoSpaceDN w:val="0"/>
        <w:adjustRightInd w:val="0"/>
        <w:ind w:left="720"/>
        <w:rPr>
          <w:lang w:eastAsia="en-US"/>
        </w:rPr>
      </w:pPr>
      <w:r w:rsidRPr="00FB2F38">
        <w:rPr>
          <w:lang w:eastAsia="en-US"/>
        </w:rPr>
        <w:t>interpreters, and travelling, accommodation and</w:t>
      </w:r>
      <w:r w:rsidR="008C542A" w:rsidRPr="00FB2F38">
        <w:rPr>
          <w:lang w:eastAsia="en-US"/>
        </w:rPr>
        <w:t xml:space="preserve"> </w:t>
      </w:r>
      <w:r w:rsidRPr="00FB2F38">
        <w:rPr>
          <w:lang w:eastAsia="en-US"/>
        </w:rPr>
        <w:t>other expenses</w:t>
      </w:r>
    </w:p>
    <w:p w14:paraId="53C9E12E" w14:textId="77777777" w:rsidR="008C542A" w:rsidRPr="00FB2F38" w:rsidRDefault="00F07FD0" w:rsidP="00B96760">
      <w:pPr>
        <w:autoSpaceDE w:val="0"/>
        <w:autoSpaceDN w:val="0"/>
        <w:adjustRightInd w:val="0"/>
        <w:ind w:left="720"/>
        <w:rPr>
          <w:lang w:eastAsia="en-US"/>
        </w:rPr>
      </w:pPr>
      <w:r w:rsidRPr="00FB2F38">
        <w:rPr>
          <w:lang w:eastAsia="en-US"/>
        </w:rPr>
        <w:t xml:space="preserve"> of a lawyer acting as advocate, may be allowed</w:t>
      </w:r>
      <w:r w:rsidR="008C542A" w:rsidRPr="00FB2F38">
        <w:rPr>
          <w:lang w:eastAsia="en-US"/>
        </w:rPr>
        <w:t xml:space="preserve"> </w:t>
      </w:r>
      <w:r w:rsidRPr="00FB2F38">
        <w:rPr>
          <w:lang w:eastAsia="en-US"/>
        </w:rPr>
        <w:t>to the extent</w:t>
      </w:r>
    </w:p>
    <w:p w14:paraId="02D093E8" w14:textId="77777777" w:rsidR="002178D2" w:rsidRPr="00FB2F38" w:rsidRDefault="00F07FD0" w:rsidP="008C542A">
      <w:pPr>
        <w:autoSpaceDE w:val="0"/>
        <w:autoSpaceDN w:val="0"/>
        <w:adjustRightInd w:val="0"/>
        <w:ind w:left="720"/>
      </w:pPr>
      <w:r w:rsidRPr="00FB2F38">
        <w:rPr>
          <w:lang w:eastAsia="en-US"/>
        </w:rPr>
        <w:t>they have been reasonably incurred and are paid</w:t>
      </w:r>
      <w:r w:rsidR="008C542A" w:rsidRPr="00FB2F38">
        <w:rPr>
          <w:lang w:eastAsia="en-US"/>
        </w:rPr>
        <w:t xml:space="preserve"> </w:t>
      </w:r>
      <w:r w:rsidRPr="00FB2F38">
        <w:rPr>
          <w:lang w:eastAsia="en-US"/>
        </w:rPr>
        <w:t>or payable.</w:t>
      </w:r>
      <w:r w:rsidR="002178D2" w:rsidRPr="00FB2F38">
        <w:tab/>
      </w:r>
    </w:p>
    <w:p w14:paraId="16C6D7DE" w14:textId="77777777" w:rsidR="002178D2" w:rsidRPr="00FB2F38" w:rsidRDefault="002178D2" w:rsidP="002178D2">
      <w:pPr>
        <w:autoSpaceDE w:val="0"/>
        <w:autoSpaceDN w:val="0"/>
        <w:adjustRightInd w:val="0"/>
        <w:rPr>
          <w:b/>
          <w:bCs/>
          <w:lang w:eastAsia="en-US"/>
        </w:rPr>
      </w:pPr>
    </w:p>
    <w:p w14:paraId="6554160C" w14:textId="77777777" w:rsidR="00E3713A" w:rsidRPr="00FB2F38" w:rsidRDefault="00E3713A" w:rsidP="002178D2">
      <w:pPr>
        <w:autoSpaceDE w:val="0"/>
        <w:autoSpaceDN w:val="0"/>
        <w:adjustRightInd w:val="0"/>
        <w:rPr>
          <w:b/>
          <w:bCs/>
          <w:lang w:eastAsia="en-US"/>
        </w:rPr>
      </w:pPr>
    </w:p>
    <w:p w14:paraId="65DEB641" w14:textId="77777777" w:rsidR="00B96760" w:rsidRPr="00FB2F38" w:rsidRDefault="005654E3" w:rsidP="002178D2">
      <w:pPr>
        <w:autoSpaceDE w:val="0"/>
        <w:autoSpaceDN w:val="0"/>
        <w:adjustRightInd w:val="0"/>
        <w:rPr>
          <w:b/>
          <w:bCs/>
          <w:lang w:eastAsia="en-US"/>
        </w:rPr>
      </w:pPr>
      <w:r w:rsidRPr="00FB2F38">
        <w:rPr>
          <w:b/>
          <w:bCs/>
          <w:lang w:eastAsia="en-US"/>
        </w:rPr>
        <w:t xml:space="preserve">History of proceedings </w:t>
      </w:r>
    </w:p>
    <w:p w14:paraId="2C02CB08" w14:textId="77777777" w:rsidR="00B96760" w:rsidRPr="00FB2F38" w:rsidRDefault="00B96760" w:rsidP="002178D2">
      <w:pPr>
        <w:autoSpaceDE w:val="0"/>
        <w:autoSpaceDN w:val="0"/>
        <w:adjustRightInd w:val="0"/>
        <w:rPr>
          <w:b/>
          <w:bCs/>
          <w:lang w:eastAsia="en-US"/>
        </w:rPr>
      </w:pPr>
    </w:p>
    <w:p w14:paraId="0233CF92" w14:textId="77777777" w:rsidR="004675FB" w:rsidRPr="00FB2F38" w:rsidRDefault="00B96760" w:rsidP="002178D2">
      <w:pPr>
        <w:autoSpaceDE w:val="0"/>
        <w:autoSpaceDN w:val="0"/>
        <w:adjustRightInd w:val="0"/>
        <w:rPr>
          <w:bCs/>
          <w:lang w:eastAsia="en-US"/>
        </w:rPr>
      </w:pPr>
      <w:r w:rsidRPr="00FB2F38">
        <w:rPr>
          <w:bCs/>
          <w:lang w:eastAsia="en-US"/>
        </w:rPr>
        <w:t>[6]</w:t>
      </w:r>
      <w:r w:rsidRPr="00FB2F38">
        <w:rPr>
          <w:bCs/>
          <w:lang w:eastAsia="en-US"/>
        </w:rPr>
        <w:tab/>
      </w:r>
      <w:r w:rsidR="005654E3" w:rsidRPr="00FB2F38">
        <w:rPr>
          <w:bCs/>
          <w:lang w:eastAsia="en-US"/>
        </w:rPr>
        <w:t>The complaint was made 13 February 2020 and served with an accompanying Statement of Facts on</w:t>
      </w:r>
      <w:r w:rsidR="004675FB" w:rsidRPr="00FB2F38">
        <w:rPr>
          <w:bCs/>
          <w:lang w:eastAsia="en-US"/>
        </w:rPr>
        <w:t xml:space="preserve"> Niepe shortly thereafter</w:t>
      </w:r>
      <w:r w:rsidR="008B004D" w:rsidRPr="00FB2F38">
        <w:rPr>
          <w:rStyle w:val="FootnoteReference"/>
          <w:bCs/>
          <w:lang w:eastAsia="en-US"/>
        </w:rPr>
        <w:footnoteReference w:id="3"/>
      </w:r>
      <w:r w:rsidR="004675FB" w:rsidRPr="00FB2F38">
        <w:rPr>
          <w:bCs/>
          <w:lang w:eastAsia="en-US"/>
        </w:rPr>
        <w:t>.</w:t>
      </w:r>
    </w:p>
    <w:p w14:paraId="18AEC977" w14:textId="77777777" w:rsidR="004675FB" w:rsidRPr="00FB2F38" w:rsidRDefault="004675FB" w:rsidP="002178D2">
      <w:pPr>
        <w:autoSpaceDE w:val="0"/>
        <w:autoSpaceDN w:val="0"/>
        <w:adjustRightInd w:val="0"/>
        <w:rPr>
          <w:bCs/>
          <w:lang w:eastAsia="en-US"/>
        </w:rPr>
      </w:pPr>
    </w:p>
    <w:p w14:paraId="0473A145" w14:textId="77777777" w:rsidR="008A263A" w:rsidRPr="00FB2F38" w:rsidRDefault="004675FB" w:rsidP="002178D2">
      <w:pPr>
        <w:autoSpaceDE w:val="0"/>
        <w:autoSpaceDN w:val="0"/>
        <w:adjustRightInd w:val="0"/>
        <w:rPr>
          <w:bCs/>
          <w:lang w:eastAsia="en-US"/>
        </w:rPr>
      </w:pPr>
      <w:r w:rsidRPr="00FB2F38">
        <w:rPr>
          <w:bCs/>
          <w:lang w:eastAsia="en-US"/>
        </w:rPr>
        <w:lastRenderedPageBreak/>
        <w:t>[7]</w:t>
      </w:r>
      <w:r w:rsidRPr="00FB2F38">
        <w:rPr>
          <w:bCs/>
          <w:lang w:eastAsia="en-US"/>
        </w:rPr>
        <w:tab/>
        <w:t>The matter was first mentioned in court on 17 April 2020</w:t>
      </w:r>
      <w:r w:rsidR="008A263A" w:rsidRPr="00FB2F38">
        <w:rPr>
          <w:bCs/>
          <w:lang w:eastAsia="en-US"/>
        </w:rPr>
        <w:t xml:space="preserve"> followed by further mentions on 22 May 2020, 17 July 2020 and 28 August 2020.</w:t>
      </w:r>
    </w:p>
    <w:p w14:paraId="62FE7FAC" w14:textId="77777777" w:rsidR="008A263A" w:rsidRPr="00FB2F38" w:rsidRDefault="008A263A" w:rsidP="002178D2">
      <w:pPr>
        <w:autoSpaceDE w:val="0"/>
        <w:autoSpaceDN w:val="0"/>
        <w:adjustRightInd w:val="0"/>
        <w:rPr>
          <w:bCs/>
          <w:lang w:eastAsia="en-US"/>
        </w:rPr>
      </w:pPr>
    </w:p>
    <w:p w14:paraId="5874DEBF" w14:textId="77777777" w:rsidR="00FD013E" w:rsidRPr="00FB2F38" w:rsidRDefault="008A263A" w:rsidP="002178D2">
      <w:pPr>
        <w:autoSpaceDE w:val="0"/>
        <w:autoSpaceDN w:val="0"/>
        <w:adjustRightInd w:val="0"/>
        <w:rPr>
          <w:bCs/>
          <w:lang w:eastAsia="en-US"/>
        </w:rPr>
      </w:pPr>
      <w:r w:rsidRPr="00FB2F38">
        <w:rPr>
          <w:bCs/>
          <w:lang w:eastAsia="en-US"/>
        </w:rPr>
        <w:t>[8]</w:t>
      </w:r>
      <w:r w:rsidRPr="00FB2F38">
        <w:rPr>
          <w:bCs/>
          <w:lang w:eastAsia="en-US"/>
        </w:rPr>
        <w:tab/>
      </w:r>
      <w:r w:rsidR="00996CAC" w:rsidRPr="00FB2F38">
        <w:rPr>
          <w:bCs/>
          <w:lang w:eastAsia="en-US"/>
        </w:rPr>
        <w:t>On 3 September 2020</w:t>
      </w:r>
      <w:r w:rsidR="005C0254" w:rsidRPr="00FB2F38">
        <w:rPr>
          <w:bCs/>
          <w:lang w:eastAsia="en-US"/>
        </w:rPr>
        <w:t xml:space="preserve">, the day before the next mention, </w:t>
      </w:r>
      <w:r w:rsidR="00996CAC" w:rsidRPr="00FB2F38">
        <w:rPr>
          <w:bCs/>
          <w:lang w:eastAsia="en-US"/>
        </w:rPr>
        <w:t xml:space="preserve">the prosecution received Niepe’s submissions </w:t>
      </w:r>
      <w:r w:rsidR="00044616" w:rsidRPr="00FB2F38">
        <w:rPr>
          <w:bCs/>
          <w:lang w:eastAsia="en-US"/>
        </w:rPr>
        <w:t>inviting withdrawal of the complaint on the grounds raised in this application.</w:t>
      </w:r>
      <w:r w:rsidR="00F01B30" w:rsidRPr="00FB2F38">
        <w:rPr>
          <w:bCs/>
          <w:lang w:eastAsia="en-US"/>
        </w:rPr>
        <w:t xml:space="preserve">  The matter was adjourned on 4 September 2020 and 12 October 2020 to consider the submission.  It was rejected by letter dated 22 October 2020.</w:t>
      </w:r>
    </w:p>
    <w:p w14:paraId="1692297E" w14:textId="77777777" w:rsidR="00FD013E" w:rsidRPr="00FB2F38" w:rsidRDefault="00FD013E" w:rsidP="002178D2">
      <w:pPr>
        <w:autoSpaceDE w:val="0"/>
        <w:autoSpaceDN w:val="0"/>
        <w:adjustRightInd w:val="0"/>
        <w:rPr>
          <w:bCs/>
          <w:lang w:eastAsia="en-US"/>
        </w:rPr>
      </w:pPr>
    </w:p>
    <w:p w14:paraId="004E9407" w14:textId="77777777" w:rsidR="00D61828" w:rsidRPr="00FB2F38" w:rsidRDefault="00FD013E" w:rsidP="002178D2">
      <w:pPr>
        <w:autoSpaceDE w:val="0"/>
        <w:autoSpaceDN w:val="0"/>
        <w:adjustRightInd w:val="0"/>
        <w:rPr>
          <w:bCs/>
          <w:lang w:eastAsia="en-US"/>
        </w:rPr>
      </w:pPr>
      <w:r w:rsidRPr="00FB2F38">
        <w:rPr>
          <w:bCs/>
          <w:lang w:eastAsia="en-US"/>
        </w:rPr>
        <w:t>[9]</w:t>
      </w:r>
      <w:r w:rsidRPr="00FB2F38">
        <w:rPr>
          <w:bCs/>
          <w:lang w:eastAsia="en-US"/>
        </w:rPr>
        <w:tab/>
        <w:t>After the rejection, the matter was mentioned a</w:t>
      </w:r>
      <w:r w:rsidR="006E5944" w:rsidRPr="00FB2F38">
        <w:rPr>
          <w:bCs/>
          <w:lang w:eastAsia="en-US"/>
        </w:rPr>
        <w:t>gain on 30 October 2020 and 20 November 2020.</w:t>
      </w:r>
      <w:r w:rsidR="00DB13E5" w:rsidRPr="00FB2F38">
        <w:rPr>
          <w:bCs/>
          <w:lang w:eastAsia="en-US"/>
        </w:rPr>
        <w:t xml:space="preserve">  The current application </w:t>
      </w:r>
      <w:r w:rsidR="003525DB" w:rsidRPr="00FB2F38">
        <w:rPr>
          <w:bCs/>
          <w:lang w:eastAsia="en-US"/>
        </w:rPr>
        <w:t xml:space="preserve">for a direction hearing </w:t>
      </w:r>
      <w:r w:rsidR="00DB13E5" w:rsidRPr="00FB2F38">
        <w:rPr>
          <w:bCs/>
          <w:lang w:eastAsia="en-US"/>
        </w:rPr>
        <w:t xml:space="preserve">to strike </w:t>
      </w:r>
      <w:r w:rsidR="00134DF0" w:rsidRPr="00FB2F38">
        <w:rPr>
          <w:bCs/>
          <w:lang w:eastAsia="en-US"/>
        </w:rPr>
        <w:t>out dated</w:t>
      </w:r>
      <w:r w:rsidR="003525DB" w:rsidRPr="00FB2F38">
        <w:rPr>
          <w:bCs/>
          <w:lang w:eastAsia="en-US"/>
        </w:rPr>
        <w:t xml:space="preserve"> 3 December 2020 </w:t>
      </w:r>
      <w:r w:rsidR="00DB13E5" w:rsidRPr="00FB2F38">
        <w:rPr>
          <w:bCs/>
          <w:lang w:eastAsia="en-US"/>
        </w:rPr>
        <w:t xml:space="preserve">was listed for </w:t>
      </w:r>
      <w:r w:rsidR="00AA1BE3" w:rsidRPr="00FB2F38">
        <w:rPr>
          <w:bCs/>
          <w:lang w:eastAsia="en-US"/>
        </w:rPr>
        <w:t xml:space="preserve">a pre-trial </w:t>
      </w:r>
      <w:r w:rsidR="00DB13E5" w:rsidRPr="00FB2F38">
        <w:rPr>
          <w:bCs/>
          <w:lang w:eastAsia="en-US"/>
        </w:rPr>
        <w:t>hearing on 8 March 2021.</w:t>
      </w:r>
      <w:r w:rsidR="00AA1BE3" w:rsidRPr="00FB2F38">
        <w:rPr>
          <w:bCs/>
          <w:lang w:eastAsia="en-US"/>
        </w:rPr>
        <w:t xml:space="preserve">  No evidence has been given.</w:t>
      </w:r>
    </w:p>
    <w:p w14:paraId="61918E6F" w14:textId="77777777" w:rsidR="00D61828" w:rsidRPr="00FB2F38" w:rsidRDefault="00D61828" w:rsidP="002178D2">
      <w:pPr>
        <w:autoSpaceDE w:val="0"/>
        <w:autoSpaceDN w:val="0"/>
        <w:adjustRightInd w:val="0"/>
        <w:rPr>
          <w:bCs/>
          <w:lang w:eastAsia="en-US"/>
        </w:rPr>
      </w:pPr>
    </w:p>
    <w:p w14:paraId="28121384" w14:textId="77777777" w:rsidR="00553F63" w:rsidRPr="00FB2F38" w:rsidRDefault="00553F63" w:rsidP="002178D2">
      <w:pPr>
        <w:autoSpaceDE w:val="0"/>
        <w:autoSpaceDN w:val="0"/>
        <w:adjustRightInd w:val="0"/>
        <w:rPr>
          <w:b/>
          <w:bCs/>
          <w:lang w:eastAsia="en-US"/>
        </w:rPr>
      </w:pPr>
      <w:r w:rsidRPr="00FB2F38">
        <w:rPr>
          <w:b/>
          <w:bCs/>
          <w:lang w:eastAsia="en-US"/>
        </w:rPr>
        <w:t xml:space="preserve">Submissions  </w:t>
      </w:r>
    </w:p>
    <w:p w14:paraId="588372FD" w14:textId="77777777" w:rsidR="00553F63" w:rsidRPr="00FB2F38" w:rsidRDefault="00553F63" w:rsidP="002178D2">
      <w:pPr>
        <w:autoSpaceDE w:val="0"/>
        <w:autoSpaceDN w:val="0"/>
        <w:adjustRightInd w:val="0"/>
        <w:rPr>
          <w:bCs/>
          <w:lang w:eastAsia="en-US"/>
        </w:rPr>
      </w:pPr>
    </w:p>
    <w:p w14:paraId="45DF2B0D" w14:textId="77777777" w:rsidR="00DE4DBB" w:rsidRPr="00FB2F38" w:rsidRDefault="00985709" w:rsidP="002178D2">
      <w:pPr>
        <w:autoSpaceDE w:val="0"/>
        <w:autoSpaceDN w:val="0"/>
        <w:adjustRightInd w:val="0"/>
        <w:rPr>
          <w:bCs/>
          <w:lang w:eastAsia="en-US"/>
        </w:rPr>
      </w:pPr>
      <w:r w:rsidRPr="00FB2F38">
        <w:rPr>
          <w:bCs/>
          <w:lang w:eastAsia="en-US"/>
        </w:rPr>
        <w:t>[10]</w:t>
      </w:r>
      <w:r w:rsidRPr="00FB2F38">
        <w:rPr>
          <w:bCs/>
          <w:lang w:eastAsia="en-US"/>
        </w:rPr>
        <w:tab/>
      </w:r>
      <w:r w:rsidR="00733271" w:rsidRPr="00FB2F38">
        <w:rPr>
          <w:bCs/>
          <w:lang w:eastAsia="en-US"/>
        </w:rPr>
        <w:t xml:space="preserve">It was submitted </w:t>
      </w:r>
      <w:r w:rsidR="004123E1" w:rsidRPr="00FB2F38">
        <w:rPr>
          <w:bCs/>
          <w:lang w:eastAsia="en-US"/>
        </w:rPr>
        <w:t xml:space="preserve">for Niepe </w:t>
      </w:r>
      <w:r w:rsidR="00733271" w:rsidRPr="00FB2F38">
        <w:rPr>
          <w:bCs/>
          <w:lang w:eastAsia="en-US"/>
        </w:rPr>
        <w:t>that</w:t>
      </w:r>
      <w:r w:rsidR="0081203B" w:rsidRPr="00FB2F38">
        <w:rPr>
          <w:bCs/>
          <w:lang w:eastAsia="en-US"/>
        </w:rPr>
        <w:t xml:space="preserve"> as the </w:t>
      </w:r>
      <w:r w:rsidR="00733271" w:rsidRPr="00FB2F38">
        <w:rPr>
          <w:bCs/>
          <w:lang w:eastAsia="en-US"/>
        </w:rPr>
        <w:t xml:space="preserve">complaint </w:t>
      </w:r>
      <w:r w:rsidR="002A421A" w:rsidRPr="00FB2F38">
        <w:rPr>
          <w:bCs/>
          <w:lang w:eastAsia="en-US"/>
        </w:rPr>
        <w:t xml:space="preserve">is </w:t>
      </w:r>
      <w:r w:rsidR="00733271" w:rsidRPr="00FB2F38">
        <w:rPr>
          <w:bCs/>
          <w:lang w:eastAsia="en-US"/>
        </w:rPr>
        <w:t xml:space="preserve">void </w:t>
      </w:r>
      <w:r w:rsidR="00733271" w:rsidRPr="00FB2F38">
        <w:rPr>
          <w:bCs/>
          <w:i/>
          <w:lang w:eastAsia="en-US"/>
        </w:rPr>
        <w:t>ab initio</w:t>
      </w:r>
      <w:r w:rsidR="00733271" w:rsidRPr="00FB2F38">
        <w:rPr>
          <w:bCs/>
          <w:lang w:eastAsia="en-US"/>
        </w:rPr>
        <w:t xml:space="preserve">, </w:t>
      </w:r>
      <w:r w:rsidR="00DE4DBB" w:rsidRPr="00FB2F38">
        <w:rPr>
          <w:bCs/>
          <w:lang w:eastAsia="en-US"/>
        </w:rPr>
        <w:t>it should be struck out for want of jurisdiction</w:t>
      </w:r>
      <w:r w:rsidR="002923A4" w:rsidRPr="00FB2F38">
        <w:rPr>
          <w:bCs/>
          <w:lang w:eastAsia="en-US"/>
        </w:rPr>
        <w:t xml:space="preserve">.  Then, on the question of costs, this </w:t>
      </w:r>
      <w:r w:rsidR="00DE4DBB" w:rsidRPr="00FB2F38">
        <w:rPr>
          <w:bCs/>
          <w:lang w:eastAsia="en-US"/>
        </w:rPr>
        <w:t xml:space="preserve">engages section 158(2) JA </w:t>
      </w:r>
      <w:r w:rsidR="00751156" w:rsidRPr="00FB2F38">
        <w:rPr>
          <w:bCs/>
          <w:lang w:eastAsia="en-US"/>
        </w:rPr>
        <w:t xml:space="preserve">so </w:t>
      </w:r>
      <w:r w:rsidR="007E35C1" w:rsidRPr="00FB2F38">
        <w:rPr>
          <w:bCs/>
          <w:lang w:eastAsia="en-US"/>
        </w:rPr>
        <w:t xml:space="preserve">that it is not necessary for the court to </w:t>
      </w:r>
      <w:r w:rsidR="002923A4" w:rsidRPr="00FB2F38">
        <w:rPr>
          <w:bCs/>
          <w:lang w:eastAsia="en-US"/>
        </w:rPr>
        <w:t>take</w:t>
      </w:r>
      <w:r w:rsidR="007E35C1" w:rsidRPr="00FB2F38">
        <w:rPr>
          <w:bCs/>
          <w:lang w:eastAsia="en-US"/>
        </w:rPr>
        <w:t xml:space="preserve"> </w:t>
      </w:r>
      <w:r w:rsidR="002923A4" w:rsidRPr="00FB2F38">
        <w:rPr>
          <w:bCs/>
          <w:lang w:eastAsia="en-US"/>
        </w:rPr>
        <w:t>into</w:t>
      </w:r>
      <w:r w:rsidR="007E35C1" w:rsidRPr="00FB2F38">
        <w:rPr>
          <w:bCs/>
          <w:lang w:eastAsia="en-US"/>
        </w:rPr>
        <w:t xml:space="preserve"> account those factors set out in section 158A</w:t>
      </w:r>
      <w:r w:rsidR="00767EE2" w:rsidRPr="00FB2F38">
        <w:rPr>
          <w:bCs/>
          <w:lang w:eastAsia="en-US"/>
        </w:rPr>
        <w:t xml:space="preserve"> JA</w:t>
      </w:r>
      <w:r w:rsidR="00DE4DBB" w:rsidRPr="00FB2F38">
        <w:rPr>
          <w:rStyle w:val="FootnoteReference"/>
          <w:bCs/>
          <w:lang w:eastAsia="en-US"/>
        </w:rPr>
        <w:footnoteReference w:id="4"/>
      </w:r>
      <w:r w:rsidR="00003F0B" w:rsidRPr="00FB2F38">
        <w:rPr>
          <w:bCs/>
          <w:lang w:eastAsia="en-US"/>
        </w:rPr>
        <w:t xml:space="preserve"> relating to dismissal of complaints.  </w:t>
      </w:r>
      <w:r w:rsidR="00767EE2" w:rsidRPr="00FB2F38">
        <w:rPr>
          <w:bCs/>
          <w:lang w:eastAsia="en-US"/>
        </w:rPr>
        <w:t>This is not disputed by the prosecution</w:t>
      </w:r>
      <w:r w:rsidR="00767EE2" w:rsidRPr="00FB2F38">
        <w:rPr>
          <w:rStyle w:val="FootnoteReference"/>
          <w:bCs/>
          <w:lang w:eastAsia="en-US"/>
        </w:rPr>
        <w:footnoteReference w:id="5"/>
      </w:r>
      <w:r w:rsidR="00767EE2" w:rsidRPr="00FB2F38">
        <w:rPr>
          <w:bCs/>
          <w:lang w:eastAsia="en-US"/>
        </w:rPr>
        <w:t>.</w:t>
      </w:r>
      <w:r w:rsidR="00A81592" w:rsidRPr="00FB2F38">
        <w:rPr>
          <w:bCs/>
          <w:lang w:eastAsia="en-US"/>
        </w:rPr>
        <w:t xml:space="preserve">  I agree. </w:t>
      </w:r>
      <w:r w:rsidR="00767EE2" w:rsidRPr="00FB2F38">
        <w:rPr>
          <w:bCs/>
          <w:lang w:eastAsia="en-US"/>
        </w:rPr>
        <w:t xml:space="preserve"> </w:t>
      </w:r>
    </w:p>
    <w:p w14:paraId="1D837514" w14:textId="77777777" w:rsidR="00DE4DBB" w:rsidRPr="00FB2F38" w:rsidRDefault="00DE4DBB" w:rsidP="002178D2">
      <w:pPr>
        <w:autoSpaceDE w:val="0"/>
        <w:autoSpaceDN w:val="0"/>
        <w:adjustRightInd w:val="0"/>
        <w:rPr>
          <w:bCs/>
          <w:lang w:eastAsia="en-US"/>
        </w:rPr>
      </w:pPr>
    </w:p>
    <w:p w14:paraId="572F548F" w14:textId="77777777" w:rsidR="00873EF2" w:rsidRPr="00FB2F38" w:rsidRDefault="00DE4DBB" w:rsidP="002178D2">
      <w:pPr>
        <w:autoSpaceDE w:val="0"/>
        <w:autoSpaceDN w:val="0"/>
        <w:adjustRightInd w:val="0"/>
        <w:rPr>
          <w:bCs/>
          <w:lang w:eastAsia="en-US"/>
        </w:rPr>
      </w:pPr>
      <w:r w:rsidRPr="00FB2F38">
        <w:rPr>
          <w:bCs/>
          <w:lang w:eastAsia="en-US"/>
        </w:rPr>
        <w:t>[11]</w:t>
      </w:r>
      <w:r w:rsidRPr="00FB2F38">
        <w:rPr>
          <w:bCs/>
          <w:lang w:eastAsia="en-US"/>
        </w:rPr>
        <w:tab/>
      </w:r>
      <w:r w:rsidR="00DA54D3" w:rsidRPr="00FB2F38">
        <w:rPr>
          <w:bCs/>
          <w:lang w:eastAsia="en-US"/>
        </w:rPr>
        <w:t>In exercising the discretion to award costs under section 158(2) JA</w:t>
      </w:r>
      <w:r w:rsidR="00005236" w:rsidRPr="00FB2F38">
        <w:rPr>
          <w:bCs/>
          <w:lang w:eastAsia="en-US"/>
        </w:rPr>
        <w:t xml:space="preserve">, </w:t>
      </w:r>
      <w:r w:rsidR="00A86714" w:rsidRPr="00FB2F38">
        <w:rPr>
          <w:bCs/>
          <w:lang w:eastAsia="en-US"/>
        </w:rPr>
        <w:t xml:space="preserve">the general </w:t>
      </w:r>
      <w:r w:rsidR="00005236" w:rsidRPr="00FB2F38">
        <w:rPr>
          <w:bCs/>
          <w:lang w:eastAsia="en-US"/>
        </w:rPr>
        <w:t xml:space="preserve">principles outlined in </w:t>
      </w:r>
      <w:r w:rsidR="00005236" w:rsidRPr="00FB2F38">
        <w:rPr>
          <w:bCs/>
          <w:i/>
          <w:lang w:eastAsia="en-US"/>
        </w:rPr>
        <w:t>Latoudis v Casey</w:t>
      </w:r>
      <w:r w:rsidR="00005236" w:rsidRPr="00FB2F38">
        <w:rPr>
          <w:bCs/>
          <w:lang w:eastAsia="en-US"/>
        </w:rPr>
        <w:t xml:space="preserve"> (1990) 170 CLR 534</w:t>
      </w:r>
      <w:r w:rsidR="00A86714" w:rsidRPr="00FB2F38">
        <w:rPr>
          <w:bCs/>
          <w:lang w:eastAsia="en-US"/>
        </w:rPr>
        <w:t xml:space="preserve"> apply</w:t>
      </w:r>
      <w:r w:rsidR="00175CAD" w:rsidRPr="00FB2F38">
        <w:rPr>
          <w:rStyle w:val="FootnoteReference"/>
          <w:bCs/>
          <w:lang w:eastAsia="en-US"/>
        </w:rPr>
        <w:footnoteReference w:id="6"/>
      </w:r>
      <w:r w:rsidR="00175CAD" w:rsidRPr="00FB2F38">
        <w:rPr>
          <w:bCs/>
          <w:lang w:eastAsia="en-US"/>
        </w:rPr>
        <w:t>.</w:t>
      </w:r>
      <w:r w:rsidR="00873EF2" w:rsidRPr="00FB2F38">
        <w:rPr>
          <w:bCs/>
          <w:lang w:eastAsia="en-US"/>
        </w:rPr>
        <w:t xml:space="preserve">  At 542 Mason </w:t>
      </w:r>
      <w:r w:rsidR="0028685E" w:rsidRPr="00FB2F38">
        <w:rPr>
          <w:bCs/>
          <w:lang w:eastAsia="en-US"/>
        </w:rPr>
        <w:t>C</w:t>
      </w:r>
      <w:r w:rsidR="00873EF2" w:rsidRPr="00FB2F38">
        <w:rPr>
          <w:bCs/>
          <w:lang w:eastAsia="en-US"/>
        </w:rPr>
        <w:t>J said</w:t>
      </w:r>
      <w:r w:rsidR="001D7300" w:rsidRPr="00FB2F38">
        <w:rPr>
          <w:rStyle w:val="FootnoteReference"/>
          <w:bCs/>
          <w:lang w:eastAsia="en-US"/>
        </w:rPr>
        <w:footnoteReference w:id="7"/>
      </w:r>
      <w:r w:rsidR="00873EF2" w:rsidRPr="00FB2F38">
        <w:rPr>
          <w:bCs/>
          <w:lang w:eastAsia="en-US"/>
        </w:rPr>
        <w:t>:</w:t>
      </w:r>
    </w:p>
    <w:p w14:paraId="4DCBD90D" w14:textId="77777777" w:rsidR="00873EF2" w:rsidRPr="00FB2F38" w:rsidRDefault="00873EF2" w:rsidP="002178D2">
      <w:pPr>
        <w:autoSpaceDE w:val="0"/>
        <w:autoSpaceDN w:val="0"/>
        <w:adjustRightInd w:val="0"/>
        <w:rPr>
          <w:bCs/>
          <w:lang w:eastAsia="en-US"/>
        </w:rPr>
      </w:pPr>
    </w:p>
    <w:p w14:paraId="20529F2B" w14:textId="77777777" w:rsidR="00934C1C" w:rsidRPr="00FB2F38" w:rsidRDefault="00873EF2" w:rsidP="00934C1C">
      <w:pPr>
        <w:autoSpaceDE w:val="0"/>
        <w:autoSpaceDN w:val="0"/>
        <w:adjustRightInd w:val="0"/>
        <w:ind w:left="720"/>
        <w:rPr>
          <w:lang w:eastAsia="en-US"/>
        </w:rPr>
      </w:pPr>
      <w:r w:rsidRPr="00FB2F38">
        <w:rPr>
          <w:lang w:eastAsia="en-US"/>
        </w:rPr>
        <w:t>In ordinary circumstances it would not be just or reasonable to deprive a defendant who has secured the dismissal of a criminal charge brought against him or her of an order for costs.  To burden a successful defendant with the entire payment of costs</w:t>
      </w:r>
      <w:r w:rsidR="009A07C0" w:rsidRPr="00FB2F38">
        <w:rPr>
          <w:lang w:eastAsia="en-US"/>
        </w:rPr>
        <w:t xml:space="preserve"> of defending the proceedings is in effect to expose the defendant to a financial burden which may be substantial, perhaps crippling, by reason of the bringing of a criminal charge which, in the event, should not have been brought.  It is inequitable that the defendant should be expected to bear the financial burden of exculpating himself or herself, though the circumstances of a particular case may be such </w:t>
      </w:r>
      <w:r w:rsidR="00934C1C" w:rsidRPr="00FB2F38">
        <w:rPr>
          <w:lang w:eastAsia="en-US"/>
        </w:rPr>
        <w:t>as to make it just and reasonable to refuse an order for costs or to make a qualified order for costs.</w:t>
      </w:r>
    </w:p>
    <w:p w14:paraId="1CB0E720" w14:textId="77777777" w:rsidR="00934C1C" w:rsidRPr="00FB2F38" w:rsidRDefault="00934C1C" w:rsidP="002178D2">
      <w:pPr>
        <w:autoSpaceDE w:val="0"/>
        <w:autoSpaceDN w:val="0"/>
        <w:adjustRightInd w:val="0"/>
        <w:rPr>
          <w:bCs/>
          <w:lang w:eastAsia="en-US"/>
        </w:rPr>
      </w:pPr>
    </w:p>
    <w:p w14:paraId="499F7A6F" w14:textId="77777777" w:rsidR="00D60CD3" w:rsidRPr="00FB2F38" w:rsidRDefault="00934C1C" w:rsidP="002178D2">
      <w:pPr>
        <w:autoSpaceDE w:val="0"/>
        <w:autoSpaceDN w:val="0"/>
        <w:adjustRightInd w:val="0"/>
        <w:rPr>
          <w:bCs/>
          <w:lang w:eastAsia="en-US"/>
        </w:rPr>
      </w:pPr>
      <w:r w:rsidRPr="00FB2F38">
        <w:rPr>
          <w:bCs/>
          <w:lang w:eastAsia="en-US"/>
        </w:rPr>
        <w:t>[12]</w:t>
      </w:r>
      <w:r w:rsidR="00D60CD3" w:rsidRPr="00FB2F38">
        <w:rPr>
          <w:bCs/>
          <w:lang w:eastAsia="en-US"/>
        </w:rPr>
        <w:tab/>
        <w:t xml:space="preserve">Section 158B was inserted into the JA in response to </w:t>
      </w:r>
      <w:r w:rsidR="00D60CD3" w:rsidRPr="00FB2F38">
        <w:rPr>
          <w:bCs/>
          <w:i/>
          <w:lang w:eastAsia="en-US"/>
        </w:rPr>
        <w:t>Latoudis v Casey</w:t>
      </w:r>
      <w:r w:rsidR="00D60CD3" w:rsidRPr="00FB2F38">
        <w:rPr>
          <w:bCs/>
          <w:lang w:eastAsia="en-US"/>
        </w:rPr>
        <w:t xml:space="preserve"> </w:t>
      </w:r>
      <w:r w:rsidR="00B741EF" w:rsidRPr="00FB2F38">
        <w:rPr>
          <w:bCs/>
          <w:lang w:eastAsia="en-US"/>
        </w:rPr>
        <w:t>limit</w:t>
      </w:r>
      <w:r w:rsidR="000E013F" w:rsidRPr="00FB2F38">
        <w:rPr>
          <w:bCs/>
          <w:lang w:eastAsia="en-US"/>
        </w:rPr>
        <w:t xml:space="preserve">ing the </w:t>
      </w:r>
      <w:r w:rsidR="00B741EF" w:rsidRPr="00FB2F38">
        <w:rPr>
          <w:bCs/>
          <w:lang w:eastAsia="en-US"/>
        </w:rPr>
        <w:t>discretion to award costs</w:t>
      </w:r>
      <w:r w:rsidR="008B4D89" w:rsidRPr="00FB2F38">
        <w:rPr>
          <w:bCs/>
          <w:lang w:eastAsia="en-US"/>
        </w:rPr>
        <w:t xml:space="preserve">.  Costs are to be awarded in accordance with </w:t>
      </w:r>
      <w:r w:rsidR="00EA0E9D" w:rsidRPr="00FB2F38">
        <w:rPr>
          <w:bCs/>
          <w:lang w:eastAsia="en-US"/>
        </w:rPr>
        <w:t xml:space="preserve">the scale </w:t>
      </w:r>
      <w:r w:rsidR="008B4D89" w:rsidRPr="00FB2F38">
        <w:rPr>
          <w:bCs/>
          <w:lang w:eastAsia="en-US"/>
        </w:rPr>
        <w:t xml:space="preserve">in Schedule 2, </w:t>
      </w:r>
      <w:r w:rsidR="008B4D89" w:rsidRPr="00FB2F38">
        <w:rPr>
          <w:bCs/>
          <w:i/>
          <w:lang w:eastAsia="en-US"/>
        </w:rPr>
        <w:t>Justices Regulation</w:t>
      </w:r>
      <w:r w:rsidR="008B4D89" w:rsidRPr="00FB2F38">
        <w:rPr>
          <w:bCs/>
          <w:lang w:eastAsia="en-US"/>
        </w:rPr>
        <w:t xml:space="preserve"> 2014 </w:t>
      </w:r>
      <w:r w:rsidR="0090627D" w:rsidRPr="00FB2F38">
        <w:rPr>
          <w:bCs/>
          <w:lang w:eastAsia="en-US"/>
        </w:rPr>
        <w:t>unless “having regard to the special difficulty, complexity or importance of the case” a higher amount is considered just and reasonable</w:t>
      </w:r>
      <w:r w:rsidR="00B741EF" w:rsidRPr="00FB2F38">
        <w:rPr>
          <w:rStyle w:val="FootnoteReference"/>
          <w:bCs/>
          <w:lang w:eastAsia="en-US"/>
        </w:rPr>
        <w:footnoteReference w:id="8"/>
      </w:r>
      <w:r w:rsidR="00B741EF" w:rsidRPr="00FB2F38">
        <w:rPr>
          <w:bCs/>
          <w:lang w:eastAsia="en-US"/>
        </w:rPr>
        <w:t>.</w:t>
      </w:r>
      <w:r w:rsidR="00D60CD3" w:rsidRPr="00FB2F38">
        <w:rPr>
          <w:bCs/>
          <w:lang w:eastAsia="en-US"/>
        </w:rPr>
        <w:t xml:space="preserve"> </w:t>
      </w:r>
      <w:r w:rsidRPr="00FB2F38">
        <w:rPr>
          <w:bCs/>
          <w:lang w:eastAsia="en-US"/>
        </w:rPr>
        <w:tab/>
      </w:r>
    </w:p>
    <w:p w14:paraId="0628DCEE" w14:textId="77777777" w:rsidR="00D60CD3" w:rsidRPr="00FB2F38" w:rsidRDefault="00D60CD3" w:rsidP="002178D2">
      <w:pPr>
        <w:autoSpaceDE w:val="0"/>
        <w:autoSpaceDN w:val="0"/>
        <w:adjustRightInd w:val="0"/>
        <w:rPr>
          <w:bCs/>
          <w:lang w:eastAsia="en-US"/>
        </w:rPr>
      </w:pPr>
    </w:p>
    <w:p w14:paraId="68B03973" w14:textId="77777777" w:rsidR="008C17B3" w:rsidRPr="00FB2F38" w:rsidRDefault="00EA0E9D" w:rsidP="008C17B3">
      <w:pPr>
        <w:autoSpaceDE w:val="0"/>
        <w:autoSpaceDN w:val="0"/>
        <w:adjustRightInd w:val="0"/>
        <w:rPr>
          <w:bCs/>
          <w:lang w:eastAsia="en-US"/>
        </w:rPr>
      </w:pPr>
      <w:r w:rsidRPr="00FB2F38">
        <w:rPr>
          <w:bCs/>
          <w:lang w:eastAsia="en-US"/>
        </w:rPr>
        <w:t>[13]</w:t>
      </w:r>
      <w:r w:rsidRPr="00FB2F38">
        <w:rPr>
          <w:bCs/>
          <w:lang w:eastAsia="en-US"/>
        </w:rPr>
        <w:tab/>
      </w:r>
      <w:r w:rsidR="008C17B3" w:rsidRPr="00FB2F38">
        <w:rPr>
          <w:bCs/>
          <w:lang w:eastAsia="en-US"/>
        </w:rPr>
        <w:t>In</w:t>
      </w:r>
      <w:r w:rsidR="00B96FCB" w:rsidRPr="00FB2F38">
        <w:rPr>
          <w:bCs/>
          <w:lang w:eastAsia="en-US"/>
        </w:rPr>
        <w:t xml:space="preserve"> this respect, </w:t>
      </w:r>
      <w:r w:rsidR="008C17B3" w:rsidRPr="00FB2F38">
        <w:rPr>
          <w:bCs/>
          <w:i/>
          <w:lang w:eastAsia="en-US"/>
        </w:rPr>
        <w:t xml:space="preserve">Interclean Industrial Services Ltd </w:t>
      </w:r>
      <w:r w:rsidR="002C446D" w:rsidRPr="00FB2F38">
        <w:rPr>
          <w:bCs/>
          <w:i/>
          <w:lang w:eastAsia="en-US"/>
        </w:rPr>
        <w:t xml:space="preserve">v </w:t>
      </w:r>
      <w:r w:rsidR="008C17B3" w:rsidRPr="00FB2F38">
        <w:rPr>
          <w:bCs/>
          <w:i/>
          <w:lang w:eastAsia="en-US"/>
        </w:rPr>
        <w:t>Auckland Regional Council</w:t>
      </w:r>
      <w:r w:rsidR="008C17B3" w:rsidRPr="00FB2F38">
        <w:rPr>
          <w:bCs/>
          <w:lang w:eastAsia="en-US"/>
        </w:rPr>
        <w:t xml:space="preserve"> [2002] NZLR 489</w:t>
      </w:r>
      <w:r w:rsidR="00453960" w:rsidRPr="00FB2F38">
        <w:rPr>
          <w:bCs/>
          <w:lang w:eastAsia="en-US"/>
        </w:rPr>
        <w:t xml:space="preserve"> (Interclean)</w:t>
      </w:r>
      <w:r w:rsidR="008C17B3" w:rsidRPr="00FB2F38">
        <w:rPr>
          <w:bCs/>
          <w:lang w:eastAsia="en-US"/>
        </w:rPr>
        <w:t xml:space="preserve"> </w:t>
      </w:r>
      <w:r w:rsidR="00B96FCB" w:rsidRPr="00FB2F38">
        <w:rPr>
          <w:bCs/>
          <w:lang w:eastAsia="en-US"/>
        </w:rPr>
        <w:t>was referred to</w:t>
      </w:r>
      <w:r w:rsidR="00F714EE" w:rsidRPr="00FB2F38">
        <w:rPr>
          <w:bCs/>
          <w:lang w:eastAsia="en-US"/>
        </w:rPr>
        <w:t xml:space="preserve">.  It has been </w:t>
      </w:r>
      <w:r w:rsidR="00EF6C97" w:rsidRPr="00FB2F38">
        <w:rPr>
          <w:bCs/>
          <w:lang w:eastAsia="en-US"/>
        </w:rPr>
        <w:t xml:space="preserve">cited with </w:t>
      </w:r>
      <w:r w:rsidR="00CF1AE8" w:rsidRPr="00FB2F38">
        <w:rPr>
          <w:bCs/>
          <w:lang w:eastAsia="en-US"/>
        </w:rPr>
        <w:t>approval in a number of Queensland cases</w:t>
      </w:r>
      <w:r w:rsidR="008C17B3" w:rsidRPr="00FB2F38">
        <w:rPr>
          <w:rStyle w:val="FootnoteReference"/>
          <w:bCs/>
          <w:lang w:eastAsia="en-US"/>
        </w:rPr>
        <w:footnoteReference w:id="9"/>
      </w:r>
      <w:r w:rsidR="00EF6C97" w:rsidRPr="00FB2F38">
        <w:rPr>
          <w:bCs/>
          <w:lang w:eastAsia="en-US"/>
        </w:rPr>
        <w:t>.</w:t>
      </w:r>
      <w:r w:rsidR="002D134E" w:rsidRPr="00FB2F38">
        <w:rPr>
          <w:bCs/>
          <w:lang w:eastAsia="en-US"/>
        </w:rPr>
        <w:t xml:space="preserve">  In that case </w:t>
      </w:r>
      <w:r w:rsidR="002D134E" w:rsidRPr="00FB2F38">
        <w:rPr>
          <w:bCs/>
          <w:i/>
          <w:lang w:eastAsia="en-US"/>
        </w:rPr>
        <w:t>Interclean</w:t>
      </w:r>
      <w:r w:rsidR="002D134E" w:rsidRPr="00FB2F38">
        <w:rPr>
          <w:bCs/>
          <w:lang w:eastAsia="en-US"/>
        </w:rPr>
        <w:t xml:space="preserve"> pleaded guilty to two charges and the prosecution </w:t>
      </w:r>
      <w:r w:rsidR="00F714EE" w:rsidRPr="00FB2F38">
        <w:rPr>
          <w:bCs/>
          <w:lang w:eastAsia="en-US"/>
        </w:rPr>
        <w:lastRenderedPageBreak/>
        <w:t xml:space="preserve">unsuccessfully </w:t>
      </w:r>
      <w:r w:rsidR="002D134E" w:rsidRPr="00FB2F38">
        <w:rPr>
          <w:bCs/>
          <w:lang w:eastAsia="en-US"/>
        </w:rPr>
        <w:t xml:space="preserve">sought costs above the scale </w:t>
      </w:r>
      <w:r w:rsidR="007C13F6" w:rsidRPr="00FB2F38">
        <w:rPr>
          <w:bCs/>
          <w:lang w:eastAsia="en-US"/>
        </w:rPr>
        <w:t>based on</w:t>
      </w:r>
      <w:r w:rsidR="00F714EE" w:rsidRPr="00FB2F38">
        <w:rPr>
          <w:bCs/>
          <w:lang w:eastAsia="en-US"/>
        </w:rPr>
        <w:t xml:space="preserve"> “special difficulty, complexity or importance”.  </w:t>
      </w:r>
      <w:r w:rsidR="00EF6C97" w:rsidRPr="00FB2F38">
        <w:rPr>
          <w:bCs/>
          <w:lang w:eastAsia="en-US"/>
        </w:rPr>
        <w:t xml:space="preserve">At 496-7, </w:t>
      </w:r>
      <w:r w:rsidR="00B96FCB" w:rsidRPr="00FB2F38">
        <w:rPr>
          <w:bCs/>
          <w:lang w:eastAsia="en-US"/>
        </w:rPr>
        <w:t xml:space="preserve">Randerson J </w:t>
      </w:r>
      <w:r w:rsidR="00EF6C97" w:rsidRPr="00FB2F38">
        <w:rPr>
          <w:bCs/>
          <w:lang w:eastAsia="en-US"/>
        </w:rPr>
        <w:t>said;</w:t>
      </w:r>
    </w:p>
    <w:p w14:paraId="4B98EA50" w14:textId="77777777" w:rsidR="00EF6C97" w:rsidRPr="00FB2F38" w:rsidRDefault="00EF6C97" w:rsidP="008C17B3">
      <w:pPr>
        <w:autoSpaceDE w:val="0"/>
        <w:autoSpaceDN w:val="0"/>
        <w:adjustRightInd w:val="0"/>
        <w:rPr>
          <w:bCs/>
          <w:lang w:eastAsia="en-US"/>
        </w:rPr>
      </w:pPr>
    </w:p>
    <w:p w14:paraId="4461CA5E" w14:textId="77777777" w:rsidR="008C17B3" w:rsidRPr="00FB2F38" w:rsidRDefault="008C17B3" w:rsidP="008C17B3">
      <w:pPr>
        <w:autoSpaceDE w:val="0"/>
        <w:autoSpaceDN w:val="0"/>
        <w:adjustRightInd w:val="0"/>
        <w:ind w:left="720"/>
        <w:rPr>
          <w:lang w:eastAsia="en-US"/>
        </w:rPr>
      </w:pPr>
      <w:r w:rsidRPr="00FB2F38">
        <w:rPr>
          <w:lang w:eastAsia="en-US"/>
        </w:rPr>
        <w:t xml:space="preserve">[32] As observed in Tipping J in T v Collector of Customs (High Court, Christchurch, AP 167/94, 28 February 1995) at p 2 </w:t>
      </w:r>
    </w:p>
    <w:p w14:paraId="769D40AD" w14:textId="77777777" w:rsidR="008C17B3" w:rsidRPr="00FB2F38" w:rsidRDefault="008C17B3" w:rsidP="008C17B3">
      <w:pPr>
        <w:autoSpaceDE w:val="0"/>
        <w:autoSpaceDN w:val="0"/>
        <w:adjustRightInd w:val="0"/>
        <w:ind w:left="1440"/>
        <w:rPr>
          <w:lang w:eastAsia="en-US"/>
        </w:rPr>
      </w:pPr>
      <w:r w:rsidRPr="00FB2F38">
        <w:rPr>
          <w:lang w:eastAsia="en-US"/>
        </w:rPr>
        <w:t>‘The use of the word ‘special’ when applied to the concepts of difficulty, complexity or importance means that it is not enough simply to say that the case was difficult, complex or important.  The necessary difficulty, complexity or importance must be such that it can be said to be significantly greater than is ordinarily encountered.  Similarly the focus on the case itself means that it is not enough for the applicant to be able to say that by dint of its features the case had special importance to him’.</w:t>
      </w:r>
    </w:p>
    <w:p w14:paraId="09C72676" w14:textId="77777777" w:rsidR="008C17B3" w:rsidRPr="00FB2F38" w:rsidRDefault="008C17B3" w:rsidP="008C17B3">
      <w:pPr>
        <w:autoSpaceDE w:val="0"/>
        <w:autoSpaceDN w:val="0"/>
        <w:adjustRightInd w:val="0"/>
        <w:ind w:left="720"/>
        <w:rPr>
          <w:lang w:eastAsia="en-US"/>
        </w:rPr>
      </w:pPr>
      <w:r w:rsidRPr="00FB2F38">
        <w:rPr>
          <w:lang w:eastAsia="en-US"/>
        </w:rPr>
        <w:t>[34] In my view, each case must be considered on its own facts.  I do not accept the appellant’s submission that it is necessary for the prosecutor to demonstrate that the case is one of special difficulty, complexity or importance when compared with other prosecutions of the same type.  The question is whether, having regard to the general run of criminal cases, the particular case is one of special difficulty, complexity or importance.  Just as murder trials are not necessarily complex or difficult, summary cases are not always straight forward and may give rise to unusual complexity.  Prosecutions under s 338 may often be of some complexity but it will not always be so.</w:t>
      </w:r>
    </w:p>
    <w:p w14:paraId="381B28DA" w14:textId="77777777" w:rsidR="008C17B3" w:rsidRPr="00FB2F38" w:rsidRDefault="008C17B3" w:rsidP="002178D2">
      <w:pPr>
        <w:autoSpaceDE w:val="0"/>
        <w:autoSpaceDN w:val="0"/>
        <w:adjustRightInd w:val="0"/>
        <w:rPr>
          <w:bCs/>
          <w:lang w:eastAsia="en-US"/>
        </w:rPr>
      </w:pPr>
    </w:p>
    <w:p w14:paraId="04FAFE94" w14:textId="77777777" w:rsidR="00682A84" w:rsidRPr="00FB2F38" w:rsidRDefault="008C17B3" w:rsidP="00682A84">
      <w:pPr>
        <w:autoSpaceDE w:val="0"/>
        <w:autoSpaceDN w:val="0"/>
        <w:adjustRightInd w:val="0"/>
        <w:rPr>
          <w:bCs/>
          <w:lang w:eastAsia="en-US"/>
        </w:rPr>
      </w:pPr>
      <w:r w:rsidRPr="00FB2F38">
        <w:rPr>
          <w:bCs/>
          <w:lang w:eastAsia="en-US"/>
        </w:rPr>
        <w:t>[14]</w:t>
      </w:r>
      <w:r w:rsidRPr="00FB2F38">
        <w:rPr>
          <w:bCs/>
          <w:lang w:eastAsia="en-US"/>
        </w:rPr>
        <w:tab/>
      </w:r>
      <w:r w:rsidR="00682A84" w:rsidRPr="00FB2F38">
        <w:rPr>
          <w:bCs/>
          <w:lang w:eastAsia="en-US"/>
        </w:rPr>
        <w:t xml:space="preserve">It was submitted for Niepe that there has been a significant change in the way charges have been brought having departed from recent previous practices.  It is of special importance going to the proper administration of justice and concerns fundamental principles underpinning the criminal justice system.  It was submitted that the application has wide ranging implications.  In this respect, reiterating his Honour’s remarks in </w:t>
      </w:r>
      <w:r w:rsidR="00682A84" w:rsidRPr="00FB2F38">
        <w:rPr>
          <w:bCs/>
          <w:i/>
          <w:iCs/>
          <w:lang w:eastAsia="en-US"/>
        </w:rPr>
        <w:t>Cullinane v Mc Cahon</w:t>
      </w:r>
      <w:r w:rsidR="00682A84" w:rsidRPr="00FB2F38">
        <w:rPr>
          <w:bCs/>
          <w:lang w:eastAsia="en-US"/>
        </w:rPr>
        <w:t xml:space="preserve"> [2014] QDC 120</w:t>
      </w:r>
      <w:r w:rsidR="00940EB0" w:rsidRPr="00FB2F38">
        <w:rPr>
          <w:bCs/>
          <w:lang w:eastAsia="en-US"/>
        </w:rPr>
        <w:t xml:space="preserve"> at [35]</w:t>
      </w:r>
      <w:r w:rsidR="00682A84" w:rsidRPr="00FB2F38">
        <w:rPr>
          <w:bCs/>
          <w:lang w:eastAsia="en-US"/>
        </w:rPr>
        <w:t xml:space="preserve">, Farr SC DCJ in </w:t>
      </w:r>
      <w:r w:rsidR="00682A84" w:rsidRPr="00FB2F38">
        <w:rPr>
          <w:bCs/>
          <w:i/>
          <w:lang w:eastAsia="en-US"/>
        </w:rPr>
        <w:t>Whitby v Stockair Pty Ltd &amp; Anor</w:t>
      </w:r>
      <w:r w:rsidR="00682A84" w:rsidRPr="00FB2F38">
        <w:rPr>
          <w:bCs/>
          <w:lang w:eastAsia="en-US"/>
        </w:rPr>
        <w:t xml:space="preserve"> [2015] QDC 79 at [37] said</w:t>
      </w:r>
      <w:r w:rsidR="00682A84" w:rsidRPr="00FB2F38">
        <w:rPr>
          <w:rStyle w:val="FootnoteReference"/>
          <w:bCs/>
          <w:lang w:eastAsia="en-US"/>
        </w:rPr>
        <w:footnoteReference w:id="10"/>
      </w:r>
      <w:r w:rsidR="00682A84" w:rsidRPr="00FB2F38">
        <w:rPr>
          <w:bCs/>
          <w:lang w:eastAsia="en-US"/>
        </w:rPr>
        <w:t>:</w:t>
      </w:r>
    </w:p>
    <w:p w14:paraId="2C051CE7" w14:textId="77777777" w:rsidR="00682A84" w:rsidRPr="00FB2F38" w:rsidRDefault="00682A84" w:rsidP="00682A84">
      <w:pPr>
        <w:autoSpaceDE w:val="0"/>
        <w:autoSpaceDN w:val="0"/>
        <w:adjustRightInd w:val="0"/>
        <w:rPr>
          <w:bCs/>
          <w:lang w:eastAsia="en-US"/>
        </w:rPr>
      </w:pPr>
    </w:p>
    <w:p w14:paraId="5B32990A" w14:textId="77777777" w:rsidR="00682A84" w:rsidRPr="00FB2F38" w:rsidRDefault="00682A84" w:rsidP="00682A84">
      <w:pPr>
        <w:autoSpaceDE w:val="0"/>
        <w:autoSpaceDN w:val="0"/>
        <w:adjustRightInd w:val="0"/>
        <w:ind w:left="720"/>
        <w:rPr>
          <w:lang w:eastAsia="en-US"/>
        </w:rPr>
      </w:pPr>
      <w:r w:rsidRPr="00FB2F38">
        <w:rPr>
          <w:lang w:eastAsia="en-US"/>
        </w:rPr>
        <w:t>In relation to the second point, I accept that this case was important to the appellant, as no doubt every criminal case is to every defendant.  To invoke special importance however, the case must involve more than the charge merely relating to a defendant in his/her professional capacity.  ‘Special importance’ is clearly a reference to the importance of the case generally, in terms of questions of law or public interest (this list is not exhaustive) and is not intended to refer to the subjective assessment of a defendant as to whether the case is important to him or her.</w:t>
      </w:r>
    </w:p>
    <w:p w14:paraId="3F260DA4" w14:textId="77777777" w:rsidR="00BB5C8C" w:rsidRPr="00FB2F38" w:rsidRDefault="00BB5C8C" w:rsidP="002178D2">
      <w:pPr>
        <w:autoSpaceDE w:val="0"/>
        <w:autoSpaceDN w:val="0"/>
        <w:adjustRightInd w:val="0"/>
        <w:rPr>
          <w:bCs/>
          <w:lang w:eastAsia="en-US"/>
        </w:rPr>
      </w:pPr>
    </w:p>
    <w:p w14:paraId="31E633D5" w14:textId="77777777" w:rsidR="00682A84" w:rsidRPr="00FB2F38" w:rsidRDefault="00BB5C8C" w:rsidP="002178D2">
      <w:pPr>
        <w:autoSpaceDE w:val="0"/>
        <w:autoSpaceDN w:val="0"/>
        <w:adjustRightInd w:val="0"/>
        <w:rPr>
          <w:bCs/>
          <w:lang w:eastAsia="en-US"/>
        </w:rPr>
      </w:pPr>
      <w:r w:rsidRPr="00FB2F38">
        <w:rPr>
          <w:bCs/>
          <w:lang w:eastAsia="en-US"/>
        </w:rPr>
        <w:t>[15]</w:t>
      </w:r>
      <w:r w:rsidRPr="00FB2F38">
        <w:rPr>
          <w:bCs/>
          <w:lang w:eastAsia="en-US"/>
        </w:rPr>
        <w:tab/>
      </w:r>
      <w:r w:rsidR="004D1B06" w:rsidRPr="00FB2F38">
        <w:rPr>
          <w:bCs/>
          <w:lang w:eastAsia="en-US"/>
        </w:rPr>
        <w:t xml:space="preserve">Further, it was submitted for Niepe that the case was one of special difficulty and complexity because it involved a detailed analysis of case law and legal principles including the interaction of common law and statute law, the extent of the court’s power to amend and the extent of the invalidity of the complaint. Senior Counsel for both parties were engaged with detailed written submissions and many case authorities.  While the length of the hearing </w:t>
      </w:r>
      <w:r w:rsidR="004D1B06" w:rsidRPr="00FB2F38">
        <w:rPr>
          <w:bCs/>
          <w:lang w:eastAsia="en-US"/>
        </w:rPr>
        <w:lastRenderedPageBreak/>
        <w:t>was short, that is not determinative of a finding that the case involves special difficulty complexity or importance</w:t>
      </w:r>
      <w:r w:rsidR="004D1B06" w:rsidRPr="00FB2F38">
        <w:rPr>
          <w:rStyle w:val="FootnoteReference"/>
          <w:bCs/>
          <w:lang w:eastAsia="en-US"/>
        </w:rPr>
        <w:footnoteReference w:id="11"/>
      </w:r>
      <w:r w:rsidR="004D1B06" w:rsidRPr="00FB2F38">
        <w:rPr>
          <w:bCs/>
          <w:lang w:eastAsia="en-US"/>
        </w:rPr>
        <w:t xml:space="preserve">.     </w:t>
      </w:r>
    </w:p>
    <w:p w14:paraId="675F3164" w14:textId="77777777" w:rsidR="00682A84" w:rsidRPr="00FB2F38" w:rsidRDefault="00682A84" w:rsidP="002178D2">
      <w:pPr>
        <w:autoSpaceDE w:val="0"/>
        <w:autoSpaceDN w:val="0"/>
        <w:adjustRightInd w:val="0"/>
        <w:rPr>
          <w:bCs/>
          <w:lang w:eastAsia="en-US"/>
        </w:rPr>
      </w:pPr>
    </w:p>
    <w:p w14:paraId="49F6C050" w14:textId="77777777" w:rsidR="00F9007B" w:rsidRPr="00FB2F38" w:rsidRDefault="00BB5C8C" w:rsidP="002178D2">
      <w:pPr>
        <w:autoSpaceDE w:val="0"/>
        <w:autoSpaceDN w:val="0"/>
        <w:adjustRightInd w:val="0"/>
        <w:rPr>
          <w:bCs/>
          <w:lang w:eastAsia="en-US"/>
        </w:rPr>
      </w:pPr>
      <w:r w:rsidRPr="00FB2F38">
        <w:rPr>
          <w:bCs/>
          <w:lang w:eastAsia="en-US"/>
        </w:rPr>
        <w:t>[16]</w:t>
      </w:r>
      <w:r w:rsidRPr="00FB2F38">
        <w:rPr>
          <w:bCs/>
          <w:lang w:eastAsia="en-US"/>
        </w:rPr>
        <w:tab/>
      </w:r>
      <w:r w:rsidR="00F752F6" w:rsidRPr="00FB2F38">
        <w:rPr>
          <w:bCs/>
          <w:lang w:eastAsia="en-US"/>
        </w:rPr>
        <w:t xml:space="preserve">It was submitted </w:t>
      </w:r>
      <w:r w:rsidR="003805D8" w:rsidRPr="00FB2F38">
        <w:rPr>
          <w:bCs/>
          <w:lang w:eastAsia="en-US"/>
        </w:rPr>
        <w:t xml:space="preserve">for </w:t>
      </w:r>
      <w:r w:rsidR="00F752F6" w:rsidRPr="00FB2F38">
        <w:rPr>
          <w:bCs/>
          <w:lang w:eastAsia="en-US"/>
        </w:rPr>
        <w:t>Niepe that it is just and reasonable to award costs</w:t>
      </w:r>
      <w:r w:rsidR="00A55504" w:rsidRPr="00FB2F38">
        <w:rPr>
          <w:bCs/>
          <w:lang w:eastAsia="en-US"/>
        </w:rPr>
        <w:t xml:space="preserve"> above the scale </w:t>
      </w:r>
      <w:r w:rsidR="00F9007B" w:rsidRPr="00FB2F38">
        <w:rPr>
          <w:bCs/>
          <w:lang w:eastAsia="en-US"/>
        </w:rPr>
        <w:t>because</w:t>
      </w:r>
      <w:r w:rsidR="00A40583" w:rsidRPr="00FB2F38">
        <w:rPr>
          <w:rStyle w:val="FootnoteReference"/>
          <w:bCs/>
          <w:lang w:eastAsia="en-US"/>
        </w:rPr>
        <w:footnoteReference w:id="12"/>
      </w:r>
      <w:r w:rsidR="00F9007B" w:rsidRPr="00FB2F38">
        <w:rPr>
          <w:bCs/>
          <w:lang w:eastAsia="en-US"/>
        </w:rPr>
        <w:t>:</w:t>
      </w:r>
    </w:p>
    <w:p w14:paraId="1A3CA7FD" w14:textId="77777777" w:rsidR="00F9007B" w:rsidRPr="00FB2F38" w:rsidRDefault="00F9007B" w:rsidP="002178D2">
      <w:pPr>
        <w:autoSpaceDE w:val="0"/>
        <w:autoSpaceDN w:val="0"/>
        <w:adjustRightInd w:val="0"/>
        <w:rPr>
          <w:bCs/>
          <w:lang w:eastAsia="en-US"/>
        </w:rPr>
      </w:pPr>
    </w:p>
    <w:p w14:paraId="2405501B" w14:textId="77777777" w:rsidR="00B96760" w:rsidRPr="00FB2F38" w:rsidRDefault="00F9007B" w:rsidP="00F9007B">
      <w:pPr>
        <w:pStyle w:val="ListParagraph"/>
        <w:numPr>
          <w:ilvl w:val="0"/>
          <w:numId w:val="22"/>
        </w:numPr>
        <w:autoSpaceDE w:val="0"/>
        <w:autoSpaceDN w:val="0"/>
        <w:adjustRightInd w:val="0"/>
        <w:rPr>
          <w:bCs/>
          <w:lang w:eastAsia="en-US"/>
        </w:rPr>
      </w:pPr>
      <w:r w:rsidRPr="00FB2F38">
        <w:rPr>
          <w:bCs/>
          <w:lang w:eastAsia="en-US"/>
        </w:rPr>
        <w:t>The complaint was found to be a nullity due to the failure to plead essential factual ingredients</w:t>
      </w:r>
    </w:p>
    <w:p w14:paraId="7ADEE250" w14:textId="77777777" w:rsidR="00114A46" w:rsidRPr="00FB2F38" w:rsidRDefault="00114A46" w:rsidP="00F9007B">
      <w:pPr>
        <w:pStyle w:val="ListParagraph"/>
        <w:numPr>
          <w:ilvl w:val="0"/>
          <w:numId w:val="22"/>
        </w:numPr>
        <w:autoSpaceDE w:val="0"/>
        <w:autoSpaceDN w:val="0"/>
        <w:adjustRightInd w:val="0"/>
        <w:rPr>
          <w:bCs/>
          <w:lang w:eastAsia="en-US"/>
        </w:rPr>
      </w:pPr>
      <w:r w:rsidRPr="00FB2F38">
        <w:rPr>
          <w:bCs/>
          <w:lang w:eastAsia="en-US"/>
        </w:rPr>
        <w:t>Senior counsel was engaged</w:t>
      </w:r>
      <w:r w:rsidR="00594990" w:rsidRPr="00FB2F38">
        <w:rPr>
          <w:bCs/>
          <w:lang w:eastAsia="en-US"/>
        </w:rPr>
        <w:t xml:space="preserve">.  </w:t>
      </w:r>
      <w:r w:rsidRPr="00FB2F38">
        <w:rPr>
          <w:bCs/>
          <w:lang w:eastAsia="en-US"/>
        </w:rPr>
        <w:t xml:space="preserve">Significant costs have been incurred. </w:t>
      </w:r>
    </w:p>
    <w:p w14:paraId="539D1457" w14:textId="77777777" w:rsidR="008A22D5" w:rsidRPr="00FB2F38" w:rsidRDefault="00114A46" w:rsidP="00F9007B">
      <w:pPr>
        <w:pStyle w:val="ListParagraph"/>
        <w:numPr>
          <w:ilvl w:val="0"/>
          <w:numId w:val="22"/>
        </w:numPr>
        <w:autoSpaceDE w:val="0"/>
        <w:autoSpaceDN w:val="0"/>
        <w:adjustRightInd w:val="0"/>
        <w:rPr>
          <w:bCs/>
          <w:lang w:eastAsia="en-US"/>
        </w:rPr>
      </w:pPr>
      <w:r w:rsidRPr="00FB2F38">
        <w:rPr>
          <w:bCs/>
          <w:lang w:eastAsia="en-US"/>
        </w:rPr>
        <w:t xml:space="preserve">The prosecution was put on notice </w:t>
      </w:r>
      <w:r w:rsidR="008A22D5" w:rsidRPr="00FB2F38">
        <w:rPr>
          <w:bCs/>
          <w:lang w:eastAsia="en-US"/>
        </w:rPr>
        <w:t xml:space="preserve">inviting withdrawal of the complaint.  This was rejected giving Niepe no choice but to bring this application. </w:t>
      </w:r>
    </w:p>
    <w:p w14:paraId="4C22426B" w14:textId="77777777" w:rsidR="00914615" w:rsidRPr="00FB2F38" w:rsidRDefault="008A22D5" w:rsidP="00F9007B">
      <w:pPr>
        <w:pStyle w:val="ListParagraph"/>
        <w:numPr>
          <w:ilvl w:val="0"/>
          <w:numId w:val="22"/>
        </w:numPr>
        <w:autoSpaceDE w:val="0"/>
        <w:autoSpaceDN w:val="0"/>
        <w:adjustRightInd w:val="0"/>
        <w:rPr>
          <w:bCs/>
          <w:lang w:eastAsia="en-US"/>
        </w:rPr>
      </w:pPr>
      <w:r w:rsidRPr="00FB2F38">
        <w:rPr>
          <w:bCs/>
          <w:lang w:eastAsia="en-US"/>
        </w:rPr>
        <w:t>Niepe, a small sole director company, was at a significant disadvantage</w:t>
      </w:r>
      <w:r w:rsidR="00914615" w:rsidRPr="00FB2F38">
        <w:rPr>
          <w:bCs/>
          <w:lang w:eastAsia="en-US"/>
        </w:rPr>
        <w:t xml:space="preserve"> to the prosecution in relation to resources</w:t>
      </w:r>
      <w:r w:rsidR="00594990" w:rsidRPr="00FB2F38">
        <w:rPr>
          <w:bCs/>
          <w:lang w:eastAsia="en-US"/>
        </w:rPr>
        <w:t xml:space="preserve"> in </w:t>
      </w:r>
      <w:r w:rsidR="009C1DA1" w:rsidRPr="00FB2F38">
        <w:rPr>
          <w:bCs/>
          <w:lang w:eastAsia="en-US"/>
        </w:rPr>
        <w:t xml:space="preserve">bringing </w:t>
      </w:r>
      <w:r w:rsidR="00594990" w:rsidRPr="00FB2F38">
        <w:rPr>
          <w:bCs/>
          <w:lang w:eastAsia="en-US"/>
        </w:rPr>
        <w:t xml:space="preserve">this </w:t>
      </w:r>
      <w:r w:rsidR="009C1DA1" w:rsidRPr="00FB2F38">
        <w:rPr>
          <w:bCs/>
          <w:lang w:eastAsia="en-US"/>
        </w:rPr>
        <w:t xml:space="preserve">successful </w:t>
      </w:r>
      <w:r w:rsidR="00594990" w:rsidRPr="00FB2F38">
        <w:rPr>
          <w:bCs/>
          <w:lang w:eastAsia="en-US"/>
        </w:rPr>
        <w:t>application.</w:t>
      </w:r>
      <w:r w:rsidR="00914615" w:rsidRPr="00FB2F38">
        <w:rPr>
          <w:bCs/>
          <w:lang w:eastAsia="en-US"/>
        </w:rPr>
        <w:t xml:space="preserve">   </w:t>
      </w:r>
    </w:p>
    <w:p w14:paraId="595AE387" w14:textId="77777777" w:rsidR="00312BDC" w:rsidRPr="00FB2F38" w:rsidRDefault="00914615" w:rsidP="00F9007B">
      <w:pPr>
        <w:pStyle w:val="ListParagraph"/>
        <w:numPr>
          <w:ilvl w:val="0"/>
          <w:numId w:val="22"/>
        </w:numPr>
        <w:autoSpaceDE w:val="0"/>
        <w:autoSpaceDN w:val="0"/>
        <w:adjustRightInd w:val="0"/>
        <w:rPr>
          <w:bCs/>
          <w:lang w:eastAsia="en-US"/>
        </w:rPr>
      </w:pPr>
      <w:r w:rsidRPr="00FB2F38">
        <w:rPr>
          <w:bCs/>
          <w:lang w:eastAsia="en-US"/>
        </w:rPr>
        <w:t>Niepe has not engaged in any disentitling</w:t>
      </w:r>
      <w:r w:rsidR="00594990" w:rsidRPr="00FB2F38">
        <w:rPr>
          <w:bCs/>
          <w:lang w:eastAsia="en-US"/>
        </w:rPr>
        <w:t xml:space="preserve"> conduct</w:t>
      </w:r>
      <w:r w:rsidR="00312BDC" w:rsidRPr="00FB2F38">
        <w:rPr>
          <w:bCs/>
          <w:lang w:eastAsia="en-US"/>
        </w:rPr>
        <w:t xml:space="preserve"> and should not have to bear the burden of legal costs to establish that the complaint was void.  </w:t>
      </w:r>
    </w:p>
    <w:p w14:paraId="0ED79806" w14:textId="77777777" w:rsidR="00A40583" w:rsidRPr="00FB2F38" w:rsidRDefault="00312BDC" w:rsidP="00F9007B">
      <w:pPr>
        <w:pStyle w:val="ListParagraph"/>
        <w:numPr>
          <w:ilvl w:val="0"/>
          <w:numId w:val="22"/>
        </w:numPr>
        <w:autoSpaceDE w:val="0"/>
        <w:autoSpaceDN w:val="0"/>
        <w:adjustRightInd w:val="0"/>
        <w:rPr>
          <w:bCs/>
          <w:lang w:eastAsia="en-US"/>
        </w:rPr>
      </w:pPr>
      <w:r w:rsidRPr="00FB2F38">
        <w:rPr>
          <w:bCs/>
          <w:lang w:eastAsia="en-US"/>
        </w:rPr>
        <w:t>Ni</w:t>
      </w:r>
      <w:r w:rsidR="009C1DA1" w:rsidRPr="00FB2F38">
        <w:rPr>
          <w:bCs/>
          <w:lang w:eastAsia="en-US"/>
        </w:rPr>
        <w:t xml:space="preserve">epe </w:t>
      </w:r>
      <w:r w:rsidRPr="00FB2F38">
        <w:rPr>
          <w:bCs/>
          <w:lang w:eastAsia="en-US"/>
        </w:rPr>
        <w:t>is only seeking costs in accordance with established principles and is not seeking indemnity costs</w:t>
      </w:r>
      <w:r w:rsidR="00CA29A6" w:rsidRPr="00FB2F38">
        <w:rPr>
          <w:bCs/>
          <w:lang w:eastAsia="en-US"/>
        </w:rPr>
        <w:t>.</w:t>
      </w:r>
      <w:r w:rsidRPr="00FB2F38">
        <w:rPr>
          <w:bCs/>
          <w:lang w:eastAsia="en-US"/>
        </w:rPr>
        <w:t xml:space="preserve"> </w:t>
      </w:r>
      <w:r w:rsidR="008A22D5" w:rsidRPr="00FB2F38">
        <w:rPr>
          <w:bCs/>
          <w:lang w:eastAsia="en-US"/>
        </w:rPr>
        <w:t xml:space="preserve"> </w:t>
      </w:r>
      <w:r w:rsidR="00114A46" w:rsidRPr="00FB2F38">
        <w:rPr>
          <w:bCs/>
          <w:lang w:eastAsia="en-US"/>
        </w:rPr>
        <w:t xml:space="preserve">   </w:t>
      </w:r>
    </w:p>
    <w:p w14:paraId="7FEFD9D2" w14:textId="77777777" w:rsidR="001B707E" w:rsidRPr="00FB2F38" w:rsidRDefault="001B707E" w:rsidP="00A40583">
      <w:pPr>
        <w:autoSpaceDE w:val="0"/>
        <w:autoSpaceDN w:val="0"/>
        <w:adjustRightInd w:val="0"/>
        <w:rPr>
          <w:bCs/>
          <w:lang w:eastAsia="en-US"/>
        </w:rPr>
      </w:pPr>
    </w:p>
    <w:p w14:paraId="2F843D9C" w14:textId="77777777" w:rsidR="00B2390E" w:rsidRPr="00FB2F38" w:rsidRDefault="00E477D0" w:rsidP="00A40583">
      <w:pPr>
        <w:autoSpaceDE w:val="0"/>
        <w:autoSpaceDN w:val="0"/>
        <w:adjustRightInd w:val="0"/>
        <w:rPr>
          <w:bCs/>
          <w:lang w:eastAsia="en-US"/>
        </w:rPr>
      </w:pPr>
      <w:r w:rsidRPr="00FB2F38">
        <w:rPr>
          <w:bCs/>
          <w:lang w:eastAsia="en-US"/>
        </w:rPr>
        <w:t>[1</w:t>
      </w:r>
      <w:r w:rsidR="00BB5C8C" w:rsidRPr="00FB2F38">
        <w:rPr>
          <w:bCs/>
          <w:lang w:eastAsia="en-US"/>
        </w:rPr>
        <w:t>7</w:t>
      </w:r>
      <w:r w:rsidRPr="00FB2F38">
        <w:rPr>
          <w:bCs/>
          <w:lang w:eastAsia="en-US"/>
        </w:rPr>
        <w:t>]</w:t>
      </w:r>
      <w:r w:rsidRPr="00FB2F38">
        <w:rPr>
          <w:bCs/>
          <w:lang w:eastAsia="en-US"/>
        </w:rPr>
        <w:tab/>
        <w:t>On the other hand</w:t>
      </w:r>
      <w:r w:rsidR="008D2359" w:rsidRPr="00FB2F38">
        <w:rPr>
          <w:bCs/>
          <w:lang w:eastAsia="en-US"/>
        </w:rPr>
        <w:t xml:space="preserve">, as to the discretion to award costs at all, </w:t>
      </w:r>
      <w:r w:rsidRPr="00FB2F38">
        <w:rPr>
          <w:bCs/>
          <w:lang w:eastAsia="en-US"/>
        </w:rPr>
        <w:t>the prosecution submits</w:t>
      </w:r>
      <w:r w:rsidR="00B2390E" w:rsidRPr="00FB2F38">
        <w:rPr>
          <w:bCs/>
          <w:lang w:eastAsia="en-US"/>
        </w:rPr>
        <w:t xml:space="preserve"> there is no suggestion that the investigation or prosecution was conducted in an inappropriate way</w:t>
      </w:r>
      <w:r w:rsidR="00863323" w:rsidRPr="00FB2F38">
        <w:rPr>
          <w:bCs/>
          <w:lang w:eastAsia="en-US"/>
        </w:rPr>
        <w:t>; that proceedings were brought and continued in good faith; that the allegations were made plain to Niepe by the provision of sufficient Statement of Particulars</w:t>
      </w:r>
      <w:r w:rsidR="00D2776C" w:rsidRPr="00FB2F38">
        <w:rPr>
          <w:bCs/>
          <w:lang w:eastAsia="en-US"/>
        </w:rPr>
        <w:t xml:space="preserve"> in a separate </w:t>
      </w:r>
      <w:r w:rsidR="008F52DE" w:rsidRPr="00FB2F38">
        <w:rPr>
          <w:bCs/>
          <w:lang w:eastAsia="en-US"/>
        </w:rPr>
        <w:t>document</w:t>
      </w:r>
      <w:r w:rsidR="00863323" w:rsidRPr="00FB2F38">
        <w:rPr>
          <w:bCs/>
          <w:lang w:eastAsia="en-US"/>
        </w:rPr>
        <w:t>; that the argument was a purely technical one</w:t>
      </w:r>
      <w:r w:rsidR="008D2359" w:rsidRPr="00FB2F38">
        <w:rPr>
          <w:rStyle w:val="FootnoteReference"/>
          <w:bCs/>
          <w:lang w:eastAsia="en-US"/>
        </w:rPr>
        <w:footnoteReference w:id="13"/>
      </w:r>
      <w:r w:rsidR="00863323" w:rsidRPr="00FB2F38">
        <w:rPr>
          <w:bCs/>
          <w:lang w:eastAsia="en-US"/>
        </w:rPr>
        <w:t>.</w:t>
      </w:r>
      <w:r w:rsidR="00401CD9" w:rsidRPr="00FB2F38">
        <w:rPr>
          <w:bCs/>
          <w:lang w:eastAsia="en-US"/>
        </w:rPr>
        <w:t xml:space="preserve">  I note these </w:t>
      </w:r>
      <w:r w:rsidR="00A41B40" w:rsidRPr="00FB2F38">
        <w:rPr>
          <w:bCs/>
          <w:lang w:eastAsia="en-US"/>
        </w:rPr>
        <w:t xml:space="preserve">reflect </w:t>
      </w:r>
      <w:r w:rsidR="00401CD9" w:rsidRPr="00FB2F38">
        <w:rPr>
          <w:bCs/>
          <w:lang w:eastAsia="en-US"/>
        </w:rPr>
        <w:t>section 158</w:t>
      </w:r>
      <w:r w:rsidR="007C13F6" w:rsidRPr="00FB2F38">
        <w:rPr>
          <w:bCs/>
          <w:lang w:eastAsia="en-US"/>
        </w:rPr>
        <w:t>A (</w:t>
      </w:r>
      <w:r w:rsidR="00401CD9" w:rsidRPr="00FB2F38">
        <w:rPr>
          <w:bCs/>
          <w:lang w:eastAsia="en-US"/>
        </w:rPr>
        <w:t xml:space="preserve">2) factors in respect of dismissal. </w:t>
      </w:r>
      <w:r w:rsidR="00863323" w:rsidRPr="00FB2F38">
        <w:rPr>
          <w:bCs/>
          <w:lang w:eastAsia="en-US"/>
        </w:rPr>
        <w:t xml:space="preserve">   </w:t>
      </w:r>
      <w:r w:rsidR="00B2390E" w:rsidRPr="00FB2F38">
        <w:rPr>
          <w:bCs/>
          <w:lang w:eastAsia="en-US"/>
        </w:rPr>
        <w:t xml:space="preserve"> </w:t>
      </w:r>
      <w:r w:rsidRPr="00FB2F38">
        <w:rPr>
          <w:bCs/>
          <w:lang w:eastAsia="en-US"/>
        </w:rPr>
        <w:t xml:space="preserve"> </w:t>
      </w:r>
    </w:p>
    <w:p w14:paraId="7F3C47EF" w14:textId="77777777" w:rsidR="00B2390E" w:rsidRPr="00FB2F38" w:rsidRDefault="00B2390E" w:rsidP="00A40583">
      <w:pPr>
        <w:autoSpaceDE w:val="0"/>
        <w:autoSpaceDN w:val="0"/>
        <w:adjustRightInd w:val="0"/>
        <w:rPr>
          <w:bCs/>
          <w:lang w:eastAsia="en-US"/>
        </w:rPr>
      </w:pPr>
    </w:p>
    <w:p w14:paraId="46A099DB" w14:textId="77777777" w:rsidR="00D308BA" w:rsidRPr="00FB2F38" w:rsidRDefault="008D2359" w:rsidP="00A40583">
      <w:pPr>
        <w:autoSpaceDE w:val="0"/>
        <w:autoSpaceDN w:val="0"/>
        <w:adjustRightInd w:val="0"/>
        <w:rPr>
          <w:bCs/>
          <w:lang w:eastAsia="en-US"/>
        </w:rPr>
      </w:pPr>
      <w:r w:rsidRPr="00FB2F38">
        <w:rPr>
          <w:bCs/>
          <w:lang w:eastAsia="en-US"/>
        </w:rPr>
        <w:t>[1</w:t>
      </w:r>
      <w:r w:rsidR="00BB5C8C" w:rsidRPr="00FB2F38">
        <w:rPr>
          <w:bCs/>
          <w:lang w:eastAsia="en-US"/>
        </w:rPr>
        <w:t>8</w:t>
      </w:r>
      <w:r w:rsidRPr="00FB2F38">
        <w:rPr>
          <w:bCs/>
          <w:lang w:eastAsia="en-US"/>
        </w:rPr>
        <w:t>]</w:t>
      </w:r>
      <w:r w:rsidRPr="00FB2F38">
        <w:rPr>
          <w:bCs/>
          <w:lang w:eastAsia="en-US"/>
        </w:rPr>
        <w:tab/>
      </w:r>
      <w:r w:rsidR="00EE1F42" w:rsidRPr="00FB2F38">
        <w:rPr>
          <w:bCs/>
          <w:lang w:eastAsia="en-US"/>
        </w:rPr>
        <w:t>It was further submitted for the prosecution that this case is not one of special difficulty, complexity or importance</w:t>
      </w:r>
      <w:r w:rsidR="008F52DE" w:rsidRPr="00FB2F38">
        <w:rPr>
          <w:bCs/>
          <w:lang w:eastAsia="en-US"/>
        </w:rPr>
        <w:t xml:space="preserve"> because </w:t>
      </w:r>
      <w:r w:rsidR="00A05F84" w:rsidRPr="00FB2F38">
        <w:rPr>
          <w:bCs/>
          <w:lang w:eastAsia="en-US"/>
        </w:rPr>
        <w:t>there is nothing unusual about challenging the validity of the complaint; that a departure from previous pleading practices does not make the case one of special difficulty, complexity or importance</w:t>
      </w:r>
      <w:r w:rsidR="00F05D70" w:rsidRPr="00FB2F38">
        <w:rPr>
          <w:bCs/>
          <w:lang w:eastAsia="en-US"/>
        </w:rPr>
        <w:t xml:space="preserve">; ‘unusual’ is not synonymous with ‘difficult’ citing </w:t>
      </w:r>
      <w:r w:rsidR="00F05D70" w:rsidRPr="00FB2F38">
        <w:rPr>
          <w:bCs/>
          <w:i/>
          <w:lang w:eastAsia="en-US"/>
        </w:rPr>
        <w:t>Senior Constable Sheehan v Leo</w:t>
      </w:r>
      <w:r w:rsidR="00F05D70" w:rsidRPr="00FB2F38">
        <w:rPr>
          <w:bCs/>
          <w:lang w:eastAsia="en-US"/>
        </w:rPr>
        <w:t xml:space="preserve"> [2016] QDC 131 at [29];</w:t>
      </w:r>
      <w:r w:rsidR="00C7601F" w:rsidRPr="00FB2F38">
        <w:rPr>
          <w:bCs/>
          <w:lang w:eastAsia="en-US"/>
        </w:rPr>
        <w:t xml:space="preserve"> this case did not involve unprecedented factual circumstances </w:t>
      </w:r>
      <w:r w:rsidR="00215638" w:rsidRPr="00FB2F38">
        <w:rPr>
          <w:bCs/>
          <w:lang w:eastAsia="en-US"/>
        </w:rPr>
        <w:t xml:space="preserve">as </w:t>
      </w:r>
      <w:r w:rsidR="00C7601F" w:rsidRPr="00FB2F38">
        <w:rPr>
          <w:bCs/>
          <w:lang w:eastAsia="en-US"/>
        </w:rPr>
        <w:t xml:space="preserve">they were considered in </w:t>
      </w:r>
      <w:r w:rsidR="00C7601F" w:rsidRPr="00FB2F38">
        <w:rPr>
          <w:bCs/>
          <w:i/>
          <w:lang w:eastAsia="en-US"/>
        </w:rPr>
        <w:t xml:space="preserve">S Kidman </w:t>
      </w:r>
      <w:r w:rsidR="00CA117F" w:rsidRPr="00FB2F38">
        <w:rPr>
          <w:bCs/>
          <w:i/>
          <w:lang w:eastAsia="en-US"/>
        </w:rPr>
        <w:t xml:space="preserve">v </w:t>
      </w:r>
      <w:r w:rsidR="00C7601F" w:rsidRPr="00FB2F38">
        <w:rPr>
          <w:bCs/>
          <w:i/>
          <w:lang w:eastAsia="en-US"/>
        </w:rPr>
        <w:t>Lowndes</w:t>
      </w:r>
      <w:r w:rsidR="00C7601F" w:rsidRPr="00FB2F38">
        <w:rPr>
          <w:bCs/>
          <w:lang w:eastAsia="en-US"/>
        </w:rPr>
        <w:t xml:space="preserve"> (2016) </w:t>
      </w:r>
      <w:r w:rsidR="00CA117F" w:rsidRPr="00FB2F38">
        <w:rPr>
          <w:bCs/>
          <w:lang w:eastAsia="en-US"/>
        </w:rPr>
        <w:t xml:space="preserve">NTCA 5; submissions were distilled in writing in advance of the hearing; that </w:t>
      </w:r>
      <w:r w:rsidR="00F846D9" w:rsidRPr="00FB2F38">
        <w:rPr>
          <w:bCs/>
          <w:lang w:eastAsia="en-US"/>
        </w:rPr>
        <w:t>while the length of the hearing is not determinative, the hearing took less than four hours</w:t>
      </w:r>
      <w:r w:rsidR="00D8360D" w:rsidRPr="00FB2F38">
        <w:rPr>
          <w:bCs/>
          <w:lang w:eastAsia="en-US"/>
        </w:rPr>
        <w:t xml:space="preserve">; </w:t>
      </w:r>
      <w:r w:rsidR="00F846D9" w:rsidRPr="00FB2F38">
        <w:rPr>
          <w:bCs/>
          <w:lang w:eastAsia="en-US"/>
        </w:rPr>
        <w:t>engagement of Senior Counsel by the parties is not in itself sufficient to elevate the case to special difficulty, complexity or importance</w:t>
      </w:r>
      <w:r w:rsidR="00F846D9" w:rsidRPr="00FB2F38">
        <w:rPr>
          <w:rStyle w:val="FootnoteReference"/>
          <w:bCs/>
          <w:lang w:eastAsia="en-US"/>
        </w:rPr>
        <w:footnoteReference w:id="14"/>
      </w:r>
      <w:r w:rsidR="00F846D9" w:rsidRPr="00FB2F38">
        <w:rPr>
          <w:bCs/>
          <w:lang w:eastAsia="en-US"/>
        </w:rPr>
        <w:t>.</w:t>
      </w:r>
    </w:p>
    <w:p w14:paraId="1A3B2E1E" w14:textId="77777777" w:rsidR="00D308BA" w:rsidRPr="00FB2F38" w:rsidRDefault="00D308BA" w:rsidP="00A40583">
      <w:pPr>
        <w:autoSpaceDE w:val="0"/>
        <w:autoSpaceDN w:val="0"/>
        <w:adjustRightInd w:val="0"/>
        <w:rPr>
          <w:bCs/>
          <w:lang w:eastAsia="en-US"/>
        </w:rPr>
      </w:pPr>
    </w:p>
    <w:p w14:paraId="6B64FA48" w14:textId="77777777" w:rsidR="00A01937" w:rsidRPr="00FB2F38" w:rsidRDefault="00D308BA" w:rsidP="00A40583">
      <w:pPr>
        <w:autoSpaceDE w:val="0"/>
        <w:autoSpaceDN w:val="0"/>
        <w:adjustRightInd w:val="0"/>
        <w:rPr>
          <w:bCs/>
          <w:lang w:eastAsia="en-US"/>
        </w:rPr>
      </w:pPr>
      <w:r w:rsidRPr="00FB2F38">
        <w:rPr>
          <w:bCs/>
          <w:lang w:eastAsia="en-US"/>
        </w:rPr>
        <w:t>[1</w:t>
      </w:r>
      <w:r w:rsidR="00BB5C8C" w:rsidRPr="00FB2F38">
        <w:rPr>
          <w:bCs/>
          <w:lang w:eastAsia="en-US"/>
        </w:rPr>
        <w:t>9</w:t>
      </w:r>
      <w:r w:rsidRPr="00FB2F38">
        <w:rPr>
          <w:bCs/>
          <w:lang w:eastAsia="en-US"/>
        </w:rPr>
        <w:t>]</w:t>
      </w:r>
      <w:r w:rsidRPr="00FB2F38">
        <w:rPr>
          <w:bCs/>
          <w:lang w:eastAsia="en-US"/>
        </w:rPr>
        <w:tab/>
      </w:r>
      <w:r w:rsidR="00D8360D" w:rsidRPr="00FB2F38">
        <w:rPr>
          <w:bCs/>
          <w:i/>
          <w:lang w:eastAsia="en-US"/>
        </w:rPr>
        <w:t>Bell v Townsend</w:t>
      </w:r>
      <w:r w:rsidR="00D8360D" w:rsidRPr="00FB2F38">
        <w:rPr>
          <w:bCs/>
          <w:lang w:eastAsia="en-US"/>
        </w:rPr>
        <w:t xml:space="preserve"> [2014] QMC 30 was cited in support of these submissions</w:t>
      </w:r>
      <w:r w:rsidR="00B72A84" w:rsidRPr="00FB2F38">
        <w:rPr>
          <w:bCs/>
          <w:lang w:eastAsia="en-US"/>
        </w:rPr>
        <w:t xml:space="preserve">. </w:t>
      </w:r>
      <w:r w:rsidR="003A5B7A" w:rsidRPr="00FB2F38">
        <w:rPr>
          <w:bCs/>
          <w:lang w:eastAsia="en-US"/>
        </w:rPr>
        <w:t>In that case t</w:t>
      </w:r>
      <w:r w:rsidRPr="00FB2F38">
        <w:rPr>
          <w:bCs/>
          <w:lang w:eastAsia="en-US"/>
        </w:rPr>
        <w:t>here were three defendants two of whom engaged Senior Counsel as well as the prosecution.  After the complaint was st</w:t>
      </w:r>
      <w:r w:rsidR="00147773" w:rsidRPr="00FB2F38">
        <w:rPr>
          <w:bCs/>
          <w:lang w:eastAsia="en-US"/>
        </w:rPr>
        <w:t>r</w:t>
      </w:r>
      <w:r w:rsidRPr="00FB2F38">
        <w:rPr>
          <w:bCs/>
          <w:lang w:eastAsia="en-US"/>
        </w:rPr>
        <w:t>uck out because the complainant</w:t>
      </w:r>
      <w:r w:rsidR="00147773" w:rsidRPr="00FB2F38">
        <w:rPr>
          <w:bCs/>
          <w:lang w:eastAsia="en-US"/>
        </w:rPr>
        <w:t xml:space="preserve">’s </w:t>
      </w:r>
      <w:r w:rsidRPr="00FB2F38">
        <w:rPr>
          <w:bCs/>
          <w:lang w:eastAsia="en-US"/>
        </w:rPr>
        <w:t>appoint</w:t>
      </w:r>
      <w:r w:rsidR="00147773" w:rsidRPr="00FB2F38">
        <w:rPr>
          <w:bCs/>
          <w:lang w:eastAsia="en-US"/>
        </w:rPr>
        <w:t xml:space="preserve">ment had not commenced on </w:t>
      </w:r>
      <w:r w:rsidRPr="00FB2F38">
        <w:rPr>
          <w:bCs/>
          <w:lang w:eastAsia="en-US"/>
        </w:rPr>
        <w:t>the day the complaint was made</w:t>
      </w:r>
      <w:r w:rsidR="00E702A2" w:rsidRPr="00FB2F38">
        <w:rPr>
          <w:rStyle w:val="FootnoteReference"/>
          <w:bCs/>
          <w:lang w:eastAsia="en-US"/>
        </w:rPr>
        <w:footnoteReference w:id="15"/>
      </w:r>
      <w:r w:rsidRPr="00FB2F38">
        <w:rPr>
          <w:bCs/>
          <w:lang w:eastAsia="en-US"/>
        </w:rPr>
        <w:t xml:space="preserve">, </w:t>
      </w:r>
      <w:r w:rsidR="00147773" w:rsidRPr="00FB2F38">
        <w:rPr>
          <w:bCs/>
          <w:lang w:eastAsia="en-US"/>
        </w:rPr>
        <w:t xml:space="preserve">it was determined that the matter was not </w:t>
      </w:r>
      <w:r w:rsidR="00A01937" w:rsidRPr="00FB2F38">
        <w:rPr>
          <w:bCs/>
          <w:lang w:eastAsia="en-US"/>
        </w:rPr>
        <w:t xml:space="preserve">of </w:t>
      </w:r>
      <w:r w:rsidR="00147773" w:rsidRPr="00FB2F38">
        <w:rPr>
          <w:bCs/>
          <w:lang w:eastAsia="en-US"/>
        </w:rPr>
        <w:t>special</w:t>
      </w:r>
      <w:r w:rsidR="00A01937" w:rsidRPr="00FB2F38">
        <w:rPr>
          <w:bCs/>
          <w:lang w:eastAsia="en-US"/>
        </w:rPr>
        <w:t xml:space="preserve"> </w:t>
      </w:r>
      <w:r w:rsidR="00147773" w:rsidRPr="00FB2F38">
        <w:rPr>
          <w:bCs/>
          <w:lang w:eastAsia="en-US"/>
        </w:rPr>
        <w:t>difficult</w:t>
      </w:r>
      <w:r w:rsidR="00A01937" w:rsidRPr="00FB2F38">
        <w:rPr>
          <w:bCs/>
          <w:lang w:eastAsia="en-US"/>
        </w:rPr>
        <w:t>y, complexity or importance</w:t>
      </w:r>
      <w:r w:rsidR="00A01937" w:rsidRPr="00FB2F38">
        <w:rPr>
          <w:rStyle w:val="FootnoteReference"/>
          <w:bCs/>
          <w:lang w:eastAsia="en-US"/>
        </w:rPr>
        <w:footnoteReference w:id="16"/>
      </w:r>
      <w:r w:rsidR="00A01937" w:rsidRPr="00FB2F38">
        <w:rPr>
          <w:bCs/>
          <w:lang w:eastAsia="en-US"/>
        </w:rPr>
        <w:t>.</w:t>
      </w:r>
    </w:p>
    <w:p w14:paraId="1BE27DA4" w14:textId="77777777" w:rsidR="00A01937" w:rsidRPr="00FB2F38" w:rsidRDefault="00A01937" w:rsidP="00A40583">
      <w:pPr>
        <w:autoSpaceDE w:val="0"/>
        <w:autoSpaceDN w:val="0"/>
        <w:adjustRightInd w:val="0"/>
        <w:rPr>
          <w:bCs/>
          <w:lang w:eastAsia="en-US"/>
        </w:rPr>
      </w:pPr>
    </w:p>
    <w:p w14:paraId="5AFABC31" w14:textId="77777777" w:rsidR="007E6192" w:rsidRPr="00FB2F38" w:rsidRDefault="00A01937" w:rsidP="00A40583">
      <w:pPr>
        <w:autoSpaceDE w:val="0"/>
        <w:autoSpaceDN w:val="0"/>
        <w:adjustRightInd w:val="0"/>
        <w:rPr>
          <w:bCs/>
          <w:lang w:eastAsia="en-US"/>
        </w:rPr>
      </w:pPr>
      <w:r w:rsidRPr="00FB2F38">
        <w:rPr>
          <w:bCs/>
          <w:lang w:eastAsia="en-US"/>
        </w:rPr>
        <w:lastRenderedPageBreak/>
        <w:t>[</w:t>
      </w:r>
      <w:r w:rsidR="00BB5C8C" w:rsidRPr="00FB2F38">
        <w:rPr>
          <w:bCs/>
          <w:lang w:eastAsia="en-US"/>
        </w:rPr>
        <w:t>20</w:t>
      </w:r>
      <w:r w:rsidRPr="00FB2F38">
        <w:rPr>
          <w:bCs/>
          <w:lang w:eastAsia="en-US"/>
        </w:rPr>
        <w:t>]</w:t>
      </w:r>
      <w:r w:rsidR="007E6192" w:rsidRPr="00FB2F38">
        <w:rPr>
          <w:bCs/>
          <w:lang w:eastAsia="en-US"/>
        </w:rPr>
        <w:tab/>
        <w:t xml:space="preserve">Regarding the amount </w:t>
      </w:r>
      <w:r w:rsidR="00197B91" w:rsidRPr="00FB2F38">
        <w:rPr>
          <w:bCs/>
          <w:lang w:eastAsia="en-US"/>
        </w:rPr>
        <w:t xml:space="preserve">of </w:t>
      </w:r>
      <w:r w:rsidR="007E6192" w:rsidRPr="00FB2F38">
        <w:rPr>
          <w:bCs/>
          <w:lang w:eastAsia="en-US"/>
        </w:rPr>
        <w:t>costs above the scale</w:t>
      </w:r>
      <w:r w:rsidR="00D424F4" w:rsidRPr="00FB2F38">
        <w:rPr>
          <w:bCs/>
          <w:lang w:eastAsia="en-US"/>
        </w:rPr>
        <w:t xml:space="preserve"> should section 158</w:t>
      </w:r>
      <w:r w:rsidR="00E702A2" w:rsidRPr="00FB2F38">
        <w:rPr>
          <w:bCs/>
          <w:lang w:eastAsia="en-US"/>
        </w:rPr>
        <w:t>B (</w:t>
      </w:r>
      <w:r w:rsidR="00D424F4" w:rsidRPr="00FB2F38">
        <w:rPr>
          <w:bCs/>
          <w:lang w:eastAsia="en-US"/>
        </w:rPr>
        <w:t xml:space="preserve">2) JA </w:t>
      </w:r>
      <w:r w:rsidR="00096FBB" w:rsidRPr="00FB2F38">
        <w:rPr>
          <w:bCs/>
          <w:lang w:eastAsia="en-US"/>
        </w:rPr>
        <w:t>be invoked</w:t>
      </w:r>
      <w:r w:rsidR="007E6192" w:rsidRPr="00FB2F38">
        <w:rPr>
          <w:bCs/>
          <w:lang w:eastAsia="en-US"/>
        </w:rPr>
        <w:t xml:space="preserve">, the submissions referred to principles outlined in </w:t>
      </w:r>
      <w:r w:rsidR="007E6192" w:rsidRPr="00FB2F38">
        <w:rPr>
          <w:bCs/>
          <w:i/>
          <w:iCs/>
          <w:lang w:eastAsia="en-US"/>
        </w:rPr>
        <w:t xml:space="preserve">Hickey v Crime and Misconduct Commission </w:t>
      </w:r>
      <w:r w:rsidR="007E6192" w:rsidRPr="00FB2F38">
        <w:rPr>
          <w:bCs/>
          <w:lang w:eastAsia="en-US"/>
        </w:rPr>
        <w:t xml:space="preserve">[2008] QDC 340 </w:t>
      </w:r>
      <w:r w:rsidR="00A9455E" w:rsidRPr="00FB2F38">
        <w:rPr>
          <w:bCs/>
          <w:lang w:eastAsia="en-US"/>
        </w:rPr>
        <w:t xml:space="preserve">(Hickey) </w:t>
      </w:r>
      <w:r w:rsidR="007E6192" w:rsidRPr="00FB2F38">
        <w:rPr>
          <w:bCs/>
          <w:lang w:eastAsia="en-US"/>
        </w:rPr>
        <w:t>per Shanahan DCJ at [43]</w:t>
      </w:r>
      <w:r w:rsidR="00D424F4" w:rsidRPr="00FB2F38">
        <w:rPr>
          <w:rStyle w:val="FootnoteReference"/>
          <w:bCs/>
          <w:lang w:eastAsia="en-US"/>
        </w:rPr>
        <w:footnoteReference w:id="17"/>
      </w:r>
      <w:r w:rsidR="007E6192" w:rsidRPr="00FB2F38">
        <w:rPr>
          <w:bCs/>
          <w:lang w:eastAsia="en-US"/>
        </w:rPr>
        <w:t>:</w:t>
      </w:r>
    </w:p>
    <w:p w14:paraId="601285CE" w14:textId="77777777" w:rsidR="007E6192" w:rsidRPr="00FB2F38" w:rsidRDefault="007E6192" w:rsidP="00A40583">
      <w:pPr>
        <w:autoSpaceDE w:val="0"/>
        <w:autoSpaceDN w:val="0"/>
        <w:adjustRightInd w:val="0"/>
        <w:rPr>
          <w:bCs/>
          <w:lang w:eastAsia="en-US"/>
        </w:rPr>
      </w:pPr>
    </w:p>
    <w:p w14:paraId="41A42027" w14:textId="77777777" w:rsidR="007E6192" w:rsidRPr="00FB2F38" w:rsidRDefault="007E6192" w:rsidP="007E6192">
      <w:pPr>
        <w:autoSpaceDE w:val="0"/>
        <w:autoSpaceDN w:val="0"/>
        <w:adjustRightInd w:val="0"/>
        <w:ind w:left="720"/>
        <w:rPr>
          <w:lang w:eastAsia="en-US"/>
        </w:rPr>
      </w:pPr>
      <w:r w:rsidRPr="00FB2F38">
        <w:rPr>
          <w:lang w:eastAsia="en-US"/>
        </w:rPr>
        <w:t xml:space="preserve">To my mind, it is clear that the legislature has limited the discretion to award costs to successful defendants in criminal prosecutions as a matter of policy.  That policy is based on the public interest of ensuring that the bringing of proper prosecutions is not fettered by the prospects of extensive costs orders being made in the event of unsuccessful prosecutions.  Any award </w:t>
      </w:r>
      <w:r w:rsidR="009E2148" w:rsidRPr="00FB2F38">
        <w:rPr>
          <w:lang w:eastAsia="en-US"/>
        </w:rPr>
        <w:t xml:space="preserve">of </w:t>
      </w:r>
      <w:r w:rsidRPr="00FB2F38">
        <w:rPr>
          <w:lang w:eastAsia="en-US"/>
        </w:rPr>
        <w:t xml:space="preserve">above the scale must be made with that principle in mind.  No authorities have been placed before me where solicitor/client costs or indemnity costs have been awarded in these circumstances.  The costs to be awarded must be “just” in relation to the appeal and “just and reasonable” in relation to the summary trial. The amounts to be awarded must be made bearing in mind the policy of the legislation.  The scale in the regulation is a clear indication of that policy as it bears little relation to present day economics.  However, to my mind, the legislative intent is clear. </w:t>
      </w:r>
    </w:p>
    <w:p w14:paraId="50725CB9" w14:textId="77777777" w:rsidR="007E6192" w:rsidRPr="00FB2F38" w:rsidRDefault="007E6192" w:rsidP="00A40583">
      <w:pPr>
        <w:autoSpaceDE w:val="0"/>
        <w:autoSpaceDN w:val="0"/>
        <w:adjustRightInd w:val="0"/>
        <w:rPr>
          <w:bCs/>
          <w:lang w:eastAsia="en-US"/>
        </w:rPr>
      </w:pPr>
    </w:p>
    <w:p w14:paraId="4E5BF5E7" w14:textId="77777777" w:rsidR="0021192B" w:rsidRPr="00FB2F38" w:rsidRDefault="007E6192" w:rsidP="00A40583">
      <w:pPr>
        <w:autoSpaceDE w:val="0"/>
        <w:autoSpaceDN w:val="0"/>
        <w:adjustRightInd w:val="0"/>
        <w:rPr>
          <w:bCs/>
          <w:lang w:eastAsia="en-US"/>
        </w:rPr>
      </w:pPr>
      <w:r w:rsidRPr="00FB2F38">
        <w:rPr>
          <w:bCs/>
          <w:lang w:eastAsia="en-US"/>
        </w:rPr>
        <w:t>[21]</w:t>
      </w:r>
      <w:r w:rsidRPr="00FB2F38">
        <w:rPr>
          <w:bCs/>
          <w:lang w:eastAsia="en-US"/>
        </w:rPr>
        <w:tab/>
      </w:r>
      <w:r w:rsidR="00A972D3" w:rsidRPr="00FB2F38">
        <w:rPr>
          <w:bCs/>
          <w:lang w:eastAsia="en-US"/>
        </w:rPr>
        <w:t xml:space="preserve">It is common ground that in determining costs that are just and reasonable, the starting point is </w:t>
      </w:r>
      <w:r w:rsidR="00162EA3" w:rsidRPr="00FB2F38">
        <w:rPr>
          <w:bCs/>
          <w:lang w:eastAsia="en-US"/>
        </w:rPr>
        <w:t xml:space="preserve">by </w:t>
      </w:r>
      <w:r w:rsidR="00A972D3" w:rsidRPr="00FB2F38">
        <w:rPr>
          <w:bCs/>
          <w:lang w:eastAsia="en-US"/>
        </w:rPr>
        <w:t xml:space="preserve">reference to the scale of costs in the </w:t>
      </w:r>
      <w:r w:rsidR="00A972D3" w:rsidRPr="00FB2F38">
        <w:rPr>
          <w:bCs/>
          <w:i/>
          <w:iCs/>
          <w:lang w:eastAsia="en-US"/>
        </w:rPr>
        <w:t>Justices Regulation</w:t>
      </w:r>
      <w:r w:rsidR="00A972D3" w:rsidRPr="00FB2F38">
        <w:rPr>
          <w:bCs/>
          <w:lang w:eastAsia="en-US"/>
        </w:rPr>
        <w:t xml:space="preserve"> 2014 and then applying a multiplier</w:t>
      </w:r>
      <w:r w:rsidR="00D041A2" w:rsidRPr="00FB2F38">
        <w:rPr>
          <w:bCs/>
          <w:lang w:eastAsia="en-US"/>
        </w:rPr>
        <w:t xml:space="preserve"> if the discretion in section 158B(2) is exercised</w:t>
      </w:r>
      <w:r w:rsidR="0021192B" w:rsidRPr="00FB2F38">
        <w:rPr>
          <w:bCs/>
          <w:lang w:eastAsia="en-US"/>
        </w:rPr>
        <w:t>.</w:t>
      </w:r>
      <w:r w:rsidR="00DA7341" w:rsidRPr="00FB2F38">
        <w:rPr>
          <w:bCs/>
          <w:lang w:eastAsia="en-US"/>
        </w:rPr>
        <w:t xml:space="preserve">  Legal fees for </w:t>
      </w:r>
      <w:r w:rsidR="00521C65" w:rsidRPr="00FB2F38">
        <w:rPr>
          <w:bCs/>
          <w:lang w:eastAsia="en-US"/>
        </w:rPr>
        <w:t xml:space="preserve">“legal </w:t>
      </w:r>
      <w:r w:rsidR="00DA7341" w:rsidRPr="00FB2F38">
        <w:rPr>
          <w:bCs/>
          <w:lang w:eastAsia="en-US"/>
        </w:rPr>
        <w:t>professional work</w:t>
      </w:r>
      <w:r w:rsidR="00521C65" w:rsidRPr="00FB2F38">
        <w:rPr>
          <w:bCs/>
          <w:lang w:eastAsia="en-US"/>
        </w:rPr>
        <w:t>”</w:t>
      </w:r>
      <w:r w:rsidR="00DA7341" w:rsidRPr="00FB2F38">
        <w:rPr>
          <w:bCs/>
          <w:lang w:eastAsia="en-US"/>
        </w:rPr>
        <w:t xml:space="preserve"> on the scale come to $2,0</w:t>
      </w:r>
      <w:r w:rsidR="00AA1FC7" w:rsidRPr="00FB2F38">
        <w:rPr>
          <w:bCs/>
          <w:lang w:eastAsia="en-US"/>
        </w:rPr>
        <w:t>49.86</w:t>
      </w:r>
      <w:r w:rsidR="001919BB" w:rsidRPr="00FB2F38">
        <w:rPr>
          <w:bCs/>
          <w:lang w:eastAsia="en-US"/>
        </w:rPr>
        <w:t xml:space="preserve"> for this matter</w:t>
      </w:r>
      <w:r w:rsidR="0021192B" w:rsidRPr="00FB2F38">
        <w:rPr>
          <w:rStyle w:val="FootnoteReference"/>
          <w:bCs/>
          <w:lang w:eastAsia="en-US"/>
        </w:rPr>
        <w:footnoteReference w:id="18"/>
      </w:r>
      <w:r w:rsidR="00DA7341" w:rsidRPr="00FB2F38">
        <w:rPr>
          <w:bCs/>
          <w:lang w:eastAsia="en-US"/>
        </w:rPr>
        <w:t>.</w:t>
      </w:r>
      <w:r w:rsidR="0021192B" w:rsidRPr="00FB2F38">
        <w:rPr>
          <w:bCs/>
          <w:lang w:eastAsia="en-US"/>
        </w:rPr>
        <w:t xml:space="preserve">  </w:t>
      </w:r>
    </w:p>
    <w:p w14:paraId="38F590CF" w14:textId="77777777" w:rsidR="0021192B" w:rsidRPr="00FB2F38" w:rsidRDefault="0021192B" w:rsidP="00A40583">
      <w:pPr>
        <w:autoSpaceDE w:val="0"/>
        <w:autoSpaceDN w:val="0"/>
        <w:adjustRightInd w:val="0"/>
        <w:rPr>
          <w:bCs/>
          <w:lang w:eastAsia="en-US"/>
        </w:rPr>
      </w:pPr>
    </w:p>
    <w:p w14:paraId="3FC132A3" w14:textId="77777777" w:rsidR="00DA7341" w:rsidRPr="00FB2F38" w:rsidRDefault="0021192B" w:rsidP="00A40583">
      <w:pPr>
        <w:autoSpaceDE w:val="0"/>
        <w:autoSpaceDN w:val="0"/>
        <w:adjustRightInd w:val="0"/>
        <w:rPr>
          <w:bCs/>
          <w:lang w:eastAsia="en-US"/>
        </w:rPr>
      </w:pPr>
      <w:r w:rsidRPr="00FB2F38">
        <w:rPr>
          <w:bCs/>
          <w:lang w:eastAsia="en-US"/>
        </w:rPr>
        <w:t>[22]</w:t>
      </w:r>
      <w:r w:rsidRPr="00FB2F38">
        <w:rPr>
          <w:bCs/>
          <w:lang w:eastAsia="en-US"/>
        </w:rPr>
        <w:tab/>
        <w:t xml:space="preserve">It is also common ground that counsel’s fees are not considered a disbursement under the scale and do not fall within “legal professional work” referred to in the scale.  The general practice is that, in addition to costs under </w:t>
      </w:r>
      <w:r w:rsidR="00891C9A" w:rsidRPr="00FB2F38">
        <w:rPr>
          <w:bCs/>
          <w:lang w:eastAsia="en-US"/>
        </w:rPr>
        <w:t xml:space="preserve">“legal professional work” in </w:t>
      </w:r>
      <w:r w:rsidRPr="00FB2F38">
        <w:rPr>
          <w:bCs/>
          <w:lang w:eastAsia="en-US"/>
        </w:rPr>
        <w:t xml:space="preserve">the scale, an allowance for counsel’s fees has </w:t>
      </w:r>
      <w:r w:rsidR="00521C65" w:rsidRPr="00FB2F38">
        <w:rPr>
          <w:bCs/>
          <w:lang w:eastAsia="en-US"/>
        </w:rPr>
        <w:t xml:space="preserve">generally </w:t>
      </w:r>
      <w:r w:rsidRPr="00FB2F38">
        <w:rPr>
          <w:bCs/>
          <w:lang w:eastAsia="en-US"/>
        </w:rPr>
        <w:t xml:space="preserve">been awarded in accordance with </w:t>
      </w:r>
      <w:r w:rsidR="00891C9A" w:rsidRPr="00FB2F38">
        <w:rPr>
          <w:bCs/>
          <w:lang w:eastAsia="en-US"/>
        </w:rPr>
        <w:t>the Federal Court of Australia’s National Guide to Counsel’s Fees (effective 1 July 2013)</w:t>
      </w:r>
      <w:r w:rsidR="00C670D7" w:rsidRPr="00FB2F38">
        <w:rPr>
          <w:bCs/>
          <w:lang w:eastAsia="en-US"/>
        </w:rPr>
        <w:t xml:space="preserve"> (Federal Court Scale)</w:t>
      </w:r>
      <w:r w:rsidR="00197B91" w:rsidRPr="00FB2F38">
        <w:rPr>
          <w:rStyle w:val="FootnoteReference"/>
          <w:bCs/>
          <w:lang w:eastAsia="en-US"/>
        </w:rPr>
        <w:footnoteReference w:id="19"/>
      </w:r>
      <w:r w:rsidR="00891C9A" w:rsidRPr="00FB2F38">
        <w:rPr>
          <w:bCs/>
          <w:lang w:eastAsia="en-US"/>
        </w:rPr>
        <w:t>.</w:t>
      </w:r>
      <w:r w:rsidRPr="00FB2F38">
        <w:rPr>
          <w:bCs/>
          <w:lang w:eastAsia="en-US"/>
        </w:rPr>
        <w:t xml:space="preserve">    </w:t>
      </w:r>
      <w:r w:rsidR="00DA7341" w:rsidRPr="00FB2F38">
        <w:rPr>
          <w:bCs/>
          <w:lang w:eastAsia="en-US"/>
        </w:rPr>
        <w:t xml:space="preserve"> </w:t>
      </w:r>
      <w:r w:rsidR="00A972D3" w:rsidRPr="00FB2F38">
        <w:rPr>
          <w:bCs/>
          <w:lang w:eastAsia="en-US"/>
        </w:rPr>
        <w:t xml:space="preserve">  </w:t>
      </w:r>
    </w:p>
    <w:p w14:paraId="71C05E18" w14:textId="77777777" w:rsidR="00DA7341" w:rsidRPr="00FB2F38" w:rsidRDefault="00DA7341" w:rsidP="00A40583">
      <w:pPr>
        <w:autoSpaceDE w:val="0"/>
        <w:autoSpaceDN w:val="0"/>
        <w:adjustRightInd w:val="0"/>
        <w:rPr>
          <w:bCs/>
          <w:lang w:eastAsia="en-US"/>
        </w:rPr>
      </w:pPr>
    </w:p>
    <w:p w14:paraId="7BE6B879" w14:textId="77777777" w:rsidR="00DA7341" w:rsidRPr="00FB2F38" w:rsidRDefault="00DA7341" w:rsidP="00A40583">
      <w:pPr>
        <w:autoSpaceDE w:val="0"/>
        <w:autoSpaceDN w:val="0"/>
        <w:adjustRightInd w:val="0"/>
        <w:rPr>
          <w:bCs/>
          <w:lang w:eastAsia="en-US"/>
        </w:rPr>
      </w:pPr>
      <w:r w:rsidRPr="00FB2F38">
        <w:rPr>
          <w:bCs/>
          <w:lang w:eastAsia="en-US"/>
        </w:rPr>
        <w:t>[2</w:t>
      </w:r>
      <w:r w:rsidR="00193562" w:rsidRPr="00FB2F38">
        <w:rPr>
          <w:bCs/>
          <w:lang w:eastAsia="en-US"/>
        </w:rPr>
        <w:t>3</w:t>
      </w:r>
      <w:r w:rsidRPr="00FB2F38">
        <w:rPr>
          <w:bCs/>
          <w:lang w:eastAsia="en-US"/>
        </w:rPr>
        <w:t>]</w:t>
      </w:r>
      <w:r w:rsidRPr="00FB2F38">
        <w:rPr>
          <w:bCs/>
          <w:lang w:eastAsia="en-US"/>
        </w:rPr>
        <w:tab/>
      </w:r>
      <w:r w:rsidR="00A972D3" w:rsidRPr="00FB2F38">
        <w:rPr>
          <w:bCs/>
          <w:lang w:eastAsia="en-US"/>
        </w:rPr>
        <w:t xml:space="preserve">Niepe seeks costs </w:t>
      </w:r>
      <w:r w:rsidR="00891C9A" w:rsidRPr="00FB2F38">
        <w:rPr>
          <w:bCs/>
          <w:lang w:eastAsia="en-US"/>
        </w:rPr>
        <w:t xml:space="preserve">for “legal professional work” </w:t>
      </w:r>
      <w:r w:rsidR="00FC16E5" w:rsidRPr="00FB2F38">
        <w:rPr>
          <w:bCs/>
          <w:lang w:eastAsia="en-US"/>
        </w:rPr>
        <w:t>with a multiplier of nine</w:t>
      </w:r>
      <w:r w:rsidRPr="00FB2F38">
        <w:rPr>
          <w:bCs/>
          <w:lang w:eastAsia="en-US"/>
        </w:rPr>
        <w:t xml:space="preserve"> totalling $</w:t>
      </w:r>
      <w:r w:rsidR="00C6777B" w:rsidRPr="00FB2F38">
        <w:rPr>
          <w:bCs/>
          <w:lang w:eastAsia="en-US"/>
        </w:rPr>
        <w:t xml:space="preserve">18,448.74 </w:t>
      </w:r>
      <w:r w:rsidR="0021192B" w:rsidRPr="00FB2F38">
        <w:rPr>
          <w:bCs/>
          <w:lang w:eastAsia="en-US"/>
        </w:rPr>
        <w:t>($2,049.86 x 9) which is less than 35% of the total fees incurred</w:t>
      </w:r>
      <w:r w:rsidR="00891C9A" w:rsidRPr="00FB2F38">
        <w:rPr>
          <w:rStyle w:val="FootnoteReference"/>
          <w:bCs/>
          <w:lang w:eastAsia="en-US"/>
        </w:rPr>
        <w:footnoteReference w:id="20"/>
      </w:r>
      <w:r w:rsidR="0021192B" w:rsidRPr="00FB2F38">
        <w:rPr>
          <w:bCs/>
          <w:lang w:eastAsia="en-US"/>
        </w:rPr>
        <w:t>.</w:t>
      </w:r>
      <w:r w:rsidR="00891C9A" w:rsidRPr="00FB2F38">
        <w:rPr>
          <w:bCs/>
          <w:lang w:eastAsia="en-US"/>
        </w:rPr>
        <w:t xml:space="preserve">  In addition, Niepe seeks $35,177.50 counsel’s fees </w:t>
      </w:r>
      <w:r w:rsidR="00521C65" w:rsidRPr="00FB2F38">
        <w:rPr>
          <w:bCs/>
          <w:lang w:eastAsia="en-US"/>
        </w:rPr>
        <w:t xml:space="preserve">according to the Federal Court </w:t>
      </w:r>
      <w:r w:rsidR="00C670D7" w:rsidRPr="00FB2F38">
        <w:rPr>
          <w:bCs/>
          <w:lang w:eastAsia="en-US"/>
        </w:rPr>
        <w:t>Scale made</w:t>
      </w:r>
      <w:r w:rsidR="00521C65" w:rsidRPr="00FB2F38">
        <w:rPr>
          <w:bCs/>
          <w:lang w:eastAsia="en-US"/>
        </w:rPr>
        <w:t xml:space="preserve"> up of $7,650 for attendance at the hearing</w:t>
      </w:r>
      <w:r w:rsidR="00C6777B" w:rsidRPr="00FB2F38">
        <w:rPr>
          <w:bCs/>
          <w:lang w:eastAsia="en-US"/>
        </w:rPr>
        <w:t xml:space="preserve"> (item “Fee on Brief</w:t>
      </w:r>
      <w:r w:rsidR="002A421A" w:rsidRPr="00FB2F38">
        <w:rPr>
          <w:bCs/>
          <w:lang w:eastAsia="en-US"/>
        </w:rPr>
        <w:t xml:space="preserve"> </w:t>
      </w:r>
      <w:r w:rsidR="00C6777B" w:rsidRPr="00FB2F38">
        <w:rPr>
          <w:bCs/>
          <w:lang w:eastAsia="en-US"/>
        </w:rPr>
        <w:t>including preparation at discretion of taxing officer and appearance on the first day of a hearing”)</w:t>
      </w:r>
      <w:r w:rsidR="00521C65" w:rsidRPr="00FB2F38">
        <w:rPr>
          <w:bCs/>
          <w:lang w:eastAsia="en-US"/>
        </w:rPr>
        <w:t xml:space="preserve"> and $27,527.50 for preparation, conferences and settling the </w:t>
      </w:r>
      <w:r w:rsidR="00A9714A" w:rsidRPr="00FB2F38">
        <w:rPr>
          <w:bCs/>
          <w:lang w:eastAsia="en-US"/>
        </w:rPr>
        <w:t>application and</w:t>
      </w:r>
      <w:r w:rsidR="00521C65" w:rsidRPr="00FB2F38">
        <w:rPr>
          <w:bCs/>
          <w:lang w:eastAsia="en-US"/>
        </w:rPr>
        <w:t xml:space="preserve"> submissions.     </w:t>
      </w:r>
      <w:r w:rsidR="00FC16E5" w:rsidRPr="00FB2F38">
        <w:rPr>
          <w:bCs/>
          <w:lang w:eastAsia="en-US"/>
        </w:rPr>
        <w:t xml:space="preserve">  </w:t>
      </w:r>
    </w:p>
    <w:p w14:paraId="5D40009A" w14:textId="77777777" w:rsidR="00DA7341" w:rsidRPr="00FB2F38" w:rsidRDefault="00DA7341" w:rsidP="00A40583">
      <w:pPr>
        <w:autoSpaceDE w:val="0"/>
        <w:autoSpaceDN w:val="0"/>
        <w:adjustRightInd w:val="0"/>
        <w:rPr>
          <w:bCs/>
          <w:lang w:eastAsia="en-US"/>
        </w:rPr>
      </w:pPr>
    </w:p>
    <w:p w14:paraId="7B63FD84" w14:textId="77777777" w:rsidR="00FC16E5" w:rsidRPr="00FB2F38" w:rsidRDefault="0021192B" w:rsidP="00A40583">
      <w:pPr>
        <w:autoSpaceDE w:val="0"/>
        <w:autoSpaceDN w:val="0"/>
        <w:adjustRightInd w:val="0"/>
        <w:rPr>
          <w:bCs/>
          <w:lang w:eastAsia="en-US"/>
        </w:rPr>
      </w:pPr>
      <w:r w:rsidRPr="00FB2F38">
        <w:rPr>
          <w:bCs/>
          <w:lang w:eastAsia="en-US"/>
        </w:rPr>
        <w:t>[2</w:t>
      </w:r>
      <w:r w:rsidR="00193562" w:rsidRPr="00FB2F38">
        <w:rPr>
          <w:bCs/>
          <w:lang w:eastAsia="en-US"/>
        </w:rPr>
        <w:t>4</w:t>
      </w:r>
      <w:r w:rsidRPr="00FB2F38">
        <w:rPr>
          <w:bCs/>
          <w:lang w:eastAsia="en-US"/>
        </w:rPr>
        <w:t>]</w:t>
      </w:r>
      <w:r w:rsidRPr="00FB2F38">
        <w:rPr>
          <w:bCs/>
          <w:lang w:eastAsia="en-US"/>
        </w:rPr>
        <w:tab/>
      </w:r>
      <w:r w:rsidR="00FC16E5" w:rsidRPr="00FB2F38">
        <w:rPr>
          <w:bCs/>
          <w:lang w:eastAsia="en-US"/>
        </w:rPr>
        <w:t xml:space="preserve">If costs are to be awarded above the scale, the prosecution submit </w:t>
      </w:r>
      <w:r w:rsidRPr="00FB2F38">
        <w:rPr>
          <w:bCs/>
          <w:lang w:eastAsia="en-US"/>
        </w:rPr>
        <w:t>that the multiplier s</w:t>
      </w:r>
      <w:r w:rsidR="00FC16E5" w:rsidRPr="00FB2F38">
        <w:rPr>
          <w:bCs/>
          <w:lang w:eastAsia="en-US"/>
        </w:rPr>
        <w:t>hould be three</w:t>
      </w:r>
      <w:r w:rsidRPr="00FB2F38">
        <w:rPr>
          <w:bCs/>
          <w:lang w:eastAsia="en-US"/>
        </w:rPr>
        <w:t xml:space="preserve"> ie $</w:t>
      </w:r>
      <w:r w:rsidR="00C22A55" w:rsidRPr="00FB2F38">
        <w:rPr>
          <w:bCs/>
          <w:lang w:eastAsia="en-US"/>
        </w:rPr>
        <w:t xml:space="preserve">6,149.58 </w:t>
      </w:r>
      <w:r w:rsidRPr="00FB2F38">
        <w:rPr>
          <w:bCs/>
          <w:lang w:eastAsia="en-US"/>
        </w:rPr>
        <w:t>($2,049.86 x 3)</w:t>
      </w:r>
      <w:r w:rsidR="00A9714A" w:rsidRPr="00FB2F38">
        <w:rPr>
          <w:bCs/>
          <w:lang w:eastAsia="en-US"/>
        </w:rPr>
        <w:t xml:space="preserve"> for “legal professional work” under the scale</w:t>
      </w:r>
      <w:r w:rsidR="00E87655" w:rsidRPr="00FB2F38">
        <w:rPr>
          <w:bCs/>
          <w:lang w:eastAsia="en-US"/>
        </w:rPr>
        <w:t xml:space="preserve"> and counsel’s fees of $6,400 for appearance on the day of the hearing as per the Federal Court </w:t>
      </w:r>
      <w:r w:rsidR="00C670D7" w:rsidRPr="00FB2F38">
        <w:rPr>
          <w:bCs/>
          <w:lang w:eastAsia="en-US"/>
        </w:rPr>
        <w:t xml:space="preserve">Scale </w:t>
      </w:r>
      <w:r w:rsidR="00E87655" w:rsidRPr="00FB2F38">
        <w:rPr>
          <w:bCs/>
          <w:lang w:eastAsia="en-US"/>
        </w:rPr>
        <w:t xml:space="preserve">under the item “Appearance a hearing (daily rate including conference)”.  </w:t>
      </w:r>
      <w:r w:rsidR="00A9714A" w:rsidRPr="00FB2F38">
        <w:rPr>
          <w:bCs/>
          <w:lang w:eastAsia="en-US"/>
        </w:rPr>
        <w:t xml:space="preserve">  </w:t>
      </w:r>
      <w:r w:rsidRPr="00FB2F38">
        <w:rPr>
          <w:bCs/>
          <w:lang w:eastAsia="en-US"/>
        </w:rPr>
        <w:t xml:space="preserve">  </w:t>
      </w:r>
    </w:p>
    <w:p w14:paraId="4601AE88" w14:textId="77777777" w:rsidR="0021192B" w:rsidRPr="00FB2F38" w:rsidRDefault="0021192B" w:rsidP="00A40583">
      <w:pPr>
        <w:autoSpaceDE w:val="0"/>
        <w:autoSpaceDN w:val="0"/>
        <w:adjustRightInd w:val="0"/>
        <w:rPr>
          <w:bCs/>
          <w:lang w:eastAsia="en-US"/>
        </w:rPr>
      </w:pPr>
    </w:p>
    <w:p w14:paraId="499181BB" w14:textId="77777777" w:rsidR="00191554" w:rsidRPr="00FB2F38" w:rsidRDefault="00FC16E5" w:rsidP="00A40583">
      <w:pPr>
        <w:autoSpaceDE w:val="0"/>
        <w:autoSpaceDN w:val="0"/>
        <w:adjustRightInd w:val="0"/>
        <w:rPr>
          <w:bCs/>
          <w:lang w:eastAsia="en-US"/>
        </w:rPr>
      </w:pPr>
      <w:r w:rsidRPr="00FB2F38">
        <w:rPr>
          <w:bCs/>
          <w:lang w:eastAsia="en-US"/>
        </w:rPr>
        <w:t>[2</w:t>
      </w:r>
      <w:r w:rsidR="00193562" w:rsidRPr="00FB2F38">
        <w:rPr>
          <w:bCs/>
          <w:lang w:eastAsia="en-US"/>
        </w:rPr>
        <w:t>5</w:t>
      </w:r>
      <w:r w:rsidRPr="00FB2F38">
        <w:rPr>
          <w:bCs/>
          <w:lang w:eastAsia="en-US"/>
        </w:rPr>
        <w:t>]</w:t>
      </w:r>
      <w:r w:rsidR="008F2657" w:rsidRPr="00FB2F38">
        <w:rPr>
          <w:bCs/>
          <w:lang w:eastAsia="en-US"/>
        </w:rPr>
        <w:tab/>
      </w:r>
      <w:r w:rsidR="00E87655" w:rsidRPr="00FB2F38">
        <w:rPr>
          <w:bCs/>
          <w:lang w:eastAsia="en-US"/>
        </w:rPr>
        <w:t xml:space="preserve">Disbursements of $34.94 </w:t>
      </w:r>
      <w:r w:rsidR="00065CE5" w:rsidRPr="00FB2F38">
        <w:rPr>
          <w:bCs/>
          <w:lang w:eastAsia="en-US"/>
        </w:rPr>
        <w:t xml:space="preserve">under section 5, Schedule 2 </w:t>
      </w:r>
      <w:r w:rsidR="00065CE5" w:rsidRPr="00FB2F38">
        <w:rPr>
          <w:bCs/>
          <w:i/>
          <w:iCs/>
          <w:lang w:eastAsia="en-US"/>
        </w:rPr>
        <w:t>Justices Regulation</w:t>
      </w:r>
      <w:r w:rsidR="00065CE5" w:rsidRPr="00FB2F38">
        <w:rPr>
          <w:bCs/>
          <w:lang w:eastAsia="en-US"/>
        </w:rPr>
        <w:t xml:space="preserve"> 2014</w:t>
      </w:r>
      <w:r w:rsidR="00065CE5" w:rsidRPr="00FB2F38">
        <w:rPr>
          <w:rStyle w:val="FootnoteReference"/>
          <w:bCs/>
          <w:lang w:eastAsia="en-US"/>
        </w:rPr>
        <w:footnoteReference w:id="21"/>
      </w:r>
      <w:r w:rsidR="00065CE5" w:rsidRPr="00FB2F38">
        <w:rPr>
          <w:bCs/>
          <w:lang w:eastAsia="en-US"/>
        </w:rPr>
        <w:t xml:space="preserve"> </w:t>
      </w:r>
      <w:r w:rsidR="00E87655" w:rsidRPr="00FB2F38">
        <w:rPr>
          <w:bCs/>
          <w:lang w:eastAsia="en-US"/>
        </w:rPr>
        <w:t>are not in dispute.</w:t>
      </w:r>
    </w:p>
    <w:p w14:paraId="6E2AB31B" w14:textId="77777777" w:rsidR="00191554" w:rsidRPr="00FB2F38" w:rsidRDefault="00191554" w:rsidP="00A40583">
      <w:pPr>
        <w:autoSpaceDE w:val="0"/>
        <w:autoSpaceDN w:val="0"/>
        <w:adjustRightInd w:val="0"/>
        <w:rPr>
          <w:bCs/>
          <w:lang w:eastAsia="en-US"/>
        </w:rPr>
      </w:pPr>
    </w:p>
    <w:p w14:paraId="7725FA48" w14:textId="77777777" w:rsidR="00A972D3" w:rsidRPr="00FB2F38" w:rsidRDefault="0022366E" w:rsidP="00A40583">
      <w:pPr>
        <w:autoSpaceDE w:val="0"/>
        <w:autoSpaceDN w:val="0"/>
        <w:adjustRightInd w:val="0"/>
        <w:rPr>
          <w:b/>
          <w:lang w:eastAsia="en-US"/>
        </w:rPr>
      </w:pPr>
      <w:r w:rsidRPr="00FB2F38">
        <w:rPr>
          <w:b/>
          <w:lang w:eastAsia="en-US"/>
        </w:rPr>
        <w:lastRenderedPageBreak/>
        <w:t>Primary order for costs – s</w:t>
      </w:r>
      <w:r w:rsidR="00CA3923" w:rsidRPr="00FB2F38">
        <w:rPr>
          <w:b/>
          <w:lang w:eastAsia="en-US"/>
        </w:rPr>
        <w:t>s</w:t>
      </w:r>
      <w:r w:rsidRPr="00FB2F38">
        <w:rPr>
          <w:b/>
          <w:lang w:eastAsia="en-US"/>
        </w:rPr>
        <w:t>. 158 (2)</w:t>
      </w:r>
      <w:r w:rsidR="00CA3923" w:rsidRPr="00FB2F38">
        <w:rPr>
          <w:b/>
          <w:lang w:eastAsia="en-US"/>
        </w:rPr>
        <w:t xml:space="preserve"> &amp; 158B (1)</w:t>
      </w:r>
      <w:r w:rsidRPr="00FB2F38">
        <w:rPr>
          <w:b/>
          <w:lang w:eastAsia="en-US"/>
        </w:rPr>
        <w:t xml:space="preserve"> Justices Act 1886</w:t>
      </w:r>
      <w:r w:rsidR="00E87655" w:rsidRPr="00FB2F38">
        <w:rPr>
          <w:b/>
          <w:lang w:eastAsia="en-US"/>
        </w:rPr>
        <w:t xml:space="preserve"> </w:t>
      </w:r>
      <w:r w:rsidR="00FC16E5" w:rsidRPr="00FB2F38">
        <w:rPr>
          <w:b/>
          <w:lang w:eastAsia="en-US"/>
        </w:rPr>
        <w:tab/>
        <w:t xml:space="preserve">   </w:t>
      </w:r>
    </w:p>
    <w:p w14:paraId="06FF9685" w14:textId="77777777" w:rsidR="00A972D3" w:rsidRPr="00FB2F38" w:rsidRDefault="00A972D3" w:rsidP="00A40583">
      <w:pPr>
        <w:autoSpaceDE w:val="0"/>
        <w:autoSpaceDN w:val="0"/>
        <w:adjustRightInd w:val="0"/>
        <w:rPr>
          <w:bCs/>
          <w:lang w:eastAsia="en-US"/>
        </w:rPr>
      </w:pPr>
    </w:p>
    <w:p w14:paraId="163E1142" w14:textId="77777777" w:rsidR="00091770" w:rsidRPr="00FB2F38" w:rsidRDefault="00C22A55" w:rsidP="00A40583">
      <w:pPr>
        <w:autoSpaceDE w:val="0"/>
        <w:autoSpaceDN w:val="0"/>
        <w:adjustRightInd w:val="0"/>
        <w:rPr>
          <w:bCs/>
          <w:lang w:eastAsia="en-US"/>
        </w:rPr>
      </w:pPr>
      <w:r w:rsidRPr="00FB2F38">
        <w:rPr>
          <w:bCs/>
          <w:lang w:eastAsia="en-US"/>
        </w:rPr>
        <w:t>[2</w:t>
      </w:r>
      <w:r w:rsidR="00193562" w:rsidRPr="00FB2F38">
        <w:rPr>
          <w:bCs/>
          <w:lang w:eastAsia="en-US"/>
        </w:rPr>
        <w:t>6</w:t>
      </w:r>
      <w:r w:rsidRPr="00FB2F38">
        <w:rPr>
          <w:bCs/>
          <w:lang w:eastAsia="en-US"/>
        </w:rPr>
        <w:t>]</w:t>
      </w:r>
      <w:r w:rsidRPr="00FB2F38">
        <w:rPr>
          <w:bCs/>
          <w:lang w:eastAsia="en-US"/>
        </w:rPr>
        <w:tab/>
      </w:r>
      <w:r w:rsidR="00091770" w:rsidRPr="00FB2F38">
        <w:rPr>
          <w:bCs/>
          <w:lang w:eastAsia="en-US"/>
        </w:rPr>
        <w:t xml:space="preserve">At first, the prosecution identifies </w:t>
      </w:r>
      <w:r w:rsidR="00193562" w:rsidRPr="00FB2F38">
        <w:rPr>
          <w:bCs/>
          <w:lang w:eastAsia="en-US"/>
        </w:rPr>
        <w:t xml:space="preserve">the issue </w:t>
      </w:r>
      <w:r w:rsidR="00091770" w:rsidRPr="00FB2F38">
        <w:rPr>
          <w:bCs/>
          <w:lang w:eastAsia="en-US"/>
        </w:rPr>
        <w:t xml:space="preserve">at paragraphs [1] &amp; [2] of submissions, whether costs should be awarded above the scale and submit that this </w:t>
      </w:r>
      <w:r w:rsidR="004E57F3" w:rsidRPr="00FB2F38">
        <w:rPr>
          <w:bCs/>
          <w:lang w:eastAsia="en-US"/>
        </w:rPr>
        <w:t>i</w:t>
      </w:r>
      <w:r w:rsidR="00091770" w:rsidRPr="00FB2F38">
        <w:rPr>
          <w:bCs/>
          <w:lang w:eastAsia="en-US"/>
        </w:rPr>
        <w:t>s not a case of “special difficulty, complexity or importance”.  However, at paragraph [33] of submissions, the prosecution</w:t>
      </w:r>
      <w:r w:rsidR="00E70F10" w:rsidRPr="00FB2F38">
        <w:rPr>
          <w:bCs/>
          <w:lang w:eastAsia="en-US"/>
        </w:rPr>
        <w:t xml:space="preserve">’s first position is that </w:t>
      </w:r>
      <w:r w:rsidR="00091770" w:rsidRPr="00FB2F38">
        <w:rPr>
          <w:bCs/>
          <w:lang w:eastAsia="en-US"/>
        </w:rPr>
        <w:t>it is not “just and reasonable” to award any costs.</w:t>
      </w:r>
    </w:p>
    <w:p w14:paraId="6628D981" w14:textId="77777777" w:rsidR="00091770" w:rsidRPr="00FB2F38" w:rsidRDefault="00091770" w:rsidP="00A40583">
      <w:pPr>
        <w:autoSpaceDE w:val="0"/>
        <w:autoSpaceDN w:val="0"/>
        <w:adjustRightInd w:val="0"/>
        <w:rPr>
          <w:bCs/>
          <w:lang w:eastAsia="en-US"/>
        </w:rPr>
      </w:pPr>
    </w:p>
    <w:p w14:paraId="482D2379" w14:textId="77777777" w:rsidR="007860B8" w:rsidRPr="00FB2F38" w:rsidRDefault="00091770" w:rsidP="00A40583">
      <w:pPr>
        <w:autoSpaceDE w:val="0"/>
        <w:autoSpaceDN w:val="0"/>
        <w:adjustRightInd w:val="0"/>
        <w:rPr>
          <w:bCs/>
          <w:lang w:eastAsia="en-US"/>
        </w:rPr>
      </w:pPr>
      <w:r w:rsidRPr="00FB2F38">
        <w:rPr>
          <w:bCs/>
          <w:lang w:eastAsia="en-US"/>
        </w:rPr>
        <w:t>[2</w:t>
      </w:r>
      <w:r w:rsidR="00193562" w:rsidRPr="00FB2F38">
        <w:rPr>
          <w:bCs/>
          <w:lang w:eastAsia="en-US"/>
        </w:rPr>
        <w:t>7</w:t>
      </w:r>
      <w:r w:rsidRPr="00FB2F38">
        <w:rPr>
          <w:bCs/>
          <w:lang w:eastAsia="en-US"/>
        </w:rPr>
        <w:t>]</w:t>
      </w:r>
      <w:r w:rsidRPr="00FB2F38">
        <w:rPr>
          <w:bCs/>
          <w:lang w:eastAsia="en-US"/>
        </w:rPr>
        <w:tab/>
      </w:r>
      <w:r w:rsidR="004E57F3" w:rsidRPr="00FB2F38">
        <w:rPr>
          <w:bCs/>
          <w:lang w:eastAsia="en-US"/>
        </w:rPr>
        <w:t xml:space="preserve">If the latter is maintained, </w:t>
      </w:r>
      <w:r w:rsidR="00193562" w:rsidRPr="00FB2F38">
        <w:rPr>
          <w:bCs/>
          <w:lang w:eastAsia="en-US"/>
        </w:rPr>
        <w:t xml:space="preserve">in applying the principles outlined </w:t>
      </w:r>
      <w:r w:rsidR="00193562" w:rsidRPr="00FB2F38">
        <w:rPr>
          <w:bCs/>
          <w:i/>
          <w:iCs/>
          <w:lang w:eastAsia="en-US"/>
        </w:rPr>
        <w:t>in Latoudis v Casey</w:t>
      </w:r>
      <w:r w:rsidR="00193562" w:rsidRPr="00FB2F38">
        <w:rPr>
          <w:bCs/>
          <w:lang w:eastAsia="en-US"/>
        </w:rPr>
        <w:t xml:space="preserve"> (1990) 170 CLR 534, </w:t>
      </w:r>
      <w:r w:rsidR="004E57F3" w:rsidRPr="00FB2F38">
        <w:rPr>
          <w:bCs/>
          <w:lang w:eastAsia="en-US"/>
        </w:rPr>
        <w:t>I am clearly of the view that it is just and reasonable to award costs to Niepe.</w:t>
      </w:r>
      <w:r w:rsidR="00AE5825" w:rsidRPr="00FB2F38">
        <w:rPr>
          <w:bCs/>
          <w:lang w:eastAsia="en-US"/>
        </w:rPr>
        <w:t xml:space="preserve">  Niepe was successful in the application; the prosecution was put on notice; there was no disentitling conduct on the part of Niepe.  </w:t>
      </w:r>
      <w:r w:rsidR="008869E7" w:rsidRPr="00FB2F38">
        <w:rPr>
          <w:bCs/>
          <w:lang w:eastAsia="en-US"/>
        </w:rPr>
        <w:t>Costs are not a punishment to the unsuccessful party.  Rather they are compensatory.  Exercising the discretion to award costs that are “just and reasonable” under section 158 (2) JA should not be influenced by a submission that public officers will be deterred from prosecuting cases in fear of a costs order</w:t>
      </w:r>
      <w:r w:rsidR="008869E7" w:rsidRPr="00FB2F38">
        <w:rPr>
          <w:rStyle w:val="FootnoteReference"/>
          <w:bCs/>
          <w:lang w:eastAsia="en-US"/>
        </w:rPr>
        <w:footnoteReference w:id="22"/>
      </w:r>
      <w:r w:rsidR="008869E7" w:rsidRPr="00FB2F38">
        <w:rPr>
          <w:bCs/>
          <w:lang w:eastAsia="en-US"/>
        </w:rPr>
        <w:t>.</w:t>
      </w:r>
      <w:r w:rsidR="00AE5825" w:rsidRPr="00FB2F38">
        <w:rPr>
          <w:bCs/>
          <w:lang w:eastAsia="en-US"/>
        </w:rPr>
        <w:t xml:space="preserve">  This may be relevant however, when exercising the discretion under section 158B</w:t>
      </w:r>
      <w:r w:rsidR="00743CBC" w:rsidRPr="00FB2F38">
        <w:rPr>
          <w:bCs/>
          <w:lang w:eastAsia="en-US"/>
        </w:rPr>
        <w:t xml:space="preserve"> (2)</w:t>
      </w:r>
      <w:r w:rsidR="00AE5825" w:rsidRPr="00FB2F38">
        <w:rPr>
          <w:bCs/>
          <w:lang w:eastAsia="en-US"/>
        </w:rPr>
        <w:t xml:space="preserve"> JA to award costs above the scale</w:t>
      </w:r>
      <w:r w:rsidR="00AE5825" w:rsidRPr="00FB2F38">
        <w:rPr>
          <w:rStyle w:val="FootnoteReference"/>
          <w:bCs/>
          <w:lang w:eastAsia="en-US"/>
        </w:rPr>
        <w:footnoteReference w:id="23"/>
      </w:r>
      <w:r w:rsidR="00AE5825" w:rsidRPr="00FB2F38">
        <w:rPr>
          <w:bCs/>
          <w:lang w:eastAsia="en-US"/>
        </w:rPr>
        <w:t>.</w:t>
      </w:r>
    </w:p>
    <w:p w14:paraId="06B6AB3B" w14:textId="77777777" w:rsidR="007860B8" w:rsidRPr="00FB2F38" w:rsidRDefault="007860B8" w:rsidP="00A40583">
      <w:pPr>
        <w:autoSpaceDE w:val="0"/>
        <w:autoSpaceDN w:val="0"/>
        <w:adjustRightInd w:val="0"/>
        <w:rPr>
          <w:bCs/>
          <w:lang w:eastAsia="en-US"/>
        </w:rPr>
      </w:pPr>
    </w:p>
    <w:p w14:paraId="28D3BAD8" w14:textId="77777777" w:rsidR="00193562" w:rsidRPr="00FB2F38" w:rsidRDefault="007860B8" w:rsidP="00A40583">
      <w:pPr>
        <w:autoSpaceDE w:val="0"/>
        <w:autoSpaceDN w:val="0"/>
        <w:adjustRightInd w:val="0"/>
        <w:rPr>
          <w:bCs/>
          <w:lang w:eastAsia="en-US"/>
        </w:rPr>
      </w:pPr>
      <w:r w:rsidRPr="00FB2F38">
        <w:rPr>
          <w:bCs/>
          <w:lang w:eastAsia="en-US"/>
        </w:rPr>
        <w:t>[28]</w:t>
      </w:r>
      <w:r w:rsidRPr="00FB2F38">
        <w:rPr>
          <w:bCs/>
          <w:lang w:eastAsia="en-US"/>
        </w:rPr>
        <w:tab/>
        <w:t>If the discretion under section 158</w:t>
      </w:r>
      <w:r w:rsidR="008D26D8" w:rsidRPr="00FB2F38">
        <w:rPr>
          <w:bCs/>
          <w:lang w:eastAsia="en-US"/>
        </w:rPr>
        <w:t>B (</w:t>
      </w:r>
      <w:r w:rsidRPr="00FB2F38">
        <w:rPr>
          <w:bCs/>
          <w:lang w:eastAsia="en-US"/>
        </w:rPr>
        <w:t>2) is not exercised, the total costs in favour of Niepe would be $2,084.80 ($2,049.86 + $34.94)</w:t>
      </w:r>
      <w:r w:rsidRPr="00FB2F38">
        <w:rPr>
          <w:rStyle w:val="FootnoteReference"/>
          <w:bCs/>
          <w:lang w:eastAsia="en-US"/>
        </w:rPr>
        <w:footnoteReference w:id="24"/>
      </w:r>
      <w:r w:rsidRPr="00FB2F38">
        <w:rPr>
          <w:bCs/>
          <w:lang w:eastAsia="en-US"/>
        </w:rPr>
        <w:t xml:space="preserve">. </w:t>
      </w:r>
      <w:r w:rsidR="00AE5825" w:rsidRPr="00FB2F38">
        <w:rPr>
          <w:bCs/>
          <w:lang w:eastAsia="en-US"/>
        </w:rPr>
        <w:t xml:space="preserve">   </w:t>
      </w:r>
      <w:r w:rsidR="008869E7" w:rsidRPr="00FB2F38">
        <w:rPr>
          <w:bCs/>
          <w:lang w:eastAsia="en-US"/>
        </w:rPr>
        <w:t xml:space="preserve">    </w:t>
      </w:r>
    </w:p>
    <w:p w14:paraId="5DB3C416" w14:textId="77777777" w:rsidR="00193562" w:rsidRPr="00FB2F38" w:rsidRDefault="00193562" w:rsidP="00A40583">
      <w:pPr>
        <w:autoSpaceDE w:val="0"/>
        <w:autoSpaceDN w:val="0"/>
        <w:adjustRightInd w:val="0"/>
        <w:rPr>
          <w:bCs/>
          <w:lang w:eastAsia="en-US"/>
        </w:rPr>
      </w:pPr>
    </w:p>
    <w:p w14:paraId="5476751B" w14:textId="77777777" w:rsidR="00D64AE5" w:rsidRPr="00FB2F38" w:rsidRDefault="0053066E" w:rsidP="00A40583">
      <w:pPr>
        <w:autoSpaceDE w:val="0"/>
        <w:autoSpaceDN w:val="0"/>
        <w:adjustRightInd w:val="0"/>
        <w:rPr>
          <w:bCs/>
          <w:lang w:eastAsia="en-US"/>
        </w:rPr>
      </w:pPr>
      <w:r w:rsidRPr="00FB2F38">
        <w:rPr>
          <w:bCs/>
          <w:lang w:eastAsia="en-US"/>
        </w:rPr>
        <w:t>[28]</w:t>
      </w:r>
      <w:r w:rsidRPr="00FB2F38">
        <w:rPr>
          <w:bCs/>
          <w:lang w:eastAsia="en-US"/>
        </w:rPr>
        <w:tab/>
      </w:r>
      <w:r w:rsidR="004E57F3" w:rsidRPr="00FB2F38">
        <w:rPr>
          <w:bCs/>
          <w:lang w:eastAsia="en-US"/>
        </w:rPr>
        <w:t>T</w:t>
      </w:r>
      <w:r w:rsidR="00D64AE5" w:rsidRPr="00FB2F38">
        <w:rPr>
          <w:bCs/>
          <w:lang w:eastAsia="en-US"/>
        </w:rPr>
        <w:t xml:space="preserve">wo </w:t>
      </w:r>
      <w:r w:rsidR="004E57F3" w:rsidRPr="00FB2F38">
        <w:rPr>
          <w:bCs/>
          <w:lang w:eastAsia="en-US"/>
        </w:rPr>
        <w:t>issue</w:t>
      </w:r>
      <w:r w:rsidR="00D64AE5" w:rsidRPr="00FB2F38">
        <w:rPr>
          <w:bCs/>
          <w:lang w:eastAsia="en-US"/>
        </w:rPr>
        <w:t>s</w:t>
      </w:r>
      <w:r w:rsidR="004E57F3" w:rsidRPr="00FB2F38">
        <w:rPr>
          <w:bCs/>
          <w:lang w:eastAsia="en-US"/>
        </w:rPr>
        <w:t xml:space="preserve"> remain</w:t>
      </w:r>
      <w:r w:rsidR="00D64AE5" w:rsidRPr="00FB2F38">
        <w:rPr>
          <w:bCs/>
          <w:lang w:eastAsia="en-US"/>
        </w:rPr>
        <w:t>:</w:t>
      </w:r>
    </w:p>
    <w:p w14:paraId="5F7762F9" w14:textId="77777777" w:rsidR="00D64AE5" w:rsidRPr="00FB2F38" w:rsidRDefault="00D64AE5" w:rsidP="00A40583">
      <w:pPr>
        <w:autoSpaceDE w:val="0"/>
        <w:autoSpaceDN w:val="0"/>
        <w:adjustRightInd w:val="0"/>
        <w:rPr>
          <w:bCs/>
          <w:lang w:eastAsia="en-US"/>
        </w:rPr>
      </w:pPr>
    </w:p>
    <w:p w14:paraId="021CE651" w14:textId="77777777" w:rsidR="004E57F3" w:rsidRPr="00FB2F38" w:rsidRDefault="004E57F3" w:rsidP="00D64AE5">
      <w:pPr>
        <w:pStyle w:val="ListParagraph"/>
        <w:numPr>
          <w:ilvl w:val="0"/>
          <w:numId w:val="23"/>
        </w:numPr>
        <w:autoSpaceDE w:val="0"/>
        <w:autoSpaceDN w:val="0"/>
        <w:adjustRightInd w:val="0"/>
        <w:rPr>
          <w:bCs/>
          <w:lang w:eastAsia="en-US"/>
        </w:rPr>
      </w:pPr>
      <w:r w:rsidRPr="00FB2F38">
        <w:rPr>
          <w:bCs/>
          <w:lang w:eastAsia="en-US"/>
        </w:rPr>
        <w:t xml:space="preserve">whether </w:t>
      </w:r>
      <w:r w:rsidR="00B624F7" w:rsidRPr="00FB2F38">
        <w:rPr>
          <w:bCs/>
          <w:lang w:eastAsia="en-US"/>
        </w:rPr>
        <w:t xml:space="preserve">costs above the scale </w:t>
      </w:r>
      <w:r w:rsidRPr="00FB2F38">
        <w:rPr>
          <w:bCs/>
          <w:lang w:eastAsia="en-US"/>
        </w:rPr>
        <w:t>should be awarded on the basis of special difficulty, complexity or importance under section 158B (2) JA</w:t>
      </w:r>
      <w:r w:rsidR="00D64AE5" w:rsidRPr="00FB2F38">
        <w:rPr>
          <w:bCs/>
          <w:lang w:eastAsia="en-US"/>
        </w:rPr>
        <w:t xml:space="preserve">; if so, </w:t>
      </w:r>
    </w:p>
    <w:p w14:paraId="29BC6E92" w14:textId="77777777" w:rsidR="00D64AE5" w:rsidRPr="00FB2F38" w:rsidRDefault="00206924" w:rsidP="00D64AE5">
      <w:pPr>
        <w:pStyle w:val="ListParagraph"/>
        <w:numPr>
          <w:ilvl w:val="0"/>
          <w:numId w:val="23"/>
        </w:numPr>
        <w:autoSpaceDE w:val="0"/>
        <w:autoSpaceDN w:val="0"/>
        <w:adjustRightInd w:val="0"/>
        <w:rPr>
          <w:bCs/>
          <w:lang w:eastAsia="en-US"/>
        </w:rPr>
      </w:pPr>
      <w:r w:rsidRPr="00FB2F38">
        <w:rPr>
          <w:bCs/>
          <w:lang w:eastAsia="en-US"/>
        </w:rPr>
        <w:t>t</w:t>
      </w:r>
      <w:r w:rsidR="00D64AE5" w:rsidRPr="00FB2F38">
        <w:rPr>
          <w:bCs/>
          <w:lang w:eastAsia="en-US"/>
        </w:rPr>
        <w:t>he quantum of those costs.</w:t>
      </w:r>
    </w:p>
    <w:p w14:paraId="3CEA92E9" w14:textId="77777777" w:rsidR="00FB3681" w:rsidRPr="00FB2F38" w:rsidRDefault="00FB3681" w:rsidP="00A40583">
      <w:pPr>
        <w:autoSpaceDE w:val="0"/>
        <w:autoSpaceDN w:val="0"/>
        <w:adjustRightInd w:val="0"/>
        <w:rPr>
          <w:bCs/>
          <w:lang w:eastAsia="en-US"/>
        </w:rPr>
      </w:pPr>
    </w:p>
    <w:p w14:paraId="0E12C426" w14:textId="77777777" w:rsidR="00FB3681" w:rsidRPr="00FB2F38" w:rsidRDefault="00FB3681" w:rsidP="00A40583">
      <w:pPr>
        <w:autoSpaceDE w:val="0"/>
        <w:autoSpaceDN w:val="0"/>
        <w:adjustRightInd w:val="0"/>
        <w:rPr>
          <w:b/>
          <w:lang w:eastAsia="en-US"/>
        </w:rPr>
      </w:pPr>
      <w:r w:rsidRPr="00FB2F38">
        <w:rPr>
          <w:b/>
          <w:lang w:eastAsia="en-US"/>
        </w:rPr>
        <w:t>S</w:t>
      </w:r>
      <w:r w:rsidR="00B624F7" w:rsidRPr="00FB2F38">
        <w:rPr>
          <w:b/>
          <w:lang w:eastAsia="en-US"/>
        </w:rPr>
        <w:t xml:space="preserve">pecial difficulty, complexity or importance – s. </w:t>
      </w:r>
      <w:r w:rsidRPr="00FB2F38">
        <w:rPr>
          <w:b/>
          <w:lang w:eastAsia="en-US"/>
        </w:rPr>
        <w:t>158</w:t>
      </w:r>
      <w:r w:rsidR="00B624F7" w:rsidRPr="00FB2F38">
        <w:rPr>
          <w:b/>
          <w:lang w:eastAsia="en-US"/>
        </w:rPr>
        <w:t>B (2)</w:t>
      </w:r>
      <w:r w:rsidRPr="00FB2F38">
        <w:rPr>
          <w:b/>
          <w:lang w:eastAsia="en-US"/>
        </w:rPr>
        <w:t xml:space="preserve"> Justices Act 1886</w:t>
      </w:r>
    </w:p>
    <w:p w14:paraId="00FB8E92" w14:textId="77777777" w:rsidR="004E57F3" w:rsidRPr="00FB2F38" w:rsidRDefault="004E57F3" w:rsidP="00A40583">
      <w:pPr>
        <w:autoSpaceDE w:val="0"/>
        <w:autoSpaceDN w:val="0"/>
        <w:adjustRightInd w:val="0"/>
        <w:rPr>
          <w:bCs/>
          <w:lang w:eastAsia="en-US"/>
        </w:rPr>
      </w:pPr>
    </w:p>
    <w:p w14:paraId="4D992352" w14:textId="77777777" w:rsidR="00320849" w:rsidRPr="00FB2F38" w:rsidRDefault="004E57F3" w:rsidP="00A40583">
      <w:pPr>
        <w:autoSpaceDE w:val="0"/>
        <w:autoSpaceDN w:val="0"/>
        <w:adjustRightInd w:val="0"/>
        <w:rPr>
          <w:bCs/>
          <w:lang w:eastAsia="en-US"/>
        </w:rPr>
      </w:pPr>
      <w:r w:rsidRPr="00FB2F38">
        <w:rPr>
          <w:bCs/>
          <w:lang w:eastAsia="en-US"/>
        </w:rPr>
        <w:t>[2</w:t>
      </w:r>
      <w:r w:rsidR="00CB3B5C" w:rsidRPr="00FB2F38">
        <w:rPr>
          <w:bCs/>
          <w:lang w:eastAsia="en-US"/>
        </w:rPr>
        <w:t>9</w:t>
      </w:r>
      <w:r w:rsidRPr="00FB2F38">
        <w:rPr>
          <w:bCs/>
          <w:lang w:eastAsia="en-US"/>
        </w:rPr>
        <w:t>]</w:t>
      </w:r>
      <w:r w:rsidR="00320849" w:rsidRPr="00FB2F38">
        <w:rPr>
          <w:bCs/>
          <w:lang w:eastAsia="en-US"/>
        </w:rPr>
        <w:tab/>
        <w:t xml:space="preserve"> The principles in </w:t>
      </w:r>
      <w:r w:rsidR="00320849" w:rsidRPr="00FB2F38">
        <w:rPr>
          <w:bCs/>
          <w:i/>
          <w:iCs/>
          <w:lang w:eastAsia="en-US"/>
        </w:rPr>
        <w:t>Interclean</w:t>
      </w:r>
      <w:r w:rsidR="00320849" w:rsidRPr="00FB2F38">
        <w:rPr>
          <w:bCs/>
          <w:lang w:eastAsia="en-US"/>
        </w:rPr>
        <w:t xml:space="preserve"> cited above at [13] were approved in </w:t>
      </w:r>
      <w:r w:rsidR="00320849" w:rsidRPr="00FB2F38">
        <w:rPr>
          <w:bCs/>
          <w:i/>
          <w:iCs/>
          <w:lang w:eastAsia="en-US"/>
        </w:rPr>
        <w:t>Travers v Donagh; Carrey v La Rocca</w:t>
      </w:r>
      <w:r w:rsidR="00320849" w:rsidRPr="00FB2F38">
        <w:rPr>
          <w:bCs/>
          <w:lang w:eastAsia="en-US"/>
        </w:rPr>
        <w:t xml:space="preserve"> [2013] 177 per Wall QC DCJ at [23].  At [22] His Honour interpreted “special difficulty, complexity or importance” in section 158</w:t>
      </w:r>
      <w:r w:rsidR="004A651F" w:rsidRPr="00FB2F38">
        <w:rPr>
          <w:bCs/>
          <w:lang w:eastAsia="en-US"/>
        </w:rPr>
        <w:t>B (</w:t>
      </w:r>
      <w:r w:rsidR="00320849" w:rsidRPr="00FB2F38">
        <w:rPr>
          <w:bCs/>
          <w:lang w:eastAsia="en-US"/>
        </w:rPr>
        <w:t>2) JA as meaning “special difficulty, special complexity, or special importance”.</w:t>
      </w:r>
      <w:r w:rsidR="009F2390" w:rsidRPr="00FB2F38">
        <w:rPr>
          <w:bCs/>
          <w:lang w:eastAsia="en-US"/>
        </w:rPr>
        <w:t xml:space="preserve">  The necessary difficulty, complexity or importance of a case must be one significantly greater than is ordinarily encountered compared with the general run of cases</w:t>
      </w:r>
      <w:r w:rsidR="00E64D45" w:rsidRPr="00FB2F38">
        <w:rPr>
          <w:rStyle w:val="FootnoteReference"/>
          <w:bCs/>
          <w:lang w:eastAsia="en-US"/>
        </w:rPr>
        <w:footnoteReference w:id="25"/>
      </w:r>
      <w:r w:rsidR="009F2390" w:rsidRPr="00FB2F38">
        <w:rPr>
          <w:bCs/>
          <w:lang w:eastAsia="en-US"/>
        </w:rPr>
        <w:t xml:space="preserve">.  </w:t>
      </w:r>
    </w:p>
    <w:p w14:paraId="06ECE80C" w14:textId="77777777" w:rsidR="009F2390" w:rsidRPr="00FB2F38" w:rsidRDefault="009F2390" w:rsidP="00A40583">
      <w:pPr>
        <w:autoSpaceDE w:val="0"/>
        <w:autoSpaceDN w:val="0"/>
        <w:adjustRightInd w:val="0"/>
        <w:rPr>
          <w:bCs/>
          <w:lang w:eastAsia="en-US"/>
        </w:rPr>
      </w:pPr>
    </w:p>
    <w:p w14:paraId="498EB879" w14:textId="77777777" w:rsidR="00421AAB" w:rsidRPr="00FB2F38" w:rsidRDefault="009F2390" w:rsidP="00A40583">
      <w:pPr>
        <w:autoSpaceDE w:val="0"/>
        <w:autoSpaceDN w:val="0"/>
        <w:adjustRightInd w:val="0"/>
        <w:rPr>
          <w:bCs/>
          <w:lang w:eastAsia="en-US"/>
        </w:rPr>
      </w:pPr>
      <w:r w:rsidRPr="00FB2F38">
        <w:rPr>
          <w:bCs/>
          <w:lang w:eastAsia="en-US"/>
        </w:rPr>
        <w:t>[30]</w:t>
      </w:r>
      <w:r w:rsidR="00011A03" w:rsidRPr="00FB2F38">
        <w:rPr>
          <w:bCs/>
          <w:lang w:eastAsia="en-US"/>
        </w:rPr>
        <w:tab/>
      </w:r>
      <w:r w:rsidR="00E64D45" w:rsidRPr="00FB2F38">
        <w:rPr>
          <w:bCs/>
          <w:lang w:eastAsia="en-US"/>
        </w:rPr>
        <w:t xml:space="preserve">While this case involved a degree of difficulty and/or complexity for the reasons given in Niepe’s submissions, the question is whether they are “special”.  As Farr QC DCJ </w:t>
      </w:r>
      <w:r w:rsidR="00421AAB" w:rsidRPr="00FB2F38">
        <w:rPr>
          <w:bCs/>
          <w:lang w:eastAsia="en-US"/>
        </w:rPr>
        <w:t xml:space="preserve">noted </w:t>
      </w:r>
      <w:r w:rsidR="00E64D45" w:rsidRPr="00FB2F38">
        <w:rPr>
          <w:bCs/>
          <w:lang w:eastAsia="en-US"/>
        </w:rPr>
        <w:t xml:space="preserve">in </w:t>
      </w:r>
      <w:r w:rsidR="00E64D45" w:rsidRPr="00FB2F38">
        <w:rPr>
          <w:bCs/>
          <w:i/>
          <w:iCs/>
          <w:lang w:eastAsia="en-US"/>
        </w:rPr>
        <w:t>Cullinan v McCahon</w:t>
      </w:r>
      <w:r w:rsidR="00E64D45" w:rsidRPr="00FB2F38">
        <w:rPr>
          <w:bCs/>
          <w:lang w:eastAsia="en-US"/>
        </w:rPr>
        <w:t xml:space="preserve"> [2014] QDC 120</w:t>
      </w:r>
      <w:r w:rsidR="00421AAB" w:rsidRPr="00FB2F38">
        <w:rPr>
          <w:rStyle w:val="FootnoteReference"/>
          <w:bCs/>
          <w:lang w:eastAsia="en-US"/>
        </w:rPr>
        <w:footnoteReference w:id="26"/>
      </w:r>
      <w:r w:rsidR="00421AAB" w:rsidRPr="00FB2F38">
        <w:rPr>
          <w:bCs/>
          <w:lang w:eastAsia="en-US"/>
        </w:rPr>
        <w:t xml:space="preserve"> at [22], </w:t>
      </w:r>
      <w:r w:rsidR="00E64D45" w:rsidRPr="00FB2F38">
        <w:rPr>
          <w:bCs/>
          <w:lang w:eastAsia="en-US"/>
        </w:rPr>
        <w:t>“special” is defined in the Macquarie Dictionary as “extraordinary; exceptional; exceptional in amount or degree”.</w:t>
      </w:r>
    </w:p>
    <w:p w14:paraId="0347E8EE" w14:textId="77777777" w:rsidR="00421AAB" w:rsidRPr="00FB2F38" w:rsidRDefault="00421AAB" w:rsidP="00A40583">
      <w:pPr>
        <w:autoSpaceDE w:val="0"/>
        <w:autoSpaceDN w:val="0"/>
        <w:adjustRightInd w:val="0"/>
        <w:rPr>
          <w:bCs/>
          <w:lang w:eastAsia="en-US"/>
        </w:rPr>
      </w:pPr>
    </w:p>
    <w:p w14:paraId="78BFA64F" w14:textId="77777777" w:rsidR="0008597B" w:rsidRPr="00FB2F38" w:rsidRDefault="00421AAB" w:rsidP="00A40583">
      <w:pPr>
        <w:autoSpaceDE w:val="0"/>
        <w:autoSpaceDN w:val="0"/>
        <w:adjustRightInd w:val="0"/>
        <w:rPr>
          <w:bCs/>
          <w:lang w:eastAsia="en-US"/>
        </w:rPr>
      </w:pPr>
      <w:r w:rsidRPr="00FB2F38">
        <w:rPr>
          <w:bCs/>
          <w:lang w:eastAsia="en-US"/>
        </w:rPr>
        <w:t>[31]</w:t>
      </w:r>
      <w:r w:rsidRPr="00FB2F38">
        <w:rPr>
          <w:bCs/>
          <w:lang w:eastAsia="en-US"/>
        </w:rPr>
        <w:tab/>
        <w:t>At [25]</w:t>
      </w:r>
      <w:r w:rsidR="00DC5A9D" w:rsidRPr="00FB2F38">
        <w:rPr>
          <w:bCs/>
          <w:lang w:eastAsia="en-US"/>
        </w:rPr>
        <w:t xml:space="preserve"> &amp; [26]</w:t>
      </w:r>
      <w:r w:rsidR="00DC5A9D" w:rsidRPr="00FB2F38">
        <w:rPr>
          <w:rStyle w:val="FootnoteReference"/>
          <w:bCs/>
          <w:lang w:eastAsia="en-US"/>
        </w:rPr>
        <w:footnoteReference w:id="27"/>
      </w:r>
      <w:r w:rsidRPr="00FB2F38">
        <w:rPr>
          <w:bCs/>
          <w:lang w:eastAsia="en-US"/>
        </w:rPr>
        <w:t xml:space="preserve"> Farr QC DCJ in </w:t>
      </w:r>
      <w:r w:rsidRPr="00FB2F38">
        <w:rPr>
          <w:bCs/>
          <w:i/>
          <w:iCs/>
          <w:lang w:eastAsia="en-US"/>
        </w:rPr>
        <w:t xml:space="preserve">Cullinan </w:t>
      </w:r>
      <w:r w:rsidRPr="00FB2F38">
        <w:rPr>
          <w:bCs/>
          <w:lang w:eastAsia="en-US"/>
        </w:rPr>
        <w:t xml:space="preserve">observed that a case is </w:t>
      </w:r>
      <w:r w:rsidR="00DC5A9D" w:rsidRPr="00FB2F38">
        <w:rPr>
          <w:bCs/>
          <w:lang w:eastAsia="en-US"/>
        </w:rPr>
        <w:t xml:space="preserve">not </w:t>
      </w:r>
      <w:r w:rsidRPr="00FB2F38">
        <w:rPr>
          <w:bCs/>
          <w:lang w:eastAsia="en-US"/>
        </w:rPr>
        <w:t>especially difficult or complex simply because the legislation is complex</w:t>
      </w:r>
      <w:r w:rsidR="00DC5A9D" w:rsidRPr="00FB2F38">
        <w:rPr>
          <w:bCs/>
          <w:lang w:eastAsia="en-US"/>
        </w:rPr>
        <w:t xml:space="preserve"> even if it required considerable work.</w:t>
      </w:r>
      <w:r w:rsidR="00B51378" w:rsidRPr="00FB2F38">
        <w:rPr>
          <w:bCs/>
          <w:lang w:eastAsia="en-US"/>
        </w:rPr>
        <w:t xml:space="preserve">  These remarks in</w:t>
      </w:r>
      <w:r w:rsidR="00DA302F" w:rsidRPr="00FB2F38">
        <w:rPr>
          <w:bCs/>
          <w:lang w:eastAsia="en-US"/>
        </w:rPr>
        <w:t xml:space="preserve"> </w:t>
      </w:r>
      <w:r w:rsidR="00B51378" w:rsidRPr="00FB2F38">
        <w:rPr>
          <w:bCs/>
          <w:lang w:eastAsia="en-US"/>
        </w:rPr>
        <w:t xml:space="preserve">my </w:t>
      </w:r>
      <w:r w:rsidR="00DA302F" w:rsidRPr="00FB2F38">
        <w:rPr>
          <w:bCs/>
          <w:lang w:eastAsia="en-US"/>
        </w:rPr>
        <w:t xml:space="preserve">view encompass considering case law.  </w:t>
      </w:r>
      <w:r w:rsidR="00C676DE" w:rsidRPr="00FB2F38">
        <w:rPr>
          <w:bCs/>
          <w:lang w:eastAsia="en-US"/>
        </w:rPr>
        <w:t xml:space="preserve">Further, I note that the arguments advanced in this case have been </w:t>
      </w:r>
      <w:r w:rsidR="008859C4" w:rsidRPr="00FB2F38">
        <w:rPr>
          <w:bCs/>
          <w:lang w:eastAsia="en-US"/>
        </w:rPr>
        <w:t xml:space="preserve">canvassed before in other courts: </w:t>
      </w:r>
      <w:r w:rsidR="0008597B" w:rsidRPr="00FB2F38">
        <w:rPr>
          <w:bCs/>
          <w:lang w:eastAsia="en-US"/>
        </w:rPr>
        <w:t>s</w:t>
      </w:r>
      <w:r w:rsidR="008859C4" w:rsidRPr="00FB2F38">
        <w:rPr>
          <w:bCs/>
          <w:lang w:eastAsia="en-US"/>
        </w:rPr>
        <w:t xml:space="preserve">ee for example </w:t>
      </w:r>
      <w:r w:rsidR="008859C4" w:rsidRPr="00FB2F38">
        <w:rPr>
          <w:bCs/>
          <w:i/>
          <w:iCs/>
          <w:lang w:eastAsia="en-US"/>
        </w:rPr>
        <w:lastRenderedPageBreak/>
        <w:t>S Kidman &amp; Co Ltd v Lowndes</w:t>
      </w:r>
      <w:r w:rsidR="008859C4" w:rsidRPr="00FB2F38">
        <w:rPr>
          <w:bCs/>
          <w:lang w:eastAsia="en-US"/>
        </w:rPr>
        <w:t xml:space="preserve"> [2016] NTCA 5 which </w:t>
      </w:r>
      <w:r w:rsidR="0008597B" w:rsidRPr="00FB2F38">
        <w:rPr>
          <w:bCs/>
          <w:lang w:eastAsia="en-US"/>
        </w:rPr>
        <w:t xml:space="preserve">is an almost identical scenario and </w:t>
      </w:r>
      <w:r w:rsidR="0008597B" w:rsidRPr="00FB2F38">
        <w:rPr>
          <w:bCs/>
          <w:i/>
          <w:iCs/>
          <w:lang w:eastAsia="en-US"/>
        </w:rPr>
        <w:t>Newman v President of the Industrial Court</w:t>
      </w:r>
      <w:r w:rsidR="0008597B" w:rsidRPr="00FB2F38">
        <w:rPr>
          <w:bCs/>
          <w:lang w:eastAsia="en-US"/>
        </w:rPr>
        <w:t xml:space="preserve"> [2012] QSC 145.</w:t>
      </w:r>
    </w:p>
    <w:p w14:paraId="6B5C1936" w14:textId="77777777" w:rsidR="00AC1C21" w:rsidRPr="00FB2F38" w:rsidRDefault="00AC1C21" w:rsidP="00A40583">
      <w:pPr>
        <w:autoSpaceDE w:val="0"/>
        <w:autoSpaceDN w:val="0"/>
        <w:adjustRightInd w:val="0"/>
        <w:rPr>
          <w:bCs/>
          <w:lang w:eastAsia="en-US"/>
        </w:rPr>
      </w:pPr>
    </w:p>
    <w:p w14:paraId="47402EC4" w14:textId="77777777" w:rsidR="00DC751C" w:rsidRPr="00FB2F38" w:rsidRDefault="00AC1C21" w:rsidP="00A40583">
      <w:pPr>
        <w:autoSpaceDE w:val="0"/>
        <w:autoSpaceDN w:val="0"/>
        <w:adjustRightInd w:val="0"/>
        <w:rPr>
          <w:bCs/>
          <w:lang w:eastAsia="en-US"/>
        </w:rPr>
      </w:pPr>
      <w:r w:rsidRPr="00FB2F38">
        <w:rPr>
          <w:bCs/>
          <w:lang w:eastAsia="en-US"/>
        </w:rPr>
        <w:t>[32]</w:t>
      </w:r>
      <w:r w:rsidRPr="00FB2F38">
        <w:rPr>
          <w:bCs/>
          <w:lang w:eastAsia="en-US"/>
        </w:rPr>
        <w:tab/>
        <w:t xml:space="preserve">There are a number of cases referred to in submissions that were found to be </w:t>
      </w:r>
      <w:r w:rsidR="002841CE" w:rsidRPr="00FB2F38">
        <w:rPr>
          <w:bCs/>
          <w:lang w:eastAsia="en-US"/>
        </w:rPr>
        <w:t>especially</w:t>
      </w:r>
      <w:r w:rsidRPr="00FB2F38">
        <w:rPr>
          <w:bCs/>
          <w:lang w:eastAsia="en-US"/>
        </w:rPr>
        <w:t xml:space="preserve"> difficult or complex.</w:t>
      </w:r>
      <w:r w:rsidR="00DC751C" w:rsidRPr="00FB2F38">
        <w:rPr>
          <w:bCs/>
          <w:lang w:eastAsia="en-US"/>
        </w:rPr>
        <w:t xml:space="preserve">  For example, the defendant in </w:t>
      </w:r>
      <w:r w:rsidR="00DC751C" w:rsidRPr="00FB2F38">
        <w:rPr>
          <w:bCs/>
          <w:i/>
          <w:iCs/>
          <w:lang w:eastAsia="en-US"/>
        </w:rPr>
        <w:t>Hickey</w:t>
      </w:r>
      <w:r w:rsidR="00DC751C" w:rsidRPr="00FB2F38">
        <w:rPr>
          <w:bCs/>
          <w:lang w:eastAsia="en-US"/>
        </w:rPr>
        <w:t xml:space="preserve"> was found guilty of an offence under the </w:t>
      </w:r>
      <w:r w:rsidR="00DC751C" w:rsidRPr="00FB2F38">
        <w:rPr>
          <w:bCs/>
          <w:i/>
          <w:iCs/>
          <w:lang w:eastAsia="en-US"/>
        </w:rPr>
        <w:t>Crime and Misconduct Act</w:t>
      </w:r>
      <w:r w:rsidR="00DC751C" w:rsidRPr="00FB2F38">
        <w:rPr>
          <w:bCs/>
          <w:lang w:eastAsia="en-US"/>
        </w:rPr>
        <w:t xml:space="preserve"> 2001 after a three-day trial in which both parties had briefed Senior Counsel.  An appeal setting aside the conviction was successful.  The court concluded that the case was one of special difficulty, complexity or importance</w:t>
      </w:r>
      <w:r w:rsidR="002841CE" w:rsidRPr="00FB2F38">
        <w:rPr>
          <w:bCs/>
          <w:lang w:eastAsia="en-US"/>
        </w:rPr>
        <w:t>.  The focus of the reasoning in the judgement appeared to be that this was a case of considerable importance as it concerned the conduct of a local government election and had attracted substantial media attention</w:t>
      </w:r>
      <w:r w:rsidR="002841CE" w:rsidRPr="00FB2F38">
        <w:rPr>
          <w:rStyle w:val="FootnoteReference"/>
          <w:bCs/>
          <w:lang w:eastAsia="en-US"/>
        </w:rPr>
        <w:footnoteReference w:id="28"/>
      </w:r>
      <w:r w:rsidR="002841CE" w:rsidRPr="00FB2F38">
        <w:rPr>
          <w:bCs/>
          <w:lang w:eastAsia="en-US"/>
        </w:rPr>
        <w:t>.  Other factors considered included the voluminous amount of material from the CMC hearing and the way in which the prosecuting authority approached the matter</w:t>
      </w:r>
      <w:r w:rsidR="002841CE" w:rsidRPr="00FB2F38">
        <w:rPr>
          <w:rStyle w:val="FootnoteReference"/>
          <w:bCs/>
          <w:lang w:eastAsia="en-US"/>
        </w:rPr>
        <w:footnoteReference w:id="29"/>
      </w:r>
      <w:r w:rsidR="002841CE" w:rsidRPr="00FB2F38">
        <w:rPr>
          <w:bCs/>
          <w:lang w:eastAsia="en-US"/>
        </w:rPr>
        <w:t>.</w:t>
      </w:r>
      <w:r w:rsidR="004B0BDD" w:rsidRPr="00FB2F38">
        <w:rPr>
          <w:bCs/>
          <w:lang w:eastAsia="en-US"/>
        </w:rPr>
        <w:t xml:space="preserve">  Shanah</w:t>
      </w:r>
      <w:r w:rsidR="00BD2E75" w:rsidRPr="00FB2F38">
        <w:rPr>
          <w:bCs/>
          <w:lang w:eastAsia="en-US"/>
        </w:rPr>
        <w:t>a</w:t>
      </w:r>
      <w:r w:rsidR="004B0BDD" w:rsidRPr="00FB2F38">
        <w:rPr>
          <w:bCs/>
          <w:lang w:eastAsia="en-US"/>
        </w:rPr>
        <w:t xml:space="preserve">n DCJ applied a multiplier of three to the scale for legal professional work and counsel’s fees </w:t>
      </w:r>
      <w:r w:rsidR="00BD2E75" w:rsidRPr="00FB2F38">
        <w:rPr>
          <w:bCs/>
          <w:lang w:eastAsia="en-US"/>
        </w:rPr>
        <w:t xml:space="preserve">under the Federal Court Scale </w:t>
      </w:r>
      <w:r w:rsidR="004B0BDD" w:rsidRPr="00FB2F38">
        <w:rPr>
          <w:bCs/>
          <w:lang w:eastAsia="en-US"/>
        </w:rPr>
        <w:t>for the three days.  That case is somewhat distinguishable in that there was no</w:t>
      </w:r>
      <w:r w:rsidR="00BD2E75" w:rsidRPr="00FB2F38">
        <w:rPr>
          <w:bCs/>
          <w:lang w:eastAsia="en-US"/>
        </w:rPr>
        <w:t xml:space="preserve"> evidence and no</w:t>
      </w:r>
      <w:r w:rsidR="004B0BDD" w:rsidRPr="00FB2F38">
        <w:rPr>
          <w:bCs/>
          <w:lang w:eastAsia="en-US"/>
        </w:rPr>
        <w:t xml:space="preserve"> trial</w:t>
      </w:r>
      <w:r w:rsidR="00BD2E75" w:rsidRPr="00FB2F38">
        <w:rPr>
          <w:bCs/>
          <w:lang w:eastAsia="en-US"/>
        </w:rPr>
        <w:t xml:space="preserve"> in the present case.   </w:t>
      </w:r>
      <w:r w:rsidR="004B0BDD" w:rsidRPr="00FB2F38">
        <w:rPr>
          <w:bCs/>
          <w:lang w:eastAsia="en-US"/>
        </w:rPr>
        <w:t xml:space="preserve">  </w:t>
      </w:r>
      <w:r w:rsidR="002841CE" w:rsidRPr="00FB2F38">
        <w:rPr>
          <w:bCs/>
          <w:lang w:eastAsia="en-US"/>
        </w:rPr>
        <w:t xml:space="preserve"> </w:t>
      </w:r>
      <w:r w:rsidR="00DC751C" w:rsidRPr="00FB2F38">
        <w:rPr>
          <w:bCs/>
          <w:lang w:eastAsia="en-US"/>
        </w:rPr>
        <w:t xml:space="preserve">      </w:t>
      </w:r>
      <w:r w:rsidRPr="00FB2F38">
        <w:rPr>
          <w:bCs/>
          <w:lang w:eastAsia="en-US"/>
        </w:rPr>
        <w:t xml:space="preserve">  </w:t>
      </w:r>
    </w:p>
    <w:p w14:paraId="044F02AD" w14:textId="77777777" w:rsidR="00DC751C" w:rsidRPr="00FB2F38" w:rsidRDefault="00DC751C" w:rsidP="00A40583">
      <w:pPr>
        <w:autoSpaceDE w:val="0"/>
        <w:autoSpaceDN w:val="0"/>
        <w:adjustRightInd w:val="0"/>
        <w:rPr>
          <w:bCs/>
          <w:lang w:eastAsia="en-US"/>
        </w:rPr>
      </w:pPr>
    </w:p>
    <w:p w14:paraId="662668C8" w14:textId="77777777" w:rsidR="003F5899" w:rsidRPr="00FB2F38" w:rsidRDefault="00DC751C" w:rsidP="00A40583">
      <w:pPr>
        <w:autoSpaceDE w:val="0"/>
        <w:autoSpaceDN w:val="0"/>
        <w:adjustRightInd w:val="0"/>
        <w:rPr>
          <w:bCs/>
          <w:lang w:eastAsia="en-US"/>
        </w:rPr>
      </w:pPr>
      <w:r w:rsidRPr="00FB2F38">
        <w:rPr>
          <w:bCs/>
          <w:lang w:eastAsia="en-US"/>
        </w:rPr>
        <w:t>[33]</w:t>
      </w:r>
      <w:r w:rsidRPr="00FB2F38">
        <w:rPr>
          <w:bCs/>
          <w:lang w:eastAsia="en-US"/>
        </w:rPr>
        <w:tab/>
        <w:t xml:space="preserve">In another case, </w:t>
      </w:r>
      <w:r w:rsidR="003F5899" w:rsidRPr="00FB2F38">
        <w:rPr>
          <w:bCs/>
          <w:lang w:eastAsia="en-US"/>
        </w:rPr>
        <w:t xml:space="preserve">the defendant successfully appealed a conviction for an offence under the </w:t>
      </w:r>
      <w:r w:rsidR="003F5899" w:rsidRPr="00FB2F38">
        <w:rPr>
          <w:bCs/>
          <w:i/>
          <w:iCs/>
          <w:lang w:eastAsia="en-US"/>
        </w:rPr>
        <w:t>Petroleum and Gas (Production Safety) Act</w:t>
      </w:r>
      <w:r w:rsidR="003F5899" w:rsidRPr="00FB2F38">
        <w:rPr>
          <w:bCs/>
          <w:lang w:eastAsia="en-US"/>
        </w:rPr>
        <w:t xml:space="preserve"> 2004  in </w:t>
      </w:r>
      <w:r w:rsidR="003F5899" w:rsidRPr="00FB2F38">
        <w:rPr>
          <w:bCs/>
          <w:i/>
          <w:iCs/>
          <w:lang w:eastAsia="en-US"/>
        </w:rPr>
        <w:t>Schloss v Bell; Bell v Schloss</w:t>
      </w:r>
      <w:r w:rsidR="003F5899" w:rsidRPr="00FB2F38">
        <w:rPr>
          <w:bCs/>
          <w:lang w:eastAsia="en-US"/>
        </w:rPr>
        <w:t xml:space="preserve"> [2016] ICQ 17 (Schloss) and sought costs of the trial</w:t>
      </w:r>
      <w:r w:rsidR="00D37105" w:rsidRPr="00FB2F38">
        <w:rPr>
          <w:bCs/>
          <w:lang w:eastAsia="en-US"/>
        </w:rPr>
        <w:t xml:space="preserve"> in the Industrial Magistrates Court </w:t>
      </w:r>
      <w:r w:rsidR="003F5899" w:rsidRPr="00FB2F38">
        <w:rPr>
          <w:bCs/>
          <w:lang w:eastAsia="en-US"/>
        </w:rPr>
        <w:t>and of the appeal.</w:t>
      </w:r>
      <w:r w:rsidR="00371B0F" w:rsidRPr="00FB2F38">
        <w:rPr>
          <w:bCs/>
          <w:lang w:eastAsia="en-US"/>
        </w:rPr>
        <w:t xml:space="preserve">  The trial went </w:t>
      </w:r>
      <w:r w:rsidR="00851983" w:rsidRPr="00FB2F38">
        <w:rPr>
          <w:bCs/>
          <w:lang w:eastAsia="en-US"/>
        </w:rPr>
        <w:t xml:space="preserve">for six </w:t>
      </w:r>
      <w:r w:rsidR="00371B0F" w:rsidRPr="00FB2F38">
        <w:rPr>
          <w:bCs/>
          <w:lang w:eastAsia="en-US"/>
        </w:rPr>
        <w:t>days</w:t>
      </w:r>
      <w:r w:rsidR="00851983" w:rsidRPr="00FB2F38">
        <w:rPr>
          <w:rStyle w:val="FootnoteReference"/>
          <w:bCs/>
          <w:lang w:eastAsia="en-US"/>
        </w:rPr>
        <w:footnoteReference w:id="30"/>
      </w:r>
      <w:r w:rsidR="00371B0F" w:rsidRPr="00FB2F38">
        <w:rPr>
          <w:bCs/>
          <w:lang w:eastAsia="en-US"/>
        </w:rPr>
        <w:t xml:space="preserve"> with multiple amendments to the particulars before and during the trial; it was exceptional and unique in that it was a first prosecution for non -compliance with a non -statutory safety regime (as opposed to a statute one)</w:t>
      </w:r>
      <w:r w:rsidR="002A421A" w:rsidRPr="00FB2F38">
        <w:rPr>
          <w:bCs/>
          <w:lang w:eastAsia="en-US"/>
        </w:rPr>
        <w:t>;</w:t>
      </w:r>
      <w:r w:rsidR="00EA6B31" w:rsidRPr="00FB2F38">
        <w:rPr>
          <w:bCs/>
          <w:lang w:eastAsia="en-US"/>
        </w:rPr>
        <w:t xml:space="preserve"> </w:t>
      </w:r>
      <w:r w:rsidR="00371B0F" w:rsidRPr="00FB2F38">
        <w:rPr>
          <w:bCs/>
          <w:lang w:eastAsia="en-US"/>
        </w:rPr>
        <w:t>was “factually dense”</w:t>
      </w:r>
      <w:r w:rsidR="002A421A" w:rsidRPr="00FB2F38">
        <w:rPr>
          <w:bCs/>
          <w:lang w:eastAsia="en-US"/>
        </w:rPr>
        <w:t>;</w:t>
      </w:r>
      <w:r w:rsidR="004673D3" w:rsidRPr="00FB2F38">
        <w:rPr>
          <w:bCs/>
          <w:lang w:eastAsia="en-US"/>
        </w:rPr>
        <w:t xml:space="preserve"> and Senior Counsel were briefed for both parties</w:t>
      </w:r>
      <w:r w:rsidR="004673D3" w:rsidRPr="00FB2F38">
        <w:rPr>
          <w:rStyle w:val="FootnoteReference"/>
          <w:bCs/>
          <w:lang w:eastAsia="en-US"/>
        </w:rPr>
        <w:t xml:space="preserve"> </w:t>
      </w:r>
      <w:r w:rsidR="00371B0F" w:rsidRPr="00FB2F38">
        <w:rPr>
          <w:rStyle w:val="FootnoteReference"/>
          <w:bCs/>
          <w:lang w:eastAsia="en-US"/>
        </w:rPr>
        <w:footnoteReference w:id="31"/>
      </w:r>
      <w:r w:rsidR="00371B0F" w:rsidRPr="00FB2F38">
        <w:rPr>
          <w:bCs/>
          <w:lang w:eastAsia="en-US"/>
        </w:rPr>
        <w:t>.</w:t>
      </w:r>
      <w:r w:rsidR="001C36EE" w:rsidRPr="00FB2F38">
        <w:rPr>
          <w:bCs/>
          <w:lang w:eastAsia="en-US"/>
        </w:rPr>
        <w:t xml:space="preserve">  </w:t>
      </w:r>
      <w:r w:rsidR="000A0D80" w:rsidRPr="00FB2F38">
        <w:rPr>
          <w:bCs/>
          <w:lang w:eastAsia="en-US"/>
        </w:rPr>
        <w:t>That case is distinguishable to the present case</w:t>
      </w:r>
      <w:r w:rsidR="008563AB" w:rsidRPr="00FB2F38">
        <w:rPr>
          <w:bCs/>
          <w:lang w:eastAsia="en-US"/>
        </w:rPr>
        <w:t xml:space="preserve"> in that there was no trial.  </w:t>
      </w:r>
      <w:r w:rsidR="001C36EE" w:rsidRPr="00FB2F38">
        <w:rPr>
          <w:bCs/>
          <w:lang w:eastAsia="en-US"/>
        </w:rPr>
        <w:t xml:space="preserve">On its face, </w:t>
      </w:r>
      <w:r w:rsidR="000A0D80" w:rsidRPr="00FB2F38">
        <w:rPr>
          <w:bCs/>
          <w:lang w:eastAsia="en-US"/>
        </w:rPr>
        <w:t xml:space="preserve">even though that </w:t>
      </w:r>
      <w:r w:rsidR="001C36EE" w:rsidRPr="00FB2F38">
        <w:rPr>
          <w:bCs/>
          <w:lang w:eastAsia="en-US"/>
        </w:rPr>
        <w:t xml:space="preserve">case </w:t>
      </w:r>
      <w:r w:rsidR="000A0D80" w:rsidRPr="00FB2F38">
        <w:rPr>
          <w:bCs/>
          <w:lang w:eastAsia="en-US"/>
        </w:rPr>
        <w:t xml:space="preserve">involved a trial, </w:t>
      </w:r>
      <w:r w:rsidR="002224C4" w:rsidRPr="00FB2F38">
        <w:rPr>
          <w:bCs/>
          <w:lang w:eastAsia="en-US"/>
        </w:rPr>
        <w:t xml:space="preserve">in applying the approach in </w:t>
      </w:r>
      <w:r w:rsidR="002224C4" w:rsidRPr="00FB2F38">
        <w:rPr>
          <w:bCs/>
          <w:i/>
          <w:iCs/>
          <w:lang w:eastAsia="en-US"/>
        </w:rPr>
        <w:t>Hickey,</w:t>
      </w:r>
      <w:r w:rsidR="002224C4" w:rsidRPr="00FB2F38">
        <w:rPr>
          <w:bCs/>
          <w:lang w:eastAsia="en-US"/>
        </w:rPr>
        <w:t xml:space="preserve"> a </w:t>
      </w:r>
      <w:r w:rsidR="000A0D80" w:rsidRPr="00FB2F38">
        <w:rPr>
          <w:bCs/>
          <w:lang w:eastAsia="en-US"/>
        </w:rPr>
        <w:t>multiplier of three to the scale of costs for legal professional work</w:t>
      </w:r>
      <w:r w:rsidR="002224C4" w:rsidRPr="00FB2F38">
        <w:rPr>
          <w:bCs/>
          <w:lang w:eastAsia="en-US"/>
        </w:rPr>
        <w:t xml:space="preserve"> was adopted.  </w:t>
      </w:r>
      <w:r w:rsidR="001C36EE" w:rsidRPr="00FB2F38">
        <w:rPr>
          <w:bCs/>
          <w:lang w:eastAsia="en-US"/>
        </w:rPr>
        <w:t xml:space="preserve">      </w:t>
      </w:r>
      <w:r w:rsidR="00371B0F" w:rsidRPr="00FB2F38">
        <w:rPr>
          <w:bCs/>
          <w:lang w:eastAsia="en-US"/>
        </w:rPr>
        <w:t xml:space="preserve">   </w:t>
      </w:r>
      <w:r w:rsidR="003F5899" w:rsidRPr="00FB2F38">
        <w:rPr>
          <w:bCs/>
          <w:lang w:eastAsia="en-US"/>
        </w:rPr>
        <w:t xml:space="preserve">       </w:t>
      </w:r>
      <w:r w:rsidR="00AC1C21" w:rsidRPr="00FB2F38">
        <w:rPr>
          <w:bCs/>
          <w:lang w:eastAsia="en-US"/>
        </w:rPr>
        <w:t xml:space="preserve"> </w:t>
      </w:r>
    </w:p>
    <w:p w14:paraId="6A8EBADD" w14:textId="77777777" w:rsidR="003F5899" w:rsidRPr="00FB2F38" w:rsidRDefault="003F5899" w:rsidP="00A40583">
      <w:pPr>
        <w:autoSpaceDE w:val="0"/>
        <w:autoSpaceDN w:val="0"/>
        <w:adjustRightInd w:val="0"/>
        <w:rPr>
          <w:bCs/>
          <w:lang w:eastAsia="en-US"/>
        </w:rPr>
      </w:pPr>
    </w:p>
    <w:p w14:paraId="00A393F2" w14:textId="77777777" w:rsidR="00AC1C21" w:rsidRPr="00FB2F38" w:rsidRDefault="000A0D80" w:rsidP="00A40583">
      <w:pPr>
        <w:autoSpaceDE w:val="0"/>
        <w:autoSpaceDN w:val="0"/>
        <w:adjustRightInd w:val="0"/>
        <w:rPr>
          <w:bCs/>
          <w:lang w:eastAsia="en-US"/>
        </w:rPr>
      </w:pPr>
      <w:r w:rsidRPr="00FB2F38">
        <w:rPr>
          <w:bCs/>
          <w:lang w:eastAsia="en-US"/>
        </w:rPr>
        <w:t>[3</w:t>
      </w:r>
      <w:r w:rsidR="003C2D1C" w:rsidRPr="00FB2F38">
        <w:rPr>
          <w:bCs/>
          <w:lang w:eastAsia="en-US"/>
        </w:rPr>
        <w:t>4</w:t>
      </w:r>
      <w:r w:rsidRPr="00FB2F38">
        <w:rPr>
          <w:bCs/>
          <w:lang w:eastAsia="en-US"/>
        </w:rPr>
        <w:t>]</w:t>
      </w:r>
      <w:r w:rsidRPr="00FB2F38">
        <w:rPr>
          <w:bCs/>
          <w:i/>
          <w:iCs/>
          <w:lang w:eastAsia="en-US"/>
        </w:rPr>
        <w:tab/>
      </w:r>
      <w:r w:rsidRPr="00FB2F38">
        <w:rPr>
          <w:bCs/>
          <w:lang w:eastAsia="en-US"/>
        </w:rPr>
        <w:t>In</w:t>
      </w:r>
      <w:r w:rsidRPr="00FB2F38">
        <w:rPr>
          <w:bCs/>
          <w:i/>
          <w:iCs/>
          <w:lang w:eastAsia="en-US"/>
        </w:rPr>
        <w:t xml:space="preserve"> </w:t>
      </w:r>
      <w:r w:rsidR="00AC1C21" w:rsidRPr="00FB2F38">
        <w:rPr>
          <w:bCs/>
          <w:i/>
          <w:iCs/>
          <w:lang w:eastAsia="en-US"/>
        </w:rPr>
        <w:t>Fletcher v Demag Cranes and Components Pty Ltd</w:t>
      </w:r>
      <w:r w:rsidR="00AC1C21" w:rsidRPr="00FB2F38">
        <w:rPr>
          <w:bCs/>
          <w:lang w:eastAsia="en-US"/>
        </w:rPr>
        <w:t xml:space="preserve"> [2020] QMC 6</w:t>
      </w:r>
      <w:r w:rsidR="00D87B85" w:rsidRPr="00FB2F38">
        <w:rPr>
          <w:bCs/>
          <w:lang w:eastAsia="en-US"/>
        </w:rPr>
        <w:t xml:space="preserve"> (Fletcher)</w:t>
      </w:r>
      <w:r w:rsidR="00AC1C21" w:rsidRPr="00FB2F38">
        <w:rPr>
          <w:bCs/>
          <w:lang w:eastAsia="en-US"/>
        </w:rPr>
        <w:t>,</w:t>
      </w:r>
      <w:r w:rsidR="00935865" w:rsidRPr="00FB2F38">
        <w:rPr>
          <w:bCs/>
          <w:lang w:eastAsia="en-US"/>
        </w:rPr>
        <w:t xml:space="preserve"> the prosecution offered no evidence on the first day of trial and the complaint was dismissed.  The tr</w:t>
      </w:r>
      <w:r w:rsidR="003F5899" w:rsidRPr="00FB2F38">
        <w:rPr>
          <w:bCs/>
          <w:lang w:eastAsia="en-US"/>
        </w:rPr>
        <w:t xml:space="preserve">ial </w:t>
      </w:r>
      <w:r w:rsidR="00935865" w:rsidRPr="00FB2F38">
        <w:rPr>
          <w:bCs/>
          <w:lang w:eastAsia="en-US"/>
        </w:rPr>
        <w:t>was listed for two and a half weeks with 29 witnesses four of whom were expert engineers.  Proceedings were commenced 20 June 2014 and there were considerable difficulties particularising the charge, many directions hearings, an appeal to the District Court, and a stay application.  There were ultimately seven versions of the complaint</w:t>
      </w:r>
      <w:r w:rsidR="00935865" w:rsidRPr="00FB2F38">
        <w:rPr>
          <w:rStyle w:val="FootnoteReference"/>
          <w:bCs/>
          <w:lang w:eastAsia="en-US"/>
        </w:rPr>
        <w:footnoteReference w:id="32"/>
      </w:r>
      <w:r w:rsidR="00935865" w:rsidRPr="00FB2F38">
        <w:rPr>
          <w:bCs/>
          <w:lang w:eastAsia="en-US"/>
        </w:rPr>
        <w:t>.</w:t>
      </w:r>
      <w:r w:rsidR="00A9455E" w:rsidRPr="00FB2F38">
        <w:rPr>
          <w:bCs/>
          <w:lang w:eastAsia="en-US"/>
        </w:rPr>
        <w:t xml:space="preserve">  In distinguishing </w:t>
      </w:r>
      <w:r w:rsidR="00A9455E" w:rsidRPr="00FB2F38">
        <w:rPr>
          <w:bCs/>
          <w:i/>
          <w:iCs/>
          <w:lang w:eastAsia="en-US"/>
        </w:rPr>
        <w:t>Hickey</w:t>
      </w:r>
      <w:r w:rsidR="00A9455E" w:rsidRPr="00FB2F38">
        <w:rPr>
          <w:bCs/>
          <w:lang w:eastAsia="en-US"/>
        </w:rPr>
        <w:t xml:space="preserve"> and </w:t>
      </w:r>
      <w:r w:rsidR="00A9455E" w:rsidRPr="00FB2F38">
        <w:rPr>
          <w:bCs/>
          <w:i/>
          <w:iCs/>
          <w:lang w:eastAsia="en-US"/>
        </w:rPr>
        <w:t>Schloss</w:t>
      </w:r>
      <w:r w:rsidR="00A9455E" w:rsidRPr="00FB2F38">
        <w:rPr>
          <w:bCs/>
          <w:lang w:eastAsia="en-US"/>
        </w:rPr>
        <w:t xml:space="preserve">, the court applied a multiplier of 15 to costs for legal professional work provided in the scale of costs.  The court also allowed counsel’s fees under </w:t>
      </w:r>
      <w:r w:rsidR="00C670D7" w:rsidRPr="00FB2F38">
        <w:rPr>
          <w:bCs/>
          <w:lang w:eastAsia="en-US"/>
        </w:rPr>
        <w:t xml:space="preserve">the Federal Court Scale </w:t>
      </w:r>
      <w:r w:rsidR="00A9455E" w:rsidRPr="00FB2F38">
        <w:rPr>
          <w:bCs/>
          <w:lang w:eastAsia="en-US"/>
        </w:rPr>
        <w:t>for preparation as well as for court appearances</w:t>
      </w:r>
      <w:r w:rsidR="00BC0825" w:rsidRPr="00FB2F38">
        <w:rPr>
          <w:rStyle w:val="FootnoteReference"/>
          <w:bCs/>
          <w:lang w:eastAsia="en-US"/>
        </w:rPr>
        <w:footnoteReference w:id="33"/>
      </w:r>
      <w:r w:rsidR="00A9455E" w:rsidRPr="00FB2F38">
        <w:rPr>
          <w:bCs/>
          <w:lang w:eastAsia="en-US"/>
        </w:rPr>
        <w:t>.</w:t>
      </w:r>
      <w:r w:rsidR="00C670D7" w:rsidRPr="00FB2F38">
        <w:rPr>
          <w:bCs/>
          <w:lang w:eastAsia="en-US"/>
        </w:rPr>
        <w:t xml:space="preserve">  That case is distinguishable from the present.  </w:t>
      </w:r>
      <w:r w:rsidR="00A9455E" w:rsidRPr="00FB2F38">
        <w:rPr>
          <w:bCs/>
          <w:lang w:eastAsia="en-US"/>
        </w:rPr>
        <w:t xml:space="preserve">     </w:t>
      </w:r>
      <w:r w:rsidR="00935865" w:rsidRPr="00FB2F38">
        <w:rPr>
          <w:bCs/>
          <w:lang w:eastAsia="en-US"/>
        </w:rPr>
        <w:t xml:space="preserve">             </w:t>
      </w:r>
      <w:r w:rsidR="00AC1C21" w:rsidRPr="00FB2F38">
        <w:rPr>
          <w:bCs/>
          <w:lang w:eastAsia="en-US"/>
        </w:rPr>
        <w:t xml:space="preserve">     </w:t>
      </w:r>
    </w:p>
    <w:p w14:paraId="1E6F4E5C" w14:textId="77777777" w:rsidR="0008597B" w:rsidRPr="00FB2F38" w:rsidRDefault="0008597B" w:rsidP="00A40583">
      <w:pPr>
        <w:autoSpaceDE w:val="0"/>
        <w:autoSpaceDN w:val="0"/>
        <w:adjustRightInd w:val="0"/>
        <w:rPr>
          <w:bCs/>
          <w:lang w:eastAsia="en-US"/>
        </w:rPr>
      </w:pPr>
    </w:p>
    <w:p w14:paraId="2F1DCFAE" w14:textId="77777777" w:rsidR="007D0C91" w:rsidRPr="00FB2F38" w:rsidRDefault="0008597B" w:rsidP="00A40583">
      <w:pPr>
        <w:autoSpaceDE w:val="0"/>
        <w:autoSpaceDN w:val="0"/>
        <w:adjustRightInd w:val="0"/>
        <w:rPr>
          <w:bCs/>
          <w:lang w:eastAsia="en-US"/>
        </w:rPr>
      </w:pPr>
      <w:r w:rsidRPr="00FB2F38">
        <w:rPr>
          <w:bCs/>
          <w:lang w:eastAsia="en-US"/>
        </w:rPr>
        <w:t>[3</w:t>
      </w:r>
      <w:r w:rsidR="003C2D1C" w:rsidRPr="00FB2F38">
        <w:rPr>
          <w:bCs/>
          <w:lang w:eastAsia="en-US"/>
        </w:rPr>
        <w:t>5</w:t>
      </w:r>
      <w:r w:rsidRPr="00FB2F38">
        <w:rPr>
          <w:bCs/>
          <w:lang w:eastAsia="en-US"/>
        </w:rPr>
        <w:t>]</w:t>
      </w:r>
      <w:r w:rsidRPr="00FB2F38">
        <w:rPr>
          <w:bCs/>
          <w:lang w:eastAsia="en-US"/>
        </w:rPr>
        <w:tab/>
        <w:t xml:space="preserve"> In addition, there are a number of </w:t>
      </w:r>
      <w:r w:rsidR="006A1358" w:rsidRPr="00FB2F38">
        <w:rPr>
          <w:bCs/>
          <w:lang w:eastAsia="en-US"/>
        </w:rPr>
        <w:t xml:space="preserve">other </w:t>
      </w:r>
      <w:r w:rsidRPr="00FB2F38">
        <w:rPr>
          <w:bCs/>
          <w:lang w:eastAsia="en-US"/>
        </w:rPr>
        <w:t xml:space="preserve">cases such as </w:t>
      </w:r>
      <w:r w:rsidRPr="00FB2F38">
        <w:rPr>
          <w:bCs/>
          <w:i/>
          <w:iCs/>
          <w:lang w:eastAsia="en-US"/>
        </w:rPr>
        <w:t>Archer v Simon Transport</w:t>
      </w:r>
      <w:r w:rsidRPr="00FB2F38">
        <w:rPr>
          <w:bCs/>
          <w:lang w:eastAsia="en-US"/>
        </w:rPr>
        <w:t xml:space="preserve"> [2016] QCA 168, </w:t>
      </w:r>
      <w:r w:rsidRPr="00FB2F38">
        <w:rPr>
          <w:bCs/>
          <w:i/>
          <w:iCs/>
          <w:lang w:eastAsia="en-US"/>
        </w:rPr>
        <w:t>Karimbla Construction Services Pty Ltd v President of the Industrial Court</w:t>
      </w:r>
      <w:r w:rsidRPr="00FB2F38">
        <w:rPr>
          <w:bCs/>
          <w:lang w:eastAsia="en-US"/>
        </w:rPr>
        <w:t xml:space="preserve"> [2014] QSC 56 and </w:t>
      </w:r>
      <w:r w:rsidRPr="00FB2F38">
        <w:rPr>
          <w:bCs/>
          <w:i/>
          <w:iCs/>
          <w:lang w:eastAsia="en-US"/>
        </w:rPr>
        <w:t>Harrison v President of the Industrial Court</w:t>
      </w:r>
      <w:r w:rsidRPr="00FB2F38">
        <w:rPr>
          <w:bCs/>
          <w:lang w:eastAsia="en-US"/>
        </w:rPr>
        <w:t xml:space="preserve"> [2016] QCA 89</w:t>
      </w:r>
      <w:r w:rsidR="00D64392" w:rsidRPr="00FB2F38">
        <w:rPr>
          <w:rStyle w:val="FootnoteReference"/>
          <w:bCs/>
          <w:lang w:eastAsia="en-US"/>
        </w:rPr>
        <w:footnoteReference w:id="34"/>
      </w:r>
      <w:r w:rsidRPr="00FB2F38">
        <w:rPr>
          <w:bCs/>
          <w:lang w:eastAsia="en-US"/>
        </w:rPr>
        <w:t xml:space="preserve"> where the issue was whether the particulars in the complaint itself w</w:t>
      </w:r>
      <w:r w:rsidR="00D64392" w:rsidRPr="00FB2F38">
        <w:rPr>
          <w:bCs/>
          <w:lang w:eastAsia="en-US"/>
        </w:rPr>
        <w:t xml:space="preserve">ere </w:t>
      </w:r>
      <w:r w:rsidRPr="00FB2F38">
        <w:rPr>
          <w:bCs/>
          <w:lang w:eastAsia="en-US"/>
        </w:rPr>
        <w:t>defective</w:t>
      </w:r>
      <w:r w:rsidR="00D64392" w:rsidRPr="00FB2F38">
        <w:rPr>
          <w:bCs/>
          <w:lang w:eastAsia="en-US"/>
        </w:rPr>
        <w:t xml:space="preserve"> </w:t>
      </w:r>
      <w:r w:rsidR="006053B0" w:rsidRPr="00FB2F38">
        <w:rPr>
          <w:bCs/>
          <w:lang w:eastAsia="en-US"/>
        </w:rPr>
        <w:t xml:space="preserve">in </w:t>
      </w:r>
      <w:r w:rsidR="00D64392" w:rsidRPr="00FB2F38">
        <w:rPr>
          <w:bCs/>
          <w:lang w:eastAsia="en-US"/>
        </w:rPr>
        <w:t xml:space="preserve">not pleading </w:t>
      </w:r>
      <w:r w:rsidR="00D64392" w:rsidRPr="00FB2F38">
        <w:rPr>
          <w:bCs/>
          <w:lang w:eastAsia="en-US"/>
        </w:rPr>
        <w:lastRenderedPageBreak/>
        <w:t xml:space="preserve">essential factual ingredients. That entailed an analysis of the </w:t>
      </w:r>
      <w:r w:rsidR="00400D13" w:rsidRPr="00FB2F38">
        <w:rPr>
          <w:bCs/>
          <w:lang w:eastAsia="en-US"/>
        </w:rPr>
        <w:t xml:space="preserve">“Particulars” in the complaints </w:t>
      </w:r>
      <w:r w:rsidR="00D64392" w:rsidRPr="00FB2F38">
        <w:rPr>
          <w:bCs/>
          <w:lang w:eastAsia="en-US"/>
        </w:rPr>
        <w:t>which on their face was a complex exercise</w:t>
      </w:r>
      <w:r w:rsidR="00400D13" w:rsidRPr="00FB2F38">
        <w:rPr>
          <w:bCs/>
          <w:lang w:eastAsia="en-US"/>
        </w:rPr>
        <w:t xml:space="preserve"> in applying </w:t>
      </w:r>
      <w:r w:rsidR="007D0C91" w:rsidRPr="00FB2F38">
        <w:rPr>
          <w:bCs/>
          <w:lang w:eastAsia="en-US"/>
        </w:rPr>
        <w:t xml:space="preserve">the principles </w:t>
      </w:r>
      <w:r w:rsidR="00DA302F" w:rsidRPr="00FB2F38">
        <w:rPr>
          <w:bCs/>
          <w:lang w:eastAsia="en-US"/>
        </w:rPr>
        <w:t xml:space="preserve">from </w:t>
      </w:r>
      <w:r w:rsidR="007D0C91" w:rsidRPr="00FB2F38">
        <w:rPr>
          <w:bCs/>
          <w:lang w:eastAsia="en-US"/>
        </w:rPr>
        <w:t xml:space="preserve">cases including </w:t>
      </w:r>
      <w:r w:rsidR="00400D13" w:rsidRPr="00FB2F38">
        <w:rPr>
          <w:bCs/>
          <w:i/>
          <w:iCs/>
          <w:lang w:eastAsia="en-US"/>
        </w:rPr>
        <w:t>Kirk v Industrial Court of NSW</w:t>
      </w:r>
      <w:r w:rsidR="00400D13" w:rsidRPr="00FB2F38">
        <w:rPr>
          <w:bCs/>
          <w:lang w:eastAsia="en-US"/>
        </w:rPr>
        <w:t xml:space="preserve"> (2010) 239 and </w:t>
      </w:r>
      <w:r w:rsidR="00400D13" w:rsidRPr="00FB2F38">
        <w:rPr>
          <w:bCs/>
          <w:i/>
          <w:iCs/>
          <w:lang w:eastAsia="en-US"/>
        </w:rPr>
        <w:t xml:space="preserve">John L Pty Ltd v Attorney-General (NSW) </w:t>
      </w:r>
      <w:r w:rsidR="00400D13" w:rsidRPr="00FB2F38">
        <w:rPr>
          <w:bCs/>
          <w:lang w:eastAsia="en-US"/>
        </w:rPr>
        <w:t xml:space="preserve">[1987] HCA 42.  </w:t>
      </w:r>
      <w:r w:rsidR="00D64392" w:rsidRPr="00FB2F38">
        <w:rPr>
          <w:bCs/>
          <w:lang w:eastAsia="en-US"/>
        </w:rPr>
        <w:t xml:space="preserve">In contrast, this case was </w:t>
      </w:r>
      <w:r w:rsidR="0034000C" w:rsidRPr="00FB2F38">
        <w:rPr>
          <w:bCs/>
          <w:lang w:eastAsia="en-US"/>
        </w:rPr>
        <w:t xml:space="preserve">factually </w:t>
      </w:r>
      <w:r w:rsidR="00D64392" w:rsidRPr="00FB2F38">
        <w:rPr>
          <w:bCs/>
          <w:lang w:eastAsia="en-US"/>
        </w:rPr>
        <w:t xml:space="preserve">quite straight forward as there were no particulars pleaded at all </w:t>
      </w:r>
      <w:r w:rsidR="0034000C" w:rsidRPr="00FB2F38">
        <w:rPr>
          <w:bCs/>
          <w:lang w:eastAsia="en-US"/>
        </w:rPr>
        <w:t xml:space="preserve">in the complaint </w:t>
      </w:r>
      <w:r w:rsidR="00D64392" w:rsidRPr="00FB2F38">
        <w:rPr>
          <w:bCs/>
          <w:lang w:eastAsia="en-US"/>
        </w:rPr>
        <w:t>apart from date and place</w:t>
      </w:r>
      <w:r w:rsidR="007D0C91" w:rsidRPr="00FB2F38">
        <w:rPr>
          <w:bCs/>
          <w:lang w:eastAsia="en-US"/>
        </w:rPr>
        <w:t xml:space="preserve">: see </w:t>
      </w:r>
      <w:r w:rsidR="007D0C91" w:rsidRPr="00FB2F38">
        <w:rPr>
          <w:bCs/>
          <w:i/>
          <w:iCs/>
          <w:lang w:eastAsia="en-US"/>
        </w:rPr>
        <w:t>Guilfoyle v Niepe Constructions Pty Ltd</w:t>
      </w:r>
      <w:r w:rsidR="007D0C91" w:rsidRPr="00FB2F38">
        <w:rPr>
          <w:bCs/>
          <w:lang w:eastAsia="en-US"/>
        </w:rPr>
        <w:t xml:space="preserve"> [2021] 1 at </w:t>
      </w:r>
      <w:r w:rsidR="00197063" w:rsidRPr="00FB2F38">
        <w:rPr>
          <w:bCs/>
          <w:lang w:eastAsia="en-US"/>
        </w:rPr>
        <w:t xml:space="preserve">[3] &amp; </w:t>
      </w:r>
      <w:r w:rsidR="007D0C91" w:rsidRPr="00FB2F38">
        <w:rPr>
          <w:bCs/>
          <w:lang w:eastAsia="en-US"/>
        </w:rPr>
        <w:t>[49].</w:t>
      </w:r>
    </w:p>
    <w:p w14:paraId="25B5044A" w14:textId="77777777" w:rsidR="007D0C91" w:rsidRPr="00FB2F38" w:rsidRDefault="007D0C91" w:rsidP="00A40583">
      <w:pPr>
        <w:autoSpaceDE w:val="0"/>
        <w:autoSpaceDN w:val="0"/>
        <w:adjustRightInd w:val="0"/>
        <w:rPr>
          <w:bCs/>
          <w:lang w:eastAsia="en-US"/>
        </w:rPr>
      </w:pPr>
    </w:p>
    <w:p w14:paraId="2C726450" w14:textId="77777777" w:rsidR="00B175C2" w:rsidRPr="00FB2F38" w:rsidRDefault="007D0C91" w:rsidP="007D0C91">
      <w:pPr>
        <w:autoSpaceDE w:val="0"/>
        <w:autoSpaceDN w:val="0"/>
        <w:adjustRightInd w:val="0"/>
        <w:rPr>
          <w:bCs/>
          <w:lang w:eastAsia="en-US"/>
        </w:rPr>
      </w:pPr>
      <w:r w:rsidRPr="00FB2F38">
        <w:rPr>
          <w:bCs/>
          <w:lang w:eastAsia="en-US"/>
        </w:rPr>
        <w:t>[3</w:t>
      </w:r>
      <w:r w:rsidR="003C2D1C" w:rsidRPr="00FB2F38">
        <w:rPr>
          <w:bCs/>
          <w:lang w:eastAsia="en-US"/>
        </w:rPr>
        <w:t>6</w:t>
      </w:r>
      <w:r w:rsidRPr="00FB2F38">
        <w:rPr>
          <w:bCs/>
          <w:lang w:eastAsia="en-US"/>
        </w:rPr>
        <w:t>]</w:t>
      </w:r>
      <w:r w:rsidRPr="00FB2F38">
        <w:rPr>
          <w:bCs/>
          <w:lang w:eastAsia="en-US"/>
        </w:rPr>
        <w:tab/>
      </w:r>
      <w:r w:rsidR="00AD08A0" w:rsidRPr="00FB2F38">
        <w:rPr>
          <w:bCs/>
          <w:lang w:eastAsia="en-US"/>
        </w:rPr>
        <w:t xml:space="preserve">I agree with the prosecution that </w:t>
      </w:r>
      <w:r w:rsidR="00AD08A0" w:rsidRPr="00FB2F38">
        <w:rPr>
          <w:bCs/>
          <w:i/>
          <w:iCs/>
          <w:lang w:eastAsia="en-US"/>
        </w:rPr>
        <w:t>Bell v Townsend</w:t>
      </w:r>
      <w:r w:rsidR="00AD08A0" w:rsidRPr="00FB2F38">
        <w:rPr>
          <w:bCs/>
          <w:lang w:eastAsia="en-US"/>
        </w:rPr>
        <w:t xml:space="preserve"> [2014] QMC 30 is similar to this case</w:t>
      </w:r>
      <w:r w:rsidR="008152B7" w:rsidRPr="00FB2F38">
        <w:rPr>
          <w:bCs/>
          <w:lang w:eastAsia="en-US"/>
        </w:rPr>
        <w:t xml:space="preserve"> </w:t>
      </w:r>
      <w:r w:rsidR="004802A8" w:rsidRPr="00FB2F38">
        <w:rPr>
          <w:bCs/>
          <w:lang w:eastAsia="en-US"/>
        </w:rPr>
        <w:t xml:space="preserve">on the question of “special difficulty or complexity”.  </w:t>
      </w:r>
      <w:r w:rsidR="00AD08A0" w:rsidRPr="00FB2F38">
        <w:rPr>
          <w:bCs/>
          <w:lang w:eastAsia="en-US"/>
        </w:rPr>
        <w:t>It involved a single issue on the interpretation of the word “from”</w:t>
      </w:r>
      <w:r w:rsidR="00616264" w:rsidRPr="00FB2F38">
        <w:rPr>
          <w:bCs/>
          <w:lang w:eastAsia="en-US"/>
        </w:rPr>
        <w:t xml:space="preserve"> in the instrument of the complainant’s appointment</w:t>
      </w:r>
      <w:r w:rsidR="004802A8" w:rsidRPr="00FB2F38">
        <w:rPr>
          <w:rStyle w:val="FootnoteReference"/>
          <w:bCs/>
          <w:lang w:eastAsia="en-US"/>
        </w:rPr>
        <w:footnoteReference w:id="35"/>
      </w:r>
      <w:r w:rsidR="00616264" w:rsidRPr="00FB2F38">
        <w:rPr>
          <w:bCs/>
          <w:lang w:eastAsia="en-US"/>
        </w:rPr>
        <w:t xml:space="preserve">.  While Senior </w:t>
      </w:r>
      <w:r w:rsidR="006053B0" w:rsidRPr="00FB2F38">
        <w:rPr>
          <w:bCs/>
          <w:lang w:eastAsia="en-US"/>
        </w:rPr>
        <w:t>C</w:t>
      </w:r>
      <w:r w:rsidR="00616264" w:rsidRPr="00FB2F38">
        <w:rPr>
          <w:bCs/>
          <w:lang w:eastAsia="en-US"/>
        </w:rPr>
        <w:t>ounsel were engaged, that did not in itself elevate the case to one of special difficulty or complexity.</w:t>
      </w:r>
      <w:r w:rsidR="006053B0" w:rsidRPr="00FB2F38">
        <w:rPr>
          <w:bCs/>
          <w:lang w:eastAsia="en-US"/>
        </w:rPr>
        <w:t xml:space="preserve">  </w:t>
      </w:r>
      <w:r w:rsidR="00616264" w:rsidRPr="00FB2F38">
        <w:rPr>
          <w:bCs/>
          <w:lang w:eastAsia="en-US"/>
        </w:rPr>
        <w:t>The court was assisted by written submissions as in this case although, as was noted, that should not be viewed artificially on the basis of the hearing time</w:t>
      </w:r>
      <w:r w:rsidR="00616264" w:rsidRPr="00FB2F38">
        <w:rPr>
          <w:rStyle w:val="FootnoteReference"/>
          <w:bCs/>
          <w:lang w:eastAsia="en-US"/>
        </w:rPr>
        <w:footnoteReference w:id="36"/>
      </w:r>
      <w:r w:rsidR="00616264" w:rsidRPr="00FB2F38">
        <w:rPr>
          <w:bCs/>
          <w:lang w:eastAsia="en-US"/>
        </w:rPr>
        <w:t>.</w:t>
      </w:r>
      <w:r w:rsidR="006053B0" w:rsidRPr="00FB2F38">
        <w:rPr>
          <w:bCs/>
          <w:lang w:eastAsia="en-US"/>
        </w:rPr>
        <w:t xml:space="preserve">  The court concluded that the case was not one involving special difficulty, complexity or importance   </w:t>
      </w:r>
      <w:r w:rsidR="00616264" w:rsidRPr="00FB2F38">
        <w:rPr>
          <w:bCs/>
          <w:lang w:eastAsia="en-US"/>
        </w:rPr>
        <w:t xml:space="preserve">       </w:t>
      </w:r>
      <w:r w:rsidR="00AD08A0" w:rsidRPr="00FB2F38">
        <w:rPr>
          <w:bCs/>
          <w:lang w:eastAsia="en-US"/>
        </w:rPr>
        <w:t xml:space="preserve">   </w:t>
      </w:r>
    </w:p>
    <w:p w14:paraId="3B7F0F97" w14:textId="77777777" w:rsidR="00B175C2" w:rsidRPr="00FB2F38" w:rsidRDefault="00B175C2" w:rsidP="007D0C91">
      <w:pPr>
        <w:autoSpaceDE w:val="0"/>
        <w:autoSpaceDN w:val="0"/>
        <w:adjustRightInd w:val="0"/>
        <w:rPr>
          <w:bCs/>
          <w:lang w:eastAsia="en-US"/>
        </w:rPr>
      </w:pPr>
    </w:p>
    <w:p w14:paraId="1485F0BB" w14:textId="77777777" w:rsidR="007D0C91" w:rsidRPr="00FB2F38" w:rsidRDefault="00B175C2" w:rsidP="007D0C91">
      <w:pPr>
        <w:autoSpaceDE w:val="0"/>
        <w:autoSpaceDN w:val="0"/>
        <w:adjustRightInd w:val="0"/>
        <w:rPr>
          <w:bCs/>
          <w:lang w:eastAsia="en-US"/>
        </w:rPr>
      </w:pPr>
      <w:r w:rsidRPr="00FB2F38">
        <w:rPr>
          <w:bCs/>
          <w:lang w:eastAsia="en-US"/>
        </w:rPr>
        <w:t>[3</w:t>
      </w:r>
      <w:r w:rsidR="003C2D1C" w:rsidRPr="00FB2F38">
        <w:rPr>
          <w:bCs/>
          <w:lang w:eastAsia="en-US"/>
        </w:rPr>
        <w:t>7</w:t>
      </w:r>
      <w:r w:rsidRPr="00FB2F38">
        <w:rPr>
          <w:bCs/>
          <w:lang w:eastAsia="en-US"/>
        </w:rPr>
        <w:t>]</w:t>
      </w:r>
      <w:r w:rsidRPr="00FB2F38">
        <w:rPr>
          <w:bCs/>
          <w:lang w:eastAsia="en-US"/>
        </w:rPr>
        <w:tab/>
      </w:r>
      <w:r w:rsidR="007D0C91" w:rsidRPr="00FB2F38">
        <w:rPr>
          <w:bCs/>
          <w:lang w:eastAsia="en-US"/>
        </w:rPr>
        <w:t>In my view this case was not one of “special” difficulty or complexity within the meaning of section 158B (2) JA.</w:t>
      </w:r>
    </w:p>
    <w:p w14:paraId="7171020F" w14:textId="77777777" w:rsidR="007D0C91" w:rsidRPr="00FB2F38" w:rsidRDefault="007D0C91" w:rsidP="007D0C91">
      <w:pPr>
        <w:autoSpaceDE w:val="0"/>
        <w:autoSpaceDN w:val="0"/>
        <w:adjustRightInd w:val="0"/>
        <w:rPr>
          <w:bCs/>
          <w:lang w:eastAsia="en-US"/>
        </w:rPr>
      </w:pPr>
    </w:p>
    <w:p w14:paraId="1768E845" w14:textId="77777777" w:rsidR="007D0C91" w:rsidRPr="00FB2F38" w:rsidRDefault="007D0C91" w:rsidP="007D0C91">
      <w:pPr>
        <w:autoSpaceDE w:val="0"/>
        <w:autoSpaceDN w:val="0"/>
        <w:adjustRightInd w:val="0"/>
        <w:rPr>
          <w:bCs/>
          <w:lang w:eastAsia="en-US"/>
        </w:rPr>
      </w:pPr>
      <w:r w:rsidRPr="00FB2F38">
        <w:rPr>
          <w:bCs/>
          <w:lang w:eastAsia="en-US"/>
        </w:rPr>
        <w:t>[3</w:t>
      </w:r>
      <w:r w:rsidR="003C2D1C" w:rsidRPr="00FB2F38">
        <w:rPr>
          <w:bCs/>
          <w:lang w:eastAsia="en-US"/>
        </w:rPr>
        <w:t>8</w:t>
      </w:r>
      <w:r w:rsidRPr="00FB2F38">
        <w:rPr>
          <w:bCs/>
          <w:lang w:eastAsia="en-US"/>
        </w:rPr>
        <w:t>]</w:t>
      </w:r>
      <w:r w:rsidRPr="00FB2F38">
        <w:rPr>
          <w:bCs/>
          <w:lang w:eastAsia="en-US"/>
        </w:rPr>
        <w:tab/>
      </w:r>
      <w:r w:rsidR="005910FB" w:rsidRPr="00FB2F38">
        <w:rPr>
          <w:bCs/>
          <w:lang w:eastAsia="en-US"/>
        </w:rPr>
        <w:t>The next question is whether the case was of “special importance”.</w:t>
      </w:r>
    </w:p>
    <w:p w14:paraId="2EA36B6B" w14:textId="77777777" w:rsidR="00B175C2" w:rsidRPr="00FB2F38" w:rsidRDefault="00B175C2" w:rsidP="007D0C91">
      <w:pPr>
        <w:autoSpaceDE w:val="0"/>
        <w:autoSpaceDN w:val="0"/>
        <w:adjustRightInd w:val="0"/>
        <w:rPr>
          <w:bCs/>
          <w:lang w:eastAsia="en-US"/>
        </w:rPr>
      </w:pPr>
    </w:p>
    <w:p w14:paraId="4E5CC53B" w14:textId="77777777" w:rsidR="00626035" w:rsidRPr="00FB2F38" w:rsidRDefault="00B175C2" w:rsidP="00A40583">
      <w:pPr>
        <w:autoSpaceDE w:val="0"/>
        <w:autoSpaceDN w:val="0"/>
        <w:adjustRightInd w:val="0"/>
        <w:rPr>
          <w:bCs/>
          <w:lang w:eastAsia="en-US"/>
        </w:rPr>
      </w:pPr>
      <w:r w:rsidRPr="00FB2F38">
        <w:rPr>
          <w:bCs/>
          <w:lang w:eastAsia="en-US"/>
        </w:rPr>
        <w:t>[3</w:t>
      </w:r>
      <w:r w:rsidR="003C2D1C" w:rsidRPr="00FB2F38">
        <w:rPr>
          <w:bCs/>
          <w:lang w:eastAsia="en-US"/>
        </w:rPr>
        <w:t>9</w:t>
      </w:r>
      <w:r w:rsidRPr="00FB2F38">
        <w:rPr>
          <w:bCs/>
          <w:lang w:eastAsia="en-US"/>
        </w:rPr>
        <w:t>]</w:t>
      </w:r>
      <w:r w:rsidRPr="00FB2F38">
        <w:rPr>
          <w:bCs/>
          <w:lang w:eastAsia="en-US"/>
        </w:rPr>
        <w:tab/>
      </w:r>
      <w:r w:rsidR="00626035" w:rsidRPr="00FB2F38">
        <w:rPr>
          <w:bCs/>
          <w:lang w:eastAsia="en-US"/>
        </w:rPr>
        <w:t>On this issue, I accept submissions for Niepe that the manner of pleading in this case has departed from the manner of pleading in similar cases in the recent past</w:t>
      </w:r>
      <w:r w:rsidR="00626035" w:rsidRPr="00FB2F38">
        <w:rPr>
          <w:rStyle w:val="FootnoteReference"/>
          <w:bCs/>
          <w:lang w:eastAsia="en-US"/>
        </w:rPr>
        <w:footnoteReference w:id="37"/>
      </w:r>
      <w:r w:rsidR="00626035" w:rsidRPr="00FB2F38">
        <w:rPr>
          <w:bCs/>
          <w:lang w:eastAsia="en-US"/>
        </w:rPr>
        <w:t>.</w:t>
      </w:r>
      <w:r w:rsidR="00CA2D14" w:rsidRPr="00FB2F38">
        <w:rPr>
          <w:bCs/>
          <w:lang w:eastAsia="en-US"/>
        </w:rPr>
        <w:t xml:space="preserve">  No reasons were advanced </w:t>
      </w:r>
      <w:r w:rsidR="009E69B6" w:rsidRPr="00FB2F38">
        <w:rPr>
          <w:bCs/>
          <w:lang w:eastAsia="en-US"/>
        </w:rPr>
        <w:t xml:space="preserve">by the prosecution </w:t>
      </w:r>
      <w:r w:rsidR="00CA2D14" w:rsidRPr="00FB2F38">
        <w:rPr>
          <w:bCs/>
          <w:lang w:eastAsia="en-US"/>
        </w:rPr>
        <w:t>as to why</w:t>
      </w:r>
      <w:r w:rsidR="006F3FF1" w:rsidRPr="00FB2F38">
        <w:rPr>
          <w:bCs/>
          <w:lang w:eastAsia="en-US"/>
        </w:rPr>
        <w:t xml:space="preserve"> other than a rejection of the notion that this would constitute “the requisite difficulty, complexity or importance”</w:t>
      </w:r>
      <w:r w:rsidR="006F3FF1" w:rsidRPr="00FB2F38">
        <w:rPr>
          <w:rStyle w:val="FootnoteReference"/>
          <w:bCs/>
          <w:lang w:eastAsia="en-US"/>
        </w:rPr>
        <w:footnoteReference w:id="38"/>
      </w:r>
      <w:r w:rsidR="00CA2D14" w:rsidRPr="00FB2F38">
        <w:rPr>
          <w:bCs/>
          <w:lang w:eastAsia="en-US"/>
        </w:rPr>
        <w:t>.</w:t>
      </w:r>
    </w:p>
    <w:p w14:paraId="58074EB6" w14:textId="77777777" w:rsidR="00626035" w:rsidRPr="00FB2F38" w:rsidRDefault="00626035" w:rsidP="00A40583">
      <w:pPr>
        <w:autoSpaceDE w:val="0"/>
        <w:autoSpaceDN w:val="0"/>
        <w:adjustRightInd w:val="0"/>
        <w:rPr>
          <w:bCs/>
          <w:lang w:eastAsia="en-US"/>
        </w:rPr>
      </w:pPr>
    </w:p>
    <w:p w14:paraId="2B6373A3" w14:textId="77777777" w:rsidR="005614F4" w:rsidRPr="00FB2F38" w:rsidRDefault="00626035" w:rsidP="00A40583">
      <w:pPr>
        <w:autoSpaceDE w:val="0"/>
        <w:autoSpaceDN w:val="0"/>
        <w:adjustRightInd w:val="0"/>
        <w:rPr>
          <w:bCs/>
          <w:lang w:eastAsia="en-US"/>
        </w:rPr>
      </w:pPr>
      <w:r w:rsidRPr="00FB2F38">
        <w:rPr>
          <w:bCs/>
          <w:lang w:eastAsia="en-US"/>
        </w:rPr>
        <w:t>[40]</w:t>
      </w:r>
      <w:r w:rsidR="006F3FF1" w:rsidRPr="00FB2F38">
        <w:rPr>
          <w:bCs/>
          <w:lang w:eastAsia="en-US"/>
        </w:rPr>
        <w:tab/>
      </w:r>
      <w:r w:rsidR="00A524BE" w:rsidRPr="00FB2F38">
        <w:rPr>
          <w:bCs/>
          <w:lang w:eastAsia="en-US"/>
        </w:rPr>
        <w:t xml:space="preserve">While no evidence has been given in this case, I </w:t>
      </w:r>
      <w:r w:rsidR="005614F4" w:rsidRPr="00FB2F38">
        <w:rPr>
          <w:bCs/>
          <w:lang w:eastAsia="en-US"/>
        </w:rPr>
        <w:t xml:space="preserve">consider it permissible to </w:t>
      </w:r>
      <w:r w:rsidR="00A524BE" w:rsidRPr="00FB2F38">
        <w:rPr>
          <w:bCs/>
          <w:lang w:eastAsia="en-US"/>
        </w:rPr>
        <w:t>have regard to other complaints filed in</w:t>
      </w:r>
      <w:r w:rsidR="008326DD" w:rsidRPr="00FB2F38">
        <w:rPr>
          <w:bCs/>
          <w:lang w:eastAsia="en-US"/>
        </w:rPr>
        <w:t xml:space="preserve"> the</w:t>
      </w:r>
      <w:r w:rsidR="00A524BE" w:rsidRPr="00FB2F38">
        <w:rPr>
          <w:bCs/>
          <w:lang w:eastAsia="en-US"/>
        </w:rPr>
        <w:t xml:space="preserve"> Toowoomba</w:t>
      </w:r>
      <w:r w:rsidR="00C80900" w:rsidRPr="00FB2F38">
        <w:rPr>
          <w:bCs/>
          <w:lang w:eastAsia="en-US"/>
        </w:rPr>
        <w:t xml:space="preserve"> region </w:t>
      </w:r>
      <w:r w:rsidR="00A524BE" w:rsidRPr="00FB2F38">
        <w:rPr>
          <w:bCs/>
          <w:lang w:eastAsia="en-US"/>
        </w:rPr>
        <w:t xml:space="preserve">with the same pleading.  I think it is reasonable to infer that this relatively recent practice has been adopted </w:t>
      </w:r>
      <w:r w:rsidR="00B00FA5" w:rsidRPr="00FB2F38">
        <w:rPr>
          <w:bCs/>
          <w:lang w:eastAsia="en-US"/>
        </w:rPr>
        <w:t xml:space="preserve">in other parts of the </w:t>
      </w:r>
      <w:r w:rsidR="005614F4" w:rsidRPr="00FB2F38">
        <w:rPr>
          <w:bCs/>
          <w:lang w:eastAsia="en-US"/>
        </w:rPr>
        <w:t>state</w:t>
      </w:r>
      <w:r w:rsidR="00B00FA5" w:rsidRPr="00FB2F38">
        <w:rPr>
          <w:bCs/>
          <w:lang w:eastAsia="en-US"/>
        </w:rPr>
        <w:t>.</w:t>
      </w:r>
      <w:r w:rsidR="008326DD" w:rsidRPr="00FB2F38">
        <w:rPr>
          <w:bCs/>
          <w:lang w:eastAsia="en-US"/>
        </w:rPr>
        <w:t xml:space="preserve">  Thus, defendants are exposed to criminal consequences based on complaints that are void.  </w:t>
      </w:r>
      <w:r w:rsidR="005614F4" w:rsidRPr="00FB2F38">
        <w:rPr>
          <w:bCs/>
          <w:lang w:eastAsia="en-US"/>
        </w:rPr>
        <w:t xml:space="preserve">In this respect I refer to </w:t>
      </w:r>
      <w:r w:rsidR="005614F4" w:rsidRPr="00FB2F38">
        <w:rPr>
          <w:bCs/>
          <w:i/>
          <w:iCs/>
          <w:lang w:eastAsia="en-US"/>
        </w:rPr>
        <w:t>Whitby v Stockair Pty Ltd &amp; Jackson</w:t>
      </w:r>
      <w:r w:rsidR="005614F4" w:rsidRPr="00FB2F38">
        <w:rPr>
          <w:bCs/>
          <w:lang w:eastAsia="en-US"/>
        </w:rPr>
        <w:t xml:space="preserve"> [2015] QDC 79 where, in adopting the approach taken in </w:t>
      </w:r>
      <w:r w:rsidR="005614F4" w:rsidRPr="00FB2F38">
        <w:rPr>
          <w:bCs/>
          <w:i/>
          <w:iCs/>
          <w:lang w:eastAsia="en-US"/>
        </w:rPr>
        <w:t>Hickey</w:t>
      </w:r>
      <w:r w:rsidR="005614F4" w:rsidRPr="00FB2F38">
        <w:rPr>
          <w:bCs/>
          <w:lang w:eastAsia="en-US"/>
        </w:rPr>
        <w:t xml:space="preserve"> on the question of “special importance”, Farr SC DCJ, rejected a submission that the court is restricted to matters in evidence</w:t>
      </w:r>
      <w:r w:rsidR="005614F4" w:rsidRPr="00FB2F38">
        <w:rPr>
          <w:rStyle w:val="FootnoteReference"/>
          <w:bCs/>
          <w:lang w:eastAsia="en-US"/>
        </w:rPr>
        <w:footnoteReference w:id="39"/>
      </w:r>
      <w:r w:rsidR="005614F4" w:rsidRPr="00FB2F38">
        <w:rPr>
          <w:bCs/>
          <w:lang w:eastAsia="en-US"/>
        </w:rPr>
        <w:t>.  His Honour said at [42]:</w:t>
      </w:r>
    </w:p>
    <w:p w14:paraId="2157EDB0" w14:textId="77777777" w:rsidR="005614F4" w:rsidRPr="00FB2F38" w:rsidRDefault="005614F4" w:rsidP="00A40583">
      <w:pPr>
        <w:autoSpaceDE w:val="0"/>
        <w:autoSpaceDN w:val="0"/>
        <w:adjustRightInd w:val="0"/>
        <w:rPr>
          <w:bCs/>
          <w:lang w:eastAsia="en-US"/>
        </w:rPr>
      </w:pPr>
    </w:p>
    <w:p w14:paraId="454638A0" w14:textId="77777777" w:rsidR="00B00FA5" w:rsidRPr="00FB2F38" w:rsidRDefault="005614F4" w:rsidP="00B00FA5">
      <w:pPr>
        <w:autoSpaceDE w:val="0"/>
        <w:autoSpaceDN w:val="0"/>
        <w:adjustRightInd w:val="0"/>
        <w:ind w:left="720"/>
        <w:rPr>
          <w:lang w:eastAsia="en-US"/>
        </w:rPr>
      </w:pPr>
      <w:r w:rsidRPr="00FB2F38">
        <w:rPr>
          <w:lang w:eastAsia="en-US"/>
        </w:rPr>
        <w:t>The fact that non-evidence-based decisions have been made in the past is a relevant consideration as is the maintenance of consistency of approach.</w:t>
      </w:r>
      <w:r w:rsidR="00B00FA5" w:rsidRPr="00FB2F38">
        <w:rPr>
          <w:lang w:eastAsia="en-US"/>
        </w:rPr>
        <w:t xml:space="preserve">  Furthermore, it is common practice that when a court is determining a costs issue, it is not necessarily restricted to consider those matters about which evidence has been placed before the court.  Many factual scenarios can be reasonably envisaged where judicial knowledge applies notwithstanding the absence of evidence on a topic.  For instance, a Commissioner of Police on trial for an offence of dishonesty may well be a matter </w:t>
      </w:r>
      <w:r w:rsidR="00B00FA5" w:rsidRPr="00FB2F38">
        <w:rPr>
          <w:lang w:eastAsia="en-US"/>
        </w:rPr>
        <w:lastRenderedPageBreak/>
        <w:t>that is objectively considered one of special importance for that very reason, notwithstanding the absence of evidence to that effect.</w:t>
      </w:r>
    </w:p>
    <w:p w14:paraId="31F73B1A" w14:textId="77777777" w:rsidR="00B00FA5" w:rsidRPr="00FB2F38" w:rsidRDefault="00B00FA5" w:rsidP="00A40583">
      <w:pPr>
        <w:autoSpaceDE w:val="0"/>
        <w:autoSpaceDN w:val="0"/>
        <w:adjustRightInd w:val="0"/>
        <w:rPr>
          <w:bCs/>
          <w:lang w:eastAsia="en-US"/>
        </w:rPr>
      </w:pPr>
    </w:p>
    <w:p w14:paraId="74A31A47" w14:textId="77777777" w:rsidR="00FC77A9" w:rsidRPr="00FB2F38" w:rsidRDefault="00B00FA5" w:rsidP="00A40583">
      <w:pPr>
        <w:autoSpaceDE w:val="0"/>
        <w:autoSpaceDN w:val="0"/>
        <w:adjustRightInd w:val="0"/>
        <w:rPr>
          <w:bCs/>
          <w:lang w:eastAsia="en-US"/>
        </w:rPr>
      </w:pPr>
      <w:r w:rsidRPr="00FB2F38">
        <w:rPr>
          <w:bCs/>
          <w:lang w:eastAsia="en-US"/>
        </w:rPr>
        <w:t>[41]</w:t>
      </w:r>
      <w:r w:rsidR="00552511" w:rsidRPr="00FB2F38">
        <w:rPr>
          <w:bCs/>
          <w:lang w:eastAsia="en-US"/>
        </w:rPr>
        <w:tab/>
      </w:r>
      <w:r w:rsidR="00FC77A9" w:rsidRPr="00FB2F38">
        <w:rPr>
          <w:bCs/>
          <w:lang w:eastAsia="en-US"/>
        </w:rPr>
        <w:t>Earlier at [</w:t>
      </w:r>
      <w:r w:rsidR="00EF18DE" w:rsidRPr="00FB2F38">
        <w:rPr>
          <w:bCs/>
          <w:lang w:eastAsia="en-US"/>
        </w:rPr>
        <w:t>37</w:t>
      </w:r>
      <w:r w:rsidR="00FC77A9" w:rsidRPr="00FB2F38">
        <w:rPr>
          <w:bCs/>
          <w:lang w:eastAsia="en-US"/>
        </w:rPr>
        <w:t xml:space="preserve">] Farr SC DCJ reaffirmed his statement in </w:t>
      </w:r>
      <w:r w:rsidR="00FC77A9" w:rsidRPr="00FB2F38">
        <w:rPr>
          <w:bCs/>
          <w:i/>
          <w:iCs/>
          <w:lang w:eastAsia="en-US"/>
        </w:rPr>
        <w:t xml:space="preserve">Cullinane v </w:t>
      </w:r>
      <w:r w:rsidR="007540F6" w:rsidRPr="00FB2F38">
        <w:rPr>
          <w:bCs/>
          <w:i/>
          <w:iCs/>
          <w:lang w:eastAsia="en-US"/>
        </w:rPr>
        <w:t xml:space="preserve">McCahon </w:t>
      </w:r>
      <w:r w:rsidR="00FC77A9" w:rsidRPr="00FB2F38">
        <w:rPr>
          <w:bCs/>
          <w:lang w:eastAsia="en-US"/>
        </w:rPr>
        <w:t>[201</w:t>
      </w:r>
      <w:r w:rsidR="007540F6" w:rsidRPr="00FB2F38">
        <w:rPr>
          <w:bCs/>
          <w:lang w:eastAsia="en-US"/>
        </w:rPr>
        <w:t>4</w:t>
      </w:r>
      <w:r w:rsidR="00FC77A9" w:rsidRPr="00FB2F38">
        <w:rPr>
          <w:bCs/>
          <w:lang w:eastAsia="en-US"/>
        </w:rPr>
        <w:t xml:space="preserve">] QDC </w:t>
      </w:r>
      <w:r w:rsidR="007540F6" w:rsidRPr="00FB2F38">
        <w:rPr>
          <w:bCs/>
          <w:lang w:eastAsia="en-US"/>
        </w:rPr>
        <w:t xml:space="preserve">120 </w:t>
      </w:r>
      <w:r w:rsidR="00FC77A9" w:rsidRPr="00FB2F38">
        <w:rPr>
          <w:bCs/>
          <w:lang w:eastAsia="en-US"/>
        </w:rPr>
        <w:t>at [3</w:t>
      </w:r>
      <w:r w:rsidR="009F32E8" w:rsidRPr="00FB2F38">
        <w:rPr>
          <w:bCs/>
          <w:lang w:eastAsia="en-US"/>
        </w:rPr>
        <w:t>5</w:t>
      </w:r>
      <w:r w:rsidR="00FC77A9" w:rsidRPr="00FB2F38">
        <w:rPr>
          <w:bCs/>
          <w:lang w:eastAsia="en-US"/>
        </w:rPr>
        <w:t xml:space="preserve">] that “special importance is clearly a reference to the importance of the case generally … and is not intended to refer to the subjective assessment of a defendant as to whether the case is important to him or her”.    </w:t>
      </w:r>
    </w:p>
    <w:p w14:paraId="3033FAB9" w14:textId="77777777" w:rsidR="00FC77A9" w:rsidRPr="00FB2F38" w:rsidRDefault="00FC77A9" w:rsidP="00A40583">
      <w:pPr>
        <w:autoSpaceDE w:val="0"/>
        <w:autoSpaceDN w:val="0"/>
        <w:adjustRightInd w:val="0"/>
        <w:rPr>
          <w:bCs/>
          <w:lang w:eastAsia="en-US"/>
        </w:rPr>
      </w:pPr>
    </w:p>
    <w:p w14:paraId="55265875" w14:textId="77777777" w:rsidR="0057606D" w:rsidRPr="00FB2F38" w:rsidRDefault="00FC77A9" w:rsidP="00A40583">
      <w:pPr>
        <w:autoSpaceDE w:val="0"/>
        <w:autoSpaceDN w:val="0"/>
        <w:adjustRightInd w:val="0"/>
        <w:rPr>
          <w:bCs/>
          <w:lang w:eastAsia="en-US"/>
        </w:rPr>
      </w:pPr>
      <w:r w:rsidRPr="00FB2F38">
        <w:rPr>
          <w:bCs/>
          <w:lang w:eastAsia="en-US"/>
        </w:rPr>
        <w:t>[42]</w:t>
      </w:r>
      <w:r w:rsidRPr="00FB2F38">
        <w:rPr>
          <w:bCs/>
          <w:lang w:eastAsia="en-US"/>
        </w:rPr>
        <w:tab/>
      </w:r>
      <w:r w:rsidR="009F7A31" w:rsidRPr="00FB2F38">
        <w:rPr>
          <w:bCs/>
          <w:lang w:eastAsia="en-US"/>
        </w:rPr>
        <w:t xml:space="preserve">While </w:t>
      </w:r>
      <w:r w:rsidR="009F7A31" w:rsidRPr="00FB2F38">
        <w:rPr>
          <w:bCs/>
          <w:i/>
          <w:iCs/>
          <w:lang w:eastAsia="en-US"/>
        </w:rPr>
        <w:t>Bell v Townsend</w:t>
      </w:r>
      <w:r w:rsidR="009F7A31" w:rsidRPr="00FB2F38">
        <w:rPr>
          <w:bCs/>
          <w:lang w:eastAsia="en-US"/>
        </w:rPr>
        <w:t xml:space="preserve"> [2014] QMC 30 is in many respects similar to this case, on the question of ‘special importance’, it is distinguishable.  That case was concerned with the construction of an instrument of appointment of the complainant.  It was determined that the appointment did not commence until the day after the complaint was made</w:t>
      </w:r>
      <w:r w:rsidR="00264C7D" w:rsidRPr="00FB2F38">
        <w:rPr>
          <w:bCs/>
          <w:lang w:eastAsia="en-US"/>
        </w:rPr>
        <w:t xml:space="preserve"> rendering it void</w:t>
      </w:r>
      <w:r w:rsidR="009F7A31" w:rsidRPr="00FB2F38">
        <w:rPr>
          <w:bCs/>
          <w:lang w:eastAsia="en-US"/>
        </w:rPr>
        <w:t xml:space="preserve">.  Unlike the present case, this can be described as a “one off” and something that would rarely occur and therefore not of “special importance”.          </w:t>
      </w:r>
    </w:p>
    <w:p w14:paraId="3B1C64C2" w14:textId="77777777" w:rsidR="0057606D" w:rsidRPr="00FB2F38" w:rsidRDefault="0057606D" w:rsidP="00A40583">
      <w:pPr>
        <w:autoSpaceDE w:val="0"/>
        <w:autoSpaceDN w:val="0"/>
        <w:adjustRightInd w:val="0"/>
        <w:rPr>
          <w:bCs/>
          <w:lang w:eastAsia="en-US"/>
        </w:rPr>
      </w:pPr>
    </w:p>
    <w:p w14:paraId="4B5241AA" w14:textId="77777777" w:rsidR="004E3008" w:rsidRPr="00FB2F38" w:rsidRDefault="0057606D" w:rsidP="00A40583">
      <w:pPr>
        <w:autoSpaceDE w:val="0"/>
        <w:autoSpaceDN w:val="0"/>
        <w:adjustRightInd w:val="0"/>
        <w:rPr>
          <w:bCs/>
          <w:lang w:eastAsia="en-US"/>
        </w:rPr>
      </w:pPr>
      <w:r w:rsidRPr="00FB2F38">
        <w:rPr>
          <w:bCs/>
          <w:lang w:eastAsia="en-US"/>
        </w:rPr>
        <w:t>[42]</w:t>
      </w:r>
      <w:r w:rsidRPr="00FB2F38">
        <w:rPr>
          <w:bCs/>
          <w:lang w:eastAsia="en-US"/>
        </w:rPr>
        <w:tab/>
      </w:r>
      <w:r w:rsidR="00552511" w:rsidRPr="00FB2F38">
        <w:rPr>
          <w:bCs/>
          <w:lang w:eastAsia="en-US"/>
        </w:rPr>
        <w:t xml:space="preserve">In </w:t>
      </w:r>
      <w:r w:rsidR="004E3008" w:rsidRPr="00FB2F38">
        <w:rPr>
          <w:bCs/>
          <w:lang w:eastAsia="en-US"/>
        </w:rPr>
        <w:t xml:space="preserve">the circumstances, I find that this case was one of </w:t>
      </w:r>
      <w:r w:rsidR="00552511" w:rsidRPr="00FB2F38">
        <w:rPr>
          <w:bCs/>
          <w:lang w:eastAsia="en-US"/>
        </w:rPr>
        <w:t>“special importance”</w:t>
      </w:r>
      <w:r w:rsidR="004E3008" w:rsidRPr="00FB2F38">
        <w:rPr>
          <w:bCs/>
          <w:lang w:eastAsia="en-US"/>
        </w:rPr>
        <w:t xml:space="preserve"> so that costs higher tha</w:t>
      </w:r>
      <w:r w:rsidR="002A421A" w:rsidRPr="00FB2F38">
        <w:rPr>
          <w:bCs/>
          <w:lang w:eastAsia="en-US"/>
        </w:rPr>
        <w:t>n</w:t>
      </w:r>
      <w:r w:rsidR="004E3008" w:rsidRPr="00FB2F38">
        <w:rPr>
          <w:bCs/>
          <w:lang w:eastAsia="en-US"/>
        </w:rPr>
        <w:t xml:space="preserve"> the scale </w:t>
      </w:r>
      <w:r w:rsidR="007076E7" w:rsidRPr="00FB2F38">
        <w:rPr>
          <w:bCs/>
          <w:lang w:eastAsia="en-US"/>
        </w:rPr>
        <w:t xml:space="preserve">may </w:t>
      </w:r>
      <w:r w:rsidR="004E3008" w:rsidRPr="00FB2F38">
        <w:rPr>
          <w:bCs/>
          <w:lang w:eastAsia="en-US"/>
        </w:rPr>
        <w:t>be awarded under section 158B (2) JA</w:t>
      </w:r>
      <w:r w:rsidR="007076E7" w:rsidRPr="00FB2F38">
        <w:rPr>
          <w:bCs/>
          <w:lang w:eastAsia="en-US"/>
        </w:rPr>
        <w:t xml:space="preserve"> provided they are “just and reasonable”</w:t>
      </w:r>
      <w:r w:rsidR="004E3008" w:rsidRPr="00FB2F38">
        <w:rPr>
          <w:bCs/>
          <w:lang w:eastAsia="en-US"/>
        </w:rPr>
        <w:t xml:space="preserve">. </w:t>
      </w:r>
    </w:p>
    <w:p w14:paraId="2DADF2C5" w14:textId="77777777" w:rsidR="004E3008" w:rsidRPr="00FB2F38" w:rsidRDefault="004E3008" w:rsidP="00A40583">
      <w:pPr>
        <w:autoSpaceDE w:val="0"/>
        <w:autoSpaceDN w:val="0"/>
        <w:adjustRightInd w:val="0"/>
        <w:rPr>
          <w:bCs/>
          <w:lang w:eastAsia="en-US"/>
        </w:rPr>
      </w:pPr>
    </w:p>
    <w:p w14:paraId="05474B82" w14:textId="77777777" w:rsidR="004E3008" w:rsidRPr="00FB2F38" w:rsidRDefault="004E3008" w:rsidP="00A40583">
      <w:pPr>
        <w:autoSpaceDE w:val="0"/>
        <w:autoSpaceDN w:val="0"/>
        <w:adjustRightInd w:val="0"/>
        <w:rPr>
          <w:b/>
          <w:lang w:eastAsia="en-US"/>
        </w:rPr>
      </w:pPr>
      <w:r w:rsidRPr="00FB2F38">
        <w:rPr>
          <w:b/>
          <w:lang w:eastAsia="en-US"/>
        </w:rPr>
        <w:t>Quantum of costs</w:t>
      </w:r>
    </w:p>
    <w:p w14:paraId="1B2868D6" w14:textId="77777777" w:rsidR="00B30E39" w:rsidRPr="00FB2F38" w:rsidRDefault="00B30E39" w:rsidP="00A40583">
      <w:pPr>
        <w:autoSpaceDE w:val="0"/>
        <w:autoSpaceDN w:val="0"/>
        <w:adjustRightInd w:val="0"/>
        <w:rPr>
          <w:b/>
          <w:lang w:eastAsia="en-US"/>
        </w:rPr>
      </w:pPr>
    </w:p>
    <w:p w14:paraId="784A8C77" w14:textId="77777777" w:rsidR="00B30E39" w:rsidRPr="00FB2F38" w:rsidRDefault="00B30E39" w:rsidP="00A40583">
      <w:pPr>
        <w:autoSpaceDE w:val="0"/>
        <w:autoSpaceDN w:val="0"/>
        <w:adjustRightInd w:val="0"/>
        <w:rPr>
          <w:b/>
          <w:lang w:eastAsia="en-US"/>
        </w:rPr>
      </w:pPr>
      <w:r w:rsidRPr="00FB2F38">
        <w:rPr>
          <w:b/>
          <w:lang w:eastAsia="en-US"/>
        </w:rPr>
        <w:t xml:space="preserve">Solicitors Costs </w:t>
      </w:r>
    </w:p>
    <w:p w14:paraId="5EFBB04F" w14:textId="77777777" w:rsidR="004E3008" w:rsidRPr="00FB2F38" w:rsidRDefault="004E3008" w:rsidP="00A40583">
      <w:pPr>
        <w:autoSpaceDE w:val="0"/>
        <w:autoSpaceDN w:val="0"/>
        <w:adjustRightInd w:val="0"/>
        <w:rPr>
          <w:bCs/>
          <w:lang w:eastAsia="en-US"/>
        </w:rPr>
      </w:pPr>
    </w:p>
    <w:p w14:paraId="78A7A2EF" w14:textId="77777777" w:rsidR="00BF1694" w:rsidRPr="00FB2F38" w:rsidRDefault="004E3008" w:rsidP="00A40583">
      <w:pPr>
        <w:autoSpaceDE w:val="0"/>
        <w:autoSpaceDN w:val="0"/>
        <w:adjustRightInd w:val="0"/>
        <w:rPr>
          <w:bCs/>
          <w:lang w:eastAsia="en-US"/>
        </w:rPr>
      </w:pPr>
      <w:r w:rsidRPr="00FB2F38">
        <w:rPr>
          <w:bCs/>
          <w:lang w:eastAsia="en-US"/>
        </w:rPr>
        <w:t>[4</w:t>
      </w:r>
      <w:r w:rsidR="00DB1544" w:rsidRPr="00FB2F38">
        <w:rPr>
          <w:bCs/>
          <w:lang w:eastAsia="en-US"/>
        </w:rPr>
        <w:t>3</w:t>
      </w:r>
      <w:r w:rsidRPr="00FB2F38">
        <w:rPr>
          <w:bCs/>
          <w:lang w:eastAsia="en-US"/>
        </w:rPr>
        <w:t>]</w:t>
      </w:r>
      <w:r w:rsidR="00DB1544" w:rsidRPr="00FB2F38">
        <w:rPr>
          <w:bCs/>
          <w:lang w:eastAsia="en-US"/>
        </w:rPr>
        <w:tab/>
      </w:r>
      <w:r w:rsidR="00F01C41" w:rsidRPr="00FB2F38">
        <w:rPr>
          <w:bCs/>
          <w:lang w:eastAsia="en-US"/>
        </w:rPr>
        <w:t xml:space="preserve">It was submitted for Niepe that </w:t>
      </w:r>
      <w:r w:rsidR="00115139" w:rsidRPr="00FB2F38">
        <w:rPr>
          <w:bCs/>
          <w:lang w:eastAsia="en-US"/>
        </w:rPr>
        <w:t xml:space="preserve">for legal professional costs </w:t>
      </w:r>
      <w:r w:rsidR="00BF1694" w:rsidRPr="00FB2F38">
        <w:rPr>
          <w:bCs/>
          <w:lang w:eastAsia="en-US"/>
        </w:rPr>
        <w:t xml:space="preserve">a multiplier of between three and 15 should be applied to the scale costs and have nominated a multiplier of </w:t>
      </w:r>
      <w:r w:rsidR="007C6516" w:rsidRPr="00FB2F38">
        <w:rPr>
          <w:bCs/>
          <w:lang w:eastAsia="en-US"/>
        </w:rPr>
        <w:t>nine</w:t>
      </w:r>
      <w:r w:rsidR="00BF1694" w:rsidRPr="00FB2F38">
        <w:rPr>
          <w:bCs/>
          <w:lang w:eastAsia="en-US"/>
        </w:rPr>
        <w:t>.  That equate</w:t>
      </w:r>
      <w:r w:rsidR="00AD402A" w:rsidRPr="00FB2F38">
        <w:rPr>
          <w:bCs/>
          <w:lang w:eastAsia="en-US"/>
        </w:rPr>
        <w:t>s</w:t>
      </w:r>
      <w:r w:rsidR="00BF1694" w:rsidRPr="00FB2F38">
        <w:rPr>
          <w:bCs/>
          <w:lang w:eastAsia="en-US"/>
        </w:rPr>
        <w:t xml:space="preserve"> to $18,448.74</w:t>
      </w:r>
      <w:r w:rsidR="00A05E5C" w:rsidRPr="00FB2F38">
        <w:rPr>
          <w:rStyle w:val="FootnoteReference"/>
          <w:bCs/>
          <w:lang w:eastAsia="en-US"/>
        </w:rPr>
        <w:footnoteReference w:id="40"/>
      </w:r>
      <w:r w:rsidR="00BF1694" w:rsidRPr="00FB2F38">
        <w:rPr>
          <w:bCs/>
          <w:lang w:eastAsia="en-US"/>
        </w:rPr>
        <w:t xml:space="preserve">.  </w:t>
      </w:r>
      <w:r w:rsidR="00F01C41" w:rsidRPr="00FB2F38">
        <w:rPr>
          <w:bCs/>
          <w:i/>
          <w:iCs/>
          <w:lang w:eastAsia="en-US"/>
        </w:rPr>
        <w:t>H</w:t>
      </w:r>
      <w:r w:rsidR="00BF1694" w:rsidRPr="00FB2F38">
        <w:rPr>
          <w:bCs/>
          <w:i/>
          <w:iCs/>
          <w:lang w:eastAsia="en-US"/>
        </w:rPr>
        <w:t>ickey</w:t>
      </w:r>
      <w:r w:rsidR="00BF1694" w:rsidRPr="00FB2F38">
        <w:rPr>
          <w:bCs/>
          <w:lang w:eastAsia="en-US"/>
        </w:rPr>
        <w:t xml:space="preserve"> and </w:t>
      </w:r>
      <w:r w:rsidR="00BF1694" w:rsidRPr="00FB2F38">
        <w:rPr>
          <w:bCs/>
          <w:i/>
          <w:iCs/>
          <w:lang w:eastAsia="en-US"/>
        </w:rPr>
        <w:t xml:space="preserve">Schloss </w:t>
      </w:r>
      <w:r w:rsidR="00BF1694" w:rsidRPr="00FB2F38">
        <w:rPr>
          <w:bCs/>
          <w:lang w:eastAsia="en-US"/>
        </w:rPr>
        <w:t xml:space="preserve">applied </w:t>
      </w:r>
      <w:r w:rsidR="007C6516" w:rsidRPr="00FB2F38">
        <w:rPr>
          <w:bCs/>
          <w:lang w:eastAsia="en-US"/>
        </w:rPr>
        <w:t xml:space="preserve">three </w:t>
      </w:r>
      <w:r w:rsidR="00BF1694" w:rsidRPr="00FB2F38">
        <w:rPr>
          <w:bCs/>
          <w:lang w:eastAsia="en-US"/>
        </w:rPr>
        <w:t>whereas</w:t>
      </w:r>
      <w:r w:rsidR="00BF1694" w:rsidRPr="00FB2F38">
        <w:rPr>
          <w:bCs/>
          <w:i/>
          <w:iCs/>
          <w:lang w:eastAsia="en-US"/>
        </w:rPr>
        <w:t xml:space="preserve"> Fletcher </w:t>
      </w:r>
      <w:r w:rsidR="00BF1694" w:rsidRPr="00FB2F38">
        <w:rPr>
          <w:bCs/>
          <w:lang w:eastAsia="en-US"/>
        </w:rPr>
        <w:t>applied 15.</w:t>
      </w:r>
      <w:r w:rsidR="00A05E5C" w:rsidRPr="00FB2F38">
        <w:rPr>
          <w:bCs/>
          <w:lang w:eastAsia="en-US"/>
        </w:rPr>
        <w:t xml:space="preserve">  The prosecution submits that if section 158B (2) JA is invoked, the multiplier should be </w:t>
      </w:r>
      <w:r w:rsidR="007C6516" w:rsidRPr="00FB2F38">
        <w:rPr>
          <w:bCs/>
          <w:lang w:eastAsia="en-US"/>
        </w:rPr>
        <w:t xml:space="preserve">three </w:t>
      </w:r>
      <w:r w:rsidR="00A05E5C" w:rsidRPr="00FB2F38">
        <w:rPr>
          <w:bCs/>
          <w:lang w:eastAsia="en-US"/>
        </w:rPr>
        <w:t>giving a figure of $6,149.58</w:t>
      </w:r>
      <w:r w:rsidR="00A05E5C" w:rsidRPr="00FB2F38">
        <w:rPr>
          <w:rStyle w:val="FootnoteReference"/>
          <w:bCs/>
          <w:lang w:eastAsia="en-US"/>
        </w:rPr>
        <w:footnoteReference w:id="41"/>
      </w:r>
      <w:r w:rsidR="00A05E5C" w:rsidRPr="00FB2F38">
        <w:rPr>
          <w:bCs/>
          <w:lang w:eastAsia="en-US"/>
        </w:rPr>
        <w:t xml:space="preserve">. </w:t>
      </w:r>
    </w:p>
    <w:p w14:paraId="52229BAA" w14:textId="77777777" w:rsidR="00BF1694" w:rsidRPr="00FB2F38" w:rsidRDefault="00BF1694" w:rsidP="00A40583">
      <w:pPr>
        <w:autoSpaceDE w:val="0"/>
        <w:autoSpaceDN w:val="0"/>
        <w:adjustRightInd w:val="0"/>
        <w:rPr>
          <w:bCs/>
          <w:lang w:eastAsia="en-US"/>
        </w:rPr>
      </w:pPr>
    </w:p>
    <w:p w14:paraId="14BAB7E1" w14:textId="77777777" w:rsidR="00186366" w:rsidRPr="00FB2F38" w:rsidRDefault="00BF1694" w:rsidP="00A40583">
      <w:pPr>
        <w:autoSpaceDE w:val="0"/>
        <w:autoSpaceDN w:val="0"/>
        <w:adjustRightInd w:val="0"/>
        <w:rPr>
          <w:bCs/>
          <w:lang w:eastAsia="en-US"/>
        </w:rPr>
      </w:pPr>
      <w:r w:rsidRPr="00FB2F38">
        <w:rPr>
          <w:bCs/>
          <w:lang w:eastAsia="en-US"/>
        </w:rPr>
        <w:t>[44]</w:t>
      </w:r>
      <w:r w:rsidRPr="00FB2F38">
        <w:rPr>
          <w:bCs/>
          <w:lang w:eastAsia="en-US"/>
        </w:rPr>
        <w:tab/>
      </w:r>
      <w:r w:rsidR="00186366" w:rsidRPr="00FB2F38">
        <w:rPr>
          <w:bCs/>
          <w:lang w:eastAsia="en-US"/>
        </w:rPr>
        <w:t xml:space="preserve">In </w:t>
      </w:r>
      <w:r w:rsidR="00186366" w:rsidRPr="00FB2F38">
        <w:rPr>
          <w:bCs/>
          <w:i/>
          <w:iCs/>
          <w:lang w:eastAsia="en-US"/>
        </w:rPr>
        <w:t>Fletcher</w:t>
      </w:r>
      <w:r w:rsidR="00186366" w:rsidRPr="00FB2F38">
        <w:rPr>
          <w:bCs/>
          <w:lang w:eastAsia="en-US"/>
        </w:rPr>
        <w:t>, discussed above and cited in support of Niepe’s submissions as to quantum of costs</w:t>
      </w:r>
      <w:r w:rsidR="00D035D9" w:rsidRPr="00FB2F38">
        <w:rPr>
          <w:rStyle w:val="FootnoteReference"/>
          <w:bCs/>
          <w:lang w:eastAsia="en-US"/>
        </w:rPr>
        <w:footnoteReference w:id="42"/>
      </w:r>
      <w:r w:rsidR="00186366" w:rsidRPr="00FB2F38">
        <w:rPr>
          <w:bCs/>
          <w:lang w:eastAsia="en-US"/>
        </w:rPr>
        <w:t>, after stating at [59] that the primary consideration must be what is just and reasonable, the court said at [65]:</w:t>
      </w:r>
    </w:p>
    <w:p w14:paraId="5A2CF486" w14:textId="77777777" w:rsidR="00186366" w:rsidRPr="00FB2F38" w:rsidRDefault="00186366" w:rsidP="00A40583">
      <w:pPr>
        <w:autoSpaceDE w:val="0"/>
        <w:autoSpaceDN w:val="0"/>
        <w:adjustRightInd w:val="0"/>
        <w:rPr>
          <w:bCs/>
          <w:lang w:eastAsia="en-US"/>
        </w:rPr>
      </w:pPr>
    </w:p>
    <w:p w14:paraId="09ADA4F4" w14:textId="77777777" w:rsidR="00186366" w:rsidRPr="00FB2F38" w:rsidRDefault="00186366" w:rsidP="00D035D9">
      <w:pPr>
        <w:autoSpaceDE w:val="0"/>
        <w:autoSpaceDN w:val="0"/>
        <w:adjustRightInd w:val="0"/>
        <w:ind w:left="720"/>
        <w:rPr>
          <w:lang w:eastAsia="en-US"/>
        </w:rPr>
      </w:pPr>
      <w:r w:rsidRPr="00FB2F38">
        <w:rPr>
          <w:lang w:eastAsia="en-US"/>
        </w:rPr>
        <w:t>I do not accept that the only methodology, that adequately reflects the principles to which I have referred, must incorporate a multiplier of the scale items.  However, what a multiplier does, is to give the court sufficient flexibility in exercising its discretion, having regard to the relevant circumstances of the case, but at the same time allow the court to give due weight to the policy consideration.  I do not accept that if a multiplier is used that it must be a multiplier of three.</w:t>
      </w:r>
    </w:p>
    <w:p w14:paraId="659DEA2C" w14:textId="77777777" w:rsidR="00186366" w:rsidRPr="00FB2F38" w:rsidRDefault="00186366" w:rsidP="00A40583">
      <w:pPr>
        <w:autoSpaceDE w:val="0"/>
        <w:autoSpaceDN w:val="0"/>
        <w:adjustRightInd w:val="0"/>
        <w:rPr>
          <w:bCs/>
          <w:lang w:eastAsia="en-US"/>
        </w:rPr>
      </w:pPr>
    </w:p>
    <w:p w14:paraId="762D8966" w14:textId="77777777" w:rsidR="00B30E39" w:rsidRPr="00FB2F38" w:rsidRDefault="00186366" w:rsidP="00A40583">
      <w:pPr>
        <w:autoSpaceDE w:val="0"/>
        <w:autoSpaceDN w:val="0"/>
        <w:adjustRightInd w:val="0"/>
        <w:rPr>
          <w:bCs/>
          <w:lang w:eastAsia="en-US"/>
        </w:rPr>
      </w:pPr>
      <w:r w:rsidRPr="00FB2F38">
        <w:rPr>
          <w:bCs/>
          <w:lang w:eastAsia="en-US"/>
        </w:rPr>
        <w:t>[45]</w:t>
      </w:r>
      <w:r w:rsidR="00D035D9" w:rsidRPr="00FB2F38">
        <w:rPr>
          <w:bCs/>
          <w:lang w:eastAsia="en-US"/>
        </w:rPr>
        <w:tab/>
        <w:t>However,</w:t>
      </w:r>
      <w:r w:rsidR="00F102E9" w:rsidRPr="00FB2F38">
        <w:rPr>
          <w:bCs/>
          <w:lang w:eastAsia="en-US"/>
        </w:rPr>
        <w:t xml:space="preserve"> those remarks must be seen in the light of </w:t>
      </w:r>
      <w:r w:rsidR="00E56655" w:rsidRPr="00FB2F38">
        <w:rPr>
          <w:bCs/>
          <w:lang w:eastAsia="en-US"/>
        </w:rPr>
        <w:t xml:space="preserve">the fact that </w:t>
      </w:r>
      <w:r w:rsidR="00D035D9" w:rsidRPr="00FB2F38">
        <w:rPr>
          <w:bCs/>
          <w:i/>
          <w:iCs/>
          <w:lang w:eastAsia="en-US"/>
        </w:rPr>
        <w:t>Fletcher</w:t>
      </w:r>
      <w:r w:rsidR="00D035D9" w:rsidRPr="00FB2F38">
        <w:rPr>
          <w:bCs/>
          <w:lang w:eastAsia="en-US"/>
        </w:rPr>
        <w:t xml:space="preserve"> was a</w:t>
      </w:r>
      <w:r w:rsidR="00B30E39" w:rsidRPr="00FB2F38">
        <w:rPr>
          <w:bCs/>
          <w:lang w:eastAsia="en-US"/>
        </w:rPr>
        <w:t xml:space="preserve"> difficult and </w:t>
      </w:r>
      <w:r w:rsidR="00D035D9" w:rsidRPr="00FB2F38">
        <w:rPr>
          <w:bCs/>
          <w:lang w:eastAsia="en-US"/>
        </w:rPr>
        <w:t>unusual case</w:t>
      </w:r>
      <w:r w:rsidR="00EC2430" w:rsidRPr="00FB2F38">
        <w:rPr>
          <w:bCs/>
          <w:lang w:eastAsia="en-US"/>
        </w:rPr>
        <w:t xml:space="preserve"> in applying a multiplier of 15</w:t>
      </w:r>
      <w:r w:rsidR="00E56655" w:rsidRPr="00FB2F38">
        <w:rPr>
          <w:bCs/>
          <w:lang w:eastAsia="en-US"/>
        </w:rPr>
        <w:t>:</w:t>
      </w:r>
      <w:r w:rsidR="00D035D9" w:rsidRPr="00FB2F38">
        <w:rPr>
          <w:bCs/>
          <w:lang w:eastAsia="en-US"/>
        </w:rPr>
        <w:t xml:space="preserve"> discussed above at </w:t>
      </w:r>
      <w:r w:rsidR="00B30E39" w:rsidRPr="00FB2F38">
        <w:rPr>
          <w:bCs/>
          <w:lang w:eastAsia="en-US"/>
        </w:rPr>
        <w:t xml:space="preserve">[34].  I agree with the prosecution that </w:t>
      </w:r>
      <w:r w:rsidR="00B30E39" w:rsidRPr="00FB2F38">
        <w:rPr>
          <w:bCs/>
          <w:i/>
          <w:iCs/>
          <w:lang w:eastAsia="en-US"/>
        </w:rPr>
        <w:t>Fletcher</w:t>
      </w:r>
      <w:r w:rsidR="00B30E39" w:rsidRPr="00FB2F38">
        <w:rPr>
          <w:bCs/>
          <w:lang w:eastAsia="en-US"/>
        </w:rPr>
        <w:t xml:space="preserve"> is of no assistance in this case.  Th</w:t>
      </w:r>
      <w:r w:rsidR="0034429E" w:rsidRPr="00FB2F38">
        <w:rPr>
          <w:bCs/>
          <w:lang w:eastAsia="en-US"/>
        </w:rPr>
        <w:t xml:space="preserve">at case is </w:t>
      </w:r>
      <w:r w:rsidR="00E46A2A" w:rsidRPr="00FB2F38">
        <w:rPr>
          <w:bCs/>
          <w:lang w:eastAsia="en-US"/>
        </w:rPr>
        <w:t xml:space="preserve">in stark contrast and </w:t>
      </w:r>
      <w:r w:rsidR="00B30E39" w:rsidRPr="00FB2F38">
        <w:rPr>
          <w:bCs/>
          <w:lang w:eastAsia="en-US"/>
        </w:rPr>
        <w:t>materially different</w:t>
      </w:r>
      <w:r w:rsidR="0034429E" w:rsidRPr="00FB2F38">
        <w:rPr>
          <w:bCs/>
          <w:lang w:eastAsia="en-US"/>
        </w:rPr>
        <w:t xml:space="preserve"> to the present one.</w:t>
      </w:r>
      <w:r w:rsidR="00B30E39" w:rsidRPr="00FB2F38">
        <w:rPr>
          <w:bCs/>
          <w:lang w:eastAsia="en-US"/>
        </w:rPr>
        <w:t xml:space="preserve"> </w:t>
      </w:r>
    </w:p>
    <w:p w14:paraId="4BFD1214" w14:textId="77777777" w:rsidR="00B30E39" w:rsidRPr="00FB2F38" w:rsidRDefault="00B30E39" w:rsidP="00A40583">
      <w:pPr>
        <w:autoSpaceDE w:val="0"/>
        <w:autoSpaceDN w:val="0"/>
        <w:adjustRightInd w:val="0"/>
        <w:rPr>
          <w:bCs/>
          <w:lang w:eastAsia="en-US"/>
        </w:rPr>
      </w:pPr>
    </w:p>
    <w:p w14:paraId="46AB6534" w14:textId="77777777" w:rsidR="00B30E39" w:rsidRPr="00FB2F38" w:rsidRDefault="00B30E39" w:rsidP="00A40583">
      <w:pPr>
        <w:autoSpaceDE w:val="0"/>
        <w:autoSpaceDN w:val="0"/>
        <w:adjustRightInd w:val="0"/>
        <w:rPr>
          <w:bCs/>
          <w:lang w:eastAsia="en-US"/>
        </w:rPr>
      </w:pPr>
      <w:r w:rsidRPr="00FB2F38">
        <w:rPr>
          <w:bCs/>
          <w:lang w:eastAsia="en-US"/>
        </w:rPr>
        <w:lastRenderedPageBreak/>
        <w:t>[46]</w:t>
      </w:r>
      <w:r w:rsidRPr="00FB2F38">
        <w:rPr>
          <w:bCs/>
          <w:lang w:eastAsia="en-US"/>
        </w:rPr>
        <w:tab/>
        <w:t xml:space="preserve">I propose to </w:t>
      </w:r>
      <w:r w:rsidR="002A421A" w:rsidRPr="00FB2F38">
        <w:rPr>
          <w:bCs/>
          <w:lang w:eastAsia="en-US"/>
        </w:rPr>
        <w:t xml:space="preserve">follow the approach taken in </w:t>
      </w:r>
      <w:r w:rsidR="002A421A" w:rsidRPr="00FB2F38">
        <w:rPr>
          <w:bCs/>
          <w:i/>
          <w:iCs/>
          <w:lang w:eastAsia="en-US"/>
        </w:rPr>
        <w:t xml:space="preserve">Hickey </w:t>
      </w:r>
      <w:r w:rsidR="002A421A" w:rsidRPr="00FB2F38">
        <w:rPr>
          <w:bCs/>
          <w:lang w:eastAsia="en-US"/>
        </w:rPr>
        <w:t xml:space="preserve">and </w:t>
      </w:r>
      <w:r w:rsidR="002A421A" w:rsidRPr="00FB2F38">
        <w:rPr>
          <w:bCs/>
          <w:i/>
          <w:iCs/>
          <w:lang w:eastAsia="en-US"/>
        </w:rPr>
        <w:t xml:space="preserve">Schloss </w:t>
      </w:r>
      <w:r w:rsidR="002A421A" w:rsidRPr="00FB2F38">
        <w:rPr>
          <w:bCs/>
          <w:lang w:eastAsia="en-US"/>
        </w:rPr>
        <w:t xml:space="preserve">to </w:t>
      </w:r>
      <w:r w:rsidRPr="00FB2F38">
        <w:rPr>
          <w:bCs/>
          <w:lang w:eastAsia="en-US"/>
        </w:rPr>
        <w:t>allow costs for legal and professional fees by adopting a multiplier of three.  I consider these costs are just and reasonable: $6,149.58.</w:t>
      </w:r>
    </w:p>
    <w:p w14:paraId="385650DC" w14:textId="77777777" w:rsidR="00B30E39" w:rsidRPr="00FB2F38" w:rsidRDefault="00B30E39" w:rsidP="00A40583">
      <w:pPr>
        <w:autoSpaceDE w:val="0"/>
        <w:autoSpaceDN w:val="0"/>
        <w:adjustRightInd w:val="0"/>
        <w:rPr>
          <w:bCs/>
          <w:lang w:eastAsia="en-US"/>
        </w:rPr>
      </w:pPr>
    </w:p>
    <w:p w14:paraId="6268E103" w14:textId="77777777" w:rsidR="00B30E39" w:rsidRPr="00FB2F38" w:rsidRDefault="00B30E39" w:rsidP="00A40583">
      <w:pPr>
        <w:autoSpaceDE w:val="0"/>
        <w:autoSpaceDN w:val="0"/>
        <w:adjustRightInd w:val="0"/>
        <w:rPr>
          <w:b/>
          <w:lang w:eastAsia="en-US"/>
        </w:rPr>
      </w:pPr>
      <w:r w:rsidRPr="00FB2F38">
        <w:rPr>
          <w:b/>
          <w:lang w:eastAsia="en-US"/>
        </w:rPr>
        <w:t>Counsel’s fees</w:t>
      </w:r>
    </w:p>
    <w:p w14:paraId="6C8D08CD" w14:textId="77777777" w:rsidR="00B30E39" w:rsidRPr="00FB2F38" w:rsidRDefault="00B30E39" w:rsidP="00A40583">
      <w:pPr>
        <w:autoSpaceDE w:val="0"/>
        <w:autoSpaceDN w:val="0"/>
        <w:adjustRightInd w:val="0"/>
        <w:rPr>
          <w:bCs/>
          <w:lang w:eastAsia="en-US"/>
        </w:rPr>
      </w:pPr>
    </w:p>
    <w:p w14:paraId="7997A312" w14:textId="77777777" w:rsidR="00977D5D" w:rsidRPr="00FB2F38" w:rsidRDefault="00B30E39" w:rsidP="00A40583">
      <w:pPr>
        <w:autoSpaceDE w:val="0"/>
        <w:autoSpaceDN w:val="0"/>
        <w:adjustRightInd w:val="0"/>
        <w:rPr>
          <w:bCs/>
          <w:lang w:eastAsia="en-US"/>
        </w:rPr>
      </w:pPr>
      <w:r w:rsidRPr="00FB2F38">
        <w:rPr>
          <w:bCs/>
          <w:lang w:eastAsia="en-US"/>
        </w:rPr>
        <w:t>[47]</w:t>
      </w:r>
      <w:r w:rsidR="0034429E" w:rsidRPr="00FB2F38">
        <w:rPr>
          <w:bCs/>
          <w:lang w:eastAsia="en-US"/>
        </w:rPr>
        <w:tab/>
      </w:r>
      <w:r w:rsidR="00977D5D" w:rsidRPr="00FB2F38">
        <w:rPr>
          <w:bCs/>
          <w:lang w:eastAsia="en-US"/>
        </w:rPr>
        <w:t>As discussed earlier, Counsel’s fees are not considered a</w:t>
      </w:r>
      <w:r w:rsidR="004F06D1" w:rsidRPr="00FB2F38">
        <w:rPr>
          <w:bCs/>
          <w:lang w:eastAsia="en-US"/>
        </w:rPr>
        <w:t>n</w:t>
      </w:r>
      <w:r w:rsidR="00977D5D" w:rsidRPr="00FB2F38">
        <w:rPr>
          <w:bCs/>
          <w:lang w:eastAsia="en-US"/>
        </w:rPr>
        <w:t xml:space="preserve"> disbursement and that a practice has developed to allow costs according to the Federal Court Scale.  The contest is what should be allowed under the scale.  </w:t>
      </w:r>
    </w:p>
    <w:p w14:paraId="4957DA75" w14:textId="77777777" w:rsidR="00977D5D" w:rsidRPr="00FB2F38" w:rsidRDefault="00977D5D" w:rsidP="00A40583">
      <w:pPr>
        <w:autoSpaceDE w:val="0"/>
        <w:autoSpaceDN w:val="0"/>
        <w:adjustRightInd w:val="0"/>
        <w:rPr>
          <w:bCs/>
          <w:lang w:eastAsia="en-US"/>
        </w:rPr>
      </w:pPr>
    </w:p>
    <w:p w14:paraId="4A648A27" w14:textId="77777777" w:rsidR="00E053F4" w:rsidRPr="00FB2F38" w:rsidRDefault="00977D5D" w:rsidP="00A40583">
      <w:pPr>
        <w:autoSpaceDE w:val="0"/>
        <w:autoSpaceDN w:val="0"/>
        <w:adjustRightInd w:val="0"/>
        <w:rPr>
          <w:bCs/>
          <w:lang w:eastAsia="en-US"/>
        </w:rPr>
      </w:pPr>
      <w:r w:rsidRPr="00FB2F38">
        <w:rPr>
          <w:bCs/>
          <w:lang w:eastAsia="en-US"/>
        </w:rPr>
        <w:t>[48]</w:t>
      </w:r>
      <w:r w:rsidRPr="00FB2F38">
        <w:rPr>
          <w:bCs/>
          <w:lang w:eastAsia="en-US"/>
        </w:rPr>
        <w:tab/>
        <w:t>It was submitted for Niepe that fees for preparation and appearances should be allowed</w:t>
      </w:r>
      <w:r w:rsidR="00E053F4" w:rsidRPr="00FB2F38">
        <w:rPr>
          <w:bCs/>
          <w:lang w:eastAsia="en-US"/>
        </w:rPr>
        <w:t xml:space="preserve"> and that these costs do not have to be in accordance with the scale in the Justices Regulation.  </w:t>
      </w:r>
      <w:r w:rsidR="007406D8" w:rsidRPr="00FB2F38">
        <w:rPr>
          <w:bCs/>
          <w:lang w:eastAsia="en-US"/>
        </w:rPr>
        <w:t>An amount of $35,177.50</w:t>
      </w:r>
      <w:r w:rsidR="001A0A57" w:rsidRPr="00FB2F38">
        <w:rPr>
          <w:bCs/>
          <w:lang w:eastAsia="en-US"/>
        </w:rPr>
        <w:t xml:space="preserve"> </w:t>
      </w:r>
      <w:r w:rsidR="007406D8" w:rsidRPr="00FB2F38">
        <w:rPr>
          <w:bCs/>
          <w:lang w:eastAsia="en-US"/>
        </w:rPr>
        <w:t xml:space="preserve">is claimed </w:t>
      </w:r>
      <w:r w:rsidR="00E053F4" w:rsidRPr="00FB2F38">
        <w:rPr>
          <w:bCs/>
          <w:lang w:eastAsia="en-US"/>
        </w:rPr>
        <w:t xml:space="preserve">by reference to the Federal Court Scale </w:t>
      </w:r>
      <w:r w:rsidR="007406D8" w:rsidRPr="00FB2F38">
        <w:rPr>
          <w:bCs/>
          <w:lang w:eastAsia="en-US"/>
        </w:rPr>
        <w:t>made up of $7,650</w:t>
      </w:r>
      <w:r w:rsidR="007014A8" w:rsidRPr="00FB2F38">
        <w:rPr>
          <w:bCs/>
          <w:lang w:eastAsia="en-US"/>
        </w:rPr>
        <w:t xml:space="preserve"> </w:t>
      </w:r>
      <w:r w:rsidR="001A0A57" w:rsidRPr="00FB2F38">
        <w:rPr>
          <w:bCs/>
          <w:lang w:eastAsia="en-US"/>
        </w:rPr>
        <w:t xml:space="preserve">(fee on brief) </w:t>
      </w:r>
      <w:r w:rsidR="007014A8" w:rsidRPr="00FB2F38">
        <w:rPr>
          <w:bCs/>
          <w:lang w:eastAsia="en-US"/>
        </w:rPr>
        <w:t>for the hearing and $27,527.50 for preparation, conferences and settling the application and supporting submissions.</w:t>
      </w:r>
      <w:r w:rsidR="00E053F4" w:rsidRPr="00FB2F38">
        <w:rPr>
          <w:bCs/>
          <w:lang w:eastAsia="en-US"/>
        </w:rPr>
        <w:t xml:space="preserve">  The latter is </w:t>
      </w:r>
      <w:r w:rsidR="001A0A57" w:rsidRPr="00FB2F38">
        <w:rPr>
          <w:bCs/>
          <w:lang w:eastAsia="en-US"/>
        </w:rPr>
        <w:t>based on an hourly rate of $715 for Senior Counsel.</w:t>
      </w:r>
    </w:p>
    <w:p w14:paraId="0E14D73B" w14:textId="77777777" w:rsidR="00E053F4" w:rsidRPr="00FB2F38" w:rsidRDefault="00E053F4" w:rsidP="00A40583">
      <w:pPr>
        <w:autoSpaceDE w:val="0"/>
        <w:autoSpaceDN w:val="0"/>
        <w:adjustRightInd w:val="0"/>
        <w:rPr>
          <w:bCs/>
          <w:lang w:eastAsia="en-US"/>
        </w:rPr>
      </w:pPr>
    </w:p>
    <w:p w14:paraId="5091BCD6" w14:textId="77777777" w:rsidR="001A0A57" w:rsidRPr="00FB2F38" w:rsidRDefault="00E053F4" w:rsidP="00A40583">
      <w:pPr>
        <w:autoSpaceDE w:val="0"/>
        <w:autoSpaceDN w:val="0"/>
        <w:adjustRightInd w:val="0"/>
        <w:rPr>
          <w:bCs/>
          <w:lang w:eastAsia="en-US"/>
        </w:rPr>
      </w:pPr>
      <w:r w:rsidRPr="00FB2F38">
        <w:rPr>
          <w:bCs/>
          <w:lang w:eastAsia="en-US"/>
        </w:rPr>
        <w:t>[49]</w:t>
      </w:r>
      <w:r w:rsidRPr="00FB2F38">
        <w:rPr>
          <w:bCs/>
          <w:lang w:eastAsia="en-US"/>
        </w:rPr>
        <w:tab/>
      </w:r>
      <w:r w:rsidR="001A0A57" w:rsidRPr="00FB2F38">
        <w:rPr>
          <w:bCs/>
          <w:lang w:eastAsia="en-US"/>
        </w:rPr>
        <w:t xml:space="preserve">On the other hand, the prosecution submits that an appearance fee of $6,400 only should be allowed under the Federal Court Scale for an “Interlocutory hearing” for two hours or longer.  </w:t>
      </w:r>
    </w:p>
    <w:p w14:paraId="020645BF" w14:textId="77777777" w:rsidR="001A0A57" w:rsidRPr="00FB2F38" w:rsidRDefault="001A0A57" w:rsidP="00A40583">
      <w:pPr>
        <w:autoSpaceDE w:val="0"/>
        <w:autoSpaceDN w:val="0"/>
        <w:adjustRightInd w:val="0"/>
        <w:rPr>
          <w:bCs/>
          <w:lang w:eastAsia="en-US"/>
        </w:rPr>
      </w:pPr>
    </w:p>
    <w:p w14:paraId="45AE685C" w14:textId="77777777" w:rsidR="00C340F1" w:rsidRPr="00FB2F38" w:rsidRDefault="001A0A57" w:rsidP="00A40583">
      <w:pPr>
        <w:autoSpaceDE w:val="0"/>
        <w:autoSpaceDN w:val="0"/>
        <w:adjustRightInd w:val="0"/>
        <w:rPr>
          <w:bCs/>
          <w:lang w:eastAsia="en-US"/>
        </w:rPr>
      </w:pPr>
      <w:r w:rsidRPr="00FB2F38">
        <w:rPr>
          <w:bCs/>
          <w:lang w:eastAsia="en-US"/>
        </w:rPr>
        <w:t>[50]</w:t>
      </w:r>
      <w:r w:rsidRPr="00FB2F38">
        <w:rPr>
          <w:bCs/>
          <w:lang w:eastAsia="en-US"/>
        </w:rPr>
        <w:tab/>
      </w:r>
      <w:r w:rsidR="00C340F1" w:rsidRPr="00FB2F38">
        <w:rPr>
          <w:bCs/>
          <w:lang w:eastAsia="en-US"/>
        </w:rPr>
        <w:t xml:space="preserve">This matter consisted of an application for directions prior to trial.  Unlike </w:t>
      </w:r>
      <w:r w:rsidR="00C340F1" w:rsidRPr="00FB2F38">
        <w:rPr>
          <w:bCs/>
          <w:i/>
          <w:iCs/>
          <w:lang w:eastAsia="en-US"/>
        </w:rPr>
        <w:t>Hickey</w:t>
      </w:r>
      <w:r w:rsidR="00C340F1" w:rsidRPr="00FB2F38">
        <w:rPr>
          <w:bCs/>
          <w:lang w:eastAsia="en-US"/>
        </w:rPr>
        <w:t xml:space="preserve">, </w:t>
      </w:r>
      <w:r w:rsidR="00C340F1" w:rsidRPr="00FB2F38">
        <w:rPr>
          <w:bCs/>
          <w:i/>
          <w:iCs/>
          <w:lang w:eastAsia="en-US"/>
        </w:rPr>
        <w:t xml:space="preserve">Fletcher </w:t>
      </w:r>
      <w:r w:rsidR="00C340F1" w:rsidRPr="00FB2F38">
        <w:rPr>
          <w:bCs/>
          <w:lang w:eastAsia="en-US"/>
        </w:rPr>
        <w:t xml:space="preserve">and </w:t>
      </w:r>
      <w:r w:rsidR="00C340F1" w:rsidRPr="00FB2F38">
        <w:rPr>
          <w:bCs/>
          <w:i/>
          <w:iCs/>
          <w:lang w:eastAsia="en-US"/>
        </w:rPr>
        <w:t>Schloss</w:t>
      </w:r>
      <w:r w:rsidR="00C340F1" w:rsidRPr="00FB2F38">
        <w:rPr>
          <w:bCs/>
          <w:lang w:eastAsia="en-US"/>
        </w:rPr>
        <w:t xml:space="preserve">, there was no trial and no evidence has been led.  The matter involved a pure question of law which, as I have said, was difficult/complex although not especially so.  Entertaining this question has come about purely on the basis of special importance.  </w:t>
      </w:r>
    </w:p>
    <w:p w14:paraId="4EE65F33" w14:textId="77777777" w:rsidR="00B83CEC" w:rsidRPr="00FB2F38" w:rsidRDefault="00B83CEC" w:rsidP="00A40583">
      <w:pPr>
        <w:autoSpaceDE w:val="0"/>
        <w:autoSpaceDN w:val="0"/>
        <w:adjustRightInd w:val="0"/>
        <w:rPr>
          <w:bCs/>
          <w:lang w:eastAsia="en-US"/>
        </w:rPr>
      </w:pPr>
    </w:p>
    <w:p w14:paraId="76DF06D5" w14:textId="77777777" w:rsidR="00321E84" w:rsidRPr="00FB2F38" w:rsidRDefault="00B83CEC" w:rsidP="00A40583">
      <w:pPr>
        <w:autoSpaceDE w:val="0"/>
        <w:autoSpaceDN w:val="0"/>
        <w:adjustRightInd w:val="0"/>
        <w:rPr>
          <w:bCs/>
          <w:lang w:eastAsia="en-US"/>
        </w:rPr>
      </w:pPr>
      <w:r w:rsidRPr="00FB2F38">
        <w:rPr>
          <w:bCs/>
          <w:lang w:eastAsia="en-US"/>
        </w:rPr>
        <w:t>[51</w:t>
      </w:r>
      <w:r w:rsidR="00C340F1" w:rsidRPr="00FB2F38">
        <w:rPr>
          <w:bCs/>
          <w:lang w:eastAsia="en-US"/>
        </w:rPr>
        <w:t>]</w:t>
      </w:r>
      <w:r w:rsidR="00C340F1" w:rsidRPr="00FB2F38">
        <w:rPr>
          <w:bCs/>
          <w:lang w:eastAsia="en-US"/>
        </w:rPr>
        <w:tab/>
        <w:t xml:space="preserve">In the circumstances, I adopt the approach taken in </w:t>
      </w:r>
      <w:r w:rsidR="00C340F1" w:rsidRPr="00FB2F38">
        <w:rPr>
          <w:bCs/>
          <w:i/>
          <w:iCs/>
          <w:lang w:eastAsia="en-US"/>
        </w:rPr>
        <w:t>Hickey</w:t>
      </w:r>
      <w:r w:rsidR="00C340F1" w:rsidRPr="00FB2F38">
        <w:rPr>
          <w:bCs/>
          <w:lang w:eastAsia="en-US"/>
        </w:rPr>
        <w:t xml:space="preserve"> and </w:t>
      </w:r>
      <w:r w:rsidR="00C340F1" w:rsidRPr="00FB2F38">
        <w:rPr>
          <w:bCs/>
          <w:i/>
          <w:iCs/>
          <w:lang w:eastAsia="en-US"/>
        </w:rPr>
        <w:t xml:space="preserve">Schloss </w:t>
      </w:r>
      <w:r w:rsidR="00C340F1" w:rsidRPr="00FB2F38">
        <w:rPr>
          <w:bCs/>
          <w:lang w:eastAsia="en-US"/>
        </w:rPr>
        <w:t>in allowing counsels fees</w:t>
      </w:r>
      <w:r w:rsidR="00321E84" w:rsidRPr="00FB2F38">
        <w:rPr>
          <w:bCs/>
          <w:lang w:eastAsia="en-US"/>
        </w:rPr>
        <w:t xml:space="preserve"> </w:t>
      </w:r>
      <w:r w:rsidRPr="00FB2F38">
        <w:rPr>
          <w:bCs/>
          <w:lang w:eastAsia="en-US"/>
        </w:rPr>
        <w:t>in the Federal Court Scale</w:t>
      </w:r>
      <w:r w:rsidR="00321E84" w:rsidRPr="00FB2F38">
        <w:rPr>
          <w:bCs/>
          <w:lang w:eastAsia="en-US"/>
        </w:rPr>
        <w:t xml:space="preserve"> immediately associated with the hearing only.</w:t>
      </w:r>
      <w:r w:rsidR="00346E34" w:rsidRPr="00FB2F38">
        <w:rPr>
          <w:bCs/>
          <w:lang w:eastAsia="en-US"/>
        </w:rPr>
        <w:t xml:space="preserve">  The question then is which item? Fee o</w:t>
      </w:r>
      <w:r w:rsidR="001919BB" w:rsidRPr="00FB2F38">
        <w:rPr>
          <w:bCs/>
          <w:lang w:eastAsia="en-US"/>
        </w:rPr>
        <w:t>n</w:t>
      </w:r>
      <w:r w:rsidR="00346E34" w:rsidRPr="00FB2F38">
        <w:rPr>
          <w:bCs/>
          <w:lang w:eastAsia="en-US"/>
        </w:rPr>
        <w:t xml:space="preserve"> brief or Interlocutory application?  </w:t>
      </w:r>
    </w:p>
    <w:p w14:paraId="65161B61" w14:textId="77777777" w:rsidR="00321E84" w:rsidRPr="00FB2F38" w:rsidRDefault="00321E84" w:rsidP="00A40583">
      <w:pPr>
        <w:autoSpaceDE w:val="0"/>
        <w:autoSpaceDN w:val="0"/>
        <w:adjustRightInd w:val="0"/>
        <w:rPr>
          <w:bCs/>
          <w:lang w:eastAsia="en-US"/>
        </w:rPr>
      </w:pPr>
    </w:p>
    <w:p w14:paraId="1C2537C6" w14:textId="77777777" w:rsidR="00B83CEC" w:rsidRPr="00FB2F38" w:rsidRDefault="00B83CEC" w:rsidP="00A40583">
      <w:pPr>
        <w:autoSpaceDE w:val="0"/>
        <w:autoSpaceDN w:val="0"/>
        <w:adjustRightInd w:val="0"/>
        <w:rPr>
          <w:bCs/>
          <w:lang w:eastAsia="en-US"/>
        </w:rPr>
      </w:pPr>
      <w:r w:rsidRPr="00FB2F38">
        <w:rPr>
          <w:bCs/>
          <w:lang w:eastAsia="en-US"/>
        </w:rPr>
        <w:t>[52]</w:t>
      </w:r>
      <w:r w:rsidRPr="00FB2F38">
        <w:rPr>
          <w:bCs/>
          <w:lang w:eastAsia="en-US"/>
        </w:rPr>
        <w:tab/>
      </w:r>
      <w:r w:rsidR="00285A9B" w:rsidRPr="00FB2F38">
        <w:rPr>
          <w:bCs/>
          <w:lang w:eastAsia="en-US"/>
        </w:rPr>
        <w:t>In terms of which item should be allowed under the Federal Court Scale, I take the view that</w:t>
      </w:r>
      <w:r w:rsidR="00346E34" w:rsidRPr="00FB2F38">
        <w:rPr>
          <w:bCs/>
          <w:lang w:eastAsia="en-US"/>
        </w:rPr>
        <w:t xml:space="preserve">, while the application was brought under section 83A JA, it was seeking a final order and </w:t>
      </w:r>
      <w:r w:rsidR="00285A9B" w:rsidRPr="00FB2F38">
        <w:rPr>
          <w:bCs/>
          <w:lang w:eastAsia="en-US"/>
        </w:rPr>
        <w:t xml:space="preserve">is not </w:t>
      </w:r>
      <w:r w:rsidR="00346E34" w:rsidRPr="00FB2F38">
        <w:rPr>
          <w:bCs/>
          <w:lang w:eastAsia="en-US"/>
        </w:rPr>
        <w:t xml:space="preserve">in reality </w:t>
      </w:r>
      <w:r w:rsidR="00285A9B" w:rsidRPr="00FB2F38">
        <w:rPr>
          <w:bCs/>
          <w:lang w:eastAsia="en-US"/>
        </w:rPr>
        <w:t>an interlocutory proceeding.  An interlocutory proceeding is one which is taken during the course of an action and incidental to the principle object of the action, namely, the judgment.  This includes all steps taken for the purpose of assisting either party in the prosecution or defence of the case</w:t>
      </w:r>
      <w:r w:rsidR="00285A9B" w:rsidRPr="00FB2F38">
        <w:rPr>
          <w:rStyle w:val="FootnoteReference"/>
          <w:bCs/>
          <w:lang w:eastAsia="en-US"/>
        </w:rPr>
        <w:footnoteReference w:id="43"/>
      </w:r>
      <w:r w:rsidR="00B26725" w:rsidRPr="00FB2F38">
        <w:rPr>
          <w:bCs/>
          <w:lang w:eastAsia="en-US"/>
        </w:rPr>
        <w:t xml:space="preserve">: see also </w:t>
      </w:r>
      <w:r w:rsidR="00B26725" w:rsidRPr="00FB2F38">
        <w:rPr>
          <w:bCs/>
          <w:u w:val="single"/>
          <w:lang w:eastAsia="en-US"/>
        </w:rPr>
        <w:t xml:space="preserve">fedcourt.gov.au/digital-lawlibrary/annual reports/2010 </w:t>
      </w:r>
      <w:r w:rsidR="00B26725" w:rsidRPr="00FB2F38">
        <w:rPr>
          <w:bCs/>
          <w:lang w:eastAsia="en-US"/>
        </w:rPr>
        <w:t xml:space="preserve">where “interlocutory application” </w:t>
      </w:r>
      <w:r w:rsidR="00CF4FCE" w:rsidRPr="00FB2F38">
        <w:rPr>
          <w:bCs/>
          <w:lang w:eastAsia="en-US"/>
        </w:rPr>
        <w:t xml:space="preserve">is </w:t>
      </w:r>
      <w:r w:rsidR="00B26725" w:rsidRPr="00FB2F38">
        <w:rPr>
          <w:bCs/>
          <w:lang w:eastAsia="en-US"/>
        </w:rPr>
        <w:t>described as one which deals with a specific issue usually between the filing of the application and the giving of the final hearing and decision</w:t>
      </w:r>
      <w:r w:rsidR="00996E8B" w:rsidRPr="00FB2F38">
        <w:rPr>
          <w:bCs/>
          <w:lang w:eastAsia="en-US"/>
        </w:rPr>
        <w:t xml:space="preserve">.  In the Federal Court such applications are usually for interim relief or in relation to a procedural step such as discovery.  </w:t>
      </w:r>
      <w:r w:rsidR="00B26725" w:rsidRPr="00FB2F38">
        <w:rPr>
          <w:bCs/>
          <w:lang w:eastAsia="en-US"/>
        </w:rPr>
        <w:t xml:space="preserve">     </w:t>
      </w:r>
      <w:r w:rsidRPr="00FB2F38">
        <w:rPr>
          <w:bCs/>
          <w:lang w:eastAsia="en-US"/>
        </w:rPr>
        <w:t xml:space="preserve">  </w:t>
      </w:r>
    </w:p>
    <w:p w14:paraId="5AD9711B" w14:textId="77777777" w:rsidR="00B83CEC" w:rsidRPr="00FB2F38" w:rsidRDefault="00B83CEC" w:rsidP="00A40583">
      <w:pPr>
        <w:autoSpaceDE w:val="0"/>
        <w:autoSpaceDN w:val="0"/>
        <w:adjustRightInd w:val="0"/>
        <w:rPr>
          <w:bCs/>
          <w:lang w:eastAsia="en-US"/>
        </w:rPr>
      </w:pPr>
    </w:p>
    <w:p w14:paraId="62D51244" w14:textId="77777777" w:rsidR="00B83CEC" w:rsidRPr="00FB2F38" w:rsidRDefault="00B83CEC" w:rsidP="00A40583">
      <w:pPr>
        <w:autoSpaceDE w:val="0"/>
        <w:autoSpaceDN w:val="0"/>
        <w:adjustRightInd w:val="0"/>
        <w:rPr>
          <w:bCs/>
          <w:lang w:eastAsia="en-US"/>
        </w:rPr>
      </w:pPr>
      <w:r w:rsidRPr="00FB2F38">
        <w:rPr>
          <w:bCs/>
          <w:lang w:eastAsia="en-US"/>
        </w:rPr>
        <w:t>[53]</w:t>
      </w:r>
      <w:r w:rsidRPr="00FB2F38">
        <w:rPr>
          <w:bCs/>
          <w:lang w:eastAsia="en-US"/>
        </w:rPr>
        <w:tab/>
        <w:t xml:space="preserve">The current case was a proceeding seeking a final order.  Therefore, </w:t>
      </w:r>
      <w:r w:rsidR="00321E84" w:rsidRPr="00FB2F38">
        <w:rPr>
          <w:bCs/>
          <w:lang w:eastAsia="en-US"/>
        </w:rPr>
        <w:t xml:space="preserve">I take the view that it is just and reasonable to allow counsel’s fees </w:t>
      </w:r>
      <w:r w:rsidRPr="00FB2F38">
        <w:rPr>
          <w:bCs/>
          <w:lang w:eastAsia="en-US"/>
        </w:rPr>
        <w:t xml:space="preserve">under the Federal Court Scale item “Fee on Brief” which includes preparation and the first day of a hearing ie $7650. </w:t>
      </w:r>
    </w:p>
    <w:p w14:paraId="232AA567" w14:textId="77777777" w:rsidR="00B83CEC" w:rsidRPr="00FB2F38" w:rsidRDefault="00B83CEC" w:rsidP="00A40583">
      <w:pPr>
        <w:autoSpaceDE w:val="0"/>
        <w:autoSpaceDN w:val="0"/>
        <w:adjustRightInd w:val="0"/>
        <w:rPr>
          <w:bCs/>
          <w:lang w:eastAsia="en-US"/>
        </w:rPr>
      </w:pPr>
    </w:p>
    <w:p w14:paraId="36182D12" w14:textId="77777777" w:rsidR="00B83CEC" w:rsidRPr="00FB2F38" w:rsidRDefault="00B83CEC" w:rsidP="00A40583">
      <w:pPr>
        <w:autoSpaceDE w:val="0"/>
        <w:autoSpaceDN w:val="0"/>
        <w:adjustRightInd w:val="0"/>
        <w:rPr>
          <w:b/>
          <w:lang w:eastAsia="en-US"/>
        </w:rPr>
      </w:pPr>
      <w:r w:rsidRPr="00FB2F38">
        <w:rPr>
          <w:b/>
          <w:lang w:eastAsia="en-US"/>
        </w:rPr>
        <w:t>Orders</w:t>
      </w:r>
    </w:p>
    <w:p w14:paraId="5885DE69" w14:textId="77777777" w:rsidR="00B83CEC" w:rsidRPr="00FB2F38" w:rsidRDefault="00B83CEC" w:rsidP="00A40583">
      <w:pPr>
        <w:autoSpaceDE w:val="0"/>
        <w:autoSpaceDN w:val="0"/>
        <w:adjustRightInd w:val="0"/>
        <w:rPr>
          <w:bCs/>
          <w:lang w:eastAsia="en-US"/>
        </w:rPr>
      </w:pPr>
    </w:p>
    <w:p w14:paraId="22B237F1" w14:textId="77777777" w:rsidR="00B83CEC" w:rsidRPr="00FB2F38" w:rsidRDefault="00B83CEC" w:rsidP="00B83CEC">
      <w:pPr>
        <w:pStyle w:val="ListParagraph"/>
        <w:numPr>
          <w:ilvl w:val="0"/>
          <w:numId w:val="24"/>
        </w:numPr>
        <w:autoSpaceDE w:val="0"/>
        <w:autoSpaceDN w:val="0"/>
        <w:adjustRightInd w:val="0"/>
        <w:rPr>
          <w:bCs/>
          <w:lang w:eastAsia="en-US"/>
        </w:rPr>
      </w:pPr>
      <w:r w:rsidRPr="00FB2F38">
        <w:rPr>
          <w:bCs/>
          <w:lang w:eastAsia="en-US"/>
        </w:rPr>
        <w:t>The complaint is struck out for want of jurisdiction under section 158(2) JA.</w:t>
      </w:r>
      <w:r w:rsidRPr="00FB2F38">
        <w:rPr>
          <w:bCs/>
          <w:lang w:eastAsia="en-US"/>
        </w:rPr>
        <w:br/>
      </w:r>
    </w:p>
    <w:p w14:paraId="2A18CB34" w14:textId="77777777" w:rsidR="000D403C" w:rsidRPr="00FB2F38" w:rsidRDefault="00B83CEC" w:rsidP="00B83CEC">
      <w:pPr>
        <w:pStyle w:val="ListParagraph"/>
        <w:numPr>
          <w:ilvl w:val="0"/>
          <w:numId w:val="24"/>
        </w:numPr>
        <w:autoSpaceDE w:val="0"/>
        <w:autoSpaceDN w:val="0"/>
        <w:adjustRightInd w:val="0"/>
        <w:rPr>
          <w:bCs/>
          <w:lang w:eastAsia="en-US"/>
        </w:rPr>
      </w:pPr>
      <w:r w:rsidRPr="00FB2F38">
        <w:rPr>
          <w:bCs/>
          <w:lang w:eastAsia="en-US"/>
        </w:rPr>
        <w:t>I order the complainant pay the defendant</w:t>
      </w:r>
      <w:r w:rsidR="000D403C" w:rsidRPr="00FB2F38">
        <w:rPr>
          <w:bCs/>
          <w:lang w:eastAsia="en-US"/>
        </w:rPr>
        <w:t xml:space="preserve">’s </w:t>
      </w:r>
      <w:r w:rsidRPr="00FB2F38">
        <w:rPr>
          <w:bCs/>
          <w:lang w:eastAsia="en-US"/>
        </w:rPr>
        <w:t>costs as follows:</w:t>
      </w:r>
      <w:r w:rsidRPr="00FB2F38">
        <w:rPr>
          <w:bCs/>
          <w:lang w:eastAsia="en-US"/>
        </w:rPr>
        <w:br/>
      </w:r>
      <w:r w:rsidRPr="00FB2F38">
        <w:rPr>
          <w:bCs/>
          <w:lang w:eastAsia="en-US"/>
        </w:rPr>
        <w:br/>
        <w:t>(a)</w:t>
      </w:r>
      <w:r w:rsidRPr="00FB2F38">
        <w:rPr>
          <w:bCs/>
          <w:lang w:eastAsia="en-US"/>
        </w:rPr>
        <w:tab/>
      </w:r>
      <w:r w:rsidR="000D403C" w:rsidRPr="00FB2F38">
        <w:rPr>
          <w:bCs/>
          <w:lang w:eastAsia="en-US"/>
        </w:rPr>
        <w:t>Legal professional work (solicitors fees)</w:t>
      </w:r>
      <w:r w:rsidR="000D403C" w:rsidRPr="00FB2F38">
        <w:rPr>
          <w:bCs/>
          <w:lang w:eastAsia="en-US"/>
        </w:rPr>
        <w:tab/>
      </w:r>
      <w:r w:rsidR="000D403C" w:rsidRPr="00FB2F38">
        <w:rPr>
          <w:bCs/>
          <w:lang w:eastAsia="en-US"/>
        </w:rPr>
        <w:tab/>
      </w:r>
      <w:r w:rsidR="000D403C" w:rsidRPr="00FB2F38">
        <w:rPr>
          <w:bCs/>
          <w:lang w:eastAsia="en-US"/>
        </w:rPr>
        <w:tab/>
        <w:t>$ 6,149.58</w:t>
      </w:r>
    </w:p>
    <w:p w14:paraId="14385BA4" w14:textId="77777777" w:rsidR="000D403C" w:rsidRPr="00FB2F38" w:rsidRDefault="000D403C" w:rsidP="000D403C">
      <w:pPr>
        <w:autoSpaceDE w:val="0"/>
        <w:autoSpaceDN w:val="0"/>
        <w:adjustRightInd w:val="0"/>
        <w:ind w:left="720"/>
        <w:rPr>
          <w:bCs/>
          <w:lang w:eastAsia="en-US"/>
        </w:rPr>
      </w:pPr>
      <w:r w:rsidRPr="00FB2F38">
        <w:rPr>
          <w:bCs/>
          <w:lang w:eastAsia="en-US"/>
        </w:rPr>
        <w:t>(b)</w:t>
      </w:r>
      <w:r w:rsidRPr="00FB2F38">
        <w:rPr>
          <w:bCs/>
          <w:lang w:eastAsia="en-US"/>
        </w:rPr>
        <w:tab/>
        <w:t>Counsel’s Fees</w:t>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Cs/>
          <w:lang w:eastAsia="en-US"/>
        </w:rPr>
        <w:tab/>
        <w:t>$ 7,650.00</w:t>
      </w:r>
    </w:p>
    <w:p w14:paraId="51205C92" w14:textId="77777777" w:rsidR="000D403C" w:rsidRPr="00FB2F38" w:rsidRDefault="000D403C" w:rsidP="000D403C">
      <w:pPr>
        <w:autoSpaceDE w:val="0"/>
        <w:autoSpaceDN w:val="0"/>
        <w:adjustRightInd w:val="0"/>
        <w:ind w:left="720"/>
        <w:rPr>
          <w:bCs/>
          <w:lang w:eastAsia="en-US"/>
        </w:rPr>
      </w:pPr>
      <w:r w:rsidRPr="00FB2F38">
        <w:rPr>
          <w:bCs/>
          <w:lang w:eastAsia="en-US"/>
        </w:rPr>
        <w:t>(c)</w:t>
      </w:r>
      <w:r w:rsidRPr="00FB2F38">
        <w:rPr>
          <w:bCs/>
          <w:lang w:eastAsia="en-US"/>
        </w:rPr>
        <w:tab/>
        <w:t>Disbursements</w:t>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Cs/>
          <w:lang w:eastAsia="en-US"/>
        </w:rPr>
        <w:tab/>
        <w:t>$      34.94</w:t>
      </w:r>
    </w:p>
    <w:p w14:paraId="618C3D81" w14:textId="77777777" w:rsidR="0008597B" w:rsidRPr="00FB2F38" w:rsidRDefault="000D403C" w:rsidP="000D403C">
      <w:pPr>
        <w:autoSpaceDE w:val="0"/>
        <w:autoSpaceDN w:val="0"/>
        <w:adjustRightInd w:val="0"/>
        <w:ind w:left="720"/>
        <w:rPr>
          <w:bCs/>
          <w:lang w:eastAsia="en-US"/>
        </w:rPr>
      </w:pPr>
      <w:r w:rsidRPr="00FB2F38">
        <w:rPr>
          <w:bCs/>
          <w:lang w:eastAsia="en-US"/>
        </w:rPr>
        <w:tab/>
      </w:r>
      <w:r w:rsidRPr="00FB2F38">
        <w:rPr>
          <w:b/>
          <w:u w:val="single"/>
          <w:lang w:eastAsia="en-US"/>
        </w:rPr>
        <w:t>TOTAL</w:t>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
          <w:u w:val="single"/>
          <w:lang w:eastAsia="en-US"/>
        </w:rPr>
        <w:t>$13,834.52</w:t>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Cs/>
          <w:lang w:eastAsia="en-US"/>
        </w:rPr>
        <w:tab/>
      </w:r>
      <w:r w:rsidRPr="00FB2F38">
        <w:rPr>
          <w:bCs/>
          <w:lang w:eastAsia="en-US"/>
        </w:rPr>
        <w:tab/>
      </w:r>
      <w:r w:rsidR="00B83CEC" w:rsidRPr="00FB2F38">
        <w:rPr>
          <w:bCs/>
          <w:lang w:eastAsia="en-US"/>
        </w:rPr>
        <w:t xml:space="preserve">       </w:t>
      </w:r>
      <w:r w:rsidR="00285A9B" w:rsidRPr="00FB2F38">
        <w:rPr>
          <w:bCs/>
          <w:lang w:eastAsia="en-US"/>
        </w:rPr>
        <w:t xml:space="preserve">  </w:t>
      </w:r>
      <w:r w:rsidR="00C340F1" w:rsidRPr="00FB2F38">
        <w:rPr>
          <w:bCs/>
          <w:lang w:eastAsia="en-US"/>
        </w:rPr>
        <w:t xml:space="preserve">            </w:t>
      </w:r>
      <w:r w:rsidR="001A0A57" w:rsidRPr="00FB2F38">
        <w:rPr>
          <w:bCs/>
          <w:lang w:eastAsia="en-US"/>
        </w:rPr>
        <w:t xml:space="preserve"> </w:t>
      </w:r>
      <w:r w:rsidR="00E053F4" w:rsidRPr="00FB2F38">
        <w:rPr>
          <w:bCs/>
          <w:lang w:eastAsia="en-US"/>
        </w:rPr>
        <w:t xml:space="preserve">   </w:t>
      </w:r>
      <w:r w:rsidR="007406D8" w:rsidRPr="00FB2F38">
        <w:rPr>
          <w:bCs/>
          <w:lang w:eastAsia="en-US"/>
        </w:rPr>
        <w:t xml:space="preserve"> </w:t>
      </w:r>
      <w:r w:rsidR="00977D5D" w:rsidRPr="00FB2F38">
        <w:rPr>
          <w:bCs/>
          <w:lang w:eastAsia="en-US"/>
        </w:rPr>
        <w:t xml:space="preserve">        </w:t>
      </w:r>
      <w:r w:rsidR="00B30E39" w:rsidRPr="00FB2F38">
        <w:rPr>
          <w:bCs/>
          <w:lang w:eastAsia="en-US"/>
        </w:rPr>
        <w:tab/>
      </w:r>
      <w:r w:rsidR="00B30E39" w:rsidRPr="00FB2F38">
        <w:rPr>
          <w:bCs/>
          <w:lang w:eastAsia="en-US"/>
        </w:rPr>
        <w:tab/>
        <w:t xml:space="preserve">  </w:t>
      </w:r>
      <w:r w:rsidR="00186366" w:rsidRPr="00FB2F38">
        <w:rPr>
          <w:bCs/>
          <w:lang w:eastAsia="en-US"/>
        </w:rPr>
        <w:tab/>
        <w:t xml:space="preserve">       </w:t>
      </w:r>
      <w:r w:rsidR="00BF1694" w:rsidRPr="00FB2F38">
        <w:rPr>
          <w:bCs/>
          <w:lang w:eastAsia="en-US"/>
        </w:rPr>
        <w:t xml:space="preserve">    </w:t>
      </w:r>
      <w:r w:rsidR="00F01C41" w:rsidRPr="00FB2F38">
        <w:rPr>
          <w:bCs/>
          <w:lang w:eastAsia="en-US"/>
        </w:rPr>
        <w:t xml:space="preserve"> </w:t>
      </w:r>
      <w:r w:rsidR="004E3008" w:rsidRPr="00FB2F38">
        <w:rPr>
          <w:bCs/>
          <w:lang w:eastAsia="en-US"/>
        </w:rPr>
        <w:tab/>
      </w:r>
      <w:r w:rsidR="00B00FA5" w:rsidRPr="00FB2F38">
        <w:rPr>
          <w:bCs/>
          <w:lang w:eastAsia="en-US"/>
        </w:rPr>
        <w:tab/>
      </w:r>
      <w:r w:rsidR="00B00FA5" w:rsidRPr="00FB2F38">
        <w:rPr>
          <w:bCs/>
          <w:lang w:eastAsia="en-US"/>
        </w:rPr>
        <w:tab/>
        <w:t xml:space="preserve">   </w:t>
      </w:r>
      <w:r w:rsidR="005614F4" w:rsidRPr="00FB2F38">
        <w:rPr>
          <w:bCs/>
          <w:lang w:eastAsia="en-US"/>
        </w:rPr>
        <w:t xml:space="preserve">        </w:t>
      </w:r>
      <w:r w:rsidR="00626035" w:rsidRPr="00FB2F38">
        <w:rPr>
          <w:bCs/>
          <w:lang w:eastAsia="en-US"/>
        </w:rPr>
        <w:tab/>
      </w:r>
      <w:r w:rsidR="00626035" w:rsidRPr="00FB2F38">
        <w:rPr>
          <w:bCs/>
          <w:lang w:eastAsia="en-US"/>
        </w:rPr>
        <w:tab/>
        <w:t xml:space="preserve">  </w:t>
      </w:r>
      <w:r w:rsidR="00D64392" w:rsidRPr="00FB2F38">
        <w:rPr>
          <w:bCs/>
          <w:lang w:eastAsia="en-US"/>
        </w:rPr>
        <w:t xml:space="preserve">     </w:t>
      </w:r>
      <w:r w:rsidR="0008597B" w:rsidRPr="00FB2F38">
        <w:rPr>
          <w:bCs/>
          <w:lang w:eastAsia="en-US"/>
        </w:rPr>
        <w:t xml:space="preserve">    </w:t>
      </w:r>
    </w:p>
    <w:p w14:paraId="5C20705A" w14:textId="77777777" w:rsidR="0008597B" w:rsidRPr="00FB2F38" w:rsidRDefault="0008597B" w:rsidP="00A40583">
      <w:pPr>
        <w:autoSpaceDE w:val="0"/>
        <w:autoSpaceDN w:val="0"/>
        <w:adjustRightInd w:val="0"/>
        <w:rPr>
          <w:bCs/>
          <w:lang w:eastAsia="en-US"/>
        </w:rPr>
      </w:pPr>
    </w:p>
    <w:p w14:paraId="63831B83" w14:textId="77777777" w:rsidR="00C22A55" w:rsidRPr="00FB2F38" w:rsidRDefault="00C676DE" w:rsidP="00A40583">
      <w:pPr>
        <w:autoSpaceDE w:val="0"/>
        <w:autoSpaceDN w:val="0"/>
        <w:adjustRightInd w:val="0"/>
        <w:rPr>
          <w:bCs/>
          <w:lang w:eastAsia="en-US"/>
        </w:rPr>
      </w:pPr>
      <w:r w:rsidRPr="00FB2F38">
        <w:rPr>
          <w:bCs/>
          <w:lang w:eastAsia="en-US"/>
        </w:rPr>
        <w:tab/>
      </w:r>
      <w:r w:rsidR="00DC5A9D" w:rsidRPr="00FB2F38">
        <w:rPr>
          <w:bCs/>
          <w:lang w:eastAsia="en-US"/>
        </w:rPr>
        <w:t xml:space="preserve"> </w:t>
      </w:r>
      <w:r w:rsidR="00421AAB" w:rsidRPr="00FB2F38">
        <w:rPr>
          <w:bCs/>
          <w:lang w:eastAsia="en-US"/>
        </w:rPr>
        <w:t xml:space="preserve">  </w:t>
      </w:r>
      <w:r w:rsidR="00E64D45" w:rsidRPr="00FB2F38">
        <w:rPr>
          <w:bCs/>
          <w:lang w:eastAsia="en-US"/>
        </w:rPr>
        <w:t xml:space="preserve">   </w:t>
      </w:r>
      <w:r w:rsidR="004E57F3" w:rsidRPr="00FB2F38">
        <w:rPr>
          <w:bCs/>
          <w:lang w:eastAsia="en-US"/>
        </w:rPr>
        <w:tab/>
        <w:t xml:space="preserve">   </w:t>
      </w:r>
      <w:r w:rsidR="00091770" w:rsidRPr="00FB2F38">
        <w:rPr>
          <w:bCs/>
          <w:lang w:eastAsia="en-US"/>
        </w:rPr>
        <w:tab/>
        <w:t xml:space="preserve"> </w:t>
      </w:r>
      <w:r w:rsidR="00560764" w:rsidRPr="00FB2F38">
        <w:rPr>
          <w:bCs/>
          <w:lang w:eastAsia="en-US"/>
        </w:rPr>
        <w:t xml:space="preserve"> </w:t>
      </w:r>
    </w:p>
    <w:p w14:paraId="37C3633B" w14:textId="77777777" w:rsidR="00C22A55" w:rsidRPr="00FB2F38" w:rsidRDefault="00C22A55" w:rsidP="00A40583">
      <w:pPr>
        <w:autoSpaceDE w:val="0"/>
        <w:autoSpaceDN w:val="0"/>
        <w:adjustRightInd w:val="0"/>
        <w:rPr>
          <w:bCs/>
          <w:lang w:eastAsia="en-US"/>
        </w:rPr>
      </w:pPr>
    </w:p>
    <w:p w14:paraId="5DC2A4D3" w14:textId="77777777" w:rsidR="00114A46" w:rsidRPr="00FB2F38" w:rsidRDefault="00A972D3" w:rsidP="00A40583">
      <w:pPr>
        <w:autoSpaceDE w:val="0"/>
        <w:autoSpaceDN w:val="0"/>
        <w:adjustRightInd w:val="0"/>
        <w:rPr>
          <w:bCs/>
          <w:lang w:eastAsia="en-US"/>
        </w:rPr>
      </w:pPr>
      <w:r w:rsidRPr="00FB2F38">
        <w:rPr>
          <w:bCs/>
          <w:lang w:eastAsia="en-US"/>
        </w:rPr>
        <w:tab/>
      </w:r>
      <w:r w:rsidR="00595C49" w:rsidRPr="00FB2F38">
        <w:rPr>
          <w:bCs/>
          <w:lang w:eastAsia="en-US"/>
        </w:rPr>
        <w:tab/>
      </w:r>
      <w:r w:rsidR="00A57D9B" w:rsidRPr="00FB2F38">
        <w:rPr>
          <w:bCs/>
          <w:lang w:eastAsia="en-US"/>
        </w:rPr>
        <w:t xml:space="preserve">  </w:t>
      </w:r>
      <w:r w:rsidR="007E6192" w:rsidRPr="00FB2F38">
        <w:rPr>
          <w:bCs/>
          <w:lang w:eastAsia="en-US"/>
        </w:rPr>
        <w:t xml:space="preserve">            </w:t>
      </w:r>
      <w:r w:rsidR="00A01937" w:rsidRPr="00FB2F38">
        <w:rPr>
          <w:bCs/>
          <w:lang w:eastAsia="en-US"/>
        </w:rPr>
        <w:t xml:space="preserve"> </w:t>
      </w:r>
    </w:p>
    <w:sectPr w:rsidR="00114A46" w:rsidRPr="00FB2F3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F609" w14:textId="77777777" w:rsidR="00657040" w:rsidRDefault="00657040" w:rsidP="002178D2">
      <w:r>
        <w:separator/>
      </w:r>
    </w:p>
  </w:endnote>
  <w:endnote w:type="continuationSeparator" w:id="0">
    <w:p w14:paraId="719E3BB4" w14:textId="77777777" w:rsidR="00657040" w:rsidRDefault="00657040" w:rsidP="0021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44C3" w14:textId="77777777" w:rsidR="001A0A57" w:rsidRDefault="001A0A57">
    <w:pPr>
      <w:pStyle w:val="Footer"/>
      <w:jc w:val="center"/>
    </w:pPr>
    <w:r>
      <w:fldChar w:fldCharType="begin"/>
    </w:r>
    <w:r>
      <w:instrText xml:space="preserve"> PAGE   \* MERGEFORMAT </w:instrText>
    </w:r>
    <w:r>
      <w:fldChar w:fldCharType="separate"/>
    </w:r>
    <w:r w:rsidR="00341713">
      <w:rPr>
        <w:noProof/>
      </w:rPr>
      <w:t>1</w:t>
    </w:r>
    <w:r>
      <w:fldChar w:fldCharType="end"/>
    </w:r>
  </w:p>
  <w:p w14:paraId="7332DEF4" w14:textId="77777777" w:rsidR="001A0A57" w:rsidRDefault="001A0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64FB" w14:textId="77777777" w:rsidR="00657040" w:rsidRDefault="00657040" w:rsidP="002178D2">
      <w:r>
        <w:separator/>
      </w:r>
    </w:p>
  </w:footnote>
  <w:footnote w:type="continuationSeparator" w:id="0">
    <w:p w14:paraId="300ABC2C" w14:textId="77777777" w:rsidR="00657040" w:rsidRDefault="00657040" w:rsidP="002178D2">
      <w:r>
        <w:continuationSeparator/>
      </w:r>
    </w:p>
  </w:footnote>
  <w:footnote w:id="1">
    <w:p w14:paraId="45ABD875" w14:textId="77777777" w:rsidR="00000000" w:rsidRDefault="001A0A57">
      <w:pPr>
        <w:pStyle w:val="FootnoteText"/>
      </w:pPr>
      <w:r>
        <w:rPr>
          <w:rStyle w:val="FootnoteReference"/>
        </w:rPr>
        <w:footnoteRef/>
      </w:r>
      <w:r>
        <w:t xml:space="preserve"> </w:t>
      </w:r>
      <w:r w:rsidRPr="00B919C6">
        <w:rPr>
          <w:i/>
        </w:rPr>
        <w:t>Guilfoyle v Niepe Constructions Pty Ltd</w:t>
      </w:r>
      <w:r>
        <w:t xml:space="preserve"> [2021] QMC 1.</w:t>
      </w:r>
    </w:p>
  </w:footnote>
  <w:footnote w:id="2">
    <w:p w14:paraId="6C9BDDF0" w14:textId="77777777" w:rsidR="00000000" w:rsidRDefault="001A0A57">
      <w:pPr>
        <w:pStyle w:val="FootnoteText"/>
      </w:pPr>
      <w:r>
        <w:rPr>
          <w:rStyle w:val="FootnoteReference"/>
        </w:rPr>
        <w:footnoteRef/>
      </w:r>
      <w:r>
        <w:t xml:space="preserve"> Section 159 </w:t>
      </w:r>
      <w:r w:rsidRPr="007E3FBC">
        <w:rPr>
          <w:i/>
        </w:rPr>
        <w:t>Justices Act</w:t>
      </w:r>
      <w:r>
        <w:t xml:space="preserve"> 1886. </w:t>
      </w:r>
    </w:p>
  </w:footnote>
  <w:footnote w:id="3">
    <w:p w14:paraId="329E2D6F" w14:textId="77777777" w:rsidR="00000000" w:rsidRDefault="001A0A57">
      <w:pPr>
        <w:pStyle w:val="FootnoteText"/>
      </w:pPr>
      <w:r>
        <w:rPr>
          <w:rStyle w:val="FootnoteReference"/>
        </w:rPr>
        <w:footnoteRef/>
      </w:r>
      <w:r>
        <w:t xml:space="preserve"> The pleaded date of the charge was “on or about the 11</w:t>
      </w:r>
      <w:r w:rsidRPr="00AB3B5F">
        <w:rPr>
          <w:vertAlign w:val="superscript"/>
        </w:rPr>
        <w:t>th</w:t>
      </w:r>
      <w:r>
        <w:t xml:space="preserve"> September 2018.  </w:t>
      </w:r>
    </w:p>
  </w:footnote>
  <w:footnote w:id="4">
    <w:p w14:paraId="7941CEDE" w14:textId="77777777" w:rsidR="00000000" w:rsidRDefault="001A0A57">
      <w:pPr>
        <w:pStyle w:val="FootnoteText"/>
      </w:pPr>
      <w:r>
        <w:rPr>
          <w:rStyle w:val="FootnoteReference"/>
        </w:rPr>
        <w:footnoteRef/>
      </w:r>
      <w:r>
        <w:t xml:space="preserve"> Paras [6] to [10] submissions for Niepe citing </w:t>
      </w:r>
      <w:r w:rsidRPr="0081203B">
        <w:rPr>
          <w:i/>
        </w:rPr>
        <w:t>Bell v Townsend and Ors</w:t>
      </w:r>
      <w:r>
        <w:t xml:space="preserve"> [2014] QMC 30 at [56] – [58]. </w:t>
      </w:r>
    </w:p>
  </w:footnote>
  <w:footnote w:id="5">
    <w:p w14:paraId="6CAA08CA" w14:textId="77777777" w:rsidR="00000000" w:rsidRDefault="001A0A57">
      <w:pPr>
        <w:pStyle w:val="FootnoteText"/>
      </w:pPr>
      <w:r>
        <w:rPr>
          <w:rStyle w:val="FootnoteReference"/>
        </w:rPr>
        <w:footnoteRef/>
      </w:r>
      <w:r>
        <w:t xml:space="preserve"> Para [12] submissions for the prosecution also citing </w:t>
      </w:r>
      <w:r w:rsidRPr="00D96EE7">
        <w:rPr>
          <w:i/>
        </w:rPr>
        <w:t>Bell v Townsend</w:t>
      </w:r>
      <w:r>
        <w:t xml:space="preserve"> (supra).   </w:t>
      </w:r>
    </w:p>
  </w:footnote>
  <w:footnote w:id="6">
    <w:p w14:paraId="52202E2F" w14:textId="77777777" w:rsidR="00000000" w:rsidRDefault="001A0A57">
      <w:pPr>
        <w:pStyle w:val="FootnoteText"/>
      </w:pPr>
      <w:r>
        <w:rPr>
          <w:rStyle w:val="FootnoteReference"/>
        </w:rPr>
        <w:footnoteRef/>
      </w:r>
      <w:r>
        <w:t xml:space="preserve"> Para [11] submissions for Niepe; para [13] submissions for the prosecution.  </w:t>
      </w:r>
      <w:r w:rsidRPr="001D7300">
        <w:rPr>
          <w:i/>
        </w:rPr>
        <w:t>Latoudis v Casey</w:t>
      </w:r>
      <w:r>
        <w:t xml:space="preserve"> was a “dismissal” case.    </w:t>
      </w:r>
    </w:p>
  </w:footnote>
  <w:footnote w:id="7">
    <w:p w14:paraId="3798A435" w14:textId="77777777" w:rsidR="00000000" w:rsidRDefault="001A0A57">
      <w:pPr>
        <w:pStyle w:val="FootnoteText"/>
      </w:pPr>
      <w:r>
        <w:rPr>
          <w:rStyle w:val="FootnoteReference"/>
        </w:rPr>
        <w:footnoteRef/>
      </w:r>
      <w:r>
        <w:t xml:space="preserve"> Mason CJ, Toohey &amp; McHugh JJ., with Brennan &amp; Dawson JJ dissenting.   </w:t>
      </w:r>
    </w:p>
  </w:footnote>
  <w:footnote w:id="8">
    <w:p w14:paraId="75E044A4" w14:textId="77777777" w:rsidR="00000000" w:rsidRDefault="001A0A57">
      <w:pPr>
        <w:pStyle w:val="FootnoteText"/>
      </w:pPr>
      <w:r>
        <w:rPr>
          <w:rStyle w:val="FootnoteReference"/>
        </w:rPr>
        <w:footnoteRef/>
      </w:r>
      <w:r>
        <w:t xml:space="preserve"> Paras [14] &amp; [15] submissions for the prosecution. Section 158B inserted by 1997 No 38 s 60.  </w:t>
      </w:r>
    </w:p>
  </w:footnote>
  <w:footnote w:id="9">
    <w:p w14:paraId="37B63B0B" w14:textId="77777777" w:rsidR="00000000" w:rsidRDefault="001A0A57" w:rsidP="008C17B3">
      <w:pPr>
        <w:pStyle w:val="FootnoteText"/>
      </w:pPr>
      <w:r>
        <w:rPr>
          <w:rStyle w:val="FootnoteReference"/>
        </w:rPr>
        <w:footnoteRef/>
      </w:r>
      <w:r>
        <w:t xml:space="preserve"> Para [14] submissions for Niepe; para [17] submissions for the prosecution. See </w:t>
      </w:r>
      <w:r w:rsidRPr="00E803E9">
        <w:rPr>
          <w:i/>
        </w:rPr>
        <w:t>Travers v McDonagh; Carey v La Rocca</w:t>
      </w:r>
      <w:r>
        <w:t xml:space="preserve"> [2013] QDC 177 at [23]; </w:t>
      </w:r>
      <w:r w:rsidRPr="00E803E9">
        <w:rPr>
          <w:i/>
        </w:rPr>
        <w:t>Whitby v Stockair Pty Ltd &amp; Anor</w:t>
      </w:r>
      <w:r>
        <w:t xml:space="preserve"> [2015] QDC 79 at [39]; </w:t>
      </w:r>
      <w:r w:rsidRPr="002D134E">
        <w:rPr>
          <w:i/>
        </w:rPr>
        <w:t>Schloss v Bell; Bell v Schloss</w:t>
      </w:r>
      <w:r>
        <w:t xml:space="preserve"> [2016] ICQ 17 at [41]; </w:t>
      </w:r>
      <w:r w:rsidRPr="004824F6">
        <w:rPr>
          <w:i/>
        </w:rPr>
        <w:t>Bell v Townsend</w:t>
      </w:r>
      <w:r>
        <w:t xml:space="preserve"> [2014] QMC 30 at [70].    </w:t>
      </w:r>
    </w:p>
  </w:footnote>
  <w:footnote w:id="10">
    <w:p w14:paraId="6503EB63" w14:textId="77777777" w:rsidR="00000000" w:rsidRDefault="001A0A57" w:rsidP="00682A84">
      <w:pPr>
        <w:pStyle w:val="FootnoteText"/>
      </w:pPr>
      <w:r>
        <w:rPr>
          <w:rStyle w:val="FootnoteReference"/>
        </w:rPr>
        <w:footnoteRef/>
      </w:r>
      <w:r>
        <w:t xml:space="preserve"> Paras [15] to [17] submissions for Niepe.  The second point referred to in the quote was a reference to the matter involving allegations against the defendant in his professional capacity; see [33].  In </w:t>
      </w:r>
      <w:r w:rsidRPr="001715B5">
        <w:rPr>
          <w:i/>
          <w:iCs/>
        </w:rPr>
        <w:t>Cullinane</w:t>
      </w:r>
      <w:r>
        <w:t xml:space="preserve">, the issue was whether costs above the scale should be awarded under section 158B (2) JA and section 232A(2) JA (for appeals to the District Court).  Note section 158B (2) refers to higher costs that are “just and reasonable” whereas section 232A refers to higher costs that are “just”.            </w:t>
      </w:r>
    </w:p>
  </w:footnote>
  <w:footnote w:id="11">
    <w:p w14:paraId="626A1F5C" w14:textId="77777777" w:rsidR="00000000" w:rsidRDefault="001A0A57">
      <w:pPr>
        <w:pStyle w:val="FootnoteText"/>
      </w:pPr>
      <w:r>
        <w:rPr>
          <w:rStyle w:val="FootnoteReference"/>
        </w:rPr>
        <w:footnoteRef/>
      </w:r>
      <w:r>
        <w:t xml:space="preserve"> Paras [18] to [21] submissions for Niepe.   </w:t>
      </w:r>
    </w:p>
  </w:footnote>
  <w:footnote w:id="12">
    <w:p w14:paraId="1C4209EE" w14:textId="77777777" w:rsidR="00000000" w:rsidRDefault="001A0A57">
      <w:pPr>
        <w:pStyle w:val="FootnoteText"/>
      </w:pPr>
      <w:r>
        <w:rPr>
          <w:rStyle w:val="FootnoteReference"/>
        </w:rPr>
        <w:footnoteRef/>
      </w:r>
      <w:r>
        <w:t xml:space="preserve"> Paras [12] – [14] submissions for Niepe.  </w:t>
      </w:r>
    </w:p>
  </w:footnote>
  <w:footnote w:id="13">
    <w:p w14:paraId="2C83AC74" w14:textId="77777777" w:rsidR="00000000" w:rsidRDefault="001A0A57">
      <w:pPr>
        <w:pStyle w:val="FootnoteText"/>
      </w:pPr>
      <w:r>
        <w:rPr>
          <w:rStyle w:val="FootnoteReference"/>
        </w:rPr>
        <w:footnoteRef/>
      </w:r>
      <w:r>
        <w:t xml:space="preserve"> Para [19] submissions for the prosecution. </w:t>
      </w:r>
    </w:p>
  </w:footnote>
  <w:footnote w:id="14">
    <w:p w14:paraId="527BB26F" w14:textId="77777777" w:rsidR="00000000" w:rsidRDefault="001A0A57">
      <w:pPr>
        <w:pStyle w:val="FootnoteText"/>
      </w:pPr>
      <w:r>
        <w:rPr>
          <w:rStyle w:val="FootnoteReference"/>
        </w:rPr>
        <w:footnoteRef/>
      </w:r>
      <w:r>
        <w:t xml:space="preserve"> Para [20] submissions for the prosecution. </w:t>
      </w:r>
    </w:p>
  </w:footnote>
  <w:footnote w:id="15">
    <w:p w14:paraId="6E79336C" w14:textId="77777777" w:rsidR="00000000" w:rsidRDefault="001A0A57">
      <w:pPr>
        <w:pStyle w:val="FootnoteText"/>
      </w:pPr>
      <w:r>
        <w:rPr>
          <w:rStyle w:val="FootnoteReference"/>
        </w:rPr>
        <w:footnoteRef/>
      </w:r>
      <w:r>
        <w:t xml:space="preserve"> </w:t>
      </w:r>
      <w:r w:rsidRPr="00665C22">
        <w:rPr>
          <w:i/>
          <w:iCs/>
        </w:rPr>
        <w:t>Bell v Townsend</w:t>
      </w:r>
      <w:r>
        <w:t xml:space="preserve"> at paras [3], [4] &amp; [50].  </w:t>
      </w:r>
    </w:p>
  </w:footnote>
  <w:footnote w:id="16">
    <w:p w14:paraId="3AB6B40A" w14:textId="77777777" w:rsidR="00000000" w:rsidRDefault="001A0A57">
      <w:pPr>
        <w:pStyle w:val="FootnoteText"/>
      </w:pPr>
      <w:r>
        <w:rPr>
          <w:rStyle w:val="FootnoteReference"/>
        </w:rPr>
        <w:footnoteRef/>
      </w:r>
      <w:r>
        <w:t xml:space="preserve"> Paras [21] - [22] submissions for the prosecution. </w:t>
      </w:r>
    </w:p>
  </w:footnote>
  <w:footnote w:id="17">
    <w:p w14:paraId="0E25BC93" w14:textId="77777777" w:rsidR="00000000" w:rsidRDefault="001A0A57">
      <w:pPr>
        <w:pStyle w:val="FootnoteText"/>
      </w:pPr>
      <w:r>
        <w:rPr>
          <w:rStyle w:val="FootnoteReference"/>
        </w:rPr>
        <w:footnoteRef/>
      </w:r>
      <w:r>
        <w:t xml:space="preserve"> Para [22] submission for Niepe; para [24] submissions for the prosecution.</w:t>
      </w:r>
    </w:p>
  </w:footnote>
  <w:footnote w:id="18">
    <w:p w14:paraId="58C01E2E" w14:textId="77777777" w:rsidR="00000000" w:rsidRDefault="001A0A57" w:rsidP="0021192B">
      <w:pPr>
        <w:pStyle w:val="FootnoteText"/>
      </w:pPr>
      <w:r>
        <w:rPr>
          <w:rStyle w:val="FootnoteReference"/>
        </w:rPr>
        <w:footnoteRef/>
      </w:r>
      <w:r>
        <w:t xml:space="preserve"> Paras [25] &amp; [28] submissions for Niepe; para [27] &amp; [31] submissions for the prosecution.    </w:t>
      </w:r>
    </w:p>
  </w:footnote>
  <w:footnote w:id="19">
    <w:p w14:paraId="5D52AF30" w14:textId="77777777" w:rsidR="00000000" w:rsidRDefault="001A0A57">
      <w:pPr>
        <w:pStyle w:val="FootnoteText"/>
      </w:pPr>
      <w:r>
        <w:rPr>
          <w:rStyle w:val="FootnoteReference"/>
        </w:rPr>
        <w:footnoteRef/>
      </w:r>
      <w:r>
        <w:t xml:space="preserve"> See for example </w:t>
      </w:r>
      <w:r w:rsidRPr="00197B91">
        <w:rPr>
          <w:i/>
          <w:iCs/>
        </w:rPr>
        <w:t>Hickey v Crime and Misconduct Commission</w:t>
      </w:r>
      <w:r>
        <w:t xml:space="preserve"> [2008] QDC 340 at [48] and </w:t>
      </w:r>
      <w:r w:rsidRPr="00197B91">
        <w:rPr>
          <w:i/>
          <w:iCs/>
        </w:rPr>
        <w:t>Schloss v Bell v Bell; Bell v Schloss</w:t>
      </w:r>
      <w:r>
        <w:t xml:space="preserve"> [2016] ICQ 17 at [61] both cited with approval on appeal in </w:t>
      </w:r>
      <w:r w:rsidRPr="00E551C4">
        <w:rPr>
          <w:i/>
          <w:iCs/>
        </w:rPr>
        <w:t>Baker v Smith</w:t>
      </w:r>
      <w:r>
        <w:t xml:space="preserve"> [2019] QDC 242 at [455] et seq. with respect to section 232A(2) JA which is cognate to section 158B(2) JA. </w:t>
      </w:r>
    </w:p>
  </w:footnote>
  <w:footnote w:id="20">
    <w:p w14:paraId="4817B488" w14:textId="77777777" w:rsidR="00000000" w:rsidRDefault="001A0A57" w:rsidP="00891C9A">
      <w:pPr>
        <w:pStyle w:val="FootnoteText"/>
      </w:pPr>
      <w:r>
        <w:rPr>
          <w:rStyle w:val="FootnoteReference"/>
        </w:rPr>
        <w:footnoteRef/>
      </w:r>
      <w:r>
        <w:t xml:space="preserve"> Paras [33] &amp; [34] submissions for Niepe. </w:t>
      </w:r>
    </w:p>
  </w:footnote>
  <w:footnote w:id="21">
    <w:p w14:paraId="5075950E" w14:textId="77777777" w:rsidR="00000000" w:rsidRDefault="001A0A57">
      <w:pPr>
        <w:pStyle w:val="FootnoteText"/>
      </w:pPr>
      <w:r>
        <w:rPr>
          <w:rStyle w:val="FootnoteReference"/>
        </w:rPr>
        <w:footnoteRef/>
      </w:r>
      <w:r>
        <w:t xml:space="preserve"> Cited at [5] above. </w:t>
      </w:r>
    </w:p>
  </w:footnote>
  <w:footnote w:id="22">
    <w:p w14:paraId="49E41726" w14:textId="77777777" w:rsidR="00000000" w:rsidRDefault="001A0A57">
      <w:pPr>
        <w:pStyle w:val="FootnoteText"/>
      </w:pPr>
      <w:r>
        <w:rPr>
          <w:rStyle w:val="FootnoteReference"/>
        </w:rPr>
        <w:footnoteRef/>
      </w:r>
      <w:r>
        <w:t xml:space="preserve"> See </w:t>
      </w:r>
      <w:r w:rsidRPr="008869E7">
        <w:rPr>
          <w:i/>
          <w:iCs/>
        </w:rPr>
        <w:t>Latoudis v Casey</w:t>
      </w:r>
      <w:r>
        <w:t xml:space="preserve"> (1990) 170 CLR 534 at 543-4 cited in </w:t>
      </w:r>
      <w:r w:rsidRPr="008869E7">
        <w:rPr>
          <w:i/>
          <w:iCs/>
        </w:rPr>
        <w:t>Bell v Townsend</w:t>
      </w:r>
      <w:r>
        <w:t xml:space="preserve"> [2014] QMC 30 at [60].</w:t>
      </w:r>
    </w:p>
  </w:footnote>
  <w:footnote w:id="23">
    <w:p w14:paraId="4E58D735" w14:textId="77777777" w:rsidR="00000000" w:rsidRDefault="001A0A57">
      <w:pPr>
        <w:pStyle w:val="FootnoteText"/>
      </w:pPr>
      <w:r>
        <w:rPr>
          <w:rStyle w:val="FootnoteReference"/>
        </w:rPr>
        <w:footnoteRef/>
      </w:r>
      <w:r>
        <w:t xml:space="preserve"> See </w:t>
      </w:r>
      <w:r w:rsidRPr="00FB3681">
        <w:rPr>
          <w:i/>
          <w:iCs/>
        </w:rPr>
        <w:t>Hickey v Crime and Misconduct Commission</w:t>
      </w:r>
      <w:r>
        <w:t xml:space="preserve"> [2008] QDC 340 at [43] cited at [20] above. </w:t>
      </w:r>
    </w:p>
  </w:footnote>
  <w:footnote w:id="24">
    <w:p w14:paraId="4144F441" w14:textId="77777777" w:rsidR="00000000" w:rsidRDefault="001A0A57">
      <w:pPr>
        <w:pStyle w:val="FootnoteText"/>
      </w:pPr>
      <w:r>
        <w:rPr>
          <w:rStyle w:val="FootnoteReference"/>
        </w:rPr>
        <w:footnoteRef/>
      </w:r>
      <w:r>
        <w:t xml:space="preserve"> Para [50] submissions for Niepe; paras [31] &amp; [34] submissions for the prosecution.  </w:t>
      </w:r>
    </w:p>
  </w:footnote>
  <w:footnote w:id="25">
    <w:p w14:paraId="0D5B3FF4" w14:textId="77777777" w:rsidR="00000000" w:rsidRDefault="001A0A57">
      <w:pPr>
        <w:pStyle w:val="FootnoteText"/>
      </w:pPr>
      <w:r>
        <w:rPr>
          <w:rStyle w:val="FootnoteReference"/>
        </w:rPr>
        <w:footnoteRef/>
      </w:r>
      <w:r>
        <w:t xml:space="preserve"> See for example </w:t>
      </w:r>
      <w:r w:rsidRPr="00E64D45">
        <w:rPr>
          <w:i/>
          <w:iCs/>
        </w:rPr>
        <w:t>Schloss v Bell</w:t>
      </w:r>
      <w:r>
        <w:t xml:space="preserve"> [2016] ICQ 17 at [41] and </w:t>
      </w:r>
      <w:r w:rsidRPr="0082491F">
        <w:rPr>
          <w:i/>
          <w:iCs/>
        </w:rPr>
        <w:t>Baker v Smith</w:t>
      </w:r>
      <w:r>
        <w:t xml:space="preserve"> (No 2) [2019] 242 at [227] to [229].</w:t>
      </w:r>
    </w:p>
  </w:footnote>
  <w:footnote w:id="26">
    <w:p w14:paraId="00B11B0F" w14:textId="77777777" w:rsidR="00000000" w:rsidRDefault="001A0A57">
      <w:pPr>
        <w:pStyle w:val="FootnoteText"/>
      </w:pPr>
      <w:r>
        <w:rPr>
          <w:rStyle w:val="FootnoteReference"/>
        </w:rPr>
        <w:footnoteRef/>
      </w:r>
      <w:r>
        <w:t xml:space="preserve"> The application only lasted a few hours: at [24]. </w:t>
      </w:r>
    </w:p>
  </w:footnote>
  <w:footnote w:id="27">
    <w:p w14:paraId="2567B065" w14:textId="77777777" w:rsidR="00000000" w:rsidRDefault="001A0A57">
      <w:pPr>
        <w:pStyle w:val="FootnoteText"/>
      </w:pPr>
      <w:r>
        <w:rPr>
          <w:rStyle w:val="FootnoteReference"/>
        </w:rPr>
        <w:footnoteRef/>
      </w:r>
      <w:r>
        <w:t xml:space="preserve"> Cited with approved in </w:t>
      </w:r>
      <w:r w:rsidRPr="00DC5A9D">
        <w:rPr>
          <w:i/>
          <w:iCs/>
        </w:rPr>
        <w:t>Baker v Smith</w:t>
      </w:r>
      <w:r>
        <w:t xml:space="preserve"> (No 2) [2019] QDC 242 at [225] – [229].</w:t>
      </w:r>
    </w:p>
  </w:footnote>
  <w:footnote w:id="28">
    <w:p w14:paraId="15E6D109" w14:textId="77777777" w:rsidR="00000000" w:rsidRDefault="001A0A57">
      <w:pPr>
        <w:pStyle w:val="FootnoteText"/>
      </w:pPr>
      <w:r>
        <w:rPr>
          <w:rStyle w:val="FootnoteReference"/>
        </w:rPr>
        <w:footnoteRef/>
      </w:r>
      <w:r>
        <w:t xml:space="preserve"> </w:t>
      </w:r>
      <w:r w:rsidRPr="002841CE">
        <w:rPr>
          <w:i/>
          <w:iCs/>
        </w:rPr>
        <w:t>Hickey</w:t>
      </w:r>
      <w:r>
        <w:t xml:space="preserve"> at [28].</w:t>
      </w:r>
    </w:p>
  </w:footnote>
  <w:footnote w:id="29">
    <w:p w14:paraId="52EE0A0B" w14:textId="77777777" w:rsidR="00000000" w:rsidRDefault="001A0A57">
      <w:pPr>
        <w:pStyle w:val="FootnoteText"/>
      </w:pPr>
      <w:r>
        <w:rPr>
          <w:rStyle w:val="FootnoteReference"/>
        </w:rPr>
        <w:footnoteRef/>
      </w:r>
      <w:r>
        <w:t xml:space="preserve"> </w:t>
      </w:r>
      <w:r w:rsidRPr="002841CE">
        <w:rPr>
          <w:i/>
          <w:iCs/>
        </w:rPr>
        <w:t xml:space="preserve">Hickey </w:t>
      </w:r>
      <w:r>
        <w:t xml:space="preserve">at [29] &amp; [34]. </w:t>
      </w:r>
    </w:p>
  </w:footnote>
  <w:footnote w:id="30">
    <w:p w14:paraId="110419EF" w14:textId="77777777" w:rsidR="00000000" w:rsidRDefault="001A0A57">
      <w:pPr>
        <w:pStyle w:val="FootnoteText"/>
      </w:pPr>
      <w:r>
        <w:rPr>
          <w:rStyle w:val="FootnoteReference"/>
        </w:rPr>
        <w:footnoteRef/>
      </w:r>
      <w:r>
        <w:t xml:space="preserve"> </w:t>
      </w:r>
      <w:r w:rsidRPr="002841CE">
        <w:rPr>
          <w:i/>
          <w:iCs/>
        </w:rPr>
        <w:t>Schloss</w:t>
      </w:r>
      <w:r>
        <w:t xml:space="preserve"> at [64]. </w:t>
      </w:r>
    </w:p>
  </w:footnote>
  <w:footnote w:id="31">
    <w:p w14:paraId="65639E05" w14:textId="77777777" w:rsidR="00000000" w:rsidRDefault="001A0A57">
      <w:pPr>
        <w:pStyle w:val="FootnoteText"/>
      </w:pPr>
      <w:r>
        <w:rPr>
          <w:rStyle w:val="FootnoteReference"/>
        </w:rPr>
        <w:footnoteRef/>
      </w:r>
      <w:r>
        <w:t xml:space="preserve"> </w:t>
      </w:r>
      <w:r w:rsidRPr="002841CE">
        <w:rPr>
          <w:i/>
          <w:iCs/>
        </w:rPr>
        <w:t>Schloss</w:t>
      </w:r>
      <w:r>
        <w:t xml:space="preserve"> at [35], [36] &amp; [60]. </w:t>
      </w:r>
    </w:p>
  </w:footnote>
  <w:footnote w:id="32">
    <w:p w14:paraId="39B2087F" w14:textId="77777777" w:rsidR="00000000" w:rsidRDefault="001A0A57">
      <w:pPr>
        <w:pStyle w:val="FootnoteText"/>
      </w:pPr>
      <w:r>
        <w:rPr>
          <w:rStyle w:val="FootnoteReference"/>
        </w:rPr>
        <w:footnoteRef/>
      </w:r>
      <w:r>
        <w:t xml:space="preserve"> </w:t>
      </w:r>
      <w:r w:rsidRPr="00A9455E">
        <w:rPr>
          <w:i/>
          <w:iCs/>
        </w:rPr>
        <w:t>Fletcher v Demag Cranes and Components Pty Ltd</w:t>
      </w:r>
      <w:r>
        <w:t xml:space="preserve"> [2020] QMC 9 at paras [23],[24], [66] &amp; [67].</w:t>
      </w:r>
    </w:p>
  </w:footnote>
  <w:footnote w:id="33">
    <w:p w14:paraId="7DFCD270" w14:textId="77777777" w:rsidR="00000000" w:rsidRDefault="001A0A57">
      <w:pPr>
        <w:pStyle w:val="FootnoteText"/>
      </w:pPr>
      <w:r>
        <w:rPr>
          <w:rStyle w:val="FootnoteReference"/>
        </w:rPr>
        <w:footnoteRef/>
      </w:r>
      <w:r>
        <w:t xml:space="preserve"> In </w:t>
      </w:r>
      <w:r w:rsidRPr="0063685E">
        <w:rPr>
          <w:i/>
          <w:iCs/>
        </w:rPr>
        <w:t>Fletcher</w:t>
      </w:r>
      <w:r>
        <w:t xml:space="preserve">, a number of affidavits were considered including the opinion of a cost’s expert (at [15]).  The material in this case consisted of memorandums of fees only.    </w:t>
      </w:r>
    </w:p>
  </w:footnote>
  <w:footnote w:id="34">
    <w:p w14:paraId="67221EE0" w14:textId="77777777" w:rsidR="00000000" w:rsidRDefault="001A0A57">
      <w:pPr>
        <w:pStyle w:val="FootnoteText"/>
      </w:pPr>
      <w:r>
        <w:rPr>
          <w:rStyle w:val="FootnoteReference"/>
        </w:rPr>
        <w:footnoteRef/>
      </w:r>
      <w:r>
        <w:t xml:space="preserve"> And others referred to in </w:t>
      </w:r>
      <w:r w:rsidRPr="00D64392">
        <w:rPr>
          <w:i/>
          <w:iCs/>
        </w:rPr>
        <w:t>Guilfoyle v Niepe Constructions Pty Ltd</w:t>
      </w:r>
      <w:r>
        <w:t xml:space="preserve"> QMC [2012] 1.</w:t>
      </w:r>
    </w:p>
  </w:footnote>
  <w:footnote w:id="35">
    <w:p w14:paraId="230771E3" w14:textId="77777777" w:rsidR="00000000" w:rsidRDefault="001A0A57">
      <w:pPr>
        <w:pStyle w:val="FootnoteText"/>
      </w:pPr>
      <w:r>
        <w:rPr>
          <w:rStyle w:val="FootnoteReference"/>
        </w:rPr>
        <w:footnoteRef/>
      </w:r>
      <w:r>
        <w:t xml:space="preserve"> See for example </w:t>
      </w:r>
      <w:r w:rsidRPr="004802A8">
        <w:rPr>
          <w:i/>
          <w:iCs/>
        </w:rPr>
        <w:t>Forster v Jododix Australia Pty Ltd</w:t>
      </w:r>
      <w:r>
        <w:t xml:space="preserve"> (1972) 127 CLR 421.   </w:t>
      </w:r>
    </w:p>
  </w:footnote>
  <w:footnote w:id="36">
    <w:p w14:paraId="6FA8C443" w14:textId="77777777" w:rsidR="00000000" w:rsidRDefault="001A0A57">
      <w:pPr>
        <w:pStyle w:val="FootnoteText"/>
      </w:pPr>
      <w:r>
        <w:rPr>
          <w:rStyle w:val="FootnoteReference"/>
        </w:rPr>
        <w:footnoteRef/>
      </w:r>
      <w:r>
        <w:t xml:space="preserve"> At Para [76] </w:t>
      </w:r>
      <w:r w:rsidRPr="00197063">
        <w:rPr>
          <w:i/>
          <w:iCs/>
        </w:rPr>
        <w:t>Bell v Townsend</w:t>
      </w:r>
      <w:r>
        <w:t xml:space="preserve"> [201] QMC 30. </w:t>
      </w:r>
    </w:p>
  </w:footnote>
  <w:footnote w:id="37">
    <w:p w14:paraId="387E4463" w14:textId="77777777" w:rsidR="00000000" w:rsidRDefault="001A0A57">
      <w:pPr>
        <w:pStyle w:val="FootnoteText"/>
      </w:pPr>
      <w:r>
        <w:rPr>
          <w:rStyle w:val="FootnoteReference"/>
        </w:rPr>
        <w:footnoteRef/>
      </w:r>
      <w:r>
        <w:t xml:space="preserve"> Para [15] submissions for Niepe.</w:t>
      </w:r>
    </w:p>
  </w:footnote>
  <w:footnote w:id="38">
    <w:p w14:paraId="5F126227" w14:textId="77777777" w:rsidR="00000000" w:rsidRDefault="001A0A57">
      <w:pPr>
        <w:pStyle w:val="FootnoteText"/>
      </w:pPr>
      <w:r>
        <w:rPr>
          <w:rStyle w:val="FootnoteReference"/>
        </w:rPr>
        <w:footnoteRef/>
      </w:r>
      <w:r>
        <w:t xml:space="preserve"> Para [20(b)] submissions for the prosecution citing </w:t>
      </w:r>
      <w:r w:rsidRPr="001F3D47">
        <w:rPr>
          <w:i/>
          <w:iCs/>
        </w:rPr>
        <w:t>Senior Constable Sheehan v Leo</w:t>
      </w:r>
      <w:r>
        <w:t xml:space="preserve"> [2016] QDC 131 at [29] regarding Robertson DCJ’s statement that “unusual” is not synonymous with “difficult”.  That passage was concerned with an “insanity” defence under s 27 Criminal Code and whether that issue was one of special difficulty in that case.  I reject this quote as authority for the proposition relied on by the prosecution.        </w:t>
      </w:r>
    </w:p>
  </w:footnote>
  <w:footnote w:id="39">
    <w:p w14:paraId="5F4C6A5A" w14:textId="77777777" w:rsidR="00000000" w:rsidRDefault="001A0A57">
      <w:pPr>
        <w:pStyle w:val="FootnoteText"/>
      </w:pPr>
      <w:r>
        <w:rPr>
          <w:rStyle w:val="FootnoteReference"/>
        </w:rPr>
        <w:footnoteRef/>
      </w:r>
      <w:r>
        <w:t xml:space="preserve"> </w:t>
      </w:r>
      <w:r w:rsidRPr="005614F4">
        <w:rPr>
          <w:i/>
          <w:iCs/>
        </w:rPr>
        <w:t xml:space="preserve">Whitby </w:t>
      </w:r>
      <w:r>
        <w:t xml:space="preserve">at [40] to [43]. </w:t>
      </w:r>
    </w:p>
  </w:footnote>
  <w:footnote w:id="40">
    <w:p w14:paraId="1198E606" w14:textId="77777777" w:rsidR="00000000" w:rsidRDefault="001A0A57">
      <w:pPr>
        <w:pStyle w:val="FootnoteText"/>
      </w:pPr>
      <w:r>
        <w:rPr>
          <w:rStyle w:val="FootnoteReference"/>
        </w:rPr>
        <w:footnoteRef/>
      </w:r>
      <w:r>
        <w:t xml:space="preserve"> $2,049.86 x 9. </w:t>
      </w:r>
    </w:p>
  </w:footnote>
  <w:footnote w:id="41">
    <w:p w14:paraId="31BD3A2A" w14:textId="77777777" w:rsidR="00000000" w:rsidRDefault="001A0A57">
      <w:pPr>
        <w:pStyle w:val="FootnoteText"/>
      </w:pPr>
      <w:r>
        <w:rPr>
          <w:rStyle w:val="FootnoteReference"/>
        </w:rPr>
        <w:footnoteRef/>
      </w:r>
      <w:r>
        <w:t xml:space="preserve"> $2,049.86 x 3. </w:t>
      </w:r>
    </w:p>
  </w:footnote>
  <w:footnote w:id="42">
    <w:p w14:paraId="436D29C2" w14:textId="77777777" w:rsidR="00000000" w:rsidRDefault="001A0A57">
      <w:pPr>
        <w:pStyle w:val="FootnoteText"/>
      </w:pPr>
      <w:r>
        <w:rPr>
          <w:rStyle w:val="FootnoteReference"/>
        </w:rPr>
        <w:footnoteRef/>
      </w:r>
      <w:r>
        <w:t xml:space="preserve"> Paras [29] to [33] submissions for Niepe.  </w:t>
      </w:r>
    </w:p>
  </w:footnote>
  <w:footnote w:id="43">
    <w:p w14:paraId="4DE7E2C6" w14:textId="77777777" w:rsidR="00000000" w:rsidRDefault="00285A9B">
      <w:pPr>
        <w:pStyle w:val="FootnoteText"/>
      </w:pPr>
      <w:r>
        <w:rPr>
          <w:rStyle w:val="FootnoteReference"/>
        </w:rPr>
        <w:footnoteRef/>
      </w:r>
      <w:r>
        <w:t xml:space="preserve"> </w:t>
      </w:r>
      <w:r w:rsidR="00996E8B">
        <w:t xml:space="preserve">For definition of “interlocutory proceeding” see </w:t>
      </w:r>
      <w:r w:rsidRPr="00367677">
        <w:rPr>
          <w:i/>
          <w:iCs/>
        </w:rPr>
        <w:t xml:space="preserve">Osbourn’s Concise </w:t>
      </w:r>
      <w:r w:rsidR="00B83CEC" w:rsidRPr="00367677">
        <w:rPr>
          <w:i/>
          <w:iCs/>
        </w:rPr>
        <w:t>Law Dictionary</w:t>
      </w:r>
      <w:r w:rsidR="00B83CEC">
        <w:t>, 6</w:t>
      </w:r>
      <w:r w:rsidR="00B83CEC" w:rsidRPr="00B83CEC">
        <w:rPr>
          <w:vertAlign w:val="superscript"/>
        </w:rPr>
        <w:t>th</w:t>
      </w:r>
      <w:r w:rsidR="00B83CEC">
        <w:t xml:space="preserve"> edition, Sweet &amp; Maxwell at p 182</w:t>
      </w:r>
      <w:r w:rsidR="00996E8B">
        <w:t xml:space="preserve">.  See also the </w:t>
      </w:r>
      <w:r w:rsidR="00996E8B" w:rsidRPr="00367677">
        <w:rPr>
          <w:i/>
          <w:iCs/>
        </w:rPr>
        <w:t>Shorter Oxford Dictionary</w:t>
      </w:r>
      <w:r w:rsidR="00996E8B">
        <w:t xml:space="preserve"> which provides a definition </w:t>
      </w:r>
      <w:r w:rsidR="00367677">
        <w:t xml:space="preserve">of </w:t>
      </w:r>
      <w:r w:rsidR="00996E8B">
        <w:t xml:space="preserve">“interlocutory” as “pronounced during the course of an action; not finally decisive”.  </w:t>
      </w:r>
      <w:r w:rsidR="006D52CB">
        <w:t xml:space="preserve">This point was not argued in the case. The parties simply put their respective positions.    </w:t>
      </w:r>
      <w:r w:rsidR="00B83CE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925"/>
    <w:multiLevelType w:val="hybridMultilevel"/>
    <w:tmpl w:val="8FE60E02"/>
    <w:lvl w:ilvl="0" w:tplc="2600309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68009C3"/>
    <w:multiLevelType w:val="hybridMultilevel"/>
    <w:tmpl w:val="3328D91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353125E"/>
    <w:multiLevelType w:val="hybridMultilevel"/>
    <w:tmpl w:val="B12673D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 w15:restartNumberingAfterBreak="0">
    <w:nsid w:val="16685AEF"/>
    <w:multiLevelType w:val="hybridMultilevel"/>
    <w:tmpl w:val="A538C8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7B705B8"/>
    <w:multiLevelType w:val="hybridMultilevel"/>
    <w:tmpl w:val="FB544ECA"/>
    <w:lvl w:ilvl="0" w:tplc="DFBCB72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1963F5"/>
    <w:multiLevelType w:val="hybridMultilevel"/>
    <w:tmpl w:val="087AA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E659A"/>
    <w:multiLevelType w:val="hybridMultilevel"/>
    <w:tmpl w:val="93CEDDEC"/>
    <w:lvl w:ilvl="0" w:tplc="249A8CB6">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15:restartNumberingAfterBreak="0">
    <w:nsid w:val="3A7A1635"/>
    <w:multiLevelType w:val="hybridMultilevel"/>
    <w:tmpl w:val="461E505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3B3229DB"/>
    <w:multiLevelType w:val="hybridMultilevel"/>
    <w:tmpl w:val="8392FE90"/>
    <w:lvl w:ilvl="0" w:tplc="D292B9A6">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9" w15:restartNumberingAfterBreak="0">
    <w:nsid w:val="3F4862B7"/>
    <w:multiLevelType w:val="hybridMultilevel"/>
    <w:tmpl w:val="FE686B38"/>
    <w:lvl w:ilvl="0" w:tplc="79CCF33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15:restartNumberingAfterBreak="0">
    <w:nsid w:val="3F810C0B"/>
    <w:multiLevelType w:val="hybridMultilevel"/>
    <w:tmpl w:val="ECC84AE0"/>
    <w:lvl w:ilvl="0" w:tplc="ECCA8C62">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1" w15:restartNumberingAfterBreak="0">
    <w:nsid w:val="43B24A68"/>
    <w:multiLevelType w:val="hybridMultilevel"/>
    <w:tmpl w:val="7F6CB99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4EC42FE"/>
    <w:multiLevelType w:val="hybridMultilevel"/>
    <w:tmpl w:val="047C5652"/>
    <w:lvl w:ilvl="0" w:tplc="AC2EF01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3" w15:restartNumberingAfterBreak="0">
    <w:nsid w:val="4E2A6BEE"/>
    <w:multiLevelType w:val="hybridMultilevel"/>
    <w:tmpl w:val="A156D3A6"/>
    <w:lvl w:ilvl="0" w:tplc="12E4169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575B13A1"/>
    <w:multiLevelType w:val="hybridMultilevel"/>
    <w:tmpl w:val="BD7A907C"/>
    <w:lvl w:ilvl="0" w:tplc="36744A52">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15:restartNumberingAfterBreak="0">
    <w:nsid w:val="5EFE7531"/>
    <w:multiLevelType w:val="hybridMultilevel"/>
    <w:tmpl w:val="AC28E52E"/>
    <w:lvl w:ilvl="0" w:tplc="13481882">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6" w15:restartNumberingAfterBreak="0">
    <w:nsid w:val="602A6927"/>
    <w:multiLevelType w:val="hybridMultilevel"/>
    <w:tmpl w:val="5192B350"/>
    <w:lvl w:ilvl="0" w:tplc="DC44DF9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7" w15:restartNumberingAfterBreak="0">
    <w:nsid w:val="619C671C"/>
    <w:multiLevelType w:val="hybridMultilevel"/>
    <w:tmpl w:val="168C6350"/>
    <w:lvl w:ilvl="0" w:tplc="49FA8A74">
      <w:start w:val="1"/>
      <w:numFmt w:val="lowerLetter"/>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start w:val="1"/>
      <w:numFmt w:val="lowerRoman"/>
      <w:lvlText w:val="%3."/>
      <w:lvlJc w:val="right"/>
      <w:pPr>
        <w:ind w:left="3240" w:hanging="180"/>
      </w:pPr>
      <w:rPr>
        <w:rFonts w:cs="Times New Roman"/>
      </w:rPr>
    </w:lvl>
    <w:lvl w:ilvl="3" w:tplc="0C09000F">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8" w15:restartNumberingAfterBreak="0">
    <w:nsid w:val="62BC1BBB"/>
    <w:multiLevelType w:val="hybridMultilevel"/>
    <w:tmpl w:val="9C3C460E"/>
    <w:lvl w:ilvl="0" w:tplc="93CA51C0">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9" w15:restartNumberingAfterBreak="0">
    <w:nsid w:val="6A82444A"/>
    <w:multiLevelType w:val="hybridMultilevel"/>
    <w:tmpl w:val="AD9A5AB6"/>
    <w:lvl w:ilvl="0" w:tplc="24DA2DA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6C3F7D34"/>
    <w:multiLevelType w:val="hybridMultilevel"/>
    <w:tmpl w:val="B72EECE2"/>
    <w:lvl w:ilvl="0" w:tplc="6EBA419E">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1" w15:restartNumberingAfterBreak="0">
    <w:nsid w:val="77E42D13"/>
    <w:multiLevelType w:val="hybridMultilevel"/>
    <w:tmpl w:val="DE1EBF00"/>
    <w:lvl w:ilvl="0" w:tplc="DE08770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791D1129"/>
    <w:multiLevelType w:val="hybridMultilevel"/>
    <w:tmpl w:val="FD88D2BE"/>
    <w:lvl w:ilvl="0" w:tplc="F006C3D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7D190EFD"/>
    <w:multiLevelType w:val="hybridMultilevel"/>
    <w:tmpl w:val="DFF0B97E"/>
    <w:lvl w:ilvl="0" w:tplc="B08452C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7"/>
  </w:num>
  <w:num w:numId="2">
    <w:abstractNumId w:val="2"/>
  </w:num>
  <w:num w:numId="3">
    <w:abstractNumId w:val="21"/>
  </w:num>
  <w:num w:numId="4">
    <w:abstractNumId w:val="15"/>
  </w:num>
  <w:num w:numId="5">
    <w:abstractNumId w:val="20"/>
  </w:num>
  <w:num w:numId="6">
    <w:abstractNumId w:val="8"/>
  </w:num>
  <w:num w:numId="7">
    <w:abstractNumId w:val="0"/>
  </w:num>
  <w:num w:numId="8">
    <w:abstractNumId w:val="12"/>
  </w:num>
  <w:num w:numId="9">
    <w:abstractNumId w:val="13"/>
  </w:num>
  <w:num w:numId="10">
    <w:abstractNumId w:val="11"/>
  </w:num>
  <w:num w:numId="11">
    <w:abstractNumId w:val="16"/>
  </w:num>
  <w:num w:numId="12">
    <w:abstractNumId w:val="14"/>
  </w:num>
  <w:num w:numId="13">
    <w:abstractNumId w:val="19"/>
  </w:num>
  <w:num w:numId="14">
    <w:abstractNumId w:val="23"/>
  </w:num>
  <w:num w:numId="15">
    <w:abstractNumId w:val="4"/>
  </w:num>
  <w:num w:numId="16">
    <w:abstractNumId w:val="6"/>
  </w:num>
  <w:num w:numId="17">
    <w:abstractNumId w:val="10"/>
  </w:num>
  <w:num w:numId="18">
    <w:abstractNumId w:val="9"/>
  </w:num>
  <w:num w:numId="19">
    <w:abstractNumId w:val="22"/>
  </w:num>
  <w:num w:numId="20">
    <w:abstractNumId w:val="7"/>
  </w:num>
  <w:num w:numId="21">
    <w:abstractNumId w:val="5"/>
  </w:num>
  <w:num w:numId="22">
    <w:abstractNumId w:val="3"/>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178D2"/>
    <w:rsid w:val="00003F0B"/>
    <w:rsid w:val="00005236"/>
    <w:rsid w:val="00011A03"/>
    <w:rsid w:val="000372BD"/>
    <w:rsid w:val="00040A1D"/>
    <w:rsid w:val="00040E45"/>
    <w:rsid w:val="00044616"/>
    <w:rsid w:val="00065CE5"/>
    <w:rsid w:val="0008597B"/>
    <w:rsid w:val="00091770"/>
    <w:rsid w:val="00096FBB"/>
    <w:rsid w:val="000A0D80"/>
    <w:rsid w:val="000D2495"/>
    <w:rsid w:val="000D403C"/>
    <w:rsid w:val="000E013F"/>
    <w:rsid w:val="000E075A"/>
    <w:rsid w:val="000F4EC2"/>
    <w:rsid w:val="000F7E17"/>
    <w:rsid w:val="00114A46"/>
    <w:rsid w:val="00115139"/>
    <w:rsid w:val="001336C0"/>
    <w:rsid w:val="00134DF0"/>
    <w:rsid w:val="00147773"/>
    <w:rsid w:val="00162EA3"/>
    <w:rsid w:val="001715B5"/>
    <w:rsid w:val="00175CAD"/>
    <w:rsid w:val="00183A63"/>
    <w:rsid w:val="00186366"/>
    <w:rsid w:val="00191554"/>
    <w:rsid w:val="001919BB"/>
    <w:rsid w:val="00193562"/>
    <w:rsid w:val="00197063"/>
    <w:rsid w:val="00197B91"/>
    <w:rsid w:val="001A0A57"/>
    <w:rsid w:val="001B03BA"/>
    <w:rsid w:val="001B707E"/>
    <w:rsid w:val="001C36EE"/>
    <w:rsid w:val="001D7300"/>
    <w:rsid w:val="001E4AE6"/>
    <w:rsid w:val="001F3D47"/>
    <w:rsid w:val="001F6FFF"/>
    <w:rsid w:val="00206924"/>
    <w:rsid w:val="0021192B"/>
    <w:rsid w:val="00215638"/>
    <w:rsid w:val="00215C26"/>
    <w:rsid w:val="002178D2"/>
    <w:rsid w:val="0022076E"/>
    <w:rsid w:val="002224C4"/>
    <w:rsid w:val="0022366E"/>
    <w:rsid w:val="00236E47"/>
    <w:rsid w:val="00264C7D"/>
    <w:rsid w:val="00266FCE"/>
    <w:rsid w:val="00280B66"/>
    <w:rsid w:val="002841CE"/>
    <w:rsid w:val="00285A9B"/>
    <w:rsid w:val="0028685E"/>
    <w:rsid w:val="002874F5"/>
    <w:rsid w:val="002923A4"/>
    <w:rsid w:val="002A374C"/>
    <w:rsid w:val="002A421A"/>
    <w:rsid w:val="002C446D"/>
    <w:rsid w:val="002D134E"/>
    <w:rsid w:val="002E4BEB"/>
    <w:rsid w:val="00312BDC"/>
    <w:rsid w:val="0031308D"/>
    <w:rsid w:val="00320849"/>
    <w:rsid w:val="00321E84"/>
    <w:rsid w:val="0034000C"/>
    <w:rsid w:val="00341713"/>
    <w:rsid w:val="0034429E"/>
    <w:rsid w:val="003449C9"/>
    <w:rsid w:val="00344E2B"/>
    <w:rsid w:val="00346E34"/>
    <w:rsid w:val="003479B3"/>
    <w:rsid w:val="003504EC"/>
    <w:rsid w:val="003525DB"/>
    <w:rsid w:val="0036065B"/>
    <w:rsid w:val="0036606B"/>
    <w:rsid w:val="00367677"/>
    <w:rsid w:val="00371B0F"/>
    <w:rsid w:val="003768A9"/>
    <w:rsid w:val="003805D8"/>
    <w:rsid w:val="003853CB"/>
    <w:rsid w:val="003A15BE"/>
    <w:rsid w:val="003A5B7A"/>
    <w:rsid w:val="003B1EB1"/>
    <w:rsid w:val="003C2D1C"/>
    <w:rsid w:val="003F5899"/>
    <w:rsid w:val="00400D13"/>
    <w:rsid w:val="00401CD9"/>
    <w:rsid w:val="00401DAB"/>
    <w:rsid w:val="004123E1"/>
    <w:rsid w:val="00421AAB"/>
    <w:rsid w:val="004246F3"/>
    <w:rsid w:val="0042557C"/>
    <w:rsid w:val="0043509A"/>
    <w:rsid w:val="00435279"/>
    <w:rsid w:val="004431E4"/>
    <w:rsid w:val="00453960"/>
    <w:rsid w:val="00456B31"/>
    <w:rsid w:val="00462A83"/>
    <w:rsid w:val="004641F7"/>
    <w:rsid w:val="00465619"/>
    <w:rsid w:val="00465BFE"/>
    <w:rsid w:val="004673D3"/>
    <w:rsid w:val="004675FB"/>
    <w:rsid w:val="004802A8"/>
    <w:rsid w:val="004824F6"/>
    <w:rsid w:val="00495EC7"/>
    <w:rsid w:val="004A651F"/>
    <w:rsid w:val="004B0BDD"/>
    <w:rsid w:val="004B2BA6"/>
    <w:rsid w:val="004B402C"/>
    <w:rsid w:val="004C5DCB"/>
    <w:rsid w:val="004D1B06"/>
    <w:rsid w:val="004D1D1B"/>
    <w:rsid w:val="004E3008"/>
    <w:rsid w:val="004E57F3"/>
    <w:rsid w:val="004F06D1"/>
    <w:rsid w:val="00520578"/>
    <w:rsid w:val="00521C65"/>
    <w:rsid w:val="0053066E"/>
    <w:rsid w:val="005457A8"/>
    <w:rsid w:val="00550364"/>
    <w:rsid w:val="00552511"/>
    <w:rsid w:val="00553F63"/>
    <w:rsid w:val="00560764"/>
    <w:rsid w:val="005614F4"/>
    <w:rsid w:val="005654E3"/>
    <w:rsid w:val="0057606D"/>
    <w:rsid w:val="00577753"/>
    <w:rsid w:val="00583316"/>
    <w:rsid w:val="00585C48"/>
    <w:rsid w:val="005910FB"/>
    <w:rsid w:val="00594990"/>
    <w:rsid w:val="00595C49"/>
    <w:rsid w:val="005B7539"/>
    <w:rsid w:val="005C0254"/>
    <w:rsid w:val="005C0CF9"/>
    <w:rsid w:val="005C125C"/>
    <w:rsid w:val="005C12E6"/>
    <w:rsid w:val="005C257D"/>
    <w:rsid w:val="005C7D24"/>
    <w:rsid w:val="005D6C3D"/>
    <w:rsid w:val="005D76CA"/>
    <w:rsid w:val="005E2A17"/>
    <w:rsid w:val="006053B0"/>
    <w:rsid w:val="00605DD4"/>
    <w:rsid w:val="0060619A"/>
    <w:rsid w:val="006103F0"/>
    <w:rsid w:val="00616264"/>
    <w:rsid w:val="00620BC7"/>
    <w:rsid w:val="00623E26"/>
    <w:rsid w:val="00626035"/>
    <w:rsid w:val="0063685E"/>
    <w:rsid w:val="0065389E"/>
    <w:rsid w:val="00657040"/>
    <w:rsid w:val="00662411"/>
    <w:rsid w:val="00665C22"/>
    <w:rsid w:val="006757A4"/>
    <w:rsid w:val="00682A84"/>
    <w:rsid w:val="006951D5"/>
    <w:rsid w:val="006961F5"/>
    <w:rsid w:val="006A1358"/>
    <w:rsid w:val="006D52CB"/>
    <w:rsid w:val="006E5944"/>
    <w:rsid w:val="006F0C07"/>
    <w:rsid w:val="006F3FF1"/>
    <w:rsid w:val="007014A8"/>
    <w:rsid w:val="007076E7"/>
    <w:rsid w:val="0071531B"/>
    <w:rsid w:val="0071619C"/>
    <w:rsid w:val="00727538"/>
    <w:rsid w:val="007307ED"/>
    <w:rsid w:val="00733271"/>
    <w:rsid w:val="00735270"/>
    <w:rsid w:val="007406D8"/>
    <w:rsid w:val="00743CBC"/>
    <w:rsid w:val="00745790"/>
    <w:rsid w:val="00751156"/>
    <w:rsid w:val="007540F6"/>
    <w:rsid w:val="00767EE2"/>
    <w:rsid w:val="00784C11"/>
    <w:rsid w:val="007860B8"/>
    <w:rsid w:val="007A088E"/>
    <w:rsid w:val="007A2AAB"/>
    <w:rsid w:val="007B034E"/>
    <w:rsid w:val="007C13F6"/>
    <w:rsid w:val="007C3A65"/>
    <w:rsid w:val="007C6516"/>
    <w:rsid w:val="007D0C91"/>
    <w:rsid w:val="007D3E63"/>
    <w:rsid w:val="007E13E2"/>
    <w:rsid w:val="007E1F25"/>
    <w:rsid w:val="007E35C1"/>
    <w:rsid w:val="007E3FBC"/>
    <w:rsid w:val="007E6192"/>
    <w:rsid w:val="00810E68"/>
    <w:rsid w:val="0081203B"/>
    <w:rsid w:val="008152B7"/>
    <w:rsid w:val="0082491F"/>
    <w:rsid w:val="00827CA6"/>
    <w:rsid w:val="008326DD"/>
    <w:rsid w:val="00851983"/>
    <w:rsid w:val="008563AB"/>
    <w:rsid w:val="00863323"/>
    <w:rsid w:val="00873EF2"/>
    <w:rsid w:val="00876C4B"/>
    <w:rsid w:val="008859C4"/>
    <w:rsid w:val="008869E7"/>
    <w:rsid w:val="00890CAD"/>
    <w:rsid w:val="008913D1"/>
    <w:rsid w:val="0089148B"/>
    <w:rsid w:val="00891C9A"/>
    <w:rsid w:val="00892D99"/>
    <w:rsid w:val="008933F8"/>
    <w:rsid w:val="008A06CD"/>
    <w:rsid w:val="008A22D5"/>
    <w:rsid w:val="008A263A"/>
    <w:rsid w:val="008A3D6F"/>
    <w:rsid w:val="008B004D"/>
    <w:rsid w:val="008B4ADB"/>
    <w:rsid w:val="008B4D89"/>
    <w:rsid w:val="008C17B3"/>
    <w:rsid w:val="008C542A"/>
    <w:rsid w:val="008C5988"/>
    <w:rsid w:val="008D2359"/>
    <w:rsid w:val="008D26D8"/>
    <w:rsid w:val="008F2657"/>
    <w:rsid w:val="008F52DE"/>
    <w:rsid w:val="0090627D"/>
    <w:rsid w:val="00906532"/>
    <w:rsid w:val="00914615"/>
    <w:rsid w:val="00922C01"/>
    <w:rsid w:val="009249CF"/>
    <w:rsid w:val="00934C1C"/>
    <w:rsid w:val="00935865"/>
    <w:rsid w:val="00940EB0"/>
    <w:rsid w:val="00954530"/>
    <w:rsid w:val="00966ED3"/>
    <w:rsid w:val="00977D5D"/>
    <w:rsid w:val="0098017D"/>
    <w:rsid w:val="00980E5B"/>
    <w:rsid w:val="00985709"/>
    <w:rsid w:val="00996CAC"/>
    <w:rsid w:val="00996E8B"/>
    <w:rsid w:val="009A07C0"/>
    <w:rsid w:val="009A5936"/>
    <w:rsid w:val="009C1C44"/>
    <w:rsid w:val="009C1DA1"/>
    <w:rsid w:val="009E2148"/>
    <w:rsid w:val="009E69B6"/>
    <w:rsid w:val="009F2390"/>
    <w:rsid w:val="009F32E8"/>
    <w:rsid w:val="009F7A31"/>
    <w:rsid w:val="00A01937"/>
    <w:rsid w:val="00A05E5C"/>
    <w:rsid w:val="00A05F84"/>
    <w:rsid w:val="00A13104"/>
    <w:rsid w:val="00A20318"/>
    <w:rsid w:val="00A25AFE"/>
    <w:rsid w:val="00A353DF"/>
    <w:rsid w:val="00A35724"/>
    <w:rsid w:val="00A35D65"/>
    <w:rsid w:val="00A40583"/>
    <w:rsid w:val="00A41B40"/>
    <w:rsid w:val="00A42D51"/>
    <w:rsid w:val="00A45670"/>
    <w:rsid w:val="00A524BE"/>
    <w:rsid w:val="00A52F6F"/>
    <w:rsid w:val="00A55504"/>
    <w:rsid w:val="00A57D9B"/>
    <w:rsid w:val="00A7546B"/>
    <w:rsid w:val="00A81592"/>
    <w:rsid w:val="00A833F9"/>
    <w:rsid w:val="00A84681"/>
    <w:rsid w:val="00A86714"/>
    <w:rsid w:val="00A9455E"/>
    <w:rsid w:val="00A9714A"/>
    <w:rsid w:val="00A972D3"/>
    <w:rsid w:val="00AA1BE3"/>
    <w:rsid w:val="00AA1FC7"/>
    <w:rsid w:val="00AA64FF"/>
    <w:rsid w:val="00AB047B"/>
    <w:rsid w:val="00AB3B5F"/>
    <w:rsid w:val="00AC1C21"/>
    <w:rsid w:val="00AC30B8"/>
    <w:rsid w:val="00AD08A0"/>
    <w:rsid w:val="00AD402A"/>
    <w:rsid w:val="00AD63C4"/>
    <w:rsid w:val="00AE5825"/>
    <w:rsid w:val="00AE5853"/>
    <w:rsid w:val="00B00FA5"/>
    <w:rsid w:val="00B175C2"/>
    <w:rsid w:val="00B2390E"/>
    <w:rsid w:val="00B26725"/>
    <w:rsid w:val="00B27B2A"/>
    <w:rsid w:val="00B30E39"/>
    <w:rsid w:val="00B45775"/>
    <w:rsid w:val="00B51378"/>
    <w:rsid w:val="00B624F7"/>
    <w:rsid w:val="00B65CEC"/>
    <w:rsid w:val="00B72A84"/>
    <w:rsid w:val="00B741EF"/>
    <w:rsid w:val="00B83CEC"/>
    <w:rsid w:val="00B919C6"/>
    <w:rsid w:val="00B96760"/>
    <w:rsid w:val="00B96FCB"/>
    <w:rsid w:val="00BB30FA"/>
    <w:rsid w:val="00BB5C8C"/>
    <w:rsid w:val="00BC0825"/>
    <w:rsid w:val="00BC41EB"/>
    <w:rsid w:val="00BD2E75"/>
    <w:rsid w:val="00BD3025"/>
    <w:rsid w:val="00BE124F"/>
    <w:rsid w:val="00BF1694"/>
    <w:rsid w:val="00BF190F"/>
    <w:rsid w:val="00C14160"/>
    <w:rsid w:val="00C22A55"/>
    <w:rsid w:val="00C27974"/>
    <w:rsid w:val="00C301EA"/>
    <w:rsid w:val="00C306F7"/>
    <w:rsid w:val="00C3387E"/>
    <w:rsid w:val="00C340F1"/>
    <w:rsid w:val="00C36E2E"/>
    <w:rsid w:val="00C670D7"/>
    <w:rsid w:val="00C676DE"/>
    <w:rsid w:val="00C6777B"/>
    <w:rsid w:val="00C7601F"/>
    <w:rsid w:val="00C8023D"/>
    <w:rsid w:val="00C80900"/>
    <w:rsid w:val="00CA117F"/>
    <w:rsid w:val="00CA29A6"/>
    <w:rsid w:val="00CA2D14"/>
    <w:rsid w:val="00CA3923"/>
    <w:rsid w:val="00CB3B5C"/>
    <w:rsid w:val="00CD02A7"/>
    <w:rsid w:val="00CE3584"/>
    <w:rsid w:val="00CE4B12"/>
    <w:rsid w:val="00CE621C"/>
    <w:rsid w:val="00CF12CF"/>
    <w:rsid w:val="00CF1AE8"/>
    <w:rsid w:val="00CF20D5"/>
    <w:rsid w:val="00CF4FCE"/>
    <w:rsid w:val="00D035D9"/>
    <w:rsid w:val="00D041A2"/>
    <w:rsid w:val="00D059AF"/>
    <w:rsid w:val="00D2776C"/>
    <w:rsid w:val="00D308BA"/>
    <w:rsid w:val="00D31DEF"/>
    <w:rsid w:val="00D37105"/>
    <w:rsid w:val="00D4100C"/>
    <w:rsid w:val="00D424F4"/>
    <w:rsid w:val="00D54D5E"/>
    <w:rsid w:val="00D60CD3"/>
    <w:rsid w:val="00D61828"/>
    <w:rsid w:val="00D64392"/>
    <w:rsid w:val="00D64AE5"/>
    <w:rsid w:val="00D75789"/>
    <w:rsid w:val="00D8360D"/>
    <w:rsid w:val="00D87B85"/>
    <w:rsid w:val="00D91FDA"/>
    <w:rsid w:val="00D96EE7"/>
    <w:rsid w:val="00D972E9"/>
    <w:rsid w:val="00DA1C84"/>
    <w:rsid w:val="00DA302F"/>
    <w:rsid w:val="00DA386C"/>
    <w:rsid w:val="00DA54D3"/>
    <w:rsid w:val="00DA7341"/>
    <w:rsid w:val="00DB13E5"/>
    <w:rsid w:val="00DB1544"/>
    <w:rsid w:val="00DB6F54"/>
    <w:rsid w:val="00DC5A9D"/>
    <w:rsid w:val="00DC751C"/>
    <w:rsid w:val="00DD29E5"/>
    <w:rsid w:val="00DE1DF5"/>
    <w:rsid w:val="00DE4DBB"/>
    <w:rsid w:val="00E053F4"/>
    <w:rsid w:val="00E3713A"/>
    <w:rsid w:val="00E42ADC"/>
    <w:rsid w:val="00E46A2A"/>
    <w:rsid w:val="00E477D0"/>
    <w:rsid w:val="00E551C4"/>
    <w:rsid w:val="00E56655"/>
    <w:rsid w:val="00E64D45"/>
    <w:rsid w:val="00E702A2"/>
    <w:rsid w:val="00E70F10"/>
    <w:rsid w:val="00E803E9"/>
    <w:rsid w:val="00E81A23"/>
    <w:rsid w:val="00E87655"/>
    <w:rsid w:val="00E97191"/>
    <w:rsid w:val="00EA0E9D"/>
    <w:rsid w:val="00EA6B31"/>
    <w:rsid w:val="00EB1EA2"/>
    <w:rsid w:val="00EC2430"/>
    <w:rsid w:val="00EC502A"/>
    <w:rsid w:val="00EE1F42"/>
    <w:rsid w:val="00EF18DE"/>
    <w:rsid w:val="00EF3869"/>
    <w:rsid w:val="00EF6C97"/>
    <w:rsid w:val="00F001C2"/>
    <w:rsid w:val="00F01B30"/>
    <w:rsid w:val="00F01C41"/>
    <w:rsid w:val="00F05D70"/>
    <w:rsid w:val="00F07FD0"/>
    <w:rsid w:val="00F102E9"/>
    <w:rsid w:val="00F17F66"/>
    <w:rsid w:val="00F250E6"/>
    <w:rsid w:val="00F429FA"/>
    <w:rsid w:val="00F714EE"/>
    <w:rsid w:val="00F74EBF"/>
    <w:rsid w:val="00F752F6"/>
    <w:rsid w:val="00F846D9"/>
    <w:rsid w:val="00F9007B"/>
    <w:rsid w:val="00F91791"/>
    <w:rsid w:val="00F95557"/>
    <w:rsid w:val="00F970DD"/>
    <w:rsid w:val="00FA34A2"/>
    <w:rsid w:val="00FB2F38"/>
    <w:rsid w:val="00FB3681"/>
    <w:rsid w:val="00FC16E5"/>
    <w:rsid w:val="00FC7597"/>
    <w:rsid w:val="00FC77A9"/>
    <w:rsid w:val="00FD0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3996D"/>
  <w14:defaultImageDpi w14:val="0"/>
  <w15:docId w15:val="{15102FC4-BB20-4EB4-BBA9-3D6C77DE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D2"/>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8D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178D2"/>
    <w:rPr>
      <w:sz w:val="20"/>
      <w:szCs w:val="20"/>
    </w:rPr>
  </w:style>
  <w:style w:type="character" w:customStyle="1" w:styleId="FootnoteTextChar">
    <w:name w:val="Footnote Text Char"/>
    <w:basedOn w:val="DefaultParagraphFont"/>
    <w:link w:val="FootnoteText"/>
    <w:uiPriority w:val="99"/>
    <w:semiHidden/>
    <w:locked/>
    <w:rsid w:val="002178D2"/>
    <w:rPr>
      <w:rFonts w:ascii="Times New Roman" w:hAnsi="Times New Roman" w:cs="Times New Roman"/>
      <w:sz w:val="20"/>
      <w:szCs w:val="20"/>
      <w:lang w:val="x-none" w:eastAsia="en-AU"/>
    </w:rPr>
  </w:style>
  <w:style w:type="character" w:styleId="FootnoteReference">
    <w:name w:val="footnote reference"/>
    <w:basedOn w:val="DefaultParagraphFont"/>
    <w:uiPriority w:val="99"/>
    <w:semiHidden/>
    <w:unhideWhenUsed/>
    <w:rsid w:val="002178D2"/>
    <w:rPr>
      <w:rFonts w:cs="Times New Roman"/>
      <w:vertAlign w:val="superscript"/>
    </w:rPr>
  </w:style>
  <w:style w:type="paragraph" w:customStyle="1" w:styleId="headingparagraph">
    <w:name w:val="headingparagraph"/>
    <w:basedOn w:val="Normal"/>
    <w:rsid w:val="002178D2"/>
    <w:pPr>
      <w:spacing w:after="150"/>
    </w:pPr>
    <w:rPr>
      <w:rFonts w:ascii="Arial" w:hAnsi="Arial" w:cs="Arial"/>
    </w:rPr>
  </w:style>
  <w:style w:type="character" w:customStyle="1" w:styleId="headingname">
    <w:name w:val="headingname"/>
    <w:basedOn w:val="DefaultParagraphFont"/>
    <w:rsid w:val="002178D2"/>
    <w:rPr>
      <w:rFonts w:cs="Times New Roman"/>
      <w:b/>
      <w:bCs/>
      <w:vanish/>
    </w:rPr>
  </w:style>
  <w:style w:type="character" w:customStyle="1" w:styleId="listnumber">
    <w:name w:val="listnumber"/>
    <w:basedOn w:val="DefaultParagraphFont"/>
    <w:rsid w:val="002178D2"/>
    <w:rPr>
      <w:rFonts w:cs="Times New Roman"/>
    </w:rPr>
  </w:style>
  <w:style w:type="paragraph" w:styleId="ListParagraph">
    <w:name w:val="List Paragraph"/>
    <w:basedOn w:val="Normal"/>
    <w:uiPriority w:val="34"/>
    <w:qFormat/>
    <w:rsid w:val="002178D2"/>
    <w:pPr>
      <w:ind w:left="720"/>
      <w:contextualSpacing/>
    </w:pPr>
  </w:style>
  <w:style w:type="paragraph" w:styleId="Header">
    <w:name w:val="header"/>
    <w:basedOn w:val="Normal"/>
    <w:link w:val="HeaderChar"/>
    <w:uiPriority w:val="99"/>
    <w:unhideWhenUsed/>
    <w:rsid w:val="002178D2"/>
    <w:pPr>
      <w:tabs>
        <w:tab w:val="center" w:pos="4513"/>
        <w:tab w:val="right" w:pos="9026"/>
      </w:tabs>
    </w:pPr>
  </w:style>
  <w:style w:type="character" w:customStyle="1" w:styleId="HeaderChar">
    <w:name w:val="Header Char"/>
    <w:basedOn w:val="DefaultParagraphFont"/>
    <w:link w:val="Header"/>
    <w:uiPriority w:val="99"/>
    <w:locked/>
    <w:rsid w:val="002178D2"/>
    <w:rPr>
      <w:rFonts w:ascii="Times New Roman" w:hAnsi="Times New Roman" w:cs="Times New Roman"/>
      <w:sz w:val="24"/>
      <w:szCs w:val="24"/>
      <w:lang w:val="x-none" w:eastAsia="en-AU"/>
    </w:rPr>
  </w:style>
  <w:style w:type="paragraph" w:styleId="Footer">
    <w:name w:val="footer"/>
    <w:basedOn w:val="Normal"/>
    <w:link w:val="FooterChar"/>
    <w:uiPriority w:val="99"/>
    <w:unhideWhenUsed/>
    <w:rsid w:val="002178D2"/>
    <w:pPr>
      <w:tabs>
        <w:tab w:val="center" w:pos="4513"/>
        <w:tab w:val="right" w:pos="9026"/>
      </w:tabs>
    </w:pPr>
  </w:style>
  <w:style w:type="character" w:customStyle="1" w:styleId="FooterChar">
    <w:name w:val="Footer Char"/>
    <w:basedOn w:val="DefaultParagraphFont"/>
    <w:link w:val="Footer"/>
    <w:uiPriority w:val="99"/>
    <w:locked/>
    <w:rsid w:val="002178D2"/>
    <w:rPr>
      <w:rFonts w:ascii="Times New Roman" w:hAnsi="Times New Roman" w:cs="Times New Roman"/>
      <w:sz w:val="24"/>
      <w:szCs w:val="24"/>
      <w:lang w:val="x-none" w:eastAsia="en-AU"/>
    </w:rPr>
  </w:style>
  <w:style w:type="paragraph" w:styleId="EndnoteText">
    <w:name w:val="endnote text"/>
    <w:basedOn w:val="Normal"/>
    <w:link w:val="EndnoteTextChar"/>
    <w:uiPriority w:val="99"/>
    <w:semiHidden/>
    <w:unhideWhenUsed/>
    <w:rsid w:val="002178D2"/>
    <w:rPr>
      <w:sz w:val="20"/>
      <w:szCs w:val="20"/>
    </w:rPr>
  </w:style>
  <w:style w:type="character" w:customStyle="1" w:styleId="EndnoteTextChar">
    <w:name w:val="Endnote Text Char"/>
    <w:basedOn w:val="DefaultParagraphFont"/>
    <w:link w:val="EndnoteText"/>
    <w:uiPriority w:val="99"/>
    <w:semiHidden/>
    <w:locked/>
    <w:rsid w:val="002178D2"/>
    <w:rPr>
      <w:rFonts w:ascii="Times New Roman" w:hAnsi="Times New Roman" w:cs="Times New Roman"/>
      <w:sz w:val="20"/>
      <w:szCs w:val="20"/>
      <w:lang w:val="x-none" w:eastAsia="en-AU"/>
    </w:rPr>
  </w:style>
  <w:style w:type="character" w:styleId="EndnoteReference">
    <w:name w:val="endnote reference"/>
    <w:basedOn w:val="DefaultParagraphFont"/>
    <w:uiPriority w:val="99"/>
    <w:semiHidden/>
    <w:unhideWhenUsed/>
    <w:rsid w:val="002178D2"/>
    <w:rPr>
      <w:rFonts w:cs="Times New Roman"/>
      <w:vertAlign w:val="superscript"/>
    </w:rPr>
  </w:style>
  <w:style w:type="paragraph" w:styleId="BalloonText">
    <w:name w:val="Balloon Text"/>
    <w:basedOn w:val="Normal"/>
    <w:link w:val="BalloonTextChar"/>
    <w:uiPriority w:val="99"/>
    <w:semiHidden/>
    <w:unhideWhenUsed/>
    <w:rsid w:val="002178D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178D2"/>
    <w:rPr>
      <w:rFonts w:ascii="Segoe UI" w:hAnsi="Segoe UI" w:cs="Segoe UI"/>
      <w:sz w:val="18"/>
      <w:szCs w:val="18"/>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9B04C-9941-4058-A5D4-268FE387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4930</Words>
  <Characters>28102</Characters>
  <Application>Microsoft Office Word</Application>
  <DocSecurity>0</DocSecurity>
  <Lines>234</Lines>
  <Paragraphs>65</Paragraphs>
  <ScaleCrop>false</ScaleCrop>
  <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Guilfoyle v Niepe Constructions Pty Ltd (No 2) (2021) QMC 3</dc:title>
  <dc:subject/>
  <dc:creator>Magistrate Lee</dc:creator>
  <cp:keywords/>
  <dc:description/>
  <cp:lastModifiedBy>Amy Broomfield</cp:lastModifiedBy>
  <cp:revision>2</cp:revision>
  <cp:lastPrinted>2021-06-29T02:59:00Z</cp:lastPrinted>
  <dcterms:created xsi:type="dcterms:W3CDTF">2021-07-01T05:00:00Z</dcterms:created>
  <dcterms:modified xsi:type="dcterms:W3CDTF">2021-07-01T05:00:00Z</dcterms:modified>
</cp:coreProperties>
</file>