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E326A8" w:rsidP="00A22932">
      <w:pPr>
        <w:pStyle w:val="CourtTitle"/>
      </w:pPr>
      <w:r>
        <w:fldChar w:fldCharType="begin" w:fldLock="1"/>
      </w:r>
      <w:r>
        <w:instrText xml:space="preserve"> DOCPROPERTY  Court  \* MERGEFORMAT </w:instrText>
      </w:r>
      <w:r>
        <w:fldChar w:fldCharType="separate"/>
      </w:r>
      <w:r w:rsidR="0049162B">
        <w:t>Federal Court of Australia</w:t>
      </w:r>
      <w:r>
        <w:fldChar w:fldCharType="end"/>
      </w:r>
    </w:p>
    <w:p w:rsidR="00395B24" w:rsidRDefault="00395B24">
      <w:pPr>
        <w:pStyle w:val="NormalHeadings"/>
        <w:jc w:val="center"/>
        <w:rPr>
          <w:sz w:val="32"/>
        </w:rPr>
      </w:pPr>
    </w:p>
    <w:bookmarkStart w:id="0" w:name="MNC"/>
    <w:p w:rsidR="00374CC4" w:rsidRDefault="000B07F8" w:rsidP="001A2B40">
      <w:pPr>
        <w:pStyle w:val="MNC"/>
      </w:pPr>
      <w:sdt>
        <w:sdtPr>
          <w:rPr>
            <w:rFonts w:eastAsia="Times New Roman"/>
          </w:rPr>
          <w:alias w:val="MNC"/>
          <w:tag w:val="MNC"/>
          <w:id w:val="343289786"/>
          <w:lock w:val="sdtLocked"/>
          <w:placeholder>
            <w:docPart w:val="1F3F4C533676440BB458B2B3A5236F55"/>
          </w:placeholder>
          <w:dataBinding w:prefixMappings="xmlns:ns0='http://schemas.globalmacros.com/FCA'" w:xpath="/ns0:root[1]/ns0:Name[1]" w:storeItemID="{687E7CCB-4AA5-44E7-B148-17BA2B6F57C0}"/>
          <w:text w:multiLine="1"/>
        </w:sdtPr>
        <w:sdtEndPr/>
        <w:sdtContent>
          <w:r w:rsidR="00566AD1" w:rsidRPr="00566AD1">
            <w:rPr>
              <w:rFonts w:eastAsia="Times New Roman"/>
            </w:rPr>
            <w:t>State Street Global Advisors Trust Company v Maurice Blackburn Pty Ltd (No 3) [2021] FCA 568</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rsidTr="00B602F2">
        <w:tc>
          <w:tcPr>
            <w:tcW w:w="3084" w:type="dxa"/>
            <w:shd w:val="clear" w:color="auto" w:fill="auto"/>
          </w:tcPr>
          <w:p w:rsidR="00395B24" w:rsidRDefault="0049162B" w:rsidP="00663878">
            <w:pPr>
              <w:pStyle w:val="Normal1linespace"/>
              <w:widowControl w:val="0"/>
              <w:jc w:val="left"/>
            </w:pPr>
            <w:r>
              <w:t>File number</w:t>
            </w:r>
            <w:r w:rsidR="002C7385">
              <w:t>:</w:t>
            </w:r>
          </w:p>
        </w:tc>
        <w:tc>
          <w:tcPr>
            <w:tcW w:w="5989" w:type="dxa"/>
            <w:shd w:val="clear" w:color="auto" w:fill="auto"/>
          </w:tcPr>
          <w:p w:rsidR="00395B24" w:rsidRPr="0049162B" w:rsidRDefault="008C1AE6" w:rsidP="0049162B">
            <w:pPr>
              <w:pStyle w:val="Normal1linespace"/>
              <w:jc w:val="left"/>
            </w:pPr>
            <w:fldSimple w:instr=" REF  FileNo  \* MERGEFORMAT " w:fldLock="1">
              <w:r w:rsidR="0049162B" w:rsidRPr="0049162B">
                <w:t>VID 113 of 2019</w:t>
              </w:r>
            </w:fldSimple>
          </w:p>
        </w:tc>
      </w:tr>
      <w:tr w:rsidR="00395B24" w:rsidTr="00B602F2">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B602F2">
        <w:tc>
          <w:tcPr>
            <w:tcW w:w="3084"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454C6B">
            <w:pPr>
              <w:pStyle w:val="Normal1linespace"/>
              <w:widowControl w:val="0"/>
              <w:jc w:val="left"/>
              <w:rPr>
                <w:b/>
              </w:rPr>
            </w:pPr>
            <w:r w:rsidRPr="0049162B">
              <w:rPr>
                <w:b/>
              </w:rPr>
              <w:fldChar w:fldCharType="begin" w:fldLock="1"/>
            </w:r>
            <w:r w:rsidRPr="0049162B">
              <w:rPr>
                <w:b/>
              </w:rPr>
              <w:instrText xml:space="preserve"> REF  Judge  \* MERGEFORMAT </w:instrText>
            </w:r>
            <w:r w:rsidRPr="0049162B">
              <w:rPr>
                <w:b/>
              </w:rPr>
              <w:fldChar w:fldCharType="separate"/>
            </w:r>
            <w:r w:rsidR="0049162B" w:rsidRPr="0049162B">
              <w:rPr>
                <w:b/>
                <w:caps/>
                <w:szCs w:val="24"/>
              </w:rPr>
              <w:t>BEACH J</w:t>
            </w:r>
            <w:r w:rsidRPr="0049162B">
              <w:rPr>
                <w:b/>
              </w:rPr>
              <w:fldChar w:fldCharType="end"/>
            </w:r>
          </w:p>
        </w:tc>
      </w:tr>
      <w:tr w:rsidR="00395B24" w:rsidTr="00B602F2">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B602F2">
        <w:tc>
          <w:tcPr>
            <w:tcW w:w="3084" w:type="dxa"/>
            <w:shd w:val="clear" w:color="auto" w:fill="auto"/>
          </w:tcPr>
          <w:p w:rsidR="00395B24" w:rsidRPr="00F31B36" w:rsidRDefault="002C7385" w:rsidP="00663878">
            <w:pPr>
              <w:pStyle w:val="Normal1linespace"/>
              <w:widowControl w:val="0"/>
              <w:jc w:val="left"/>
            </w:pPr>
            <w:r w:rsidRPr="00F31B36">
              <w:t>Date of judgment:</w:t>
            </w:r>
          </w:p>
        </w:tc>
        <w:tc>
          <w:tcPr>
            <w:tcW w:w="5989" w:type="dxa"/>
            <w:shd w:val="clear" w:color="auto" w:fill="auto"/>
          </w:tcPr>
          <w:p w:rsidR="00395B24" w:rsidRPr="00F31B36" w:rsidRDefault="00A918A0" w:rsidP="00663878">
            <w:pPr>
              <w:pStyle w:val="Normal1linespace"/>
              <w:widowControl w:val="0"/>
              <w:jc w:val="left"/>
            </w:pPr>
            <w:bookmarkStart w:id="1" w:name="JudgmentDate"/>
            <w:r w:rsidRPr="00F31B36">
              <w:t>28</w:t>
            </w:r>
            <w:r w:rsidR="0049162B" w:rsidRPr="00F31B36">
              <w:t xml:space="preserve"> May 2021</w:t>
            </w:r>
            <w:bookmarkEnd w:id="1"/>
          </w:p>
        </w:tc>
      </w:tr>
      <w:tr w:rsidR="00395B24" w:rsidTr="00B602F2">
        <w:tc>
          <w:tcPr>
            <w:tcW w:w="3084" w:type="dxa"/>
            <w:shd w:val="clear" w:color="auto" w:fill="auto"/>
          </w:tcPr>
          <w:p w:rsidR="00395B24" w:rsidRPr="00F31B36" w:rsidRDefault="00395B24" w:rsidP="00663878">
            <w:pPr>
              <w:pStyle w:val="Normal1linespace"/>
              <w:widowControl w:val="0"/>
              <w:jc w:val="left"/>
            </w:pPr>
          </w:p>
        </w:tc>
        <w:tc>
          <w:tcPr>
            <w:tcW w:w="5989" w:type="dxa"/>
            <w:shd w:val="clear" w:color="auto" w:fill="auto"/>
          </w:tcPr>
          <w:p w:rsidR="00395B24" w:rsidRPr="00F31B36" w:rsidRDefault="00395B24" w:rsidP="00663878">
            <w:pPr>
              <w:pStyle w:val="Normal1linespace"/>
              <w:widowControl w:val="0"/>
              <w:jc w:val="left"/>
            </w:pPr>
          </w:p>
        </w:tc>
      </w:tr>
      <w:tr w:rsidR="00395B24" w:rsidTr="00B602F2">
        <w:tc>
          <w:tcPr>
            <w:tcW w:w="3084" w:type="dxa"/>
            <w:shd w:val="clear" w:color="auto" w:fill="auto"/>
          </w:tcPr>
          <w:p w:rsidR="00395B24" w:rsidRPr="00F31B36" w:rsidRDefault="002C7385" w:rsidP="00663878">
            <w:pPr>
              <w:pStyle w:val="Normal1linespace"/>
              <w:widowControl w:val="0"/>
              <w:jc w:val="left"/>
            </w:pPr>
            <w:r w:rsidRPr="00F31B36">
              <w:t>Catchwords:</w:t>
            </w:r>
          </w:p>
        </w:tc>
        <w:tc>
          <w:tcPr>
            <w:tcW w:w="5989" w:type="dxa"/>
            <w:shd w:val="clear" w:color="auto" w:fill="auto"/>
          </w:tcPr>
          <w:p w:rsidR="00395B24" w:rsidRPr="00F31B36" w:rsidRDefault="00F75307" w:rsidP="00454C6B">
            <w:pPr>
              <w:pStyle w:val="Normal1linespace"/>
              <w:widowControl w:val="0"/>
              <w:jc w:val="left"/>
            </w:pPr>
            <w:bookmarkStart w:id="2" w:name="Catchwords"/>
            <w:r w:rsidRPr="00F31B36">
              <w:rPr>
                <w:b/>
              </w:rPr>
              <w:t>CONSUMER LAW</w:t>
            </w:r>
            <w:r w:rsidRPr="00F31B36">
              <w:t xml:space="preserve"> – Fearless Girl statue – replica – future display – consequential orders – need for disclaimer – costs – apportionment of costs – indemnity costs – orders made</w:t>
            </w:r>
            <w:r w:rsidR="002C7385" w:rsidRPr="00F31B36">
              <w:t xml:space="preserve"> </w:t>
            </w:r>
            <w:bookmarkEnd w:id="2"/>
          </w:p>
        </w:tc>
      </w:tr>
      <w:tr w:rsidR="00395B24" w:rsidTr="00B602F2">
        <w:tc>
          <w:tcPr>
            <w:tcW w:w="3084" w:type="dxa"/>
            <w:shd w:val="clear" w:color="auto" w:fill="auto"/>
          </w:tcPr>
          <w:p w:rsidR="00395B24" w:rsidRPr="00F31B36" w:rsidRDefault="00395B24" w:rsidP="00663878">
            <w:pPr>
              <w:pStyle w:val="Normal1linespace"/>
              <w:widowControl w:val="0"/>
              <w:jc w:val="left"/>
            </w:pPr>
          </w:p>
        </w:tc>
        <w:tc>
          <w:tcPr>
            <w:tcW w:w="5989" w:type="dxa"/>
            <w:shd w:val="clear" w:color="auto" w:fill="auto"/>
          </w:tcPr>
          <w:p w:rsidR="00395B24" w:rsidRPr="00F31B36" w:rsidRDefault="00395B24" w:rsidP="00663878">
            <w:pPr>
              <w:pStyle w:val="Normal1linespace"/>
              <w:widowControl w:val="0"/>
              <w:jc w:val="left"/>
            </w:pPr>
          </w:p>
        </w:tc>
      </w:tr>
      <w:tr w:rsidR="00395B24" w:rsidTr="00B602F2">
        <w:tc>
          <w:tcPr>
            <w:tcW w:w="3084" w:type="dxa"/>
            <w:shd w:val="clear" w:color="auto" w:fill="auto"/>
          </w:tcPr>
          <w:p w:rsidR="00395B24" w:rsidRPr="00F31B36" w:rsidRDefault="002C7385" w:rsidP="00663878">
            <w:pPr>
              <w:pStyle w:val="Normal1linespace"/>
              <w:widowControl w:val="0"/>
              <w:jc w:val="left"/>
            </w:pPr>
            <w:r w:rsidRPr="00F31B36">
              <w:t>Legislation:</w:t>
            </w:r>
          </w:p>
        </w:tc>
        <w:tc>
          <w:tcPr>
            <w:tcW w:w="5989" w:type="dxa"/>
            <w:shd w:val="clear" w:color="auto" w:fill="auto"/>
          </w:tcPr>
          <w:p w:rsidR="00395B24" w:rsidRPr="00F31B36" w:rsidRDefault="00A15D33" w:rsidP="00F31B36">
            <w:pPr>
              <w:pStyle w:val="CasesLegislationAppealFrom"/>
              <w:spacing w:after="60"/>
            </w:pPr>
            <w:bookmarkStart w:id="3" w:name="Legislation"/>
            <w:r w:rsidRPr="00F31B36">
              <w:rPr>
                <w:i/>
              </w:rPr>
              <w:t>Federal Court Rules 2011</w:t>
            </w:r>
            <w:r w:rsidRPr="00F31B36">
              <w:t xml:space="preserve"> (</w:t>
            </w:r>
            <w:proofErr w:type="spellStart"/>
            <w:r w:rsidRPr="00F31B36">
              <w:t>Cth</w:t>
            </w:r>
            <w:proofErr w:type="spellEnd"/>
            <w:r w:rsidRPr="00F31B36">
              <w:t xml:space="preserve">) </w:t>
            </w:r>
            <w:proofErr w:type="spellStart"/>
            <w:r w:rsidRPr="00F31B36">
              <w:t>r</w:t>
            </w:r>
            <w:r w:rsidR="00972793" w:rsidRPr="00F31B36">
              <w:t>r</w:t>
            </w:r>
            <w:proofErr w:type="spellEnd"/>
            <w:r w:rsidRPr="00F31B36">
              <w:t> </w:t>
            </w:r>
            <w:r w:rsidR="00972793" w:rsidRPr="00F31B36">
              <w:t>25.0</w:t>
            </w:r>
            <w:r w:rsidR="00200460" w:rsidRPr="00F31B36">
              <w:t>1</w:t>
            </w:r>
            <w:r w:rsidR="00972793" w:rsidRPr="00F31B36">
              <w:t xml:space="preserve">, </w:t>
            </w:r>
            <w:r w:rsidRPr="00F31B36">
              <w:t>25.14(2)</w:t>
            </w:r>
            <w:bookmarkEnd w:id="3"/>
          </w:p>
        </w:tc>
      </w:tr>
      <w:tr w:rsidR="00395B24" w:rsidTr="00B602F2">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B602F2">
        <w:tc>
          <w:tcPr>
            <w:tcW w:w="3084"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395B24" w:rsidRDefault="0075201C" w:rsidP="00D82620">
            <w:pPr>
              <w:pStyle w:val="CasesLegislationAppealFrom"/>
              <w:spacing w:after="60"/>
            </w:pPr>
            <w:bookmarkStart w:id="4" w:name="Cases_Cited"/>
            <w:r w:rsidRPr="0075201C">
              <w:rPr>
                <w:i/>
              </w:rPr>
              <w:t>State Street Global Advisors Trust Company v Maurice Blackburn Pty Ltd (No 2)</w:t>
            </w:r>
            <w:r w:rsidRPr="0075201C">
              <w:t xml:space="preserve"> [2021] FCA 137</w:t>
            </w:r>
            <w:r w:rsidR="00715751">
              <w:t xml:space="preserve"> </w:t>
            </w:r>
            <w:r w:rsidR="002C7385">
              <w:t xml:space="preserve"> </w:t>
            </w:r>
            <w:bookmarkEnd w:id="4"/>
          </w:p>
        </w:tc>
      </w:tr>
      <w:tr w:rsidR="0049162B" w:rsidTr="00B602F2">
        <w:tc>
          <w:tcPr>
            <w:tcW w:w="3084" w:type="dxa"/>
            <w:shd w:val="clear" w:color="auto" w:fill="auto"/>
          </w:tcPr>
          <w:p w:rsidR="0049162B" w:rsidRDefault="0049162B" w:rsidP="00284379">
            <w:pPr>
              <w:pStyle w:val="Normal1linespace"/>
              <w:widowControl w:val="0"/>
            </w:pPr>
          </w:p>
        </w:tc>
        <w:tc>
          <w:tcPr>
            <w:tcW w:w="5989" w:type="dxa"/>
            <w:shd w:val="clear" w:color="auto" w:fill="auto"/>
          </w:tcPr>
          <w:p w:rsidR="0049162B" w:rsidRDefault="0049162B" w:rsidP="00284379">
            <w:pPr>
              <w:pStyle w:val="Normal1linespace"/>
              <w:widowControl w:val="0"/>
              <w:jc w:val="left"/>
            </w:pPr>
          </w:p>
        </w:tc>
      </w:tr>
      <w:tr w:rsidR="0049162B" w:rsidTr="00B602F2">
        <w:tc>
          <w:tcPr>
            <w:tcW w:w="3084" w:type="dxa"/>
            <w:shd w:val="clear" w:color="auto" w:fill="auto"/>
          </w:tcPr>
          <w:p w:rsidR="0049162B" w:rsidRDefault="0049162B" w:rsidP="00501A12">
            <w:pPr>
              <w:pStyle w:val="Normal1linespace"/>
              <w:widowControl w:val="0"/>
            </w:pPr>
            <w:r>
              <w:t>Division:</w:t>
            </w:r>
          </w:p>
        </w:tc>
        <w:tc>
          <w:tcPr>
            <w:tcW w:w="5989" w:type="dxa"/>
            <w:shd w:val="clear" w:color="auto" w:fill="auto"/>
          </w:tcPr>
          <w:p w:rsidR="0049162B" w:rsidRPr="00F17599" w:rsidRDefault="000B07F8" w:rsidP="00501A12">
            <w:pPr>
              <w:pStyle w:val="Normal1linespace"/>
              <w:widowControl w:val="0"/>
              <w:jc w:val="left"/>
            </w:pPr>
            <w:r>
              <w:fldChar w:fldCharType="begin" w:fldLock="1"/>
            </w:r>
            <w:r>
              <w:instrText xml:space="preserve"> DOCPROPERTY  Division </w:instrText>
            </w:r>
            <w:r>
              <w:fldChar w:fldCharType="separate"/>
            </w:r>
            <w:r w:rsidR="0049162B">
              <w:t>General Division</w:t>
            </w:r>
            <w:r>
              <w:fldChar w:fldCharType="end"/>
            </w:r>
          </w:p>
        </w:tc>
      </w:tr>
      <w:tr w:rsidR="0049162B" w:rsidTr="00B602F2">
        <w:tc>
          <w:tcPr>
            <w:tcW w:w="3084" w:type="dxa"/>
            <w:shd w:val="clear" w:color="auto" w:fill="auto"/>
          </w:tcPr>
          <w:p w:rsidR="0049162B" w:rsidRDefault="0049162B" w:rsidP="00501A12">
            <w:pPr>
              <w:pStyle w:val="Normal1linespace"/>
              <w:widowControl w:val="0"/>
            </w:pPr>
            <w:bookmarkStart w:id="5" w:name="Registry_rows" w:colFirst="0" w:colLast="1"/>
          </w:p>
        </w:tc>
        <w:tc>
          <w:tcPr>
            <w:tcW w:w="5989" w:type="dxa"/>
            <w:shd w:val="clear" w:color="auto" w:fill="auto"/>
          </w:tcPr>
          <w:p w:rsidR="0049162B" w:rsidRDefault="0049162B" w:rsidP="00501A12">
            <w:pPr>
              <w:pStyle w:val="Normal1linespace"/>
              <w:widowControl w:val="0"/>
              <w:jc w:val="left"/>
            </w:pPr>
          </w:p>
        </w:tc>
      </w:tr>
      <w:tr w:rsidR="0049162B" w:rsidTr="00B602F2">
        <w:tc>
          <w:tcPr>
            <w:tcW w:w="3084" w:type="dxa"/>
            <w:shd w:val="clear" w:color="auto" w:fill="auto"/>
          </w:tcPr>
          <w:p w:rsidR="0049162B" w:rsidRDefault="0049162B" w:rsidP="00501A12">
            <w:pPr>
              <w:pStyle w:val="Normal1linespace"/>
              <w:widowControl w:val="0"/>
            </w:pPr>
            <w:r>
              <w:t>Registry:</w:t>
            </w:r>
          </w:p>
        </w:tc>
        <w:tc>
          <w:tcPr>
            <w:tcW w:w="5989" w:type="dxa"/>
            <w:shd w:val="clear" w:color="auto" w:fill="auto"/>
          </w:tcPr>
          <w:p w:rsidR="0049162B" w:rsidRPr="00F17599" w:rsidRDefault="000B07F8" w:rsidP="00501A12">
            <w:pPr>
              <w:pStyle w:val="Normal1linespace"/>
              <w:widowControl w:val="0"/>
              <w:jc w:val="left"/>
            </w:pPr>
            <w:r>
              <w:fldChar w:fldCharType="begin" w:fldLock="1"/>
            </w:r>
            <w:r>
              <w:instrText xml:space="preserve"> DOCPROPERTY  Registry </w:instrText>
            </w:r>
            <w:r>
              <w:fldChar w:fldCharType="separate"/>
            </w:r>
            <w:r w:rsidR="0049162B">
              <w:t>Victoria</w:t>
            </w:r>
            <w:r>
              <w:fldChar w:fldCharType="end"/>
            </w:r>
          </w:p>
        </w:tc>
      </w:tr>
      <w:tr w:rsidR="0049162B" w:rsidTr="00B602F2">
        <w:tc>
          <w:tcPr>
            <w:tcW w:w="3084" w:type="dxa"/>
            <w:shd w:val="clear" w:color="auto" w:fill="auto"/>
          </w:tcPr>
          <w:p w:rsidR="0049162B" w:rsidRDefault="0049162B" w:rsidP="00501A12">
            <w:pPr>
              <w:pStyle w:val="Normal1linespace"/>
              <w:widowControl w:val="0"/>
            </w:pPr>
            <w:bookmarkStart w:id="6" w:name="NPARow" w:colFirst="0" w:colLast="1"/>
            <w:bookmarkEnd w:id="5"/>
          </w:p>
        </w:tc>
        <w:tc>
          <w:tcPr>
            <w:tcW w:w="5989" w:type="dxa"/>
            <w:shd w:val="clear" w:color="auto" w:fill="auto"/>
          </w:tcPr>
          <w:p w:rsidR="0049162B" w:rsidRPr="00F17599" w:rsidRDefault="0049162B" w:rsidP="00501A12">
            <w:pPr>
              <w:pStyle w:val="Normal1linespace"/>
              <w:widowControl w:val="0"/>
              <w:jc w:val="left"/>
              <w:rPr>
                <w:b/>
              </w:rPr>
            </w:pPr>
          </w:p>
        </w:tc>
      </w:tr>
      <w:tr w:rsidR="0049162B" w:rsidTr="00B602F2">
        <w:tc>
          <w:tcPr>
            <w:tcW w:w="3084" w:type="dxa"/>
            <w:shd w:val="clear" w:color="auto" w:fill="auto"/>
          </w:tcPr>
          <w:p w:rsidR="0049162B" w:rsidRDefault="0049162B" w:rsidP="00501A12">
            <w:pPr>
              <w:pStyle w:val="Normal1linespace"/>
              <w:widowControl w:val="0"/>
            </w:pPr>
            <w:r>
              <w:t>National Practice Area:</w:t>
            </w:r>
          </w:p>
        </w:tc>
        <w:tc>
          <w:tcPr>
            <w:tcW w:w="5989" w:type="dxa"/>
            <w:shd w:val="clear" w:color="auto" w:fill="auto"/>
          </w:tcPr>
          <w:p w:rsidR="0049162B" w:rsidRPr="00F17599" w:rsidRDefault="000B07F8" w:rsidP="00284379">
            <w:pPr>
              <w:pStyle w:val="Normal1linespace"/>
              <w:widowControl w:val="0"/>
              <w:jc w:val="left"/>
              <w:rPr>
                <w:b/>
              </w:rPr>
            </w:pPr>
            <w:r>
              <w:fldChar w:fldCharType="begin" w:fldLock="1"/>
            </w:r>
            <w:r>
              <w:instrText xml:space="preserve"> DOCPROPERTY  "Practice Area"  \* MERGEFORMAT </w:instrText>
            </w:r>
            <w:r>
              <w:fldChar w:fldCharType="separate"/>
            </w:r>
            <w:r w:rsidR="0049162B">
              <w:t>Intellectual Property</w:t>
            </w:r>
            <w:r>
              <w:fldChar w:fldCharType="end"/>
            </w:r>
          </w:p>
        </w:tc>
      </w:tr>
      <w:tr w:rsidR="0049162B" w:rsidTr="00B602F2">
        <w:tc>
          <w:tcPr>
            <w:tcW w:w="3084" w:type="dxa"/>
            <w:shd w:val="clear" w:color="auto" w:fill="auto"/>
          </w:tcPr>
          <w:p w:rsidR="0049162B" w:rsidRDefault="0049162B" w:rsidP="00501A12">
            <w:pPr>
              <w:pStyle w:val="Normal1linespace"/>
              <w:widowControl w:val="0"/>
            </w:pPr>
            <w:bookmarkStart w:id="7" w:name="SubAreaRow" w:colFirst="0" w:colLast="1"/>
            <w:bookmarkEnd w:id="6"/>
          </w:p>
        </w:tc>
        <w:tc>
          <w:tcPr>
            <w:tcW w:w="5989" w:type="dxa"/>
            <w:shd w:val="clear" w:color="auto" w:fill="auto"/>
          </w:tcPr>
          <w:p w:rsidR="0049162B" w:rsidRDefault="0049162B" w:rsidP="00284379">
            <w:pPr>
              <w:pStyle w:val="Normal1linespace"/>
              <w:widowControl w:val="0"/>
              <w:jc w:val="left"/>
            </w:pPr>
          </w:p>
        </w:tc>
      </w:tr>
      <w:tr w:rsidR="0049162B" w:rsidTr="00B602F2">
        <w:tc>
          <w:tcPr>
            <w:tcW w:w="3084" w:type="dxa"/>
            <w:shd w:val="clear" w:color="auto" w:fill="auto"/>
          </w:tcPr>
          <w:p w:rsidR="0049162B" w:rsidRDefault="0049162B" w:rsidP="00501A12">
            <w:pPr>
              <w:pStyle w:val="Normal1linespace"/>
              <w:widowControl w:val="0"/>
            </w:pPr>
            <w:r>
              <w:t>Sub-area:</w:t>
            </w:r>
          </w:p>
        </w:tc>
        <w:tc>
          <w:tcPr>
            <w:tcW w:w="5989" w:type="dxa"/>
            <w:shd w:val="clear" w:color="auto" w:fill="auto"/>
          </w:tcPr>
          <w:p w:rsidR="0049162B" w:rsidRPr="00837288" w:rsidRDefault="000B07F8" w:rsidP="00284379">
            <w:pPr>
              <w:pStyle w:val="Normal1linespace"/>
              <w:widowControl w:val="0"/>
              <w:jc w:val="left"/>
            </w:pPr>
            <w:r>
              <w:fldChar w:fldCharType="begin" w:fldLock="1"/>
            </w:r>
            <w:r>
              <w:instrText xml:space="preserve"> DOCPROPERTY  "Sub Area"  \* MERGEFORMAT </w:instrText>
            </w:r>
            <w:r>
              <w:fldChar w:fldCharType="separate"/>
            </w:r>
            <w:r w:rsidR="0049162B" w:rsidRPr="0049162B">
              <w:rPr>
                <w:lang w:val="en-US"/>
              </w:rPr>
              <w:t>Trade Marks</w:t>
            </w:r>
            <w:r>
              <w:rPr>
                <w:lang w:val="en-US"/>
              </w:rPr>
              <w:fldChar w:fldCharType="end"/>
            </w:r>
          </w:p>
        </w:tc>
      </w:tr>
      <w:bookmarkEnd w:id="7"/>
      <w:tr w:rsidR="0049162B" w:rsidTr="00B602F2">
        <w:tc>
          <w:tcPr>
            <w:tcW w:w="3084" w:type="dxa"/>
            <w:shd w:val="clear" w:color="auto" w:fill="auto"/>
          </w:tcPr>
          <w:p w:rsidR="0049162B" w:rsidRDefault="0049162B" w:rsidP="00501A12">
            <w:pPr>
              <w:pStyle w:val="Normal1linespace"/>
              <w:widowControl w:val="0"/>
            </w:pPr>
          </w:p>
        </w:tc>
        <w:tc>
          <w:tcPr>
            <w:tcW w:w="5989" w:type="dxa"/>
            <w:shd w:val="clear" w:color="auto" w:fill="auto"/>
          </w:tcPr>
          <w:p w:rsidR="0049162B" w:rsidRDefault="0049162B" w:rsidP="00501A12">
            <w:pPr>
              <w:pStyle w:val="Normal1linespace"/>
              <w:widowControl w:val="0"/>
              <w:jc w:val="left"/>
            </w:pPr>
          </w:p>
        </w:tc>
      </w:tr>
      <w:tr w:rsidR="0049162B" w:rsidTr="00B602F2">
        <w:tc>
          <w:tcPr>
            <w:tcW w:w="3084" w:type="dxa"/>
            <w:shd w:val="clear" w:color="auto" w:fill="auto"/>
          </w:tcPr>
          <w:p w:rsidR="0049162B" w:rsidRDefault="0049162B" w:rsidP="00501A12">
            <w:pPr>
              <w:pStyle w:val="Normal1linespace"/>
              <w:widowControl w:val="0"/>
            </w:pPr>
            <w:r>
              <w:t>Number of paragraphs:</w:t>
            </w:r>
          </w:p>
        </w:tc>
        <w:tc>
          <w:tcPr>
            <w:tcW w:w="5989" w:type="dxa"/>
            <w:shd w:val="clear" w:color="auto" w:fill="auto"/>
          </w:tcPr>
          <w:p w:rsidR="0049162B" w:rsidRPr="0081295F" w:rsidRDefault="00B602F2" w:rsidP="00501A12">
            <w:pPr>
              <w:pStyle w:val="Normal1linespace"/>
              <w:widowControl w:val="0"/>
              <w:jc w:val="left"/>
            </w:pPr>
            <w:bookmarkStart w:id="8" w:name="PlaceCategoryParagraphs"/>
            <w:r>
              <w:t>47</w:t>
            </w:r>
            <w:bookmarkEnd w:id="8"/>
          </w:p>
        </w:tc>
      </w:tr>
      <w:tr w:rsidR="0049162B" w:rsidTr="00B602F2">
        <w:tc>
          <w:tcPr>
            <w:tcW w:w="3084" w:type="dxa"/>
            <w:shd w:val="clear" w:color="auto" w:fill="auto"/>
          </w:tcPr>
          <w:p w:rsidR="0049162B" w:rsidRDefault="0049162B" w:rsidP="0049162B">
            <w:pPr>
              <w:pStyle w:val="Normal1linespace"/>
              <w:widowControl w:val="0"/>
              <w:jc w:val="left"/>
            </w:pPr>
          </w:p>
        </w:tc>
        <w:tc>
          <w:tcPr>
            <w:tcW w:w="5989" w:type="dxa"/>
            <w:shd w:val="clear" w:color="auto" w:fill="auto"/>
          </w:tcPr>
          <w:p w:rsidR="0049162B" w:rsidRDefault="0049162B" w:rsidP="0049162B">
            <w:pPr>
              <w:pStyle w:val="Normal1linespace"/>
              <w:widowControl w:val="0"/>
              <w:jc w:val="left"/>
            </w:pPr>
          </w:p>
        </w:tc>
      </w:tr>
      <w:tr w:rsidR="0049162B" w:rsidTr="00B602F2">
        <w:tc>
          <w:tcPr>
            <w:tcW w:w="3084" w:type="dxa"/>
            <w:shd w:val="clear" w:color="auto" w:fill="auto"/>
          </w:tcPr>
          <w:p w:rsidR="0049162B" w:rsidRDefault="0049162B" w:rsidP="0049162B">
            <w:pPr>
              <w:pStyle w:val="Normal1linespace"/>
              <w:widowControl w:val="0"/>
              <w:jc w:val="left"/>
            </w:pPr>
            <w:r>
              <w:t>Date of last submissions:</w:t>
            </w:r>
          </w:p>
        </w:tc>
        <w:tc>
          <w:tcPr>
            <w:tcW w:w="5989" w:type="dxa"/>
            <w:shd w:val="clear" w:color="auto" w:fill="auto"/>
          </w:tcPr>
          <w:p w:rsidR="0049162B" w:rsidRDefault="0049162B" w:rsidP="0049162B">
            <w:pPr>
              <w:pStyle w:val="Normal1linespace"/>
              <w:widowControl w:val="0"/>
              <w:jc w:val="left"/>
            </w:pPr>
            <w:r>
              <w:t>7 May 2021</w:t>
            </w:r>
          </w:p>
        </w:tc>
      </w:tr>
      <w:tr w:rsidR="0049162B" w:rsidTr="00B602F2">
        <w:tc>
          <w:tcPr>
            <w:tcW w:w="3084" w:type="dxa"/>
            <w:shd w:val="clear" w:color="auto" w:fill="auto"/>
          </w:tcPr>
          <w:p w:rsidR="0049162B" w:rsidRDefault="0049162B" w:rsidP="0049162B">
            <w:pPr>
              <w:pStyle w:val="Normal1linespace"/>
              <w:widowControl w:val="0"/>
              <w:jc w:val="left"/>
            </w:pPr>
          </w:p>
        </w:tc>
        <w:tc>
          <w:tcPr>
            <w:tcW w:w="5989" w:type="dxa"/>
            <w:shd w:val="clear" w:color="auto" w:fill="auto"/>
          </w:tcPr>
          <w:p w:rsidR="0049162B" w:rsidRDefault="0049162B" w:rsidP="0049162B">
            <w:pPr>
              <w:pStyle w:val="Normal1linespace"/>
              <w:widowControl w:val="0"/>
              <w:jc w:val="left"/>
            </w:pPr>
          </w:p>
        </w:tc>
      </w:tr>
      <w:tr w:rsidR="0049162B" w:rsidTr="00B602F2">
        <w:tc>
          <w:tcPr>
            <w:tcW w:w="3084" w:type="dxa"/>
            <w:shd w:val="clear" w:color="auto" w:fill="auto"/>
          </w:tcPr>
          <w:p w:rsidR="0049162B" w:rsidRDefault="0049162B" w:rsidP="0049162B">
            <w:pPr>
              <w:pStyle w:val="Normal1linespace"/>
              <w:widowControl w:val="0"/>
              <w:jc w:val="left"/>
            </w:pPr>
            <w:bookmarkStart w:id="9" w:name="CounselDate" w:colFirst="0" w:colLast="2"/>
            <w:r w:rsidRPr="006A24E3">
              <w:t>Date of hearing:</w:t>
            </w:r>
          </w:p>
        </w:tc>
        <w:tc>
          <w:tcPr>
            <w:tcW w:w="5989" w:type="dxa"/>
            <w:shd w:val="clear" w:color="auto" w:fill="auto"/>
          </w:tcPr>
          <w:p w:rsidR="0049162B" w:rsidRDefault="0049162B" w:rsidP="0049162B">
            <w:pPr>
              <w:pStyle w:val="Normal1linespace"/>
              <w:widowControl w:val="0"/>
              <w:jc w:val="left"/>
            </w:pPr>
            <w:bookmarkStart w:id="10" w:name="HearingDate"/>
            <w:r>
              <w:t xml:space="preserve">Determined on the papers </w:t>
            </w:r>
            <w:bookmarkEnd w:id="10"/>
          </w:p>
        </w:tc>
      </w:tr>
      <w:tr w:rsidR="0049162B" w:rsidTr="00B602F2">
        <w:tc>
          <w:tcPr>
            <w:tcW w:w="3084" w:type="dxa"/>
            <w:shd w:val="clear" w:color="auto" w:fill="auto"/>
          </w:tcPr>
          <w:p w:rsidR="0049162B" w:rsidRDefault="0049162B" w:rsidP="0049162B">
            <w:pPr>
              <w:pStyle w:val="Normal1linespace"/>
              <w:widowControl w:val="0"/>
              <w:jc w:val="left"/>
            </w:pPr>
          </w:p>
        </w:tc>
        <w:tc>
          <w:tcPr>
            <w:tcW w:w="5989" w:type="dxa"/>
            <w:shd w:val="clear" w:color="auto" w:fill="auto"/>
          </w:tcPr>
          <w:p w:rsidR="0049162B" w:rsidRDefault="0049162B" w:rsidP="0049162B">
            <w:pPr>
              <w:pStyle w:val="Normal1linespace"/>
              <w:widowControl w:val="0"/>
              <w:jc w:val="left"/>
            </w:pPr>
          </w:p>
        </w:tc>
      </w:tr>
      <w:tr w:rsidR="0049162B" w:rsidTr="00B602F2">
        <w:tc>
          <w:tcPr>
            <w:tcW w:w="3084" w:type="dxa"/>
            <w:shd w:val="clear" w:color="auto" w:fill="auto"/>
          </w:tcPr>
          <w:p w:rsidR="0049162B" w:rsidRPr="0049162B" w:rsidRDefault="0049162B" w:rsidP="0049162B">
            <w:pPr>
              <w:pStyle w:val="Normal1linespace"/>
              <w:widowControl w:val="0"/>
              <w:jc w:val="left"/>
            </w:pPr>
            <w:bookmarkStart w:id="11" w:name="Place_rows" w:colFirst="0" w:colLast="1"/>
            <w:r>
              <w:t>Counsel for the Applicant</w:t>
            </w:r>
            <w:r w:rsidR="00DD127E">
              <w:t>s</w:t>
            </w:r>
            <w:r>
              <w:t>:</w:t>
            </w:r>
          </w:p>
        </w:tc>
        <w:tc>
          <w:tcPr>
            <w:tcW w:w="5989" w:type="dxa"/>
            <w:shd w:val="clear" w:color="auto" w:fill="auto"/>
          </w:tcPr>
          <w:p w:rsidR="0049162B" w:rsidRPr="0049162B" w:rsidRDefault="0049162B" w:rsidP="0049162B">
            <w:pPr>
              <w:pStyle w:val="Normal1linespace"/>
              <w:widowControl w:val="0"/>
              <w:jc w:val="left"/>
            </w:pPr>
            <w:r>
              <w:t xml:space="preserve">Mr DB </w:t>
            </w:r>
            <w:proofErr w:type="spellStart"/>
            <w:r>
              <w:t>Studdy</w:t>
            </w:r>
            <w:proofErr w:type="spellEnd"/>
            <w:r>
              <w:t xml:space="preserve"> SC with Mr MB Fleming </w:t>
            </w:r>
          </w:p>
        </w:tc>
      </w:tr>
      <w:tr w:rsidR="0049162B" w:rsidTr="00B602F2">
        <w:tc>
          <w:tcPr>
            <w:tcW w:w="3084" w:type="dxa"/>
            <w:shd w:val="clear" w:color="auto" w:fill="auto"/>
          </w:tcPr>
          <w:p w:rsidR="0049162B" w:rsidRDefault="0049162B" w:rsidP="0049162B">
            <w:pPr>
              <w:pStyle w:val="Normal1linespace"/>
              <w:widowControl w:val="0"/>
              <w:jc w:val="left"/>
            </w:pPr>
          </w:p>
        </w:tc>
        <w:tc>
          <w:tcPr>
            <w:tcW w:w="5989" w:type="dxa"/>
            <w:shd w:val="clear" w:color="auto" w:fill="auto"/>
          </w:tcPr>
          <w:p w:rsidR="0049162B" w:rsidRDefault="0049162B" w:rsidP="0049162B">
            <w:pPr>
              <w:pStyle w:val="Normal1linespace"/>
              <w:widowControl w:val="0"/>
              <w:jc w:val="left"/>
            </w:pPr>
          </w:p>
        </w:tc>
      </w:tr>
      <w:tr w:rsidR="0049162B" w:rsidTr="00B602F2">
        <w:tc>
          <w:tcPr>
            <w:tcW w:w="3084" w:type="dxa"/>
            <w:shd w:val="clear" w:color="auto" w:fill="auto"/>
          </w:tcPr>
          <w:p w:rsidR="0049162B" w:rsidRDefault="0049162B" w:rsidP="0049162B">
            <w:pPr>
              <w:pStyle w:val="Normal1linespace"/>
              <w:widowControl w:val="0"/>
              <w:jc w:val="left"/>
            </w:pPr>
            <w:r>
              <w:t>Solicitor for the Applicant</w:t>
            </w:r>
            <w:r w:rsidR="00DD127E">
              <w:t>s</w:t>
            </w:r>
            <w:r>
              <w:t>:</w:t>
            </w:r>
          </w:p>
        </w:tc>
        <w:tc>
          <w:tcPr>
            <w:tcW w:w="5989" w:type="dxa"/>
            <w:shd w:val="clear" w:color="auto" w:fill="auto"/>
          </w:tcPr>
          <w:p w:rsidR="0049162B" w:rsidRDefault="0049162B" w:rsidP="0049162B">
            <w:pPr>
              <w:pStyle w:val="Normal1linespace"/>
              <w:widowControl w:val="0"/>
              <w:jc w:val="left"/>
            </w:pPr>
            <w:r>
              <w:t xml:space="preserve">Gilbert + Tobin </w:t>
            </w:r>
          </w:p>
        </w:tc>
      </w:tr>
      <w:tr w:rsidR="0049162B" w:rsidTr="00B602F2">
        <w:tc>
          <w:tcPr>
            <w:tcW w:w="3084" w:type="dxa"/>
            <w:shd w:val="clear" w:color="auto" w:fill="auto"/>
          </w:tcPr>
          <w:p w:rsidR="0049162B" w:rsidRDefault="0049162B" w:rsidP="0049162B">
            <w:pPr>
              <w:pStyle w:val="Normal1linespace"/>
              <w:widowControl w:val="0"/>
              <w:jc w:val="left"/>
            </w:pPr>
          </w:p>
        </w:tc>
        <w:tc>
          <w:tcPr>
            <w:tcW w:w="5989" w:type="dxa"/>
            <w:shd w:val="clear" w:color="auto" w:fill="auto"/>
          </w:tcPr>
          <w:p w:rsidR="0049162B" w:rsidRDefault="0049162B" w:rsidP="0049162B">
            <w:pPr>
              <w:pStyle w:val="Normal1linespace"/>
              <w:widowControl w:val="0"/>
              <w:jc w:val="left"/>
            </w:pPr>
          </w:p>
        </w:tc>
      </w:tr>
      <w:tr w:rsidR="0049162B" w:rsidTr="00B602F2">
        <w:tc>
          <w:tcPr>
            <w:tcW w:w="3084" w:type="dxa"/>
            <w:shd w:val="clear" w:color="auto" w:fill="auto"/>
          </w:tcPr>
          <w:p w:rsidR="0049162B" w:rsidRDefault="0049162B" w:rsidP="0049162B">
            <w:pPr>
              <w:pStyle w:val="Normal1linespace"/>
              <w:widowControl w:val="0"/>
              <w:jc w:val="left"/>
            </w:pPr>
            <w:r>
              <w:t>Counsel for the First Respondent:</w:t>
            </w:r>
          </w:p>
        </w:tc>
        <w:tc>
          <w:tcPr>
            <w:tcW w:w="5989" w:type="dxa"/>
            <w:shd w:val="clear" w:color="auto" w:fill="auto"/>
          </w:tcPr>
          <w:p w:rsidR="0049162B" w:rsidRDefault="0049162B" w:rsidP="0049162B">
            <w:pPr>
              <w:pStyle w:val="Normal1linespace"/>
              <w:widowControl w:val="0"/>
              <w:jc w:val="left"/>
            </w:pPr>
            <w:r>
              <w:t xml:space="preserve">Mr CD </w:t>
            </w:r>
            <w:proofErr w:type="spellStart"/>
            <w:r>
              <w:t>Golvan</w:t>
            </w:r>
            <w:proofErr w:type="spellEnd"/>
            <w:r>
              <w:t xml:space="preserve"> QC with Ms M Marcus </w:t>
            </w:r>
          </w:p>
        </w:tc>
      </w:tr>
      <w:tr w:rsidR="00E5026F" w:rsidTr="00B602F2">
        <w:tc>
          <w:tcPr>
            <w:tcW w:w="3084" w:type="dxa"/>
            <w:shd w:val="clear" w:color="auto" w:fill="auto"/>
          </w:tcPr>
          <w:p w:rsidR="00E5026F" w:rsidRDefault="00E5026F" w:rsidP="0049162B">
            <w:pPr>
              <w:pStyle w:val="Normal1linespace"/>
              <w:widowControl w:val="0"/>
              <w:jc w:val="left"/>
            </w:pPr>
          </w:p>
        </w:tc>
        <w:tc>
          <w:tcPr>
            <w:tcW w:w="5989" w:type="dxa"/>
            <w:shd w:val="clear" w:color="auto" w:fill="auto"/>
          </w:tcPr>
          <w:p w:rsidR="00E5026F" w:rsidRDefault="00E5026F" w:rsidP="0049162B">
            <w:pPr>
              <w:pStyle w:val="Normal1linespace"/>
              <w:widowControl w:val="0"/>
              <w:jc w:val="left"/>
            </w:pPr>
          </w:p>
        </w:tc>
      </w:tr>
      <w:tr w:rsidR="00E5026F" w:rsidTr="00B602F2">
        <w:tc>
          <w:tcPr>
            <w:tcW w:w="3084" w:type="dxa"/>
            <w:shd w:val="clear" w:color="auto" w:fill="auto"/>
          </w:tcPr>
          <w:p w:rsidR="00E5026F" w:rsidRDefault="00E5026F" w:rsidP="0049162B">
            <w:pPr>
              <w:pStyle w:val="Normal1linespace"/>
              <w:widowControl w:val="0"/>
              <w:jc w:val="left"/>
            </w:pPr>
            <w:r>
              <w:t>Solicitor for the First Respondent:</w:t>
            </w:r>
          </w:p>
        </w:tc>
        <w:tc>
          <w:tcPr>
            <w:tcW w:w="5989" w:type="dxa"/>
            <w:shd w:val="clear" w:color="auto" w:fill="auto"/>
          </w:tcPr>
          <w:p w:rsidR="00E5026F" w:rsidRDefault="00E5026F" w:rsidP="00E5026F">
            <w:pPr>
              <w:pStyle w:val="Normal1linespace"/>
              <w:widowControl w:val="0"/>
              <w:jc w:val="left"/>
            </w:pPr>
            <w:r>
              <w:t>Simpsons Solicitors</w:t>
            </w:r>
          </w:p>
        </w:tc>
      </w:tr>
      <w:bookmarkEnd w:id="9"/>
      <w:bookmarkEnd w:id="11"/>
    </w:tbl>
    <w:p w:rsidR="00E94CBF" w:rsidRDefault="00E94CBF">
      <w:pPr>
        <w:pStyle w:val="Normal1linespace"/>
      </w:pPr>
    </w:p>
    <w:p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49162B" w:rsidP="00F92355">
            <w:pPr>
              <w:pStyle w:val="NormalHeadings"/>
              <w:jc w:val="right"/>
            </w:pPr>
            <w:bookmarkStart w:id="12" w:name="FileNo"/>
            <w:r>
              <w:t>VID 113 of 2019</w:t>
            </w:r>
            <w:bookmarkEnd w:id="12"/>
          </w:p>
        </w:tc>
      </w:tr>
      <w:tr w:rsidR="00A76C13" w:rsidTr="00284379">
        <w:tc>
          <w:tcPr>
            <w:tcW w:w="9242" w:type="dxa"/>
            <w:gridSpan w:val="3"/>
          </w:tcPr>
          <w:p w:rsidR="00A76C13" w:rsidRPr="00A76C13" w:rsidRDefault="0049162B" w:rsidP="0049162B">
            <w:pPr>
              <w:pStyle w:val="NormalHeadings"/>
              <w:jc w:val="left"/>
            </w:pPr>
            <w:bookmarkStart w:id="13" w:name="InTheMatterOf"/>
            <w:r>
              <w:t xml:space="preserve"> </w:t>
            </w:r>
            <w:bookmarkEnd w:id="13"/>
          </w:p>
        </w:tc>
      </w:tr>
      <w:tr w:rsidR="00A46CCC" w:rsidTr="00284379">
        <w:trPr>
          <w:trHeight w:val="386"/>
        </w:trPr>
        <w:tc>
          <w:tcPr>
            <w:tcW w:w="2376" w:type="dxa"/>
          </w:tcPr>
          <w:p w:rsidR="00A46CCC" w:rsidRDefault="00A46CCC" w:rsidP="00284379">
            <w:pPr>
              <w:pStyle w:val="NormalHeadings"/>
              <w:jc w:val="left"/>
              <w:rPr>
                <w:caps/>
                <w:szCs w:val="24"/>
              </w:rPr>
            </w:pPr>
            <w:bookmarkStart w:id="14" w:name="Parties"/>
            <w:r>
              <w:rPr>
                <w:caps/>
                <w:szCs w:val="24"/>
              </w:rPr>
              <w:t>BETWEEN:</w:t>
            </w:r>
          </w:p>
        </w:tc>
        <w:tc>
          <w:tcPr>
            <w:tcW w:w="6866" w:type="dxa"/>
            <w:gridSpan w:val="2"/>
          </w:tcPr>
          <w:p w:rsidR="0049162B" w:rsidRDefault="0049162B" w:rsidP="0049162B">
            <w:pPr>
              <w:pStyle w:val="NormalHeadings"/>
              <w:jc w:val="left"/>
            </w:pPr>
            <w:bookmarkStart w:id="15" w:name="Applicant"/>
            <w:r>
              <w:t>STATE STREET GLOBAL ADVISORS TRUST COMPANY</w:t>
            </w:r>
          </w:p>
          <w:p w:rsidR="0049162B" w:rsidRDefault="0049162B" w:rsidP="0049162B">
            <w:pPr>
              <w:pStyle w:val="PartyType"/>
            </w:pPr>
            <w:r>
              <w:t>First Applicant</w:t>
            </w:r>
          </w:p>
          <w:p w:rsidR="0049162B" w:rsidRDefault="0049162B" w:rsidP="00284379">
            <w:pPr>
              <w:pStyle w:val="NormalHeadings"/>
              <w:jc w:val="left"/>
              <w:rPr>
                <w:szCs w:val="24"/>
              </w:rPr>
            </w:pPr>
          </w:p>
          <w:p w:rsidR="0049162B" w:rsidRDefault="0049162B" w:rsidP="0049162B">
            <w:pPr>
              <w:pStyle w:val="NormalHeadings"/>
              <w:jc w:val="left"/>
            </w:pPr>
            <w:r>
              <w:t>STATE STREET GLOBAL ADVISORS AUSTRALIA LTD (ACN 003 914 225)</w:t>
            </w:r>
          </w:p>
          <w:p w:rsidR="0049162B" w:rsidRDefault="0049162B" w:rsidP="0049162B">
            <w:pPr>
              <w:pStyle w:val="PartyType"/>
            </w:pPr>
            <w:r>
              <w:t>Second Applicant</w:t>
            </w:r>
          </w:p>
          <w:bookmarkEnd w:id="15"/>
          <w:p w:rsidR="00A46CCC" w:rsidRPr="006555B4" w:rsidRDefault="00A46CCC" w:rsidP="00284379">
            <w:pPr>
              <w:pStyle w:val="NormalHeadings"/>
              <w:jc w:val="left"/>
            </w:pPr>
          </w:p>
        </w:tc>
      </w:tr>
      <w:tr w:rsidR="00A46CCC" w:rsidTr="00284379">
        <w:trPr>
          <w:trHeight w:val="386"/>
        </w:trPr>
        <w:tc>
          <w:tcPr>
            <w:tcW w:w="2376" w:type="dxa"/>
          </w:tcPr>
          <w:p w:rsidR="00A46CCC" w:rsidRDefault="00A46CCC" w:rsidP="00284379">
            <w:pPr>
              <w:pStyle w:val="NormalHeadings"/>
              <w:jc w:val="left"/>
              <w:rPr>
                <w:caps/>
                <w:szCs w:val="24"/>
              </w:rPr>
            </w:pPr>
            <w:r>
              <w:rPr>
                <w:caps/>
                <w:szCs w:val="24"/>
              </w:rPr>
              <w:t>AND:</w:t>
            </w:r>
          </w:p>
        </w:tc>
        <w:tc>
          <w:tcPr>
            <w:tcW w:w="6866" w:type="dxa"/>
            <w:gridSpan w:val="2"/>
          </w:tcPr>
          <w:p w:rsidR="0049162B" w:rsidRDefault="0049162B" w:rsidP="0049162B">
            <w:pPr>
              <w:pStyle w:val="NormalHeadings"/>
              <w:jc w:val="left"/>
            </w:pPr>
            <w:bookmarkStart w:id="16" w:name="Respondent"/>
            <w:r>
              <w:t>MAURICE BLACKBURN PTY LTD (ABN 21 105 657 949) (TRADING AS MAURICE BLACKBURN LAWYERS)</w:t>
            </w:r>
          </w:p>
          <w:p w:rsidR="0049162B" w:rsidRDefault="0049162B" w:rsidP="0049162B">
            <w:pPr>
              <w:pStyle w:val="PartyType"/>
            </w:pPr>
            <w:r>
              <w:t>First Respondent</w:t>
            </w:r>
          </w:p>
          <w:p w:rsidR="0049162B" w:rsidRDefault="0049162B" w:rsidP="00284379">
            <w:pPr>
              <w:pStyle w:val="NormalHeadings"/>
              <w:jc w:val="left"/>
              <w:rPr>
                <w:szCs w:val="24"/>
              </w:rPr>
            </w:pPr>
          </w:p>
          <w:p w:rsidR="0049162B" w:rsidRDefault="0049162B" w:rsidP="0049162B">
            <w:pPr>
              <w:pStyle w:val="NormalHeadings"/>
              <w:jc w:val="left"/>
            </w:pPr>
            <w:r>
              <w:t>UNITED SUPER PTY LTD (ABN 46 006 261 623) (TRADING AS CBUS SUPER)</w:t>
            </w:r>
          </w:p>
          <w:p w:rsidR="0049162B" w:rsidRDefault="0049162B" w:rsidP="0049162B">
            <w:pPr>
              <w:pStyle w:val="PartyType"/>
            </w:pPr>
            <w:r>
              <w:t>Second Respondent</w:t>
            </w:r>
          </w:p>
          <w:p w:rsidR="0049162B" w:rsidRDefault="0049162B" w:rsidP="00284379">
            <w:pPr>
              <w:pStyle w:val="NormalHeadings"/>
              <w:jc w:val="left"/>
              <w:rPr>
                <w:szCs w:val="24"/>
              </w:rPr>
            </w:pPr>
          </w:p>
          <w:p w:rsidR="0049162B" w:rsidRDefault="0049162B" w:rsidP="0049162B">
            <w:pPr>
              <w:pStyle w:val="NormalHeadings"/>
              <w:jc w:val="left"/>
            </w:pPr>
            <w:r>
              <w:t>H.E.S.T. AUSTRALIA LTD (ABN 66 006 818 695)</w:t>
            </w:r>
          </w:p>
          <w:p w:rsidR="0049162B" w:rsidRDefault="0049162B" w:rsidP="0049162B">
            <w:pPr>
              <w:pStyle w:val="PartyType"/>
            </w:pPr>
            <w:r>
              <w:t>Third Respondent</w:t>
            </w:r>
          </w:p>
          <w:bookmarkEnd w:id="16"/>
          <w:p w:rsidR="00A46CCC" w:rsidRPr="006555B4" w:rsidRDefault="00A46CCC" w:rsidP="00284379">
            <w:pPr>
              <w:pStyle w:val="NormalHeadings"/>
              <w:jc w:val="left"/>
            </w:pPr>
          </w:p>
        </w:tc>
      </w:tr>
    </w:tbl>
    <w:p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rsidR="00395B24" w:rsidRDefault="0049162B" w:rsidP="000055CC">
            <w:pPr>
              <w:pStyle w:val="NormalHeadings"/>
              <w:jc w:val="left"/>
              <w:rPr>
                <w:caps/>
                <w:szCs w:val="24"/>
              </w:rPr>
            </w:pPr>
            <w:bookmarkStart w:id="19" w:name="Judge"/>
            <w:r>
              <w:rPr>
                <w:caps/>
                <w:szCs w:val="24"/>
              </w:rPr>
              <w:t>BEACH J</w:t>
            </w:r>
            <w:bookmarkEnd w:id="19"/>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A918A0">
            <w:pPr>
              <w:pStyle w:val="NormalHeadings"/>
              <w:jc w:val="left"/>
              <w:rPr>
                <w:caps/>
                <w:szCs w:val="24"/>
              </w:rPr>
            </w:pPr>
            <w:bookmarkStart w:id="20" w:name="Judgment_Dated"/>
            <w:r w:rsidRPr="00617CC8">
              <w:rPr>
                <w:caps/>
                <w:szCs w:val="24"/>
              </w:rPr>
              <w:t>28</w:t>
            </w:r>
            <w:r w:rsidR="0049162B" w:rsidRPr="00617CC8">
              <w:rPr>
                <w:caps/>
                <w:szCs w:val="24"/>
              </w:rPr>
              <w:t xml:space="preserve"> M</w:t>
            </w:r>
            <w:r w:rsidR="0049162B">
              <w:rPr>
                <w:caps/>
                <w:szCs w:val="24"/>
              </w:rPr>
              <w:t xml:space="preserve">AY 2021 </w:t>
            </w:r>
            <w:bookmarkEnd w:id="20"/>
          </w:p>
        </w:tc>
      </w:tr>
    </w:tbl>
    <w:p w:rsidR="00395B24" w:rsidRDefault="00395B24">
      <w:pPr>
        <w:pStyle w:val="NormalHeadings"/>
        <w:rPr>
          <w:b w:val="0"/>
        </w:rPr>
      </w:pPr>
    </w:p>
    <w:p w:rsidR="00395B24" w:rsidRDefault="002C7385">
      <w:pPr>
        <w:pStyle w:val="NormalHeadings"/>
      </w:pPr>
      <w:r>
        <w:t>THE COURT ORDERS THAT:</w:t>
      </w:r>
    </w:p>
    <w:p w:rsidR="007F60DF" w:rsidRDefault="007F60DF" w:rsidP="00243E5E">
      <w:pPr>
        <w:pStyle w:val="NormalHeadings"/>
      </w:pPr>
    </w:p>
    <w:p w:rsidR="001A6C52" w:rsidRDefault="00E5026F" w:rsidP="001A6C52">
      <w:pPr>
        <w:pStyle w:val="Order1"/>
      </w:pPr>
      <w:r>
        <w:t>Subject to further order, t</w:t>
      </w:r>
      <w:r w:rsidR="00D166DC">
        <w:t xml:space="preserve">he first respondent shall not make public use or display of the replica </w:t>
      </w:r>
      <w:r w:rsidR="00454C6B">
        <w:t xml:space="preserve">of the “Fearless Girl” statue owned by it </w:t>
      </w:r>
      <w:r w:rsidR="00D166DC">
        <w:t>except where:</w:t>
      </w:r>
    </w:p>
    <w:p w:rsidR="00D166DC" w:rsidRDefault="00670798" w:rsidP="00CC1BAB">
      <w:pPr>
        <w:pStyle w:val="Order2"/>
      </w:pPr>
      <w:r>
        <w:t>t</w:t>
      </w:r>
      <w:r w:rsidR="00CC1BAB">
        <w:t xml:space="preserve">here is no plaque </w:t>
      </w:r>
      <w:r w:rsidR="00454C6B">
        <w:t xml:space="preserve">or other markings </w:t>
      </w:r>
      <w:r w:rsidR="00CC1BAB">
        <w:t xml:space="preserve">used with or on the replica; or </w:t>
      </w:r>
    </w:p>
    <w:p w:rsidR="00CC1BAB" w:rsidRDefault="00670798" w:rsidP="00CC1BAB">
      <w:pPr>
        <w:pStyle w:val="Order2"/>
      </w:pPr>
      <w:r>
        <w:t>i</w:t>
      </w:r>
      <w:r w:rsidR="00420B5E">
        <w:t xml:space="preserve">f there is such a plaque </w:t>
      </w:r>
      <w:r w:rsidR="00454C6B">
        <w:t>or other markings,</w:t>
      </w:r>
      <w:r w:rsidR="00CC1BAB">
        <w:t xml:space="preserve"> only the following words</w:t>
      </w:r>
      <w:r w:rsidR="00454C6B">
        <w:t xml:space="preserve"> are used</w:t>
      </w:r>
      <w:r w:rsidR="00CC1BAB">
        <w:t>:</w:t>
      </w:r>
    </w:p>
    <w:p w:rsidR="00CC1BAB" w:rsidRDefault="00CC1BAB" w:rsidP="00454C6B">
      <w:pPr>
        <w:pStyle w:val="Quote2"/>
      </w:pPr>
      <w:r>
        <w:t xml:space="preserve">This statue is a limited edition reproduction of the original “Fearless Girl” statue in New York that was sculptured by the artist Kristen </w:t>
      </w:r>
      <w:proofErr w:type="spellStart"/>
      <w:r>
        <w:t>Visbal</w:t>
      </w:r>
      <w:proofErr w:type="spellEnd"/>
      <w:r>
        <w:t>.  The original statue was commissioned and is owned by State Street Global Advisors Trust Company. This reproduction is owned by Maurice Blackburn who purchased it from the artist. Maurice Blackburn has no association with State Street</w:t>
      </w:r>
      <w:r w:rsidR="00E316A7">
        <w:t>.</w:t>
      </w:r>
    </w:p>
    <w:p w:rsidR="001A6C52" w:rsidRDefault="00E5026F" w:rsidP="001B02C0">
      <w:pPr>
        <w:pStyle w:val="Order1"/>
      </w:pPr>
      <w:r>
        <w:t xml:space="preserve">To the extent that it is still operative, </w:t>
      </w:r>
      <w:r w:rsidR="00454C6B">
        <w:t>t</w:t>
      </w:r>
      <w:r w:rsidR="00373AB0">
        <w:t>h</w:t>
      </w:r>
      <w:r w:rsidR="00073352">
        <w:t>e first respondent be released from the undertakin</w:t>
      </w:r>
      <w:r w:rsidR="00670798">
        <w:t>g noted in the orders made on 7 </w:t>
      </w:r>
      <w:r w:rsidR="00073352">
        <w:t>March 2019</w:t>
      </w:r>
      <w:r>
        <w:t>.</w:t>
      </w:r>
    </w:p>
    <w:p w:rsidR="00454C6B" w:rsidRDefault="00454C6B" w:rsidP="001B02C0">
      <w:pPr>
        <w:pStyle w:val="Order1"/>
      </w:pPr>
      <w:r>
        <w:t xml:space="preserve">Subject to </w:t>
      </w:r>
      <w:r w:rsidR="00E5026F">
        <w:t xml:space="preserve">these orders, the proceeding </w:t>
      </w:r>
      <w:r>
        <w:t>be otherwise dismissed.</w:t>
      </w:r>
    </w:p>
    <w:p w:rsidR="00073352" w:rsidRDefault="00073352" w:rsidP="001B02C0">
      <w:pPr>
        <w:pStyle w:val="Order1"/>
      </w:pPr>
      <w:r>
        <w:t>The applicants pay the first respondent</w:t>
      </w:r>
      <w:r w:rsidR="00420B5E">
        <w:t>’s</w:t>
      </w:r>
      <w:r>
        <w:t xml:space="preserve"> costs of and incidental to the proceeding, to be paid on a party</w:t>
      </w:r>
      <w:r w:rsidR="000055CC">
        <w:t xml:space="preserve"> </w:t>
      </w:r>
      <w:r>
        <w:t>/</w:t>
      </w:r>
      <w:r w:rsidR="000055CC">
        <w:t xml:space="preserve"> </w:t>
      </w:r>
      <w:r>
        <w:t>party basis.</w:t>
      </w:r>
    </w:p>
    <w:p w:rsidR="00073352" w:rsidRDefault="00073352" w:rsidP="00073352">
      <w:pPr>
        <w:pStyle w:val="Order1"/>
      </w:pPr>
      <w:r>
        <w:lastRenderedPageBreak/>
        <w:t>The question of whether any lump sum order for costs should be made, and if so the amount thereof is to be referred to a Registrar of this Court for determination.</w:t>
      </w:r>
    </w:p>
    <w:p w:rsidR="00073352" w:rsidRDefault="00E5026F" w:rsidP="00073352">
      <w:pPr>
        <w:pStyle w:val="Order1"/>
      </w:pPr>
      <w:r>
        <w:t>There be liberty to apply concerning the modification or discharge of order 1.</w:t>
      </w:r>
    </w:p>
    <w:p w:rsidR="00A431E6" w:rsidRDefault="00A431E6" w:rsidP="001A6C52">
      <w:pPr>
        <w:pStyle w:val="BodyText"/>
      </w:pPr>
    </w:p>
    <w:p w:rsidR="0050309C" w:rsidRDefault="0049162B" w:rsidP="004D53E5">
      <w:pPr>
        <w:pStyle w:val="SingleSpace"/>
      </w:pPr>
      <w:bookmarkStart w:id="21" w:name="OrdersStatement"/>
      <w:r>
        <w:t>Note:</w:t>
      </w:r>
      <w:r>
        <w:tab/>
        <w:t xml:space="preserve">Entry of orders is dealt with in Rule 39.32 of the </w:t>
      </w:r>
      <w:r>
        <w:rPr>
          <w:i/>
        </w:rPr>
        <w:t>Federal Court Rules 2011</w:t>
      </w:r>
      <w:r>
        <w:t>.</w:t>
      </w:r>
      <w:bookmarkEnd w:id="21"/>
    </w:p>
    <w:p w:rsidR="009D328D" w:rsidRDefault="009D328D" w:rsidP="002B0E91">
      <w:pPr>
        <w:pStyle w:val="BodyText"/>
      </w:pPr>
    </w:p>
    <w:p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rsidR="00694BEB" w:rsidRDefault="001D12C6" w:rsidP="005E0510">
      <w:pPr>
        <w:pStyle w:val="NormalHeadings"/>
        <w:spacing w:line="360" w:lineRule="auto"/>
        <w:jc w:val="left"/>
        <w:rPr>
          <w:sz w:val="26"/>
          <w:szCs w:val="26"/>
        </w:rPr>
      </w:pPr>
      <w:r>
        <w:rPr>
          <w:sz w:val="26"/>
          <w:szCs w:val="26"/>
        </w:rPr>
        <w:t>BEACH J:</w:t>
      </w:r>
    </w:p>
    <w:p w:rsidR="00065D50" w:rsidRDefault="00DC7C24" w:rsidP="00DC7C24">
      <w:pPr>
        <w:pStyle w:val="ParaNumbering"/>
      </w:pPr>
      <w:r>
        <w:t xml:space="preserve">On 25 February 2021, I </w:t>
      </w:r>
      <w:r w:rsidR="000A4192">
        <w:t xml:space="preserve">delivered my </w:t>
      </w:r>
      <w:r w:rsidR="00E5026F">
        <w:t>decision</w:t>
      </w:r>
      <w:r w:rsidR="003D5B1A">
        <w:t xml:space="preserve"> on liability </w:t>
      </w:r>
      <w:r w:rsidR="00670798">
        <w:t>(</w:t>
      </w:r>
      <w:r w:rsidR="00670798" w:rsidRPr="0075201C">
        <w:rPr>
          <w:i/>
        </w:rPr>
        <w:t>State Street Global Advisors Trust Company v Maurice Blackburn Pty Ltd (No 2)</w:t>
      </w:r>
      <w:r w:rsidR="00670798" w:rsidRPr="0075201C">
        <w:t xml:space="preserve"> [2021] FCA 137</w:t>
      </w:r>
      <w:r w:rsidR="00670798">
        <w:t>).</w:t>
      </w:r>
      <w:r w:rsidR="000E0615">
        <w:t xml:space="preserve">  In essence, </w:t>
      </w:r>
      <w:r w:rsidR="003D5B1A">
        <w:t>SSGA fa</w:t>
      </w:r>
      <w:r w:rsidR="00454C6B">
        <w:t>iled on their principal claims concerning the use by MBL of a replica of the Fearless Girl statue.</w:t>
      </w:r>
    </w:p>
    <w:p w:rsidR="00454C6B" w:rsidRDefault="00670798" w:rsidP="00E5026F">
      <w:pPr>
        <w:pStyle w:val="ParaNumbering"/>
        <w:tabs>
          <w:tab w:val="clear" w:pos="720"/>
        </w:tabs>
      </w:pPr>
      <w:r>
        <w:t xml:space="preserve">It is now necessary to deal with consequential orders and costs. </w:t>
      </w:r>
      <w:r w:rsidR="00454C6B">
        <w:t xml:space="preserve"> Again, the parties are at o</w:t>
      </w:r>
      <w:r w:rsidR="000055CC">
        <w:t>dd</w:t>
      </w:r>
      <w:r w:rsidR="00454C6B">
        <w:t>s on all issues.</w:t>
      </w:r>
      <w:r w:rsidR="00E5026F">
        <w:t xml:space="preserve">  </w:t>
      </w:r>
      <w:r w:rsidR="00454C6B">
        <w:t>Figuratively, I have never seen so much argued over so little.</w:t>
      </w:r>
    </w:p>
    <w:p w:rsidR="00454C6B" w:rsidRDefault="00454C6B" w:rsidP="00DC7C24">
      <w:pPr>
        <w:pStyle w:val="ParaNumbering"/>
      </w:pPr>
      <w:r>
        <w:t>Let me turn to the fi</w:t>
      </w:r>
      <w:r w:rsidR="000055CC">
        <w:t xml:space="preserve">rst question concerning the </w:t>
      </w:r>
      <w:r w:rsidR="00E5026F">
        <w:t>future</w:t>
      </w:r>
      <w:r>
        <w:t xml:space="preserve"> public display of the replica.</w:t>
      </w:r>
    </w:p>
    <w:p w:rsidR="00411967" w:rsidRDefault="000E0615" w:rsidP="00411967">
      <w:pPr>
        <w:pStyle w:val="Heading2"/>
      </w:pPr>
      <w:r>
        <w:t>The public presentation</w:t>
      </w:r>
    </w:p>
    <w:p w:rsidR="0018503A" w:rsidRDefault="003D5B1A" w:rsidP="0018503A">
      <w:pPr>
        <w:pStyle w:val="ParaNumbering"/>
      </w:pPr>
      <w:r>
        <w:t xml:space="preserve">SSGA </w:t>
      </w:r>
      <w:r w:rsidR="00E5026F">
        <w:t xml:space="preserve">say </w:t>
      </w:r>
      <w:r w:rsidR="00411967">
        <w:t xml:space="preserve">that I should order </w:t>
      </w:r>
      <w:r w:rsidR="00F9399B">
        <w:t xml:space="preserve">that </w:t>
      </w:r>
      <w:r w:rsidR="00E5026F">
        <w:t>any</w:t>
      </w:r>
      <w:r w:rsidR="00F9399B">
        <w:t xml:space="preserve"> future display of the replica be accompanied by </w:t>
      </w:r>
      <w:r w:rsidR="0018503A">
        <w:t>the following statement:</w:t>
      </w:r>
    </w:p>
    <w:p w:rsidR="00F9399B" w:rsidRDefault="004C3A02" w:rsidP="0018503A">
      <w:pPr>
        <w:pStyle w:val="Quote1"/>
      </w:pPr>
      <w:r w:rsidRPr="004C3A02">
        <w:t xml:space="preserve">This “Fearless Girl” statue is a limited edition reproduction of the original “Fearless Girl” statue in New York that was sculptured by the artist Kristen </w:t>
      </w:r>
      <w:proofErr w:type="spellStart"/>
      <w:r w:rsidRPr="004C3A02">
        <w:t>Visbal</w:t>
      </w:r>
      <w:proofErr w:type="spellEnd"/>
      <w:r w:rsidRPr="004C3A02">
        <w:t xml:space="preserve"> and was commissioned and is owned by State Street Global Advisors Trust Company.</w:t>
      </w:r>
    </w:p>
    <w:p w:rsidR="00032956" w:rsidRDefault="003724C5" w:rsidP="00E5026F">
      <w:pPr>
        <w:pStyle w:val="ParaNumbering"/>
        <w:tabs>
          <w:tab w:val="clear" w:pos="720"/>
        </w:tabs>
      </w:pPr>
      <w:r>
        <w:t>T</w:t>
      </w:r>
      <w:r w:rsidR="00032956">
        <w:t>his state</w:t>
      </w:r>
      <w:r w:rsidR="00032956" w:rsidRPr="00F31B36">
        <w:t xml:space="preserve">ment is </w:t>
      </w:r>
      <w:r w:rsidRPr="00F31B36">
        <w:t>deri</w:t>
      </w:r>
      <w:r w:rsidR="00032956" w:rsidRPr="00F31B36">
        <w:t>ved from the form of disclaimer</w:t>
      </w:r>
      <w:r w:rsidRPr="00F31B36">
        <w:t xml:space="preserve"> used by MBL</w:t>
      </w:r>
      <w:r w:rsidR="00420B5E" w:rsidRPr="00F31B36">
        <w:t xml:space="preserve"> in the period from 21 </w:t>
      </w:r>
      <w:r w:rsidRPr="00F31B36">
        <w:t xml:space="preserve">February </w:t>
      </w:r>
      <w:r w:rsidR="00E5026F">
        <w:t>to</w:t>
      </w:r>
      <w:r w:rsidRPr="00F31B36">
        <w:t xml:space="preserve"> 15 May 2019</w:t>
      </w:r>
      <w:r w:rsidR="00D046AE" w:rsidRPr="00F31B36">
        <w:t xml:space="preserve"> pursuant to </w:t>
      </w:r>
      <w:r w:rsidR="00E5026F">
        <w:t xml:space="preserve">my </w:t>
      </w:r>
      <w:r w:rsidR="000E0615">
        <w:t xml:space="preserve">earlier </w:t>
      </w:r>
      <w:r w:rsidR="00D046AE" w:rsidRPr="00F31B36">
        <w:t>interlocutory orders</w:t>
      </w:r>
      <w:r w:rsidRPr="00F31B36">
        <w:t>.  As I observed</w:t>
      </w:r>
      <w:r w:rsidR="00F37144" w:rsidRPr="00F31B36">
        <w:t xml:space="preserve"> in</w:t>
      </w:r>
      <w:r w:rsidR="00F37144">
        <w:t xml:space="preserve"> my principal reasons</w:t>
      </w:r>
      <w:r w:rsidRPr="003724C5">
        <w:t xml:space="preserve">, </w:t>
      </w:r>
      <w:r w:rsidR="00454C6B">
        <w:t xml:space="preserve">at the moment </w:t>
      </w:r>
      <w:r w:rsidRPr="003724C5">
        <w:t>there is no ongoing requirement for MB</w:t>
      </w:r>
      <w:r>
        <w:t>L</w:t>
      </w:r>
      <w:r w:rsidRPr="003724C5">
        <w:t xml:space="preserve"> to use a disclaimer in</w:t>
      </w:r>
      <w:r>
        <w:t xml:space="preserve"> connection with its use of the re</w:t>
      </w:r>
      <w:r w:rsidRPr="00F31B36">
        <w:t>plica.</w:t>
      </w:r>
      <w:r w:rsidR="00E5026F">
        <w:t xml:space="preserve">  </w:t>
      </w:r>
      <w:r w:rsidR="00032956" w:rsidRPr="00F31B36">
        <w:t>The disclaimer proposed by SSGA has</w:t>
      </w:r>
      <w:r w:rsidR="00DB2149" w:rsidRPr="00F31B36">
        <w:t xml:space="preserve"> been slightly modified fr</w:t>
      </w:r>
      <w:r w:rsidR="00032956" w:rsidRPr="00F31B36">
        <w:t xml:space="preserve">om the </w:t>
      </w:r>
      <w:r w:rsidR="00D046AE" w:rsidRPr="00F31B36">
        <w:t xml:space="preserve">interlocutory </w:t>
      </w:r>
      <w:r w:rsidR="00032956" w:rsidRPr="00F31B36">
        <w:t>disclaimer</w:t>
      </w:r>
      <w:r w:rsidR="00DB2149" w:rsidRPr="00F31B36">
        <w:t xml:space="preserve">, including to exclude any reference to </w:t>
      </w:r>
      <w:r w:rsidR="00D046AE" w:rsidRPr="00F31B36">
        <w:t xml:space="preserve">MBL, </w:t>
      </w:r>
      <w:r w:rsidR="00DB2149" w:rsidRPr="00F31B36">
        <w:t>Cbus and HESTA.</w:t>
      </w:r>
    </w:p>
    <w:p w:rsidR="00CA1B20" w:rsidRDefault="00454C6B" w:rsidP="00CA1B20">
      <w:pPr>
        <w:pStyle w:val="ParaNumbering"/>
      </w:pPr>
      <w:r>
        <w:t>N</w:t>
      </w:r>
      <w:r w:rsidR="00CA1B20">
        <w:t xml:space="preserve">otwithstanding my dismissal of </w:t>
      </w:r>
      <w:r w:rsidR="003D5B1A">
        <w:t>their</w:t>
      </w:r>
      <w:r w:rsidR="00CA1B20">
        <w:t xml:space="preserve"> principal claims in r</w:t>
      </w:r>
      <w:r w:rsidR="00B244CC">
        <w:t>elation to the events leading</w:t>
      </w:r>
      <w:r w:rsidR="00CA1B20">
        <w:t xml:space="preserve"> to the launch event, </w:t>
      </w:r>
      <w:r w:rsidR="000055CC">
        <w:t xml:space="preserve">SSGA say that </w:t>
      </w:r>
      <w:r w:rsidR="00CA1B20">
        <w:t>the conduct of MBL</w:t>
      </w:r>
      <w:r w:rsidR="00E5026F">
        <w:t xml:space="preserve">, </w:t>
      </w:r>
      <w:r w:rsidR="00CA1B20">
        <w:t xml:space="preserve">Cbus and HESTA </w:t>
      </w:r>
      <w:r w:rsidR="000055CC">
        <w:t xml:space="preserve">discussed in my principal reasons </w:t>
      </w:r>
      <w:r w:rsidR="00CA1B20">
        <w:t>occurred against the backdrop o</w:t>
      </w:r>
      <w:r w:rsidR="00CA1B20" w:rsidRPr="00F31B36">
        <w:t xml:space="preserve">f the launch event </w:t>
      </w:r>
      <w:r w:rsidR="00200460" w:rsidRPr="00F31B36">
        <w:t xml:space="preserve">on 26 February 2019 </w:t>
      </w:r>
      <w:r w:rsidR="00CA1B20" w:rsidRPr="00F31B36">
        <w:t xml:space="preserve">and did not concern the future display of the </w:t>
      </w:r>
      <w:r w:rsidR="000055CC" w:rsidRPr="00F31B36">
        <w:t>replica</w:t>
      </w:r>
      <w:r w:rsidR="00B244CC" w:rsidRPr="00F31B36">
        <w:t>.</w:t>
      </w:r>
      <w:r w:rsidR="00B244CC">
        <w:t xml:space="preserve"> </w:t>
      </w:r>
      <w:r w:rsidR="00E5026F">
        <w:t xml:space="preserve"> Therefore, it is said that I should make the order now sought.  MBL say</w:t>
      </w:r>
      <w:r w:rsidR="0081295F">
        <w:t>s</w:t>
      </w:r>
      <w:r w:rsidR="00E5026F">
        <w:t xml:space="preserve"> that such an order is neither necessary nor justified.</w:t>
      </w:r>
    </w:p>
    <w:p w:rsidR="00CA1B20" w:rsidRDefault="000055CC" w:rsidP="00CA1B20">
      <w:pPr>
        <w:pStyle w:val="ParaNumbering"/>
      </w:pPr>
      <w:r>
        <w:t>Now i</w:t>
      </w:r>
      <w:r w:rsidR="00CA1B20">
        <w:t>n my</w:t>
      </w:r>
      <w:r w:rsidR="007B4308">
        <w:t xml:space="preserve"> principal reasons</w:t>
      </w:r>
      <w:r w:rsidR="00CA1B20">
        <w:t xml:space="preserve">, I observed that in assessing whether the </w:t>
      </w:r>
      <w:r w:rsidR="007B4308">
        <w:t xml:space="preserve">relevant </w:t>
      </w:r>
      <w:r w:rsidR="00CA1B20">
        <w:t>conduct was</w:t>
      </w:r>
      <w:r w:rsidR="007B4308">
        <w:t xml:space="preserve"> or was likely to be</w:t>
      </w:r>
      <w:r w:rsidR="00EC2C48">
        <w:t xml:space="preserve"> misleading or deceptive</w:t>
      </w:r>
      <w:r>
        <w:t>,</w:t>
      </w:r>
      <w:r w:rsidR="00CA1B20">
        <w:t xml:space="preserve"> it</w:t>
      </w:r>
      <w:r>
        <w:t xml:space="preserve"> was</w:t>
      </w:r>
      <w:r w:rsidR="00CA1B20">
        <w:t xml:space="preserve"> necessary to have regard to any relevant disclaimer</w:t>
      </w:r>
      <w:r w:rsidR="00A048CE">
        <w:t>.</w:t>
      </w:r>
      <w:r w:rsidR="00CA1B20">
        <w:t xml:space="preserve">  I conc</w:t>
      </w:r>
      <w:r w:rsidR="00A048CE">
        <w:t>luded that SSGA’s claims we</w:t>
      </w:r>
      <w:r w:rsidR="00CA1B20">
        <w:t>re significa</w:t>
      </w:r>
      <w:r>
        <w:t xml:space="preserve">ntly weakened </w:t>
      </w:r>
      <w:r w:rsidRPr="00617CC8">
        <w:t xml:space="preserve">by the </w:t>
      </w:r>
      <w:r w:rsidR="00D046AE" w:rsidRPr="00617CC8">
        <w:t xml:space="preserve">various </w:t>
      </w:r>
      <w:r w:rsidRPr="00617CC8">
        <w:t>disclaimer</w:t>
      </w:r>
      <w:r w:rsidR="00D046AE" w:rsidRPr="00617CC8">
        <w:t>s</w:t>
      </w:r>
      <w:r w:rsidRPr="00617CC8">
        <w:t xml:space="preserve"> that had</w:t>
      </w:r>
      <w:r>
        <w:t xml:space="preserve"> been </w:t>
      </w:r>
      <w:r w:rsidRPr="00F31B36">
        <w:t>previously used</w:t>
      </w:r>
      <w:r w:rsidR="00E5026F">
        <w:t>.  I</w:t>
      </w:r>
      <w:r w:rsidR="00CA1B20" w:rsidRPr="00F31B36">
        <w:t xml:space="preserve"> express</w:t>
      </w:r>
      <w:r w:rsidR="00E5026F">
        <w:t>ed</w:t>
      </w:r>
      <w:r w:rsidR="00CA1B20" w:rsidRPr="00F31B36">
        <w:t xml:space="preserve"> the view that the disclaimer</w:t>
      </w:r>
      <w:r w:rsidR="00D046AE" w:rsidRPr="00F31B36">
        <w:t>s</w:t>
      </w:r>
      <w:r w:rsidR="00CA1B20" w:rsidRPr="00F31B36">
        <w:t xml:space="preserve"> used by MBL in the period after 14</w:t>
      </w:r>
      <w:r w:rsidR="00C376CE" w:rsidRPr="00F31B36">
        <w:t> </w:t>
      </w:r>
      <w:r w:rsidR="00CA1B20" w:rsidRPr="00F31B36">
        <w:t>February 2019</w:t>
      </w:r>
      <w:r w:rsidR="00D046AE" w:rsidRPr="00F31B36">
        <w:t xml:space="preserve">, </w:t>
      </w:r>
      <w:r w:rsidR="003A7650" w:rsidRPr="00F31B36">
        <w:t xml:space="preserve">which </w:t>
      </w:r>
      <w:r w:rsidR="00D046AE" w:rsidRPr="00F31B36">
        <w:t>includ</w:t>
      </w:r>
      <w:r w:rsidR="003A7650" w:rsidRPr="00F31B36">
        <w:t>ed</w:t>
      </w:r>
      <w:r w:rsidR="00D046AE" w:rsidRPr="00F31B36">
        <w:t xml:space="preserve"> </w:t>
      </w:r>
      <w:r w:rsidR="003A7650" w:rsidRPr="00F31B36">
        <w:t xml:space="preserve">not only the interlocutory disclaimer </w:t>
      </w:r>
      <w:r w:rsidR="003A7650" w:rsidRPr="00F31B36">
        <w:lastRenderedPageBreak/>
        <w:t>which was used from 21 February 20</w:t>
      </w:r>
      <w:r w:rsidR="00200460" w:rsidRPr="00F31B36">
        <w:t>19</w:t>
      </w:r>
      <w:r w:rsidR="003A7650" w:rsidRPr="00F31B36">
        <w:t xml:space="preserve">, but earlier iterations of the disclaimer that were included on </w:t>
      </w:r>
      <w:r w:rsidR="00200460" w:rsidRPr="00F31B36">
        <w:t xml:space="preserve">MBL’s </w:t>
      </w:r>
      <w:r w:rsidR="003A7650" w:rsidRPr="00F31B36">
        <w:t xml:space="preserve">materials </w:t>
      </w:r>
      <w:r w:rsidR="00200460" w:rsidRPr="00F31B36">
        <w:t>promoting</w:t>
      </w:r>
      <w:r w:rsidR="003A7650" w:rsidRPr="00F31B36">
        <w:t xml:space="preserve"> the replica and the launch event</w:t>
      </w:r>
      <w:r w:rsidR="00D046AE" w:rsidRPr="00F31B36">
        <w:t>,</w:t>
      </w:r>
      <w:r w:rsidR="00CA1B20" w:rsidRPr="00F31B36">
        <w:t xml:space="preserve"> </w:t>
      </w:r>
      <w:r w:rsidR="00601872" w:rsidRPr="00F31B36">
        <w:t>were</w:t>
      </w:r>
      <w:r w:rsidRPr="00F31B36">
        <w:t xml:space="preserve"> substantially</w:t>
      </w:r>
      <w:r w:rsidR="00CA1B20">
        <w:t xml:space="preserve"> effective</w:t>
      </w:r>
      <w:r w:rsidR="00A048CE">
        <w:t xml:space="preserve">.  In particular, I held that </w:t>
      </w:r>
      <w:r w:rsidR="00CA1B20">
        <w:t>even if the association representations were made, their potentially misleading or deceptive effect was dispelled by the disclaimer</w:t>
      </w:r>
      <w:r>
        <w:t>(</w:t>
      </w:r>
      <w:r w:rsidR="00CA1B20">
        <w:t>s</w:t>
      </w:r>
      <w:r>
        <w:t>)</w:t>
      </w:r>
      <w:r w:rsidR="00CA1B20">
        <w:t xml:space="preserve"> that MBL </w:t>
      </w:r>
      <w:r>
        <w:t xml:space="preserve">had </w:t>
      </w:r>
      <w:r w:rsidR="00CA1B20">
        <w:t>put on its published material</w:t>
      </w:r>
      <w:r w:rsidR="00A048CE">
        <w:t>.</w:t>
      </w:r>
      <w:r w:rsidR="00CA1B20">
        <w:t xml:space="preserve"> </w:t>
      </w:r>
      <w:r w:rsidR="002A749B">
        <w:t xml:space="preserve"> I </w:t>
      </w:r>
      <w:r w:rsidR="00CA1B20">
        <w:t>also noted that the disclaimer</w:t>
      </w:r>
      <w:r>
        <w:t>(</w:t>
      </w:r>
      <w:r w:rsidR="00CA1B20">
        <w:t>s</w:t>
      </w:r>
      <w:r>
        <w:t>)</w:t>
      </w:r>
      <w:r w:rsidR="00CA1B20">
        <w:t xml:space="preserve"> used by MB</w:t>
      </w:r>
      <w:r w:rsidR="002A749B">
        <w:t>L</w:t>
      </w:r>
      <w:r w:rsidR="00CA1B20">
        <w:t xml:space="preserve"> af</w:t>
      </w:r>
      <w:r w:rsidR="00A048CE">
        <w:t xml:space="preserve">ter 14 February 2019 cured any </w:t>
      </w:r>
      <w:r w:rsidR="00CA1B20">
        <w:t>sloppiness in expression</w:t>
      </w:r>
      <w:r w:rsidR="00A048CE">
        <w:t xml:space="preserve"> or </w:t>
      </w:r>
      <w:r w:rsidR="00E5026F">
        <w:t>impression</w:t>
      </w:r>
      <w:r w:rsidR="00A048CE">
        <w:t>.</w:t>
      </w:r>
    </w:p>
    <w:p w:rsidR="005C5C68" w:rsidRDefault="00D1551A" w:rsidP="000055CC">
      <w:pPr>
        <w:pStyle w:val="ParaNumbering"/>
      </w:pPr>
      <w:r>
        <w:t>As is apparent</w:t>
      </w:r>
      <w:r w:rsidR="003F268A">
        <w:t>, t</w:t>
      </w:r>
      <w:r w:rsidR="00CA1B20">
        <w:t xml:space="preserve">here </w:t>
      </w:r>
      <w:r w:rsidR="002A749B">
        <w:t>is no ongoing requirement for MBL</w:t>
      </w:r>
      <w:r w:rsidR="00CA1B20">
        <w:t xml:space="preserve"> to use any disclaimer in </w:t>
      </w:r>
      <w:r w:rsidR="002118B0">
        <w:t>connection with its use of the r</w:t>
      </w:r>
      <w:r w:rsidR="00CA1B20">
        <w:t xml:space="preserve">eplica. </w:t>
      </w:r>
      <w:r w:rsidR="002118B0">
        <w:t xml:space="preserve"> </w:t>
      </w:r>
      <w:r w:rsidR="000055CC">
        <w:t>In that regard, t</w:t>
      </w:r>
      <w:r w:rsidR="002118B0">
        <w:t>he r</w:t>
      </w:r>
      <w:r>
        <w:t>eplica has been</w:t>
      </w:r>
      <w:r w:rsidR="00A15F77">
        <w:t xml:space="preserve"> </w:t>
      </w:r>
      <w:r w:rsidR="00CA1B20">
        <w:t>on display in Federation Square</w:t>
      </w:r>
      <w:r w:rsidR="00A15F77">
        <w:t>, Melbourne</w:t>
      </w:r>
      <w:r w:rsidR="00CA1B20">
        <w:t xml:space="preserve"> with no accompanying disclaimer</w:t>
      </w:r>
      <w:r>
        <w:t xml:space="preserve"> for a considerable period of time</w:t>
      </w:r>
      <w:r w:rsidR="00CA1B20">
        <w:t>.</w:t>
      </w:r>
      <w:r w:rsidR="002118B0">
        <w:t xml:space="preserve"> </w:t>
      </w:r>
      <w:r w:rsidR="00CA1B20">
        <w:t xml:space="preserve"> It stands there alone with no plaque or any other markin</w:t>
      </w:r>
      <w:r w:rsidR="00A15F77">
        <w:t>gs.</w:t>
      </w:r>
      <w:r w:rsidR="002118B0">
        <w:t xml:space="preserve">  </w:t>
      </w:r>
      <w:r w:rsidR="000055CC">
        <w:t>I should also note that save</w:t>
      </w:r>
      <w:r w:rsidR="002118B0">
        <w:t xml:space="preserve"> for the promotional activities engaged in by MBL in February and March 2019 in connection with the launch event, the replica has not been used for any marketing or promotional events by MBL.</w:t>
      </w:r>
    </w:p>
    <w:p w:rsidR="00A44EC2" w:rsidRDefault="000055CC" w:rsidP="000055CC">
      <w:pPr>
        <w:pStyle w:val="ParaNumbering"/>
      </w:pPr>
      <w:r>
        <w:t>P</w:t>
      </w:r>
      <w:r w:rsidR="00423F59">
        <w:t>resently</w:t>
      </w:r>
      <w:r w:rsidR="002118B0">
        <w:t>, there is no evidence that MBL plans to leave the replica in Federation Square indefinitely</w:t>
      </w:r>
      <w:r w:rsidR="002F0A16">
        <w:t>.  A</w:t>
      </w:r>
      <w:r w:rsidR="002118B0">
        <w:t>nd it is possible that MBL may move the replica to another location, including its own offices or a location controlled by a third party.</w:t>
      </w:r>
      <w:r>
        <w:t xml:space="preserve">  I should say that </w:t>
      </w:r>
      <w:r w:rsidR="002118B0">
        <w:t>MB</w:t>
      </w:r>
      <w:r w:rsidR="004000BA">
        <w:t>L</w:t>
      </w:r>
      <w:r w:rsidR="002118B0">
        <w:t xml:space="preserve"> had </w:t>
      </w:r>
      <w:r w:rsidR="004000BA">
        <w:t>originally planned to take the r</w:t>
      </w:r>
      <w:r w:rsidR="002118B0">
        <w:t xml:space="preserve">eplica on a regional roadshow to target locations </w:t>
      </w:r>
      <w:r w:rsidR="00D1551A">
        <w:t>of client hot spots.</w:t>
      </w:r>
    </w:p>
    <w:p w:rsidR="002118B0" w:rsidRDefault="000055CC" w:rsidP="000135E4">
      <w:pPr>
        <w:pStyle w:val="ParaNumbering"/>
      </w:pPr>
      <w:r>
        <w:t>SSGA say that a</w:t>
      </w:r>
      <w:r w:rsidR="002118B0">
        <w:t>bsent appropriate disclaimers, there is nothing to stop MB</w:t>
      </w:r>
      <w:r w:rsidR="000135E4">
        <w:t>L</w:t>
      </w:r>
      <w:r w:rsidR="002118B0">
        <w:t xml:space="preserve"> from engaging in the conduct that led to the </w:t>
      </w:r>
      <w:r w:rsidR="00D1551A">
        <w:t xml:space="preserve">present </w:t>
      </w:r>
      <w:r w:rsidR="002118B0">
        <w:t>proceeding</w:t>
      </w:r>
      <w:r w:rsidR="00D1551A">
        <w:t>.</w:t>
      </w:r>
      <w:r w:rsidR="000135E4" w:rsidRPr="000135E4">
        <w:t xml:space="preserve"> </w:t>
      </w:r>
      <w:r w:rsidR="000135E4">
        <w:t xml:space="preserve"> </w:t>
      </w:r>
      <w:r w:rsidR="000135E4" w:rsidRPr="000135E4">
        <w:t xml:space="preserve">SSGA </w:t>
      </w:r>
      <w:r w:rsidR="00A44EC2">
        <w:t>say that</w:t>
      </w:r>
      <w:r w:rsidR="000135E4" w:rsidRPr="000135E4">
        <w:t xml:space="preserve"> having regard to uncertainty around MB</w:t>
      </w:r>
      <w:r w:rsidR="007D2B30">
        <w:t>L</w:t>
      </w:r>
      <w:r w:rsidR="000135E4" w:rsidRPr="000135E4">
        <w:t>’s future intentions regarding th</w:t>
      </w:r>
      <w:r w:rsidR="000135E4">
        <w:t>e use or display of the replica,</w:t>
      </w:r>
      <w:r w:rsidR="00A44EC2">
        <w:t xml:space="preserve"> there remains a real</w:t>
      </w:r>
      <w:r w:rsidR="0085736C">
        <w:t xml:space="preserve"> risk that MB</w:t>
      </w:r>
      <w:r w:rsidR="007D2B30">
        <w:t>L</w:t>
      </w:r>
      <w:r w:rsidR="0085736C">
        <w:t>’s use of the r</w:t>
      </w:r>
      <w:r w:rsidR="00A44EC2">
        <w:t>eplica c</w:t>
      </w:r>
      <w:r w:rsidR="000135E4" w:rsidRPr="000135E4">
        <w:t xml:space="preserve">ould give rise to future contraventions of the </w:t>
      </w:r>
      <w:r w:rsidR="000135E4" w:rsidRPr="00F32F79">
        <w:t>A</w:t>
      </w:r>
      <w:r w:rsidR="003A7650" w:rsidRPr="00F32F79">
        <w:t xml:space="preserve">ustralian </w:t>
      </w:r>
      <w:r w:rsidR="000135E4" w:rsidRPr="00F32F79">
        <w:t>C</w:t>
      </w:r>
      <w:r w:rsidR="003A7650" w:rsidRPr="00F32F79">
        <w:t xml:space="preserve">onsumer </w:t>
      </w:r>
      <w:r w:rsidR="000135E4" w:rsidRPr="00F32F79">
        <w:t>L</w:t>
      </w:r>
      <w:r w:rsidR="003A7650" w:rsidRPr="00F32F79">
        <w:t>aw</w:t>
      </w:r>
      <w:r w:rsidR="00A44EC2">
        <w:t>.</w:t>
      </w:r>
      <w:r w:rsidR="00D1551A">
        <w:t xml:space="preserve">  They note that </w:t>
      </w:r>
      <w:r w:rsidR="00D1551A" w:rsidRPr="00D1551A">
        <w:t xml:space="preserve">I did accept that members of the Australian public may have known about the original Fearless Girl statue and the name “Fearless Girl”, and that such members may have associated the original statue and the name “Fearless Girl” with certain </w:t>
      </w:r>
      <w:r w:rsidR="00D1551A">
        <w:t>gender equality</w:t>
      </w:r>
      <w:r w:rsidR="00D1551A" w:rsidRPr="00D1551A">
        <w:t xml:space="preserve"> issues.</w:t>
      </w:r>
    </w:p>
    <w:p w:rsidR="00C87CFE" w:rsidRDefault="00E303F1" w:rsidP="000135E4">
      <w:pPr>
        <w:pStyle w:val="ParaNumbering"/>
      </w:pPr>
      <w:r>
        <w:t xml:space="preserve">SSGA say that </w:t>
      </w:r>
      <w:r w:rsidR="006D5A3F">
        <w:t xml:space="preserve">a </w:t>
      </w:r>
      <w:r w:rsidR="00C87CFE">
        <w:t>d</w:t>
      </w:r>
      <w:r w:rsidR="006D5A3F">
        <w:t>isclaimer</w:t>
      </w:r>
      <w:r w:rsidR="000135E4" w:rsidRPr="000135E4">
        <w:t xml:space="preserve"> in the terms</w:t>
      </w:r>
      <w:r w:rsidR="00C87CFE">
        <w:t xml:space="preserve"> </w:t>
      </w:r>
      <w:r w:rsidR="000135E4" w:rsidRPr="000135E4">
        <w:t>proposed would assist in avoiding future</w:t>
      </w:r>
      <w:r w:rsidR="00D1551A">
        <w:t xml:space="preserve"> litigation between the parties, a laudable objective to say the least in my view.</w:t>
      </w:r>
    </w:p>
    <w:p w:rsidR="00F877DD" w:rsidRDefault="00F877DD" w:rsidP="000135E4">
      <w:pPr>
        <w:pStyle w:val="ParaNumbering"/>
      </w:pPr>
      <w:r>
        <w:t>Now g</w:t>
      </w:r>
      <w:r w:rsidR="000135E4">
        <w:t>enerally speaking, I have</w:t>
      </w:r>
      <w:r w:rsidR="000135E4" w:rsidRPr="000135E4">
        <w:t xml:space="preserve"> the power to fashion relief that includes injunctio</w:t>
      </w:r>
      <w:r w:rsidR="00A11F68">
        <w:t xml:space="preserve">ns that incorporate disclaimers.  </w:t>
      </w:r>
      <w:r w:rsidR="006D5A3F">
        <w:t>And I can do so either if I perceive that there is a prospect of a future contravention of the ACL or, indeed, more generally</w:t>
      </w:r>
      <w:r w:rsidR="00D1551A">
        <w:t>.</w:t>
      </w:r>
    </w:p>
    <w:p w:rsidR="00F01326" w:rsidRDefault="00D1551A" w:rsidP="006D5A3F">
      <w:pPr>
        <w:pStyle w:val="ParaNumbering"/>
      </w:pPr>
      <w:r>
        <w:lastRenderedPageBreak/>
        <w:t>But</w:t>
      </w:r>
      <w:r w:rsidR="006D5A3F">
        <w:t xml:space="preserve"> MBL opposes any form of disclaimer being used or ordered.  </w:t>
      </w:r>
      <w:r w:rsidR="00F01326" w:rsidRPr="000642C7">
        <w:t>In essence,</w:t>
      </w:r>
      <w:r w:rsidR="00530E64" w:rsidRPr="000642C7">
        <w:t xml:space="preserve"> MBL says that</w:t>
      </w:r>
      <w:r w:rsidR="00F01326" w:rsidRPr="000642C7">
        <w:t xml:space="preserve"> having regard to</w:t>
      </w:r>
      <w:r w:rsidR="00991CE9" w:rsidRPr="000642C7">
        <w:t xml:space="preserve"> </w:t>
      </w:r>
      <w:r w:rsidR="00F35DBC" w:rsidRPr="000642C7">
        <w:t>my find</w:t>
      </w:r>
      <w:r w:rsidR="00F35DBC">
        <w:t>ings</w:t>
      </w:r>
      <w:r w:rsidR="00F01326">
        <w:t xml:space="preserve"> and the rejection of each cause of action, there is no basis </w:t>
      </w:r>
      <w:r>
        <w:t xml:space="preserve">to </w:t>
      </w:r>
      <w:r w:rsidR="000642C7">
        <w:t xml:space="preserve">grant </w:t>
      </w:r>
      <w:r>
        <w:t>such</w:t>
      </w:r>
      <w:r w:rsidR="000642C7">
        <w:t xml:space="preserve"> relief</w:t>
      </w:r>
      <w:r>
        <w:t>.</w:t>
      </w:r>
    </w:p>
    <w:p w:rsidR="000552D0" w:rsidRDefault="000642C7" w:rsidP="001B02C0">
      <w:pPr>
        <w:pStyle w:val="ParaNumbering"/>
      </w:pPr>
      <w:r>
        <w:t xml:space="preserve">MBL says that </w:t>
      </w:r>
      <w:r w:rsidR="00DA6A6A">
        <w:t>SSGA ha</w:t>
      </w:r>
      <w:r w:rsidR="003A7650" w:rsidRPr="00200460">
        <w:t>ve</w:t>
      </w:r>
      <w:r w:rsidR="00DA6A6A">
        <w:t xml:space="preserve"> failed to establish the speculative </w:t>
      </w:r>
      <w:r w:rsidR="00D1551A">
        <w:t xml:space="preserve">assertion </w:t>
      </w:r>
      <w:r w:rsidR="00DA6A6A">
        <w:t>that there remains a real risk that MB</w:t>
      </w:r>
      <w:r w:rsidR="00772DC8">
        <w:t>L</w:t>
      </w:r>
      <w:r w:rsidR="00DA6A6A">
        <w:t xml:space="preserve">’s use of the </w:t>
      </w:r>
      <w:r w:rsidR="00772DC8">
        <w:t>r</w:t>
      </w:r>
      <w:r w:rsidR="00DA6A6A">
        <w:t>eplica would give rise to futu</w:t>
      </w:r>
      <w:r w:rsidR="00772DC8">
        <w:t xml:space="preserve">re contraventions.  It </w:t>
      </w:r>
      <w:r w:rsidR="00D1551A">
        <w:t>says</w:t>
      </w:r>
      <w:r w:rsidR="00772DC8">
        <w:t xml:space="preserve"> that </w:t>
      </w:r>
      <w:r w:rsidR="006D5A3F">
        <w:t xml:space="preserve">such a </w:t>
      </w:r>
      <w:r w:rsidR="00772DC8">
        <w:t>s</w:t>
      </w:r>
      <w:r w:rsidR="00DA6A6A">
        <w:t>elf-serving hypothesi</w:t>
      </w:r>
      <w:r w:rsidR="006D5A3F">
        <w:t>s</w:t>
      </w:r>
      <w:r w:rsidR="00DA6A6A">
        <w:t xml:space="preserve"> about </w:t>
      </w:r>
      <w:r w:rsidR="006D5A3F">
        <w:t xml:space="preserve">the </w:t>
      </w:r>
      <w:r w:rsidR="00DA6A6A">
        <w:t>future use of the replica</w:t>
      </w:r>
      <w:r w:rsidR="00772DC8">
        <w:t xml:space="preserve"> </w:t>
      </w:r>
      <w:r w:rsidR="00DA6A6A">
        <w:t xml:space="preserve">ought not be the foundation for </w:t>
      </w:r>
      <w:r w:rsidR="00D1551A">
        <w:t>the order sought.</w:t>
      </w:r>
    </w:p>
    <w:p w:rsidR="0019714D" w:rsidRDefault="00D1551A" w:rsidP="006D5A3F">
      <w:pPr>
        <w:pStyle w:val="ParaNumbering"/>
      </w:pPr>
      <w:r>
        <w:t>MBL says that its</w:t>
      </w:r>
      <w:r w:rsidR="00DA6A6A">
        <w:t xml:space="preserve"> future conduct can be assessed as it arises and considered in light </w:t>
      </w:r>
      <w:r w:rsidR="003601AC">
        <w:t xml:space="preserve">of the findings in </w:t>
      </w:r>
      <w:r w:rsidR="006D5A3F" w:rsidRPr="00F32F79">
        <w:t>my principal reasons</w:t>
      </w:r>
      <w:r w:rsidR="003601AC" w:rsidRPr="00F32F79">
        <w:t>.</w:t>
      </w:r>
      <w:r w:rsidR="003601AC">
        <w:t xml:space="preserve">  </w:t>
      </w:r>
    </w:p>
    <w:p w:rsidR="008F2B36" w:rsidRDefault="003A10DC" w:rsidP="00D1551A">
      <w:pPr>
        <w:pStyle w:val="ParaNumbering"/>
        <w:tabs>
          <w:tab w:val="clear" w:pos="720"/>
        </w:tabs>
      </w:pPr>
      <w:r w:rsidRPr="003A10DC">
        <w:t>F</w:t>
      </w:r>
      <w:r w:rsidR="00387ED6">
        <w:t xml:space="preserve">urther, it is said that </w:t>
      </w:r>
      <w:r w:rsidRPr="003A10DC">
        <w:t>it is not clear how an</w:t>
      </w:r>
      <w:r>
        <w:t xml:space="preserve">y requirement for a disclaimer </w:t>
      </w:r>
      <w:r w:rsidRPr="003A10DC">
        <w:t xml:space="preserve">would impact the ability of MBL </w:t>
      </w:r>
      <w:r w:rsidR="006D5A3F">
        <w:t>to deal</w:t>
      </w:r>
      <w:r w:rsidRPr="003A10DC">
        <w:t xml:space="preserve"> with third parties who may themselves wish to refer t</w:t>
      </w:r>
      <w:r w:rsidR="006D5A3F">
        <w:t>o or make use of</w:t>
      </w:r>
      <w:r w:rsidR="00D1551A">
        <w:t xml:space="preserve"> </w:t>
      </w:r>
      <w:r w:rsidR="006D5A3F">
        <w:t>the replica.</w:t>
      </w:r>
    </w:p>
    <w:p w:rsidR="002E1605" w:rsidRDefault="000318C8" w:rsidP="008F2B36">
      <w:pPr>
        <w:pStyle w:val="ParaNumbering"/>
      </w:pPr>
      <w:r>
        <w:t>Further</w:t>
      </w:r>
      <w:r w:rsidR="008F2B36">
        <w:t xml:space="preserve">, </w:t>
      </w:r>
      <w:r>
        <w:t xml:space="preserve">MBL says that </w:t>
      </w:r>
      <w:r w:rsidR="008F2B36">
        <w:t>in circumstances where the status quo in relation to the present location</w:t>
      </w:r>
      <w:r w:rsidR="00BD14DA">
        <w:t xml:space="preserve"> of the r</w:t>
      </w:r>
      <w:r w:rsidR="008F2B36">
        <w:t>eplica is to be maintained for the foreseeable</w:t>
      </w:r>
      <w:r w:rsidR="00BD14DA">
        <w:t xml:space="preserve"> future, and the plans for the r</w:t>
      </w:r>
      <w:r w:rsidR="008F2B36">
        <w:t xml:space="preserve">eplica thereafter are unknown, and where </w:t>
      </w:r>
      <w:r w:rsidR="00BD14DA">
        <w:t>any statement accompanying the r</w:t>
      </w:r>
      <w:r w:rsidR="008F2B36">
        <w:t xml:space="preserve">eplica will depend on the context and circumstances, </w:t>
      </w:r>
      <w:r w:rsidR="00BD14DA">
        <w:t xml:space="preserve">it should not </w:t>
      </w:r>
      <w:r w:rsidR="008F2B36">
        <w:t>be bound to use a particular form of wording</w:t>
      </w:r>
      <w:r>
        <w:t>.</w:t>
      </w:r>
    </w:p>
    <w:p w:rsidR="00D1551A" w:rsidRDefault="00D1551A" w:rsidP="008F2B36">
      <w:pPr>
        <w:pStyle w:val="ParaNumbering"/>
      </w:pPr>
      <w:r>
        <w:t>Further, MBL says that I should not make any order pending the hearing and determination of any appeal.</w:t>
      </w:r>
    </w:p>
    <w:p w:rsidR="003A2CA5" w:rsidRDefault="008E37AF" w:rsidP="008F2B36">
      <w:pPr>
        <w:pStyle w:val="ParaNumbering"/>
      </w:pPr>
      <w:r>
        <w:t>In my view, SSGA seek too much, and MBL concede too little.</w:t>
      </w:r>
    </w:p>
    <w:p w:rsidR="008E37AF" w:rsidRDefault="008E37AF" w:rsidP="008F2B36">
      <w:pPr>
        <w:pStyle w:val="ParaNumbering"/>
      </w:pPr>
      <w:r>
        <w:t>I propose to make an order in the following form:</w:t>
      </w:r>
    </w:p>
    <w:p w:rsidR="008E37AF" w:rsidRDefault="00D1551A" w:rsidP="007648FD">
      <w:pPr>
        <w:pStyle w:val="Quote1"/>
      </w:pPr>
      <w:r>
        <w:t>Subject to further order, t</w:t>
      </w:r>
      <w:r w:rsidR="008E37AF">
        <w:t xml:space="preserve">he first respondent shall not make public use or display of the replica of the </w:t>
      </w:r>
      <w:r w:rsidR="007648FD">
        <w:t xml:space="preserve">“Fearless </w:t>
      </w:r>
      <w:r w:rsidR="008E37AF">
        <w:t>Girl” statue owned by it except where:</w:t>
      </w:r>
    </w:p>
    <w:p w:rsidR="008E37AF" w:rsidRDefault="008E37AF" w:rsidP="007648FD">
      <w:pPr>
        <w:pStyle w:val="Quote1"/>
      </w:pPr>
      <w:r>
        <w:t>(a)</w:t>
      </w:r>
      <w:r>
        <w:tab/>
        <w:t xml:space="preserve">there is no plaque or other markings used with or on the replica; or </w:t>
      </w:r>
    </w:p>
    <w:p w:rsidR="008E37AF" w:rsidRDefault="008E37AF" w:rsidP="007648FD">
      <w:pPr>
        <w:pStyle w:val="Quote1"/>
      </w:pPr>
      <w:r>
        <w:t>(b)</w:t>
      </w:r>
      <w:r>
        <w:tab/>
        <w:t>if there is such a plaque or other markings, only the following words are used:</w:t>
      </w:r>
    </w:p>
    <w:p w:rsidR="008E37AF" w:rsidRDefault="008E37AF" w:rsidP="007648FD">
      <w:pPr>
        <w:pStyle w:val="Quote2"/>
      </w:pPr>
      <w:r>
        <w:t xml:space="preserve">This statue is a limited edition reproduction of the original “Fearless Girl” statue in New York that was sculptured by the artist Kristen </w:t>
      </w:r>
      <w:proofErr w:type="spellStart"/>
      <w:r>
        <w:t>Visbal</w:t>
      </w:r>
      <w:proofErr w:type="spellEnd"/>
      <w:r>
        <w:t>.  The original statue was commissioned and is owned by State Street Global Advisors Trust Company. This reproduction is owned by Maurice Blackburn who purchased it from the artist. Maurice Blackburn has no association with State Street.</w:t>
      </w:r>
    </w:p>
    <w:p w:rsidR="008E37AF" w:rsidRDefault="007648FD" w:rsidP="008F2B36">
      <w:pPr>
        <w:pStyle w:val="ParaNumbering"/>
      </w:pPr>
      <w:r>
        <w:lastRenderedPageBreak/>
        <w:t xml:space="preserve">First, I agree with SSGA that I have </w:t>
      </w:r>
      <w:r w:rsidR="00D1551A">
        <w:t xml:space="preserve">the </w:t>
      </w:r>
      <w:r>
        <w:t xml:space="preserve">power to make orders dealing with the future public use of the replica and that there is sufficient in the material to warrant the exercise of </w:t>
      </w:r>
      <w:r w:rsidR="00D1551A">
        <w:t>my</w:t>
      </w:r>
      <w:r>
        <w:t xml:space="preserve"> discretion in that regard.</w:t>
      </w:r>
    </w:p>
    <w:p w:rsidR="007648FD" w:rsidRDefault="007648FD" w:rsidP="008F2B36">
      <w:pPr>
        <w:pStyle w:val="ParaNumbering"/>
      </w:pPr>
      <w:r>
        <w:t xml:space="preserve">Second, MBL’s submissions concerning not imposing any order during the currency of any appeal are not satisfactory.  </w:t>
      </w:r>
      <w:r w:rsidR="00D1551A">
        <w:t xml:space="preserve">I do not propose to bet against </w:t>
      </w:r>
      <w:r w:rsidR="000E0615">
        <w:t>my own determination</w:t>
      </w:r>
      <w:r w:rsidR="00D1551A">
        <w:t>.  I</w:t>
      </w:r>
      <w:r>
        <w:t xml:space="preserve">n my view </w:t>
      </w:r>
      <w:r w:rsidR="00D1551A">
        <w:t>an</w:t>
      </w:r>
      <w:r>
        <w:t xml:space="preserve"> order should </w:t>
      </w:r>
      <w:r w:rsidR="00D1551A">
        <w:t xml:space="preserve">now </w:t>
      </w:r>
      <w:r>
        <w:t>be made concerning the public display of the replica.</w:t>
      </w:r>
      <w:r w:rsidR="000E0615">
        <w:t xml:space="preserve">  Should it come to pass that others take a different view, so be it.</w:t>
      </w:r>
    </w:p>
    <w:p w:rsidR="007648FD" w:rsidRDefault="007648FD" w:rsidP="008F2B36">
      <w:pPr>
        <w:pStyle w:val="ParaNumbering"/>
      </w:pPr>
      <w:r>
        <w:t xml:space="preserve">Third, it seems readily apparent that the correct solution is to either have no plaque whatsoever or a plaque that states succinctly the </w:t>
      </w:r>
      <w:r w:rsidR="00D1551A">
        <w:t>identities and functions</w:t>
      </w:r>
      <w:r>
        <w:t xml:space="preserve"> of all players.  MBL should not be free to say what it likes.  Equally, SSGA cannot justify an incomplete statement, fashioned to facilitate commercial </w:t>
      </w:r>
      <w:r w:rsidR="00D1551A">
        <w:t>advantage</w:t>
      </w:r>
      <w:r>
        <w:t xml:space="preserve">.  After all, MBL owns the replica, </w:t>
      </w:r>
      <w:r w:rsidR="00D1551A">
        <w:t>not SSGA.  And</w:t>
      </w:r>
      <w:r>
        <w:t xml:space="preserve"> the artist was </w:t>
      </w:r>
      <w:r w:rsidR="00D1551A">
        <w:t xml:space="preserve">quite </w:t>
      </w:r>
      <w:r>
        <w:t xml:space="preserve">entitled to sell </w:t>
      </w:r>
      <w:r w:rsidR="00D1551A">
        <w:t>the replica to MBL for a use not inconsistent with the master agreement.</w:t>
      </w:r>
    </w:p>
    <w:p w:rsidR="00D1551A" w:rsidRDefault="00D1551A" w:rsidP="008F2B36">
      <w:pPr>
        <w:pStyle w:val="ParaNumbering"/>
      </w:pPr>
      <w:r>
        <w:t>Fourth, MBL’s concerns for the interests of third parties hardly carries the day.  Except for the operator of Federation Square, none have been identified.  In any event, the order operates</w:t>
      </w:r>
      <w:r w:rsidRPr="000E0615">
        <w:rPr>
          <w:i/>
        </w:rPr>
        <w:t xml:space="preserve"> in </w:t>
      </w:r>
      <w:proofErr w:type="spellStart"/>
      <w:r w:rsidRPr="000E0615">
        <w:rPr>
          <w:i/>
        </w:rPr>
        <w:t>personam</w:t>
      </w:r>
      <w:proofErr w:type="spellEnd"/>
      <w:r>
        <w:t>.  But if it could affect a successor in title or an owner or occupier of premises where the replica is located, no doubt they will take with notice of my order which presumably MBL would draw to their attention.  And if my order troubles them, then they are free to deal with neither MBL nor the replica.</w:t>
      </w:r>
    </w:p>
    <w:p w:rsidR="007648FD" w:rsidRDefault="00D1551A" w:rsidP="008F2B36">
      <w:pPr>
        <w:pStyle w:val="ParaNumbering"/>
      </w:pPr>
      <w:r>
        <w:t>Finally</w:t>
      </w:r>
      <w:r w:rsidR="007648FD">
        <w:t xml:space="preserve">, I accept that the foundation for making my proposed order is </w:t>
      </w:r>
      <w:r w:rsidR="000E0615">
        <w:t>not strong</w:t>
      </w:r>
      <w:r w:rsidR="007648FD">
        <w:t xml:space="preserve">.  </w:t>
      </w:r>
      <w:r w:rsidR="000E0615">
        <w:t>Nevertheless</w:t>
      </w:r>
      <w:r w:rsidR="007648FD">
        <w:t xml:space="preserve"> there is a sufficient basis to impose my solution, which hopefully may now resolve the unnecessary </w:t>
      </w:r>
      <w:r w:rsidR="00F33885">
        <w:t>and</w:t>
      </w:r>
      <w:r w:rsidR="007648FD">
        <w:t xml:space="preserve"> continuing posturing </w:t>
      </w:r>
      <w:r w:rsidR="00F33885">
        <w:t>of</w:t>
      </w:r>
      <w:r w:rsidR="007648FD">
        <w:t xml:space="preserve"> both parties.</w:t>
      </w:r>
    </w:p>
    <w:p w:rsidR="009F6DB5" w:rsidRDefault="000E0615" w:rsidP="009F6DB5">
      <w:pPr>
        <w:pStyle w:val="Heading2"/>
      </w:pPr>
      <w:r>
        <w:t>Should there be a costs discount?</w:t>
      </w:r>
    </w:p>
    <w:p w:rsidR="009F6DB5" w:rsidRDefault="009F6DB5" w:rsidP="009F6DB5">
      <w:pPr>
        <w:pStyle w:val="ParaNumbering"/>
      </w:pPr>
      <w:r>
        <w:t xml:space="preserve">SSGA </w:t>
      </w:r>
      <w:r w:rsidR="00F33885">
        <w:t>urge me to</w:t>
      </w:r>
      <w:r w:rsidRPr="009F6DB5">
        <w:t xml:space="preserve"> depart from the usual order for costs and</w:t>
      </w:r>
      <w:r w:rsidR="00F33885">
        <w:t xml:space="preserve"> to</w:t>
      </w:r>
      <w:r w:rsidR="006D5A3F">
        <w:t xml:space="preserve"> require</w:t>
      </w:r>
      <w:r w:rsidRPr="009F6DB5">
        <w:t xml:space="preserve"> them to pay </w:t>
      </w:r>
      <w:r w:rsidR="00F33885">
        <w:t xml:space="preserve">only </w:t>
      </w:r>
      <w:r w:rsidRPr="009F6DB5">
        <w:t>80% of MB</w:t>
      </w:r>
      <w:r>
        <w:t>L</w:t>
      </w:r>
      <w:r w:rsidRPr="009F6DB5">
        <w:t>’s costs of the proceeding</w:t>
      </w:r>
      <w:r w:rsidR="00F33885">
        <w:t>.</w:t>
      </w:r>
    </w:p>
    <w:p w:rsidR="008828E1" w:rsidRDefault="00F33885" w:rsidP="006D5A3F">
      <w:pPr>
        <w:pStyle w:val="ParaNumbering"/>
      </w:pPr>
      <w:r>
        <w:t>They</w:t>
      </w:r>
      <w:r w:rsidR="009F6DB5">
        <w:t xml:space="preserve"> </w:t>
      </w:r>
      <w:r w:rsidR="009F6DB5" w:rsidRPr="009F6DB5">
        <w:t>submit that a reduction is appropriate to reflect the costs associated with issues upon which MB</w:t>
      </w:r>
      <w:r w:rsidR="009F6DB5">
        <w:t>L</w:t>
      </w:r>
      <w:r w:rsidR="009F6DB5" w:rsidRPr="009F6DB5">
        <w:t xml:space="preserve"> did not succeed</w:t>
      </w:r>
      <w:r>
        <w:t>.</w:t>
      </w:r>
    </w:p>
    <w:p w:rsidR="006D5A3F" w:rsidRPr="006D5A3F" w:rsidRDefault="006D5A3F" w:rsidP="006D5A3F">
      <w:pPr>
        <w:pStyle w:val="ParaNumbering"/>
      </w:pPr>
      <w:r>
        <w:t xml:space="preserve">SSGA point out that MBL was unsuccessful in establishing that its conduct, and that of its campaign partners, was not “in trade or commerce” for the purposes of the ACL claims.  </w:t>
      </w:r>
      <w:r w:rsidRPr="003A2CA5">
        <w:t>Wh</w:t>
      </w:r>
      <w:r>
        <w:t xml:space="preserve">ilst SSGA were unsuccessful in their claims under the ACL, that issue was discrete and occupied </w:t>
      </w:r>
      <w:r>
        <w:lastRenderedPageBreak/>
        <w:t xml:space="preserve">a considerable amount of time at trial and involved </w:t>
      </w:r>
      <w:r w:rsidR="00F33885">
        <w:t xml:space="preserve">a </w:t>
      </w:r>
      <w:r>
        <w:t xml:space="preserve">review of </w:t>
      </w:r>
      <w:r w:rsidR="00F33885">
        <w:t>numerous</w:t>
      </w:r>
      <w:r>
        <w:t xml:space="preserve"> documents produced </w:t>
      </w:r>
      <w:r w:rsidRPr="00F31B36">
        <w:t>by MBL</w:t>
      </w:r>
      <w:r w:rsidR="00601872" w:rsidRPr="00F31B36">
        <w:t>,</w:t>
      </w:r>
      <w:r w:rsidRPr="00F31B36">
        <w:t xml:space="preserve"> HESTA and Cbus</w:t>
      </w:r>
      <w:r w:rsidR="00F33885">
        <w:t xml:space="preserve">.  </w:t>
      </w:r>
      <w:r>
        <w:t>SSGA submit that the significant time and cost associated with this issue warrant a reduction in MBL’s entitlement to costs</w:t>
      </w:r>
      <w:r w:rsidR="00F33885">
        <w:t>.</w:t>
      </w:r>
    </w:p>
    <w:p w:rsidR="008828E1" w:rsidRDefault="006D5A3F" w:rsidP="006D5A3F">
      <w:pPr>
        <w:pStyle w:val="ParaNumbering"/>
      </w:pPr>
      <w:r>
        <w:t>Further, SSGA point out that the</w:t>
      </w:r>
      <w:r w:rsidR="008828E1">
        <w:t xml:space="preserve"> disclaimers </w:t>
      </w:r>
      <w:r w:rsidR="008828E1" w:rsidRPr="00F31B36">
        <w:t>were introduced by MB</w:t>
      </w:r>
      <w:r w:rsidR="00B50D17" w:rsidRPr="00F31B36">
        <w:t>L</w:t>
      </w:r>
      <w:r w:rsidR="008828E1" w:rsidRPr="00F31B36">
        <w:t xml:space="preserve"> only after the commencement of this proceeding, and after the initial launch of MB</w:t>
      </w:r>
      <w:r w:rsidR="00B50D17" w:rsidRPr="00F31B36">
        <w:t>L</w:t>
      </w:r>
      <w:r w:rsidR="00E761BC" w:rsidRPr="00F31B36">
        <w:t>’s campaign</w:t>
      </w:r>
      <w:r w:rsidR="00201301" w:rsidRPr="00F31B36">
        <w:t xml:space="preserve"> on 12</w:t>
      </w:r>
      <w:r w:rsidR="00F32F79" w:rsidRPr="00F31B36">
        <w:t> </w:t>
      </w:r>
      <w:r w:rsidR="00201301" w:rsidRPr="00F31B36">
        <w:t>February 2019</w:t>
      </w:r>
      <w:r w:rsidRPr="00F31B36">
        <w:t xml:space="preserve">.  Further, </w:t>
      </w:r>
      <w:r w:rsidR="008828E1" w:rsidRPr="00F31B36">
        <w:t>MB</w:t>
      </w:r>
      <w:r w:rsidR="00B50D17" w:rsidRPr="00F31B36">
        <w:t>L</w:t>
      </w:r>
      <w:r w:rsidR="008828E1" w:rsidRPr="00F31B36">
        <w:t>’s use of disclaimers was a relevant factor in assessing or characterising MB</w:t>
      </w:r>
      <w:r w:rsidR="00B50D17" w:rsidRPr="00F31B36">
        <w:t>L</w:t>
      </w:r>
      <w:r w:rsidR="008828E1" w:rsidRPr="00F31B36">
        <w:t>’s conduct and the MB</w:t>
      </w:r>
      <w:r w:rsidR="00B50D17" w:rsidRPr="00F31B36">
        <w:t>L</w:t>
      </w:r>
      <w:r w:rsidR="00F33885">
        <w:t xml:space="preserve"> campaign more generally</w:t>
      </w:r>
      <w:r w:rsidR="008828E1">
        <w:t xml:space="preserve">. </w:t>
      </w:r>
      <w:r w:rsidR="00B50D17">
        <w:t xml:space="preserve"> </w:t>
      </w:r>
      <w:r>
        <w:t>SSGA point out that but</w:t>
      </w:r>
      <w:r w:rsidR="008828E1">
        <w:t xml:space="preserve"> for the commencement of the proceeding, it is unlikely that MB</w:t>
      </w:r>
      <w:r w:rsidR="00B50D17">
        <w:t>L</w:t>
      </w:r>
      <w:r w:rsidR="008828E1">
        <w:t xml:space="preserve"> would have proffered an undertaking to use any form of disclaimer. </w:t>
      </w:r>
      <w:r w:rsidR="00B50D17">
        <w:t xml:space="preserve"> </w:t>
      </w:r>
      <w:r>
        <w:t>Further</w:t>
      </w:r>
      <w:r w:rsidR="008828E1">
        <w:t xml:space="preserve">, </w:t>
      </w:r>
      <w:r>
        <w:t xml:space="preserve">SSGA point out, as is apparent from my earlier discussion, that </w:t>
      </w:r>
      <w:r w:rsidR="008828E1">
        <w:t>MB</w:t>
      </w:r>
      <w:r w:rsidR="00B50D17">
        <w:t>L</w:t>
      </w:r>
      <w:r w:rsidR="008828E1">
        <w:t xml:space="preserve"> has not proffered any permanent undertakings to use any dis</w:t>
      </w:r>
      <w:r w:rsidR="00B50D17">
        <w:t>claimer in connection with the r</w:t>
      </w:r>
      <w:r w:rsidR="008828E1">
        <w:t>eplica</w:t>
      </w:r>
      <w:r w:rsidR="00E761BC">
        <w:t xml:space="preserve">. </w:t>
      </w:r>
      <w:r w:rsidR="008828E1">
        <w:t xml:space="preserve"> </w:t>
      </w:r>
      <w:r>
        <w:t>They also say that if</w:t>
      </w:r>
      <w:r w:rsidR="008828E1">
        <w:t xml:space="preserve"> </w:t>
      </w:r>
      <w:r w:rsidR="00B50D17">
        <w:t>I am</w:t>
      </w:r>
      <w:r w:rsidR="008828E1">
        <w:t xml:space="preserve"> minded to order MB</w:t>
      </w:r>
      <w:r w:rsidR="00B50D17">
        <w:t>L</w:t>
      </w:r>
      <w:r w:rsidR="008828E1">
        <w:t xml:space="preserve"> to continue to use a dis</w:t>
      </w:r>
      <w:r w:rsidR="00B50D17">
        <w:t>claimer in connection with the r</w:t>
      </w:r>
      <w:r w:rsidR="008828E1">
        <w:t>eplica, th</w:t>
      </w:r>
      <w:r w:rsidR="00B50D17">
        <w:t xml:space="preserve">at would reflect the fact that SSGA </w:t>
      </w:r>
      <w:r w:rsidR="008828E1">
        <w:t xml:space="preserve">have had some success on </w:t>
      </w:r>
      <w:r w:rsidR="00F33885">
        <w:t xml:space="preserve">some </w:t>
      </w:r>
      <w:r w:rsidR="008828E1">
        <w:t>issue</w:t>
      </w:r>
      <w:r w:rsidR="00F33885">
        <w:t xml:space="preserve"> at least</w:t>
      </w:r>
      <w:r>
        <w:t>.</w:t>
      </w:r>
    </w:p>
    <w:p w:rsidR="00015D80" w:rsidRDefault="00015D80" w:rsidP="00F33885">
      <w:pPr>
        <w:pStyle w:val="ParaNumbering"/>
        <w:tabs>
          <w:tab w:val="clear" w:pos="720"/>
        </w:tabs>
      </w:pPr>
      <w:r>
        <w:t>I will not apply any discount to the costs payable by SSGA.</w:t>
      </w:r>
      <w:r w:rsidR="00F33885">
        <w:t xml:space="preserve">  </w:t>
      </w:r>
      <w:r w:rsidR="000E0615">
        <w:t xml:space="preserve">Their arguments were gossamer thin.  </w:t>
      </w:r>
      <w:r w:rsidR="009C648D">
        <w:t xml:space="preserve">There are no special circumstances to warrant a departure from the </w:t>
      </w:r>
      <w:r w:rsidR="00F33885">
        <w:t>usual</w:t>
      </w:r>
      <w:r w:rsidR="009C648D">
        <w:t xml:space="preserve"> rule that costs follow the event.  </w:t>
      </w:r>
      <w:r w:rsidR="006D5A3F">
        <w:t>First, t</w:t>
      </w:r>
      <w:r w:rsidR="009C648D">
        <w:t>he arguments and evidence concerning the question of whether MBL’s conduct was “in trade or commer</w:t>
      </w:r>
      <w:r w:rsidR="009C648D" w:rsidRPr="00201301">
        <w:t xml:space="preserve">ce” </w:t>
      </w:r>
      <w:r w:rsidR="00601872" w:rsidRPr="00201301">
        <w:t>were</w:t>
      </w:r>
      <w:r w:rsidR="009C648D" w:rsidRPr="00201301">
        <w:t xml:space="preserve"> n</w:t>
      </w:r>
      <w:r w:rsidR="009C648D">
        <w:t xml:space="preserve">ot </w:t>
      </w:r>
      <w:r w:rsidR="00F33885">
        <w:t>dominant or separable</w:t>
      </w:r>
      <w:r w:rsidR="009C648D">
        <w:t xml:space="preserve">.  That MBL did not succeed on this side-issue is not a reason to deviate from the usual course.  SSGA’s ACL claims otherwise failed in every respect.  </w:t>
      </w:r>
      <w:r w:rsidR="006D5A3F">
        <w:t>Second, i</w:t>
      </w:r>
      <w:r w:rsidR="009C648D">
        <w:t>n relatio</w:t>
      </w:r>
      <w:r w:rsidR="009C648D" w:rsidRPr="00F31B36">
        <w:t>n to the disclaimer</w:t>
      </w:r>
      <w:r w:rsidR="00F33885">
        <w:t>s</w:t>
      </w:r>
      <w:r w:rsidR="009C648D" w:rsidRPr="00F31B36">
        <w:t>, SSGA failed to establish any of its plea</w:t>
      </w:r>
      <w:r w:rsidR="00DD0A16" w:rsidRPr="00F31B36">
        <w:t>ded representations</w:t>
      </w:r>
      <w:r w:rsidR="009C648D" w:rsidRPr="00F31B36">
        <w:t xml:space="preserve"> including some </w:t>
      </w:r>
      <w:r w:rsidR="00201301" w:rsidRPr="00F31B36">
        <w:t xml:space="preserve">that were </w:t>
      </w:r>
      <w:r w:rsidR="009C648D" w:rsidRPr="00F31B36">
        <w:t>said to have been made before a</w:t>
      </w:r>
      <w:r w:rsidR="00601872" w:rsidRPr="00F31B36">
        <w:t>ny</w:t>
      </w:r>
      <w:r w:rsidR="009C648D" w:rsidRPr="00F31B36">
        <w:t xml:space="preserve"> disclaimer was used.</w:t>
      </w:r>
      <w:r w:rsidR="006D5A3F" w:rsidRPr="00F31B36">
        <w:t xml:space="preserve">  Third, </w:t>
      </w:r>
      <w:r w:rsidR="00F33885">
        <w:t>my proposed order concerning the future display of the replica hardly provides leverage to SSGA to finesse a costs reduction.  Indeed, they may be said to be fortunate to be given even this.</w:t>
      </w:r>
    </w:p>
    <w:p w:rsidR="007A62F3" w:rsidRDefault="000E0615" w:rsidP="0052410D">
      <w:pPr>
        <w:pStyle w:val="Heading2"/>
      </w:pPr>
      <w:r>
        <w:t>Are i</w:t>
      </w:r>
      <w:r w:rsidR="00241D8C">
        <w:t xml:space="preserve">ndemnity costs </w:t>
      </w:r>
      <w:r>
        <w:t>justified?</w:t>
      </w:r>
    </w:p>
    <w:p w:rsidR="00241D8C" w:rsidRDefault="00A74874" w:rsidP="00A74874">
      <w:pPr>
        <w:pStyle w:val="ParaNumbering"/>
      </w:pPr>
      <w:r w:rsidRPr="00A74874">
        <w:t xml:space="preserve">MBL seeks an order for indemnity costs pursuant </w:t>
      </w:r>
      <w:r w:rsidR="00930CB4">
        <w:t xml:space="preserve">to </w:t>
      </w:r>
      <w:r w:rsidR="00F33885">
        <w:t xml:space="preserve">either </w:t>
      </w:r>
      <w:r w:rsidRPr="0055618B">
        <w:t>r 25.14(2) of t</w:t>
      </w:r>
      <w:r w:rsidRPr="00A74874">
        <w:t xml:space="preserve">he </w:t>
      </w:r>
      <w:r w:rsidRPr="00A74874">
        <w:rPr>
          <w:i/>
        </w:rPr>
        <w:t>Federal Court Rules 2011</w:t>
      </w:r>
      <w:r>
        <w:t xml:space="preserve"> (</w:t>
      </w:r>
      <w:proofErr w:type="spellStart"/>
      <w:r>
        <w:t>Cth</w:t>
      </w:r>
      <w:proofErr w:type="spellEnd"/>
      <w:r>
        <w:t>)</w:t>
      </w:r>
      <w:r w:rsidR="007648FD">
        <w:t xml:space="preserve"> or</w:t>
      </w:r>
      <w:r w:rsidRPr="00A74874">
        <w:t xml:space="preserve"> the </w:t>
      </w:r>
      <w:r>
        <w:t>well</w:t>
      </w:r>
      <w:r w:rsidR="007648FD">
        <w:t>-</w:t>
      </w:r>
      <w:r>
        <w:t xml:space="preserve">known </w:t>
      </w:r>
      <w:proofErr w:type="spellStart"/>
      <w:r w:rsidRPr="00A74874">
        <w:rPr>
          <w:i/>
        </w:rPr>
        <w:t>Calderbank</w:t>
      </w:r>
      <w:proofErr w:type="spellEnd"/>
      <w:r>
        <w:t xml:space="preserve"> </w:t>
      </w:r>
      <w:r w:rsidR="007648FD">
        <w:t>considerations.  Of course, I have the necessary general discretion in any event</w:t>
      </w:r>
      <w:r w:rsidR="00F33885">
        <w:t xml:space="preserve"> irrespective of these heads</w:t>
      </w:r>
      <w:r w:rsidR="007648FD">
        <w:t>.</w:t>
      </w:r>
    </w:p>
    <w:p w:rsidR="00546599" w:rsidRDefault="00546599" w:rsidP="000E1EEA">
      <w:pPr>
        <w:pStyle w:val="ParaNumbering"/>
      </w:pPr>
      <w:r>
        <w:t>On 15 March 2019, MBL served on SSGA’s</w:t>
      </w:r>
      <w:r w:rsidR="00930CB4">
        <w:t xml:space="preserve"> solicitors</w:t>
      </w:r>
      <w:r>
        <w:t xml:space="preserve"> </w:t>
      </w:r>
      <w:r w:rsidR="00F33885">
        <w:t xml:space="preserve">an </w:t>
      </w:r>
      <w:r w:rsidR="008E3C11">
        <w:t xml:space="preserve">offer </w:t>
      </w:r>
      <w:r w:rsidR="00F33885">
        <w:t>of</w:t>
      </w:r>
      <w:r w:rsidR="008E3C11">
        <w:t xml:space="preserve"> c</w:t>
      </w:r>
      <w:r>
        <w:t xml:space="preserve">ompromise under </w:t>
      </w:r>
      <w:r w:rsidR="008E3C11" w:rsidRPr="00A15D33">
        <w:t>r </w:t>
      </w:r>
      <w:r w:rsidRPr="00A15D33">
        <w:t>25.01(1)</w:t>
      </w:r>
      <w:r w:rsidR="008E3C11" w:rsidRPr="00A15D33">
        <w:t>.  This</w:t>
      </w:r>
      <w:r w:rsidR="008E3C11">
        <w:t xml:space="preserve"> offer </w:t>
      </w:r>
      <w:r>
        <w:t>was not accepted by SSGA.</w:t>
      </w:r>
      <w:r w:rsidR="00F33885">
        <w:t xml:space="preserve">  </w:t>
      </w:r>
      <w:r>
        <w:t xml:space="preserve">MBL </w:t>
      </w:r>
      <w:r w:rsidR="00F33885">
        <w:t>says</w:t>
      </w:r>
      <w:r>
        <w:t xml:space="preserve"> that it was unreasonable for SSGA to reject </w:t>
      </w:r>
      <w:r w:rsidR="0072675F">
        <w:t>this</w:t>
      </w:r>
      <w:r>
        <w:t xml:space="preserve"> </w:t>
      </w:r>
      <w:r w:rsidR="0072675F">
        <w:t xml:space="preserve">offer. </w:t>
      </w:r>
      <w:r>
        <w:t xml:space="preserve"> </w:t>
      </w:r>
      <w:r w:rsidR="007648FD">
        <w:t>It says that w</w:t>
      </w:r>
      <w:r>
        <w:t>hen this offer was made</w:t>
      </w:r>
      <w:r w:rsidRPr="00201301">
        <w:t xml:space="preserve">, SSGA had available to </w:t>
      </w:r>
      <w:r w:rsidR="00601872" w:rsidRPr="00201301">
        <w:t xml:space="preserve">them ample material </w:t>
      </w:r>
      <w:r w:rsidRPr="00201301">
        <w:t xml:space="preserve">to assess </w:t>
      </w:r>
      <w:r w:rsidR="00601872" w:rsidRPr="00201301">
        <w:t>their</w:t>
      </w:r>
      <w:r>
        <w:t xml:space="preserve"> prospects of success</w:t>
      </w:r>
      <w:r w:rsidR="007648FD">
        <w:t xml:space="preserve"> across all claims.</w:t>
      </w:r>
      <w:r w:rsidR="00F33885">
        <w:t xml:space="preserve">  </w:t>
      </w:r>
      <w:r w:rsidR="007648FD">
        <w:t>It says that i</w:t>
      </w:r>
      <w:r>
        <w:t xml:space="preserve">n all the </w:t>
      </w:r>
      <w:r>
        <w:lastRenderedPageBreak/>
        <w:t>circ</w:t>
      </w:r>
      <w:r w:rsidR="007648FD">
        <w:t xml:space="preserve">umstances, and considering the </w:t>
      </w:r>
      <w:r>
        <w:t>compr</w:t>
      </w:r>
      <w:r w:rsidRPr="00F31B36">
        <w:t xml:space="preserve">omise </w:t>
      </w:r>
      <w:r w:rsidR="00601872" w:rsidRPr="00F31B36">
        <w:t xml:space="preserve">that was </w:t>
      </w:r>
      <w:r w:rsidRPr="00F31B36">
        <w:t>being offered in terms of MBL’s future use of the replica, SSGA’s failure to accept th</w:t>
      </w:r>
      <w:r w:rsidR="00E800DD" w:rsidRPr="00F31B36">
        <w:t xml:space="preserve">is offer </w:t>
      </w:r>
      <w:r w:rsidRPr="00F31B36">
        <w:t>was unreasonable</w:t>
      </w:r>
      <w:r w:rsidR="00F33885">
        <w:t>.</w:t>
      </w:r>
    </w:p>
    <w:p w:rsidR="005D5F01" w:rsidRDefault="00CD0C41" w:rsidP="00920AA7">
      <w:pPr>
        <w:pStyle w:val="ParaNumbering"/>
      </w:pPr>
      <w:r>
        <w:t xml:space="preserve">Further, </w:t>
      </w:r>
      <w:r w:rsidR="00F33885">
        <w:t xml:space="preserve">later </w:t>
      </w:r>
      <w:r>
        <w:t>o</w:t>
      </w:r>
      <w:r w:rsidR="00546599">
        <w:t xml:space="preserve">n 15 March 2019, MBL also made a </w:t>
      </w:r>
      <w:proofErr w:type="spellStart"/>
      <w:r>
        <w:rPr>
          <w:i/>
        </w:rPr>
        <w:t>Calderbank</w:t>
      </w:r>
      <w:proofErr w:type="spellEnd"/>
      <w:r>
        <w:rPr>
          <w:i/>
        </w:rPr>
        <w:t xml:space="preserve"> </w:t>
      </w:r>
      <w:r w:rsidR="00546599">
        <w:t>offer</w:t>
      </w:r>
      <w:r w:rsidR="004F6174">
        <w:t xml:space="preserve">.  </w:t>
      </w:r>
      <w:r w:rsidR="00546599">
        <w:t>Whilst that offer contained terms outside the scope of the relief sought by SSGA</w:t>
      </w:r>
      <w:r w:rsidR="00920AA7" w:rsidRPr="00920AA7">
        <w:t>, MBL relies on that offer as further evidence of MBL’s genuine and reasonable attempt to reach a commercial resolution</w:t>
      </w:r>
      <w:r w:rsidR="00F33885">
        <w:t>.  It says that</w:t>
      </w:r>
      <w:r w:rsidR="00920AA7" w:rsidRPr="00920AA7">
        <w:t xml:space="preserve"> SSGA unreasonably failed to </w:t>
      </w:r>
      <w:r w:rsidR="00F33885">
        <w:t>accept the offer.</w:t>
      </w:r>
    </w:p>
    <w:p w:rsidR="00F52345" w:rsidRDefault="00CD0C41" w:rsidP="00F33885">
      <w:pPr>
        <w:pStyle w:val="ParaNumbering"/>
        <w:tabs>
          <w:tab w:val="clear" w:pos="720"/>
        </w:tabs>
      </w:pPr>
      <w:r>
        <w:t>Further, o</w:t>
      </w:r>
      <w:r w:rsidR="009C2608">
        <w:t xml:space="preserve">n 30 October 2019 a second offer </w:t>
      </w:r>
      <w:r w:rsidR="00F33885">
        <w:t>of</w:t>
      </w:r>
      <w:r w:rsidRPr="00F31B36">
        <w:t xml:space="preserve"> compromise </w:t>
      </w:r>
      <w:r w:rsidR="001B02C0" w:rsidRPr="00F31B36">
        <w:t>under r 25.01(1)</w:t>
      </w:r>
      <w:r w:rsidR="00200460" w:rsidRPr="00F31B36">
        <w:t xml:space="preserve"> </w:t>
      </w:r>
      <w:r w:rsidRPr="00F31B36">
        <w:t xml:space="preserve">was </w:t>
      </w:r>
      <w:r w:rsidR="00F33885">
        <w:t>made by MBL.  The</w:t>
      </w:r>
      <w:r w:rsidR="00A32141" w:rsidRPr="00F31B36">
        <w:t xml:space="preserve"> </w:t>
      </w:r>
      <w:r w:rsidR="009C2608" w:rsidRPr="00F31B36">
        <w:t>offer was that the proceeding be dismissed with no order as to co</w:t>
      </w:r>
      <w:r w:rsidR="009C2608">
        <w:t xml:space="preserve">sts.  At that time, MBL’s costs of the proceeding </w:t>
      </w:r>
      <w:r>
        <w:t>were substantial</w:t>
      </w:r>
      <w:r w:rsidR="00F33885">
        <w:t xml:space="preserve"> and so, according to MBL, the </w:t>
      </w:r>
      <w:r w:rsidR="009C2608">
        <w:t>offer represented a substantial compromise.</w:t>
      </w:r>
      <w:r w:rsidR="00F33885">
        <w:t xml:space="preserve">  </w:t>
      </w:r>
      <w:r w:rsidR="00B2485D">
        <w:t>SSGA rejected the o</w:t>
      </w:r>
      <w:r w:rsidR="00F52345">
        <w:t>ffer</w:t>
      </w:r>
      <w:r w:rsidR="00F33885">
        <w:t>, which rejection</w:t>
      </w:r>
      <w:r w:rsidR="00F52345">
        <w:t xml:space="preserve"> </w:t>
      </w:r>
      <w:r>
        <w:t xml:space="preserve">MBL says </w:t>
      </w:r>
      <w:r w:rsidR="009C2608">
        <w:t>was also unreasonable</w:t>
      </w:r>
      <w:r w:rsidR="00F33885">
        <w:t>.</w:t>
      </w:r>
    </w:p>
    <w:p w:rsidR="009C5399" w:rsidRDefault="007365BF" w:rsidP="009C2608">
      <w:pPr>
        <w:pStyle w:val="ParaNumbering"/>
      </w:pPr>
      <w:r>
        <w:t xml:space="preserve">I will not make an order for indemnity costs. </w:t>
      </w:r>
      <w:r w:rsidR="00F33885">
        <w:t xml:space="preserve"> Before saying something about each offer, let me make some general points.</w:t>
      </w:r>
    </w:p>
    <w:p w:rsidR="007365BF" w:rsidRDefault="00012761" w:rsidP="001B02C0">
      <w:pPr>
        <w:pStyle w:val="ParaNumbering"/>
      </w:pPr>
      <w:r>
        <w:t xml:space="preserve">SSGA’s claims were genuinely raised and reasonably arguable.  </w:t>
      </w:r>
      <w:r w:rsidR="005A4914">
        <w:t xml:space="preserve">Indeed, </w:t>
      </w:r>
      <w:r>
        <w:t>SSGA obtained an interlocutory injunction at the commencement of the proceeding, which was only discharged upon M</w:t>
      </w:r>
      <w:r w:rsidRPr="00F31B36">
        <w:t>B</w:t>
      </w:r>
      <w:r w:rsidR="000313DE" w:rsidRPr="00F31B36">
        <w:t>L</w:t>
      </w:r>
      <w:r w:rsidRPr="00F31B36">
        <w:t xml:space="preserve"> undertaking to use </w:t>
      </w:r>
      <w:r w:rsidR="001B02C0" w:rsidRPr="00F31B36">
        <w:t xml:space="preserve">the interlocutory </w:t>
      </w:r>
      <w:r w:rsidRPr="00F31B36">
        <w:t xml:space="preserve">disclaimer. </w:t>
      </w:r>
      <w:r w:rsidR="000313DE" w:rsidRPr="00F31B36">
        <w:t xml:space="preserve"> </w:t>
      </w:r>
      <w:r w:rsidR="00F33885">
        <w:t>Further,</w:t>
      </w:r>
      <w:r w:rsidRPr="00F31B36">
        <w:t xml:space="preserve"> MB</w:t>
      </w:r>
      <w:r w:rsidR="000313DE" w:rsidRPr="00F31B36">
        <w:t>L</w:t>
      </w:r>
      <w:r w:rsidRPr="00F31B36">
        <w:t xml:space="preserve"> subsequently undert</w:t>
      </w:r>
      <w:r w:rsidR="00F33885">
        <w:t>ook</w:t>
      </w:r>
      <w:r w:rsidR="001B02C0" w:rsidRPr="00F31B36">
        <w:t xml:space="preserve"> </w:t>
      </w:r>
      <w:r w:rsidRPr="00F31B36">
        <w:t>not to co</w:t>
      </w:r>
      <w:r>
        <w:t xml:space="preserve">nduct any further promotion or marketing using the </w:t>
      </w:r>
      <w:r w:rsidR="000313DE">
        <w:t>r</w:t>
      </w:r>
      <w:r>
        <w:t>eplica</w:t>
      </w:r>
      <w:r w:rsidR="005A4914">
        <w:t>.</w:t>
      </w:r>
      <w:r w:rsidR="00CD0C41">
        <w:t xml:space="preserve">  Further, </w:t>
      </w:r>
      <w:r w:rsidR="00350E55">
        <w:t>a</w:t>
      </w:r>
      <w:r>
        <w:t xml:space="preserve">lthough SSGA was ultimately </w:t>
      </w:r>
      <w:r w:rsidR="00362805">
        <w:t xml:space="preserve">not </w:t>
      </w:r>
      <w:r>
        <w:t xml:space="preserve">successful, </w:t>
      </w:r>
      <w:r w:rsidR="001B02C0">
        <w:t>they</w:t>
      </w:r>
      <w:r>
        <w:t xml:space="preserve"> did succeed on a </w:t>
      </w:r>
      <w:r w:rsidR="00350E55">
        <w:t>few subsidiary issues.  Further,</w:t>
      </w:r>
      <w:r>
        <w:t xml:space="preserve"> </w:t>
      </w:r>
      <w:r w:rsidR="001B02C0">
        <w:t>they</w:t>
      </w:r>
      <w:r>
        <w:t xml:space="preserve"> succeeded in obtaining substantive relief against Cbus and HESTA, by way of undertakings</w:t>
      </w:r>
      <w:r w:rsidR="00362805">
        <w:t>.</w:t>
      </w:r>
    </w:p>
    <w:p w:rsidR="002B7738" w:rsidRDefault="00CD0C41" w:rsidP="00255749">
      <w:pPr>
        <w:pStyle w:val="ParaNumbering"/>
      </w:pPr>
      <w:r>
        <w:t>Further, a</w:t>
      </w:r>
      <w:r w:rsidR="002B7738">
        <w:t xml:space="preserve">s to the offers </w:t>
      </w:r>
      <w:r w:rsidR="00362805">
        <w:t xml:space="preserve">of compromise </w:t>
      </w:r>
      <w:r w:rsidR="002B7738">
        <w:t xml:space="preserve">under r 25.01(1), </w:t>
      </w:r>
      <w:r>
        <w:t>i</w:t>
      </w:r>
      <w:r w:rsidR="00515844">
        <w:t>n my view</w:t>
      </w:r>
      <w:r>
        <w:t xml:space="preserve"> </w:t>
      </w:r>
      <w:r w:rsidR="00515844">
        <w:t>SSGA did not unreasonably fail</w:t>
      </w:r>
      <w:r w:rsidR="002B7738">
        <w:t xml:space="preserve"> to accept </w:t>
      </w:r>
      <w:r w:rsidR="00362805">
        <w:t xml:space="preserve">these </w:t>
      </w:r>
      <w:r w:rsidR="002B7738">
        <w:t>offers in the circumstances that existed at the time the offers were re</w:t>
      </w:r>
      <w:r w:rsidR="00255749">
        <w:t>fused</w:t>
      </w:r>
      <w:r w:rsidR="00362805">
        <w:t>.</w:t>
      </w:r>
    </w:p>
    <w:p w:rsidR="002B7738" w:rsidRDefault="000E0615" w:rsidP="002B7738">
      <w:pPr>
        <w:pStyle w:val="ParaNumbering"/>
      </w:pPr>
      <w:r>
        <w:t>Further</w:t>
      </w:r>
      <w:r w:rsidR="00CD0C41">
        <w:t xml:space="preserve"> </w:t>
      </w:r>
      <w:r w:rsidR="00362805">
        <w:t xml:space="preserve">and more generally, </w:t>
      </w:r>
      <w:r w:rsidR="002B7738">
        <w:t xml:space="preserve">the fact </w:t>
      </w:r>
      <w:r w:rsidR="00CD0C41">
        <w:t xml:space="preserve">that </w:t>
      </w:r>
      <w:r w:rsidR="002B7738">
        <w:t>an off</w:t>
      </w:r>
      <w:r w:rsidR="002B7738" w:rsidRPr="00201301">
        <w:t xml:space="preserve">er </w:t>
      </w:r>
      <w:r w:rsidR="00362805">
        <w:t>of</w:t>
      </w:r>
      <w:r w:rsidR="002B7738" w:rsidRPr="00201301">
        <w:t xml:space="preserve"> c</w:t>
      </w:r>
      <w:r w:rsidR="002B7738">
        <w:t>ompromise is made which is more favourable than the final resul</w:t>
      </w:r>
      <w:r w:rsidR="00362805">
        <w:t>t</w:t>
      </w:r>
      <w:r w:rsidR="002B7738">
        <w:t xml:space="preserve"> does not automatically result </w:t>
      </w:r>
      <w:r w:rsidR="00192915">
        <w:t xml:space="preserve">in an award of indemnity costs. </w:t>
      </w:r>
      <w:r w:rsidR="00362805">
        <w:t xml:space="preserve"> Further, it does not follow</w:t>
      </w:r>
      <w:r w:rsidR="002B7738">
        <w:t xml:space="preserve"> that even if an offe</w:t>
      </w:r>
      <w:r w:rsidR="009D2918">
        <w:t xml:space="preserve">r involved a genuine compromise, </w:t>
      </w:r>
      <w:r w:rsidR="00362805">
        <w:t>any rejection</w:t>
      </w:r>
      <w:r w:rsidR="002B7738">
        <w:t xml:space="preserve"> is unreason</w:t>
      </w:r>
      <w:r w:rsidR="00192915">
        <w:t xml:space="preserve">able.  </w:t>
      </w:r>
      <w:r w:rsidR="002B7738">
        <w:t xml:space="preserve">The question of whether indemnity costs should flow from a rejected </w:t>
      </w:r>
      <w:r w:rsidR="00362805">
        <w:t>offer</w:t>
      </w:r>
      <w:r w:rsidR="002B7738">
        <w:t xml:space="preserve"> is whether</w:t>
      </w:r>
      <w:r w:rsidR="00362805">
        <w:t>,</w:t>
      </w:r>
      <w:r w:rsidR="002B7738">
        <w:t xml:space="preserve"> given the information then available to the</w:t>
      </w:r>
      <w:r w:rsidR="009D2918">
        <w:t xml:space="preserve"> offeree, </w:t>
      </w:r>
      <w:r w:rsidR="002B7738">
        <w:t>it should have known that its case was likely to fail.</w:t>
      </w:r>
      <w:r w:rsidR="00192915">
        <w:t xml:space="preserve"> </w:t>
      </w:r>
      <w:r w:rsidR="00627A9D">
        <w:t xml:space="preserve"> The </w:t>
      </w:r>
      <w:r w:rsidR="002B7738">
        <w:t>question of the unreasonableness of the rejection is to be</w:t>
      </w:r>
      <w:r w:rsidR="00627A9D">
        <w:t xml:space="preserve"> analysed </w:t>
      </w:r>
      <w:r w:rsidR="00362805">
        <w:t xml:space="preserve">utilising </w:t>
      </w:r>
      <w:r w:rsidR="00627A9D">
        <w:t>the perspective</w:t>
      </w:r>
      <w:r w:rsidR="002B7738">
        <w:t xml:space="preserve"> at the time</w:t>
      </w:r>
      <w:r w:rsidR="00627A9D">
        <w:t xml:space="preserve"> of the offer. </w:t>
      </w:r>
      <w:r w:rsidR="002B7738">
        <w:t xml:space="preserve"> </w:t>
      </w:r>
    </w:p>
    <w:p w:rsidR="002B7738" w:rsidRDefault="00CD0C41" w:rsidP="002B7738">
      <w:pPr>
        <w:pStyle w:val="ParaNumbering"/>
      </w:pPr>
      <w:r>
        <w:t>Let me say something about each offer.</w:t>
      </w:r>
    </w:p>
    <w:p w:rsidR="002B7738" w:rsidRDefault="002B7738" w:rsidP="00201301">
      <w:pPr>
        <w:pStyle w:val="ParaNumbering"/>
      </w:pPr>
      <w:r>
        <w:lastRenderedPageBreak/>
        <w:t xml:space="preserve">First, the </w:t>
      </w:r>
      <w:r w:rsidR="00225B39">
        <w:t>first</w:t>
      </w:r>
      <w:r w:rsidR="00D10BB1">
        <w:t xml:space="preserve"> </w:t>
      </w:r>
      <w:r w:rsidR="00201301" w:rsidRPr="00201301">
        <w:t xml:space="preserve">r 25.01 </w:t>
      </w:r>
      <w:r w:rsidR="00225B39">
        <w:t>o</w:t>
      </w:r>
      <w:r>
        <w:t xml:space="preserve">ffer was made </w:t>
      </w:r>
      <w:r w:rsidR="00362805">
        <w:t xml:space="preserve">early in the proceeding when there had been </w:t>
      </w:r>
      <w:r w:rsidRPr="00F31B36">
        <w:t>only limited disclosure by MB</w:t>
      </w:r>
      <w:r w:rsidR="00225B39" w:rsidRPr="00F31B36">
        <w:t>L</w:t>
      </w:r>
      <w:r w:rsidRPr="00F31B36">
        <w:t xml:space="preserve"> and limited evidence filed. </w:t>
      </w:r>
      <w:r w:rsidR="00225B39" w:rsidRPr="00F31B36">
        <w:t xml:space="preserve"> </w:t>
      </w:r>
      <w:r w:rsidR="00362805">
        <w:t>Further, w</w:t>
      </w:r>
      <w:r w:rsidRPr="00F31B36">
        <w:t>hil</w:t>
      </w:r>
      <w:r w:rsidR="00225B39" w:rsidRPr="00F31B36">
        <w:t>st</w:t>
      </w:r>
      <w:r w:rsidRPr="00F31B36">
        <w:t xml:space="preserve"> SSGA had some inform</w:t>
      </w:r>
      <w:r>
        <w:t>ation concerning MB</w:t>
      </w:r>
      <w:r w:rsidR="00225B39">
        <w:t>L</w:t>
      </w:r>
      <w:r>
        <w:t xml:space="preserve">’s campaign before </w:t>
      </w:r>
      <w:r w:rsidR="0019147F">
        <w:t>them</w:t>
      </w:r>
      <w:r>
        <w:t xml:space="preserve"> at the time the</w:t>
      </w:r>
      <w:r w:rsidR="00CD0C41">
        <w:t xml:space="preserve"> offer was made, that material did not inevitably provide</w:t>
      </w:r>
      <w:r>
        <w:t xml:space="preserve"> a basis for SSGA to </w:t>
      </w:r>
      <w:r w:rsidR="00362805">
        <w:t>conclude</w:t>
      </w:r>
      <w:r>
        <w:t xml:space="preserve"> that </w:t>
      </w:r>
      <w:r w:rsidR="00CD0C41" w:rsidRPr="0019147F">
        <w:t>their</w:t>
      </w:r>
      <w:r w:rsidRPr="0019147F">
        <w:t xml:space="preserve"> c</w:t>
      </w:r>
      <w:r>
        <w:t>laims against MB</w:t>
      </w:r>
      <w:r w:rsidR="00225B39">
        <w:t>L</w:t>
      </w:r>
      <w:r w:rsidR="003244C0">
        <w:t xml:space="preserve"> would be likely to fail.</w:t>
      </w:r>
    </w:p>
    <w:p w:rsidR="009775FA" w:rsidRDefault="00225B39" w:rsidP="009775FA">
      <w:pPr>
        <w:pStyle w:val="ParaNumbering"/>
      </w:pPr>
      <w:r>
        <w:t>Second</w:t>
      </w:r>
      <w:r w:rsidR="002B7738">
        <w:t xml:space="preserve">, </w:t>
      </w:r>
      <w:r w:rsidR="009775FA">
        <w:t xml:space="preserve">the first </w:t>
      </w:r>
      <w:r w:rsidR="00201301" w:rsidRPr="00201301">
        <w:t>r 25.01</w:t>
      </w:r>
      <w:r w:rsidR="00201301">
        <w:t xml:space="preserve"> </w:t>
      </w:r>
      <w:r w:rsidR="009775FA">
        <w:t xml:space="preserve">offer </w:t>
      </w:r>
      <w:r w:rsidR="00362805">
        <w:t>did not give</w:t>
      </w:r>
      <w:r w:rsidR="009775FA">
        <w:t xml:space="preserve"> SSGA any certainty </w:t>
      </w:r>
      <w:r w:rsidR="00906A11">
        <w:t>concerning</w:t>
      </w:r>
      <w:r w:rsidR="009775FA">
        <w:t xml:space="preserve"> the future installation or use of the replica</w:t>
      </w:r>
      <w:r w:rsidR="00906A11">
        <w:t>.</w:t>
      </w:r>
      <w:r w:rsidR="009775FA">
        <w:t xml:space="preserve">  Further, the relief offered by MBL </w:t>
      </w:r>
      <w:r w:rsidR="00362805">
        <w:t>did not</w:t>
      </w:r>
      <w:r w:rsidR="009775FA">
        <w:t xml:space="preserve"> address any alleged harm to SSGA resulting from its earlier cond</w:t>
      </w:r>
      <w:r w:rsidR="00C6775D">
        <w:t>uct with respect to the replica</w:t>
      </w:r>
      <w:r w:rsidR="009775FA">
        <w:t>.</w:t>
      </w:r>
    </w:p>
    <w:p w:rsidR="00C6775D" w:rsidRDefault="00284379" w:rsidP="004E4201">
      <w:pPr>
        <w:pStyle w:val="ParaNumbering"/>
      </w:pPr>
      <w:r>
        <w:t>Third</w:t>
      </w:r>
      <w:r w:rsidR="009775FA">
        <w:t>, it is arguable that th</w:t>
      </w:r>
      <w:r w:rsidR="004E4201">
        <w:t xml:space="preserve">e first </w:t>
      </w:r>
      <w:r w:rsidR="00201301" w:rsidRPr="00201301">
        <w:t xml:space="preserve">r 25.01 </w:t>
      </w:r>
      <w:r>
        <w:t>o</w:t>
      </w:r>
      <w:r w:rsidR="009775FA">
        <w:t xml:space="preserve">ffer was overtaken, and </w:t>
      </w:r>
      <w:r w:rsidR="00362805">
        <w:t xml:space="preserve">so </w:t>
      </w:r>
      <w:r w:rsidR="00C6775D">
        <w:t>arguably taken to have been</w:t>
      </w:r>
      <w:r w:rsidR="009775FA">
        <w:t xml:space="preserve"> withdrawn, almost immediately after it was made. </w:t>
      </w:r>
      <w:r>
        <w:t xml:space="preserve"> </w:t>
      </w:r>
      <w:r w:rsidR="009775FA">
        <w:t xml:space="preserve">An offer may be </w:t>
      </w:r>
      <w:r w:rsidR="00C6775D">
        <w:t>taken to have been withdrawn if</w:t>
      </w:r>
      <w:r w:rsidR="009775FA">
        <w:t xml:space="preserve"> the offer is superseded by an offer in more fa</w:t>
      </w:r>
      <w:r>
        <w:t xml:space="preserve">vourable terms to the offeree.  </w:t>
      </w:r>
      <w:r w:rsidR="00362805">
        <w:t>Now t</w:t>
      </w:r>
      <w:r>
        <w:t xml:space="preserve">he first </w:t>
      </w:r>
      <w:r w:rsidR="00201301" w:rsidRPr="00201301">
        <w:t xml:space="preserve">r 25.01 </w:t>
      </w:r>
      <w:r>
        <w:t>o</w:t>
      </w:r>
      <w:r w:rsidR="009775FA">
        <w:t>ffer was se</w:t>
      </w:r>
      <w:r>
        <w:t xml:space="preserve">nt on 15 March 2019 at 5.45 pm. </w:t>
      </w:r>
      <w:r w:rsidR="009775FA">
        <w:t xml:space="preserve"> </w:t>
      </w:r>
      <w:r w:rsidR="00362805">
        <w:t>A minute later t</w:t>
      </w:r>
      <w:r w:rsidR="009775FA">
        <w:t xml:space="preserve">he </w:t>
      </w:r>
      <w:proofErr w:type="spellStart"/>
      <w:r w:rsidR="009775FA" w:rsidRPr="00284379">
        <w:rPr>
          <w:i/>
        </w:rPr>
        <w:t>Calderbank</w:t>
      </w:r>
      <w:proofErr w:type="spellEnd"/>
      <w:r w:rsidR="009775FA" w:rsidRPr="00284379">
        <w:rPr>
          <w:i/>
        </w:rPr>
        <w:t xml:space="preserve"> </w:t>
      </w:r>
      <w:r>
        <w:t>offer</w:t>
      </w:r>
      <w:r w:rsidR="009775FA">
        <w:t xml:space="preserve"> was sent</w:t>
      </w:r>
      <w:r>
        <w:t xml:space="preserve">. </w:t>
      </w:r>
      <w:r w:rsidR="009775FA">
        <w:t xml:space="preserve"> It is arguable that the </w:t>
      </w:r>
      <w:proofErr w:type="spellStart"/>
      <w:r w:rsidR="009775FA" w:rsidRPr="00284379">
        <w:rPr>
          <w:i/>
        </w:rPr>
        <w:t>Calderbank</w:t>
      </w:r>
      <w:proofErr w:type="spellEnd"/>
      <w:r w:rsidR="009775FA" w:rsidRPr="00284379">
        <w:rPr>
          <w:i/>
        </w:rPr>
        <w:t xml:space="preserve"> </w:t>
      </w:r>
      <w:r w:rsidR="004E4201">
        <w:t>offer was in more favourable</w:t>
      </w:r>
      <w:r w:rsidR="009775FA">
        <w:t xml:space="preserve"> terms, in that it would have provided SSGA with a greater degree of commercial certainty</w:t>
      </w:r>
      <w:r w:rsidR="004E4201">
        <w:t xml:space="preserve">, </w:t>
      </w:r>
      <w:r w:rsidR="009775FA">
        <w:t>al</w:t>
      </w:r>
      <w:r w:rsidR="00362805">
        <w:t>though</w:t>
      </w:r>
      <w:r w:rsidR="009775FA">
        <w:t xml:space="preserve"> at a higher cost a</w:t>
      </w:r>
      <w:r>
        <w:t>nd with a stipulation that the r</w:t>
      </w:r>
      <w:r w:rsidR="009775FA">
        <w:t xml:space="preserve">eplica be left on display for almost two years. </w:t>
      </w:r>
      <w:r>
        <w:t xml:space="preserve"> </w:t>
      </w:r>
      <w:r w:rsidR="009775FA">
        <w:t xml:space="preserve">If the </w:t>
      </w:r>
      <w:proofErr w:type="spellStart"/>
      <w:r w:rsidR="009775FA" w:rsidRPr="00284379">
        <w:rPr>
          <w:i/>
        </w:rPr>
        <w:t>Calderbank</w:t>
      </w:r>
      <w:proofErr w:type="spellEnd"/>
      <w:r w:rsidR="009775FA" w:rsidRPr="00284379">
        <w:rPr>
          <w:i/>
        </w:rPr>
        <w:t xml:space="preserve"> </w:t>
      </w:r>
      <w:r w:rsidR="009775FA">
        <w:t xml:space="preserve">offer was more favourable, then </w:t>
      </w:r>
      <w:r w:rsidR="00362805">
        <w:t xml:space="preserve">arguably </w:t>
      </w:r>
      <w:r w:rsidR="009775FA">
        <w:t xml:space="preserve">the </w:t>
      </w:r>
      <w:r>
        <w:t xml:space="preserve">first </w:t>
      </w:r>
      <w:r w:rsidR="00201301" w:rsidRPr="00201301">
        <w:t>r 25.01</w:t>
      </w:r>
      <w:r w:rsidRPr="00201301">
        <w:t xml:space="preserve"> </w:t>
      </w:r>
      <w:r>
        <w:t>o</w:t>
      </w:r>
      <w:r w:rsidR="009775FA">
        <w:t xml:space="preserve">ffer </w:t>
      </w:r>
      <w:r w:rsidR="004E4201">
        <w:t xml:space="preserve">can </w:t>
      </w:r>
      <w:r w:rsidR="009775FA">
        <w:t>be treated as having been withdrawn</w:t>
      </w:r>
      <w:r>
        <w:t>.</w:t>
      </w:r>
      <w:r w:rsidR="00362805">
        <w:t xml:space="preserve">  But I do not need to decide this given the other views that I have come to.</w:t>
      </w:r>
    </w:p>
    <w:p w:rsidR="00EF164E" w:rsidRDefault="00C6775D" w:rsidP="00C6775D">
      <w:pPr>
        <w:pStyle w:val="ParaNumbering"/>
      </w:pPr>
      <w:r>
        <w:t xml:space="preserve">Fourth and </w:t>
      </w:r>
      <w:r w:rsidR="004E4201">
        <w:t>in any event,</w:t>
      </w:r>
      <w:r w:rsidR="009775FA">
        <w:t xml:space="preserve"> it was reasonable for SSGA to reject the making of two offers w</w:t>
      </w:r>
      <w:r w:rsidR="00597C4B">
        <w:t>ith mutually inconsistent terms,</w:t>
      </w:r>
      <w:r w:rsidR="009775FA">
        <w:t xml:space="preserve"> particularly where one depended on the maintenance o</w:t>
      </w:r>
      <w:r w:rsidR="00597C4B">
        <w:t>f the current ownership of the r</w:t>
      </w:r>
      <w:r w:rsidR="009775FA">
        <w:t>eplica, whil</w:t>
      </w:r>
      <w:r w:rsidR="00597C4B">
        <w:t>st</w:t>
      </w:r>
      <w:r w:rsidR="009775FA">
        <w:t xml:space="preserve"> the other requir</w:t>
      </w:r>
      <w:r w:rsidR="00597C4B">
        <w:t xml:space="preserve">ed SSGA to become </w:t>
      </w:r>
      <w:r w:rsidR="00362805">
        <w:t xml:space="preserve">the </w:t>
      </w:r>
      <w:r w:rsidR="00597C4B">
        <w:t>owner of the r</w:t>
      </w:r>
      <w:r w:rsidR="009775FA">
        <w:t xml:space="preserve">eplica. </w:t>
      </w:r>
      <w:r w:rsidR="00597C4B">
        <w:t xml:space="preserve"> </w:t>
      </w:r>
      <w:r w:rsidR="004E4201">
        <w:t>Given this i</w:t>
      </w:r>
      <w:r w:rsidR="009775FA">
        <w:t xml:space="preserve">nconsistency in </w:t>
      </w:r>
      <w:r w:rsidR="004E4201">
        <w:t xml:space="preserve">proposed outcomes, </w:t>
      </w:r>
      <w:r w:rsidR="009775FA">
        <w:t xml:space="preserve">it </w:t>
      </w:r>
      <w:r w:rsidR="00362805">
        <w:t xml:space="preserve">was not </w:t>
      </w:r>
      <w:r w:rsidR="009775FA">
        <w:t xml:space="preserve">unreasonable </w:t>
      </w:r>
      <w:r w:rsidR="00362805">
        <w:t xml:space="preserve">for </w:t>
      </w:r>
      <w:r w:rsidR="009775FA">
        <w:t xml:space="preserve">SSGA to reject </w:t>
      </w:r>
      <w:r w:rsidR="00362805">
        <w:t>either or both</w:t>
      </w:r>
      <w:r w:rsidR="009775FA">
        <w:t xml:space="preserve"> of</w:t>
      </w:r>
      <w:r w:rsidR="00362805">
        <w:t xml:space="preserve"> these offers.</w:t>
      </w:r>
    </w:p>
    <w:p w:rsidR="00367DE8" w:rsidRDefault="00F31B36" w:rsidP="00362805">
      <w:pPr>
        <w:pStyle w:val="ParaNumbering"/>
        <w:tabs>
          <w:tab w:val="clear" w:pos="720"/>
        </w:tabs>
      </w:pPr>
      <w:r>
        <w:t>Fifth</w:t>
      </w:r>
      <w:r w:rsidR="00B064DC">
        <w:t xml:space="preserve">, although the second </w:t>
      </w:r>
      <w:r w:rsidR="00201301" w:rsidRPr="00201301">
        <w:t>r 25.01</w:t>
      </w:r>
      <w:r w:rsidR="00201301">
        <w:t xml:space="preserve"> </w:t>
      </w:r>
      <w:r w:rsidR="00B064DC">
        <w:t>offer was made later in the proceeding an</w:t>
      </w:r>
      <w:r w:rsidR="00367DE8">
        <w:t xml:space="preserve">d after the filing of evidence, </w:t>
      </w:r>
      <w:r w:rsidR="00B064DC">
        <w:t>it was made prior to trial.  MBL’s de</w:t>
      </w:r>
      <w:r w:rsidR="00B064DC" w:rsidRPr="00F31B36">
        <w:t xml:space="preserve">fence </w:t>
      </w:r>
      <w:r w:rsidR="0019147F" w:rsidRPr="00F31B36">
        <w:t>to</w:t>
      </w:r>
      <w:r w:rsidR="00B064DC" w:rsidRPr="00F31B36">
        <w:t xml:space="preserve"> many of SSGA’s claims was contingent upon the evidence of its witnesses being accepted by </w:t>
      </w:r>
      <w:r w:rsidR="00DE303E" w:rsidRPr="00F31B36">
        <w:t>me</w:t>
      </w:r>
      <w:r w:rsidR="00B064DC" w:rsidRPr="00F31B36">
        <w:t>, particularl</w:t>
      </w:r>
      <w:r w:rsidR="00B064DC">
        <w:t xml:space="preserve">y in relation to the tortious interference claim. </w:t>
      </w:r>
      <w:r w:rsidR="00DE303E">
        <w:t xml:space="preserve"> </w:t>
      </w:r>
      <w:r w:rsidR="00B064DC">
        <w:t>Whil</w:t>
      </w:r>
      <w:r w:rsidR="00362805">
        <w:t>st</w:t>
      </w:r>
      <w:r w:rsidR="00B064DC">
        <w:t xml:space="preserve"> SSGA’s challenge to that evidence was unsuccessful, it was the subject of extensive </w:t>
      </w:r>
      <w:r w:rsidR="00362805">
        <w:t xml:space="preserve">and reasonable </w:t>
      </w:r>
      <w:r w:rsidR="00B064DC">
        <w:t>cross-examination at trial</w:t>
      </w:r>
      <w:r w:rsidR="00C6775D">
        <w:t>.</w:t>
      </w:r>
      <w:r w:rsidR="00362805">
        <w:t xml:space="preserve">  Further, </w:t>
      </w:r>
      <w:r w:rsidR="00843E8B">
        <w:t xml:space="preserve">the second </w:t>
      </w:r>
      <w:r w:rsidR="00201301" w:rsidRPr="00201301">
        <w:t>r 25.01</w:t>
      </w:r>
      <w:r w:rsidR="00843E8B" w:rsidRPr="00201301">
        <w:t xml:space="preserve"> o</w:t>
      </w:r>
      <w:r w:rsidR="00B064DC">
        <w:t xml:space="preserve">ffer was a </w:t>
      </w:r>
      <w:r w:rsidR="00367DE8">
        <w:t>plain vanilla</w:t>
      </w:r>
      <w:r w:rsidR="00B064DC">
        <w:t xml:space="preserve"> “walk-away</w:t>
      </w:r>
      <w:r w:rsidR="00367DE8">
        <w:t xml:space="preserve">” offer, involving the </w:t>
      </w:r>
      <w:r w:rsidR="00B064DC">
        <w:t>dismissal of SSGA’s</w:t>
      </w:r>
      <w:r w:rsidR="00367DE8">
        <w:t xml:space="preserve"> case </w:t>
      </w:r>
      <w:r w:rsidR="00367DE8" w:rsidRPr="00F31B36">
        <w:t>with no order as to costs</w:t>
      </w:r>
      <w:r w:rsidR="00B064DC" w:rsidRPr="00F31B36">
        <w:t xml:space="preserve">. </w:t>
      </w:r>
      <w:r w:rsidR="00843E8B" w:rsidRPr="00F31B36">
        <w:t xml:space="preserve"> </w:t>
      </w:r>
      <w:r w:rsidR="00B064DC" w:rsidRPr="00F31B36">
        <w:t>It offered no relief concerning MB</w:t>
      </w:r>
      <w:r w:rsidR="00843E8B" w:rsidRPr="00F31B36">
        <w:t>L</w:t>
      </w:r>
      <w:r w:rsidR="00B064DC" w:rsidRPr="00F31B36">
        <w:t xml:space="preserve"> at all</w:t>
      </w:r>
      <w:r w:rsidR="00367DE8" w:rsidRPr="00F31B36">
        <w:t xml:space="preserve">. </w:t>
      </w:r>
      <w:r w:rsidR="00843E8B" w:rsidRPr="00F31B36">
        <w:t xml:space="preserve"> </w:t>
      </w:r>
      <w:r w:rsidR="00B064DC" w:rsidRPr="00F31B36">
        <w:t xml:space="preserve">It was less favourable than the </w:t>
      </w:r>
      <w:r w:rsidR="00843E8B" w:rsidRPr="00F31B36">
        <w:t>f</w:t>
      </w:r>
      <w:r w:rsidR="00B064DC" w:rsidRPr="00F31B36">
        <w:t>i</w:t>
      </w:r>
      <w:r w:rsidR="00843E8B" w:rsidRPr="00F31B36">
        <w:t xml:space="preserve">rst </w:t>
      </w:r>
      <w:r w:rsidR="001D071F" w:rsidRPr="00F31B36">
        <w:t>r</w:t>
      </w:r>
      <w:r w:rsidR="00362805">
        <w:t> </w:t>
      </w:r>
      <w:r w:rsidR="001D071F" w:rsidRPr="00F31B36">
        <w:t xml:space="preserve">25.01 </w:t>
      </w:r>
      <w:r w:rsidR="00843E8B" w:rsidRPr="00F31B36">
        <w:t>o</w:t>
      </w:r>
      <w:r w:rsidR="00B064DC" w:rsidRPr="00F31B36">
        <w:t>ffer, in that MB</w:t>
      </w:r>
      <w:r w:rsidR="00843E8B" w:rsidRPr="00F31B36">
        <w:t>L</w:t>
      </w:r>
      <w:r w:rsidR="00B064DC" w:rsidRPr="00F31B36">
        <w:t xml:space="preserve"> would not continue to give the </w:t>
      </w:r>
      <w:r w:rsidR="001D071F" w:rsidRPr="00F31B36">
        <w:t xml:space="preserve">interlocutory </w:t>
      </w:r>
      <w:r w:rsidR="00B064DC" w:rsidRPr="00F31B36">
        <w:t>undertaking</w:t>
      </w:r>
      <w:r w:rsidR="001D071F" w:rsidRPr="00F31B36">
        <w:t>s</w:t>
      </w:r>
      <w:r w:rsidR="00B064DC" w:rsidRPr="00F31B36">
        <w:t xml:space="preserve"> that had been in place since </w:t>
      </w:r>
      <w:r w:rsidR="0019147F" w:rsidRPr="00F31B36">
        <w:t>7 March 2019</w:t>
      </w:r>
      <w:r w:rsidR="00B064DC" w:rsidRPr="00F31B36">
        <w:t>, w</w:t>
      </w:r>
      <w:r w:rsidR="00843E8B" w:rsidRPr="00F31B36">
        <w:t xml:space="preserve">hich had been contained in the first </w:t>
      </w:r>
      <w:r w:rsidR="001D071F" w:rsidRPr="00F31B36">
        <w:t xml:space="preserve">r 25.01 </w:t>
      </w:r>
      <w:r w:rsidR="00843E8B" w:rsidRPr="00F31B36">
        <w:t>offer</w:t>
      </w:r>
      <w:r w:rsidR="00367DE8" w:rsidRPr="00F31B36">
        <w:t xml:space="preserve">.  </w:t>
      </w:r>
      <w:r w:rsidR="00367DE8" w:rsidRPr="00F31B36">
        <w:lastRenderedPageBreak/>
        <w:t>Moreover, b</w:t>
      </w:r>
      <w:r w:rsidR="00B064DC" w:rsidRPr="00F31B36">
        <w:t xml:space="preserve">y the time the </w:t>
      </w:r>
      <w:r w:rsidR="00E34D7B" w:rsidRPr="00F31B36">
        <w:t>s</w:t>
      </w:r>
      <w:r w:rsidR="00B064DC" w:rsidRPr="00F31B36">
        <w:t>econd</w:t>
      </w:r>
      <w:r w:rsidR="001D071F" w:rsidRPr="00F31B36">
        <w:t xml:space="preserve"> r 25.01</w:t>
      </w:r>
      <w:r w:rsidR="00E34D7B" w:rsidRPr="00362805">
        <w:t xml:space="preserve"> </w:t>
      </w:r>
      <w:r w:rsidR="00E34D7B" w:rsidRPr="00F31B36">
        <w:t>o</w:t>
      </w:r>
      <w:r w:rsidR="00E34D7B">
        <w:t>ffer</w:t>
      </w:r>
      <w:r w:rsidR="00B064DC">
        <w:t xml:space="preserve"> was made, SSGA had achieved some success by way of obtaining undertakings </w:t>
      </w:r>
      <w:r w:rsidR="00E34D7B">
        <w:t>from each of HESTA and Cbus</w:t>
      </w:r>
      <w:r w:rsidR="00B064DC">
        <w:t xml:space="preserve"> that they would pe</w:t>
      </w:r>
      <w:r w:rsidR="00E34D7B">
        <w:t>rmanently cease all use of the r</w:t>
      </w:r>
      <w:r w:rsidR="00B064DC">
        <w:t>eplica.</w:t>
      </w:r>
      <w:r w:rsidR="00E34D7B">
        <w:t xml:space="preserve"> </w:t>
      </w:r>
      <w:r w:rsidR="00B064DC">
        <w:t xml:space="preserve"> </w:t>
      </w:r>
      <w:r w:rsidR="00362805">
        <w:t>In summary, there was nothing unreasonable in SSGA’s rejection of this offer.</w:t>
      </w:r>
    </w:p>
    <w:p w:rsidR="00E34A99" w:rsidRDefault="00362805" w:rsidP="00362805">
      <w:pPr>
        <w:pStyle w:val="ParaNumbering"/>
        <w:tabs>
          <w:tab w:val="clear" w:pos="720"/>
        </w:tabs>
      </w:pPr>
      <w:r>
        <w:t>Sixth</w:t>
      </w:r>
      <w:r w:rsidR="00C6775D">
        <w:t>,</w:t>
      </w:r>
      <w:r w:rsidR="00767991" w:rsidRPr="00767991">
        <w:t xml:space="preserve"> </w:t>
      </w:r>
      <w:r w:rsidR="0019147F">
        <w:t xml:space="preserve">the </w:t>
      </w:r>
      <w:proofErr w:type="spellStart"/>
      <w:r w:rsidR="00767991" w:rsidRPr="00362805">
        <w:rPr>
          <w:i/>
        </w:rPr>
        <w:t>Calderbank</w:t>
      </w:r>
      <w:proofErr w:type="spellEnd"/>
      <w:r w:rsidR="00767991" w:rsidRPr="00767991">
        <w:t xml:space="preserve"> offer, as with the </w:t>
      </w:r>
      <w:r w:rsidR="00767991">
        <w:t>f</w:t>
      </w:r>
      <w:r w:rsidR="00767991" w:rsidRPr="00767991">
        <w:t xml:space="preserve">irst </w:t>
      </w:r>
      <w:r w:rsidR="001D071F" w:rsidRPr="001D071F">
        <w:t xml:space="preserve">r 25.01 </w:t>
      </w:r>
      <w:r w:rsidR="00767991">
        <w:t>o</w:t>
      </w:r>
      <w:r w:rsidR="00767991" w:rsidRPr="00767991">
        <w:t xml:space="preserve">ffer, was made at </w:t>
      </w:r>
      <w:r w:rsidR="00C6775D">
        <w:t>an</w:t>
      </w:r>
      <w:r w:rsidR="00767991" w:rsidRPr="00767991">
        <w:t xml:space="preserve"> early stage in the proceeding, prior to discovery and before the parties had filed their substantive evidence.</w:t>
      </w:r>
      <w:r w:rsidR="00767991">
        <w:t xml:space="preserve"> </w:t>
      </w:r>
      <w:r w:rsidR="00767991" w:rsidRPr="00767991">
        <w:t xml:space="preserve"> It was made after the </w:t>
      </w:r>
      <w:r w:rsidR="00C9604E" w:rsidRPr="00767991">
        <w:t>launch even</w:t>
      </w:r>
      <w:r w:rsidR="00767991" w:rsidRPr="00767991">
        <w:t>t</w:t>
      </w:r>
      <w:r w:rsidR="00367DE8">
        <w:t>.  Moreover,</w:t>
      </w:r>
      <w:r w:rsidR="00767991" w:rsidRPr="00767991">
        <w:t xml:space="preserve"> MB</w:t>
      </w:r>
      <w:r w:rsidR="00C9604E">
        <w:t>L</w:t>
      </w:r>
      <w:r w:rsidR="00767991" w:rsidRPr="00767991">
        <w:t xml:space="preserve"> would not have been required, as part of that offer, to delete or retract any historical marketing or promotional statements relating</w:t>
      </w:r>
      <w:r w:rsidR="00C9604E">
        <w:t xml:space="preserve"> to the replica</w:t>
      </w:r>
      <w:r w:rsidR="00367DE8">
        <w:t xml:space="preserve">.  Further, </w:t>
      </w:r>
      <w:r w:rsidR="00C9604E" w:rsidRPr="00C9604E">
        <w:t xml:space="preserve">like the </w:t>
      </w:r>
      <w:r w:rsidR="00C9604E">
        <w:t>firs</w:t>
      </w:r>
      <w:r w:rsidR="00C9604E" w:rsidRPr="001D071F">
        <w:t xml:space="preserve">t </w:t>
      </w:r>
      <w:r w:rsidR="001D071F" w:rsidRPr="001D071F">
        <w:t xml:space="preserve">r 25.01 </w:t>
      </w:r>
      <w:r w:rsidR="00C9604E">
        <w:t>o</w:t>
      </w:r>
      <w:r w:rsidR="00C9604E" w:rsidRPr="00C9604E">
        <w:t>ffer, the</w:t>
      </w:r>
      <w:r w:rsidR="00C9604E" w:rsidRPr="00362805">
        <w:rPr>
          <w:i/>
        </w:rPr>
        <w:t xml:space="preserve"> </w:t>
      </w:r>
      <w:proofErr w:type="spellStart"/>
      <w:r w:rsidR="00C9604E" w:rsidRPr="00362805">
        <w:rPr>
          <w:i/>
        </w:rPr>
        <w:t>Calderbank</w:t>
      </w:r>
      <w:proofErr w:type="spellEnd"/>
      <w:r w:rsidR="00C9604E" w:rsidRPr="00C9604E">
        <w:t xml:space="preserve"> offer </w:t>
      </w:r>
      <w:r w:rsidR="00C6775D">
        <w:t>did not address</w:t>
      </w:r>
      <w:r w:rsidR="00C9604E" w:rsidRPr="00C9604E">
        <w:t xml:space="preserve"> any alleged harm resulting from MB</w:t>
      </w:r>
      <w:r w:rsidR="00C9604E">
        <w:t>L</w:t>
      </w:r>
      <w:r w:rsidR="00C9604E" w:rsidRPr="00C9604E">
        <w:t>’s</w:t>
      </w:r>
      <w:r w:rsidR="00C9604E">
        <w:t xml:space="preserve"> earlier conduct regarding the r</w:t>
      </w:r>
      <w:r w:rsidR="00C9604E" w:rsidRPr="00C9604E">
        <w:t>eplica.</w:t>
      </w:r>
      <w:r>
        <w:t xml:space="preserve">  </w:t>
      </w:r>
      <w:r w:rsidR="00C6775D">
        <w:t>Further, w</w:t>
      </w:r>
      <w:r w:rsidR="00E34A99">
        <w:t>hilst</w:t>
      </w:r>
      <w:r w:rsidR="00D4140F" w:rsidRPr="00D4140F">
        <w:t xml:space="preserve"> the </w:t>
      </w:r>
      <w:proofErr w:type="spellStart"/>
      <w:r w:rsidR="00D4140F" w:rsidRPr="00362805">
        <w:rPr>
          <w:i/>
        </w:rPr>
        <w:t>Calderbank</w:t>
      </w:r>
      <w:proofErr w:type="spellEnd"/>
      <w:r w:rsidR="00D4140F" w:rsidRPr="00D4140F">
        <w:t xml:space="preserve"> offer would have given SSGA some </w:t>
      </w:r>
      <w:r w:rsidR="00BF0CF9">
        <w:t xml:space="preserve">degree of commercial certainty </w:t>
      </w:r>
      <w:r w:rsidR="00D4140F" w:rsidRPr="00D4140F">
        <w:t>i</w:t>
      </w:r>
      <w:r w:rsidR="00D4140F" w:rsidRPr="0019147F">
        <w:t xml:space="preserve">f </w:t>
      </w:r>
      <w:r w:rsidR="00C6775D" w:rsidRPr="0019147F">
        <w:t>they</w:t>
      </w:r>
      <w:r w:rsidR="00D4140F" w:rsidRPr="0019147F">
        <w:t xml:space="preserve"> t</w:t>
      </w:r>
      <w:r w:rsidR="00D4140F" w:rsidRPr="00D4140F">
        <w:t>ook up th</w:t>
      </w:r>
      <w:r w:rsidR="00D4140F">
        <w:t>e opportunity to purchase the re</w:t>
      </w:r>
      <w:r w:rsidR="00BF0CF9">
        <w:t>plica</w:t>
      </w:r>
      <w:r w:rsidR="00D4140F" w:rsidRPr="00D4140F">
        <w:t>, it would have required SSGA to pay a substantial sum to MB</w:t>
      </w:r>
      <w:r w:rsidR="00D4140F">
        <w:t>L</w:t>
      </w:r>
      <w:r w:rsidR="00BF0CF9">
        <w:t xml:space="preserve"> for that privilege</w:t>
      </w:r>
      <w:r w:rsidR="00D4140F" w:rsidRPr="00D4140F">
        <w:t xml:space="preserve"> and would have a</w:t>
      </w:r>
      <w:r w:rsidR="00D4140F">
        <w:t>lso required SSGA to leave the r</w:t>
      </w:r>
      <w:r w:rsidR="00D4140F" w:rsidRPr="00D4140F">
        <w:t>eplica on public display i</w:t>
      </w:r>
      <w:r w:rsidR="00D4140F">
        <w:t xml:space="preserve">n Federation Square for </w:t>
      </w:r>
      <w:r w:rsidR="00D4140F" w:rsidRPr="00505A04">
        <w:t>nearly two years</w:t>
      </w:r>
      <w:r w:rsidR="00BF0CF9" w:rsidRPr="00505A04">
        <w:t xml:space="preserve"> </w:t>
      </w:r>
      <w:r w:rsidR="00C12A3E">
        <w:t>as one of its outcomes.</w:t>
      </w:r>
      <w:r w:rsidR="00D4140F" w:rsidRPr="00D4140F">
        <w:t xml:space="preserve"> </w:t>
      </w:r>
      <w:r>
        <w:t xml:space="preserve"> </w:t>
      </w:r>
      <w:r w:rsidR="00BF0CF9">
        <w:t>Further, the</w:t>
      </w:r>
      <w:r w:rsidR="00D4140F" w:rsidRPr="00D4140F">
        <w:t xml:space="preserve"> terms of the </w:t>
      </w:r>
      <w:proofErr w:type="spellStart"/>
      <w:r w:rsidR="00D4140F" w:rsidRPr="00362805">
        <w:rPr>
          <w:i/>
        </w:rPr>
        <w:t>Calderbank</w:t>
      </w:r>
      <w:proofErr w:type="spellEnd"/>
      <w:r w:rsidR="00D4140F" w:rsidRPr="00362805">
        <w:rPr>
          <w:i/>
        </w:rPr>
        <w:t xml:space="preserve"> </w:t>
      </w:r>
      <w:r w:rsidR="00D4140F" w:rsidRPr="00D4140F">
        <w:t>offer were outside the scope of the relief sought by SSGA in the proceeding</w:t>
      </w:r>
      <w:r w:rsidR="0070241A">
        <w:t>.  N</w:t>
      </w:r>
      <w:r w:rsidR="00D4140F" w:rsidRPr="00D4140F">
        <w:t>o part of the case would have resulted in SSGA</w:t>
      </w:r>
      <w:r w:rsidR="00D4140F">
        <w:t xml:space="preserve"> paying any sum to acquire the r</w:t>
      </w:r>
      <w:r w:rsidR="00D4140F" w:rsidRPr="00D4140F">
        <w:t>eplica, let alone paying a premium to MB</w:t>
      </w:r>
      <w:r w:rsidR="00D4140F">
        <w:t>L</w:t>
      </w:r>
      <w:r w:rsidR="00C12A3E">
        <w:t>.  Further,</w:t>
      </w:r>
      <w:r w:rsidR="00D4140F" w:rsidRPr="00D4140F">
        <w:t xml:space="preserve"> SSGA </w:t>
      </w:r>
      <w:r w:rsidR="00C12A3E">
        <w:t xml:space="preserve">would not </w:t>
      </w:r>
      <w:r w:rsidR="00D4140F" w:rsidRPr="00D4140F">
        <w:t xml:space="preserve">have been required </w:t>
      </w:r>
      <w:r w:rsidR="00D4140F">
        <w:t>to maintain the display of the r</w:t>
      </w:r>
      <w:r w:rsidR="00D4140F" w:rsidRPr="00D4140F">
        <w:t xml:space="preserve">eplica in Federation Square or </w:t>
      </w:r>
      <w:r w:rsidR="00C12A3E">
        <w:t>elsewhere.</w:t>
      </w:r>
      <w:r>
        <w:t xml:space="preserve">  </w:t>
      </w:r>
      <w:r w:rsidR="00C12A3E">
        <w:t>In summary</w:t>
      </w:r>
      <w:r w:rsidR="0069440F">
        <w:t xml:space="preserve">, </w:t>
      </w:r>
      <w:r w:rsidR="00C12A3E">
        <w:t xml:space="preserve">in my view </w:t>
      </w:r>
      <w:r w:rsidR="0069440F">
        <w:t xml:space="preserve">SSGA’s decision not to accept the </w:t>
      </w:r>
      <w:proofErr w:type="spellStart"/>
      <w:r w:rsidR="0069440F" w:rsidRPr="00362805">
        <w:rPr>
          <w:i/>
        </w:rPr>
        <w:t>Calderbank</w:t>
      </w:r>
      <w:proofErr w:type="spellEnd"/>
      <w:r w:rsidR="0069440F">
        <w:t xml:space="preserve"> offer was not unreasonable</w:t>
      </w:r>
      <w:r w:rsidR="00C12A3E">
        <w:t>.</w:t>
      </w:r>
    </w:p>
    <w:p w:rsidR="0070241A" w:rsidRDefault="00C12A3E" w:rsidP="0070241A">
      <w:pPr>
        <w:pStyle w:val="ParaNumbering"/>
      </w:pPr>
      <w:r>
        <w:t>For the foregoing reasons</w:t>
      </w:r>
      <w:r w:rsidR="0070241A">
        <w:t>, I reject MBL’s indemnity costs application.  The costs awarded will be on a party</w:t>
      </w:r>
      <w:r>
        <w:t xml:space="preserve"> </w:t>
      </w:r>
      <w:r w:rsidR="0070241A">
        <w:t>/</w:t>
      </w:r>
      <w:r>
        <w:t xml:space="preserve"> </w:t>
      </w:r>
      <w:r w:rsidR="0070241A">
        <w:t>party basis.  I will refer to a Registrar of this Court the question of whether a lump sum order should be</w:t>
      </w:r>
      <w:r w:rsidR="00362805">
        <w:t xml:space="preserve"> made and if so in what amount.</w:t>
      </w:r>
    </w:p>
    <w:p w:rsidR="00362805" w:rsidRDefault="00362805" w:rsidP="00362805">
      <w:pPr>
        <w:pStyle w:val="Heading2"/>
      </w:pPr>
      <w:r>
        <w:t>Summary</w:t>
      </w:r>
    </w:p>
    <w:p w:rsidR="00B602F2" w:rsidRDefault="00362805" w:rsidP="00815065">
      <w:pPr>
        <w:pStyle w:val="ParaNumbering"/>
        <w:tabs>
          <w:tab w:val="clear" w:pos="720"/>
        </w:tabs>
      </w:pPr>
      <w:r>
        <w:t>I will make the necessary orders to reflect these reasons.</w:t>
      </w:r>
      <w:bookmarkStart w:id="23" w:name="Certification"/>
    </w:p>
    <w:tbl>
      <w:tblPr>
        <w:tblW w:w="0" w:type="auto"/>
        <w:tblLook w:val="04A0" w:firstRow="1" w:lastRow="0" w:firstColumn="1" w:lastColumn="0" w:noHBand="0" w:noVBand="1"/>
      </w:tblPr>
      <w:tblGrid>
        <w:gridCol w:w="3794"/>
      </w:tblGrid>
      <w:tr w:rsidR="00B602F2" w:rsidRPr="00B602F2">
        <w:tc>
          <w:tcPr>
            <w:tcW w:w="3794" w:type="dxa"/>
            <w:shd w:val="clear" w:color="auto" w:fill="auto"/>
          </w:tcPr>
          <w:p w:rsidR="00B602F2" w:rsidRPr="00B602F2" w:rsidRDefault="00B602F2" w:rsidP="00B602F2">
            <w:pPr>
              <w:pStyle w:val="Normal1linespace"/>
            </w:pPr>
            <w:r w:rsidRPr="00B602F2">
              <w:t xml:space="preserve">I certify that the preceding </w:t>
            </w:r>
            <w:bookmarkStart w:id="24" w:name="NumberWord"/>
            <w:r>
              <w:t>forty-seven</w:t>
            </w:r>
            <w:bookmarkEnd w:id="24"/>
            <w:r w:rsidRPr="00B602F2">
              <w:t xml:space="preserve"> (</w:t>
            </w:r>
            <w:bookmarkStart w:id="25" w:name="NumberNumeral"/>
            <w:r>
              <w:t>47</w:t>
            </w:r>
            <w:bookmarkEnd w:id="25"/>
            <w:r w:rsidRPr="00B602F2">
              <w:t xml:space="preserve">) numbered </w:t>
            </w:r>
            <w:bookmarkStart w:id="26" w:name="CertPara"/>
            <w:r>
              <w:t>paragraphs are</w:t>
            </w:r>
            <w:bookmarkEnd w:id="26"/>
            <w:r w:rsidRPr="00B602F2">
              <w:t xml:space="preserve"> a true copy of the Reasons for Judgment of </w:t>
            </w:r>
            <w:bookmarkStart w:id="27" w:name="bkHonourable"/>
            <w:r w:rsidRPr="00B602F2">
              <w:t xml:space="preserve">the Honourable </w:t>
            </w:r>
            <w:bookmarkStart w:id="28" w:name="Justice"/>
            <w:bookmarkEnd w:id="27"/>
            <w:r>
              <w:t>Justice Beach</w:t>
            </w:r>
            <w:bookmarkEnd w:id="28"/>
            <w:r w:rsidRPr="00B602F2">
              <w:t>.</w:t>
            </w:r>
          </w:p>
        </w:tc>
      </w:tr>
    </w:tbl>
    <w:p w:rsidR="00B602F2" w:rsidRDefault="00B602F2" w:rsidP="00815065">
      <w:pPr>
        <w:pStyle w:val="BodyText"/>
      </w:pPr>
    </w:p>
    <w:p w:rsidR="00B602F2" w:rsidRDefault="00B602F2" w:rsidP="00815065">
      <w:pPr>
        <w:pStyle w:val="BodyText"/>
      </w:pPr>
      <w:r>
        <w:t>Associate:</w:t>
      </w:r>
      <w:bookmarkStart w:id="29" w:name="_GoBack"/>
      <w:bookmarkEnd w:id="29"/>
    </w:p>
    <w:p w:rsidR="00B602F2" w:rsidRDefault="00B602F2" w:rsidP="00815065">
      <w:pPr>
        <w:pStyle w:val="BodyText"/>
      </w:pPr>
    </w:p>
    <w:p w:rsidR="00B602F2" w:rsidRDefault="00B602F2" w:rsidP="006C28FE">
      <w:pPr>
        <w:pStyle w:val="BodyText"/>
        <w:tabs>
          <w:tab w:val="left" w:pos="1134"/>
        </w:tabs>
      </w:pPr>
      <w:r>
        <w:t>Dated:</w:t>
      </w:r>
      <w:r>
        <w:tab/>
      </w:r>
      <w:bookmarkStart w:id="30" w:name="CertifyDated"/>
      <w:r>
        <w:t>28 May 2021</w:t>
      </w:r>
      <w:bookmarkEnd w:id="30"/>
      <w:bookmarkEnd w:id="23"/>
    </w:p>
    <w:sectPr w:rsidR="00B602F2"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2C0" w:rsidRDefault="001B02C0">
      <w:pPr>
        <w:spacing w:line="20" w:lineRule="exact"/>
      </w:pPr>
    </w:p>
    <w:p w:rsidR="001B02C0" w:rsidRDefault="001B02C0"/>
    <w:p w:rsidR="001B02C0" w:rsidRDefault="001B02C0"/>
  </w:endnote>
  <w:endnote w:type="continuationSeparator" w:id="0">
    <w:p w:rsidR="001B02C0" w:rsidRDefault="001B02C0">
      <w:r>
        <w:t xml:space="preserve"> </w:t>
      </w:r>
    </w:p>
    <w:p w:rsidR="001B02C0" w:rsidRDefault="001B02C0"/>
    <w:p w:rsidR="001B02C0" w:rsidRDefault="001B02C0"/>
  </w:endnote>
  <w:endnote w:type="continuationNotice" w:id="1">
    <w:p w:rsidR="001B02C0" w:rsidRDefault="001B02C0">
      <w:r>
        <w:t xml:space="preserve"> </w:t>
      </w:r>
    </w:p>
    <w:p w:rsidR="001B02C0" w:rsidRDefault="001B02C0"/>
    <w:p w:rsidR="001B02C0" w:rsidRDefault="001B0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FE" w:rsidRDefault="006C2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C0" w:rsidRPr="00C47B9D" w:rsidRDefault="001B02C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44AD6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566AD1">
          <w:rPr>
            <w:bCs/>
            <w:sz w:val="18"/>
            <w:szCs w:val="18"/>
          </w:rPr>
          <w:t>State Street Global Advisors Trust Company v Maurice Blackburn Pty Ltd (No 3) [2021] FCA 568</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C0" w:rsidRPr="006C28FE" w:rsidRDefault="001B02C0" w:rsidP="006C28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C0" w:rsidRPr="00C47B9D" w:rsidRDefault="001B02C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1176C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8DFEEA236EE54B5CB60E6E5EE72ABD0B"/>
        </w:placeholder>
        <w:dataBinding w:prefixMappings="xmlns:ns0='http://schemas.globalmacros.com/FCA'" w:xpath="/ns0:root[1]/ns0:Name[1]" w:storeItemID="{687E7CCB-4AA5-44E7-B148-17BA2B6F57C0}"/>
        <w:text w:multiLine="1"/>
      </w:sdtPr>
      <w:sdtEndPr/>
      <w:sdtContent>
        <w:r w:rsidR="00566AD1">
          <w:rPr>
            <w:bCs/>
            <w:sz w:val="18"/>
            <w:szCs w:val="18"/>
          </w:rPr>
          <w:t>State Street Global Advisors Trust Company v Maurice Blackburn Pty Ltd (No 3) [2021] FCA 568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F0ED0">
      <w:rPr>
        <w:bCs/>
        <w:noProof/>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C0" w:rsidRPr="00C47B9D" w:rsidRDefault="001B02C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65D0D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B04A9BAB3FDA477BB11F1748DE025C48"/>
        </w:placeholder>
        <w:dataBinding w:prefixMappings="xmlns:ns0='http://schemas.globalmacros.com/FCA'" w:xpath="/ns0:root[1]/ns0:Name[1]" w:storeItemID="{687E7CCB-4AA5-44E7-B148-17BA2B6F57C0}"/>
        <w:text w:multiLine="1"/>
      </w:sdtPr>
      <w:sdtEndPr/>
      <w:sdtContent>
        <w:r w:rsidR="00566AD1">
          <w:rPr>
            <w:bCs/>
            <w:sz w:val="18"/>
            <w:szCs w:val="18"/>
          </w:rPr>
          <w:t>State Street Global Advisors Trust Company v Maurice Blackburn Pty Ltd (No 3) [2021] FCA 568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F0ED0">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C0" w:rsidRPr="00C47B9D" w:rsidRDefault="001B02C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CE2908"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773CCA0B823C4B83ADDF53DE3EA3D745"/>
        </w:placeholder>
        <w:dataBinding w:prefixMappings="xmlns:ns0='http://schemas.globalmacros.com/FCA'" w:xpath="/ns0:root[1]/ns0:Name[1]" w:storeItemID="{687E7CCB-4AA5-44E7-B148-17BA2B6F57C0}"/>
        <w:text w:multiLine="1"/>
      </w:sdtPr>
      <w:sdtEndPr/>
      <w:sdtContent>
        <w:r w:rsidR="00566AD1">
          <w:rPr>
            <w:bCs/>
            <w:sz w:val="18"/>
            <w:szCs w:val="18"/>
          </w:rPr>
          <w:t>State Street Global Advisors Trust Company v Maurice Blackburn Pty Ltd (No 3) [2021] FCA 568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0B07F8">
      <w:rPr>
        <w:bCs/>
        <w:noProof/>
        <w:sz w:val="20"/>
      </w:rPr>
      <w:t>8</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C0" w:rsidRPr="00C47B9D" w:rsidRDefault="001B02C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37E3C8"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0CCEB0DA4CDD47B696609B5F4555948B"/>
        </w:placeholder>
        <w:dataBinding w:prefixMappings="xmlns:ns0='http://schemas.globalmacros.com/FCA'" w:xpath="/ns0:root[1]/ns0:Name[1]" w:storeItemID="{687E7CCB-4AA5-44E7-B148-17BA2B6F57C0}"/>
        <w:text w:multiLine="1"/>
      </w:sdtPr>
      <w:sdtEndPr/>
      <w:sdtContent>
        <w:r w:rsidR="00566AD1">
          <w:rPr>
            <w:bCs/>
            <w:sz w:val="18"/>
            <w:szCs w:val="18"/>
          </w:rPr>
          <w:t>State Street Global Advisors Trust Company v Maurice Blackburn Pty Ltd (No 3) [2021] FCA 568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F0ED0">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2C0" w:rsidRDefault="001B02C0"/>
    <w:p w:rsidR="001B02C0" w:rsidRDefault="001B02C0"/>
    <w:p w:rsidR="001B02C0" w:rsidRDefault="001B02C0"/>
  </w:footnote>
  <w:footnote w:type="continuationSeparator" w:id="0">
    <w:p w:rsidR="001B02C0" w:rsidRDefault="001B02C0">
      <w:r>
        <w:continuationSeparator/>
      </w:r>
    </w:p>
    <w:p w:rsidR="001B02C0" w:rsidRDefault="001B02C0"/>
    <w:p w:rsidR="001B02C0" w:rsidRDefault="001B02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FE" w:rsidRDefault="006C2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FE" w:rsidRDefault="006C2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FE" w:rsidRDefault="006C28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C0" w:rsidRDefault="001B02C0">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C0" w:rsidRDefault="001B02C0">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C0" w:rsidRDefault="001B02C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C0" w:rsidRDefault="001B02C0">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C0" w:rsidRDefault="001B02C0"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2D27BF7"/>
    <w:multiLevelType w:val="multilevel"/>
    <w:tmpl w:val="0F0EC90E"/>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5D41B8E"/>
    <w:multiLevelType w:val="multilevel"/>
    <w:tmpl w:val="A1C8FFD0"/>
    <w:numStyleLink w:val="FCOrders"/>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4174D8B"/>
    <w:multiLevelType w:val="multilevel"/>
    <w:tmpl w:val="A1C8FFD0"/>
    <w:numStyleLink w:val="FCOrders"/>
  </w:abstractNum>
  <w:abstractNum w:abstractNumId="24" w15:restartNumberingAfterBreak="0">
    <w:nsid w:val="62634030"/>
    <w:multiLevelType w:val="multilevel"/>
    <w:tmpl w:val="AC54AC4C"/>
    <w:lvl w:ilvl="0">
      <w:start w:val="1"/>
      <w:numFmt w:val="decimal"/>
      <w:lvlText w:val="%1."/>
      <w:lvlJc w:val="left"/>
      <w:pPr>
        <w:tabs>
          <w:tab w:val="num" w:pos="720"/>
        </w:tabs>
        <w:ind w:left="720" w:hanging="720"/>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5"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DF521E4"/>
    <w:multiLevelType w:val="hybridMultilevel"/>
    <w:tmpl w:val="96AA5B7E"/>
    <w:lvl w:ilvl="0" w:tplc="86749530">
      <w:start w:val="1"/>
      <w:numFmt w:val="upp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1"/>
  </w:num>
  <w:num w:numId="15">
    <w:abstractNumId w:val="22"/>
  </w:num>
  <w:num w:numId="16">
    <w:abstractNumId w:val="28"/>
  </w:num>
  <w:num w:numId="17">
    <w:abstractNumId w:val="13"/>
  </w:num>
  <w:num w:numId="18">
    <w:abstractNumId w:val="27"/>
  </w:num>
  <w:num w:numId="19">
    <w:abstractNumId w:val="11"/>
  </w:num>
  <w:num w:numId="20">
    <w:abstractNumId w:val="18"/>
  </w:num>
  <w:num w:numId="21">
    <w:abstractNumId w:val="20"/>
    <w:lvlOverride w:ilvl="0">
      <w:lvl w:ilvl="0">
        <w:start w:val="1"/>
        <w:numFmt w:val="decimal"/>
        <w:lvlRestart w:val="0"/>
        <w:pStyle w:val="ListNo1"/>
        <w:lvlText w:val="(%1)"/>
        <w:lvlJc w:val="left"/>
        <w:pPr>
          <w:tabs>
            <w:tab w:val="num" w:pos="720"/>
          </w:tabs>
          <w:ind w:left="720" w:hanging="720"/>
        </w:pPr>
        <w:rPr>
          <w:rFonts w:ascii="Times New Roman" w:hAnsi="Times New Roman"/>
        </w:rPr>
      </w:lvl>
    </w:lvlOverride>
    <w:lvlOverride w:ilvl="1">
      <w:lvl w:ilvl="1">
        <w:start w:val="1"/>
        <w:numFmt w:val="lowerLetter"/>
        <w:pStyle w:val="ListNo2"/>
        <w:lvlText w:val="(%2)"/>
        <w:lvlJc w:val="left"/>
        <w:pPr>
          <w:tabs>
            <w:tab w:val="num" w:pos="1440"/>
          </w:tabs>
          <w:ind w:left="1440" w:hanging="720"/>
        </w:pPr>
        <w:rPr>
          <w:rFonts w:hint="default"/>
        </w:rPr>
      </w:lvl>
    </w:lvlOverride>
  </w:num>
  <w:num w:numId="22">
    <w:abstractNumId w:val="16"/>
  </w:num>
  <w:num w:numId="23">
    <w:abstractNumId w:val="16"/>
  </w:num>
  <w:num w:numId="24">
    <w:abstractNumId w:val="17"/>
  </w:num>
  <w:num w:numId="25">
    <w:abstractNumId w:val="16"/>
  </w:num>
  <w:num w:numId="26">
    <w:abstractNumId w:val="16"/>
  </w:num>
  <w:num w:numId="27">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num>
  <w:num w:numId="29">
    <w:abstractNumId w:val="14"/>
  </w:num>
  <w:num w:numId="30">
    <w:abstractNumId w:val="24"/>
  </w:num>
  <w:num w:numId="31">
    <w:abstractNumId w:val="19"/>
  </w:num>
  <w:num w:numId="32">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num>
  <w:num w:numId="37">
    <w:abstractNumId w:val="20"/>
  </w:num>
  <w:num w:numId="38">
    <w:abstractNumId w:val="13"/>
  </w:num>
  <w:num w:numId="39">
    <w:abstractNumId w:val="20"/>
  </w:num>
  <w:num w:numId="40">
    <w:abstractNumId w:val="20"/>
  </w:num>
  <w:num w:numId="41">
    <w:abstractNumId w:val="2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26"/>
  </w:num>
  <w:num w:numId="50">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STATE STREET GLOBAL ADVISORS TRUST COMPANY|STATE STREET GLOBAL ADVISORS AUSTRALIA LTD (ACN 003 914 225)"/>
    <w:docVar w:name="CounselParties" w:val="Applicant"/>
    <w:docVar w:name="CounselType" w:val="Counsel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General Division of the FCA"/>
    <w:docVar w:name="DocCreated" w:val="True"/>
    <w:docVar w:name="FileNumbers" w:val="VID 113 of 2019"/>
    <w:docVar w:name="grpRadioJudges" w:val="Justice"/>
    <w:docVar w:name="Initiators" w:val="(and another named in the Schedule)"/>
    <w:docVar w:name="Judgdate" w:val="28 May 2021"/>
    <w:docVar w:name="Judge" w:val="Beach "/>
    <w:docVar w:name="lstEntryList" w:val="-1"/>
    <w:docVar w:name="NSD" w:val="NSD "/>
    <w:docVar w:name="NumApps" w:val="2"/>
    <w:docVar w:name="NumApps_" w:val="2"/>
    <w:docVar w:name="NumCrossResps" w:val="0"/>
    <w:docVar w:name="NumDefs" w:val="3"/>
    <w:docVar w:name="NumOthers" w:val="0"/>
    <w:docVar w:name="OtherNum" w:val="0"/>
    <w:docVar w:name="Parties1" w:val="Applicant"/>
    <w:docVar w:name="Parties2" w:val="Respondent"/>
    <w:docVar w:name="Parties3" w:val="Cross-Appellant"/>
    <w:docVar w:name="Parties4" w:val="Cross-Defendant"/>
    <w:docVar w:name="Parties5" w:val="Intervener"/>
    <w:docVar w:name="Place" w:val="Sydney"/>
    <w:docVar w:name="PracticeArea" w:val="Intellectual Property"/>
    <w:docVar w:name="RadioJudge" w:val="False"/>
    <w:docVar w:name="RadioJustice" w:val="True"/>
    <w:docVar w:name="RadioJustices" w:val="False"/>
    <w:docVar w:name="RESAndAnother" w:val="True"/>
    <w:docVar w:name="RESAndOthers" w:val="False"/>
    <w:docVar w:name="Respondent" w:val="MAURICE BLACKBURN PTY LTD (ABN 21 105 657 949) (TRADING AS MAURICE BLACKBURN LAWYERS)|UNITED SUPER PTY LTD (ABN 46 006 261 623) (TRADING AS CBUS SUPER)|H.E.S.T. AUSTRALIA LTD (ABN 66 006 818 695)"/>
    <w:docVar w:name="ResState" w:val="Victoria"/>
    <w:docVar w:name="SubArea" w:val="Trade Marks (IP)"/>
  </w:docVars>
  <w:rsids>
    <w:rsidRoot w:val="0049162B"/>
    <w:rsid w:val="00000747"/>
    <w:rsid w:val="00002C03"/>
    <w:rsid w:val="000055CC"/>
    <w:rsid w:val="000115C5"/>
    <w:rsid w:val="00012761"/>
    <w:rsid w:val="000135E4"/>
    <w:rsid w:val="0001469E"/>
    <w:rsid w:val="00015993"/>
    <w:rsid w:val="00015D80"/>
    <w:rsid w:val="00021CCB"/>
    <w:rsid w:val="00022289"/>
    <w:rsid w:val="0002557D"/>
    <w:rsid w:val="00027398"/>
    <w:rsid w:val="000313DE"/>
    <w:rsid w:val="000318C8"/>
    <w:rsid w:val="0003201A"/>
    <w:rsid w:val="0003207A"/>
    <w:rsid w:val="00032956"/>
    <w:rsid w:val="00032F9F"/>
    <w:rsid w:val="00041C07"/>
    <w:rsid w:val="00045BB7"/>
    <w:rsid w:val="00051B3F"/>
    <w:rsid w:val="000552D0"/>
    <w:rsid w:val="00055719"/>
    <w:rsid w:val="0005641B"/>
    <w:rsid w:val="0006196A"/>
    <w:rsid w:val="00063B9B"/>
    <w:rsid w:val="000642C7"/>
    <w:rsid w:val="00065D50"/>
    <w:rsid w:val="00073352"/>
    <w:rsid w:val="00081497"/>
    <w:rsid w:val="00085255"/>
    <w:rsid w:val="000A2E76"/>
    <w:rsid w:val="000A4192"/>
    <w:rsid w:val="000A4807"/>
    <w:rsid w:val="000A4BE4"/>
    <w:rsid w:val="000B07F8"/>
    <w:rsid w:val="000B4F48"/>
    <w:rsid w:val="000C023E"/>
    <w:rsid w:val="000C5195"/>
    <w:rsid w:val="000C62EF"/>
    <w:rsid w:val="000D2137"/>
    <w:rsid w:val="000D3FD2"/>
    <w:rsid w:val="000D4B2E"/>
    <w:rsid w:val="000E0615"/>
    <w:rsid w:val="000E3FC8"/>
    <w:rsid w:val="000E7BAE"/>
    <w:rsid w:val="000F133D"/>
    <w:rsid w:val="001042C2"/>
    <w:rsid w:val="0010536B"/>
    <w:rsid w:val="00106431"/>
    <w:rsid w:val="00110E9E"/>
    <w:rsid w:val="0011145C"/>
    <w:rsid w:val="001128BD"/>
    <w:rsid w:val="0011419D"/>
    <w:rsid w:val="00114B02"/>
    <w:rsid w:val="001226C0"/>
    <w:rsid w:val="00126EC8"/>
    <w:rsid w:val="0012731C"/>
    <w:rsid w:val="00132054"/>
    <w:rsid w:val="00134964"/>
    <w:rsid w:val="001351B9"/>
    <w:rsid w:val="00140439"/>
    <w:rsid w:val="00155CD2"/>
    <w:rsid w:val="00156206"/>
    <w:rsid w:val="001727A4"/>
    <w:rsid w:val="0017376C"/>
    <w:rsid w:val="001738AB"/>
    <w:rsid w:val="00174FA7"/>
    <w:rsid w:val="001765E0"/>
    <w:rsid w:val="00177759"/>
    <w:rsid w:val="00180BB3"/>
    <w:rsid w:val="0018503A"/>
    <w:rsid w:val="00185E6B"/>
    <w:rsid w:val="00186C6D"/>
    <w:rsid w:val="00187BBC"/>
    <w:rsid w:val="0019147F"/>
    <w:rsid w:val="00191935"/>
    <w:rsid w:val="00192915"/>
    <w:rsid w:val="001932F3"/>
    <w:rsid w:val="0019714D"/>
    <w:rsid w:val="001A2B40"/>
    <w:rsid w:val="001A4309"/>
    <w:rsid w:val="001A46AE"/>
    <w:rsid w:val="001A6C52"/>
    <w:rsid w:val="001B02C0"/>
    <w:rsid w:val="001B1053"/>
    <w:rsid w:val="001B14AC"/>
    <w:rsid w:val="001B71F5"/>
    <w:rsid w:val="001B7940"/>
    <w:rsid w:val="001C171A"/>
    <w:rsid w:val="001C37CA"/>
    <w:rsid w:val="001C4085"/>
    <w:rsid w:val="001D071F"/>
    <w:rsid w:val="001D12C6"/>
    <w:rsid w:val="001D4303"/>
    <w:rsid w:val="001D6746"/>
    <w:rsid w:val="001E3B49"/>
    <w:rsid w:val="001E4A05"/>
    <w:rsid w:val="001E7388"/>
    <w:rsid w:val="001F13DD"/>
    <w:rsid w:val="001F2473"/>
    <w:rsid w:val="001F2DBC"/>
    <w:rsid w:val="001F73E8"/>
    <w:rsid w:val="001F7B86"/>
    <w:rsid w:val="00200460"/>
    <w:rsid w:val="00200C2A"/>
    <w:rsid w:val="00201301"/>
    <w:rsid w:val="0020262C"/>
    <w:rsid w:val="00202723"/>
    <w:rsid w:val="00205C81"/>
    <w:rsid w:val="002118B0"/>
    <w:rsid w:val="00211A3E"/>
    <w:rsid w:val="00215BCA"/>
    <w:rsid w:val="00217AC4"/>
    <w:rsid w:val="00221461"/>
    <w:rsid w:val="00222B33"/>
    <w:rsid w:val="00224537"/>
    <w:rsid w:val="00225B39"/>
    <w:rsid w:val="00235956"/>
    <w:rsid w:val="00241D8C"/>
    <w:rsid w:val="00243E5E"/>
    <w:rsid w:val="00247C9A"/>
    <w:rsid w:val="0025160C"/>
    <w:rsid w:val="002535D0"/>
    <w:rsid w:val="002539B3"/>
    <w:rsid w:val="00254141"/>
    <w:rsid w:val="00254A82"/>
    <w:rsid w:val="00255749"/>
    <w:rsid w:val="00256336"/>
    <w:rsid w:val="00257C3E"/>
    <w:rsid w:val="002602C2"/>
    <w:rsid w:val="002666C9"/>
    <w:rsid w:val="00270136"/>
    <w:rsid w:val="00270FD7"/>
    <w:rsid w:val="00274F5B"/>
    <w:rsid w:val="00280836"/>
    <w:rsid w:val="00282E1A"/>
    <w:rsid w:val="002840F1"/>
    <w:rsid w:val="00284379"/>
    <w:rsid w:val="0029113B"/>
    <w:rsid w:val="002934C0"/>
    <w:rsid w:val="0029764C"/>
    <w:rsid w:val="002A1B50"/>
    <w:rsid w:val="002A749B"/>
    <w:rsid w:val="002B0E91"/>
    <w:rsid w:val="002B132C"/>
    <w:rsid w:val="002B3F23"/>
    <w:rsid w:val="002B4EB5"/>
    <w:rsid w:val="002B5AF5"/>
    <w:rsid w:val="002B6779"/>
    <w:rsid w:val="002B71C0"/>
    <w:rsid w:val="002B7738"/>
    <w:rsid w:val="002B7A34"/>
    <w:rsid w:val="002C31AD"/>
    <w:rsid w:val="002C7385"/>
    <w:rsid w:val="002D2DBB"/>
    <w:rsid w:val="002D37D8"/>
    <w:rsid w:val="002D4452"/>
    <w:rsid w:val="002D54A6"/>
    <w:rsid w:val="002E1605"/>
    <w:rsid w:val="002E5BF9"/>
    <w:rsid w:val="002E6A7A"/>
    <w:rsid w:val="002F0A16"/>
    <w:rsid w:val="002F1E49"/>
    <w:rsid w:val="002F4E9C"/>
    <w:rsid w:val="00302F4E"/>
    <w:rsid w:val="00304B88"/>
    <w:rsid w:val="0031256C"/>
    <w:rsid w:val="00314D6C"/>
    <w:rsid w:val="00316D2A"/>
    <w:rsid w:val="00320019"/>
    <w:rsid w:val="00322A7C"/>
    <w:rsid w:val="00322EEC"/>
    <w:rsid w:val="00323061"/>
    <w:rsid w:val="003244C0"/>
    <w:rsid w:val="003402D3"/>
    <w:rsid w:val="00343ABC"/>
    <w:rsid w:val="003463FE"/>
    <w:rsid w:val="00347D41"/>
    <w:rsid w:val="00350E55"/>
    <w:rsid w:val="003554B3"/>
    <w:rsid w:val="00356632"/>
    <w:rsid w:val="00357C7E"/>
    <w:rsid w:val="003601AC"/>
    <w:rsid w:val="00362805"/>
    <w:rsid w:val="003653B6"/>
    <w:rsid w:val="00367DE8"/>
    <w:rsid w:val="003724C5"/>
    <w:rsid w:val="00373AB0"/>
    <w:rsid w:val="00374CC4"/>
    <w:rsid w:val="003774B2"/>
    <w:rsid w:val="00380F2D"/>
    <w:rsid w:val="003845A9"/>
    <w:rsid w:val="003850C9"/>
    <w:rsid w:val="00386F52"/>
    <w:rsid w:val="00387ED6"/>
    <w:rsid w:val="00390883"/>
    <w:rsid w:val="003922F8"/>
    <w:rsid w:val="00395B24"/>
    <w:rsid w:val="003A10DC"/>
    <w:rsid w:val="003A2CA5"/>
    <w:rsid w:val="003A2D38"/>
    <w:rsid w:val="003A7650"/>
    <w:rsid w:val="003A7ECC"/>
    <w:rsid w:val="003B2C72"/>
    <w:rsid w:val="003B58B4"/>
    <w:rsid w:val="003C1333"/>
    <w:rsid w:val="003C20FF"/>
    <w:rsid w:val="003C550A"/>
    <w:rsid w:val="003C6055"/>
    <w:rsid w:val="003D2650"/>
    <w:rsid w:val="003D560C"/>
    <w:rsid w:val="003D5B1A"/>
    <w:rsid w:val="003D5C00"/>
    <w:rsid w:val="003E3154"/>
    <w:rsid w:val="003E5874"/>
    <w:rsid w:val="003E72D3"/>
    <w:rsid w:val="003F193E"/>
    <w:rsid w:val="003F242C"/>
    <w:rsid w:val="003F268A"/>
    <w:rsid w:val="003F34F1"/>
    <w:rsid w:val="004000BA"/>
    <w:rsid w:val="00400FD6"/>
    <w:rsid w:val="004104B6"/>
    <w:rsid w:val="00411967"/>
    <w:rsid w:val="00411AE8"/>
    <w:rsid w:val="00413B74"/>
    <w:rsid w:val="00420B5E"/>
    <w:rsid w:val="00423F59"/>
    <w:rsid w:val="004342F3"/>
    <w:rsid w:val="00435C5F"/>
    <w:rsid w:val="00436155"/>
    <w:rsid w:val="00441E98"/>
    <w:rsid w:val="00450F3A"/>
    <w:rsid w:val="004532F7"/>
    <w:rsid w:val="00454C6B"/>
    <w:rsid w:val="004566AB"/>
    <w:rsid w:val="00464D51"/>
    <w:rsid w:val="00472027"/>
    <w:rsid w:val="00475891"/>
    <w:rsid w:val="004804CF"/>
    <w:rsid w:val="00484962"/>
    <w:rsid w:val="00484F6D"/>
    <w:rsid w:val="00484FB7"/>
    <w:rsid w:val="0048554D"/>
    <w:rsid w:val="0049162B"/>
    <w:rsid w:val="0049338A"/>
    <w:rsid w:val="0049417F"/>
    <w:rsid w:val="00496D41"/>
    <w:rsid w:val="004A6602"/>
    <w:rsid w:val="004B3EFA"/>
    <w:rsid w:val="004C2A87"/>
    <w:rsid w:val="004C3A02"/>
    <w:rsid w:val="004C4D7B"/>
    <w:rsid w:val="004C4ED3"/>
    <w:rsid w:val="004C667B"/>
    <w:rsid w:val="004C7ECD"/>
    <w:rsid w:val="004D2EA5"/>
    <w:rsid w:val="004D32A6"/>
    <w:rsid w:val="004D3E26"/>
    <w:rsid w:val="004D53E5"/>
    <w:rsid w:val="004E4201"/>
    <w:rsid w:val="004E6DC4"/>
    <w:rsid w:val="004F21C1"/>
    <w:rsid w:val="004F6174"/>
    <w:rsid w:val="00501A12"/>
    <w:rsid w:val="0050207D"/>
    <w:rsid w:val="0050309C"/>
    <w:rsid w:val="00505A04"/>
    <w:rsid w:val="0051327C"/>
    <w:rsid w:val="0051346D"/>
    <w:rsid w:val="00513EAE"/>
    <w:rsid w:val="0051434F"/>
    <w:rsid w:val="00515844"/>
    <w:rsid w:val="00516806"/>
    <w:rsid w:val="0052098C"/>
    <w:rsid w:val="0052410D"/>
    <w:rsid w:val="00525A49"/>
    <w:rsid w:val="005262D1"/>
    <w:rsid w:val="00530876"/>
    <w:rsid w:val="00530E64"/>
    <w:rsid w:val="00535613"/>
    <w:rsid w:val="005359EB"/>
    <w:rsid w:val="0054254A"/>
    <w:rsid w:val="0054500B"/>
    <w:rsid w:val="00546599"/>
    <w:rsid w:val="005466B5"/>
    <w:rsid w:val="00550957"/>
    <w:rsid w:val="00554314"/>
    <w:rsid w:val="0055618B"/>
    <w:rsid w:val="00562829"/>
    <w:rsid w:val="005629B3"/>
    <w:rsid w:val="00566AD1"/>
    <w:rsid w:val="005724F6"/>
    <w:rsid w:val="00573AC4"/>
    <w:rsid w:val="005769BE"/>
    <w:rsid w:val="005801FC"/>
    <w:rsid w:val="00585BA9"/>
    <w:rsid w:val="00587359"/>
    <w:rsid w:val="00595016"/>
    <w:rsid w:val="00597AAE"/>
    <w:rsid w:val="00597C4B"/>
    <w:rsid w:val="005A222C"/>
    <w:rsid w:val="005A3AC8"/>
    <w:rsid w:val="005A4914"/>
    <w:rsid w:val="005A4DF8"/>
    <w:rsid w:val="005A78C8"/>
    <w:rsid w:val="005B1426"/>
    <w:rsid w:val="005B1EC8"/>
    <w:rsid w:val="005B7D94"/>
    <w:rsid w:val="005C0A8E"/>
    <w:rsid w:val="005C1767"/>
    <w:rsid w:val="005C185C"/>
    <w:rsid w:val="005C42EF"/>
    <w:rsid w:val="005C5C68"/>
    <w:rsid w:val="005D5F01"/>
    <w:rsid w:val="005E02F5"/>
    <w:rsid w:val="005E0510"/>
    <w:rsid w:val="005E176E"/>
    <w:rsid w:val="005E218E"/>
    <w:rsid w:val="005E35A0"/>
    <w:rsid w:val="005F0D1B"/>
    <w:rsid w:val="005F1865"/>
    <w:rsid w:val="006007BD"/>
    <w:rsid w:val="006013C8"/>
    <w:rsid w:val="00601872"/>
    <w:rsid w:val="0060270D"/>
    <w:rsid w:val="00604611"/>
    <w:rsid w:val="00611586"/>
    <w:rsid w:val="00612D26"/>
    <w:rsid w:val="00615855"/>
    <w:rsid w:val="00617CC8"/>
    <w:rsid w:val="00620DA8"/>
    <w:rsid w:val="00621887"/>
    <w:rsid w:val="00624520"/>
    <w:rsid w:val="006271F5"/>
    <w:rsid w:val="00627A9D"/>
    <w:rsid w:val="00632300"/>
    <w:rsid w:val="00632BB7"/>
    <w:rsid w:val="00635B36"/>
    <w:rsid w:val="00636871"/>
    <w:rsid w:val="00640EE1"/>
    <w:rsid w:val="00640F4E"/>
    <w:rsid w:val="00643DE0"/>
    <w:rsid w:val="0064437D"/>
    <w:rsid w:val="00644E85"/>
    <w:rsid w:val="00651913"/>
    <w:rsid w:val="00652C52"/>
    <w:rsid w:val="00653CFA"/>
    <w:rsid w:val="00656040"/>
    <w:rsid w:val="0066063F"/>
    <w:rsid w:val="00662BB0"/>
    <w:rsid w:val="00663878"/>
    <w:rsid w:val="006673FF"/>
    <w:rsid w:val="00667773"/>
    <w:rsid w:val="00670743"/>
    <w:rsid w:val="00670798"/>
    <w:rsid w:val="00680A85"/>
    <w:rsid w:val="00681ADF"/>
    <w:rsid w:val="00690EE2"/>
    <w:rsid w:val="00693854"/>
    <w:rsid w:val="0069440F"/>
    <w:rsid w:val="00694BEB"/>
    <w:rsid w:val="006A0E20"/>
    <w:rsid w:val="006A24E3"/>
    <w:rsid w:val="006A5695"/>
    <w:rsid w:val="006B0439"/>
    <w:rsid w:val="006B194E"/>
    <w:rsid w:val="006B3904"/>
    <w:rsid w:val="006B5B7D"/>
    <w:rsid w:val="006C28FE"/>
    <w:rsid w:val="006C5B46"/>
    <w:rsid w:val="006C6E39"/>
    <w:rsid w:val="006D0ECF"/>
    <w:rsid w:val="006D3D5B"/>
    <w:rsid w:val="006D4C92"/>
    <w:rsid w:val="006D4EB6"/>
    <w:rsid w:val="006D5A3F"/>
    <w:rsid w:val="006E35BF"/>
    <w:rsid w:val="006E58DC"/>
    <w:rsid w:val="006E7850"/>
    <w:rsid w:val="006F0ED0"/>
    <w:rsid w:val="006F46D6"/>
    <w:rsid w:val="0070241A"/>
    <w:rsid w:val="007028D9"/>
    <w:rsid w:val="00707218"/>
    <w:rsid w:val="00710D04"/>
    <w:rsid w:val="0071189E"/>
    <w:rsid w:val="00712B1D"/>
    <w:rsid w:val="00715751"/>
    <w:rsid w:val="007171BA"/>
    <w:rsid w:val="00717616"/>
    <w:rsid w:val="0072675F"/>
    <w:rsid w:val="007325D9"/>
    <w:rsid w:val="007353D0"/>
    <w:rsid w:val="0073583B"/>
    <w:rsid w:val="007360CA"/>
    <w:rsid w:val="007365BF"/>
    <w:rsid w:val="00741A7C"/>
    <w:rsid w:val="0074667B"/>
    <w:rsid w:val="007470BD"/>
    <w:rsid w:val="0075201C"/>
    <w:rsid w:val="00760EC0"/>
    <w:rsid w:val="007648FD"/>
    <w:rsid w:val="00767991"/>
    <w:rsid w:val="007711BD"/>
    <w:rsid w:val="00772DC8"/>
    <w:rsid w:val="0078003A"/>
    <w:rsid w:val="00780771"/>
    <w:rsid w:val="007929CF"/>
    <w:rsid w:val="00795EAC"/>
    <w:rsid w:val="007A49E7"/>
    <w:rsid w:val="007A62F3"/>
    <w:rsid w:val="007A6F28"/>
    <w:rsid w:val="007B03C6"/>
    <w:rsid w:val="007B0DB1"/>
    <w:rsid w:val="007B4308"/>
    <w:rsid w:val="007B5673"/>
    <w:rsid w:val="007B7238"/>
    <w:rsid w:val="007B76FF"/>
    <w:rsid w:val="007C3BF6"/>
    <w:rsid w:val="007C67B3"/>
    <w:rsid w:val="007D0FD2"/>
    <w:rsid w:val="007D2B30"/>
    <w:rsid w:val="007D2EF8"/>
    <w:rsid w:val="007D561F"/>
    <w:rsid w:val="007D5C61"/>
    <w:rsid w:val="007D7FD2"/>
    <w:rsid w:val="007E13D9"/>
    <w:rsid w:val="007E2AEC"/>
    <w:rsid w:val="007E41BE"/>
    <w:rsid w:val="007E4DB6"/>
    <w:rsid w:val="007E6733"/>
    <w:rsid w:val="007E7CD4"/>
    <w:rsid w:val="007F12AC"/>
    <w:rsid w:val="007F3622"/>
    <w:rsid w:val="007F4501"/>
    <w:rsid w:val="007F60DF"/>
    <w:rsid w:val="00801800"/>
    <w:rsid w:val="00801861"/>
    <w:rsid w:val="00801B5B"/>
    <w:rsid w:val="0081295F"/>
    <w:rsid w:val="008216E7"/>
    <w:rsid w:val="00825BE6"/>
    <w:rsid w:val="008276B4"/>
    <w:rsid w:val="00831927"/>
    <w:rsid w:val="00837288"/>
    <w:rsid w:val="00841BD3"/>
    <w:rsid w:val="0084273D"/>
    <w:rsid w:val="00843E8B"/>
    <w:rsid w:val="00844E3F"/>
    <w:rsid w:val="00845A83"/>
    <w:rsid w:val="00846BB9"/>
    <w:rsid w:val="00856575"/>
    <w:rsid w:val="0085736C"/>
    <w:rsid w:val="008649D5"/>
    <w:rsid w:val="008712BB"/>
    <w:rsid w:val="00877FB8"/>
    <w:rsid w:val="008828E1"/>
    <w:rsid w:val="008830E7"/>
    <w:rsid w:val="00890EDE"/>
    <w:rsid w:val="00892B38"/>
    <w:rsid w:val="00897A76"/>
    <w:rsid w:val="008A1741"/>
    <w:rsid w:val="008A2484"/>
    <w:rsid w:val="008A52F3"/>
    <w:rsid w:val="008C1AE6"/>
    <w:rsid w:val="008C26D9"/>
    <w:rsid w:val="008C6D50"/>
    <w:rsid w:val="008C7167"/>
    <w:rsid w:val="008C7503"/>
    <w:rsid w:val="008D1617"/>
    <w:rsid w:val="008D330F"/>
    <w:rsid w:val="008D48C1"/>
    <w:rsid w:val="008E2A47"/>
    <w:rsid w:val="008E37AF"/>
    <w:rsid w:val="008E3C11"/>
    <w:rsid w:val="008E6315"/>
    <w:rsid w:val="008F07FC"/>
    <w:rsid w:val="008F11E0"/>
    <w:rsid w:val="008F2B36"/>
    <w:rsid w:val="008F3EA7"/>
    <w:rsid w:val="008F6807"/>
    <w:rsid w:val="008F78BC"/>
    <w:rsid w:val="008F7B63"/>
    <w:rsid w:val="008F7D6A"/>
    <w:rsid w:val="00901C86"/>
    <w:rsid w:val="00903603"/>
    <w:rsid w:val="009054CB"/>
    <w:rsid w:val="00906A11"/>
    <w:rsid w:val="00911F8D"/>
    <w:rsid w:val="00912F94"/>
    <w:rsid w:val="009171BC"/>
    <w:rsid w:val="00920AA7"/>
    <w:rsid w:val="00924810"/>
    <w:rsid w:val="0092497E"/>
    <w:rsid w:val="0092590B"/>
    <w:rsid w:val="00925BF3"/>
    <w:rsid w:val="00925E60"/>
    <w:rsid w:val="009264B3"/>
    <w:rsid w:val="00930CB4"/>
    <w:rsid w:val="009365E0"/>
    <w:rsid w:val="00942BA2"/>
    <w:rsid w:val="00942CDF"/>
    <w:rsid w:val="009432B7"/>
    <w:rsid w:val="00944C86"/>
    <w:rsid w:val="009479FC"/>
    <w:rsid w:val="00947C02"/>
    <w:rsid w:val="00950BE6"/>
    <w:rsid w:val="00957DE8"/>
    <w:rsid w:val="00960ECB"/>
    <w:rsid w:val="009615D6"/>
    <w:rsid w:val="00967855"/>
    <w:rsid w:val="00972793"/>
    <w:rsid w:val="00974709"/>
    <w:rsid w:val="009775FA"/>
    <w:rsid w:val="00980736"/>
    <w:rsid w:val="00981A39"/>
    <w:rsid w:val="00982D56"/>
    <w:rsid w:val="00983DBF"/>
    <w:rsid w:val="00987097"/>
    <w:rsid w:val="00991123"/>
    <w:rsid w:val="00991CAB"/>
    <w:rsid w:val="00991CE9"/>
    <w:rsid w:val="00992606"/>
    <w:rsid w:val="009A00CD"/>
    <w:rsid w:val="009A3A9C"/>
    <w:rsid w:val="009B046C"/>
    <w:rsid w:val="009B13FA"/>
    <w:rsid w:val="009B1E2D"/>
    <w:rsid w:val="009C2608"/>
    <w:rsid w:val="009C5399"/>
    <w:rsid w:val="009C59FB"/>
    <w:rsid w:val="009C648D"/>
    <w:rsid w:val="009C6F3B"/>
    <w:rsid w:val="009D1467"/>
    <w:rsid w:val="009D2918"/>
    <w:rsid w:val="009D328D"/>
    <w:rsid w:val="009E4FA6"/>
    <w:rsid w:val="009E7D93"/>
    <w:rsid w:val="009F3C34"/>
    <w:rsid w:val="009F462C"/>
    <w:rsid w:val="009F5C33"/>
    <w:rsid w:val="009F6DB5"/>
    <w:rsid w:val="00A026F0"/>
    <w:rsid w:val="00A03EAC"/>
    <w:rsid w:val="00A048CE"/>
    <w:rsid w:val="00A04DBB"/>
    <w:rsid w:val="00A07EA0"/>
    <w:rsid w:val="00A11CA6"/>
    <w:rsid w:val="00A11F68"/>
    <w:rsid w:val="00A15D33"/>
    <w:rsid w:val="00A15F77"/>
    <w:rsid w:val="00A20C49"/>
    <w:rsid w:val="00A22932"/>
    <w:rsid w:val="00A269CA"/>
    <w:rsid w:val="00A32141"/>
    <w:rsid w:val="00A336EE"/>
    <w:rsid w:val="00A33F46"/>
    <w:rsid w:val="00A3427E"/>
    <w:rsid w:val="00A359AC"/>
    <w:rsid w:val="00A40F83"/>
    <w:rsid w:val="00A410FB"/>
    <w:rsid w:val="00A41413"/>
    <w:rsid w:val="00A431E6"/>
    <w:rsid w:val="00A436E8"/>
    <w:rsid w:val="00A44EC2"/>
    <w:rsid w:val="00A45FB1"/>
    <w:rsid w:val="00A46CCC"/>
    <w:rsid w:val="00A47996"/>
    <w:rsid w:val="00A51CFE"/>
    <w:rsid w:val="00A5204D"/>
    <w:rsid w:val="00A61605"/>
    <w:rsid w:val="00A65F97"/>
    <w:rsid w:val="00A74874"/>
    <w:rsid w:val="00A76C13"/>
    <w:rsid w:val="00A84FD0"/>
    <w:rsid w:val="00A918A0"/>
    <w:rsid w:val="00A92E79"/>
    <w:rsid w:val="00A950B6"/>
    <w:rsid w:val="00A95D45"/>
    <w:rsid w:val="00AA3073"/>
    <w:rsid w:val="00AB41C1"/>
    <w:rsid w:val="00AB4CF2"/>
    <w:rsid w:val="00AB6CCA"/>
    <w:rsid w:val="00AC223F"/>
    <w:rsid w:val="00AC33B1"/>
    <w:rsid w:val="00AD12A8"/>
    <w:rsid w:val="00AE023F"/>
    <w:rsid w:val="00AF3577"/>
    <w:rsid w:val="00AF35F9"/>
    <w:rsid w:val="00B0424C"/>
    <w:rsid w:val="00B05C7D"/>
    <w:rsid w:val="00B064DC"/>
    <w:rsid w:val="00B15D57"/>
    <w:rsid w:val="00B16347"/>
    <w:rsid w:val="00B17D6E"/>
    <w:rsid w:val="00B2435E"/>
    <w:rsid w:val="00B244CC"/>
    <w:rsid w:val="00B2485D"/>
    <w:rsid w:val="00B346C3"/>
    <w:rsid w:val="00B370E8"/>
    <w:rsid w:val="00B4005C"/>
    <w:rsid w:val="00B4227E"/>
    <w:rsid w:val="00B4471C"/>
    <w:rsid w:val="00B451A6"/>
    <w:rsid w:val="00B50D17"/>
    <w:rsid w:val="00B56D6E"/>
    <w:rsid w:val="00B602F2"/>
    <w:rsid w:val="00B64347"/>
    <w:rsid w:val="00B65DC6"/>
    <w:rsid w:val="00B67AC2"/>
    <w:rsid w:val="00B722DE"/>
    <w:rsid w:val="00B751E3"/>
    <w:rsid w:val="00B75BA6"/>
    <w:rsid w:val="00B76C44"/>
    <w:rsid w:val="00B77A33"/>
    <w:rsid w:val="00B8184A"/>
    <w:rsid w:val="00B82283"/>
    <w:rsid w:val="00B828D8"/>
    <w:rsid w:val="00B83F87"/>
    <w:rsid w:val="00B87CDC"/>
    <w:rsid w:val="00B910C1"/>
    <w:rsid w:val="00B916F4"/>
    <w:rsid w:val="00BA2CA4"/>
    <w:rsid w:val="00BA2EFA"/>
    <w:rsid w:val="00BA3DBC"/>
    <w:rsid w:val="00BA707A"/>
    <w:rsid w:val="00BB1AFB"/>
    <w:rsid w:val="00BB27AE"/>
    <w:rsid w:val="00BB2DA2"/>
    <w:rsid w:val="00BB56DC"/>
    <w:rsid w:val="00BD14DA"/>
    <w:rsid w:val="00BE0084"/>
    <w:rsid w:val="00BE183D"/>
    <w:rsid w:val="00BF0CF9"/>
    <w:rsid w:val="00BF1D08"/>
    <w:rsid w:val="00BF5D7A"/>
    <w:rsid w:val="00C01C2E"/>
    <w:rsid w:val="00C02D33"/>
    <w:rsid w:val="00C04B53"/>
    <w:rsid w:val="00C1232C"/>
    <w:rsid w:val="00C12A3E"/>
    <w:rsid w:val="00C27C6B"/>
    <w:rsid w:val="00C3594D"/>
    <w:rsid w:val="00C36442"/>
    <w:rsid w:val="00C376CE"/>
    <w:rsid w:val="00C400CE"/>
    <w:rsid w:val="00C410FD"/>
    <w:rsid w:val="00C457DE"/>
    <w:rsid w:val="00C47DD3"/>
    <w:rsid w:val="00C53562"/>
    <w:rsid w:val="00C539FB"/>
    <w:rsid w:val="00C66E57"/>
    <w:rsid w:val="00C6775D"/>
    <w:rsid w:val="00C703A0"/>
    <w:rsid w:val="00C74150"/>
    <w:rsid w:val="00C75594"/>
    <w:rsid w:val="00C85982"/>
    <w:rsid w:val="00C87CFE"/>
    <w:rsid w:val="00C9604E"/>
    <w:rsid w:val="00CA0466"/>
    <w:rsid w:val="00CA1B20"/>
    <w:rsid w:val="00CA246D"/>
    <w:rsid w:val="00CA50D9"/>
    <w:rsid w:val="00CB11F9"/>
    <w:rsid w:val="00CB3054"/>
    <w:rsid w:val="00CB43D6"/>
    <w:rsid w:val="00CB5636"/>
    <w:rsid w:val="00CC1313"/>
    <w:rsid w:val="00CC1BAB"/>
    <w:rsid w:val="00CC3EE5"/>
    <w:rsid w:val="00CD0C41"/>
    <w:rsid w:val="00CD209A"/>
    <w:rsid w:val="00CE425C"/>
    <w:rsid w:val="00CE58AC"/>
    <w:rsid w:val="00CF5A80"/>
    <w:rsid w:val="00D010FE"/>
    <w:rsid w:val="00D04353"/>
    <w:rsid w:val="00D045EE"/>
    <w:rsid w:val="00D046AE"/>
    <w:rsid w:val="00D05091"/>
    <w:rsid w:val="00D10BB1"/>
    <w:rsid w:val="00D10CA6"/>
    <w:rsid w:val="00D10F21"/>
    <w:rsid w:val="00D134CF"/>
    <w:rsid w:val="00D154F0"/>
    <w:rsid w:val="00D1551A"/>
    <w:rsid w:val="00D1573B"/>
    <w:rsid w:val="00D166DC"/>
    <w:rsid w:val="00D17608"/>
    <w:rsid w:val="00D24806"/>
    <w:rsid w:val="00D34040"/>
    <w:rsid w:val="00D34E69"/>
    <w:rsid w:val="00D36C78"/>
    <w:rsid w:val="00D375EE"/>
    <w:rsid w:val="00D4140F"/>
    <w:rsid w:val="00D55AE8"/>
    <w:rsid w:val="00D56056"/>
    <w:rsid w:val="00D6085F"/>
    <w:rsid w:val="00D62699"/>
    <w:rsid w:val="00D64B4E"/>
    <w:rsid w:val="00D778E9"/>
    <w:rsid w:val="00D812BF"/>
    <w:rsid w:val="00D82620"/>
    <w:rsid w:val="00D85707"/>
    <w:rsid w:val="00D9725F"/>
    <w:rsid w:val="00DA01B1"/>
    <w:rsid w:val="00DA11A2"/>
    <w:rsid w:val="00DA14ED"/>
    <w:rsid w:val="00DA26D6"/>
    <w:rsid w:val="00DA6A6A"/>
    <w:rsid w:val="00DB2149"/>
    <w:rsid w:val="00DB2EF1"/>
    <w:rsid w:val="00DB3DE1"/>
    <w:rsid w:val="00DB5DA0"/>
    <w:rsid w:val="00DB716C"/>
    <w:rsid w:val="00DC5C85"/>
    <w:rsid w:val="00DC7C24"/>
    <w:rsid w:val="00DC7C5D"/>
    <w:rsid w:val="00DD0A16"/>
    <w:rsid w:val="00DD127E"/>
    <w:rsid w:val="00DD4236"/>
    <w:rsid w:val="00DD44F1"/>
    <w:rsid w:val="00DD6672"/>
    <w:rsid w:val="00DD6957"/>
    <w:rsid w:val="00DD6E7A"/>
    <w:rsid w:val="00DE303E"/>
    <w:rsid w:val="00DE3067"/>
    <w:rsid w:val="00DF3EEE"/>
    <w:rsid w:val="00DF75E1"/>
    <w:rsid w:val="00E027BC"/>
    <w:rsid w:val="00E10F0D"/>
    <w:rsid w:val="00E14EA5"/>
    <w:rsid w:val="00E2070E"/>
    <w:rsid w:val="00E21133"/>
    <w:rsid w:val="00E2327E"/>
    <w:rsid w:val="00E266EF"/>
    <w:rsid w:val="00E303F1"/>
    <w:rsid w:val="00E316A7"/>
    <w:rsid w:val="00E31B58"/>
    <w:rsid w:val="00E326A8"/>
    <w:rsid w:val="00E34A99"/>
    <w:rsid w:val="00E34D7B"/>
    <w:rsid w:val="00E37436"/>
    <w:rsid w:val="00E40DF7"/>
    <w:rsid w:val="00E47428"/>
    <w:rsid w:val="00E5026F"/>
    <w:rsid w:val="00E56C8E"/>
    <w:rsid w:val="00E5716B"/>
    <w:rsid w:val="00E57F1F"/>
    <w:rsid w:val="00E66B9F"/>
    <w:rsid w:val="00E70A6A"/>
    <w:rsid w:val="00E710D6"/>
    <w:rsid w:val="00E73DA4"/>
    <w:rsid w:val="00E74A99"/>
    <w:rsid w:val="00E761BC"/>
    <w:rsid w:val="00E76E45"/>
    <w:rsid w:val="00E777C9"/>
    <w:rsid w:val="00E800DD"/>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2C48"/>
    <w:rsid w:val="00EC57A7"/>
    <w:rsid w:val="00ED0817"/>
    <w:rsid w:val="00ED6BDC"/>
    <w:rsid w:val="00ED7DD9"/>
    <w:rsid w:val="00EE445B"/>
    <w:rsid w:val="00EE5C21"/>
    <w:rsid w:val="00EF164E"/>
    <w:rsid w:val="00EF3113"/>
    <w:rsid w:val="00EF3F84"/>
    <w:rsid w:val="00F01326"/>
    <w:rsid w:val="00F176AC"/>
    <w:rsid w:val="00F26F28"/>
    <w:rsid w:val="00F27714"/>
    <w:rsid w:val="00F31B36"/>
    <w:rsid w:val="00F3276E"/>
    <w:rsid w:val="00F32F79"/>
    <w:rsid w:val="00F33885"/>
    <w:rsid w:val="00F33D3C"/>
    <w:rsid w:val="00F35DBC"/>
    <w:rsid w:val="00F37144"/>
    <w:rsid w:val="00F37A91"/>
    <w:rsid w:val="00F408A0"/>
    <w:rsid w:val="00F45CF5"/>
    <w:rsid w:val="00F47DB0"/>
    <w:rsid w:val="00F50C3F"/>
    <w:rsid w:val="00F50E34"/>
    <w:rsid w:val="00F52345"/>
    <w:rsid w:val="00F53EF7"/>
    <w:rsid w:val="00F54BF2"/>
    <w:rsid w:val="00F551E1"/>
    <w:rsid w:val="00F75307"/>
    <w:rsid w:val="00F775AC"/>
    <w:rsid w:val="00F877DD"/>
    <w:rsid w:val="00F92355"/>
    <w:rsid w:val="00F93963"/>
    <w:rsid w:val="00F9399B"/>
    <w:rsid w:val="00F94291"/>
    <w:rsid w:val="00F969BB"/>
    <w:rsid w:val="00FA298A"/>
    <w:rsid w:val="00FA5B66"/>
    <w:rsid w:val="00FB2824"/>
    <w:rsid w:val="00FB30EB"/>
    <w:rsid w:val="00FB7982"/>
    <w:rsid w:val="00FC0734"/>
    <w:rsid w:val="00FC0FC5"/>
    <w:rsid w:val="00FC588F"/>
    <w:rsid w:val="00FC6879"/>
    <w:rsid w:val="00FD4477"/>
    <w:rsid w:val="00FE1B30"/>
    <w:rsid w:val="00FE7B44"/>
    <w:rsid w:val="00FF5C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FC4C8201-D884-4D11-AF98-54D55D0A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41"/>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2"/>
      </w:numPr>
      <w:spacing w:before="60" w:after="60"/>
    </w:pPr>
  </w:style>
  <w:style w:type="numbering" w:customStyle="1" w:styleId="FCOrders">
    <w:name w:val="FCOrders"/>
    <w:uiPriority w:val="99"/>
    <w:rsid w:val="004104B6"/>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4"/>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48"/>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42"/>
      </w:numPr>
    </w:pPr>
  </w:style>
  <w:style w:type="paragraph" w:customStyle="1" w:styleId="Order4">
    <w:name w:val="Order 4"/>
    <w:basedOn w:val="Order3"/>
    <w:rsid w:val="004104B6"/>
    <w:pPr>
      <w:numPr>
        <w:ilvl w:val="3"/>
      </w:numPr>
    </w:pPr>
  </w:style>
  <w:style w:type="paragraph" w:customStyle="1" w:styleId="Default">
    <w:name w:val="Default"/>
    <w:rsid w:val="00E5026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3F4C533676440BB458B2B3A5236F55"/>
        <w:category>
          <w:name w:val="General"/>
          <w:gallery w:val="placeholder"/>
        </w:category>
        <w:types>
          <w:type w:val="bbPlcHdr"/>
        </w:types>
        <w:behaviors>
          <w:behavior w:val="content"/>
        </w:behaviors>
        <w:guid w:val="{7570E461-490A-455A-BDAB-1A8A62B33253}"/>
      </w:docPartPr>
      <w:docPartBody>
        <w:p w:rsidR="00382E6C" w:rsidRDefault="00382E6C">
          <w:pPr>
            <w:pStyle w:val="1F3F4C533676440BB458B2B3A5236F55"/>
          </w:pPr>
          <w:r>
            <w:rPr>
              <w:rStyle w:val="PlaceholderText"/>
            </w:rPr>
            <w:t>MNC Text</w:t>
          </w:r>
        </w:p>
      </w:docPartBody>
    </w:docPart>
    <w:docPart>
      <w:docPartPr>
        <w:name w:val="8DFEEA236EE54B5CB60E6E5EE72ABD0B"/>
        <w:category>
          <w:name w:val="General"/>
          <w:gallery w:val="placeholder"/>
        </w:category>
        <w:types>
          <w:type w:val="bbPlcHdr"/>
        </w:types>
        <w:behaviors>
          <w:behavior w:val="content"/>
        </w:behaviors>
        <w:guid w:val="{C2259990-9CC2-477E-AA9B-DC22A678944B}"/>
      </w:docPartPr>
      <w:docPartBody>
        <w:p w:rsidR="00382E6C" w:rsidRDefault="00382E6C">
          <w:pPr>
            <w:pStyle w:val="8DFEEA236EE54B5CB60E6E5EE72ABD0B"/>
          </w:pPr>
          <w:r w:rsidRPr="005C44BE">
            <w:rPr>
              <w:rStyle w:val="PlaceholderText"/>
            </w:rPr>
            <w:t>Click or tap here to enter text.</w:t>
          </w:r>
        </w:p>
      </w:docPartBody>
    </w:docPart>
    <w:docPart>
      <w:docPartPr>
        <w:name w:val="B04A9BAB3FDA477BB11F1748DE025C48"/>
        <w:category>
          <w:name w:val="General"/>
          <w:gallery w:val="placeholder"/>
        </w:category>
        <w:types>
          <w:type w:val="bbPlcHdr"/>
        </w:types>
        <w:behaviors>
          <w:behavior w:val="content"/>
        </w:behaviors>
        <w:guid w:val="{F5D074B2-AA6D-4181-A0A7-B0E51AD2AE35}"/>
      </w:docPartPr>
      <w:docPartBody>
        <w:p w:rsidR="00382E6C" w:rsidRDefault="00382E6C">
          <w:pPr>
            <w:pStyle w:val="B04A9BAB3FDA477BB11F1748DE025C48"/>
          </w:pPr>
          <w:r w:rsidRPr="005C44BE">
            <w:rPr>
              <w:rStyle w:val="PlaceholderText"/>
            </w:rPr>
            <w:t>Click or tap here to enter text.</w:t>
          </w:r>
        </w:p>
      </w:docPartBody>
    </w:docPart>
    <w:docPart>
      <w:docPartPr>
        <w:name w:val="773CCA0B823C4B83ADDF53DE3EA3D745"/>
        <w:category>
          <w:name w:val="General"/>
          <w:gallery w:val="placeholder"/>
        </w:category>
        <w:types>
          <w:type w:val="bbPlcHdr"/>
        </w:types>
        <w:behaviors>
          <w:behavior w:val="content"/>
        </w:behaviors>
        <w:guid w:val="{318146D6-C3CA-440A-9143-2605E713CDCF}"/>
      </w:docPartPr>
      <w:docPartBody>
        <w:p w:rsidR="00382E6C" w:rsidRDefault="00382E6C">
          <w:pPr>
            <w:pStyle w:val="773CCA0B823C4B83ADDF53DE3EA3D745"/>
          </w:pPr>
          <w:r w:rsidRPr="005C44BE">
            <w:rPr>
              <w:rStyle w:val="PlaceholderText"/>
            </w:rPr>
            <w:t>Click or tap here to enter text.</w:t>
          </w:r>
        </w:p>
      </w:docPartBody>
    </w:docPart>
    <w:docPart>
      <w:docPartPr>
        <w:name w:val="0CCEB0DA4CDD47B696609B5F4555948B"/>
        <w:category>
          <w:name w:val="General"/>
          <w:gallery w:val="placeholder"/>
        </w:category>
        <w:types>
          <w:type w:val="bbPlcHdr"/>
        </w:types>
        <w:behaviors>
          <w:behavior w:val="content"/>
        </w:behaviors>
        <w:guid w:val="{ED53C51D-9A60-4956-8BC8-0B59759398D2}"/>
      </w:docPartPr>
      <w:docPartBody>
        <w:p w:rsidR="00382E6C" w:rsidRDefault="00382E6C">
          <w:pPr>
            <w:pStyle w:val="0CCEB0DA4CDD47B696609B5F4555948B"/>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6C"/>
    <w:rsid w:val="00171FE2"/>
    <w:rsid w:val="00382E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F3F4C533676440BB458B2B3A5236F55">
    <w:name w:val="1F3F4C533676440BB458B2B3A5236F55"/>
  </w:style>
  <w:style w:type="paragraph" w:customStyle="1" w:styleId="8DFEEA236EE54B5CB60E6E5EE72ABD0B">
    <w:name w:val="8DFEEA236EE54B5CB60E6E5EE72ABD0B"/>
  </w:style>
  <w:style w:type="paragraph" w:customStyle="1" w:styleId="B04A9BAB3FDA477BB11F1748DE025C48">
    <w:name w:val="B04A9BAB3FDA477BB11F1748DE025C48"/>
  </w:style>
  <w:style w:type="paragraph" w:customStyle="1" w:styleId="773CCA0B823C4B83ADDF53DE3EA3D745">
    <w:name w:val="773CCA0B823C4B83ADDF53DE3EA3D745"/>
  </w:style>
  <w:style w:type="paragraph" w:customStyle="1" w:styleId="0CCEB0DA4CDD47B696609B5F4555948B">
    <w:name w:val="0CCEB0DA4CDD47B696609B5F45559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State Street Global Advisors Trust Company v Maurice Blackburn Pty Ltd (No 3) [2021] FCA 568</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5015AE-C01E-457F-9BA1-0B28BFFA8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11</Pages>
  <Words>3773</Words>
  <Characters>18578</Characters>
  <Application>Microsoft Office Word</Application>
  <DocSecurity>0</DocSecurity>
  <Lines>387</Lines>
  <Paragraphs>153</Paragraphs>
  <ScaleCrop>false</ScaleCrop>
  <HeadingPairs>
    <vt:vector size="2" baseType="variant">
      <vt:variant>
        <vt:lpstr>Title</vt:lpstr>
      </vt:variant>
      <vt:variant>
        <vt:i4>1</vt:i4>
      </vt:variant>
    </vt:vector>
  </HeadingPairs>
  <TitlesOfParts>
    <vt:vector size="1" baseType="lpstr">
      <vt:lpstr>State Street Global Advisors Trust Company v Maurice Blackburn Pty Ltd (No 3) [2021] FCA 568</vt:lpstr>
    </vt:vector>
  </TitlesOfParts>
  <Company>Federal Court of Australia</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Street Global Advisors Trust Company v Maurice Blackburn Pty Ltd (No 3) [2021] FCA 568</dc:title>
  <dc:creator>Federal Court of Australia</dc:creator>
  <cp:lastModifiedBy>Federal Court of Australia</cp:lastModifiedBy>
  <cp:revision>4</cp:revision>
  <cp:lastPrinted>2021-05-28T03:13:00Z</cp:lastPrinted>
  <dcterms:created xsi:type="dcterms:W3CDTF">2021-05-28T04:07:00Z</dcterms:created>
  <dcterms:modified xsi:type="dcterms:W3CDTF">2021-05-28T04:08:00Z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Sydney</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Intellectual Property</vt:lpwstr>
  </property>
  <property fmtid="{D5CDD505-2E9C-101B-9397-08002B2CF9AE}" pid="16" name="Court">
    <vt:lpwstr>Federal Court of Australia</vt:lpwstr>
  </property>
  <property fmtid="{D5CDD505-2E9C-101B-9397-08002B2CF9AE}" pid="17" name="Sub Area">
    <vt:lpwstr>Trade Marks</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