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4CEBA" w14:textId="77777777" w:rsidR="00395B24" w:rsidRDefault="009F6008" w:rsidP="00A22932">
      <w:pPr>
        <w:pStyle w:val="CourtTitle"/>
      </w:pPr>
      <w:r>
        <w:fldChar w:fldCharType="begin" w:fldLock="1"/>
      </w:r>
      <w:r>
        <w:instrText xml:space="preserve"> DOCPROPERTY  Court  \* MERGEFORMAT </w:instrText>
      </w:r>
      <w:r>
        <w:fldChar w:fldCharType="separate"/>
      </w:r>
      <w:r w:rsidR="003F6D07">
        <w:t>Federal Court of Australia</w:t>
      </w:r>
      <w:r>
        <w:fldChar w:fldCharType="end"/>
      </w:r>
    </w:p>
    <w:p w14:paraId="7CFB87FD" w14:textId="77777777" w:rsidR="00395B24" w:rsidRDefault="00395B24">
      <w:pPr>
        <w:pStyle w:val="NormalHeadings"/>
        <w:jc w:val="center"/>
        <w:rPr>
          <w:sz w:val="32"/>
        </w:rPr>
      </w:pPr>
    </w:p>
    <w:bookmarkStart w:id="0" w:name="MNC"/>
    <w:p w14:paraId="589CF915" w14:textId="53ADC96D" w:rsidR="00374CC4" w:rsidRDefault="00681A82" w:rsidP="001A2B40">
      <w:pPr>
        <w:pStyle w:val="MNC"/>
      </w:pPr>
      <w:sdt>
        <w:sdtPr>
          <w:alias w:val="MNC"/>
          <w:tag w:val="MNC"/>
          <w:id w:val="343289786"/>
          <w:lock w:val="sdtLocked"/>
          <w:placeholder>
            <w:docPart w:val="6C0C36A808D14C8EA7B2A9B1AEAA216A"/>
          </w:placeholder>
          <w:dataBinding w:prefixMappings="xmlns:ns0='http://schemas.globalmacros.com/FCA'" w:xpath="/ns0:root[1]/ns0:Name[1]" w:storeItemID="{687E7CCB-4AA5-44E7-B148-17BA2B6F57C0}"/>
          <w:text w:multiLine="1"/>
        </w:sdtPr>
        <w:sdtEndPr/>
        <w:sdtContent>
          <w:r w:rsidR="00B70B6F">
            <w:t>Singh v Fai</w:t>
          </w:r>
          <w:r w:rsidR="00E5193A">
            <w:t>r Work Ombudsman [2021] FCA 71</w:t>
          </w:r>
          <w:r w:rsidR="00693854">
            <w:t xml:space="preserve"> </w:t>
          </w:r>
        </w:sdtContent>
      </w:sdt>
      <w:bookmarkEnd w:id="0"/>
      <w:r w:rsidR="005C185C">
        <w:t xml:space="preserve"> </w:t>
      </w:r>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427047EA" w14:textId="77777777" w:rsidTr="00995D1A">
        <w:tc>
          <w:tcPr>
            <w:tcW w:w="3083" w:type="dxa"/>
            <w:shd w:val="clear" w:color="auto" w:fill="auto"/>
          </w:tcPr>
          <w:p w14:paraId="190C845B" w14:textId="77777777" w:rsidR="00395B24" w:rsidRDefault="002C7385" w:rsidP="002539B3">
            <w:pPr>
              <w:pStyle w:val="Normal1linespace"/>
              <w:widowControl w:val="0"/>
              <w:spacing w:after="60"/>
              <w:jc w:val="left"/>
            </w:pPr>
            <w:bookmarkStart w:id="1" w:name="AppealFrom_row" w:colFirst="0" w:colLast="1"/>
            <w:r>
              <w:t>Appeal from:</w:t>
            </w:r>
          </w:p>
        </w:tc>
        <w:tc>
          <w:tcPr>
            <w:tcW w:w="5989" w:type="dxa"/>
            <w:shd w:val="clear" w:color="auto" w:fill="auto"/>
          </w:tcPr>
          <w:p w14:paraId="103E55DA" w14:textId="77777777" w:rsidR="00395B24" w:rsidRDefault="009F6008" w:rsidP="002539B3">
            <w:pPr>
              <w:pStyle w:val="CasesLegislationAppealFrom"/>
              <w:spacing w:after="60"/>
            </w:pPr>
            <w:r>
              <w:fldChar w:fldCharType="begin" w:fldLock="1"/>
            </w:r>
            <w:r>
              <w:instrText xml:space="preserve"> DOCPROPERTY  AppealFrom  \* MERGEFORMAT </w:instrText>
            </w:r>
            <w:r>
              <w:fldChar w:fldCharType="separate"/>
            </w:r>
            <w:r w:rsidR="003F6D07" w:rsidRPr="00B70B6F">
              <w:rPr>
                <w:i/>
              </w:rPr>
              <w:t xml:space="preserve">Fair Work Ombudsman v </w:t>
            </w:r>
            <w:proofErr w:type="spellStart"/>
            <w:r w:rsidR="003F6D07" w:rsidRPr="00B70B6F">
              <w:rPr>
                <w:i/>
              </w:rPr>
              <w:t>Sinpek</w:t>
            </w:r>
            <w:proofErr w:type="spellEnd"/>
            <w:r w:rsidR="003F6D07" w:rsidRPr="00B70B6F">
              <w:rPr>
                <w:i/>
              </w:rPr>
              <w:t xml:space="preserve"> Pty Ltd (in </w:t>
            </w:r>
            <w:proofErr w:type="spellStart"/>
            <w:r w:rsidR="003F6D07" w:rsidRPr="00B70B6F">
              <w:rPr>
                <w:i/>
              </w:rPr>
              <w:t>liq</w:t>
            </w:r>
            <w:proofErr w:type="spellEnd"/>
            <w:r w:rsidR="003F6D07" w:rsidRPr="00B70B6F">
              <w:rPr>
                <w:i/>
              </w:rPr>
              <w:t xml:space="preserve">) (No 4) </w:t>
            </w:r>
            <w:r w:rsidR="003F6D07">
              <w:t>[2020] FCCA 97</w:t>
            </w:r>
            <w:r>
              <w:fldChar w:fldCharType="end"/>
            </w:r>
          </w:p>
        </w:tc>
      </w:tr>
      <w:tr w:rsidR="00395B24" w14:paraId="49AB5043" w14:textId="77777777" w:rsidTr="00995D1A">
        <w:tc>
          <w:tcPr>
            <w:tcW w:w="3083" w:type="dxa"/>
            <w:shd w:val="clear" w:color="auto" w:fill="auto"/>
          </w:tcPr>
          <w:p w14:paraId="6883ACEE" w14:textId="77777777" w:rsidR="00395B24" w:rsidRDefault="00395B24" w:rsidP="00663878">
            <w:pPr>
              <w:pStyle w:val="Normal1linespace"/>
              <w:widowControl w:val="0"/>
              <w:jc w:val="left"/>
            </w:pPr>
          </w:p>
        </w:tc>
        <w:tc>
          <w:tcPr>
            <w:tcW w:w="5989" w:type="dxa"/>
            <w:shd w:val="clear" w:color="auto" w:fill="auto"/>
          </w:tcPr>
          <w:p w14:paraId="1E8E06E5" w14:textId="77777777" w:rsidR="00395B24" w:rsidRDefault="00395B24" w:rsidP="00663878">
            <w:pPr>
              <w:pStyle w:val="Normal1linespace"/>
              <w:widowControl w:val="0"/>
              <w:jc w:val="left"/>
            </w:pPr>
          </w:p>
        </w:tc>
      </w:tr>
      <w:bookmarkEnd w:id="1"/>
      <w:tr w:rsidR="00395B24" w14:paraId="63CB9108" w14:textId="77777777" w:rsidTr="00995D1A">
        <w:tc>
          <w:tcPr>
            <w:tcW w:w="3083" w:type="dxa"/>
            <w:shd w:val="clear" w:color="auto" w:fill="auto"/>
          </w:tcPr>
          <w:p w14:paraId="4C3308B5" w14:textId="77777777" w:rsidR="00395B24" w:rsidRDefault="00B70B6F" w:rsidP="00663878">
            <w:pPr>
              <w:pStyle w:val="Normal1linespace"/>
              <w:widowControl w:val="0"/>
              <w:jc w:val="left"/>
            </w:pPr>
            <w:r>
              <w:t>File number</w:t>
            </w:r>
            <w:r w:rsidR="002C7385">
              <w:t>:</w:t>
            </w:r>
          </w:p>
        </w:tc>
        <w:tc>
          <w:tcPr>
            <w:tcW w:w="5989" w:type="dxa"/>
            <w:shd w:val="clear" w:color="auto" w:fill="auto"/>
          </w:tcPr>
          <w:p w14:paraId="5CE1F6F2" w14:textId="77777777" w:rsidR="00395B24" w:rsidRPr="003F6D07" w:rsidRDefault="003A7894" w:rsidP="003F6D07">
            <w:pPr>
              <w:pStyle w:val="Normal1linespace"/>
              <w:jc w:val="left"/>
            </w:pPr>
            <w:fldSimple w:instr=" REF  FileNo  \* MERGEFORMAT " w:fldLock="1">
              <w:r w:rsidR="003F6D07" w:rsidRPr="003F6D07">
                <w:t>NSD 155 of 2020</w:t>
              </w:r>
            </w:fldSimple>
          </w:p>
        </w:tc>
      </w:tr>
      <w:tr w:rsidR="00395B24" w14:paraId="769167F4" w14:textId="77777777" w:rsidTr="00995D1A">
        <w:tc>
          <w:tcPr>
            <w:tcW w:w="3083" w:type="dxa"/>
            <w:shd w:val="clear" w:color="auto" w:fill="auto"/>
          </w:tcPr>
          <w:p w14:paraId="1387C80F" w14:textId="77777777" w:rsidR="00395B24" w:rsidRDefault="00395B24" w:rsidP="00663878">
            <w:pPr>
              <w:pStyle w:val="Normal1linespace"/>
              <w:widowControl w:val="0"/>
              <w:jc w:val="left"/>
            </w:pPr>
          </w:p>
        </w:tc>
        <w:tc>
          <w:tcPr>
            <w:tcW w:w="5989" w:type="dxa"/>
            <w:shd w:val="clear" w:color="auto" w:fill="auto"/>
          </w:tcPr>
          <w:p w14:paraId="5B12AD5B" w14:textId="77777777" w:rsidR="00395B24" w:rsidRDefault="00395B24" w:rsidP="00663878">
            <w:pPr>
              <w:pStyle w:val="Normal1linespace"/>
              <w:widowControl w:val="0"/>
              <w:jc w:val="left"/>
            </w:pPr>
          </w:p>
        </w:tc>
      </w:tr>
      <w:tr w:rsidR="00395B24" w14:paraId="618BF9D4" w14:textId="77777777" w:rsidTr="00995D1A">
        <w:tc>
          <w:tcPr>
            <w:tcW w:w="3083" w:type="dxa"/>
            <w:shd w:val="clear" w:color="auto" w:fill="auto"/>
          </w:tcPr>
          <w:p w14:paraId="434DEB0F"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1F3F7C30" w14:textId="77777777" w:rsidR="00395B24" w:rsidRDefault="002C7385" w:rsidP="00663878">
            <w:pPr>
              <w:pStyle w:val="Normal1linespace"/>
              <w:widowControl w:val="0"/>
              <w:jc w:val="left"/>
              <w:rPr>
                <w:b/>
              </w:rPr>
            </w:pPr>
            <w:r w:rsidRPr="003F6D07">
              <w:rPr>
                <w:b/>
              </w:rPr>
              <w:fldChar w:fldCharType="begin" w:fldLock="1"/>
            </w:r>
            <w:r w:rsidRPr="003F6D07">
              <w:rPr>
                <w:b/>
              </w:rPr>
              <w:instrText xml:space="preserve"> REF  Judge  \* MERGEFORMAT </w:instrText>
            </w:r>
            <w:r w:rsidRPr="003F6D07">
              <w:rPr>
                <w:b/>
              </w:rPr>
              <w:fldChar w:fldCharType="separate"/>
            </w:r>
            <w:r w:rsidR="003F6D07" w:rsidRPr="003F6D07">
              <w:rPr>
                <w:b/>
                <w:caps/>
                <w:szCs w:val="24"/>
              </w:rPr>
              <w:t>BROMWICH J</w:t>
            </w:r>
            <w:r w:rsidRPr="003F6D07">
              <w:rPr>
                <w:b/>
              </w:rPr>
              <w:fldChar w:fldCharType="end"/>
            </w:r>
          </w:p>
        </w:tc>
      </w:tr>
      <w:tr w:rsidR="00395B24" w14:paraId="2377084D" w14:textId="77777777" w:rsidTr="00995D1A">
        <w:tc>
          <w:tcPr>
            <w:tcW w:w="3083" w:type="dxa"/>
            <w:shd w:val="clear" w:color="auto" w:fill="auto"/>
          </w:tcPr>
          <w:p w14:paraId="51FC234A" w14:textId="77777777" w:rsidR="00395B24" w:rsidRDefault="00395B24" w:rsidP="00663878">
            <w:pPr>
              <w:pStyle w:val="Normal1linespace"/>
              <w:widowControl w:val="0"/>
              <w:jc w:val="left"/>
            </w:pPr>
          </w:p>
        </w:tc>
        <w:tc>
          <w:tcPr>
            <w:tcW w:w="5989" w:type="dxa"/>
            <w:shd w:val="clear" w:color="auto" w:fill="auto"/>
          </w:tcPr>
          <w:p w14:paraId="50E2AF97" w14:textId="77777777" w:rsidR="00395B24" w:rsidRDefault="00395B24" w:rsidP="00663878">
            <w:pPr>
              <w:pStyle w:val="Normal1linespace"/>
              <w:widowControl w:val="0"/>
              <w:jc w:val="left"/>
            </w:pPr>
          </w:p>
        </w:tc>
      </w:tr>
      <w:tr w:rsidR="00395B24" w14:paraId="3E73017A" w14:textId="77777777" w:rsidTr="00995D1A">
        <w:tc>
          <w:tcPr>
            <w:tcW w:w="3083" w:type="dxa"/>
            <w:shd w:val="clear" w:color="auto" w:fill="auto"/>
          </w:tcPr>
          <w:p w14:paraId="288640A6" w14:textId="77777777" w:rsidR="00395B24" w:rsidRDefault="002C7385" w:rsidP="00663878">
            <w:pPr>
              <w:pStyle w:val="Normal1linespace"/>
              <w:widowControl w:val="0"/>
              <w:jc w:val="left"/>
            </w:pPr>
            <w:r>
              <w:t>Date of judgment:</w:t>
            </w:r>
          </w:p>
        </w:tc>
        <w:tc>
          <w:tcPr>
            <w:tcW w:w="5989" w:type="dxa"/>
            <w:shd w:val="clear" w:color="auto" w:fill="auto"/>
          </w:tcPr>
          <w:p w14:paraId="416AEF81" w14:textId="196C639E" w:rsidR="00395B24" w:rsidRDefault="009B07E8" w:rsidP="002A79D7">
            <w:pPr>
              <w:pStyle w:val="Normal1linespace"/>
              <w:widowControl w:val="0"/>
              <w:jc w:val="left"/>
            </w:pPr>
            <w:bookmarkStart w:id="2" w:name="JudgmentDate"/>
            <w:r w:rsidRPr="000E4317">
              <w:t>5</w:t>
            </w:r>
            <w:r w:rsidR="00DD6BC4" w:rsidRPr="000E4317">
              <w:t xml:space="preserve"> February</w:t>
            </w:r>
            <w:r w:rsidR="003F6D07">
              <w:t xml:space="preserve"> 202</w:t>
            </w:r>
            <w:r w:rsidR="002A79D7">
              <w:t>1</w:t>
            </w:r>
            <w:bookmarkEnd w:id="2"/>
          </w:p>
        </w:tc>
      </w:tr>
      <w:tr w:rsidR="00395B24" w14:paraId="3537F382" w14:textId="77777777" w:rsidTr="00995D1A">
        <w:tc>
          <w:tcPr>
            <w:tcW w:w="3083" w:type="dxa"/>
            <w:shd w:val="clear" w:color="auto" w:fill="auto"/>
          </w:tcPr>
          <w:p w14:paraId="5D0C8873" w14:textId="77777777" w:rsidR="00395B24" w:rsidRDefault="00395B24" w:rsidP="00663878">
            <w:pPr>
              <w:pStyle w:val="Normal1linespace"/>
              <w:widowControl w:val="0"/>
              <w:jc w:val="left"/>
            </w:pPr>
          </w:p>
        </w:tc>
        <w:tc>
          <w:tcPr>
            <w:tcW w:w="5989" w:type="dxa"/>
            <w:shd w:val="clear" w:color="auto" w:fill="auto"/>
          </w:tcPr>
          <w:p w14:paraId="44DB8988" w14:textId="77777777" w:rsidR="00395B24" w:rsidRDefault="00395B24" w:rsidP="00663878">
            <w:pPr>
              <w:pStyle w:val="Normal1linespace"/>
              <w:widowControl w:val="0"/>
              <w:jc w:val="left"/>
            </w:pPr>
          </w:p>
        </w:tc>
      </w:tr>
      <w:tr w:rsidR="00395B24" w14:paraId="17B6325D" w14:textId="77777777" w:rsidTr="00995D1A">
        <w:tc>
          <w:tcPr>
            <w:tcW w:w="3083" w:type="dxa"/>
            <w:shd w:val="clear" w:color="auto" w:fill="auto"/>
          </w:tcPr>
          <w:p w14:paraId="3E85988B" w14:textId="624BD62B" w:rsidR="00395B24" w:rsidRDefault="00DD6BC4" w:rsidP="001F21EE">
            <w:pPr>
              <w:pStyle w:val="Normal1linespace"/>
              <w:widowControl w:val="0"/>
              <w:jc w:val="left"/>
            </w:pPr>
            <w:r>
              <w:t>Catchwords:</w:t>
            </w:r>
          </w:p>
        </w:tc>
        <w:tc>
          <w:tcPr>
            <w:tcW w:w="5989" w:type="dxa"/>
            <w:shd w:val="clear" w:color="auto" w:fill="auto"/>
          </w:tcPr>
          <w:p w14:paraId="2639EFEE" w14:textId="6C3A9EA0" w:rsidR="00395B24" w:rsidRDefault="00562224" w:rsidP="00A401FA">
            <w:pPr>
              <w:pStyle w:val="Normal1linespace"/>
              <w:widowControl w:val="0"/>
              <w:jc w:val="left"/>
            </w:pPr>
            <w:bookmarkStart w:id="3" w:name="Catchwords"/>
            <w:r>
              <w:rPr>
                <w:b/>
              </w:rPr>
              <w:t xml:space="preserve">INDUSTRIAL LAW </w:t>
            </w:r>
            <w:r w:rsidRPr="00562224">
              <w:t xml:space="preserve">– </w:t>
            </w:r>
            <w:r w:rsidR="00DD33F6">
              <w:t xml:space="preserve">notice of appeal from the Federal Circuit Court of Australia – </w:t>
            </w:r>
            <w:r w:rsidR="00D37DA8">
              <w:t xml:space="preserve">primary judge </w:t>
            </w:r>
            <w:r w:rsidR="001F21EE">
              <w:t xml:space="preserve">did not </w:t>
            </w:r>
            <w:r w:rsidR="00D37DA8">
              <w:t>err in determining the objective seriousness of the contraventions – primary judge</w:t>
            </w:r>
            <w:r w:rsidR="001F21EE">
              <w:t xml:space="preserve"> did not</w:t>
            </w:r>
            <w:r w:rsidR="00D37DA8">
              <w:t xml:space="preserve"> fail to take i</w:t>
            </w:r>
            <w:r w:rsidR="00C73478">
              <w:t xml:space="preserve">nto account, and </w:t>
            </w:r>
            <w:r w:rsidR="001F21EE">
              <w:t xml:space="preserve">did not </w:t>
            </w:r>
            <w:r w:rsidR="00C73478">
              <w:t>miscategorise</w:t>
            </w:r>
            <w:r w:rsidR="00D37DA8">
              <w:t>, the subjective features of the appellants</w:t>
            </w:r>
            <w:r w:rsidR="00174BAD">
              <w:t xml:space="preserve"> – primary judge </w:t>
            </w:r>
            <w:r w:rsidR="001F21EE">
              <w:t xml:space="preserve">did not </w:t>
            </w:r>
            <w:r w:rsidR="00174BAD">
              <w:t xml:space="preserve">err in application of the principles of totality in respect of the penalties imposed – primary judge </w:t>
            </w:r>
            <w:r w:rsidR="00D435BD">
              <w:t xml:space="preserve">did not </w:t>
            </w:r>
            <w:r w:rsidR="00174BAD">
              <w:t xml:space="preserve">err in application of principles of common law course of conduct </w:t>
            </w:r>
            <w:r w:rsidR="00D97FF9">
              <w:t>– appeal dismissed</w:t>
            </w:r>
            <w:r w:rsidR="00DD33F6">
              <w:t xml:space="preserve">  </w:t>
            </w:r>
            <w:bookmarkEnd w:id="3"/>
          </w:p>
        </w:tc>
      </w:tr>
      <w:tr w:rsidR="00395B24" w14:paraId="7771A423" w14:textId="77777777" w:rsidTr="00995D1A">
        <w:tc>
          <w:tcPr>
            <w:tcW w:w="3083" w:type="dxa"/>
            <w:shd w:val="clear" w:color="auto" w:fill="auto"/>
          </w:tcPr>
          <w:p w14:paraId="43B6D667" w14:textId="77777777" w:rsidR="00395B24" w:rsidRDefault="00395B24" w:rsidP="00663878">
            <w:pPr>
              <w:pStyle w:val="Normal1linespace"/>
              <w:widowControl w:val="0"/>
              <w:jc w:val="left"/>
            </w:pPr>
          </w:p>
        </w:tc>
        <w:tc>
          <w:tcPr>
            <w:tcW w:w="5989" w:type="dxa"/>
            <w:shd w:val="clear" w:color="auto" w:fill="auto"/>
          </w:tcPr>
          <w:p w14:paraId="584C053C" w14:textId="77777777" w:rsidR="00395B24" w:rsidRDefault="00395B24" w:rsidP="00663878">
            <w:pPr>
              <w:pStyle w:val="Normal1linespace"/>
              <w:widowControl w:val="0"/>
              <w:jc w:val="left"/>
            </w:pPr>
          </w:p>
        </w:tc>
      </w:tr>
      <w:tr w:rsidR="00395B24" w14:paraId="53A0D25C" w14:textId="77777777" w:rsidTr="00995D1A">
        <w:tc>
          <w:tcPr>
            <w:tcW w:w="3083" w:type="dxa"/>
            <w:shd w:val="clear" w:color="auto" w:fill="auto"/>
          </w:tcPr>
          <w:p w14:paraId="5DB2CEA5" w14:textId="77777777" w:rsidR="00395B24" w:rsidRDefault="002C7385" w:rsidP="00663878">
            <w:pPr>
              <w:pStyle w:val="Normal1linespace"/>
              <w:widowControl w:val="0"/>
              <w:jc w:val="left"/>
            </w:pPr>
            <w:r>
              <w:t>Legislation:</w:t>
            </w:r>
          </w:p>
        </w:tc>
        <w:tc>
          <w:tcPr>
            <w:tcW w:w="5989" w:type="dxa"/>
            <w:shd w:val="clear" w:color="auto" w:fill="auto"/>
          </w:tcPr>
          <w:p w14:paraId="605F86B0" w14:textId="5A549B66" w:rsidR="00001346" w:rsidRDefault="00001346" w:rsidP="00D82620">
            <w:pPr>
              <w:pStyle w:val="CasesLegislationAppealFrom"/>
              <w:spacing w:after="60"/>
            </w:pPr>
            <w:bookmarkStart w:id="4" w:name="Legislation"/>
            <w:r>
              <w:rPr>
                <w:i/>
              </w:rPr>
              <w:t>Fair Work Act 2009</w:t>
            </w:r>
            <w:r>
              <w:t xml:space="preserve"> (</w:t>
            </w:r>
            <w:proofErr w:type="spellStart"/>
            <w:r>
              <w:t>Cth</w:t>
            </w:r>
            <w:proofErr w:type="spellEnd"/>
            <w:r>
              <w:t xml:space="preserve">) </w:t>
            </w:r>
            <w:proofErr w:type="spellStart"/>
            <w:r>
              <w:t>ss</w:t>
            </w:r>
            <w:proofErr w:type="spellEnd"/>
            <w:r>
              <w:t xml:space="preserve"> 44, 45, 90(2), 99, 117(1), 325, 535(1), 536(1)</w:t>
            </w:r>
            <w:r w:rsidR="00CD31DF">
              <w:t>, 550</w:t>
            </w:r>
          </w:p>
          <w:p w14:paraId="4D9FC47D" w14:textId="3D678D98" w:rsidR="00001346" w:rsidRDefault="00001346" w:rsidP="00D82620">
            <w:pPr>
              <w:pStyle w:val="CasesLegislationAppealFrom"/>
              <w:spacing w:after="60"/>
            </w:pPr>
            <w:r w:rsidRPr="000C0E43">
              <w:rPr>
                <w:i/>
                <w:iCs/>
              </w:rPr>
              <w:t>Fair Work</w:t>
            </w:r>
            <w:r>
              <w:t xml:space="preserve"> </w:t>
            </w:r>
            <w:r w:rsidRPr="000C0E43">
              <w:rPr>
                <w:i/>
                <w:iCs/>
              </w:rPr>
              <w:t xml:space="preserve">Regulations 2009 </w:t>
            </w:r>
            <w:r>
              <w:t>(</w:t>
            </w:r>
            <w:proofErr w:type="spellStart"/>
            <w:r>
              <w:t>Cth</w:t>
            </w:r>
            <w:proofErr w:type="spellEnd"/>
            <w:r>
              <w:t xml:space="preserve">) </w:t>
            </w:r>
            <w:proofErr w:type="spellStart"/>
            <w:r>
              <w:t>regs</w:t>
            </w:r>
            <w:proofErr w:type="spellEnd"/>
            <w:r>
              <w:t xml:space="preserve"> 3.36(1), 3.40</w:t>
            </w:r>
          </w:p>
          <w:p w14:paraId="2FAE7A91" w14:textId="2D19C173" w:rsidR="00395B24" w:rsidRDefault="00001346" w:rsidP="00D82620">
            <w:pPr>
              <w:pStyle w:val="CasesLegislationAppealFrom"/>
              <w:spacing w:after="60"/>
            </w:pPr>
            <w:r w:rsidRPr="002742BB">
              <w:rPr>
                <w:i/>
              </w:rPr>
              <w:t>Vehicle Manufacturing, Repair, Services and Retail Award 2010</w:t>
            </w:r>
            <w:r w:rsidR="00CD31DF">
              <w:t xml:space="preserve"> </w:t>
            </w:r>
            <w:proofErr w:type="spellStart"/>
            <w:r w:rsidR="00CD31DF">
              <w:t>cls</w:t>
            </w:r>
            <w:proofErr w:type="spellEnd"/>
            <w:r w:rsidR="00CD31DF">
              <w:t xml:space="preserve"> 33.4, 42.2, 43.3(a), 43.</w:t>
            </w:r>
            <w:r>
              <w:t>4(a)</w:t>
            </w:r>
            <w:r w:rsidR="00715751">
              <w:t xml:space="preserve"> </w:t>
            </w:r>
            <w:r w:rsidR="002C7385">
              <w:t xml:space="preserve"> </w:t>
            </w:r>
            <w:bookmarkEnd w:id="4"/>
          </w:p>
        </w:tc>
      </w:tr>
      <w:tr w:rsidR="00395B24" w14:paraId="640495A2" w14:textId="77777777" w:rsidTr="00995D1A">
        <w:tc>
          <w:tcPr>
            <w:tcW w:w="3083" w:type="dxa"/>
            <w:shd w:val="clear" w:color="auto" w:fill="auto"/>
          </w:tcPr>
          <w:p w14:paraId="5BB2EA6A" w14:textId="77777777" w:rsidR="00395B24" w:rsidRDefault="00395B24" w:rsidP="00663878">
            <w:pPr>
              <w:pStyle w:val="Normal1linespace"/>
              <w:widowControl w:val="0"/>
              <w:jc w:val="left"/>
            </w:pPr>
          </w:p>
        </w:tc>
        <w:tc>
          <w:tcPr>
            <w:tcW w:w="5989" w:type="dxa"/>
            <w:shd w:val="clear" w:color="auto" w:fill="auto"/>
          </w:tcPr>
          <w:p w14:paraId="79D7B9EC" w14:textId="77777777" w:rsidR="00395B24" w:rsidRDefault="00395B24" w:rsidP="00663878">
            <w:pPr>
              <w:pStyle w:val="Normal1linespace"/>
              <w:widowControl w:val="0"/>
              <w:jc w:val="left"/>
            </w:pPr>
          </w:p>
        </w:tc>
      </w:tr>
      <w:tr w:rsidR="00395B24" w14:paraId="1DE14B7B" w14:textId="77777777" w:rsidTr="00995D1A">
        <w:tc>
          <w:tcPr>
            <w:tcW w:w="3083" w:type="dxa"/>
            <w:shd w:val="clear" w:color="auto" w:fill="auto"/>
          </w:tcPr>
          <w:p w14:paraId="1EED4E48" w14:textId="77777777" w:rsidR="00395B24" w:rsidRDefault="002C7385" w:rsidP="00663878">
            <w:pPr>
              <w:pStyle w:val="Normal1linespace"/>
              <w:widowControl w:val="0"/>
              <w:jc w:val="left"/>
            </w:pPr>
            <w:r>
              <w:t>Cases cited:</w:t>
            </w:r>
          </w:p>
        </w:tc>
        <w:tc>
          <w:tcPr>
            <w:tcW w:w="5989" w:type="dxa"/>
            <w:shd w:val="clear" w:color="auto" w:fill="auto"/>
          </w:tcPr>
          <w:p w14:paraId="740ABA94" w14:textId="5602076C" w:rsidR="00FB1355" w:rsidRPr="00001346" w:rsidRDefault="00FB1355" w:rsidP="00D82620">
            <w:pPr>
              <w:pStyle w:val="CasesLegislationAppealFrom"/>
              <w:spacing w:after="60"/>
              <w:rPr>
                <w:szCs w:val="24"/>
                <w:lang w:eastAsia="en-AU"/>
              </w:rPr>
            </w:pPr>
            <w:bookmarkStart w:id="5" w:name="Cases_Cited"/>
            <w:r w:rsidRPr="00001346">
              <w:rPr>
                <w:bCs/>
                <w:i/>
                <w:szCs w:val="24"/>
                <w:lang w:eastAsia="en-AU"/>
              </w:rPr>
              <w:t xml:space="preserve">Aldi Foods Pty Ltd v </w:t>
            </w:r>
            <w:proofErr w:type="spellStart"/>
            <w:r w:rsidRPr="00001346">
              <w:rPr>
                <w:bCs/>
                <w:i/>
                <w:szCs w:val="24"/>
                <w:lang w:eastAsia="en-AU"/>
              </w:rPr>
              <w:t>Moroccanoil</w:t>
            </w:r>
            <w:proofErr w:type="spellEnd"/>
            <w:r w:rsidRPr="00001346">
              <w:rPr>
                <w:bCs/>
                <w:i/>
                <w:szCs w:val="24"/>
                <w:lang w:eastAsia="en-AU"/>
              </w:rPr>
              <w:t xml:space="preserve"> Israel Ltd</w:t>
            </w:r>
            <w:r w:rsidRPr="00001346">
              <w:rPr>
                <w:bCs/>
                <w:szCs w:val="24"/>
                <w:lang w:eastAsia="en-AU"/>
              </w:rPr>
              <w:t xml:space="preserve"> </w:t>
            </w:r>
            <w:r w:rsidRPr="00001346">
              <w:rPr>
                <w:szCs w:val="24"/>
                <w:lang w:eastAsia="en-AU"/>
              </w:rPr>
              <w:t>[2018] FCAFC 93; 261 FCR 301</w:t>
            </w:r>
          </w:p>
          <w:p w14:paraId="26E3A828" w14:textId="5FF56A52" w:rsidR="00FB1355" w:rsidRPr="00001346" w:rsidRDefault="00FB1355" w:rsidP="00D82620">
            <w:pPr>
              <w:pStyle w:val="CasesLegislationAppealFrom"/>
              <w:spacing w:after="60"/>
              <w:rPr>
                <w:color w:val="373739"/>
                <w:szCs w:val="24"/>
                <w:shd w:val="clear" w:color="auto" w:fill="FFFFFF"/>
              </w:rPr>
            </w:pPr>
            <w:proofErr w:type="spellStart"/>
            <w:r w:rsidRPr="00001346">
              <w:rPr>
                <w:i/>
                <w:szCs w:val="24"/>
              </w:rPr>
              <w:t>Auimatagi</w:t>
            </w:r>
            <w:proofErr w:type="spellEnd"/>
            <w:r w:rsidRPr="00001346">
              <w:rPr>
                <w:i/>
                <w:szCs w:val="24"/>
              </w:rPr>
              <w:t xml:space="preserve"> v Australian Building and Construction Commissioner</w:t>
            </w:r>
            <w:r w:rsidRPr="00001346">
              <w:rPr>
                <w:szCs w:val="24"/>
              </w:rPr>
              <w:t xml:space="preserve"> </w:t>
            </w:r>
            <w:r w:rsidRPr="00001346">
              <w:rPr>
                <w:szCs w:val="24"/>
                <w:lang w:eastAsia="en-AU"/>
              </w:rPr>
              <w:t>[2018] FCAFC 191;</w:t>
            </w:r>
            <w:r w:rsidRPr="00001346">
              <w:rPr>
                <w:szCs w:val="24"/>
              </w:rPr>
              <w:t xml:space="preserve"> </w:t>
            </w:r>
            <w:r w:rsidRPr="00001346">
              <w:rPr>
                <w:color w:val="373739"/>
                <w:szCs w:val="24"/>
                <w:shd w:val="clear" w:color="auto" w:fill="FFFFFF"/>
              </w:rPr>
              <w:t>267 FCR 268</w:t>
            </w:r>
          </w:p>
          <w:p w14:paraId="64FCACD2" w14:textId="2AB4DBDF" w:rsidR="00001346" w:rsidRPr="00001346" w:rsidRDefault="00001346" w:rsidP="00D82620">
            <w:pPr>
              <w:pStyle w:val="CasesLegislationAppealFrom"/>
              <w:spacing w:after="60"/>
              <w:rPr>
                <w:szCs w:val="24"/>
                <w:lang w:eastAsia="en-AU"/>
              </w:rPr>
            </w:pPr>
            <w:r w:rsidRPr="00001346">
              <w:rPr>
                <w:i/>
              </w:rPr>
              <w:t>Australian Building and Construction Commissioner v Construction, Forestry, Mining and Energy Union</w:t>
            </w:r>
            <w:r w:rsidRPr="00001346">
              <w:t xml:space="preserve"> [2017] FCAFC 113; 254 FCR 68</w:t>
            </w:r>
          </w:p>
          <w:p w14:paraId="67416A33" w14:textId="4B016595" w:rsidR="00FB1355" w:rsidRPr="00001346" w:rsidRDefault="00FB1355" w:rsidP="00D82620">
            <w:pPr>
              <w:pStyle w:val="CasesLegislationAppealFrom"/>
              <w:spacing w:after="60"/>
              <w:rPr>
                <w:szCs w:val="24"/>
                <w:lang w:eastAsia="en-AU"/>
              </w:rPr>
            </w:pPr>
            <w:r w:rsidRPr="00001346">
              <w:rPr>
                <w:i/>
                <w:szCs w:val="24"/>
                <w:lang w:eastAsia="en-AU"/>
              </w:rPr>
              <w:t>Australian Competition and Consumer Commission v Reckitt Benckiser (Australia) Pty Ltd</w:t>
            </w:r>
            <w:r w:rsidRPr="00001346">
              <w:rPr>
                <w:szCs w:val="24"/>
                <w:lang w:eastAsia="en-AU"/>
              </w:rPr>
              <w:t xml:space="preserve"> [2016] FCAFC 181; 340 ALR 25</w:t>
            </w:r>
          </w:p>
          <w:p w14:paraId="27D4E1BA" w14:textId="678C91B6" w:rsidR="00FB1355" w:rsidRPr="00001346" w:rsidRDefault="00FB1355" w:rsidP="00D82620">
            <w:pPr>
              <w:pStyle w:val="CasesLegislationAppealFrom"/>
              <w:spacing w:after="60"/>
            </w:pPr>
            <w:proofErr w:type="spellStart"/>
            <w:r w:rsidRPr="00001346">
              <w:rPr>
                <w:i/>
              </w:rPr>
              <w:t>Branir</w:t>
            </w:r>
            <w:proofErr w:type="spellEnd"/>
            <w:r w:rsidRPr="00001346">
              <w:rPr>
                <w:i/>
              </w:rPr>
              <w:t xml:space="preserve"> Pty Ltd v </w:t>
            </w:r>
            <w:proofErr w:type="spellStart"/>
            <w:r w:rsidRPr="00001346">
              <w:rPr>
                <w:i/>
              </w:rPr>
              <w:t>Owston</w:t>
            </w:r>
            <w:proofErr w:type="spellEnd"/>
            <w:r w:rsidRPr="00001346">
              <w:rPr>
                <w:i/>
              </w:rPr>
              <w:t xml:space="preserve"> Nominees (No 2) Pty Ltd </w:t>
            </w:r>
            <w:r w:rsidRPr="00001346">
              <w:t>[2001] FCA 1833; 117 FCR 424</w:t>
            </w:r>
          </w:p>
          <w:p w14:paraId="16BEF0B3" w14:textId="13714F8D" w:rsidR="00FB1355" w:rsidRPr="00001346" w:rsidRDefault="00FB1355" w:rsidP="00D82620">
            <w:pPr>
              <w:pStyle w:val="CasesLegislationAppealFrom"/>
              <w:spacing w:after="60"/>
              <w:rPr>
                <w:szCs w:val="24"/>
                <w:lang w:eastAsia="en-AU"/>
              </w:rPr>
            </w:pPr>
            <w:r w:rsidRPr="00001346">
              <w:rPr>
                <w:i/>
                <w:szCs w:val="24"/>
                <w:lang w:eastAsia="en-AU"/>
              </w:rPr>
              <w:t>Construction, Forestry, Maritime, Mining and Energy Union v Australian Building and Construction Commissioner (The Broadway on Ann Case)</w:t>
            </w:r>
            <w:r w:rsidRPr="00001346">
              <w:rPr>
                <w:szCs w:val="24"/>
                <w:lang w:eastAsia="en-AU"/>
              </w:rPr>
              <w:t xml:space="preserve"> [2018] FCAFC 126; 265 FCR 208</w:t>
            </w:r>
          </w:p>
          <w:p w14:paraId="7D058898" w14:textId="58562E25" w:rsidR="00001346" w:rsidRPr="00001346" w:rsidRDefault="00001346" w:rsidP="00D82620">
            <w:pPr>
              <w:pStyle w:val="CasesLegislationAppealFrom"/>
              <w:spacing w:after="60"/>
              <w:rPr>
                <w:i/>
              </w:rPr>
            </w:pPr>
            <w:r w:rsidRPr="00001346">
              <w:rPr>
                <w:i/>
                <w:iCs/>
                <w:szCs w:val="24"/>
                <w:lang w:eastAsia="en-AU"/>
              </w:rPr>
              <w:t xml:space="preserve">Construction, Forestry, Maritime, Mining and Energy Union v Australian Building and Construction </w:t>
            </w:r>
            <w:r w:rsidRPr="00001346">
              <w:rPr>
                <w:i/>
                <w:iCs/>
                <w:szCs w:val="24"/>
                <w:lang w:eastAsia="en-AU"/>
              </w:rPr>
              <w:lastRenderedPageBreak/>
              <w:t xml:space="preserve">Commissioner (The Non-Indemnification Personal Payment Case) </w:t>
            </w:r>
            <w:r w:rsidRPr="00001346">
              <w:rPr>
                <w:szCs w:val="24"/>
                <w:lang w:eastAsia="en-AU"/>
              </w:rPr>
              <w:t>[2018] FCAFC 97;</w:t>
            </w:r>
            <w:r w:rsidRPr="00001346">
              <w:rPr>
                <w:color w:val="000000" w:themeColor="text1"/>
                <w:szCs w:val="24"/>
                <w:lang w:eastAsia="en-AU"/>
              </w:rPr>
              <w:t xml:space="preserve"> </w:t>
            </w:r>
            <w:r w:rsidRPr="00001346">
              <w:rPr>
                <w:color w:val="000000" w:themeColor="text1"/>
                <w:szCs w:val="24"/>
                <w:bdr w:val="none" w:sz="0" w:space="0" w:color="auto" w:frame="1"/>
                <w:shd w:val="clear" w:color="auto" w:fill="FFFFFF"/>
              </w:rPr>
              <w:t>264 FCR 155</w:t>
            </w:r>
          </w:p>
          <w:p w14:paraId="12440E3B" w14:textId="5AC5DF0C" w:rsidR="00FB1355" w:rsidRPr="00001346" w:rsidRDefault="00FB1355" w:rsidP="00D82620">
            <w:pPr>
              <w:pStyle w:val="CasesLegislationAppealFrom"/>
              <w:spacing w:after="60"/>
              <w:rPr>
                <w:i/>
              </w:rPr>
            </w:pPr>
            <w:r w:rsidRPr="00001346">
              <w:rPr>
                <w:i/>
              </w:rPr>
              <w:t xml:space="preserve">Fair Work Ombudsman v </w:t>
            </w:r>
            <w:proofErr w:type="spellStart"/>
            <w:r w:rsidRPr="00001346">
              <w:rPr>
                <w:i/>
              </w:rPr>
              <w:t>Sinpek</w:t>
            </w:r>
            <w:proofErr w:type="spellEnd"/>
            <w:r w:rsidRPr="00001346">
              <w:rPr>
                <w:i/>
              </w:rPr>
              <w:t xml:space="preserve"> Pty Ltd (In </w:t>
            </w:r>
            <w:proofErr w:type="spellStart"/>
            <w:r w:rsidRPr="00001346">
              <w:rPr>
                <w:i/>
              </w:rPr>
              <w:t>Liq</w:t>
            </w:r>
            <w:proofErr w:type="spellEnd"/>
            <w:r w:rsidRPr="00001346">
              <w:rPr>
                <w:i/>
              </w:rPr>
              <w:t>) (No 4)</w:t>
            </w:r>
            <w:r w:rsidRPr="00001346">
              <w:t xml:space="preserve"> [2020] FCCA 97</w:t>
            </w:r>
          </w:p>
          <w:p w14:paraId="45EA0F20" w14:textId="77777777" w:rsidR="00FB1355" w:rsidRPr="00001346" w:rsidRDefault="00FB1355" w:rsidP="00D82620">
            <w:pPr>
              <w:pStyle w:val="CasesLegislationAppealFrom"/>
              <w:spacing w:after="60"/>
            </w:pPr>
            <w:r w:rsidRPr="00001346">
              <w:rPr>
                <w:i/>
              </w:rPr>
              <w:t xml:space="preserve">Fair Work Ombudsman v </w:t>
            </w:r>
            <w:proofErr w:type="spellStart"/>
            <w:r w:rsidRPr="00001346">
              <w:rPr>
                <w:i/>
              </w:rPr>
              <w:t>Sinpek</w:t>
            </w:r>
            <w:proofErr w:type="spellEnd"/>
            <w:r w:rsidRPr="00001346">
              <w:rPr>
                <w:i/>
              </w:rPr>
              <w:t xml:space="preserve"> Pty Ltd (In </w:t>
            </w:r>
            <w:proofErr w:type="spellStart"/>
            <w:r w:rsidRPr="00001346">
              <w:rPr>
                <w:i/>
              </w:rPr>
              <w:t>Liq</w:t>
            </w:r>
            <w:proofErr w:type="spellEnd"/>
            <w:r w:rsidRPr="00001346">
              <w:rPr>
                <w:i/>
              </w:rPr>
              <w:t>) (No 3)</w:t>
            </w:r>
            <w:r w:rsidRPr="00001346">
              <w:t xml:space="preserve"> [2020] FCCA 88</w:t>
            </w:r>
          </w:p>
          <w:p w14:paraId="78747D66" w14:textId="4AE08077" w:rsidR="00FB1355" w:rsidRPr="00001346" w:rsidRDefault="00FB1355" w:rsidP="00D82620">
            <w:pPr>
              <w:pStyle w:val="CasesLegislationAppealFrom"/>
              <w:spacing w:after="60"/>
            </w:pPr>
            <w:r w:rsidRPr="00001346">
              <w:rPr>
                <w:i/>
              </w:rPr>
              <w:t>House v The King</w:t>
            </w:r>
            <w:r w:rsidRPr="00001346">
              <w:t xml:space="preserve"> (1936) 55 CLR 499</w:t>
            </w:r>
          </w:p>
          <w:p w14:paraId="21AD3750" w14:textId="0D2FC8FD" w:rsidR="00001346" w:rsidRPr="00001346" w:rsidRDefault="00001346" w:rsidP="00D82620">
            <w:pPr>
              <w:pStyle w:val="CasesLegislationAppealFrom"/>
              <w:spacing w:after="60"/>
            </w:pPr>
            <w:r w:rsidRPr="00001346">
              <w:rPr>
                <w:i/>
                <w:szCs w:val="24"/>
              </w:rPr>
              <w:t>Parker v Australian Building and Construction Commissioner</w:t>
            </w:r>
            <w:r w:rsidRPr="00001346">
              <w:rPr>
                <w:szCs w:val="24"/>
              </w:rPr>
              <w:t xml:space="preserve"> </w:t>
            </w:r>
            <w:r w:rsidRPr="00001346">
              <w:rPr>
                <w:szCs w:val="24"/>
                <w:lang w:eastAsia="en-AU"/>
              </w:rPr>
              <w:t xml:space="preserve">[2019] FCAFC 56; </w:t>
            </w:r>
            <w:r w:rsidRPr="00001346">
              <w:rPr>
                <w:color w:val="373739"/>
                <w:szCs w:val="24"/>
                <w:shd w:val="clear" w:color="auto" w:fill="FFFFFF"/>
              </w:rPr>
              <w:t>270 FCR 39</w:t>
            </w:r>
          </w:p>
          <w:p w14:paraId="0655ACE1" w14:textId="77777777" w:rsidR="00001346" w:rsidRPr="00001346" w:rsidRDefault="00FB1355" w:rsidP="00D82620">
            <w:pPr>
              <w:pStyle w:val="CasesLegislationAppealFrom"/>
              <w:spacing w:after="60"/>
              <w:rPr>
                <w:szCs w:val="24"/>
                <w:lang w:eastAsia="en-AU"/>
              </w:rPr>
            </w:pPr>
            <w:r w:rsidRPr="00001346">
              <w:rPr>
                <w:i/>
                <w:szCs w:val="24"/>
                <w:lang w:eastAsia="en-AU"/>
              </w:rPr>
              <w:t>Pattinson v Australian Building and Construction Commissioner</w:t>
            </w:r>
            <w:r w:rsidRPr="00001346">
              <w:rPr>
                <w:szCs w:val="24"/>
                <w:lang w:eastAsia="en-AU"/>
              </w:rPr>
              <w:t xml:space="preserve"> [2020] FCAFC 177; 384 ALR 75; 299 IR 404</w:t>
            </w:r>
          </w:p>
          <w:p w14:paraId="10E0DF40" w14:textId="1FD5E87D" w:rsidR="00395B24" w:rsidRPr="00001346" w:rsidRDefault="00001346" w:rsidP="00D82620">
            <w:pPr>
              <w:pStyle w:val="CasesLegislationAppealFrom"/>
              <w:spacing w:after="60"/>
            </w:pPr>
            <w:r w:rsidRPr="00001346">
              <w:rPr>
                <w:i/>
              </w:rPr>
              <w:t>Rocky Holdings Pty Ltd v Fair Work Ombudsman</w:t>
            </w:r>
            <w:r w:rsidRPr="00001346">
              <w:t xml:space="preserve"> [2014] FCAFC 62; 221 FCR 153</w:t>
            </w:r>
            <w:r w:rsidR="002C7385" w:rsidRPr="00001346">
              <w:t xml:space="preserve"> </w:t>
            </w:r>
            <w:bookmarkEnd w:id="5"/>
          </w:p>
        </w:tc>
      </w:tr>
      <w:tr w:rsidR="003F6D07" w14:paraId="55A9AA26" w14:textId="77777777" w:rsidTr="00995D1A">
        <w:tc>
          <w:tcPr>
            <w:tcW w:w="3083" w:type="dxa"/>
            <w:shd w:val="clear" w:color="auto" w:fill="auto"/>
          </w:tcPr>
          <w:p w14:paraId="67196E1F" w14:textId="77777777" w:rsidR="003F6D07" w:rsidRDefault="003F6D07" w:rsidP="00BD5E85">
            <w:pPr>
              <w:pStyle w:val="Normal1linespace"/>
              <w:widowControl w:val="0"/>
            </w:pPr>
          </w:p>
        </w:tc>
        <w:tc>
          <w:tcPr>
            <w:tcW w:w="5989" w:type="dxa"/>
            <w:shd w:val="clear" w:color="auto" w:fill="auto"/>
          </w:tcPr>
          <w:p w14:paraId="55A27D31" w14:textId="77777777" w:rsidR="003F6D07" w:rsidRDefault="003F6D07" w:rsidP="00BD5E85">
            <w:pPr>
              <w:pStyle w:val="Normal1linespace"/>
              <w:widowControl w:val="0"/>
              <w:jc w:val="left"/>
            </w:pPr>
          </w:p>
        </w:tc>
      </w:tr>
      <w:tr w:rsidR="003F6D07" w14:paraId="532E3AC6" w14:textId="77777777" w:rsidTr="00995D1A">
        <w:tc>
          <w:tcPr>
            <w:tcW w:w="3083" w:type="dxa"/>
            <w:shd w:val="clear" w:color="auto" w:fill="auto"/>
          </w:tcPr>
          <w:p w14:paraId="68F15C7A" w14:textId="77777777" w:rsidR="003F6D07" w:rsidRDefault="003F6D07" w:rsidP="00501A12">
            <w:pPr>
              <w:pStyle w:val="Normal1linespace"/>
              <w:widowControl w:val="0"/>
            </w:pPr>
            <w:r>
              <w:t>Division:</w:t>
            </w:r>
          </w:p>
        </w:tc>
        <w:tc>
          <w:tcPr>
            <w:tcW w:w="5989" w:type="dxa"/>
            <w:shd w:val="clear" w:color="auto" w:fill="auto"/>
          </w:tcPr>
          <w:p w14:paraId="0E75AB03" w14:textId="1A7F9163" w:rsidR="003F6D07" w:rsidRPr="00F17599" w:rsidRDefault="003A7894" w:rsidP="00E5193A">
            <w:pPr>
              <w:pStyle w:val="Normal1linespace"/>
              <w:widowControl w:val="0"/>
              <w:jc w:val="left"/>
            </w:pPr>
            <w:fldSimple w:instr=" DOCPROPERTY  Division " w:fldLock="1">
              <w:r w:rsidR="00E5193A">
                <w:t>Fair Work</w:t>
              </w:r>
              <w:r w:rsidR="003F6D07">
                <w:t xml:space="preserve"> Division</w:t>
              </w:r>
            </w:fldSimple>
          </w:p>
        </w:tc>
      </w:tr>
      <w:tr w:rsidR="003F6D07" w14:paraId="6403C23B" w14:textId="77777777" w:rsidTr="00995D1A">
        <w:tc>
          <w:tcPr>
            <w:tcW w:w="3083" w:type="dxa"/>
            <w:shd w:val="clear" w:color="auto" w:fill="auto"/>
          </w:tcPr>
          <w:p w14:paraId="2F91AFF9" w14:textId="77777777" w:rsidR="003F6D07" w:rsidRDefault="003F6D07" w:rsidP="00501A12">
            <w:pPr>
              <w:pStyle w:val="Normal1linespace"/>
              <w:widowControl w:val="0"/>
            </w:pPr>
            <w:bookmarkStart w:id="6" w:name="Registry_rows" w:colFirst="0" w:colLast="1"/>
          </w:p>
        </w:tc>
        <w:tc>
          <w:tcPr>
            <w:tcW w:w="5989" w:type="dxa"/>
            <w:shd w:val="clear" w:color="auto" w:fill="auto"/>
          </w:tcPr>
          <w:p w14:paraId="0318A878" w14:textId="77777777" w:rsidR="003F6D07" w:rsidRDefault="003F6D07" w:rsidP="00501A12">
            <w:pPr>
              <w:pStyle w:val="Normal1linespace"/>
              <w:widowControl w:val="0"/>
              <w:jc w:val="left"/>
            </w:pPr>
          </w:p>
        </w:tc>
      </w:tr>
      <w:tr w:rsidR="003F6D07" w14:paraId="5BF90589" w14:textId="77777777" w:rsidTr="00995D1A">
        <w:tc>
          <w:tcPr>
            <w:tcW w:w="3083" w:type="dxa"/>
            <w:shd w:val="clear" w:color="auto" w:fill="auto"/>
          </w:tcPr>
          <w:p w14:paraId="7F3F4BF1" w14:textId="77777777" w:rsidR="003F6D07" w:rsidRDefault="003F6D07" w:rsidP="00501A12">
            <w:pPr>
              <w:pStyle w:val="Normal1linespace"/>
              <w:widowControl w:val="0"/>
            </w:pPr>
            <w:r>
              <w:t>Registry:</w:t>
            </w:r>
          </w:p>
        </w:tc>
        <w:tc>
          <w:tcPr>
            <w:tcW w:w="5989" w:type="dxa"/>
            <w:shd w:val="clear" w:color="auto" w:fill="auto"/>
          </w:tcPr>
          <w:p w14:paraId="3A514CB8" w14:textId="77777777" w:rsidR="003F6D07" w:rsidRPr="00F17599" w:rsidRDefault="003A7894" w:rsidP="00501A12">
            <w:pPr>
              <w:pStyle w:val="Normal1linespace"/>
              <w:widowControl w:val="0"/>
              <w:jc w:val="left"/>
            </w:pPr>
            <w:fldSimple w:instr=" DOCPROPERTY  Registry " w:fldLock="1">
              <w:r w:rsidR="003F6D07">
                <w:t>New South Wales</w:t>
              </w:r>
            </w:fldSimple>
          </w:p>
        </w:tc>
      </w:tr>
      <w:tr w:rsidR="003F6D07" w14:paraId="028AF695" w14:textId="77777777" w:rsidTr="00995D1A">
        <w:tc>
          <w:tcPr>
            <w:tcW w:w="3083" w:type="dxa"/>
            <w:shd w:val="clear" w:color="auto" w:fill="auto"/>
          </w:tcPr>
          <w:p w14:paraId="7B5638AD" w14:textId="77777777" w:rsidR="003F6D07" w:rsidRDefault="003F6D07" w:rsidP="00501A12">
            <w:pPr>
              <w:pStyle w:val="Normal1linespace"/>
              <w:widowControl w:val="0"/>
            </w:pPr>
            <w:bookmarkStart w:id="7" w:name="NPARow" w:colFirst="0" w:colLast="1"/>
            <w:bookmarkEnd w:id="6"/>
          </w:p>
        </w:tc>
        <w:tc>
          <w:tcPr>
            <w:tcW w:w="5989" w:type="dxa"/>
            <w:shd w:val="clear" w:color="auto" w:fill="auto"/>
          </w:tcPr>
          <w:p w14:paraId="35C931DF" w14:textId="77777777" w:rsidR="003F6D07" w:rsidRPr="00F17599" w:rsidRDefault="003F6D07" w:rsidP="00501A12">
            <w:pPr>
              <w:pStyle w:val="Normal1linespace"/>
              <w:widowControl w:val="0"/>
              <w:jc w:val="left"/>
              <w:rPr>
                <w:b/>
              </w:rPr>
            </w:pPr>
          </w:p>
        </w:tc>
      </w:tr>
      <w:tr w:rsidR="003F6D07" w14:paraId="4702F20E" w14:textId="77777777" w:rsidTr="00995D1A">
        <w:tc>
          <w:tcPr>
            <w:tcW w:w="3083" w:type="dxa"/>
            <w:shd w:val="clear" w:color="auto" w:fill="auto"/>
          </w:tcPr>
          <w:p w14:paraId="282258F2" w14:textId="77777777" w:rsidR="003F6D07" w:rsidRDefault="003F6D07" w:rsidP="00501A12">
            <w:pPr>
              <w:pStyle w:val="Normal1linespace"/>
              <w:widowControl w:val="0"/>
            </w:pPr>
            <w:r>
              <w:t>National Practice Area:</w:t>
            </w:r>
          </w:p>
        </w:tc>
        <w:tc>
          <w:tcPr>
            <w:tcW w:w="5989" w:type="dxa"/>
            <w:shd w:val="clear" w:color="auto" w:fill="auto"/>
          </w:tcPr>
          <w:p w14:paraId="48BAF2D7" w14:textId="77777777" w:rsidR="003F6D07" w:rsidRPr="00F17599" w:rsidRDefault="003A7894" w:rsidP="00BD5E85">
            <w:pPr>
              <w:pStyle w:val="Normal1linespace"/>
              <w:widowControl w:val="0"/>
              <w:jc w:val="left"/>
              <w:rPr>
                <w:b/>
              </w:rPr>
            </w:pPr>
            <w:fldSimple w:instr=" DOCPROPERTY  &quot;Practice Area&quot;  \* MERGEFORMAT " w:fldLock="1">
              <w:r w:rsidR="003F6D07">
                <w:t>Employment and Industrial Relations</w:t>
              </w:r>
            </w:fldSimple>
          </w:p>
        </w:tc>
      </w:tr>
      <w:bookmarkEnd w:id="7"/>
      <w:tr w:rsidR="003F6D07" w14:paraId="5B2DDC8F" w14:textId="77777777" w:rsidTr="00995D1A">
        <w:tc>
          <w:tcPr>
            <w:tcW w:w="3083" w:type="dxa"/>
            <w:shd w:val="clear" w:color="auto" w:fill="auto"/>
          </w:tcPr>
          <w:p w14:paraId="570CD5A8" w14:textId="77777777" w:rsidR="003F6D07" w:rsidRDefault="003F6D07" w:rsidP="00501A12">
            <w:pPr>
              <w:pStyle w:val="Normal1linespace"/>
              <w:widowControl w:val="0"/>
            </w:pPr>
          </w:p>
        </w:tc>
        <w:tc>
          <w:tcPr>
            <w:tcW w:w="5989" w:type="dxa"/>
            <w:shd w:val="clear" w:color="auto" w:fill="auto"/>
          </w:tcPr>
          <w:p w14:paraId="226D6E51" w14:textId="77777777" w:rsidR="003F6D07" w:rsidRDefault="003F6D07" w:rsidP="00501A12">
            <w:pPr>
              <w:pStyle w:val="Normal1linespace"/>
              <w:widowControl w:val="0"/>
              <w:jc w:val="left"/>
            </w:pPr>
          </w:p>
        </w:tc>
      </w:tr>
      <w:tr w:rsidR="003F6D07" w14:paraId="4DD92E7D" w14:textId="77777777" w:rsidTr="00995D1A">
        <w:tc>
          <w:tcPr>
            <w:tcW w:w="3083" w:type="dxa"/>
            <w:shd w:val="clear" w:color="auto" w:fill="auto"/>
          </w:tcPr>
          <w:p w14:paraId="09735090" w14:textId="77777777" w:rsidR="003F6D07" w:rsidRDefault="003F6D07" w:rsidP="00501A12">
            <w:pPr>
              <w:pStyle w:val="Normal1linespace"/>
              <w:widowControl w:val="0"/>
            </w:pPr>
            <w:r>
              <w:t>Number of paragraphs:</w:t>
            </w:r>
          </w:p>
        </w:tc>
        <w:tc>
          <w:tcPr>
            <w:tcW w:w="5989" w:type="dxa"/>
            <w:shd w:val="clear" w:color="auto" w:fill="auto"/>
          </w:tcPr>
          <w:p w14:paraId="27E66C65" w14:textId="5E8C35F1" w:rsidR="003F6D07" w:rsidRDefault="009B07E8" w:rsidP="00501A12">
            <w:pPr>
              <w:pStyle w:val="Normal1linespace"/>
              <w:widowControl w:val="0"/>
              <w:jc w:val="left"/>
            </w:pPr>
            <w:bookmarkStart w:id="8" w:name="PlaceCategoryParagraphs"/>
            <w:r>
              <w:t>30</w:t>
            </w:r>
            <w:bookmarkEnd w:id="8"/>
          </w:p>
        </w:tc>
      </w:tr>
      <w:tr w:rsidR="003F6D07" w14:paraId="4DBB9B16" w14:textId="77777777" w:rsidTr="00995D1A">
        <w:tc>
          <w:tcPr>
            <w:tcW w:w="3083" w:type="dxa"/>
            <w:shd w:val="clear" w:color="auto" w:fill="auto"/>
          </w:tcPr>
          <w:p w14:paraId="1FD95C69" w14:textId="77777777" w:rsidR="003F6D07" w:rsidRDefault="003F6D07" w:rsidP="003F6D07">
            <w:pPr>
              <w:pStyle w:val="Normal1linespace"/>
              <w:widowControl w:val="0"/>
              <w:jc w:val="left"/>
            </w:pPr>
          </w:p>
        </w:tc>
        <w:tc>
          <w:tcPr>
            <w:tcW w:w="5989" w:type="dxa"/>
            <w:shd w:val="clear" w:color="auto" w:fill="auto"/>
          </w:tcPr>
          <w:p w14:paraId="70BAEA4E" w14:textId="77777777" w:rsidR="003F6D07" w:rsidRDefault="003F6D07" w:rsidP="003F6D07">
            <w:pPr>
              <w:pStyle w:val="Normal1linespace"/>
              <w:widowControl w:val="0"/>
              <w:jc w:val="left"/>
            </w:pPr>
          </w:p>
        </w:tc>
      </w:tr>
      <w:tr w:rsidR="003F6D07" w14:paraId="72504C9C" w14:textId="77777777" w:rsidTr="00995D1A">
        <w:tc>
          <w:tcPr>
            <w:tcW w:w="3083" w:type="dxa"/>
            <w:shd w:val="clear" w:color="auto" w:fill="auto"/>
          </w:tcPr>
          <w:p w14:paraId="3139726F" w14:textId="77777777" w:rsidR="003F6D07" w:rsidRDefault="003F6D07" w:rsidP="003F6D07">
            <w:pPr>
              <w:pStyle w:val="Normal1linespace"/>
              <w:widowControl w:val="0"/>
              <w:jc w:val="left"/>
            </w:pPr>
            <w:bookmarkStart w:id="9" w:name="CounselDate" w:colFirst="0" w:colLast="2"/>
            <w:r w:rsidRPr="006A24E3">
              <w:t>Date of hearing:</w:t>
            </w:r>
          </w:p>
        </w:tc>
        <w:tc>
          <w:tcPr>
            <w:tcW w:w="5989" w:type="dxa"/>
            <w:shd w:val="clear" w:color="auto" w:fill="auto"/>
          </w:tcPr>
          <w:p w14:paraId="03E7E531" w14:textId="77777777" w:rsidR="003F6D07" w:rsidRDefault="00B70B6F" w:rsidP="003F6D07">
            <w:pPr>
              <w:pStyle w:val="Normal1linespace"/>
              <w:widowControl w:val="0"/>
              <w:jc w:val="left"/>
            </w:pPr>
            <w:bookmarkStart w:id="10" w:name="HearingDate"/>
            <w:r>
              <w:t>14 October 2020</w:t>
            </w:r>
            <w:r w:rsidR="003F6D07">
              <w:t xml:space="preserve"> </w:t>
            </w:r>
            <w:bookmarkEnd w:id="10"/>
          </w:p>
        </w:tc>
      </w:tr>
      <w:tr w:rsidR="00E95548" w14:paraId="12572D31" w14:textId="77777777" w:rsidTr="00995D1A">
        <w:tc>
          <w:tcPr>
            <w:tcW w:w="3083" w:type="dxa"/>
            <w:shd w:val="clear" w:color="auto" w:fill="auto"/>
          </w:tcPr>
          <w:p w14:paraId="0D97E546" w14:textId="77777777" w:rsidR="00E95548" w:rsidRPr="006A24E3" w:rsidRDefault="00E95548" w:rsidP="003F6D07">
            <w:pPr>
              <w:pStyle w:val="Normal1linespace"/>
              <w:widowControl w:val="0"/>
              <w:jc w:val="left"/>
            </w:pPr>
          </w:p>
        </w:tc>
        <w:tc>
          <w:tcPr>
            <w:tcW w:w="5989" w:type="dxa"/>
            <w:shd w:val="clear" w:color="auto" w:fill="auto"/>
          </w:tcPr>
          <w:p w14:paraId="174377CA" w14:textId="77777777" w:rsidR="00E95548" w:rsidRDefault="00E95548" w:rsidP="003F6D07">
            <w:pPr>
              <w:pStyle w:val="Normal1linespace"/>
              <w:widowControl w:val="0"/>
              <w:jc w:val="left"/>
            </w:pPr>
          </w:p>
        </w:tc>
      </w:tr>
      <w:tr w:rsidR="003F6D07" w14:paraId="3B313CDA" w14:textId="77777777" w:rsidTr="00995D1A">
        <w:tc>
          <w:tcPr>
            <w:tcW w:w="3083" w:type="dxa"/>
            <w:shd w:val="clear" w:color="auto" w:fill="auto"/>
          </w:tcPr>
          <w:p w14:paraId="356D7C1B" w14:textId="2CCAAF3D" w:rsidR="003F6D07" w:rsidRPr="00A401FA" w:rsidRDefault="003B1F86" w:rsidP="003F6D07">
            <w:pPr>
              <w:pStyle w:val="Normal1linespace"/>
              <w:widowControl w:val="0"/>
              <w:jc w:val="left"/>
            </w:pPr>
            <w:r>
              <w:t>Date of l</w:t>
            </w:r>
            <w:r w:rsidR="00CF69C4" w:rsidRPr="00A401FA">
              <w:t>ast submissions</w:t>
            </w:r>
            <w:r>
              <w:t>:</w:t>
            </w:r>
          </w:p>
        </w:tc>
        <w:tc>
          <w:tcPr>
            <w:tcW w:w="5989" w:type="dxa"/>
            <w:shd w:val="clear" w:color="auto" w:fill="auto"/>
          </w:tcPr>
          <w:p w14:paraId="443EE057" w14:textId="77777777" w:rsidR="003F6D07" w:rsidRPr="00E95548" w:rsidRDefault="00CF69C4" w:rsidP="003F6D07">
            <w:pPr>
              <w:pStyle w:val="Normal1linespace"/>
              <w:widowControl w:val="0"/>
              <w:jc w:val="left"/>
            </w:pPr>
            <w:r w:rsidRPr="00A401FA">
              <w:t>4 November 2020</w:t>
            </w:r>
          </w:p>
        </w:tc>
      </w:tr>
      <w:tr w:rsidR="00E95548" w14:paraId="478F0B0F" w14:textId="77777777" w:rsidTr="00995D1A">
        <w:tc>
          <w:tcPr>
            <w:tcW w:w="3083" w:type="dxa"/>
            <w:shd w:val="clear" w:color="auto" w:fill="auto"/>
          </w:tcPr>
          <w:p w14:paraId="6AF84977" w14:textId="77777777" w:rsidR="00E95548" w:rsidRPr="00CF69C4" w:rsidRDefault="00E95548" w:rsidP="003F6D07">
            <w:pPr>
              <w:pStyle w:val="Normal1linespace"/>
              <w:widowControl w:val="0"/>
              <w:jc w:val="left"/>
              <w:rPr>
                <w:highlight w:val="yellow"/>
              </w:rPr>
            </w:pPr>
          </w:p>
        </w:tc>
        <w:tc>
          <w:tcPr>
            <w:tcW w:w="5989" w:type="dxa"/>
            <w:shd w:val="clear" w:color="auto" w:fill="auto"/>
          </w:tcPr>
          <w:p w14:paraId="52274501" w14:textId="77777777" w:rsidR="00E95548" w:rsidRPr="00CF69C4" w:rsidRDefault="00E95548" w:rsidP="003F6D07">
            <w:pPr>
              <w:pStyle w:val="Normal1linespace"/>
              <w:widowControl w:val="0"/>
              <w:jc w:val="left"/>
              <w:rPr>
                <w:highlight w:val="yellow"/>
              </w:rPr>
            </w:pPr>
          </w:p>
        </w:tc>
      </w:tr>
      <w:tr w:rsidR="00562224" w14:paraId="10D380FE" w14:textId="77777777" w:rsidTr="00995D1A">
        <w:tc>
          <w:tcPr>
            <w:tcW w:w="3083" w:type="dxa"/>
            <w:shd w:val="clear" w:color="auto" w:fill="auto"/>
          </w:tcPr>
          <w:p w14:paraId="55A8142B" w14:textId="77777777" w:rsidR="00562224" w:rsidRDefault="00995D1A" w:rsidP="00562224">
            <w:pPr>
              <w:pStyle w:val="Normal1linespace"/>
              <w:widowControl w:val="0"/>
              <w:jc w:val="left"/>
            </w:pPr>
            <w:bookmarkStart w:id="11" w:name="Counsel" w:colFirst="0" w:colLast="2"/>
            <w:bookmarkEnd w:id="9"/>
            <w:r>
              <w:t>Counsel for the Appellants:</w:t>
            </w:r>
          </w:p>
        </w:tc>
        <w:tc>
          <w:tcPr>
            <w:tcW w:w="5989" w:type="dxa"/>
            <w:shd w:val="clear" w:color="auto" w:fill="auto"/>
          </w:tcPr>
          <w:p w14:paraId="2C1A87AB" w14:textId="77777777" w:rsidR="00562224" w:rsidRDefault="00995D1A" w:rsidP="00562224">
            <w:pPr>
              <w:pStyle w:val="Normal1linespace"/>
              <w:widowControl w:val="0"/>
              <w:jc w:val="left"/>
            </w:pPr>
            <w:bookmarkStart w:id="12" w:name="AppCounsel"/>
            <w:bookmarkEnd w:id="12"/>
            <w:r>
              <w:t>I Latham</w:t>
            </w:r>
          </w:p>
        </w:tc>
      </w:tr>
      <w:tr w:rsidR="00562224" w14:paraId="5A2469A8" w14:textId="77777777" w:rsidTr="00995D1A">
        <w:tc>
          <w:tcPr>
            <w:tcW w:w="3083" w:type="dxa"/>
            <w:shd w:val="clear" w:color="auto" w:fill="auto"/>
          </w:tcPr>
          <w:p w14:paraId="1D0849E5" w14:textId="77777777" w:rsidR="00562224" w:rsidRDefault="00562224" w:rsidP="00562224">
            <w:pPr>
              <w:pStyle w:val="Normal1linespace"/>
              <w:widowControl w:val="0"/>
              <w:jc w:val="left"/>
            </w:pPr>
          </w:p>
        </w:tc>
        <w:tc>
          <w:tcPr>
            <w:tcW w:w="5989" w:type="dxa"/>
            <w:shd w:val="clear" w:color="auto" w:fill="auto"/>
          </w:tcPr>
          <w:p w14:paraId="6207A3D1" w14:textId="77777777" w:rsidR="00562224" w:rsidRDefault="00562224" w:rsidP="00562224">
            <w:pPr>
              <w:pStyle w:val="Normal1linespace"/>
              <w:widowControl w:val="0"/>
              <w:jc w:val="left"/>
            </w:pPr>
          </w:p>
        </w:tc>
      </w:tr>
      <w:tr w:rsidR="00562224" w14:paraId="4D051C15" w14:textId="77777777" w:rsidTr="00995D1A">
        <w:tc>
          <w:tcPr>
            <w:tcW w:w="3083" w:type="dxa"/>
            <w:shd w:val="clear" w:color="auto" w:fill="auto"/>
          </w:tcPr>
          <w:p w14:paraId="41F63EFA" w14:textId="77777777" w:rsidR="00562224" w:rsidRDefault="00995D1A" w:rsidP="00562224">
            <w:pPr>
              <w:pStyle w:val="Normal1linespace"/>
              <w:widowControl w:val="0"/>
              <w:jc w:val="left"/>
            </w:pPr>
            <w:r>
              <w:t>Solicitor for the Appellants:</w:t>
            </w:r>
          </w:p>
        </w:tc>
        <w:tc>
          <w:tcPr>
            <w:tcW w:w="5989" w:type="dxa"/>
            <w:shd w:val="clear" w:color="auto" w:fill="auto"/>
          </w:tcPr>
          <w:p w14:paraId="1EDADAB5" w14:textId="77777777" w:rsidR="00562224" w:rsidRDefault="00995D1A" w:rsidP="00562224">
            <w:pPr>
              <w:pStyle w:val="Normal1linespace"/>
              <w:widowControl w:val="0"/>
              <w:jc w:val="left"/>
            </w:pPr>
            <w:r>
              <w:t>Taylor &amp; Scott Lawyers</w:t>
            </w:r>
          </w:p>
        </w:tc>
      </w:tr>
      <w:tr w:rsidR="00995D1A" w14:paraId="44E8FB99" w14:textId="77777777" w:rsidTr="00995D1A">
        <w:tc>
          <w:tcPr>
            <w:tcW w:w="3083" w:type="dxa"/>
            <w:shd w:val="clear" w:color="auto" w:fill="auto"/>
          </w:tcPr>
          <w:p w14:paraId="581332A9" w14:textId="77777777" w:rsidR="00995D1A" w:rsidRDefault="00995D1A" w:rsidP="00562224">
            <w:pPr>
              <w:pStyle w:val="Normal1linespace"/>
              <w:widowControl w:val="0"/>
              <w:jc w:val="left"/>
            </w:pPr>
          </w:p>
        </w:tc>
        <w:tc>
          <w:tcPr>
            <w:tcW w:w="5989" w:type="dxa"/>
            <w:shd w:val="clear" w:color="auto" w:fill="auto"/>
          </w:tcPr>
          <w:p w14:paraId="738B5FD9" w14:textId="77777777" w:rsidR="00995D1A" w:rsidRDefault="00995D1A" w:rsidP="00562224">
            <w:pPr>
              <w:pStyle w:val="Normal1linespace"/>
              <w:widowControl w:val="0"/>
              <w:jc w:val="left"/>
            </w:pPr>
          </w:p>
        </w:tc>
      </w:tr>
      <w:tr w:rsidR="00995D1A" w14:paraId="1336D403" w14:textId="77777777" w:rsidTr="00995D1A">
        <w:tc>
          <w:tcPr>
            <w:tcW w:w="3083" w:type="dxa"/>
            <w:shd w:val="clear" w:color="auto" w:fill="auto"/>
          </w:tcPr>
          <w:p w14:paraId="3908E87C" w14:textId="77777777" w:rsidR="00995D1A" w:rsidRDefault="00995D1A" w:rsidP="00562224">
            <w:pPr>
              <w:pStyle w:val="Normal1linespace"/>
              <w:widowControl w:val="0"/>
              <w:jc w:val="left"/>
            </w:pPr>
            <w:r>
              <w:t>Counsel for the Respondent:</w:t>
            </w:r>
          </w:p>
        </w:tc>
        <w:tc>
          <w:tcPr>
            <w:tcW w:w="5989" w:type="dxa"/>
            <w:shd w:val="clear" w:color="auto" w:fill="auto"/>
          </w:tcPr>
          <w:p w14:paraId="25CBB6F6" w14:textId="77777777" w:rsidR="00995D1A" w:rsidRDefault="00995D1A" w:rsidP="00562224">
            <w:pPr>
              <w:pStyle w:val="Normal1linespace"/>
              <w:widowControl w:val="0"/>
              <w:jc w:val="left"/>
            </w:pPr>
            <w:r>
              <w:t xml:space="preserve">Y </w:t>
            </w:r>
            <w:proofErr w:type="spellStart"/>
            <w:r>
              <w:t>Shariff</w:t>
            </w:r>
            <w:proofErr w:type="spellEnd"/>
            <w:r>
              <w:t xml:space="preserve"> SC</w:t>
            </w:r>
          </w:p>
        </w:tc>
      </w:tr>
      <w:tr w:rsidR="00995D1A" w14:paraId="0EBACA65" w14:textId="77777777" w:rsidTr="00995D1A">
        <w:tc>
          <w:tcPr>
            <w:tcW w:w="3083" w:type="dxa"/>
            <w:shd w:val="clear" w:color="auto" w:fill="auto"/>
          </w:tcPr>
          <w:p w14:paraId="397025FF" w14:textId="77777777" w:rsidR="00995D1A" w:rsidRDefault="00995D1A" w:rsidP="00562224">
            <w:pPr>
              <w:pStyle w:val="Normal1linespace"/>
              <w:widowControl w:val="0"/>
              <w:jc w:val="left"/>
            </w:pPr>
          </w:p>
        </w:tc>
        <w:tc>
          <w:tcPr>
            <w:tcW w:w="5989" w:type="dxa"/>
            <w:shd w:val="clear" w:color="auto" w:fill="auto"/>
          </w:tcPr>
          <w:p w14:paraId="1E6E763D" w14:textId="77777777" w:rsidR="00995D1A" w:rsidRDefault="00995D1A" w:rsidP="00562224">
            <w:pPr>
              <w:pStyle w:val="Normal1linespace"/>
              <w:widowControl w:val="0"/>
              <w:jc w:val="left"/>
            </w:pPr>
          </w:p>
        </w:tc>
      </w:tr>
      <w:tr w:rsidR="00995D1A" w14:paraId="68A5E7F3" w14:textId="77777777" w:rsidTr="00995D1A">
        <w:tc>
          <w:tcPr>
            <w:tcW w:w="3083" w:type="dxa"/>
            <w:shd w:val="clear" w:color="auto" w:fill="auto"/>
          </w:tcPr>
          <w:p w14:paraId="2EF33C11" w14:textId="77777777" w:rsidR="00995D1A" w:rsidRDefault="00995D1A" w:rsidP="00562224">
            <w:pPr>
              <w:pStyle w:val="Normal1linespace"/>
              <w:widowControl w:val="0"/>
              <w:jc w:val="left"/>
            </w:pPr>
            <w:r>
              <w:t>Solicitor for the Respondent:</w:t>
            </w:r>
          </w:p>
        </w:tc>
        <w:tc>
          <w:tcPr>
            <w:tcW w:w="5989" w:type="dxa"/>
            <w:shd w:val="clear" w:color="auto" w:fill="auto"/>
          </w:tcPr>
          <w:p w14:paraId="44541491" w14:textId="77777777" w:rsidR="00995D1A" w:rsidRDefault="00995D1A" w:rsidP="00562224">
            <w:pPr>
              <w:pStyle w:val="Normal1linespace"/>
              <w:widowControl w:val="0"/>
              <w:jc w:val="left"/>
            </w:pPr>
            <w:r>
              <w:t>Office of the Fair Work Ombudsman</w:t>
            </w:r>
          </w:p>
        </w:tc>
      </w:tr>
      <w:bookmarkEnd w:id="11"/>
    </w:tbl>
    <w:p w14:paraId="3FC036FC" w14:textId="77777777" w:rsidR="007470BD" w:rsidRDefault="007470BD">
      <w:pPr>
        <w:pStyle w:val="Normal1linespace"/>
      </w:pPr>
    </w:p>
    <w:p w14:paraId="3EC61FF3" w14:textId="2C8A0021" w:rsidR="00395B24" w:rsidRDefault="00395B24">
      <w:pPr>
        <w:pStyle w:val="Normal1linespace"/>
        <w:sectPr w:rsidR="00395B24" w:rsidSect="001F2473">
          <w:footerReference w:type="default" r:id="rId9"/>
          <w:footerReference w:type="first" r:id="rId10"/>
          <w:endnotePr>
            <w:numFmt w:val="decimal"/>
          </w:endnotePr>
          <w:type w:val="continuous"/>
          <w:pgSz w:w="11907" w:h="16840" w:code="9"/>
          <w:pgMar w:top="1440" w:right="1440" w:bottom="1440" w:left="1440" w:header="851" w:footer="768" w:gutter="0"/>
          <w:pgNumType w:start="1"/>
          <w:cols w:space="720"/>
          <w:noEndnote/>
          <w:titlePg/>
        </w:sectPr>
      </w:pPr>
    </w:p>
    <w:p w14:paraId="51C47C7A"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69F8D277" w14:textId="77777777" w:rsidTr="00E81DA6">
        <w:tc>
          <w:tcPr>
            <w:tcW w:w="6912" w:type="dxa"/>
            <w:gridSpan w:val="2"/>
          </w:tcPr>
          <w:p w14:paraId="79E82DEE" w14:textId="77777777" w:rsidR="00A46CCC" w:rsidRPr="001765E0" w:rsidRDefault="00A46CCC" w:rsidP="00525A49">
            <w:pPr>
              <w:pStyle w:val="NormalHeadings"/>
            </w:pPr>
          </w:p>
        </w:tc>
        <w:tc>
          <w:tcPr>
            <w:tcW w:w="2330" w:type="dxa"/>
          </w:tcPr>
          <w:p w14:paraId="5B370CF4" w14:textId="77777777" w:rsidR="00A46CCC" w:rsidRDefault="003F6D07" w:rsidP="00F92355">
            <w:pPr>
              <w:pStyle w:val="NormalHeadings"/>
              <w:jc w:val="right"/>
            </w:pPr>
            <w:bookmarkStart w:id="13" w:name="FileNo"/>
            <w:r>
              <w:t>NSD 155 of 2020</w:t>
            </w:r>
            <w:bookmarkEnd w:id="13"/>
          </w:p>
        </w:tc>
      </w:tr>
      <w:tr w:rsidR="00A76C13" w14:paraId="1D7860F5" w14:textId="77777777" w:rsidTr="00BD5E85">
        <w:tc>
          <w:tcPr>
            <w:tcW w:w="9242" w:type="dxa"/>
            <w:gridSpan w:val="3"/>
          </w:tcPr>
          <w:p w14:paraId="09AF19AB" w14:textId="77777777" w:rsidR="00A76C13" w:rsidRPr="00A76C13" w:rsidRDefault="003F6D07" w:rsidP="003F6D07">
            <w:pPr>
              <w:pStyle w:val="NormalHeadings"/>
              <w:jc w:val="left"/>
            </w:pPr>
            <w:bookmarkStart w:id="14" w:name="InTheMatterOf"/>
            <w:r>
              <w:t xml:space="preserve"> </w:t>
            </w:r>
            <w:bookmarkEnd w:id="14"/>
          </w:p>
        </w:tc>
      </w:tr>
      <w:tr w:rsidR="00A46CCC" w14:paraId="4B74C402" w14:textId="77777777" w:rsidTr="00BD5E85">
        <w:trPr>
          <w:trHeight w:val="386"/>
        </w:trPr>
        <w:tc>
          <w:tcPr>
            <w:tcW w:w="2376" w:type="dxa"/>
          </w:tcPr>
          <w:p w14:paraId="2E2C5472" w14:textId="77777777" w:rsidR="00A46CCC" w:rsidRDefault="00A46CCC" w:rsidP="00BD5E85">
            <w:pPr>
              <w:pStyle w:val="NormalHeadings"/>
              <w:jc w:val="left"/>
              <w:rPr>
                <w:caps/>
                <w:szCs w:val="24"/>
              </w:rPr>
            </w:pPr>
            <w:bookmarkStart w:id="15" w:name="Parties"/>
            <w:r>
              <w:rPr>
                <w:caps/>
                <w:szCs w:val="24"/>
              </w:rPr>
              <w:t>BETWEEN:</w:t>
            </w:r>
          </w:p>
        </w:tc>
        <w:tc>
          <w:tcPr>
            <w:tcW w:w="6866" w:type="dxa"/>
            <w:gridSpan w:val="2"/>
          </w:tcPr>
          <w:p w14:paraId="75B07127" w14:textId="77777777" w:rsidR="003F6D07" w:rsidRDefault="003F6D07" w:rsidP="003F6D07">
            <w:pPr>
              <w:pStyle w:val="NormalHeadings"/>
              <w:jc w:val="left"/>
            </w:pPr>
            <w:bookmarkStart w:id="16" w:name="Applicant"/>
            <w:r>
              <w:t>MR KAMALDEEP SINGH</w:t>
            </w:r>
          </w:p>
          <w:p w14:paraId="0CF1D9E9" w14:textId="77777777" w:rsidR="003F6D07" w:rsidRDefault="003F6D07" w:rsidP="003F6D07">
            <w:pPr>
              <w:pStyle w:val="PartyType"/>
            </w:pPr>
            <w:r>
              <w:t>First Appellant</w:t>
            </w:r>
          </w:p>
          <w:p w14:paraId="3541731F" w14:textId="77777777" w:rsidR="003F6D07" w:rsidRDefault="003F6D07" w:rsidP="00BD5E85">
            <w:pPr>
              <w:pStyle w:val="NormalHeadings"/>
              <w:jc w:val="left"/>
              <w:rPr>
                <w:szCs w:val="24"/>
              </w:rPr>
            </w:pPr>
          </w:p>
          <w:p w14:paraId="2AEA3DEF" w14:textId="77777777" w:rsidR="003F6D07" w:rsidRDefault="003F6D07" w:rsidP="003F6D07">
            <w:pPr>
              <w:pStyle w:val="NormalHeadings"/>
              <w:jc w:val="left"/>
            </w:pPr>
            <w:r>
              <w:t>MS UMA SINGH</w:t>
            </w:r>
          </w:p>
          <w:p w14:paraId="7756D336" w14:textId="77777777" w:rsidR="003F6D07" w:rsidRDefault="003F6D07" w:rsidP="003F6D07">
            <w:pPr>
              <w:pStyle w:val="PartyType"/>
            </w:pPr>
            <w:r>
              <w:t>Second Appellant</w:t>
            </w:r>
          </w:p>
          <w:bookmarkEnd w:id="16"/>
          <w:p w14:paraId="58F1B334" w14:textId="77777777" w:rsidR="00A46CCC" w:rsidRPr="006555B4" w:rsidRDefault="00A46CCC" w:rsidP="00BD5E85">
            <w:pPr>
              <w:pStyle w:val="NormalHeadings"/>
              <w:jc w:val="left"/>
            </w:pPr>
          </w:p>
        </w:tc>
      </w:tr>
      <w:tr w:rsidR="00A46CCC" w14:paraId="3C02F2E3" w14:textId="77777777" w:rsidTr="00BD5E85">
        <w:trPr>
          <w:trHeight w:val="386"/>
        </w:trPr>
        <w:tc>
          <w:tcPr>
            <w:tcW w:w="2376" w:type="dxa"/>
          </w:tcPr>
          <w:p w14:paraId="59904CB4" w14:textId="77777777" w:rsidR="00A46CCC" w:rsidRDefault="00A46CCC" w:rsidP="00BD5E85">
            <w:pPr>
              <w:pStyle w:val="NormalHeadings"/>
              <w:jc w:val="left"/>
              <w:rPr>
                <w:caps/>
                <w:szCs w:val="24"/>
              </w:rPr>
            </w:pPr>
            <w:r>
              <w:rPr>
                <w:caps/>
                <w:szCs w:val="24"/>
              </w:rPr>
              <w:t>AND:</w:t>
            </w:r>
          </w:p>
        </w:tc>
        <w:tc>
          <w:tcPr>
            <w:tcW w:w="6866" w:type="dxa"/>
            <w:gridSpan w:val="2"/>
          </w:tcPr>
          <w:p w14:paraId="0FDB7647" w14:textId="77777777" w:rsidR="003F6D07" w:rsidRDefault="003F6D07" w:rsidP="003F6D07">
            <w:pPr>
              <w:pStyle w:val="NormalHeadings"/>
              <w:jc w:val="left"/>
            </w:pPr>
            <w:bookmarkStart w:id="17" w:name="Respondent"/>
            <w:r>
              <w:t>FAIR WORK OMBUDSMAN</w:t>
            </w:r>
          </w:p>
          <w:p w14:paraId="71552FF2" w14:textId="77777777" w:rsidR="003F6D07" w:rsidRDefault="003F6D07" w:rsidP="003F6D07">
            <w:pPr>
              <w:pStyle w:val="PartyType"/>
            </w:pPr>
            <w:r>
              <w:t>Respondent</w:t>
            </w:r>
          </w:p>
          <w:bookmarkEnd w:id="17"/>
          <w:p w14:paraId="6C1D52EB" w14:textId="77777777" w:rsidR="00A46CCC" w:rsidRPr="006555B4" w:rsidRDefault="00A46CCC" w:rsidP="00BD5E85">
            <w:pPr>
              <w:pStyle w:val="NormalHeadings"/>
              <w:jc w:val="left"/>
            </w:pPr>
          </w:p>
        </w:tc>
      </w:tr>
    </w:tbl>
    <w:p w14:paraId="582CCF7F" w14:textId="77777777" w:rsidR="00395B24" w:rsidRDefault="00395B24">
      <w:pPr>
        <w:pStyle w:val="NormalHeadings"/>
      </w:pPr>
      <w:bookmarkStart w:id="18" w:name="CrossClaimPosition"/>
      <w:bookmarkEnd w:id="15"/>
      <w:bookmarkEnd w:id="18"/>
    </w:p>
    <w:tbl>
      <w:tblPr>
        <w:tblW w:w="0" w:type="auto"/>
        <w:tblLayout w:type="fixed"/>
        <w:tblLook w:val="0000" w:firstRow="0" w:lastRow="0" w:firstColumn="0" w:lastColumn="0" w:noHBand="0" w:noVBand="0"/>
        <w:tblCaption w:val="Judge"/>
        <w:tblDescription w:val="Judge"/>
      </w:tblPr>
      <w:tblGrid>
        <w:gridCol w:w="2376"/>
        <w:gridCol w:w="6866"/>
      </w:tblGrid>
      <w:tr w:rsidR="00395B24" w14:paraId="08722898" w14:textId="77777777">
        <w:tc>
          <w:tcPr>
            <w:tcW w:w="2376" w:type="dxa"/>
          </w:tcPr>
          <w:p w14:paraId="4A211D98" w14:textId="77777777" w:rsidR="00395B24" w:rsidRDefault="00974709">
            <w:pPr>
              <w:pStyle w:val="NormalHeadings"/>
              <w:spacing w:after="120"/>
              <w:jc w:val="left"/>
              <w:rPr>
                <w:caps/>
                <w:szCs w:val="24"/>
              </w:rPr>
            </w:pPr>
            <w:bookmarkStart w:id="19" w:name="JudgeText"/>
            <w:r>
              <w:rPr>
                <w:caps/>
                <w:szCs w:val="24"/>
              </w:rPr>
              <w:t>order made by</w:t>
            </w:r>
            <w:bookmarkEnd w:id="19"/>
            <w:r w:rsidR="002C7385">
              <w:rPr>
                <w:caps/>
                <w:szCs w:val="24"/>
              </w:rPr>
              <w:t>:</w:t>
            </w:r>
          </w:p>
        </w:tc>
        <w:tc>
          <w:tcPr>
            <w:tcW w:w="6866" w:type="dxa"/>
          </w:tcPr>
          <w:p w14:paraId="73791D9E" w14:textId="77777777" w:rsidR="00395B24" w:rsidRDefault="003F6D07">
            <w:pPr>
              <w:pStyle w:val="NormalHeadings"/>
              <w:jc w:val="left"/>
              <w:rPr>
                <w:caps/>
                <w:szCs w:val="24"/>
              </w:rPr>
            </w:pPr>
            <w:bookmarkStart w:id="20" w:name="Judge"/>
            <w:r>
              <w:rPr>
                <w:caps/>
                <w:szCs w:val="24"/>
              </w:rPr>
              <w:t>BROMWICH J</w:t>
            </w:r>
            <w:bookmarkEnd w:id="20"/>
          </w:p>
        </w:tc>
      </w:tr>
      <w:tr w:rsidR="00395B24" w14:paraId="0B4006B2" w14:textId="77777777">
        <w:tc>
          <w:tcPr>
            <w:tcW w:w="2376" w:type="dxa"/>
          </w:tcPr>
          <w:p w14:paraId="1E8BFBCE" w14:textId="77777777" w:rsidR="00395B24" w:rsidRDefault="002C7385">
            <w:pPr>
              <w:pStyle w:val="NormalHeadings"/>
              <w:spacing w:after="120"/>
              <w:jc w:val="left"/>
              <w:rPr>
                <w:caps/>
                <w:szCs w:val="24"/>
              </w:rPr>
            </w:pPr>
            <w:r>
              <w:rPr>
                <w:caps/>
                <w:szCs w:val="24"/>
              </w:rPr>
              <w:t>DATE OF ORDER:</w:t>
            </w:r>
          </w:p>
        </w:tc>
        <w:tc>
          <w:tcPr>
            <w:tcW w:w="6866" w:type="dxa"/>
          </w:tcPr>
          <w:p w14:paraId="7B47C43B" w14:textId="3FF38AD6" w:rsidR="00395B24" w:rsidRDefault="00766C7C" w:rsidP="002A79D7">
            <w:pPr>
              <w:pStyle w:val="NormalHeadings"/>
              <w:jc w:val="left"/>
              <w:rPr>
                <w:caps/>
                <w:szCs w:val="24"/>
              </w:rPr>
            </w:pPr>
            <w:bookmarkStart w:id="21" w:name="Judgment_Dated"/>
            <w:r>
              <w:rPr>
                <w:caps/>
                <w:szCs w:val="24"/>
              </w:rPr>
              <w:t>5 FEBRUARY</w:t>
            </w:r>
            <w:r w:rsidR="003F6D07">
              <w:rPr>
                <w:caps/>
                <w:szCs w:val="24"/>
              </w:rPr>
              <w:t xml:space="preserve"> 202</w:t>
            </w:r>
            <w:r w:rsidR="002A79D7">
              <w:rPr>
                <w:caps/>
                <w:szCs w:val="24"/>
              </w:rPr>
              <w:t>1</w:t>
            </w:r>
            <w:bookmarkEnd w:id="21"/>
          </w:p>
        </w:tc>
      </w:tr>
    </w:tbl>
    <w:p w14:paraId="324D8680" w14:textId="77777777" w:rsidR="00395B24" w:rsidRDefault="00395B24">
      <w:pPr>
        <w:pStyle w:val="NormalHeadings"/>
        <w:rPr>
          <w:b w:val="0"/>
        </w:rPr>
      </w:pPr>
    </w:p>
    <w:p w14:paraId="632D99F0" w14:textId="77777777" w:rsidR="008D1617" w:rsidRDefault="008D1617">
      <w:pPr>
        <w:pStyle w:val="NormalHeadings"/>
        <w:rPr>
          <w:b w:val="0"/>
        </w:rPr>
      </w:pPr>
    </w:p>
    <w:p w14:paraId="67778A4A" w14:textId="77777777" w:rsidR="00395B24" w:rsidRDefault="002C7385">
      <w:pPr>
        <w:pStyle w:val="NormalHeadings"/>
      </w:pPr>
      <w:r>
        <w:t>THE COURT ORDERS THAT:</w:t>
      </w:r>
    </w:p>
    <w:p w14:paraId="70012D9E" w14:textId="77777777" w:rsidR="007F60DF" w:rsidRDefault="007F60DF" w:rsidP="00243E5E">
      <w:pPr>
        <w:pStyle w:val="NormalHeadings"/>
      </w:pPr>
    </w:p>
    <w:p w14:paraId="78400673" w14:textId="77777777" w:rsidR="001A6C52" w:rsidRDefault="002745C5" w:rsidP="001A6C52">
      <w:pPr>
        <w:pStyle w:val="Order1"/>
      </w:pPr>
      <w:r>
        <w:t>The appeal be dismissed.</w:t>
      </w:r>
    </w:p>
    <w:p w14:paraId="4B4453F3" w14:textId="77777777" w:rsidR="002745C5" w:rsidRDefault="002745C5" w:rsidP="001A6C52">
      <w:pPr>
        <w:pStyle w:val="Order1"/>
      </w:pPr>
      <w:r>
        <w:t>There be no order as to costs.</w:t>
      </w:r>
    </w:p>
    <w:p w14:paraId="175579F4" w14:textId="77777777" w:rsidR="001A6C52" w:rsidRDefault="001A6C52" w:rsidP="001A6C52">
      <w:pPr>
        <w:pStyle w:val="BodyText"/>
      </w:pPr>
    </w:p>
    <w:p w14:paraId="453455F7" w14:textId="77777777" w:rsidR="00A431E6" w:rsidRDefault="00A431E6" w:rsidP="001A6C52">
      <w:pPr>
        <w:pStyle w:val="BodyText"/>
      </w:pPr>
    </w:p>
    <w:p w14:paraId="03D2B3C9" w14:textId="77777777" w:rsidR="0050309C" w:rsidRDefault="003F6D07" w:rsidP="004D53E5">
      <w:pPr>
        <w:pStyle w:val="SingleSpace"/>
      </w:pPr>
      <w:bookmarkStart w:id="22" w:name="OrdersStatement"/>
      <w:r>
        <w:t>Note:</w:t>
      </w:r>
      <w:r>
        <w:tab/>
        <w:t xml:space="preserve">Entry of orders is dealt with in Rule 39.32 of the </w:t>
      </w:r>
      <w:r>
        <w:rPr>
          <w:i/>
        </w:rPr>
        <w:t>Federal Court Rules 2011</w:t>
      </w:r>
      <w:r>
        <w:t>.</w:t>
      </w:r>
      <w:bookmarkEnd w:id="22"/>
    </w:p>
    <w:p w14:paraId="4547CB55" w14:textId="77777777" w:rsidR="0092590B" w:rsidRDefault="0092590B" w:rsidP="002B0E91">
      <w:pPr>
        <w:pStyle w:val="BodyText"/>
      </w:pPr>
    </w:p>
    <w:p w14:paraId="6E506740" w14:textId="77777777" w:rsidR="00395B24" w:rsidRDefault="00395B24">
      <w:pPr>
        <w:pStyle w:val="NormalHeadings"/>
        <w:spacing w:before="240" w:after="120"/>
        <w:rPr>
          <w:b w:val="0"/>
        </w:rPr>
        <w:sectPr w:rsidR="00395B24" w:rsidSect="0092590B">
          <w:headerReference w:type="default" r:id="rId11"/>
          <w:footerReference w:type="default" r:id="rId12"/>
          <w:headerReference w:type="first" r:id="rId13"/>
          <w:footerReference w:type="first" r:id="rId14"/>
          <w:endnotePr>
            <w:numFmt w:val="decimal"/>
          </w:endnotePr>
          <w:pgSz w:w="11907" w:h="16840" w:code="9"/>
          <w:pgMar w:top="1440" w:right="1440" w:bottom="1440" w:left="1440" w:header="851" w:footer="851" w:gutter="0"/>
          <w:pgNumType w:fmt="lowerRoman" w:start="1"/>
          <w:cols w:space="720"/>
          <w:noEndnote/>
          <w:titlePg/>
        </w:sectPr>
      </w:pPr>
    </w:p>
    <w:p w14:paraId="1D95E741" w14:textId="77777777" w:rsidR="00484F6D" w:rsidRPr="00045BB7" w:rsidRDefault="00484F6D" w:rsidP="00045BB7">
      <w:pPr>
        <w:pStyle w:val="NormalHeadings"/>
        <w:spacing w:line="480" w:lineRule="auto"/>
        <w:jc w:val="center"/>
        <w:rPr>
          <w:sz w:val="28"/>
          <w:szCs w:val="28"/>
        </w:rPr>
      </w:pPr>
      <w:bookmarkStart w:id="23" w:name="ReasonsPage"/>
      <w:bookmarkEnd w:id="23"/>
      <w:r w:rsidRPr="00045BB7">
        <w:rPr>
          <w:sz w:val="28"/>
          <w:szCs w:val="28"/>
        </w:rPr>
        <w:lastRenderedPageBreak/>
        <w:t>REASONS FOR JUDGMENT</w:t>
      </w:r>
    </w:p>
    <w:p w14:paraId="1AD57CC3" w14:textId="77777777" w:rsidR="00694BEB" w:rsidRDefault="00B70B6F" w:rsidP="005E0510">
      <w:pPr>
        <w:pStyle w:val="NormalHeadings"/>
        <w:spacing w:line="360" w:lineRule="auto"/>
        <w:jc w:val="left"/>
        <w:rPr>
          <w:sz w:val="26"/>
          <w:szCs w:val="26"/>
        </w:rPr>
      </w:pPr>
      <w:r>
        <w:rPr>
          <w:sz w:val="26"/>
          <w:szCs w:val="26"/>
        </w:rPr>
        <w:t>BROMWICH J:</w:t>
      </w:r>
    </w:p>
    <w:p w14:paraId="0B1FF7A5" w14:textId="77777777" w:rsidR="00E50647" w:rsidRDefault="00E50647" w:rsidP="00E50647">
      <w:pPr>
        <w:pStyle w:val="Heading2"/>
      </w:pPr>
      <w:r>
        <w:t>Introduction</w:t>
      </w:r>
    </w:p>
    <w:p w14:paraId="646C2E42" w14:textId="7765817F" w:rsidR="00F937D3" w:rsidRDefault="00711DB7" w:rsidP="00BD5E85">
      <w:pPr>
        <w:pStyle w:val="ParaNumbering"/>
      </w:pPr>
      <w:r>
        <w:t>This is an appeal against orders made by a judge of the Federal C</w:t>
      </w:r>
      <w:r w:rsidRPr="00F24A7A">
        <w:t xml:space="preserve">ircuit Court of Australia by which civil penalties were imposed for contraventions of the </w:t>
      </w:r>
      <w:r w:rsidRPr="00F24A7A">
        <w:rPr>
          <w:i/>
        </w:rPr>
        <w:t>Fair Work Act 2009</w:t>
      </w:r>
      <w:r w:rsidRPr="00F24A7A">
        <w:t xml:space="preserve"> (</w:t>
      </w:r>
      <w:proofErr w:type="spellStart"/>
      <w:r w:rsidRPr="00F24A7A">
        <w:t>Cth</w:t>
      </w:r>
      <w:proofErr w:type="spellEnd"/>
      <w:r w:rsidRPr="00F24A7A">
        <w:t>)</w:t>
      </w:r>
      <w:r w:rsidR="00C81717" w:rsidRPr="00F24A7A">
        <w:t xml:space="preserve"> (</w:t>
      </w:r>
      <w:r w:rsidR="00C81717" w:rsidRPr="00F24A7A">
        <w:rPr>
          <w:b/>
          <w:i/>
        </w:rPr>
        <w:t>FW</w:t>
      </w:r>
      <w:r w:rsidR="00281BDA" w:rsidRPr="00F24A7A">
        <w:rPr>
          <w:b/>
          <w:i/>
        </w:rPr>
        <w:t> </w:t>
      </w:r>
      <w:r w:rsidR="00C81717" w:rsidRPr="00F24A7A">
        <w:rPr>
          <w:b/>
          <w:i/>
        </w:rPr>
        <w:t>Act</w:t>
      </w:r>
      <w:r w:rsidR="00C81717" w:rsidRPr="00F24A7A">
        <w:t>)</w:t>
      </w:r>
      <w:r w:rsidR="00F937D3" w:rsidRPr="00F24A7A">
        <w:t xml:space="preserve"> involving two </w:t>
      </w:r>
      <w:r w:rsidR="007A100A" w:rsidRPr="00F24A7A">
        <w:t xml:space="preserve">former </w:t>
      </w:r>
      <w:r w:rsidR="00F937D3" w:rsidRPr="00F24A7A">
        <w:t xml:space="preserve">employees </w:t>
      </w:r>
      <w:r w:rsidR="007A100A" w:rsidRPr="00F24A7A">
        <w:t xml:space="preserve">of a company </w:t>
      </w:r>
      <w:r w:rsidR="00F937D3" w:rsidRPr="00F24A7A">
        <w:t xml:space="preserve">in relation to </w:t>
      </w:r>
      <w:r w:rsidR="00281BDA" w:rsidRPr="00F24A7A">
        <w:t xml:space="preserve">failure to pay </w:t>
      </w:r>
      <w:r w:rsidR="00F937D3" w:rsidRPr="00F24A7A">
        <w:t xml:space="preserve">award entitlements and related </w:t>
      </w:r>
      <w:r w:rsidR="00281BDA" w:rsidRPr="00F24A7A">
        <w:t>conduct</w:t>
      </w:r>
      <w:r w:rsidRPr="00F24A7A">
        <w:t xml:space="preserve">.  </w:t>
      </w:r>
      <w:r w:rsidR="001D4F23" w:rsidRPr="00F24A7A">
        <w:t xml:space="preserve">The </w:t>
      </w:r>
      <w:r w:rsidR="00281BDA" w:rsidRPr="00F24A7A">
        <w:t xml:space="preserve">regulator </w:t>
      </w:r>
      <w:r w:rsidR="001D4F23" w:rsidRPr="00F24A7A">
        <w:t>applicant befor</w:t>
      </w:r>
      <w:r w:rsidR="001D4F23">
        <w:t>e the primary judge</w:t>
      </w:r>
      <w:r w:rsidR="003819FB">
        <w:t>,</w:t>
      </w:r>
      <w:r w:rsidR="001D4F23">
        <w:t xml:space="preserve"> and respondent </w:t>
      </w:r>
      <w:r w:rsidR="00386030">
        <w:t>to</w:t>
      </w:r>
      <w:r w:rsidR="001D4F23">
        <w:t xml:space="preserve"> this appeal</w:t>
      </w:r>
      <w:r w:rsidR="003819FB">
        <w:t>,</w:t>
      </w:r>
      <w:r w:rsidR="001D4F23">
        <w:t xml:space="preserve"> is the Fair Work Ombudsman (</w:t>
      </w:r>
      <w:r w:rsidR="001D4F23" w:rsidRPr="00281BDA">
        <w:rPr>
          <w:b/>
        </w:rPr>
        <w:t>FWO</w:t>
      </w:r>
      <w:r w:rsidR="001D4F23">
        <w:t xml:space="preserve">).  </w:t>
      </w:r>
      <w:r w:rsidR="00F937D3">
        <w:t xml:space="preserve">The first respondent before the primary judge was </w:t>
      </w:r>
      <w:r w:rsidR="007A100A">
        <w:t xml:space="preserve">the employer </w:t>
      </w:r>
      <w:r w:rsidR="00F937D3">
        <w:t>company</w:t>
      </w:r>
      <w:r w:rsidR="002A79D7">
        <w:t xml:space="preserve">, </w:t>
      </w:r>
      <w:proofErr w:type="spellStart"/>
      <w:r w:rsidR="002A79D7" w:rsidRPr="00281BDA">
        <w:rPr>
          <w:b/>
        </w:rPr>
        <w:t>Sinpek</w:t>
      </w:r>
      <w:proofErr w:type="spellEnd"/>
      <w:r w:rsidR="002A79D7" w:rsidRPr="00877184">
        <w:t xml:space="preserve"> Pty Ltd</w:t>
      </w:r>
      <w:r w:rsidR="000E4317">
        <w:t xml:space="preserve">.  </w:t>
      </w:r>
      <w:proofErr w:type="spellStart"/>
      <w:r w:rsidR="000E4317">
        <w:t>Sinpek</w:t>
      </w:r>
      <w:proofErr w:type="spellEnd"/>
      <w:r w:rsidR="00F937D3">
        <w:t xml:space="preserve"> went into liquidation not long before the first hearing day before his Honour.  The second respondent before the primary judge, and first appellant in this Court</w:t>
      </w:r>
      <w:r w:rsidR="00A401FA">
        <w:t>,</w:t>
      </w:r>
      <w:r w:rsidR="00F937D3">
        <w:t xml:space="preserve"> is Mr </w:t>
      </w:r>
      <w:proofErr w:type="spellStart"/>
      <w:r w:rsidR="00F937D3">
        <w:t>Kamaldeep</w:t>
      </w:r>
      <w:proofErr w:type="spellEnd"/>
      <w:r w:rsidR="00F937D3">
        <w:t xml:space="preserve"> Singh.  The third respondent before the primary judge, and second appellant in this Court, is Ms Uma Singh.  </w:t>
      </w:r>
      <w:r w:rsidR="00AE6EA4">
        <w:t xml:space="preserve">The appellants, </w:t>
      </w:r>
      <w:r w:rsidR="00F937D3">
        <w:t xml:space="preserve">Mr and Ms Singh, who are husband and wife, </w:t>
      </w:r>
      <w:r w:rsidR="007A100A">
        <w:t xml:space="preserve">were </w:t>
      </w:r>
      <w:r w:rsidR="00F937D3">
        <w:t xml:space="preserve">director and manager respectively of </w:t>
      </w:r>
      <w:proofErr w:type="spellStart"/>
      <w:r w:rsidR="00F937D3" w:rsidRPr="00877184">
        <w:t>Sinpek</w:t>
      </w:r>
      <w:proofErr w:type="spellEnd"/>
      <w:r w:rsidR="00AE6EA4">
        <w:t xml:space="preserve">.  They were </w:t>
      </w:r>
      <w:r w:rsidR="00F937D3">
        <w:t xml:space="preserve">found to be involved </w:t>
      </w:r>
      <w:r w:rsidR="00AE6EA4">
        <w:t xml:space="preserve">in contraventions by </w:t>
      </w:r>
      <w:proofErr w:type="spellStart"/>
      <w:r w:rsidR="00AE6EA4">
        <w:t>Sinpek</w:t>
      </w:r>
      <w:proofErr w:type="spellEnd"/>
      <w:r w:rsidR="00AE6EA4">
        <w:t xml:space="preserve"> </w:t>
      </w:r>
      <w:r w:rsidR="00F937D3">
        <w:t xml:space="preserve">in </w:t>
      </w:r>
      <w:r w:rsidR="007A100A">
        <w:t>that capacity</w:t>
      </w:r>
      <w:r w:rsidR="00AE6EA4">
        <w:t xml:space="preserve"> as detailed below</w:t>
      </w:r>
      <w:r w:rsidR="007A100A">
        <w:t xml:space="preserve">, </w:t>
      </w:r>
      <w:r w:rsidR="00F937D3">
        <w:t xml:space="preserve">and thereby liable.  </w:t>
      </w:r>
    </w:p>
    <w:p w14:paraId="25379875" w14:textId="5B079829" w:rsidR="00F937D3" w:rsidRDefault="00F937D3" w:rsidP="0051434F">
      <w:pPr>
        <w:pStyle w:val="ParaNumbering"/>
      </w:pPr>
      <w:r>
        <w:t xml:space="preserve">After a hearing over four days </w:t>
      </w:r>
      <w:r w:rsidR="007A100A">
        <w:t xml:space="preserve">separate days </w:t>
      </w:r>
      <w:r>
        <w:t xml:space="preserve">in August, September, November and December 2019, and after hearing further submissions on 20 </w:t>
      </w:r>
      <w:r w:rsidRPr="00F24A7A">
        <w:t>January 2020, the primary judge delivered a written judgment on liability</w:t>
      </w:r>
      <w:r w:rsidR="007A100A" w:rsidRPr="00F24A7A">
        <w:t xml:space="preserve"> and compensation</w:t>
      </w:r>
      <w:r w:rsidR="00281BDA" w:rsidRPr="00F24A7A">
        <w:t>:</w:t>
      </w:r>
      <w:r w:rsidRPr="00F24A7A">
        <w:t xml:space="preserve"> </w:t>
      </w:r>
      <w:r w:rsidRPr="00F24A7A">
        <w:rPr>
          <w:i/>
        </w:rPr>
        <w:t xml:space="preserve">Fair Work Ombudsman v </w:t>
      </w:r>
      <w:proofErr w:type="spellStart"/>
      <w:r w:rsidRPr="00F24A7A">
        <w:rPr>
          <w:i/>
        </w:rPr>
        <w:t>Sinpek</w:t>
      </w:r>
      <w:proofErr w:type="spellEnd"/>
      <w:r w:rsidRPr="00F24A7A">
        <w:rPr>
          <w:i/>
        </w:rPr>
        <w:t xml:space="preserve"> Pty Ltd (</w:t>
      </w:r>
      <w:r w:rsidR="00A401FA" w:rsidRPr="00F24A7A">
        <w:rPr>
          <w:i/>
        </w:rPr>
        <w:t>In </w:t>
      </w:r>
      <w:proofErr w:type="spellStart"/>
      <w:r w:rsidRPr="00F24A7A">
        <w:rPr>
          <w:i/>
        </w:rPr>
        <w:t>Liq</w:t>
      </w:r>
      <w:proofErr w:type="spellEnd"/>
      <w:r w:rsidRPr="00F24A7A">
        <w:rPr>
          <w:i/>
        </w:rPr>
        <w:t>) (No 3)</w:t>
      </w:r>
      <w:r w:rsidRPr="00F24A7A">
        <w:t xml:space="preserve"> [2020] FCCA 88 (</w:t>
      </w:r>
      <w:r w:rsidRPr="00F24A7A">
        <w:rPr>
          <w:b/>
        </w:rPr>
        <w:t>liability judgment</w:t>
      </w:r>
      <w:r w:rsidRPr="00F24A7A">
        <w:t>).  The liability judgment made declarations of contravention against Mr and Ms Singh and ordered</w:t>
      </w:r>
      <w:r w:rsidR="007A100A" w:rsidRPr="00F24A7A">
        <w:t xml:space="preserve"> them to pay compensation to the former employees with interest. </w:t>
      </w:r>
      <w:r w:rsidRPr="00F24A7A">
        <w:t xml:space="preserve"> His Honour then heard submissions on penalty, and later that day delivered an ex tempore judgment, subsequently published as </w:t>
      </w:r>
      <w:r w:rsidRPr="00F24A7A">
        <w:rPr>
          <w:i/>
        </w:rPr>
        <w:t xml:space="preserve">Fair Work Ombudsman v </w:t>
      </w:r>
      <w:proofErr w:type="spellStart"/>
      <w:r w:rsidRPr="00F24A7A">
        <w:rPr>
          <w:i/>
        </w:rPr>
        <w:t>Sinpek</w:t>
      </w:r>
      <w:proofErr w:type="spellEnd"/>
      <w:r w:rsidRPr="00F24A7A">
        <w:rPr>
          <w:i/>
        </w:rPr>
        <w:t xml:space="preserve"> Pty Ltd (In </w:t>
      </w:r>
      <w:proofErr w:type="spellStart"/>
      <w:r w:rsidRPr="00F24A7A">
        <w:rPr>
          <w:i/>
        </w:rPr>
        <w:t>Liq</w:t>
      </w:r>
      <w:proofErr w:type="spellEnd"/>
      <w:r w:rsidRPr="00F24A7A">
        <w:rPr>
          <w:i/>
        </w:rPr>
        <w:t>) (No 4)</w:t>
      </w:r>
      <w:r w:rsidRPr="00F24A7A">
        <w:t xml:space="preserve"> [2020] FCCA 97 (</w:t>
      </w:r>
      <w:r w:rsidRPr="005364D5">
        <w:rPr>
          <w:b/>
        </w:rPr>
        <w:t>penalty judgment</w:t>
      </w:r>
      <w:r>
        <w:t xml:space="preserve">).  </w:t>
      </w:r>
    </w:p>
    <w:p w14:paraId="60E08B5B" w14:textId="5526C5A4" w:rsidR="0051434F" w:rsidRDefault="00711DB7" w:rsidP="0051434F">
      <w:pPr>
        <w:pStyle w:val="ParaNumbering"/>
      </w:pPr>
      <w:r>
        <w:t>There is no appe</w:t>
      </w:r>
      <w:r w:rsidRPr="001F4FC6">
        <w:t>al against the liability judgment</w:t>
      </w:r>
      <w:r>
        <w:t xml:space="preserve">.  </w:t>
      </w:r>
      <w:r w:rsidR="007A100A">
        <w:t>The c</w:t>
      </w:r>
      <w:r w:rsidR="00386030">
        <w:t>ompensation order</w:t>
      </w:r>
      <w:r w:rsidR="007A100A">
        <w:t>ed</w:t>
      </w:r>
      <w:r w:rsidR="00386030">
        <w:t xml:space="preserve"> ha</w:t>
      </w:r>
      <w:r w:rsidR="007A100A">
        <w:t>s</w:t>
      </w:r>
      <w:r w:rsidR="00386030">
        <w:t xml:space="preserve"> been paid</w:t>
      </w:r>
      <w:r w:rsidR="00281BDA">
        <w:t xml:space="preserve">.  </w:t>
      </w:r>
      <w:r w:rsidR="00281BDA" w:rsidRPr="008454E9">
        <w:t xml:space="preserve">This </w:t>
      </w:r>
      <w:r w:rsidR="00386030" w:rsidRPr="008454E9">
        <w:t xml:space="preserve">appeal is confined to the quantum of the penalties imposed upon Mr and Ms Singh.  </w:t>
      </w:r>
      <w:r w:rsidR="00F72417" w:rsidRPr="0085368F">
        <w:t>In s</w:t>
      </w:r>
      <w:r w:rsidR="00386030" w:rsidRPr="0085368F">
        <w:t xml:space="preserve">uch an </w:t>
      </w:r>
      <w:r w:rsidRPr="0085368F">
        <w:t>appeal by way of rehearing</w:t>
      </w:r>
      <w:r w:rsidR="004F5828">
        <w:t>,</w:t>
      </w:r>
      <w:r w:rsidRPr="0085368F">
        <w:t xml:space="preserve"> the appellants must demonstrate error on the part of the primary judge in relation to the </w:t>
      </w:r>
      <w:r w:rsidRPr="006057C5">
        <w:t xml:space="preserve">exercise of </w:t>
      </w:r>
      <w:r w:rsidR="000E4317">
        <w:t xml:space="preserve">the penalty imposition </w:t>
      </w:r>
      <w:r w:rsidRPr="006057C5">
        <w:t>discretion</w:t>
      </w:r>
      <w:r w:rsidR="0085368F">
        <w:t>:</w:t>
      </w:r>
      <w:r w:rsidR="00777527">
        <w:t xml:space="preserve"> </w:t>
      </w:r>
      <w:r w:rsidR="00777527">
        <w:rPr>
          <w:i/>
        </w:rPr>
        <w:t>House v The King</w:t>
      </w:r>
      <w:r w:rsidR="00777527">
        <w:t xml:space="preserve"> (1936) 55 CLR 499, 505; see also</w:t>
      </w:r>
      <w:r w:rsidR="0085368F">
        <w:t xml:space="preserve"> </w:t>
      </w:r>
      <w:r w:rsidR="0085368F" w:rsidRPr="00C007A4">
        <w:rPr>
          <w:bCs/>
          <w:i/>
          <w:szCs w:val="24"/>
          <w:lang w:eastAsia="en-AU"/>
        </w:rPr>
        <w:t xml:space="preserve">Aldi Foods Pty Ltd </w:t>
      </w:r>
      <w:r w:rsidR="0085368F" w:rsidRPr="0085368F">
        <w:rPr>
          <w:bCs/>
          <w:i/>
          <w:szCs w:val="24"/>
          <w:lang w:eastAsia="en-AU"/>
        </w:rPr>
        <w:t xml:space="preserve">v </w:t>
      </w:r>
      <w:proofErr w:type="spellStart"/>
      <w:r w:rsidR="0085368F" w:rsidRPr="00A401FA">
        <w:rPr>
          <w:bCs/>
          <w:i/>
          <w:szCs w:val="24"/>
          <w:lang w:eastAsia="en-AU"/>
        </w:rPr>
        <w:t>Moroccanoil</w:t>
      </w:r>
      <w:proofErr w:type="spellEnd"/>
      <w:r w:rsidR="0085368F" w:rsidRPr="0085368F">
        <w:rPr>
          <w:bCs/>
          <w:i/>
          <w:szCs w:val="24"/>
          <w:lang w:eastAsia="en-AU"/>
        </w:rPr>
        <w:t xml:space="preserve"> I</w:t>
      </w:r>
      <w:r w:rsidR="0085368F" w:rsidRPr="00C007A4">
        <w:rPr>
          <w:bCs/>
          <w:i/>
          <w:szCs w:val="24"/>
          <w:lang w:eastAsia="en-AU"/>
        </w:rPr>
        <w:t>srael Ltd</w:t>
      </w:r>
      <w:r w:rsidR="0085368F" w:rsidRPr="00C007A4">
        <w:rPr>
          <w:bCs/>
          <w:szCs w:val="24"/>
          <w:lang w:eastAsia="en-AU"/>
        </w:rPr>
        <w:t xml:space="preserve"> </w:t>
      </w:r>
      <w:r w:rsidR="0085368F" w:rsidRPr="00C007A4">
        <w:rPr>
          <w:szCs w:val="24"/>
          <w:lang w:eastAsia="en-AU"/>
        </w:rPr>
        <w:t>[2018] FCAFC 93; 261 FCR 301</w:t>
      </w:r>
      <w:r w:rsidR="0085368F" w:rsidRPr="00E873A2">
        <w:rPr>
          <w:szCs w:val="24"/>
          <w:lang w:eastAsia="en-AU"/>
        </w:rPr>
        <w:t xml:space="preserve"> at [45]</w:t>
      </w:r>
      <w:r w:rsidR="0085368F">
        <w:rPr>
          <w:szCs w:val="24"/>
          <w:lang w:eastAsia="en-AU"/>
        </w:rPr>
        <w:t xml:space="preserve">; </w:t>
      </w:r>
      <w:proofErr w:type="spellStart"/>
      <w:r w:rsidR="0085368F" w:rsidRPr="00C007A4">
        <w:rPr>
          <w:i/>
        </w:rPr>
        <w:t>Branir</w:t>
      </w:r>
      <w:proofErr w:type="spellEnd"/>
      <w:r w:rsidR="0085368F" w:rsidRPr="00C007A4">
        <w:rPr>
          <w:i/>
        </w:rPr>
        <w:t xml:space="preserve"> Pty Ltd v </w:t>
      </w:r>
      <w:proofErr w:type="spellStart"/>
      <w:r w:rsidR="0085368F" w:rsidRPr="00C007A4">
        <w:rPr>
          <w:i/>
        </w:rPr>
        <w:t>Owston</w:t>
      </w:r>
      <w:proofErr w:type="spellEnd"/>
      <w:r w:rsidR="0085368F" w:rsidRPr="00C007A4">
        <w:rPr>
          <w:i/>
        </w:rPr>
        <w:t xml:space="preserve"> Nominees (No 2) Pty Ltd </w:t>
      </w:r>
      <w:r w:rsidR="0085368F" w:rsidRPr="00C007A4">
        <w:t>[2001] FCA 1833; 117 FCR 424</w:t>
      </w:r>
      <w:r w:rsidR="0085368F" w:rsidRPr="008B586D">
        <w:t xml:space="preserve"> (Full Court) </w:t>
      </w:r>
      <w:r w:rsidR="0085368F">
        <w:t>at [21]-[25]</w:t>
      </w:r>
      <w:r w:rsidRPr="0085368F">
        <w:t>.</w:t>
      </w:r>
      <w:r>
        <w:t xml:space="preserve">  Demonstratin</w:t>
      </w:r>
      <w:r w:rsidRPr="006057C5">
        <w:t xml:space="preserve">g error in the exercise of </w:t>
      </w:r>
      <w:r w:rsidR="000E4317">
        <w:t xml:space="preserve">that </w:t>
      </w:r>
      <w:r w:rsidRPr="006057C5">
        <w:t>discretion</w:t>
      </w:r>
      <w:r>
        <w:t xml:space="preserve"> </w:t>
      </w:r>
      <w:r>
        <w:lastRenderedPageBreak/>
        <w:t xml:space="preserve">is no easy task.  It is not enough that this Court might have reached a different conclusion on the same facts and evidence.  </w:t>
      </w:r>
    </w:p>
    <w:p w14:paraId="214F0D82" w14:textId="77777777" w:rsidR="00AE6EA4" w:rsidRDefault="00AE6EA4" w:rsidP="00AE6EA4">
      <w:pPr>
        <w:pStyle w:val="Heading2"/>
      </w:pPr>
      <w:r>
        <w:t>Contraventions established and penalties imposed</w:t>
      </w:r>
    </w:p>
    <w:p w14:paraId="70C5F9D5" w14:textId="58D7DC96" w:rsidR="00C81717" w:rsidRDefault="00C81717" w:rsidP="00BD5E85">
      <w:pPr>
        <w:pStyle w:val="ParaNumbering"/>
      </w:pPr>
      <w:proofErr w:type="spellStart"/>
      <w:r>
        <w:t>Sinpek</w:t>
      </w:r>
      <w:proofErr w:type="spellEnd"/>
      <w:r>
        <w:t xml:space="preserve"> operated a petrol station and convenience store, including a caf</w:t>
      </w:r>
      <w:r w:rsidR="006057C5">
        <w:t>e</w:t>
      </w:r>
      <w:r>
        <w:t>, at Doyalson on the Central Coast of New South Wales, trading continuously “</w:t>
      </w:r>
      <w:r w:rsidRPr="002742BB">
        <w:t>24/7</w:t>
      </w:r>
      <w:r>
        <w:t>”.  The business was sold</w:t>
      </w:r>
      <w:r w:rsidR="006057C5">
        <w:t xml:space="preserve"> </w:t>
      </w:r>
      <w:r>
        <w:t>on 26</w:t>
      </w:r>
      <w:r w:rsidR="00281BDA">
        <w:t> </w:t>
      </w:r>
      <w:r>
        <w:t>July 2018</w:t>
      </w:r>
      <w:r w:rsidR="000A7890" w:rsidRPr="000A7890">
        <w:t xml:space="preserve"> </w:t>
      </w:r>
      <w:r w:rsidR="000A7890">
        <w:t xml:space="preserve">and the premises </w:t>
      </w:r>
      <w:r w:rsidR="000E4317">
        <w:t xml:space="preserve">were </w:t>
      </w:r>
      <w:r w:rsidR="000A7890">
        <w:t>apparently vacated the same day</w:t>
      </w:r>
      <w:r>
        <w:t xml:space="preserve">.  </w:t>
      </w:r>
      <w:proofErr w:type="spellStart"/>
      <w:r>
        <w:t>Sinpek</w:t>
      </w:r>
      <w:proofErr w:type="spellEnd"/>
      <w:r>
        <w:t xml:space="preserve"> </w:t>
      </w:r>
      <w:r w:rsidR="00281BDA">
        <w:t xml:space="preserve">was found to have </w:t>
      </w:r>
      <w:r>
        <w:t xml:space="preserve">contravened the </w:t>
      </w:r>
      <w:r w:rsidRPr="008D499E">
        <w:rPr>
          <w:i/>
        </w:rPr>
        <w:t xml:space="preserve">FW Act </w:t>
      </w:r>
      <w:r>
        <w:t>in relation to two of its employees</w:t>
      </w:r>
      <w:r w:rsidR="008D499E">
        <w:t xml:space="preserve">, Mr </w:t>
      </w:r>
      <w:r w:rsidR="008D499E" w:rsidRPr="008D499E">
        <w:t xml:space="preserve">Sandeep Singh </w:t>
      </w:r>
      <w:proofErr w:type="spellStart"/>
      <w:r w:rsidR="008D499E" w:rsidRPr="008D499E">
        <w:t>Dhariwal</w:t>
      </w:r>
      <w:proofErr w:type="spellEnd"/>
      <w:r w:rsidR="008D499E">
        <w:t xml:space="preserve"> and Ms Raman </w:t>
      </w:r>
      <w:proofErr w:type="spellStart"/>
      <w:r w:rsidR="008D499E">
        <w:t>Kumari</w:t>
      </w:r>
      <w:proofErr w:type="spellEnd"/>
      <w:r w:rsidR="008D499E">
        <w:t xml:space="preserve">, </w:t>
      </w:r>
      <w:r>
        <w:t>during the period from 8</w:t>
      </w:r>
      <w:r w:rsidR="00281BDA">
        <w:t> </w:t>
      </w:r>
      <w:r>
        <w:t xml:space="preserve">January 2015 to 10 August 2016.  Mr and Ms Singh were </w:t>
      </w:r>
      <w:r w:rsidR="00281BDA">
        <w:t xml:space="preserve">found to be </w:t>
      </w:r>
      <w:r>
        <w:t xml:space="preserve">involved in </w:t>
      </w:r>
      <w:proofErr w:type="spellStart"/>
      <w:r w:rsidR="00281BDA">
        <w:t>Sinpek’s</w:t>
      </w:r>
      <w:proofErr w:type="spellEnd"/>
      <w:r w:rsidR="00281BDA">
        <w:t xml:space="preserve"> </w:t>
      </w:r>
      <w:r>
        <w:t xml:space="preserve">contraventions and thereby liable for </w:t>
      </w:r>
      <w:r w:rsidR="00281BDA">
        <w:t xml:space="preserve">them </w:t>
      </w:r>
      <w:r>
        <w:t xml:space="preserve">under s 550 of the </w:t>
      </w:r>
      <w:r w:rsidRPr="008D499E">
        <w:rPr>
          <w:i/>
        </w:rPr>
        <w:t>FW Act</w:t>
      </w:r>
      <w:r>
        <w:t xml:space="preserve">.  </w:t>
      </w:r>
    </w:p>
    <w:p w14:paraId="760E56C3" w14:textId="77777777" w:rsidR="008D499E" w:rsidRDefault="00BD562D" w:rsidP="00BD5E85">
      <w:pPr>
        <w:pStyle w:val="ParaNumbering"/>
      </w:pPr>
      <w:r>
        <w:t xml:space="preserve">The </w:t>
      </w:r>
      <w:r w:rsidR="00800EBB">
        <w:t xml:space="preserve">substance of the </w:t>
      </w:r>
      <w:r>
        <w:t xml:space="preserve">declarations </w:t>
      </w:r>
      <w:r w:rsidR="00800EBB">
        <w:t>were that:</w:t>
      </w:r>
    </w:p>
    <w:p w14:paraId="1F2376BF" w14:textId="35ED89D4" w:rsidR="00BD562D" w:rsidRDefault="008D499E" w:rsidP="008D499E">
      <w:pPr>
        <w:pStyle w:val="ListNo1"/>
      </w:pPr>
      <w:r>
        <w:t xml:space="preserve">both </w:t>
      </w:r>
      <w:r w:rsidR="007A100A">
        <w:t>Mr and Ms Singh were involved in contraventions</w:t>
      </w:r>
      <w:r w:rsidR="00AC7B9D">
        <w:t xml:space="preserve"> of the following provisions</w:t>
      </w:r>
      <w:r w:rsidR="007A100A">
        <w:t>:</w:t>
      </w:r>
    </w:p>
    <w:p w14:paraId="2E8F3343" w14:textId="77777777" w:rsidR="00BD562D" w:rsidRDefault="008D499E" w:rsidP="008D499E">
      <w:pPr>
        <w:pStyle w:val="ListNo2"/>
      </w:pPr>
      <w:r>
        <w:rPr>
          <w:szCs w:val="24"/>
          <w:lang w:eastAsia="en-AU"/>
        </w:rPr>
        <w:t>s </w:t>
      </w:r>
      <w:r w:rsidRPr="008D499E">
        <w:rPr>
          <w:szCs w:val="24"/>
          <w:lang w:eastAsia="en-AU"/>
        </w:rPr>
        <w:t xml:space="preserve">45 of the </w:t>
      </w:r>
      <w:r w:rsidRPr="008D499E">
        <w:rPr>
          <w:i/>
          <w:szCs w:val="24"/>
          <w:lang w:eastAsia="en-AU"/>
        </w:rPr>
        <w:t>FW Act</w:t>
      </w:r>
      <w:r>
        <w:rPr>
          <w:szCs w:val="24"/>
          <w:lang w:eastAsia="en-AU"/>
        </w:rPr>
        <w:t xml:space="preserve"> </w:t>
      </w:r>
      <w:r w:rsidRPr="008D499E">
        <w:rPr>
          <w:szCs w:val="24"/>
          <w:lang w:eastAsia="en-AU"/>
        </w:rPr>
        <w:t xml:space="preserve">by failing to pay to Ms </w:t>
      </w:r>
      <w:proofErr w:type="spellStart"/>
      <w:r w:rsidRPr="008D499E">
        <w:rPr>
          <w:szCs w:val="24"/>
          <w:lang w:eastAsia="en-AU"/>
        </w:rPr>
        <w:t>Kumari</w:t>
      </w:r>
      <w:proofErr w:type="spellEnd"/>
      <w:r w:rsidRPr="008D499E">
        <w:rPr>
          <w:szCs w:val="24"/>
          <w:lang w:eastAsia="en-AU"/>
        </w:rPr>
        <w:t xml:space="preserve"> the </w:t>
      </w:r>
      <w:r w:rsidR="00281BDA" w:rsidRPr="008D499E">
        <w:rPr>
          <w:szCs w:val="24"/>
          <w:lang w:eastAsia="en-AU"/>
        </w:rPr>
        <w:t>minimum full-time hourly rates</w:t>
      </w:r>
      <w:r w:rsidRPr="008D499E">
        <w:rPr>
          <w:szCs w:val="24"/>
          <w:lang w:eastAsia="en-AU"/>
        </w:rPr>
        <w:t xml:space="preserve"> as required by cl</w:t>
      </w:r>
      <w:r>
        <w:rPr>
          <w:szCs w:val="24"/>
          <w:lang w:eastAsia="en-AU"/>
        </w:rPr>
        <w:t xml:space="preserve"> 33.4 of the </w:t>
      </w:r>
      <w:r w:rsidR="007A100A" w:rsidRPr="002742BB">
        <w:rPr>
          <w:i/>
        </w:rPr>
        <w:t>Vehicle Manufacturing, Repair, Services and Retail Award 2010</w:t>
      </w:r>
      <w:r w:rsidR="007A100A">
        <w:t xml:space="preserve"> </w:t>
      </w:r>
      <w:r w:rsidR="007A100A" w:rsidRPr="007A100A">
        <w:t>(</w:t>
      </w:r>
      <w:r w:rsidR="007A100A" w:rsidRPr="002742BB">
        <w:rPr>
          <w:b/>
          <w:i/>
        </w:rPr>
        <w:t>Modern Award</w:t>
      </w:r>
      <w:r w:rsidR="007A100A" w:rsidRPr="007A100A">
        <w:t>)</w:t>
      </w:r>
      <w:r>
        <w:t>;</w:t>
      </w:r>
    </w:p>
    <w:p w14:paraId="64F98847" w14:textId="6516C411" w:rsidR="00AC7B9D" w:rsidRDefault="00AC7B9D" w:rsidP="008D499E">
      <w:pPr>
        <w:pStyle w:val="ListNo2"/>
      </w:pPr>
      <w:r>
        <w:t>s</w:t>
      </w:r>
      <w:r w:rsidR="000E4317">
        <w:t> </w:t>
      </w:r>
      <w:r>
        <w:t xml:space="preserve">45 of the </w:t>
      </w:r>
      <w:r>
        <w:rPr>
          <w:i/>
        </w:rPr>
        <w:t>FW Act</w:t>
      </w:r>
      <w:r>
        <w:t xml:space="preserve"> by failing to pay to Ms </w:t>
      </w:r>
      <w:proofErr w:type="spellStart"/>
      <w:r>
        <w:t>Kumari</w:t>
      </w:r>
      <w:proofErr w:type="spellEnd"/>
      <w:r>
        <w:t xml:space="preserve"> the </w:t>
      </w:r>
      <w:proofErr w:type="spellStart"/>
      <w:r>
        <w:t>Shiftwork</w:t>
      </w:r>
      <w:proofErr w:type="spellEnd"/>
      <w:r>
        <w:t xml:space="preserve"> Loading Rates as required by cl</w:t>
      </w:r>
      <w:r w:rsidR="000E4317">
        <w:t> </w:t>
      </w:r>
      <w:r>
        <w:t xml:space="preserve">42.2 of the </w:t>
      </w:r>
      <w:r>
        <w:rPr>
          <w:i/>
        </w:rPr>
        <w:t>Modern Award</w:t>
      </w:r>
      <w:r>
        <w:t>;</w:t>
      </w:r>
    </w:p>
    <w:p w14:paraId="5B27F8B6" w14:textId="1177C206" w:rsidR="00AC7B9D" w:rsidRPr="002742BB" w:rsidRDefault="00AC7B9D" w:rsidP="008D499E">
      <w:pPr>
        <w:pStyle w:val="ListNo2"/>
      </w:pPr>
      <w:r>
        <w:t>s</w:t>
      </w:r>
      <w:r w:rsidR="000E4317">
        <w:t> </w:t>
      </w:r>
      <w:r>
        <w:t xml:space="preserve">45 of the </w:t>
      </w:r>
      <w:r>
        <w:rPr>
          <w:i/>
        </w:rPr>
        <w:t>FW Act</w:t>
      </w:r>
      <w:r>
        <w:t xml:space="preserve"> by failing to pay to Ms </w:t>
      </w:r>
      <w:proofErr w:type="spellStart"/>
      <w:r>
        <w:t>Kumari</w:t>
      </w:r>
      <w:proofErr w:type="spellEnd"/>
      <w:r>
        <w:t xml:space="preserve"> the Full-time Saturday Rates as required by cl</w:t>
      </w:r>
      <w:r w:rsidR="000E4317">
        <w:t> </w:t>
      </w:r>
      <w:r>
        <w:t xml:space="preserve">43.3(a)(i) of the </w:t>
      </w:r>
      <w:r>
        <w:rPr>
          <w:i/>
        </w:rPr>
        <w:t>Modern Award</w:t>
      </w:r>
      <w:r>
        <w:t>;</w:t>
      </w:r>
    </w:p>
    <w:p w14:paraId="3DEEC1A1" w14:textId="537A4B66" w:rsidR="00AC7B9D" w:rsidRPr="002742BB" w:rsidRDefault="00AC7B9D" w:rsidP="002742BB">
      <w:pPr>
        <w:pStyle w:val="ListNo2"/>
      </w:pPr>
      <w:r>
        <w:t>s</w:t>
      </w:r>
      <w:r w:rsidR="000E4317">
        <w:t> </w:t>
      </w:r>
      <w:r w:rsidRPr="00AC7B9D">
        <w:t xml:space="preserve">45 of the </w:t>
      </w:r>
      <w:r>
        <w:rPr>
          <w:i/>
          <w:iCs/>
        </w:rPr>
        <w:t>FW Act</w:t>
      </w:r>
      <w:r>
        <w:t xml:space="preserve"> by failing to pay each of Mr </w:t>
      </w:r>
      <w:proofErr w:type="spellStart"/>
      <w:r>
        <w:t>Dhariwal</w:t>
      </w:r>
      <w:proofErr w:type="spellEnd"/>
      <w:r>
        <w:t xml:space="preserve"> and M</w:t>
      </w:r>
      <w:r w:rsidRPr="00AC7B9D">
        <w:t xml:space="preserve">s </w:t>
      </w:r>
      <w:proofErr w:type="spellStart"/>
      <w:r w:rsidRPr="00AC7B9D">
        <w:t>Kumari</w:t>
      </w:r>
      <w:proofErr w:type="spellEnd"/>
      <w:r w:rsidRPr="00AC7B9D">
        <w:t xml:space="preserve"> the Full-time Sunday Rates as required</w:t>
      </w:r>
      <w:r>
        <w:t xml:space="preserve"> by cl</w:t>
      </w:r>
      <w:r w:rsidR="000E4317">
        <w:t> </w:t>
      </w:r>
      <w:r w:rsidRPr="00AC7B9D">
        <w:t xml:space="preserve">43.3(a)(ii) of the </w:t>
      </w:r>
      <w:r w:rsidRPr="002742BB">
        <w:rPr>
          <w:i/>
        </w:rPr>
        <w:t>Modern Award</w:t>
      </w:r>
      <w:r w:rsidRPr="00AC7B9D">
        <w:t>;</w:t>
      </w:r>
    </w:p>
    <w:p w14:paraId="7B11C15A" w14:textId="65831323" w:rsidR="00AC7B9D" w:rsidRPr="002742BB" w:rsidRDefault="00AC7B9D" w:rsidP="002742BB">
      <w:pPr>
        <w:pStyle w:val="ListNo2"/>
      </w:pPr>
      <w:r>
        <w:t>s</w:t>
      </w:r>
      <w:r w:rsidR="000E4317">
        <w:t> </w:t>
      </w:r>
      <w:r>
        <w:t>45</w:t>
      </w:r>
      <w:r w:rsidRPr="00AC7B9D">
        <w:t xml:space="preserve"> of the </w:t>
      </w:r>
      <w:r>
        <w:rPr>
          <w:i/>
          <w:iCs/>
        </w:rPr>
        <w:t>FW Act</w:t>
      </w:r>
      <w:r>
        <w:rPr>
          <w:iCs/>
        </w:rPr>
        <w:t xml:space="preserve"> </w:t>
      </w:r>
      <w:r>
        <w:t xml:space="preserve">by failing to pay each of Mr </w:t>
      </w:r>
      <w:proofErr w:type="spellStart"/>
      <w:r>
        <w:t>Dhariwal</w:t>
      </w:r>
      <w:proofErr w:type="spellEnd"/>
      <w:r>
        <w:t xml:space="preserve"> and M</w:t>
      </w:r>
      <w:r w:rsidRPr="00AC7B9D">
        <w:t xml:space="preserve">s </w:t>
      </w:r>
      <w:proofErr w:type="spellStart"/>
      <w:r w:rsidRPr="00AC7B9D">
        <w:t>Kumari</w:t>
      </w:r>
      <w:proofErr w:type="spellEnd"/>
      <w:r w:rsidRPr="00AC7B9D">
        <w:t xml:space="preserve"> Public Holiday Rates as required by</w:t>
      </w:r>
      <w:r>
        <w:t xml:space="preserve"> </w:t>
      </w:r>
      <w:r w:rsidR="004A0223">
        <w:t>cl</w:t>
      </w:r>
      <w:r w:rsidR="000E4317">
        <w:t> </w:t>
      </w:r>
      <w:r w:rsidRPr="00AC7B9D">
        <w:t xml:space="preserve">43.3(a)(iii) of the </w:t>
      </w:r>
      <w:r w:rsidRPr="002742BB">
        <w:rPr>
          <w:i/>
        </w:rPr>
        <w:t>Modern Award</w:t>
      </w:r>
      <w:r w:rsidRPr="00AC7B9D">
        <w:t>;</w:t>
      </w:r>
    </w:p>
    <w:p w14:paraId="54D02615" w14:textId="4A0F4416" w:rsidR="004A0223" w:rsidRPr="002742BB" w:rsidRDefault="004A0223" w:rsidP="002742BB">
      <w:pPr>
        <w:pStyle w:val="ListNo2"/>
      </w:pPr>
      <w:r>
        <w:t>s</w:t>
      </w:r>
      <w:r w:rsidR="000E4317">
        <w:t> </w:t>
      </w:r>
      <w:r>
        <w:t>45</w:t>
      </w:r>
      <w:r w:rsidRPr="004A0223">
        <w:t xml:space="preserve"> of the </w:t>
      </w:r>
      <w:r w:rsidRPr="004A0223">
        <w:rPr>
          <w:i/>
          <w:iCs/>
        </w:rPr>
        <w:t>F</w:t>
      </w:r>
      <w:r>
        <w:rPr>
          <w:i/>
          <w:iCs/>
        </w:rPr>
        <w:t>W Act</w:t>
      </w:r>
      <w:r>
        <w:t xml:space="preserve"> by failing to pay each of Mr </w:t>
      </w:r>
      <w:proofErr w:type="spellStart"/>
      <w:r>
        <w:t>Dhariwal</w:t>
      </w:r>
      <w:proofErr w:type="spellEnd"/>
      <w:r>
        <w:t xml:space="preserve"> and M</w:t>
      </w:r>
      <w:r w:rsidRPr="004A0223">
        <w:t xml:space="preserve">s </w:t>
      </w:r>
      <w:proofErr w:type="spellStart"/>
      <w:r w:rsidRPr="004A0223">
        <w:t>Kumari</w:t>
      </w:r>
      <w:proofErr w:type="spellEnd"/>
      <w:r w:rsidRPr="004A0223">
        <w:t xml:space="preserve"> overtime rates for overtime hours</w:t>
      </w:r>
      <w:r>
        <w:t xml:space="preserve"> </w:t>
      </w:r>
      <w:r w:rsidRPr="004A0223">
        <w:t>worked between Monday to Saturday as r</w:t>
      </w:r>
      <w:r>
        <w:t>equired by cl</w:t>
      </w:r>
      <w:r w:rsidR="000E4317">
        <w:t> </w:t>
      </w:r>
      <w:r w:rsidRPr="004A0223">
        <w:t>43.4(a)(i)</w:t>
      </w:r>
      <w:r>
        <w:t xml:space="preserve"> </w:t>
      </w:r>
      <w:r w:rsidRPr="004A0223">
        <w:t xml:space="preserve">of the </w:t>
      </w:r>
      <w:r w:rsidRPr="002742BB">
        <w:rPr>
          <w:i/>
        </w:rPr>
        <w:t>Modern Award</w:t>
      </w:r>
      <w:r w:rsidRPr="004A0223">
        <w:t>;</w:t>
      </w:r>
    </w:p>
    <w:p w14:paraId="72BF7549" w14:textId="7A78CED8" w:rsidR="004A0223" w:rsidRPr="002742BB" w:rsidRDefault="004A0223" w:rsidP="002742BB">
      <w:pPr>
        <w:pStyle w:val="ListNo2"/>
      </w:pPr>
      <w:r>
        <w:t>s</w:t>
      </w:r>
      <w:r w:rsidR="000E4317">
        <w:t> </w:t>
      </w:r>
      <w:r>
        <w:t xml:space="preserve">45 </w:t>
      </w:r>
      <w:r w:rsidRPr="004A0223">
        <w:t xml:space="preserve">of the </w:t>
      </w:r>
      <w:r w:rsidRPr="004A0223">
        <w:rPr>
          <w:i/>
          <w:iCs/>
        </w:rPr>
        <w:t>F</w:t>
      </w:r>
      <w:r>
        <w:rPr>
          <w:i/>
          <w:iCs/>
        </w:rPr>
        <w:t>W Act</w:t>
      </w:r>
      <w:r>
        <w:t xml:space="preserve"> by failing to pay each of Mr </w:t>
      </w:r>
      <w:proofErr w:type="spellStart"/>
      <w:r>
        <w:t>Dhariwal</w:t>
      </w:r>
      <w:proofErr w:type="spellEnd"/>
      <w:r>
        <w:t xml:space="preserve"> and M</w:t>
      </w:r>
      <w:r w:rsidRPr="004A0223">
        <w:t xml:space="preserve">s </w:t>
      </w:r>
      <w:proofErr w:type="spellStart"/>
      <w:r w:rsidRPr="004A0223">
        <w:t>Kumari</w:t>
      </w:r>
      <w:proofErr w:type="spellEnd"/>
      <w:r w:rsidRPr="004A0223">
        <w:t xml:space="preserve"> overtime rates for overtime hours</w:t>
      </w:r>
      <w:r>
        <w:t xml:space="preserve"> </w:t>
      </w:r>
      <w:r w:rsidRPr="004A0223">
        <w:t>work</w:t>
      </w:r>
      <w:r>
        <w:t>ed on Sundays as required by cl</w:t>
      </w:r>
      <w:r w:rsidR="000E4317">
        <w:t> </w:t>
      </w:r>
      <w:r w:rsidRPr="004A0223">
        <w:t xml:space="preserve">43.4(a)(ii) of the </w:t>
      </w:r>
      <w:r w:rsidRPr="002742BB">
        <w:rPr>
          <w:i/>
        </w:rPr>
        <w:t>Modern Award</w:t>
      </w:r>
      <w:r w:rsidRPr="004A0223">
        <w:t>;</w:t>
      </w:r>
    </w:p>
    <w:p w14:paraId="3842CC7D" w14:textId="26AA1847" w:rsidR="004A0223" w:rsidRPr="002742BB" w:rsidRDefault="004A0223" w:rsidP="002742BB">
      <w:pPr>
        <w:pStyle w:val="ListNo2"/>
      </w:pPr>
      <w:r>
        <w:lastRenderedPageBreak/>
        <w:t>s</w:t>
      </w:r>
      <w:r w:rsidR="000E4317">
        <w:t> </w:t>
      </w:r>
      <w:r>
        <w:t xml:space="preserve">45 </w:t>
      </w:r>
      <w:r w:rsidRPr="004A0223">
        <w:t xml:space="preserve">of the </w:t>
      </w:r>
      <w:r>
        <w:rPr>
          <w:i/>
          <w:iCs/>
        </w:rPr>
        <w:t>FW Act</w:t>
      </w:r>
      <w:r>
        <w:rPr>
          <w:iCs/>
        </w:rPr>
        <w:t xml:space="preserve"> </w:t>
      </w:r>
      <w:r>
        <w:t xml:space="preserve">by failing to pay each of Mr </w:t>
      </w:r>
      <w:proofErr w:type="spellStart"/>
      <w:r>
        <w:t>Dhariwal</w:t>
      </w:r>
      <w:proofErr w:type="spellEnd"/>
      <w:r>
        <w:t xml:space="preserve"> and M</w:t>
      </w:r>
      <w:r w:rsidRPr="004A0223">
        <w:t xml:space="preserve">s </w:t>
      </w:r>
      <w:proofErr w:type="spellStart"/>
      <w:r w:rsidRPr="004A0223">
        <w:t>Kumari</w:t>
      </w:r>
      <w:proofErr w:type="spellEnd"/>
      <w:r w:rsidRPr="004A0223">
        <w:t xml:space="preserve"> overtime rates for overtime hours</w:t>
      </w:r>
      <w:r>
        <w:t xml:space="preserve"> </w:t>
      </w:r>
      <w:r w:rsidRPr="004A0223">
        <w:t>worked on public holidays as requi</w:t>
      </w:r>
      <w:r>
        <w:t>red by cl</w:t>
      </w:r>
      <w:r w:rsidR="000E4317">
        <w:t> </w:t>
      </w:r>
      <w:r>
        <w:t>4</w:t>
      </w:r>
      <w:r w:rsidRPr="004A0223">
        <w:t>3.4(a)(iii) of the</w:t>
      </w:r>
      <w:r>
        <w:t xml:space="preserve"> </w:t>
      </w:r>
      <w:r w:rsidRPr="002742BB">
        <w:rPr>
          <w:i/>
        </w:rPr>
        <w:t>Modern Award</w:t>
      </w:r>
      <w:r w:rsidRPr="004A0223">
        <w:t>;</w:t>
      </w:r>
    </w:p>
    <w:p w14:paraId="4E604787" w14:textId="53D78F6A" w:rsidR="004A0223" w:rsidRPr="002742BB" w:rsidRDefault="004A0223" w:rsidP="002742BB">
      <w:pPr>
        <w:pStyle w:val="ListNo2"/>
        <w:rPr>
          <w:iCs/>
        </w:rPr>
      </w:pPr>
      <w:r>
        <w:t>s</w:t>
      </w:r>
      <w:r w:rsidR="000E4317">
        <w:t> </w:t>
      </w:r>
      <w:r>
        <w:t xml:space="preserve">44 of the </w:t>
      </w:r>
      <w:r w:rsidRPr="004A0223">
        <w:rPr>
          <w:i/>
          <w:iCs/>
        </w:rPr>
        <w:t>F</w:t>
      </w:r>
      <w:r>
        <w:rPr>
          <w:i/>
          <w:iCs/>
        </w:rPr>
        <w:t>W Act</w:t>
      </w:r>
      <w:r>
        <w:t xml:space="preserve"> by failing to pay each of Mr </w:t>
      </w:r>
      <w:proofErr w:type="spellStart"/>
      <w:r>
        <w:t>Dhariwal</w:t>
      </w:r>
      <w:proofErr w:type="spellEnd"/>
      <w:r>
        <w:t xml:space="preserve"> and M</w:t>
      </w:r>
      <w:r w:rsidRPr="004A0223">
        <w:t xml:space="preserve">s </w:t>
      </w:r>
      <w:proofErr w:type="spellStart"/>
      <w:r w:rsidRPr="004A0223">
        <w:t>Kumari</w:t>
      </w:r>
      <w:proofErr w:type="spellEnd"/>
      <w:r w:rsidRPr="004A0223">
        <w:t xml:space="preserve"> annual leave on termination of</w:t>
      </w:r>
      <w:r>
        <w:t xml:space="preserve"> employment as required by s</w:t>
      </w:r>
      <w:r w:rsidR="000E4317">
        <w:t> </w:t>
      </w:r>
      <w:r w:rsidRPr="004A0223">
        <w:t xml:space="preserve">90(2) of the </w:t>
      </w:r>
      <w:r>
        <w:rPr>
          <w:i/>
          <w:iCs/>
        </w:rPr>
        <w:t>FW Act</w:t>
      </w:r>
      <w:r w:rsidRPr="004A0223">
        <w:t>;</w:t>
      </w:r>
    </w:p>
    <w:p w14:paraId="69056DA8" w14:textId="22049D7F" w:rsidR="004A0223" w:rsidRPr="002742BB" w:rsidRDefault="004A0223" w:rsidP="002742BB">
      <w:pPr>
        <w:pStyle w:val="ListNo2"/>
      </w:pPr>
      <w:r>
        <w:t>s</w:t>
      </w:r>
      <w:r w:rsidR="000E4317">
        <w:t> </w:t>
      </w:r>
      <w:r>
        <w:t xml:space="preserve">44 </w:t>
      </w:r>
      <w:r w:rsidRPr="004A0223">
        <w:t xml:space="preserve">of the </w:t>
      </w:r>
      <w:r>
        <w:rPr>
          <w:i/>
          <w:iCs/>
        </w:rPr>
        <w:t>FW Act</w:t>
      </w:r>
      <w:r>
        <w:t xml:space="preserve"> by failing to pay Mr </w:t>
      </w:r>
      <w:proofErr w:type="spellStart"/>
      <w:r w:rsidRPr="004A0223">
        <w:t>Dhariwal</w:t>
      </w:r>
      <w:proofErr w:type="spellEnd"/>
      <w:r w:rsidRPr="004A0223">
        <w:t xml:space="preserve"> his personal leave during his employment as required</w:t>
      </w:r>
      <w:r>
        <w:t xml:space="preserve"> by s </w:t>
      </w:r>
      <w:r w:rsidRPr="004A0223">
        <w:t xml:space="preserve">99 of the </w:t>
      </w:r>
      <w:r>
        <w:rPr>
          <w:i/>
          <w:iCs/>
        </w:rPr>
        <w:t>FW Act</w:t>
      </w:r>
      <w:r w:rsidRPr="004A0223">
        <w:t>;</w:t>
      </w:r>
    </w:p>
    <w:p w14:paraId="3DF87319" w14:textId="229F3C9C" w:rsidR="004A0223" w:rsidRPr="002742BB" w:rsidRDefault="000C0E43" w:rsidP="002742BB">
      <w:pPr>
        <w:pStyle w:val="ListNo2"/>
      </w:pPr>
      <w:r>
        <w:t>s</w:t>
      </w:r>
      <w:r w:rsidR="000E4317">
        <w:t> </w:t>
      </w:r>
      <w:r>
        <w:t xml:space="preserve">44 </w:t>
      </w:r>
      <w:r w:rsidRPr="000C0E43">
        <w:t xml:space="preserve">of the </w:t>
      </w:r>
      <w:r>
        <w:rPr>
          <w:i/>
          <w:iCs/>
        </w:rPr>
        <w:t>FW Act</w:t>
      </w:r>
      <w:r>
        <w:t xml:space="preserve"> by failing to pay each of Mr </w:t>
      </w:r>
      <w:proofErr w:type="spellStart"/>
      <w:r>
        <w:t>Dhariwal</w:t>
      </w:r>
      <w:proofErr w:type="spellEnd"/>
      <w:r>
        <w:t xml:space="preserve"> and M</w:t>
      </w:r>
      <w:r w:rsidRPr="000C0E43">
        <w:t xml:space="preserve">s </w:t>
      </w:r>
      <w:proofErr w:type="spellStart"/>
      <w:r w:rsidRPr="000C0E43">
        <w:t>Kumari</w:t>
      </w:r>
      <w:proofErr w:type="spellEnd"/>
      <w:r w:rsidRPr="000C0E43">
        <w:t xml:space="preserve"> any amount in lieu of the Minimum</w:t>
      </w:r>
      <w:r>
        <w:t xml:space="preserve"> </w:t>
      </w:r>
      <w:r w:rsidRPr="000C0E43">
        <w:t>Period of No</w:t>
      </w:r>
      <w:r>
        <w:t>tice as required by s</w:t>
      </w:r>
      <w:r w:rsidR="000E4317">
        <w:t> </w:t>
      </w:r>
      <w:r w:rsidRPr="000C0E43">
        <w:t xml:space="preserve">117(1) of the </w:t>
      </w:r>
      <w:r w:rsidRPr="000C0E43">
        <w:rPr>
          <w:i/>
          <w:iCs/>
        </w:rPr>
        <w:t>F</w:t>
      </w:r>
      <w:r>
        <w:rPr>
          <w:i/>
          <w:iCs/>
        </w:rPr>
        <w:t>W Act</w:t>
      </w:r>
      <w:r>
        <w:t>; and</w:t>
      </w:r>
    </w:p>
    <w:p w14:paraId="5C9FB791" w14:textId="7178B784" w:rsidR="000C0E43" w:rsidRPr="002742BB" w:rsidRDefault="000C0E43" w:rsidP="002742BB">
      <w:pPr>
        <w:pStyle w:val="ListNo2"/>
      </w:pPr>
      <w:proofErr w:type="gramStart"/>
      <w:r>
        <w:t>s</w:t>
      </w:r>
      <w:proofErr w:type="gramEnd"/>
      <w:r w:rsidR="000E4317">
        <w:t> </w:t>
      </w:r>
      <w:r>
        <w:t xml:space="preserve">536(1) </w:t>
      </w:r>
      <w:r w:rsidRPr="000C0E43">
        <w:t xml:space="preserve">of the </w:t>
      </w:r>
      <w:r>
        <w:rPr>
          <w:i/>
          <w:iCs/>
        </w:rPr>
        <w:t>FW Act</w:t>
      </w:r>
      <w:r w:rsidRPr="000C0E43">
        <w:t xml:space="preserve"> by failing to pro</w:t>
      </w:r>
      <w:r>
        <w:t xml:space="preserve">vide each of Mr </w:t>
      </w:r>
      <w:proofErr w:type="spellStart"/>
      <w:r>
        <w:t>Dhariwal</w:t>
      </w:r>
      <w:proofErr w:type="spellEnd"/>
      <w:r>
        <w:t xml:space="preserve"> and M</w:t>
      </w:r>
      <w:r w:rsidRPr="000C0E43">
        <w:t xml:space="preserve">s </w:t>
      </w:r>
      <w:proofErr w:type="spellStart"/>
      <w:r w:rsidRPr="000C0E43">
        <w:t>Kumari</w:t>
      </w:r>
      <w:proofErr w:type="spellEnd"/>
      <w:r w:rsidRPr="000C0E43">
        <w:t xml:space="preserve"> with pay slips between 1</w:t>
      </w:r>
      <w:r>
        <w:t xml:space="preserve"> </w:t>
      </w:r>
      <w:r w:rsidRPr="000C0E43">
        <w:t>January 2016 and 29 August 2016.</w:t>
      </w:r>
    </w:p>
    <w:p w14:paraId="2A054FE5" w14:textId="77777777" w:rsidR="008D499E" w:rsidRDefault="008D499E" w:rsidP="008D499E">
      <w:pPr>
        <w:pStyle w:val="ListNo1"/>
      </w:pPr>
      <w:r>
        <w:t>Mr Singh alone was involved in the following further contraventions:</w:t>
      </w:r>
    </w:p>
    <w:p w14:paraId="58BDAC3E" w14:textId="56F91447" w:rsidR="000C0E43" w:rsidRPr="002742BB" w:rsidRDefault="00CD31DF" w:rsidP="000C0E43">
      <w:pPr>
        <w:pStyle w:val="ListNo2"/>
      </w:pPr>
      <w:r>
        <w:t>s</w:t>
      </w:r>
      <w:r w:rsidR="000E4317">
        <w:t> </w:t>
      </w:r>
      <w:r w:rsidR="000C0E43">
        <w:t xml:space="preserve">325 </w:t>
      </w:r>
      <w:r w:rsidR="000C0E43" w:rsidRPr="000C0E43">
        <w:t xml:space="preserve">of the </w:t>
      </w:r>
      <w:r w:rsidR="000C0E43">
        <w:rPr>
          <w:i/>
          <w:iCs/>
        </w:rPr>
        <w:t>FW Act</w:t>
      </w:r>
      <w:r w:rsidR="000C0E43">
        <w:t xml:space="preserve"> by requiring Mr </w:t>
      </w:r>
      <w:proofErr w:type="spellStart"/>
      <w:r w:rsidR="000C0E43">
        <w:t>Dhariwal</w:t>
      </w:r>
      <w:proofErr w:type="spellEnd"/>
      <w:r w:rsidR="000C0E43">
        <w:t xml:space="preserve"> </w:t>
      </w:r>
      <w:r w:rsidR="000C0E43" w:rsidRPr="000C0E43">
        <w:t>to pay the Fuel Payment for the t</w:t>
      </w:r>
      <w:r w:rsidR="000C0E43">
        <w:t>heft of fuel by customers to Mr Singh</w:t>
      </w:r>
      <w:r w:rsidR="000C0E43" w:rsidRPr="000C0E43">
        <w:t>;</w:t>
      </w:r>
    </w:p>
    <w:p w14:paraId="5B5EC4C0" w14:textId="763F6704" w:rsidR="000C0E43" w:rsidRPr="002742BB" w:rsidRDefault="00CD31DF" w:rsidP="002742BB">
      <w:pPr>
        <w:pStyle w:val="ListNo2"/>
      </w:pPr>
      <w:r>
        <w:t>s</w:t>
      </w:r>
      <w:r w:rsidR="000E4317">
        <w:t> </w:t>
      </w:r>
      <w:r w:rsidR="000C0E43">
        <w:t xml:space="preserve">325 of </w:t>
      </w:r>
      <w:r w:rsidR="000C0E43" w:rsidRPr="000C0E43">
        <w:t xml:space="preserve">the </w:t>
      </w:r>
      <w:r w:rsidR="000C0E43">
        <w:rPr>
          <w:i/>
          <w:iCs/>
        </w:rPr>
        <w:t>FW Act</w:t>
      </w:r>
      <w:r w:rsidR="000C0E43">
        <w:t xml:space="preserve"> by requiring Mr </w:t>
      </w:r>
      <w:proofErr w:type="spellStart"/>
      <w:r w:rsidR="000C0E43">
        <w:t>Dhariwal</w:t>
      </w:r>
      <w:proofErr w:type="spellEnd"/>
      <w:r w:rsidR="000C0E43">
        <w:t xml:space="preserve"> </w:t>
      </w:r>
      <w:r w:rsidR="000C0E43" w:rsidRPr="000C0E43">
        <w:t>to pay the Income Tax Amou</w:t>
      </w:r>
      <w:r w:rsidR="000C0E43">
        <w:t>nt and/or the Tax Payment to Mr Singh</w:t>
      </w:r>
      <w:r w:rsidR="000C0E43" w:rsidRPr="000C0E43">
        <w:t xml:space="preserve"> in respect of income tax;</w:t>
      </w:r>
      <w:r w:rsidR="005F4F07">
        <w:t xml:space="preserve"> and</w:t>
      </w:r>
    </w:p>
    <w:p w14:paraId="5741BB80" w14:textId="483EB1EE" w:rsidR="000C0E43" w:rsidRPr="002742BB" w:rsidRDefault="00CD31DF" w:rsidP="002742BB">
      <w:pPr>
        <w:pStyle w:val="ListNo2"/>
      </w:pPr>
      <w:proofErr w:type="gramStart"/>
      <w:r>
        <w:t>s</w:t>
      </w:r>
      <w:proofErr w:type="gramEnd"/>
      <w:r w:rsidR="000E4317">
        <w:t> </w:t>
      </w:r>
      <w:r w:rsidR="000C0E43">
        <w:t xml:space="preserve">535(1) </w:t>
      </w:r>
      <w:r w:rsidR="000C0E43" w:rsidRPr="000C0E43">
        <w:t xml:space="preserve">of the </w:t>
      </w:r>
      <w:r w:rsidR="008841D5">
        <w:rPr>
          <w:i/>
          <w:iCs/>
        </w:rPr>
        <w:t>FW Act</w:t>
      </w:r>
      <w:r w:rsidR="000C0E43">
        <w:t xml:space="preserve"> by failing to keep leave </w:t>
      </w:r>
      <w:r w:rsidR="000C0E43" w:rsidRPr="000C0E43">
        <w:t>and termination records i</w:t>
      </w:r>
      <w:r w:rsidR="000C0E43">
        <w:t xml:space="preserve">n relation to Mr </w:t>
      </w:r>
      <w:proofErr w:type="spellStart"/>
      <w:r w:rsidR="000C0E43">
        <w:t>Dhariwal</w:t>
      </w:r>
      <w:proofErr w:type="spellEnd"/>
      <w:r w:rsidR="000C0E43">
        <w:t xml:space="preserve"> and M</w:t>
      </w:r>
      <w:r w:rsidR="000C0E43" w:rsidRPr="000C0E43">
        <w:t>s</w:t>
      </w:r>
      <w:r w:rsidR="000C0E43">
        <w:t xml:space="preserve"> </w:t>
      </w:r>
      <w:proofErr w:type="spellStart"/>
      <w:r w:rsidR="000C0E43" w:rsidRPr="000C0E43">
        <w:t>Kumari</w:t>
      </w:r>
      <w:proofErr w:type="spellEnd"/>
      <w:r w:rsidR="000C0E43" w:rsidRPr="000C0E43">
        <w:t xml:space="preserve"> as presc</w:t>
      </w:r>
      <w:r w:rsidR="008841D5">
        <w:t xml:space="preserve">ribed by </w:t>
      </w:r>
      <w:proofErr w:type="spellStart"/>
      <w:r w:rsidR="008841D5">
        <w:t>regs</w:t>
      </w:r>
      <w:proofErr w:type="spellEnd"/>
      <w:r w:rsidR="000E4317">
        <w:t> </w:t>
      </w:r>
      <w:r w:rsidR="000C0E43" w:rsidRPr="000C0E43">
        <w:t xml:space="preserve">3.36(1) and 3.40 of the </w:t>
      </w:r>
      <w:r w:rsidR="000C0E43" w:rsidRPr="000C0E43">
        <w:rPr>
          <w:i/>
          <w:iCs/>
        </w:rPr>
        <w:t>Fair Work</w:t>
      </w:r>
      <w:r w:rsidR="000C0E43">
        <w:t xml:space="preserve"> </w:t>
      </w:r>
      <w:r w:rsidR="000C0E43" w:rsidRPr="000C0E43">
        <w:rPr>
          <w:i/>
          <w:iCs/>
        </w:rPr>
        <w:t xml:space="preserve">Regulations 2009 </w:t>
      </w:r>
      <w:r w:rsidR="005F4F07">
        <w:t>(</w:t>
      </w:r>
      <w:proofErr w:type="spellStart"/>
      <w:r w:rsidR="005F4F07">
        <w:t>Cth</w:t>
      </w:r>
      <w:proofErr w:type="spellEnd"/>
      <w:r w:rsidR="005F4F07">
        <w:t>).</w:t>
      </w:r>
    </w:p>
    <w:p w14:paraId="70EB62C4" w14:textId="33D56151" w:rsidR="008D415F" w:rsidRPr="009B07E8" w:rsidRDefault="008D415F" w:rsidP="008D415F">
      <w:pPr>
        <w:pStyle w:val="ParaNumbering"/>
        <w:numPr>
          <w:ilvl w:val="0"/>
          <w:numId w:val="0"/>
        </w:numPr>
      </w:pPr>
      <w:r w:rsidRPr="009B07E8">
        <w:t xml:space="preserve">All of the above contraventions were contested, except for a late concession as to annual leave, being the </w:t>
      </w:r>
      <w:proofErr w:type="spellStart"/>
      <w:r w:rsidRPr="009B07E8">
        <w:t>Sinpek</w:t>
      </w:r>
      <w:proofErr w:type="spellEnd"/>
      <w:r w:rsidRPr="009B07E8">
        <w:t xml:space="preserve"> contravention listed at [5</w:t>
      </w:r>
      <w:r w:rsidR="00FA6EDD" w:rsidRPr="009B07E8">
        <w:t>(1</w:t>
      </w:r>
      <w:proofErr w:type="gramStart"/>
      <w:r w:rsidR="00FA6EDD" w:rsidRPr="009B07E8">
        <w:t>)(</w:t>
      </w:r>
      <w:proofErr w:type="gramEnd"/>
      <w:r w:rsidR="00F4418D" w:rsidRPr="009B07E8">
        <w:t>i</w:t>
      </w:r>
      <w:r w:rsidR="00FA6EDD" w:rsidRPr="009B07E8">
        <w:t>)] above.</w:t>
      </w:r>
      <w:r w:rsidRPr="009B07E8">
        <w:t xml:space="preserve"> </w:t>
      </w:r>
    </w:p>
    <w:p w14:paraId="11390027" w14:textId="16D8EBB2" w:rsidR="00800EBB" w:rsidRDefault="00800EBB" w:rsidP="00800EBB">
      <w:pPr>
        <w:pStyle w:val="ParaNumbering"/>
      </w:pPr>
      <w:r>
        <w:t xml:space="preserve">The maximum penalty for each contravention was </w:t>
      </w:r>
      <w:r w:rsidRPr="00D92650">
        <w:t>$</w:t>
      </w:r>
      <w:r w:rsidR="00D92650" w:rsidRPr="002742BB">
        <w:rPr>
          <w:lang w:eastAsia="en-AU"/>
        </w:rPr>
        <w:t>10,800</w:t>
      </w:r>
      <w:r w:rsidR="00D92650">
        <w:rPr>
          <w:lang w:eastAsia="en-AU"/>
        </w:rPr>
        <w:t xml:space="preserve"> except for [5(1</w:t>
      </w:r>
      <w:proofErr w:type="gramStart"/>
      <w:r w:rsidR="00D92650">
        <w:rPr>
          <w:lang w:eastAsia="en-AU"/>
        </w:rPr>
        <w:t>)(</w:t>
      </w:r>
      <w:proofErr w:type="gramEnd"/>
      <w:r w:rsidR="00D92650">
        <w:rPr>
          <w:lang w:eastAsia="en-AU"/>
        </w:rPr>
        <w:t xml:space="preserve">l)] and [5(2)(c)], </w:t>
      </w:r>
      <w:r w:rsidR="002742BB">
        <w:rPr>
          <w:lang w:eastAsia="en-AU"/>
        </w:rPr>
        <w:t xml:space="preserve">being </w:t>
      </w:r>
      <w:r w:rsidR="00D92650">
        <w:rPr>
          <w:lang w:eastAsia="en-AU"/>
        </w:rPr>
        <w:t>contraventions of the requirement to provide payslips and keep leave and termination records, in relation to each of which the maximum penalty was $5,400</w:t>
      </w:r>
      <w:r>
        <w:rPr>
          <w:lang w:eastAsia="en-AU"/>
        </w:rPr>
        <w:t xml:space="preserve">.  </w:t>
      </w:r>
      <w:r>
        <w:t>However</w:t>
      </w:r>
      <w:r w:rsidR="00D92650">
        <w:t>,</w:t>
      </w:r>
      <w:r>
        <w:t xml:space="preserve"> t</w:t>
      </w:r>
      <w:r>
        <w:rPr>
          <w:lang w:eastAsia="en-AU"/>
        </w:rPr>
        <w:t xml:space="preserve">he sixth to eighth contraventions listed at </w:t>
      </w:r>
      <w:r w:rsidR="003131B7" w:rsidRPr="003131B7">
        <w:rPr>
          <w:lang w:eastAsia="en-AU"/>
        </w:rPr>
        <w:t>[5(1</w:t>
      </w:r>
      <w:proofErr w:type="gramStart"/>
      <w:r w:rsidR="003131B7" w:rsidRPr="003131B7">
        <w:rPr>
          <w:lang w:eastAsia="en-AU"/>
        </w:rPr>
        <w:t>)(</w:t>
      </w:r>
      <w:proofErr w:type="gramEnd"/>
      <w:r w:rsidR="00F4418D" w:rsidRPr="002742BB">
        <w:rPr>
          <w:lang w:eastAsia="en-AU"/>
        </w:rPr>
        <w:t>f</w:t>
      </w:r>
      <w:r w:rsidR="003131B7" w:rsidRPr="003131B7">
        <w:rPr>
          <w:lang w:eastAsia="en-AU"/>
        </w:rPr>
        <w:t>)</w:t>
      </w:r>
      <w:r w:rsidR="00F4418D">
        <w:rPr>
          <w:lang w:eastAsia="en-AU"/>
        </w:rPr>
        <w:t>-(h)</w:t>
      </w:r>
      <w:r w:rsidR="003131B7" w:rsidRPr="003131B7">
        <w:rPr>
          <w:lang w:eastAsia="en-AU"/>
        </w:rPr>
        <w:t>]</w:t>
      </w:r>
      <w:r>
        <w:rPr>
          <w:lang w:eastAsia="en-AU"/>
        </w:rPr>
        <w:t xml:space="preserve"> above, </w:t>
      </w:r>
      <w:r w:rsidRPr="002742BB">
        <w:rPr>
          <w:lang w:eastAsia="en-AU"/>
        </w:rPr>
        <w:t>all relating to overtime, were treated as a single course of conduct as submitted by the FWO to be appropriate.</w:t>
      </w:r>
      <w:r>
        <w:rPr>
          <w:lang w:eastAsia="en-AU"/>
        </w:rPr>
        <w:t xml:space="preserve">  The effect of that approach was that Mr Singh was effectively penalised for 13 contraventions, and Ms Singh for 10 contraventions.  </w:t>
      </w:r>
      <w:r w:rsidR="003131B7">
        <w:rPr>
          <w:lang w:eastAsia="en-AU"/>
        </w:rPr>
        <w:t xml:space="preserve">Treated in that way, the contraventions </w:t>
      </w:r>
      <w:r>
        <w:rPr>
          <w:lang w:eastAsia="en-AU"/>
        </w:rPr>
        <w:t xml:space="preserve">gave rise to a collective maximum penalty of </w:t>
      </w:r>
      <w:r>
        <w:t>$</w:t>
      </w:r>
      <w:r w:rsidR="002A6B32" w:rsidRPr="002742BB">
        <w:rPr>
          <w:szCs w:val="24"/>
          <w:lang w:eastAsia="en-AU"/>
        </w:rPr>
        <w:t>129,600</w:t>
      </w:r>
      <w:r>
        <w:rPr>
          <w:szCs w:val="24"/>
          <w:lang w:eastAsia="en-AU"/>
        </w:rPr>
        <w:t xml:space="preserve"> for Mr Singh and of </w:t>
      </w:r>
      <w:r>
        <w:t>$</w:t>
      </w:r>
      <w:r w:rsidR="00262F22" w:rsidRPr="002742BB">
        <w:rPr>
          <w:szCs w:val="24"/>
          <w:lang w:eastAsia="en-AU"/>
        </w:rPr>
        <w:t>102,600</w:t>
      </w:r>
      <w:r>
        <w:rPr>
          <w:szCs w:val="24"/>
          <w:lang w:eastAsia="en-AU"/>
        </w:rPr>
        <w:t xml:space="preserve"> for Ms Singh.  </w:t>
      </w:r>
    </w:p>
    <w:p w14:paraId="52C790E3" w14:textId="5AA712E9" w:rsidR="0039009F" w:rsidRPr="00F24A7A" w:rsidRDefault="001D4F23" w:rsidP="001D4F23">
      <w:pPr>
        <w:pStyle w:val="ParaNumbering"/>
        <w:rPr>
          <w:szCs w:val="24"/>
          <w:lang w:eastAsia="en-AU"/>
        </w:rPr>
      </w:pPr>
      <w:r>
        <w:lastRenderedPageBreak/>
        <w:t xml:space="preserve">In orders made for reasons </w:t>
      </w:r>
      <w:r w:rsidR="003131B7">
        <w:t xml:space="preserve">given </w:t>
      </w:r>
      <w:r w:rsidR="00281BDA">
        <w:t xml:space="preserve">in the </w:t>
      </w:r>
      <w:r w:rsidR="00852BA0" w:rsidRPr="00281BDA">
        <w:t>penalty judgment</w:t>
      </w:r>
      <w:r>
        <w:t xml:space="preserve">, </w:t>
      </w:r>
      <w:r w:rsidR="008D415F">
        <w:t xml:space="preserve">necessarily </w:t>
      </w:r>
      <w:r w:rsidR="00852BA0">
        <w:t xml:space="preserve">to be read with the </w:t>
      </w:r>
      <w:r w:rsidR="00800EBB">
        <w:t xml:space="preserve">reasons in the </w:t>
      </w:r>
      <w:r w:rsidR="00852BA0">
        <w:t xml:space="preserve">liability judgment, </w:t>
      </w:r>
      <w:r>
        <w:t>the primary judge imposed penalties totalling $120,000 on Mr Singh</w:t>
      </w:r>
      <w:r w:rsidR="00800EBB">
        <w:t xml:space="preserve"> </w:t>
      </w:r>
      <w:r>
        <w:t>and $90,000 on Ms Singh</w:t>
      </w:r>
      <w:r>
        <w:rPr>
          <w:szCs w:val="24"/>
          <w:lang w:eastAsia="en-AU"/>
        </w:rPr>
        <w:t>.</w:t>
      </w:r>
      <w:r w:rsidR="004712E6">
        <w:rPr>
          <w:szCs w:val="24"/>
          <w:lang w:eastAsia="en-AU"/>
        </w:rPr>
        <w:t xml:space="preserve">  </w:t>
      </w:r>
      <w:r w:rsidR="00AE6EA4">
        <w:rPr>
          <w:szCs w:val="24"/>
          <w:lang w:eastAsia="en-AU"/>
        </w:rPr>
        <w:t xml:space="preserve">Those penalties were above the ranges set out in FWO submissions furnished pre-trial </w:t>
      </w:r>
      <w:r w:rsidR="007A7003">
        <w:rPr>
          <w:szCs w:val="24"/>
          <w:lang w:eastAsia="en-AU"/>
        </w:rPr>
        <w:t>which were</w:t>
      </w:r>
      <w:r w:rsidR="00AE6EA4">
        <w:rPr>
          <w:szCs w:val="24"/>
          <w:lang w:eastAsia="en-AU"/>
        </w:rPr>
        <w:t xml:space="preserve"> </w:t>
      </w:r>
      <w:r w:rsidR="0039009F">
        <w:rPr>
          <w:szCs w:val="24"/>
          <w:lang w:eastAsia="en-AU"/>
        </w:rPr>
        <w:t xml:space="preserve">expressly </w:t>
      </w:r>
      <w:r w:rsidR="00AE6EA4">
        <w:rPr>
          <w:szCs w:val="24"/>
          <w:lang w:eastAsia="en-AU"/>
        </w:rPr>
        <w:t>sought to be departed from</w:t>
      </w:r>
      <w:r w:rsidR="0039009F">
        <w:rPr>
          <w:szCs w:val="24"/>
          <w:lang w:eastAsia="en-AU"/>
        </w:rPr>
        <w:t xml:space="preserve"> by reason of what emerged at the trial</w:t>
      </w:r>
      <w:r w:rsidR="005B0819">
        <w:rPr>
          <w:szCs w:val="24"/>
          <w:lang w:eastAsia="en-AU"/>
        </w:rPr>
        <w:t>,</w:t>
      </w:r>
      <w:r w:rsidR="008D415F">
        <w:rPr>
          <w:szCs w:val="24"/>
          <w:lang w:eastAsia="en-AU"/>
        </w:rPr>
        <w:t xml:space="preserve"> by a submission to the effect that the penalties should be at l</w:t>
      </w:r>
      <w:r w:rsidR="008D415F" w:rsidRPr="00F24A7A">
        <w:rPr>
          <w:szCs w:val="24"/>
          <w:lang w:eastAsia="en-AU"/>
        </w:rPr>
        <w:t>east at the top of the ranges suggested pre-trial</w:t>
      </w:r>
      <w:r w:rsidR="00AE6EA4" w:rsidRPr="00F24A7A">
        <w:rPr>
          <w:szCs w:val="24"/>
          <w:lang w:eastAsia="en-AU"/>
        </w:rPr>
        <w:t xml:space="preserve">.  </w:t>
      </w:r>
      <w:r w:rsidR="008D67C9" w:rsidRPr="00F24A7A">
        <w:rPr>
          <w:szCs w:val="24"/>
          <w:lang w:eastAsia="en-AU"/>
        </w:rPr>
        <w:t xml:space="preserve">The appellants, via their lawyers, were therefore on notice that the penalty that might be imposed could be in excess of the ranges initially suggested by the FWO, such that there was </w:t>
      </w:r>
      <w:r w:rsidR="00AE6EA4" w:rsidRPr="00F24A7A">
        <w:rPr>
          <w:szCs w:val="24"/>
          <w:lang w:eastAsia="en-AU"/>
        </w:rPr>
        <w:t xml:space="preserve">no denial of procedural fairness </w:t>
      </w:r>
      <w:r w:rsidR="008D67C9" w:rsidRPr="00F24A7A">
        <w:rPr>
          <w:szCs w:val="24"/>
          <w:lang w:eastAsia="en-AU"/>
        </w:rPr>
        <w:t>by his Honour</w:t>
      </w:r>
      <w:r w:rsidR="00AE6EA4" w:rsidRPr="00F24A7A">
        <w:rPr>
          <w:szCs w:val="24"/>
          <w:lang w:eastAsia="en-AU"/>
        </w:rPr>
        <w:t xml:space="preserve">: </w:t>
      </w:r>
      <w:proofErr w:type="spellStart"/>
      <w:r w:rsidR="00AE6EA4" w:rsidRPr="00F24A7A">
        <w:rPr>
          <w:szCs w:val="24"/>
          <w:lang w:eastAsia="en-AU"/>
        </w:rPr>
        <w:t>cf</w:t>
      </w:r>
      <w:proofErr w:type="spellEnd"/>
      <w:r w:rsidR="00AE6EA4" w:rsidRPr="00F24A7A">
        <w:rPr>
          <w:szCs w:val="24"/>
          <w:lang w:eastAsia="en-AU"/>
        </w:rPr>
        <w:t xml:space="preserve"> </w:t>
      </w:r>
      <w:r w:rsidR="00616404" w:rsidRPr="00F24A7A">
        <w:rPr>
          <w:i/>
          <w:szCs w:val="24"/>
          <w:lang w:eastAsia="en-AU"/>
        </w:rPr>
        <w:t xml:space="preserve">Australian Competition and Consumer Commission v </w:t>
      </w:r>
      <w:r w:rsidR="00616404" w:rsidRPr="00F24A7A">
        <w:rPr>
          <w:b/>
          <w:i/>
          <w:szCs w:val="24"/>
          <w:lang w:eastAsia="en-AU"/>
        </w:rPr>
        <w:t>Reckitt Benckiser</w:t>
      </w:r>
      <w:r w:rsidR="00616404" w:rsidRPr="00F24A7A">
        <w:rPr>
          <w:i/>
          <w:szCs w:val="24"/>
          <w:lang w:eastAsia="en-AU"/>
        </w:rPr>
        <w:t xml:space="preserve"> (Australia) Pty Ltd</w:t>
      </w:r>
      <w:r w:rsidR="00616404" w:rsidRPr="00F24A7A">
        <w:rPr>
          <w:szCs w:val="24"/>
          <w:lang w:eastAsia="en-AU"/>
        </w:rPr>
        <w:t xml:space="preserve"> [2016] FCAFC 181; 340 ALR 25 at [178]-[179]; </w:t>
      </w:r>
      <w:r w:rsidR="0039009F" w:rsidRPr="00F24A7A">
        <w:rPr>
          <w:i/>
          <w:szCs w:val="24"/>
          <w:lang w:eastAsia="en-AU"/>
        </w:rPr>
        <w:t>Construction, Forestry, Maritime, Mining and Energy Union v Australian Building and Construction Commissioner (</w:t>
      </w:r>
      <w:r w:rsidR="00095EF0" w:rsidRPr="00F24A7A">
        <w:rPr>
          <w:i/>
          <w:szCs w:val="24"/>
          <w:lang w:eastAsia="en-AU"/>
        </w:rPr>
        <w:t xml:space="preserve">The </w:t>
      </w:r>
      <w:r w:rsidR="0039009F" w:rsidRPr="00F24A7A">
        <w:rPr>
          <w:b/>
          <w:i/>
          <w:szCs w:val="24"/>
          <w:lang w:eastAsia="en-AU"/>
        </w:rPr>
        <w:t>Broadway on Ann</w:t>
      </w:r>
      <w:r w:rsidR="00095EF0" w:rsidRPr="00F24A7A">
        <w:rPr>
          <w:i/>
          <w:szCs w:val="24"/>
          <w:lang w:eastAsia="en-AU"/>
        </w:rPr>
        <w:t xml:space="preserve"> Case</w:t>
      </w:r>
      <w:r w:rsidR="0039009F" w:rsidRPr="00F24A7A">
        <w:rPr>
          <w:i/>
          <w:szCs w:val="24"/>
          <w:lang w:eastAsia="en-AU"/>
        </w:rPr>
        <w:t>)</w:t>
      </w:r>
      <w:r w:rsidR="0039009F" w:rsidRPr="00F24A7A">
        <w:rPr>
          <w:szCs w:val="24"/>
          <w:lang w:eastAsia="en-AU"/>
        </w:rPr>
        <w:t xml:space="preserve"> [2018] FCAFC 126; 265 FCR 208 at [156]-[157]</w:t>
      </w:r>
      <w:r w:rsidR="003131B7" w:rsidRPr="00F24A7A">
        <w:rPr>
          <w:szCs w:val="24"/>
          <w:lang w:eastAsia="en-AU"/>
        </w:rPr>
        <w:t xml:space="preserve">; see also </w:t>
      </w:r>
      <w:r w:rsidR="003131B7" w:rsidRPr="00F24A7A">
        <w:rPr>
          <w:i/>
          <w:szCs w:val="24"/>
          <w:lang w:eastAsia="en-AU"/>
        </w:rPr>
        <w:t>Pattinson v Australian Building and Construction Commissioner</w:t>
      </w:r>
      <w:r w:rsidR="003131B7" w:rsidRPr="00F24A7A">
        <w:rPr>
          <w:szCs w:val="24"/>
          <w:lang w:eastAsia="en-AU"/>
        </w:rPr>
        <w:t xml:space="preserve"> [2020] FCAFC 177; 384 ALR 75; 299 IR 404</w:t>
      </w:r>
      <w:r w:rsidR="0039009F" w:rsidRPr="00F24A7A">
        <w:rPr>
          <w:szCs w:val="24"/>
          <w:lang w:eastAsia="en-AU"/>
        </w:rPr>
        <w:t xml:space="preserve">.  </w:t>
      </w:r>
    </w:p>
    <w:p w14:paraId="4D0E418F" w14:textId="77777777" w:rsidR="001D4F23" w:rsidRPr="00E62EF9" w:rsidRDefault="0039009F" w:rsidP="001D4F23">
      <w:pPr>
        <w:pStyle w:val="ParaNumbering"/>
      </w:pPr>
      <w:r w:rsidRPr="00F24A7A">
        <w:rPr>
          <w:szCs w:val="24"/>
          <w:lang w:eastAsia="en-AU"/>
        </w:rPr>
        <w:t>The primary judge</w:t>
      </w:r>
      <w:r w:rsidR="00E62EF9" w:rsidRPr="00F24A7A">
        <w:rPr>
          <w:szCs w:val="24"/>
          <w:lang w:eastAsia="en-AU"/>
        </w:rPr>
        <w:t>’s re</w:t>
      </w:r>
      <w:r w:rsidR="00E62EF9">
        <w:rPr>
          <w:szCs w:val="24"/>
          <w:lang w:eastAsia="en-AU"/>
        </w:rPr>
        <w:t xml:space="preserve">asons for imposing such a high proportion of the maximum available penalties are among the </w:t>
      </w:r>
      <w:r w:rsidR="00300BC2">
        <w:rPr>
          <w:szCs w:val="24"/>
          <w:lang w:eastAsia="en-AU"/>
        </w:rPr>
        <w:t xml:space="preserve">key </w:t>
      </w:r>
      <w:r w:rsidR="00E62EF9">
        <w:rPr>
          <w:szCs w:val="24"/>
          <w:lang w:eastAsia="en-AU"/>
        </w:rPr>
        <w:t>issues in this appeal.  The payment of the penalties has been stayed by consent pending the outcome of this appeal.</w:t>
      </w:r>
      <w:r w:rsidRPr="0039009F">
        <w:rPr>
          <w:szCs w:val="24"/>
          <w:lang w:eastAsia="en-AU"/>
        </w:rPr>
        <w:t xml:space="preserve"> </w:t>
      </w:r>
      <w:r>
        <w:rPr>
          <w:szCs w:val="24"/>
          <w:lang w:eastAsia="en-AU"/>
        </w:rPr>
        <w:t xml:space="preserve"> His Honour also refused an application for the payment of the penalties by instalments.  </w:t>
      </w:r>
    </w:p>
    <w:p w14:paraId="36F5F6C6" w14:textId="77777777" w:rsidR="00E50647" w:rsidRDefault="00E50647" w:rsidP="00E50647">
      <w:pPr>
        <w:pStyle w:val="Heading2"/>
      </w:pPr>
      <w:r>
        <w:t>The notice of appeal</w:t>
      </w:r>
    </w:p>
    <w:p w14:paraId="1508CC05" w14:textId="113392EE" w:rsidR="00E62EF9" w:rsidRDefault="00E62EF9" w:rsidP="001D4F23">
      <w:pPr>
        <w:pStyle w:val="ParaNumbering"/>
      </w:pPr>
      <w:r>
        <w:t xml:space="preserve">The notice of appeal raises </w:t>
      </w:r>
      <w:r w:rsidR="00B367EA">
        <w:t>five</w:t>
      </w:r>
      <w:r>
        <w:t xml:space="preserve"> grounds</w:t>
      </w:r>
      <w:r w:rsidR="00B367EA">
        <w:t>.  The first four</w:t>
      </w:r>
      <w:r w:rsidR="008F64EF">
        <w:t xml:space="preserve"> </w:t>
      </w:r>
      <w:r w:rsidR="002742BB">
        <w:t xml:space="preserve">grounds </w:t>
      </w:r>
      <w:r>
        <w:t>may be summarised</w:t>
      </w:r>
      <w:r w:rsidR="00AE6EA4">
        <w:t xml:space="preserve"> </w:t>
      </w:r>
      <w:r>
        <w:t xml:space="preserve">as </w:t>
      </w:r>
      <w:r w:rsidR="001F2DA7">
        <w:t>alleging the following</w:t>
      </w:r>
      <w:r w:rsidR="000F2BD8" w:rsidRPr="000F2BD8">
        <w:t xml:space="preserve"> </w:t>
      </w:r>
      <w:r w:rsidR="000F2BD8">
        <w:t xml:space="preserve">overt errors leading to penalties, individually and collectively, that </w:t>
      </w:r>
      <w:r w:rsidR="00AE6EA4">
        <w:t>are said to be</w:t>
      </w:r>
      <w:r w:rsidR="000F2BD8">
        <w:t xml:space="preserve"> manifestly excessive in all the circumstances</w:t>
      </w:r>
      <w:r>
        <w:t>:</w:t>
      </w:r>
    </w:p>
    <w:p w14:paraId="0D87973D" w14:textId="77777777" w:rsidR="00E62EF9" w:rsidRDefault="001F2DA7" w:rsidP="00300BC2">
      <w:pPr>
        <w:pStyle w:val="ListNo1"/>
        <w:numPr>
          <w:ilvl w:val="0"/>
          <w:numId w:val="26"/>
        </w:numPr>
      </w:pPr>
      <w:r>
        <w:t>error in determining the objective seriousness of the contraventions, and in particular in concluding that all of the contraventions were in the worst category;</w:t>
      </w:r>
    </w:p>
    <w:p w14:paraId="25C1B436" w14:textId="77777777" w:rsidR="001F2DA7" w:rsidRDefault="001F2DA7" w:rsidP="00E5193A">
      <w:pPr>
        <w:pStyle w:val="ListNo1"/>
        <w:numPr>
          <w:ilvl w:val="0"/>
          <w:numId w:val="26"/>
        </w:numPr>
      </w:pPr>
      <w:r>
        <w:t xml:space="preserve">error in </w:t>
      </w:r>
      <w:r w:rsidR="008F64EF">
        <w:t>relation to the</w:t>
      </w:r>
      <w:r>
        <w:t xml:space="preserve"> subjective circumstances of the appellants</w:t>
      </w:r>
      <w:r w:rsidR="008F64EF">
        <w:t xml:space="preserve">, in substance </w:t>
      </w:r>
      <w:r w:rsidR="000F2BD8">
        <w:t xml:space="preserve">allegations of </w:t>
      </w:r>
      <w:r w:rsidR="008F64EF">
        <w:t>taking into account irrelevant considerations and failing to take into account relevant considerations</w:t>
      </w:r>
      <w:r>
        <w:t>;</w:t>
      </w:r>
    </w:p>
    <w:p w14:paraId="132B462D" w14:textId="48A77A8B" w:rsidR="001F2DA7" w:rsidRDefault="001F2DA7" w:rsidP="00E5193A">
      <w:pPr>
        <w:pStyle w:val="ListNo1"/>
        <w:numPr>
          <w:ilvl w:val="0"/>
          <w:numId w:val="26"/>
        </w:numPr>
      </w:pPr>
      <w:r>
        <w:t>error in the application of the totality principle;</w:t>
      </w:r>
      <w:r w:rsidR="003E04B4">
        <w:t xml:space="preserve"> and</w:t>
      </w:r>
    </w:p>
    <w:p w14:paraId="7E2FD58E" w14:textId="0CEA0B3B" w:rsidR="001F2DA7" w:rsidRDefault="001F2DA7" w:rsidP="00E5193A">
      <w:pPr>
        <w:pStyle w:val="ListNo1"/>
        <w:numPr>
          <w:ilvl w:val="0"/>
          <w:numId w:val="26"/>
        </w:numPr>
      </w:pPr>
      <w:proofErr w:type="gramStart"/>
      <w:r>
        <w:t>error</w:t>
      </w:r>
      <w:proofErr w:type="gramEnd"/>
      <w:r>
        <w:t xml:space="preserve"> in the application of the course of conduct principle</w:t>
      </w:r>
      <w:r w:rsidR="003E04B4">
        <w:t>s</w:t>
      </w:r>
      <w:r w:rsidR="00AF7A23">
        <w:t>.</w:t>
      </w:r>
    </w:p>
    <w:p w14:paraId="0C20A50C" w14:textId="77777777" w:rsidR="000F2BD8" w:rsidRDefault="00AF7A23" w:rsidP="000F2BD8">
      <w:pPr>
        <w:pStyle w:val="ParaNumbering"/>
      </w:pPr>
      <w:r>
        <w:lastRenderedPageBreak/>
        <w:t xml:space="preserve">The notice of appeal also has a fifth ground asserting error in refusing the application to pay the penalties imposed by instalments.  That ground of appeal </w:t>
      </w:r>
      <w:r w:rsidR="000F2BD8">
        <w:t xml:space="preserve">was appropriately abandoned at the appeal hearing, and </w:t>
      </w:r>
      <w:r w:rsidR="00B367EA">
        <w:t xml:space="preserve">therefore </w:t>
      </w:r>
      <w:r w:rsidR="000F2BD8">
        <w:t xml:space="preserve">will not be </w:t>
      </w:r>
      <w:r w:rsidR="00B367EA">
        <w:t>considered</w:t>
      </w:r>
      <w:r w:rsidR="000F2BD8">
        <w:t xml:space="preserve"> further in these reasons.</w:t>
      </w:r>
    </w:p>
    <w:p w14:paraId="5B686598" w14:textId="77777777" w:rsidR="00852BA0" w:rsidRDefault="00E50647" w:rsidP="00E50647">
      <w:pPr>
        <w:pStyle w:val="Heading2"/>
      </w:pPr>
      <w:r>
        <w:t>The burden of the liability and penalty judgments</w:t>
      </w:r>
      <w:r w:rsidR="008D67C9">
        <w:t xml:space="preserve"> as relevant to penalty imposition</w:t>
      </w:r>
    </w:p>
    <w:p w14:paraId="768B174B" w14:textId="437EDDC0" w:rsidR="00E50647" w:rsidRDefault="008D67C9" w:rsidP="00E50647">
      <w:pPr>
        <w:pStyle w:val="ParaNumbering"/>
      </w:pPr>
      <w:r>
        <w:t xml:space="preserve">The primary judge made a series of adverse findings which reflected not just the seriousness of the conduct, but the way in which the appellants sought to obscure or otherwise deny </w:t>
      </w:r>
      <w:r w:rsidR="00783607">
        <w:t xml:space="preserve">their </w:t>
      </w:r>
      <w:r>
        <w:t>responsibility for what had taken place</w:t>
      </w:r>
      <w:r w:rsidR="00EE1F22">
        <w:t xml:space="preserve">.  This included </w:t>
      </w:r>
      <w:r>
        <w:t>an unsuccessful attempt to</w:t>
      </w:r>
      <w:r w:rsidR="00310EDE">
        <w:t xml:space="preserve"> shift responsibility for the conduct onto</w:t>
      </w:r>
      <w:r>
        <w:t xml:space="preserve"> </w:t>
      </w:r>
      <w:r w:rsidR="00333D8D">
        <w:t xml:space="preserve">one of the former employees, Mr </w:t>
      </w:r>
      <w:proofErr w:type="spellStart"/>
      <w:r w:rsidR="00333D8D">
        <w:t>Dhariwal</w:t>
      </w:r>
      <w:proofErr w:type="spellEnd"/>
      <w:r w:rsidR="00333D8D">
        <w:t>, by the use of a job title that did not reflect his true duties and responsibilities</w:t>
      </w:r>
      <w:r w:rsidR="00310EDE">
        <w:t>,</w:t>
      </w:r>
      <w:r w:rsidR="00333D8D">
        <w:t xml:space="preserve"> and which was also used in an attempt to deny him award coverage.  </w:t>
      </w:r>
      <w:r w:rsidR="00B13D20">
        <w:t xml:space="preserve">Contrary to the appellants’ case, his Honour found that Mr </w:t>
      </w:r>
      <w:proofErr w:type="spellStart"/>
      <w:r w:rsidR="00B13D20">
        <w:t>Dhariwal</w:t>
      </w:r>
      <w:proofErr w:type="spellEnd"/>
      <w:r w:rsidR="00B13D20">
        <w:t xml:space="preserve"> was monitored throughout his employment by the appellants.  His Honour similarly found that Ms </w:t>
      </w:r>
      <w:proofErr w:type="spellStart"/>
      <w:r w:rsidR="00B13D20">
        <w:t>Kumari</w:t>
      </w:r>
      <w:proofErr w:type="spellEnd"/>
      <w:r w:rsidR="00B13D20">
        <w:t xml:space="preserve"> did not perform a management </w:t>
      </w:r>
      <w:r w:rsidR="00EE1F22">
        <w:t>role</w:t>
      </w:r>
      <w:r w:rsidR="000E4317">
        <w:t>,</w:t>
      </w:r>
      <w:r w:rsidR="00EE1F22">
        <w:t xml:space="preserve"> as the appellants asserted in an attempt to make her responsible </w:t>
      </w:r>
      <w:r w:rsidR="00783607">
        <w:t xml:space="preserve">instead of them </w:t>
      </w:r>
      <w:r w:rsidR="00EE1F22">
        <w:t>as well.</w:t>
      </w:r>
    </w:p>
    <w:p w14:paraId="5109A15D" w14:textId="223CDB78" w:rsidR="00B13D20" w:rsidRDefault="00333D8D" w:rsidP="00B13D20">
      <w:pPr>
        <w:pStyle w:val="ParaNumbering"/>
      </w:pPr>
      <w:r>
        <w:t xml:space="preserve">The primary judge accepted that Mr </w:t>
      </w:r>
      <w:proofErr w:type="spellStart"/>
      <w:r>
        <w:t>Dhariwal</w:t>
      </w:r>
      <w:proofErr w:type="spellEnd"/>
      <w:r>
        <w:t xml:space="preserve"> and Ms </w:t>
      </w:r>
      <w:proofErr w:type="spellStart"/>
      <w:r>
        <w:t>Kumari</w:t>
      </w:r>
      <w:proofErr w:type="spellEnd"/>
      <w:r w:rsidR="008F0234">
        <w:t xml:space="preserve"> each</w:t>
      </w:r>
      <w:r>
        <w:t xml:space="preserve"> consistently worked between 40 and 60 hours per week, including regular evening and weekend work, and additionally that Ms </w:t>
      </w:r>
      <w:proofErr w:type="spellStart"/>
      <w:r>
        <w:t>Kumari</w:t>
      </w:r>
      <w:proofErr w:type="spellEnd"/>
      <w:r>
        <w:t xml:space="preserve"> was paid at a rate insufficient to meet additional award entitlements.  His Honour found that Ms </w:t>
      </w:r>
      <w:proofErr w:type="spellStart"/>
      <w:r>
        <w:t>Kumari</w:t>
      </w:r>
      <w:proofErr w:type="spellEnd"/>
      <w:r>
        <w:t xml:space="preserve"> was not paid any wages for the first three months that she worked for </w:t>
      </w:r>
      <w:proofErr w:type="spellStart"/>
      <w:r>
        <w:t>Sinpek</w:t>
      </w:r>
      <w:proofErr w:type="spellEnd"/>
      <w:r w:rsidR="00310EDE">
        <w:t>;</w:t>
      </w:r>
      <w:r>
        <w:t xml:space="preserve"> that neither employee was paid additional amounts for weekend and public holiday work, or overtime</w:t>
      </w:r>
      <w:r w:rsidR="00310EDE">
        <w:t>;</w:t>
      </w:r>
      <w:r>
        <w:t xml:space="preserve"> and</w:t>
      </w:r>
      <w:r w:rsidR="00310EDE">
        <w:t>,</w:t>
      </w:r>
      <w:r>
        <w:t xml:space="preserve"> that neither was paid for untaken annual leave or on termination of employment.  Each was found to have been constructively dismissed, rather than having resigned as the appellants contended.  The total unpaid entitlements w</w:t>
      </w:r>
      <w:r w:rsidR="00310EDE">
        <w:t>ere</w:t>
      </w:r>
      <w:r>
        <w:t xml:space="preserve"> $5</w:t>
      </w:r>
      <w:r w:rsidR="004A733E">
        <w:t>2</w:t>
      </w:r>
      <w:r>
        <w:t>,722.48 (being the sum ordered to be paid as compensation)</w:t>
      </w:r>
      <w:r w:rsidR="00B96B7A">
        <w:t xml:space="preserve"> in addition to which the Court ordered that pre-judgment interest be paid</w:t>
      </w:r>
      <w:r>
        <w:t>.</w:t>
      </w:r>
      <w:r w:rsidR="00B13D20">
        <w:t xml:space="preserve"> </w:t>
      </w:r>
    </w:p>
    <w:p w14:paraId="79805635" w14:textId="6636AC92" w:rsidR="00036B3E" w:rsidRDefault="00B13D20" w:rsidP="00EE1F22">
      <w:pPr>
        <w:pStyle w:val="ParaNumbering"/>
      </w:pPr>
      <w:r>
        <w:t xml:space="preserve">The primary judge made a range of findings that the appellants were directly involved in allocating duties, </w:t>
      </w:r>
      <w:r w:rsidR="001953D5">
        <w:t xml:space="preserve">keeping records and </w:t>
      </w:r>
      <w:r>
        <w:t>setting and paying wages</w:t>
      </w:r>
      <w:r w:rsidR="00696A12">
        <w:t>,</w:t>
      </w:r>
      <w:r w:rsidR="00696A12" w:rsidRPr="00696A12">
        <w:t xml:space="preserve"> </w:t>
      </w:r>
      <w:r w:rsidR="00B96B7A">
        <w:t>which was done exclusively</w:t>
      </w:r>
      <w:r w:rsidR="00696A12">
        <w:t xml:space="preserve"> by bank deposit</w:t>
      </w:r>
      <w:r w:rsidR="007E47A4">
        <w:t xml:space="preserve"> so as to be a record of what had, and had not, been paid</w:t>
      </w:r>
      <w:r w:rsidR="001953D5">
        <w:t>.  These findings were all contrary to alternative case</w:t>
      </w:r>
      <w:r w:rsidR="00B96B7A">
        <w:t>s</w:t>
      </w:r>
      <w:r w:rsidR="001953D5">
        <w:t xml:space="preserve"> advanced by the appellants that were found to be false</w:t>
      </w:r>
      <w:r>
        <w:t xml:space="preserve">.  </w:t>
      </w:r>
      <w:r w:rsidR="00696A12">
        <w:t xml:space="preserve">On any view, the </w:t>
      </w:r>
      <w:r w:rsidR="007E47A4">
        <w:t xml:space="preserve">appellants’ </w:t>
      </w:r>
      <w:r w:rsidR="00696A12">
        <w:t>moral culpability was high</w:t>
      </w:r>
      <w:r w:rsidR="007E47A4">
        <w:t xml:space="preserve"> </w:t>
      </w:r>
      <w:r w:rsidR="000F7599">
        <w:t>because they were</w:t>
      </w:r>
      <w:r w:rsidR="007E47A4">
        <w:t xml:space="preserve"> the means by which </w:t>
      </w:r>
      <w:proofErr w:type="spellStart"/>
      <w:r w:rsidR="007E47A4">
        <w:t>Sinpek</w:t>
      </w:r>
      <w:proofErr w:type="spellEnd"/>
      <w:r w:rsidR="007E47A4">
        <w:t xml:space="preserve"> actually committed the contraventions</w:t>
      </w:r>
      <w:r w:rsidR="000F7599">
        <w:t>.</w:t>
      </w:r>
      <w:r w:rsidR="00696A12">
        <w:t xml:space="preserve">  </w:t>
      </w:r>
      <w:r w:rsidR="000F7599">
        <w:t>G</w:t>
      </w:r>
      <w:r w:rsidR="00696A12">
        <w:t>iven the confinement of the purpose of civil penalties to deterrence, th</w:t>
      </w:r>
      <w:r w:rsidR="005D5FC0">
        <w:t>ese false claims</w:t>
      </w:r>
      <w:r w:rsidR="00696A12">
        <w:t xml:space="preserve"> </w:t>
      </w:r>
      <w:r w:rsidR="005D5FC0">
        <w:t>were</w:t>
      </w:r>
      <w:r w:rsidR="000F7599">
        <w:t xml:space="preserve"> </w:t>
      </w:r>
      <w:r w:rsidR="00696A12">
        <w:t xml:space="preserve">found to elevate the need for specific and general deterrence.  </w:t>
      </w:r>
    </w:p>
    <w:p w14:paraId="4B781EE6" w14:textId="3B1842D4" w:rsidR="00EE1F22" w:rsidRPr="007E47A4" w:rsidRDefault="00696A12" w:rsidP="00EE1F22">
      <w:pPr>
        <w:pStyle w:val="ParaNumbering"/>
      </w:pPr>
      <w:r>
        <w:lastRenderedPageBreak/>
        <w:t xml:space="preserve">The </w:t>
      </w:r>
      <w:r w:rsidR="00036B3E">
        <w:t xml:space="preserve">attempted </w:t>
      </w:r>
      <w:r>
        <w:t xml:space="preserve">exculpatory testimony of the appellants </w:t>
      </w:r>
      <w:r w:rsidRPr="00696A12">
        <w:rPr>
          <w:szCs w:val="24"/>
          <w:lang w:eastAsia="en-AU"/>
        </w:rPr>
        <w:t xml:space="preserve">as to payroll, pay slips and rosters </w:t>
      </w:r>
      <w:r w:rsidR="00036B3E">
        <w:rPr>
          <w:szCs w:val="24"/>
          <w:lang w:eastAsia="en-AU"/>
        </w:rPr>
        <w:t xml:space="preserve">was found by the primary judge, at </w:t>
      </w:r>
      <w:r w:rsidR="00036B3E" w:rsidRPr="002742BB">
        <w:rPr>
          <w:szCs w:val="24"/>
          <w:lang w:eastAsia="en-AU"/>
        </w:rPr>
        <w:t>[</w:t>
      </w:r>
      <w:r w:rsidR="005D5FC0" w:rsidRPr="002742BB">
        <w:rPr>
          <w:szCs w:val="24"/>
          <w:lang w:eastAsia="en-AU"/>
        </w:rPr>
        <w:t>49</w:t>
      </w:r>
      <w:r w:rsidR="00036B3E" w:rsidRPr="002742BB">
        <w:rPr>
          <w:szCs w:val="24"/>
          <w:lang w:eastAsia="en-AU"/>
        </w:rPr>
        <w:t>]</w:t>
      </w:r>
      <w:r w:rsidR="005D5FC0">
        <w:rPr>
          <w:szCs w:val="24"/>
          <w:lang w:eastAsia="en-AU"/>
        </w:rPr>
        <w:t xml:space="preserve"> of the liability judgment</w:t>
      </w:r>
      <w:r w:rsidR="00036B3E">
        <w:rPr>
          <w:szCs w:val="24"/>
          <w:lang w:eastAsia="en-AU"/>
        </w:rPr>
        <w:t xml:space="preserve">, </w:t>
      </w:r>
      <w:r w:rsidRPr="00696A12">
        <w:rPr>
          <w:szCs w:val="24"/>
          <w:lang w:eastAsia="en-AU"/>
        </w:rPr>
        <w:t>to be “</w:t>
      </w:r>
      <w:r w:rsidRPr="00696A12">
        <w:rPr>
          <w:i/>
          <w:szCs w:val="24"/>
          <w:lang w:eastAsia="en-AU"/>
        </w:rPr>
        <w:t>unresponsive, evasive and implausible</w:t>
      </w:r>
      <w:r w:rsidRPr="00696A12">
        <w:rPr>
          <w:szCs w:val="24"/>
          <w:lang w:eastAsia="en-AU"/>
        </w:rPr>
        <w:t>”</w:t>
      </w:r>
      <w:r>
        <w:rPr>
          <w:szCs w:val="24"/>
          <w:lang w:eastAsia="en-AU"/>
        </w:rPr>
        <w:t>.</w:t>
      </w:r>
      <w:r w:rsidR="00EE1F22">
        <w:rPr>
          <w:szCs w:val="24"/>
          <w:lang w:eastAsia="en-AU"/>
        </w:rPr>
        <w:t xml:space="preserve">  As was observed in </w:t>
      </w:r>
      <w:r w:rsidR="00EE1F22" w:rsidRPr="00616404">
        <w:rPr>
          <w:i/>
          <w:szCs w:val="24"/>
          <w:lang w:eastAsia="en-AU"/>
        </w:rPr>
        <w:t>Reckitt Benckiser</w:t>
      </w:r>
      <w:r w:rsidR="00EE1F22">
        <w:rPr>
          <w:i/>
          <w:szCs w:val="24"/>
          <w:lang w:eastAsia="en-AU"/>
        </w:rPr>
        <w:t xml:space="preserve"> </w:t>
      </w:r>
      <w:r w:rsidR="00EE1F22">
        <w:rPr>
          <w:szCs w:val="24"/>
          <w:lang w:eastAsia="en-AU"/>
        </w:rPr>
        <w:t>at [131], “</w:t>
      </w:r>
      <w:proofErr w:type="gramStart"/>
      <w:r w:rsidR="00EE1F22" w:rsidRPr="00EE1F22">
        <w:rPr>
          <w:i/>
          <w:szCs w:val="24"/>
          <w:lang w:eastAsia="en-AU"/>
        </w:rPr>
        <w:t>if</w:t>
      </w:r>
      <w:proofErr w:type="gramEnd"/>
      <w:r w:rsidR="00EE1F22" w:rsidRPr="00EE1F22">
        <w:rPr>
          <w:i/>
          <w:szCs w:val="24"/>
          <w:lang w:eastAsia="en-AU"/>
        </w:rPr>
        <w:t xml:space="preserve"> any degree of awareness of the actual or potential unlawfulness of the conduct is proved then, all other things being equal, the contravention is necessarily more serious</w:t>
      </w:r>
      <w:r w:rsidR="00EE1F22">
        <w:rPr>
          <w:szCs w:val="24"/>
          <w:lang w:eastAsia="en-AU"/>
        </w:rPr>
        <w:t>”.</w:t>
      </w:r>
      <w:r w:rsidR="007E47A4">
        <w:rPr>
          <w:szCs w:val="24"/>
          <w:lang w:eastAsia="en-AU"/>
        </w:rPr>
        <w:t xml:space="preserve">  </w:t>
      </w:r>
      <w:r w:rsidR="00B6080D">
        <w:rPr>
          <w:szCs w:val="24"/>
          <w:lang w:eastAsia="en-AU"/>
        </w:rPr>
        <w:t>The primary judge</w:t>
      </w:r>
      <w:r w:rsidR="007E47A4">
        <w:rPr>
          <w:szCs w:val="24"/>
          <w:lang w:eastAsia="en-AU"/>
        </w:rPr>
        <w:t xml:space="preserve"> expressly found that both appellants knew that their company’s employees were being underpaid for what was a protracted period of time, including knowing </w:t>
      </w:r>
      <w:r w:rsidR="002C1571">
        <w:rPr>
          <w:szCs w:val="24"/>
          <w:lang w:eastAsia="en-AU"/>
        </w:rPr>
        <w:t>that</w:t>
      </w:r>
      <w:r w:rsidR="007E47A4">
        <w:rPr>
          <w:szCs w:val="24"/>
          <w:lang w:eastAsia="en-AU"/>
        </w:rPr>
        <w:t xml:space="preserve"> the </w:t>
      </w:r>
      <w:r w:rsidR="007E47A4" w:rsidRPr="00DA4033">
        <w:rPr>
          <w:i/>
          <w:szCs w:val="24"/>
          <w:lang w:eastAsia="en-AU"/>
        </w:rPr>
        <w:t>Modern Award</w:t>
      </w:r>
      <w:r w:rsidR="007E47A4">
        <w:rPr>
          <w:szCs w:val="24"/>
          <w:lang w:eastAsia="en-AU"/>
        </w:rPr>
        <w:t xml:space="preserve"> </w:t>
      </w:r>
      <w:r w:rsidR="002C1571">
        <w:rPr>
          <w:szCs w:val="24"/>
          <w:lang w:eastAsia="en-AU"/>
        </w:rPr>
        <w:t xml:space="preserve">applied </w:t>
      </w:r>
      <w:r w:rsidR="002742BB">
        <w:rPr>
          <w:szCs w:val="24"/>
          <w:lang w:eastAsia="en-AU"/>
        </w:rPr>
        <w:t xml:space="preserve">to them </w:t>
      </w:r>
      <w:r w:rsidR="002C1571">
        <w:rPr>
          <w:szCs w:val="24"/>
          <w:lang w:eastAsia="en-AU"/>
        </w:rPr>
        <w:t xml:space="preserve">and that the </w:t>
      </w:r>
      <w:r w:rsidR="007E47A4">
        <w:rPr>
          <w:szCs w:val="24"/>
          <w:lang w:eastAsia="en-AU"/>
        </w:rPr>
        <w:t>entitlements</w:t>
      </w:r>
      <w:r w:rsidR="002C1571">
        <w:rPr>
          <w:szCs w:val="24"/>
          <w:lang w:eastAsia="en-AU"/>
        </w:rPr>
        <w:t xml:space="preserve"> under it</w:t>
      </w:r>
      <w:r w:rsidR="007E47A4">
        <w:rPr>
          <w:szCs w:val="24"/>
          <w:lang w:eastAsia="en-AU"/>
        </w:rPr>
        <w:t xml:space="preserve"> were</w:t>
      </w:r>
      <w:r w:rsidR="002C1571">
        <w:rPr>
          <w:szCs w:val="24"/>
          <w:lang w:eastAsia="en-AU"/>
        </w:rPr>
        <w:t xml:space="preserve"> greater than what the employees were receiving</w:t>
      </w:r>
      <w:r w:rsidR="007E47A4">
        <w:rPr>
          <w:szCs w:val="24"/>
          <w:lang w:eastAsia="en-AU"/>
        </w:rPr>
        <w:t xml:space="preserve">.  A further and important aggravating feature was that Ms Singh was found to have prepared a false statutory </w:t>
      </w:r>
      <w:r w:rsidR="002C1571">
        <w:rPr>
          <w:szCs w:val="24"/>
          <w:lang w:eastAsia="en-AU"/>
        </w:rPr>
        <w:t>declaration</w:t>
      </w:r>
      <w:r w:rsidR="007E47A4">
        <w:rPr>
          <w:szCs w:val="24"/>
          <w:lang w:eastAsia="en-AU"/>
        </w:rPr>
        <w:t xml:space="preserve"> for Mr </w:t>
      </w:r>
      <w:proofErr w:type="spellStart"/>
      <w:r w:rsidR="007E47A4">
        <w:rPr>
          <w:szCs w:val="24"/>
          <w:lang w:eastAsia="en-AU"/>
        </w:rPr>
        <w:t>Dhariwal</w:t>
      </w:r>
      <w:proofErr w:type="spellEnd"/>
      <w:r w:rsidR="007E47A4">
        <w:rPr>
          <w:szCs w:val="24"/>
          <w:lang w:eastAsia="en-AU"/>
        </w:rPr>
        <w:t xml:space="preserve"> to sign, despite </w:t>
      </w:r>
      <w:r w:rsidR="002C1571">
        <w:rPr>
          <w:szCs w:val="24"/>
          <w:lang w:eastAsia="en-AU"/>
        </w:rPr>
        <w:t>her</w:t>
      </w:r>
      <w:r w:rsidR="00036B3E">
        <w:rPr>
          <w:szCs w:val="24"/>
          <w:lang w:eastAsia="en-AU"/>
        </w:rPr>
        <w:t xml:space="preserve"> </w:t>
      </w:r>
      <w:r w:rsidR="007E47A4">
        <w:rPr>
          <w:szCs w:val="24"/>
          <w:lang w:eastAsia="en-AU"/>
        </w:rPr>
        <w:t>denying ever having seen it</w:t>
      </w:r>
      <w:r w:rsidR="00036B3E">
        <w:rPr>
          <w:szCs w:val="24"/>
          <w:lang w:eastAsia="en-AU"/>
        </w:rPr>
        <w:t xml:space="preserve"> before</w:t>
      </w:r>
      <w:r w:rsidR="007E47A4">
        <w:rPr>
          <w:szCs w:val="24"/>
          <w:lang w:eastAsia="en-AU"/>
        </w:rPr>
        <w:t xml:space="preserve">.  </w:t>
      </w:r>
    </w:p>
    <w:p w14:paraId="5A4629E8" w14:textId="077D05B5" w:rsidR="00EE1F22" w:rsidRPr="00EE1F22" w:rsidRDefault="007E47A4" w:rsidP="00BD5E85">
      <w:pPr>
        <w:pStyle w:val="ParaNumbering"/>
      </w:pPr>
      <w:r w:rsidRPr="00036B3E">
        <w:rPr>
          <w:szCs w:val="24"/>
          <w:lang w:eastAsia="en-AU"/>
        </w:rPr>
        <w:t xml:space="preserve">There are many other adverse findings of credit and truthfulness made against the appellants.  Not all of them need to be detailed here.  It suffices to say that the burden of the primary judge’s reasoning and conclusions was that this was deliberate and planned contravening conduct over some 18 months, including false recording keeping.  As the case emerged at trial, it would have been quite artificial for his Honour to have assessed the conduct in respect of each contravention in isolation.  The nature and extent of each contravention contributed to an important understanding </w:t>
      </w:r>
      <w:r w:rsidR="00095CDB">
        <w:rPr>
          <w:szCs w:val="24"/>
          <w:lang w:eastAsia="en-AU"/>
        </w:rPr>
        <w:t>of</w:t>
      </w:r>
      <w:r w:rsidRPr="00036B3E">
        <w:rPr>
          <w:szCs w:val="24"/>
          <w:lang w:eastAsia="en-AU"/>
        </w:rPr>
        <w:t xml:space="preserve"> the </w:t>
      </w:r>
      <w:r w:rsidR="00095CDB">
        <w:rPr>
          <w:szCs w:val="24"/>
          <w:lang w:eastAsia="en-AU"/>
        </w:rPr>
        <w:t xml:space="preserve">states of mind that existed in light of the evidence taken as a </w:t>
      </w:r>
      <w:r w:rsidRPr="00036B3E">
        <w:rPr>
          <w:szCs w:val="24"/>
          <w:lang w:eastAsia="en-AU"/>
        </w:rPr>
        <w:t xml:space="preserve">whole.  </w:t>
      </w:r>
      <w:r w:rsidR="00095CDB">
        <w:rPr>
          <w:szCs w:val="24"/>
          <w:lang w:eastAsia="en-AU"/>
        </w:rPr>
        <w:t>The making of s</w:t>
      </w:r>
      <w:r w:rsidR="00EE1F22" w:rsidRPr="00036B3E">
        <w:rPr>
          <w:szCs w:val="24"/>
          <w:lang w:eastAsia="en-AU"/>
        </w:rPr>
        <w:t xml:space="preserve">uch findings, when available to be made, </w:t>
      </w:r>
      <w:r w:rsidR="00095CDB">
        <w:rPr>
          <w:szCs w:val="24"/>
          <w:lang w:eastAsia="en-AU"/>
        </w:rPr>
        <w:t>is</w:t>
      </w:r>
      <w:r w:rsidR="00EE1F22" w:rsidRPr="00036B3E">
        <w:rPr>
          <w:szCs w:val="24"/>
          <w:lang w:eastAsia="en-AU"/>
        </w:rPr>
        <w:t xml:space="preserve"> </w:t>
      </w:r>
      <w:r w:rsidR="00EE1F22" w:rsidRPr="00036B3E">
        <w:rPr>
          <w:szCs w:val="24"/>
        </w:rPr>
        <w:t>an “</w:t>
      </w:r>
      <w:r w:rsidR="00EE1F22" w:rsidRPr="00036B3E">
        <w:rPr>
          <w:i/>
          <w:szCs w:val="24"/>
          <w:lang w:eastAsia="en-AU"/>
        </w:rPr>
        <w:t>essential judicial function</w:t>
      </w:r>
      <w:r w:rsidR="00EE1F22" w:rsidRPr="00036B3E">
        <w:rPr>
          <w:szCs w:val="24"/>
          <w:lang w:eastAsia="en-AU"/>
        </w:rPr>
        <w:t xml:space="preserve">”: </w:t>
      </w:r>
      <w:r w:rsidR="00EE1F22" w:rsidRPr="00036B3E">
        <w:rPr>
          <w:i/>
          <w:szCs w:val="24"/>
          <w:lang w:eastAsia="en-AU"/>
        </w:rPr>
        <w:t xml:space="preserve">Reckitt Benckiser </w:t>
      </w:r>
      <w:r w:rsidR="00EE1F22" w:rsidRPr="00036B3E">
        <w:rPr>
          <w:szCs w:val="24"/>
          <w:lang w:eastAsia="en-AU"/>
        </w:rPr>
        <w:t>at [132].</w:t>
      </w:r>
      <w:r w:rsidR="00036B3E" w:rsidRPr="00036B3E">
        <w:rPr>
          <w:szCs w:val="24"/>
          <w:lang w:eastAsia="en-AU"/>
        </w:rPr>
        <w:t xml:space="preserve">  </w:t>
      </w:r>
    </w:p>
    <w:p w14:paraId="50C286A4" w14:textId="77777777" w:rsidR="00E62EF9" w:rsidRDefault="008F64EF" w:rsidP="008F64EF">
      <w:pPr>
        <w:pStyle w:val="Heading2"/>
      </w:pPr>
      <w:r>
        <w:t>Ground 1 – objective seriousness and worst category</w:t>
      </w:r>
    </w:p>
    <w:p w14:paraId="51B427DB" w14:textId="60C4F2E6" w:rsidR="008F64EF" w:rsidRDefault="00BB1AF5" w:rsidP="008F64EF">
      <w:pPr>
        <w:pStyle w:val="ParaNumbering"/>
      </w:pPr>
      <w:r>
        <w:t>The appel</w:t>
      </w:r>
      <w:r w:rsidR="003465E1">
        <w:t xml:space="preserve">lants </w:t>
      </w:r>
      <w:r w:rsidR="00ED0F0F">
        <w:t>alleg</w:t>
      </w:r>
      <w:r w:rsidR="003C4676">
        <w:t>e</w:t>
      </w:r>
      <w:r w:rsidR="00ED0F0F">
        <w:t xml:space="preserve"> </w:t>
      </w:r>
      <w:r w:rsidR="003C4676">
        <w:t xml:space="preserve">that </w:t>
      </w:r>
      <w:r w:rsidR="00ED0F0F">
        <w:t>the following constitut</w:t>
      </w:r>
      <w:r w:rsidR="003C4676">
        <w:t>e</w:t>
      </w:r>
      <w:r w:rsidR="00ED0F0F">
        <w:t xml:space="preserve"> errors by the primary judge</w:t>
      </w:r>
      <w:r>
        <w:t>:</w:t>
      </w:r>
    </w:p>
    <w:p w14:paraId="0769D414" w14:textId="6A6D6D51" w:rsidR="00ED0F0F" w:rsidRPr="00F24A7A" w:rsidRDefault="00ED0F0F" w:rsidP="00ED0F0F">
      <w:pPr>
        <w:pStyle w:val="ListNo1"/>
        <w:numPr>
          <w:ilvl w:val="0"/>
          <w:numId w:val="27"/>
        </w:numPr>
        <w:rPr>
          <w:szCs w:val="24"/>
        </w:rPr>
      </w:pPr>
      <w:r>
        <w:t>Acting</w:t>
      </w:r>
      <w:r w:rsidR="0009393D">
        <w:t xml:space="preserve"> upon a wrong principle by finding that the</w:t>
      </w:r>
      <w:r>
        <w:t xml:space="preserve"> appellants’ </w:t>
      </w:r>
      <w:r w:rsidR="0009393D">
        <w:t xml:space="preserve">conduct was </w:t>
      </w:r>
      <w:r w:rsidR="000C33AF">
        <w:t>at</w:t>
      </w:r>
      <w:r w:rsidR="0009393D">
        <w:t xml:space="preserve"> the </w:t>
      </w:r>
      <w:r w:rsidR="000C33AF">
        <w:t>“</w:t>
      </w:r>
      <w:r w:rsidR="0009393D" w:rsidRPr="000C33AF">
        <w:rPr>
          <w:i/>
        </w:rPr>
        <w:t xml:space="preserve">worst </w:t>
      </w:r>
      <w:r w:rsidR="000C33AF" w:rsidRPr="000C33AF">
        <w:rPr>
          <w:i/>
        </w:rPr>
        <w:t>end</w:t>
      </w:r>
      <w:r w:rsidR="000C33AF">
        <w:t xml:space="preserve">”, that is, in the worst </w:t>
      </w:r>
      <w:r w:rsidR="0009393D">
        <w:t>category</w:t>
      </w:r>
      <w:r w:rsidR="000C33AF">
        <w:t>,</w:t>
      </w:r>
      <w:r w:rsidR="0009393D">
        <w:t xml:space="preserve"> in terms of gravity, because the contraventions were not at or near </w:t>
      </w:r>
      <w:r>
        <w:t>that class of case</w:t>
      </w:r>
      <w:r w:rsidR="0009393D">
        <w:t>, c</w:t>
      </w:r>
      <w:r w:rsidR="0009393D" w:rsidRPr="00F24A7A">
        <w:t xml:space="preserve">iting </w:t>
      </w:r>
      <w:proofErr w:type="spellStart"/>
      <w:r w:rsidR="0009393D" w:rsidRPr="00F24A7A">
        <w:rPr>
          <w:i/>
          <w:szCs w:val="24"/>
        </w:rPr>
        <w:t>Auimatagi</w:t>
      </w:r>
      <w:proofErr w:type="spellEnd"/>
      <w:r w:rsidR="0009393D" w:rsidRPr="00F24A7A">
        <w:rPr>
          <w:i/>
          <w:szCs w:val="24"/>
        </w:rPr>
        <w:t xml:space="preserve"> v Australian Building and Construction Commissioner</w:t>
      </w:r>
      <w:r w:rsidR="0009393D" w:rsidRPr="00F24A7A">
        <w:rPr>
          <w:szCs w:val="24"/>
        </w:rPr>
        <w:t xml:space="preserve"> </w:t>
      </w:r>
      <w:r w:rsidR="0009393D" w:rsidRPr="00F24A7A">
        <w:rPr>
          <w:szCs w:val="24"/>
          <w:lang w:eastAsia="en-AU"/>
        </w:rPr>
        <w:t>[2018] FCAFC 191;</w:t>
      </w:r>
      <w:r w:rsidR="0009393D" w:rsidRPr="00F24A7A">
        <w:rPr>
          <w:szCs w:val="24"/>
        </w:rPr>
        <w:t xml:space="preserve"> </w:t>
      </w:r>
      <w:r w:rsidRPr="00F24A7A">
        <w:rPr>
          <w:color w:val="373739"/>
          <w:szCs w:val="24"/>
          <w:shd w:val="clear" w:color="auto" w:fill="FFFFFF"/>
        </w:rPr>
        <w:t>267 FCR 268</w:t>
      </w:r>
      <w:r w:rsidR="0009393D" w:rsidRPr="00F24A7A">
        <w:rPr>
          <w:szCs w:val="24"/>
        </w:rPr>
        <w:t xml:space="preserve"> at [176]</w:t>
      </w:r>
      <w:r w:rsidRPr="00F24A7A">
        <w:rPr>
          <w:szCs w:val="24"/>
        </w:rPr>
        <w:t xml:space="preserve">; in turn citing </w:t>
      </w:r>
      <w:r w:rsidRPr="00F24A7A">
        <w:rPr>
          <w:i/>
          <w:szCs w:val="24"/>
          <w:lang w:eastAsia="en-AU"/>
        </w:rPr>
        <w:t xml:space="preserve">Broadway on Ann </w:t>
      </w:r>
      <w:r w:rsidRPr="00F24A7A">
        <w:rPr>
          <w:szCs w:val="24"/>
          <w:lang w:eastAsia="en-AU"/>
        </w:rPr>
        <w:t xml:space="preserve">at </w:t>
      </w:r>
      <w:r w:rsidR="003C4676" w:rsidRPr="00F24A7A">
        <w:rPr>
          <w:szCs w:val="24"/>
          <w:lang w:eastAsia="en-AU"/>
        </w:rPr>
        <w:t>[</w:t>
      </w:r>
      <w:r w:rsidRPr="00F24A7A">
        <w:rPr>
          <w:szCs w:val="24"/>
          <w:lang w:eastAsia="en-AU"/>
        </w:rPr>
        <w:t>102</w:t>
      </w:r>
      <w:r w:rsidR="003C4676" w:rsidRPr="00F24A7A">
        <w:rPr>
          <w:szCs w:val="24"/>
          <w:lang w:eastAsia="en-AU"/>
        </w:rPr>
        <w:t>]</w:t>
      </w:r>
      <w:r w:rsidRPr="00F24A7A">
        <w:rPr>
          <w:szCs w:val="24"/>
          <w:lang w:eastAsia="en-AU"/>
        </w:rPr>
        <w:t xml:space="preserve">-[110] and </w:t>
      </w:r>
      <w:r w:rsidRPr="00F24A7A">
        <w:rPr>
          <w:i/>
          <w:iCs/>
          <w:szCs w:val="24"/>
          <w:lang w:eastAsia="en-AU"/>
        </w:rPr>
        <w:t>Construction, Forestry, Maritime, Mining and Energy Union v Australian Building and Construction Commissioner (</w:t>
      </w:r>
      <w:r w:rsidR="007D09F3" w:rsidRPr="00F24A7A">
        <w:rPr>
          <w:i/>
          <w:iCs/>
          <w:szCs w:val="24"/>
          <w:lang w:eastAsia="en-AU"/>
        </w:rPr>
        <w:t xml:space="preserve">The </w:t>
      </w:r>
      <w:r w:rsidRPr="00F24A7A">
        <w:rPr>
          <w:i/>
          <w:iCs/>
          <w:szCs w:val="24"/>
          <w:lang w:eastAsia="en-AU"/>
        </w:rPr>
        <w:t xml:space="preserve">Non-Indemnification Personal Payment Case) </w:t>
      </w:r>
      <w:r w:rsidRPr="00F24A7A">
        <w:rPr>
          <w:szCs w:val="24"/>
          <w:lang w:eastAsia="en-AU"/>
        </w:rPr>
        <w:t>[2018] FCAFC 97;</w:t>
      </w:r>
      <w:r w:rsidRPr="00F24A7A">
        <w:rPr>
          <w:color w:val="000000" w:themeColor="text1"/>
          <w:szCs w:val="24"/>
          <w:lang w:eastAsia="en-AU"/>
        </w:rPr>
        <w:t xml:space="preserve"> </w:t>
      </w:r>
      <w:r w:rsidRPr="00F24A7A">
        <w:rPr>
          <w:color w:val="000000" w:themeColor="text1"/>
          <w:szCs w:val="24"/>
          <w:bdr w:val="none" w:sz="0" w:space="0" w:color="auto" w:frame="1"/>
          <w:shd w:val="clear" w:color="auto" w:fill="FFFFFF"/>
        </w:rPr>
        <w:t>264 FCR 155</w:t>
      </w:r>
      <w:r w:rsidRPr="00F24A7A">
        <w:rPr>
          <w:rStyle w:val="ssbarseparator"/>
          <w:color w:val="BCBEC0"/>
          <w:szCs w:val="24"/>
          <w:bdr w:val="none" w:sz="0" w:space="0" w:color="auto" w:frame="1"/>
          <w:shd w:val="clear" w:color="auto" w:fill="FFFFFF"/>
        </w:rPr>
        <w:t>|</w:t>
      </w:r>
      <w:r w:rsidRPr="00F24A7A">
        <w:rPr>
          <w:szCs w:val="24"/>
          <w:lang w:eastAsia="en-AU"/>
        </w:rPr>
        <w:t xml:space="preserve"> at [22].</w:t>
      </w:r>
      <w:r w:rsidR="00761497" w:rsidRPr="00F24A7A">
        <w:rPr>
          <w:szCs w:val="24"/>
          <w:lang w:eastAsia="en-AU"/>
        </w:rPr>
        <w:t xml:space="preserve">  Those authorities serve to emphasise the evaluative judgment involved in such an assessment.</w:t>
      </w:r>
    </w:p>
    <w:p w14:paraId="01F9BCBD" w14:textId="49B195DE" w:rsidR="005F64FD" w:rsidRDefault="005F64FD" w:rsidP="00ED0F0F">
      <w:pPr>
        <w:pStyle w:val="ListNo1"/>
        <w:numPr>
          <w:ilvl w:val="0"/>
          <w:numId w:val="27"/>
        </w:numPr>
      </w:pPr>
      <w:r>
        <w:lastRenderedPageBreak/>
        <w:t xml:space="preserve">Appearing to adopt a uniform approach to penalty irrespective of the facts of each individual contravention, citing an unreasonable requirement </w:t>
      </w:r>
      <w:r w:rsidR="007D09F3">
        <w:t xml:space="preserve">to </w:t>
      </w:r>
      <w:r>
        <w:t>pay</w:t>
      </w:r>
      <w:r w:rsidR="007D09F3">
        <w:t xml:space="preserve"> for</w:t>
      </w:r>
      <w:r>
        <w:t xml:space="preserve"> petrol stolen by customers, in the instant case worth $30</w:t>
      </w:r>
      <w:r w:rsidR="007D09F3">
        <w:t>.</w:t>
      </w:r>
      <w:r w:rsidR="00761497">
        <w:t xml:space="preserve"> </w:t>
      </w:r>
      <w:r w:rsidR="007D09F3">
        <w:t xml:space="preserve"> I </w:t>
      </w:r>
      <w:r w:rsidR="00761497">
        <w:t>not</w:t>
      </w:r>
      <w:r w:rsidR="007D09F3">
        <w:t>e</w:t>
      </w:r>
      <w:r w:rsidR="00761497">
        <w:t xml:space="preserve"> that the heart of </w:t>
      </w:r>
      <w:r w:rsidR="00002507">
        <w:t>that</w:t>
      </w:r>
      <w:r w:rsidR="00761497">
        <w:t xml:space="preserve"> contravention was not the amount involved as a matter of chance determined by the conduct of an individual customer, but rather the approach of making an employee financially responsible for conduct</w:t>
      </w:r>
      <w:r w:rsidR="00002507">
        <w:t xml:space="preserve"> of that kind</w:t>
      </w:r>
      <w:r>
        <w:t>.</w:t>
      </w:r>
    </w:p>
    <w:p w14:paraId="64CA5E59" w14:textId="678F3A3D" w:rsidR="005F64FD" w:rsidRPr="005F64FD" w:rsidRDefault="005F64FD" w:rsidP="005F64FD">
      <w:pPr>
        <w:pStyle w:val="ListNo1"/>
        <w:numPr>
          <w:ilvl w:val="0"/>
          <w:numId w:val="27"/>
        </w:numPr>
      </w:pPr>
      <w:r w:rsidRPr="00F24A7A">
        <w:t xml:space="preserve">Failing to consider whether the penalty was proportionate to the contravening conduct, citing </w:t>
      </w:r>
      <w:r w:rsidRPr="00F24A7A">
        <w:rPr>
          <w:i/>
        </w:rPr>
        <w:t>Australian Building and Construction Commissioner v Construction, Forestry, Mining and Energy Union</w:t>
      </w:r>
      <w:r w:rsidRPr="00F24A7A">
        <w:t xml:space="preserve"> [2017] FCAFC 113; 254 FCR 68 at [107] at which it was observed, supported by well-established prior authority tha</w:t>
      </w:r>
      <w:r>
        <w:t>t “</w:t>
      </w:r>
      <w:r w:rsidRPr="0024279F">
        <w:t>[e]</w:t>
      </w:r>
      <w:proofErr w:type="spellStart"/>
      <w:r w:rsidRPr="005F64FD">
        <w:rPr>
          <w:i/>
          <w:szCs w:val="24"/>
          <w:lang w:eastAsia="en-AU"/>
        </w:rPr>
        <w:t>ven</w:t>
      </w:r>
      <w:proofErr w:type="spellEnd"/>
      <w:r w:rsidRPr="005F64FD">
        <w:rPr>
          <w:i/>
          <w:szCs w:val="24"/>
          <w:lang w:eastAsia="en-AU"/>
        </w:rPr>
        <w:t xml:space="preserve"> where the maximum penalty for the contravention is high, and the amount necessary to provide effective deterrence is large, the amount of the penalty should be proportionate to the contravention and should not be so high as to be oppressive</w:t>
      </w:r>
      <w:r>
        <w:rPr>
          <w:szCs w:val="24"/>
          <w:lang w:eastAsia="en-AU"/>
        </w:rPr>
        <w:t>”.</w:t>
      </w:r>
      <w:r w:rsidR="00761497">
        <w:rPr>
          <w:szCs w:val="24"/>
          <w:lang w:eastAsia="en-AU"/>
        </w:rPr>
        <w:t xml:space="preserve">  In this case, the assessment was significantly affected by the attitude of the appellant</w:t>
      </w:r>
      <w:r w:rsidR="001F21EE">
        <w:rPr>
          <w:szCs w:val="24"/>
          <w:lang w:eastAsia="en-AU"/>
        </w:rPr>
        <w:t>s</w:t>
      </w:r>
      <w:r w:rsidR="00761497">
        <w:rPr>
          <w:szCs w:val="24"/>
          <w:lang w:eastAsia="en-AU"/>
        </w:rPr>
        <w:t xml:space="preserve"> towards their own conduct, improperly endeavouring to evade responsibility for what they had done, elevating the need for both specific and general deterrence and enabling the conduct to be viewed in that light. </w:t>
      </w:r>
    </w:p>
    <w:p w14:paraId="4292654F" w14:textId="77777777" w:rsidR="005F64FD" w:rsidRPr="00761497" w:rsidRDefault="005F64FD" w:rsidP="005F64FD">
      <w:pPr>
        <w:pStyle w:val="ListNo1"/>
        <w:numPr>
          <w:ilvl w:val="0"/>
          <w:numId w:val="27"/>
        </w:numPr>
      </w:pPr>
      <w:r>
        <w:rPr>
          <w:szCs w:val="24"/>
          <w:lang w:eastAsia="en-AU"/>
        </w:rPr>
        <w:t>Imposing penalties that were not appropriate and were therefore beyond the undoubtedly broad discretion available</w:t>
      </w:r>
      <w:r w:rsidR="00761497">
        <w:rPr>
          <w:szCs w:val="24"/>
          <w:lang w:eastAsia="en-AU"/>
        </w:rPr>
        <w:t xml:space="preserve"> and were manifestly excessive</w:t>
      </w:r>
      <w:r>
        <w:rPr>
          <w:szCs w:val="24"/>
          <w:lang w:eastAsia="en-AU"/>
        </w:rPr>
        <w:t xml:space="preserve">. </w:t>
      </w:r>
    </w:p>
    <w:p w14:paraId="0545648A" w14:textId="2119676C" w:rsidR="00CF4373" w:rsidRDefault="00761497" w:rsidP="00761497">
      <w:pPr>
        <w:pStyle w:val="ParaNumbering"/>
      </w:pPr>
      <w:r>
        <w:t>The main problem is that each of these arguments, and especially the last of them, are advanced as conclusions or suppositions, rather than by a process which identifies and establishes error.  They rise little higher than suggesting that different conclusions could hav</w:t>
      </w:r>
      <w:bookmarkStart w:id="24" w:name="_GoBack"/>
      <w:bookmarkEnd w:id="24"/>
      <w:r>
        <w:t>e been reached by viewing the contraventions in a different way.  When the primary judge’s reason</w:t>
      </w:r>
      <w:r w:rsidR="001F21EE">
        <w:t>s</w:t>
      </w:r>
      <w:r>
        <w:t xml:space="preserve"> are read in a holistic way, having regard to the totality of the conduct and the dishonest attempts to evade responsibility for </w:t>
      </w:r>
      <w:r w:rsidR="00253FE7">
        <w:t>aspect</w:t>
      </w:r>
      <w:r w:rsidR="0024279F">
        <w:t>s</w:t>
      </w:r>
      <w:r w:rsidR="00253FE7">
        <w:t xml:space="preserve"> of </w:t>
      </w:r>
      <w:r w:rsidR="001F21EE">
        <w:t>it</w:t>
      </w:r>
      <w:r>
        <w:t>,</w:t>
      </w:r>
      <w:r w:rsidR="00CF4373">
        <w:t xml:space="preserve"> the duration of key aspects of the conduct, and its planned and deliberate nature,</w:t>
      </w:r>
      <w:r>
        <w:t xml:space="preserve"> it is clear that his Honour was entitled to reach the conclusions that he did</w:t>
      </w:r>
      <w:r w:rsidR="00CF4373">
        <w:t>, even if nuanced fault can perhaps be found in aspects of the detail</w:t>
      </w:r>
      <w:r>
        <w:t>.  Cherry picking aspects of the reasoning process by reference to isolated passages</w:t>
      </w:r>
      <w:r w:rsidR="00CF4373">
        <w:t>, and pointing to minor infelicities,</w:t>
      </w:r>
      <w:r>
        <w:t xml:space="preserve"> does not do justice to his Honour’s detail</w:t>
      </w:r>
      <w:r w:rsidR="00CF4373">
        <w:t>ed</w:t>
      </w:r>
      <w:r>
        <w:t xml:space="preserve"> assessment of what had taken place</w:t>
      </w:r>
      <w:r w:rsidR="00CF4373">
        <w:t xml:space="preserve"> and the overall conclusions reached</w:t>
      </w:r>
      <w:r>
        <w:t xml:space="preserve">.  </w:t>
      </w:r>
    </w:p>
    <w:p w14:paraId="522EB7A1" w14:textId="77777777" w:rsidR="00761497" w:rsidRPr="005F64FD" w:rsidRDefault="00253FE7" w:rsidP="00761497">
      <w:pPr>
        <w:pStyle w:val="ParaNumbering"/>
      </w:pPr>
      <w:r>
        <w:t xml:space="preserve">In the way in which this ground was advanced orally and in writing, it did not rise higher than taking issue with the conclusions reached.  Far from being satisfied that error has been </w:t>
      </w:r>
      <w:r>
        <w:lastRenderedPageBreak/>
        <w:t>established, I am in substantial agreement with the reasoning and conclusions reached.  Accordingly this ground must fail.</w:t>
      </w:r>
    </w:p>
    <w:p w14:paraId="65478FDA" w14:textId="77777777" w:rsidR="008F64EF" w:rsidRDefault="008F64EF" w:rsidP="008F64EF">
      <w:pPr>
        <w:pStyle w:val="Heading2"/>
      </w:pPr>
      <w:r>
        <w:t>Ground 2 – irrelevant and relevant considerations</w:t>
      </w:r>
    </w:p>
    <w:p w14:paraId="05667B69" w14:textId="361EB746" w:rsidR="008F64EF" w:rsidRDefault="008F64EF" w:rsidP="008F64EF">
      <w:pPr>
        <w:pStyle w:val="ParaNumbering"/>
      </w:pPr>
      <w:r>
        <w:t>The grounds of irrelevant and relevant considerations are best understood as allegations of having regard to something that is forbidden, and failing to have regard to something that is mandatory.  In the context of criminal sentencing and civil penalty imposition they are inherently very difficult grounds to succe</w:t>
      </w:r>
      <w:r w:rsidR="00CF4373">
        <w:t>ed upon because of the breadth o</w:t>
      </w:r>
      <w:r>
        <w:t>f the discretion being exercised and the role of the judicial officer in attributing significance, or lack of significance</w:t>
      </w:r>
      <w:r w:rsidR="00EF6FE4">
        <w:t>,</w:t>
      </w:r>
      <w:r>
        <w:t xml:space="preserve"> to any particular fact </w:t>
      </w:r>
      <w:r w:rsidR="00EF6FE4">
        <w:t>or circumstance.</w:t>
      </w:r>
      <w:r w:rsidR="00CF4373">
        <w:t xml:space="preserve">  Moreover, taking issue with the weight or emphasis given to a particular feature of the case falls well short of establishing this kind of error.</w:t>
      </w:r>
      <w:r w:rsidR="006172A3">
        <w:t xml:space="preserve">  The ground is complicated</w:t>
      </w:r>
      <w:r w:rsidR="00122755">
        <w:t xml:space="preserve"> in this proceeding</w:t>
      </w:r>
      <w:r w:rsidR="006172A3">
        <w:t xml:space="preserve"> by the submissions advanced in support of it referring t</w:t>
      </w:r>
      <w:r w:rsidR="00122755">
        <w:t>o</w:t>
      </w:r>
      <w:r w:rsidR="006172A3">
        <w:t xml:space="preserve"> a denial of procedural fairness, which is a very different </w:t>
      </w:r>
      <w:r w:rsidR="00A6438D">
        <w:t xml:space="preserve">kind of </w:t>
      </w:r>
      <w:r w:rsidR="006172A3">
        <w:t>error if established.</w:t>
      </w:r>
    </w:p>
    <w:p w14:paraId="47991D1F" w14:textId="09927631" w:rsidR="00CF4373" w:rsidRDefault="00CF4373" w:rsidP="008F64EF">
      <w:pPr>
        <w:pStyle w:val="ParaNumbering"/>
      </w:pPr>
      <w:r>
        <w:t>The central complaint</w:t>
      </w:r>
      <w:r w:rsidR="00C2751A">
        <w:t>s</w:t>
      </w:r>
      <w:r>
        <w:t xml:space="preserve"> made in support of this ground </w:t>
      </w:r>
      <w:r w:rsidR="00C2751A">
        <w:t>are</w:t>
      </w:r>
      <w:r>
        <w:t xml:space="preserve"> that the primary judge appeared to have placed significance upon the making of substantial unsecured loans by </w:t>
      </w:r>
      <w:proofErr w:type="spellStart"/>
      <w:r>
        <w:t>Sinpek</w:t>
      </w:r>
      <w:proofErr w:type="spellEnd"/>
      <w:r>
        <w:t xml:space="preserve"> shortly before it was put into liquidation, </w:t>
      </w:r>
      <w:r w:rsidR="006172A3">
        <w:t>with the intention of preventing enforcement of compensation orders,</w:t>
      </w:r>
      <w:r w:rsidR="001370AA">
        <w:t xml:space="preserve"> and that</w:t>
      </w:r>
      <w:r w:rsidR="006172A3">
        <w:t xml:space="preserve"> </w:t>
      </w:r>
      <w:r w:rsidR="001370AA">
        <w:t>this</w:t>
      </w:r>
      <w:r>
        <w:t xml:space="preserve"> </w:t>
      </w:r>
      <w:r w:rsidR="006172A3">
        <w:t xml:space="preserve">series of </w:t>
      </w:r>
      <w:r>
        <w:t>finding</w:t>
      </w:r>
      <w:r w:rsidR="006172A3">
        <w:t>s</w:t>
      </w:r>
      <w:r>
        <w:t xml:space="preserve"> </w:t>
      </w:r>
      <w:r w:rsidR="001370AA">
        <w:t xml:space="preserve">is </w:t>
      </w:r>
      <w:r>
        <w:t xml:space="preserve">contrary to the evidence.  </w:t>
      </w:r>
      <w:r w:rsidR="006172A3">
        <w:t>It is submitted that the appellants were not put on notice that this approach was going to be taken</w:t>
      </w:r>
      <w:r w:rsidR="00A93D21">
        <w:t>.</w:t>
      </w:r>
      <w:r w:rsidR="006172A3">
        <w:t xml:space="preserve"> </w:t>
      </w:r>
      <w:r w:rsidR="00A93D21">
        <w:t xml:space="preserve"> This was</w:t>
      </w:r>
      <w:r w:rsidR="006172A3">
        <w:t xml:space="preserve"> the source of the allegation of a denial of procedural fairness.</w:t>
      </w:r>
      <w:r w:rsidR="00C2751A">
        <w:t xml:space="preserve">  The other aspect </w:t>
      </w:r>
      <w:r w:rsidR="00A93D21">
        <w:t xml:space="preserve">of the way in which this ground was sought to be advanced </w:t>
      </w:r>
      <w:r w:rsidR="00C2751A">
        <w:t xml:space="preserve">concerns an alleged failure to have regard to the absence of prior contraventions, the relatively small size of </w:t>
      </w:r>
      <w:proofErr w:type="spellStart"/>
      <w:r w:rsidR="00C2751A">
        <w:t>Sinpek</w:t>
      </w:r>
      <w:proofErr w:type="spellEnd"/>
      <w:r w:rsidR="00C2751A">
        <w:t xml:space="preserve"> with some 10-15 employees, and the </w:t>
      </w:r>
      <w:r w:rsidR="00A6438D">
        <w:t xml:space="preserve">mitigating </w:t>
      </w:r>
      <w:r w:rsidR="00C2751A">
        <w:t>admission of the failure to pay annual leave upon termination of employment.</w:t>
      </w:r>
    </w:p>
    <w:p w14:paraId="57FF0E05" w14:textId="1C3E43EB" w:rsidR="00C2751A" w:rsidRDefault="006172A3" w:rsidP="008F64EF">
      <w:pPr>
        <w:pStyle w:val="ParaNumbering"/>
      </w:pPr>
      <w:r>
        <w:t xml:space="preserve">This ground fails both as to its pleaded aspect of relevant/irrelevant considerations, and as to its </w:t>
      </w:r>
      <w:proofErr w:type="spellStart"/>
      <w:r>
        <w:t>unpleaded</w:t>
      </w:r>
      <w:proofErr w:type="spellEnd"/>
      <w:r>
        <w:t xml:space="preserve"> aspect of denial of procedural fairness.  The objective facts readily available to be </w:t>
      </w:r>
      <w:r w:rsidR="006055CF">
        <w:t>found</w:t>
      </w:r>
      <w:r>
        <w:t xml:space="preserve"> on the available evidence </w:t>
      </w:r>
      <w:r w:rsidR="00C2751A">
        <w:t xml:space="preserve">as to the asserted irrelevant considerations </w:t>
      </w:r>
      <w:r w:rsidR="00A6438D">
        <w:t xml:space="preserve">are </w:t>
      </w:r>
      <w:r>
        <w:t xml:space="preserve">that at the time allegations had been made that </w:t>
      </w:r>
      <w:proofErr w:type="spellStart"/>
      <w:r>
        <w:t>Sinpek</w:t>
      </w:r>
      <w:proofErr w:type="spellEnd"/>
      <w:r>
        <w:t xml:space="preserve"> was indebted to its employees, the appellants caused unsecured loans to be made to their accountant with no benefit to the company being apparent, and there being a proper basis for a serious concern as to solvency.  </w:t>
      </w:r>
      <w:proofErr w:type="spellStart"/>
      <w:r>
        <w:t>Sinpek</w:t>
      </w:r>
      <w:proofErr w:type="spellEnd"/>
      <w:r>
        <w:t xml:space="preserve"> was placed into voluntary liquidation after the loan was made and during the pendency of the proceeding before the Federal Circuit Court.  One of the reasons for that taking place was the fact of defending those proceedings.  In those circumstances, it was both open and obvious that </w:t>
      </w:r>
      <w:r>
        <w:lastRenderedPageBreak/>
        <w:t xml:space="preserve">his Honour might infer that the appellants were taking steps </w:t>
      </w:r>
      <w:r w:rsidR="00A6438D">
        <w:t xml:space="preserve">intended to be </w:t>
      </w:r>
      <w:r>
        <w:t>adverse to the interests of the former employees</w:t>
      </w:r>
      <w:r w:rsidR="00A6438D">
        <w:t xml:space="preserve">, irrespective of whether this </w:t>
      </w:r>
      <w:r w:rsidR="000A7890">
        <w:t xml:space="preserve">endeavour </w:t>
      </w:r>
      <w:r w:rsidR="00A6438D">
        <w:t>was likely to succeed</w:t>
      </w:r>
      <w:r>
        <w:t xml:space="preserve">.  </w:t>
      </w:r>
    </w:p>
    <w:p w14:paraId="6EC9B4E6" w14:textId="0348CF53" w:rsidR="00C2751A" w:rsidRDefault="00C2751A" w:rsidP="008F64EF">
      <w:pPr>
        <w:pStyle w:val="ParaNumbering"/>
      </w:pPr>
      <w:r>
        <w:t xml:space="preserve">Whether </w:t>
      </w:r>
      <w:r w:rsidR="006055CF">
        <w:t xml:space="preserve">or not </w:t>
      </w:r>
      <w:r>
        <w:t>the evidence necessarily supported the full sequence of events identified by the prim</w:t>
      </w:r>
      <w:r w:rsidR="00931CF3">
        <w:t>a</w:t>
      </w:r>
      <w:r>
        <w:t>ry judge, the general thrust of what had taken place was, predictably, available to be taken into account, and this was far from irrelevant in the general sense, let alone the specific sense required to be established</w:t>
      </w:r>
      <w:r w:rsidR="00A6438D">
        <w:t xml:space="preserve"> of being a forbidden consideration</w:t>
      </w:r>
      <w:r>
        <w:t>.  The real point is that this lent weight to the conclusion already available</w:t>
      </w:r>
      <w:r w:rsidR="002A1C61">
        <w:t xml:space="preserve"> to be reached that </w:t>
      </w:r>
      <w:proofErr w:type="spellStart"/>
      <w:r w:rsidR="002A1C61">
        <w:t>Sinpek</w:t>
      </w:r>
      <w:proofErr w:type="spellEnd"/>
      <w:r w:rsidR="002A1C61">
        <w:t xml:space="preserve">, and </w:t>
      </w:r>
      <w:r>
        <w:t>the appellants as the natural persons involved in conductin</w:t>
      </w:r>
      <w:r w:rsidR="002A1C61">
        <w:t xml:space="preserve">g its affairs, were not focused </w:t>
      </w:r>
      <w:r>
        <w:t xml:space="preserve">on complying with the obligations held to the company’s employees, including paying or repaying their entitlements.  It would have been surprising had the primary judge not had regard to this material as contributing to the overall picture and the seriousness of the contraventions.  </w:t>
      </w:r>
    </w:p>
    <w:p w14:paraId="4B2DC8A6" w14:textId="1F3C438C" w:rsidR="00C2751A" w:rsidRDefault="00C2751A" w:rsidP="008F64EF">
      <w:pPr>
        <w:pStyle w:val="ParaNumbering"/>
      </w:pPr>
      <w:r>
        <w:t xml:space="preserve">As to the asserted obligation to have regard to the absence of prior contraventions, the size of </w:t>
      </w:r>
      <w:proofErr w:type="spellStart"/>
      <w:r>
        <w:t>Sinpek</w:t>
      </w:r>
      <w:proofErr w:type="spellEnd"/>
      <w:r w:rsidR="00310EDE">
        <w:t>,</w:t>
      </w:r>
      <w:r>
        <w:t xml:space="preserve"> and the admission that was made</w:t>
      </w:r>
      <w:r w:rsidR="00310EDE">
        <w:t xml:space="preserve"> as to the failure to pay out annual leave to the employees</w:t>
      </w:r>
      <w:r>
        <w:t xml:space="preserve">, </w:t>
      </w:r>
      <w:r w:rsidR="00320078">
        <w:t xml:space="preserve">the appellants acknowledge that the primary judge referred to each, and </w:t>
      </w:r>
      <w:r w:rsidR="00931CF3">
        <w:t xml:space="preserve">that his Honour </w:t>
      </w:r>
      <w:r w:rsidR="00320078">
        <w:t>described them has having some force but for the need for specific and general deterrence.  Once that approach is identified, the basis for this complaint becomes one of weight, not absence of consideration.  There is no error in the approach taken by his Honour.</w:t>
      </w:r>
    </w:p>
    <w:p w14:paraId="36777421" w14:textId="77777777" w:rsidR="006172A3" w:rsidRPr="008F64EF" w:rsidRDefault="00C2751A" w:rsidP="008F64EF">
      <w:pPr>
        <w:pStyle w:val="ParaNumbering"/>
      </w:pPr>
      <w:r>
        <w:t>This ground must therefore fail.</w:t>
      </w:r>
      <w:r w:rsidR="006172A3">
        <w:t xml:space="preserve"> </w:t>
      </w:r>
    </w:p>
    <w:p w14:paraId="1FAED814" w14:textId="77777777" w:rsidR="008F64EF" w:rsidRDefault="008F64EF" w:rsidP="008F64EF">
      <w:pPr>
        <w:pStyle w:val="Heading2"/>
      </w:pPr>
      <w:r>
        <w:t>Ground</w:t>
      </w:r>
      <w:r w:rsidR="00BD5E85">
        <w:t>s</w:t>
      </w:r>
      <w:r>
        <w:t xml:space="preserve"> 3 </w:t>
      </w:r>
      <w:r w:rsidR="00BD5E85">
        <w:t xml:space="preserve">and 4 </w:t>
      </w:r>
      <w:r>
        <w:t>– totality</w:t>
      </w:r>
      <w:r w:rsidR="00BD5E85">
        <w:t xml:space="preserve"> and </w:t>
      </w:r>
      <w:r>
        <w:t>course of conduct</w:t>
      </w:r>
    </w:p>
    <w:p w14:paraId="11A432B0" w14:textId="1B2013CB" w:rsidR="008A65D6" w:rsidRDefault="005F69E1" w:rsidP="00A200F9">
      <w:pPr>
        <w:pStyle w:val="ParaNumbering"/>
      </w:pPr>
      <w:r>
        <w:t xml:space="preserve">These two grounds were addressed together by the appellants.  </w:t>
      </w:r>
      <w:r w:rsidR="00BD5E85">
        <w:t>The substance of th</w:t>
      </w:r>
      <w:r>
        <w:t>ese</w:t>
      </w:r>
      <w:r w:rsidR="00BD5E85">
        <w:t xml:space="preserve"> complaint</w:t>
      </w:r>
      <w:r>
        <w:t>s</w:t>
      </w:r>
      <w:r w:rsidR="00BD5E85">
        <w:t xml:space="preserve"> is that the contravening conduct overlapped to such a degree that the primary judge erred in limiting the </w:t>
      </w:r>
      <w:r>
        <w:t xml:space="preserve">size of the </w:t>
      </w:r>
      <w:r w:rsidR="00BD5E85">
        <w:t xml:space="preserve">overall totality </w:t>
      </w:r>
      <w:r w:rsidR="000A7890">
        <w:t xml:space="preserve">reduction </w:t>
      </w:r>
      <w:r w:rsidR="00BD5E85">
        <w:t xml:space="preserve">from the available maximum and also erred in failing to treat aspects of the conduct as falling within a single course of conduct, </w:t>
      </w:r>
      <w:r w:rsidR="005451DE">
        <w:t xml:space="preserve">thereby failing </w:t>
      </w:r>
      <w:r w:rsidR="00BD5E85">
        <w:t xml:space="preserve">to reduce the scope of the maximum penalty effectively available to be imposed.  </w:t>
      </w:r>
    </w:p>
    <w:p w14:paraId="63393EFC" w14:textId="59940A85" w:rsidR="00A200F9" w:rsidRPr="00A200F9" w:rsidRDefault="00BD5E85" w:rsidP="001F21EE">
      <w:pPr>
        <w:pStyle w:val="ParaNumbering"/>
      </w:pPr>
      <w:r>
        <w:t xml:space="preserve">The </w:t>
      </w:r>
      <w:proofErr w:type="spellStart"/>
      <w:r>
        <w:t>principles</w:t>
      </w:r>
      <w:proofErr w:type="spellEnd"/>
      <w:r>
        <w:t xml:space="preserve"> involved are not in doubt</w:t>
      </w:r>
      <w:r w:rsidR="008A65D6">
        <w:t>, nor that the primary judge was aware of them and clearly enough intended to apply them</w:t>
      </w:r>
      <w:r>
        <w:t>.  T</w:t>
      </w:r>
      <w:r w:rsidRPr="00F24A7A">
        <w:t>he issues raised concern their application.</w:t>
      </w:r>
      <w:r w:rsidR="00A200F9" w:rsidRPr="00F24A7A">
        <w:t xml:space="preserve">  It is important to keep in mind the observation in </w:t>
      </w:r>
      <w:r w:rsidR="00A200F9" w:rsidRPr="00F24A7A">
        <w:rPr>
          <w:b/>
          <w:i/>
          <w:szCs w:val="24"/>
        </w:rPr>
        <w:t>Parker</w:t>
      </w:r>
      <w:r w:rsidR="00A200F9" w:rsidRPr="00F24A7A">
        <w:rPr>
          <w:i/>
          <w:szCs w:val="24"/>
        </w:rPr>
        <w:t xml:space="preserve"> v Australian Building and Construction Commissioner</w:t>
      </w:r>
      <w:r w:rsidR="00A200F9" w:rsidRPr="00F24A7A">
        <w:rPr>
          <w:szCs w:val="24"/>
        </w:rPr>
        <w:t xml:space="preserve"> </w:t>
      </w:r>
      <w:r w:rsidR="00A200F9" w:rsidRPr="00F24A7A">
        <w:rPr>
          <w:szCs w:val="24"/>
          <w:lang w:eastAsia="en-AU"/>
        </w:rPr>
        <w:t xml:space="preserve">[2019] FCAFC 56; </w:t>
      </w:r>
      <w:r w:rsidR="00A200F9" w:rsidRPr="00F24A7A">
        <w:rPr>
          <w:color w:val="373739"/>
          <w:szCs w:val="24"/>
          <w:shd w:val="clear" w:color="auto" w:fill="FFFFFF"/>
        </w:rPr>
        <w:t xml:space="preserve">270 FCR 39 at [273] that </w:t>
      </w:r>
      <w:r w:rsidR="00A200F9" w:rsidRPr="00F24A7A">
        <w:rPr>
          <w:szCs w:val="24"/>
          <w:lang w:eastAsia="en-AU"/>
        </w:rPr>
        <w:t>course of conduct and totality are “</w:t>
      </w:r>
      <w:r w:rsidR="00A200F9" w:rsidRPr="00F24A7A">
        <w:rPr>
          <w:i/>
          <w:szCs w:val="24"/>
          <w:lang w:eastAsia="en-AU"/>
        </w:rPr>
        <w:t>not rigid rules of law, but, rather, general princ</w:t>
      </w:r>
      <w:r w:rsidR="00A200F9" w:rsidRPr="008A65D6">
        <w:rPr>
          <w:i/>
          <w:szCs w:val="24"/>
          <w:lang w:eastAsia="en-AU"/>
        </w:rPr>
        <w:t>iples to guide the exercise of the penalty imposing discretion</w:t>
      </w:r>
      <w:r w:rsidR="00A200F9" w:rsidRPr="008A65D6">
        <w:rPr>
          <w:szCs w:val="24"/>
          <w:lang w:eastAsia="en-AU"/>
        </w:rPr>
        <w:t xml:space="preserve">”.  Further, as observed by reference to long-standing authority </w:t>
      </w:r>
      <w:r w:rsidR="008A65D6" w:rsidRPr="008A65D6">
        <w:rPr>
          <w:szCs w:val="24"/>
          <w:lang w:eastAsia="en-AU"/>
        </w:rPr>
        <w:t xml:space="preserve">in </w:t>
      </w:r>
      <w:r w:rsidR="008A65D6" w:rsidRPr="008A65D6">
        <w:rPr>
          <w:i/>
          <w:szCs w:val="24"/>
        </w:rPr>
        <w:t xml:space="preserve">Parker </w:t>
      </w:r>
      <w:r w:rsidR="00A200F9" w:rsidRPr="008A65D6">
        <w:rPr>
          <w:szCs w:val="24"/>
          <w:lang w:eastAsia="en-AU"/>
        </w:rPr>
        <w:lastRenderedPageBreak/>
        <w:t>at [274], “</w:t>
      </w:r>
      <w:r w:rsidR="00A200F9" w:rsidRPr="008A65D6">
        <w:rPr>
          <w:i/>
          <w:szCs w:val="24"/>
          <w:lang w:eastAsia="en-AU"/>
        </w:rPr>
        <w:t>course of conduct is not a straitjacket, denying a judge the capacity to craft a result that properly reflects the conduct in question even if the course of conduct principle does squarely apply</w:t>
      </w:r>
      <w:r w:rsidR="00A200F9" w:rsidRPr="008A65D6">
        <w:rPr>
          <w:szCs w:val="24"/>
          <w:lang w:eastAsia="en-AU"/>
        </w:rPr>
        <w:t xml:space="preserve">”.  </w:t>
      </w:r>
      <w:r w:rsidR="008A65D6">
        <w:rPr>
          <w:szCs w:val="24"/>
          <w:lang w:eastAsia="en-AU"/>
        </w:rPr>
        <w:t xml:space="preserve">Totality is even less of a </w:t>
      </w:r>
      <w:r w:rsidR="008A65D6" w:rsidRPr="008A65D6">
        <w:rPr>
          <w:szCs w:val="24"/>
          <w:lang w:eastAsia="en-AU"/>
        </w:rPr>
        <w:t>straitjacket</w:t>
      </w:r>
      <w:r w:rsidR="008A65D6">
        <w:rPr>
          <w:szCs w:val="24"/>
          <w:lang w:eastAsia="en-AU"/>
        </w:rPr>
        <w:t>, because it ordinarily operates as a final check to ensure that penalties correctly arrived</w:t>
      </w:r>
      <w:r w:rsidR="005451DE">
        <w:rPr>
          <w:szCs w:val="24"/>
          <w:lang w:eastAsia="en-AU"/>
        </w:rPr>
        <w:t xml:space="preserve"> at</w:t>
      </w:r>
      <w:r w:rsidR="008A65D6">
        <w:rPr>
          <w:szCs w:val="24"/>
          <w:lang w:eastAsia="en-AU"/>
        </w:rPr>
        <w:t xml:space="preserve"> by reference to individual contraventions do not combine to create an unjust result overall.  </w:t>
      </w:r>
      <w:r w:rsidR="008A65D6" w:rsidRPr="008A65D6">
        <w:rPr>
          <w:color w:val="373739"/>
          <w:szCs w:val="24"/>
          <w:shd w:val="clear" w:color="auto" w:fill="FFFFFF"/>
        </w:rPr>
        <w:t xml:space="preserve">In relation to both principles, </w:t>
      </w:r>
      <w:r w:rsidR="008A65D6" w:rsidRPr="008A65D6">
        <w:rPr>
          <w:szCs w:val="24"/>
          <w:lang w:eastAsia="en-AU"/>
        </w:rPr>
        <w:t xml:space="preserve">it is necessary for the appellants </w:t>
      </w:r>
      <w:r w:rsidR="008A65D6">
        <w:rPr>
          <w:szCs w:val="24"/>
          <w:lang w:eastAsia="en-AU"/>
        </w:rPr>
        <w:t xml:space="preserve">not </w:t>
      </w:r>
      <w:r w:rsidR="008A65D6" w:rsidRPr="008A65D6">
        <w:rPr>
          <w:szCs w:val="24"/>
          <w:lang w:eastAsia="en-AU"/>
        </w:rPr>
        <w:t>merely to identify an alternative way of viewing what took place, but to demonstrate error</w:t>
      </w:r>
      <w:r w:rsidR="008A65D6">
        <w:rPr>
          <w:szCs w:val="24"/>
          <w:lang w:eastAsia="en-AU"/>
        </w:rPr>
        <w:t xml:space="preserve">: </w:t>
      </w:r>
      <w:r w:rsidR="008A65D6" w:rsidRPr="008A65D6">
        <w:rPr>
          <w:i/>
          <w:szCs w:val="24"/>
          <w:lang w:eastAsia="en-AU"/>
        </w:rPr>
        <w:t>Parker</w:t>
      </w:r>
      <w:r w:rsidR="008A65D6">
        <w:rPr>
          <w:szCs w:val="24"/>
          <w:lang w:eastAsia="en-AU"/>
        </w:rPr>
        <w:t xml:space="preserve"> at [280].</w:t>
      </w:r>
    </w:p>
    <w:p w14:paraId="26323A77" w14:textId="05125727" w:rsidR="008A65D6" w:rsidRPr="009B07E8" w:rsidRDefault="005F69E1" w:rsidP="008F64EF">
      <w:pPr>
        <w:pStyle w:val="ParaNumbering"/>
      </w:pPr>
      <w:r w:rsidRPr="009B07E8">
        <w:t xml:space="preserve">The problem with the complaint as to totality is that this was expressly referred to by the primary judge and taken into account.  Unless there is some reason to conclude that this is not in fact what took place, that evaluative exercise is one for the primary judge to carry out with the benefit of observing all of the evidence first hand over numerous hearing days.  The very fact that a totality discount was </w:t>
      </w:r>
      <w:r w:rsidR="000A7890" w:rsidRPr="009B07E8">
        <w:t xml:space="preserve">not just referred to, but in fact </w:t>
      </w:r>
      <w:r w:rsidRPr="009B07E8">
        <w:t xml:space="preserve">applied, and the complaint concerns </w:t>
      </w:r>
      <w:r w:rsidR="000A7890" w:rsidRPr="009B07E8">
        <w:t xml:space="preserve">only the </w:t>
      </w:r>
      <w:r w:rsidRPr="009B07E8">
        <w:t>quantum</w:t>
      </w:r>
      <w:r w:rsidR="000A7890" w:rsidRPr="009B07E8">
        <w:t xml:space="preserve"> of that discount</w:t>
      </w:r>
      <w:r w:rsidRPr="009B07E8">
        <w:t>, indicates the steepness of the hurdle in establishing error</w:t>
      </w:r>
      <w:r w:rsidR="000A7890" w:rsidRPr="009B07E8">
        <w:t xml:space="preserve"> in this evaluative exercise</w:t>
      </w:r>
      <w:r w:rsidRPr="009B07E8">
        <w:t xml:space="preserve">.  I am not satisfied that </w:t>
      </w:r>
      <w:r w:rsidR="006055CF">
        <w:t xml:space="preserve">surmounting </w:t>
      </w:r>
      <w:r w:rsidRPr="009B07E8">
        <w:t xml:space="preserve">this hurdle has been meaningfully attempted, let alone </w:t>
      </w:r>
      <w:r w:rsidR="006055CF">
        <w:t>achieved</w:t>
      </w:r>
      <w:r w:rsidRPr="009B07E8">
        <w:t xml:space="preserve">.  I see no error in the </w:t>
      </w:r>
      <w:r w:rsidR="00261436" w:rsidRPr="009B07E8">
        <w:t xml:space="preserve">careful and considered </w:t>
      </w:r>
      <w:r w:rsidRPr="009B07E8">
        <w:t>approach taken in this regard by his Honour.</w:t>
      </w:r>
      <w:r w:rsidR="00A200F9" w:rsidRPr="009B07E8">
        <w:t xml:space="preserve">  </w:t>
      </w:r>
    </w:p>
    <w:p w14:paraId="6FF9B6CD" w14:textId="77777777" w:rsidR="00002507" w:rsidRPr="008A65D6" w:rsidRDefault="00261436" w:rsidP="001F21EE">
      <w:pPr>
        <w:pStyle w:val="ParaNumbering"/>
        <w:rPr>
          <w:szCs w:val="24"/>
        </w:rPr>
      </w:pPr>
      <w:r>
        <w:t>In relation to the complaint made about the primary judge’s approach to course of conduct, his Honour had regard to the different provisions that had been contravened, identifying those in common and those which were separate and distinct.  As the FWO p</w:t>
      </w:r>
      <w:r w:rsidRPr="00F24A7A">
        <w:t xml:space="preserve">oints out, this is consistent with principle, especially as detailed for contraventions of this kind by </w:t>
      </w:r>
      <w:r w:rsidRPr="00F24A7A">
        <w:rPr>
          <w:i/>
        </w:rPr>
        <w:t>Rocky Holdings Pty Ltd v Fair Work Ombudsman</w:t>
      </w:r>
      <w:r w:rsidRPr="00F24A7A">
        <w:t xml:space="preserve"> [2014] FCAFC 62; 221 FCR 153 at [1</w:t>
      </w:r>
      <w:r>
        <w:t xml:space="preserve">0]-[23]. </w:t>
      </w:r>
      <w:r w:rsidR="00002507">
        <w:t xml:space="preserve"> As noted at </w:t>
      </w:r>
      <w:r w:rsidR="00002507" w:rsidRPr="006055CF">
        <w:t>[</w:t>
      </w:r>
      <w:r w:rsidR="00144EC0" w:rsidRPr="006055CF">
        <w:t>6</w:t>
      </w:r>
      <w:r w:rsidR="00002507" w:rsidRPr="006055CF">
        <w:t>]</w:t>
      </w:r>
      <w:r w:rsidR="00002507">
        <w:t xml:space="preserve"> above, his Honour did regard aspects of the conduct </w:t>
      </w:r>
      <w:r w:rsidR="00144EC0">
        <w:t xml:space="preserve">(concerning overtime) </w:t>
      </w:r>
      <w:r w:rsidR="00002507">
        <w:t xml:space="preserve">as reflecting a course of conduct, but not other aspects.  </w:t>
      </w:r>
      <w:r w:rsidR="008A65D6">
        <w:t xml:space="preserve">Doubtless his Honour could have aggregated the conduct differently, but I am not satisfied that the approach taken involved any error.  </w:t>
      </w:r>
    </w:p>
    <w:p w14:paraId="59E6D2ED" w14:textId="2C0290BE" w:rsidR="00002507" w:rsidRDefault="008A65D6" w:rsidP="001F21EE">
      <w:pPr>
        <w:pStyle w:val="ParaNumbering"/>
      </w:pPr>
      <w:r>
        <w:t>As the necessary error has not been established, both of these grounds must fail.</w:t>
      </w:r>
    </w:p>
    <w:p w14:paraId="0736C311" w14:textId="77777777" w:rsidR="008A65D6" w:rsidRDefault="008822C1" w:rsidP="008822C1">
      <w:pPr>
        <w:pStyle w:val="Heading2"/>
      </w:pPr>
      <w:r>
        <w:t>Conclusion</w:t>
      </w:r>
    </w:p>
    <w:p w14:paraId="5AE6050B" w14:textId="3B737179" w:rsidR="008822C1" w:rsidRDefault="008822C1" w:rsidP="001F21EE">
      <w:pPr>
        <w:pStyle w:val="ParaNumbering"/>
      </w:pPr>
      <w:r>
        <w:t>As all four grounds of appeal that were pressed have failed, the appeal must be dismissed.</w:t>
      </w:r>
      <w:r w:rsidR="00160B9C">
        <w:t xml:space="preserve">  There is no suggestion that this case requires any departure from the usual rule that this is a “</w:t>
      </w:r>
      <w:r w:rsidR="00160B9C" w:rsidRPr="00160B9C">
        <w:rPr>
          <w:i/>
        </w:rPr>
        <w:t>no costs</w:t>
      </w:r>
      <w:r w:rsidR="00160B9C">
        <w:t>” jurisdiction.</w:t>
      </w:r>
    </w:p>
    <w:p w14:paraId="270AF27F" w14:textId="77777777" w:rsidR="009B07E8" w:rsidRDefault="009B07E8" w:rsidP="00815065">
      <w:pPr>
        <w:pStyle w:val="BodyText"/>
      </w:pPr>
      <w:bookmarkStart w:id="25" w:name="Certification"/>
    </w:p>
    <w:tbl>
      <w:tblPr>
        <w:tblW w:w="0" w:type="auto"/>
        <w:tblLook w:val="04A0" w:firstRow="1" w:lastRow="0" w:firstColumn="1" w:lastColumn="0" w:noHBand="0" w:noVBand="1"/>
      </w:tblPr>
      <w:tblGrid>
        <w:gridCol w:w="3794"/>
      </w:tblGrid>
      <w:tr w:rsidR="009B07E8" w:rsidRPr="009B07E8" w14:paraId="798C1D37" w14:textId="77777777">
        <w:tc>
          <w:tcPr>
            <w:tcW w:w="3794" w:type="dxa"/>
            <w:shd w:val="clear" w:color="auto" w:fill="auto"/>
          </w:tcPr>
          <w:p w14:paraId="6A05BF63" w14:textId="4BEF5532" w:rsidR="009B07E8" w:rsidRPr="009B07E8" w:rsidRDefault="009B07E8" w:rsidP="006055CF">
            <w:r w:rsidRPr="009B07E8">
              <w:lastRenderedPageBreak/>
              <w:t xml:space="preserve">I certify that the preceding </w:t>
            </w:r>
            <w:bookmarkStart w:id="26" w:name="NumberWord"/>
            <w:r>
              <w:t>thirty</w:t>
            </w:r>
            <w:bookmarkEnd w:id="26"/>
            <w:r w:rsidRPr="009B07E8">
              <w:t xml:space="preserve"> (</w:t>
            </w:r>
            <w:bookmarkStart w:id="27" w:name="NumberNumeral"/>
            <w:r>
              <w:t>30</w:t>
            </w:r>
            <w:bookmarkEnd w:id="27"/>
            <w:r w:rsidRPr="009B07E8">
              <w:t xml:space="preserve">) numbered </w:t>
            </w:r>
            <w:bookmarkStart w:id="28" w:name="CertPara"/>
            <w:r>
              <w:t>paragraphs are</w:t>
            </w:r>
            <w:bookmarkEnd w:id="28"/>
            <w:r w:rsidRPr="009B07E8">
              <w:t xml:space="preserve"> a true copy of the Reasons for Judgment of </w:t>
            </w:r>
            <w:bookmarkStart w:id="29" w:name="bkHonourable"/>
            <w:r w:rsidRPr="009B07E8">
              <w:t xml:space="preserve">the Honourable </w:t>
            </w:r>
            <w:bookmarkStart w:id="30" w:name="Justice"/>
            <w:bookmarkEnd w:id="29"/>
            <w:r>
              <w:t>Justice Bromwich</w:t>
            </w:r>
            <w:bookmarkEnd w:id="30"/>
            <w:r w:rsidRPr="009B07E8">
              <w:t>.</w:t>
            </w:r>
          </w:p>
        </w:tc>
      </w:tr>
    </w:tbl>
    <w:p w14:paraId="1C9EE57F" w14:textId="2D2AC3B7" w:rsidR="009B07E8" w:rsidRDefault="009B07E8" w:rsidP="00815065">
      <w:pPr>
        <w:pStyle w:val="BodyText"/>
      </w:pPr>
    </w:p>
    <w:p w14:paraId="16D6F5AE" w14:textId="77777777" w:rsidR="009B07E8" w:rsidRDefault="009B07E8" w:rsidP="00815065">
      <w:pPr>
        <w:pStyle w:val="BodyText"/>
      </w:pPr>
    </w:p>
    <w:p w14:paraId="4F9BE50F" w14:textId="61BFD087" w:rsidR="009B07E8" w:rsidRDefault="009B07E8" w:rsidP="00815065">
      <w:pPr>
        <w:pStyle w:val="BodyText"/>
      </w:pPr>
      <w:r>
        <w:t>Associate:</w:t>
      </w:r>
    </w:p>
    <w:p w14:paraId="2AAF49EA" w14:textId="77777777" w:rsidR="009B07E8" w:rsidRDefault="009B07E8" w:rsidP="00815065">
      <w:pPr>
        <w:pStyle w:val="BodyText"/>
      </w:pPr>
    </w:p>
    <w:p w14:paraId="21B36B34" w14:textId="11EFA7BE" w:rsidR="009B07E8" w:rsidRDefault="009B07E8" w:rsidP="00815065">
      <w:pPr>
        <w:pStyle w:val="BodyText"/>
        <w:tabs>
          <w:tab w:val="left" w:pos="1134"/>
        </w:tabs>
      </w:pPr>
      <w:r>
        <w:t>Dated:</w:t>
      </w:r>
      <w:r>
        <w:tab/>
      </w:r>
      <w:bookmarkStart w:id="31" w:name="CertifyDated"/>
      <w:r>
        <w:t>5 February 2021</w:t>
      </w:r>
      <w:bookmarkEnd w:id="31"/>
    </w:p>
    <w:p w14:paraId="7B247185" w14:textId="77777777" w:rsidR="009B07E8" w:rsidRDefault="009B07E8" w:rsidP="00815065">
      <w:pPr>
        <w:pStyle w:val="BodyText"/>
      </w:pPr>
    </w:p>
    <w:bookmarkEnd w:id="25"/>
    <w:p w14:paraId="56D50220" w14:textId="77777777" w:rsidR="009B07E8" w:rsidRDefault="009B07E8" w:rsidP="006055CF">
      <w:pPr>
        <w:pStyle w:val="BodyText"/>
      </w:pPr>
    </w:p>
    <w:sectPr w:rsidR="009B07E8" w:rsidSect="00A84FD0">
      <w:headerReference w:type="even" r:id="rId15"/>
      <w:headerReference w:type="default" r:id="rId16"/>
      <w:footerReference w:type="default" r:id="rId17"/>
      <w:headerReference w:type="first" r:id="rId18"/>
      <w:footerReference w:type="first" r:id="rId19"/>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B57D06" w14:textId="77777777" w:rsidR="009F6008" w:rsidRDefault="009F6008">
      <w:pPr>
        <w:spacing w:line="20" w:lineRule="exact"/>
      </w:pPr>
    </w:p>
    <w:p w14:paraId="7A8A18D5" w14:textId="77777777" w:rsidR="009F6008" w:rsidRDefault="009F6008"/>
    <w:p w14:paraId="1EE7926D" w14:textId="77777777" w:rsidR="009F6008" w:rsidRDefault="009F6008"/>
  </w:endnote>
  <w:endnote w:type="continuationSeparator" w:id="0">
    <w:p w14:paraId="6DAD04A4" w14:textId="77777777" w:rsidR="009F6008" w:rsidRDefault="009F6008">
      <w:r>
        <w:t xml:space="preserve"> </w:t>
      </w:r>
    </w:p>
    <w:p w14:paraId="2197EADC" w14:textId="77777777" w:rsidR="009F6008" w:rsidRDefault="009F6008"/>
    <w:p w14:paraId="5C19C752" w14:textId="77777777" w:rsidR="009F6008" w:rsidRDefault="009F6008"/>
  </w:endnote>
  <w:endnote w:type="continuationNotice" w:id="1">
    <w:p w14:paraId="03471E22" w14:textId="77777777" w:rsidR="009F6008" w:rsidRDefault="009F6008">
      <w:r>
        <w:t xml:space="preserve"> </w:t>
      </w:r>
    </w:p>
    <w:p w14:paraId="5A5BB4C0" w14:textId="77777777" w:rsidR="009F6008" w:rsidRDefault="009F6008"/>
    <w:p w14:paraId="0B31FEA6" w14:textId="77777777" w:rsidR="009F6008" w:rsidRDefault="009F60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B82DF4" w14:textId="243DBCD2" w:rsidR="001F21EE" w:rsidRPr="00C47B9D" w:rsidRDefault="001F21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9264" behindDoc="0" locked="0" layoutInCell="1" allowOverlap="1" wp14:anchorId="70BA521B" wp14:editId="36ECC46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266403" id="Straight Connector 5"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5193A">
          <w:rPr>
            <w:bCs/>
            <w:sz w:val="18"/>
            <w:szCs w:val="18"/>
          </w:rPr>
          <w:t xml:space="preserve">Singh v Fair Work Ombudsman [2021] FCA 71 </w:t>
        </w:r>
      </w:sdtContent>
    </w:sdt>
  </w:p>
  <w:p w14:paraId="75C7C55A" w14:textId="16AE25BF" w:rsidR="001F21EE" w:rsidRPr="00A436E8" w:rsidRDefault="001F21EE" w:rsidP="00A436E8">
    <w:pPr>
      <w:pStyle w:val="Footer"/>
      <w:jc w:val="center"/>
      <w:rPr>
        <w:sz w:val="2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A42ECA" w14:textId="2AED1390" w:rsidR="001F21EE" w:rsidRPr="00A436E8" w:rsidRDefault="001F21EE" w:rsidP="00A436E8">
    <w:pPr>
      <w:pStyle w:val="Footer"/>
      <w:jc w:val="center"/>
      <w:rPr>
        <w:sz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7AA7E" w14:textId="41942C0D" w:rsidR="001F21EE" w:rsidRPr="00C47B9D" w:rsidRDefault="001F21EE"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3360" behindDoc="0" locked="0" layoutInCell="1" allowOverlap="1" wp14:anchorId="34378128" wp14:editId="506297EC">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60B120"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Av3wnR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831216538"/>
        <w:placeholder>
          <w:docPart w:val="9BFA673909144836888ABBEC5A47EBF6"/>
        </w:placeholder>
        <w:dataBinding w:prefixMappings="xmlns:ns0='http://schemas.globalmacros.com/FCA'" w:xpath="/ns0:root[1]/ns0:Name[1]" w:storeItemID="{687E7CCB-4AA5-44E7-B148-17BA2B6F57C0}"/>
        <w:text w:multiLine="1"/>
      </w:sdtPr>
      <w:sdtEndPr/>
      <w:sdtContent>
        <w:r w:rsidR="00E5193A">
          <w:rPr>
            <w:bCs/>
            <w:sz w:val="18"/>
            <w:szCs w:val="18"/>
          </w:rPr>
          <w:t xml:space="preserve">Singh v Fair Work Ombudsman [2021] FCA 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p w14:paraId="3614517B" w14:textId="680A2DEA" w:rsidR="001F21EE" w:rsidRPr="00A84FD0" w:rsidRDefault="001F21EE" w:rsidP="00A84FD0">
    <w:pPr>
      <w:pStyle w:val="Footer"/>
      <w:jc w:val="center"/>
      <w:rPr>
        <w:sz w:val="28"/>
      </w:rPr>
    </w:pPr>
    <w:r>
      <w:rPr>
        <w:b/>
        <w:sz w:val="28"/>
      </w:rPr>
      <w:t xml:space="preserve">DRAFT - Judgment Template v.1 - </w:t>
    </w:r>
    <w:r>
      <w:rPr>
        <w:b/>
        <w:sz w:val="28"/>
      </w:rPr>
      <w:fldChar w:fldCharType="begin"/>
    </w:r>
    <w:r>
      <w:rPr>
        <w:b/>
        <w:sz w:val="28"/>
      </w:rPr>
      <w:instrText xml:space="preserve"> DATE  \@ "d MMMM yyyy"  \* MERGEFORMAT </w:instrText>
    </w:r>
    <w:r>
      <w:rPr>
        <w:b/>
        <w:sz w:val="28"/>
      </w:rPr>
      <w:fldChar w:fldCharType="separate"/>
    </w:r>
    <w:r w:rsidR="00681A82">
      <w:rPr>
        <w:b/>
        <w:noProof/>
        <w:sz w:val="28"/>
      </w:rPr>
      <w:t>5 February 2021</w:t>
    </w:r>
    <w:r>
      <w:rPr>
        <w:b/>
        <w:sz w:val="28"/>
      </w:rPr>
      <w:fldChar w:fldCharType="end"/>
    </w:r>
    <w:r>
      <w:rPr>
        <w:b/>
        <w:sz w:val="28"/>
      </w:rPr>
      <w:t xml:space="preserve"> </w:t>
    </w:r>
    <w:r>
      <w:rPr>
        <w:b/>
        <w:sz w:val="28"/>
      </w:rPr>
      <w:fldChar w:fldCharType="begin"/>
    </w:r>
    <w:r>
      <w:rPr>
        <w:b/>
        <w:sz w:val="28"/>
      </w:rPr>
      <w:instrText xml:space="preserve"> TIME  \@ "h:mm am/pm"  \* MERGEFORMAT </w:instrText>
    </w:r>
    <w:r>
      <w:rPr>
        <w:b/>
        <w:sz w:val="28"/>
      </w:rPr>
      <w:fldChar w:fldCharType="separate"/>
    </w:r>
    <w:r w:rsidR="00681A82">
      <w:rPr>
        <w:b/>
        <w:noProof/>
        <w:sz w:val="28"/>
      </w:rPr>
      <w:t>4:36 PM</w:t>
    </w:r>
    <w:r>
      <w:rPr>
        <w:b/>
        <w:sz w:val="2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A9829B" w14:textId="23046C6F" w:rsidR="001F21EE" w:rsidRPr="00C47B9D" w:rsidRDefault="001F21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1312" behindDoc="0" locked="0" layoutInCell="1" allowOverlap="1" wp14:anchorId="716B2202" wp14:editId="3604886F">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82225A0"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" strokecolor="black [3213]"/>
          </w:pict>
        </mc:Fallback>
      </mc:AlternateContent>
    </w:r>
    <w:sdt>
      <w:sdtPr>
        <w:rPr>
          <w:bCs/>
          <w:sz w:val="18"/>
          <w:szCs w:val="18"/>
        </w:rPr>
        <w:tag w:val="MNC"/>
        <w:id w:val="510263260"/>
        <w:placeholder>
          <w:docPart w:val="010DB92119694F08B405D58DDDCEDD88"/>
        </w:placeholder>
        <w:dataBinding w:prefixMappings="xmlns:ns0='http://schemas.globalmacros.com/FCA'" w:xpath="/ns0:root[1]/ns0:Name[1]" w:storeItemID="{687E7CCB-4AA5-44E7-B148-17BA2B6F57C0}"/>
        <w:text w:multiLine="1"/>
      </w:sdtPr>
      <w:sdtEndPr/>
      <w:sdtContent>
        <w:r w:rsidR="00E5193A">
          <w:rPr>
            <w:bCs/>
            <w:sz w:val="18"/>
            <w:szCs w:val="18"/>
          </w:rPr>
          <w:t xml:space="preserve">Singh v Fair Work Ombudsman [2021] FCA 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81A82">
      <w:rPr>
        <w:bCs/>
        <w:noProof/>
        <w:sz w:val="20"/>
      </w:rPr>
      <w:t>i</w:t>
    </w:r>
    <w:r w:rsidRPr="00EA7F6D">
      <w:rPr>
        <w:bCs/>
        <w:noProof/>
        <w:sz w:val="20"/>
      </w:rPr>
      <w:fldChar w:fldCharType="end"/>
    </w:r>
  </w:p>
  <w:p w14:paraId="25047B55" w14:textId="2BF94A46" w:rsidR="001F21EE" w:rsidRPr="00A436E8" w:rsidRDefault="001F21EE" w:rsidP="00A436E8">
    <w:pPr>
      <w:pStyle w:val="Footer"/>
      <w:jc w:val="center"/>
      <w:rPr>
        <w:sz w:val="28"/>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28ACE9" w14:textId="408E4722" w:rsidR="001F21EE" w:rsidRPr="00C47B9D" w:rsidRDefault="001F21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7456" behindDoc="0" locked="0" layoutInCell="1" allowOverlap="1" wp14:anchorId="66F2DEC4" wp14:editId="0E58FA3F">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33E7BFB" id="Straight Connector 7"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" strokecolor="black [3213]"/>
          </w:pict>
        </mc:Fallback>
      </mc:AlternateContent>
    </w:r>
    <w:sdt>
      <w:sdtPr>
        <w:rPr>
          <w:bCs/>
          <w:sz w:val="18"/>
          <w:szCs w:val="18"/>
        </w:rPr>
        <w:tag w:val="MNC"/>
        <w:id w:val="1095746746"/>
        <w:placeholder>
          <w:docPart w:val="3D14E6FAD08D416698C9A4E75CB9841B"/>
        </w:placeholder>
        <w:dataBinding w:prefixMappings="xmlns:ns0='http://schemas.globalmacros.com/FCA'" w:xpath="/ns0:root[1]/ns0:Name[1]" w:storeItemID="{687E7CCB-4AA5-44E7-B148-17BA2B6F57C0}"/>
        <w:text w:multiLine="1"/>
      </w:sdtPr>
      <w:sdtEndPr/>
      <w:sdtContent>
        <w:r w:rsidR="00E5193A">
          <w:rPr>
            <w:bCs/>
            <w:sz w:val="18"/>
            <w:szCs w:val="18"/>
          </w:rPr>
          <w:t xml:space="preserve">Singh v Fair Work Ombudsman [2021] FCA 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81A82">
      <w:rPr>
        <w:bCs/>
        <w:noProof/>
        <w:sz w:val="20"/>
      </w:rPr>
      <w:t>11</w:t>
    </w:r>
    <w:r w:rsidRPr="00EA7F6D">
      <w:rPr>
        <w:bCs/>
        <w:noProof/>
        <w:sz w:val="20"/>
      </w:rPr>
      <w:fldChar w:fldCharType="end"/>
    </w:r>
  </w:p>
  <w:p w14:paraId="247E2177" w14:textId="562E4018" w:rsidR="001F21EE" w:rsidRPr="00A84FD0" w:rsidRDefault="001F21EE" w:rsidP="00A84FD0">
    <w:pPr>
      <w:pStyle w:val="Footer"/>
      <w:jc w:val="center"/>
      <w:rPr>
        <w:sz w:val="28"/>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C8D2A" w14:textId="6EDE6B9B" w:rsidR="001F21EE" w:rsidRPr="00C47B9D" w:rsidRDefault="001F21EE"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65408" behindDoc="0" locked="0" layoutInCell="1" allowOverlap="1" wp14:anchorId="0684EBBA" wp14:editId="3453F1D3">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718CAF8" id="Straight Connector 3"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" strokecolor="black [3213]"/>
          </w:pict>
        </mc:Fallback>
      </mc:AlternateContent>
    </w:r>
    <w:sdt>
      <w:sdtPr>
        <w:rPr>
          <w:bCs/>
          <w:sz w:val="18"/>
          <w:szCs w:val="18"/>
        </w:rPr>
        <w:tag w:val="MNC"/>
        <w:id w:val="-1532949365"/>
        <w:placeholder>
          <w:docPart w:val="00B74BBAB99E450AA1C898CDFD34C483"/>
        </w:placeholder>
        <w:dataBinding w:prefixMappings="xmlns:ns0='http://schemas.globalmacros.com/FCA'" w:xpath="/ns0:root[1]/ns0:Name[1]" w:storeItemID="{687E7CCB-4AA5-44E7-B148-17BA2B6F57C0}"/>
        <w:text w:multiLine="1"/>
      </w:sdtPr>
      <w:sdtEndPr/>
      <w:sdtContent>
        <w:r w:rsidR="00E5193A">
          <w:rPr>
            <w:bCs/>
            <w:sz w:val="18"/>
            <w:szCs w:val="18"/>
          </w:rPr>
          <w:t xml:space="preserve">Singh v Fair Work Ombudsman [2021] FCA 71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681A82">
      <w:rPr>
        <w:bCs/>
        <w:noProof/>
        <w:sz w:val="20"/>
      </w:rPr>
      <w:t>1</w:t>
    </w:r>
    <w:r w:rsidRPr="00EA7F6D">
      <w:rPr>
        <w:bCs/>
        <w:noProof/>
        <w:sz w:val="20"/>
      </w:rPr>
      <w:fldChar w:fldCharType="end"/>
    </w:r>
  </w:p>
  <w:p w14:paraId="1880848A" w14:textId="5EA9B8DA" w:rsidR="001F21EE" w:rsidRPr="00A84FD0" w:rsidRDefault="001F21EE" w:rsidP="00A84FD0">
    <w:pPr>
      <w:pStyle w:val="Footer"/>
      <w:jc w:val="center"/>
      <w:rPr>
        <w:sz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78887" w14:textId="77777777" w:rsidR="009F6008" w:rsidRDefault="009F6008"/>
    <w:p w14:paraId="2C7D7CCF" w14:textId="77777777" w:rsidR="009F6008" w:rsidRDefault="009F6008"/>
    <w:p w14:paraId="6529DBE7" w14:textId="77777777" w:rsidR="009F6008" w:rsidRDefault="009F6008"/>
  </w:footnote>
  <w:footnote w:type="continuationSeparator" w:id="0">
    <w:p w14:paraId="412AEBD0" w14:textId="77777777" w:rsidR="009F6008" w:rsidRDefault="009F6008">
      <w:r>
        <w:continuationSeparator/>
      </w:r>
    </w:p>
    <w:p w14:paraId="26A559D7" w14:textId="77777777" w:rsidR="009F6008" w:rsidRDefault="009F6008"/>
    <w:p w14:paraId="30744753" w14:textId="77777777" w:rsidR="009F6008" w:rsidRDefault="009F6008"/>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CD53B" w14:textId="77777777" w:rsidR="001F21EE" w:rsidRDefault="001F21EE">
    <w:pPr>
      <w:tabs>
        <w:tab w:val="center" w:pos="4512"/>
      </w:tabs>
      <w:suppressAutoHyphens/>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9748A" w14:textId="77777777" w:rsidR="001F21EE" w:rsidRDefault="001F21EE">
    <w:pPr>
      <w:pStyle w:val="Header"/>
      <w:tabs>
        <w:tab w:val="clear" w:pos="4320"/>
        <w:tab w:val="clear" w:pos="8640"/>
      </w:tabs>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232285" w14:textId="77777777" w:rsidR="001F21EE" w:rsidRDefault="001F21EE"/>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D51A2" w14:textId="77777777" w:rsidR="001F21EE" w:rsidRDefault="001F21EE">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357B7F" w14:textId="77777777" w:rsidR="001F21EE" w:rsidRDefault="001F21EE"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93FA7D28"/>
    <w:lvl w:ilvl="0">
      <w:start w:val="1"/>
      <w:numFmt w:val="bullet"/>
      <w:pStyle w:val="FCBullets"/>
      <w:lvlText w:val=""/>
      <w:lvlJc w:val="left"/>
      <w:pPr>
        <w:tabs>
          <w:tab w:val="num" w:pos="720"/>
        </w:tabs>
        <w:ind w:left="720" w:hanging="720"/>
      </w:pPr>
      <w:rPr>
        <w:rFonts w:ascii="Symbol" w:hAnsi="Symbol"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8" w15:restartNumberingAfterBreak="0">
    <w:nsid w:val="494817A7"/>
    <w:multiLevelType w:val="multilevel"/>
    <w:tmpl w:val="0F0EC90E"/>
    <w:numStyleLink w:val="FCListNo"/>
  </w:abstractNum>
  <w:abstractNum w:abstractNumId="19"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1"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3"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abstractNumId w:val="14"/>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1"/>
  </w:num>
  <w:num w:numId="14">
    <w:abstractNumId w:val="19"/>
  </w:num>
  <w:num w:numId="15">
    <w:abstractNumId w:val="20"/>
  </w:num>
  <w:num w:numId="16">
    <w:abstractNumId w:val="23"/>
  </w:num>
  <w:num w:numId="17">
    <w:abstractNumId w:val="13"/>
  </w:num>
  <w:num w:numId="18">
    <w:abstractNumId w:val="22"/>
  </w:num>
  <w:num w:numId="19">
    <w:abstractNumId w:val="11"/>
  </w:num>
  <w:num w:numId="20">
    <w:abstractNumId w:val="17"/>
  </w:num>
  <w:num w:numId="21">
    <w:abstractNumId w:val="15"/>
  </w:num>
  <w:num w:numId="22">
    <w:abstractNumId w:val="16"/>
  </w:num>
  <w:num w:numId="23">
    <w:abstractNumId w:val="18"/>
  </w:num>
  <w:num w:numId="24">
    <w:abstractNumId w:val="10"/>
  </w:num>
  <w:num w:numId="25">
    <w:abstractNumId w:val="10"/>
  </w:num>
  <w:num w:numId="2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AU" w:vendorID="64" w:dllVersion="131078" w:nlCheck="1" w:checkStyle="1"/>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PAndAnother" w:val="True"/>
    <w:docVar w:name="APPAndOthers" w:val="False"/>
    <w:docVar w:name="AppealText" w:val="Fair Work Ombudsman v Sinpek Pty Ltd (in liq) (No 4) [2020] FCCA 97"/>
    <w:docVar w:name="Appellant" w:val="Mr Kamaldeep Singh|Ms Uma Singh"/>
    <w:docVar w:name="CounselParties" w:val="Appellant"/>
    <w:docVar w:name="CounselType" w:val="Solicitor for the "/>
    <w:docVar w:name="Court" w:val="Federal Court of Australia"/>
    <w:docVar w:name="Cross1AndAnother" w:val="True"/>
    <w:docVar w:name="Cross1AndOthers" w:val="False"/>
    <w:docVar w:name="Cross2AndAnother" w:val="True"/>
    <w:docVar w:name="Cross2AndOthers" w:val="False"/>
    <w:docVar w:name="Defenders" w:val="(and another named in the Schedule)"/>
    <w:docVar w:name="Division" w:val="Appeal Division of the FCoA"/>
    <w:docVar w:name="DocCreated" w:val="True"/>
    <w:docVar w:name="FileNumbers" w:val="NSD 155 of 2020"/>
    <w:docVar w:name="grpRadioJudges" w:val="Justice"/>
    <w:docVar w:name="Initiators" w:val="(and another named in the Schedule)"/>
    <w:docVar w:name="Judgdate" w:val="5 February 2021"/>
    <w:docVar w:name="Judge" w:val="Bromwich"/>
    <w:docVar w:name="lstEntryList" w:val="-1"/>
    <w:docVar w:name="myEntryList" w:val="Counsel for the Appellants=I Latham|Solicitor for the Appellants=Taylor &amp; Scott Lawyers|Counsel for the Respondent=Y Shariff SC|Solicitor for the Respondent=Office of the Fair Work Ombudsman"/>
    <w:docVar w:name="NSD" w:val="NSD "/>
    <w:docVar w:name="NumApps" w:val="2"/>
    <w:docVar w:name="NumApps_" w:val="2"/>
    <w:docVar w:name="NumCrossResps" w:val="0"/>
    <w:docVar w:name="NumDefs" w:val="1"/>
    <w:docVar w:name="NumOthers" w:val="0"/>
    <w:docVar w:name="OtherNum" w:val="0"/>
    <w:docVar w:name="Parties1" w:val="Appellant"/>
    <w:docVar w:name="Parties2" w:val="Respondent"/>
    <w:docVar w:name="Parties3" w:val="Cross-Appellant"/>
    <w:docVar w:name="Parties4" w:val="Cross-Defendant"/>
    <w:docVar w:name="Parties5" w:val="Intervener"/>
    <w:docVar w:name="Place" w:val="N/A FCA"/>
    <w:docVar w:name="PracticeArea" w:val="Employment and Industrial Relations"/>
    <w:docVar w:name="RadioJudge" w:val="False"/>
    <w:docVar w:name="RadioJustice" w:val="True"/>
    <w:docVar w:name="RadioJustices" w:val="False"/>
    <w:docVar w:name="RESAndAnother" w:val="True"/>
    <w:docVar w:name="RESAndOthers" w:val="False"/>
    <w:docVar w:name="Respondent" w:val="Fair Work Ombudsman"/>
    <w:docVar w:name="ResState" w:val="New South Wales"/>
    <w:docVar w:name="SubArea" w:val="[none]"/>
  </w:docVars>
  <w:rsids>
    <w:rsidRoot w:val="003F6D07"/>
    <w:rsid w:val="00000747"/>
    <w:rsid w:val="00001346"/>
    <w:rsid w:val="00002507"/>
    <w:rsid w:val="000115C5"/>
    <w:rsid w:val="00011725"/>
    <w:rsid w:val="0001469E"/>
    <w:rsid w:val="00015993"/>
    <w:rsid w:val="00021CCB"/>
    <w:rsid w:val="00022289"/>
    <w:rsid w:val="00027398"/>
    <w:rsid w:val="0003201A"/>
    <w:rsid w:val="0003207A"/>
    <w:rsid w:val="00032F9F"/>
    <w:rsid w:val="00036B3E"/>
    <w:rsid w:val="00041C07"/>
    <w:rsid w:val="00045BB7"/>
    <w:rsid w:val="00055719"/>
    <w:rsid w:val="0005641B"/>
    <w:rsid w:val="0006196A"/>
    <w:rsid w:val="00070D4C"/>
    <w:rsid w:val="00075713"/>
    <w:rsid w:val="00081497"/>
    <w:rsid w:val="00085255"/>
    <w:rsid w:val="0009393D"/>
    <w:rsid w:val="00095CDB"/>
    <w:rsid w:val="00095EF0"/>
    <w:rsid w:val="0009644A"/>
    <w:rsid w:val="000A2E76"/>
    <w:rsid w:val="000A4807"/>
    <w:rsid w:val="000A4BE4"/>
    <w:rsid w:val="000A7890"/>
    <w:rsid w:val="000C023E"/>
    <w:rsid w:val="000C0E43"/>
    <w:rsid w:val="000C33AF"/>
    <w:rsid w:val="000C5195"/>
    <w:rsid w:val="000C62EF"/>
    <w:rsid w:val="000D2137"/>
    <w:rsid w:val="000D2E4B"/>
    <w:rsid w:val="000D3FD2"/>
    <w:rsid w:val="000D4B2E"/>
    <w:rsid w:val="000E3FC8"/>
    <w:rsid w:val="000E4317"/>
    <w:rsid w:val="000E7BAE"/>
    <w:rsid w:val="000F133D"/>
    <w:rsid w:val="000F2BD8"/>
    <w:rsid w:val="000F7599"/>
    <w:rsid w:val="00102300"/>
    <w:rsid w:val="0010536B"/>
    <w:rsid w:val="0011145C"/>
    <w:rsid w:val="001128BD"/>
    <w:rsid w:val="0011419D"/>
    <w:rsid w:val="00114B02"/>
    <w:rsid w:val="001226C0"/>
    <w:rsid w:val="00122755"/>
    <w:rsid w:val="0012352E"/>
    <w:rsid w:val="00126EC8"/>
    <w:rsid w:val="0012731C"/>
    <w:rsid w:val="00132054"/>
    <w:rsid w:val="00134964"/>
    <w:rsid w:val="001351B9"/>
    <w:rsid w:val="001370AA"/>
    <w:rsid w:val="00143A4C"/>
    <w:rsid w:val="00144EC0"/>
    <w:rsid w:val="001500AB"/>
    <w:rsid w:val="00155CD2"/>
    <w:rsid w:val="00160B9C"/>
    <w:rsid w:val="00161E7D"/>
    <w:rsid w:val="001716B6"/>
    <w:rsid w:val="001727A4"/>
    <w:rsid w:val="0017376C"/>
    <w:rsid w:val="001738AB"/>
    <w:rsid w:val="00174BAD"/>
    <w:rsid w:val="001765E0"/>
    <w:rsid w:val="00177759"/>
    <w:rsid w:val="00180BB3"/>
    <w:rsid w:val="00185E6B"/>
    <w:rsid w:val="00187BBC"/>
    <w:rsid w:val="001932E9"/>
    <w:rsid w:val="001932F3"/>
    <w:rsid w:val="001952E2"/>
    <w:rsid w:val="001953D5"/>
    <w:rsid w:val="001A2B40"/>
    <w:rsid w:val="001A4309"/>
    <w:rsid w:val="001A46AE"/>
    <w:rsid w:val="001A6C52"/>
    <w:rsid w:val="001B1053"/>
    <w:rsid w:val="001B14AC"/>
    <w:rsid w:val="001B7940"/>
    <w:rsid w:val="001C171A"/>
    <w:rsid w:val="001C19FD"/>
    <w:rsid w:val="001C37CA"/>
    <w:rsid w:val="001C4085"/>
    <w:rsid w:val="001D4303"/>
    <w:rsid w:val="001D4F23"/>
    <w:rsid w:val="001D6746"/>
    <w:rsid w:val="001D7CB1"/>
    <w:rsid w:val="001E3B49"/>
    <w:rsid w:val="001E4A05"/>
    <w:rsid w:val="001E7388"/>
    <w:rsid w:val="001F13DD"/>
    <w:rsid w:val="001F21EE"/>
    <w:rsid w:val="001F2473"/>
    <w:rsid w:val="001F2DA7"/>
    <w:rsid w:val="001F2DBC"/>
    <w:rsid w:val="001F4FC6"/>
    <w:rsid w:val="001F73E8"/>
    <w:rsid w:val="0020262C"/>
    <w:rsid w:val="00211A3E"/>
    <w:rsid w:val="00215BCA"/>
    <w:rsid w:val="00217AC4"/>
    <w:rsid w:val="00221461"/>
    <w:rsid w:val="00224537"/>
    <w:rsid w:val="00235956"/>
    <w:rsid w:val="0024279F"/>
    <w:rsid w:val="00243E5E"/>
    <w:rsid w:val="00247C9A"/>
    <w:rsid w:val="0025160C"/>
    <w:rsid w:val="002535D0"/>
    <w:rsid w:val="002539B3"/>
    <w:rsid w:val="00253FE7"/>
    <w:rsid w:val="00256336"/>
    <w:rsid w:val="00257C3E"/>
    <w:rsid w:val="002602C2"/>
    <w:rsid w:val="00261436"/>
    <w:rsid w:val="00262F22"/>
    <w:rsid w:val="002666C9"/>
    <w:rsid w:val="00270136"/>
    <w:rsid w:val="00270FD7"/>
    <w:rsid w:val="002742BB"/>
    <w:rsid w:val="002745C5"/>
    <w:rsid w:val="00274F5B"/>
    <w:rsid w:val="00280836"/>
    <w:rsid w:val="00281BDA"/>
    <w:rsid w:val="00282E1A"/>
    <w:rsid w:val="002840F1"/>
    <w:rsid w:val="0029113B"/>
    <w:rsid w:val="002934C0"/>
    <w:rsid w:val="0029764C"/>
    <w:rsid w:val="002A1B50"/>
    <w:rsid w:val="002A1C61"/>
    <w:rsid w:val="002A6B32"/>
    <w:rsid w:val="002A79D7"/>
    <w:rsid w:val="002B0E91"/>
    <w:rsid w:val="002B132C"/>
    <w:rsid w:val="002B3F23"/>
    <w:rsid w:val="002B4EB5"/>
    <w:rsid w:val="002B6779"/>
    <w:rsid w:val="002B71C0"/>
    <w:rsid w:val="002B7A34"/>
    <w:rsid w:val="002C1571"/>
    <w:rsid w:val="002C31AD"/>
    <w:rsid w:val="002C7385"/>
    <w:rsid w:val="002D2DBB"/>
    <w:rsid w:val="002D37D8"/>
    <w:rsid w:val="002D54A6"/>
    <w:rsid w:val="002E5BF9"/>
    <w:rsid w:val="002E6A7A"/>
    <w:rsid w:val="002F1E49"/>
    <w:rsid w:val="002F4E9C"/>
    <w:rsid w:val="00300BC2"/>
    <w:rsid w:val="00302F4E"/>
    <w:rsid w:val="00310EDE"/>
    <w:rsid w:val="0031256C"/>
    <w:rsid w:val="003131B7"/>
    <w:rsid w:val="00314D6C"/>
    <w:rsid w:val="00316D2A"/>
    <w:rsid w:val="00317746"/>
    <w:rsid w:val="00320078"/>
    <w:rsid w:val="00322A7C"/>
    <w:rsid w:val="00322EEC"/>
    <w:rsid w:val="00323061"/>
    <w:rsid w:val="00333D8D"/>
    <w:rsid w:val="003402D3"/>
    <w:rsid w:val="00343ABC"/>
    <w:rsid w:val="003463FE"/>
    <w:rsid w:val="003465E1"/>
    <w:rsid w:val="00347D41"/>
    <w:rsid w:val="003554B3"/>
    <w:rsid w:val="00356632"/>
    <w:rsid w:val="00357C7E"/>
    <w:rsid w:val="003620E5"/>
    <w:rsid w:val="003653B6"/>
    <w:rsid w:val="00374CC4"/>
    <w:rsid w:val="003774B2"/>
    <w:rsid w:val="00380F2D"/>
    <w:rsid w:val="003819FB"/>
    <w:rsid w:val="003845A9"/>
    <w:rsid w:val="003850C9"/>
    <w:rsid w:val="00386030"/>
    <w:rsid w:val="0039009F"/>
    <w:rsid w:val="00390883"/>
    <w:rsid w:val="003922F8"/>
    <w:rsid w:val="00395B24"/>
    <w:rsid w:val="003A2D38"/>
    <w:rsid w:val="003A7894"/>
    <w:rsid w:val="003A7ECC"/>
    <w:rsid w:val="003B1F86"/>
    <w:rsid w:val="003B2C72"/>
    <w:rsid w:val="003B58B4"/>
    <w:rsid w:val="003C1333"/>
    <w:rsid w:val="003C20FF"/>
    <w:rsid w:val="003C4676"/>
    <w:rsid w:val="003C550A"/>
    <w:rsid w:val="003C6055"/>
    <w:rsid w:val="003D2650"/>
    <w:rsid w:val="003D498B"/>
    <w:rsid w:val="003D560C"/>
    <w:rsid w:val="003D5C00"/>
    <w:rsid w:val="003E04B4"/>
    <w:rsid w:val="003E3154"/>
    <w:rsid w:val="003E5874"/>
    <w:rsid w:val="003E72D3"/>
    <w:rsid w:val="003F193E"/>
    <w:rsid w:val="003F242C"/>
    <w:rsid w:val="003F34F1"/>
    <w:rsid w:val="003F6D07"/>
    <w:rsid w:val="004104B6"/>
    <w:rsid w:val="00411AE8"/>
    <w:rsid w:val="00413B74"/>
    <w:rsid w:val="004342F3"/>
    <w:rsid w:val="00435C5F"/>
    <w:rsid w:val="00436155"/>
    <w:rsid w:val="00441E98"/>
    <w:rsid w:val="00442365"/>
    <w:rsid w:val="00450F3A"/>
    <w:rsid w:val="004532F7"/>
    <w:rsid w:val="00464D51"/>
    <w:rsid w:val="004712E6"/>
    <w:rsid w:val="00472027"/>
    <w:rsid w:val="004804CF"/>
    <w:rsid w:val="00484962"/>
    <w:rsid w:val="00484F6D"/>
    <w:rsid w:val="00484FB7"/>
    <w:rsid w:val="0048554D"/>
    <w:rsid w:val="0049338A"/>
    <w:rsid w:val="0049417F"/>
    <w:rsid w:val="00496D41"/>
    <w:rsid w:val="004A0223"/>
    <w:rsid w:val="004A6602"/>
    <w:rsid w:val="004A733E"/>
    <w:rsid w:val="004B3EFA"/>
    <w:rsid w:val="004B5875"/>
    <w:rsid w:val="004C2A87"/>
    <w:rsid w:val="004C4D7B"/>
    <w:rsid w:val="004C4ED3"/>
    <w:rsid w:val="004C667B"/>
    <w:rsid w:val="004C6A51"/>
    <w:rsid w:val="004C7ECD"/>
    <w:rsid w:val="004D2EA5"/>
    <w:rsid w:val="004D32A6"/>
    <w:rsid w:val="004D53E5"/>
    <w:rsid w:val="004E36B5"/>
    <w:rsid w:val="004E6DC4"/>
    <w:rsid w:val="004F21C1"/>
    <w:rsid w:val="004F5828"/>
    <w:rsid w:val="00501A12"/>
    <w:rsid w:val="0050309C"/>
    <w:rsid w:val="0051327C"/>
    <w:rsid w:val="0051346D"/>
    <w:rsid w:val="00513EAE"/>
    <w:rsid w:val="0051434F"/>
    <w:rsid w:val="00516806"/>
    <w:rsid w:val="0052098C"/>
    <w:rsid w:val="00524763"/>
    <w:rsid w:val="00525A49"/>
    <w:rsid w:val="005262D1"/>
    <w:rsid w:val="00530876"/>
    <w:rsid w:val="00535613"/>
    <w:rsid w:val="005359EB"/>
    <w:rsid w:val="005364D5"/>
    <w:rsid w:val="0054254A"/>
    <w:rsid w:val="0054500B"/>
    <w:rsid w:val="005451DE"/>
    <w:rsid w:val="005466B5"/>
    <w:rsid w:val="00554314"/>
    <w:rsid w:val="00562224"/>
    <w:rsid w:val="00562829"/>
    <w:rsid w:val="005629B3"/>
    <w:rsid w:val="005724F6"/>
    <w:rsid w:val="00573AC4"/>
    <w:rsid w:val="00573C3A"/>
    <w:rsid w:val="005801FC"/>
    <w:rsid w:val="00585BA9"/>
    <w:rsid w:val="00587359"/>
    <w:rsid w:val="00595016"/>
    <w:rsid w:val="00597AAE"/>
    <w:rsid w:val="005A1304"/>
    <w:rsid w:val="005A16F3"/>
    <w:rsid w:val="005A222C"/>
    <w:rsid w:val="005A4DF8"/>
    <w:rsid w:val="005A78C8"/>
    <w:rsid w:val="005B0819"/>
    <w:rsid w:val="005B1426"/>
    <w:rsid w:val="005C0A8E"/>
    <w:rsid w:val="005C1767"/>
    <w:rsid w:val="005C185C"/>
    <w:rsid w:val="005C1E8E"/>
    <w:rsid w:val="005C42EF"/>
    <w:rsid w:val="005D5FC0"/>
    <w:rsid w:val="005E02F5"/>
    <w:rsid w:val="005E0510"/>
    <w:rsid w:val="005E176E"/>
    <w:rsid w:val="005E218E"/>
    <w:rsid w:val="005E3382"/>
    <w:rsid w:val="005E35A0"/>
    <w:rsid w:val="005E55DE"/>
    <w:rsid w:val="005F0D1B"/>
    <w:rsid w:val="005F1865"/>
    <w:rsid w:val="005F4F07"/>
    <w:rsid w:val="005F64FD"/>
    <w:rsid w:val="005F69E1"/>
    <w:rsid w:val="006007BD"/>
    <w:rsid w:val="006013C8"/>
    <w:rsid w:val="0060270D"/>
    <w:rsid w:val="00604611"/>
    <w:rsid w:val="006055CF"/>
    <w:rsid w:val="006057C5"/>
    <w:rsid w:val="00611586"/>
    <w:rsid w:val="00612D26"/>
    <w:rsid w:val="00615855"/>
    <w:rsid w:val="00616404"/>
    <w:rsid w:val="006172A3"/>
    <w:rsid w:val="00620DA8"/>
    <w:rsid w:val="00621887"/>
    <w:rsid w:val="00624520"/>
    <w:rsid w:val="006271F5"/>
    <w:rsid w:val="00632300"/>
    <w:rsid w:val="00632BB7"/>
    <w:rsid w:val="00635B36"/>
    <w:rsid w:val="00636871"/>
    <w:rsid w:val="00640EE1"/>
    <w:rsid w:val="00640F4E"/>
    <w:rsid w:val="00643DE0"/>
    <w:rsid w:val="0064437D"/>
    <w:rsid w:val="00644E85"/>
    <w:rsid w:val="00646057"/>
    <w:rsid w:val="00652C52"/>
    <w:rsid w:val="0066063F"/>
    <w:rsid w:val="00662BB0"/>
    <w:rsid w:val="00663878"/>
    <w:rsid w:val="00667773"/>
    <w:rsid w:val="00670743"/>
    <w:rsid w:val="00680A85"/>
    <w:rsid w:val="00681A82"/>
    <w:rsid w:val="00681ADF"/>
    <w:rsid w:val="00690EE2"/>
    <w:rsid w:val="00693854"/>
    <w:rsid w:val="00694BEB"/>
    <w:rsid w:val="00696A12"/>
    <w:rsid w:val="006A0E20"/>
    <w:rsid w:val="006A24E3"/>
    <w:rsid w:val="006A5695"/>
    <w:rsid w:val="006B0439"/>
    <w:rsid w:val="006B3904"/>
    <w:rsid w:val="006B5B7D"/>
    <w:rsid w:val="006C5B46"/>
    <w:rsid w:val="006C623D"/>
    <w:rsid w:val="006C6E39"/>
    <w:rsid w:val="006D0ECF"/>
    <w:rsid w:val="006D3D5B"/>
    <w:rsid w:val="006D4C92"/>
    <w:rsid w:val="006D4EB6"/>
    <w:rsid w:val="006E35BF"/>
    <w:rsid w:val="006E7850"/>
    <w:rsid w:val="006F46D6"/>
    <w:rsid w:val="007028D9"/>
    <w:rsid w:val="00707218"/>
    <w:rsid w:val="00710D04"/>
    <w:rsid w:val="00711DB7"/>
    <w:rsid w:val="00712B1D"/>
    <w:rsid w:val="00715751"/>
    <w:rsid w:val="007171BA"/>
    <w:rsid w:val="00717616"/>
    <w:rsid w:val="007325D9"/>
    <w:rsid w:val="00732A4A"/>
    <w:rsid w:val="0073583B"/>
    <w:rsid w:val="007360CA"/>
    <w:rsid w:val="0074667B"/>
    <w:rsid w:val="007470BD"/>
    <w:rsid w:val="00760EC0"/>
    <w:rsid w:val="00761497"/>
    <w:rsid w:val="00765A4B"/>
    <w:rsid w:val="00766C7C"/>
    <w:rsid w:val="007711BD"/>
    <w:rsid w:val="00777527"/>
    <w:rsid w:val="0078003A"/>
    <w:rsid w:val="00780771"/>
    <w:rsid w:val="00783607"/>
    <w:rsid w:val="007929CF"/>
    <w:rsid w:val="00794DF0"/>
    <w:rsid w:val="007A100A"/>
    <w:rsid w:val="007A49E7"/>
    <w:rsid w:val="007A6F28"/>
    <w:rsid w:val="007A7003"/>
    <w:rsid w:val="007B03C6"/>
    <w:rsid w:val="007B0DB1"/>
    <w:rsid w:val="007B5673"/>
    <w:rsid w:val="007B7238"/>
    <w:rsid w:val="007B76FF"/>
    <w:rsid w:val="007C3BF6"/>
    <w:rsid w:val="007C67B3"/>
    <w:rsid w:val="007D09F3"/>
    <w:rsid w:val="007D0FD2"/>
    <w:rsid w:val="007D2EF8"/>
    <w:rsid w:val="007D561F"/>
    <w:rsid w:val="007D7FD2"/>
    <w:rsid w:val="007E13D9"/>
    <w:rsid w:val="007E2AEC"/>
    <w:rsid w:val="007E41BE"/>
    <w:rsid w:val="007E47A4"/>
    <w:rsid w:val="007E4DB6"/>
    <w:rsid w:val="007E6733"/>
    <w:rsid w:val="007E7CD4"/>
    <w:rsid w:val="007F0330"/>
    <w:rsid w:val="007F12AC"/>
    <w:rsid w:val="007F4501"/>
    <w:rsid w:val="007F60DF"/>
    <w:rsid w:val="00800EBB"/>
    <w:rsid w:val="00801800"/>
    <w:rsid w:val="00801861"/>
    <w:rsid w:val="00801B5B"/>
    <w:rsid w:val="008216E7"/>
    <w:rsid w:val="00825BE6"/>
    <w:rsid w:val="008276B4"/>
    <w:rsid w:val="00831927"/>
    <w:rsid w:val="00837288"/>
    <w:rsid w:val="00841BD3"/>
    <w:rsid w:val="0084273D"/>
    <w:rsid w:val="00844E3F"/>
    <w:rsid w:val="008454E9"/>
    <w:rsid w:val="00845A83"/>
    <w:rsid w:val="00846476"/>
    <w:rsid w:val="00846BB9"/>
    <w:rsid w:val="00852BA0"/>
    <w:rsid w:val="0085368F"/>
    <w:rsid w:val="008559E1"/>
    <w:rsid w:val="00855DEA"/>
    <w:rsid w:val="008649D5"/>
    <w:rsid w:val="008712BB"/>
    <w:rsid w:val="00877184"/>
    <w:rsid w:val="008822C1"/>
    <w:rsid w:val="008830E7"/>
    <w:rsid w:val="008841D5"/>
    <w:rsid w:val="00890EDE"/>
    <w:rsid w:val="00892B38"/>
    <w:rsid w:val="008A1741"/>
    <w:rsid w:val="008A2484"/>
    <w:rsid w:val="008A52F3"/>
    <w:rsid w:val="008A65D6"/>
    <w:rsid w:val="008C05E5"/>
    <w:rsid w:val="008C26D9"/>
    <w:rsid w:val="008C6D50"/>
    <w:rsid w:val="008C7167"/>
    <w:rsid w:val="008C7503"/>
    <w:rsid w:val="008D1617"/>
    <w:rsid w:val="008D330F"/>
    <w:rsid w:val="008D415F"/>
    <w:rsid w:val="008D48C1"/>
    <w:rsid w:val="008D499E"/>
    <w:rsid w:val="008D67C9"/>
    <w:rsid w:val="008E6315"/>
    <w:rsid w:val="008F0234"/>
    <w:rsid w:val="008F0681"/>
    <w:rsid w:val="008F07FC"/>
    <w:rsid w:val="008F11E0"/>
    <w:rsid w:val="008F3EA7"/>
    <w:rsid w:val="008F5310"/>
    <w:rsid w:val="008F64EF"/>
    <w:rsid w:val="008F78BC"/>
    <w:rsid w:val="008F7B63"/>
    <w:rsid w:val="008F7D6A"/>
    <w:rsid w:val="00901144"/>
    <w:rsid w:val="00901C86"/>
    <w:rsid w:val="00903603"/>
    <w:rsid w:val="009054CB"/>
    <w:rsid w:val="00911F8D"/>
    <w:rsid w:val="00912F94"/>
    <w:rsid w:val="009171BC"/>
    <w:rsid w:val="0092497E"/>
    <w:rsid w:val="0092590B"/>
    <w:rsid w:val="00925BF3"/>
    <w:rsid w:val="00925E60"/>
    <w:rsid w:val="009264B3"/>
    <w:rsid w:val="00931CF3"/>
    <w:rsid w:val="009365E0"/>
    <w:rsid w:val="00942BA2"/>
    <w:rsid w:val="009432B7"/>
    <w:rsid w:val="00944C86"/>
    <w:rsid w:val="00947C02"/>
    <w:rsid w:val="00950BE6"/>
    <w:rsid w:val="00957DE8"/>
    <w:rsid w:val="00960ECB"/>
    <w:rsid w:val="009615D6"/>
    <w:rsid w:val="00967855"/>
    <w:rsid w:val="00974709"/>
    <w:rsid w:val="00980736"/>
    <w:rsid w:val="00981A39"/>
    <w:rsid w:val="00982D56"/>
    <w:rsid w:val="00983DBF"/>
    <w:rsid w:val="00987097"/>
    <w:rsid w:val="00991123"/>
    <w:rsid w:val="00991CAB"/>
    <w:rsid w:val="00995D1A"/>
    <w:rsid w:val="009A3A9C"/>
    <w:rsid w:val="009B046C"/>
    <w:rsid w:val="009B07E8"/>
    <w:rsid w:val="009B13FA"/>
    <w:rsid w:val="009B1E2D"/>
    <w:rsid w:val="009C59FB"/>
    <w:rsid w:val="009C6F3B"/>
    <w:rsid w:val="009D1467"/>
    <w:rsid w:val="009D43B0"/>
    <w:rsid w:val="009E4FA6"/>
    <w:rsid w:val="009E7D93"/>
    <w:rsid w:val="009F3C34"/>
    <w:rsid w:val="009F462C"/>
    <w:rsid w:val="009F5C33"/>
    <w:rsid w:val="009F6008"/>
    <w:rsid w:val="00A026F0"/>
    <w:rsid w:val="00A03EAC"/>
    <w:rsid w:val="00A04DBB"/>
    <w:rsid w:val="00A07EA0"/>
    <w:rsid w:val="00A11CA6"/>
    <w:rsid w:val="00A200F9"/>
    <w:rsid w:val="00A20C49"/>
    <w:rsid w:val="00A22932"/>
    <w:rsid w:val="00A269CA"/>
    <w:rsid w:val="00A336EE"/>
    <w:rsid w:val="00A33F46"/>
    <w:rsid w:val="00A3427E"/>
    <w:rsid w:val="00A359AC"/>
    <w:rsid w:val="00A401FA"/>
    <w:rsid w:val="00A40F83"/>
    <w:rsid w:val="00A410FB"/>
    <w:rsid w:val="00A41413"/>
    <w:rsid w:val="00A431E6"/>
    <w:rsid w:val="00A436E8"/>
    <w:rsid w:val="00A45FB1"/>
    <w:rsid w:val="00A46CCC"/>
    <w:rsid w:val="00A47996"/>
    <w:rsid w:val="00A51CFE"/>
    <w:rsid w:val="00A5204D"/>
    <w:rsid w:val="00A61605"/>
    <w:rsid w:val="00A6438D"/>
    <w:rsid w:val="00A65F97"/>
    <w:rsid w:val="00A76863"/>
    <w:rsid w:val="00A76C13"/>
    <w:rsid w:val="00A84FD0"/>
    <w:rsid w:val="00A92E79"/>
    <w:rsid w:val="00A93D21"/>
    <w:rsid w:val="00A950B6"/>
    <w:rsid w:val="00A95D45"/>
    <w:rsid w:val="00AB41C1"/>
    <w:rsid w:val="00AB4CF2"/>
    <w:rsid w:val="00AB6CCA"/>
    <w:rsid w:val="00AC223F"/>
    <w:rsid w:val="00AC33B1"/>
    <w:rsid w:val="00AC7B9D"/>
    <w:rsid w:val="00AD12A8"/>
    <w:rsid w:val="00AE023F"/>
    <w:rsid w:val="00AE6EA4"/>
    <w:rsid w:val="00AF3577"/>
    <w:rsid w:val="00AF35F9"/>
    <w:rsid w:val="00AF7A23"/>
    <w:rsid w:val="00B0424C"/>
    <w:rsid w:val="00B05C7D"/>
    <w:rsid w:val="00B13D20"/>
    <w:rsid w:val="00B15D57"/>
    <w:rsid w:val="00B16347"/>
    <w:rsid w:val="00B17D6E"/>
    <w:rsid w:val="00B229DF"/>
    <w:rsid w:val="00B2435E"/>
    <w:rsid w:val="00B346C3"/>
    <w:rsid w:val="00B367EA"/>
    <w:rsid w:val="00B4005C"/>
    <w:rsid w:val="00B419A2"/>
    <w:rsid w:val="00B4227E"/>
    <w:rsid w:val="00B4471C"/>
    <w:rsid w:val="00B451A6"/>
    <w:rsid w:val="00B56D6E"/>
    <w:rsid w:val="00B57F2E"/>
    <w:rsid w:val="00B6080D"/>
    <w:rsid w:val="00B62BFB"/>
    <w:rsid w:val="00B64347"/>
    <w:rsid w:val="00B65B6D"/>
    <w:rsid w:val="00B65DC6"/>
    <w:rsid w:val="00B67AC2"/>
    <w:rsid w:val="00B70B6F"/>
    <w:rsid w:val="00B712A1"/>
    <w:rsid w:val="00B722DE"/>
    <w:rsid w:val="00B751E3"/>
    <w:rsid w:val="00B75BA6"/>
    <w:rsid w:val="00B76C44"/>
    <w:rsid w:val="00B8184A"/>
    <w:rsid w:val="00B82283"/>
    <w:rsid w:val="00B828D8"/>
    <w:rsid w:val="00B83F87"/>
    <w:rsid w:val="00B87CDC"/>
    <w:rsid w:val="00B910C1"/>
    <w:rsid w:val="00B96B7A"/>
    <w:rsid w:val="00BA2CA4"/>
    <w:rsid w:val="00BA2EFA"/>
    <w:rsid w:val="00BA3DBC"/>
    <w:rsid w:val="00BA494F"/>
    <w:rsid w:val="00BA707A"/>
    <w:rsid w:val="00BB1AF5"/>
    <w:rsid w:val="00BB1AFB"/>
    <w:rsid w:val="00BB27AE"/>
    <w:rsid w:val="00BB2DA2"/>
    <w:rsid w:val="00BB56DC"/>
    <w:rsid w:val="00BD562D"/>
    <w:rsid w:val="00BD5E85"/>
    <w:rsid w:val="00BE183D"/>
    <w:rsid w:val="00BF5D7A"/>
    <w:rsid w:val="00C01C2E"/>
    <w:rsid w:val="00C02D33"/>
    <w:rsid w:val="00C04B53"/>
    <w:rsid w:val="00C1232C"/>
    <w:rsid w:val="00C22BB6"/>
    <w:rsid w:val="00C2751A"/>
    <w:rsid w:val="00C27C6B"/>
    <w:rsid w:val="00C303A5"/>
    <w:rsid w:val="00C3594D"/>
    <w:rsid w:val="00C36442"/>
    <w:rsid w:val="00C400CE"/>
    <w:rsid w:val="00C410FD"/>
    <w:rsid w:val="00C457DE"/>
    <w:rsid w:val="00C47DD3"/>
    <w:rsid w:val="00C53562"/>
    <w:rsid w:val="00C539FB"/>
    <w:rsid w:val="00C66E57"/>
    <w:rsid w:val="00C73478"/>
    <w:rsid w:val="00C74150"/>
    <w:rsid w:val="00C75594"/>
    <w:rsid w:val="00C81717"/>
    <w:rsid w:val="00C85982"/>
    <w:rsid w:val="00C923F7"/>
    <w:rsid w:val="00CA0466"/>
    <w:rsid w:val="00CA246D"/>
    <w:rsid w:val="00CA50D9"/>
    <w:rsid w:val="00CB3054"/>
    <w:rsid w:val="00CB5636"/>
    <w:rsid w:val="00CC3B87"/>
    <w:rsid w:val="00CC3EE5"/>
    <w:rsid w:val="00CD31DF"/>
    <w:rsid w:val="00CE425C"/>
    <w:rsid w:val="00CE58AC"/>
    <w:rsid w:val="00CF4373"/>
    <w:rsid w:val="00CF450E"/>
    <w:rsid w:val="00CF5A80"/>
    <w:rsid w:val="00CF69C4"/>
    <w:rsid w:val="00D045EE"/>
    <w:rsid w:val="00D05091"/>
    <w:rsid w:val="00D10CA6"/>
    <w:rsid w:val="00D10F21"/>
    <w:rsid w:val="00D134CF"/>
    <w:rsid w:val="00D1573B"/>
    <w:rsid w:val="00D24806"/>
    <w:rsid w:val="00D27F75"/>
    <w:rsid w:val="00D34040"/>
    <w:rsid w:val="00D34E69"/>
    <w:rsid w:val="00D352C1"/>
    <w:rsid w:val="00D36C78"/>
    <w:rsid w:val="00D375EE"/>
    <w:rsid w:val="00D37DA8"/>
    <w:rsid w:val="00D435BD"/>
    <w:rsid w:val="00D55AE8"/>
    <w:rsid w:val="00D56056"/>
    <w:rsid w:val="00D6085F"/>
    <w:rsid w:val="00D62699"/>
    <w:rsid w:val="00D635A2"/>
    <w:rsid w:val="00D778E9"/>
    <w:rsid w:val="00D8105E"/>
    <w:rsid w:val="00D812BF"/>
    <w:rsid w:val="00D82620"/>
    <w:rsid w:val="00D85707"/>
    <w:rsid w:val="00D92650"/>
    <w:rsid w:val="00D9725F"/>
    <w:rsid w:val="00D97FF9"/>
    <w:rsid w:val="00DA01B1"/>
    <w:rsid w:val="00DA11A2"/>
    <w:rsid w:val="00DA14ED"/>
    <w:rsid w:val="00DA26D6"/>
    <w:rsid w:val="00DA4033"/>
    <w:rsid w:val="00DB2EF1"/>
    <w:rsid w:val="00DB3DE1"/>
    <w:rsid w:val="00DB5DA0"/>
    <w:rsid w:val="00DB6F2F"/>
    <w:rsid w:val="00DB716C"/>
    <w:rsid w:val="00DC5C85"/>
    <w:rsid w:val="00DC7C5D"/>
    <w:rsid w:val="00DD33F6"/>
    <w:rsid w:val="00DD4236"/>
    <w:rsid w:val="00DD44F1"/>
    <w:rsid w:val="00DD6957"/>
    <w:rsid w:val="00DD6BC4"/>
    <w:rsid w:val="00DD6E7A"/>
    <w:rsid w:val="00DE3067"/>
    <w:rsid w:val="00DF3EEE"/>
    <w:rsid w:val="00DF75E1"/>
    <w:rsid w:val="00E027BC"/>
    <w:rsid w:val="00E10F0D"/>
    <w:rsid w:val="00E14EA5"/>
    <w:rsid w:val="00E2070E"/>
    <w:rsid w:val="00E21133"/>
    <w:rsid w:val="00E2327E"/>
    <w:rsid w:val="00E266EF"/>
    <w:rsid w:val="00E47428"/>
    <w:rsid w:val="00E50647"/>
    <w:rsid w:val="00E5193A"/>
    <w:rsid w:val="00E56C8E"/>
    <w:rsid w:val="00E5716B"/>
    <w:rsid w:val="00E57F1F"/>
    <w:rsid w:val="00E62EF9"/>
    <w:rsid w:val="00E66B9F"/>
    <w:rsid w:val="00E70A6A"/>
    <w:rsid w:val="00E710D6"/>
    <w:rsid w:val="00E73DA4"/>
    <w:rsid w:val="00E76E45"/>
    <w:rsid w:val="00E777C9"/>
    <w:rsid w:val="00E81B7A"/>
    <w:rsid w:val="00E81DA6"/>
    <w:rsid w:val="00E82014"/>
    <w:rsid w:val="00E84212"/>
    <w:rsid w:val="00E9086C"/>
    <w:rsid w:val="00E90AAA"/>
    <w:rsid w:val="00E91A0F"/>
    <w:rsid w:val="00E94A71"/>
    <w:rsid w:val="00E94CBF"/>
    <w:rsid w:val="00E95548"/>
    <w:rsid w:val="00EA03CE"/>
    <w:rsid w:val="00EA23E5"/>
    <w:rsid w:val="00EA4E2E"/>
    <w:rsid w:val="00EB2417"/>
    <w:rsid w:val="00EB2CCB"/>
    <w:rsid w:val="00EB7A25"/>
    <w:rsid w:val="00EC0F3E"/>
    <w:rsid w:val="00EC57A7"/>
    <w:rsid w:val="00ED0817"/>
    <w:rsid w:val="00ED0F0F"/>
    <w:rsid w:val="00ED7DD9"/>
    <w:rsid w:val="00EE015B"/>
    <w:rsid w:val="00EE1F22"/>
    <w:rsid w:val="00EE445B"/>
    <w:rsid w:val="00EF3113"/>
    <w:rsid w:val="00EF3F84"/>
    <w:rsid w:val="00EF6FE4"/>
    <w:rsid w:val="00F176AC"/>
    <w:rsid w:val="00F24A7A"/>
    <w:rsid w:val="00F26F28"/>
    <w:rsid w:val="00F27714"/>
    <w:rsid w:val="00F3276E"/>
    <w:rsid w:val="00F33D3C"/>
    <w:rsid w:val="00F37A91"/>
    <w:rsid w:val="00F408A0"/>
    <w:rsid w:val="00F4418D"/>
    <w:rsid w:val="00F45CF5"/>
    <w:rsid w:val="00F47DB0"/>
    <w:rsid w:val="00F50C3F"/>
    <w:rsid w:val="00F50E34"/>
    <w:rsid w:val="00F53EF7"/>
    <w:rsid w:val="00F54BF2"/>
    <w:rsid w:val="00F72417"/>
    <w:rsid w:val="00F775AC"/>
    <w:rsid w:val="00F92355"/>
    <w:rsid w:val="00F937D3"/>
    <w:rsid w:val="00F93963"/>
    <w:rsid w:val="00F94291"/>
    <w:rsid w:val="00FA298A"/>
    <w:rsid w:val="00FA5B66"/>
    <w:rsid w:val="00FA6EDD"/>
    <w:rsid w:val="00FB1355"/>
    <w:rsid w:val="00FB15FD"/>
    <w:rsid w:val="00FB30EB"/>
    <w:rsid w:val="00FB7982"/>
    <w:rsid w:val="00FC0734"/>
    <w:rsid w:val="00FC0FC5"/>
    <w:rsid w:val="00FC588F"/>
    <w:rsid w:val="00FC6879"/>
    <w:rsid w:val="00FE1B3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BCBF158"/>
  <w15:docId w15:val="{CAF9C742-124E-4DEF-99E8-2F15A38A72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pPr>
      <w:numPr>
        <w:numId w:val="2"/>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3"/>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3"/>
      </w:numPr>
    </w:pPr>
  </w:style>
  <w:style w:type="numbering" w:styleId="1ai">
    <w:name w:val="Outline List 1"/>
    <w:basedOn w:val="NoList"/>
    <w:semiHidden/>
    <w:pPr>
      <w:numPr>
        <w:numId w:val="14"/>
      </w:numPr>
    </w:pPr>
  </w:style>
  <w:style w:type="numbering" w:styleId="ArticleSection">
    <w:name w:val="Outline List 3"/>
    <w:basedOn w:val="NoList"/>
    <w:semiHidden/>
    <w:pPr>
      <w:numPr>
        <w:numId w:val="15"/>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uiPriority w:val="99"/>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3"/>
      </w:numPr>
    </w:pPr>
  </w:style>
  <w:style w:type="paragraph" w:styleId="ListBullet2">
    <w:name w:val="List Bullet 2"/>
    <w:basedOn w:val="Normal"/>
    <w:semiHidden/>
    <w:pPr>
      <w:numPr>
        <w:numId w:val="4"/>
      </w:numPr>
    </w:pPr>
  </w:style>
  <w:style w:type="paragraph" w:styleId="ListBullet3">
    <w:name w:val="List Bullet 3"/>
    <w:basedOn w:val="Normal"/>
    <w:semiHidden/>
    <w:pPr>
      <w:numPr>
        <w:numId w:val="5"/>
      </w:numPr>
    </w:pPr>
  </w:style>
  <w:style w:type="paragraph" w:styleId="ListBullet4">
    <w:name w:val="List Bullet 4"/>
    <w:basedOn w:val="Normal"/>
    <w:semiHidden/>
    <w:pPr>
      <w:numPr>
        <w:numId w:val="6"/>
      </w:numPr>
    </w:pPr>
  </w:style>
  <w:style w:type="paragraph" w:styleId="ListBullet5">
    <w:name w:val="List Bullet 5"/>
    <w:basedOn w:val="Normal"/>
    <w:semiHidden/>
    <w:pPr>
      <w:numPr>
        <w:numId w:val="7"/>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pPr>
  </w:style>
  <w:style w:type="paragraph" w:styleId="ListNumber3">
    <w:name w:val="List Number 3"/>
    <w:basedOn w:val="Normal"/>
    <w:semiHidden/>
    <w:pPr>
      <w:numPr>
        <w:numId w:val="10"/>
      </w:numPr>
    </w:pPr>
  </w:style>
  <w:style w:type="paragraph" w:styleId="ListNumber4">
    <w:name w:val="List Number 4"/>
    <w:basedOn w:val="Normal"/>
    <w:semiHidden/>
    <w:pPr>
      <w:numPr>
        <w:numId w:val="11"/>
      </w:numPr>
    </w:pPr>
  </w:style>
  <w:style w:type="paragraph" w:styleId="ListNumber5">
    <w:name w:val="List Number 5"/>
    <w:basedOn w:val="Normal"/>
    <w:semiHidden/>
    <w:pPr>
      <w:numPr>
        <w:numId w:val="12"/>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6"/>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6"/>
      </w:numPr>
      <w:spacing w:before="240" w:after="60" w:line="240" w:lineRule="auto"/>
    </w:pPr>
    <w:rPr>
      <w:b/>
    </w:rPr>
  </w:style>
  <w:style w:type="paragraph" w:customStyle="1" w:styleId="fcHeading3">
    <w:name w:val="fcHeading 3"/>
    <w:basedOn w:val="Normal"/>
    <w:next w:val="ParaNumbering"/>
    <w:semiHidden/>
    <w:pPr>
      <w:keepNext/>
      <w:numPr>
        <w:ilvl w:val="2"/>
        <w:numId w:val="16"/>
      </w:numPr>
      <w:spacing w:before="240" w:after="60" w:line="240" w:lineRule="auto"/>
    </w:pPr>
    <w:rPr>
      <w:b/>
      <w:i/>
    </w:rPr>
  </w:style>
  <w:style w:type="paragraph" w:customStyle="1" w:styleId="fcHeading4">
    <w:name w:val="fcHeading 4"/>
    <w:basedOn w:val="Normal"/>
    <w:next w:val="ParaNumbering"/>
    <w:semiHidden/>
    <w:pPr>
      <w:keepNext/>
      <w:numPr>
        <w:ilvl w:val="3"/>
        <w:numId w:val="16"/>
      </w:numPr>
      <w:spacing w:before="240" w:after="60" w:line="240" w:lineRule="auto"/>
    </w:pPr>
    <w:rPr>
      <w:b/>
      <w:smallCaps/>
    </w:rPr>
  </w:style>
  <w:style w:type="paragraph" w:customStyle="1" w:styleId="fcHeading5">
    <w:name w:val="fcHeading 5"/>
    <w:basedOn w:val="Normal"/>
    <w:next w:val="ParaNumbering"/>
    <w:semiHidden/>
    <w:pPr>
      <w:keepNext/>
      <w:numPr>
        <w:ilvl w:val="4"/>
        <w:numId w:val="16"/>
      </w:numPr>
      <w:spacing w:before="240" w:after="60" w:line="240" w:lineRule="auto"/>
    </w:pPr>
    <w:rPr>
      <w:b/>
      <w:caps/>
    </w:rPr>
  </w:style>
  <w:style w:type="paragraph" w:customStyle="1" w:styleId="FTOC5">
    <w:name w:val="FTOC 5"/>
    <w:basedOn w:val="Normal"/>
    <w:semiHidden/>
    <w:rsid w:val="003774B2"/>
    <w:pPr>
      <w:tabs>
        <w:tab w:val="right" w:leader="dot" w:pos="9072"/>
      </w:tabs>
      <w:spacing w:before="120" w:after="60" w:line="240" w:lineRule="auto"/>
      <w:ind w:left="709" w:hanging="709"/>
      <w:jc w:val="left"/>
    </w:pPr>
    <w:rPr>
      <w:b/>
      <w:kern w:val="28"/>
    </w:rPr>
  </w:style>
  <w:style w:type="paragraph" w:customStyle="1" w:styleId="FTOC6">
    <w:name w:val="FTOC 6"/>
    <w:basedOn w:val="Normal"/>
    <w:semiHidden/>
    <w:rsid w:val="003774B2"/>
    <w:pPr>
      <w:tabs>
        <w:tab w:val="right" w:leader="dot" w:pos="9072"/>
      </w:tabs>
      <w:spacing w:before="120" w:after="60" w:line="240" w:lineRule="auto"/>
      <w:ind w:left="1418" w:hanging="709"/>
      <w:jc w:val="left"/>
    </w:pPr>
    <w:rPr>
      <w:b/>
    </w:rPr>
  </w:style>
  <w:style w:type="paragraph" w:customStyle="1" w:styleId="FTOC7">
    <w:name w:val="FTOC 7"/>
    <w:basedOn w:val="Normal"/>
    <w:semiHidden/>
    <w:rsid w:val="003774B2"/>
    <w:pPr>
      <w:tabs>
        <w:tab w:val="right" w:leader="dot" w:pos="9072"/>
      </w:tabs>
      <w:spacing w:before="120" w:after="60" w:line="240" w:lineRule="auto"/>
      <w:ind w:left="2127" w:hanging="709"/>
      <w:jc w:val="left"/>
    </w:pPr>
    <w:rPr>
      <w:b/>
    </w:rPr>
  </w:style>
  <w:style w:type="paragraph" w:customStyle="1" w:styleId="FTOC8">
    <w:name w:val="FTOC 8"/>
    <w:basedOn w:val="Normal"/>
    <w:semiHidden/>
    <w:rsid w:val="003774B2"/>
    <w:pPr>
      <w:tabs>
        <w:tab w:val="right" w:leader="dot" w:pos="9072"/>
      </w:tabs>
      <w:spacing w:before="120" w:after="60" w:line="240" w:lineRule="auto"/>
      <w:ind w:left="3260" w:hanging="1134"/>
      <w:jc w:val="left"/>
    </w:pPr>
    <w:rPr>
      <w:b/>
    </w:rPr>
  </w:style>
  <w:style w:type="paragraph" w:customStyle="1" w:styleId="FTOC9">
    <w:name w:val="FTOC 9"/>
    <w:basedOn w:val="Normal"/>
    <w:semiHidden/>
    <w:rsid w:val="003774B2"/>
    <w:pPr>
      <w:tabs>
        <w:tab w:val="right" w:leader="dot" w:pos="9072"/>
      </w:tabs>
      <w:spacing w:before="120" w:after="60" w:line="240" w:lineRule="auto"/>
      <w:ind w:left="3969" w:hanging="1134"/>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323061"/>
    <w:pPr>
      <w:tabs>
        <w:tab w:val="right" w:leader="dot" w:pos="9072"/>
      </w:tabs>
      <w:spacing w:before="120" w:after="60" w:line="240" w:lineRule="auto"/>
      <w:ind w:left="2127" w:hanging="709"/>
      <w:jc w:val="left"/>
    </w:pPr>
  </w:style>
  <w:style w:type="paragraph" w:customStyle="1" w:styleId="bTOC8">
    <w:name w:val="bTOC 8"/>
    <w:basedOn w:val="Normal"/>
    <w:semiHidden/>
    <w:rsid w:val="00323061"/>
    <w:pPr>
      <w:keepNext/>
      <w:tabs>
        <w:tab w:val="right" w:leader="dot" w:pos="9072"/>
      </w:tabs>
      <w:spacing w:before="120" w:after="60" w:line="240" w:lineRule="auto"/>
      <w:ind w:left="3260" w:hanging="1134"/>
      <w:jc w:val="left"/>
    </w:pPr>
  </w:style>
  <w:style w:type="paragraph" w:customStyle="1" w:styleId="bTOC9">
    <w:name w:val="bTOC 9"/>
    <w:basedOn w:val="Normal"/>
    <w:semiHidden/>
    <w:rsid w:val="00323061"/>
    <w:pPr>
      <w:keepNext/>
      <w:tabs>
        <w:tab w:val="right" w:leader="dot" w:pos="9072"/>
      </w:tabs>
      <w:spacing w:before="120" w:after="60" w:line="240" w:lineRule="auto"/>
      <w:ind w:left="3969" w:hanging="1134"/>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7"/>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8"/>
      </w:numPr>
      <w:ind w:left="1440" w:hanging="720"/>
    </w:pPr>
  </w:style>
  <w:style w:type="paragraph" w:customStyle="1" w:styleId="Quote2Bullet">
    <w:name w:val="Quote2 Bullet"/>
    <w:basedOn w:val="Quote2"/>
    <w:rsid w:val="00EF3F84"/>
    <w:pPr>
      <w:numPr>
        <w:numId w:val="19"/>
      </w:numPr>
      <w:ind w:hanging="720"/>
    </w:pPr>
  </w:style>
  <w:style w:type="paragraph" w:customStyle="1" w:styleId="Quote3Bullet">
    <w:name w:val="Quote3 Bullet"/>
    <w:basedOn w:val="Quote3"/>
    <w:rsid w:val="00EE445B"/>
    <w:pPr>
      <w:numPr>
        <w:numId w:val="20"/>
      </w:numPr>
      <w:ind w:hanging="720"/>
    </w:pPr>
  </w:style>
  <w:style w:type="paragraph" w:customStyle="1" w:styleId="Order1">
    <w:name w:val="Order 1"/>
    <w:basedOn w:val="Normal"/>
    <w:rsid w:val="004104B6"/>
    <w:pPr>
      <w:numPr>
        <w:numId w:val="21"/>
      </w:numPr>
      <w:spacing w:before="60" w:after="60"/>
    </w:pPr>
  </w:style>
  <w:style w:type="numbering" w:customStyle="1" w:styleId="FCOrders">
    <w:name w:val="FCOrders"/>
    <w:uiPriority w:val="99"/>
    <w:rsid w:val="004104B6"/>
    <w:pPr>
      <w:numPr>
        <w:numId w:val="21"/>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A2293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2"/>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5"/>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4"/>
      </w:numPr>
    </w:pPr>
  </w:style>
  <w:style w:type="paragraph" w:customStyle="1" w:styleId="Order4">
    <w:name w:val="Order 4"/>
    <w:basedOn w:val="Order3"/>
    <w:rsid w:val="004104B6"/>
    <w:pPr>
      <w:numPr>
        <w:ilvl w:val="3"/>
      </w:numPr>
    </w:pPr>
  </w:style>
  <w:style w:type="paragraph" w:customStyle="1" w:styleId="xdate">
    <w:name w:val="xdate"/>
    <w:rsid w:val="0039009F"/>
    <w:pPr>
      <w:spacing w:line="360" w:lineRule="auto"/>
      <w:jc w:val="both"/>
    </w:pPr>
    <w:rPr>
      <w:sz w:val="24"/>
      <w:lang w:eastAsia="en-US"/>
    </w:rPr>
  </w:style>
  <w:style w:type="character" w:customStyle="1" w:styleId="ssbarseparator">
    <w:name w:val="ss_barseparator"/>
    <w:basedOn w:val="DefaultParagraphFont"/>
    <w:rsid w:val="00ED0F0F"/>
  </w:style>
  <w:style w:type="paragraph" w:customStyle="1" w:styleId="Default">
    <w:name w:val="Default"/>
    <w:rsid w:val="00261436"/>
    <w:pPr>
      <w:autoSpaceDE w:val="0"/>
      <w:autoSpaceDN w:val="0"/>
      <w:adjustRightInd w:val="0"/>
    </w:pPr>
    <w:rPr>
      <w:color w:val="000000"/>
      <w:sz w:val="24"/>
      <w:szCs w:val="24"/>
    </w:rPr>
  </w:style>
  <w:style w:type="paragraph" w:styleId="Revision">
    <w:name w:val="Revision"/>
    <w:hidden/>
    <w:uiPriority w:val="99"/>
    <w:semiHidden/>
    <w:rsid w:val="006C623D"/>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121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header" Target="header5.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oter" Target="footer6.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ksoy3f\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0C36A808D14C8EA7B2A9B1AEAA216A"/>
        <w:category>
          <w:name w:val="General"/>
          <w:gallery w:val="placeholder"/>
        </w:category>
        <w:types>
          <w:type w:val="bbPlcHdr"/>
        </w:types>
        <w:behaviors>
          <w:behavior w:val="content"/>
        </w:behaviors>
        <w:guid w:val="{FFD79F8D-BC9B-4564-97C0-7833951CA864}"/>
      </w:docPartPr>
      <w:docPartBody>
        <w:p w:rsidR="00E00054" w:rsidRDefault="00887462">
          <w:pPr>
            <w:pStyle w:val="6C0C36A808D14C8EA7B2A9B1AEAA216A"/>
          </w:pPr>
          <w:r>
            <w:rPr>
              <w:rStyle w:val="PlaceholderText"/>
            </w:rPr>
            <w:t>MNC Text</w:t>
          </w:r>
        </w:p>
      </w:docPartBody>
    </w:docPart>
    <w:docPart>
      <w:docPartPr>
        <w:name w:val="9BFA673909144836888ABBEC5A47EBF6"/>
        <w:category>
          <w:name w:val="General"/>
          <w:gallery w:val="placeholder"/>
        </w:category>
        <w:types>
          <w:type w:val="bbPlcHdr"/>
        </w:types>
        <w:behaviors>
          <w:behavior w:val="content"/>
        </w:behaviors>
        <w:guid w:val="{05E5916B-14FB-4501-BBFF-5560D12F70A5}"/>
      </w:docPartPr>
      <w:docPartBody>
        <w:p w:rsidR="00E00054" w:rsidRDefault="00887462">
          <w:pPr>
            <w:pStyle w:val="9BFA673909144836888ABBEC5A47EBF6"/>
          </w:pPr>
          <w:r w:rsidRPr="005C44BE">
            <w:rPr>
              <w:rStyle w:val="PlaceholderText"/>
            </w:rPr>
            <w:t>Click or tap here to enter text.</w:t>
          </w:r>
        </w:p>
      </w:docPartBody>
    </w:docPart>
    <w:docPart>
      <w:docPartPr>
        <w:name w:val="010DB92119694F08B405D58DDDCEDD88"/>
        <w:category>
          <w:name w:val="General"/>
          <w:gallery w:val="placeholder"/>
        </w:category>
        <w:types>
          <w:type w:val="bbPlcHdr"/>
        </w:types>
        <w:behaviors>
          <w:behavior w:val="content"/>
        </w:behaviors>
        <w:guid w:val="{14F71017-2A85-4012-AFA0-9FD65F7FBAC6}"/>
      </w:docPartPr>
      <w:docPartBody>
        <w:p w:rsidR="00E00054" w:rsidRDefault="00887462">
          <w:pPr>
            <w:pStyle w:val="010DB92119694F08B405D58DDDCEDD88"/>
          </w:pPr>
          <w:r w:rsidRPr="005C44BE">
            <w:rPr>
              <w:rStyle w:val="PlaceholderText"/>
            </w:rPr>
            <w:t>Click or tap here to enter text.</w:t>
          </w:r>
        </w:p>
      </w:docPartBody>
    </w:docPart>
    <w:docPart>
      <w:docPartPr>
        <w:name w:val="3D14E6FAD08D416698C9A4E75CB9841B"/>
        <w:category>
          <w:name w:val="General"/>
          <w:gallery w:val="placeholder"/>
        </w:category>
        <w:types>
          <w:type w:val="bbPlcHdr"/>
        </w:types>
        <w:behaviors>
          <w:behavior w:val="content"/>
        </w:behaviors>
        <w:guid w:val="{E85E32A4-67F8-429F-8F72-BD76677338CB}"/>
      </w:docPartPr>
      <w:docPartBody>
        <w:p w:rsidR="00E00054" w:rsidRDefault="00887462">
          <w:pPr>
            <w:pStyle w:val="3D14E6FAD08D416698C9A4E75CB9841B"/>
          </w:pPr>
          <w:r w:rsidRPr="005C44BE">
            <w:rPr>
              <w:rStyle w:val="PlaceholderText"/>
            </w:rPr>
            <w:t>Click or tap here to enter text.</w:t>
          </w:r>
        </w:p>
      </w:docPartBody>
    </w:docPart>
    <w:docPart>
      <w:docPartPr>
        <w:name w:val="00B74BBAB99E450AA1C898CDFD34C483"/>
        <w:category>
          <w:name w:val="General"/>
          <w:gallery w:val="placeholder"/>
        </w:category>
        <w:types>
          <w:type w:val="bbPlcHdr"/>
        </w:types>
        <w:behaviors>
          <w:behavior w:val="content"/>
        </w:behaviors>
        <w:guid w:val="{5D608A1A-F090-4BA9-B283-F670A2FC6662}"/>
      </w:docPartPr>
      <w:docPartBody>
        <w:p w:rsidR="00E00054" w:rsidRDefault="00887462">
          <w:pPr>
            <w:pStyle w:val="00B74BBAB99E450AA1C898CDFD34C483"/>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462"/>
    <w:rsid w:val="000242B3"/>
    <w:rsid w:val="000520A2"/>
    <w:rsid w:val="000B26D6"/>
    <w:rsid w:val="00184A5B"/>
    <w:rsid w:val="003C420D"/>
    <w:rsid w:val="004A0D87"/>
    <w:rsid w:val="00585536"/>
    <w:rsid w:val="006975CB"/>
    <w:rsid w:val="00753529"/>
    <w:rsid w:val="007F6894"/>
    <w:rsid w:val="00887462"/>
    <w:rsid w:val="008A5C7C"/>
    <w:rsid w:val="00936FD9"/>
    <w:rsid w:val="00A4280D"/>
    <w:rsid w:val="00A75FB4"/>
    <w:rsid w:val="00B115A5"/>
    <w:rsid w:val="00B5077D"/>
    <w:rsid w:val="00E00054"/>
    <w:rsid w:val="00E66CE4"/>
    <w:rsid w:val="00ED2F12"/>
    <w:rsid w:val="00F97A7D"/>
    <w:rsid w:val="00FD4C01"/>
    <w:rsid w:val="00FF72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6C0C36A808D14C8EA7B2A9B1AEAA216A">
    <w:name w:val="6C0C36A808D14C8EA7B2A9B1AEAA216A"/>
  </w:style>
  <w:style w:type="paragraph" w:customStyle="1" w:styleId="9BFA673909144836888ABBEC5A47EBF6">
    <w:name w:val="9BFA673909144836888ABBEC5A47EBF6"/>
  </w:style>
  <w:style w:type="paragraph" w:customStyle="1" w:styleId="010DB92119694F08B405D58DDDCEDD88">
    <w:name w:val="010DB92119694F08B405D58DDDCEDD88"/>
  </w:style>
  <w:style w:type="paragraph" w:customStyle="1" w:styleId="3D14E6FAD08D416698C9A4E75CB9841B">
    <w:name w:val="3D14E6FAD08D416698C9A4E75CB9841B"/>
  </w:style>
  <w:style w:type="paragraph" w:customStyle="1" w:styleId="00B74BBAB99E450AA1C898CDFD34C483">
    <w:name w:val="00B74BBAB99E450AA1C898CDFD34C4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oot xmlns="http://schemas.globalmacros.com/FCA">
  <Name>Singh v Fair Work Ombudsman [2021] FCA 71 </Name>
</root>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7E7CCB-4AA5-44E7-B148-17BA2B6F57C0}">
  <ds:schemaRefs>
    <ds:schemaRef ds:uri="http://schemas.globalmacros.com/FCA"/>
  </ds:schemaRefs>
</ds:datastoreItem>
</file>

<file path=customXml/itemProps2.xml><?xml version="1.0" encoding="utf-8"?>
<ds:datastoreItem xmlns:ds="http://schemas.openxmlformats.org/officeDocument/2006/customXml" ds:itemID="{DA159F54-C3DD-4225-BCDE-147801A9BC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14</Pages>
  <Words>4621</Words>
  <Characters>23393</Characters>
  <Application>Microsoft Office Word</Application>
  <DocSecurity>0</DocSecurity>
  <Lines>194</Lines>
  <Paragraphs>55</Paragraphs>
  <ScaleCrop>false</ScaleCrop>
  <HeadingPairs>
    <vt:vector size="2" baseType="variant">
      <vt:variant>
        <vt:lpstr>Title</vt:lpstr>
      </vt:variant>
      <vt:variant>
        <vt:i4>1</vt:i4>
      </vt:variant>
    </vt:vector>
  </HeadingPairs>
  <TitlesOfParts>
    <vt:vector size="1" baseType="lpstr">
      <vt:lpstr>Singh v Fair Work Ombudsman [2021] FCA 71 </vt:lpstr>
    </vt:vector>
  </TitlesOfParts>
  <Company>Federal Court of Australia</Company>
  <LinksUpToDate>false</LinksUpToDate>
  <CharactersWithSpaces>27959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Singh v Fair Work Ombudsman [2021] FCA 71</dc:title>
  <dc:creator>Federal Court of Australia</dc:creator>
  <cp:lastModifiedBy>Feyhan Peksoylu</cp:lastModifiedBy>
  <cp:revision>7</cp:revision>
  <cp:lastPrinted>2006-02-06T01:31:00Z</cp:lastPrinted>
  <dcterms:created xsi:type="dcterms:W3CDTF">2021-02-05T05:12:00Z</dcterms:created>
  <dcterms:modified xsi:type="dcterms:W3CDTF">2021-02-05T05:36:00Z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New South Wales</vt:lpwstr>
  </property>
  <property fmtid="{D5CDD505-2E9C-101B-9397-08002B2CF9AE}" pid="13" name="Division">
    <vt:lpwstr>Appeal Division</vt:lpwstr>
  </property>
  <property fmtid="{D5CDD505-2E9C-101B-9397-08002B2CF9AE}" pid="14" name="FileNo">
    <vt:lpwstr>&lt;FILE NO&gt;</vt:lpwstr>
  </property>
  <property fmtid="{D5CDD505-2E9C-101B-9397-08002B2CF9AE}" pid="15" name="Practice Area">
    <vt:lpwstr>Employment and Industrial Relations</vt:lpwstr>
  </property>
  <property fmtid="{D5CDD505-2E9C-101B-9397-08002B2CF9AE}" pid="16" name="Court">
    <vt:lpwstr>Federal Court of Australia</vt:lpwstr>
  </property>
  <property fmtid="{D5CDD505-2E9C-101B-9397-08002B2CF9AE}" pid="17" name="Sub Area">
    <vt:lpwstr>Delete these rows - not required</vt:lpwstr>
  </property>
  <property fmtid="{D5CDD505-2E9C-101B-9397-08002B2CF9AE}" pid="18" name="AppealFrom">
    <vt:lpwstr>Fair Work Ombudsman v Sinpek Pty Ltd (in liq) (No 4) [2020] FCCA 97</vt:lpwstr>
  </property>
  <property fmtid="{D5CDD505-2E9C-101B-9397-08002B2CF9AE}" pid="19" name="Judge">
    <vt:lpwstr>Judge</vt:lpwstr>
  </property>
  <property fmtid="{D5CDD505-2E9C-101B-9397-08002B2CF9AE}" pid="20" name="Judgment_dated">
    <vt:lpwstr>Judgment_dated</vt:lpwstr>
  </property>
  <property fmtid="{D5CDD505-2E9C-101B-9397-08002B2CF9AE}" pid="21" name="Legislation">
    <vt:lpwstr>Legislation</vt:lpwstr>
  </property>
  <property fmtid="{D5CDD505-2E9C-101B-9397-08002B2CF9AE}" pid="22" name="Catchwords">
    <vt:lpwstr>Catchwords</vt:lpwstr>
  </property>
  <property fmtid="{D5CDD505-2E9C-101B-9397-08002B2CF9AE}" pid="23" name="Words_Phrases">
    <vt:lpwstr>WordsPhrases</vt:lpwstr>
  </property>
  <property fmtid="{D5CDD505-2E9C-101B-9397-08002B2CF9AE}" pid="24" name="Cases_Cited">
    <vt:lpwstr>CasesCited</vt:lpwstr>
  </property>
  <property fmtid="{D5CDD505-2E9C-101B-9397-08002B2CF9AE}" pid="25" name="File_Number">
    <vt:lpwstr>Num</vt:lpwstr>
  </property>
  <property fmtid="{D5CDD505-2E9C-101B-9397-08002B2CF9AE}" pid="26" name="State">
    <vt:lpwstr>State</vt:lpwstr>
  </property>
</Properties>
</file>