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40"/>
          <w:sz-cs w:val="40"/>
          <w:b/>
        </w:rPr>
        <w:t xml:space="preserve">QUEENSLAND CIVIL AND </w:t>
        <w:br/>
        <w:t xml:space="preserve">ADMINISTRATIVE TRIBUNAL</w:t>
      </w:r>
    </w:p>
    <w:p>
      <w:pPr>
        <w:jc w:val="both"/>
        <w:ind w:left="567"/>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CITATION:</w:t>
      </w:r>
    </w:p>
    <w:p>
      <w:pPr>
        <w:spacing w:after="160"/>
      </w:pPr>
      <w:r>
        <w:rPr>
          <w:rFonts w:ascii="Times New Roman" w:hAnsi="Times New Roman" w:cs="Times New Roman"/>
          <w:sz w:val="24"/>
          <w:sz-cs w:val="24"/>
          <w:i/>
        </w:rPr>
        <w:t xml:space="preserve">Number One Quality Homes Pty Ltd v Murphy &amp; Anor</w:t>
      </w:r>
      <w:r>
        <w:rPr>
          <w:rFonts w:ascii="Times New Roman" w:hAnsi="Times New Roman" w:cs="Times New Roman"/>
          <w:sz w:val="24"/>
          <w:sz-cs w:val="24"/>
        </w:rPr>
        <w:t xml:space="preserve"> [2020] QCAT 339</w:t>
      </w:r>
    </w:p>
    <w:p>
      <w:pPr/>
      <w:r>
        <w:rPr>
          <w:rFonts w:ascii="Times New Roman" w:hAnsi="Times New Roman" w:cs="Times New Roman"/>
          <w:sz w:val="24"/>
          <w:sz-cs w:val="24"/>
        </w:rPr>
        <w:t xml:space="preserve">PARTIES:</w:t>
      </w:r>
    </w:p>
    <w:p>
      <w:pPr/>
      <w:r>
        <w:rPr>
          <w:rFonts w:ascii="Times New Roman" w:hAnsi="Times New Roman" w:cs="Times New Roman"/>
          <w:sz w:val="24"/>
          <w:sz-cs w:val="24"/>
          <w:b/>
        </w:rPr>
        <w:t xml:space="preserve">Number one quality homes pty ltd</w:t>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(applicant)</w:t>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b/>
        </w:rPr>
        <w:t xml:space="preserve">v</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daniel murphy</w:t>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(first respondent)</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judith murphy</w:t>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(second respondent)</w:t>
      </w:r>
    </w:p>
    <w:p>
      <w:pPr>
        <w:spacing w:after="160"/>
      </w:pPr>
      <w:r>
        <w:rPr>
          <w:rFonts w:ascii="Times New Roman" w:hAnsi="Times New Roman" w:cs="Times New Roman"/>
          <w:sz w:val="24"/>
          <w:sz-cs w:val="24"/>
        </w:rPr>
        <w:t xml:space="preserve">APPLICATION NO/S:</w:t>
      </w:r>
    </w:p>
    <w:p>
      <w:pPr>
        <w:spacing w:after="160"/>
      </w:pPr>
      <w:r>
        <w:rPr>
          <w:rFonts w:ascii="Times New Roman" w:hAnsi="Times New Roman" w:cs="Times New Roman"/>
          <w:sz w:val="24"/>
          <w:sz-cs w:val="24"/>
        </w:rPr>
        <w:t xml:space="preserve">BDL364-18</w:t>
      </w:r>
    </w:p>
    <w:p>
      <w:pPr/>
      <w:r>
        <w:rPr>
          <w:rFonts w:ascii="Times New Roman" w:hAnsi="Times New Roman" w:cs="Times New Roman"/>
          <w:sz w:val="24"/>
          <w:sz-cs w:val="24"/>
        </w:rPr>
        <w:t xml:space="preserve">MATTER TYPE:</w:t>
      </w:r>
    </w:p>
    <w:p>
      <w:pPr>
        <w:spacing w:after="160"/>
      </w:pPr>
      <w:r>
        <w:rPr>
          <w:rFonts w:ascii="Times New Roman" w:hAnsi="Times New Roman" w:cs="Times New Roman"/>
          <w:sz w:val="24"/>
          <w:sz-cs w:val="24"/>
        </w:rPr>
        <w:t xml:space="preserve">Building matters</w:t>
      </w:r>
    </w:p>
    <w:p>
      <w:pPr/>
      <w:r>
        <w:rPr>
          <w:rFonts w:ascii="Times New Roman" w:hAnsi="Times New Roman" w:cs="Times New Roman"/>
          <w:sz w:val="24"/>
          <w:sz-cs w:val="24"/>
        </w:rPr>
        <w:t xml:space="preserve">DELIVERED ON:</w:t>
      </w:r>
    </w:p>
    <w:p>
      <w:pPr>
        <w:spacing w:after="160"/>
      </w:pPr>
      <w:r>
        <w:rPr>
          <w:rFonts w:ascii="Times New Roman" w:hAnsi="Times New Roman" w:cs="Times New Roman"/>
          <w:sz w:val="24"/>
          <w:sz-cs w:val="24"/>
        </w:rPr>
        <w:t xml:space="preserve">7 September 2020</w:t>
      </w:r>
    </w:p>
    <w:p>
      <w:pPr/>
      <w:r>
        <w:rPr>
          <w:rFonts w:ascii="Times New Roman" w:hAnsi="Times New Roman" w:cs="Times New Roman"/>
          <w:sz w:val="24"/>
          <w:sz-cs w:val="24"/>
        </w:rPr>
        <w:t xml:space="preserve">HEARING DATE:</w:t>
      </w:r>
    </w:p>
    <w:p>
      <w:pPr>
        <w:spacing w:after="160"/>
      </w:pPr>
      <w:r>
        <w:rPr>
          <w:rFonts w:ascii="Times New Roman" w:hAnsi="Times New Roman" w:cs="Times New Roman"/>
          <w:sz w:val="24"/>
          <w:sz-cs w:val="24"/>
        </w:rPr>
        <w:t xml:space="preserve">On the papers</w:t>
      </w:r>
    </w:p>
    <w:p>
      <w:pPr/>
      <w:r>
        <w:rPr>
          <w:rFonts w:ascii="Times New Roman" w:hAnsi="Times New Roman" w:cs="Times New Roman"/>
          <w:sz w:val="24"/>
          <w:sz-cs w:val="24"/>
        </w:rPr>
        <w:t xml:space="preserve">HEARD AT:</w:t>
      </w:r>
    </w:p>
    <w:p>
      <w:pPr>
        <w:spacing w:after="160"/>
      </w:pPr>
      <w:r>
        <w:rPr>
          <w:rFonts w:ascii="Times New Roman" w:hAnsi="Times New Roman" w:cs="Times New Roman"/>
          <w:sz w:val="24"/>
          <w:sz-cs w:val="24"/>
        </w:rPr>
        <w:t xml:space="preserve">Brisbane</w:t>
      </w:r>
    </w:p>
    <w:p>
      <w:pPr>
        <w:spacing w:after="160"/>
      </w:pPr>
      <w:r>
        <w:rPr>
          <w:rFonts w:ascii="Times New Roman" w:hAnsi="Times New Roman" w:cs="Times New Roman"/>
          <w:sz w:val="24"/>
          <w:sz-cs w:val="24"/>
        </w:rPr>
        <w:t xml:space="preserve">DECISION OF:</w:t>
      </w:r>
    </w:p>
    <w:p>
      <w:pPr/>
      <w:r>
        <w:rPr>
          <w:rFonts w:ascii="Times New Roman" w:hAnsi="Times New Roman" w:cs="Times New Roman"/>
          <w:sz w:val="24"/>
          <w:sz-cs w:val="24"/>
        </w:rPr>
        <w:t xml:space="preserve">Senior Member Brown</w:t>
      </w:r>
    </w:p>
    <w:p>
      <w:pPr/>
      <w:r>
        <w:rPr>
          <w:rFonts w:ascii="Times New Roman" w:hAnsi="Times New Roman" w:cs="Times New Roman"/>
          <w:sz w:val="24"/>
          <w:sz-cs w:val="24"/>
        </w:rPr>
        <w:t xml:space="preserve">ORDERS:</w:t>
      </w:r>
    </w:p>
    <w:p>
      <w:pPr>
        <w:jc w:val="both"/>
        <w:spacing w:after="160"/>
      </w:pPr>
      <w:r>
        <w:rPr>
          <w:rFonts w:ascii="Times New Roman" w:hAnsi="Times New Roman" w:cs="Times New Roman"/>
          <w:sz w:val="24"/>
          <w:sz-cs w:val="24"/>
          <w:b/>
        </w:rPr>
        <w:t xml:space="preserve">The Tribunal declines to determine the preliminary issue as framed by Daniel Murphy and Judith Murphy. </w:t>
      </w:r>
    </w:p>
    <w:p>
      <w:pPr/>
      <w:r>
        <w:rPr>
          <w:rFonts w:ascii="Times New Roman" w:hAnsi="Times New Roman" w:cs="Times New Roman"/>
          <w:sz w:val="24"/>
          <w:sz-cs w:val="24"/>
        </w:rPr>
        <w:t xml:space="preserve">CATCHWORDS:</w:t>
      </w:r>
    </w:p>
    <w:p>
      <w:pPr>
        <w:jc w:val="both"/>
        <w:spacing w:after="160"/>
      </w:pPr>
      <w:r>
        <w:rPr>
          <w:rFonts w:ascii="Times New Roman" w:hAnsi="Times New Roman" w:cs="Times New Roman"/>
          <w:sz w:val="24"/>
          <w:sz-cs w:val="24"/>
        </w:rPr>
        <w:t xml:space="preserve">PROCEDURE – CIVIL PROCEEDINGS IN STATE AND TERRITORY COURTS – ENDING PROCEEDINGS EARLY – SUMMARY DISPOSAL – SUMMARY JUDGMENT FOR PLAINTIFF OR APPLICANT – GENERALLY – where respondents seek determination of a preliminary issue – whether utility, economy and fairness to the parties of a separate question is beyond issue – where factors tell against the making of an order for the determination of a preliminary issue – where it is not just and convenient to determine the preliminary issue</w:t>
      </w:r>
    </w:p>
    <w:p>
      <w:pPr>
        <w:jc w:val="both"/>
        <w:spacing w:after="160"/>
      </w:pPr>
      <w:r>
        <w:rPr>
          <w:rFonts w:ascii="Times New Roman" w:hAnsi="Times New Roman" w:cs="Times New Roman"/>
          <w:sz w:val="24"/>
          <w:sz-cs w:val="24"/>
        </w:rPr>
        <w:t xml:space="preserve">CONTRACTS – BUILDING, ENGINEERING AND RELATED CONTRACTS – THE CONTRACT – GENERALLY – where the parties entered into a contract for the construction of a dwelling - where applicant seeks payment of an amount owing under the contract- where the respondents counterclaim damages for defective work and misleading and deceptive conduct</w:t>
      </w:r>
    </w:p>
    <w:p>
      <w:pPr>
        <w:jc w:val="both"/>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i/>
        </w:rPr>
        <w:t xml:space="preserve">Queensland Building and Construction Commission Act</w:t>
      </w:r>
      <w:r>
        <w:rPr>
          <w:rFonts w:ascii="Times New Roman" w:hAnsi="Times New Roman" w:cs="Times New Roman"/>
          <w:sz w:val="24"/>
          <w:sz-cs w:val="24"/>
        </w:rPr>
        <w:t xml:space="preserve"> 1991 (Qld), s 3(a)(ii), s 3(d), s 67AZN, sch 1B, s 7(1)(b), s 15, s 18, s 35, s 37, s 38, s 44, s 46(1)</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Uniform Civil Procedure Rules</w:t>
      </w:r>
      <w:r>
        <w:rPr>
          <w:rFonts w:ascii="Times New Roman" w:hAnsi="Times New Roman" w:cs="Times New Roman"/>
          <w:sz w:val="24"/>
          <w:sz-cs w:val="24"/>
        </w:rPr>
        <w:t xml:space="preserve"> 1999 (Qld), r 483</w:t>
      </w:r>
    </w:p>
    <w:p>
      <w:pPr>
        <w:spacing w:after="160"/>
      </w:pPr>
      <w:r>
        <w:rPr>
          <w:rFonts w:ascii="Times New Roman" w:hAnsi="Times New Roman" w:cs="Times New Roman"/>
          <w:sz w:val="24"/>
          <w:sz-cs w:val="24"/>
        </w:rPr>
        <w:t xml:space="preserve"/>
      </w:r>
    </w:p>
    <w:p>
      <w:pPr>
        <w:spacing w:after="160"/>
      </w:pPr>
      <w:r>
        <w:rPr>
          <w:rFonts w:ascii="Times New Roman" w:hAnsi="Times New Roman" w:cs="Times New Roman"/>
          <w:sz w:val="24"/>
          <w:sz-cs w:val="24"/>
          <w:i/>
        </w:rPr>
        <w:t xml:space="preserve">Arnold v Attorney-General (Vic)</w:t>
      </w:r>
      <w:r>
        <w:rPr>
          <w:rFonts w:ascii="Times New Roman" w:hAnsi="Times New Roman" w:cs="Times New Roman"/>
          <w:sz w:val="24"/>
          <w:sz-cs w:val="24"/>
        </w:rPr>
        <w:t xml:space="preserve"> (Unreported, Federal Court of Australia, Sundberg J, 8 September 1995)</w:t>
      </w:r>
    </w:p>
    <w:p>
      <w:pPr>
        <w:spacing w:after="160"/>
      </w:pPr>
      <w:r>
        <w:rPr>
          <w:rFonts w:ascii="Times New Roman" w:hAnsi="Times New Roman" w:cs="Times New Roman"/>
          <w:sz w:val="24"/>
          <w:sz-cs w:val="24"/>
          <w:i/>
        </w:rPr>
        <w:t xml:space="preserve">Blackman v Milne </w:t>
      </w:r>
      <w:r>
        <w:rPr>
          <w:rFonts w:ascii="Times New Roman" w:hAnsi="Times New Roman" w:cs="Times New Roman"/>
          <w:sz w:val="24"/>
          <w:sz-cs w:val="24"/>
        </w:rPr>
        <w:t xml:space="preserve">[2007] 1 Qd R 198</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Collis v Currumbin Investments Pty Ltd </w:t>
      </w:r>
      <w:r>
        <w:rPr>
          <w:rFonts w:ascii="Times New Roman" w:hAnsi="Times New Roman" w:cs="Times New Roman"/>
          <w:sz w:val="24"/>
          <w:sz-cs w:val="24"/>
        </w:rPr>
        <w:t xml:space="preserve">[2009] QSC 297</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Cook's Construction P/L v SFS 007.298.633 P/L (formerly trading as Stork Food Systems Australasia P/L) </w:t>
      </w:r>
      <w:r>
        <w:rPr>
          <w:rFonts w:ascii="Times New Roman" w:hAnsi="Times New Roman" w:cs="Times New Roman"/>
          <w:sz w:val="24"/>
          <w:sz-cs w:val="24"/>
        </w:rPr>
        <w:t xml:space="preserve">[2009] QCA 75</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Day Ford Pty Ltd v Sciacca </w:t>
      </w:r>
      <w:r>
        <w:rPr>
          <w:rFonts w:ascii="Times New Roman" w:hAnsi="Times New Roman" w:cs="Times New Roman"/>
          <w:sz w:val="24"/>
          <w:sz-cs w:val="24"/>
        </w:rPr>
        <w:t xml:space="preserve">[1990] 2 Qd R 209</w:t>
      </w:r>
    </w:p>
    <w:p>
      <w:pPr>
        <w:spacing w:after="160"/>
      </w:pPr>
      <w:r>
        <w:rPr>
          <w:rFonts w:ascii="Times New Roman" w:hAnsi="Times New Roman" w:cs="Times New Roman"/>
          <w:sz w:val="24"/>
          <w:sz-cs w:val="24"/>
          <w:i/>
        </w:rPr>
        <w:t xml:space="preserve">GMB Research &amp; Development Pty Ltd v Commonwealth</w:t>
      </w:r>
      <w:r>
        <w:rPr>
          <w:rFonts w:ascii="Times New Roman" w:hAnsi="Times New Roman" w:cs="Times New Roman"/>
          <w:sz w:val="24"/>
          <w:sz-cs w:val="24"/>
        </w:rPr>
        <w:t xml:space="preserve"> [1997] FCA 934</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Marchesi v Viridian Noosa Pty Ltd </w:t>
      </w:r>
      <w:r>
        <w:rPr>
          <w:rFonts w:ascii="Times New Roman" w:hAnsi="Times New Roman" w:cs="Times New Roman"/>
          <w:sz w:val="24"/>
          <w:sz-cs w:val="24"/>
        </w:rPr>
        <w:t xml:space="preserve">[2010] QSC 324</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MJ Arthurs Pty Ltd v Isenbert </w:t>
      </w:r>
      <w:r>
        <w:rPr>
          <w:rFonts w:ascii="Times New Roman" w:hAnsi="Times New Roman" w:cs="Times New Roman"/>
          <w:sz w:val="24"/>
          <w:sz-cs w:val="24"/>
        </w:rPr>
        <w:t xml:space="preserve">[2017] QDC 85</w:t>
      </w:r>
    </w:p>
    <w:p>
      <w:pPr>
        <w:spacing w:after="160"/>
      </w:pPr>
      <w:r>
        <w:rPr>
          <w:rFonts w:ascii="Times New Roman" w:hAnsi="Times New Roman" w:cs="Times New Roman"/>
          <w:sz w:val="24"/>
          <w:sz-cs w:val="24"/>
          <w:i/>
        </w:rPr>
        <w:t xml:space="preserve">Orknie Pty Ltd v Body Corporate for Paloma CTS 9524</w:t>
      </w:r>
      <w:r>
        <w:rPr>
          <w:rFonts w:ascii="Times New Roman" w:hAnsi="Times New Roman" w:cs="Times New Roman"/>
          <w:sz w:val="24"/>
          <w:sz-cs w:val="24"/>
        </w:rPr>
        <w:t xml:space="preserve"> [2010] QCATA 52</w:t>
      </w:r>
    </w:p>
    <w:p>
      <w:pPr>
        <w:spacing w:after="160"/>
      </w:pPr>
      <w:r>
        <w:rPr>
          <w:rFonts w:ascii="Times New Roman" w:hAnsi="Times New Roman" w:cs="Times New Roman"/>
          <w:sz w:val="24"/>
          <w:sz-cs w:val="24"/>
          <w:i/>
        </w:rPr>
        <w:t xml:space="preserve">Prider v Bond University Ltd</w:t>
      </w:r>
      <w:r>
        <w:rPr>
          <w:rFonts w:ascii="Times New Roman" w:hAnsi="Times New Roman" w:cs="Times New Roman"/>
          <w:sz w:val="24"/>
          <w:sz-cs w:val="24"/>
        </w:rPr>
        <w:t xml:space="preserve"> [2019] QSC 197</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Reading Australia Pty Ltd v Australian Mutual Provident Society </w:t>
      </w:r>
      <w:r>
        <w:rPr>
          <w:rFonts w:ascii="Times New Roman" w:hAnsi="Times New Roman" w:cs="Times New Roman"/>
          <w:sz w:val="24"/>
          <w:sz-cs w:val="24"/>
        </w:rPr>
        <w:t xml:space="preserve">(1999) 217 ALR 495</w:t>
      </w:r>
    </w:p>
    <w:p>
      <w:pPr>
        <w:spacing w:after="160"/>
      </w:pPr>
      <w:r>
        <w:rPr>
          <w:rFonts w:ascii="Times New Roman" w:hAnsi="Times New Roman" w:cs="Times New Roman"/>
          <w:sz w:val="24"/>
          <w:sz-cs w:val="24"/>
          <w:i/>
        </w:rPr>
        <w:t xml:space="preserve">Roberts v Australia and New Zealand Banking Group Ltd </w:t>
      </w:r>
      <w:r>
        <w:rPr>
          <w:rFonts w:ascii="Times New Roman" w:hAnsi="Times New Roman" w:cs="Times New Roman"/>
          <w:sz w:val="24"/>
          <w:sz-cs w:val="24"/>
        </w:rPr>
        <w:t xml:space="preserve">[2006] 1 Qd R 482</w:t>
      </w:r>
    </w:p>
    <w:p>
      <w:pPr>
        <w:spacing w:after="160"/>
      </w:pPr>
      <w:r>
        <w:rPr>
          <w:rFonts w:ascii="Times New Roman" w:hAnsi="Times New Roman" w:cs="Times New Roman"/>
          <w:sz w:val="24"/>
          <w:sz-cs w:val="24"/>
          <w:i/>
        </w:rPr>
        <w:t xml:space="preserve">Sultana Investments P/L v Cellcom P/L </w:t>
      </w:r>
      <w:r>
        <w:rPr>
          <w:rFonts w:ascii="Times New Roman" w:hAnsi="Times New Roman" w:cs="Times New Roman"/>
          <w:sz w:val="24"/>
          <w:sz-cs w:val="24"/>
        </w:rPr>
        <w:t xml:space="preserve">[2008] QCA 357</w:t>
      </w:r>
      <w:r>
        <w:rPr>
          <w:rFonts w:ascii="Times New Roman" w:hAnsi="Times New Roman" w:cs="Times New Roman"/>
          <w:sz w:val="24"/>
          <w:sz-cs w:val="24"/>
          <w:i/>
        </w:rPr>
        <w:t xml:space="preserve"/>
      </w:r>
    </w:p>
    <w:p>
      <w:pPr>
        <w:spacing w:after="160"/>
      </w:pPr>
      <w:r>
        <w:rPr>
          <w:rFonts w:ascii="Times New Roman" w:hAnsi="Times New Roman" w:cs="Times New Roman"/>
          <w:sz w:val="24"/>
          <w:sz-cs w:val="24"/>
          <w:i/>
        </w:rPr>
        <w:t xml:space="preserve">Tepko Pty Ltd v Water Board</w:t>
      </w:r>
      <w:r>
        <w:rPr>
          <w:rFonts w:ascii="Times New Roman" w:hAnsi="Times New Roman" w:cs="Times New Roman"/>
          <w:sz w:val="24"/>
          <w:sz-cs w:val="24"/>
        </w:rPr>
        <w:t xml:space="preserve"> (2001) 206 CLR 1</w:t>
      </w:r>
    </w:p>
    <w:p>
      <w:pPr>
        <w:spacing w:after="160"/>
      </w:pPr>
      <w:r>
        <w:rPr>
          <w:rFonts w:ascii="Times New Roman" w:hAnsi="Times New Roman" w:cs="Times New Roman"/>
          <w:sz w:val="24"/>
          <w:sz-cs w:val="24"/>
        </w:rPr>
        <w:t xml:space="preserve"/>
      </w:r>
    </w:p>
    <w:p>
      <w:pPr/>
      <w:r>
        <w:rPr>
          <w:rFonts w:ascii="Times New Roman" w:hAnsi="Times New Roman" w:cs="Times New Roman"/>
          <w:sz w:val="24"/>
          <w:sz-cs w:val="24"/>
        </w:rPr>
        <w:t xml:space="preserve">APPEARANCES:</w:t>
      </w:r>
    </w:p>
    <w:p>
      <w:pPr/>
      <w:r>
        <w:rPr>
          <w:rFonts w:ascii="Times New Roman" w:hAnsi="Times New Roman" w:cs="Times New Roman"/>
          <w:sz w:val="24"/>
          <w:sz-cs w:val="24"/>
        </w:rPr>
        <w:t xml:space="preserve"/>
      </w:r>
    </w:p>
    <w:p>
      <w:pPr>
        <w:jc w:val="both"/>
        <w:spacing w:after="160"/>
      </w:pPr>
      <w:r>
        <w:rPr>
          <w:rFonts w:ascii="Times New Roman" w:hAnsi="Times New Roman" w:cs="Times New Roman"/>
          <w:sz w:val="24"/>
          <w:sz-cs w:val="24"/>
        </w:rPr>
        <w:t xml:space="preserve">This matter was heard and determined on the papers pursuant to s 32 of the </w:t>
      </w:r>
      <w:r>
        <w:rPr>
          <w:rFonts w:ascii="Times New Roman" w:hAnsi="Times New Roman" w:cs="Times New Roman"/>
          <w:sz w:val="24"/>
          <w:sz-cs w:val="24"/>
          <w:i/>
        </w:rPr>
        <w:t xml:space="preserve">Queensland Civil and Administrative Tribunal Act</w:t>
      </w:r>
      <w:r>
        <w:rPr>
          <w:rFonts w:ascii="Times New Roman" w:hAnsi="Times New Roman" w:cs="Times New Roman"/>
          <w:sz w:val="24"/>
          <w:sz-cs w:val="24"/>
        </w:rPr>
        <w:t xml:space="preserve"> 2009 (Qld)</w:t>
      </w:r>
    </w:p>
    <w:p>
      <w:pPr>
        <w:jc w:val="both"/>
        <w:spacing w:after="160"/>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spacing w:after="160"/>
      </w:pPr>
      <w:r>
        <w:rPr>
          <w:rFonts w:ascii="Times New Roman" w:hAnsi="Times New Roman" w:cs="Times New Roman"/>
          <w:sz w:val="24"/>
          <w:sz-cs w:val="24"/>
        </w:rPr>
        <w:t xml:space="preserve"/>
      </w:r>
    </w:p>
    <w:p>
      <w:pPr>
        <w:jc w:val="both"/>
        <w:ind w:left="567"/>
        <w:spacing w:after="160"/>
      </w:pPr>
      <w:r>
        <w:rPr>
          <w:rFonts w:ascii="Times New Roman" w:hAnsi="Times New Roman" w:cs="Times New Roman"/>
          <w:sz w:val="24"/>
          <w:sz-cs w:val="24"/>
          <w:b/>
        </w:rPr>
        <w:t xml:space="preserve"/>
      </w:r>
    </w:p>
    <w:p>
      <w:pPr>
        <w:jc w:val="both"/>
        <w:ind w:left="567"/>
        <w:spacing w:after="160"/>
      </w:pPr>
      <w:r>
        <w:rPr>
          <w:rFonts w:ascii="Times New Roman" w:hAnsi="Times New Roman" w:cs="Times New Roman"/>
          <w:sz w:val="24"/>
          <w:sz-cs w:val="24"/>
          <w:b/>
        </w:rPr>
        <w:t xml:space="preserve">REASONS FOR DECISION</w:t>
      </w:r>
    </w:p>
    <w:p>
      <w:pPr>
        <w:jc w:val="both"/>
        <w:ind w:left="567" w:first-line="-567"/>
        <w:spacing w:after="160"/>
      </w:pPr>
      <w:r>
        <w:rPr>
          <w:rFonts w:ascii="Times New Roman" w:hAnsi="Times New Roman" w:cs="Times New Roman"/>
          <w:sz w:val="20"/>
          <w:sz-cs w:val="20"/>
        </w:rPr>
        <w:t xml:space="preserve">[1]</w:t>
        <w:tab/>
        <w:t xml:space="preserve"/>
      </w:r>
      <w:r>
        <w:rPr>
          <w:rFonts w:ascii="Times New Roman" w:hAnsi="Times New Roman" w:cs="Times New Roman"/>
          <w:sz w:val="24"/>
          <w:sz-cs w:val="24"/>
        </w:rPr>
        <w:t xml:space="preserve">On 14 July 2020 I declined to determine a preliminary issue as framed by the Murphys, Mr and Mrs Murphy. These are the reasons for my decision. </w:t>
      </w:r>
      <w:r>
        <w:rPr>
          <w:rFonts w:ascii="Times New Roman" w:hAnsi="Times New Roman" w:cs="Times New Roman"/>
          <w:sz w:val="24"/>
          <w:sz-cs w:val="24"/>
          <w:b/>
        </w:rPr>
        <w:t xml:space="preserve"/>
      </w:r>
    </w:p>
    <w:p>
      <w:pPr>
        <w:jc w:val="both"/>
        <w:ind w:left="567"/>
        <w:spacing w:after="160"/>
      </w:pPr>
      <w:r>
        <w:rPr>
          <w:rFonts w:ascii="Times New Roman" w:hAnsi="Times New Roman" w:cs="Times New Roman"/>
          <w:sz w:val="24"/>
          <w:sz-cs w:val="24"/>
          <w:b/>
        </w:rPr>
        <w:t xml:space="preserve">The determination of preliminary issues in proceedings</w:t>
      </w:r>
    </w:p>
    <w:p>
      <w:pPr>
        <w:jc w:val="both"/>
        <w:ind w:left="567" w:first-line="-567"/>
        <w:spacing w:after="160"/>
      </w:pPr>
      <w:r>
        <w:rPr>
          <w:rFonts w:ascii="Times New Roman" w:hAnsi="Times New Roman" w:cs="Times New Roman"/>
          <w:sz w:val="20"/>
          <w:sz-cs w:val="20"/>
        </w:rPr>
        <w:t xml:space="preserve">[2]</w:t>
        <w:tab/>
        <w:t xml:space="preserve"/>
      </w:r>
      <w:r>
        <w:rPr>
          <w:rFonts w:ascii="Times New Roman" w:hAnsi="Times New Roman" w:cs="Times New Roman"/>
          <w:sz w:val="24"/>
          <w:sz-cs w:val="24"/>
        </w:rPr>
        <w:t xml:space="preserve">Preliminary issues may involve questions of law, questions of fact or questions of mixed law and fact. While the determination of a preliminary issue may result in savings in costs and delay, a separate determination should only be ordered if the utility, economy and fairness to the parties of a separate question is beyond issue.</w:t>
      </w:r>
    </w:p>
    <w:p>
      <w:pPr>
        <w:jc w:val="both"/>
        <w:ind w:left="567" w:first-line="-567"/>
        <w:spacing w:after="160"/>
      </w:pPr>
      <w:r>
        <w:rPr>
          <w:rFonts w:ascii="Times New Roman" w:hAnsi="Times New Roman" w:cs="Times New Roman"/>
          <w:sz w:val="20"/>
          <w:sz-cs w:val="20"/>
        </w:rPr>
        <w:t xml:space="preserve">[3]</w:t>
        <w:tab/>
        <w:t xml:space="preserve"/>
      </w:r>
      <w:r>
        <w:rPr>
          <w:rFonts w:ascii="Times New Roman" w:hAnsi="Times New Roman" w:cs="Times New Roman"/>
          <w:sz w:val="24"/>
          <w:sz-cs w:val="24"/>
        </w:rPr>
        <w:t xml:space="preserve">The </w:t>
      </w:r>
      <w:r>
        <w:rPr>
          <w:rFonts w:ascii="Times New Roman" w:hAnsi="Times New Roman" w:cs="Times New Roman"/>
          <w:sz w:val="24"/>
          <w:sz-cs w:val="24"/>
          <w:i/>
        </w:rPr>
        <w:t xml:space="preserve">Uniform Civil Procedure Rules</w:t>
      </w:r>
      <w:r>
        <w:rPr>
          <w:rFonts w:ascii="Times New Roman" w:hAnsi="Times New Roman" w:cs="Times New Roman"/>
          <w:sz w:val="24"/>
          <w:sz-cs w:val="24"/>
        </w:rPr>
        <w:t xml:space="preserve"> 1999 (Qld) (‘UCPR’) do not apply in the tribunal however the various cases dealing with the application of r 483 of the UCPR are of assistance in considering the present matter. </w:t>
      </w:r>
    </w:p>
    <w:p>
      <w:pPr>
        <w:jc w:val="both"/>
        <w:ind w:left="567"/>
        <w:spacing w:after="160"/>
      </w:pPr>
      <w:r>
        <w:rPr>
          <w:rFonts w:ascii="Times New Roman" w:hAnsi="Times New Roman" w:cs="Times New Roman"/>
          <w:sz w:val="24"/>
          <w:sz-cs w:val="24"/>
        </w:rPr>
        <w:t xml:space="preserve"/>
      </w:r>
    </w:p>
    <w:p>
      <w:pPr>
        <w:jc w:val="both"/>
        <w:ind w:left="567" w:first-line="-567"/>
        <w:spacing w:after="160"/>
      </w:pPr>
      <w:r>
        <w:rPr>
          <w:rFonts w:ascii="Times New Roman" w:hAnsi="Times New Roman" w:cs="Times New Roman"/>
          <w:sz w:val="20"/>
          <w:sz-cs w:val="20"/>
        </w:rPr>
        <w:t xml:space="preserve">[4]</w:t>
        <w:tab/>
        <w:t xml:space="preserve"/>
      </w:r>
      <w:r>
        <w:rPr>
          <w:rFonts w:ascii="Times New Roman" w:hAnsi="Times New Roman" w:cs="Times New Roman"/>
          <w:sz w:val="24"/>
          <w:sz-cs w:val="24"/>
        </w:rPr>
        <w:t xml:space="preserve">Rule 483 provides:</w:t>
      </w:r>
    </w:p>
    <w:p>
      <w:pPr>
        <w:jc w:val="both"/>
        <w:ind w:left="1134"/>
        <w:spacing w:after="160"/>
      </w:pPr>
      <w:r>
        <w:rPr>
          <w:rFonts w:ascii="Times New Roman" w:hAnsi="Times New Roman" w:cs="Times New Roman"/>
          <w:sz w:val="22"/>
          <w:sz-cs w:val="22"/>
        </w:rPr>
        <w:t xml:space="preserve">The Court may make an order for the decision by the court of a question separately from another question, whether before, at, or after the trial or continuation of the trial of the proceeding.</w:t>
      </w:r>
    </w:p>
    <w:p>
      <w:pPr>
        <w:jc w:val="both"/>
        <w:ind w:left="567" w:first-line="-567"/>
        <w:spacing w:after="160"/>
      </w:pPr>
      <w:r>
        <w:rPr>
          <w:rFonts w:ascii="Times New Roman" w:hAnsi="Times New Roman" w:cs="Times New Roman"/>
          <w:sz w:val="20"/>
          <w:sz-cs w:val="20"/>
        </w:rPr>
        <w:t xml:space="preserve">[5]</w:t>
        <w:tab/>
        <w:t xml:space="preserve"/>
      </w:r>
      <w:r>
        <w:rPr>
          <w:rFonts w:ascii="Times New Roman" w:hAnsi="Times New Roman" w:cs="Times New Roman"/>
          <w:sz w:val="24"/>
          <w:sz-cs w:val="24"/>
        </w:rPr>
        <w:t xml:space="preserve">The discretion conferred by r 483 has been held to be a wide one, to be exercised having regard to what is just and convenient. </w:t>
      </w:r>
    </w:p>
    <w:p>
      <w:pPr>
        <w:jc w:val="both"/>
        <w:ind w:left="567" w:first-line="-567"/>
        <w:spacing w:after="160"/>
      </w:pPr>
      <w:r>
        <w:rPr>
          <w:rFonts w:ascii="Times New Roman" w:hAnsi="Times New Roman" w:cs="Times New Roman"/>
          <w:sz w:val="20"/>
          <w:sz-cs w:val="20"/>
        </w:rPr>
        <w:t xml:space="preserve">[6]</w:t>
        <w:tab/>
        <w:t xml:space="preserve"/>
      </w:r>
      <w:r>
        <w:rPr>
          <w:rFonts w:ascii="Times New Roman" w:hAnsi="Times New Roman" w:cs="Times New Roman"/>
          <w:sz w:val="24"/>
          <w:sz-cs w:val="24"/>
        </w:rPr>
        <w:t xml:space="preserve">In </w:t>
      </w:r>
      <w:r>
        <w:rPr>
          <w:rFonts w:ascii="Times New Roman" w:hAnsi="Times New Roman" w:cs="Times New Roman"/>
          <w:sz w:val="24"/>
          <w:sz-cs w:val="24"/>
          <w:i/>
        </w:rPr>
        <w:t xml:space="preserve">Reading Australia Pty Ltd v Australian Mutual Provident Society</w:t>
      </w:r>
      <w:r>
        <w:rPr>
          <w:rFonts w:ascii="Times New Roman" w:hAnsi="Times New Roman" w:cs="Times New Roman"/>
          <w:sz w:val="24"/>
          <w:sz-cs w:val="24"/>
        </w:rPr>
        <w:t xml:space="preserve"> it was held that a number of factors tell against the making of an order for the determination of a preliminary issue and specifically where the separate determination may:</w:t>
      </w:r>
    </w:p>
    <w:p>
      <w:pPr>
        <w:jc w:val="both"/>
        <w:ind w:left="1134" w:first-line="-567"/>
        <w:spacing w:after="16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give rise to significant contested factual issues both at the time of the hearing of the preliminary question and at the time of trial;  </w:t>
      </w:r>
    </w:p>
    <w:p>
      <w:pPr>
        <w:jc w:val="both"/>
        <w:ind w:left="1134" w:first-line="-567"/>
        <w:spacing w:after="16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result in significant overlap between the evidence adduced on the hearing of the separate question and at trial – possibly involving the calling of the same witnesses at both stages of the hearing of the proceeding. This factor will be of particular significance if the court may be required to form a view as to the credibility of witnesses who may give evidence at both stages of the hearing of the proceeding; or </w:t>
      </w:r>
    </w:p>
    <w:p>
      <w:pPr>
        <w:jc w:val="both"/>
        <w:ind w:left="1134" w:first-line="-567"/>
        <w:spacing w:after="160"/>
      </w:pPr>
      <w:r>
        <w:rPr>
          <w:rFonts w:ascii="Times New Roman" w:hAnsi="Times New Roman" w:cs="Times New Roman"/>
          <w:sz w:val="20"/>
          <w:sz-cs w:val="20"/>
        </w:rPr>
        <w:t xml:space="preserve">(c)</w:t>
        <w:tab/>
        <w:t xml:space="preserve"/>
      </w:r>
      <w:r>
        <w:rPr>
          <w:rFonts w:ascii="Times New Roman" w:hAnsi="Times New Roman" w:cs="Times New Roman"/>
          <w:sz w:val="24"/>
          <w:sz-cs w:val="24"/>
        </w:rPr>
        <w:t xml:space="preserve">prolong rather than shorten the litigation.</w:t>
      </w:r>
    </w:p>
    <w:p>
      <w:pPr>
        <w:jc w:val="both"/>
        <w:ind w:left="567" w:first-line="-567"/>
        <w:spacing w:after="160"/>
      </w:pPr>
      <w:r>
        <w:rPr>
          <w:rFonts w:ascii="Times New Roman" w:hAnsi="Times New Roman" w:cs="Times New Roman"/>
          <w:sz w:val="20"/>
          <w:sz-cs w:val="20"/>
        </w:rPr>
        <w:t xml:space="preserve">[7]</w:t>
        <w:tab/>
        <w:t xml:space="preserve"/>
      </w:r>
      <w:r>
        <w:rPr>
          <w:rFonts w:ascii="Times New Roman" w:hAnsi="Times New Roman" w:cs="Times New Roman"/>
          <w:sz w:val="24"/>
          <w:sz-cs w:val="24"/>
        </w:rPr>
        <w:t xml:space="preserve">These are useful guiding principles in approaching whether in tribunal proceedings it is appropriate to determine a preliminary issue. </w:t>
      </w:r>
    </w:p>
    <w:p>
      <w:pPr>
        <w:jc w:val="both"/>
        <w:ind w:left="567"/>
        <w:spacing w:after="160"/>
      </w:pPr>
      <w:r>
        <w:rPr>
          <w:rFonts w:ascii="Times New Roman" w:hAnsi="Times New Roman" w:cs="Times New Roman"/>
          <w:sz w:val="24"/>
          <w:sz-cs w:val="24"/>
          <w:b/>
        </w:rPr>
        <w:t xml:space="preserve">The proceedings</w:t>
      </w:r>
    </w:p>
    <w:p>
      <w:pPr>
        <w:jc w:val="both"/>
        <w:ind w:left="567" w:first-line="-567"/>
        <w:spacing w:after="160"/>
      </w:pPr>
      <w:r>
        <w:rPr>
          <w:rFonts w:ascii="Times New Roman" w:hAnsi="Times New Roman" w:cs="Times New Roman"/>
          <w:sz w:val="20"/>
          <w:sz-cs w:val="20"/>
        </w:rPr>
        <w:t xml:space="preserve">[8]</w:t>
        <w:tab/>
        <w:t xml:space="preserve"/>
      </w:r>
      <w:r>
        <w:rPr>
          <w:rFonts w:ascii="Times New Roman" w:hAnsi="Times New Roman" w:cs="Times New Roman"/>
          <w:sz w:val="24"/>
          <w:sz-cs w:val="24"/>
        </w:rPr>
        <w:t xml:space="preserve">While noting that the tribunal is not a pleadings jurisdiction, the parties have approached the preparation of the application, response and counter application and reply generally in the form of pleadings. </w:t>
      </w:r>
    </w:p>
    <w:p>
      <w:pPr>
        <w:jc w:val="both"/>
        <w:ind w:left="567" w:first-line="-567"/>
        <w:spacing w:after="160"/>
      </w:pPr>
      <w:r>
        <w:rPr>
          <w:rFonts w:ascii="Times New Roman" w:hAnsi="Times New Roman" w:cs="Times New Roman"/>
          <w:sz w:val="20"/>
          <w:sz-cs w:val="20"/>
        </w:rPr>
        <w:t xml:space="preserve">[9]</w:t>
        <w:tab/>
        <w:t xml:space="preserve"/>
      </w:r>
      <w:r>
        <w:rPr>
          <w:rFonts w:ascii="Times New Roman" w:hAnsi="Times New Roman" w:cs="Times New Roman"/>
          <w:sz w:val="24"/>
          <w:sz-cs w:val="24"/>
        </w:rPr>
        <w:t xml:space="preserve">Number One has filed an application for domestic building disputes and an amended application. The Murphys have filed a response, an amended response and a further amended response. Number One has filed a reply and answer to the amended response and a reply and answer to the further amended response and counter application.</w:t>
      </w:r>
    </w:p>
    <w:p>
      <w:pPr>
        <w:jc w:val="both"/>
        <w:ind w:left="567" w:first-line="-567"/>
        <w:spacing w:after="160"/>
      </w:pPr>
      <w:r>
        <w:rPr>
          <w:rFonts w:ascii="Times New Roman" w:hAnsi="Times New Roman" w:cs="Times New Roman"/>
          <w:sz w:val="20"/>
          <w:sz-cs w:val="20"/>
        </w:rPr>
        <w:t xml:space="preserve">[10]</w:t>
        <w:tab/>
        <w:t xml:space="preserve"/>
      </w:r>
      <w:r>
        <w:rPr>
          <w:rFonts w:ascii="Times New Roman" w:hAnsi="Times New Roman" w:cs="Times New Roman"/>
          <w:sz w:val="24"/>
          <w:sz-cs w:val="24"/>
        </w:rPr>
        <w:t xml:space="preserve">The following issues do not appear to be contentious:</w:t>
      </w:r>
    </w:p>
    <w:p>
      <w:pPr>
        <w:jc w:val="both"/>
        <w:ind w:left="1134" w:first-line="-567"/>
        <w:spacing w:after="16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A cost plus contract was entered into between the parties pursuant to which Number One undertook building work for the Murphys;</w:t>
      </w:r>
    </w:p>
    <w:p>
      <w:pPr>
        <w:jc w:val="both"/>
        <w:ind w:left="1134" w:first-line="-567"/>
        <w:spacing w:after="16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The building works commenced on 31 July 2017 and were substantially complete by 16 May 2018;</w:t>
      </w:r>
    </w:p>
    <w:p>
      <w:pPr>
        <w:jc w:val="both"/>
        <w:ind w:left="1134" w:first-line="-567"/>
        <w:spacing w:after="160"/>
      </w:pPr>
      <w:r>
        <w:rPr>
          <w:rFonts w:ascii="Times New Roman" w:hAnsi="Times New Roman" w:cs="Times New Roman"/>
          <w:sz w:val="20"/>
          <w:sz-cs w:val="20"/>
        </w:rPr>
        <w:t xml:space="preserve">(c)</w:t>
        <w:tab/>
        <w:t xml:space="preserve"/>
      </w:r>
      <w:r>
        <w:rPr>
          <w:rFonts w:ascii="Times New Roman" w:hAnsi="Times New Roman" w:cs="Times New Roman"/>
          <w:sz w:val="24"/>
          <w:sz-cs w:val="24"/>
        </w:rPr>
        <w:t xml:space="preserve">The Murphys took possession of the dwelling on or around 10 June 2018;</w:t>
      </w:r>
    </w:p>
    <w:p>
      <w:pPr>
        <w:jc w:val="both"/>
        <w:ind w:left="1134" w:first-line="-567"/>
        <w:spacing w:after="160"/>
      </w:pPr>
      <w:r>
        <w:rPr>
          <w:rFonts w:ascii="Times New Roman" w:hAnsi="Times New Roman" w:cs="Times New Roman"/>
          <w:sz w:val="20"/>
          <w:sz-cs w:val="20"/>
        </w:rPr>
        <w:t xml:space="preserve">(d)</w:t>
        <w:tab/>
        <w:t xml:space="preserve"/>
      </w:r>
      <w:r>
        <w:rPr>
          <w:rFonts w:ascii="Times New Roman" w:hAnsi="Times New Roman" w:cs="Times New Roman"/>
          <w:sz w:val="24"/>
          <w:sz-cs w:val="24"/>
        </w:rPr>
        <w:t xml:space="preserve">The Murphys paid to Number One a total of $651,440.32 under the contract.</w:t>
      </w:r>
    </w:p>
    <w:p>
      <w:pPr>
        <w:jc w:val="both"/>
        <w:ind w:left="567" w:first-line="-567"/>
        <w:spacing w:after="160"/>
      </w:pPr>
      <w:r>
        <w:rPr>
          <w:rFonts w:ascii="Times New Roman" w:hAnsi="Times New Roman" w:cs="Times New Roman"/>
          <w:sz w:val="20"/>
          <w:sz-cs w:val="20"/>
        </w:rPr>
        <w:t xml:space="preserve">[11]</w:t>
        <w:tab/>
        <w:t xml:space="preserve"/>
      </w:r>
      <w:r>
        <w:rPr>
          <w:rFonts w:ascii="Times New Roman" w:hAnsi="Times New Roman" w:cs="Times New Roman"/>
          <w:sz w:val="24"/>
          <w:sz-cs w:val="24"/>
        </w:rPr>
        <w:t xml:space="preserve">The following issues are in dispute:</w:t>
      </w:r>
    </w:p>
    <w:p>
      <w:pPr>
        <w:jc w:val="both"/>
        <w:ind w:left="1134" w:first-line="-567"/>
        <w:spacing w:after="16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On 3 October 2018 the Murphys withdrew from the contract on the basis that Number One had failed to provide the Murphys with:</w:t>
      </w:r>
    </w:p>
    <w:p>
      <w:pPr>
        <w:jc w:val="both"/>
        <w:ind w:left="1701" w:first-line="-567"/>
        <w:spacing w:after="160"/>
      </w:pPr>
      <w:r>
        <w:rPr>
          <w:rFonts w:ascii="Times New Roman" w:hAnsi="Times New Roman" w:cs="Times New Roman"/>
          <w:sz w:val="20"/>
          <w:sz-cs w:val="20"/>
        </w:rPr>
        <w:t xml:space="preserve">(i)</w:t>
        <w:tab/>
        <w:t xml:space="preserve"/>
      </w:r>
      <w:r>
        <w:rPr>
          <w:rFonts w:ascii="Times New Roman" w:hAnsi="Times New Roman" w:cs="Times New Roman"/>
          <w:sz w:val="24"/>
          <w:sz-cs w:val="24"/>
        </w:rPr>
        <w:t xml:space="preserve">A copy of the signed building contract; and</w:t>
      </w:r>
    </w:p>
    <w:p>
      <w:pPr>
        <w:jc w:val="both"/>
        <w:ind w:left="1701" w:first-line="-567"/>
        <w:spacing w:after="160"/>
      </w:pPr>
      <w:r>
        <w:rPr>
          <w:rFonts w:ascii="Times New Roman" w:hAnsi="Times New Roman" w:cs="Times New Roman"/>
          <w:sz w:val="20"/>
          <w:sz-cs w:val="20"/>
        </w:rPr>
        <w:t xml:space="preserve">(ii)</w:t>
        <w:tab/>
        <w:t xml:space="preserve"/>
      </w:r>
      <w:r>
        <w:rPr>
          <w:rFonts w:ascii="Times New Roman" w:hAnsi="Times New Roman" w:cs="Times New Roman"/>
          <w:sz w:val="24"/>
          <w:sz-cs w:val="24"/>
        </w:rPr>
        <w:t xml:space="preserve">A copy of the consumer building guide;</w:t>
      </w:r>
    </w:p>
    <w:p>
      <w:pPr>
        <w:jc w:val="both"/>
        <w:ind w:left="1134" w:first-line="-567"/>
        <w:spacing w:after="16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Number One engaged in misleading and deceptive conduct in representing to the Murphys that the sum of $462,000.00 would ‘more than cover the cost’ of constructing the dwelling;</w:t>
      </w:r>
    </w:p>
    <w:p>
      <w:pPr>
        <w:jc w:val="both"/>
        <w:ind w:left="1134" w:first-line="-567"/>
        <w:spacing w:after="160"/>
      </w:pPr>
      <w:r>
        <w:rPr>
          <w:rFonts w:ascii="Times New Roman" w:hAnsi="Times New Roman" w:cs="Times New Roman"/>
          <w:sz w:val="20"/>
          <w:sz-cs w:val="20"/>
        </w:rPr>
        <w:t xml:space="preserve">(c)</w:t>
        <w:tab/>
        <w:t xml:space="preserve"/>
      </w:r>
      <w:r>
        <w:rPr>
          <w:rFonts w:ascii="Times New Roman" w:hAnsi="Times New Roman" w:cs="Times New Roman"/>
          <w:sz w:val="24"/>
          <w:sz-cs w:val="24"/>
        </w:rPr>
        <w:t xml:space="preserve">Number One undertook unapproved variation works;</w:t>
      </w:r>
    </w:p>
    <w:p>
      <w:pPr>
        <w:jc w:val="both"/>
        <w:ind w:left="1134" w:first-line="-567"/>
        <w:spacing w:after="160"/>
      </w:pPr>
      <w:r>
        <w:rPr>
          <w:rFonts w:ascii="Times New Roman" w:hAnsi="Times New Roman" w:cs="Times New Roman"/>
          <w:sz w:val="20"/>
          <w:sz-cs w:val="20"/>
        </w:rPr>
        <w:t xml:space="preserve">(d)</w:t>
        <w:tab/>
        <w:t xml:space="preserve"/>
      </w:r>
      <w:r>
        <w:rPr>
          <w:rFonts w:ascii="Times New Roman" w:hAnsi="Times New Roman" w:cs="Times New Roman"/>
          <w:sz w:val="24"/>
          <w:sz-cs w:val="24"/>
        </w:rPr>
        <w:t xml:space="preserve">The building work undertaken by Number One was defective.</w:t>
      </w:r>
    </w:p>
    <w:p>
      <w:pPr>
        <w:jc w:val="both"/>
        <w:ind w:left="567" w:first-line="-567"/>
        <w:spacing w:after="160"/>
      </w:pPr>
      <w:r>
        <w:rPr>
          <w:rFonts w:ascii="Times New Roman" w:hAnsi="Times New Roman" w:cs="Times New Roman"/>
          <w:sz w:val="20"/>
          <w:sz-cs w:val="20"/>
        </w:rPr>
        <w:t xml:space="preserve">[12]</w:t>
        <w:tab/>
        <w:t xml:space="preserve"/>
      </w:r>
      <w:r>
        <w:rPr>
          <w:rFonts w:ascii="Times New Roman" w:hAnsi="Times New Roman" w:cs="Times New Roman"/>
          <w:sz w:val="24"/>
          <w:sz-cs w:val="24"/>
        </w:rPr>
        <w:t xml:space="preserve">A compulsory conference was conducted in May 2019. The tribunal subsequently made directions for the parties to file their statements of evidence including expert evidence. There have been significant ongoing delays in the progress of the litigation. </w:t>
      </w:r>
    </w:p>
    <w:p>
      <w:pPr>
        <w:jc w:val="both"/>
        <w:ind w:left="567" w:first-line="-567"/>
        <w:spacing w:after="160"/>
      </w:pPr>
      <w:r>
        <w:rPr>
          <w:rFonts w:ascii="Times New Roman" w:hAnsi="Times New Roman" w:cs="Times New Roman"/>
          <w:sz w:val="20"/>
          <w:sz-cs w:val="20"/>
        </w:rPr>
        <w:t xml:space="preserve">[13]</w:t>
        <w:tab/>
        <w:t xml:space="preserve"/>
      </w:r>
      <w:r>
        <w:rPr>
          <w:rFonts w:ascii="Times New Roman" w:hAnsi="Times New Roman" w:cs="Times New Roman"/>
          <w:sz w:val="24"/>
          <w:sz-cs w:val="24"/>
        </w:rPr>
        <w:t xml:space="preserve">At a directions hearing on 30 April 2020 the Murphys submitted that the question of whether they had validly withdrawn from the contract be determined as a preliminary issue. The Murphys were directed to file submissions including framing the preliminary issue for determination. </w:t>
      </w:r>
      <w:r>
        <w:rPr>
          <w:rFonts w:ascii="Times New Roman" w:hAnsi="Times New Roman" w:cs="Times New Roman"/>
          <w:sz w:val="24"/>
          <w:sz-cs w:val="24"/>
          <w:b/>
        </w:rPr>
        <w:t xml:space="preserve"/>
      </w:r>
    </w:p>
    <w:p>
      <w:pPr>
        <w:jc w:val="both"/>
        <w:ind w:left="567"/>
        <w:spacing w:after="160"/>
      </w:pPr>
      <w:r>
        <w:rPr>
          <w:rFonts w:ascii="Times New Roman" w:hAnsi="Times New Roman" w:cs="Times New Roman"/>
          <w:sz w:val="24"/>
          <w:sz-cs w:val="24"/>
          <w:b/>
        </w:rPr>
        <w:t xml:space="preserve">The preliminary issue</w:t>
      </w:r>
    </w:p>
    <w:p>
      <w:pPr>
        <w:jc w:val="both"/>
        <w:ind w:left="567" w:first-line="-567"/>
        <w:spacing w:after="160"/>
      </w:pPr>
      <w:r>
        <w:rPr>
          <w:rFonts w:ascii="Times New Roman" w:hAnsi="Times New Roman" w:cs="Times New Roman"/>
          <w:sz w:val="20"/>
          <w:sz-cs w:val="20"/>
        </w:rPr>
        <w:t xml:space="preserve">[14]</w:t>
        <w:tab/>
        <w:t xml:space="preserve"/>
      </w:r>
      <w:r>
        <w:rPr>
          <w:rFonts w:ascii="Times New Roman" w:hAnsi="Times New Roman" w:cs="Times New Roman"/>
          <w:sz w:val="24"/>
          <w:sz-cs w:val="24"/>
        </w:rPr>
        <w:t xml:space="preserve">The preliminary issue has been drawn by the Murphys thus:</w:t>
      </w:r>
    </w:p>
    <w:p>
      <w:pPr>
        <w:jc w:val="both"/>
        <w:ind w:left="1134"/>
        <w:spacing w:after="160"/>
      </w:pPr>
      <w:r>
        <w:rPr>
          <w:rFonts w:ascii="Times New Roman" w:hAnsi="Times New Roman" w:cs="Times New Roman"/>
          <w:sz w:val="22"/>
          <w:sz-cs w:val="22"/>
        </w:rPr>
        <w:t xml:space="preserve">Did the Murphys withdraw from the building contract that they entered into with Number One dated 26 September 2017, pursuant to schedule 1B, section 35(3) of the Queensland Building and Construction Commission Act 1991 (Qld), on 3 October 2018? If so, are the Murphys entitled to a refund from Number One of $28,373.92?</w:t>
      </w:r>
    </w:p>
    <w:p>
      <w:pPr>
        <w:jc w:val="both"/>
        <w:ind w:left="567"/>
        <w:spacing w:after="160"/>
      </w:pPr>
      <w:r>
        <w:rPr>
          <w:rFonts w:ascii="Times New Roman" w:hAnsi="Times New Roman" w:cs="Times New Roman"/>
          <w:sz w:val="24"/>
          <w:sz-cs w:val="24"/>
          <w:b/>
        </w:rPr>
        <w:t xml:space="preserve">The statutory framework – withdrawing from a building contract</w:t>
      </w:r>
    </w:p>
    <w:p>
      <w:pPr>
        <w:jc w:val="both"/>
        <w:ind w:left="567" w:first-line="-567"/>
        <w:spacing w:after="160"/>
      </w:pPr>
      <w:r>
        <w:rPr>
          <w:rFonts w:ascii="Times New Roman" w:hAnsi="Times New Roman" w:cs="Times New Roman"/>
          <w:sz w:val="20"/>
          <w:sz-cs w:val="20"/>
        </w:rPr>
        <w:t xml:space="preserve">[15]</w:t>
        <w:tab/>
        <w:t xml:space="preserve"/>
      </w:r>
      <w:r>
        <w:rPr>
          <w:rFonts w:ascii="Times New Roman" w:hAnsi="Times New Roman" w:cs="Times New Roman"/>
          <w:sz w:val="24"/>
          <w:sz-cs w:val="24"/>
        </w:rPr>
        <w:t xml:space="preserve">Before turning to the submissions by the parties it is necessary to examine the relevant statutory framework. </w:t>
      </w:r>
    </w:p>
    <w:p>
      <w:pPr>
        <w:jc w:val="both"/>
        <w:ind w:left="567" w:first-line="-567"/>
        <w:spacing w:after="160"/>
      </w:pPr>
      <w:r>
        <w:rPr>
          <w:rFonts w:ascii="Times New Roman" w:hAnsi="Times New Roman" w:cs="Times New Roman"/>
          <w:sz w:val="20"/>
          <w:sz-cs w:val="20"/>
        </w:rPr>
        <w:t xml:space="preserve">[16]</w:t>
        <w:tab/>
        <w:t xml:space="preserve"/>
      </w:r>
      <w:r>
        <w:rPr>
          <w:rFonts w:ascii="Times New Roman" w:hAnsi="Times New Roman" w:cs="Times New Roman"/>
          <w:sz w:val="24"/>
          <w:sz-cs w:val="24"/>
        </w:rPr>
        <w:t xml:space="preserve">The contract between the parties is governed by the </w:t>
      </w:r>
      <w:r>
        <w:rPr>
          <w:rFonts w:ascii="Times New Roman" w:hAnsi="Times New Roman" w:cs="Times New Roman"/>
          <w:sz w:val="24"/>
          <w:sz-cs w:val="24"/>
          <w:i/>
        </w:rPr>
        <w:t xml:space="preserve">Queensland Building and Construction Commission Act</w:t>
      </w:r>
      <w:r>
        <w:rPr>
          <w:rFonts w:ascii="Times New Roman" w:hAnsi="Times New Roman" w:cs="Times New Roman"/>
          <w:sz w:val="24"/>
          <w:sz-cs w:val="24"/>
        </w:rPr>
        <w:t xml:space="preserve"> 1991 (Qld) (‘QBCC Act’). Domestic building contracts are regulated under schedule 1B of the QBCC Act. The provisions of schedule 1B apply to domestic building contracts and the parties to those contracts. It is uncontentious that the dispute between the parties is a domestic building dispute. </w:t>
      </w:r>
    </w:p>
    <w:p>
      <w:pPr>
        <w:jc w:val="both"/>
        <w:ind w:left="567" w:first-line="-567"/>
        <w:spacing w:after="160"/>
      </w:pPr>
      <w:r>
        <w:rPr>
          <w:rFonts w:ascii="Times New Roman" w:hAnsi="Times New Roman" w:cs="Times New Roman"/>
          <w:sz w:val="20"/>
          <w:sz-cs w:val="20"/>
        </w:rPr>
        <w:t xml:space="preserve">[17]</w:t>
        <w:tab/>
        <w:t xml:space="preserve"/>
      </w:r>
      <w:r>
        <w:rPr>
          <w:rFonts w:ascii="Times New Roman" w:hAnsi="Times New Roman" w:cs="Times New Roman"/>
          <w:sz w:val="24"/>
          <w:sz-cs w:val="24"/>
        </w:rPr>
        <w:t xml:space="preserve">Section 15 of schedule 1B requires a building contractor to provide to a building owner a signed copy of the building contract within 5 business days after the contract is entered into, including any plans and specifications. If the building contract is a level 2 regulated contract, the building contractor must give to the building owner a copy of the consumer building guide before the owner signs the contract. A level 2 regulated contract includes a cost plus contract for which the total amount payable for the contracted services is reasonably estimated to be equal to or more than $20,000. </w:t>
      </w:r>
    </w:p>
    <w:p>
      <w:pPr>
        <w:jc w:val="both"/>
        <w:ind w:left="567" w:first-line="-567"/>
        <w:spacing w:after="160"/>
      </w:pPr>
      <w:r>
        <w:rPr>
          <w:rFonts w:ascii="Times New Roman" w:hAnsi="Times New Roman" w:cs="Times New Roman"/>
          <w:sz w:val="20"/>
          <w:sz-cs w:val="20"/>
        </w:rPr>
        <w:t xml:space="preserve">[18]</w:t>
        <w:tab/>
        <w:t xml:space="preserve"/>
      </w:r>
      <w:r>
        <w:rPr>
          <w:rFonts w:ascii="Times New Roman" w:hAnsi="Times New Roman" w:cs="Times New Roman"/>
          <w:sz w:val="24"/>
          <w:sz-cs w:val="24"/>
        </w:rPr>
        <w:t xml:space="preserve">The consumer building guide is a statement prepared and published by the QBCC under s 46(1) of schedule 1B. </w:t>
      </w:r>
    </w:p>
    <w:p>
      <w:pPr>
        <w:jc w:val="both"/>
        <w:ind w:left="567" w:first-line="-567"/>
        <w:spacing w:after="160"/>
      </w:pPr>
      <w:r>
        <w:rPr>
          <w:rFonts w:ascii="Times New Roman" w:hAnsi="Times New Roman" w:cs="Times New Roman"/>
          <w:sz w:val="20"/>
          <w:sz-cs w:val="20"/>
        </w:rPr>
        <w:t xml:space="preserve">[19]</w:t>
        <w:tab/>
        <w:t xml:space="preserve"/>
      </w:r>
      <w:r>
        <w:rPr>
          <w:rFonts w:ascii="Times New Roman" w:hAnsi="Times New Roman" w:cs="Times New Roman"/>
          <w:sz w:val="24"/>
          <w:sz-cs w:val="24"/>
        </w:rPr>
        <w:t xml:space="preserve">Section 35 of schedule 1B provides:</w:t>
      </w:r>
    </w:p>
    <w:p>
      <w:pPr>
        <w:jc w:val="both"/>
        <w:ind w:left="1134"/>
        <w:spacing w:after="160"/>
      </w:pPr>
      <w:r>
        <w:rPr>
          <w:rFonts w:ascii="Times New Roman" w:hAnsi="Times New Roman" w:cs="Times New Roman"/>
          <w:sz w:val="22"/>
          <w:sz-cs w:val="22"/>
          <w:b/>
        </w:rPr>
        <w:t xml:space="preserve">35 Right of building owner to withdraw from contract in cooling-off period</w:t>
      </w:r>
    </w:p>
    <w:p>
      <w:pPr>
        <w:jc w:val="both"/>
        <w:ind w:left="1440" w:first-line="-306"/>
        <w:spacing w:after="160"/>
      </w:pPr>
      <w:r>
        <w:rPr>
          <w:rFonts w:ascii="Times New Roman" w:hAnsi="Times New Roman" w:cs="Times New Roman"/>
          <w:sz w:val="22"/>
          <w:sz-cs w:val="22"/>
        </w:rPr>
        <w:t xml:space="preserve">(1)</w:t>
        <w:tab/>
        <w:t xml:space="preserve">The building owner under a regulated contract may withdraw from the contract within 5 business days after the day on which the owner receives a copy of the signed contract from the building contractor.</w:t>
      </w:r>
    </w:p>
    <w:p>
      <w:pPr>
        <w:jc w:val="both"/>
        <w:ind w:left="1440" w:first-line="-306"/>
        <w:spacing w:after="160"/>
      </w:pPr>
      <w:r>
        <w:rPr>
          <w:rFonts w:ascii="Times New Roman" w:hAnsi="Times New Roman" w:cs="Times New Roman"/>
          <w:sz w:val="22"/>
          <w:sz-cs w:val="22"/>
        </w:rPr>
        <w:t xml:space="preserve">(2)</w:t>
        <w:tab/>
        <w:t xml:space="preserve">Also, if the building owner under a level 2 regulated contract does not receive the consumer building guide before receiving a copy of the signed contract, the owner may withdraw from the contract within 5 business days after the day on which the owner receives the consumer building guide.</w:t>
      </w:r>
    </w:p>
    <w:p>
      <w:pPr>
        <w:jc w:val="both"/>
        <w:ind w:left="1440" w:first-line="-306"/>
        <w:spacing w:after="160"/>
      </w:pPr>
      <w:r>
        <w:rPr>
          <w:rFonts w:ascii="Times New Roman" w:hAnsi="Times New Roman" w:cs="Times New Roman"/>
          <w:sz w:val="22"/>
          <w:sz-cs w:val="22"/>
        </w:rPr>
        <w:t xml:space="preserve">(3)</w:t>
        <w:tab/>
        <w:t xml:space="preserve">If 5 business days have elapsed from the day the contract was entered into and the owner has not received from the building contractor a copy of the signed contract and, for a level 2 regulated contract, the consumer building guide, the owner may withdraw from the contract.</w:t>
      </w:r>
    </w:p>
    <w:p>
      <w:pPr>
        <w:jc w:val="both"/>
        <w:ind w:left="1440" w:first-line="-306"/>
        <w:spacing w:after="160"/>
      </w:pPr>
      <w:r>
        <w:rPr>
          <w:rFonts w:ascii="Times New Roman" w:hAnsi="Times New Roman" w:cs="Times New Roman"/>
          <w:sz w:val="22"/>
          <w:sz-cs w:val="22"/>
        </w:rPr>
        <w:t xml:space="preserve">(4)</w:t>
        <w:tab/>
        <w:t xml:space="preserve">Nothing in subsection (3) affects the right of the building owner to withdraw from the contract under subsection (1) or (2) if the owner subsequently receives from the building contractor a copy of the signed contract and, for a level 2 regulated contract, the consumer building guide.</w:t>
      </w:r>
    </w:p>
    <w:p>
      <w:pPr>
        <w:jc w:val="both"/>
        <w:ind w:left="567" w:first-line="-567"/>
        <w:spacing w:after="160"/>
      </w:pPr>
      <w:r>
        <w:rPr>
          <w:rFonts w:ascii="Times New Roman" w:hAnsi="Times New Roman" w:cs="Times New Roman"/>
          <w:sz w:val="20"/>
          <w:sz-cs w:val="20"/>
        </w:rPr>
        <w:t xml:space="preserve">[20]</w:t>
        <w:tab/>
        <w:t xml:space="preserve"/>
      </w:r>
      <w:r>
        <w:rPr>
          <w:rFonts w:ascii="Times New Roman" w:hAnsi="Times New Roman" w:cs="Times New Roman"/>
          <w:sz w:val="24"/>
          <w:sz-cs w:val="24"/>
        </w:rPr>
        <w:t xml:space="preserve">The procedure for withdrawing from a contract is set out in s 37:</w:t>
      </w:r>
    </w:p>
    <w:p>
      <w:pPr>
        <w:jc w:val="both"/>
        <w:ind w:left="1134"/>
        <w:spacing w:after="160"/>
      </w:pPr>
      <w:r>
        <w:rPr>
          <w:rFonts w:ascii="Times New Roman" w:hAnsi="Times New Roman" w:cs="Times New Roman"/>
          <w:sz w:val="22"/>
          <w:sz-cs w:val="22"/>
          <w:b/>
        </w:rPr>
        <w:t xml:space="preserve">37 Withdrawal procedure</w:t>
      </w:r>
    </w:p>
    <w:p>
      <w:pPr>
        <w:jc w:val="both"/>
        <w:ind w:left="1440" w:first-line="-306"/>
        <w:spacing w:after="160"/>
      </w:pPr>
      <w:r>
        <w:rPr>
          <w:rFonts w:ascii="Times New Roman" w:hAnsi="Times New Roman" w:cs="Times New Roman"/>
          <w:sz w:val="22"/>
          <w:sz-cs w:val="22"/>
        </w:rPr>
        <w:t xml:space="preserve">(1)</w:t>
        <w:tab/>
        <w:t xml:space="preserve">To withdraw from a regulated contract under schedule section 35, the building owner must, within the time allowed under the section for the withdrawal—</w:t>
      </w:r>
    </w:p>
    <w:p>
      <w:pPr>
        <w:jc w:val="both"/>
        <w:ind w:left="1134" w:first-line="306"/>
        <w:spacing w:after="160"/>
      </w:pPr>
      <w:r>
        <w:rPr>
          <w:rFonts w:ascii="Times New Roman" w:hAnsi="Times New Roman" w:cs="Times New Roman"/>
          <w:sz w:val="22"/>
          <w:sz-cs w:val="22"/>
        </w:rPr>
        <w:t xml:space="preserve">(a)</w:t>
        <w:tab/>
        <w:t xml:space="preserve">give a withdrawal notice to the building contractor; or</w:t>
      </w:r>
    </w:p>
    <w:p>
      <w:pPr>
        <w:jc w:val="both"/>
        <w:ind w:left="2160" w:first-line="-720"/>
        <w:spacing w:after="160"/>
      </w:pPr>
      <w:r>
        <w:rPr>
          <w:rFonts w:ascii="Times New Roman" w:hAnsi="Times New Roman" w:cs="Times New Roman"/>
          <w:sz w:val="22"/>
          <w:sz-cs w:val="22"/>
        </w:rPr>
        <w:t xml:space="preserve">(b)</w:t>
        <w:tab/>
        <w:t xml:space="preserve">leave a withdrawal notice at the address shown as the building contractor’s address in the contract; or</w:t>
      </w:r>
    </w:p>
    <w:p>
      <w:pPr>
        <w:jc w:val="both"/>
        <w:ind w:left="2160" w:first-line="-720"/>
        <w:spacing w:after="160"/>
      </w:pPr>
      <w:r>
        <w:rPr>
          <w:rFonts w:ascii="Times New Roman" w:hAnsi="Times New Roman" w:cs="Times New Roman"/>
          <w:sz w:val="22"/>
          <w:sz-cs w:val="22"/>
        </w:rPr>
        <w:t xml:space="preserve">(c)</w:t>
        <w:tab/>
        <w:t xml:space="preserve">serve a withdrawal notice on the building contractor in accordance with any provision in the contract providing for service of notices on the building contractor by the building owner.</w:t>
      </w:r>
    </w:p>
    <w:p>
      <w:pPr>
        <w:jc w:val="both"/>
        <w:ind w:left="1134"/>
        <w:spacing w:after="160"/>
      </w:pPr>
      <w:r>
        <w:rPr>
          <w:rFonts w:ascii="Times New Roman" w:hAnsi="Times New Roman" w:cs="Times New Roman"/>
          <w:sz w:val="22"/>
          <w:sz-cs w:val="22"/>
        </w:rPr>
        <w:t xml:space="preserve">(2)</w:t>
        <w:tab/>
        <w:t xml:space="preserve">In this section—</w:t>
      </w:r>
    </w:p>
    <w:p>
      <w:pPr>
        <w:jc w:val="both"/>
        <w:ind w:left="1440"/>
        <w:spacing w:after="160"/>
      </w:pPr>
      <w:r>
        <w:rPr>
          <w:rFonts w:ascii="Times New Roman" w:hAnsi="Times New Roman" w:cs="Times New Roman"/>
          <w:sz w:val="22"/>
          <w:sz-cs w:val="22"/>
          <w:i/>
        </w:rPr>
        <w:t xml:space="preserve">withdrawal notice</w:t>
      </w:r>
      <w:r>
        <w:rPr>
          <w:rFonts w:ascii="Times New Roman" w:hAnsi="Times New Roman" w:cs="Times New Roman"/>
          <w:sz w:val="22"/>
          <w:sz-cs w:val="22"/>
        </w:rPr>
        <w:t xml:space="preserve"> means a written notice signed by the building owner under a regulated contract stating—</w:t>
      </w:r>
    </w:p>
    <w:p>
      <w:pPr>
        <w:jc w:val="both"/>
        <w:ind w:left="1134" w:first-line="306"/>
        <w:spacing w:after="160"/>
      </w:pPr>
      <w:r>
        <w:rPr>
          <w:rFonts w:ascii="Times New Roman" w:hAnsi="Times New Roman" w:cs="Times New Roman"/>
          <w:sz w:val="22"/>
          <w:sz-cs w:val="22"/>
        </w:rPr>
        <w:t xml:space="preserve">(a)</w:t>
        <w:tab/>
        <w:t xml:space="preserve">that the building owner withdraws from the contract; and</w:t>
      </w:r>
    </w:p>
    <w:p>
      <w:pPr>
        <w:jc w:val="both"/>
        <w:ind w:left="1134" w:first-line="306"/>
        <w:spacing w:after="160"/>
      </w:pPr>
      <w:r>
        <w:rPr>
          <w:rFonts w:ascii="Times New Roman" w:hAnsi="Times New Roman" w:cs="Times New Roman"/>
          <w:sz w:val="22"/>
          <w:sz-cs w:val="22"/>
        </w:rPr>
        <w:t xml:space="preserve">(b)</w:t>
        <w:tab/>
        <w:t xml:space="preserve">the section of this schedule under which the withdrawal is made.</w:t>
      </w:r>
    </w:p>
    <w:p>
      <w:pPr>
        <w:jc w:val="both"/>
        <w:ind w:left="567" w:first-line="-567"/>
        <w:spacing w:after="160"/>
      </w:pPr>
      <w:r>
        <w:rPr>
          <w:rFonts w:ascii="Times New Roman" w:hAnsi="Times New Roman" w:cs="Times New Roman"/>
          <w:sz w:val="20"/>
          <w:sz-cs w:val="20"/>
        </w:rPr>
        <w:t xml:space="preserve">[21]</w:t>
        <w:tab/>
        <w:t xml:space="preserve"/>
      </w:r>
      <w:r>
        <w:rPr>
          <w:rFonts w:ascii="Times New Roman" w:hAnsi="Times New Roman" w:cs="Times New Roman"/>
          <w:sz w:val="24"/>
          <w:sz-cs w:val="24"/>
        </w:rPr>
        <w:t xml:space="preserve">The rights and obligations of the parties following withdrawal are set out in s 38:</w:t>
      </w:r>
    </w:p>
    <w:p>
      <w:pPr>
        <w:jc w:val="both"/>
        <w:ind w:left="1134"/>
        <w:spacing w:after="160"/>
      </w:pPr>
      <w:r>
        <w:rPr>
          <w:rFonts w:ascii="Times New Roman" w:hAnsi="Times New Roman" w:cs="Times New Roman"/>
          <w:sz w:val="22"/>
          <w:sz-cs w:val="22"/>
          <w:b/>
        </w:rPr>
        <w:t xml:space="preserve">38 Rights and obligations of parties following withdrawal in cooling-off period</w:t>
      </w:r>
    </w:p>
    <w:p>
      <w:pPr>
        <w:jc w:val="both"/>
        <w:ind w:left="1440" w:first-line="-306"/>
        <w:spacing w:after="160"/>
      </w:pPr>
      <w:r>
        <w:rPr>
          <w:rFonts w:ascii="Times New Roman" w:hAnsi="Times New Roman" w:cs="Times New Roman"/>
          <w:sz w:val="22"/>
          <w:sz-cs w:val="22"/>
        </w:rPr>
        <w:t xml:space="preserve">(1)</w:t>
        <w:tab/>
        <w:t xml:space="preserve">This section applies if a building owner withdraws from a regulated contract under schedule section 35.</w:t>
      </w:r>
    </w:p>
    <w:p>
      <w:pPr>
        <w:jc w:val="both"/>
        <w:ind w:left="1440" w:first-line="-306"/>
        <w:spacing w:after="160"/>
      </w:pPr>
      <w:r>
        <w:rPr>
          <w:rFonts w:ascii="Times New Roman" w:hAnsi="Times New Roman" w:cs="Times New Roman"/>
          <w:sz w:val="22"/>
          <w:sz-cs w:val="22"/>
        </w:rPr>
        <w:t xml:space="preserve">(2)</w:t>
        <w:tab/>
        <w:t xml:space="preserve">If there is a prepaid amount for the contract that is not less than the retainable amount, the building contractor—</w:t>
      </w:r>
    </w:p>
    <w:p>
      <w:pPr>
        <w:jc w:val="both"/>
        <w:ind w:left="2160" w:first-line="-720"/>
        <w:spacing w:after="160"/>
      </w:pPr>
      <w:r>
        <w:rPr>
          <w:rFonts w:ascii="Times New Roman" w:hAnsi="Times New Roman" w:cs="Times New Roman"/>
          <w:sz w:val="22"/>
          <w:sz-cs w:val="22"/>
        </w:rPr>
        <w:t xml:space="preserve">(a)</w:t>
        <w:tab/>
        <w:t xml:space="preserve">may keep an amount equal to the retainable amount out of the prepaid amount; and</w:t>
      </w:r>
    </w:p>
    <w:p>
      <w:pPr>
        <w:jc w:val="both"/>
        <w:ind w:left="2160" w:first-line="-720"/>
        <w:spacing w:after="160"/>
      </w:pPr>
      <w:r>
        <w:rPr>
          <w:rFonts w:ascii="Times New Roman" w:hAnsi="Times New Roman" w:cs="Times New Roman"/>
          <w:sz w:val="22"/>
          <w:sz-cs w:val="22"/>
        </w:rPr>
        <w:t xml:space="preserve">(b)</w:t>
        <w:tab/>
        <w:t xml:space="preserve">must refund any balance of the prepaid amount to the building owner.</w:t>
      </w:r>
    </w:p>
    <w:p>
      <w:pPr>
        <w:jc w:val="both"/>
        <w:ind w:left="1440" w:first-line="-306"/>
        <w:spacing w:after="160"/>
      </w:pPr>
      <w:r>
        <w:rPr>
          <w:rFonts w:ascii="Times New Roman" w:hAnsi="Times New Roman" w:cs="Times New Roman"/>
          <w:sz w:val="22"/>
          <w:sz-cs w:val="22"/>
        </w:rPr>
        <w:t xml:space="preserve">(3)</w:t>
        <w:tab/>
        <w:t xml:space="preserve">If there is a prepaid amount for the contract that is less than the retainable amount, the building owner must pay the building contractor an amount equal to the difference between the retainable amount and the prepaid amount.</w:t>
      </w:r>
    </w:p>
    <w:p>
      <w:pPr>
        <w:jc w:val="both"/>
        <w:ind w:left="1440" w:first-line="-306"/>
        <w:spacing w:after="160"/>
      </w:pPr>
      <w:r>
        <w:rPr>
          <w:rFonts w:ascii="Times New Roman" w:hAnsi="Times New Roman" w:cs="Times New Roman"/>
          <w:sz w:val="22"/>
          <w:sz-cs w:val="22"/>
        </w:rPr>
        <w:t xml:space="preserve">(4)</w:t>
        <w:tab/>
        <w:t xml:space="preserve">If there is no prepaid amount for the contract, the building owner must pay the building contractor an amount equal to the retainable amount.</w:t>
      </w:r>
    </w:p>
    <w:p>
      <w:pPr>
        <w:jc w:val="both"/>
        <w:ind w:left="1440" w:first-line="-306"/>
        <w:spacing w:after="160"/>
      </w:pPr>
      <w:r>
        <w:rPr>
          <w:rFonts w:ascii="Times New Roman" w:hAnsi="Times New Roman" w:cs="Times New Roman"/>
          <w:sz w:val="22"/>
          <w:sz-cs w:val="22"/>
        </w:rPr>
        <w:t xml:space="preserve">(5)</w:t>
        <w:tab/>
        <w:t xml:space="preserve">If an amount is not paid by a person as required under this section, the person to whom it is payable may recover the amount from the other person as a debt.</w:t>
      </w:r>
    </w:p>
    <w:p>
      <w:pPr>
        <w:jc w:val="both"/>
        <w:ind w:left="1440" w:first-line="-306"/>
        <w:spacing w:after="160"/>
      </w:pPr>
      <w:r>
        <w:rPr>
          <w:rFonts w:ascii="Times New Roman" w:hAnsi="Times New Roman" w:cs="Times New Roman"/>
          <w:sz w:val="22"/>
          <w:sz-cs w:val="22"/>
        </w:rPr>
        <w:t xml:space="preserve">(6)</w:t>
        <w:tab/>
        <w:t xml:space="preserve">Except as provided under subsection (3) or (4), the building owner is not liable to the building contractor in any way for withdrawing from the contract.</w:t>
      </w:r>
    </w:p>
    <w:p>
      <w:pPr>
        <w:jc w:val="both"/>
        <w:ind w:left="1440" w:first-line="-306"/>
        <w:spacing w:after="160"/>
      </w:pPr>
      <w:r>
        <w:rPr>
          <w:rFonts w:ascii="Times New Roman" w:hAnsi="Times New Roman" w:cs="Times New Roman"/>
          <w:sz w:val="22"/>
          <w:sz-cs w:val="22"/>
        </w:rPr>
        <w:t xml:space="preserve">(7)</w:t>
        <w:tab/>
        <w:t xml:space="preserve">In this section, a reference to the prepaid amount for the contract is a reference to the amount paid to the building contractor under the contract by the building owner before the building owner withdrew from the contract.</w:t>
      </w:r>
    </w:p>
    <w:p>
      <w:pPr>
        <w:jc w:val="both"/>
        <w:ind w:left="1440" w:first-line="-306"/>
        <w:spacing w:after="160"/>
      </w:pPr>
      <w:r>
        <w:rPr>
          <w:rFonts w:ascii="Times New Roman" w:hAnsi="Times New Roman" w:cs="Times New Roman"/>
          <w:sz w:val="22"/>
          <w:sz-cs w:val="22"/>
        </w:rPr>
        <w:t xml:space="preserve">(8)</w:t>
        <w:tab/>
        <w:t xml:space="preserve">Also, in this section, a reference to the retainable amount for the contract is a reference to the sum of—</w:t>
      </w:r>
    </w:p>
    <w:p>
      <w:pPr>
        <w:jc w:val="both"/>
        <w:ind w:left="2160" w:first-line="-720"/>
        <w:spacing w:after="160"/>
      </w:pPr>
      <w:r>
        <w:rPr>
          <w:rFonts w:ascii="Times New Roman" w:hAnsi="Times New Roman" w:cs="Times New Roman"/>
          <w:sz w:val="22"/>
          <w:sz-cs w:val="22"/>
        </w:rPr>
        <w:t xml:space="preserve">(a)</w:t>
        <w:tab/>
        <w:t xml:space="preserve">an amount equal to any out-of-pocket expenses reasonably incurred by the building contractor before the building owner withdrew from the contract; and</w:t>
      </w:r>
    </w:p>
    <w:p>
      <w:pPr>
        <w:jc w:val="both"/>
        <w:ind w:left="2160" w:first-line="-720"/>
        <w:spacing w:after="160"/>
      </w:pPr>
      <w:r>
        <w:rPr>
          <w:rFonts w:ascii="Times New Roman" w:hAnsi="Times New Roman" w:cs="Times New Roman"/>
          <w:sz w:val="22"/>
          <w:sz-cs w:val="22"/>
        </w:rPr>
        <w:t xml:space="preserve">(b)</w:t>
        <w:tab/>
        <w:t xml:space="preserve">if the building owner withdraws from the contract under schedule section 35(1)—$100.</w:t>
      </w:r>
    </w:p>
    <w:p>
      <w:pPr>
        <w:jc w:val="both"/>
        <w:ind w:left="567"/>
        <w:spacing w:after="160"/>
      </w:pPr>
      <w:r>
        <w:rPr>
          <w:rFonts w:ascii="Times New Roman" w:hAnsi="Times New Roman" w:cs="Times New Roman"/>
          <w:sz w:val="24"/>
          <w:sz-cs w:val="24"/>
          <w:b/>
        </w:rPr>
        <w:t xml:space="preserve">What do the parties say?</w:t>
      </w:r>
    </w:p>
    <w:p>
      <w:pPr>
        <w:jc w:val="both"/>
        <w:ind w:left="567" w:first-line="-567"/>
        <w:spacing w:after="160"/>
      </w:pPr>
      <w:r>
        <w:rPr>
          <w:rFonts w:ascii="Times New Roman" w:hAnsi="Times New Roman" w:cs="Times New Roman"/>
          <w:sz w:val="20"/>
          <w:sz-cs w:val="20"/>
        </w:rPr>
        <w:t xml:space="preserve">[22]</w:t>
        <w:tab/>
        <w:t xml:space="preserve"/>
      </w:r>
      <w:r>
        <w:rPr>
          <w:rFonts w:ascii="Times New Roman" w:hAnsi="Times New Roman" w:cs="Times New Roman"/>
          <w:sz w:val="24"/>
          <w:sz-cs w:val="24"/>
        </w:rPr>
        <w:t xml:space="preserve">The Murphys say the preliminary issue involves the determination of a question of law only. </w:t>
      </w:r>
    </w:p>
    <w:p>
      <w:pPr>
        <w:jc w:val="both"/>
        <w:ind w:left="567" w:first-line="-567"/>
        <w:spacing w:after="160"/>
      </w:pPr>
      <w:r>
        <w:rPr>
          <w:rFonts w:ascii="Times New Roman" w:hAnsi="Times New Roman" w:cs="Times New Roman"/>
          <w:sz w:val="20"/>
          <w:sz-cs w:val="20"/>
        </w:rPr>
        <w:t xml:space="preserve">[23]</w:t>
        <w:tab/>
        <w:t xml:space="preserve"/>
      </w:r>
      <w:r>
        <w:rPr>
          <w:rFonts w:ascii="Times New Roman" w:hAnsi="Times New Roman" w:cs="Times New Roman"/>
          <w:sz w:val="24"/>
          <w:sz-cs w:val="24"/>
        </w:rPr>
        <w:t xml:space="preserve">The Murphys say that the building contract is a level 2 regulated contract and, as such, Number One was required to provide to the Murphys:</w:t>
      </w:r>
    </w:p>
    <w:p>
      <w:pPr>
        <w:jc w:val="both"/>
        <w:ind w:left="1134" w:first-line="-567"/>
        <w:spacing w:after="16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a signed copy of the contract within 5 business days after the contract was signed; and </w:t>
      </w:r>
    </w:p>
    <w:p>
      <w:pPr>
        <w:jc w:val="both"/>
        <w:ind w:left="1134" w:first-line="-567"/>
        <w:spacing w:after="16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a copy of the consumer building guide prior to the contract being signed. </w:t>
      </w:r>
    </w:p>
    <w:p>
      <w:pPr>
        <w:jc w:val="both"/>
        <w:ind w:left="567" w:first-line="-567"/>
        <w:spacing w:after="160"/>
      </w:pPr>
      <w:r>
        <w:rPr>
          <w:rFonts w:ascii="Times New Roman" w:hAnsi="Times New Roman" w:cs="Times New Roman"/>
          <w:sz w:val="20"/>
          <w:sz-cs w:val="20"/>
        </w:rPr>
        <w:t xml:space="preserve">[24]</w:t>
        <w:tab/>
        <w:t xml:space="preserve"/>
      </w:r>
      <w:r>
        <w:rPr>
          <w:rFonts w:ascii="Times New Roman" w:hAnsi="Times New Roman" w:cs="Times New Roman"/>
          <w:sz w:val="24"/>
          <w:sz-cs w:val="24"/>
        </w:rPr>
        <w:t xml:space="preserve">The Murphys say that the right of a building owner to withdraw from a contract can only be waived in limited circumstances and that, absent those circumstances, the right of a building owner to withdraw from a contract cannot be waived. </w:t>
      </w:r>
    </w:p>
    <w:p>
      <w:pPr>
        <w:jc w:val="both"/>
        <w:ind w:left="567" w:first-line="-567"/>
        <w:spacing w:after="160"/>
      </w:pPr>
      <w:r>
        <w:rPr>
          <w:rFonts w:ascii="Times New Roman" w:hAnsi="Times New Roman" w:cs="Times New Roman"/>
          <w:sz w:val="20"/>
          <w:sz-cs w:val="20"/>
        </w:rPr>
        <w:t xml:space="preserve">[25]</w:t>
        <w:tab/>
        <w:t xml:space="preserve"/>
      </w:r>
      <w:r>
        <w:rPr>
          <w:rFonts w:ascii="Times New Roman" w:hAnsi="Times New Roman" w:cs="Times New Roman"/>
          <w:sz w:val="24"/>
          <w:sz-cs w:val="24"/>
        </w:rPr>
        <w:t xml:space="preserve">The Murphys say that a building owner cannot be estopped from withdrawing from a contract and that the right to withdraw can be exercised at any time including after practical completion has been achieved. </w:t>
      </w:r>
    </w:p>
    <w:p>
      <w:pPr>
        <w:jc w:val="both"/>
        <w:ind w:left="567" w:first-line="-567"/>
        <w:spacing w:after="160"/>
      </w:pPr>
      <w:r>
        <w:rPr>
          <w:rFonts w:ascii="Times New Roman" w:hAnsi="Times New Roman" w:cs="Times New Roman"/>
          <w:sz w:val="20"/>
          <w:sz-cs w:val="20"/>
        </w:rPr>
        <w:t xml:space="preserve">[26]</w:t>
        <w:tab/>
        <w:t xml:space="preserve"/>
      </w:r>
      <w:r>
        <w:rPr>
          <w:rFonts w:ascii="Times New Roman" w:hAnsi="Times New Roman" w:cs="Times New Roman"/>
          <w:sz w:val="24"/>
          <w:sz-cs w:val="24"/>
        </w:rPr>
        <w:t xml:space="preserve">The consequences of withdrawal are, say the Murphys, that Number One is entitled to retain only the amount of its reasonably incurred out of pocket expenses. The Murphys say that if a building owner validly withdraws from a contract they are not liable for damages for breach of contact nor does the building contractor have any cause of action for money payable under the contract. </w:t>
      </w:r>
    </w:p>
    <w:p>
      <w:pPr>
        <w:jc w:val="both"/>
        <w:ind w:left="567" w:first-line="-567"/>
        <w:spacing w:after="160"/>
      </w:pPr>
      <w:r>
        <w:rPr>
          <w:rFonts w:ascii="Times New Roman" w:hAnsi="Times New Roman" w:cs="Times New Roman"/>
          <w:sz w:val="20"/>
          <w:sz-cs w:val="20"/>
        </w:rPr>
        <w:t xml:space="preserve">[27]</w:t>
        <w:tab/>
        <w:t xml:space="preserve"/>
      </w:r>
      <w:r>
        <w:rPr>
          <w:rFonts w:ascii="Times New Roman" w:hAnsi="Times New Roman" w:cs="Times New Roman"/>
          <w:sz w:val="24"/>
          <w:sz-cs w:val="24"/>
        </w:rPr>
        <w:t xml:space="preserve">Contrary to the assertions pleaded by Number One, the Murphys say they did not refuse to accept a copy of the consumer building guide or the signed contract. Regardless, say the Murphys, an estoppel cannot arise against them by operation of the provisions of schedule 1B of the QBCC Act. </w:t>
      </w:r>
    </w:p>
    <w:p>
      <w:pPr>
        <w:jc w:val="both"/>
        <w:ind w:left="567" w:first-line="-567"/>
        <w:spacing w:after="160"/>
      </w:pPr>
      <w:r>
        <w:rPr>
          <w:rFonts w:ascii="Times New Roman" w:hAnsi="Times New Roman" w:cs="Times New Roman"/>
          <w:sz w:val="20"/>
          <w:sz-cs w:val="20"/>
        </w:rPr>
        <w:t xml:space="preserve">[28]</w:t>
        <w:tab/>
        <w:t xml:space="preserve"/>
      </w:r>
      <w:r>
        <w:rPr>
          <w:rFonts w:ascii="Times New Roman" w:hAnsi="Times New Roman" w:cs="Times New Roman"/>
          <w:sz w:val="24"/>
          <w:sz-cs w:val="24"/>
        </w:rPr>
        <w:t xml:space="preserve">The Murphys say that the notice of withdrawal from the contract complied with the requirements of the Act and the contract. </w:t>
      </w:r>
    </w:p>
    <w:p>
      <w:pPr>
        <w:jc w:val="both"/>
        <w:ind w:left="567" w:first-line="-567"/>
        <w:spacing w:after="160"/>
      </w:pPr>
      <w:r>
        <w:rPr>
          <w:rFonts w:ascii="Times New Roman" w:hAnsi="Times New Roman" w:cs="Times New Roman"/>
          <w:sz w:val="20"/>
          <w:sz-cs w:val="20"/>
        </w:rPr>
        <w:t xml:space="preserve">[29]</w:t>
        <w:tab/>
        <w:t xml:space="preserve"/>
      </w:r>
      <w:r>
        <w:rPr>
          <w:rFonts w:ascii="Times New Roman" w:hAnsi="Times New Roman" w:cs="Times New Roman"/>
          <w:sz w:val="24"/>
          <w:sz-cs w:val="24"/>
        </w:rPr>
        <w:t xml:space="preserve">The Murphys say that there is utility in the determination of the preliminary issue:</w:t>
      </w:r>
    </w:p>
    <w:p>
      <w:pPr>
        <w:jc w:val="both"/>
        <w:ind w:left="1134" w:first-line="-567"/>
        <w:spacing w:after="16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If resolved in the Murphys’ favour, Number One’s claim will be dismissed;</w:t>
      </w:r>
    </w:p>
    <w:p>
      <w:pPr>
        <w:jc w:val="both"/>
        <w:ind w:left="1134" w:first-line="-567"/>
        <w:spacing w:after="16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If answered in the Murphys’ favour, the Murphys will succeed on their counter application.</w:t>
      </w:r>
    </w:p>
    <w:p>
      <w:pPr>
        <w:jc w:val="both"/>
        <w:ind w:left="567" w:first-line="-567"/>
        <w:spacing w:after="160"/>
      </w:pPr>
      <w:r>
        <w:rPr>
          <w:rFonts w:ascii="Times New Roman" w:hAnsi="Times New Roman" w:cs="Times New Roman"/>
          <w:sz w:val="20"/>
          <w:sz-cs w:val="20"/>
        </w:rPr>
        <w:t xml:space="preserve">[30]</w:t>
        <w:tab/>
        <w:t xml:space="preserve"/>
      </w:r>
      <w:r>
        <w:rPr>
          <w:rFonts w:ascii="Times New Roman" w:hAnsi="Times New Roman" w:cs="Times New Roman"/>
          <w:sz w:val="24"/>
          <w:sz-cs w:val="24"/>
        </w:rPr>
        <w:t xml:space="preserve">The Murphys say that if the preliminary issue is determined in their favour then they will abandon any claim in respect of the amount paid by the Murphys to Number One which exceeds the value of the work undertaken by Number One.</w:t>
      </w:r>
    </w:p>
    <w:p>
      <w:pPr>
        <w:jc w:val="both"/>
        <w:ind w:left="567" w:first-line="-567"/>
        <w:spacing w:after="160"/>
      </w:pPr>
      <w:r>
        <w:rPr>
          <w:rFonts w:ascii="Times New Roman" w:hAnsi="Times New Roman" w:cs="Times New Roman"/>
          <w:sz w:val="20"/>
          <w:sz-cs w:val="20"/>
        </w:rPr>
        <w:t xml:space="preserve">[31]</w:t>
        <w:tab/>
        <w:t xml:space="preserve"/>
      </w:r>
      <w:r>
        <w:rPr>
          <w:rFonts w:ascii="Times New Roman" w:hAnsi="Times New Roman" w:cs="Times New Roman"/>
          <w:sz w:val="24"/>
          <w:sz-cs w:val="24"/>
        </w:rPr>
        <w:t xml:space="preserve">In response to Number One’s assertion that an estoppel arises as pleaded, the Murphys say that an estoppel cannot be set up in the face of the statute. The Murphys say that even if Number One is successful in making out its estoppel case, that argument cannot succeed to prevent the Murphys from exercising their statutory right to withdraw.  </w:t>
      </w:r>
    </w:p>
    <w:p>
      <w:pPr>
        <w:jc w:val="both"/>
        <w:ind w:left="567" w:first-line="-567"/>
        <w:spacing w:after="160"/>
      </w:pPr>
      <w:r>
        <w:rPr>
          <w:rFonts w:ascii="Times New Roman" w:hAnsi="Times New Roman" w:cs="Times New Roman"/>
          <w:sz w:val="20"/>
          <w:sz-cs w:val="20"/>
        </w:rPr>
        <w:t xml:space="preserve">[32]</w:t>
        <w:tab/>
        <w:t xml:space="preserve"/>
      </w:r>
      <w:r>
        <w:rPr>
          <w:rFonts w:ascii="Times New Roman" w:hAnsi="Times New Roman" w:cs="Times New Roman"/>
          <w:sz w:val="24"/>
          <w:sz-cs w:val="24"/>
        </w:rPr>
        <w:t xml:space="preserve">Number One says that the preliminary issue as formulated by the Murphys fails to address the real issue between the parties, that is, the availability of an estoppel argument which in turn raises questions of fact. </w:t>
      </w:r>
    </w:p>
    <w:p>
      <w:pPr>
        <w:jc w:val="both"/>
        <w:ind w:left="567" w:first-line="-567"/>
        <w:spacing w:after="160"/>
      </w:pPr>
      <w:r>
        <w:rPr>
          <w:rFonts w:ascii="Times New Roman" w:hAnsi="Times New Roman" w:cs="Times New Roman"/>
          <w:sz w:val="20"/>
          <w:sz-cs w:val="20"/>
        </w:rPr>
        <w:t xml:space="preserve">[33]</w:t>
        <w:tab/>
        <w:t xml:space="preserve"/>
      </w:r>
      <w:r>
        <w:rPr>
          <w:rFonts w:ascii="Times New Roman" w:hAnsi="Times New Roman" w:cs="Times New Roman"/>
          <w:sz w:val="24"/>
          <w:sz-cs w:val="24"/>
        </w:rPr>
        <w:t xml:space="preserve">Number One says that even if the estoppel issue is resolved in the Murphys’ favour that leaves for determination their claims for damages for defective work and for misleading and deceptive conduct. </w:t>
      </w:r>
    </w:p>
    <w:p>
      <w:pPr>
        <w:jc w:val="both"/>
        <w:ind w:left="567" w:first-line="-567"/>
        <w:spacing w:after="160"/>
      </w:pPr>
      <w:r>
        <w:rPr>
          <w:rFonts w:ascii="Times New Roman" w:hAnsi="Times New Roman" w:cs="Times New Roman"/>
          <w:sz w:val="20"/>
          <w:sz-cs w:val="20"/>
        </w:rPr>
        <w:t xml:space="preserve">[34]</w:t>
        <w:tab/>
        <w:t xml:space="preserve"/>
      </w:r>
      <w:r>
        <w:rPr>
          <w:rFonts w:ascii="Times New Roman" w:hAnsi="Times New Roman" w:cs="Times New Roman"/>
          <w:sz w:val="24"/>
          <w:sz-cs w:val="24"/>
        </w:rPr>
        <w:t xml:space="preserve">In any event, says Number One, the resolution of the estoppel issue in the Murphys’ favour would not materially alter the length of the hearing.</w:t>
      </w:r>
    </w:p>
    <w:p>
      <w:pPr>
        <w:jc w:val="both"/>
        <w:ind w:left="567" w:first-line="-567"/>
        <w:spacing w:after="160"/>
      </w:pPr>
      <w:r>
        <w:rPr>
          <w:rFonts w:ascii="Times New Roman" w:hAnsi="Times New Roman" w:cs="Times New Roman"/>
          <w:sz w:val="20"/>
          <w:sz-cs w:val="20"/>
        </w:rPr>
        <w:t xml:space="preserve">[35]</w:t>
        <w:tab/>
        <w:t xml:space="preserve"/>
      </w:r>
      <w:r>
        <w:rPr>
          <w:rFonts w:ascii="Times New Roman" w:hAnsi="Times New Roman" w:cs="Times New Roman"/>
          <w:sz w:val="24"/>
          <w:sz-cs w:val="24"/>
        </w:rPr>
        <w:t xml:space="preserve">Number One says that the preliminary issue as framed by the Murphys:</w:t>
      </w:r>
    </w:p>
    <w:p>
      <w:pPr>
        <w:jc w:val="both"/>
        <w:ind w:left="1134" w:first-line="-567"/>
        <w:spacing w:after="160"/>
      </w:pPr>
      <w:r>
        <w:rPr>
          <w:rFonts w:ascii="Times New Roman" w:hAnsi="Times New Roman" w:cs="Times New Roman"/>
          <w:sz w:val="20"/>
          <w:sz-cs w:val="20"/>
        </w:rPr>
        <w:t xml:space="preserve">(a)</w:t>
        <w:tab/>
        <w:t xml:space="preserve"/>
      </w:r>
      <w:r>
        <w:rPr>
          <w:rFonts w:ascii="Times New Roman" w:hAnsi="Times New Roman" w:cs="Times New Roman"/>
          <w:sz w:val="24"/>
          <w:sz-cs w:val="24"/>
        </w:rPr>
        <w:t xml:space="preserve">Does not properly frame the issue in a way which meaningfully identifies the real issues;</w:t>
      </w:r>
    </w:p>
    <w:p>
      <w:pPr>
        <w:jc w:val="both"/>
        <w:ind w:left="1134" w:first-line="-567"/>
        <w:spacing w:after="160"/>
      </w:pPr>
      <w:r>
        <w:rPr>
          <w:rFonts w:ascii="Times New Roman" w:hAnsi="Times New Roman" w:cs="Times New Roman"/>
          <w:sz w:val="20"/>
          <w:sz-cs w:val="20"/>
        </w:rPr>
        <w:t xml:space="preserve">(b)</w:t>
        <w:tab/>
        <w:t xml:space="preserve"/>
      </w:r>
      <w:r>
        <w:rPr>
          <w:rFonts w:ascii="Times New Roman" w:hAnsi="Times New Roman" w:cs="Times New Roman"/>
          <w:sz w:val="24"/>
          <w:sz-cs w:val="24"/>
        </w:rPr>
        <w:t xml:space="preserve">Does not pose a question amenable to determination by the tribunal without seeking to engage a hypothetical determination;</w:t>
      </w:r>
    </w:p>
    <w:p>
      <w:pPr>
        <w:jc w:val="both"/>
        <w:ind w:left="1134" w:first-line="-567"/>
        <w:spacing w:after="160"/>
      </w:pPr>
      <w:r>
        <w:rPr>
          <w:rFonts w:ascii="Times New Roman" w:hAnsi="Times New Roman" w:cs="Times New Roman"/>
          <w:sz w:val="20"/>
          <w:sz-cs w:val="20"/>
        </w:rPr>
        <w:t xml:space="preserve">(c)</w:t>
        <w:tab/>
        <w:t xml:space="preserve"/>
      </w:r>
      <w:r>
        <w:rPr>
          <w:rFonts w:ascii="Times New Roman" w:hAnsi="Times New Roman" w:cs="Times New Roman"/>
          <w:sz w:val="24"/>
          <w:sz-cs w:val="24"/>
        </w:rPr>
        <w:t xml:space="preserve">There is a likely factual overlap between questions of fact bearing upon the estoppel issue and the questions of fact bearing upon the claims by the Murphys for damages for defective work and for misrepresentation. </w:t>
      </w:r>
    </w:p>
    <w:p>
      <w:pPr>
        <w:jc w:val="both"/>
        <w:ind w:left="567" w:first-line="-567"/>
        <w:spacing w:after="160"/>
      </w:pPr>
      <w:r>
        <w:rPr>
          <w:rFonts w:ascii="Times New Roman" w:hAnsi="Times New Roman" w:cs="Times New Roman"/>
          <w:sz w:val="20"/>
          <w:sz-cs w:val="20"/>
        </w:rPr>
        <w:t xml:space="preserve">[36]</w:t>
        <w:tab/>
        <w:t xml:space="preserve"/>
      </w:r>
      <w:r>
        <w:rPr>
          <w:rFonts w:ascii="Times New Roman" w:hAnsi="Times New Roman" w:cs="Times New Roman"/>
          <w:sz w:val="24"/>
          <w:sz-cs w:val="24"/>
        </w:rPr>
        <w:t xml:space="preserve">In reply the Murphys say that their claim for damages for defective work is raised only in response to Number One’s quantum meruit claim. If the proceedings brought by Number One are dismissed as a result of the determination of the preliminary issue, the Murphys say that their claim for defective work falls away as will the claim for misleading and deceptive conduct. </w:t>
      </w:r>
    </w:p>
    <w:p>
      <w:pPr>
        <w:jc w:val="both"/>
        <w:ind w:left="567"/>
        <w:spacing w:after="160"/>
      </w:pPr>
      <w:r>
        <w:rPr>
          <w:rFonts w:ascii="Times New Roman" w:hAnsi="Times New Roman" w:cs="Times New Roman"/>
          <w:sz w:val="24"/>
          <w:sz-cs w:val="24"/>
          <w:b/>
        </w:rPr>
        <w:t xml:space="preserve">Consideration</w:t>
      </w:r>
    </w:p>
    <w:p>
      <w:pPr>
        <w:jc w:val="both"/>
        <w:ind w:left="567" w:first-line="-567"/>
        <w:spacing w:after="160"/>
      </w:pPr>
      <w:r>
        <w:rPr>
          <w:rFonts w:ascii="Times New Roman" w:hAnsi="Times New Roman" w:cs="Times New Roman"/>
          <w:sz w:val="20"/>
          <w:sz-cs w:val="20"/>
        </w:rPr>
        <w:t xml:space="preserve">[37]</w:t>
        <w:tab/>
        <w:t xml:space="preserve"/>
      </w:r>
      <w:r>
        <w:rPr>
          <w:rFonts w:ascii="Times New Roman" w:hAnsi="Times New Roman" w:cs="Times New Roman"/>
          <w:sz w:val="24"/>
          <w:sz-cs w:val="24"/>
        </w:rPr>
        <w:t xml:space="preserve">As I have observed, a separate determination should only be ordered if the utility, economy and fairness to the parties of a separate question is beyond issue. It must be just and convenient to do so. </w:t>
      </w:r>
    </w:p>
    <w:p>
      <w:pPr>
        <w:jc w:val="both"/>
        <w:ind w:left="567" w:first-line="-567"/>
        <w:spacing w:after="160"/>
      </w:pPr>
      <w:r>
        <w:rPr>
          <w:rFonts w:ascii="Times New Roman" w:hAnsi="Times New Roman" w:cs="Times New Roman"/>
          <w:sz w:val="20"/>
          <w:sz-cs w:val="20"/>
        </w:rPr>
        <w:t xml:space="preserve">[38]</w:t>
        <w:tab/>
        <w:t xml:space="preserve"/>
      </w:r>
      <w:r>
        <w:rPr>
          <w:rFonts w:ascii="Times New Roman" w:hAnsi="Times New Roman" w:cs="Times New Roman"/>
          <w:sz w:val="24"/>
          <w:sz-cs w:val="24"/>
        </w:rPr>
        <w:t xml:space="preserve">Contrary to the submission by the Murphys, the determination of the preliminary issue involves questions of both law and fact. </w:t>
      </w:r>
    </w:p>
    <w:p>
      <w:pPr>
        <w:jc w:val="both"/>
        <w:ind w:left="567" w:first-line="-567"/>
        <w:spacing w:after="160"/>
      </w:pPr>
      <w:r>
        <w:rPr>
          <w:rFonts w:ascii="Times New Roman" w:hAnsi="Times New Roman" w:cs="Times New Roman"/>
          <w:sz w:val="20"/>
          <w:sz-cs w:val="20"/>
        </w:rPr>
        <w:t xml:space="preserve">[39]</w:t>
        <w:tab/>
        <w:t xml:space="preserve"/>
      </w:r>
      <w:r>
        <w:rPr>
          <w:rFonts w:ascii="Times New Roman" w:hAnsi="Times New Roman" w:cs="Times New Roman"/>
          <w:sz w:val="24"/>
          <w:sz-cs w:val="24"/>
        </w:rPr>
        <w:t xml:space="preserve">The Murphys say that Number One cannot raise an estoppel in the face of the statute. As a matter of general principle an estoppel will not ordinarily arise in the face of a statute. Whether a party may rely on an estoppel in the face of a statute depends upon the nature of the enactment, the purpose of the provision and the social policy behind it.</w:t>
      </w:r>
    </w:p>
    <w:p>
      <w:pPr>
        <w:jc w:val="both"/>
        <w:ind w:left="567" w:first-line="-567"/>
        <w:spacing w:after="160"/>
      </w:pPr>
      <w:r>
        <w:rPr>
          <w:rFonts w:ascii="Times New Roman" w:hAnsi="Times New Roman" w:cs="Times New Roman"/>
          <w:sz w:val="20"/>
          <w:sz-cs w:val="20"/>
        </w:rPr>
        <w:t xml:space="preserve">[40]</w:t>
        <w:tab/>
        <w:t xml:space="preserve"/>
      </w:r>
      <w:r>
        <w:rPr>
          <w:rFonts w:ascii="Times New Roman" w:hAnsi="Times New Roman" w:cs="Times New Roman"/>
          <w:sz w:val="24"/>
          <w:sz-cs w:val="24"/>
        </w:rPr>
        <w:t xml:space="preserve">The Murphys rely upon the decision in </w:t>
      </w:r>
      <w:r>
        <w:rPr>
          <w:rFonts w:ascii="Times New Roman" w:hAnsi="Times New Roman" w:cs="Times New Roman"/>
          <w:sz w:val="24"/>
          <w:sz-cs w:val="24"/>
          <w:i/>
        </w:rPr>
        <w:t xml:space="preserve">MJ Arthurs Pty Ltd v Isenbert</w:t>
      </w:r>
      <w:r>
        <w:rPr>
          <w:rFonts w:ascii="Times New Roman" w:hAnsi="Times New Roman" w:cs="Times New Roman"/>
          <w:sz w:val="24"/>
          <w:sz-cs w:val="24"/>
        </w:rPr>
        <w:t xml:space="preserve">. McGill DCJ considered the provisions of the </w:t>
      </w:r>
      <w:r>
        <w:rPr>
          <w:rFonts w:ascii="Times New Roman" w:hAnsi="Times New Roman" w:cs="Times New Roman"/>
          <w:sz w:val="24"/>
          <w:sz-cs w:val="24"/>
          <w:i/>
        </w:rPr>
        <w:t xml:space="preserve">Domestic Building Contracts Act</w:t>
      </w:r>
      <w:r>
        <w:rPr>
          <w:rFonts w:ascii="Times New Roman" w:hAnsi="Times New Roman" w:cs="Times New Roman"/>
          <w:sz w:val="24"/>
          <w:sz-cs w:val="24"/>
        </w:rPr>
        <w:t xml:space="preserve"> 2000 (Qld) (‘DBC Act’) which are broadly analogous to the provisions presently under consideration. </w:t>
      </w:r>
    </w:p>
    <w:p>
      <w:pPr>
        <w:jc w:val="both"/>
        <w:ind w:left="567" w:first-line="-567"/>
        <w:spacing w:after="160"/>
      </w:pPr>
      <w:r>
        <w:rPr>
          <w:rFonts w:ascii="Times New Roman" w:hAnsi="Times New Roman" w:cs="Times New Roman"/>
          <w:sz w:val="20"/>
          <w:sz-cs w:val="20"/>
        </w:rPr>
        <w:t xml:space="preserve">[41]</w:t>
        <w:tab/>
        <w:t xml:space="preserve"/>
      </w:r>
      <w:r>
        <w:rPr>
          <w:rFonts w:ascii="Times New Roman" w:hAnsi="Times New Roman" w:cs="Times New Roman"/>
          <w:sz w:val="24"/>
          <w:sz-cs w:val="24"/>
        </w:rPr>
        <w:t xml:space="preserve">The facts of the dispute in </w:t>
      </w:r>
      <w:r>
        <w:rPr>
          <w:rFonts w:ascii="Times New Roman" w:hAnsi="Times New Roman" w:cs="Times New Roman"/>
          <w:sz w:val="24"/>
          <w:sz-cs w:val="24"/>
          <w:i/>
        </w:rPr>
        <w:t xml:space="preserve">MJ Arthurs Pty Ltd </w:t>
      </w:r>
      <w:r>
        <w:rPr>
          <w:rFonts w:ascii="Times New Roman" w:hAnsi="Times New Roman" w:cs="Times New Roman"/>
          <w:sz w:val="24"/>
          <w:sz-cs w:val="24"/>
        </w:rPr>
        <w:t xml:space="preserve">were complex. The plaintiff builder engaged in an arrangement with a developer (Optima) to sell newly constructed houses. McGill DCJ observed:</w:t>
      </w:r>
    </w:p>
    <w:p>
      <w:pPr>
        <w:jc w:val="both"/>
        <w:ind w:left="1134"/>
        <w:spacing w:after="160"/>
      </w:pPr>
      <w:r>
        <w:rPr>
          <w:rFonts w:ascii="Times New Roman" w:hAnsi="Times New Roman" w:cs="Times New Roman"/>
          <w:sz w:val="22"/>
          <w:sz-cs w:val="22"/>
        </w:rPr>
        <w:t xml:space="preserve">[47] There is also the consideration that the effect of the arrangement between the plaintiff and Optima was essentially to bring into existence a series of contracts between the plaintiff and those who were sufficiently gullible to be taken in by Optima’s sales technique, under which the amount to be paid to the plaintiff to build the house that was to be built on their land, and hence presumably the value of that house, had been substantially, and perhaps fraudulently, inflated. The customers were thereby cheated out of the difference, since they were never told the amount that was being paid as a kickback to Optima. Mr Arthurs conceded that there were in the order of 60 to 70 of these contracts involved (p 70), and if the kickback of over $57,000 paid in this case was typical, the customers overall were cheated out of about $4 million. Someone who would be willing to participate in this sort of industrial scale deception is unlikely to be above a little perjury.  </w:t>
      </w:r>
    </w:p>
    <w:p>
      <w:pPr>
        <w:jc w:val="both"/>
        <w:ind w:left="567" w:first-line="-567"/>
        <w:spacing w:after="160"/>
      </w:pPr>
      <w:r>
        <w:rPr>
          <w:rFonts w:ascii="Times New Roman" w:hAnsi="Times New Roman" w:cs="Times New Roman"/>
          <w:sz w:val="20"/>
          <w:sz-cs w:val="20"/>
        </w:rPr>
        <w:t xml:space="preserve">[42]</w:t>
        <w:tab/>
        <w:t xml:space="preserve"/>
      </w:r>
      <w:r>
        <w:rPr>
          <w:rFonts w:ascii="Times New Roman" w:hAnsi="Times New Roman" w:cs="Times New Roman"/>
          <w:sz w:val="24"/>
          <w:sz-cs w:val="24"/>
        </w:rPr>
        <w:t xml:space="preserve">In </w:t>
      </w:r>
      <w:r>
        <w:rPr>
          <w:rFonts w:ascii="Times New Roman" w:hAnsi="Times New Roman" w:cs="Times New Roman"/>
          <w:sz w:val="24"/>
          <w:sz-cs w:val="24"/>
          <w:i/>
        </w:rPr>
        <w:t xml:space="preserve">MJ Arthurs Pty Ltd</w:t>
      </w:r>
      <w:r>
        <w:rPr>
          <w:rFonts w:ascii="Times New Roman" w:hAnsi="Times New Roman" w:cs="Times New Roman"/>
          <w:sz w:val="24"/>
          <w:sz-cs w:val="24"/>
        </w:rPr>
        <w:t xml:space="preserve"> the defendant building owners were not given a copy of the signed building contract. They withdrew from the contract pursuant to s 72 of the DBC Act. Section 72(3) of the DBC Act provided that if 5 business days had elapsed after the contract was entered into and the building owner was not given, inter alia, a copy of the signed contract, the building owner was entitled to withdraw from the contract. </w:t>
      </w:r>
    </w:p>
    <w:p>
      <w:pPr>
        <w:jc w:val="both"/>
        <w:ind w:left="567" w:first-line="-567"/>
        <w:spacing w:after="160"/>
      </w:pPr>
      <w:r>
        <w:rPr>
          <w:rFonts w:ascii="Times New Roman" w:hAnsi="Times New Roman" w:cs="Times New Roman"/>
          <w:sz w:val="20"/>
          <w:sz-cs w:val="20"/>
        </w:rPr>
        <w:t xml:space="preserve">[43]</w:t>
        <w:tab/>
        <w:t xml:space="preserve"/>
      </w:r>
      <w:r>
        <w:rPr>
          <w:rFonts w:ascii="Times New Roman" w:hAnsi="Times New Roman" w:cs="Times New Roman"/>
          <w:sz w:val="24"/>
          <w:sz-cs w:val="24"/>
        </w:rPr>
        <w:t xml:space="preserve">The plaintiff building contractor asserted that the defendants were estopped from withdrawing from the contract. McGill DCJ stated:</w:t>
      </w:r>
    </w:p>
    <w:p>
      <w:pPr>
        <w:jc w:val="both"/>
        <w:ind w:left="1134"/>
        <w:spacing w:after="160"/>
      </w:pPr>
      <w:r>
        <w:rPr>
          <w:rFonts w:ascii="Times New Roman" w:hAnsi="Times New Roman" w:cs="Times New Roman"/>
          <w:sz w:val="22"/>
          <w:sz-cs w:val="22"/>
        </w:rPr>
        <w:t xml:space="preserve">[119] Paragraph 38 then purported to plead an estoppel against the defendants, against their denying that they received a copy of the contract by July 2013, or reliance on s 72 of the Act. There are several things I would say about this. In the first place this is a statutory right which exists as a form of consumer protection for those who enter into regulated building contracts, and accordingly this is one of those cases where in my view no estoppel will run against the exercise of a statutory right by the defendants. This is consumer protection legislation, and by s 93 the parties cannot contract out of this provision, which suggests that there can be no estoppel against it.</w:t>
      </w:r>
    </w:p>
    <w:p>
      <w:pPr>
        <w:jc w:val="both"/>
        <w:ind w:left="1134"/>
        <w:spacing w:after="160"/>
      </w:pPr>
      <w:r>
        <w:rPr>
          <w:rFonts w:ascii="Times New Roman" w:hAnsi="Times New Roman" w:cs="Times New Roman"/>
          <w:sz w:val="22"/>
          <w:sz-cs w:val="22"/>
        </w:rPr>
        <w:t xml:space="preserve">[120] The second thing is that, as a pleading, this is not a proper pleading of an estoppel, because it does not identify the representation made by the defendants to the plaintiff which it is alleged the plaintiff relied on to its detriment. This is not just a deficiency of pleading, as there was no evidence of any representation by the defendants to the plaintiff at any time that they had received a copy of the signed contract, or for that matter that they would not exercise any right under s 72 of the Act. There was also no evidence that the plaintiff relied upon anything which might have been relevant to an estoppel.</w:t>
      </w:r>
    </w:p>
    <w:p>
      <w:pPr>
        <w:jc w:val="both"/>
        <w:ind w:left="1134"/>
        <w:spacing w:after="160"/>
      </w:pPr>
      <w:r>
        <w:rPr>
          <w:rFonts w:ascii="Times New Roman" w:hAnsi="Times New Roman" w:cs="Times New Roman"/>
          <w:sz w:val="22"/>
          <w:sz-cs w:val="22"/>
        </w:rPr>
        <w:t xml:space="preserve">[121] What was pleaded was that the plaintiff relied on the notification that finance was approved and that title to the land had been acquired, which it had not been told by or on behalf of the defendants, and which could not amount to a representation that the defendants had received a copy of the signed contract, or would not exercise their rights under s 72, and the matters pleaded in paragraph 36, most of which have not been proved, and none of which amounted to such a representation. There was also no evidence from Mr Arthurs that he in fact relied upon anything in particular in a way which would be relevant to paragraph 38. Finally, paragraph 38(e) does not properly plead detriment, since what is relevant is any detriment the plaintiff would suffer from the failure of the defendants to act in the way alleged to be subject to the estoppel, rather than incurring expense which would not have been incurred had the true situation been known. (footnotes omitted) </w:t>
      </w:r>
    </w:p>
    <w:p>
      <w:pPr>
        <w:jc w:val="both"/>
        <w:ind w:left="567" w:first-line="-567"/>
        <w:spacing w:after="160"/>
      </w:pPr>
      <w:r>
        <w:rPr>
          <w:rFonts w:ascii="Times New Roman" w:hAnsi="Times New Roman" w:cs="Times New Roman"/>
          <w:sz w:val="20"/>
          <w:sz-cs w:val="20"/>
        </w:rPr>
        <w:t xml:space="preserve">[44]</w:t>
        <w:tab/>
        <w:t xml:space="preserve"/>
      </w:r>
      <w:r>
        <w:rPr>
          <w:rFonts w:ascii="Times New Roman" w:hAnsi="Times New Roman" w:cs="Times New Roman"/>
          <w:sz w:val="24"/>
          <w:sz-cs w:val="24"/>
        </w:rPr>
        <w:t xml:space="preserve">The provision in the DBC Act referred to by McGill DCJ prohibiting contracting out is now found in s 108D of the QBCC Act.  </w:t>
      </w:r>
    </w:p>
    <w:p>
      <w:pPr>
        <w:jc w:val="both"/>
        <w:ind w:left="567" w:first-line="-567"/>
        <w:spacing w:after="160"/>
      </w:pPr>
      <w:r>
        <w:rPr>
          <w:rFonts w:ascii="Times New Roman" w:hAnsi="Times New Roman" w:cs="Times New Roman"/>
          <w:sz w:val="20"/>
          <w:sz-cs w:val="20"/>
        </w:rPr>
        <w:t xml:space="preserve">[45]</w:t>
        <w:tab/>
        <w:t xml:space="preserve"/>
      </w:r>
      <w:r>
        <w:rPr>
          <w:rFonts w:ascii="Times New Roman" w:hAnsi="Times New Roman" w:cs="Times New Roman"/>
          <w:sz w:val="24"/>
          <w:sz-cs w:val="24"/>
        </w:rPr>
        <w:t xml:space="preserve">In response, Number One relies upon the decision of Douglas J in </w:t>
      </w:r>
      <w:r>
        <w:rPr>
          <w:rFonts w:ascii="Times New Roman" w:hAnsi="Times New Roman" w:cs="Times New Roman"/>
          <w:sz w:val="24"/>
          <w:sz-cs w:val="24"/>
          <w:i/>
        </w:rPr>
        <w:t xml:space="preserve">Blackman v Milne </w:t>
      </w:r>
      <w:r>
        <w:rPr>
          <w:rFonts w:ascii="Times New Roman" w:hAnsi="Times New Roman" w:cs="Times New Roman"/>
          <w:sz w:val="24"/>
          <w:sz-cs w:val="24"/>
        </w:rPr>
        <w:t xml:space="preserve">where the court was required to consider whether s 365(2)(c)(ii) of the </w:t>
      </w:r>
      <w:r>
        <w:rPr>
          <w:rFonts w:ascii="Times New Roman" w:hAnsi="Times New Roman" w:cs="Times New Roman"/>
          <w:sz w:val="24"/>
          <w:sz-cs w:val="24"/>
          <w:i/>
        </w:rPr>
        <w:t xml:space="preserve">Property Agents and Motor Dealers Act </w:t>
      </w:r>
      <w:r>
        <w:rPr>
          <w:rFonts w:ascii="Times New Roman" w:hAnsi="Times New Roman" w:cs="Times New Roman"/>
          <w:sz w:val="24"/>
          <w:sz-cs w:val="24"/>
        </w:rPr>
        <w:t xml:space="preserve">2000 (Qld) (‘PAMDA’) created a private right for the benefit of an individual or whether the provision reflected a public policy for the benefit of the community. The section under consideration involved the requirement for a buyer’s attention to be directed to a warning statement. Douglas J stated:</w:t>
      </w:r>
    </w:p>
    <w:p>
      <w:pPr>
        <w:jc w:val="both"/>
        <w:ind w:left="1134"/>
        <w:spacing w:after="160"/>
      </w:pPr>
      <w:r>
        <w:rPr>
          <w:rFonts w:ascii="Times New Roman" w:hAnsi="Times New Roman" w:cs="Times New Roman"/>
          <w:sz w:val="22"/>
          <w:sz-cs w:val="22"/>
        </w:rPr>
        <w:t xml:space="preserve">[20] It seems to me, therefore, that the right in this case to have the buyers' attention directed to the warning statement was a statutory right created for the buyers' private benefit which they can, by their conduct, waive. That the performance of that obligation also permits sellers to clarify when the parties are bound to a contract does not stop the sellers' breach of the obligation from being characterised as a breach of a statutory right created for the buyers' private benefit.</w:t>
      </w:r>
    </w:p>
    <w:p>
      <w:pPr>
        <w:jc w:val="both"/>
        <w:ind w:left="567" w:first-line="-567"/>
        <w:spacing w:after="160"/>
      </w:pPr>
      <w:r>
        <w:rPr>
          <w:rFonts w:ascii="Times New Roman" w:hAnsi="Times New Roman" w:cs="Times New Roman"/>
          <w:sz w:val="20"/>
          <w:sz-cs w:val="20"/>
        </w:rPr>
        <w:t xml:space="preserve">[46]</w:t>
        <w:tab/>
        <w:t xml:space="preserve"/>
      </w:r>
      <w:r>
        <w:rPr>
          <w:rFonts w:ascii="Times New Roman" w:hAnsi="Times New Roman" w:cs="Times New Roman"/>
          <w:sz w:val="24"/>
          <w:sz-cs w:val="24"/>
        </w:rPr>
        <w:t xml:space="preserve">In </w:t>
      </w:r>
      <w:r>
        <w:rPr>
          <w:rFonts w:ascii="Times New Roman" w:hAnsi="Times New Roman" w:cs="Times New Roman"/>
          <w:sz w:val="24"/>
          <w:sz-cs w:val="24"/>
          <w:i/>
        </w:rPr>
        <w:t xml:space="preserve">Marchesi v Viridian Noosa Pty Ltd</w:t>
      </w:r>
      <w:r>
        <w:rPr>
          <w:rFonts w:ascii="Times New Roman" w:hAnsi="Times New Roman" w:cs="Times New Roman"/>
          <w:sz w:val="24"/>
          <w:sz-cs w:val="24"/>
        </w:rPr>
        <w:t xml:space="preserve"> Douglas J again considered the provisions of the PAMDA requiring a seller to give a warning statement to a buyer, this time coming to a somewhat different conclusion to that reached in </w:t>
      </w:r>
      <w:r>
        <w:rPr>
          <w:rFonts w:ascii="Times New Roman" w:hAnsi="Times New Roman" w:cs="Times New Roman"/>
          <w:sz w:val="24"/>
          <w:sz-cs w:val="24"/>
          <w:i/>
        </w:rPr>
        <w:t xml:space="preserve">Blackman</w:t>
      </w:r>
      <w:r>
        <w:rPr>
          <w:rFonts w:ascii="Times New Roman" w:hAnsi="Times New Roman" w:cs="Times New Roman"/>
          <w:sz w:val="24"/>
          <w:sz-cs w:val="24"/>
        </w:rPr>
        <w:t xml:space="preserve">. His Honour stated:</w:t>
      </w:r>
    </w:p>
    <w:p>
      <w:pPr>
        <w:jc w:val="both"/>
        <w:ind w:left="1134"/>
        <w:spacing w:after="160"/>
      </w:pPr>
      <w:r>
        <w:rPr>
          <w:rFonts w:ascii="Times New Roman" w:hAnsi="Times New Roman" w:cs="Times New Roman"/>
          <w:sz w:val="22"/>
          <w:sz-cs w:val="22"/>
        </w:rPr>
        <w:t xml:space="preserve">[17] In the circumstances it is unnecessary to express any concluded view in this case but the distinction drawn by me in </w:t>
      </w:r>
      <w:r>
        <w:rPr>
          <w:rFonts w:ascii="Times New Roman" w:hAnsi="Times New Roman" w:cs="Times New Roman"/>
          <w:sz w:val="22"/>
          <w:sz-cs w:val="22"/>
          <w:i/>
        </w:rPr>
        <w:t xml:space="preserve">Blackman v Milne</w:t>
      </w:r>
      <w:r>
        <w:rPr>
          <w:rFonts w:ascii="Times New Roman" w:hAnsi="Times New Roman" w:cs="Times New Roman"/>
          <w:sz w:val="22"/>
          <w:sz-cs w:val="22"/>
        </w:rPr>
        <w:t xml:space="preserve"> related to whether the statutory provision said to have been waived created a private right merely for the private benefit of an individual or was a provision reflecting a public policy for the benefit of the community which could not be waived. Mr Douglas SC submitted that the possible penal consequences of the failure to attach a warning statement found in s 366B(3) also warranted the conclusion that these provisions of the Act could not be waived by the buyer.</w:t>
      </w:r>
    </w:p>
    <w:p>
      <w:pPr>
        <w:jc w:val="both"/>
        <w:ind w:left="1134"/>
        <w:spacing w:after="160"/>
      </w:pPr>
      <w:r>
        <w:rPr>
          <w:rFonts w:ascii="Times New Roman" w:hAnsi="Times New Roman" w:cs="Times New Roman"/>
          <w:sz w:val="22"/>
          <w:sz-cs w:val="22"/>
        </w:rPr>
        <w:t xml:space="preserve">[18] The public policy reflected in the requirements for the provision of warning statements appears to be directed at the benefit of the community generally so that, if it were necessary to decide the issue, I would have been inclined to the view that the proper performance of the statutory provisions could not have been waived by Number One in circumstances such as these. As I have formed the view that there has been no failure to comply with the Act, however, I do not need to discuss these issues further.</w:t>
      </w:r>
    </w:p>
    <w:p>
      <w:pPr>
        <w:jc w:val="both"/>
        <w:ind w:left="567" w:first-line="-567"/>
        <w:spacing w:after="160"/>
      </w:pPr>
      <w:r>
        <w:rPr>
          <w:rFonts w:ascii="Times New Roman" w:hAnsi="Times New Roman" w:cs="Times New Roman"/>
          <w:sz w:val="20"/>
          <w:sz-cs w:val="20"/>
        </w:rPr>
        <w:t xml:space="preserve">[47]</w:t>
        <w:tab/>
        <w:t xml:space="preserve"/>
      </w:r>
      <w:r>
        <w:rPr>
          <w:rFonts w:ascii="Times New Roman" w:hAnsi="Times New Roman" w:cs="Times New Roman"/>
          <w:sz w:val="24"/>
          <w:sz-cs w:val="24"/>
        </w:rPr>
        <w:t xml:space="preserve">In </w:t>
      </w:r>
      <w:r>
        <w:rPr>
          <w:rFonts w:ascii="Times New Roman" w:hAnsi="Times New Roman" w:cs="Times New Roman"/>
          <w:sz w:val="24"/>
          <w:sz-cs w:val="24"/>
          <w:i/>
        </w:rPr>
        <w:t xml:space="preserve">Collis v Currumbin Investments Pty Ltd</w:t>
      </w:r>
      <w:r>
        <w:rPr>
          <w:rFonts w:ascii="Times New Roman" w:hAnsi="Times New Roman" w:cs="Times New Roman"/>
          <w:sz w:val="24"/>
          <w:sz-cs w:val="24"/>
        </w:rPr>
        <w:t xml:space="preserve"> de Jersey CJ (as he then was) also considered issues of waiver and estoppel involving the operation of the disclosure provisions under the PAMDA. Without finally determining the issue (the application being one for summary disposition of the matter), de Jersey CJ concluded that it was arguable the plaintiff had acted in a way consistent with waiving his statutory right to have a warning statement drawn to his attention. His Honour appears to have agreed with </w:t>
      </w:r>
      <w:r>
        <w:rPr>
          <w:rFonts w:ascii="Times New Roman" w:hAnsi="Times New Roman" w:cs="Times New Roman"/>
          <w:sz w:val="24"/>
          <w:sz-cs w:val="24"/>
          <w:i/>
        </w:rPr>
        <w:t xml:space="preserve">Blackman</w:t>
      </w:r>
      <w:r>
        <w:rPr>
          <w:rFonts w:ascii="Times New Roman" w:hAnsi="Times New Roman" w:cs="Times New Roman"/>
          <w:sz w:val="24"/>
          <w:sz-cs w:val="24"/>
        </w:rPr>
        <w:t xml:space="preserve">, stating:</w:t>
      </w:r>
    </w:p>
    <w:p>
      <w:pPr>
        <w:jc w:val="both"/>
        <w:ind w:left="1134"/>
        <w:spacing w:after="160"/>
      </w:pPr>
      <w:r>
        <w:rPr>
          <w:rFonts w:ascii="Times New Roman" w:hAnsi="Times New Roman" w:cs="Times New Roman"/>
          <w:sz w:val="22"/>
          <w:sz-cs w:val="22"/>
        </w:rPr>
        <w:t xml:space="preserve">[15] Mr O’Shea referred in response to the comparable case of </w:t>
      </w:r>
      <w:r>
        <w:rPr>
          <w:rFonts w:ascii="Times New Roman" w:hAnsi="Times New Roman" w:cs="Times New Roman"/>
          <w:sz w:val="22"/>
          <w:sz-cs w:val="22"/>
          <w:i/>
        </w:rPr>
        <w:t xml:space="preserve">Blackman v Milne</w:t>
      </w:r>
      <w:r>
        <w:rPr>
          <w:rFonts w:ascii="Times New Roman" w:hAnsi="Times New Roman" w:cs="Times New Roman"/>
          <w:sz w:val="22"/>
          <w:sz-cs w:val="22"/>
        </w:rPr>
        <w:t xml:space="preserve"> [2006] QSC 350, paras 14 and 20. I conclude that by his conduct in October 2008, Mr Collis waived his “statutory right … to have the buyer’s attention directed to the warning statement”, that being “a statutory right created for the buyer’s private benefit” (para 20).</w:t>
      </w:r>
    </w:p>
    <w:p>
      <w:pPr>
        <w:jc w:val="both"/>
        <w:ind w:left="567" w:first-line="-567"/>
        <w:spacing w:after="160"/>
      </w:pPr>
      <w:r>
        <w:rPr>
          <w:rFonts w:ascii="Times New Roman" w:hAnsi="Times New Roman" w:cs="Times New Roman"/>
          <w:sz w:val="20"/>
          <w:sz-cs w:val="20"/>
        </w:rPr>
        <w:t xml:space="preserve">[48]</w:t>
        <w:tab/>
        <w:t xml:space="preserve"/>
      </w:r>
      <w:r>
        <w:rPr>
          <w:rFonts w:ascii="Times New Roman" w:hAnsi="Times New Roman" w:cs="Times New Roman"/>
          <w:sz w:val="24"/>
          <w:sz-cs w:val="24"/>
        </w:rPr>
        <w:t xml:space="preserve">In </w:t>
      </w:r>
      <w:r>
        <w:rPr>
          <w:rFonts w:ascii="Times New Roman" w:hAnsi="Times New Roman" w:cs="Times New Roman"/>
          <w:sz w:val="24"/>
          <w:sz-cs w:val="24"/>
          <w:i/>
        </w:rPr>
        <w:t xml:space="preserve">Day Ford Pty Ltd v Sciacca</w:t>
      </w:r>
      <w:r>
        <w:rPr>
          <w:rFonts w:ascii="Times New Roman" w:hAnsi="Times New Roman" w:cs="Times New Roman"/>
          <w:sz w:val="24"/>
          <w:sz-cs w:val="24"/>
        </w:rPr>
        <w:t xml:space="preserve"> the Court of Appeal stated:</w:t>
      </w:r>
      <w:r>
        <w:rPr>
          <w:rFonts w:ascii="Times New Roman" w:hAnsi="Times New Roman" w:cs="Times New Roman"/>
          <w:sz w:val="24"/>
          <w:sz-cs w:val="24"/>
          <w:i/>
        </w:rPr>
        <w:t xml:space="preserve"/>
      </w:r>
    </w:p>
    <w:p>
      <w:pPr>
        <w:jc w:val="both"/>
        <w:ind w:left="1134"/>
        <w:spacing w:after="160"/>
      </w:pPr>
      <w:r>
        <w:rPr>
          <w:rFonts w:ascii="Times New Roman" w:hAnsi="Times New Roman" w:cs="Times New Roman"/>
          <w:sz w:val="22"/>
          <w:sz-cs w:val="22"/>
        </w:rPr>
        <w:t xml:space="preserve">A number of cases consider the place of estoppel in supporting the enforcement of a contract which would otherwise be void for illegality. In </w:t>
      </w:r>
      <w:r>
        <w:rPr>
          <w:rFonts w:ascii="Times New Roman" w:hAnsi="Times New Roman" w:cs="Times New Roman"/>
          <w:sz w:val="22"/>
          <w:sz-cs w:val="22"/>
          <w:i/>
        </w:rPr>
        <w:t xml:space="preserve">Kok Hoong v. Leong Cheong Kweng Mines Ltd</w:t>
      </w:r>
      <w:r>
        <w:rPr>
          <w:rFonts w:ascii="Times New Roman" w:hAnsi="Times New Roman" w:cs="Times New Roman"/>
          <w:sz w:val="22"/>
          <w:sz-cs w:val="22"/>
        </w:rPr>
        <w:t xml:space="preserve"> [1964] A.C. 993 reference is made to the familiar rule which in its ordinary form is stated in this fashion: a party cannot set up an estoppel in the face of a statute. At 1016 the Privy Council suggested that a test to apply in the type of case before it namely one involving the laws of money lending was to ask “whether the law that confronts the estoppel can be seen to represent a social policy to which the court must give effect in the interests of the public generally or some section of the public”. A similar approach had been adopted in </w:t>
      </w:r>
      <w:r>
        <w:rPr>
          <w:rFonts w:ascii="Times New Roman" w:hAnsi="Times New Roman" w:cs="Times New Roman"/>
          <w:sz w:val="22"/>
          <w:sz-cs w:val="22"/>
          <w:i/>
        </w:rPr>
        <w:t xml:space="preserve">Maritime Electric Co. v. General Dairies Ltd</w:t>
      </w:r>
      <w:r>
        <w:rPr>
          <w:rFonts w:ascii="Times New Roman" w:hAnsi="Times New Roman" w:cs="Times New Roman"/>
          <w:sz w:val="22"/>
          <w:sz-cs w:val="22"/>
        </w:rPr>
        <w:t xml:space="preserve"> [1937] A.C. 610 especially at 620 where it was said that in deciding whether an estoppel might be set up against the operation of a statute “the Court should first of all determine the nature of the obligation imposed by the statute, and then consider whether the admission of an estoppel would nullify the statutory provision”. At 621 the Court declared that it was “unable to see how the Court can admit an estoppel which would have the effect pro tanto and in the particular case of repealing the statute”. There is no need to multiply examples by the citation of authorities since the appropriateness of this approach based on consideration of social and statutory policy is so amply supported. In the present case we see that the statute by s. 8 imposed an unconditional prohibition upon the very type of sale which the written contract of May 1988 provided for. The plaintiffs’ claim so far as they rely upon estoppel should be rejected. (footnotes omitted)</w:t>
      </w:r>
    </w:p>
    <w:p>
      <w:pPr>
        <w:jc w:val="both"/>
        <w:ind w:left="567" w:first-line="-567"/>
        <w:spacing w:after="160"/>
      </w:pPr>
      <w:r>
        <w:rPr>
          <w:rFonts w:ascii="Times New Roman" w:hAnsi="Times New Roman" w:cs="Times New Roman"/>
          <w:sz w:val="20"/>
          <w:sz-cs w:val="20"/>
        </w:rPr>
        <w:t xml:space="preserve">[49]</w:t>
        <w:tab/>
        <w:t xml:space="preserve"/>
      </w:r>
      <w:r>
        <w:rPr>
          <w:rFonts w:ascii="Times New Roman" w:hAnsi="Times New Roman" w:cs="Times New Roman"/>
          <w:sz w:val="24"/>
          <w:sz-cs w:val="24"/>
        </w:rPr>
        <w:t xml:space="preserve">The Murphys say that the decision of McGill DCJ in </w:t>
      </w:r>
      <w:r>
        <w:rPr>
          <w:rFonts w:ascii="Times New Roman" w:hAnsi="Times New Roman" w:cs="Times New Roman"/>
          <w:sz w:val="24"/>
          <w:sz-cs w:val="24"/>
          <w:i/>
        </w:rPr>
        <w:t xml:space="preserve">MJ Arthurs Pty Ltd</w:t>
      </w:r>
      <w:r>
        <w:rPr>
          <w:rFonts w:ascii="Times New Roman" w:hAnsi="Times New Roman" w:cs="Times New Roman"/>
          <w:sz w:val="24"/>
          <w:sz-cs w:val="24"/>
        </w:rPr>
        <w:t xml:space="preserve"> compels the conclusion that Number One’s argument in relation to the estoppel issue must fail. There are a number of points to be made about this submission. Firstly, </w:t>
      </w:r>
      <w:r>
        <w:rPr>
          <w:rFonts w:ascii="Times New Roman" w:hAnsi="Times New Roman" w:cs="Times New Roman"/>
          <w:sz w:val="24"/>
          <w:sz-cs w:val="24"/>
          <w:i/>
        </w:rPr>
        <w:t xml:space="preserve">MJ Arthurs</w:t>
      </w:r>
      <w:r>
        <w:rPr>
          <w:rFonts w:ascii="Times New Roman" w:hAnsi="Times New Roman" w:cs="Times New Roman"/>
          <w:sz w:val="24"/>
          <w:sz-cs w:val="24"/>
        </w:rPr>
        <w:t xml:space="preserve"> is a decision of a single District Court judge and not binding upon the tribunal notwithstanding its persuasiveness. Secondly, </w:t>
      </w:r>
      <w:r>
        <w:rPr>
          <w:rFonts w:ascii="Times New Roman" w:hAnsi="Times New Roman" w:cs="Times New Roman"/>
          <w:sz w:val="24"/>
          <w:sz-cs w:val="24"/>
          <w:i/>
        </w:rPr>
        <w:t xml:space="preserve">MJ Arthurs</w:t>
      </w:r>
      <w:r>
        <w:rPr>
          <w:rFonts w:ascii="Times New Roman" w:hAnsi="Times New Roman" w:cs="Times New Roman"/>
          <w:sz w:val="24"/>
          <w:sz-cs w:val="24"/>
        </w:rPr>
        <w:t xml:space="preserve"> dealt with the DBC Act which does not apply in the present case despite the similarity in the relevant legislative provisions. Thirdly, the statements by McGill DCJ in the judgement might be seen as somewhat equivocal at least insofar as his Honour proceeded to deal in some detail with the inadequacy of the plaintiff’s pleading relating to the alleged estoppel. Relevantly, his Honour also found that the plaintiff had not relied upon any evidence relevant to an estoppel and the general inadequacy of the evidence on the issue of estoppel.  </w:t>
      </w:r>
    </w:p>
    <w:p>
      <w:pPr>
        <w:jc w:val="both"/>
        <w:ind w:left="567" w:first-line="-567"/>
        <w:spacing w:after="160"/>
      </w:pPr>
      <w:r>
        <w:rPr>
          <w:rFonts w:ascii="Times New Roman" w:hAnsi="Times New Roman" w:cs="Times New Roman"/>
          <w:sz w:val="20"/>
          <w:sz-cs w:val="20"/>
        </w:rPr>
        <w:t xml:space="preserve">[50]</w:t>
        <w:tab/>
        <w:t xml:space="preserve"/>
      </w:r>
      <w:r>
        <w:rPr>
          <w:rFonts w:ascii="Times New Roman" w:hAnsi="Times New Roman" w:cs="Times New Roman"/>
          <w:sz w:val="24"/>
          <w:sz-cs w:val="24"/>
        </w:rPr>
        <w:t xml:space="preserve">In </w:t>
      </w:r>
      <w:r>
        <w:rPr>
          <w:rFonts w:ascii="Times New Roman" w:hAnsi="Times New Roman" w:cs="Times New Roman"/>
          <w:sz w:val="24"/>
          <w:sz-cs w:val="24"/>
          <w:i/>
        </w:rPr>
        <w:t xml:space="preserve">Sultana Investments P/L v Cellcom P/L</w:t>
      </w:r>
      <w:r>
        <w:rPr>
          <w:rFonts w:ascii="Times New Roman" w:hAnsi="Times New Roman" w:cs="Times New Roman"/>
          <w:sz w:val="24"/>
          <w:sz-cs w:val="24"/>
        </w:rPr>
        <w:t xml:space="preserve"> the Court of Appeal, considering the application of the PAMDA legislation, stated:</w:t>
      </w:r>
    </w:p>
    <w:p>
      <w:pPr>
        <w:jc w:val="both"/>
        <w:ind w:left="1134"/>
        <w:spacing w:after="160"/>
      </w:pPr>
      <w:r>
        <w:rPr>
          <w:rFonts w:ascii="Times New Roman" w:hAnsi="Times New Roman" w:cs="Times New Roman"/>
          <w:sz w:val="22"/>
          <w:sz-cs w:val="22"/>
        </w:rPr>
        <w:t xml:space="preserve">[53] PAMDA legislation is principally for the benefit of consumers. In so far as real estate agents are concerned, those consumers may be buyers or sellers. There is a wider public interest in regulating the activities of real estate agents beyond the particular party or parties to any transaction, for example, into the security of the agent’s trust account and to disclosure of interests which may conflict with those of a buyer or seller. The fees collected for a real estate agent’s licence are directed to the Claims Fund established under the Act to which certain consumers may have resort. There are special provisions which will govern particular contracts, the benefit of which may be waived as in </w:t>
      </w:r>
      <w:r>
        <w:rPr>
          <w:rFonts w:ascii="Times New Roman" w:hAnsi="Times New Roman" w:cs="Times New Roman"/>
          <w:sz w:val="22"/>
          <w:sz-cs w:val="22"/>
          <w:i/>
        </w:rPr>
        <w:t xml:space="preserve">Blackman v Milne</w:t>
      </w:r>
      <w:r>
        <w:rPr>
          <w:rFonts w:ascii="Times New Roman" w:hAnsi="Times New Roman" w:cs="Times New Roman"/>
          <w:sz w:val="22"/>
          <w:sz-cs w:val="22"/>
        </w:rPr>
        <w:t xml:space="preserve">. However, s 140 is couched in absolute terms. It is very like provisions in the Queensland Building Services Authority Act 1991 considered by this court in </w:t>
      </w:r>
      <w:r>
        <w:rPr>
          <w:rFonts w:ascii="Times New Roman" w:hAnsi="Times New Roman" w:cs="Times New Roman"/>
          <w:sz w:val="22"/>
          <w:sz-cs w:val="22"/>
          <w:i/>
        </w:rPr>
        <w:t xml:space="preserve">Marshall v Marshall</w:t>
      </w:r>
      <w:r>
        <w:rPr>
          <w:rFonts w:ascii="Times New Roman" w:hAnsi="Times New Roman" w:cs="Times New Roman"/>
          <w:sz w:val="22"/>
          <w:sz-cs w:val="22"/>
        </w:rPr>
        <w:t xml:space="preserve">. In that case McPherson JA referred to the public purpose of the legislation in protecting the public from poor workmanship by unlicensed builders by penalising them, and to provide for a fund for claims. On the facts of this case it might be supposed that the consumers to be protected are the investor clients. They make no complaint. There is no reward which the respondent seeks to recover from them. But notwithstanding the disclosure of the fee earned by the successful sale, the respondent was in a position of conflict with its investor clients, something which the Code of Conduct made under PAMDA condemned. The appellant had the benefit of the work done by the respondent in introducing 14 buyers who completed. It lost nothing on the termination of the contracts as the appellant kept the forfeited deposits and subsequently sold those apartments at a higher price. The clear language of the Act, together with the public purpose of the legislation, would, however, dictate that the respondent could not raise an estoppel against the appellant. It may seem an unattractive outcome, but that is the consequence of a legislative decision to require those who act as real estate agents to be licensed, and, if not, to be penalised.</w:t>
      </w:r>
    </w:p>
    <w:p>
      <w:pPr>
        <w:jc w:val="both"/>
        <w:ind w:left="567" w:first-line="-567"/>
        <w:spacing w:after="160"/>
      </w:pPr>
      <w:r>
        <w:rPr>
          <w:rFonts w:ascii="Times New Roman" w:hAnsi="Times New Roman" w:cs="Times New Roman"/>
          <w:sz w:val="20"/>
          <w:sz-cs w:val="20"/>
        </w:rPr>
        <w:t xml:space="preserve">[51]</w:t>
        <w:tab/>
        <w:t xml:space="preserve"/>
      </w:r>
      <w:r>
        <w:rPr>
          <w:rFonts w:ascii="Times New Roman" w:hAnsi="Times New Roman" w:cs="Times New Roman"/>
          <w:sz w:val="24"/>
          <w:sz-cs w:val="24"/>
        </w:rPr>
        <w:t xml:space="preserve">In the present case, there is no suggestion that the contract between the parties was prohibited or otherwise illegal. Indeed s 44 of schedule 1B provides that, unless a contrary intention appears in the Act, a failure by a building contractor to comply with a requirement under the Act in relation to a domestic building contract does not make the contract illegal, void or unenforceable. The present circumstances are not analogous with those in </w:t>
      </w:r>
      <w:r>
        <w:rPr>
          <w:rFonts w:ascii="Times New Roman" w:hAnsi="Times New Roman" w:cs="Times New Roman"/>
          <w:sz w:val="24"/>
          <w:sz-cs w:val="24"/>
          <w:i/>
        </w:rPr>
        <w:t xml:space="preserve">Marshall</w:t>
      </w:r>
      <w:r>
        <w:rPr>
          <w:rFonts w:ascii="Times New Roman" w:hAnsi="Times New Roman" w:cs="Times New Roman"/>
          <w:sz w:val="24"/>
          <w:sz-cs w:val="24"/>
        </w:rPr>
        <w:t xml:space="preserve"> and subsequent cases and the broad prohibition under the QBCC Act in relation to unlicensed persons undertaking to perform building work, performing building work or receiving any form of consideration in respect of the performance of building work. As the Court of Appeal has made clear, such contracts are illegal.   </w:t>
      </w:r>
    </w:p>
    <w:p>
      <w:pPr>
        <w:jc w:val="both"/>
        <w:ind w:left="567" w:first-line="-567"/>
        <w:spacing w:after="160"/>
      </w:pPr>
      <w:r>
        <w:rPr>
          <w:rFonts w:ascii="Times New Roman" w:hAnsi="Times New Roman" w:cs="Times New Roman"/>
          <w:sz w:val="20"/>
          <w:sz-cs w:val="20"/>
        </w:rPr>
        <w:t xml:space="preserve">[52]</w:t>
        <w:tab/>
        <w:t xml:space="preserve"/>
      </w:r>
      <w:r>
        <w:rPr>
          <w:rFonts w:ascii="Times New Roman" w:hAnsi="Times New Roman" w:cs="Times New Roman"/>
          <w:sz w:val="24"/>
          <w:sz-cs w:val="24"/>
        </w:rPr>
        <w:t xml:space="preserve">In my view it is at least arguable that the provisions of Part 5 of schedule 1B are significantly confined, or predominantly confined, to the homeowner and building contractor. The QBCC Act may be distinguished for example from the legislative provisions considered in </w:t>
      </w:r>
      <w:r>
        <w:rPr>
          <w:rFonts w:ascii="Times New Roman" w:hAnsi="Times New Roman" w:cs="Times New Roman"/>
          <w:sz w:val="24"/>
          <w:sz-cs w:val="24"/>
          <w:i/>
        </w:rPr>
        <w:t xml:space="preserve">Roberts v Australia and New Zealand Banking Group Ltd</w:t>
      </w:r>
      <w:r>
        <w:rPr>
          <w:rFonts w:ascii="Times New Roman" w:hAnsi="Times New Roman" w:cs="Times New Roman"/>
          <w:sz w:val="24"/>
          <w:sz-cs w:val="24"/>
        </w:rPr>
        <w:t xml:space="preserve">, which the Court of Appeal found formed ‘part of an elaborate scheme with a broad public orientation, embracing its financial viability and flow-on features like CTP insurance premium levels. Tightly regulating the circumstances in which claims may be pursued in court cannot be characterized as of concern only, or even primarily, to the parties immediately affected.’ </w:t>
      </w:r>
    </w:p>
    <w:p>
      <w:pPr>
        <w:jc w:val="both"/>
        <w:ind w:left="567" w:first-line="-567"/>
        <w:spacing w:after="160"/>
      </w:pPr>
      <w:r>
        <w:rPr>
          <w:rFonts w:ascii="Times New Roman" w:hAnsi="Times New Roman" w:cs="Times New Roman"/>
          <w:sz w:val="20"/>
          <w:sz-cs w:val="20"/>
        </w:rPr>
        <w:t xml:space="preserve">[53]</w:t>
        <w:tab/>
        <w:t xml:space="preserve"/>
      </w:r>
      <w:r>
        <w:rPr>
          <w:rFonts w:ascii="Times New Roman" w:hAnsi="Times New Roman" w:cs="Times New Roman"/>
          <w:sz w:val="24"/>
          <w:sz-cs w:val="24"/>
        </w:rPr>
        <w:t xml:space="preserve">Whilst the QBCC Act may be considered consumer legislation, the main object of which is to protect consumers from incompetent or dishonest builders, the objects of the Act also include achieving a </w:t>
      </w:r>
      <w:r>
        <w:rPr>
          <w:rFonts w:ascii="Times New Roman" w:hAnsi="Times New Roman" w:cs="Times New Roman"/>
          <w:sz w:val="24"/>
          <w:sz-cs w:val="24"/>
          <w:i/>
        </w:rPr>
        <w:t xml:space="preserve">reasonable</w:t>
      </w:r>
      <w:r>
        <w:rPr>
          <w:rFonts w:ascii="Times New Roman" w:hAnsi="Times New Roman" w:cs="Times New Roman"/>
          <w:sz w:val="24"/>
          <w:sz-cs w:val="24"/>
        </w:rPr>
        <w:t xml:space="preserve"> balance between the interests of building contractors and building owners by regulating the building industry and domestic building contracts. </w:t>
      </w:r>
    </w:p>
    <w:p>
      <w:pPr>
        <w:jc w:val="both"/>
        <w:ind w:left="567" w:first-line="-567"/>
        <w:spacing w:after="160"/>
      </w:pPr>
      <w:r>
        <w:rPr>
          <w:rFonts w:ascii="Times New Roman" w:hAnsi="Times New Roman" w:cs="Times New Roman"/>
          <w:sz w:val="20"/>
          <w:sz-cs w:val="20"/>
        </w:rPr>
        <w:t xml:space="preserve">[54]</w:t>
        <w:tab/>
        <w:t xml:space="preserve"/>
      </w:r>
      <w:r>
        <w:rPr>
          <w:rFonts w:ascii="Times New Roman" w:hAnsi="Times New Roman" w:cs="Times New Roman"/>
          <w:sz w:val="24"/>
          <w:sz-cs w:val="24"/>
        </w:rPr>
        <w:t xml:space="preserve">If the interpretation I have posited is open, then Number One may be able to establish on a contested hearing that the Murphys were experienced in building construction projects and that Number One acted to its detriment in undertaking the construction work absent the provision of a copy of the signed contract and consumer building guide to the Murphys. Had the Murphys requested the documents at an earlier point in time, Number One could have done so. It follows that Number One may have an argument that it would be unconscionable for the Murphys to resile from the position that there was on foot an enforceable contract pursuant to which Number One undertook building work. Number One may therefore be entitled to assert that the Murphys should be estopped from denying that they waived compliance with the requirements of the QBCC Act to receive a copy of the contract and the consumer building guide.</w:t>
      </w:r>
    </w:p>
    <w:p>
      <w:pPr>
        <w:jc w:val="both"/>
        <w:ind w:left="567" w:first-line="-567"/>
        <w:spacing w:after="160"/>
      </w:pPr>
      <w:r>
        <w:rPr>
          <w:rFonts w:ascii="Times New Roman" w:hAnsi="Times New Roman" w:cs="Times New Roman"/>
          <w:sz w:val="20"/>
          <w:sz-cs w:val="20"/>
        </w:rPr>
        <w:t xml:space="preserve">[55]</w:t>
        <w:tab/>
        <w:t xml:space="preserve"/>
      </w:r>
      <w:r>
        <w:rPr>
          <w:rFonts w:ascii="Times New Roman" w:hAnsi="Times New Roman" w:cs="Times New Roman"/>
          <w:sz w:val="24"/>
          <w:sz-cs w:val="24"/>
        </w:rPr>
        <w:t xml:space="preserve">The proposed preliminary issue requires the determination of the statutory construction issue to which I have referred and, if the issue is determined in Number One’s favour, a (presumably) contested hearing to determine whether, as a matter of law and fact, an estoppel arises.  </w:t>
      </w:r>
    </w:p>
    <w:p>
      <w:pPr>
        <w:jc w:val="both"/>
        <w:ind w:left="567" w:first-line="-567"/>
        <w:spacing w:after="160"/>
      </w:pPr>
      <w:r>
        <w:rPr>
          <w:rFonts w:ascii="Times New Roman" w:hAnsi="Times New Roman" w:cs="Times New Roman"/>
          <w:sz w:val="20"/>
          <w:sz-cs w:val="20"/>
        </w:rPr>
        <w:t xml:space="preserve">[56]</w:t>
        <w:tab/>
        <w:t xml:space="preserve"/>
      </w:r>
      <w:r>
        <w:rPr>
          <w:rFonts w:ascii="Times New Roman" w:hAnsi="Times New Roman" w:cs="Times New Roman"/>
          <w:sz w:val="24"/>
          <w:sz-cs w:val="24"/>
        </w:rPr>
        <w:t xml:space="preserve">This of itself raises the very real prospect that the determination of the preliminary issue will give rise to significant contested factual issues both at the time of the hearing of the preliminary question and at the time of the final hearing and result in overlap between the evidence adduced on the hearing of the preliminary issue and at the final hearing. There is also the very real possibility that this will lead to the prolongation rather than the shortening of the proceedings. </w:t>
      </w:r>
    </w:p>
    <w:p>
      <w:pPr>
        <w:jc w:val="both"/>
        <w:ind w:left="567" w:first-line="-567"/>
        <w:spacing w:after="160"/>
      </w:pPr>
      <w:r>
        <w:rPr>
          <w:rFonts w:ascii="Times New Roman" w:hAnsi="Times New Roman" w:cs="Times New Roman"/>
          <w:sz w:val="20"/>
          <w:sz-cs w:val="20"/>
        </w:rPr>
        <w:t xml:space="preserve">[57]</w:t>
        <w:tab/>
        <w:t xml:space="preserve"/>
      </w:r>
      <w:r>
        <w:rPr>
          <w:rFonts w:ascii="Times New Roman" w:hAnsi="Times New Roman" w:cs="Times New Roman"/>
          <w:sz w:val="24"/>
          <w:sz-cs w:val="24"/>
        </w:rPr>
        <w:t xml:space="preserve">The Murphys ‘invite the tribunal to assume that the facts underlying the estoppel case are made out.’ Tempting as that invitation may appear at first blush, there is nothing in the submissions by the parties that lead me to conclude that there is any agreement as to the relevant facts. It might be a different matter if the parties had presented to the tribunal an agreement on the relevant facts. They have not however done so.</w:t>
      </w:r>
    </w:p>
    <w:p>
      <w:pPr>
        <w:jc w:val="both"/>
        <w:ind w:left="567" w:first-line="-567"/>
        <w:spacing w:after="160"/>
      </w:pPr>
      <w:r>
        <w:rPr>
          <w:rFonts w:ascii="Times New Roman" w:hAnsi="Times New Roman" w:cs="Times New Roman"/>
          <w:sz w:val="20"/>
          <w:sz-cs w:val="20"/>
        </w:rPr>
        <w:t xml:space="preserve">[58]</w:t>
        <w:tab/>
        <w:t xml:space="preserve"/>
      </w:r>
      <w:r>
        <w:rPr>
          <w:rFonts w:ascii="Times New Roman" w:hAnsi="Times New Roman" w:cs="Times New Roman"/>
          <w:sz w:val="24"/>
          <w:sz-cs w:val="24"/>
        </w:rPr>
        <w:t xml:space="preserve">There are other reasons for declining to determine the preliminary issue. </w:t>
      </w:r>
    </w:p>
    <w:p>
      <w:pPr>
        <w:jc w:val="both"/>
        <w:ind w:left="567" w:first-line="-567"/>
        <w:spacing w:after="160"/>
      </w:pPr>
      <w:r>
        <w:rPr>
          <w:rFonts w:ascii="Times New Roman" w:hAnsi="Times New Roman" w:cs="Times New Roman"/>
          <w:sz w:val="20"/>
          <w:sz-cs w:val="20"/>
        </w:rPr>
        <w:t xml:space="preserve">[59]</w:t>
        <w:tab/>
        <w:t xml:space="preserve"/>
      </w:r>
      <w:r>
        <w:rPr>
          <w:rFonts w:ascii="Times New Roman" w:hAnsi="Times New Roman" w:cs="Times New Roman"/>
          <w:sz w:val="24"/>
          <w:sz-cs w:val="24"/>
        </w:rPr>
        <w:t xml:space="preserve">The preliminary issue, as framed, requires the determination of whether the Murphys are entitled to a refund from Number One of $28,373.92. The drafting of this aspect of the preliminary issue is somewhat curious. Presumably if the question is answered in the negative, the matter will still require a further hearing as to the amount to which the Murphys may be entitled. As framed, the preliminary issue does not allow for the determination of a different amount to that stated.  </w:t>
      </w:r>
    </w:p>
    <w:p>
      <w:pPr>
        <w:jc w:val="both"/>
        <w:ind w:left="567" w:first-line="-567"/>
        <w:spacing w:after="160"/>
      </w:pPr>
      <w:r>
        <w:rPr>
          <w:rFonts w:ascii="Times New Roman" w:hAnsi="Times New Roman" w:cs="Times New Roman"/>
          <w:sz w:val="20"/>
          <w:sz-cs w:val="20"/>
        </w:rPr>
        <w:t xml:space="preserve">[60]</w:t>
        <w:tab/>
        <w:t xml:space="preserve"/>
      </w:r>
      <w:r>
        <w:rPr>
          <w:rFonts w:ascii="Times New Roman" w:hAnsi="Times New Roman" w:cs="Times New Roman"/>
          <w:sz w:val="24"/>
          <w:sz-cs w:val="24"/>
        </w:rPr>
        <w:t xml:space="preserve">The Murphys say that if the preliminary issue is determined in their favour, they will confine their counterclaim to the amount of $28,373.92 being the difference between the total amount paid by the Murphys to Number One and the expenses claimed by Number One. The Murphys also say that their counterclaim for defects will fall away if the preliminary issue is determined in their favour. They say that this is because the counterclaim for damages for defective work is pleaded as a set off only, referring to the fact they have now in fact sold the property. </w:t>
      </w:r>
    </w:p>
    <w:p>
      <w:pPr>
        <w:jc w:val="both"/>
        <w:ind w:left="567" w:first-line="-567"/>
        <w:spacing w:after="160"/>
      </w:pPr>
      <w:r>
        <w:rPr>
          <w:rFonts w:ascii="Times New Roman" w:hAnsi="Times New Roman" w:cs="Times New Roman"/>
          <w:sz w:val="20"/>
          <w:sz-cs w:val="20"/>
        </w:rPr>
        <w:t xml:space="preserve">[61]</w:t>
        <w:tab/>
        <w:t xml:space="preserve"/>
      </w:r>
      <w:r>
        <w:rPr>
          <w:rFonts w:ascii="Times New Roman" w:hAnsi="Times New Roman" w:cs="Times New Roman"/>
          <w:sz w:val="24"/>
          <w:sz-cs w:val="24"/>
        </w:rPr>
        <w:t xml:space="preserve">In order to understand this submission it is necessary to examine the response and counter application more closely. </w:t>
      </w:r>
    </w:p>
    <w:p>
      <w:pPr>
        <w:jc w:val="both"/>
        <w:ind w:left="567" w:first-line="-567"/>
        <w:spacing w:after="160"/>
      </w:pPr>
      <w:r>
        <w:rPr>
          <w:rFonts w:ascii="Times New Roman" w:hAnsi="Times New Roman" w:cs="Times New Roman"/>
          <w:sz w:val="20"/>
          <w:sz-cs w:val="20"/>
        </w:rPr>
        <w:t xml:space="preserve">[62]</w:t>
        <w:tab/>
        <w:t xml:space="preserve"/>
      </w:r>
      <w:r>
        <w:rPr>
          <w:rFonts w:ascii="Times New Roman" w:hAnsi="Times New Roman" w:cs="Times New Roman"/>
          <w:sz w:val="24"/>
          <w:sz-cs w:val="24"/>
        </w:rPr>
        <w:t xml:space="preserve">In their response, the Murphys say that Number One’s evidence is that the actual out of pocket expenses incurred by Number One, before the Murphys withdrew from the contract, were $623,066.40 (I will refer to this as ‘Number One’s estimate of the out of pocket expenses’). The evidence of Number One is that this amount represents ‘the total gross costs for the construction work’. The Murphys also say in their response that Number One’s out of pocket expenses ought not to have exceeded $598,000.00 (I will refer to this as ‘the expert evidence in relation to the out of pocket expenses’). The Murphys assert that they paid a total of $651,440.32 to Number One. </w:t>
      </w:r>
    </w:p>
    <w:p>
      <w:pPr>
        <w:jc w:val="both"/>
        <w:ind w:left="567" w:first-line="-567"/>
        <w:spacing w:after="160"/>
      </w:pPr>
      <w:r>
        <w:rPr>
          <w:rFonts w:ascii="Times New Roman" w:hAnsi="Times New Roman" w:cs="Times New Roman"/>
          <w:sz w:val="20"/>
          <w:sz-cs w:val="20"/>
        </w:rPr>
        <w:t xml:space="preserve">[63]</w:t>
        <w:tab/>
        <w:t xml:space="preserve"/>
      </w:r>
      <w:r>
        <w:rPr>
          <w:rFonts w:ascii="Times New Roman" w:hAnsi="Times New Roman" w:cs="Times New Roman"/>
          <w:sz w:val="24"/>
          <w:sz-cs w:val="24"/>
        </w:rPr>
        <w:t xml:space="preserve">The difference between the amount paid by the Murphys and Number One’s estimate of the out of pocket expenses is $28,373.92. The difference between the amount paid by the Murphys and the expert evidence in relation to the out of pocket expenses is $53,440.32.</w:t>
      </w:r>
    </w:p>
    <w:p>
      <w:pPr>
        <w:jc w:val="both"/>
        <w:ind w:left="567" w:first-line="-567"/>
        <w:spacing w:after="160"/>
      </w:pPr>
      <w:r>
        <w:rPr>
          <w:rFonts w:ascii="Times New Roman" w:hAnsi="Times New Roman" w:cs="Times New Roman"/>
          <w:sz w:val="20"/>
          <w:sz-cs w:val="20"/>
        </w:rPr>
        <w:t xml:space="preserve">[64]</w:t>
        <w:tab/>
        <w:t xml:space="preserve"/>
      </w:r>
      <w:r>
        <w:rPr>
          <w:rFonts w:ascii="Times New Roman" w:hAnsi="Times New Roman" w:cs="Times New Roman"/>
          <w:sz w:val="24"/>
          <w:sz-cs w:val="24"/>
        </w:rPr>
        <w:t xml:space="preserve">The Murphys’ counterclaim refers to the cost of rectifying defective work in the amount of $77,069.50 comprising $5,069.50 relating to the relocation of a stormwater discharge point and $72,000.00 for other rectification works. </w:t>
      </w:r>
    </w:p>
    <w:p>
      <w:pPr>
        <w:jc w:val="both"/>
        <w:ind w:left="567" w:first-line="-567"/>
        <w:spacing w:after="160"/>
      </w:pPr>
      <w:r>
        <w:rPr>
          <w:rFonts w:ascii="Times New Roman" w:hAnsi="Times New Roman" w:cs="Times New Roman"/>
          <w:sz w:val="20"/>
          <w:sz-cs w:val="20"/>
        </w:rPr>
        <w:t xml:space="preserve">[65]</w:t>
        <w:tab/>
        <w:t xml:space="preserve"/>
      </w:r>
      <w:r>
        <w:rPr>
          <w:rFonts w:ascii="Times New Roman" w:hAnsi="Times New Roman" w:cs="Times New Roman"/>
          <w:sz w:val="24"/>
          <w:sz-cs w:val="24"/>
        </w:rPr>
        <w:t xml:space="preserve">The Murphys also claim damages for misleading or deceptive conduct. This relates to what the Murphys say were representations by Number One as to the cost of the building works. The amount claimed in respect of the alleged misleading or deceptive conduct is $53,440.32 (which is the expert evidence in relation to the out of pocket expenses).  </w:t>
      </w:r>
    </w:p>
    <w:p>
      <w:pPr>
        <w:jc w:val="both"/>
        <w:ind w:left="567" w:first-line="-567"/>
        <w:spacing w:after="160"/>
      </w:pPr>
      <w:r>
        <w:rPr>
          <w:rFonts w:ascii="Times New Roman" w:hAnsi="Times New Roman" w:cs="Times New Roman"/>
          <w:sz w:val="20"/>
          <w:sz-cs w:val="20"/>
        </w:rPr>
        <w:t xml:space="preserve">[66]</w:t>
        <w:tab/>
        <w:t xml:space="preserve"/>
      </w:r>
      <w:r>
        <w:rPr>
          <w:rFonts w:ascii="Times New Roman" w:hAnsi="Times New Roman" w:cs="Times New Roman"/>
          <w:sz w:val="24"/>
          <w:sz-cs w:val="24"/>
        </w:rPr>
        <w:t xml:space="preserve">In its reply, Number One says that the actual out of pocket expenses it incurred in undertaking the building work totalled $654,234.41 which includes an amount for administration expenses. The administration expense claim by Number One is disputed by the Murphys. </w:t>
      </w:r>
    </w:p>
    <w:p>
      <w:pPr>
        <w:jc w:val="both"/>
        <w:ind w:left="567" w:first-line="-567"/>
        <w:spacing w:after="160"/>
      </w:pPr>
      <w:r>
        <w:rPr>
          <w:rFonts w:ascii="Times New Roman" w:hAnsi="Times New Roman" w:cs="Times New Roman"/>
          <w:sz w:val="20"/>
          <w:sz-cs w:val="20"/>
        </w:rPr>
        <w:t xml:space="preserve">[67]</w:t>
        <w:tab/>
        <w:t xml:space="preserve"/>
      </w:r>
      <w:r>
        <w:rPr>
          <w:rFonts w:ascii="Times New Roman" w:hAnsi="Times New Roman" w:cs="Times New Roman"/>
          <w:sz w:val="24"/>
          <w:sz-cs w:val="24"/>
        </w:rPr>
        <w:t xml:space="preserve">It is clear that, even if the preliminary issue is determined in the Murphys’ favour and Number One’s estoppel argument fails, there is a dispute as to what flows from such a determination in respect of any amount to which the Murphys may be entitled.  </w:t>
      </w:r>
    </w:p>
    <w:p>
      <w:pPr>
        <w:jc w:val="both"/>
        <w:ind w:left="567" w:first-line="-567"/>
        <w:spacing w:after="160"/>
      </w:pPr>
      <w:r>
        <w:rPr>
          <w:rFonts w:ascii="Times New Roman" w:hAnsi="Times New Roman" w:cs="Times New Roman"/>
          <w:sz w:val="20"/>
          <w:sz-cs w:val="20"/>
        </w:rPr>
        <w:t xml:space="preserve">[68]</w:t>
        <w:tab/>
        <w:t xml:space="preserve"/>
      </w:r>
      <w:r>
        <w:rPr>
          <w:rFonts w:ascii="Times New Roman" w:hAnsi="Times New Roman" w:cs="Times New Roman"/>
          <w:sz w:val="24"/>
          <w:sz-cs w:val="24"/>
        </w:rPr>
        <w:t xml:space="preserve">There is also some force in Number One’s submission that if the Murphys do not intend to press certain aspects of their claim they should do so categorically. If the claim by the Murphys for the difference between the amount paid to Number One and the expert evidence in relation to out of pocket expenses is pressed, there will no doubt be a contest in relation to the expert evidence relied upon by the Murphys. At the very least, based on the Murphys’ submissions, there is a dispute as to whether the administration expenses should form part of Number One’s out of pocket expenses. </w:t>
      </w:r>
    </w:p>
    <w:p>
      <w:pPr>
        <w:jc w:val="both"/>
        <w:ind w:left="567" w:first-line="-567"/>
        <w:spacing w:after="160"/>
      </w:pPr>
      <w:r>
        <w:rPr>
          <w:rFonts w:ascii="Times New Roman" w:hAnsi="Times New Roman" w:cs="Times New Roman"/>
          <w:sz w:val="20"/>
          <w:sz-cs w:val="20"/>
        </w:rPr>
        <w:t xml:space="preserve">[69]</w:t>
        <w:tab/>
        <w:t xml:space="preserve"/>
      </w:r>
      <w:r>
        <w:rPr>
          <w:rFonts w:ascii="Times New Roman" w:hAnsi="Times New Roman" w:cs="Times New Roman"/>
          <w:sz w:val="24"/>
          <w:sz-cs w:val="24"/>
        </w:rPr>
        <w:t xml:space="preserve">These are all matters on which the evidence will be tested at a hearing.  </w:t>
      </w:r>
    </w:p>
    <w:p>
      <w:pPr>
        <w:jc w:val="both"/>
        <w:ind w:left="567" w:first-line="-567"/>
        <w:spacing w:after="160"/>
      </w:pPr>
      <w:r>
        <w:rPr>
          <w:rFonts w:ascii="Times New Roman" w:hAnsi="Times New Roman" w:cs="Times New Roman"/>
          <w:sz w:val="20"/>
          <w:sz-cs w:val="20"/>
        </w:rPr>
        <w:t xml:space="preserve">[70]</w:t>
        <w:tab/>
        <w:t xml:space="preserve"/>
      </w:r>
      <w:r>
        <w:rPr>
          <w:rFonts w:ascii="Times New Roman" w:hAnsi="Times New Roman" w:cs="Times New Roman"/>
          <w:sz w:val="24"/>
          <w:sz-cs w:val="24"/>
        </w:rPr>
        <w:t xml:space="preserve">All of the foregoing leads me to conclude that the litigation will not be shortened or the cost to the parties minimised by the determination of the preliminary issue. </w:t>
      </w:r>
    </w:p>
    <w:p>
      <w:pPr>
        <w:jc w:val="both"/>
        <w:ind w:left="567" w:first-line="-567"/>
        <w:spacing w:after="160"/>
      </w:pPr>
      <w:r>
        <w:rPr>
          <w:rFonts w:ascii="Times New Roman" w:hAnsi="Times New Roman" w:cs="Times New Roman"/>
          <w:sz w:val="20"/>
          <w:sz-cs w:val="20"/>
        </w:rPr>
        <w:t xml:space="preserve">[71]</w:t>
        <w:tab/>
        <w:t xml:space="preserve"/>
      </w:r>
      <w:r>
        <w:rPr>
          <w:rFonts w:ascii="Times New Roman" w:hAnsi="Times New Roman" w:cs="Times New Roman"/>
          <w:sz w:val="24"/>
          <w:sz-cs w:val="24"/>
        </w:rPr>
        <w:t xml:space="preserve">I am not persuaded that it is just and convenient to determine the preliminary issue. The tribunal declines to determine the preliminary issue. </w:t>
      </w:r>
    </w:p>
    <w:p>
      <w:pPr>
        <w:jc w:val="both"/>
        <w:spacing w:after="160"/>
      </w:pPr>
      <w:r>
        <w:rPr>
          <w:rFonts w:ascii="Times New Roman" w:hAnsi="Times New Roman" w:cs="Times New Roman"/>
          <w:sz w:val="24"/>
          <w:sz-cs w:val="24"/>
        </w:rPr>
        <w:t xml:space="preserve"/>
      </w:r>
    </w:p>
    <w:sectPr>
      <w:pgSz w:w="11900" w:h="16840"/>
      <w:pgMar w:top="1418" w:right="1588" w:bottom="1134" w:left="158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One Quality Homes Pty Ltd v Murphy &amp; Anor [2020] QCAT 339</dc:title>
</cp:coreProperties>
</file>

<file path=docProps/meta.xml><?xml version="1.0" encoding="utf-8"?>
<meta xmlns="http://schemas.apple.com/cocoa/2006/metadata">
  <generator>CocoaOOXMLWriter/1671.6</generator>
</meta>
</file>