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040022" w:rsidP="00F35E91">
      <w:pPr>
        <w:pStyle w:val="Title"/>
      </w:pPr>
      <w:r w:rsidRPr="00040022">
        <w:t>Richards</w:t>
      </w:r>
      <w:r>
        <w:t xml:space="preserve"> and </w:t>
      </w:r>
      <w:proofErr w:type="spellStart"/>
      <w:r w:rsidRPr="00040022">
        <w:t>Comcare</w:t>
      </w:r>
      <w:proofErr w:type="spellEnd"/>
      <w:r>
        <w:t xml:space="preserve"> (Compensation) </w:t>
      </w:r>
      <w:r w:rsidR="00661270" w:rsidRPr="000A40FB">
        <w:t>[</w:t>
      </w:r>
      <w:r w:rsidR="00C37695">
        <w:t>2015</w:t>
      </w:r>
      <w:r w:rsidR="00661270" w:rsidRPr="000A40FB">
        <w:t xml:space="preserve">] </w:t>
      </w:r>
      <w:r w:rsidR="00531AA1" w:rsidRPr="000A40FB">
        <w:t xml:space="preserve">AATA </w:t>
      </w:r>
      <w:r w:rsidR="00F52E28">
        <w:t>1031</w:t>
      </w:r>
      <w:r>
        <w:t xml:space="preserve"> (</w:t>
      </w:r>
      <w:r>
        <w:rPr>
          <w:b w:val="0"/>
          <w:bCs/>
          <w:lang w:eastAsia="en-US"/>
        </w:rPr>
        <w:fldChar w:fldCharType="begin"/>
      </w:r>
      <w:r>
        <w:rPr>
          <w:bCs/>
          <w:lang w:eastAsia="en-US"/>
        </w:rPr>
        <w:instrText xml:space="preserve"> DOCPROPERTY  DecisionDate </w:instrText>
      </w:r>
      <w:r>
        <w:rPr>
          <w:b w:val="0"/>
          <w:bCs/>
          <w:lang w:eastAsia="en-US"/>
        </w:rPr>
        <w:fldChar w:fldCharType="separate"/>
      </w:r>
      <w:r>
        <w:rPr>
          <w:bCs/>
          <w:lang w:eastAsia="en-US"/>
        </w:rPr>
        <w:t>23 October 2015</w:t>
      </w:r>
      <w:r>
        <w:rPr>
          <w:b w:val="0"/>
          <w:bCs/>
          <w:lang w:eastAsia="en-US"/>
        </w:rPr>
        <w:fldChar w:fldCharType="end"/>
      </w:r>
      <w:bookmarkStart w:id="0" w:name="_GoBack"/>
      <w:bookmarkEnd w:id="0"/>
      <w:r>
        <w:t>)</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3B4BBD">
            <w:bookmarkStart w:id="1" w:name="SingleFile" w:colFirst="0" w:colLast="2"/>
            <w:r w:rsidRPr="004B6924">
              <w:t>Division</w:t>
            </w:r>
          </w:p>
        </w:tc>
        <w:tc>
          <w:tcPr>
            <w:tcW w:w="6838" w:type="dxa"/>
          </w:tcPr>
          <w:p w:rsidR="00531AA1" w:rsidRPr="00BB4097" w:rsidRDefault="00CB57F3" w:rsidP="003B4BBD">
            <w:fldSimple w:instr=" DOCPROPERTY  Division ">
              <w:r w:rsidR="005E2869">
                <w:t>GENERAL DIVISION</w:t>
              </w:r>
            </w:fldSimple>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5E2869">
              <w:t>2015/3204</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4B40E0" w:rsidP="00036C03">
            <w:pPr>
              <w:pStyle w:val="Details"/>
            </w:pPr>
            <w:fldSimple w:instr=" DOCPROPERTY  Applicant ">
              <w:r w:rsidR="005E2869">
                <w:t>Kirrilly Richards</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4B40E0" w:rsidP="00036C03">
            <w:pPr>
              <w:pStyle w:val="Details"/>
            </w:pPr>
            <w:r>
              <w:fldChar w:fldCharType="begin"/>
            </w:r>
            <w:r>
              <w:instrText xml:space="preserve"> DOCPROPERTY  Respondent </w:instrText>
            </w:r>
            <w:r>
              <w:fldChar w:fldCharType="separate"/>
            </w:r>
            <w:proofErr w:type="spellStart"/>
            <w:r w:rsidR="005E2869">
              <w:t>Comcare</w:t>
            </w:r>
            <w:proofErr w:type="spellEnd"/>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5E2869" w:rsidRPr="00BC2D09" w:rsidTr="00702374">
        <w:trPr>
          <w:trHeight w:val="567"/>
        </w:trPr>
        <w:tc>
          <w:tcPr>
            <w:tcW w:w="1956" w:type="dxa"/>
          </w:tcPr>
          <w:p w:rsidR="005E2869" w:rsidRPr="00BC2D09" w:rsidRDefault="005E2869" w:rsidP="00702374">
            <w:pPr>
              <w:pStyle w:val="NoSpacing"/>
              <w:rPr>
                <w:lang w:eastAsia="en-US"/>
              </w:rPr>
            </w:pPr>
            <w:bookmarkStart w:id="2" w:name="DecisionSummary"/>
            <w:bookmarkStart w:id="3" w:name="Decision"/>
            <w:r w:rsidRPr="00BC2D09">
              <w:rPr>
                <w:lang w:eastAsia="en-US"/>
              </w:rPr>
              <w:t>Tribunal</w:t>
            </w:r>
          </w:p>
        </w:tc>
        <w:tc>
          <w:tcPr>
            <w:tcW w:w="6833" w:type="dxa"/>
          </w:tcPr>
          <w:p w:rsidR="005E2869" w:rsidRDefault="005E2869" w:rsidP="007023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Deputy President J W Constance</w:t>
            </w:r>
            <w:r>
              <w:rPr>
                <w:b/>
                <w:bCs/>
                <w:lang w:eastAsia="en-US"/>
              </w:rPr>
              <w:fldChar w:fldCharType="end"/>
            </w:r>
          </w:p>
          <w:p w:rsidR="005E2869" w:rsidRPr="00771CAC" w:rsidRDefault="005E2869" w:rsidP="00702374">
            <w:pPr>
              <w:pStyle w:val="NoSpacing"/>
              <w:rPr>
                <w:b/>
                <w:bCs/>
                <w:lang w:eastAsia="en-US"/>
              </w:rPr>
            </w:pPr>
          </w:p>
        </w:tc>
      </w:tr>
      <w:tr w:rsidR="005E2869" w:rsidRPr="00BC2D09" w:rsidTr="00702374">
        <w:trPr>
          <w:trHeight w:val="567"/>
        </w:trPr>
        <w:tc>
          <w:tcPr>
            <w:tcW w:w="1956" w:type="dxa"/>
          </w:tcPr>
          <w:p w:rsidR="005E2869" w:rsidRPr="00BC2D09" w:rsidRDefault="005E2869" w:rsidP="00702374">
            <w:pPr>
              <w:pStyle w:val="NoSpacing"/>
              <w:rPr>
                <w:lang w:eastAsia="en-US"/>
              </w:rPr>
            </w:pPr>
            <w:r w:rsidRPr="00BC2D09">
              <w:rPr>
                <w:lang w:eastAsia="en-US"/>
              </w:rPr>
              <w:t>Date</w:t>
            </w:r>
          </w:p>
        </w:tc>
        <w:tc>
          <w:tcPr>
            <w:tcW w:w="6833" w:type="dxa"/>
          </w:tcPr>
          <w:p w:rsidR="005E2869" w:rsidRPr="00771CAC" w:rsidRDefault="005E2869" w:rsidP="007023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23 October 2015</w:t>
            </w:r>
            <w:r>
              <w:rPr>
                <w:b/>
                <w:bCs/>
                <w:lang w:eastAsia="en-US"/>
              </w:rPr>
              <w:fldChar w:fldCharType="end"/>
            </w:r>
          </w:p>
        </w:tc>
      </w:tr>
      <w:tr w:rsidR="005E2869" w:rsidRPr="00BC2D09" w:rsidTr="00702374">
        <w:trPr>
          <w:trHeight w:val="680"/>
        </w:trPr>
        <w:tc>
          <w:tcPr>
            <w:tcW w:w="1956" w:type="dxa"/>
          </w:tcPr>
          <w:p w:rsidR="005E2869" w:rsidRPr="00BC2D09" w:rsidRDefault="005E2869" w:rsidP="00702374">
            <w:pPr>
              <w:pStyle w:val="NoSpacing"/>
              <w:jc w:val="left"/>
              <w:rPr>
                <w:lang w:eastAsia="en-US"/>
              </w:rPr>
            </w:pPr>
            <w:r>
              <w:rPr>
                <w:lang w:eastAsia="en-US"/>
              </w:rPr>
              <w:t>Date of written reasons</w:t>
            </w:r>
          </w:p>
        </w:tc>
        <w:tc>
          <w:tcPr>
            <w:tcW w:w="6833" w:type="dxa"/>
          </w:tcPr>
          <w:p w:rsidR="005E2869" w:rsidRPr="00771CAC" w:rsidRDefault="005E2869" w:rsidP="00702374">
            <w:pPr>
              <w:pStyle w:val="NoSpacing"/>
              <w:rPr>
                <w:b/>
                <w:bCs/>
                <w:lang w:eastAsia="en-US"/>
              </w:rPr>
            </w:pPr>
            <w:r>
              <w:rPr>
                <w:b/>
                <w:bCs/>
                <w:lang w:eastAsia="en-US"/>
              </w:rPr>
              <w:fldChar w:fldCharType="begin"/>
            </w:r>
            <w:r>
              <w:rPr>
                <w:b/>
                <w:bCs/>
                <w:lang w:eastAsia="en-US"/>
              </w:rPr>
              <w:instrText xml:space="preserve"> DOCPROPERTY  DateWrittenReason </w:instrText>
            </w:r>
            <w:r>
              <w:rPr>
                <w:b/>
                <w:bCs/>
                <w:lang w:eastAsia="en-US"/>
              </w:rPr>
              <w:fldChar w:fldCharType="separate"/>
            </w:r>
            <w:r>
              <w:rPr>
                <w:b/>
                <w:bCs/>
                <w:lang w:eastAsia="en-US"/>
              </w:rPr>
              <w:t>11 January 2016</w:t>
            </w:r>
            <w:r>
              <w:rPr>
                <w:b/>
                <w:bCs/>
                <w:lang w:eastAsia="en-US"/>
              </w:rPr>
              <w:fldChar w:fldCharType="end"/>
            </w:r>
          </w:p>
        </w:tc>
      </w:tr>
      <w:tr w:rsidR="005E2869" w:rsidRPr="00BC2D09" w:rsidTr="00702374">
        <w:trPr>
          <w:trHeight w:val="567"/>
        </w:trPr>
        <w:tc>
          <w:tcPr>
            <w:tcW w:w="1956" w:type="dxa"/>
          </w:tcPr>
          <w:p w:rsidR="005E2869" w:rsidRPr="00BC2D09" w:rsidRDefault="005E2869" w:rsidP="00702374">
            <w:pPr>
              <w:pStyle w:val="NoSpacing"/>
              <w:rPr>
                <w:lang w:eastAsia="en-US"/>
              </w:rPr>
            </w:pPr>
            <w:r w:rsidRPr="00BC2D09">
              <w:rPr>
                <w:lang w:eastAsia="en-US"/>
              </w:rPr>
              <w:t>Place</w:t>
            </w:r>
          </w:p>
        </w:tc>
        <w:tc>
          <w:tcPr>
            <w:tcW w:w="6833" w:type="dxa"/>
          </w:tcPr>
          <w:p w:rsidR="005E2869" w:rsidRPr="00771CAC" w:rsidRDefault="005E2869" w:rsidP="007023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Sydney</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1CA7A47CB2B84F48A6B2F29FF5C8A24B"/>
        </w:placeholder>
      </w:sdtPr>
      <w:sdtEndPr>
        <w:rPr>
          <w:lang w:eastAsia="ja-JP"/>
        </w:rPr>
      </w:sdtEndPr>
      <w:sdtContent>
        <w:p w:rsidR="00BC2D09" w:rsidRPr="00BC2D09" w:rsidRDefault="00743F59" w:rsidP="00007720">
          <w:pPr>
            <w:pStyle w:val="ListNumber"/>
            <w:numPr>
              <w:ilvl w:val="0"/>
              <w:numId w:val="0"/>
            </w:numPr>
          </w:pPr>
          <w:r>
            <w:t>The Tribunal does not have jurisdiction to make a declaration that Ms Richards has a reasonable excuse for not attending a medical appointment with Dr McGill on 30 October 2015.</w:t>
          </w:r>
        </w:p>
      </w:sdtContent>
    </w:sdt>
    <w:bookmarkEnd w:id="2"/>
    <w:p w:rsidR="00BC2D09" w:rsidRPr="00BC2D09" w:rsidRDefault="00BC2D09" w:rsidP="001E4799">
      <w:pPr>
        <w:keepNext/>
        <w:spacing w:before="960"/>
        <w:rPr>
          <w:lang w:eastAsia="en-US"/>
        </w:rPr>
      </w:pPr>
      <w:proofErr w:type="gramStart"/>
      <w:r w:rsidRPr="00BC2D09">
        <w:rPr>
          <w:lang w:eastAsia="en-US"/>
        </w:rPr>
        <w:t>..................</w:t>
      </w:r>
      <w:r w:rsidR="00496418">
        <w:rPr>
          <w:lang w:eastAsia="en-US"/>
        </w:rPr>
        <w:t>[</w:t>
      </w:r>
      <w:proofErr w:type="gramEnd"/>
      <w:r w:rsidR="00496418">
        <w:rPr>
          <w:lang w:eastAsia="en-US"/>
        </w:rPr>
        <w:t>SGD]</w:t>
      </w:r>
      <w:r w:rsidRPr="00BC2D09">
        <w:rPr>
          <w:lang w:eastAsia="en-US"/>
        </w:rPr>
        <w:t>............................................</w:t>
      </w:r>
    </w:p>
    <w:p w:rsidR="00C37695" w:rsidRDefault="00C37695" w:rsidP="00C37695">
      <w:pPr>
        <w:spacing w:before="0"/>
        <w:rPr>
          <w:lang w:eastAsia="en-US"/>
        </w:rPr>
      </w:pPr>
      <w:r>
        <w:rPr>
          <w:lang w:eastAsia="en-US"/>
        </w:rPr>
        <w:t xml:space="preserve">J W Constance </w:t>
      </w:r>
    </w:p>
    <w:p w:rsidR="00BC2D09" w:rsidRPr="00713462" w:rsidRDefault="00DC0CB0" w:rsidP="00C37695">
      <w:pPr>
        <w:spacing w:before="0"/>
        <w:rPr>
          <w:lang w:eastAsia="en-US"/>
        </w:rPr>
      </w:pPr>
      <w:r>
        <w:rPr>
          <w:lang w:eastAsia="en-US"/>
        </w:rPr>
        <w:fldChar w:fldCharType="begin"/>
      </w:r>
      <w:r>
        <w:rPr>
          <w:lang w:eastAsia="en-US"/>
        </w:rPr>
        <w:instrText xml:space="preserve"> DOCPROPERTY  TribunalSignee </w:instrText>
      </w:r>
      <w:r>
        <w:rPr>
          <w:lang w:eastAsia="en-US"/>
        </w:rPr>
        <w:fldChar w:fldCharType="separate"/>
      </w:r>
      <w:r w:rsidR="005E2869">
        <w:rPr>
          <w:lang w:eastAsia="en-US"/>
        </w:rPr>
        <w:t>Deputy President</w:t>
      </w:r>
      <w:r>
        <w:rPr>
          <w:lang w:eastAsia="en-US"/>
        </w:rPr>
        <w:fldChar w:fldCharType="end"/>
      </w:r>
    </w:p>
    <w:p w:rsidR="00BC2D09" w:rsidRDefault="005632FA" w:rsidP="00760AB6">
      <w:r>
        <w:br w:type="page"/>
      </w:r>
    </w:p>
    <w:p w:rsidR="00007720" w:rsidRDefault="00007720" w:rsidP="00007720">
      <w:pPr>
        <w:pStyle w:val="Heading1"/>
        <w:rPr>
          <w:lang w:eastAsia="en-US"/>
        </w:rPr>
      </w:pPr>
      <w:bookmarkStart w:id="4" w:name="CatchwordsTitle"/>
      <w:bookmarkEnd w:id="4"/>
      <w:r>
        <w:rPr>
          <w:lang w:eastAsia="en-US"/>
        </w:rPr>
        <w:lastRenderedPageBreak/>
        <w:t>Catchwords</w:t>
      </w:r>
    </w:p>
    <w:p w:rsidR="004152C5" w:rsidRDefault="00040022" w:rsidP="004A55A2">
      <w:pPr>
        <w:pStyle w:val="CatchWords"/>
        <w:rPr>
          <w:lang w:eastAsia="en-US"/>
        </w:rPr>
      </w:pPr>
      <w:sdt>
        <w:sdtPr>
          <w:rPr>
            <w:lang w:eastAsia="en-US"/>
          </w:rPr>
          <w:alias w:val="Catchwords"/>
          <w:tag w:val="Catchwords"/>
          <w:id w:val="-1722664393"/>
          <w:placeholder>
            <w:docPart w:val="EED318FAEEBE4EBE870423D9464F4438"/>
          </w:placeholder>
        </w:sdtPr>
        <w:sdtEndPr/>
        <w:sdtContent>
          <w:r w:rsidR="00C37695">
            <w:rPr>
              <w:lang w:eastAsia="en-US"/>
            </w:rPr>
            <w:t xml:space="preserve">COMPENSATION - Applicant's attendance at medical appointment – reasonable excuse not to attend an appointment - section 57 </w:t>
          </w:r>
          <w:proofErr w:type="gramStart"/>
          <w:r w:rsidR="00C37695">
            <w:rPr>
              <w:lang w:eastAsia="en-US"/>
            </w:rPr>
            <w:t>notice</w:t>
          </w:r>
          <w:proofErr w:type="gramEnd"/>
          <w:r w:rsidR="00C37695">
            <w:rPr>
              <w:lang w:eastAsia="en-US"/>
            </w:rPr>
            <w:t xml:space="preserve"> to attend medical appointment – AAT’s jurisdiction to review section 57 notices – application for declaration refused</w:t>
          </w:r>
        </w:sdtContent>
      </w:sdt>
    </w:p>
    <w:p w:rsidR="00CF5E0E" w:rsidRPr="00BC2D09" w:rsidRDefault="00CF5E0E" w:rsidP="00CF5E0E">
      <w:pPr>
        <w:pStyle w:val="NoSpacing"/>
        <w:rPr>
          <w:lang w:eastAsia="en-US"/>
        </w:rPr>
      </w:pPr>
    </w:p>
    <w:p w:rsidR="00007720" w:rsidRDefault="00007720" w:rsidP="00007720">
      <w:pPr>
        <w:pStyle w:val="Heading1"/>
        <w:rPr>
          <w:lang w:eastAsia="en-US"/>
        </w:rPr>
      </w:pPr>
      <w:bookmarkStart w:id="5" w:name="LegislationTitle"/>
      <w:bookmarkEnd w:id="5"/>
      <w:r>
        <w:rPr>
          <w:lang w:eastAsia="en-US"/>
        </w:rPr>
        <w:t>Legislation</w:t>
      </w:r>
    </w:p>
    <w:sdt>
      <w:sdtPr>
        <w:rPr>
          <w:lang w:eastAsia="en-US"/>
        </w:rPr>
        <w:alias w:val="Legislation"/>
        <w:tag w:val="Legislation"/>
        <w:id w:val="-13298432"/>
        <w:placeholder>
          <w:docPart w:val="F4CFCF006E044F5C8089152A1299E3E5"/>
        </w:placeholder>
      </w:sdtPr>
      <w:sdtEndPr/>
      <w:sdtContent>
        <w:p w:rsidR="00C37695" w:rsidRDefault="00C37695" w:rsidP="00E616B9">
          <w:pPr>
            <w:pStyle w:val="CatchWords"/>
            <w:rPr>
              <w:lang w:eastAsia="en-US"/>
            </w:rPr>
          </w:pPr>
          <w:r>
            <w:rPr>
              <w:lang w:eastAsia="en-US"/>
            </w:rPr>
            <w:t>Safety, Rehabilitation and Compensation Act 1988 (</w:t>
          </w:r>
          <w:proofErr w:type="spellStart"/>
          <w:r>
            <w:rPr>
              <w:lang w:eastAsia="en-US"/>
            </w:rPr>
            <w:t>Cth</w:t>
          </w:r>
          <w:proofErr w:type="spellEnd"/>
          <w:r>
            <w:rPr>
              <w:lang w:eastAsia="en-US"/>
            </w:rPr>
            <w:t xml:space="preserve">) </w:t>
          </w:r>
          <w:proofErr w:type="spellStart"/>
          <w:r>
            <w:rPr>
              <w:lang w:eastAsia="en-US"/>
            </w:rPr>
            <w:t>ss</w:t>
          </w:r>
          <w:proofErr w:type="spellEnd"/>
          <w:r>
            <w:rPr>
              <w:lang w:eastAsia="en-US"/>
            </w:rPr>
            <w:t xml:space="preserve"> 37(7), 57, 60(1), 62, 64</w:t>
          </w:r>
        </w:p>
        <w:p w:rsidR="004152C5" w:rsidRDefault="00C37695" w:rsidP="00E616B9">
          <w:pPr>
            <w:pStyle w:val="CatchWords"/>
            <w:rPr>
              <w:lang w:eastAsia="en-US"/>
            </w:rPr>
          </w:pPr>
          <w:r>
            <w:rPr>
              <w:lang w:eastAsia="en-US"/>
            </w:rPr>
            <w:t>Administrative Appeals Tribunal Act 1975 (</w:t>
          </w:r>
          <w:proofErr w:type="spellStart"/>
          <w:r>
            <w:rPr>
              <w:lang w:eastAsia="en-US"/>
            </w:rPr>
            <w:t>Cth</w:t>
          </w:r>
          <w:proofErr w:type="spellEnd"/>
          <w:r>
            <w:rPr>
              <w:lang w:eastAsia="en-US"/>
            </w:rPr>
            <w:t xml:space="preserve">) </w:t>
          </w:r>
          <w:proofErr w:type="spellStart"/>
          <w:r>
            <w:rPr>
              <w:lang w:eastAsia="en-US"/>
            </w:rPr>
            <w:t>ss</w:t>
          </w:r>
          <w:proofErr w:type="spellEnd"/>
          <w:r>
            <w:rPr>
              <w:lang w:eastAsia="en-US"/>
            </w:rPr>
            <w:t xml:space="preserve"> 25(1) </w:t>
          </w:r>
        </w:p>
      </w:sdtContent>
    </w:sdt>
    <w:p w:rsidR="00E616B9" w:rsidRPr="00BC2D09" w:rsidRDefault="00E616B9" w:rsidP="00E7349B">
      <w:pPr>
        <w:pStyle w:val="NoSpacing"/>
        <w:rPr>
          <w:lang w:eastAsia="en-US"/>
        </w:rPr>
      </w:pPr>
    </w:p>
    <w:p w:rsidR="00007720" w:rsidRDefault="00007720" w:rsidP="00007720">
      <w:pPr>
        <w:pStyle w:val="Heading1"/>
        <w:rPr>
          <w:lang w:eastAsia="en-US"/>
        </w:rPr>
      </w:pPr>
      <w:bookmarkStart w:id="6" w:name="CasesTitle"/>
      <w:bookmarkEnd w:id="6"/>
      <w:r>
        <w:rPr>
          <w:lang w:eastAsia="en-US"/>
        </w:rPr>
        <w:t>Cases</w:t>
      </w:r>
    </w:p>
    <w:sdt>
      <w:sdtPr>
        <w:rPr>
          <w:lang w:eastAsia="en-US"/>
        </w:rPr>
        <w:alias w:val="Cases"/>
        <w:tag w:val="Cases"/>
        <w:id w:val="-26403871"/>
        <w:placeholder>
          <w:docPart w:val="1DE2AB735A33468FA945AB9EBC11B118"/>
        </w:placeholder>
      </w:sdtPr>
      <w:sdtEndPr/>
      <w:sdtContent>
        <w:p w:rsidR="00C37695" w:rsidRDefault="00C37695" w:rsidP="005F2E99">
          <w:pPr>
            <w:pStyle w:val="CatchWords"/>
            <w:rPr>
              <w:lang w:eastAsia="en-US"/>
            </w:rPr>
          </w:pPr>
          <w:r>
            <w:rPr>
              <w:lang w:eastAsia="en-US"/>
            </w:rPr>
            <w:t xml:space="preserve">Australian Postal Corporation v Forgie (in her capacity as Deputy President of the Administrative Appeals Tribunal) and </w:t>
          </w:r>
          <w:proofErr w:type="gramStart"/>
          <w:r>
            <w:rPr>
              <w:lang w:eastAsia="en-US"/>
            </w:rPr>
            <w:t>Another</w:t>
          </w:r>
          <w:proofErr w:type="gramEnd"/>
          <w:r>
            <w:rPr>
              <w:lang w:eastAsia="en-US"/>
            </w:rPr>
            <w:t xml:space="preserve"> [2003] FCAFC 223</w:t>
          </w:r>
        </w:p>
        <w:p w:rsidR="00C37695" w:rsidRDefault="00C37695" w:rsidP="005F2E99">
          <w:pPr>
            <w:pStyle w:val="CatchWords"/>
            <w:rPr>
              <w:lang w:eastAsia="en-US"/>
            </w:rPr>
          </w:pPr>
          <w:r>
            <w:rPr>
              <w:lang w:eastAsia="en-US"/>
            </w:rPr>
            <w:t xml:space="preserve">Buck v </w:t>
          </w:r>
          <w:proofErr w:type="spellStart"/>
          <w:r>
            <w:rPr>
              <w:lang w:eastAsia="en-US"/>
            </w:rPr>
            <w:t>Comcare</w:t>
          </w:r>
          <w:proofErr w:type="spellEnd"/>
          <w:r>
            <w:rPr>
              <w:lang w:eastAsia="en-US"/>
            </w:rPr>
            <w:t xml:space="preserve"> (1966) 66 FCR 359</w:t>
          </w:r>
        </w:p>
        <w:p w:rsidR="00C37695" w:rsidRDefault="00C37695" w:rsidP="005F2E99">
          <w:pPr>
            <w:pStyle w:val="CatchWords"/>
            <w:rPr>
              <w:lang w:eastAsia="en-US"/>
            </w:rPr>
          </w:pPr>
          <w:r>
            <w:rPr>
              <w:lang w:eastAsia="en-US"/>
            </w:rPr>
            <w:t>Peter Steele and Pacific National Pty Limited [2009] AATA 321</w:t>
          </w:r>
        </w:p>
        <w:p w:rsidR="005F2E99" w:rsidRDefault="00C37695" w:rsidP="00C37695">
          <w:pPr>
            <w:pStyle w:val="CatchWords"/>
            <w:rPr>
              <w:lang w:eastAsia="en-US"/>
            </w:rPr>
          </w:pPr>
          <w:r>
            <w:rPr>
              <w:lang w:eastAsia="en-US"/>
            </w:rPr>
            <w:t xml:space="preserve">Von Stieglitz and </w:t>
          </w:r>
          <w:proofErr w:type="spellStart"/>
          <w:r>
            <w:rPr>
              <w:lang w:eastAsia="en-US"/>
            </w:rPr>
            <w:t>Comcare</w:t>
          </w:r>
          <w:proofErr w:type="spellEnd"/>
          <w:r>
            <w:rPr>
              <w:lang w:eastAsia="en-US"/>
            </w:rPr>
            <w:t xml:space="preserve"> [2012] AATA 729</w:t>
          </w:r>
        </w:p>
      </w:sdtContent>
    </w:sdt>
    <w:bookmarkStart w:id="7" w:name="SecondaryMaterialsTitle" w:displacedByCustomXml="prev"/>
    <w:bookmarkEnd w:id="7" w:displacedByCustomXml="prev"/>
    <w:p w:rsidR="00C37695" w:rsidRDefault="00C37695" w:rsidP="00CA099E">
      <w:pPr>
        <w:pStyle w:val="Heading1"/>
        <w:rPr>
          <w:lang w:eastAsia="en-US"/>
        </w:rPr>
      </w:pPr>
    </w:p>
    <w:p w:rsidR="009E2C76" w:rsidRDefault="00C37695" w:rsidP="00CA099E">
      <w:pPr>
        <w:pStyle w:val="Heading1"/>
        <w:rPr>
          <w:lang w:eastAsia="en-US"/>
        </w:rPr>
      </w:pPr>
      <w:r>
        <w:rPr>
          <w:lang w:eastAsia="en-US"/>
        </w:rPr>
        <w:t xml:space="preserve">WRITTEN </w:t>
      </w:r>
      <w:r w:rsidR="009E2C76"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5E2869">
        <w:rPr>
          <w:b/>
          <w:lang w:eastAsia="en-US"/>
        </w:rPr>
        <w:t>Deputy President J W Constance</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separate"/>
      </w:r>
      <w:r w:rsidR="005E2869">
        <w:rPr>
          <w:b/>
          <w:lang w:eastAsia="en-US"/>
        </w:rPr>
        <w:t xml:space="preserve"> </w:t>
      </w:r>
      <w:r w:rsidRPr="002A5BD8">
        <w:rPr>
          <w:b/>
          <w:lang w:eastAsia="en-US"/>
        </w:rPr>
        <w:fldChar w:fldCharType="end"/>
      </w:r>
    </w:p>
    <w:p w:rsidR="00A74195" w:rsidRDefault="00A74195" w:rsidP="00A74195">
      <w:pPr>
        <w:pStyle w:val="NoSpacing"/>
        <w:rPr>
          <w:lang w:eastAsia="en-US"/>
        </w:rPr>
      </w:pPr>
    </w:p>
    <w:p w:rsidR="00A74195" w:rsidRPr="00D50614" w:rsidRDefault="006D3300" w:rsidP="00F13F08">
      <w:pPr>
        <w:pStyle w:val="NoSpacing"/>
        <w:jc w:val="left"/>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5E2869">
        <w:rPr>
          <w:b/>
          <w:lang w:eastAsia="en-US"/>
        </w:rPr>
        <w:t>11 January 2016</w:t>
      </w:r>
      <w:r w:rsidRPr="00D50614">
        <w:rPr>
          <w:b/>
          <w:lang w:eastAsia="en-US"/>
        </w:rPr>
        <w:fldChar w:fldCharType="end"/>
      </w:r>
    </w:p>
    <w:p w:rsidR="00A74195" w:rsidRPr="00CA099E" w:rsidRDefault="00A74195" w:rsidP="00D750F5">
      <w:pPr>
        <w:pStyle w:val="NoSpacing"/>
        <w:rPr>
          <w:lang w:eastAsia="en-US"/>
        </w:rPr>
      </w:pPr>
    </w:p>
    <w:p w:rsidR="000176A5" w:rsidRDefault="00AE37DA" w:rsidP="00AE37DA">
      <w:pPr>
        <w:pStyle w:val="Heading1"/>
      </w:pPr>
      <w:bookmarkStart w:id="8" w:name="Start"/>
      <w:bookmarkEnd w:id="8"/>
      <w:r>
        <w:t>introduction</w:t>
      </w:r>
    </w:p>
    <w:p w:rsidR="00AE37DA" w:rsidRDefault="00AE37DA" w:rsidP="00AE37DA">
      <w:pPr>
        <w:pStyle w:val="ListNumber"/>
        <w:rPr>
          <w:lang w:eastAsia="en-AU"/>
        </w:rPr>
      </w:pPr>
      <w:r>
        <w:rPr>
          <w:lang w:eastAsia="en-AU"/>
        </w:rPr>
        <w:t xml:space="preserve">On 15 February 2010, Ms Richards suffered sprain injuries to her neck and thoracic region.  </w:t>
      </w:r>
      <w:proofErr w:type="spellStart"/>
      <w:r>
        <w:rPr>
          <w:lang w:eastAsia="en-AU"/>
        </w:rPr>
        <w:t>Comcare</w:t>
      </w:r>
      <w:proofErr w:type="spellEnd"/>
      <w:r>
        <w:rPr>
          <w:lang w:eastAsia="en-AU"/>
        </w:rPr>
        <w:t xml:space="preserve"> accepted liability under the </w:t>
      </w:r>
      <w:r w:rsidRPr="00391EC8">
        <w:rPr>
          <w:i/>
          <w:lang w:eastAsia="en-AU"/>
        </w:rPr>
        <w:t>Safety, Rehabilitation and Compensation Act</w:t>
      </w:r>
      <w:r w:rsidR="00C96BD0" w:rsidRPr="00391EC8">
        <w:rPr>
          <w:i/>
          <w:lang w:eastAsia="en-AU"/>
        </w:rPr>
        <w:t xml:space="preserve"> 1988 </w:t>
      </w:r>
      <w:r w:rsidR="00C96BD0" w:rsidRPr="00391EC8">
        <w:rPr>
          <w:lang w:eastAsia="en-AU"/>
        </w:rPr>
        <w:t>(Cth)</w:t>
      </w:r>
      <w:r>
        <w:rPr>
          <w:lang w:eastAsia="en-AU"/>
        </w:rPr>
        <w:t xml:space="preserve"> to compensate her for these injuries.</w:t>
      </w:r>
    </w:p>
    <w:p w:rsidR="00C96BD0" w:rsidRDefault="00C96BD0" w:rsidP="00AE37DA">
      <w:pPr>
        <w:pStyle w:val="ListNumber"/>
        <w:rPr>
          <w:lang w:eastAsia="en-AU"/>
        </w:rPr>
      </w:pPr>
      <w:r>
        <w:rPr>
          <w:lang w:eastAsia="en-AU"/>
        </w:rPr>
        <w:t xml:space="preserve">By a decision made 12 June 2015, </w:t>
      </w:r>
      <w:proofErr w:type="spellStart"/>
      <w:r>
        <w:rPr>
          <w:lang w:eastAsia="en-AU"/>
        </w:rPr>
        <w:t>Comcare</w:t>
      </w:r>
      <w:proofErr w:type="spellEnd"/>
      <w:r>
        <w:rPr>
          <w:lang w:eastAsia="en-AU"/>
        </w:rPr>
        <w:t xml:space="preserve"> affirmed an earlier determination that it was not liable to pay certain medical expenses, incapacity payments and household services </w:t>
      </w:r>
      <w:r>
        <w:rPr>
          <w:lang w:eastAsia="en-AU"/>
        </w:rPr>
        <w:lastRenderedPageBreak/>
        <w:t>and attendant care service expenses claimed by Ms Richards to have been incurred as a result of her injuries.  She has applied to the Tribunal to review this decision.</w:t>
      </w:r>
    </w:p>
    <w:p w:rsidR="00C96BD0" w:rsidRDefault="00C96BD0" w:rsidP="00AE37DA">
      <w:pPr>
        <w:pStyle w:val="ListNumber"/>
        <w:rPr>
          <w:lang w:eastAsia="en-AU"/>
        </w:rPr>
      </w:pPr>
      <w:r>
        <w:rPr>
          <w:lang w:eastAsia="en-AU"/>
        </w:rPr>
        <w:t>Since making her claim, Ms Richards has attended a number of medical appo</w:t>
      </w:r>
      <w:r w:rsidR="00391EC8">
        <w:rPr>
          <w:lang w:eastAsia="en-AU"/>
        </w:rPr>
        <w:t xml:space="preserve">intments arranged by either </w:t>
      </w:r>
      <w:proofErr w:type="spellStart"/>
      <w:r w:rsidR="00391EC8">
        <w:rPr>
          <w:lang w:eastAsia="en-AU"/>
        </w:rPr>
        <w:t>Com</w:t>
      </w:r>
      <w:r>
        <w:rPr>
          <w:lang w:eastAsia="en-AU"/>
        </w:rPr>
        <w:t>care</w:t>
      </w:r>
      <w:proofErr w:type="spellEnd"/>
      <w:r>
        <w:rPr>
          <w:lang w:eastAsia="en-AU"/>
        </w:rPr>
        <w:t xml:space="preserve"> or her employer. The purpose of these appointments was to obtain medical opinion to assist in processing Ms Richards claim.</w:t>
      </w:r>
    </w:p>
    <w:p w:rsidR="00C96BD0" w:rsidRDefault="00C96BD0" w:rsidP="00AE37DA">
      <w:pPr>
        <w:pStyle w:val="ListNumber"/>
        <w:rPr>
          <w:lang w:eastAsia="en-AU"/>
        </w:rPr>
      </w:pPr>
      <w:r>
        <w:rPr>
          <w:lang w:eastAsia="en-AU"/>
        </w:rPr>
        <w:t xml:space="preserve">By email of 24 August 2015 the Solicitors for </w:t>
      </w:r>
      <w:proofErr w:type="spellStart"/>
      <w:r>
        <w:rPr>
          <w:lang w:eastAsia="en-AU"/>
        </w:rPr>
        <w:t>Comcare</w:t>
      </w:r>
      <w:proofErr w:type="spellEnd"/>
      <w:r>
        <w:rPr>
          <w:lang w:eastAsia="en-AU"/>
        </w:rPr>
        <w:t xml:space="preserve"> advised the Solicitors for </w:t>
      </w:r>
      <w:r w:rsidR="00391EC8">
        <w:rPr>
          <w:lang w:eastAsia="en-AU"/>
        </w:rPr>
        <w:t xml:space="preserve">Ms </w:t>
      </w:r>
      <w:r>
        <w:rPr>
          <w:lang w:eastAsia="en-AU"/>
        </w:rPr>
        <w:t>Richards as follows:</w:t>
      </w:r>
    </w:p>
    <w:p w:rsidR="00C96BD0" w:rsidRDefault="00C96BD0" w:rsidP="00C96BD0">
      <w:pPr>
        <w:pStyle w:val="Quote"/>
      </w:pPr>
      <w:r>
        <w:t>We are instructed to arrange for your client to be re-examined by rheumatologist Dr Neil McGill for the purposes of obtaining a medical report from him. We have scheduled the appointment for Dr McGill’s next available date – i.e. 30 October 2015 at 11:30 am.</w:t>
      </w:r>
    </w:p>
    <w:p w:rsidR="00C96BD0" w:rsidRDefault="00E50FC5" w:rsidP="00E50FC5">
      <w:pPr>
        <w:pStyle w:val="FollowingPara"/>
      </w:pPr>
      <w:r>
        <w:t>The appointment was to take place at Dr McGill’s rooms in Newtown, a suburb of Sydney.</w:t>
      </w:r>
    </w:p>
    <w:p w:rsidR="00E50FC5" w:rsidRDefault="00E50FC5" w:rsidP="00E50FC5">
      <w:pPr>
        <w:pStyle w:val="ListNumber"/>
      </w:pPr>
      <w:r>
        <w:t xml:space="preserve">As Ms Richards indicated a reluctance to attend this appointment, on 4 September 2015 </w:t>
      </w:r>
      <w:proofErr w:type="spellStart"/>
      <w:r>
        <w:t>Comcare</w:t>
      </w:r>
      <w:proofErr w:type="spellEnd"/>
      <w:r>
        <w:t xml:space="preserve"> issued to Ms Richards a notice requiring her to attend the examination by Dr McGill.  The notice was issued pursuant to section 57 of the Act.</w:t>
      </w:r>
    </w:p>
    <w:p w:rsidR="00E50FC5" w:rsidRPr="001663CB" w:rsidRDefault="001663CB" w:rsidP="00E50FC5">
      <w:pPr>
        <w:pStyle w:val="ListNumber"/>
      </w:pPr>
      <w:r>
        <w:t xml:space="preserve">On 24 September 2015, Ms Richards applied to the Tribunal </w:t>
      </w:r>
      <w:r>
        <w:rPr>
          <w:i/>
        </w:rPr>
        <w:t>“for a direction that the s.5</w:t>
      </w:r>
      <w:r w:rsidR="003D1809">
        <w:rPr>
          <w:i/>
        </w:rPr>
        <w:t>7 Notice issued by the Respondent</w:t>
      </w:r>
      <w:r>
        <w:rPr>
          <w:i/>
        </w:rPr>
        <w:t xml:space="preserve"> on 4 Septe</w:t>
      </w:r>
      <w:r w:rsidR="004064E0">
        <w:rPr>
          <w:i/>
        </w:rPr>
        <w:t>mber is invalid because it asks</w:t>
      </w:r>
      <w:r>
        <w:rPr>
          <w:i/>
        </w:rPr>
        <w:t xml:space="preserve"> the Applicant to attend an appointment because they </w:t>
      </w:r>
      <w:r>
        <w:t>[sic]</w:t>
      </w:r>
      <w:r>
        <w:rPr>
          <w:i/>
        </w:rPr>
        <w:t xml:space="preserve"> have a reasonable excuse not to attend”.</w:t>
      </w:r>
    </w:p>
    <w:p w:rsidR="001663CB" w:rsidRDefault="001663CB" w:rsidP="00391EC8">
      <w:pPr>
        <w:pStyle w:val="ListNumber"/>
      </w:pPr>
      <w:r w:rsidRPr="001663CB">
        <w:t>On 23 October 2015 I refused the application for the direction sought by th</w:t>
      </w:r>
      <w:r>
        <w:t xml:space="preserve">e </w:t>
      </w:r>
      <w:r w:rsidRPr="001663CB">
        <w:t>Applicant</w:t>
      </w:r>
      <w:r>
        <w:t>.  I now provide my written reasons for this decision.</w:t>
      </w:r>
    </w:p>
    <w:p w:rsidR="005472B9" w:rsidRDefault="005472B9" w:rsidP="005E2869">
      <w:pPr>
        <w:pStyle w:val="Heading1"/>
      </w:pPr>
      <w:r>
        <w:t>legislation</w:t>
      </w:r>
    </w:p>
    <w:p w:rsidR="005408BA" w:rsidRPr="005408BA" w:rsidRDefault="005408BA" w:rsidP="005E2869">
      <w:pPr>
        <w:pStyle w:val="Heading2"/>
      </w:pPr>
      <w:proofErr w:type="spellStart"/>
      <w:r>
        <w:t>Comcare’s</w:t>
      </w:r>
      <w:proofErr w:type="spellEnd"/>
      <w:r>
        <w:t xml:space="preserve"> power to require attendance at a medical examination</w:t>
      </w:r>
    </w:p>
    <w:p w:rsidR="005472B9" w:rsidRDefault="004A40C7" w:rsidP="005472B9">
      <w:pPr>
        <w:pStyle w:val="ListNumber"/>
        <w:rPr>
          <w:lang w:eastAsia="en-AU"/>
        </w:rPr>
      </w:pPr>
      <w:r>
        <w:rPr>
          <w:lang w:eastAsia="en-AU"/>
        </w:rPr>
        <w:t>Section 57 of the</w:t>
      </w:r>
      <w:r w:rsidR="00271717">
        <w:rPr>
          <w:lang w:eastAsia="en-AU"/>
        </w:rPr>
        <w:t xml:space="preserve"> SRC</w:t>
      </w:r>
      <w:r>
        <w:rPr>
          <w:lang w:eastAsia="en-AU"/>
        </w:rPr>
        <w:t xml:space="preserve"> Act provides, in part:</w:t>
      </w:r>
    </w:p>
    <w:p w:rsidR="00E219EF" w:rsidRDefault="00E219EF" w:rsidP="00E219EF">
      <w:pPr>
        <w:pStyle w:val="NumberedQuote2"/>
        <w:rPr>
          <w:lang w:val="en-US"/>
        </w:rPr>
      </w:pPr>
      <w:r>
        <w:t>Where:</w:t>
      </w:r>
    </w:p>
    <w:p w:rsidR="00E219EF" w:rsidRDefault="00E219EF" w:rsidP="00E219EF">
      <w:pPr>
        <w:pStyle w:val="NumberedQuote2"/>
        <w:numPr>
          <w:ilvl w:val="0"/>
          <w:numId w:val="49"/>
        </w:numPr>
        <w:rPr>
          <w:lang w:val="en-US"/>
        </w:rPr>
      </w:pPr>
      <w:r>
        <w:t>a notice has been given to a relevant authority under section 53 in relation to an employee; or</w:t>
      </w:r>
    </w:p>
    <w:p w:rsidR="00E219EF" w:rsidRDefault="00E219EF" w:rsidP="00E219EF">
      <w:pPr>
        <w:pStyle w:val="NumberedQuote2"/>
        <w:numPr>
          <w:ilvl w:val="0"/>
          <w:numId w:val="49"/>
        </w:numPr>
        <w:rPr>
          <w:lang w:val="en-US"/>
        </w:rPr>
      </w:pPr>
      <w:r>
        <w:t>an employee has made a claim for compensation under section 54;</w:t>
      </w:r>
    </w:p>
    <w:p w:rsidR="00E219EF" w:rsidRDefault="00E219EF" w:rsidP="00E219EF">
      <w:pPr>
        <w:pStyle w:val="Quote"/>
        <w:ind w:left="1276"/>
      </w:pPr>
      <w:proofErr w:type="gramStart"/>
      <w:r>
        <w:t>the</w:t>
      </w:r>
      <w:proofErr w:type="gramEnd"/>
      <w:r>
        <w:t xml:space="preserve"> relevant authority may require the employee to undergo an examination by one legally qualified medical practitioner nominated by the relevant authority.</w:t>
      </w:r>
    </w:p>
    <w:p w:rsidR="00E219EF" w:rsidRDefault="00E219EF" w:rsidP="00E219EF">
      <w:pPr>
        <w:pStyle w:val="NumberedQuote2"/>
        <w:rPr>
          <w:lang w:val="en-US"/>
        </w:rPr>
      </w:pPr>
      <w:r>
        <w:t>Where an employee refuses or fails, without reasonable excuse, to undergo an examination, or in any way obstructs an examination, the employee’s rights to compensation under this Act, and to institute or continue any proceedings under this Act in relation to compensation, are suspended until the examination takes place.</w:t>
      </w:r>
    </w:p>
    <w:p w:rsidR="00271717" w:rsidRDefault="00271717" w:rsidP="005E2869">
      <w:pPr>
        <w:pStyle w:val="Heading2"/>
      </w:pPr>
      <w:r>
        <w:t>The Tribunal’s power to review decisions</w:t>
      </w:r>
      <w:r w:rsidR="005408BA">
        <w:t xml:space="preserve"> made under the Safety, Rehabilitation and Compensation Act 1988.</w:t>
      </w:r>
    </w:p>
    <w:p w:rsidR="00271717" w:rsidRDefault="00271717" w:rsidP="00271717">
      <w:pPr>
        <w:pStyle w:val="ListNumber"/>
        <w:rPr>
          <w:lang w:eastAsia="en-AU"/>
        </w:rPr>
      </w:pPr>
      <w:r>
        <w:rPr>
          <w:lang w:eastAsia="en-AU"/>
        </w:rPr>
        <w:t xml:space="preserve">The </w:t>
      </w:r>
      <w:r w:rsidR="005408BA">
        <w:rPr>
          <w:lang w:eastAsia="en-AU"/>
        </w:rPr>
        <w:t>T</w:t>
      </w:r>
      <w:r>
        <w:rPr>
          <w:lang w:eastAsia="en-AU"/>
        </w:rPr>
        <w:t xml:space="preserve">ribunal’s power to review a decision depends </w:t>
      </w:r>
      <w:r w:rsidR="00743F59">
        <w:rPr>
          <w:lang w:eastAsia="en-AU"/>
        </w:rPr>
        <w:t>upon a grant of power by an</w:t>
      </w:r>
      <w:r>
        <w:rPr>
          <w:lang w:eastAsia="en-AU"/>
        </w:rPr>
        <w:t xml:space="preserve"> enactment.  Subsection 25(1) of the </w:t>
      </w:r>
      <w:r>
        <w:rPr>
          <w:i/>
          <w:lang w:eastAsia="en-AU"/>
        </w:rPr>
        <w:t xml:space="preserve">Administrative Appeals </w:t>
      </w:r>
      <w:r w:rsidR="005408BA">
        <w:rPr>
          <w:i/>
          <w:lang w:eastAsia="en-AU"/>
        </w:rPr>
        <w:t>T</w:t>
      </w:r>
      <w:r>
        <w:rPr>
          <w:i/>
          <w:lang w:eastAsia="en-AU"/>
        </w:rPr>
        <w:t xml:space="preserve">ribunal Act 1975 </w:t>
      </w:r>
      <w:r>
        <w:rPr>
          <w:lang w:eastAsia="en-AU"/>
        </w:rPr>
        <w:t>(Cth)</w:t>
      </w:r>
      <w:r w:rsidR="005408BA">
        <w:rPr>
          <w:lang w:eastAsia="en-AU"/>
        </w:rPr>
        <w:t>, (</w:t>
      </w:r>
      <w:r w:rsidR="005408BA">
        <w:rPr>
          <w:i/>
          <w:lang w:eastAsia="en-AU"/>
        </w:rPr>
        <w:t xml:space="preserve">“the AAT Act”) </w:t>
      </w:r>
      <w:r w:rsidR="005408BA">
        <w:rPr>
          <w:lang w:eastAsia="en-AU"/>
        </w:rPr>
        <w:t>provides:</w:t>
      </w:r>
    </w:p>
    <w:p w:rsidR="00007720" w:rsidRDefault="00007720" w:rsidP="00007720">
      <w:pPr>
        <w:pStyle w:val="NumberedQuote4"/>
        <w:numPr>
          <w:ilvl w:val="0"/>
          <w:numId w:val="50"/>
        </w:numPr>
      </w:pPr>
      <w:r>
        <w:t xml:space="preserve">An enactment may provide that applications may be made to the Tribunal: </w:t>
      </w:r>
    </w:p>
    <w:p w:rsidR="00007720" w:rsidRPr="00007720" w:rsidRDefault="00007720" w:rsidP="00007720">
      <w:pPr>
        <w:pStyle w:val="ListNumber2"/>
        <w:spacing w:before="0" w:line="240" w:lineRule="auto"/>
        <w:rPr>
          <w:i/>
        </w:rPr>
      </w:pPr>
      <w:r w:rsidRPr="00007720">
        <w:rPr>
          <w:i/>
        </w:rPr>
        <w:t xml:space="preserve">for review of decisions made in the exercise of powers conferred by that  enactment; or </w:t>
      </w:r>
    </w:p>
    <w:p w:rsidR="00007720" w:rsidRPr="00007720" w:rsidRDefault="00007720" w:rsidP="00007720">
      <w:pPr>
        <w:pStyle w:val="ListNumber2"/>
        <w:spacing w:before="0" w:line="240" w:lineRule="auto"/>
        <w:rPr>
          <w:i/>
        </w:rPr>
      </w:pPr>
      <w:proofErr w:type="gramStart"/>
      <w:r w:rsidRPr="00007720">
        <w:rPr>
          <w:i/>
        </w:rPr>
        <w:t>for</w:t>
      </w:r>
      <w:proofErr w:type="gramEnd"/>
      <w:r w:rsidRPr="00007720">
        <w:rPr>
          <w:i/>
        </w:rPr>
        <w:t xml:space="preserve"> the review of decisions made in the exercise of powers conferred, or that may be conferred, by another enactment having effect under that enactment. </w:t>
      </w:r>
    </w:p>
    <w:p w:rsidR="004A40C7" w:rsidRDefault="005408BA" w:rsidP="00007720">
      <w:pPr>
        <w:pStyle w:val="ListNumber"/>
      </w:pPr>
      <w:r>
        <w:t xml:space="preserve">Section 64 of the </w:t>
      </w:r>
      <w:r w:rsidRPr="005408BA">
        <w:rPr>
          <w:i/>
        </w:rPr>
        <w:t xml:space="preserve">SRC Act </w:t>
      </w:r>
      <w:r w:rsidRPr="005408BA">
        <w:t>provides that a claimant may apply to the</w:t>
      </w:r>
      <w:r>
        <w:t xml:space="preserve"> Tribunal for a review of a </w:t>
      </w:r>
      <w:r w:rsidR="004326D8">
        <w:rPr>
          <w:i/>
        </w:rPr>
        <w:t>“</w:t>
      </w:r>
      <w:r w:rsidRPr="004326D8">
        <w:rPr>
          <w:i/>
        </w:rPr>
        <w:t>reviewable decision</w:t>
      </w:r>
      <w:r w:rsidR="004326D8">
        <w:rPr>
          <w:i/>
        </w:rPr>
        <w:t>”</w:t>
      </w:r>
      <w:r>
        <w:t>.</w:t>
      </w:r>
      <w:r w:rsidR="004326D8">
        <w:t xml:space="preserve">  </w:t>
      </w:r>
      <w:r w:rsidR="004326D8">
        <w:rPr>
          <w:i/>
        </w:rPr>
        <w:t xml:space="preserve">“Reviewable decision” </w:t>
      </w:r>
      <w:r w:rsidR="004326D8" w:rsidRPr="004326D8">
        <w:t xml:space="preserve">is defined in </w:t>
      </w:r>
      <w:r w:rsidR="004326D8">
        <w:t>sub</w:t>
      </w:r>
      <w:r w:rsidR="004326D8" w:rsidRPr="004326D8">
        <w:t>section</w:t>
      </w:r>
      <w:r w:rsidR="00007720">
        <w:t xml:space="preserve"> 60(1) to</w:t>
      </w:r>
      <w:r w:rsidR="004326D8">
        <w:t xml:space="preserve"> include a decision made under section 62.  Section 62 provides for </w:t>
      </w:r>
      <w:proofErr w:type="spellStart"/>
      <w:r w:rsidR="004326D8">
        <w:t>Comcare</w:t>
      </w:r>
      <w:proofErr w:type="spellEnd"/>
      <w:r w:rsidR="004326D8">
        <w:t xml:space="preserve"> to make a decision reconsidering a </w:t>
      </w:r>
      <w:r w:rsidR="004326D8">
        <w:rPr>
          <w:i/>
        </w:rPr>
        <w:t xml:space="preserve">“determination” </w:t>
      </w:r>
      <w:r w:rsidR="004326D8">
        <w:t>made by it.</w:t>
      </w:r>
    </w:p>
    <w:p w:rsidR="005408BA" w:rsidRDefault="004326D8" w:rsidP="00007720">
      <w:pPr>
        <w:pStyle w:val="ListNumber"/>
      </w:pPr>
      <w:r>
        <w:rPr>
          <w:i/>
        </w:rPr>
        <w:t xml:space="preserve">“Determination” </w:t>
      </w:r>
      <w:r>
        <w:t xml:space="preserve">is defined in subsection 60(1) to mean </w:t>
      </w:r>
      <w:r>
        <w:rPr>
          <w:i/>
        </w:rPr>
        <w:t xml:space="preserve">“a determination, decision or requirement” </w:t>
      </w:r>
      <w:r>
        <w:t>made under specified sections of the Act.  It is to be noted that section 57 is not included in the specified sections.</w:t>
      </w:r>
    </w:p>
    <w:p w:rsidR="004A40C7" w:rsidRDefault="004A40C7" w:rsidP="005E2869">
      <w:pPr>
        <w:pStyle w:val="Heading1"/>
      </w:pPr>
      <w:r>
        <w:t>issues for determination</w:t>
      </w:r>
    </w:p>
    <w:p w:rsidR="004A40C7" w:rsidRDefault="004A40C7" w:rsidP="004A40C7">
      <w:pPr>
        <w:pStyle w:val="ListNumber"/>
        <w:rPr>
          <w:lang w:eastAsia="en-AU"/>
        </w:rPr>
      </w:pPr>
      <w:r>
        <w:rPr>
          <w:lang w:eastAsia="en-AU"/>
        </w:rPr>
        <w:t>The following issues arise.</w:t>
      </w:r>
    </w:p>
    <w:p w:rsidR="004A40C7" w:rsidRDefault="004A40C7" w:rsidP="004A40C7">
      <w:pPr>
        <w:pStyle w:val="ListNumber2"/>
        <w:numPr>
          <w:ilvl w:val="0"/>
          <w:numId w:val="0"/>
        </w:numPr>
        <w:ind w:left="709"/>
      </w:pPr>
      <w:r>
        <w:t>(1)  Does the Tribunal have jurisdiction to make the declaration sought?</w:t>
      </w:r>
    </w:p>
    <w:p w:rsidR="004A40C7" w:rsidRDefault="004A40C7" w:rsidP="00007720">
      <w:pPr>
        <w:pStyle w:val="ListNumber2"/>
        <w:numPr>
          <w:ilvl w:val="0"/>
          <w:numId w:val="0"/>
        </w:numPr>
        <w:ind w:left="709"/>
      </w:pPr>
      <w:r>
        <w:t>(2)  If so, should such a declaration be made</w:t>
      </w:r>
      <w:r w:rsidR="00685042">
        <w:t>?</w:t>
      </w:r>
    </w:p>
    <w:p w:rsidR="004A40C7" w:rsidRDefault="004A40C7" w:rsidP="005E2869">
      <w:pPr>
        <w:pStyle w:val="Heading1"/>
      </w:pPr>
      <w:r>
        <w:t>Ms richards’ argument</w:t>
      </w:r>
    </w:p>
    <w:p w:rsidR="004A40C7" w:rsidRDefault="004A40C7" w:rsidP="004A40C7">
      <w:pPr>
        <w:pStyle w:val="ListNumber"/>
        <w:rPr>
          <w:lang w:eastAsia="en-AU"/>
        </w:rPr>
      </w:pPr>
      <w:r>
        <w:rPr>
          <w:lang w:eastAsia="en-AU"/>
        </w:rPr>
        <w:t xml:space="preserve">Counsel for Ms Richards put that the only basis for </w:t>
      </w:r>
      <w:r w:rsidR="00F13F08">
        <w:rPr>
          <w:lang w:eastAsia="en-AU"/>
        </w:rPr>
        <w:t>seeking the declaration</w:t>
      </w:r>
      <w:r>
        <w:rPr>
          <w:lang w:eastAsia="en-AU"/>
        </w:rPr>
        <w:t xml:space="preserve"> was that she </w:t>
      </w:r>
      <w:r w:rsidR="005F3C9A">
        <w:rPr>
          <w:lang w:eastAsia="en-AU"/>
        </w:rPr>
        <w:t>ha</w:t>
      </w:r>
      <w:r w:rsidR="00F13F08">
        <w:rPr>
          <w:lang w:eastAsia="en-AU"/>
        </w:rPr>
        <w:t>s</w:t>
      </w:r>
      <w:r>
        <w:rPr>
          <w:lang w:eastAsia="en-AU"/>
        </w:rPr>
        <w:t xml:space="preserve"> been assessed by </w:t>
      </w:r>
      <w:r w:rsidR="005F3C9A">
        <w:rPr>
          <w:lang w:eastAsia="en-AU"/>
        </w:rPr>
        <w:t>eleven</w:t>
      </w:r>
      <w:r>
        <w:rPr>
          <w:lang w:eastAsia="en-AU"/>
        </w:rPr>
        <w:t xml:space="preserve"> doctors</w:t>
      </w:r>
      <w:r w:rsidR="005F3C9A">
        <w:rPr>
          <w:lang w:eastAsia="en-AU"/>
        </w:rPr>
        <w:t xml:space="preserve"> on behalf of her employer and </w:t>
      </w:r>
      <w:proofErr w:type="spellStart"/>
      <w:r w:rsidR="005F3C9A">
        <w:rPr>
          <w:lang w:eastAsia="en-AU"/>
        </w:rPr>
        <w:t>Comcare</w:t>
      </w:r>
      <w:proofErr w:type="spellEnd"/>
      <w:r>
        <w:rPr>
          <w:lang w:eastAsia="en-AU"/>
        </w:rPr>
        <w:t xml:space="preserve"> in relation to her claim and that </w:t>
      </w:r>
      <w:r w:rsidR="00685042">
        <w:rPr>
          <w:lang w:eastAsia="en-AU"/>
        </w:rPr>
        <w:t>two</w:t>
      </w:r>
      <w:r w:rsidR="00B469EF">
        <w:rPr>
          <w:lang w:eastAsia="en-AU"/>
        </w:rPr>
        <w:t xml:space="preserve"> of those doctors were rheumatologists other than Dr McGill.</w:t>
      </w:r>
      <w:r w:rsidR="007520CE">
        <w:rPr>
          <w:lang w:eastAsia="en-AU"/>
        </w:rPr>
        <w:t xml:space="preserve">  It was put that she had been examined by two rheumatologists of her choice, by one at the request of her employer and by one at the request of </w:t>
      </w:r>
      <w:proofErr w:type="spellStart"/>
      <w:r w:rsidR="007520CE">
        <w:rPr>
          <w:lang w:eastAsia="en-AU"/>
        </w:rPr>
        <w:t>Comcare</w:t>
      </w:r>
      <w:proofErr w:type="spellEnd"/>
      <w:r w:rsidR="007520CE">
        <w:rPr>
          <w:lang w:eastAsia="en-AU"/>
        </w:rPr>
        <w:t xml:space="preserve">.  Reports were available to </w:t>
      </w:r>
      <w:proofErr w:type="spellStart"/>
      <w:r w:rsidR="007520CE">
        <w:rPr>
          <w:lang w:eastAsia="en-AU"/>
        </w:rPr>
        <w:t>Comcare</w:t>
      </w:r>
      <w:proofErr w:type="spellEnd"/>
      <w:r w:rsidR="007520CE">
        <w:rPr>
          <w:lang w:eastAsia="en-AU"/>
        </w:rPr>
        <w:t xml:space="preserve"> from all these practitioners.</w:t>
      </w:r>
    </w:p>
    <w:p w:rsidR="007520CE" w:rsidRPr="00685042" w:rsidRDefault="00F13F08" w:rsidP="004A40C7">
      <w:pPr>
        <w:pStyle w:val="ListNumber"/>
        <w:rPr>
          <w:lang w:eastAsia="en-AU"/>
        </w:rPr>
      </w:pPr>
      <w:r>
        <w:rPr>
          <w:lang w:eastAsia="en-AU"/>
        </w:rPr>
        <w:t>Ms Richards does</w:t>
      </w:r>
      <w:r w:rsidR="007520CE">
        <w:rPr>
          <w:lang w:eastAsia="en-AU"/>
        </w:rPr>
        <w:t xml:space="preserve"> not object to being re-examined by either the rheumatologist she had attended at the request of her employer or the </w:t>
      </w:r>
      <w:r>
        <w:rPr>
          <w:lang w:eastAsia="en-AU"/>
        </w:rPr>
        <w:t>rheumatologist</w:t>
      </w:r>
      <w:r w:rsidR="007520CE">
        <w:rPr>
          <w:lang w:eastAsia="en-AU"/>
        </w:rPr>
        <w:t xml:space="preserve"> she attended at the request of </w:t>
      </w:r>
      <w:proofErr w:type="spellStart"/>
      <w:r w:rsidR="007520CE">
        <w:rPr>
          <w:lang w:eastAsia="en-AU"/>
        </w:rPr>
        <w:t>Comcare</w:t>
      </w:r>
      <w:proofErr w:type="spellEnd"/>
      <w:r w:rsidR="007520CE">
        <w:rPr>
          <w:lang w:eastAsia="en-AU"/>
        </w:rPr>
        <w:t xml:space="preserve">.  However it was argued that she had a reasonable excuse to </w:t>
      </w:r>
      <w:r w:rsidR="005F3C9A">
        <w:rPr>
          <w:lang w:eastAsia="en-AU"/>
        </w:rPr>
        <w:t xml:space="preserve">refuse to attend an appointment with Dr McGill as she has not been examined by him previously.  Counsel argued that the making of the appointment with Dr McGill suggested that </w:t>
      </w:r>
      <w:proofErr w:type="spellStart"/>
      <w:r w:rsidR="005F3C9A">
        <w:rPr>
          <w:lang w:eastAsia="en-AU"/>
        </w:rPr>
        <w:t>Comcare</w:t>
      </w:r>
      <w:proofErr w:type="spellEnd"/>
      <w:r w:rsidR="005F3C9A">
        <w:rPr>
          <w:lang w:eastAsia="en-AU"/>
        </w:rPr>
        <w:t xml:space="preserve"> was engaging in </w:t>
      </w:r>
      <w:r w:rsidR="005F3C9A">
        <w:rPr>
          <w:i/>
          <w:lang w:eastAsia="en-AU"/>
        </w:rPr>
        <w:t>“doctor-shopping”.</w:t>
      </w:r>
    </w:p>
    <w:p w:rsidR="00685042" w:rsidRDefault="00685042" w:rsidP="005E2869">
      <w:pPr>
        <w:pStyle w:val="Heading1"/>
      </w:pPr>
      <w:r>
        <w:t>consideration</w:t>
      </w:r>
    </w:p>
    <w:p w:rsidR="00685042" w:rsidRDefault="00685042" w:rsidP="005E2869">
      <w:pPr>
        <w:pStyle w:val="Heading2"/>
      </w:pPr>
      <w:r>
        <w:t>Issue 1: Does the Tribunal have jurisdiction to make the declaration sought?</w:t>
      </w:r>
    </w:p>
    <w:p w:rsidR="00685042" w:rsidRDefault="004326D8" w:rsidP="00685042">
      <w:pPr>
        <w:pStyle w:val="ListNumber"/>
        <w:rPr>
          <w:lang w:eastAsia="en-AU"/>
        </w:rPr>
      </w:pPr>
      <w:r>
        <w:rPr>
          <w:lang w:eastAsia="en-AU"/>
        </w:rPr>
        <w:t xml:space="preserve">In </w:t>
      </w:r>
      <w:r>
        <w:rPr>
          <w:i/>
          <w:lang w:eastAsia="en-AU"/>
        </w:rPr>
        <w:t xml:space="preserve">Australian Postal </w:t>
      </w:r>
      <w:r w:rsidR="00F13F08">
        <w:rPr>
          <w:i/>
          <w:lang w:eastAsia="en-AU"/>
        </w:rPr>
        <w:t>C</w:t>
      </w:r>
      <w:r>
        <w:rPr>
          <w:i/>
          <w:lang w:eastAsia="en-AU"/>
        </w:rPr>
        <w:t>orporation v Forgie</w:t>
      </w:r>
      <w:r w:rsidR="00660AFD">
        <w:rPr>
          <w:i/>
          <w:lang w:eastAsia="en-AU"/>
        </w:rPr>
        <w:t xml:space="preserve"> (in her capacity as Deputy </w:t>
      </w:r>
      <w:r w:rsidR="000A2762">
        <w:rPr>
          <w:i/>
          <w:lang w:eastAsia="en-AU"/>
        </w:rPr>
        <w:t>P</w:t>
      </w:r>
      <w:r w:rsidR="00660AFD">
        <w:rPr>
          <w:i/>
          <w:lang w:eastAsia="en-AU"/>
        </w:rPr>
        <w:t xml:space="preserve">resident of the </w:t>
      </w:r>
      <w:r w:rsidR="000A2762">
        <w:rPr>
          <w:i/>
          <w:lang w:eastAsia="en-AU"/>
        </w:rPr>
        <w:t>Administrative Appeals T</w:t>
      </w:r>
      <w:r w:rsidR="00660AFD">
        <w:rPr>
          <w:i/>
          <w:lang w:eastAsia="en-AU"/>
        </w:rPr>
        <w:t>ribunal) and Another</w:t>
      </w:r>
      <w:r w:rsidR="00660AFD">
        <w:rPr>
          <w:rStyle w:val="FootnoteReference"/>
          <w:i/>
          <w:lang w:eastAsia="en-AU"/>
        </w:rPr>
        <w:footnoteReference w:id="1"/>
      </w:r>
      <w:r w:rsidR="00660AFD">
        <w:rPr>
          <w:i/>
          <w:lang w:eastAsia="en-AU"/>
        </w:rPr>
        <w:t xml:space="preserve"> </w:t>
      </w:r>
      <w:r w:rsidR="00660AFD" w:rsidRPr="00660AFD">
        <w:rPr>
          <w:lang w:eastAsia="en-AU"/>
        </w:rPr>
        <w:t xml:space="preserve">the Full </w:t>
      </w:r>
      <w:r w:rsidR="00660AFD">
        <w:rPr>
          <w:lang w:eastAsia="en-AU"/>
        </w:rPr>
        <w:t>C</w:t>
      </w:r>
      <w:r w:rsidR="00660AFD" w:rsidRPr="00660AFD">
        <w:rPr>
          <w:lang w:eastAsia="en-AU"/>
        </w:rPr>
        <w:t xml:space="preserve">ourt of the </w:t>
      </w:r>
      <w:r w:rsidR="00660AFD">
        <w:rPr>
          <w:lang w:eastAsia="en-AU"/>
        </w:rPr>
        <w:t>F</w:t>
      </w:r>
      <w:r w:rsidR="00660AFD" w:rsidRPr="00660AFD">
        <w:rPr>
          <w:lang w:eastAsia="en-AU"/>
        </w:rPr>
        <w:t xml:space="preserve">ederal </w:t>
      </w:r>
      <w:r w:rsidR="00660AFD">
        <w:rPr>
          <w:lang w:eastAsia="en-AU"/>
        </w:rPr>
        <w:t>C</w:t>
      </w:r>
      <w:r w:rsidR="00660AFD" w:rsidRPr="00660AFD">
        <w:rPr>
          <w:lang w:eastAsia="en-AU"/>
        </w:rPr>
        <w:t xml:space="preserve">ourt considered the </w:t>
      </w:r>
      <w:r w:rsidR="00660AFD">
        <w:rPr>
          <w:lang w:eastAsia="en-AU"/>
        </w:rPr>
        <w:t xml:space="preserve">Tribunal’s jurisdiction to review </w:t>
      </w:r>
      <w:r w:rsidR="000A2762">
        <w:rPr>
          <w:lang w:eastAsia="en-AU"/>
        </w:rPr>
        <w:t>a decision</w:t>
      </w:r>
      <w:r w:rsidR="00FD5407">
        <w:rPr>
          <w:lang w:eastAsia="en-AU"/>
        </w:rPr>
        <w:t xml:space="preserve"> made under subsection 37</w:t>
      </w:r>
      <w:r w:rsidR="000A2762">
        <w:rPr>
          <w:lang w:eastAsia="en-AU"/>
        </w:rPr>
        <w:t>(7) of the SRC Act, which provides:</w:t>
      </w:r>
    </w:p>
    <w:p w:rsidR="000A2762" w:rsidRDefault="000A2762" w:rsidP="000A2762">
      <w:pPr>
        <w:pStyle w:val="Quote"/>
      </w:pPr>
      <w:r>
        <w:t>Where an employee refuses or fails, without reasonable excuse, to undertake a rehabilitation program provided for the employee under this section, the employee’s rights to compensation under this Act, and to institute or continue any proceedings under this Act in relation to compensation, are suspended until the employee begins to undertake the program.</w:t>
      </w:r>
    </w:p>
    <w:p w:rsidR="000A2762" w:rsidRDefault="000A2762" w:rsidP="000A2762">
      <w:pPr>
        <w:pStyle w:val="ListNumber"/>
      </w:pPr>
      <w:r>
        <w:t>The Full Court concluded:</w:t>
      </w:r>
    </w:p>
    <w:p w:rsidR="000A2762" w:rsidRDefault="000A2762" w:rsidP="000A2762">
      <w:pPr>
        <w:pStyle w:val="Quote"/>
      </w:pPr>
      <w:r>
        <w:t>[86</w:t>
      </w:r>
      <w:proofErr w:type="gramStart"/>
      <w:r>
        <w:t>]  This</w:t>
      </w:r>
      <w:proofErr w:type="gramEnd"/>
      <w:r>
        <w:t xml:space="preserve"> is a case in which the express words of the statute must </w:t>
      </w:r>
      <w:r w:rsidR="00FD5407">
        <w:t>govern the outcome. Section 37</w:t>
      </w:r>
      <w:r>
        <w:t>(</w:t>
      </w:r>
      <w:r w:rsidR="003851AE">
        <w:t>7</w:t>
      </w:r>
      <w:r>
        <w:t>) of the S</w:t>
      </w:r>
      <w:r w:rsidR="003851AE">
        <w:t>R</w:t>
      </w:r>
      <w:r>
        <w:t>C Act is a provision which requires a “determi</w:t>
      </w:r>
      <w:r w:rsidR="00FD5407">
        <w:t>nation” within the meaning of s 60</w:t>
      </w:r>
      <w:r>
        <w:t>(</w:t>
      </w:r>
      <w:r w:rsidR="003851AE">
        <w:t>1</w:t>
      </w:r>
      <w:r>
        <w:t xml:space="preserve">) to be made. An employee can request a reconsideration of such a “determination” under </w:t>
      </w:r>
      <w:r w:rsidR="003851AE">
        <w:t>s</w:t>
      </w:r>
      <w:r>
        <w:t xml:space="preserve"> 62, which is what Mr Long did in this c</w:t>
      </w:r>
      <w:r w:rsidR="00FD5407">
        <w:t>ase. This resulted in a Senior Claims M</w:t>
      </w:r>
      <w:r>
        <w:t>anager at Australia Post making a “reviewable decision” on 15 July 2002</w:t>
      </w:r>
    </w:p>
    <w:p w:rsidR="00391759" w:rsidRDefault="000A2762" w:rsidP="00C37695">
      <w:pPr>
        <w:pStyle w:val="Quote"/>
      </w:pPr>
      <w:r>
        <w:t>[87</w:t>
      </w:r>
      <w:proofErr w:type="gramStart"/>
      <w:r>
        <w:t xml:space="preserve">]  </w:t>
      </w:r>
      <w:r w:rsidR="003851AE">
        <w:t>P</w:t>
      </w:r>
      <w:r>
        <w:t>ursuant</w:t>
      </w:r>
      <w:proofErr w:type="gramEnd"/>
      <w:r>
        <w:t xml:space="preserve"> to </w:t>
      </w:r>
      <w:r w:rsidR="003851AE">
        <w:t>s</w:t>
      </w:r>
      <w:r>
        <w:t xml:space="preserve"> 64, the </w:t>
      </w:r>
      <w:r w:rsidR="00FD5407">
        <w:t>T</w:t>
      </w:r>
      <w:r>
        <w:t xml:space="preserve">ribunal has jurisdiction to review </w:t>
      </w:r>
      <w:r w:rsidR="003851AE">
        <w:rPr>
          <w:i w:val="0"/>
        </w:rPr>
        <w:t>“</w:t>
      </w:r>
      <w:r>
        <w:t xml:space="preserve">reviewable decisions” under the </w:t>
      </w:r>
      <w:r w:rsidR="003851AE">
        <w:t>SRC Act</w:t>
      </w:r>
      <w:r>
        <w:t xml:space="preserve">. The </w:t>
      </w:r>
      <w:r w:rsidR="00FD5407">
        <w:t>T</w:t>
      </w:r>
      <w:r>
        <w:t>ribunal, therefore, has jurisdiction to hear Mr Long’s application. This will require the tribunal to assess whether Mr Long has: (</w:t>
      </w:r>
      <w:r w:rsidR="003851AE">
        <w:t>1</w:t>
      </w:r>
      <w:r>
        <w:t>) refused or fail to comply with his rehabilitation program; and (</w:t>
      </w:r>
      <w:r w:rsidR="003851AE">
        <w:t>2</w:t>
      </w:r>
      <w:r>
        <w:t>) whether or not he had a reasonable excuse for doing so.</w:t>
      </w:r>
    </w:p>
    <w:p w:rsidR="003851AE" w:rsidRDefault="003851AE" w:rsidP="003851AE">
      <w:pPr>
        <w:pStyle w:val="ListNumber"/>
      </w:pPr>
      <w:r>
        <w:t xml:space="preserve">In reaching this conclusion, the Full Court had cause to consider </w:t>
      </w:r>
      <w:r w:rsidR="00B822F6">
        <w:t>the provisions of subsection 57</w:t>
      </w:r>
      <w:r>
        <w:t xml:space="preserve">(2) of the SRC Act (see above) as it was argued that the Court had previously held that the Tribunal did not have jurisdiction to review </w:t>
      </w:r>
      <w:r w:rsidR="00513964">
        <w:t>action</w:t>
      </w:r>
      <w:r>
        <w:t xml:space="preserve"> under this subsection, which is worded similarly to subsection 37(7).</w:t>
      </w:r>
    </w:p>
    <w:p w:rsidR="00513964" w:rsidRDefault="00513964" w:rsidP="003851AE">
      <w:pPr>
        <w:pStyle w:val="ListNumber"/>
      </w:pPr>
      <w:r>
        <w:t>The F</w:t>
      </w:r>
      <w:r w:rsidR="00C91B6A">
        <w:t>ull</w:t>
      </w:r>
      <w:r>
        <w:t xml:space="preserve"> Court affirmed the view that the suspension of rights under s 57(2) did not require a decision of an administrative character made under an enactment.</w:t>
      </w:r>
      <w:r>
        <w:rPr>
          <w:rStyle w:val="FootnoteReference"/>
        </w:rPr>
        <w:footnoteReference w:id="2"/>
      </w:r>
      <w:r w:rsidR="00C91B6A">
        <w:t xml:space="preserve">  It said:</w:t>
      </w:r>
    </w:p>
    <w:p w:rsidR="00C91B6A" w:rsidRDefault="00CF3BE6" w:rsidP="00C91B6A">
      <w:pPr>
        <w:pStyle w:val="Quote"/>
      </w:pPr>
      <w:r>
        <w:t xml:space="preserve">[73] </w:t>
      </w:r>
      <w:r w:rsidR="00C91B6A">
        <w:t xml:space="preserve">Thus it is said there is no policy or principle to justify a distinction being drawn between s 37(7) and s 57(2), so that it would not be expected that merits review was intended in one case and not in the other. The short answer to this submission is that s 37 is specified in the s 60(1) definition of “determination” as one of the sections under which there can be a determination. Section 57, however, is not listed in this way. It is excluded from the definition in s 60(1).  Accordingly, although both sections have a similar structure, the presence of one and the absence of the other from the definition of “determination” is a clear indication that the legislature intended them to be treated differently the purposes of the availability of merits review before the </w:t>
      </w:r>
      <w:r>
        <w:t>T</w:t>
      </w:r>
      <w:r w:rsidR="00C91B6A">
        <w:t>ribunal.</w:t>
      </w:r>
    </w:p>
    <w:p w:rsidR="00C91B6A" w:rsidRDefault="009F188D" w:rsidP="00C91B6A">
      <w:pPr>
        <w:pStyle w:val="ListNumber"/>
      </w:pPr>
      <w:r>
        <w:t>As I observe</w:t>
      </w:r>
      <w:r w:rsidR="0094339F">
        <w:t>d</w:t>
      </w:r>
      <w:r>
        <w:t xml:space="preserve"> at the outset of these reasons, the Tribunal’s powers are those given to it by various enactments.  As the operation of section 57(2) is not subject to merits review by the </w:t>
      </w:r>
      <w:r w:rsidR="009009C5">
        <w:t>T</w:t>
      </w:r>
      <w:r>
        <w:t xml:space="preserve">ribunal, it follows that the </w:t>
      </w:r>
      <w:r w:rsidR="009009C5">
        <w:t>T</w:t>
      </w:r>
      <w:r>
        <w:t>ribunal does not have the power to make a declaration</w:t>
      </w:r>
      <w:r w:rsidR="0094339F">
        <w:t xml:space="preserve"> that an applicant has a </w:t>
      </w:r>
      <w:r w:rsidR="0094339F">
        <w:rPr>
          <w:i/>
        </w:rPr>
        <w:t xml:space="preserve">“reasonable excuse” </w:t>
      </w:r>
      <w:r w:rsidR="0094339F">
        <w:t>for refusing to attend a medical appointment at some time in the future.</w:t>
      </w:r>
    </w:p>
    <w:p w:rsidR="00B75F85" w:rsidRDefault="009009C5" w:rsidP="00C91B6A">
      <w:pPr>
        <w:pStyle w:val="ListNumber"/>
      </w:pPr>
      <w:r>
        <w:t xml:space="preserve">My conclusion is consistent with decisions of the Tribunal in </w:t>
      </w:r>
      <w:r>
        <w:rPr>
          <w:i/>
        </w:rPr>
        <w:t xml:space="preserve">Peter Steele and Pacific National Pty Limited </w:t>
      </w:r>
      <w:r>
        <w:rPr>
          <w:rStyle w:val="FootnoteReference"/>
          <w:i/>
        </w:rPr>
        <w:footnoteReference w:id="3"/>
      </w:r>
      <w:r>
        <w:rPr>
          <w:i/>
        </w:rPr>
        <w:t xml:space="preserve"> </w:t>
      </w:r>
      <w:r>
        <w:t xml:space="preserve">and in </w:t>
      </w:r>
      <w:r>
        <w:rPr>
          <w:i/>
        </w:rPr>
        <w:t xml:space="preserve">Von Stieglitz </w:t>
      </w:r>
      <w:r w:rsidR="00CF3BE6">
        <w:rPr>
          <w:i/>
        </w:rPr>
        <w:t>and</w:t>
      </w:r>
      <w:r>
        <w:rPr>
          <w:i/>
        </w:rPr>
        <w:t xml:space="preserve"> </w:t>
      </w:r>
      <w:proofErr w:type="spellStart"/>
      <w:r>
        <w:rPr>
          <w:i/>
        </w:rPr>
        <w:t>Comcare</w:t>
      </w:r>
      <w:proofErr w:type="spellEnd"/>
      <w:r w:rsidR="00CF3BE6">
        <w:rPr>
          <w:i/>
        </w:rPr>
        <w:t>.</w:t>
      </w:r>
      <w:r>
        <w:rPr>
          <w:i/>
        </w:rPr>
        <w:t xml:space="preserve"> </w:t>
      </w:r>
      <w:r>
        <w:rPr>
          <w:rStyle w:val="FootnoteReference"/>
          <w:i/>
        </w:rPr>
        <w:footnoteReference w:id="4"/>
      </w:r>
      <w:r w:rsidR="00B75F85">
        <w:rPr>
          <w:i/>
        </w:rPr>
        <w:t xml:space="preserve">  </w:t>
      </w:r>
      <w:r w:rsidR="00B75F85">
        <w:t>I agree with the reasoning set out in those decisions.</w:t>
      </w:r>
    </w:p>
    <w:p w:rsidR="006918C2" w:rsidRDefault="006918C2" w:rsidP="005E2869">
      <w:pPr>
        <w:pStyle w:val="Heading2"/>
      </w:pPr>
      <w:r>
        <w:t>Issue 2: Should the declaration sought be made?</w:t>
      </w:r>
    </w:p>
    <w:p w:rsidR="006918C2" w:rsidRPr="006918C2" w:rsidRDefault="006918C2" w:rsidP="006918C2">
      <w:pPr>
        <w:pStyle w:val="ListNumber"/>
        <w:rPr>
          <w:lang w:eastAsia="en-AU"/>
        </w:rPr>
      </w:pPr>
      <w:r>
        <w:rPr>
          <w:lang w:eastAsia="en-AU"/>
        </w:rPr>
        <w:t>In view of the conclusion I have reached as to the Tribunal’s jurisdiction, this issue does not arise.</w:t>
      </w:r>
    </w:p>
    <w:p w:rsidR="00F13F08" w:rsidRDefault="00F13F08" w:rsidP="005E2869">
      <w:pPr>
        <w:pStyle w:val="Heading1"/>
      </w:pPr>
      <w:r>
        <w:t>comment</w:t>
      </w:r>
    </w:p>
    <w:p w:rsidR="009009C5" w:rsidRDefault="00B75F85" w:rsidP="00C91B6A">
      <w:pPr>
        <w:pStyle w:val="ListNumber"/>
      </w:pPr>
      <w:r>
        <w:t>Although I have referred to the difference between the applications of section 57 and section 37</w:t>
      </w:r>
      <w:r w:rsidR="00F13F08">
        <w:t xml:space="preserve"> of the SRC</w:t>
      </w:r>
      <w:r>
        <w:t xml:space="preserve"> Act, nothing I have said in these reasons should be taken to indicate that </w:t>
      </w:r>
      <w:r w:rsidR="00CF3BE6">
        <w:t>t</w:t>
      </w:r>
      <w:r>
        <w:t xml:space="preserve">he Tribunal </w:t>
      </w:r>
      <w:r w:rsidR="00743F59">
        <w:t>does have the</w:t>
      </w:r>
      <w:r>
        <w:t xml:space="preserve"> power to issue a declaration in relation to the reasonableness or otherwise of an employee’s excuse for refusing of failing to undertake a rehabilitation program. So far as I am aware, the power of the Tribunal to make declarations is not settled and I have not given consideration to this issue in relation to section 37.</w:t>
      </w:r>
    </w:p>
    <w:p w:rsidR="00F13F08" w:rsidRPr="003818EC" w:rsidRDefault="003818EC" w:rsidP="00C91B6A">
      <w:pPr>
        <w:pStyle w:val="ListNumber"/>
      </w:pPr>
      <w:r>
        <w:t xml:space="preserve">Further, my decision that the Tribunal does not have jurisdiction to make the declaration sought, does not mean that in future the Tribunal cannot consider whether Ms Richards had a reasonable excuse for failing to attend a medical appointment, if such be the case. In this regard I agree with the following reasoning of Member Webb in </w:t>
      </w:r>
      <w:r>
        <w:rPr>
          <w:i/>
        </w:rPr>
        <w:t>Von Stieglitz:</w:t>
      </w:r>
    </w:p>
    <w:p w:rsidR="003818EC" w:rsidRPr="00C37695" w:rsidRDefault="003818EC" w:rsidP="00C37695">
      <w:pPr>
        <w:pStyle w:val="Quote"/>
        <w:rPr>
          <w:i w:val="0"/>
        </w:rPr>
      </w:pPr>
      <w:r>
        <w:t xml:space="preserve">If Ms von Stieglitz </w:t>
      </w:r>
      <w:r>
        <w:rPr>
          <w:i w:val="0"/>
        </w:rPr>
        <w:t>refuses or fails to undergo the examination and seeks to advance her review proceedings, it will then be necessary for the Tribunal to determine whether or not it has jurisdiction to proceed with her application. In that context, and for that purpose, alone, it will necessary for the Tribunal to determine the jurisdictional facts, namely whether Ms von Stieglitz refused or failed to undergo a medical examination required under s 57(1</w:t>
      </w:r>
      <w:proofErr w:type="gramStart"/>
      <w:r>
        <w:rPr>
          <w:i w:val="0"/>
        </w:rPr>
        <w:t>) ,</w:t>
      </w:r>
      <w:proofErr w:type="gramEnd"/>
      <w:r>
        <w:rPr>
          <w:i w:val="0"/>
        </w:rPr>
        <w:t xml:space="preserve"> and if so, whether she had a reasonable excuse for refusing or failing to do so in the particular circumstances, having regard to the “text, context and purpose” of the section.</w:t>
      </w:r>
      <w:r>
        <w:rPr>
          <w:rStyle w:val="FootnoteReference"/>
          <w:i w:val="0"/>
        </w:rPr>
        <w:footnoteReference w:id="5"/>
      </w:r>
    </w:p>
    <w:p w:rsidR="00F13F08" w:rsidRDefault="00F13F08" w:rsidP="005E2869">
      <w:pPr>
        <w:pStyle w:val="Heading1"/>
      </w:pPr>
      <w:r>
        <w:t>Conclusion</w:t>
      </w:r>
    </w:p>
    <w:p w:rsidR="00743F59" w:rsidRPr="00BC2D09" w:rsidRDefault="00743F59" w:rsidP="00743F59">
      <w:pPr>
        <w:pStyle w:val="ListNumber"/>
      </w:pPr>
      <w:r>
        <w:t xml:space="preserve">It will be decided that </w:t>
      </w:r>
      <w:sdt>
        <w:sdtPr>
          <w:rPr>
            <w:lang w:eastAsia="en-US"/>
          </w:rPr>
          <w:alias w:val="Decision"/>
          <w:tag w:val="Decision"/>
          <w:id w:val="-1284106873"/>
          <w:placeholder>
            <w:docPart w:val="7F47C3E2875241D99A0913F551E64353"/>
          </w:placeholder>
        </w:sdtPr>
        <w:sdtEndPr>
          <w:rPr>
            <w:lang w:eastAsia="ja-JP"/>
          </w:rPr>
        </w:sdtEndPr>
        <w:sdtContent>
          <w:r>
            <w:t>the Tribunal does not have jurisdiction to make a declaration that Ms Richards has a reasonable excuse for not attending a medical appointment with Dr McGill on 30 October 2015.</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743F59" w:rsidTr="00702374">
        <w:tc>
          <w:tcPr>
            <w:tcW w:w="3651" w:type="dxa"/>
          </w:tcPr>
          <w:p w:rsidR="00743F59" w:rsidRDefault="00743F59" w:rsidP="00702374">
            <w:pPr>
              <w:pStyle w:val="NoSpacing"/>
            </w:pPr>
          </w:p>
          <w:p w:rsidR="00743F59" w:rsidRDefault="00743F59" w:rsidP="00702374">
            <w:pPr>
              <w:pStyle w:val="NoSpacing"/>
            </w:pPr>
          </w:p>
          <w:p w:rsidR="00743F59" w:rsidRDefault="00743F59" w:rsidP="00702374">
            <w:pPr>
              <w:pStyle w:val="NoSpacing"/>
            </w:pPr>
          </w:p>
          <w:p w:rsidR="00743F59" w:rsidRDefault="00743F59" w:rsidP="00702374">
            <w:pPr>
              <w:pStyle w:val="NoSpacing"/>
            </w:pPr>
          </w:p>
          <w:p w:rsidR="00743F59" w:rsidRDefault="00743F59" w:rsidP="00702374">
            <w:pPr>
              <w:pStyle w:val="NoSpacing"/>
            </w:pPr>
          </w:p>
          <w:p w:rsidR="00743F59" w:rsidRDefault="00743F59" w:rsidP="00702374">
            <w:pPr>
              <w:pStyle w:val="NoSpacing"/>
            </w:pPr>
          </w:p>
          <w:p w:rsidR="00743F59" w:rsidRDefault="00743F59" w:rsidP="00702374">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 xml:space="preserve">24 (twenty -four)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rsidR="005E2869">
              <w:t xml:space="preserve"> </w:t>
            </w:r>
            <w:r w:rsidRPr="00483D56">
              <w:fldChar w:fldCharType="end"/>
            </w:r>
          </w:p>
        </w:tc>
      </w:tr>
    </w:tbl>
    <w:p w:rsidR="00743F59" w:rsidRPr="00BC2D09" w:rsidRDefault="00743F59" w:rsidP="004365B2">
      <w:pPr>
        <w:keepNext/>
        <w:spacing w:before="960"/>
        <w:rPr>
          <w:lang w:eastAsia="en-US"/>
        </w:rPr>
      </w:pPr>
      <w:proofErr w:type="gramStart"/>
      <w:r w:rsidRPr="00BC2D09">
        <w:rPr>
          <w:lang w:eastAsia="en-US"/>
        </w:rPr>
        <w:t>...................</w:t>
      </w:r>
      <w:r w:rsidR="00496418">
        <w:rPr>
          <w:lang w:eastAsia="en-US"/>
        </w:rPr>
        <w:t>[</w:t>
      </w:r>
      <w:proofErr w:type="gramEnd"/>
      <w:r w:rsidR="00496418">
        <w:rPr>
          <w:lang w:eastAsia="en-US"/>
        </w:rPr>
        <w:t>SGD]</w:t>
      </w:r>
      <w:r w:rsidRPr="00BC2D09">
        <w:rPr>
          <w:lang w:eastAsia="en-US"/>
        </w:rPr>
        <w:t>...................................</w:t>
      </w:r>
    </w:p>
    <w:p w:rsidR="00743F59" w:rsidRPr="00D8769A" w:rsidRDefault="00040022" w:rsidP="00702374">
      <w:pPr>
        <w:pStyle w:val="NoSpacing"/>
      </w:pPr>
      <w:r>
        <w:fldChar w:fldCharType="begin"/>
      </w:r>
      <w:r>
        <w:instrText xml:space="preserve"> DOCPROPERTY  SigneeDesignation </w:instrText>
      </w:r>
      <w:r>
        <w:fldChar w:fldCharType="separate"/>
      </w:r>
      <w:r w:rsidR="005E2869">
        <w:t>Associate</w:t>
      </w:r>
      <w:r>
        <w:fldChar w:fldCharType="end"/>
      </w:r>
    </w:p>
    <w:p w:rsidR="00743F59" w:rsidRDefault="00743F59" w:rsidP="004365B2">
      <w:r>
        <w:t xml:space="preserve">Dated </w:t>
      </w:r>
      <w:r w:rsidR="00040022">
        <w:fldChar w:fldCharType="begin"/>
      </w:r>
      <w:r w:rsidR="00040022">
        <w:instrText xml:space="preserve"> DOCPROPERTY  StampDate </w:instrText>
      </w:r>
      <w:r w:rsidR="00040022">
        <w:fldChar w:fldCharType="separate"/>
      </w:r>
      <w:r w:rsidR="005E2869">
        <w:t>11 January 2016</w:t>
      </w:r>
      <w:r w:rsidR="00040022">
        <w:fldChar w:fldCharType="end"/>
      </w:r>
    </w:p>
    <w:p w:rsidR="00743F59" w:rsidRDefault="00743F59" w:rsidP="004365B2"/>
    <w:tbl>
      <w:tblPr>
        <w:tblW w:w="0" w:type="auto"/>
        <w:tblLayout w:type="fixed"/>
        <w:tblLook w:val="00A0" w:firstRow="1" w:lastRow="0" w:firstColumn="1" w:lastColumn="0" w:noHBand="0" w:noVBand="0"/>
      </w:tblPr>
      <w:tblGrid>
        <w:gridCol w:w="3510"/>
        <w:gridCol w:w="5279"/>
      </w:tblGrid>
      <w:tr w:rsidR="00743F59" w:rsidRPr="00BC2D09" w:rsidTr="004365B2">
        <w:trPr>
          <w:trHeight w:val="567"/>
        </w:trPr>
        <w:tc>
          <w:tcPr>
            <w:tcW w:w="3510" w:type="dxa"/>
          </w:tcPr>
          <w:p w:rsidR="00743F59" w:rsidRPr="00BC2D09" w:rsidRDefault="00743F59" w:rsidP="004365B2">
            <w:pPr>
              <w:pStyle w:val="NoSpacing"/>
              <w:rPr>
                <w:lang w:eastAsia="en-US"/>
              </w:rPr>
            </w:pPr>
            <w:r>
              <w:rPr>
                <w:lang w:eastAsia="en-US"/>
              </w:rPr>
              <w:t>Date of hearing</w:t>
            </w:r>
          </w:p>
        </w:tc>
        <w:tc>
          <w:tcPr>
            <w:tcW w:w="5279" w:type="dxa"/>
          </w:tcPr>
          <w:p w:rsidR="00743F59" w:rsidRPr="00771CAC" w:rsidRDefault="00743F59"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5E2869">
              <w:rPr>
                <w:b/>
                <w:bCs/>
                <w:lang w:eastAsia="en-US"/>
              </w:rPr>
              <w:t>16 October 2015</w:t>
            </w:r>
            <w:r>
              <w:rPr>
                <w:b/>
                <w:bCs/>
                <w:lang w:eastAsia="en-US"/>
              </w:rPr>
              <w:fldChar w:fldCharType="end"/>
            </w:r>
          </w:p>
        </w:tc>
      </w:tr>
      <w:tr w:rsidR="00743F59" w:rsidRPr="00BC2D09" w:rsidTr="004365B2">
        <w:trPr>
          <w:trHeight w:val="567"/>
        </w:trPr>
        <w:tc>
          <w:tcPr>
            <w:tcW w:w="3510" w:type="dxa"/>
          </w:tcPr>
          <w:p w:rsidR="00743F59" w:rsidRPr="00BC2D09" w:rsidRDefault="00743F59" w:rsidP="004365B2">
            <w:pPr>
              <w:pStyle w:val="NoSpacing"/>
              <w:rPr>
                <w:lang w:eastAsia="en-US"/>
              </w:rPr>
            </w:pPr>
            <w:bookmarkStart w:id="11" w:name="DateFinalSubmission"/>
            <w:bookmarkStart w:id="12" w:name="Applicant_Solicitors"/>
            <w:bookmarkEnd w:id="11"/>
            <w:bookmarkEnd w:id="12"/>
            <w:r>
              <w:rPr>
                <w:lang w:eastAsia="en-US"/>
              </w:rPr>
              <w:t>Solicitors for the Applicant</w:t>
            </w:r>
          </w:p>
        </w:tc>
        <w:tc>
          <w:tcPr>
            <w:tcW w:w="5279" w:type="dxa"/>
          </w:tcPr>
          <w:p w:rsidR="00743F59" w:rsidRPr="00771CAC" w:rsidRDefault="00743F59" w:rsidP="004365B2">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sidR="005E2869">
              <w:rPr>
                <w:b/>
                <w:bCs/>
                <w:lang w:eastAsia="en-US"/>
              </w:rPr>
              <w:t>P Hansen; Carroll &amp; O'Dea Lawyers</w:t>
            </w:r>
            <w:r>
              <w:rPr>
                <w:b/>
                <w:bCs/>
                <w:lang w:eastAsia="en-US"/>
              </w:rPr>
              <w:fldChar w:fldCharType="end"/>
            </w:r>
          </w:p>
        </w:tc>
      </w:tr>
      <w:tr w:rsidR="00743F59" w:rsidRPr="00BC2D09" w:rsidTr="004365B2">
        <w:trPr>
          <w:trHeight w:val="567"/>
        </w:trPr>
        <w:tc>
          <w:tcPr>
            <w:tcW w:w="3510" w:type="dxa"/>
          </w:tcPr>
          <w:p w:rsidR="00743F59" w:rsidRDefault="00743F59" w:rsidP="004365B2">
            <w:pPr>
              <w:pStyle w:val="NoSpacing"/>
              <w:rPr>
                <w:lang w:eastAsia="en-US"/>
              </w:rPr>
            </w:pPr>
            <w:bookmarkStart w:id="13" w:name="Respondent_Solicitors"/>
            <w:bookmarkEnd w:id="13"/>
            <w:r>
              <w:rPr>
                <w:lang w:eastAsia="en-US"/>
              </w:rPr>
              <w:t>Solicitors for the Respondent</w:t>
            </w:r>
          </w:p>
        </w:tc>
        <w:tc>
          <w:tcPr>
            <w:tcW w:w="5279" w:type="dxa"/>
          </w:tcPr>
          <w:p w:rsidR="00743F59" w:rsidRPr="00771CAC" w:rsidRDefault="00743F59"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sidR="005E2869">
              <w:rPr>
                <w:b/>
                <w:bCs/>
                <w:lang w:eastAsia="en-US"/>
              </w:rPr>
              <w:t>B Dean; Australian Government Solicitor</w:t>
            </w:r>
            <w:r>
              <w:rPr>
                <w:b/>
                <w:bCs/>
                <w:lang w:eastAsia="en-US"/>
              </w:rPr>
              <w:fldChar w:fldCharType="end"/>
            </w:r>
          </w:p>
        </w:tc>
      </w:tr>
    </w:tbl>
    <w:p w:rsidR="00F13F08" w:rsidRDefault="00F13F08" w:rsidP="00743F59"/>
    <w:sectPr w:rsidR="00F13F08" w:rsidSect="006D113F">
      <w:headerReference w:type="even" r:id="rId9"/>
      <w:footerReference w:type="default" r:id="rId10"/>
      <w:headerReference w:type="first" r:id="rId11"/>
      <w:footerReference w:type="first" r:id="rId12"/>
      <w:type w:val="continuous"/>
      <w:pgSz w:w="11907" w:h="16834" w:code="9"/>
      <w:pgMar w:top="1758" w:right="1134" w:bottom="1758" w:left="198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7F3" w:rsidRDefault="00CB57F3">
      <w:r>
        <w:separator/>
      </w:r>
    </w:p>
    <w:p w:rsidR="00CB57F3" w:rsidRDefault="00CB57F3"/>
  </w:endnote>
  <w:endnote w:type="continuationSeparator" w:id="0">
    <w:p w:rsidR="00CB57F3" w:rsidRDefault="00CB57F3">
      <w:r>
        <w:continuationSeparator/>
      </w:r>
    </w:p>
    <w:p w:rsidR="00CB57F3" w:rsidRDefault="00CB5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B4BBD" w:rsidRPr="006F16E0" w:rsidTr="003B4BBD">
      <w:tc>
        <w:tcPr>
          <w:tcW w:w="1447" w:type="dxa"/>
          <w:vAlign w:val="center"/>
        </w:tcPr>
        <w:p w:rsidR="003B4BBD" w:rsidRPr="006F16E0" w:rsidRDefault="003B4BBD" w:rsidP="003B4BBD">
          <w:pPr>
            <w:pStyle w:val="Footer"/>
          </w:pPr>
        </w:p>
      </w:tc>
      <w:tc>
        <w:tcPr>
          <w:tcW w:w="8763" w:type="dxa"/>
          <w:vAlign w:val="center"/>
        </w:tcPr>
        <w:p w:rsidR="003B4BBD" w:rsidRPr="006F16E0" w:rsidRDefault="003B4BBD" w:rsidP="003B4BBD">
          <w:pPr>
            <w:pStyle w:val="Footer"/>
            <w:jc w:val="right"/>
          </w:pPr>
          <w:r>
            <w:t xml:space="preserve">Page </w:t>
          </w:r>
          <w:r>
            <w:fldChar w:fldCharType="begin"/>
          </w:r>
          <w:r>
            <w:instrText xml:space="preserve"> PAGE  \* Arabic </w:instrText>
          </w:r>
          <w:r>
            <w:fldChar w:fldCharType="separate"/>
          </w:r>
          <w:r w:rsidR="00040022">
            <w:rPr>
              <w:noProof/>
            </w:rPr>
            <w:t>8</w:t>
          </w:r>
          <w:r>
            <w:fldChar w:fldCharType="end"/>
          </w:r>
          <w:r>
            <w:t xml:space="preserve"> of </w:t>
          </w:r>
          <w:r w:rsidR="00040022">
            <w:fldChar w:fldCharType="begin"/>
          </w:r>
          <w:r w:rsidR="00040022">
            <w:instrText xml:space="preserve"> NUMPAGES  \* Arabic </w:instrText>
          </w:r>
          <w:r w:rsidR="00040022">
            <w:fldChar w:fldCharType="separate"/>
          </w:r>
          <w:r w:rsidR="00040022">
            <w:rPr>
              <w:noProof/>
            </w:rPr>
            <w:t>8</w:t>
          </w:r>
          <w:r w:rsidR="00040022">
            <w:rPr>
              <w:noProof/>
            </w:rPr>
            <w:fldChar w:fldCharType="end"/>
          </w:r>
        </w:p>
      </w:tc>
    </w:tr>
  </w:tbl>
  <w:p w:rsidR="003B4BBD" w:rsidRDefault="003B4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B4BBD" w:rsidTr="003B4BBD">
      <w:tc>
        <w:tcPr>
          <w:tcW w:w="1447" w:type="dxa"/>
          <w:vAlign w:val="center"/>
        </w:tcPr>
        <w:p w:rsidR="003B4BBD" w:rsidRDefault="003B4BBD" w:rsidP="003B4BBD">
          <w:pPr>
            <w:pStyle w:val="FooterPage1"/>
          </w:pPr>
        </w:p>
      </w:tc>
      <w:tc>
        <w:tcPr>
          <w:tcW w:w="8763" w:type="dxa"/>
          <w:tcBorders>
            <w:left w:val="nil"/>
          </w:tcBorders>
          <w:tcMar>
            <w:left w:w="85" w:type="dxa"/>
          </w:tcMar>
          <w:vAlign w:val="center"/>
        </w:tcPr>
        <w:p w:rsidR="003B4BBD" w:rsidRDefault="003B4BBD" w:rsidP="009C773B">
          <w:pPr>
            <w:pStyle w:val="FooterPage1"/>
            <w:jc w:val="right"/>
          </w:pPr>
          <w:r>
            <w:t xml:space="preserve">© Commonwealth of Australia </w:t>
          </w:r>
          <w:r>
            <w:fldChar w:fldCharType="begin"/>
          </w:r>
          <w:r>
            <w:instrText xml:space="preserve"> DATE  \@ "yyyy" </w:instrText>
          </w:r>
          <w:r>
            <w:fldChar w:fldCharType="separate"/>
          </w:r>
          <w:r w:rsidR="00040022">
            <w:rPr>
              <w:noProof/>
            </w:rPr>
            <w:t>2016</w:t>
          </w:r>
          <w:r>
            <w:fldChar w:fldCharType="end"/>
          </w:r>
        </w:p>
      </w:tc>
    </w:tr>
  </w:tbl>
  <w:p w:rsidR="003B4BBD" w:rsidRDefault="003B4BB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7F3" w:rsidRDefault="00CB57F3">
      <w:r>
        <w:separator/>
      </w:r>
    </w:p>
  </w:footnote>
  <w:footnote w:type="continuationSeparator" w:id="0">
    <w:p w:rsidR="00CB57F3" w:rsidRDefault="00CB57F3">
      <w:r>
        <w:continuationSeparator/>
      </w:r>
    </w:p>
    <w:p w:rsidR="00CB57F3" w:rsidRDefault="00CB57F3"/>
  </w:footnote>
  <w:footnote w:id="1">
    <w:p w:rsidR="00660AFD" w:rsidRDefault="00660AFD">
      <w:pPr>
        <w:pStyle w:val="FootnoteText"/>
      </w:pPr>
      <w:r>
        <w:rPr>
          <w:rStyle w:val="FootnoteReference"/>
        </w:rPr>
        <w:footnoteRef/>
      </w:r>
      <w:r>
        <w:t xml:space="preserve"> </w:t>
      </w:r>
      <w:proofErr w:type="gramStart"/>
      <w:r>
        <w:t>[2003] FCAFC 223.</w:t>
      </w:r>
      <w:proofErr w:type="gramEnd"/>
    </w:p>
  </w:footnote>
  <w:footnote w:id="2">
    <w:p w:rsidR="00513964" w:rsidRDefault="00513964">
      <w:pPr>
        <w:pStyle w:val="FootnoteText"/>
      </w:pPr>
      <w:r>
        <w:rPr>
          <w:rStyle w:val="FootnoteReference"/>
        </w:rPr>
        <w:footnoteRef/>
      </w:r>
      <w:r>
        <w:t xml:space="preserve"> The Federal Court so held in Buck v </w:t>
      </w:r>
      <w:proofErr w:type="spellStart"/>
      <w:r>
        <w:t>Comcare</w:t>
      </w:r>
      <w:proofErr w:type="spellEnd"/>
      <w:r>
        <w:t xml:space="preserve"> (1966) 66 FCR 359.</w:t>
      </w:r>
    </w:p>
  </w:footnote>
  <w:footnote w:id="3">
    <w:p w:rsidR="009009C5" w:rsidRDefault="009009C5">
      <w:pPr>
        <w:pStyle w:val="FootnoteText"/>
      </w:pPr>
      <w:r>
        <w:rPr>
          <w:rStyle w:val="FootnoteReference"/>
        </w:rPr>
        <w:footnoteRef/>
      </w:r>
      <w:r>
        <w:t xml:space="preserve"> [2009]</w:t>
      </w:r>
      <w:proofErr w:type="gramStart"/>
      <w:r>
        <w:t>AATA 321.</w:t>
      </w:r>
      <w:proofErr w:type="gramEnd"/>
    </w:p>
  </w:footnote>
  <w:footnote w:id="4">
    <w:p w:rsidR="009009C5" w:rsidRDefault="009009C5">
      <w:pPr>
        <w:pStyle w:val="FootnoteText"/>
      </w:pPr>
      <w:r>
        <w:rPr>
          <w:rStyle w:val="FootnoteReference"/>
        </w:rPr>
        <w:footnoteRef/>
      </w:r>
      <w:r>
        <w:t xml:space="preserve"> </w:t>
      </w:r>
      <w:proofErr w:type="gramStart"/>
      <w:r>
        <w:t>[2012] AATA 729.</w:t>
      </w:r>
      <w:proofErr w:type="gramEnd"/>
    </w:p>
  </w:footnote>
  <w:footnote w:id="5">
    <w:p w:rsidR="003818EC" w:rsidRDefault="003818EC">
      <w:pPr>
        <w:pStyle w:val="FootnoteText"/>
      </w:pPr>
      <w:r>
        <w:rPr>
          <w:rStyle w:val="FootnoteReference"/>
        </w:rPr>
        <w:footnoteRef/>
      </w:r>
      <w:r>
        <w:t xml:space="preserve"> </w:t>
      </w:r>
      <w:proofErr w:type="gramStart"/>
      <w:r>
        <w:t>At para.14.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BD" w:rsidRDefault="003B4BBD">
    <w:pPr>
      <w:framePr w:wrap="around" w:vAnchor="text" w:hAnchor="margin" w:xAlign="center" w:y="1"/>
      <w:numPr>
        <w:ilvl w:val="12"/>
        <w:numId w:val="0"/>
      </w:numPr>
      <w:ind w:hanging="851"/>
    </w:pPr>
    <w:r>
      <w:fldChar w:fldCharType="begin"/>
    </w:r>
    <w:r>
      <w:instrText xml:space="preserve">PAGE  </w:instrText>
    </w:r>
    <w:r>
      <w:fldChar w:fldCharType="end"/>
    </w:r>
  </w:p>
  <w:p w:rsidR="003B4BBD" w:rsidRDefault="003B4BBD">
    <w:pPr>
      <w:numPr>
        <w:ilvl w:val="12"/>
        <w:numId w:val="0"/>
      </w:numPr>
      <w:ind w:hanging="851"/>
    </w:pPr>
  </w:p>
  <w:p w:rsidR="003B4BBD" w:rsidRDefault="003B4B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3B4BBD" w:rsidTr="003B4BBD">
      <w:trPr>
        <w:trHeight w:hRule="exact" w:val="1702"/>
      </w:trPr>
      <w:tc>
        <w:tcPr>
          <w:tcW w:w="6407" w:type="dxa"/>
        </w:tcPr>
        <w:p w:rsidR="003B4BBD" w:rsidRDefault="003B4BBD" w:rsidP="003B4BBD">
          <w:pPr>
            <w:numPr>
              <w:ilvl w:val="12"/>
              <w:numId w:val="0"/>
            </w:numPr>
          </w:pPr>
          <w:r>
            <w:rPr>
              <w:noProof/>
            </w:rPr>
            <w:drawing>
              <wp:inline distT="0" distB="0" distL="0" distR="0" wp14:anchorId="11C50D7F" wp14:editId="4FA38CBD">
                <wp:extent cx="2448000" cy="916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T master 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916990"/>
                        </a:xfrm>
                        <a:prstGeom prst="rect">
                          <a:avLst/>
                        </a:prstGeom>
                      </pic:spPr>
                    </pic:pic>
                  </a:graphicData>
                </a:graphic>
              </wp:inline>
            </w:drawing>
          </w:r>
        </w:p>
      </w:tc>
      <w:tc>
        <w:tcPr>
          <w:tcW w:w="3969" w:type="dxa"/>
          <w:vAlign w:val="bottom"/>
        </w:tcPr>
        <w:p w:rsidR="003B4BBD" w:rsidRDefault="003B4BBD" w:rsidP="003B4BBD">
          <w:pPr>
            <w:numPr>
              <w:ilvl w:val="12"/>
              <w:numId w:val="0"/>
            </w:numPr>
            <w:jc w:val="right"/>
          </w:pPr>
          <w:r>
            <w:rPr>
              <w:noProof/>
            </w:rPr>
            <w:drawing>
              <wp:inline distT="0" distB="0" distL="0" distR="0" wp14:anchorId="505B1310" wp14:editId="50F735F0">
                <wp:extent cx="2145600" cy="313200"/>
                <wp:effectExtent l="0" t="0" r="7620" b="0"/>
                <wp:docPr id="8" name="Picture 8"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3B4BBD" w:rsidRDefault="003B4BBD"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1844"/>
        </w:tabs>
        <w:ind w:left="1844"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2D8E4DEF"/>
    <w:multiLevelType w:val="multilevel"/>
    <w:tmpl w:val="C38441E4"/>
    <w:styleLink w:val="Quotes"/>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2DCE73BB"/>
    <w:multiLevelType w:val="multilevel"/>
    <w:tmpl w:val="41AE35B0"/>
    <w:numStyleLink w:val="ListNumbers"/>
  </w:abstractNum>
  <w:abstractNum w:abstractNumId="13">
    <w:nsid w:val="335F7608"/>
    <w:multiLevelType w:val="singleLevel"/>
    <w:tmpl w:val="97F283D0"/>
    <w:lvl w:ilvl="0">
      <w:start w:val="1"/>
      <w:numFmt w:val="decimal"/>
      <w:pStyle w:val="NumberedQuote4"/>
      <w:lvlText w:val="(%1)"/>
      <w:lvlJc w:val="left"/>
      <w:pPr>
        <w:tabs>
          <w:tab w:val="num" w:pos="1276"/>
        </w:tabs>
        <w:ind w:left="1276" w:hanging="567"/>
      </w:pPr>
      <w:rPr>
        <w:rFonts w:hint="default"/>
      </w:rPr>
    </w:lvl>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0096D9A"/>
    <w:multiLevelType w:val="hybridMultilevel"/>
    <w:tmpl w:val="F0208E28"/>
    <w:lvl w:ilvl="0" w:tplc="8652657E">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7">
    <w:nsid w:val="495036ED"/>
    <w:multiLevelType w:val="multilevel"/>
    <w:tmpl w:val="C38441E4"/>
    <w:numStyleLink w:val="Quotes"/>
  </w:abstractNum>
  <w:abstractNum w:abstractNumId="18">
    <w:nsid w:val="50FB74C1"/>
    <w:multiLevelType w:val="hybridMultilevel"/>
    <w:tmpl w:val="EB90778E"/>
    <w:lvl w:ilvl="0" w:tplc="BE58F1B0">
      <w:start w:val="1"/>
      <w:numFmt w:val="bullet"/>
      <w:lvlText w:val=""/>
      <w:lvlJc w:val="left"/>
      <w:pPr>
        <w:ind w:left="11" w:hanging="360"/>
      </w:pPr>
      <w:rPr>
        <w:rFonts w:ascii="Symbol" w:hAnsi="Symbol" w:hint="default"/>
      </w:rPr>
    </w:lvl>
    <w:lvl w:ilvl="1" w:tplc="B12ECECA" w:tentative="1">
      <w:start w:val="1"/>
      <w:numFmt w:val="bullet"/>
      <w:lvlText w:val="o"/>
      <w:lvlJc w:val="left"/>
      <w:pPr>
        <w:ind w:left="731" w:hanging="360"/>
      </w:pPr>
      <w:rPr>
        <w:rFonts w:ascii="Courier New" w:hAnsi="Courier New" w:cs="Courier New" w:hint="default"/>
      </w:rPr>
    </w:lvl>
    <w:lvl w:ilvl="2" w:tplc="B4467AF8" w:tentative="1">
      <w:start w:val="1"/>
      <w:numFmt w:val="bullet"/>
      <w:lvlText w:val=""/>
      <w:lvlJc w:val="left"/>
      <w:pPr>
        <w:ind w:left="1451" w:hanging="360"/>
      </w:pPr>
      <w:rPr>
        <w:rFonts w:ascii="Wingdings" w:hAnsi="Wingdings" w:hint="default"/>
      </w:rPr>
    </w:lvl>
    <w:lvl w:ilvl="3" w:tplc="01FEBE2C" w:tentative="1">
      <w:start w:val="1"/>
      <w:numFmt w:val="bullet"/>
      <w:lvlText w:val=""/>
      <w:lvlJc w:val="left"/>
      <w:pPr>
        <w:ind w:left="2171" w:hanging="360"/>
      </w:pPr>
      <w:rPr>
        <w:rFonts w:ascii="Symbol" w:hAnsi="Symbol" w:hint="default"/>
      </w:rPr>
    </w:lvl>
    <w:lvl w:ilvl="4" w:tplc="394215E2" w:tentative="1">
      <w:start w:val="1"/>
      <w:numFmt w:val="bullet"/>
      <w:lvlText w:val="o"/>
      <w:lvlJc w:val="left"/>
      <w:pPr>
        <w:ind w:left="2891" w:hanging="360"/>
      </w:pPr>
      <w:rPr>
        <w:rFonts w:ascii="Courier New" w:hAnsi="Courier New" w:cs="Courier New" w:hint="default"/>
      </w:rPr>
    </w:lvl>
    <w:lvl w:ilvl="5" w:tplc="F29AC6A6" w:tentative="1">
      <w:start w:val="1"/>
      <w:numFmt w:val="bullet"/>
      <w:lvlText w:val=""/>
      <w:lvlJc w:val="left"/>
      <w:pPr>
        <w:ind w:left="3611" w:hanging="360"/>
      </w:pPr>
      <w:rPr>
        <w:rFonts w:ascii="Wingdings" w:hAnsi="Wingdings" w:hint="default"/>
      </w:rPr>
    </w:lvl>
    <w:lvl w:ilvl="6" w:tplc="61D251CC" w:tentative="1">
      <w:start w:val="1"/>
      <w:numFmt w:val="bullet"/>
      <w:lvlText w:val=""/>
      <w:lvlJc w:val="left"/>
      <w:pPr>
        <w:ind w:left="4331" w:hanging="360"/>
      </w:pPr>
      <w:rPr>
        <w:rFonts w:ascii="Symbol" w:hAnsi="Symbol" w:hint="default"/>
      </w:rPr>
    </w:lvl>
    <w:lvl w:ilvl="7" w:tplc="61F2FAE4" w:tentative="1">
      <w:start w:val="1"/>
      <w:numFmt w:val="bullet"/>
      <w:lvlText w:val="o"/>
      <w:lvlJc w:val="left"/>
      <w:pPr>
        <w:ind w:left="5051" w:hanging="360"/>
      </w:pPr>
      <w:rPr>
        <w:rFonts w:ascii="Courier New" w:hAnsi="Courier New" w:cs="Courier New" w:hint="default"/>
      </w:rPr>
    </w:lvl>
    <w:lvl w:ilvl="8" w:tplc="BBFEA52A" w:tentative="1">
      <w:start w:val="1"/>
      <w:numFmt w:val="bullet"/>
      <w:lvlText w:val=""/>
      <w:lvlJc w:val="left"/>
      <w:pPr>
        <w:ind w:left="5771" w:hanging="360"/>
      </w:pPr>
      <w:rPr>
        <w:rFonts w:ascii="Wingdings" w:hAnsi="Wingdings" w:hint="default"/>
      </w:rPr>
    </w:lvl>
  </w:abstractNum>
  <w:abstractNum w:abstractNumId="19">
    <w:nsid w:val="55310AC7"/>
    <w:multiLevelType w:val="multilevel"/>
    <w:tmpl w:val="2160D004"/>
    <w:numStyleLink w:val="Bullets"/>
  </w:abstractNum>
  <w:abstractNum w:abstractNumId="20">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1">
    <w:nsid w:val="641E12EB"/>
    <w:multiLevelType w:val="multilevel"/>
    <w:tmpl w:val="2160D004"/>
    <w:numStyleLink w:val="Bullets"/>
  </w:abstractNum>
  <w:abstractNum w:abstractNumId="22">
    <w:nsid w:val="6B060E1C"/>
    <w:multiLevelType w:val="multilevel"/>
    <w:tmpl w:val="41AE35B0"/>
    <w:numStyleLink w:val="ListNumbers"/>
  </w:abstractNum>
  <w:abstractNum w:abstractNumId="23">
    <w:nsid w:val="74DC79E0"/>
    <w:multiLevelType w:val="multilevel"/>
    <w:tmpl w:val="2160D004"/>
    <w:numStyleLink w:val="Bullets"/>
  </w:abstractNum>
  <w:abstractNum w:abstractNumId="24">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5">
    <w:nsid w:val="7FAF2430"/>
    <w:multiLevelType w:val="multilevel"/>
    <w:tmpl w:val="2160D004"/>
    <w:numStyleLink w:val="Bullets"/>
  </w:abstractNum>
  <w:num w:numId="1">
    <w:abstractNumId w:val="10"/>
  </w:num>
  <w:num w:numId="2">
    <w:abstractNumId w:val="20"/>
  </w:num>
  <w:num w:numId="3">
    <w:abstractNumId w:val="20"/>
  </w:num>
  <w:num w:numId="4">
    <w:abstractNumId w:val="10"/>
  </w:num>
  <w:num w:numId="5">
    <w:abstractNumId w:val="24"/>
  </w:num>
  <w:num w:numId="6">
    <w:abstractNumId w:val="24"/>
  </w:num>
  <w:num w:numId="7">
    <w:abstractNumId w:val="24"/>
  </w:num>
  <w:num w:numId="8">
    <w:abstractNumId w:val="24"/>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3"/>
  </w:num>
  <w:num w:numId="23">
    <w:abstractNumId w:val="25"/>
  </w:num>
  <w:num w:numId="24">
    <w:abstractNumId w:val="6"/>
  </w:num>
  <w:num w:numId="25">
    <w:abstractNumId w:val="5"/>
  </w:num>
  <w:num w:numId="26">
    <w:abstractNumId w:val="19"/>
  </w:num>
  <w:num w:numId="27">
    <w:abstractNumId w:val="21"/>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2"/>
  </w:num>
  <w:num w:numId="38">
    <w:abstractNumId w:val="8"/>
  </w:num>
  <w:num w:numId="39">
    <w:abstractNumId w:val="8"/>
  </w:num>
  <w:num w:numId="40">
    <w:abstractNumId w:val="8"/>
  </w:num>
  <w:num w:numId="41">
    <w:abstractNumId w:val="8"/>
  </w:num>
  <w:num w:numId="42">
    <w:abstractNumId w:val="11"/>
  </w:num>
  <w:num w:numId="43">
    <w:abstractNumId w:val="17"/>
  </w:num>
  <w:num w:numId="44">
    <w:abstractNumId w:val="13"/>
  </w:num>
  <w:num w:numId="45">
    <w:abstractNumId w:val="18"/>
  </w:num>
  <w:num w:numId="46">
    <w:abstractNumId w:val="18"/>
  </w:num>
  <w:num w:numId="47">
    <w:abstractNumId w:val="7"/>
  </w:num>
  <w:num w:numId="48">
    <w:abstractNumId w:val="18"/>
  </w:num>
  <w:num w:numId="49">
    <w:abstractNumId w:val="16"/>
  </w:num>
  <w:num w:numId="50">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5877B00-5713-48A8-8DEE-29F289221264}"/>
    <w:docVar w:name="dgnword-eventsink" w:val="94431216"/>
    <w:docVar w:name="FirstRun" w:val="False"/>
    <w:docVar w:name="RunAlready" w:val="True"/>
  </w:docVars>
  <w:rsids>
    <w:rsidRoot w:val="00AE37DA"/>
    <w:rsid w:val="00000438"/>
    <w:rsid w:val="00000788"/>
    <w:rsid w:val="00004028"/>
    <w:rsid w:val="00004916"/>
    <w:rsid w:val="00005D43"/>
    <w:rsid w:val="00007720"/>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022"/>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762"/>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43874"/>
    <w:rsid w:val="0014665F"/>
    <w:rsid w:val="001466C7"/>
    <w:rsid w:val="00152EB0"/>
    <w:rsid w:val="00155013"/>
    <w:rsid w:val="00156035"/>
    <w:rsid w:val="00161B81"/>
    <w:rsid w:val="001623BA"/>
    <w:rsid w:val="001625D8"/>
    <w:rsid w:val="0016425D"/>
    <w:rsid w:val="001663CB"/>
    <w:rsid w:val="0016773D"/>
    <w:rsid w:val="00170921"/>
    <w:rsid w:val="00170BEE"/>
    <w:rsid w:val="00174965"/>
    <w:rsid w:val="001761FE"/>
    <w:rsid w:val="00177ECF"/>
    <w:rsid w:val="001803FE"/>
    <w:rsid w:val="00183666"/>
    <w:rsid w:val="001851A9"/>
    <w:rsid w:val="00185304"/>
    <w:rsid w:val="0018598D"/>
    <w:rsid w:val="00187636"/>
    <w:rsid w:val="00197BFF"/>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4A1D"/>
    <w:rsid w:val="00271135"/>
    <w:rsid w:val="00271717"/>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18EC"/>
    <w:rsid w:val="00382E91"/>
    <w:rsid w:val="003851AE"/>
    <w:rsid w:val="003868D3"/>
    <w:rsid w:val="00391759"/>
    <w:rsid w:val="00391A9B"/>
    <w:rsid w:val="00391EC8"/>
    <w:rsid w:val="00394A18"/>
    <w:rsid w:val="00395365"/>
    <w:rsid w:val="00395B38"/>
    <w:rsid w:val="00397AC3"/>
    <w:rsid w:val="003A1F50"/>
    <w:rsid w:val="003A5522"/>
    <w:rsid w:val="003B4BBD"/>
    <w:rsid w:val="003B6DAC"/>
    <w:rsid w:val="003C12DE"/>
    <w:rsid w:val="003C3A2F"/>
    <w:rsid w:val="003C6C6D"/>
    <w:rsid w:val="003D1809"/>
    <w:rsid w:val="003D2450"/>
    <w:rsid w:val="003D4BB1"/>
    <w:rsid w:val="003E1FE6"/>
    <w:rsid w:val="003E261A"/>
    <w:rsid w:val="003E45BA"/>
    <w:rsid w:val="003E5E87"/>
    <w:rsid w:val="003E64EB"/>
    <w:rsid w:val="003F2BEB"/>
    <w:rsid w:val="003F3503"/>
    <w:rsid w:val="003F5488"/>
    <w:rsid w:val="00401581"/>
    <w:rsid w:val="004050E6"/>
    <w:rsid w:val="004064E0"/>
    <w:rsid w:val="00406B68"/>
    <w:rsid w:val="00411738"/>
    <w:rsid w:val="004152C5"/>
    <w:rsid w:val="00416CE8"/>
    <w:rsid w:val="00417658"/>
    <w:rsid w:val="00426A4B"/>
    <w:rsid w:val="004326D8"/>
    <w:rsid w:val="00434C15"/>
    <w:rsid w:val="00434C43"/>
    <w:rsid w:val="0044330A"/>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96418"/>
    <w:rsid w:val="004A0002"/>
    <w:rsid w:val="004A40C7"/>
    <w:rsid w:val="004A4F2C"/>
    <w:rsid w:val="004A55A2"/>
    <w:rsid w:val="004A75CC"/>
    <w:rsid w:val="004B40E0"/>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13964"/>
    <w:rsid w:val="00513A55"/>
    <w:rsid w:val="0051593B"/>
    <w:rsid w:val="00520D65"/>
    <w:rsid w:val="00522817"/>
    <w:rsid w:val="00522908"/>
    <w:rsid w:val="00526022"/>
    <w:rsid w:val="0052665E"/>
    <w:rsid w:val="00531AA1"/>
    <w:rsid w:val="00531B56"/>
    <w:rsid w:val="0053335B"/>
    <w:rsid w:val="005408BA"/>
    <w:rsid w:val="005472B9"/>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2869"/>
    <w:rsid w:val="005E4260"/>
    <w:rsid w:val="005E7261"/>
    <w:rsid w:val="005F21C4"/>
    <w:rsid w:val="005F2E99"/>
    <w:rsid w:val="005F3C9A"/>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5512"/>
    <w:rsid w:val="00647330"/>
    <w:rsid w:val="00653401"/>
    <w:rsid w:val="0066062A"/>
    <w:rsid w:val="00660AFD"/>
    <w:rsid w:val="00661217"/>
    <w:rsid w:val="00661270"/>
    <w:rsid w:val="00662B1E"/>
    <w:rsid w:val="00663243"/>
    <w:rsid w:val="00664295"/>
    <w:rsid w:val="00671D54"/>
    <w:rsid w:val="00681AA2"/>
    <w:rsid w:val="00682631"/>
    <w:rsid w:val="00685042"/>
    <w:rsid w:val="00690288"/>
    <w:rsid w:val="006918C2"/>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113F"/>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2D5E"/>
    <w:rsid w:val="00733859"/>
    <w:rsid w:val="007339E9"/>
    <w:rsid w:val="00737A0D"/>
    <w:rsid w:val="007435BC"/>
    <w:rsid w:val="00743F59"/>
    <w:rsid w:val="00746F7A"/>
    <w:rsid w:val="007511FE"/>
    <w:rsid w:val="00751737"/>
    <w:rsid w:val="007520CE"/>
    <w:rsid w:val="00754290"/>
    <w:rsid w:val="00755234"/>
    <w:rsid w:val="007559DB"/>
    <w:rsid w:val="0075763B"/>
    <w:rsid w:val="00760AB6"/>
    <w:rsid w:val="007651A6"/>
    <w:rsid w:val="00771CAC"/>
    <w:rsid w:val="0077217E"/>
    <w:rsid w:val="0077250E"/>
    <w:rsid w:val="00773CCF"/>
    <w:rsid w:val="00776FD2"/>
    <w:rsid w:val="007800EC"/>
    <w:rsid w:val="0078314E"/>
    <w:rsid w:val="007840EF"/>
    <w:rsid w:val="00785FFA"/>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2EE7"/>
    <w:rsid w:val="008C4D87"/>
    <w:rsid w:val="008D0B03"/>
    <w:rsid w:val="008D1E16"/>
    <w:rsid w:val="008D75FE"/>
    <w:rsid w:val="008F0E23"/>
    <w:rsid w:val="008F49AD"/>
    <w:rsid w:val="008F4CE4"/>
    <w:rsid w:val="009003F4"/>
    <w:rsid w:val="009009C5"/>
    <w:rsid w:val="00900A96"/>
    <w:rsid w:val="009030DC"/>
    <w:rsid w:val="0091202C"/>
    <w:rsid w:val="009151B2"/>
    <w:rsid w:val="00916850"/>
    <w:rsid w:val="009201DC"/>
    <w:rsid w:val="00921243"/>
    <w:rsid w:val="00924FD7"/>
    <w:rsid w:val="00926EDE"/>
    <w:rsid w:val="00934AD0"/>
    <w:rsid w:val="00935401"/>
    <w:rsid w:val="009356EB"/>
    <w:rsid w:val="0094339F"/>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42E4"/>
    <w:rsid w:val="009B583E"/>
    <w:rsid w:val="009C22DF"/>
    <w:rsid w:val="009C3C5A"/>
    <w:rsid w:val="009C6540"/>
    <w:rsid w:val="009C773B"/>
    <w:rsid w:val="009D05A1"/>
    <w:rsid w:val="009D1AEA"/>
    <w:rsid w:val="009D2B4D"/>
    <w:rsid w:val="009D2CC4"/>
    <w:rsid w:val="009D3CAC"/>
    <w:rsid w:val="009D7BFB"/>
    <w:rsid w:val="009E2C76"/>
    <w:rsid w:val="009E3C22"/>
    <w:rsid w:val="009E3EBA"/>
    <w:rsid w:val="009E4374"/>
    <w:rsid w:val="009F0642"/>
    <w:rsid w:val="009F188D"/>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40E9"/>
    <w:rsid w:val="00A274A1"/>
    <w:rsid w:val="00A27932"/>
    <w:rsid w:val="00A32543"/>
    <w:rsid w:val="00A336C1"/>
    <w:rsid w:val="00A421E8"/>
    <w:rsid w:val="00A42C48"/>
    <w:rsid w:val="00A47435"/>
    <w:rsid w:val="00A51A9C"/>
    <w:rsid w:val="00A55F5C"/>
    <w:rsid w:val="00A57111"/>
    <w:rsid w:val="00A575A7"/>
    <w:rsid w:val="00A66C12"/>
    <w:rsid w:val="00A71ACA"/>
    <w:rsid w:val="00A724F3"/>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51F7"/>
    <w:rsid w:val="00AE37DA"/>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9EF"/>
    <w:rsid w:val="00B46BDC"/>
    <w:rsid w:val="00B52E8C"/>
    <w:rsid w:val="00B53159"/>
    <w:rsid w:val="00B54990"/>
    <w:rsid w:val="00B64F68"/>
    <w:rsid w:val="00B71D27"/>
    <w:rsid w:val="00B7231F"/>
    <w:rsid w:val="00B72A14"/>
    <w:rsid w:val="00B74FD0"/>
    <w:rsid w:val="00B75F85"/>
    <w:rsid w:val="00B761F4"/>
    <w:rsid w:val="00B8069B"/>
    <w:rsid w:val="00B816C9"/>
    <w:rsid w:val="00B819B4"/>
    <w:rsid w:val="00B822F6"/>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BF6ED6"/>
    <w:rsid w:val="00C00EAE"/>
    <w:rsid w:val="00C03CC0"/>
    <w:rsid w:val="00C03EAA"/>
    <w:rsid w:val="00C05300"/>
    <w:rsid w:val="00C116C1"/>
    <w:rsid w:val="00C1753D"/>
    <w:rsid w:val="00C2072D"/>
    <w:rsid w:val="00C33D54"/>
    <w:rsid w:val="00C34FCC"/>
    <w:rsid w:val="00C36FD6"/>
    <w:rsid w:val="00C37695"/>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0B49"/>
    <w:rsid w:val="00C72F83"/>
    <w:rsid w:val="00C756F8"/>
    <w:rsid w:val="00C7661D"/>
    <w:rsid w:val="00C77C64"/>
    <w:rsid w:val="00C83CA0"/>
    <w:rsid w:val="00C83E00"/>
    <w:rsid w:val="00C845EA"/>
    <w:rsid w:val="00C91B6A"/>
    <w:rsid w:val="00C93672"/>
    <w:rsid w:val="00C94EDA"/>
    <w:rsid w:val="00C95193"/>
    <w:rsid w:val="00C96BD0"/>
    <w:rsid w:val="00CA099E"/>
    <w:rsid w:val="00CA211B"/>
    <w:rsid w:val="00CA2EC5"/>
    <w:rsid w:val="00CA469B"/>
    <w:rsid w:val="00CA69DA"/>
    <w:rsid w:val="00CB18AE"/>
    <w:rsid w:val="00CB4124"/>
    <w:rsid w:val="00CB4DCF"/>
    <w:rsid w:val="00CB57F3"/>
    <w:rsid w:val="00CC1A6B"/>
    <w:rsid w:val="00CC2329"/>
    <w:rsid w:val="00CC326B"/>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3BE6"/>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4291"/>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9EF"/>
    <w:rsid w:val="00E21BB2"/>
    <w:rsid w:val="00E21F00"/>
    <w:rsid w:val="00E22DC4"/>
    <w:rsid w:val="00E22FD9"/>
    <w:rsid w:val="00E26F98"/>
    <w:rsid w:val="00E31B49"/>
    <w:rsid w:val="00E31B91"/>
    <w:rsid w:val="00E35425"/>
    <w:rsid w:val="00E41546"/>
    <w:rsid w:val="00E419D2"/>
    <w:rsid w:val="00E43144"/>
    <w:rsid w:val="00E50FC5"/>
    <w:rsid w:val="00E53225"/>
    <w:rsid w:val="00E537F4"/>
    <w:rsid w:val="00E53E11"/>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E0F4C"/>
    <w:rsid w:val="00EE19C3"/>
    <w:rsid w:val="00EE24D8"/>
    <w:rsid w:val="00EE6F06"/>
    <w:rsid w:val="00EE7912"/>
    <w:rsid w:val="00EF123D"/>
    <w:rsid w:val="00EF1394"/>
    <w:rsid w:val="00EF1799"/>
    <w:rsid w:val="00EF31CA"/>
    <w:rsid w:val="00EF54FD"/>
    <w:rsid w:val="00EF7890"/>
    <w:rsid w:val="00F01667"/>
    <w:rsid w:val="00F0287F"/>
    <w:rsid w:val="00F061FA"/>
    <w:rsid w:val="00F067BB"/>
    <w:rsid w:val="00F06915"/>
    <w:rsid w:val="00F13F08"/>
    <w:rsid w:val="00F3279E"/>
    <w:rsid w:val="00F3428A"/>
    <w:rsid w:val="00F35E91"/>
    <w:rsid w:val="00F410ED"/>
    <w:rsid w:val="00F4176E"/>
    <w:rsid w:val="00F469C0"/>
    <w:rsid w:val="00F46B14"/>
    <w:rsid w:val="00F52E28"/>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A041A"/>
    <w:rsid w:val="00FA1573"/>
    <w:rsid w:val="00FA3CE3"/>
    <w:rsid w:val="00FC1949"/>
    <w:rsid w:val="00FC2148"/>
    <w:rsid w:val="00FC43A5"/>
    <w:rsid w:val="00FD391D"/>
    <w:rsid w:val="00FD3DB2"/>
    <w:rsid w:val="00FD5407"/>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tabs>
        <w:tab w:val="num" w:pos="1276"/>
      </w:tabs>
      <w:ind w:left="1276" w:hanging="567"/>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tabs>
        <w:tab w:val="clear" w:pos="1276"/>
        <w:tab w:val="num" w:pos="1843"/>
      </w:tabs>
      <w:ind w:left="1843"/>
    </w:pPr>
  </w:style>
  <w:style w:type="paragraph" w:customStyle="1" w:styleId="NumberedQuote4">
    <w:name w:val="Numbered Quote 4"/>
    <w:basedOn w:val="Quote"/>
    <w:qFormat/>
    <w:rsid w:val="00BF384D"/>
    <w:pPr>
      <w:numPr>
        <w:ilvl w:val="2"/>
        <w:numId w:val="44"/>
      </w:numPr>
      <w:tabs>
        <w:tab w:val="clear" w:pos="1276"/>
        <w:tab w:val="num" w:pos="2410"/>
      </w:tabs>
      <w:ind w:left="2410"/>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paragraph" w:customStyle="1" w:styleId="subsection">
    <w:name w:val="subsection"/>
    <w:basedOn w:val="Normal"/>
    <w:rsid w:val="00E219EF"/>
    <w:pPr>
      <w:spacing w:before="100" w:beforeAutospacing="1" w:after="100" w:afterAutospacing="1" w:line="240" w:lineRule="auto"/>
      <w:jc w:val="left"/>
    </w:pPr>
    <w:rPr>
      <w:rFonts w:ascii="Times New Roman" w:hAnsi="Times New Roman"/>
      <w:sz w:val="24"/>
      <w:szCs w:val="24"/>
    </w:rPr>
  </w:style>
  <w:style w:type="paragraph" w:customStyle="1" w:styleId="paragraph">
    <w:name w:val="paragraph"/>
    <w:basedOn w:val="Normal"/>
    <w:rsid w:val="00E219EF"/>
    <w:pPr>
      <w:spacing w:before="100" w:beforeAutospacing="1" w:after="100" w:afterAutospacing="1" w:line="240" w:lineRule="auto"/>
      <w:jc w:val="left"/>
    </w:pPr>
    <w:rPr>
      <w:rFonts w:ascii="Times New Roman" w:hAnsi="Times New Roman"/>
      <w:sz w:val="24"/>
      <w:szCs w:val="24"/>
    </w:rPr>
  </w:style>
  <w:style w:type="paragraph" w:customStyle="1" w:styleId="subsection2">
    <w:name w:val="subsection2"/>
    <w:basedOn w:val="Normal"/>
    <w:rsid w:val="00E219EF"/>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rsid w:val="0000772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tabs>
        <w:tab w:val="num" w:pos="1276"/>
      </w:tabs>
      <w:ind w:left="1276" w:hanging="567"/>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tabs>
        <w:tab w:val="clear" w:pos="1276"/>
        <w:tab w:val="num" w:pos="1843"/>
      </w:tabs>
      <w:ind w:left="1843"/>
    </w:pPr>
  </w:style>
  <w:style w:type="paragraph" w:customStyle="1" w:styleId="NumberedQuote4">
    <w:name w:val="Numbered Quote 4"/>
    <w:basedOn w:val="Quote"/>
    <w:qFormat/>
    <w:rsid w:val="00BF384D"/>
    <w:pPr>
      <w:numPr>
        <w:ilvl w:val="2"/>
        <w:numId w:val="44"/>
      </w:numPr>
      <w:tabs>
        <w:tab w:val="clear" w:pos="1276"/>
        <w:tab w:val="num" w:pos="2410"/>
      </w:tabs>
      <w:ind w:left="2410"/>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paragraph" w:customStyle="1" w:styleId="subsection">
    <w:name w:val="subsection"/>
    <w:basedOn w:val="Normal"/>
    <w:rsid w:val="00E219EF"/>
    <w:pPr>
      <w:spacing w:before="100" w:beforeAutospacing="1" w:after="100" w:afterAutospacing="1" w:line="240" w:lineRule="auto"/>
      <w:jc w:val="left"/>
    </w:pPr>
    <w:rPr>
      <w:rFonts w:ascii="Times New Roman" w:hAnsi="Times New Roman"/>
      <w:sz w:val="24"/>
      <w:szCs w:val="24"/>
    </w:rPr>
  </w:style>
  <w:style w:type="paragraph" w:customStyle="1" w:styleId="paragraph">
    <w:name w:val="paragraph"/>
    <w:basedOn w:val="Normal"/>
    <w:rsid w:val="00E219EF"/>
    <w:pPr>
      <w:spacing w:before="100" w:beforeAutospacing="1" w:after="100" w:afterAutospacing="1" w:line="240" w:lineRule="auto"/>
      <w:jc w:val="left"/>
    </w:pPr>
    <w:rPr>
      <w:rFonts w:ascii="Times New Roman" w:hAnsi="Times New Roman"/>
      <w:sz w:val="24"/>
      <w:szCs w:val="24"/>
    </w:rPr>
  </w:style>
  <w:style w:type="paragraph" w:customStyle="1" w:styleId="subsection2">
    <w:name w:val="subsection2"/>
    <w:basedOn w:val="Normal"/>
    <w:rsid w:val="00E219EF"/>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rsid w:val="0000772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3982">
      <w:bodyDiv w:val="1"/>
      <w:marLeft w:val="0"/>
      <w:marRight w:val="0"/>
      <w:marTop w:val="0"/>
      <w:marBottom w:val="0"/>
      <w:divBdr>
        <w:top w:val="none" w:sz="0" w:space="0" w:color="auto"/>
        <w:left w:val="none" w:sz="0" w:space="0" w:color="auto"/>
        <w:bottom w:val="none" w:sz="0" w:space="0" w:color="auto"/>
        <w:right w:val="none" w:sz="0" w:space="0" w:color="auto"/>
      </w:divBdr>
      <w:divsChild>
        <w:div w:id="1657148751">
          <w:marLeft w:val="0"/>
          <w:marRight w:val="0"/>
          <w:marTop w:val="0"/>
          <w:marBottom w:val="0"/>
          <w:divBdr>
            <w:top w:val="none" w:sz="0" w:space="0" w:color="auto"/>
            <w:left w:val="none" w:sz="0" w:space="0" w:color="auto"/>
            <w:bottom w:val="none" w:sz="0" w:space="0" w:color="auto"/>
            <w:right w:val="none" w:sz="0" w:space="0" w:color="auto"/>
          </w:divBdr>
          <w:divsChild>
            <w:div w:id="128478528">
              <w:marLeft w:val="0"/>
              <w:marRight w:val="0"/>
              <w:marTop w:val="0"/>
              <w:marBottom w:val="0"/>
              <w:divBdr>
                <w:top w:val="none" w:sz="0" w:space="0" w:color="auto"/>
                <w:left w:val="none" w:sz="0" w:space="0" w:color="auto"/>
                <w:bottom w:val="none" w:sz="0" w:space="0" w:color="auto"/>
                <w:right w:val="none" w:sz="0" w:space="0" w:color="auto"/>
              </w:divBdr>
              <w:divsChild>
                <w:div w:id="1997369335">
                  <w:marLeft w:val="0"/>
                  <w:marRight w:val="0"/>
                  <w:marTop w:val="0"/>
                  <w:marBottom w:val="0"/>
                  <w:divBdr>
                    <w:top w:val="none" w:sz="0" w:space="0" w:color="auto"/>
                    <w:left w:val="none" w:sz="0" w:space="0" w:color="auto"/>
                    <w:bottom w:val="none" w:sz="0" w:space="0" w:color="auto"/>
                    <w:right w:val="none" w:sz="0" w:space="0" w:color="auto"/>
                  </w:divBdr>
                  <w:divsChild>
                    <w:div w:id="1524629941">
                      <w:marLeft w:val="0"/>
                      <w:marRight w:val="0"/>
                      <w:marTop w:val="0"/>
                      <w:marBottom w:val="0"/>
                      <w:divBdr>
                        <w:top w:val="none" w:sz="0" w:space="0" w:color="auto"/>
                        <w:left w:val="none" w:sz="0" w:space="0" w:color="auto"/>
                        <w:bottom w:val="none" w:sz="0" w:space="0" w:color="auto"/>
                        <w:right w:val="none" w:sz="0" w:space="0" w:color="auto"/>
                      </w:divBdr>
                      <w:divsChild>
                        <w:div w:id="1254705229">
                          <w:marLeft w:val="0"/>
                          <w:marRight w:val="0"/>
                          <w:marTop w:val="0"/>
                          <w:marBottom w:val="0"/>
                          <w:divBdr>
                            <w:top w:val="none" w:sz="0" w:space="0" w:color="auto"/>
                            <w:left w:val="none" w:sz="0" w:space="0" w:color="auto"/>
                            <w:bottom w:val="none" w:sz="0" w:space="0" w:color="auto"/>
                            <w:right w:val="none" w:sz="0" w:space="0" w:color="auto"/>
                          </w:divBdr>
                          <w:divsChild>
                            <w:div w:id="1615207875">
                              <w:marLeft w:val="0"/>
                              <w:marRight w:val="0"/>
                              <w:marTop w:val="0"/>
                              <w:marBottom w:val="0"/>
                              <w:divBdr>
                                <w:top w:val="single" w:sz="6" w:space="0" w:color="828282"/>
                                <w:left w:val="single" w:sz="6" w:space="0" w:color="828282"/>
                                <w:bottom w:val="single" w:sz="6" w:space="0" w:color="828282"/>
                                <w:right w:val="single" w:sz="6" w:space="0" w:color="828282"/>
                              </w:divBdr>
                              <w:divsChild>
                                <w:div w:id="1109474030">
                                  <w:marLeft w:val="0"/>
                                  <w:marRight w:val="0"/>
                                  <w:marTop w:val="0"/>
                                  <w:marBottom w:val="0"/>
                                  <w:divBdr>
                                    <w:top w:val="none" w:sz="0" w:space="0" w:color="auto"/>
                                    <w:left w:val="none" w:sz="0" w:space="0" w:color="auto"/>
                                    <w:bottom w:val="none" w:sz="0" w:space="0" w:color="auto"/>
                                    <w:right w:val="none" w:sz="0" w:space="0" w:color="auto"/>
                                  </w:divBdr>
                                  <w:divsChild>
                                    <w:div w:id="1816071554">
                                      <w:marLeft w:val="0"/>
                                      <w:marRight w:val="0"/>
                                      <w:marTop w:val="0"/>
                                      <w:marBottom w:val="0"/>
                                      <w:divBdr>
                                        <w:top w:val="none" w:sz="0" w:space="0" w:color="auto"/>
                                        <w:left w:val="none" w:sz="0" w:space="0" w:color="auto"/>
                                        <w:bottom w:val="none" w:sz="0" w:space="0" w:color="auto"/>
                                        <w:right w:val="none" w:sz="0" w:space="0" w:color="auto"/>
                                      </w:divBdr>
                                      <w:divsChild>
                                        <w:div w:id="557596285">
                                          <w:marLeft w:val="0"/>
                                          <w:marRight w:val="0"/>
                                          <w:marTop w:val="0"/>
                                          <w:marBottom w:val="0"/>
                                          <w:divBdr>
                                            <w:top w:val="none" w:sz="0" w:space="0" w:color="auto"/>
                                            <w:left w:val="none" w:sz="0" w:space="0" w:color="auto"/>
                                            <w:bottom w:val="none" w:sz="0" w:space="0" w:color="auto"/>
                                            <w:right w:val="none" w:sz="0" w:space="0" w:color="auto"/>
                                          </w:divBdr>
                                          <w:divsChild>
                                            <w:div w:id="1475638725">
                                              <w:marLeft w:val="0"/>
                                              <w:marRight w:val="0"/>
                                              <w:marTop w:val="0"/>
                                              <w:marBottom w:val="0"/>
                                              <w:divBdr>
                                                <w:top w:val="none" w:sz="0" w:space="0" w:color="auto"/>
                                                <w:left w:val="none" w:sz="0" w:space="0" w:color="auto"/>
                                                <w:bottom w:val="none" w:sz="0" w:space="0" w:color="auto"/>
                                                <w:right w:val="none" w:sz="0" w:space="0" w:color="auto"/>
                                              </w:divBdr>
                                              <w:divsChild>
                                                <w:div w:id="42869778">
                                                  <w:marLeft w:val="0"/>
                                                  <w:marRight w:val="0"/>
                                                  <w:marTop w:val="0"/>
                                                  <w:marBottom w:val="0"/>
                                                  <w:divBdr>
                                                    <w:top w:val="none" w:sz="0" w:space="0" w:color="auto"/>
                                                    <w:left w:val="none" w:sz="0" w:space="0" w:color="auto"/>
                                                    <w:bottom w:val="none" w:sz="0" w:space="0" w:color="auto"/>
                                                    <w:right w:val="none" w:sz="0" w:space="0" w:color="auto"/>
                                                  </w:divBdr>
                                                  <w:divsChild>
                                                    <w:div w:id="17931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A7A47CB2B84F48A6B2F29FF5C8A24B"/>
        <w:category>
          <w:name w:val="General"/>
          <w:gallery w:val="placeholder"/>
        </w:category>
        <w:types>
          <w:type w:val="bbPlcHdr"/>
        </w:types>
        <w:behaviors>
          <w:behavior w:val="content"/>
        </w:behaviors>
        <w:guid w:val="{F1AAFA26-699B-46FF-8CFC-4D93CE2C2C0F}"/>
      </w:docPartPr>
      <w:docPartBody>
        <w:p w:rsidR="00F97669" w:rsidRDefault="00F97669">
          <w:pPr>
            <w:pStyle w:val="1CA7A47CB2B84F48A6B2F29FF5C8A24B"/>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EED318FAEEBE4EBE870423D9464F4438"/>
        <w:category>
          <w:name w:val="General"/>
          <w:gallery w:val="placeholder"/>
        </w:category>
        <w:types>
          <w:type w:val="bbPlcHdr"/>
        </w:types>
        <w:behaviors>
          <w:behavior w:val="content"/>
        </w:behaviors>
        <w:guid w:val="{AF9D3688-4C21-4A90-8E3F-17A1553F231F}"/>
      </w:docPartPr>
      <w:docPartBody>
        <w:p w:rsidR="00F97669" w:rsidRDefault="00F97669">
          <w:pPr>
            <w:pStyle w:val="EED318FAEEBE4EBE870423D9464F4438"/>
          </w:pPr>
          <w:r w:rsidRPr="00CD5897">
            <w:rPr>
              <w:rStyle w:val="PlaceholderText"/>
            </w:rPr>
            <w:t>Click here to enter text.</w:t>
          </w:r>
        </w:p>
      </w:docPartBody>
    </w:docPart>
    <w:docPart>
      <w:docPartPr>
        <w:name w:val="F4CFCF006E044F5C8089152A1299E3E5"/>
        <w:category>
          <w:name w:val="General"/>
          <w:gallery w:val="placeholder"/>
        </w:category>
        <w:types>
          <w:type w:val="bbPlcHdr"/>
        </w:types>
        <w:behaviors>
          <w:behavior w:val="content"/>
        </w:behaviors>
        <w:guid w:val="{C4C064AA-9B66-4B7B-A5E0-32BBFDD55DBF}"/>
      </w:docPartPr>
      <w:docPartBody>
        <w:p w:rsidR="00F97669" w:rsidRDefault="00F97669">
          <w:pPr>
            <w:pStyle w:val="F4CFCF006E044F5C8089152A1299E3E5"/>
          </w:pPr>
          <w:r w:rsidRPr="00CD5897">
            <w:rPr>
              <w:rStyle w:val="PlaceholderText"/>
            </w:rPr>
            <w:t>Click here to enter text.</w:t>
          </w:r>
        </w:p>
      </w:docPartBody>
    </w:docPart>
    <w:docPart>
      <w:docPartPr>
        <w:name w:val="1DE2AB735A33468FA945AB9EBC11B118"/>
        <w:category>
          <w:name w:val="General"/>
          <w:gallery w:val="placeholder"/>
        </w:category>
        <w:types>
          <w:type w:val="bbPlcHdr"/>
        </w:types>
        <w:behaviors>
          <w:behavior w:val="content"/>
        </w:behaviors>
        <w:guid w:val="{32E97B00-ADF6-4E37-AFD2-F67EB70B28B5}"/>
      </w:docPartPr>
      <w:docPartBody>
        <w:p w:rsidR="00F97669" w:rsidRDefault="00F97669">
          <w:pPr>
            <w:pStyle w:val="1DE2AB735A33468FA945AB9EBC11B118"/>
          </w:pPr>
          <w:r w:rsidRPr="00CD5897">
            <w:rPr>
              <w:rStyle w:val="PlaceholderText"/>
            </w:rPr>
            <w:t>Click here to enter text.</w:t>
          </w:r>
        </w:p>
      </w:docPartBody>
    </w:docPart>
    <w:docPart>
      <w:docPartPr>
        <w:name w:val="7F47C3E2875241D99A0913F551E64353"/>
        <w:category>
          <w:name w:val="General"/>
          <w:gallery w:val="placeholder"/>
        </w:category>
        <w:types>
          <w:type w:val="bbPlcHdr"/>
        </w:types>
        <w:behaviors>
          <w:behavior w:val="content"/>
        </w:behaviors>
        <w:guid w:val="{83791660-8AD8-4FA6-897D-AF934C2422C7}"/>
      </w:docPartPr>
      <w:docPartBody>
        <w:p w:rsidR="001E44A1" w:rsidRDefault="00233D80" w:rsidP="00233D80">
          <w:pPr>
            <w:pStyle w:val="7F47C3E2875241D99A0913F551E64353"/>
          </w:pPr>
          <w:r w:rsidRPr="00CD5897">
            <w:rPr>
              <w:rStyle w:val="PlaceholderText"/>
            </w:rPr>
            <w:t>Click here to enter</w:t>
          </w:r>
          <w:r>
            <w:rPr>
              <w:rStyle w:val="PlaceholderText"/>
            </w:rPr>
            <w:t xml:space="preserve"> decision</w:t>
          </w:r>
          <w:r w:rsidRPr="00CD58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669"/>
    <w:rsid w:val="001E44A1"/>
    <w:rsid w:val="001F1265"/>
    <w:rsid w:val="00233D80"/>
    <w:rsid w:val="00F976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D80"/>
    <w:rPr>
      <w:color w:val="808080"/>
    </w:rPr>
  </w:style>
  <w:style w:type="paragraph" w:customStyle="1" w:styleId="1CA7A47CB2B84F48A6B2F29FF5C8A24B">
    <w:name w:val="1CA7A47CB2B84F48A6B2F29FF5C8A24B"/>
  </w:style>
  <w:style w:type="paragraph" w:customStyle="1" w:styleId="EED318FAEEBE4EBE870423D9464F4438">
    <w:name w:val="EED318FAEEBE4EBE870423D9464F4438"/>
  </w:style>
  <w:style w:type="paragraph" w:customStyle="1" w:styleId="F4CFCF006E044F5C8089152A1299E3E5">
    <w:name w:val="F4CFCF006E044F5C8089152A1299E3E5"/>
  </w:style>
  <w:style w:type="paragraph" w:customStyle="1" w:styleId="1DE2AB735A33468FA945AB9EBC11B118">
    <w:name w:val="1DE2AB735A33468FA945AB9EBC11B118"/>
  </w:style>
  <w:style w:type="paragraph" w:customStyle="1" w:styleId="04FE92F445C44B39A02E3F12FDA083D3">
    <w:name w:val="04FE92F445C44B39A02E3F12FDA083D3"/>
  </w:style>
  <w:style w:type="paragraph" w:customStyle="1" w:styleId="7F47C3E2875241D99A0913F551E64353">
    <w:name w:val="7F47C3E2875241D99A0913F551E64353"/>
    <w:rsid w:val="00233D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D80"/>
    <w:rPr>
      <w:color w:val="808080"/>
    </w:rPr>
  </w:style>
  <w:style w:type="paragraph" w:customStyle="1" w:styleId="1CA7A47CB2B84F48A6B2F29FF5C8A24B">
    <w:name w:val="1CA7A47CB2B84F48A6B2F29FF5C8A24B"/>
  </w:style>
  <w:style w:type="paragraph" w:customStyle="1" w:styleId="EED318FAEEBE4EBE870423D9464F4438">
    <w:name w:val="EED318FAEEBE4EBE870423D9464F4438"/>
  </w:style>
  <w:style w:type="paragraph" w:customStyle="1" w:styleId="F4CFCF006E044F5C8089152A1299E3E5">
    <w:name w:val="F4CFCF006E044F5C8089152A1299E3E5"/>
  </w:style>
  <w:style w:type="paragraph" w:customStyle="1" w:styleId="1DE2AB735A33468FA945AB9EBC11B118">
    <w:name w:val="1DE2AB735A33468FA945AB9EBC11B118"/>
  </w:style>
  <w:style w:type="paragraph" w:customStyle="1" w:styleId="04FE92F445C44B39A02E3F12FDA083D3">
    <w:name w:val="04FE92F445C44B39A02E3F12FDA083D3"/>
  </w:style>
  <w:style w:type="paragraph" w:customStyle="1" w:styleId="7F47C3E2875241D99A0913F551E64353">
    <w:name w:val="7F47C3E2875241D99A0913F551E64353"/>
    <w:rsid w:val="0023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EED43-45ED-46CF-BC6E-C129F8F8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8</Pages>
  <Words>1984</Words>
  <Characters>10651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James</dc:creator>
  <cp:lastModifiedBy>Dalwood, Jacqui</cp:lastModifiedBy>
  <cp:revision>2</cp:revision>
  <cp:lastPrinted>2016-01-11T00:41:00Z</cp:lastPrinted>
  <dcterms:created xsi:type="dcterms:W3CDTF">2016-02-08T22:21:00Z</dcterms:created>
  <dcterms:modified xsi:type="dcterms:W3CDTF">2016-02-08T22:21:00Z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Comcare</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Kirrilly Richards</vt:lpwstr>
  </property>
  <property fmtid="{D5CDD505-2E9C-101B-9397-08002B2CF9AE}" pid="26" name="FileNumber">
    <vt:lpwstr>2015/3204</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DIVISION</vt:lpwstr>
  </property>
  <property fmtid="{D5CDD505-2E9C-101B-9397-08002B2CF9AE}" pid="71" name="TribunalSignee">
    <vt:lpwstr>Deputy President J W Constance</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16 October 2015</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P Hansen; Carroll &amp; O'Dea Lawyers</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B Dean; Australian Government Solicitor</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11 January 2016</vt:lpwstr>
  </property>
  <property fmtid="{D5CDD505-2E9C-101B-9397-08002B2CF9AE}" pid="96" name="DecisionDate">
    <vt:lpwstr>23 October 2015</vt:lpwstr>
  </property>
  <property fmtid="{D5CDD505-2E9C-101B-9397-08002B2CF9AE}" pid="97" name="ReasonsforDecisionDate">
    <vt:lpwstr>11 January 2016</vt:lpwstr>
  </property>
  <property fmtid="{D5CDD505-2E9C-101B-9397-08002B2CF9AE}" pid="98" name="StampDate">
    <vt:lpwstr>11 January 2016</vt:lpwstr>
  </property>
  <property fmtid="{D5CDD505-2E9C-101B-9397-08002B2CF9AE}" pid="99" name="TribunalLastPgForm">
    <vt:lpwstr> </vt:lpwstr>
  </property>
  <property fmtid="{D5CDD505-2E9C-101B-9397-08002B2CF9AE}" pid="100" name="InfoCDC">
    <vt:lpwstr> </vt:lpwstr>
  </property>
  <property fmtid="{D5CDD505-2E9C-101B-9397-08002B2CF9AE}" pid="101" name="Place">
    <vt:lpwstr>Sydney</vt:lpwstr>
  </property>
</Properties>
</file>