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69A" w:rsidRDefault="0085669A" w:rsidP="0085669A">
      <w:pPr>
        <w:pStyle w:val="Title"/>
      </w:pPr>
      <w:bookmarkStart w:id="0" w:name="_GoBack"/>
      <w:bookmarkEnd w:id="0"/>
      <w:r>
        <w:t xml:space="preserve">Ioannou and Secretary, Department of Social Services (Social services second review) [2015] AATA </w:t>
      </w:r>
      <w:fldSimple w:instr=" DOCPROPERTY  DecisionNumber ">
        <w:r>
          <w:t xml:space="preserve">999 </w:t>
        </w:r>
      </w:fldSimple>
      <w:r>
        <w:t>(6 November 2015)</w:t>
      </w:r>
    </w:p>
    <w:p w:rsidR="00DD17FC" w:rsidRPr="00531AA1" w:rsidRDefault="00DD17FC" w:rsidP="00DD17F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6838"/>
      </w:tblGrid>
      <w:tr w:rsidR="00531AA1" w:rsidRPr="00FA73B2" w:rsidTr="00AA34CF">
        <w:trPr>
          <w:trHeight w:val="284"/>
        </w:trPr>
        <w:tc>
          <w:tcPr>
            <w:tcW w:w="1951" w:type="dxa"/>
          </w:tcPr>
          <w:p w:rsidR="00531AA1" w:rsidRPr="004B6924" w:rsidRDefault="00531AA1" w:rsidP="003B4BBD">
            <w:bookmarkStart w:id="1" w:name="SingleFile" w:colFirst="0" w:colLast="2"/>
            <w:r w:rsidRPr="004B6924">
              <w:t>Division</w:t>
            </w:r>
          </w:p>
        </w:tc>
        <w:tc>
          <w:tcPr>
            <w:tcW w:w="6838" w:type="dxa"/>
          </w:tcPr>
          <w:p w:rsidR="00531AA1" w:rsidRPr="00BB4097" w:rsidRDefault="00EF03B8" w:rsidP="003B4BBD">
            <w:fldSimple w:instr=" DOCPROPERTY  Division ">
              <w:r w:rsidR="00E87A46">
                <w:t>GENERAL DIVISION</w:t>
              </w:r>
            </w:fldSimple>
          </w:p>
        </w:tc>
      </w:tr>
      <w:tr w:rsidR="00531AA1" w:rsidRPr="00FA73B2" w:rsidTr="00AA34CF">
        <w:trPr>
          <w:trHeight w:val="284"/>
        </w:trPr>
        <w:tc>
          <w:tcPr>
            <w:tcW w:w="1951" w:type="dxa"/>
          </w:tcPr>
          <w:p w:rsidR="00531AA1" w:rsidRPr="002260F4" w:rsidRDefault="00531AA1" w:rsidP="007D1803">
            <w:r w:rsidRPr="002260F4">
              <w:t>File Number</w:t>
            </w:r>
          </w:p>
        </w:tc>
        <w:tc>
          <w:tcPr>
            <w:tcW w:w="6838" w:type="dxa"/>
          </w:tcPr>
          <w:p w:rsidR="00531AA1" w:rsidRPr="00A9538E" w:rsidRDefault="0005765E" w:rsidP="00A9538E">
            <w:pPr>
              <w:pStyle w:val="Details"/>
            </w:pPr>
            <w:r w:rsidRPr="00A9538E">
              <w:fldChar w:fldCharType="begin"/>
            </w:r>
            <w:r w:rsidR="00BB4D2F" w:rsidRPr="00A9538E">
              <w:instrText xml:space="preserve"> DOCPROPERTY  File</w:instrText>
            </w:r>
            <w:r w:rsidRPr="00A9538E">
              <w:instrText xml:space="preserve">Number </w:instrText>
            </w:r>
            <w:r w:rsidRPr="00A9538E">
              <w:fldChar w:fldCharType="separate"/>
            </w:r>
            <w:r w:rsidR="00E87A46">
              <w:t>2014/6048</w:t>
            </w:r>
            <w:r w:rsidRPr="00A9538E">
              <w:fldChar w:fldCharType="end"/>
            </w:r>
          </w:p>
        </w:tc>
      </w:tr>
      <w:tr w:rsidR="00531AA1" w:rsidRPr="00FA73B2" w:rsidTr="00AA34CF">
        <w:trPr>
          <w:trHeight w:val="284"/>
        </w:trPr>
        <w:tc>
          <w:tcPr>
            <w:tcW w:w="1951" w:type="dxa"/>
          </w:tcPr>
          <w:p w:rsidR="00531AA1" w:rsidRPr="002260F4" w:rsidRDefault="00531AA1" w:rsidP="007D1803">
            <w:r w:rsidRPr="002260F4">
              <w:t>Re</w:t>
            </w:r>
          </w:p>
        </w:tc>
        <w:tc>
          <w:tcPr>
            <w:tcW w:w="6838" w:type="dxa"/>
          </w:tcPr>
          <w:p w:rsidR="00531AA1" w:rsidRPr="006D20BD" w:rsidRDefault="00A76659" w:rsidP="00036C03">
            <w:pPr>
              <w:pStyle w:val="Details"/>
            </w:pPr>
            <w:fldSimple w:instr=" DOCPROPERTY  Applicant ">
              <w:r w:rsidR="00E87A46">
                <w:t>Mark Ioannou</w:t>
              </w:r>
            </w:fldSimple>
          </w:p>
        </w:tc>
      </w:tr>
      <w:tr w:rsidR="00531AA1" w:rsidRPr="00FA73B2" w:rsidTr="00AA34CF">
        <w:trPr>
          <w:trHeight w:val="284"/>
        </w:trPr>
        <w:tc>
          <w:tcPr>
            <w:tcW w:w="1951" w:type="dxa"/>
          </w:tcPr>
          <w:p w:rsidR="00531AA1" w:rsidRPr="00173896" w:rsidRDefault="00531AA1" w:rsidP="007D1803"/>
        </w:tc>
        <w:tc>
          <w:tcPr>
            <w:tcW w:w="6838" w:type="dxa"/>
          </w:tcPr>
          <w:p w:rsidR="00531AA1" w:rsidRPr="0099661B" w:rsidRDefault="00531AA1" w:rsidP="00024EF9">
            <w:pPr>
              <w:pStyle w:val="Label"/>
            </w:pPr>
            <w:r w:rsidRPr="0099661B">
              <w:t>APPLICANT</w:t>
            </w:r>
          </w:p>
        </w:tc>
      </w:tr>
      <w:tr w:rsidR="00531AA1" w:rsidRPr="00FA73B2" w:rsidTr="00AA34CF">
        <w:trPr>
          <w:trHeight w:val="284"/>
        </w:trPr>
        <w:tc>
          <w:tcPr>
            <w:tcW w:w="1951" w:type="dxa"/>
          </w:tcPr>
          <w:p w:rsidR="00531AA1" w:rsidRPr="00110C0F" w:rsidRDefault="00531AA1" w:rsidP="007D1803">
            <w:pPr>
              <w:rPr>
                <w:bCs/>
              </w:rPr>
            </w:pPr>
            <w:r w:rsidRPr="00110C0F">
              <w:rPr>
                <w:bCs/>
              </w:rPr>
              <w:t>And</w:t>
            </w:r>
          </w:p>
        </w:tc>
        <w:tc>
          <w:tcPr>
            <w:tcW w:w="6838" w:type="dxa"/>
          </w:tcPr>
          <w:p w:rsidR="00531AA1" w:rsidRPr="006D20BD" w:rsidRDefault="00EF03B8" w:rsidP="00036C03">
            <w:pPr>
              <w:pStyle w:val="Details"/>
            </w:pPr>
            <w:fldSimple w:instr=" DOCPROPERTY  Respondent ">
              <w:r w:rsidR="00E87A46">
                <w:t>Secretary, Department of Social Services</w:t>
              </w:r>
            </w:fldSimple>
          </w:p>
        </w:tc>
      </w:tr>
      <w:tr w:rsidR="00531AA1" w:rsidRPr="00FA73B2" w:rsidTr="00AA34CF">
        <w:trPr>
          <w:trHeight w:val="284"/>
        </w:trPr>
        <w:tc>
          <w:tcPr>
            <w:tcW w:w="1951" w:type="dxa"/>
          </w:tcPr>
          <w:p w:rsidR="00531AA1" w:rsidRPr="00173896" w:rsidRDefault="00531AA1" w:rsidP="007D1803"/>
        </w:tc>
        <w:tc>
          <w:tcPr>
            <w:tcW w:w="6838" w:type="dxa"/>
          </w:tcPr>
          <w:p w:rsidR="00531AA1" w:rsidRPr="00771CAC" w:rsidRDefault="00531AA1" w:rsidP="00771CAC">
            <w:pPr>
              <w:pStyle w:val="Label"/>
            </w:pPr>
            <w:r w:rsidRPr="0099661B">
              <w:t>RESPONDENT</w:t>
            </w:r>
          </w:p>
        </w:tc>
      </w:tr>
    </w:tbl>
    <w:bookmarkEnd w:id="1"/>
    <w:p w:rsidR="00BC2D09" w:rsidRDefault="00BC2D09" w:rsidP="00A161A7">
      <w:pPr>
        <w:pStyle w:val="Heading1"/>
        <w:rPr>
          <w:lang w:eastAsia="en-US"/>
        </w:rPr>
      </w:pPr>
      <w:r w:rsidRPr="00BC2D09">
        <w:rPr>
          <w:lang w:eastAsia="en-US"/>
        </w:rPr>
        <w:t>Decision</w:t>
      </w:r>
    </w:p>
    <w:p w:rsidR="00D750F5" w:rsidRPr="00D750F5" w:rsidRDefault="00D750F5" w:rsidP="00D750F5">
      <w:pPr>
        <w:pStyle w:val="NoSpacing"/>
        <w:rPr>
          <w:lang w:eastAsia="en-US"/>
        </w:rPr>
      </w:pPr>
    </w:p>
    <w:tbl>
      <w:tblPr>
        <w:tblW w:w="0" w:type="auto"/>
        <w:tblLayout w:type="fixed"/>
        <w:tblLook w:val="00A0" w:firstRow="1" w:lastRow="0" w:firstColumn="1" w:lastColumn="0" w:noHBand="0" w:noVBand="0"/>
      </w:tblPr>
      <w:tblGrid>
        <w:gridCol w:w="1956"/>
        <w:gridCol w:w="6833"/>
      </w:tblGrid>
      <w:tr w:rsidR="00E87A46" w:rsidRPr="00BC2D09" w:rsidTr="00702374">
        <w:trPr>
          <w:trHeight w:val="567"/>
        </w:trPr>
        <w:tc>
          <w:tcPr>
            <w:tcW w:w="1956" w:type="dxa"/>
          </w:tcPr>
          <w:p w:rsidR="00E87A46" w:rsidRPr="00BC2D09" w:rsidRDefault="00E87A46" w:rsidP="00702374">
            <w:pPr>
              <w:pStyle w:val="NoSpacing"/>
              <w:rPr>
                <w:lang w:eastAsia="en-US"/>
              </w:rPr>
            </w:pPr>
            <w:bookmarkStart w:id="2" w:name="DecisionSummary"/>
            <w:bookmarkStart w:id="3" w:name="Decision"/>
            <w:r w:rsidRPr="00BC2D09">
              <w:rPr>
                <w:lang w:eastAsia="en-US"/>
              </w:rPr>
              <w:t>Tribunal</w:t>
            </w:r>
          </w:p>
        </w:tc>
        <w:tc>
          <w:tcPr>
            <w:tcW w:w="6833" w:type="dxa"/>
          </w:tcPr>
          <w:p w:rsidR="00E87A46" w:rsidRDefault="00E87A46" w:rsidP="00702374">
            <w:pPr>
              <w:pStyle w:val="NoSpacing"/>
              <w:rPr>
                <w:b/>
                <w:bCs/>
                <w:lang w:eastAsia="en-US"/>
              </w:rPr>
            </w:pPr>
            <w:r>
              <w:rPr>
                <w:b/>
                <w:bCs/>
                <w:lang w:eastAsia="en-US"/>
              </w:rPr>
              <w:fldChar w:fldCharType="begin"/>
            </w:r>
            <w:r>
              <w:rPr>
                <w:b/>
                <w:bCs/>
                <w:lang w:eastAsia="en-US"/>
              </w:rPr>
              <w:instrText xml:space="preserve"> DOCPROPERTY  TribunalSignee </w:instrText>
            </w:r>
            <w:r>
              <w:rPr>
                <w:b/>
                <w:bCs/>
                <w:lang w:eastAsia="en-US"/>
              </w:rPr>
              <w:fldChar w:fldCharType="separate"/>
            </w:r>
            <w:r>
              <w:rPr>
                <w:b/>
                <w:bCs/>
                <w:lang w:eastAsia="en-US"/>
              </w:rPr>
              <w:t>Senior Member R W Dunne</w:t>
            </w:r>
            <w:r>
              <w:rPr>
                <w:b/>
                <w:bCs/>
                <w:lang w:eastAsia="en-US"/>
              </w:rPr>
              <w:fldChar w:fldCharType="end"/>
            </w:r>
          </w:p>
          <w:p w:rsidR="00E87A46" w:rsidRDefault="00E87A46" w:rsidP="00702374">
            <w:pPr>
              <w:pStyle w:val="NoSpacing"/>
              <w:rPr>
                <w:b/>
                <w:bCs/>
                <w:lang w:eastAsia="en-US"/>
              </w:rPr>
            </w:pPr>
            <w:r>
              <w:rPr>
                <w:b/>
                <w:bCs/>
                <w:lang w:eastAsia="en-US"/>
              </w:rPr>
              <w:fldChar w:fldCharType="begin"/>
            </w:r>
            <w:r>
              <w:rPr>
                <w:b/>
                <w:bCs/>
                <w:lang w:eastAsia="en-US"/>
              </w:rPr>
              <w:instrText xml:space="preserve"> DOCPROPERTY  TribunalText </w:instrText>
            </w:r>
            <w:r>
              <w:rPr>
                <w:b/>
                <w:bCs/>
                <w:lang w:eastAsia="en-US"/>
              </w:rPr>
              <w:fldChar w:fldCharType="end"/>
            </w:r>
          </w:p>
          <w:p w:rsidR="00E87A46" w:rsidRPr="00771CAC" w:rsidRDefault="00E87A46" w:rsidP="00702374">
            <w:pPr>
              <w:pStyle w:val="NoSpacing"/>
              <w:rPr>
                <w:b/>
                <w:bCs/>
                <w:lang w:eastAsia="en-US"/>
              </w:rPr>
            </w:pPr>
          </w:p>
        </w:tc>
      </w:tr>
      <w:tr w:rsidR="00E87A46" w:rsidRPr="00BC2D09" w:rsidTr="00702374">
        <w:trPr>
          <w:trHeight w:val="567"/>
        </w:trPr>
        <w:tc>
          <w:tcPr>
            <w:tcW w:w="1956" w:type="dxa"/>
          </w:tcPr>
          <w:p w:rsidR="00E87A46" w:rsidRPr="00BC2D09" w:rsidRDefault="00E87A46" w:rsidP="00702374">
            <w:pPr>
              <w:pStyle w:val="NoSpacing"/>
              <w:rPr>
                <w:lang w:eastAsia="en-US"/>
              </w:rPr>
            </w:pPr>
            <w:r w:rsidRPr="00BC2D09">
              <w:rPr>
                <w:lang w:eastAsia="en-US"/>
              </w:rPr>
              <w:t>Date</w:t>
            </w:r>
          </w:p>
        </w:tc>
        <w:tc>
          <w:tcPr>
            <w:tcW w:w="6833" w:type="dxa"/>
          </w:tcPr>
          <w:p w:rsidR="00E87A46" w:rsidRPr="00771CAC" w:rsidRDefault="00E87A46" w:rsidP="00702374">
            <w:pPr>
              <w:pStyle w:val="NoSpacing"/>
              <w:rPr>
                <w:b/>
                <w:bCs/>
                <w:lang w:eastAsia="en-US"/>
              </w:rPr>
            </w:pPr>
            <w:r>
              <w:rPr>
                <w:b/>
                <w:bCs/>
                <w:lang w:eastAsia="en-US"/>
              </w:rPr>
              <w:fldChar w:fldCharType="begin"/>
            </w:r>
            <w:r>
              <w:rPr>
                <w:b/>
                <w:bCs/>
                <w:lang w:eastAsia="en-US"/>
              </w:rPr>
              <w:instrText xml:space="preserve"> DOCPROPERTY  DecisionDate </w:instrText>
            </w:r>
            <w:r>
              <w:rPr>
                <w:b/>
                <w:bCs/>
                <w:lang w:eastAsia="en-US"/>
              </w:rPr>
              <w:fldChar w:fldCharType="separate"/>
            </w:r>
            <w:r>
              <w:rPr>
                <w:b/>
                <w:bCs/>
                <w:lang w:eastAsia="en-US"/>
              </w:rPr>
              <w:t>6 November 2015</w:t>
            </w:r>
            <w:r>
              <w:rPr>
                <w:b/>
                <w:bCs/>
                <w:lang w:eastAsia="en-US"/>
              </w:rPr>
              <w:fldChar w:fldCharType="end"/>
            </w:r>
          </w:p>
        </w:tc>
      </w:tr>
      <w:tr w:rsidR="00E87A46" w:rsidRPr="00BC2D09" w:rsidTr="00A2103A">
        <w:trPr>
          <w:trHeight w:val="820"/>
        </w:trPr>
        <w:tc>
          <w:tcPr>
            <w:tcW w:w="1956" w:type="dxa"/>
          </w:tcPr>
          <w:p w:rsidR="00E87A46" w:rsidRPr="00BC2D09" w:rsidRDefault="00E87A46" w:rsidP="00702374">
            <w:pPr>
              <w:pStyle w:val="NoSpacing"/>
              <w:jc w:val="left"/>
              <w:rPr>
                <w:lang w:eastAsia="en-US"/>
              </w:rPr>
            </w:pPr>
            <w:r>
              <w:rPr>
                <w:lang w:eastAsia="en-US"/>
              </w:rPr>
              <w:t>Date of written reasons</w:t>
            </w:r>
          </w:p>
        </w:tc>
        <w:tc>
          <w:tcPr>
            <w:tcW w:w="6833" w:type="dxa"/>
          </w:tcPr>
          <w:p w:rsidR="00E87A46" w:rsidRPr="00771CAC" w:rsidRDefault="00E87A46" w:rsidP="00702374">
            <w:pPr>
              <w:pStyle w:val="NoSpacing"/>
              <w:rPr>
                <w:b/>
                <w:bCs/>
                <w:lang w:eastAsia="en-US"/>
              </w:rPr>
            </w:pPr>
            <w:r>
              <w:rPr>
                <w:b/>
                <w:bCs/>
                <w:lang w:eastAsia="en-US"/>
              </w:rPr>
              <w:fldChar w:fldCharType="begin"/>
            </w:r>
            <w:r>
              <w:rPr>
                <w:b/>
                <w:bCs/>
                <w:lang w:eastAsia="en-US"/>
              </w:rPr>
              <w:instrText xml:space="preserve"> DOCPROPERTY  DateWrittenReason </w:instrText>
            </w:r>
            <w:r>
              <w:rPr>
                <w:b/>
                <w:bCs/>
                <w:lang w:eastAsia="en-US"/>
              </w:rPr>
              <w:fldChar w:fldCharType="separate"/>
            </w:r>
            <w:r>
              <w:rPr>
                <w:b/>
                <w:bCs/>
                <w:lang w:eastAsia="en-US"/>
              </w:rPr>
              <w:t>22 December 2015</w:t>
            </w:r>
            <w:r>
              <w:rPr>
                <w:b/>
                <w:bCs/>
                <w:lang w:eastAsia="en-US"/>
              </w:rPr>
              <w:fldChar w:fldCharType="end"/>
            </w:r>
          </w:p>
        </w:tc>
      </w:tr>
      <w:tr w:rsidR="00E87A46" w:rsidRPr="00BC2D09" w:rsidTr="00702374">
        <w:trPr>
          <w:trHeight w:val="567"/>
        </w:trPr>
        <w:tc>
          <w:tcPr>
            <w:tcW w:w="1956" w:type="dxa"/>
          </w:tcPr>
          <w:p w:rsidR="00E87A46" w:rsidRPr="00BC2D09" w:rsidRDefault="00E87A46" w:rsidP="00702374">
            <w:pPr>
              <w:pStyle w:val="NoSpacing"/>
              <w:rPr>
                <w:lang w:eastAsia="en-US"/>
              </w:rPr>
            </w:pPr>
            <w:r w:rsidRPr="00BC2D09">
              <w:rPr>
                <w:lang w:eastAsia="en-US"/>
              </w:rPr>
              <w:t>Place</w:t>
            </w:r>
          </w:p>
        </w:tc>
        <w:tc>
          <w:tcPr>
            <w:tcW w:w="6833" w:type="dxa"/>
          </w:tcPr>
          <w:p w:rsidR="00E87A46" w:rsidRPr="00771CAC" w:rsidRDefault="00E87A46" w:rsidP="00702374">
            <w:pPr>
              <w:pStyle w:val="NoSpacing"/>
              <w:rPr>
                <w:b/>
                <w:bCs/>
                <w:lang w:eastAsia="en-US"/>
              </w:rPr>
            </w:pPr>
            <w:r>
              <w:rPr>
                <w:b/>
                <w:bCs/>
                <w:lang w:eastAsia="en-US"/>
              </w:rPr>
              <w:fldChar w:fldCharType="begin"/>
            </w:r>
            <w:r>
              <w:rPr>
                <w:b/>
                <w:bCs/>
                <w:lang w:eastAsia="en-US"/>
              </w:rPr>
              <w:instrText xml:space="preserve"> DOCPROPERTY  Place </w:instrText>
            </w:r>
            <w:r>
              <w:rPr>
                <w:b/>
                <w:bCs/>
                <w:lang w:eastAsia="en-US"/>
              </w:rPr>
              <w:fldChar w:fldCharType="separate"/>
            </w:r>
            <w:r>
              <w:rPr>
                <w:b/>
                <w:bCs/>
                <w:lang w:eastAsia="en-US"/>
              </w:rPr>
              <w:t>Adelaide</w:t>
            </w:r>
            <w:r>
              <w:rPr>
                <w:b/>
                <w:bCs/>
                <w:lang w:eastAsia="en-US"/>
              </w:rPr>
              <w:fldChar w:fldCharType="end"/>
            </w:r>
          </w:p>
        </w:tc>
      </w:tr>
    </w:tbl>
    <w:bookmarkEnd w:id="3" w:displacedByCustomXml="next"/>
    <w:sdt>
      <w:sdtPr>
        <w:rPr>
          <w:lang w:eastAsia="en-US"/>
        </w:rPr>
        <w:alias w:val="Decision"/>
        <w:tag w:val="Decision"/>
        <w:id w:val="1959365562"/>
        <w:lock w:val="sdtLocked"/>
        <w:placeholder>
          <w:docPart w:val="94076F70F4804423A3E047E1F79F10FB"/>
        </w:placeholder>
      </w:sdtPr>
      <w:sdtEndPr/>
      <w:sdtContent>
        <w:p w:rsidR="00BC2D09" w:rsidRPr="00BC2D09" w:rsidRDefault="00521399" w:rsidP="00BC2D09">
          <w:pPr>
            <w:rPr>
              <w:lang w:eastAsia="en-US"/>
            </w:rPr>
          </w:pPr>
          <w:r>
            <w:rPr>
              <w:lang w:eastAsia="en-US"/>
            </w:rPr>
            <w:t>The Tribunal affirms the two decisions under review.</w:t>
          </w:r>
        </w:p>
      </w:sdtContent>
    </w:sdt>
    <w:bookmarkEnd w:id="2"/>
    <w:p w:rsidR="00BC2D09" w:rsidRPr="00BC2D09" w:rsidRDefault="00BC2D09" w:rsidP="001E4799">
      <w:pPr>
        <w:keepNext/>
        <w:spacing w:before="960"/>
        <w:rPr>
          <w:lang w:eastAsia="en-US"/>
        </w:rPr>
      </w:pPr>
      <w:r w:rsidRPr="00BC2D09">
        <w:rPr>
          <w:lang w:eastAsia="en-US"/>
        </w:rPr>
        <w:t>.........................</w:t>
      </w:r>
      <w:r w:rsidR="00A2103A">
        <w:rPr>
          <w:lang w:eastAsia="en-US"/>
        </w:rPr>
        <w:t>[Sgd]</w:t>
      </w:r>
      <w:r w:rsidRPr="00BC2D09">
        <w:rPr>
          <w:lang w:eastAsia="en-US"/>
        </w:rPr>
        <w:t>...............................................</w:t>
      </w:r>
    </w:p>
    <w:p w:rsidR="00BC2D09" w:rsidRPr="00713462" w:rsidRDefault="00DC0CB0" w:rsidP="003B4BBD">
      <w:pPr>
        <w:rPr>
          <w:lang w:eastAsia="en-US"/>
        </w:rPr>
      </w:pPr>
      <w:r>
        <w:rPr>
          <w:lang w:eastAsia="en-US"/>
        </w:rPr>
        <w:fldChar w:fldCharType="begin"/>
      </w:r>
      <w:r>
        <w:rPr>
          <w:lang w:eastAsia="en-US"/>
        </w:rPr>
        <w:instrText xml:space="preserve"> DOCPROPERTY  TribunalSignee </w:instrText>
      </w:r>
      <w:r>
        <w:rPr>
          <w:lang w:eastAsia="en-US"/>
        </w:rPr>
        <w:fldChar w:fldCharType="separate"/>
      </w:r>
      <w:r w:rsidR="00E87A46">
        <w:rPr>
          <w:lang w:eastAsia="en-US"/>
        </w:rPr>
        <w:t>Senior Member R W Dunne</w:t>
      </w:r>
      <w:r>
        <w:rPr>
          <w:lang w:eastAsia="en-US"/>
        </w:rPr>
        <w:fldChar w:fldCharType="end"/>
      </w:r>
    </w:p>
    <w:p w:rsidR="00BC2D09" w:rsidRDefault="005632FA" w:rsidP="00760AB6">
      <w:r>
        <w:br w:type="page"/>
      </w:r>
    </w:p>
    <w:p w:rsidR="00451821" w:rsidRDefault="00451821" w:rsidP="00451821">
      <w:pPr>
        <w:pStyle w:val="Heading1"/>
        <w:rPr>
          <w:lang w:eastAsia="en-US"/>
        </w:rPr>
      </w:pPr>
      <w:bookmarkStart w:id="4" w:name="CatchwordsTitle"/>
      <w:bookmarkEnd w:id="4"/>
      <w:r>
        <w:rPr>
          <w:lang w:eastAsia="en-US"/>
        </w:rPr>
        <w:lastRenderedPageBreak/>
        <w:t>Catchwords</w:t>
      </w:r>
    </w:p>
    <w:sdt>
      <w:sdtPr>
        <w:rPr>
          <w:lang w:eastAsia="en-US"/>
        </w:rPr>
        <w:alias w:val="Catchwords"/>
        <w:tag w:val="Catchwords"/>
        <w:id w:val="-1722664393"/>
        <w:placeholder>
          <w:docPart w:val="6C87884A31554951A3E0BAB82ACA627B"/>
        </w:placeholder>
      </w:sdtPr>
      <w:sdtEndPr/>
      <w:sdtContent>
        <w:p w:rsidR="0097163C" w:rsidRDefault="0097163C" w:rsidP="004A55A2">
          <w:pPr>
            <w:pStyle w:val="CatchWords"/>
            <w:rPr>
              <w:lang w:eastAsia="en-US"/>
            </w:rPr>
          </w:pPr>
          <w:r>
            <w:rPr>
              <w:lang w:eastAsia="en-US"/>
            </w:rPr>
            <w:t>SOCIAL SECURITY – pensions, benefits and allowances – disability support pension –</w:t>
          </w:r>
        </w:p>
        <w:p w:rsidR="004152C5" w:rsidRDefault="0097163C" w:rsidP="004A55A2">
          <w:pPr>
            <w:pStyle w:val="CatchWords"/>
            <w:rPr>
              <w:lang w:eastAsia="en-US"/>
            </w:rPr>
          </w:pPr>
          <w:r>
            <w:rPr>
              <w:lang w:eastAsia="en-US"/>
            </w:rPr>
            <w:t xml:space="preserve"> maximum portability period – illness overseas – suspension and cancellation of disability support pension – further claim for disability support pension – physical, intellectual or psychiatric impairment – whether impairment rating of 20 points or more existed under the Impairment Tables – reports of medical practitioners considered – Job Capacity Assessment conducted – decisions under review affirmed.</w:t>
          </w:r>
        </w:p>
      </w:sdtContent>
    </w:sdt>
    <w:p w:rsidR="00CF5E0E" w:rsidRPr="00BC2D09" w:rsidRDefault="00CF5E0E" w:rsidP="00CF5E0E">
      <w:pPr>
        <w:pStyle w:val="NoSpacing"/>
        <w:rPr>
          <w:lang w:eastAsia="en-US"/>
        </w:rPr>
      </w:pPr>
    </w:p>
    <w:p w:rsidR="00451821" w:rsidRDefault="00451821" w:rsidP="00451821">
      <w:pPr>
        <w:pStyle w:val="Heading1"/>
        <w:rPr>
          <w:lang w:eastAsia="en-US"/>
        </w:rPr>
      </w:pPr>
      <w:bookmarkStart w:id="5" w:name="LegislationTitle"/>
      <w:bookmarkEnd w:id="5"/>
      <w:r>
        <w:rPr>
          <w:lang w:eastAsia="en-US"/>
        </w:rPr>
        <w:t>Legislation</w:t>
      </w:r>
    </w:p>
    <w:sdt>
      <w:sdtPr>
        <w:rPr>
          <w:lang w:eastAsia="en-US"/>
        </w:rPr>
        <w:alias w:val="Legislation"/>
        <w:tag w:val="Legislation"/>
        <w:id w:val="-13298432"/>
        <w:placeholder>
          <w:docPart w:val="EF0F438D2B724B199CE19284F768014D"/>
        </w:placeholder>
      </w:sdtPr>
      <w:sdtEndPr/>
      <w:sdtContent>
        <w:p w:rsidR="0097163C" w:rsidRDefault="0097163C" w:rsidP="00E616B9">
          <w:pPr>
            <w:pStyle w:val="CatchWords"/>
            <w:rPr>
              <w:lang w:eastAsia="en-US"/>
            </w:rPr>
          </w:pPr>
          <w:r>
            <w:rPr>
              <w:lang w:eastAsia="en-US"/>
            </w:rPr>
            <w:t xml:space="preserve">Social Security Act 1991 </w:t>
          </w:r>
          <w:r w:rsidRPr="00E67BA1">
            <w:rPr>
              <w:i w:val="0"/>
              <w:lang w:eastAsia="en-US"/>
            </w:rPr>
            <w:t>(Cth), ss 94, 1217, 1218C</w:t>
          </w:r>
        </w:p>
        <w:p w:rsidR="004152C5" w:rsidRDefault="0097163C" w:rsidP="00E616B9">
          <w:pPr>
            <w:pStyle w:val="CatchWords"/>
            <w:rPr>
              <w:lang w:eastAsia="en-US"/>
            </w:rPr>
          </w:pPr>
          <w:r>
            <w:rPr>
              <w:lang w:eastAsia="en-US"/>
            </w:rPr>
            <w:t xml:space="preserve">Social Security (Administration) 1999 </w:t>
          </w:r>
          <w:r w:rsidRPr="00E67BA1">
            <w:rPr>
              <w:i w:val="0"/>
              <w:lang w:eastAsia="en-US"/>
            </w:rPr>
            <w:t>(Cth), s 42, Schedule 2, Clauses 3 and 4(1)</w:t>
          </w:r>
          <w:r>
            <w:rPr>
              <w:lang w:eastAsia="en-US"/>
            </w:rPr>
            <w:t xml:space="preserve">  </w:t>
          </w:r>
        </w:p>
      </w:sdtContent>
    </w:sdt>
    <w:p w:rsidR="00E616B9" w:rsidRPr="00BC2D09" w:rsidRDefault="00E616B9" w:rsidP="00E7349B">
      <w:pPr>
        <w:pStyle w:val="NoSpacing"/>
        <w:rPr>
          <w:lang w:eastAsia="en-US"/>
        </w:rPr>
      </w:pPr>
    </w:p>
    <w:p w:rsidR="00451821" w:rsidRDefault="00451821" w:rsidP="00451821">
      <w:pPr>
        <w:pStyle w:val="Heading1"/>
        <w:rPr>
          <w:lang w:eastAsia="en-US"/>
        </w:rPr>
      </w:pPr>
      <w:bookmarkStart w:id="6" w:name="CasesTitle"/>
      <w:bookmarkEnd w:id="6"/>
      <w:r>
        <w:rPr>
          <w:lang w:eastAsia="en-US"/>
        </w:rPr>
        <w:t>Cases</w:t>
      </w:r>
    </w:p>
    <w:sdt>
      <w:sdtPr>
        <w:rPr>
          <w:lang w:eastAsia="en-US"/>
        </w:rPr>
        <w:alias w:val="Cases"/>
        <w:tag w:val="Cases"/>
        <w:id w:val="-26403871"/>
        <w:placeholder>
          <w:docPart w:val="630DAD5C63DE4D44B6C53CDBE0A602D9"/>
        </w:placeholder>
      </w:sdtPr>
      <w:sdtEndPr/>
      <w:sdtContent>
        <w:p w:rsidR="0097163C" w:rsidRDefault="0097163C" w:rsidP="005F2E99">
          <w:pPr>
            <w:pStyle w:val="CatchWords"/>
            <w:rPr>
              <w:lang w:eastAsia="en-US"/>
            </w:rPr>
          </w:pPr>
          <w:r>
            <w:rPr>
              <w:lang w:eastAsia="en-US"/>
            </w:rPr>
            <w:t xml:space="preserve">Re Secretary, Department of Social Services and Anwar </w:t>
          </w:r>
          <w:r w:rsidRPr="00E67BA1">
            <w:rPr>
              <w:i w:val="0"/>
              <w:lang w:eastAsia="en-US"/>
            </w:rPr>
            <w:t>[2015] AATA 413</w:t>
          </w:r>
        </w:p>
        <w:p w:rsidR="0097163C" w:rsidRDefault="0097163C" w:rsidP="005F2E99">
          <w:pPr>
            <w:pStyle w:val="CatchWords"/>
            <w:rPr>
              <w:lang w:eastAsia="en-US"/>
            </w:rPr>
          </w:pPr>
          <w:r>
            <w:rPr>
              <w:lang w:eastAsia="en-US"/>
            </w:rPr>
            <w:t xml:space="preserve">Re Young and Secretary, Department of Family and Community Services </w:t>
          </w:r>
          <w:r w:rsidRPr="00E67BA1">
            <w:rPr>
              <w:i w:val="0"/>
              <w:lang w:eastAsia="en-US"/>
            </w:rPr>
            <w:t>[2004]</w:t>
          </w:r>
          <w:r>
            <w:rPr>
              <w:lang w:eastAsia="en-US"/>
            </w:rPr>
            <w:t xml:space="preserve"> </w:t>
          </w:r>
          <w:r w:rsidRPr="00E67BA1">
            <w:rPr>
              <w:i w:val="0"/>
              <w:lang w:eastAsia="en-US"/>
            </w:rPr>
            <w:t>AATA 392, (2004) 84 ALD 540</w:t>
          </w:r>
        </w:p>
        <w:p w:rsidR="0097163C" w:rsidRDefault="0097163C" w:rsidP="005F2E99">
          <w:pPr>
            <w:pStyle w:val="CatchWords"/>
            <w:rPr>
              <w:lang w:eastAsia="en-US"/>
            </w:rPr>
          </w:pPr>
          <w:r>
            <w:rPr>
              <w:lang w:eastAsia="en-US"/>
            </w:rPr>
            <w:t xml:space="preserve">Drake v Minister for Immigration and Ethnic Affairs (No2) </w:t>
          </w:r>
          <w:r w:rsidRPr="00E67BA1">
            <w:rPr>
              <w:i w:val="0"/>
              <w:lang w:eastAsia="en-US"/>
            </w:rPr>
            <w:t>(1979) 2 ALD 634</w:t>
          </w:r>
        </w:p>
        <w:p w:rsidR="0097163C" w:rsidRDefault="0097163C" w:rsidP="005F2E99">
          <w:pPr>
            <w:pStyle w:val="CatchWords"/>
            <w:rPr>
              <w:lang w:eastAsia="en-US"/>
            </w:rPr>
          </w:pPr>
          <w:r>
            <w:rPr>
              <w:lang w:eastAsia="en-US"/>
            </w:rPr>
            <w:t xml:space="preserve">Hneidi v Minister for Immigration and Citizenship </w:t>
          </w:r>
          <w:r w:rsidRPr="00E67BA1">
            <w:rPr>
              <w:i w:val="0"/>
              <w:lang w:eastAsia="en-US"/>
            </w:rPr>
            <w:t>[2010] FCAFC 20</w:t>
          </w:r>
        </w:p>
        <w:p w:rsidR="0097163C" w:rsidRDefault="0097163C" w:rsidP="005F2E99">
          <w:pPr>
            <w:pStyle w:val="CatchWords"/>
            <w:rPr>
              <w:lang w:eastAsia="en-US"/>
            </w:rPr>
          </w:pPr>
          <w:r>
            <w:rPr>
              <w:lang w:eastAsia="en-US"/>
            </w:rPr>
            <w:t xml:space="preserve">Re Bobera and Secretary, Department of Families, Housing, Community Services and Indigenous Affairs </w:t>
          </w:r>
          <w:r w:rsidRPr="00E67BA1">
            <w:rPr>
              <w:i w:val="0"/>
              <w:lang w:eastAsia="en-US"/>
            </w:rPr>
            <w:t>[2012] AATA 922</w:t>
          </w:r>
        </w:p>
        <w:p w:rsidR="004152C5" w:rsidRDefault="0097163C" w:rsidP="005F2E99">
          <w:pPr>
            <w:pStyle w:val="CatchWords"/>
            <w:rPr>
              <w:lang w:eastAsia="en-US"/>
            </w:rPr>
          </w:pPr>
          <w:r>
            <w:rPr>
              <w:lang w:eastAsia="en-US"/>
            </w:rPr>
            <w:t xml:space="preserve">Harris v Secretary, Department of Employment and workplace Relations </w:t>
          </w:r>
          <w:r w:rsidRPr="00E67BA1">
            <w:rPr>
              <w:i w:val="0"/>
              <w:lang w:eastAsia="en-US"/>
            </w:rPr>
            <w:t>[2007] FCA 404</w:t>
          </w:r>
          <w:r>
            <w:rPr>
              <w:lang w:eastAsia="en-US"/>
            </w:rPr>
            <w:t xml:space="preserve">   </w:t>
          </w:r>
        </w:p>
      </w:sdtContent>
    </w:sdt>
    <w:p w:rsidR="005F2E99" w:rsidRPr="00BC2D09" w:rsidRDefault="005F2E99" w:rsidP="00E7349B">
      <w:pPr>
        <w:pStyle w:val="NoSpacing"/>
        <w:rPr>
          <w:lang w:eastAsia="en-US"/>
        </w:rPr>
      </w:pPr>
    </w:p>
    <w:p w:rsidR="00451821" w:rsidRDefault="00451821" w:rsidP="00451821">
      <w:pPr>
        <w:pStyle w:val="Heading1"/>
      </w:pPr>
      <w:bookmarkStart w:id="7" w:name="SecondaryMaterialsTitle"/>
      <w:bookmarkEnd w:id="7"/>
      <w:r>
        <w:t>Secondary Materials</w:t>
      </w:r>
    </w:p>
    <w:p w:rsidR="00BC2D09" w:rsidRDefault="005F4735" w:rsidP="005F2E99">
      <w:pPr>
        <w:pStyle w:val="CatchWords"/>
      </w:pPr>
      <w:sdt>
        <w:sdtPr>
          <w:alias w:val="SecondaryMaterials"/>
          <w:tag w:val="SecondaryMaterials"/>
          <w:id w:val="16523116"/>
          <w:placeholder>
            <w:docPart w:val="B3D0777BBC4F4D5B8B203EB1894A6267"/>
          </w:placeholder>
        </w:sdtPr>
        <w:sdtEndPr/>
        <w:sdtContent>
          <w:r w:rsidR="0097163C">
            <w:t>Social Security (Tables for the Assessment of Work-related Impairment for Disability Support Pension) Determination 2011</w:t>
          </w:r>
        </w:sdtContent>
      </w:sdt>
    </w:p>
    <w:p w:rsidR="005F2E99" w:rsidRDefault="005F2E99" w:rsidP="009E2C76"/>
    <w:p w:rsidR="0097163C" w:rsidRDefault="0097163C" w:rsidP="009E2C76"/>
    <w:p w:rsidR="0097163C" w:rsidRDefault="0097163C" w:rsidP="009E2C76"/>
    <w:p w:rsidR="009E2C76" w:rsidRDefault="009E2C76" w:rsidP="00CA099E">
      <w:pPr>
        <w:pStyle w:val="Heading1"/>
        <w:rPr>
          <w:lang w:eastAsia="en-US"/>
        </w:rPr>
      </w:pPr>
      <w:r w:rsidRPr="009E2C76">
        <w:rPr>
          <w:lang w:eastAsia="en-US"/>
        </w:rPr>
        <w:lastRenderedPageBreak/>
        <w:t>REASONS FOR DECISION</w:t>
      </w:r>
    </w:p>
    <w:p w:rsidR="00CA099E" w:rsidRDefault="00CA099E" w:rsidP="00D750F5">
      <w:pPr>
        <w:pStyle w:val="NoSpacing"/>
        <w:rPr>
          <w:lang w:eastAsia="en-US"/>
        </w:rPr>
      </w:pPr>
    </w:p>
    <w:p w:rsidR="00D50614" w:rsidRDefault="00D50614" w:rsidP="00D750F5">
      <w:pPr>
        <w:pStyle w:val="NoSpacing"/>
        <w:rPr>
          <w:b/>
          <w:lang w:eastAsia="en-US"/>
        </w:rPr>
      </w:pPr>
      <w:r>
        <w:rPr>
          <w:b/>
          <w:lang w:eastAsia="en-US"/>
        </w:rPr>
        <w:fldChar w:fldCharType="begin"/>
      </w:r>
      <w:r>
        <w:rPr>
          <w:b/>
          <w:lang w:eastAsia="en-US"/>
        </w:rPr>
        <w:instrText xml:space="preserve"> DOCPROPERTY  TribunalSignee </w:instrText>
      </w:r>
      <w:r>
        <w:rPr>
          <w:b/>
          <w:lang w:eastAsia="en-US"/>
        </w:rPr>
        <w:fldChar w:fldCharType="separate"/>
      </w:r>
      <w:r w:rsidR="00E87A46">
        <w:rPr>
          <w:b/>
          <w:lang w:eastAsia="en-US"/>
        </w:rPr>
        <w:t>Senior Member R W Dunne</w:t>
      </w:r>
      <w:r>
        <w:rPr>
          <w:b/>
          <w:lang w:eastAsia="en-US"/>
        </w:rPr>
        <w:fldChar w:fldCharType="end"/>
      </w:r>
    </w:p>
    <w:p w:rsidR="00A74195" w:rsidRDefault="00A74195" w:rsidP="00D750F5">
      <w:pPr>
        <w:pStyle w:val="NoSpacing"/>
        <w:rPr>
          <w:b/>
          <w:lang w:eastAsia="en-US"/>
        </w:rPr>
      </w:pPr>
      <w:r w:rsidRPr="002A5BD8">
        <w:rPr>
          <w:b/>
          <w:lang w:eastAsia="en-US"/>
        </w:rPr>
        <w:fldChar w:fldCharType="begin"/>
      </w:r>
      <w:r w:rsidRPr="002A5BD8">
        <w:rPr>
          <w:b/>
          <w:lang w:eastAsia="en-US"/>
        </w:rPr>
        <w:instrText xml:space="preserve"> DOCPROPERTY  TribunalText </w:instrText>
      </w:r>
      <w:r w:rsidRPr="002A5BD8">
        <w:rPr>
          <w:b/>
          <w:lang w:eastAsia="en-US"/>
        </w:rPr>
        <w:fldChar w:fldCharType="end"/>
      </w:r>
    </w:p>
    <w:p w:rsidR="00A74195" w:rsidRDefault="00A74195" w:rsidP="00A74195">
      <w:pPr>
        <w:pStyle w:val="NoSpacing"/>
        <w:rPr>
          <w:lang w:eastAsia="en-US"/>
        </w:rPr>
      </w:pPr>
    </w:p>
    <w:p w:rsidR="00A74195" w:rsidRPr="00D50614" w:rsidRDefault="006D3300" w:rsidP="00D750F5">
      <w:pPr>
        <w:pStyle w:val="NoSpacing"/>
        <w:rPr>
          <w:b/>
          <w:lang w:eastAsia="en-US"/>
        </w:rPr>
      </w:pPr>
      <w:r w:rsidRPr="00D50614">
        <w:rPr>
          <w:b/>
          <w:lang w:eastAsia="en-US"/>
        </w:rPr>
        <w:fldChar w:fldCharType="begin"/>
      </w:r>
      <w:r w:rsidRPr="00D50614">
        <w:rPr>
          <w:b/>
          <w:lang w:eastAsia="en-US"/>
        </w:rPr>
        <w:instrText xml:space="preserve"> DOCPROPERTY  ReasonsforDecisionDate </w:instrText>
      </w:r>
      <w:r w:rsidRPr="00D50614">
        <w:rPr>
          <w:b/>
          <w:lang w:eastAsia="en-US"/>
        </w:rPr>
        <w:fldChar w:fldCharType="separate"/>
      </w:r>
      <w:r w:rsidR="00E87A46">
        <w:rPr>
          <w:b/>
          <w:lang w:eastAsia="en-US"/>
        </w:rPr>
        <w:t>22 December 2015</w:t>
      </w:r>
      <w:r w:rsidRPr="00D50614">
        <w:rPr>
          <w:b/>
          <w:lang w:eastAsia="en-US"/>
        </w:rPr>
        <w:fldChar w:fldCharType="end"/>
      </w:r>
    </w:p>
    <w:p w:rsidR="00A74195" w:rsidRDefault="00A74195" w:rsidP="00D750F5">
      <w:pPr>
        <w:pStyle w:val="NoSpacing"/>
        <w:rPr>
          <w:lang w:eastAsia="en-US"/>
        </w:rPr>
      </w:pPr>
    </w:p>
    <w:p w:rsidR="00C6666B" w:rsidRPr="00CA099E" w:rsidRDefault="00C6666B" w:rsidP="00D750F5">
      <w:pPr>
        <w:pStyle w:val="NoSpacing"/>
        <w:rPr>
          <w:lang w:eastAsia="en-US"/>
        </w:rPr>
      </w:pPr>
    </w:p>
    <w:p w:rsidR="000176A5" w:rsidRDefault="00451821" w:rsidP="00451821">
      <w:pPr>
        <w:pStyle w:val="Heading1"/>
      </w:pPr>
      <w:bookmarkStart w:id="8" w:name="Start"/>
      <w:bookmarkEnd w:id="8"/>
      <w:r>
        <w:t>INTRODUCTION</w:t>
      </w:r>
    </w:p>
    <w:p w:rsidR="00451821" w:rsidRDefault="00451821" w:rsidP="00451821">
      <w:pPr>
        <w:pStyle w:val="ListNumber"/>
        <w:rPr>
          <w:lang w:eastAsia="en-AU"/>
        </w:rPr>
      </w:pPr>
      <w:r>
        <w:rPr>
          <w:lang w:eastAsia="en-AU"/>
        </w:rPr>
        <w:t xml:space="preserve">The applicant, Mark Ioannou, has requested written reasons for my decision which I delivered orally at the conclusion of the hearing of this matter.  The following is an edited version of my reasons.  However, in order to put my conclusion and findings in context, I will now supplement my oral reasons by referring to certain background facts that were not in contention, and to the relevant </w:t>
      </w:r>
      <w:r w:rsidR="007B2F65">
        <w:rPr>
          <w:lang w:eastAsia="en-AU"/>
        </w:rPr>
        <w:t>legislation</w:t>
      </w:r>
      <w:r>
        <w:rPr>
          <w:lang w:eastAsia="en-AU"/>
        </w:rPr>
        <w:t>.</w:t>
      </w:r>
    </w:p>
    <w:p w:rsidR="00451821" w:rsidRDefault="00451821" w:rsidP="00451821">
      <w:pPr>
        <w:pStyle w:val="ListNumber"/>
        <w:rPr>
          <w:lang w:eastAsia="en-AU"/>
        </w:rPr>
      </w:pPr>
      <w:r>
        <w:rPr>
          <w:lang w:eastAsia="en-AU"/>
        </w:rPr>
        <w:t>On 10 October 2014, the Social Security Appeals Tribunal (“SSAT”) affirmed an earlier decision made by an Authorised Review Officer (“ARO”) of the respondent on 12</w:t>
      </w:r>
      <w:r w:rsidR="00F90807">
        <w:rPr>
          <w:lang w:eastAsia="en-AU"/>
        </w:rPr>
        <w:t> </w:t>
      </w:r>
      <w:r>
        <w:rPr>
          <w:lang w:eastAsia="en-AU"/>
        </w:rPr>
        <w:t>August</w:t>
      </w:r>
      <w:r w:rsidR="00F90807">
        <w:rPr>
          <w:lang w:eastAsia="en-AU"/>
        </w:rPr>
        <w:t> </w:t>
      </w:r>
      <w:r>
        <w:rPr>
          <w:lang w:eastAsia="en-AU"/>
        </w:rPr>
        <w:t xml:space="preserve">2014 to suspend </w:t>
      </w:r>
      <w:r w:rsidR="0097163C">
        <w:rPr>
          <w:lang w:eastAsia="en-AU"/>
        </w:rPr>
        <w:t xml:space="preserve">(on 31 July 2013) </w:t>
      </w:r>
      <w:r>
        <w:rPr>
          <w:lang w:eastAsia="en-AU"/>
        </w:rPr>
        <w:t xml:space="preserve">and then cancel </w:t>
      </w:r>
      <w:r w:rsidR="0097163C">
        <w:rPr>
          <w:lang w:eastAsia="en-AU"/>
        </w:rPr>
        <w:t xml:space="preserve">(on 30 October 2013) </w:t>
      </w:r>
      <w:r>
        <w:rPr>
          <w:lang w:eastAsia="en-AU"/>
        </w:rPr>
        <w:t>his disability support pension (“DSP”)</w:t>
      </w:r>
      <w:r w:rsidR="00DD5935">
        <w:rPr>
          <w:lang w:eastAsia="en-AU"/>
        </w:rPr>
        <w:t>.</w:t>
      </w:r>
      <w:r>
        <w:rPr>
          <w:lang w:eastAsia="en-AU"/>
        </w:rPr>
        <w:t xml:space="preserve">  The applicant has applied to this Tribunal for review of that decision of the SSAT.  </w:t>
      </w:r>
    </w:p>
    <w:p w:rsidR="00451821" w:rsidRDefault="0097163C" w:rsidP="00451821">
      <w:pPr>
        <w:pStyle w:val="ListNumber"/>
        <w:rPr>
          <w:lang w:eastAsia="en-AU"/>
        </w:rPr>
      </w:pPr>
      <w:r>
        <w:rPr>
          <w:lang w:eastAsia="en-AU"/>
        </w:rPr>
        <w:t>On 2</w:t>
      </w:r>
      <w:r w:rsidR="00451821">
        <w:rPr>
          <w:lang w:eastAsia="en-AU"/>
        </w:rPr>
        <w:t xml:space="preserve">4 January 2014, the applicant made a </w:t>
      </w:r>
      <w:r>
        <w:rPr>
          <w:lang w:eastAsia="en-AU"/>
        </w:rPr>
        <w:t>subsequent</w:t>
      </w:r>
      <w:r w:rsidR="00451821">
        <w:rPr>
          <w:lang w:eastAsia="en-AU"/>
        </w:rPr>
        <w:t xml:space="preserve"> claim for DSP which was rejected on 26 February 2014.  When the ARO decided to affirm the rejection</w:t>
      </w:r>
      <w:r>
        <w:rPr>
          <w:lang w:eastAsia="en-AU"/>
        </w:rPr>
        <w:t>, on 12 August 2014</w:t>
      </w:r>
      <w:r w:rsidR="00451821">
        <w:rPr>
          <w:lang w:eastAsia="en-AU"/>
        </w:rPr>
        <w:t xml:space="preserve">, which was also affirmed by the SSAT </w:t>
      </w:r>
      <w:r>
        <w:rPr>
          <w:lang w:eastAsia="en-AU"/>
        </w:rPr>
        <w:t xml:space="preserve">on 10 October 2014, </w:t>
      </w:r>
      <w:r w:rsidR="00451821">
        <w:rPr>
          <w:lang w:eastAsia="en-AU"/>
        </w:rPr>
        <w:t>the applicant applied to this Tribunal for review of that decision of the SSAT.</w:t>
      </w:r>
    </w:p>
    <w:p w:rsidR="00451821" w:rsidRDefault="00451821" w:rsidP="00451821">
      <w:pPr>
        <w:pStyle w:val="ListNumber"/>
        <w:rPr>
          <w:lang w:eastAsia="en-AU"/>
        </w:rPr>
      </w:pPr>
      <w:r>
        <w:rPr>
          <w:lang w:eastAsia="en-AU"/>
        </w:rPr>
        <w:t>At the hearing, Mr Ioannou was self-represented and the respondent was represented by Mr A Hay (from the Program Litigation and Review Branch, Department of Human Services</w:t>
      </w:r>
      <w:r w:rsidR="007B2F65">
        <w:rPr>
          <w:lang w:eastAsia="en-AU"/>
        </w:rPr>
        <w:t>).  I admitted into evidence the T Documents,</w:t>
      </w:r>
      <w:r w:rsidR="007B2F65">
        <w:rPr>
          <w:rStyle w:val="FootnoteReference"/>
          <w:lang w:eastAsia="en-AU"/>
        </w:rPr>
        <w:footnoteReference w:id="1"/>
      </w:r>
      <w:r w:rsidR="007B2F65">
        <w:rPr>
          <w:lang w:eastAsia="en-AU"/>
        </w:rPr>
        <w:t xml:space="preserve"> pursuant to s 37 of the </w:t>
      </w:r>
      <w:r w:rsidR="007B2F65">
        <w:rPr>
          <w:i/>
          <w:lang w:eastAsia="en-AU"/>
        </w:rPr>
        <w:t>Administrative Appeals Tribunal Act 1975</w:t>
      </w:r>
      <w:r w:rsidR="007B2F65">
        <w:rPr>
          <w:lang w:eastAsia="en-AU"/>
        </w:rPr>
        <w:t xml:space="preserve">.  </w:t>
      </w:r>
    </w:p>
    <w:p w:rsidR="007B2F65" w:rsidRDefault="007B2F65" w:rsidP="007B2F65">
      <w:pPr>
        <w:pStyle w:val="Heading1"/>
      </w:pPr>
      <w:r>
        <w:t>ISSUES FOR THE TRIBUNAL</w:t>
      </w:r>
    </w:p>
    <w:p w:rsidR="007B2F65" w:rsidRDefault="007B2F65" w:rsidP="007B2F65">
      <w:pPr>
        <w:pStyle w:val="ListNumber"/>
        <w:rPr>
          <w:lang w:eastAsia="en-AU"/>
        </w:rPr>
      </w:pPr>
      <w:r>
        <w:rPr>
          <w:lang w:eastAsia="en-AU"/>
        </w:rPr>
        <w:t>The issues for the Tribunal are:</w:t>
      </w:r>
    </w:p>
    <w:p w:rsidR="007B2F65" w:rsidRDefault="007B2F65" w:rsidP="007B2F65">
      <w:pPr>
        <w:pStyle w:val="ListNumber2"/>
      </w:pPr>
      <w:r>
        <w:lastRenderedPageBreak/>
        <w:t>Whether the decisions made on 31 July 2013 and 30 October 2013 to suspend and then cancel the applicant’s disability support pension were correct.</w:t>
      </w:r>
    </w:p>
    <w:p w:rsidR="007B2F65" w:rsidRDefault="007B2F65" w:rsidP="007B2F65">
      <w:pPr>
        <w:pStyle w:val="ListNumber2"/>
      </w:pPr>
      <w:r>
        <w:t xml:space="preserve">Whether the decision on 26 February 2014 to reject the applicant’s further claim for </w:t>
      </w:r>
      <w:r w:rsidR="00CF445C">
        <w:t>disability support pension</w:t>
      </w:r>
      <w:r>
        <w:t xml:space="preserve"> was correct.</w:t>
      </w:r>
    </w:p>
    <w:p w:rsidR="007B2F65" w:rsidRDefault="007B2F65" w:rsidP="007B2F65">
      <w:pPr>
        <w:pStyle w:val="Heading1"/>
      </w:pPr>
      <w:r>
        <w:t>LEGISLATION</w:t>
      </w:r>
    </w:p>
    <w:p w:rsidR="007B2F65" w:rsidRDefault="007B2F65" w:rsidP="007B2F65">
      <w:pPr>
        <w:pStyle w:val="ListNumber"/>
        <w:rPr>
          <w:lang w:eastAsia="en-AU"/>
        </w:rPr>
      </w:pPr>
      <w:r>
        <w:rPr>
          <w:lang w:eastAsia="en-AU"/>
        </w:rPr>
        <w:t>The legislation that is relevant in this case is contained in the:</w:t>
      </w:r>
    </w:p>
    <w:p w:rsidR="007B2F65" w:rsidRDefault="007B2F65" w:rsidP="00911471">
      <w:pPr>
        <w:pStyle w:val="ListNumber2"/>
        <w:numPr>
          <w:ilvl w:val="1"/>
          <w:numId w:val="9"/>
        </w:numPr>
      </w:pPr>
      <w:r>
        <w:rPr>
          <w:i/>
        </w:rPr>
        <w:t>Social Security Act 1991</w:t>
      </w:r>
      <w:r>
        <w:t xml:space="preserve"> (“Act”);</w:t>
      </w:r>
    </w:p>
    <w:p w:rsidR="007B2F65" w:rsidRPr="00734E18" w:rsidRDefault="00734E18" w:rsidP="00911471">
      <w:pPr>
        <w:pStyle w:val="ListNumber2"/>
        <w:numPr>
          <w:ilvl w:val="1"/>
          <w:numId w:val="9"/>
        </w:numPr>
      </w:pPr>
      <w:r>
        <w:rPr>
          <w:i/>
        </w:rPr>
        <w:t xml:space="preserve">Social Security (Administration) Act 1999 </w:t>
      </w:r>
      <w:r w:rsidRPr="00512B79">
        <w:t>(“Administration Act”)</w:t>
      </w:r>
      <w:r>
        <w:rPr>
          <w:i/>
        </w:rPr>
        <w:t>;</w:t>
      </w:r>
      <w:r w:rsidR="00CF445C">
        <w:t xml:space="preserve"> and</w:t>
      </w:r>
    </w:p>
    <w:p w:rsidR="00734E18" w:rsidRPr="00734E18" w:rsidRDefault="00734E18" w:rsidP="00911471">
      <w:pPr>
        <w:pStyle w:val="ListNumber2"/>
        <w:numPr>
          <w:ilvl w:val="1"/>
          <w:numId w:val="9"/>
        </w:numPr>
      </w:pPr>
      <w:r>
        <w:rPr>
          <w:i/>
        </w:rPr>
        <w:t>Social Security (Tables for the Assessment of Work-related Impairment for Disability Support Pension) Determination 2011</w:t>
      </w:r>
      <w:r w:rsidR="00CF445C">
        <w:rPr>
          <w:i/>
        </w:rPr>
        <w:t xml:space="preserve"> </w:t>
      </w:r>
      <w:r w:rsidR="00CF445C">
        <w:t>(“Determination”)</w:t>
      </w:r>
      <w:r>
        <w:rPr>
          <w:i/>
        </w:rPr>
        <w:t>.</w:t>
      </w:r>
    </w:p>
    <w:p w:rsidR="00000ABB" w:rsidRDefault="00000ABB" w:rsidP="00000ABB">
      <w:pPr>
        <w:pStyle w:val="Heading2"/>
      </w:pPr>
      <w:r>
        <w:t>DSP Portability</w:t>
      </w:r>
    </w:p>
    <w:p w:rsidR="00734E18" w:rsidRDefault="00734E18" w:rsidP="00734E18">
      <w:pPr>
        <w:pStyle w:val="ListNumber"/>
      </w:pPr>
      <w:r>
        <w:t>Part 4.2 of the Act provides for overseas portability.  Portability refers to whether a social security payment can continue to be paid while a recipient is outside of Australia.  Section</w:t>
      </w:r>
      <w:r w:rsidR="00F90807">
        <w:t> </w:t>
      </w:r>
      <w:r>
        <w:t>1217 of the Act sets out the maximum portability period for various payments, including DSP.  Where portability is not unlimited the allowable period is usually six weeks.  The Table at the end of s 1217 sets out the portability period and</w:t>
      </w:r>
      <w:r w:rsidR="00CF445C">
        <w:t>,</w:t>
      </w:r>
      <w:r>
        <w:t xml:space="preserve"> to the extent it is presently relevant</w:t>
      </w:r>
      <w:r w:rsidR="00CF445C">
        <w:t>, it</w:t>
      </w:r>
      <w:r>
        <w:t xml:space="preserve"> appears below:</w:t>
      </w:r>
    </w:p>
    <w:tbl>
      <w:tblPr>
        <w:tblStyle w:val="TableAAT"/>
        <w:tblW w:w="0" w:type="auto"/>
        <w:tblInd w:w="147" w:type="dxa"/>
        <w:tblCellMar>
          <w:left w:w="28" w:type="dxa"/>
          <w:right w:w="28" w:type="dxa"/>
        </w:tblCellMar>
        <w:tblLook w:val="04A0" w:firstRow="1" w:lastRow="0" w:firstColumn="1" w:lastColumn="0" w:noHBand="0" w:noVBand="1"/>
      </w:tblPr>
      <w:tblGrid>
        <w:gridCol w:w="1617"/>
        <w:gridCol w:w="1360"/>
        <w:gridCol w:w="2126"/>
        <w:gridCol w:w="1618"/>
        <w:gridCol w:w="1926"/>
      </w:tblGrid>
      <w:tr w:rsidR="00734E18" w:rsidRPr="00000ABB" w:rsidTr="006646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7" w:type="dxa"/>
            <w:gridSpan w:val="5"/>
          </w:tcPr>
          <w:p w:rsidR="00734E18" w:rsidRPr="00000ABB" w:rsidRDefault="00734E18" w:rsidP="0066463B">
            <w:pPr>
              <w:pStyle w:val="Quote"/>
              <w:ind w:left="0"/>
              <w:jc w:val="left"/>
              <w:rPr>
                <w:sz w:val="20"/>
              </w:rPr>
            </w:pPr>
            <w:r w:rsidRPr="00000ABB">
              <w:rPr>
                <w:sz w:val="20"/>
              </w:rPr>
              <w:t>Portability of social security payments</w:t>
            </w:r>
          </w:p>
        </w:tc>
      </w:tr>
      <w:tr w:rsidR="00734E18" w:rsidRPr="00000ABB" w:rsidTr="0066463B">
        <w:tc>
          <w:tcPr>
            <w:cnfStyle w:val="001000000000" w:firstRow="0" w:lastRow="0" w:firstColumn="1" w:lastColumn="0" w:oddVBand="0" w:evenVBand="0" w:oddHBand="0" w:evenHBand="0" w:firstRowFirstColumn="0" w:firstRowLastColumn="0" w:lastRowFirstColumn="0" w:lastRowLastColumn="0"/>
            <w:tcW w:w="1617" w:type="dxa"/>
          </w:tcPr>
          <w:p w:rsidR="00734E18" w:rsidRPr="00000ABB" w:rsidRDefault="00734E18" w:rsidP="0066463B">
            <w:pPr>
              <w:pStyle w:val="Quote"/>
              <w:ind w:left="0"/>
              <w:jc w:val="left"/>
              <w:rPr>
                <w:sz w:val="20"/>
              </w:rPr>
            </w:pPr>
            <w:r w:rsidRPr="00000ABB">
              <w:rPr>
                <w:sz w:val="20"/>
              </w:rPr>
              <w:t>Column 1</w:t>
            </w:r>
          </w:p>
          <w:p w:rsidR="00734E18" w:rsidRPr="00000ABB" w:rsidRDefault="00734E18" w:rsidP="0066463B">
            <w:pPr>
              <w:pStyle w:val="Quote"/>
              <w:ind w:left="0"/>
              <w:jc w:val="left"/>
              <w:rPr>
                <w:sz w:val="20"/>
              </w:rPr>
            </w:pPr>
            <w:r w:rsidRPr="00000ABB">
              <w:rPr>
                <w:sz w:val="20"/>
              </w:rPr>
              <w:t>Item</w:t>
            </w:r>
          </w:p>
        </w:tc>
        <w:tc>
          <w:tcPr>
            <w:tcW w:w="1360" w:type="dxa"/>
          </w:tcPr>
          <w:p w:rsidR="00734E18" w:rsidRPr="00000ABB" w:rsidRDefault="00734E18" w:rsidP="0066463B">
            <w:pPr>
              <w:pStyle w:val="Quote"/>
              <w:ind w:left="0"/>
              <w:jc w:val="left"/>
              <w:cnfStyle w:val="000000000000" w:firstRow="0" w:lastRow="0" w:firstColumn="0" w:lastColumn="0" w:oddVBand="0" w:evenVBand="0" w:oddHBand="0" w:evenHBand="0" w:firstRowFirstColumn="0" w:firstRowLastColumn="0" w:lastRowFirstColumn="0" w:lastRowLastColumn="0"/>
              <w:rPr>
                <w:sz w:val="20"/>
              </w:rPr>
            </w:pPr>
            <w:r w:rsidRPr="00000ABB">
              <w:rPr>
                <w:sz w:val="20"/>
              </w:rPr>
              <w:t>Column 2</w:t>
            </w:r>
          </w:p>
          <w:p w:rsidR="00734E18" w:rsidRPr="00000ABB" w:rsidRDefault="00734E18" w:rsidP="0066463B">
            <w:pPr>
              <w:pStyle w:val="Quote"/>
              <w:ind w:left="0"/>
              <w:jc w:val="left"/>
              <w:cnfStyle w:val="000000000000" w:firstRow="0" w:lastRow="0" w:firstColumn="0" w:lastColumn="0" w:oddVBand="0" w:evenVBand="0" w:oddHBand="0" w:evenHBand="0" w:firstRowFirstColumn="0" w:firstRowLastColumn="0" w:lastRowFirstColumn="0" w:lastRowLastColumn="0"/>
              <w:rPr>
                <w:sz w:val="20"/>
              </w:rPr>
            </w:pPr>
            <w:r w:rsidRPr="00000ABB">
              <w:rPr>
                <w:sz w:val="20"/>
              </w:rPr>
              <w:t>Payment</w:t>
            </w:r>
          </w:p>
        </w:tc>
        <w:tc>
          <w:tcPr>
            <w:tcW w:w="2126" w:type="dxa"/>
          </w:tcPr>
          <w:p w:rsidR="00734E18" w:rsidRPr="00000ABB" w:rsidRDefault="00734E18" w:rsidP="0066463B">
            <w:pPr>
              <w:pStyle w:val="Quote"/>
              <w:ind w:left="0"/>
              <w:jc w:val="left"/>
              <w:cnfStyle w:val="000000000000" w:firstRow="0" w:lastRow="0" w:firstColumn="0" w:lastColumn="0" w:oddVBand="0" w:evenVBand="0" w:oddHBand="0" w:evenHBand="0" w:firstRowFirstColumn="0" w:firstRowLastColumn="0" w:lastRowFirstColumn="0" w:lastRowLastColumn="0"/>
              <w:rPr>
                <w:sz w:val="20"/>
              </w:rPr>
            </w:pPr>
            <w:r w:rsidRPr="00000ABB">
              <w:rPr>
                <w:sz w:val="20"/>
              </w:rPr>
              <w:t>Column 3</w:t>
            </w:r>
          </w:p>
          <w:p w:rsidR="00734E18" w:rsidRPr="00000ABB" w:rsidRDefault="00734E18" w:rsidP="0066463B">
            <w:pPr>
              <w:pStyle w:val="Quote"/>
              <w:ind w:left="0"/>
              <w:jc w:val="left"/>
              <w:cnfStyle w:val="000000000000" w:firstRow="0" w:lastRow="0" w:firstColumn="0" w:lastColumn="0" w:oddVBand="0" w:evenVBand="0" w:oddHBand="0" w:evenHBand="0" w:firstRowFirstColumn="0" w:firstRowLastColumn="0" w:lastRowFirstColumn="0" w:lastRowLastColumn="0"/>
              <w:rPr>
                <w:sz w:val="20"/>
              </w:rPr>
            </w:pPr>
            <w:r w:rsidRPr="00000ABB">
              <w:rPr>
                <w:sz w:val="20"/>
              </w:rPr>
              <w:t>Person</w:t>
            </w:r>
          </w:p>
        </w:tc>
        <w:tc>
          <w:tcPr>
            <w:tcW w:w="1618" w:type="dxa"/>
          </w:tcPr>
          <w:p w:rsidR="00734E18" w:rsidRPr="00000ABB" w:rsidRDefault="00734E18" w:rsidP="0066463B">
            <w:pPr>
              <w:pStyle w:val="Quote"/>
              <w:ind w:left="0"/>
              <w:jc w:val="left"/>
              <w:cnfStyle w:val="000000000000" w:firstRow="0" w:lastRow="0" w:firstColumn="0" w:lastColumn="0" w:oddVBand="0" w:evenVBand="0" w:oddHBand="0" w:evenHBand="0" w:firstRowFirstColumn="0" w:firstRowLastColumn="0" w:lastRowFirstColumn="0" w:lastRowLastColumn="0"/>
              <w:rPr>
                <w:sz w:val="20"/>
              </w:rPr>
            </w:pPr>
            <w:r w:rsidRPr="00000ABB">
              <w:rPr>
                <w:sz w:val="20"/>
              </w:rPr>
              <w:t>Column 4</w:t>
            </w:r>
          </w:p>
          <w:p w:rsidR="00734E18" w:rsidRPr="00000ABB" w:rsidRDefault="00734E18" w:rsidP="0066463B">
            <w:pPr>
              <w:pStyle w:val="Quote"/>
              <w:ind w:left="0"/>
              <w:jc w:val="left"/>
              <w:cnfStyle w:val="000000000000" w:firstRow="0" w:lastRow="0" w:firstColumn="0" w:lastColumn="0" w:oddVBand="0" w:evenVBand="0" w:oddHBand="0" w:evenHBand="0" w:firstRowFirstColumn="0" w:firstRowLastColumn="0" w:lastRowFirstColumn="0" w:lastRowLastColumn="0"/>
              <w:rPr>
                <w:sz w:val="20"/>
              </w:rPr>
            </w:pPr>
            <w:r w:rsidRPr="00000ABB">
              <w:rPr>
                <w:sz w:val="20"/>
              </w:rPr>
              <w:t>Absence</w:t>
            </w:r>
          </w:p>
        </w:tc>
        <w:tc>
          <w:tcPr>
            <w:tcW w:w="1926" w:type="dxa"/>
          </w:tcPr>
          <w:p w:rsidR="00734E18" w:rsidRPr="00000ABB" w:rsidRDefault="00734E18" w:rsidP="0066463B">
            <w:pPr>
              <w:pStyle w:val="Quote"/>
              <w:ind w:left="0"/>
              <w:jc w:val="left"/>
              <w:cnfStyle w:val="000000000000" w:firstRow="0" w:lastRow="0" w:firstColumn="0" w:lastColumn="0" w:oddVBand="0" w:evenVBand="0" w:oddHBand="0" w:evenHBand="0" w:firstRowFirstColumn="0" w:firstRowLastColumn="0" w:lastRowFirstColumn="0" w:lastRowLastColumn="0"/>
              <w:rPr>
                <w:sz w:val="20"/>
              </w:rPr>
            </w:pPr>
            <w:r w:rsidRPr="00000ABB">
              <w:rPr>
                <w:sz w:val="20"/>
              </w:rPr>
              <w:t>Colum 5</w:t>
            </w:r>
          </w:p>
          <w:p w:rsidR="00734E18" w:rsidRPr="00000ABB" w:rsidRDefault="00734E18" w:rsidP="0066463B">
            <w:pPr>
              <w:pStyle w:val="Quote"/>
              <w:ind w:left="0"/>
              <w:jc w:val="left"/>
              <w:cnfStyle w:val="000000000000" w:firstRow="0" w:lastRow="0" w:firstColumn="0" w:lastColumn="0" w:oddVBand="0" w:evenVBand="0" w:oddHBand="0" w:evenHBand="0" w:firstRowFirstColumn="0" w:firstRowLastColumn="0" w:lastRowFirstColumn="0" w:lastRowLastColumn="0"/>
              <w:rPr>
                <w:sz w:val="20"/>
              </w:rPr>
            </w:pPr>
            <w:r w:rsidRPr="00000ABB">
              <w:rPr>
                <w:sz w:val="20"/>
              </w:rPr>
              <w:t>Maximum portability period</w:t>
            </w:r>
          </w:p>
        </w:tc>
      </w:tr>
      <w:tr w:rsidR="00734E18" w:rsidRPr="00000ABB" w:rsidTr="0066463B">
        <w:tc>
          <w:tcPr>
            <w:cnfStyle w:val="001000000000" w:firstRow="0" w:lastRow="0" w:firstColumn="1" w:lastColumn="0" w:oddVBand="0" w:evenVBand="0" w:oddHBand="0" w:evenHBand="0" w:firstRowFirstColumn="0" w:firstRowLastColumn="0" w:lastRowFirstColumn="0" w:lastRowLastColumn="0"/>
            <w:tcW w:w="1617" w:type="dxa"/>
          </w:tcPr>
          <w:p w:rsidR="00734E18" w:rsidRPr="00000ABB" w:rsidRDefault="0066463B" w:rsidP="0066463B">
            <w:pPr>
              <w:pStyle w:val="Quote"/>
              <w:ind w:left="0"/>
              <w:jc w:val="left"/>
              <w:rPr>
                <w:sz w:val="20"/>
              </w:rPr>
            </w:pPr>
            <w:r>
              <w:rPr>
                <w:sz w:val="20"/>
              </w:rPr>
              <w:t>…</w:t>
            </w:r>
          </w:p>
        </w:tc>
        <w:tc>
          <w:tcPr>
            <w:tcW w:w="1360" w:type="dxa"/>
          </w:tcPr>
          <w:p w:rsidR="00734E18" w:rsidRPr="00000ABB" w:rsidRDefault="00734E18" w:rsidP="0066463B">
            <w:pPr>
              <w:pStyle w:val="Quote"/>
              <w:ind w:left="0"/>
              <w:jc w:val="left"/>
              <w:cnfStyle w:val="000000000000" w:firstRow="0" w:lastRow="0" w:firstColumn="0" w:lastColumn="0" w:oddVBand="0" w:evenVBand="0" w:oddHBand="0" w:evenHBand="0" w:firstRowFirstColumn="0" w:firstRowLastColumn="0" w:lastRowFirstColumn="0" w:lastRowLastColumn="0"/>
              <w:rPr>
                <w:sz w:val="20"/>
              </w:rPr>
            </w:pPr>
          </w:p>
        </w:tc>
        <w:tc>
          <w:tcPr>
            <w:tcW w:w="2126" w:type="dxa"/>
          </w:tcPr>
          <w:p w:rsidR="00734E18" w:rsidRPr="00000ABB" w:rsidRDefault="00734E18" w:rsidP="0066463B">
            <w:pPr>
              <w:pStyle w:val="Quote"/>
              <w:ind w:left="0"/>
              <w:jc w:val="left"/>
              <w:cnfStyle w:val="000000000000" w:firstRow="0" w:lastRow="0" w:firstColumn="0" w:lastColumn="0" w:oddVBand="0" w:evenVBand="0" w:oddHBand="0" w:evenHBand="0" w:firstRowFirstColumn="0" w:firstRowLastColumn="0" w:lastRowFirstColumn="0" w:lastRowLastColumn="0"/>
              <w:rPr>
                <w:sz w:val="20"/>
              </w:rPr>
            </w:pPr>
          </w:p>
        </w:tc>
        <w:tc>
          <w:tcPr>
            <w:tcW w:w="1618" w:type="dxa"/>
          </w:tcPr>
          <w:p w:rsidR="00734E18" w:rsidRPr="00000ABB" w:rsidRDefault="00734E18" w:rsidP="0066463B">
            <w:pPr>
              <w:pStyle w:val="Quote"/>
              <w:ind w:left="0"/>
              <w:jc w:val="left"/>
              <w:cnfStyle w:val="000000000000" w:firstRow="0" w:lastRow="0" w:firstColumn="0" w:lastColumn="0" w:oddVBand="0" w:evenVBand="0" w:oddHBand="0" w:evenHBand="0" w:firstRowFirstColumn="0" w:firstRowLastColumn="0" w:lastRowFirstColumn="0" w:lastRowLastColumn="0"/>
              <w:rPr>
                <w:sz w:val="20"/>
              </w:rPr>
            </w:pPr>
          </w:p>
        </w:tc>
        <w:tc>
          <w:tcPr>
            <w:tcW w:w="1926" w:type="dxa"/>
          </w:tcPr>
          <w:p w:rsidR="00734E18" w:rsidRPr="00000ABB" w:rsidRDefault="00734E18" w:rsidP="0066463B">
            <w:pPr>
              <w:pStyle w:val="Quote"/>
              <w:ind w:left="0"/>
              <w:jc w:val="left"/>
              <w:cnfStyle w:val="000000000000" w:firstRow="0" w:lastRow="0" w:firstColumn="0" w:lastColumn="0" w:oddVBand="0" w:evenVBand="0" w:oddHBand="0" w:evenHBand="0" w:firstRowFirstColumn="0" w:firstRowLastColumn="0" w:lastRowFirstColumn="0" w:lastRowLastColumn="0"/>
              <w:rPr>
                <w:sz w:val="20"/>
              </w:rPr>
            </w:pPr>
          </w:p>
        </w:tc>
      </w:tr>
      <w:tr w:rsidR="00734E18" w:rsidRPr="00000ABB" w:rsidTr="0066463B">
        <w:tc>
          <w:tcPr>
            <w:cnfStyle w:val="001000000000" w:firstRow="0" w:lastRow="0" w:firstColumn="1" w:lastColumn="0" w:oddVBand="0" w:evenVBand="0" w:oddHBand="0" w:evenHBand="0" w:firstRowFirstColumn="0" w:firstRowLastColumn="0" w:lastRowFirstColumn="0" w:lastRowLastColumn="0"/>
            <w:tcW w:w="1617" w:type="dxa"/>
          </w:tcPr>
          <w:p w:rsidR="00734E18" w:rsidRPr="00000ABB" w:rsidRDefault="00000ABB" w:rsidP="0066463B">
            <w:pPr>
              <w:pStyle w:val="Quote"/>
              <w:ind w:left="0"/>
              <w:jc w:val="left"/>
              <w:rPr>
                <w:sz w:val="20"/>
              </w:rPr>
            </w:pPr>
            <w:r w:rsidRPr="00000ABB">
              <w:rPr>
                <w:sz w:val="20"/>
              </w:rPr>
              <w:t>2</w:t>
            </w:r>
          </w:p>
        </w:tc>
        <w:tc>
          <w:tcPr>
            <w:tcW w:w="1360" w:type="dxa"/>
          </w:tcPr>
          <w:p w:rsidR="00734E18" w:rsidRPr="00000ABB" w:rsidRDefault="00000ABB" w:rsidP="0066463B">
            <w:pPr>
              <w:pStyle w:val="Quote"/>
              <w:ind w:left="0"/>
              <w:jc w:val="left"/>
              <w:cnfStyle w:val="000000000000" w:firstRow="0" w:lastRow="0" w:firstColumn="0" w:lastColumn="0" w:oddVBand="0" w:evenVBand="0" w:oddHBand="0" w:evenHBand="0" w:firstRowFirstColumn="0" w:firstRowLastColumn="0" w:lastRowFirstColumn="0" w:lastRowLastColumn="0"/>
              <w:rPr>
                <w:sz w:val="20"/>
              </w:rPr>
            </w:pPr>
            <w:r w:rsidRPr="00000ABB">
              <w:rPr>
                <w:sz w:val="20"/>
              </w:rPr>
              <w:t>Disability Support pension</w:t>
            </w:r>
          </w:p>
        </w:tc>
        <w:tc>
          <w:tcPr>
            <w:tcW w:w="2126" w:type="dxa"/>
          </w:tcPr>
          <w:p w:rsidR="00734E18" w:rsidRPr="00000ABB" w:rsidRDefault="00000ABB" w:rsidP="0066463B">
            <w:pPr>
              <w:pStyle w:val="Quote"/>
              <w:ind w:left="0"/>
              <w:jc w:val="left"/>
              <w:cnfStyle w:val="000000000000" w:firstRow="0" w:lastRow="0" w:firstColumn="0" w:lastColumn="0" w:oddVBand="0" w:evenVBand="0" w:oddHBand="0" w:evenHBand="0" w:firstRowFirstColumn="0" w:firstRowLastColumn="0" w:lastRowFirstColumn="0" w:lastRowLastColumn="0"/>
              <w:rPr>
                <w:sz w:val="20"/>
              </w:rPr>
            </w:pPr>
            <w:r w:rsidRPr="00000ABB">
              <w:rPr>
                <w:sz w:val="20"/>
              </w:rPr>
              <w:t>Australian resident disability support pensioner</w:t>
            </w:r>
          </w:p>
        </w:tc>
        <w:tc>
          <w:tcPr>
            <w:tcW w:w="1618" w:type="dxa"/>
          </w:tcPr>
          <w:p w:rsidR="00734E18" w:rsidRPr="00000ABB" w:rsidRDefault="00000ABB" w:rsidP="0066463B">
            <w:pPr>
              <w:pStyle w:val="Quote"/>
              <w:ind w:left="0"/>
              <w:jc w:val="left"/>
              <w:cnfStyle w:val="000000000000" w:firstRow="0" w:lastRow="0" w:firstColumn="0" w:lastColumn="0" w:oddVBand="0" w:evenVBand="0" w:oddHBand="0" w:evenHBand="0" w:firstRowFirstColumn="0" w:firstRowLastColumn="0" w:lastRowFirstColumn="0" w:lastRowLastColumn="0"/>
              <w:rPr>
                <w:sz w:val="20"/>
              </w:rPr>
            </w:pPr>
            <w:r w:rsidRPr="00000ABB">
              <w:rPr>
                <w:sz w:val="20"/>
              </w:rPr>
              <w:t>Any temporary absence</w:t>
            </w:r>
          </w:p>
        </w:tc>
        <w:tc>
          <w:tcPr>
            <w:tcW w:w="1926" w:type="dxa"/>
          </w:tcPr>
          <w:p w:rsidR="00734E18" w:rsidRPr="00000ABB" w:rsidRDefault="00000ABB" w:rsidP="0066463B">
            <w:pPr>
              <w:pStyle w:val="Quote"/>
              <w:ind w:left="0"/>
              <w:jc w:val="left"/>
              <w:cnfStyle w:val="000000000000" w:firstRow="0" w:lastRow="0" w:firstColumn="0" w:lastColumn="0" w:oddVBand="0" w:evenVBand="0" w:oddHBand="0" w:evenHBand="0" w:firstRowFirstColumn="0" w:firstRowLastColumn="0" w:lastRowFirstColumn="0" w:lastRowLastColumn="0"/>
              <w:rPr>
                <w:sz w:val="20"/>
              </w:rPr>
            </w:pPr>
            <w:r w:rsidRPr="00000ABB">
              <w:rPr>
                <w:sz w:val="20"/>
              </w:rPr>
              <w:t xml:space="preserve">6 weeks (but see also sections </w:t>
            </w:r>
            <w:r>
              <w:rPr>
                <w:sz w:val="20"/>
              </w:rPr>
              <w:t>1218AAA, 1218AA, 1218AB and 1218)</w:t>
            </w:r>
          </w:p>
        </w:tc>
      </w:tr>
      <w:tr w:rsidR="00734E18" w:rsidRPr="00000ABB" w:rsidTr="0066463B">
        <w:tc>
          <w:tcPr>
            <w:cnfStyle w:val="001000000000" w:firstRow="0" w:lastRow="0" w:firstColumn="1" w:lastColumn="0" w:oddVBand="0" w:evenVBand="0" w:oddHBand="0" w:evenHBand="0" w:firstRowFirstColumn="0" w:firstRowLastColumn="0" w:lastRowFirstColumn="0" w:lastRowLastColumn="0"/>
            <w:tcW w:w="1617" w:type="dxa"/>
          </w:tcPr>
          <w:p w:rsidR="00734E18" w:rsidRPr="00000ABB" w:rsidRDefault="00000ABB" w:rsidP="0066463B">
            <w:pPr>
              <w:pStyle w:val="Quote"/>
              <w:ind w:left="0"/>
              <w:jc w:val="left"/>
              <w:rPr>
                <w:sz w:val="20"/>
              </w:rPr>
            </w:pPr>
            <w:r>
              <w:rPr>
                <w:sz w:val="20"/>
              </w:rPr>
              <w:t>2A</w:t>
            </w:r>
          </w:p>
        </w:tc>
        <w:tc>
          <w:tcPr>
            <w:tcW w:w="1360" w:type="dxa"/>
          </w:tcPr>
          <w:p w:rsidR="00734E18" w:rsidRPr="00000ABB" w:rsidRDefault="00000ABB" w:rsidP="0066463B">
            <w:pPr>
              <w:pStyle w:val="Quote"/>
              <w:ind w:left="0"/>
              <w:jc w:val="left"/>
              <w:cnfStyle w:val="000000000000" w:firstRow="0" w:lastRow="0" w:firstColumn="0" w:lastColumn="0" w:oddVBand="0" w:evenVBand="0" w:oddHBand="0" w:evenHBand="0" w:firstRowFirstColumn="0" w:firstRowLastColumn="0" w:lastRowFirstColumn="0" w:lastRowLastColumn="0"/>
              <w:rPr>
                <w:sz w:val="20"/>
              </w:rPr>
            </w:pPr>
            <w:r w:rsidRPr="00000ABB">
              <w:rPr>
                <w:sz w:val="20"/>
              </w:rPr>
              <w:t>Disability Support pension</w:t>
            </w:r>
          </w:p>
        </w:tc>
        <w:tc>
          <w:tcPr>
            <w:tcW w:w="2126" w:type="dxa"/>
          </w:tcPr>
          <w:p w:rsidR="00734E18" w:rsidRPr="00000ABB" w:rsidRDefault="00000ABB" w:rsidP="0066463B">
            <w:pPr>
              <w:pStyle w:val="Quote"/>
              <w:ind w:left="0"/>
              <w:jc w:val="left"/>
              <w:cnfStyle w:val="000000000000" w:firstRow="0" w:lastRow="0" w:firstColumn="0" w:lastColumn="0" w:oddVBand="0" w:evenVBand="0" w:oddHBand="0" w:evenHBand="0" w:firstRowFirstColumn="0" w:firstRowLastColumn="0" w:lastRowFirstColumn="0" w:lastRowLastColumn="0"/>
              <w:rPr>
                <w:sz w:val="20"/>
              </w:rPr>
            </w:pPr>
            <w:r>
              <w:rPr>
                <w:sz w:val="20"/>
              </w:rPr>
              <w:t>Severely impaired disability support pensioner</w:t>
            </w:r>
          </w:p>
        </w:tc>
        <w:tc>
          <w:tcPr>
            <w:tcW w:w="1618" w:type="dxa"/>
          </w:tcPr>
          <w:p w:rsidR="00734E18" w:rsidRPr="00000ABB" w:rsidRDefault="00000ABB" w:rsidP="0066463B">
            <w:pPr>
              <w:pStyle w:val="Quote"/>
              <w:ind w:left="0"/>
              <w:jc w:val="left"/>
              <w:cnfStyle w:val="000000000000" w:firstRow="0" w:lastRow="0" w:firstColumn="0" w:lastColumn="0" w:oddVBand="0" w:evenVBand="0" w:oddHBand="0" w:evenHBand="0" w:firstRowFirstColumn="0" w:firstRowLastColumn="0" w:lastRowFirstColumn="0" w:lastRowLastColumn="0"/>
              <w:rPr>
                <w:sz w:val="20"/>
              </w:rPr>
            </w:pPr>
            <w:r>
              <w:rPr>
                <w:sz w:val="20"/>
              </w:rPr>
              <w:t>Any absence</w:t>
            </w:r>
          </w:p>
        </w:tc>
        <w:tc>
          <w:tcPr>
            <w:tcW w:w="1926" w:type="dxa"/>
          </w:tcPr>
          <w:p w:rsidR="00734E18" w:rsidRPr="00000ABB" w:rsidRDefault="00000ABB" w:rsidP="0066463B">
            <w:pPr>
              <w:pStyle w:val="Quote"/>
              <w:ind w:left="0"/>
              <w:jc w:val="left"/>
              <w:cnfStyle w:val="000000000000" w:firstRow="0" w:lastRow="0" w:firstColumn="0" w:lastColumn="0" w:oddVBand="0" w:evenVBand="0" w:oddHBand="0" w:evenHBand="0" w:firstRowFirstColumn="0" w:firstRowLastColumn="0" w:lastRowFirstColumn="0" w:lastRowLastColumn="0"/>
              <w:rPr>
                <w:sz w:val="20"/>
              </w:rPr>
            </w:pPr>
            <w:r>
              <w:rPr>
                <w:sz w:val="20"/>
              </w:rPr>
              <w:t>Unlimited period</w:t>
            </w:r>
          </w:p>
        </w:tc>
      </w:tr>
      <w:tr w:rsidR="00734E18" w:rsidRPr="00000ABB" w:rsidTr="0066463B">
        <w:tc>
          <w:tcPr>
            <w:cnfStyle w:val="001000000000" w:firstRow="0" w:lastRow="0" w:firstColumn="1" w:lastColumn="0" w:oddVBand="0" w:evenVBand="0" w:oddHBand="0" w:evenHBand="0" w:firstRowFirstColumn="0" w:firstRowLastColumn="0" w:lastRowFirstColumn="0" w:lastRowLastColumn="0"/>
            <w:tcW w:w="1617" w:type="dxa"/>
          </w:tcPr>
          <w:p w:rsidR="00734E18" w:rsidRPr="00000ABB" w:rsidRDefault="00000ABB" w:rsidP="0066463B">
            <w:pPr>
              <w:pStyle w:val="Quote"/>
              <w:ind w:left="0"/>
              <w:jc w:val="left"/>
              <w:rPr>
                <w:sz w:val="20"/>
              </w:rPr>
            </w:pPr>
            <w:r>
              <w:rPr>
                <w:sz w:val="20"/>
              </w:rPr>
              <w:t>3</w:t>
            </w:r>
          </w:p>
        </w:tc>
        <w:tc>
          <w:tcPr>
            <w:tcW w:w="1360" w:type="dxa"/>
          </w:tcPr>
          <w:p w:rsidR="00734E18" w:rsidRPr="00000ABB" w:rsidRDefault="00000ABB" w:rsidP="0066463B">
            <w:pPr>
              <w:pStyle w:val="Quote"/>
              <w:ind w:left="0"/>
              <w:jc w:val="left"/>
              <w:cnfStyle w:val="000000000000" w:firstRow="0" w:lastRow="0" w:firstColumn="0" w:lastColumn="0" w:oddVBand="0" w:evenVBand="0" w:oddHBand="0" w:evenHBand="0" w:firstRowFirstColumn="0" w:firstRowLastColumn="0" w:lastRowFirstColumn="0" w:lastRowLastColumn="0"/>
              <w:rPr>
                <w:sz w:val="20"/>
              </w:rPr>
            </w:pPr>
            <w:r w:rsidRPr="00000ABB">
              <w:rPr>
                <w:sz w:val="20"/>
              </w:rPr>
              <w:t>Disability Support pension</w:t>
            </w:r>
          </w:p>
        </w:tc>
        <w:tc>
          <w:tcPr>
            <w:tcW w:w="2126" w:type="dxa"/>
          </w:tcPr>
          <w:p w:rsidR="00734E18" w:rsidRPr="00000ABB" w:rsidRDefault="00000ABB" w:rsidP="0066463B">
            <w:pPr>
              <w:pStyle w:val="Quote"/>
              <w:ind w:left="0"/>
              <w:jc w:val="left"/>
              <w:cnfStyle w:val="000000000000" w:firstRow="0" w:lastRow="0" w:firstColumn="0" w:lastColumn="0" w:oddVBand="0" w:evenVBand="0" w:oddHBand="0" w:evenHBand="0" w:firstRowFirstColumn="0" w:firstRowLastColumn="0" w:lastRowFirstColumn="0" w:lastRowLastColumn="0"/>
              <w:rPr>
                <w:sz w:val="20"/>
              </w:rPr>
            </w:pPr>
            <w:r>
              <w:rPr>
                <w:sz w:val="20"/>
              </w:rPr>
              <w:t>Terminally ill overseas disability support pensioner</w:t>
            </w:r>
          </w:p>
        </w:tc>
        <w:tc>
          <w:tcPr>
            <w:tcW w:w="1618" w:type="dxa"/>
          </w:tcPr>
          <w:p w:rsidR="00734E18" w:rsidRPr="00000ABB" w:rsidRDefault="00000ABB" w:rsidP="0066463B">
            <w:pPr>
              <w:pStyle w:val="Quote"/>
              <w:ind w:left="0"/>
              <w:jc w:val="left"/>
              <w:cnfStyle w:val="000000000000" w:firstRow="0" w:lastRow="0" w:firstColumn="0" w:lastColumn="0" w:oddVBand="0" w:evenVBand="0" w:oddHBand="0" w:evenHBand="0" w:firstRowFirstColumn="0" w:firstRowLastColumn="0" w:lastRowFirstColumn="0" w:lastRowLastColumn="0"/>
              <w:rPr>
                <w:sz w:val="20"/>
              </w:rPr>
            </w:pPr>
            <w:r>
              <w:rPr>
                <w:sz w:val="20"/>
              </w:rPr>
              <w:t>Any absence</w:t>
            </w:r>
          </w:p>
        </w:tc>
        <w:tc>
          <w:tcPr>
            <w:tcW w:w="1926" w:type="dxa"/>
          </w:tcPr>
          <w:p w:rsidR="00734E18" w:rsidRPr="00000ABB" w:rsidRDefault="00000ABB" w:rsidP="0066463B">
            <w:pPr>
              <w:pStyle w:val="Quote"/>
              <w:ind w:left="0"/>
              <w:jc w:val="left"/>
              <w:cnfStyle w:val="000000000000" w:firstRow="0" w:lastRow="0" w:firstColumn="0" w:lastColumn="0" w:oddVBand="0" w:evenVBand="0" w:oddHBand="0" w:evenHBand="0" w:firstRowFirstColumn="0" w:firstRowLastColumn="0" w:lastRowFirstColumn="0" w:lastRowLastColumn="0"/>
              <w:rPr>
                <w:sz w:val="20"/>
              </w:rPr>
            </w:pPr>
            <w:r>
              <w:rPr>
                <w:sz w:val="20"/>
              </w:rPr>
              <w:t>Unlimited period</w:t>
            </w:r>
          </w:p>
        </w:tc>
      </w:tr>
    </w:tbl>
    <w:p w:rsidR="00391759" w:rsidRDefault="00000ABB" w:rsidP="00000ABB">
      <w:pPr>
        <w:pStyle w:val="ListNumber"/>
      </w:pPr>
      <w:r>
        <w:lastRenderedPageBreak/>
        <w:t>Section 1218C(1) of the Act provides some limited reasons which allow for the portability of a payment to be extended.  These reasons include:  serious accident involving the recipient or a family member of the recipient, a serious illness of the recipient or a family member of the recipient</w:t>
      </w:r>
      <w:r w:rsidR="00CF445C">
        <w:t>,</w:t>
      </w:r>
      <w:r>
        <w:t xml:space="preserve"> or the hospitalisation of the recipient or a family member of the recipient, amongst others.  </w:t>
      </w:r>
    </w:p>
    <w:p w:rsidR="00000ABB" w:rsidRDefault="00000ABB" w:rsidP="00000ABB">
      <w:pPr>
        <w:pStyle w:val="ListNumber"/>
      </w:pPr>
      <w:r>
        <w:t>Section 1218C(2) provides that the respondent must not extend the recipient</w:t>
      </w:r>
      <w:r w:rsidR="00CF445C">
        <w:t>’</w:t>
      </w:r>
      <w:r>
        <w:t xml:space="preserve">s portability period under subs 1218C(1) unless the event occurred or began during the period of absence overseas.  </w:t>
      </w:r>
    </w:p>
    <w:p w:rsidR="00000ABB" w:rsidRDefault="00000ABB" w:rsidP="00000ABB">
      <w:pPr>
        <w:pStyle w:val="Heading2"/>
      </w:pPr>
      <w:r>
        <w:t>DSP Qualification</w:t>
      </w:r>
    </w:p>
    <w:p w:rsidR="00000ABB" w:rsidRDefault="00000ABB" w:rsidP="00000ABB">
      <w:pPr>
        <w:pStyle w:val="ListNumber"/>
        <w:rPr>
          <w:lang w:eastAsia="en-AU"/>
        </w:rPr>
      </w:pPr>
      <w:r>
        <w:rPr>
          <w:lang w:eastAsia="en-AU"/>
        </w:rPr>
        <w:t>The legislative criteria for the grant of DSP are set out in the provisions of s 94 of the Act, which relevantly read:</w:t>
      </w:r>
    </w:p>
    <w:p w:rsidR="00A455BE" w:rsidRPr="00C95B14" w:rsidRDefault="00A455BE" w:rsidP="00A455BE">
      <w:pPr>
        <w:pStyle w:val="Heading3"/>
        <w:spacing w:before="240"/>
        <w:rPr>
          <w:sz w:val="20"/>
        </w:rPr>
      </w:pPr>
      <w:r w:rsidRPr="00C95B14">
        <w:rPr>
          <w:sz w:val="20"/>
        </w:rPr>
        <w:t>“Qualification for Disability Support Pension</w:t>
      </w:r>
    </w:p>
    <w:p w:rsidR="00A455BE" w:rsidRPr="00C95B14" w:rsidRDefault="00A455BE" w:rsidP="00A455BE">
      <w:pPr>
        <w:pStyle w:val="Quote"/>
        <w:tabs>
          <w:tab w:val="left" w:pos="1134"/>
          <w:tab w:val="left" w:pos="1418"/>
          <w:tab w:val="left" w:pos="1843"/>
        </w:tabs>
        <w:ind w:left="567"/>
        <w:rPr>
          <w:sz w:val="20"/>
        </w:rPr>
      </w:pPr>
      <w:r w:rsidRPr="00C95B14">
        <w:rPr>
          <w:sz w:val="20"/>
        </w:rPr>
        <w:t>(1)</w:t>
      </w:r>
      <w:r>
        <w:rPr>
          <w:sz w:val="20"/>
        </w:rPr>
        <w:tab/>
      </w:r>
      <w:r w:rsidRPr="00C95B14">
        <w:rPr>
          <w:sz w:val="20"/>
        </w:rPr>
        <w:t xml:space="preserve">A person is qualified for disability support pension if:  </w:t>
      </w:r>
    </w:p>
    <w:p w:rsidR="00A455BE" w:rsidRPr="00C95B14" w:rsidRDefault="00A455BE" w:rsidP="00A455BE">
      <w:pPr>
        <w:pStyle w:val="Quote"/>
        <w:tabs>
          <w:tab w:val="left" w:pos="1134"/>
          <w:tab w:val="left" w:pos="1418"/>
          <w:tab w:val="left" w:pos="1843"/>
        </w:tabs>
        <w:spacing w:before="0"/>
        <w:ind w:left="567" w:firstLine="567"/>
        <w:rPr>
          <w:sz w:val="20"/>
        </w:rPr>
      </w:pPr>
      <w:r w:rsidRPr="00C95B14">
        <w:rPr>
          <w:sz w:val="20"/>
        </w:rPr>
        <w:t>(a)</w:t>
      </w:r>
      <w:r>
        <w:rPr>
          <w:sz w:val="20"/>
        </w:rPr>
        <w:tab/>
      </w:r>
      <w:r w:rsidRPr="00C95B14">
        <w:rPr>
          <w:sz w:val="20"/>
        </w:rPr>
        <w:t xml:space="preserve">the person has a physical, intellectual or psychiatric impairment; and </w:t>
      </w:r>
    </w:p>
    <w:p w:rsidR="00A455BE" w:rsidRPr="00C95B14" w:rsidRDefault="00A455BE" w:rsidP="00A455BE">
      <w:pPr>
        <w:pStyle w:val="Quote"/>
        <w:tabs>
          <w:tab w:val="left" w:pos="1134"/>
          <w:tab w:val="left" w:pos="1418"/>
          <w:tab w:val="left" w:pos="1843"/>
        </w:tabs>
        <w:spacing w:before="0"/>
        <w:ind w:left="567" w:firstLine="567"/>
        <w:rPr>
          <w:sz w:val="20"/>
        </w:rPr>
      </w:pPr>
      <w:r w:rsidRPr="00C95B14">
        <w:rPr>
          <w:sz w:val="20"/>
        </w:rPr>
        <w:t>(b)</w:t>
      </w:r>
      <w:r>
        <w:rPr>
          <w:sz w:val="20"/>
        </w:rPr>
        <w:tab/>
      </w:r>
      <w:r w:rsidRPr="00C95B14">
        <w:rPr>
          <w:sz w:val="20"/>
        </w:rPr>
        <w:t xml:space="preserve">the person's impairment is of 20 points or more under the Impairment Tables; and </w:t>
      </w:r>
    </w:p>
    <w:p w:rsidR="00A455BE" w:rsidRPr="00C95B14" w:rsidRDefault="00A455BE" w:rsidP="00A455BE">
      <w:pPr>
        <w:pStyle w:val="Quote"/>
        <w:tabs>
          <w:tab w:val="left" w:pos="1134"/>
          <w:tab w:val="left" w:pos="1418"/>
          <w:tab w:val="left" w:pos="1843"/>
        </w:tabs>
        <w:spacing w:before="0"/>
        <w:ind w:left="567" w:firstLine="567"/>
        <w:rPr>
          <w:sz w:val="20"/>
        </w:rPr>
      </w:pPr>
      <w:r w:rsidRPr="00C95B14">
        <w:rPr>
          <w:sz w:val="20"/>
        </w:rPr>
        <w:t>(c)</w:t>
      </w:r>
      <w:r>
        <w:rPr>
          <w:sz w:val="20"/>
        </w:rPr>
        <w:tab/>
      </w:r>
      <w:r w:rsidRPr="00C95B14">
        <w:rPr>
          <w:sz w:val="20"/>
        </w:rPr>
        <w:t xml:space="preserve">one of the following applies:  </w:t>
      </w:r>
    </w:p>
    <w:p w:rsidR="00A455BE" w:rsidRPr="00C95B14" w:rsidRDefault="00A455BE" w:rsidP="00A455BE">
      <w:pPr>
        <w:pStyle w:val="Quote"/>
        <w:tabs>
          <w:tab w:val="left" w:pos="1418"/>
          <w:tab w:val="left" w:pos="1843"/>
        </w:tabs>
        <w:spacing w:before="0"/>
        <w:ind w:left="1418"/>
        <w:rPr>
          <w:sz w:val="20"/>
        </w:rPr>
      </w:pPr>
      <w:r w:rsidRPr="00C95B14">
        <w:rPr>
          <w:sz w:val="20"/>
        </w:rPr>
        <w:t>(i)</w:t>
      </w:r>
      <w:r w:rsidRPr="00C95B14">
        <w:rPr>
          <w:sz w:val="20"/>
        </w:rPr>
        <w:tab/>
        <w:t xml:space="preserve">the person has a continuing inability to work; </w:t>
      </w:r>
    </w:p>
    <w:p w:rsidR="00A455BE" w:rsidRPr="00C95B14" w:rsidRDefault="00A455BE" w:rsidP="00A455BE">
      <w:pPr>
        <w:pStyle w:val="Quote"/>
        <w:tabs>
          <w:tab w:val="left" w:pos="1418"/>
        </w:tabs>
        <w:spacing w:before="0"/>
        <w:ind w:left="1843" w:hanging="425"/>
        <w:rPr>
          <w:sz w:val="20"/>
        </w:rPr>
      </w:pPr>
      <w:r w:rsidRPr="00C95B14">
        <w:rPr>
          <w:sz w:val="20"/>
        </w:rPr>
        <w:t>(ii)</w:t>
      </w:r>
      <w:r w:rsidRPr="00C95B14">
        <w:rPr>
          <w:sz w:val="20"/>
        </w:rPr>
        <w:tab/>
        <w:t xml:space="preserve">the Secretary </w:t>
      </w:r>
      <w:r w:rsidR="00F20BA7">
        <w:rPr>
          <w:sz w:val="20"/>
        </w:rPr>
        <w:t>is satisfied</w:t>
      </w:r>
      <w:r w:rsidRPr="00C95B14">
        <w:rPr>
          <w:sz w:val="20"/>
        </w:rPr>
        <w:t xml:space="preserve"> that the person is participating in the </w:t>
      </w:r>
      <w:r w:rsidR="00F20BA7">
        <w:rPr>
          <w:sz w:val="20"/>
        </w:rPr>
        <w:t>program administered by the Commonwealth known as the supported wage system</w:t>
      </w:r>
      <w:r w:rsidRPr="00C95B14">
        <w:rPr>
          <w:sz w:val="20"/>
        </w:rPr>
        <w:t xml:space="preserve">; and </w:t>
      </w:r>
    </w:p>
    <w:p w:rsidR="00A455BE" w:rsidRPr="00C95B14" w:rsidRDefault="00A455BE" w:rsidP="00A455BE">
      <w:pPr>
        <w:pStyle w:val="Quote"/>
        <w:tabs>
          <w:tab w:val="left" w:pos="1134"/>
          <w:tab w:val="left" w:pos="1418"/>
          <w:tab w:val="left" w:pos="1843"/>
        </w:tabs>
        <w:spacing w:before="0"/>
        <w:ind w:left="567" w:firstLine="567"/>
        <w:rPr>
          <w:sz w:val="20"/>
        </w:rPr>
      </w:pPr>
      <w:r w:rsidRPr="00C95B14">
        <w:rPr>
          <w:sz w:val="20"/>
        </w:rPr>
        <w:t>(d)</w:t>
      </w:r>
      <w:r>
        <w:rPr>
          <w:sz w:val="20"/>
        </w:rPr>
        <w:tab/>
      </w:r>
      <w:r w:rsidRPr="00C95B14">
        <w:rPr>
          <w:sz w:val="20"/>
        </w:rPr>
        <w:t xml:space="preserve">the person has turned 16; and </w:t>
      </w:r>
    </w:p>
    <w:p w:rsidR="00A455BE" w:rsidRPr="00C95B14" w:rsidRDefault="00A455BE" w:rsidP="00A455BE">
      <w:pPr>
        <w:pStyle w:val="Quote"/>
        <w:tabs>
          <w:tab w:val="left" w:pos="1134"/>
          <w:tab w:val="left" w:pos="1418"/>
          <w:tab w:val="left" w:pos="1843"/>
        </w:tabs>
        <w:spacing w:before="0"/>
        <w:ind w:left="567" w:firstLine="567"/>
        <w:rPr>
          <w:sz w:val="20"/>
        </w:rPr>
      </w:pPr>
      <w:r w:rsidRPr="00C95B14">
        <w:rPr>
          <w:sz w:val="20"/>
        </w:rPr>
        <w:t>(da) in a case where the following apply:</w:t>
      </w:r>
    </w:p>
    <w:p w:rsidR="00A455BE" w:rsidRPr="00C95B14" w:rsidRDefault="00A455BE" w:rsidP="00A455BE">
      <w:pPr>
        <w:pStyle w:val="Quote"/>
        <w:tabs>
          <w:tab w:val="left" w:pos="993"/>
          <w:tab w:val="left" w:pos="1418"/>
          <w:tab w:val="left" w:pos="1843"/>
        </w:tabs>
        <w:spacing w:before="0"/>
        <w:ind w:left="993" w:firstLine="425"/>
        <w:rPr>
          <w:sz w:val="20"/>
        </w:rPr>
      </w:pPr>
      <w:r w:rsidRPr="00C95B14">
        <w:rPr>
          <w:sz w:val="20"/>
        </w:rPr>
        <w:t>(i)</w:t>
      </w:r>
      <w:r w:rsidRPr="00C95B14">
        <w:rPr>
          <w:sz w:val="20"/>
        </w:rPr>
        <w:tab/>
        <w:t>the person is under 35 years of age;</w:t>
      </w:r>
    </w:p>
    <w:p w:rsidR="00A455BE" w:rsidRPr="00C95B14" w:rsidRDefault="00A455BE" w:rsidP="00A455BE">
      <w:pPr>
        <w:pStyle w:val="Quote"/>
        <w:tabs>
          <w:tab w:val="left" w:pos="993"/>
          <w:tab w:val="left" w:pos="1418"/>
          <w:tab w:val="left" w:pos="1843"/>
        </w:tabs>
        <w:spacing w:before="0"/>
        <w:ind w:left="1843" w:hanging="425"/>
        <w:rPr>
          <w:sz w:val="20"/>
        </w:rPr>
      </w:pPr>
      <w:r w:rsidRPr="00C95B14">
        <w:rPr>
          <w:sz w:val="20"/>
        </w:rPr>
        <w:t>(ii)</w:t>
      </w:r>
      <w:r w:rsidRPr="00C95B14">
        <w:rPr>
          <w:sz w:val="20"/>
        </w:rPr>
        <w:tab/>
        <w:t>the Secretary is satisfied that the person is able to do work that is for at least 8 hours per week on wages at or above the relevant minimum wage and that exists in Australia, even if not within the person’s locally accessible labour market;</w:t>
      </w:r>
    </w:p>
    <w:p w:rsidR="00A455BE" w:rsidRPr="00C95B14" w:rsidRDefault="00A455BE" w:rsidP="00A455BE">
      <w:pPr>
        <w:pStyle w:val="Quote"/>
        <w:tabs>
          <w:tab w:val="left" w:pos="993"/>
          <w:tab w:val="left" w:pos="1418"/>
          <w:tab w:val="left" w:pos="1843"/>
        </w:tabs>
        <w:spacing w:before="0"/>
        <w:ind w:left="1843" w:hanging="425"/>
        <w:rPr>
          <w:sz w:val="20"/>
        </w:rPr>
      </w:pPr>
      <w:r w:rsidRPr="00C95B14">
        <w:rPr>
          <w:sz w:val="20"/>
        </w:rPr>
        <w:t>(iii)</w:t>
      </w:r>
      <w:r w:rsidRPr="00C95B14">
        <w:rPr>
          <w:sz w:val="20"/>
        </w:rPr>
        <w:tab/>
        <w:t>if the person has one or more dependent children--the youngest dependent child is 6 years of age or over;</w:t>
      </w:r>
    </w:p>
    <w:p w:rsidR="00A455BE" w:rsidRPr="00C95B14" w:rsidRDefault="00A455BE" w:rsidP="00A455BE">
      <w:pPr>
        <w:pStyle w:val="Quote"/>
        <w:tabs>
          <w:tab w:val="left" w:pos="993"/>
          <w:tab w:val="left" w:pos="1418"/>
          <w:tab w:val="left" w:pos="1843"/>
        </w:tabs>
        <w:spacing w:before="0"/>
        <w:ind w:left="1418"/>
        <w:rPr>
          <w:sz w:val="20"/>
        </w:rPr>
      </w:pPr>
      <w:r w:rsidRPr="00C95B14">
        <w:rPr>
          <w:sz w:val="20"/>
        </w:rPr>
        <w:t>the person meets any participation requirements that apply to the person under section 94A; and</w:t>
      </w:r>
    </w:p>
    <w:p w:rsidR="00A455BE" w:rsidRPr="00C95B14" w:rsidRDefault="00A455BE" w:rsidP="00A455BE">
      <w:pPr>
        <w:pStyle w:val="Quote"/>
        <w:tabs>
          <w:tab w:val="left" w:pos="1134"/>
          <w:tab w:val="left" w:pos="1418"/>
          <w:tab w:val="left" w:pos="1843"/>
        </w:tabs>
        <w:spacing w:before="0"/>
        <w:ind w:left="567" w:firstLine="567"/>
        <w:rPr>
          <w:sz w:val="20"/>
        </w:rPr>
      </w:pPr>
      <w:r w:rsidRPr="00C95B14">
        <w:rPr>
          <w:sz w:val="20"/>
        </w:rPr>
        <w:t>(e)</w:t>
      </w:r>
      <w:r>
        <w:rPr>
          <w:sz w:val="20"/>
        </w:rPr>
        <w:tab/>
      </w:r>
      <w:r w:rsidRPr="00C95B14">
        <w:rPr>
          <w:sz w:val="20"/>
        </w:rPr>
        <w:t xml:space="preserve">the person either:  </w:t>
      </w:r>
    </w:p>
    <w:p w:rsidR="00A455BE" w:rsidRPr="00C95B14" w:rsidRDefault="00A455BE" w:rsidP="00A455BE">
      <w:pPr>
        <w:pStyle w:val="Quote"/>
        <w:tabs>
          <w:tab w:val="left" w:pos="993"/>
          <w:tab w:val="left" w:pos="1843"/>
        </w:tabs>
        <w:spacing w:before="0"/>
        <w:ind w:left="1843" w:hanging="425"/>
        <w:rPr>
          <w:sz w:val="20"/>
        </w:rPr>
      </w:pPr>
      <w:r w:rsidRPr="00C95B14">
        <w:rPr>
          <w:sz w:val="20"/>
        </w:rPr>
        <w:t>(i)</w:t>
      </w:r>
      <w:r w:rsidRPr="00C95B14">
        <w:rPr>
          <w:sz w:val="20"/>
        </w:rPr>
        <w:tab/>
        <w:t xml:space="preserve">is an Australian resident at the time when the person first satisfies paragraph (c); or </w:t>
      </w:r>
    </w:p>
    <w:p w:rsidR="00A455BE" w:rsidRPr="00C95B14" w:rsidRDefault="00A455BE" w:rsidP="00A455BE">
      <w:pPr>
        <w:pStyle w:val="Quote"/>
        <w:tabs>
          <w:tab w:val="left" w:pos="993"/>
          <w:tab w:val="left" w:pos="1843"/>
        </w:tabs>
        <w:spacing w:before="0"/>
        <w:ind w:left="1843" w:hanging="425"/>
        <w:rPr>
          <w:sz w:val="20"/>
        </w:rPr>
      </w:pPr>
      <w:r w:rsidRPr="00C95B14">
        <w:rPr>
          <w:sz w:val="20"/>
        </w:rPr>
        <w:t>(ii)</w:t>
      </w:r>
      <w:r w:rsidRPr="00C95B14">
        <w:rPr>
          <w:sz w:val="20"/>
        </w:rPr>
        <w:tab/>
        <w:t xml:space="preserve">has 10 years qualifying Australian residence, or has a qualifying residence exemption for a disability support pension; or </w:t>
      </w:r>
    </w:p>
    <w:p w:rsidR="00A455BE" w:rsidRPr="00C95B14" w:rsidRDefault="00A455BE" w:rsidP="00A455BE">
      <w:pPr>
        <w:pStyle w:val="Quote"/>
        <w:tabs>
          <w:tab w:val="left" w:pos="993"/>
          <w:tab w:val="left" w:pos="1843"/>
        </w:tabs>
        <w:spacing w:before="0"/>
        <w:ind w:left="1843" w:hanging="425"/>
        <w:rPr>
          <w:sz w:val="20"/>
        </w:rPr>
      </w:pPr>
      <w:r w:rsidRPr="00C95B14">
        <w:rPr>
          <w:sz w:val="20"/>
        </w:rPr>
        <w:t>(iii)</w:t>
      </w:r>
      <w:r w:rsidRPr="00C95B14">
        <w:rPr>
          <w:sz w:val="20"/>
        </w:rPr>
        <w:tab/>
        <w:t xml:space="preserve">is born outside Australia and, at the time when the person first satisfies paragraph (c) the person:  </w:t>
      </w:r>
    </w:p>
    <w:p w:rsidR="00A455BE" w:rsidRPr="00C95B14" w:rsidRDefault="00A455BE" w:rsidP="00A455BE">
      <w:pPr>
        <w:pStyle w:val="Quote"/>
        <w:tabs>
          <w:tab w:val="left" w:pos="993"/>
          <w:tab w:val="left" w:pos="1418"/>
          <w:tab w:val="left" w:pos="1843"/>
        </w:tabs>
        <w:spacing w:before="0"/>
        <w:ind w:left="1843"/>
        <w:rPr>
          <w:sz w:val="20"/>
        </w:rPr>
      </w:pPr>
      <w:r w:rsidRPr="00C95B14">
        <w:rPr>
          <w:sz w:val="20"/>
        </w:rPr>
        <w:t xml:space="preserve">(A) is not an Australian resident; and </w:t>
      </w:r>
    </w:p>
    <w:p w:rsidR="00A455BE" w:rsidRPr="00C95B14" w:rsidRDefault="00A455BE" w:rsidP="00A455BE">
      <w:pPr>
        <w:pStyle w:val="Quote"/>
        <w:tabs>
          <w:tab w:val="left" w:pos="993"/>
          <w:tab w:val="left" w:pos="1418"/>
          <w:tab w:val="left" w:pos="1843"/>
        </w:tabs>
        <w:spacing w:before="0"/>
        <w:ind w:left="1843"/>
        <w:rPr>
          <w:sz w:val="20"/>
        </w:rPr>
      </w:pPr>
      <w:r w:rsidRPr="00C95B14">
        <w:rPr>
          <w:sz w:val="20"/>
        </w:rPr>
        <w:t xml:space="preserve">(B) is a dependent child of an Australian resident; </w:t>
      </w:r>
    </w:p>
    <w:p w:rsidR="00A455BE" w:rsidRPr="00C95B14" w:rsidRDefault="00A455BE" w:rsidP="00A455BE">
      <w:pPr>
        <w:pStyle w:val="Quote"/>
        <w:tabs>
          <w:tab w:val="left" w:pos="993"/>
          <w:tab w:val="left" w:pos="1418"/>
          <w:tab w:val="left" w:pos="1843"/>
        </w:tabs>
        <w:spacing w:before="0"/>
        <w:ind w:left="1418"/>
        <w:rPr>
          <w:sz w:val="20"/>
        </w:rPr>
      </w:pPr>
      <w:r w:rsidRPr="00C95B14">
        <w:rPr>
          <w:sz w:val="20"/>
        </w:rPr>
        <w:t xml:space="preserve">and the person becomes an Australian resident while a dependent child of an Australian resident; and </w:t>
      </w:r>
    </w:p>
    <w:p w:rsidR="00A455BE" w:rsidRPr="00C95B14" w:rsidRDefault="00A455BE" w:rsidP="00A455BE">
      <w:pPr>
        <w:pStyle w:val="Quote"/>
        <w:tabs>
          <w:tab w:val="left" w:pos="1134"/>
          <w:tab w:val="left" w:pos="1418"/>
          <w:tab w:val="left" w:pos="1843"/>
        </w:tabs>
        <w:spacing w:before="0"/>
        <w:ind w:left="567" w:firstLine="426"/>
        <w:rPr>
          <w:sz w:val="20"/>
        </w:rPr>
      </w:pPr>
      <w:r w:rsidRPr="00C95B14">
        <w:rPr>
          <w:sz w:val="20"/>
        </w:rPr>
        <w:t>(ea)</w:t>
      </w:r>
      <w:r>
        <w:rPr>
          <w:sz w:val="20"/>
        </w:rPr>
        <w:t xml:space="preserve"> </w:t>
      </w:r>
      <w:r w:rsidRPr="00C95B14">
        <w:rPr>
          <w:sz w:val="20"/>
        </w:rPr>
        <w:t xml:space="preserve">one of the following applies:  </w:t>
      </w:r>
    </w:p>
    <w:p w:rsidR="00A455BE" w:rsidRPr="00C95B14" w:rsidRDefault="00A455BE" w:rsidP="00A455BE">
      <w:pPr>
        <w:pStyle w:val="Quote"/>
        <w:tabs>
          <w:tab w:val="left" w:pos="993"/>
          <w:tab w:val="left" w:pos="1418"/>
          <w:tab w:val="left" w:pos="1843"/>
        </w:tabs>
        <w:spacing w:before="0"/>
        <w:ind w:left="992" w:firstLine="426"/>
        <w:rPr>
          <w:sz w:val="20"/>
        </w:rPr>
      </w:pPr>
      <w:r w:rsidRPr="00C95B14">
        <w:rPr>
          <w:sz w:val="20"/>
        </w:rPr>
        <w:t>(i)</w:t>
      </w:r>
      <w:r>
        <w:rPr>
          <w:sz w:val="20"/>
        </w:rPr>
        <w:tab/>
      </w:r>
      <w:r w:rsidRPr="00C95B14">
        <w:rPr>
          <w:sz w:val="20"/>
        </w:rPr>
        <w:t xml:space="preserve">the person is an Australian resident; </w:t>
      </w:r>
    </w:p>
    <w:p w:rsidR="00A455BE" w:rsidRPr="00C95B14" w:rsidRDefault="00A455BE" w:rsidP="00A455BE">
      <w:pPr>
        <w:pStyle w:val="Quote"/>
        <w:tabs>
          <w:tab w:val="left" w:pos="1418"/>
          <w:tab w:val="left" w:pos="1843"/>
        </w:tabs>
        <w:spacing w:before="0"/>
        <w:ind w:left="1843" w:hanging="425"/>
        <w:rPr>
          <w:sz w:val="20"/>
        </w:rPr>
      </w:pPr>
      <w:r w:rsidRPr="00C95B14">
        <w:rPr>
          <w:sz w:val="20"/>
        </w:rPr>
        <w:lastRenderedPageBreak/>
        <w:t>(ia)</w:t>
      </w:r>
      <w:r>
        <w:rPr>
          <w:sz w:val="20"/>
        </w:rPr>
        <w:tab/>
      </w:r>
      <w:r w:rsidRPr="00C95B14">
        <w:rPr>
          <w:sz w:val="20"/>
        </w:rPr>
        <w:t>the person is absent from Australia and the Secretary has made a determination in relation to the person under subsection 1218AAA(1);</w:t>
      </w:r>
    </w:p>
    <w:p w:rsidR="00A455BE" w:rsidRPr="00C95B14" w:rsidRDefault="00A455BE" w:rsidP="00A455BE">
      <w:pPr>
        <w:pStyle w:val="Quote"/>
        <w:tabs>
          <w:tab w:val="left" w:pos="993"/>
          <w:tab w:val="left" w:pos="1418"/>
          <w:tab w:val="left" w:pos="1843"/>
        </w:tabs>
        <w:spacing w:before="0"/>
        <w:ind w:left="1843" w:hanging="425"/>
        <w:rPr>
          <w:sz w:val="20"/>
        </w:rPr>
      </w:pPr>
      <w:r w:rsidRPr="00C95B14">
        <w:rPr>
          <w:sz w:val="20"/>
        </w:rPr>
        <w:t>(ii)</w:t>
      </w:r>
      <w:r>
        <w:rPr>
          <w:sz w:val="20"/>
        </w:rPr>
        <w:tab/>
      </w:r>
      <w:r w:rsidRPr="00C95B14">
        <w:rPr>
          <w:sz w:val="20"/>
        </w:rPr>
        <w:t>the person is absent from Australia and all the circumstances described in paragraphs 1218AA(1)(a), (b), (c), (d) and (e) exist in relation to the person.</w:t>
      </w:r>
    </w:p>
    <w:p w:rsidR="00A455BE" w:rsidRPr="00E256E1" w:rsidRDefault="00A455BE" w:rsidP="00A455BE">
      <w:pPr>
        <w:pStyle w:val="Quote"/>
        <w:tabs>
          <w:tab w:val="left" w:pos="993"/>
          <w:tab w:val="left" w:pos="1418"/>
          <w:tab w:val="left" w:pos="1843"/>
        </w:tabs>
        <w:spacing w:before="0"/>
        <w:ind w:left="1418" w:hanging="851"/>
        <w:rPr>
          <w:sz w:val="18"/>
          <w:szCs w:val="18"/>
        </w:rPr>
      </w:pPr>
      <w:r w:rsidRPr="00E256E1">
        <w:rPr>
          <w:sz w:val="18"/>
          <w:szCs w:val="18"/>
        </w:rPr>
        <w:t>Note 1:</w:t>
      </w:r>
      <w:r>
        <w:rPr>
          <w:sz w:val="18"/>
          <w:szCs w:val="18"/>
        </w:rPr>
        <w:tab/>
      </w:r>
      <w:r w:rsidRPr="00E256E1">
        <w:rPr>
          <w:sz w:val="18"/>
          <w:szCs w:val="18"/>
        </w:rPr>
        <w:t xml:space="preserve">For </w:t>
      </w:r>
      <w:r w:rsidRPr="00C27F68">
        <w:rPr>
          <w:b/>
          <w:sz w:val="18"/>
          <w:szCs w:val="18"/>
        </w:rPr>
        <w:t>Australian resident</w:t>
      </w:r>
      <w:r w:rsidRPr="00E256E1">
        <w:rPr>
          <w:sz w:val="18"/>
          <w:szCs w:val="18"/>
        </w:rPr>
        <w:t xml:space="preserve">, </w:t>
      </w:r>
      <w:r w:rsidRPr="00C27F68">
        <w:rPr>
          <w:b/>
          <w:sz w:val="18"/>
          <w:szCs w:val="18"/>
        </w:rPr>
        <w:t>qualifying Australian residence</w:t>
      </w:r>
      <w:r w:rsidRPr="00E256E1">
        <w:rPr>
          <w:sz w:val="18"/>
          <w:szCs w:val="18"/>
        </w:rPr>
        <w:t xml:space="preserve"> and </w:t>
      </w:r>
      <w:r w:rsidRPr="00C27F68">
        <w:rPr>
          <w:b/>
          <w:sz w:val="18"/>
          <w:szCs w:val="18"/>
        </w:rPr>
        <w:t>qualifying residence exemption</w:t>
      </w:r>
      <w:r w:rsidRPr="00E256E1">
        <w:rPr>
          <w:sz w:val="18"/>
          <w:szCs w:val="18"/>
        </w:rPr>
        <w:t xml:space="preserve"> see section 7. </w:t>
      </w:r>
    </w:p>
    <w:p w:rsidR="00A455BE" w:rsidRPr="00E256E1" w:rsidRDefault="00A455BE" w:rsidP="00A455BE">
      <w:pPr>
        <w:pStyle w:val="Quote"/>
        <w:tabs>
          <w:tab w:val="left" w:pos="993"/>
          <w:tab w:val="left" w:pos="1418"/>
          <w:tab w:val="left" w:pos="1843"/>
        </w:tabs>
        <w:spacing w:before="0"/>
        <w:ind w:left="567"/>
        <w:rPr>
          <w:sz w:val="18"/>
          <w:szCs w:val="18"/>
        </w:rPr>
      </w:pPr>
      <w:r w:rsidRPr="00E256E1">
        <w:rPr>
          <w:sz w:val="18"/>
          <w:szCs w:val="18"/>
        </w:rPr>
        <w:t>Note 2:</w:t>
      </w:r>
      <w:r>
        <w:rPr>
          <w:sz w:val="18"/>
          <w:szCs w:val="18"/>
        </w:rPr>
        <w:tab/>
      </w:r>
      <w:r w:rsidRPr="00E256E1">
        <w:rPr>
          <w:sz w:val="18"/>
          <w:szCs w:val="18"/>
        </w:rPr>
        <w:t xml:space="preserve">For </w:t>
      </w:r>
      <w:r w:rsidRPr="00C27F68">
        <w:rPr>
          <w:b/>
          <w:sz w:val="18"/>
          <w:szCs w:val="18"/>
        </w:rPr>
        <w:t>Impairment Tables</w:t>
      </w:r>
      <w:r w:rsidRPr="00E256E1">
        <w:rPr>
          <w:sz w:val="18"/>
          <w:szCs w:val="18"/>
        </w:rPr>
        <w:t xml:space="preserve"> see</w:t>
      </w:r>
      <w:r>
        <w:rPr>
          <w:sz w:val="18"/>
          <w:szCs w:val="18"/>
        </w:rPr>
        <w:t xml:space="preserve"> subsection 23(1) and sections 26 and 27</w:t>
      </w:r>
      <w:r w:rsidRPr="00E256E1">
        <w:rPr>
          <w:sz w:val="18"/>
          <w:szCs w:val="18"/>
        </w:rPr>
        <w:t xml:space="preserve">. </w:t>
      </w:r>
    </w:p>
    <w:p w:rsidR="00A455BE" w:rsidRPr="00C95B14" w:rsidRDefault="00A455BE" w:rsidP="00A455BE">
      <w:pPr>
        <w:pStyle w:val="Quote"/>
        <w:tabs>
          <w:tab w:val="left" w:pos="993"/>
          <w:tab w:val="left" w:pos="1418"/>
          <w:tab w:val="left" w:pos="1843"/>
        </w:tabs>
        <w:spacing w:after="120"/>
        <w:ind w:left="567"/>
        <w:rPr>
          <w:sz w:val="20"/>
        </w:rPr>
      </w:pPr>
      <w:r w:rsidRPr="00C95B14">
        <w:rPr>
          <w:sz w:val="20"/>
        </w:rPr>
        <w:t>Continuing inability to work</w:t>
      </w:r>
    </w:p>
    <w:p w:rsidR="00A455BE" w:rsidRPr="00C95B14" w:rsidRDefault="00A455BE" w:rsidP="00A455BE">
      <w:pPr>
        <w:pStyle w:val="Quote"/>
        <w:tabs>
          <w:tab w:val="left" w:pos="993"/>
          <w:tab w:val="left" w:pos="1418"/>
          <w:tab w:val="left" w:pos="1843"/>
        </w:tabs>
        <w:spacing w:before="0"/>
        <w:ind w:left="993" w:hanging="426"/>
        <w:rPr>
          <w:sz w:val="20"/>
        </w:rPr>
      </w:pPr>
      <w:r w:rsidRPr="00C95B14">
        <w:rPr>
          <w:sz w:val="20"/>
        </w:rPr>
        <w:t>(2)</w:t>
      </w:r>
      <w:r w:rsidRPr="00C95B14">
        <w:rPr>
          <w:sz w:val="20"/>
        </w:rPr>
        <w:tab/>
        <w:t xml:space="preserve">A person has a </w:t>
      </w:r>
      <w:r w:rsidRPr="00C95B14">
        <w:rPr>
          <w:b/>
          <w:sz w:val="20"/>
        </w:rPr>
        <w:t>continuing inability to work</w:t>
      </w:r>
      <w:r w:rsidRPr="00C95B14">
        <w:rPr>
          <w:sz w:val="20"/>
        </w:rPr>
        <w:t xml:space="preserve"> because of an impairment if the Secretary is satisfied that:  </w:t>
      </w:r>
    </w:p>
    <w:p w:rsidR="00A455BE" w:rsidRPr="00C95B14" w:rsidRDefault="00A455BE" w:rsidP="00A455BE">
      <w:pPr>
        <w:pStyle w:val="Quote"/>
        <w:tabs>
          <w:tab w:val="left" w:pos="993"/>
          <w:tab w:val="left" w:pos="1418"/>
          <w:tab w:val="left" w:pos="1843"/>
        </w:tabs>
        <w:spacing w:before="0"/>
        <w:ind w:left="1418" w:hanging="425"/>
        <w:rPr>
          <w:sz w:val="20"/>
        </w:rPr>
      </w:pPr>
      <w:r w:rsidRPr="00C95B14">
        <w:rPr>
          <w:sz w:val="20"/>
        </w:rPr>
        <w:t>(aa)</w:t>
      </w:r>
      <w:r w:rsidRPr="00C95B14">
        <w:rPr>
          <w:sz w:val="20"/>
        </w:rPr>
        <w:tab/>
        <w:t>in a case where the person’s impairment is not a severe impairment within the meaning of subsection (3B) -- the person has actively participated in a program of support within the meaning of subsection (3C); and</w:t>
      </w:r>
    </w:p>
    <w:p w:rsidR="00A455BE" w:rsidRPr="00C95B14" w:rsidRDefault="00A455BE" w:rsidP="00A455BE">
      <w:pPr>
        <w:pStyle w:val="Quote"/>
        <w:tabs>
          <w:tab w:val="left" w:pos="851"/>
          <w:tab w:val="left" w:pos="1418"/>
          <w:tab w:val="left" w:pos="1843"/>
        </w:tabs>
        <w:spacing w:before="0"/>
        <w:ind w:left="1418" w:hanging="425"/>
        <w:rPr>
          <w:sz w:val="20"/>
        </w:rPr>
      </w:pPr>
      <w:r w:rsidRPr="00C95B14">
        <w:rPr>
          <w:sz w:val="20"/>
        </w:rPr>
        <w:t>(a)</w:t>
      </w:r>
      <w:r w:rsidRPr="00C95B14">
        <w:rPr>
          <w:sz w:val="20"/>
        </w:rPr>
        <w:tab/>
        <w:t xml:space="preserve">in all cases -- the impairment is of itself sufficient to prevent the person from doing any work independently of a program of support within the next 2 years; and </w:t>
      </w:r>
    </w:p>
    <w:p w:rsidR="00A455BE" w:rsidRPr="00C95B14" w:rsidRDefault="00A455BE" w:rsidP="00A455BE">
      <w:pPr>
        <w:pStyle w:val="Quote"/>
        <w:tabs>
          <w:tab w:val="left" w:pos="993"/>
          <w:tab w:val="left" w:pos="1418"/>
          <w:tab w:val="left" w:pos="1843"/>
        </w:tabs>
        <w:spacing w:before="0"/>
        <w:ind w:left="993"/>
        <w:rPr>
          <w:sz w:val="20"/>
        </w:rPr>
      </w:pPr>
      <w:r w:rsidRPr="00C95B14">
        <w:rPr>
          <w:sz w:val="20"/>
        </w:rPr>
        <w:t>(b)</w:t>
      </w:r>
      <w:r w:rsidRPr="00C95B14">
        <w:rPr>
          <w:sz w:val="20"/>
        </w:rPr>
        <w:tab/>
        <w:t xml:space="preserve">in all cases --either:  </w:t>
      </w:r>
    </w:p>
    <w:p w:rsidR="00A455BE" w:rsidRPr="00C95B14" w:rsidRDefault="00A455BE" w:rsidP="00A455BE">
      <w:pPr>
        <w:pStyle w:val="Quote"/>
        <w:tabs>
          <w:tab w:val="left" w:pos="993"/>
          <w:tab w:val="left" w:pos="1418"/>
        </w:tabs>
        <w:spacing w:before="0"/>
        <w:ind w:left="1843" w:hanging="425"/>
        <w:rPr>
          <w:sz w:val="20"/>
        </w:rPr>
      </w:pPr>
      <w:r w:rsidRPr="00C95B14">
        <w:rPr>
          <w:sz w:val="20"/>
        </w:rPr>
        <w:t>(i)</w:t>
      </w:r>
      <w:r w:rsidRPr="00C95B14">
        <w:rPr>
          <w:sz w:val="20"/>
        </w:rPr>
        <w:tab/>
        <w:t xml:space="preserve">the impairment is of itself sufficient to prevent the person from undertaking a training activity during the next 2 years; or </w:t>
      </w:r>
    </w:p>
    <w:p w:rsidR="00A455BE" w:rsidRPr="00C95B14" w:rsidRDefault="00A455BE" w:rsidP="00A455BE">
      <w:pPr>
        <w:pStyle w:val="Quote"/>
        <w:tabs>
          <w:tab w:val="left" w:pos="993"/>
          <w:tab w:val="left" w:pos="1843"/>
        </w:tabs>
        <w:spacing w:before="0"/>
        <w:ind w:left="1843" w:hanging="425"/>
        <w:rPr>
          <w:sz w:val="20"/>
        </w:rPr>
      </w:pPr>
      <w:r w:rsidRPr="00C95B14">
        <w:rPr>
          <w:sz w:val="20"/>
        </w:rPr>
        <w:t>(ii)</w:t>
      </w:r>
      <w:r w:rsidRPr="00C95B14">
        <w:rPr>
          <w:sz w:val="20"/>
        </w:rPr>
        <w:tab/>
        <w:t xml:space="preserve">if the impairment does not prevent the person from undertaking a training activity--such activity is unlikely (because of the impairment) to enable the person to do any work independently of a program of support within the next 2 years. </w:t>
      </w:r>
    </w:p>
    <w:p w:rsidR="00A455BE" w:rsidRPr="00DE5E71" w:rsidRDefault="00A455BE" w:rsidP="00A455BE">
      <w:pPr>
        <w:pStyle w:val="Quote"/>
        <w:tabs>
          <w:tab w:val="left" w:pos="993"/>
          <w:tab w:val="left" w:pos="1418"/>
          <w:tab w:val="left" w:pos="1843"/>
        </w:tabs>
        <w:spacing w:before="0"/>
        <w:ind w:left="567"/>
        <w:rPr>
          <w:sz w:val="18"/>
          <w:szCs w:val="18"/>
        </w:rPr>
      </w:pPr>
      <w:r w:rsidRPr="00DE5E71">
        <w:rPr>
          <w:sz w:val="18"/>
          <w:szCs w:val="18"/>
        </w:rPr>
        <w:t xml:space="preserve">Note:  For </w:t>
      </w:r>
      <w:r w:rsidRPr="00DE5E71">
        <w:rPr>
          <w:b/>
          <w:sz w:val="18"/>
          <w:szCs w:val="18"/>
        </w:rPr>
        <w:t>work</w:t>
      </w:r>
      <w:r w:rsidRPr="00DE5E71">
        <w:rPr>
          <w:sz w:val="18"/>
          <w:szCs w:val="18"/>
        </w:rPr>
        <w:t xml:space="preserve"> see subsection (5). </w:t>
      </w:r>
    </w:p>
    <w:p w:rsidR="00A455BE" w:rsidRPr="00C95B14" w:rsidRDefault="00A455BE" w:rsidP="00A455BE">
      <w:pPr>
        <w:pStyle w:val="Quote"/>
        <w:tabs>
          <w:tab w:val="left" w:pos="993"/>
          <w:tab w:val="left" w:pos="1418"/>
          <w:tab w:val="left" w:pos="1843"/>
        </w:tabs>
        <w:ind w:left="992" w:hanging="425"/>
        <w:rPr>
          <w:sz w:val="20"/>
        </w:rPr>
      </w:pPr>
      <w:r w:rsidRPr="00C95B14">
        <w:rPr>
          <w:sz w:val="20"/>
        </w:rPr>
        <w:t>(3)</w:t>
      </w:r>
      <w:r w:rsidRPr="00C95B14">
        <w:rPr>
          <w:sz w:val="20"/>
        </w:rPr>
        <w:tab/>
        <w:t xml:space="preserve">In deciding whether or not a person has a </w:t>
      </w:r>
      <w:r w:rsidRPr="00C95B14">
        <w:rPr>
          <w:b/>
          <w:sz w:val="20"/>
        </w:rPr>
        <w:t>continuing inability to work</w:t>
      </w:r>
      <w:r w:rsidRPr="00C95B14">
        <w:rPr>
          <w:sz w:val="20"/>
        </w:rPr>
        <w:t xml:space="preserve"> because of an impairment, the Secretary is not to have regard to:  </w:t>
      </w:r>
    </w:p>
    <w:p w:rsidR="00A455BE" w:rsidRPr="00C95B14" w:rsidRDefault="00A455BE" w:rsidP="00A455BE">
      <w:pPr>
        <w:pStyle w:val="Quote"/>
        <w:tabs>
          <w:tab w:val="left" w:pos="993"/>
          <w:tab w:val="left" w:pos="1418"/>
          <w:tab w:val="left" w:pos="1843"/>
        </w:tabs>
        <w:spacing w:before="0"/>
        <w:ind w:left="993"/>
        <w:rPr>
          <w:sz w:val="20"/>
        </w:rPr>
      </w:pPr>
      <w:r w:rsidRPr="00C95B14">
        <w:rPr>
          <w:sz w:val="20"/>
        </w:rPr>
        <w:t xml:space="preserve">(a) </w:t>
      </w:r>
      <w:r>
        <w:rPr>
          <w:sz w:val="20"/>
        </w:rPr>
        <w:tab/>
      </w:r>
      <w:r w:rsidRPr="00C95B14">
        <w:rPr>
          <w:sz w:val="20"/>
        </w:rPr>
        <w:t xml:space="preserve">the availability to the person of a training activity; or </w:t>
      </w:r>
    </w:p>
    <w:p w:rsidR="00A455BE" w:rsidRPr="00C95B14" w:rsidRDefault="00A455BE" w:rsidP="00A455BE">
      <w:pPr>
        <w:pStyle w:val="Quote"/>
        <w:tabs>
          <w:tab w:val="left" w:pos="993"/>
          <w:tab w:val="left" w:pos="1418"/>
          <w:tab w:val="left" w:pos="1843"/>
        </w:tabs>
        <w:spacing w:before="0"/>
        <w:ind w:left="1418" w:hanging="425"/>
        <w:rPr>
          <w:sz w:val="20"/>
        </w:rPr>
      </w:pPr>
      <w:r w:rsidRPr="00C95B14">
        <w:rPr>
          <w:sz w:val="20"/>
        </w:rPr>
        <w:t xml:space="preserve">(b) </w:t>
      </w:r>
      <w:r>
        <w:rPr>
          <w:sz w:val="20"/>
        </w:rPr>
        <w:tab/>
      </w:r>
      <w:r w:rsidRPr="00C95B14">
        <w:rPr>
          <w:sz w:val="20"/>
        </w:rPr>
        <w:t xml:space="preserve">the availability to the person of work in the person's locally accessible labour market. </w:t>
      </w:r>
    </w:p>
    <w:p w:rsidR="00A455BE" w:rsidRPr="00C95B14" w:rsidRDefault="00A455BE" w:rsidP="00A455BE">
      <w:pPr>
        <w:pStyle w:val="Quote"/>
        <w:tabs>
          <w:tab w:val="left" w:pos="993"/>
          <w:tab w:val="left" w:pos="1418"/>
          <w:tab w:val="left" w:pos="1843"/>
        </w:tabs>
        <w:ind w:left="567"/>
        <w:rPr>
          <w:sz w:val="20"/>
        </w:rPr>
      </w:pPr>
      <w:r w:rsidRPr="00C95B14">
        <w:rPr>
          <w:sz w:val="20"/>
        </w:rPr>
        <w:t>(3A) If:</w:t>
      </w:r>
    </w:p>
    <w:p w:rsidR="00A455BE" w:rsidRPr="00C95B14" w:rsidRDefault="00A455BE" w:rsidP="00911471">
      <w:pPr>
        <w:pStyle w:val="Quote"/>
        <w:numPr>
          <w:ilvl w:val="0"/>
          <w:numId w:val="10"/>
        </w:numPr>
        <w:tabs>
          <w:tab w:val="left" w:pos="993"/>
          <w:tab w:val="left" w:pos="1418"/>
          <w:tab w:val="left" w:pos="1843"/>
        </w:tabs>
        <w:spacing w:before="0"/>
        <w:rPr>
          <w:sz w:val="20"/>
        </w:rPr>
      </w:pPr>
      <w:r w:rsidRPr="00C95B14">
        <w:rPr>
          <w:sz w:val="20"/>
        </w:rPr>
        <w:t>a person is receiving disability support pension; and</w:t>
      </w:r>
    </w:p>
    <w:p w:rsidR="00A455BE" w:rsidRPr="00C95B14" w:rsidRDefault="00A455BE" w:rsidP="00911471">
      <w:pPr>
        <w:pStyle w:val="Quote"/>
        <w:numPr>
          <w:ilvl w:val="0"/>
          <w:numId w:val="10"/>
        </w:numPr>
        <w:tabs>
          <w:tab w:val="left" w:pos="993"/>
          <w:tab w:val="left" w:pos="1418"/>
          <w:tab w:val="left" w:pos="1843"/>
        </w:tabs>
        <w:spacing w:before="0"/>
        <w:rPr>
          <w:sz w:val="20"/>
        </w:rPr>
      </w:pPr>
      <w:r w:rsidRPr="00C95B14">
        <w:rPr>
          <w:sz w:val="20"/>
        </w:rPr>
        <w:t>the Secretary gives the person a notice under subsection 63(2) or (4) of the Administration Act in relation to assessing the person’s qualification for that pension;</w:t>
      </w:r>
    </w:p>
    <w:p w:rsidR="00A455BE" w:rsidRPr="00C95B14" w:rsidRDefault="00A455BE" w:rsidP="00A455BE">
      <w:pPr>
        <w:pStyle w:val="Quote"/>
        <w:tabs>
          <w:tab w:val="left" w:pos="993"/>
          <w:tab w:val="left" w:pos="1418"/>
          <w:tab w:val="left" w:pos="1843"/>
        </w:tabs>
        <w:spacing w:before="0"/>
        <w:ind w:left="987"/>
        <w:rPr>
          <w:sz w:val="20"/>
        </w:rPr>
      </w:pPr>
      <w:r w:rsidRPr="00C95B14">
        <w:rPr>
          <w:sz w:val="20"/>
        </w:rPr>
        <w:t>then paragraph (2)(aa) of this section does not apply in relation to that assessment.</w:t>
      </w:r>
    </w:p>
    <w:p w:rsidR="00A455BE" w:rsidRPr="00C95B14" w:rsidRDefault="00A455BE" w:rsidP="00A455BE">
      <w:pPr>
        <w:pStyle w:val="Quote"/>
        <w:keepNext/>
        <w:tabs>
          <w:tab w:val="left" w:pos="993"/>
          <w:tab w:val="left" w:pos="1418"/>
          <w:tab w:val="left" w:pos="1843"/>
        </w:tabs>
        <w:rPr>
          <w:sz w:val="20"/>
        </w:rPr>
      </w:pPr>
      <w:r w:rsidRPr="00C95B14">
        <w:rPr>
          <w:sz w:val="20"/>
        </w:rPr>
        <w:t>Severe impairment</w:t>
      </w:r>
    </w:p>
    <w:p w:rsidR="00A455BE" w:rsidRPr="00C95B14" w:rsidRDefault="00A455BE" w:rsidP="00A455BE">
      <w:pPr>
        <w:pStyle w:val="Quote"/>
        <w:keepNext/>
        <w:tabs>
          <w:tab w:val="left" w:pos="1134"/>
          <w:tab w:val="left" w:pos="1843"/>
        </w:tabs>
        <w:ind w:left="1134" w:hanging="425"/>
        <w:rPr>
          <w:sz w:val="20"/>
        </w:rPr>
      </w:pPr>
      <w:r w:rsidRPr="00C95B14">
        <w:rPr>
          <w:sz w:val="20"/>
        </w:rPr>
        <w:t>(3B)</w:t>
      </w:r>
      <w:r w:rsidRPr="00C95B14">
        <w:rPr>
          <w:sz w:val="20"/>
        </w:rPr>
        <w:tab/>
        <w:t xml:space="preserve">A person’s impairment is a </w:t>
      </w:r>
      <w:r w:rsidRPr="00C95B14">
        <w:rPr>
          <w:b/>
          <w:sz w:val="20"/>
        </w:rPr>
        <w:t>severe impairment</w:t>
      </w:r>
      <w:r w:rsidRPr="00C95B14">
        <w:rPr>
          <w:sz w:val="20"/>
        </w:rPr>
        <w:t xml:space="preserve"> if the person’s impairment is of 20 points or more under the Impairment Tables, of which 20 points or more are under a single Impairment Table.</w:t>
      </w:r>
    </w:p>
    <w:p w:rsidR="00A455BE" w:rsidRDefault="00A455BE" w:rsidP="00A455BE">
      <w:pPr>
        <w:pStyle w:val="Quote"/>
        <w:spacing w:before="0"/>
        <w:ind w:left="1701" w:hanging="992"/>
        <w:rPr>
          <w:sz w:val="18"/>
          <w:szCs w:val="18"/>
        </w:rPr>
      </w:pPr>
      <w:r>
        <w:rPr>
          <w:sz w:val="18"/>
          <w:szCs w:val="18"/>
        </w:rPr>
        <w:t>Example 1:</w:t>
      </w:r>
      <w:r>
        <w:rPr>
          <w:sz w:val="18"/>
          <w:szCs w:val="18"/>
        </w:rPr>
        <w:tab/>
        <w:t>A person’s impairment is of 30 points under the Impairment Tables, made up of 20 points under one Impairment Table and 10 points under another Impairment Table.  The person has a severe impairment</w:t>
      </w:r>
      <w:r w:rsidRPr="00DE5E71">
        <w:rPr>
          <w:sz w:val="18"/>
          <w:szCs w:val="18"/>
        </w:rPr>
        <w:t>.</w:t>
      </w:r>
    </w:p>
    <w:p w:rsidR="00A455BE" w:rsidRDefault="00A455BE" w:rsidP="00A455BE">
      <w:pPr>
        <w:pStyle w:val="Quote"/>
        <w:spacing w:before="0"/>
        <w:ind w:left="1701" w:hanging="992"/>
        <w:rPr>
          <w:sz w:val="18"/>
          <w:szCs w:val="18"/>
        </w:rPr>
      </w:pPr>
      <w:r>
        <w:rPr>
          <w:sz w:val="18"/>
          <w:szCs w:val="18"/>
        </w:rPr>
        <w:t>Example 2:</w:t>
      </w:r>
      <w:r>
        <w:rPr>
          <w:sz w:val="18"/>
          <w:szCs w:val="18"/>
        </w:rPr>
        <w:tab/>
        <w:t>A person’s impairment is of 40 points under the Impairment Tables, made up of 20 points under one Impairment Table and 20 points under another Impairment Table.  The person has a severe impairment.</w:t>
      </w:r>
    </w:p>
    <w:p w:rsidR="00A455BE" w:rsidRPr="00DE5E71" w:rsidRDefault="00A455BE" w:rsidP="00A455BE">
      <w:pPr>
        <w:pStyle w:val="Quote"/>
        <w:spacing w:before="0"/>
        <w:ind w:left="1701" w:hanging="992"/>
        <w:rPr>
          <w:sz w:val="18"/>
          <w:szCs w:val="18"/>
        </w:rPr>
      </w:pPr>
      <w:r>
        <w:rPr>
          <w:sz w:val="18"/>
          <w:szCs w:val="18"/>
        </w:rPr>
        <w:t>Example 3:</w:t>
      </w:r>
      <w:r>
        <w:rPr>
          <w:sz w:val="18"/>
          <w:szCs w:val="18"/>
        </w:rPr>
        <w:tab/>
        <w:t xml:space="preserve">A person’s impairment is of 20 points under the Impairment Tables, made up of 10 points each under 2 separate Impairment Tables.  The person does not have a severe impairment. </w:t>
      </w:r>
      <w:r w:rsidRPr="00DE5E71">
        <w:rPr>
          <w:sz w:val="18"/>
          <w:szCs w:val="18"/>
        </w:rPr>
        <w:t xml:space="preserve"> </w:t>
      </w:r>
    </w:p>
    <w:p w:rsidR="00A455BE" w:rsidRPr="00C95B14" w:rsidRDefault="00A455BE" w:rsidP="00A455BE">
      <w:pPr>
        <w:pStyle w:val="Quote"/>
        <w:keepNext/>
        <w:keepLines/>
        <w:tabs>
          <w:tab w:val="left" w:pos="993"/>
          <w:tab w:val="left" w:pos="1418"/>
          <w:tab w:val="left" w:pos="1843"/>
        </w:tabs>
        <w:rPr>
          <w:sz w:val="20"/>
        </w:rPr>
      </w:pPr>
      <w:r w:rsidRPr="00C95B14">
        <w:rPr>
          <w:sz w:val="20"/>
        </w:rPr>
        <w:t>Active participation in a program of support</w:t>
      </w:r>
    </w:p>
    <w:p w:rsidR="00A455BE" w:rsidRPr="00C95B14" w:rsidRDefault="00A455BE" w:rsidP="00A455BE">
      <w:pPr>
        <w:pStyle w:val="Quote"/>
        <w:keepNext/>
        <w:keepLines/>
        <w:tabs>
          <w:tab w:val="left" w:pos="1134"/>
          <w:tab w:val="left" w:pos="1843"/>
        </w:tabs>
        <w:ind w:left="1134" w:hanging="425"/>
        <w:rPr>
          <w:sz w:val="20"/>
        </w:rPr>
      </w:pPr>
      <w:r w:rsidRPr="00C95B14">
        <w:rPr>
          <w:sz w:val="20"/>
        </w:rPr>
        <w:t>(3C)</w:t>
      </w:r>
      <w:r>
        <w:rPr>
          <w:sz w:val="20"/>
        </w:rPr>
        <w:tab/>
      </w:r>
      <w:r w:rsidRPr="00C95B14">
        <w:rPr>
          <w:sz w:val="20"/>
        </w:rPr>
        <w:t xml:space="preserve">A person has </w:t>
      </w:r>
      <w:r w:rsidRPr="00C95B14">
        <w:rPr>
          <w:b/>
          <w:sz w:val="20"/>
        </w:rPr>
        <w:t>actively participated</w:t>
      </w:r>
      <w:r w:rsidRPr="00C95B14">
        <w:rPr>
          <w:sz w:val="20"/>
        </w:rPr>
        <w:t xml:space="preserve"> in a program of support if the person has satisfied the requirements specified in a legislative instrument made by the Minister for the purposes of this subsection.</w:t>
      </w:r>
    </w:p>
    <w:p w:rsidR="00A455BE" w:rsidRPr="00C95B14" w:rsidRDefault="00A455BE" w:rsidP="00A455BE">
      <w:pPr>
        <w:pStyle w:val="Quote"/>
        <w:tabs>
          <w:tab w:val="left" w:pos="1134"/>
          <w:tab w:val="left" w:pos="1843"/>
        </w:tabs>
        <w:ind w:left="1134" w:hanging="425"/>
        <w:rPr>
          <w:sz w:val="20"/>
        </w:rPr>
      </w:pPr>
      <w:r w:rsidRPr="00C95B14">
        <w:rPr>
          <w:sz w:val="20"/>
        </w:rPr>
        <w:t>(3D)</w:t>
      </w:r>
      <w:r>
        <w:rPr>
          <w:sz w:val="20"/>
        </w:rPr>
        <w:tab/>
      </w:r>
      <w:r w:rsidRPr="00C95B14">
        <w:rPr>
          <w:sz w:val="20"/>
        </w:rPr>
        <w:t xml:space="preserve">The Secretary must comply with any guidelines in force under subsection (3E) in </w:t>
      </w:r>
      <w:r w:rsidRPr="00CE03A3">
        <w:t>deciding</w:t>
      </w:r>
      <w:r w:rsidRPr="00C95B14">
        <w:rPr>
          <w:sz w:val="20"/>
        </w:rPr>
        <w:t xml:space="preserve"> whether the Secretary is satisfied as mentioned in paragraph (2)(aa).</w:t>
      </w:r>
    </w:p>
    <w:p w:rsidR="00A455BE" w:rsidRPr="00C95B14" w:rsidRDefault="00A455BE" w:rsidP="00A455BE">
      <w:pPr>
        <w:pStyle w:val="Quote"/>
        <w:tabs>
          <w:tab w:val="left" w:pos="1134"/>
          <w:tab w:val="left" w:pos="1843"/>
        </w:tabs>
        <w:ind w:left="1134" w:hanging="425"/>
        <w:rPr>
          <w:sz w:val="20"/>
        </w:rPr>
      </w:pPr>
      <w:r w:rsidRPr="00C95B14">
        <w:rPr>
          <w:sz w:val="20"/>
        </w:rPr>
        <w:lastRenderedPageBreak/>
        <w:t>(3E)</w:t>
      </w:r>
      <w:r>
        <w:rPr>
          <w:sz w:val="20"/>
        </w:rPr>
        <w:tab/>
      </w:r>
      <w:r w:rsidRPr="00C95B14">
        <w:rPr>
          <w:sz w:val="20"/>
        </w:rPr>
        <w:t>The Minister may, by legislative instrument, make guidelines for the purposes of subsection (3D).</w:t>
      </w:r>
    </w:p>
    <w:p w:rsidR="00A455BE" w:rsidRPr="00C95B14" w:rsidRDefault="00A455BE" w:rsidP="00A455BE">
      <w:pPr>
        <w:pStyle w:val="Quote"/>
        <w:keepNext/>
        <w:tabs>
          <w:tab w:val="left" w:pos="993"/>
          <w:tab w:val="left" w:pos="1418"/>
          <w:tab w:val="left" w:pos="1843"/>
        </w:tabs>
        <w:rPr>
          <w:sz w:val="20"/>
        </w:rPr>
      </w:pPr>
      <w:r w:rsidRPr="00C95B14">
        <w:rPr>
          <w:sz w:val="20"/>
        </w:rPr>
        <w:t>Doing work independently of a program of support</w:t>
      </w:r>
    </w:p>
    <w:p w:rsidR="00A455BE" w:rsidRPr="00C95B14" w:rsidRDefault="00A455BE" w:rsidP="00A455BE">
      <w:pPr>
        <w:pStyle w:val="Quote"/>
        <w:keepNext/>
        <w:tabs>
          <w:tab w:val="left" w:pos="1134"/>
          <w:tab w:val="left" w:pos="1843"/>
        </w:tabs>
        <w:ind w:left="1134" w:hanging="425"/>
        <w:rPr>
          <w:sz w:val="20"/>
        </w:rPr>
      </w:pPr>
      <w:r w:rsidRPr="00C95B14">
        <w:rPr>
          <w:sz w:val="20"/>
        </w:rPr>
        <w:t>(4)</w:t>
      </w:r>
      <w:r w:rsidRPr="00C95B14">
        <w:rPr>
          <w:sz w:val="20"/>
        </w:rPr>
        <w:tab/>
        <w:t xml:space="preserve">A person is treated as doing work </w:t>
      </w:r>
      <w:r w:rsidRPr="00C95B14">
        <w:rPr>
          <w:b/>
          <w:sz w:val="20"/>
        </w:rPr>
        <w:t>independently of a program of support</w:t>
      </w:r>
      <w:r w:rsidRPr="00C95B14">
        <w:rPr>
          <w:sz w:val="20"/>
        </w:rPr>
        <w:t xml:space="preserve"> if the Secretary is satisfied that to do the work the person:  </w:t>
      </w:r>
    </w:p>
    <w:p w:rsidR="00A455BE" w:rsidRPr="00C95B14" w:rsidRDefault="00A455BE" w:rsidP="00A455BE">
      <w:pPr>
        <w:pStyle w:val="Quote"/>
        <w:tabs>
          <w:tab w:val="left" w:pos="1418"/>
          <w:tab w:val="left" w:pos="1843"/>
        </w:tabs>
        <w:spacing w:before="0"/>
        <w:ind w:left="1134"/>
        <w:rPr>
          <w:sz w:val="20"/>
        </w:rPr>
      </w:pPr>
      <w:r w:rsidRPr="00C95B14">
        <w:rPr>
          <w:sz w:val="20"/>
        </w:rPr>
        <w:t>(a)</w:t>
      </w:r>
      <w:r>
        <w:rPr>
          <w:sz w:val="20"/>
        </w:rPr>
        <w:tab/>
      </w:r>
      <w:r w:rsidRPr="00C95B14">
        <w:rPr>
          <w:sz w:val="20"/>
        </w:rPr>
        <w:t>is unlikely to need a program of support; or</w:t>
      </w:r>
    </w:p>
    <w:p w:rsidR="00A455BE" w:rsidRPr="00C95B14" w:rsidRDefault="00A455BE" w:rsidP="00A455BE">
      <w:pPr>
        <w:pStyle w:val="Quote"/>
        <w:tabs>
          <w:tab w:val="left" w:pos="1418"/>
          <w:tab w:val="left" w:pos="1843"/>
        </w:tabs>
        <w:spacing w:before="0"/>
        <w:ind w:left="1134"/>
        <w:rPr>
          <w:sz w:val="20"/>
        </w:rPr>
      </w:pPr>
      <w:r w:rsidRPr="00C95B14">
        <w:rPr>
          <w:sz w:val="20"/>
        </w:rPr>
        <w:t>(b)</w:t>
      </w:r>
      <w:r>
        <w:rPr>
          <w:sz w:val="20"/>
        </w:rPr>
        <w:tab/>
      </w:r>
      <w:r w:rsidRPr="00C95B14">
        <w:rPr>
          <w:sz w:val="20"/>
        </w:rPr>
        <w:t xml:space="preserve">is likely to need a program of support provided occasionally; or </w:t>
      </w:r>
    </w:p>
    <w:p w:rsidR="00A455BE" w:rsidRPr="00C95B14" w:rsidRDefault="00A455BE" w:rsidP="00A455BE">
      <w:pPr>
        <w:pStyle w:val="Quote"/>
        <w:tabs>
          <w:tab w:val="left" w:pos="1418"/>
          <w:tab w:val="left" w:pos="1843"/>
        </w:tabs>
        <w:spacing w:before="0"/>
        <w:ind w:left="1134"/>
        <w:rPr>
          <w:sz w:val="20"/>
        </w:rPr>
      </w:pPr>
      <w:r w:rsidRPr="00C95B14">
        <w:rPr>
          <w:sz w:val="20"/>
        </w:rPr>
        <w:t>(c)</w:t>
      </w:r>
      <w:r>
        <w:rPr>
          <w:sz w:val="20"/>
        </w:rPr>
        <w:tab/>
      </w:r>
      <w:r w:rsidRPr="00C95B14">
        <w:rPr>
          <w:sz w:val="20"/>
        </w:rPr>
        <w:t xml:space="preserve">is likely to need a program of support that is not ongoing. </w:t>
      </w:r>
    </w:p>
    <w:p w:rsidR="00A455BE" w:rsidRPr="00C95B14" w:rsidRDefault="00A455BE" w:rsidP="00A455BE">
      <w:pPr>
        <w:pStyle w:val="Quote"/>
        <w:tabs>
          <w:tab w:val="left" w:pos="1418"/>
          <w:tab w:val="left" w:pos="1843"/>
        </w:tabs>
        <w:ind w:left="1418" w:hanging="709"/>
        <w:rPr>
          <w:sz w:val="20"/>
        </w:rPr>
      </w:pPr>
      <w:r w:rsidRPr="00C95B14">
        <w:rPr>
          <w:sz w:val="20"/>
        </w:rPr>
        <w:t>Other definitions</w:t>
      </w:r>
    </w:p>
    <w:p w:rsidR="00A455BE" w:rsidRPr="00C95B14" w:rsidRDefault="00A455BE" w:rsidP="00A455BE">
      <w:pPr>
        <w:pStyle w:val="Quote"/>
        <w:tabs>
          <w:tab w:val="left" w:pos="1418"/>
          <w:tab w:val="left" w:pos="1843"/>
        </w:tabs>
        <w:ind w:left="1134" w:hanging="425"/>
        <w:rPr>
          <w:sz w:val="20"/>
        </w:rPr>
      </w:pPr>
      <w:r w:rsidRPr="00C95B14">
        <w:rPr>
          <w:sz w:val="20"/>
        </w:rPr>
        <w:t>(5)</w:t>
      </w:r>
      <w:r w:rsidRPr="00C95B14">
        <w:rPr>
          <w:sz w:val="20"/>
        </w:rPr>
        <w:tab/>
        <w:t xml:space="preserve">In this section:  </w:t>
      </w:r>
    </w:p>
    <w:p w:rsidR="00A455BE" w:rsidRPr="00C95B14" w:rsidRDefault="00A455BE" w:rsidP="00A455BE">
      <w:pPr>
        <w:pStyle w:val="Quote"/>
        <w:tabs>
          <w:tab w:val="left" w:pos="1134"/>
          <w:tab w:val="left" w:pos="1418"/>
          <w:tab w:val="left" w:pos="1843"/>
        </w:tabs>
        <w:rPr>
          <w:sz w:val="20"/>
        </w:rPr>
      </w:pPr>
      <w:r>
        <w:rPr>
          <w:b/>
          <w:sz w:val="20"/>
        </w:rPr>
        <w:tab/>
      </w:r>
      <w:r w:rsidRPr="00C95B14">
        <w:rPr>
          <w:b/>
          <w:sz w:val="20"/>
        </w:rPr>
        <w:t>program of support</w:t>
      </w:r>
      <w:r w:rsidRPr="00C95B14">
        <w:rPr>
          <w:sz w:val="20"/>
        </w:rPr>
        <w:t xml:space="preserve"> means a program that:</w:t>
      </w:r>
    </w:p>
    <w:p w:rsidR="00A455BE" w:rsidRPr="00C95B14" w:rsidRDefault="00A455BE" w:rsidP="00911471">
      <w:pPr>
        <w:pStyle w:val="Quote"/>
        <w:numPr>
          <w:ilvl w:val="0"/>
          <w:numId w:val="11"/>
        </w:numPr>
        <w:spacing w:before="0"/>
        <w:ind w:left="1418" w:hanging="284"/>
        <w:rPr>
          <w:sz w:val="20"/>
        </w:rPr>
      </w:pPr>
      <w:r w:rsidRPr="00C95B14">
        <w:rPr>
          <w:sz w:val="20"/>
        </w:rPr>
        <w:t xml:space="preserve">is designed to assist persons to prepare for, find </w:t>
      </w:r>
      <w:r>
        <w:rPr>
          <w:sz w:val="20"/>
        </w:rPr>
        <w:t>or</w:t>
      </w:r>
      <w:r w:rsidRPr="00C95B14">
        <w:rPr>
          <w:sz w:val="20"/>
        </w:rPr>
        <w:t xml:space="preserve"> maintain work; and</w:t>
      </w:r>
    </w:p>
    <w:p w:rsidR="00A455BE" w:rsidRPr="00C95B14" w:rsidRDefault="00CD1BA5" w:rsidP="00911471">
      <w:pPr>
        <w:pStyle w:val="Quote"/>
        <w:numPr>
          <w:ilvl w:val="0"/>
          <w:numId w:val="11"/>
        </w:numPr>
        <w:spacing w:before="0"/>
        <w:ind w:left="1418" w:hanging="284"/>
        <w:rPr>
          <w:sz w:val="20"/>
        </w:rPr>
      </w:pPr>
      <w:r>
        <w:rPr>
          <w:sz w:val="20"/>
        </w:rPr>
        <w:t>either:</w:t>
      </w:r>
    </w:p>
    <w:p w:rsidR="00A455BE" w:rsidRPr="00C95B14" w:rsidRDefault="00A455BE" w:rsidP="00A455BE">
      <w:pPr>
        <w:pStyle w:val="Quote"/>
        <w:spacing w:before="0"/>
        <w:ind w:left="1843" w:hanging="425"/>
        <w:rPr>
          <w:sz w:val="20"/>
        </w:rPr>
      </w:pPr>
      <w:r w:rsidRPr="00C95B14">
        <w:rPr>
          <w:sz w:val="20"/>
        </w:rPr>
        <w:t>(i)</w:t>
      </w:r>
      <w:r w:rsidRPr="00C95B14">
        <w:rPr>
          <w:sz w:val="20"/>
        </w:rPr>
        <w:tab/>
        <w:t>is funded(wholly or partly</w:t>
      </w:r>
      <w:r>
        <w:rPr>
          <w:sz w:val="20"/>
        </w:rPr>
        <w:t>)</w:t>
      </w:r>
      <w:r w:rsidRPr="00C95B14">
        <w:rPr>
          <w:sz w:val="20"/>
        </w:rPr>
        <w:t xml:space="preserve"> by the Commonwealth; or</w:t>
      </w:r>
    </w:p>
    <w:p w:rsidR="00A455BE" w:rsidRPr="00C95B14" w:rsidRDefault="00A455BE" w:rsidP="00A455BE">
      <w:pPr>
        <w:pStyle w:val="Quote"/>
        <w:spacing w:before="0"/>
        <w:ind w:left="1843" w:hanging="425"/>
        <w:rPr>
          <w:sz w:val="20"/>
        </w:rPr>
      </w:pPr>
      <w:r w:rsidRPr="00C95B14">
        <w:rPr>
          <w:sz w:val="20"/>
        </w:rPr>
        <w:t>(ii)</w:t>
      </w:r>
      <w:r w:rsidRPr="00C95B14">
        <w:rPr>
          <w:sz w:val="20"/>
        </w:rPr>
        <w:tab/>
        <w:t>is of a type that the Secretary considers is similar to a program that is designed to assist persons to prepare for, find or maintain work and that is funded (wholly or partly) by the Commonwealth.</w:t>
      </w:r>
    </w:p>
    <w:p w:rsidR="00A455BE" w:rsidRPr="00C95B14" w:rsidRDefault="00A455BE" w:rsidP="00A455BE">
      <w:pPr>
        <w:pStyle w:val="Quote"/>
        <w:tabs>
          <w:tab w:val="left" w:pos="1134"/>
          <w:tab w:val="left" w:pos="1418"/>
          <w:tab w:val="left" w:pos="1843"/>
        </w:tabs>
        <w:ind w:left="1134" w:hanging="425"/>
        <w:rPr>
          <w:sz w:val="20"/>
        </w:rPr>
      </w:pPr>
      <w:r>
        <w:rPr>
          <w:b/>
          <w:sz w:val="20"/>
        </w:rPr>
        <w:tab/>
      </w:r>
      <w:r w:rsidRPr="00C95B14">
        <w:rPr>
          <w:b/>
          <w:sz w:val="20"/>
        </w:rPr>
        <w:t>training activity</w:t>
      </w:r>
      <w:r w:rsidRPr="00C95B14">
        <w:rPr>
          <w:sz w:val="20"/>
        </w:rPr>
        <w:t xml:space="preserve"> means one or more of the following activities, whether or not the activity is designed specifically for people with physical, intellectual or psychiatric impairments:  </w:t>
      </w:r>
    </w:p>
    <w:p w:rsidR="00A455BE" w:rsidRPr="00C95B14" w:rsidRDefault="00A455BE" w:rsidP="00A455BE">
      <w:pPr>
        <w:pStyle w:val="Quote"/>
        <w:tabs>
          <w:tab w:val="left" w:pos="1134"/>
          <w:tab w:val="left" w:pos="1418"/>
          <w:tab w:val="left" w:pos="1843"/>
        </w:tabs>
        <w:spacing w:before="0"/>
        <w:ind w:left="993" w:firstLine="141"/>
        <w:rPr>
          <w:sz w:val="20"/>
        </w:rPr>
      </w:pPr>
      <w:r w:rsidRPr="00C95B14">
        <w:rPr>
          <w:sz w:val="20"/>
        </w:rPr>
        <w:t>(a)</w:t>
      </w:r>
      <w:r>
        <w:rPr>
          <w:sz w:val="20"/>
        </w:rPr>
        <w:tab/>
      </w:r>
      <w:r w:rsidRPr="00C95B14">
        <w:rPr>
          <w:sz w:val="20"/>
        </w:rPr>
        <w:t xml:space="preserve">education; </w:t>
      </w:r>
    </w:p>
    <w:p w:rsidR="00A455BE" w:rsidRPr="00C95B14" w:rsidRDefault="00A455BE" w:rsidP="00A455BE">
      <w:pPr>
        <w:pStyle w:val="Quote"/>
        <w:tabs>
          <w:tab w:val="left" w:pos="1134"/>
          <w:tab w:val="left" w:pos="1418"/>
          <w:tab w:val="left" w:pos="1843"/>
        </w:tabs>
        <w:spacing w:before="0"/>
        <w:ind w:left="993" w:firstLine="141"/>
        <w:rPr>
          <w:sz w:val="20"/>
        </w:rPr>
      </w:pPr>
      <w:r w:rsidRPr="00C95B14">
        <w:rPr>
          <w:sz w:val="20"/>
        </w:rPr>
        <w:t>(b)</w:t>
      </w:r>
      <w:r>
        <w:rPr>
          <w:sz w:val="20"/>
        </w:rPr>
        <w:tab/>
      </w:r>
      <w:r w:rsidRPr="00C95B14">
        <w:rPr>
          <w:sz w:val="20"/>
        </w:rPr>
        <w:t xml:space="preserve">pre-vocational training; </w:t>
      </w:r>
    </w:p>
    <w:p w:rsidR="00A455BE" w:rsidRPr="00C95B14" w:rsidRDefault="00A455BE" w:rsidP="00A455BE">
      <w:pPr>
        <w:pStyle w:val="Quote"/>
        <w:tabs>
          <w:tab w:val="left" w:pos="1134"/>
          <w:tab w:val="left" w:pos="1418"/>
          <w:tab w:val="left" w:pos="1843"/>
        </w:tabs>
        <w:spacing w:before="0"/>
        <w:ind w:left="992" w:firstLine="141"/>
        <w:rPr>
          <w:sz w:val="20"/>
        </w:rPr>
      </w:pPr>
      <w:r w:rsidRPr="00C95B14">
        <w:rPr>
          <w:sz w:val="20"/>
        </w:rPr>
        <w:t>(c)</w:t>
      </w:r>
      <w:r>
        <w:rPr>
          <w:sz w:val="20"/>
        </w:rPr>
        <w:tab/>
      </w:r>
      <w:r w:rsidRPr="00C95B14">
        <w:rPr>
          <w:sz w:val="20"/>
        </w:rPr>
        <w:t xml:space="preserve">vocational training; </w:t>
      </w:r>
    </w:p>
    <w:p w:rsidR="00A455BE" w:rsidRPr="00C95B14" w:rsidRDefault="00A455BE" w:rsidP="00A455BE">
      <w:pPr>
        <w:pStyle w:val="Quote"/>
        <w:tabs>
          <w:tab w:val="left" w:pos="1134"/>
          <w:tab w:val="left" w:pos="1418"/>
          <w:tab w:val="left" w:pos="1843"/>
        </w:tabs>
        <w:spacing w:before="0"/>
        <w:ind w:left="993" w:firstLine="141"/>
        <w:rPr>
          <w:sz w:val="20"/>
        </w:rPr>
      </w:pPr>
      <w:r w:rsidRPr="00C95B14">
        <w:rPr>
          <w:sz w:val="20"/>
        </w:rPr>
        <w:t>(d)</w:t>
      </w:r>
      <w:r>
        <w:rPr>
          <w:sz w:val="20"/>
        </w:rPr>
        <w:tab/>
      </w:r>
      <w:r w:rsidRPr="00C95B14">
        <w:rPr>
          <w:sz w:val="20"/>
        </w:rPr>
        <w:t xml:space="preserve">vocational rehabilitation; </w:t>
      </w:r>
    </w:p>
    <w:p w:rsidR="00A455BE" w:rsidRPr="00C95B14" w:rsidRDefault="00A455BE" w:rsidP="00A455BE">
      <w:pPr>
        <w:pStyle w:val="Quote"/>
        <w:tabs>
          <w:tab w:val="left" w:pos="1134"/>
          <w:tab w:val="left" w:pos="1418"/>
          <w:tab w:val="left" w:pos="1843"/>
        </w:tabs>
        <w:spacing w:before="0"/>
        <w:ind w:left="992" w:firstLine="141"/>
        <w:rPr>
          <w:sz w:val="20"/>
        </w:rPr>
      </w:pPr>
      <w:r w:rsidRPr="00C95B14">
        <w:rPr>
          <w:sz w:val="20"/>
        </w:rPr>
        <w:t>(e)</w:t>
      </w:r>
      <w:r>
        <w:rPr>
          <w:sz w:val="20"/>
        </w:rPr>
        <w:tab/>
      </w:r>
      <w:r w:rsidRPr="00C95B14">
        <w:rPr>
          <w:sz w:val="20"/>
        </w:rPr>
        <w:t xml:space="preserve">work-related training (including on-the-job training). </w:t>
      </w:r>
    </w:p>
    <w:p w:rsidR="00A455BE" w:rsidRPr="00C95B14" w:rsidRDefault="00A455BE" w:rsidP="00A455BE">
      <w:pPr>
        <w:pStyle w:val="Quote"/>
        <w:tabs>
          <w:tab w:val="left" w:pos="1134"/>
          <w:tab w:val="left" w:pos="1418"/>
          <w:tab w:val="left" w:pos="1843"/>
        </w:tabs>
        <w:ind w:left="567"/>
        <w:rPr>
          <w:sz w:val="20"/>
        </w:rPr>
      </w:pPr>
      <w:r>
        <w:rPr>
          <w:b/>
          <w:sz w:val="20"/>
        </w:rPr>
        <w:tab/>
      </w:r>
      <w:r w:rsidRPr="00C95B14">
        <w:rPr>
          <w:b/>
          <w:sz w:val="20"/>
        </w:rPr>
        <w:t>work</w:t>
      </w:r>
      <w:r w:rsidRPr="00C95B14">
        <w:rPr>
          <w:sz w:val="20"/>
        </w:rPr>
        <w:t xml:space="preserve"> means work:  </w:t>
      </w:r>
    </w:p>
    <w:p w:rsidR="00A455BE" w:rsidRPr="00C95B14" w:rsidRDefault="00A455BE" w:rsidP="00A455BE">
      <w:pPr>
        <w:pStyle w:val="Quote"/>
        <w:tabs>
          <w:tab w:val="left" w:pos="1418"/>
          <w:tab w:val="left" w:pos="1843"/>
        </w:tabs>
        <w:spacing w:before="0"/>
        <w:ind w:left="1418" w:hanging="284"/>
        <w:rPr>
          <w:sz w:val="20"/>
        </w:rPr>
      </w:pPr>
      <w:r w:rsidRPr="00C95B14">
        <w:rPr>
          <w:sz w:val="20"/>
        </w:rPr>
        <w:t>(a)</w:t>
      </w:r>
      <w:r>
        <w:rPr>
          <w:sz w:val="20"/>
        </w:rPr>
        <w:tab/>
      </w:r>
      <w:r w:rsidRPr="00C95B14">
        <w:rPr>
          <w:sz w:val="20"/>
        </w:rPr>
        <w:t xml:space="preserve">that is for at least 15 hours per week on wages that are at or above the relevant minimum wage; and </w:t>
      </w:r>
    </w:p>
    <w:p w:rsidR="00A455BE" w:rsidRPr="00C95B14" w:rsidRDefault="00A455BE" w:rsidP="00A455BE">
      <w:pPr>
        <w:pStyle w:val="Quote"/>
        <w:tabs>
          <w:tab w:val="left" w:pos="1418"/>
          <w:tab w:val="left" w:pos="1843"/>
        </w:tabs>
        <w:spacing w:before="0"/>
        <w:ind w:left="1418" w:hanging="284"/>
        <w:rPr>
          <w:sz w:val="20"/>
        </w:rPr>
      </w:pPr>
      <w:r w:rsidRPr="00C95B14">
        <w:rPr>
          <w:sz w:val="20"/>
        </w:rPr>
        <w:t>(b)</w:t>
      </w:r>
      <w:r>
        <w:rPr>
          <w:sz w:val="20"/>
        </w:rPr>
        <w:tab/>
      </w:r>
      <w:r w:rsidRPr="00C95B14">
        <w:rPr>
          <w:sz w:val="20"/>
        </w:rPr>
        <w:t xml:space="preserve">that exists in Australia, even if not within the person's locally accessible labour market. </w:t>
      </w:r>
    </w:p>
    <w:p w:rsidR="00000ABB" w:rsidRDefault="00CD1BA5" w:rsidP="00000ABB">
      <w:pPr>
        <w:pStyle w:val="Quote"/>
      </w:pPr>
      <w:r>
        <w:t>…”</w:t>
      </w:r>
    </w:p>
    <w:p w:rsidR="00911471" w:rsidRDefault="00911471" w:rsidP="00911471">
      <w:pPr>
        <w:pStyle w:val="ListNumber"/>
        <w:numPr>
          <w:ilvl w:val="0"/>
          <w:numId w:val="5"/>
        </w:numPr>
        <w:rPr>
          <w:lang w:eastAsia="en-AU"/>
        </w:rPr>
      </w:pPr>
      <w:r>
        <w:rPr>
          <w:lang w:eastAsia="en-AU"/>
        </w:rPr>
        <w:t>Also relevant in this case is s 42</w:t>
      </w:r>
      <w:r w:rsidR="00596579">
        <w:rPr>
          <w:lang w:eastAsia="en-AU"/>
        </w:rPr>
        <w:t xml:space="preserve"> of</w:t>
      </w:r>
      <w:r>
        <w:rPr>
          <w:lang w:eastAsia="en-AU"/>
        </w:rPr>
        <w:t>, and clauses 3 and 4(1) of Schedule 2 to</w:t>
      </w:r>
      <w:r w:rsidR="00596579">
        <w:rPr>
          <w:lang w:eastAsia="en-AU"/>
        </w:rPr>
        <w:t>,</w:t>
      </w:r>
      <w:r>
        <w:rPr>
          <w:lang w:eastAsia="en-AU"/>
        </w:rPr>
        <w:t xml:space="preserve"> the Administration Act.  Where a pers</w:t>
      </w:r>
      <w:r w:rsidR="00ED4ACA">
        <w:rPr>
          <w:lang w:eastAsia="en-AU"/>
        </w:rPr>
        <w:t>on makes a claim for DSP, cl</w:t>
      </w:r>
      <w:r>
        <w:rPr>
          <w:lang w:eastAsia="en-AU"/>
        </w:rPr>
        <w:t xml:space="preserve"> 3 in Schedule 2 provides the general rule for a start date as the day on which the claim is made.  Otherwise, a person’s qualification for DSP is to be considered during the ensuing 13 weeks from the date when the claim is</w:t>
      </w:r>
      <w:r w:rsidR="00ED4ACA">
        <w:rPr>
          <w:lang w:eastAsia="en-AU"/>
        </w:rPr>
        <w:t xml:space="preserve"> made, in accordance with cl</w:t>
      </w:r>
      <w:r>
        <w:rPr>
          <w:lang w:eastAsia="en-AU"/>
        </w:rPr>
        <w:t xml:space="preserve"> 4(1) in Schedule 2 to the Administration Act.  The period covered from the date the claim is made and the </w:t>
      </w:r>
      <w:r w:rsidR="00596579">
        <w:rPr>
          <w:lang w:eastAsia="en-AU"/>
        </w:rPr>
        <w:t>e</w:t>
      </w:r>
      <w:r>
        <w:rPr>
          <w:lang w:eastAsia="en-AU"/>
        </w:rPr>
        <w:t>nsuing 13 weeks thereafter is the “</w:t>
      </w:r>
      <w:r w:rsidR="00596579">
        <w:rPr>
          <w:lang w:eastAsia="en-AU"/>
        </w:rPr>
        <w:t>R</w:t>
      </w:r>
      <w:r>
        <w:rPr>
          <w:lang w:eastAsia="en-AU"/>
        </w:rPr>
        <w:t xml:space="preserve">elevant </w:t>
      </w:r>
      <w:r w:rsidR="00596579">
        <w:rPr>
          <w:lang w:eastAsia="en-AU"/>
        </w:rPr>
        <w:t>P</w:t>
      </w:r>
      <w:r>
        <w:rPr>
          <w:lang w:eastAsia="en-AU"/>
        </w:rPr>
        <w:t>eriod”.  Clause 4(1) reads:</w:t>
      </w:r>
    </w:p>
    <w:p w:rsidR="00911471" w:rsidRPr="005E1688" w:rsidRDefault="00911471" w:rsidP="00911471">
      <w:pPr>
        <w:pStyle w:val="Quote"/>
        <w:keepNext/>
        <w:rPr>
          <w:b/>
          <w:sz w:val="20"/>
        </w:rPr>
      </w:pPr>
      <w:r w:rsidRPr="005E1688">
        <w:rPr>
          <w:b/>
          <w:sz w:val="20"/>
        </w:rPr>
        <w:t>“4  Start day—early claim</w:t>
      </w:r>
    </w:p>
    <w:p w:rsidR="00911471" w:rsidRPr="005E1688" w:rsidRDefault="00911471" w:rsidP="00911471">
      <w:pPr>
        <w:pStyle w:val="Quote"/>
        <w:keepNext/>
        <w:tabs>
          <w:tab w:val="left" w:pos="1134"/>
        </w:tabs>
        <w:rPr>
          <w:sz w:val="20"/>
        </w:rPr>
      </w:pPr>
      <w:r w:rsidRPr="005E1688">
        <w:rPr>
          <w:sz w:val="20"/>
        </w:rPr>
        <w:t>(1)</w:t>
      </w:r>
      <w:r>
        <w:rPr>
          <w:sz w:val="20"/>
        </w:rPr>
        <w:tab/>
      </w:r>
      <w:r w:rsidRPr="005E1688">
        <w:rPr>
          <w:sz w:val="20"/>
        </w:rPr>
        <w:t>If:</w:t>
      </w:r>
    </w:p>
    <w:p w:rsidR="00911471" w:rsidRPr="005E1688" w:rsidRDefault="00911471" w:rsidP="00911471">
      <w:pPr>
        <w:pStyle w:val="Quote"/>
        <w:keepNext/>
        <w:tabs>
          <w:tab w:val="left" w:pos="1418"/>
          <w:tab w:val="left" w:pos="1843"/>
        </w:tabs>
        <w:spacing w:before="0"/>
        <w:ind w:left="1418" w:hanging="284"/>
        <w:rPr>
          <w:sz w:val="20"/>
        </w:rPr>
      </w:pPr>
      <w:r w:rsidRPr="005E1688">
        <w:rPr>
          <w:sz w:val="20"/>
        </w:rPr>
        <w:t>(a)</w:t>
      </w:r>
      <w:r>
        <w:rPr>
          <w:sz w:val="20"/>
        </w:rPr>
        <w:tab/>
      </w:r>
      <w:r w:rsidRPr="005E1688">
        <w:rPr>
          <w:sz w:val="20"/>
        </w:rPr>
        <w:t>a person (other than a detained person) makes a claim for a relevant social security payment; and</w:t>
      </w:r>
    </w:p>
    <w:p w:rsidR="00911471" w:rsidRPr="005E1688" w:rsidRDefault="00911471" w:rsidP="00911471">
      <w:pPr>
        <w:pStyle w:val="Quote"/>
        <w:tabs>
          <w:tab w:val="left" w:pos="1418"/>
          <w:tab w:val="left" w:pos="1843"/>
        </w:tabs>
        <w:spacing w:before="0"/>
        <w:ind w:left="1418" w:hanging="284"/>
        <w:rPr>
          <w:sz w:val="20"/>
        </w:rPr>
      </w:pPr>
      <w:r w:rsidRPr="005E1688">
        <w:rPr>
          <w:sz w:val="20"/>
        </w:rPr>
        <w:t>(b)</w:t>
      </w:r>
      <w:r>
        <w:rPr>
          <w:sz w:val="20"/>
        </w:rPr>
        <w:tab/>
      </w:r>
      <w:r w:rsidRPr="005E1688">
        <w:rPr>
          <w:sz w:val="20"/>
        </w:rPr>
        <w:t>the person is not, on the day on which the claim is made, qualified for the payment; and</w:t>
      </w:r>
    </w:p>
    <w:p w:rsidR="00911471" w:rsidRPr="005E1688" w:rsidRDefault="00911471" w:rsidP="00911471">
      <w:pPr>
        <w:pStyle w:val="Quote"/>
        <w:tabs>
          <w:tab w:val="left" w:pos="1418"/>
          <w:tab w:val="left" w:pos="1843"/>
        </w:tabs>
        <w:spacing w:before="0"/>
        <w:ind w:left="1418" w:hanging="284"/>
        <w:rPr>
          <w:sz w:val="20"/>
        </w:rPr>
      </w:pPr>
      <w:r w:rsidRPr="005E1688">
        <w:rPr>
          <w:sz w:val="20"/>
        </w:rPr>
        <w:lastRenderedPageBreak/>
        <w:t xml:space="preserve">(c) </w:t>
      </w:r>
      <w:r>
        <w:rPr>
          <w:sz w:val="20"/>
        </w:rPr>
        <w:t>a</w:t>
      </w:r>
      <w:r w:rsidRPr="005E1688">
        <w:rPr>
          <w:sz w:val="20"/>
        </w:rPr>
        <w:t>ssuming the person does not sooner die, the person will, because of the passage of time or the occurrence of an event, become qualified for the payment within the period of 13 weeks after the day on which the claim is made; and</w:t>
      </w:r>
    </w:p>
    <w:p w:rsidR="00911471" w:rsidRPr="005E1688" w:rsidRDefault="00911471" w:rsidP="00911471">
      <w:pPr>
        <w:pStyle w:val="Quote"/>
        <w:tabs>
          <w:tab w:val="left" w:pos="1418"/>
          <w:tab w:val="left" w:pos="1843"/>
        </w:tabs>
        <w:spacing w:before="0"/>
        <w:ind w:left="1134"/>
        <w:rPr>
          <w:sz w:val="20"/>
        </w:rPr>
      </w:pPr>
      <w:r w:rsidRPr="005E1688">
        <w:rPr>
          <w:sz w:val="20"/>
        </w:rPr>
        <w:t>(d)</w:t>
      </w:r>
      <w:r>
        <w:rPr>
          <w:sz w:val="20"/>
        </w:rPr>
        <w:tab/>
      </w:r>
      <w:r w:rsidRPr="005E1688">
        <w:rPr>
          <w:sz w:val="20"/>
        </w:rPr>
        <w:t>the person becomes so qualified within that period;</w:t>
      </w:r>
    </w:p>
    <w:p w:rsidR="00911471" w:rsidRPr="005E1688" w:rsidRDefault="00911471" w:rsidP="00911471">
      <w:pPr>
        <w:pStyle w:val="Quote"/>
        <w:spacing w:before="0"/>
        <w:ind w:left="720" w:hanging="11"/>
        <w:rPr>
          <w:sz w:val="20"/>
        </w:rPr>
      </w:pPr>
      <w:r w:rsidRPr="005E1688">
        <w:rPr>
          <w:sz w:val="20"/>
        </w:rPr>
        <w:t>the claim is taken to be made on the first day on which the person is qualified for the social security payment.</w:t>
      </w:r>
    </w:p>
    <w:p w:rsidR="00911471" w:rsidRPr="005E1688" w:rsidRDefault="00911471" w:rsidP="00911471">
      <w:pPr>
        <w:pStyle w:val="Quote"/>
        <w:spacing w:before="0"/>
        <w:rPr>
          <w:sz w:val="20"/>
        </w:rPr>
      </w:pPr>
      <w:r w:rsidRPr="005E1688">
        <w:rPr>
          <w:sz w:val="20"/>
        </w:rPr>
        <w:t>…”</w:t>
      </w:r>
    </w:p>
    <w:p w:rsidR="00A455BE" w:rsidRDefault="00911471" w:rsidP="00A455BE">
      <w:pPr>
        <w:pStyle w:val="ListNumber"/>
      </w:pPr>
      <w:r>
        <w:t xml:space="preserve">The Relevant Period for assessing Mr Ioannou’s </w:t>
      </w:r>
      <w:r w:rsidR="008C5622">
        <w:t xml:space="preserve">entitlement to DSP for the purpose of these proceedings is the </w:t>
      </w:r>
      <w:r w:rsidR="00596579">
        <w:t>13</w:t>
      </w:r>
      <w:r w:rsidR="008C5622">
        <w:t xml:space="preserve"> week period from </w:t>
      </w:r>
      <w:r w:rsidR="00DE705C">
        <w:t>2</w:t>
      </w:r>
      <w:r w:rsidR="008C5622">
        <w:t xml:space="preserve">4 January 2014 to 25 April 2014.  </w:t>
      </w:r>
    </w:p>
    <w:p w:rsidR="008C5622" w:rsidRDefault="008C5622" w:rsidP="008C5622">
      <w:pPr>
        <w:pStyle w:val="Heading1"/>
      </w:pPr>
      <w:r>
        <w:t xml:space="preserve">social security (tables for the assessment of work-related impairment for disability support pension) determination 2011 </w:t>
      </w:r>
      <w:r w:rsidRPr="00A931E7">
        <w:rPr>
          <w:caps w:val="0"/>
        </w:rPr>
        <w:t>(“Determination”)</w:t>
      </w:r>
    </w:p>
    <w:p w:rsidR="008C5622" w:rsidRDefault="008C5622" w:rsidP="008C5622">
      <w:pPr>
        <w:pStyle w:val="ListNumber"/>
        <w:numPr>
          <w:ilvl w:val="0"/>
          <w:numId w:val="5"/>
        </w:numPr>
        <w:rPr>
          <w:lang w:eastAsia="en-AU"/>
        </w:rPr>
      </w:pPr>
      <w:r>
        <w:rPr>
          <w:lang w:eastAsia="en-AU"/>
        </w:rPr>
        <w:t>The Impairment Tables relating to the assessment of work-related impairment for DSP were previously set out in Schedule 1B to the Act.  The Determination, under s 26(1) of the Act, commenced on 1 January 2012.  In the Determination</w:t>
      </w:r>
      <w:r w:rsidR="007A7422">
        <w:rPr>
          <w:lang w:eastAsia="en-AU"/>
        </w:rPr>
        <w:t>,</w:t>
      </w:r>
      <w:r>
        <w:rPr>
          <w:lang w:eastAsia="en-AU"/>
        </w:rPr>
        <w:t xml:space="preserve"> the Rules for applying the Tables relevantly read:</w:t>
      </w:r>
    </w:p>
    <w:p w:rsidR="008C5622" w:rsidRPr="00C23AB1" w:rsidRDefault="008C5622" w:rsidP="008C5622">
      <w:pPr>
        <w:pStyle w:val="Quote"/>
        <w:tabs>
          <w:tab w:val="left" w:pos="851"/>
          <w:tab w:val="left" w:pos="1418"/>
        </w:tabs>
        <w:ind w:left="567"/>
        <w:rPr>
          <w:b/>
          <w:sz w:val="20"/>
        </w:rPr>
      </w:pPr>
      <w:r w:rsidRPr="00C23AB1">
        <w:rPr>
          <w:b/>
          <w:sz w:val="20"/>
        </w:rPr>
        <w:t>“6.</w:t>
      </w:r>
      <w:r w:rsidRPr="00C23AB1">
        <w:rPr>
          <w:b/>
          <w:sz w:val="20"/>
        </w:rPr>
        <w:tab/>
        <w:t>Applying the Tables</w:t>
      </w:r>
    </w:p>
    <w:p w:rsidR="008C5622" w:rsidRPr="00275E66" w:rsidRDefault="008C5622" w:rsidP="008C5622">
      <w:pPr>
        <w:pStyle w:val="Quote2"/>
        <w:ind w:left="851"/>
        <w:rPr>
          <w:sz w:val="20"/>
        </w:rPr>
      </w:pPr>
      <w:r w:rsidRPr="00275E66">
        <w:rPr>
          <w:sz w:val="20"/>
        </w:rPr>
        <w:t>Assessing functional capacity</w:t>
      </w:r>
    </w:p>
    <w:p w:rsidR="008C5622" w:rsidRPr="00275E66" w:rsidRDefault="008C5622" w:rsidP="008C5622">
      <w:pPr>
        <w:pStyle w:val="Quote2"/>
        <w:numPr>
          <w:ilvl w:val="0"/>
          <w:numId w:val="12"/>
        </w:numPr>
        <w:tabs>
          <w:tab w:val="left" w:pos="1276"/>
        </w:tabs>
        <w:ind w:left="1276" w:hanging="425"/>
        <w:rPr>
          <w:sz w:val="20"/>
        </w:rPr>
      </w:pPr>
      <w:r w:rsidRPr="00275E66">
        <w:rPr>
          <w:sz w:val="20"/>
        </w:rPr>
        <w:t>The impairment of a person must be assessed on the basis of what the person can, or could do, not on the basis of what the person choses to do or what others do for the person.</w:t>
      </w:r>
    </w:p>
    <w:p w:rsidR="008C5622" w:rsidRPr="00275E66" w:rsidRDefault="008C5622" w:rsidP="008C5622">
      <w:pPr>
        <w:pStyle w:val="Quote2"/>
        <w:ind w:left="1134" w:hanging="283"/>
        <w:rPr>
          <w:sz w:val="20"/>
        </w:rPr>
      </w:pPr>
      <w:r w:rsidRPr="00275E66">
        <w:rPr>
          <w:sz w:val="20"/>
        </w:rPr>
        <w:t>Applying the Tables</w:t>
      </w:r>
    </w:p>
    <w:p w:rsidR="008C5622" w:rsidRPr="00275E66" w:rsidRDefault="008C5622" w:rsidP="008C5622">
      <w:pPr>
        <w:pStyle w:val="Quote2"/>
        <w:numPr>
          <w:ilvl w:val="0"/>
          <w:numId w:val="12"/>
        </w:numPr>
        <w:tabs>
          <w:tab w:val="left" w:pos="1276"/>
        </w:tabs>
        <w:ind w:left="1276" w:hanging="425"/>
        <w:rPr>
          <w:sz w:val="20"/>
        </w:rPr>
      </w:pPr>
      <w:r w:rsidRPr="00275E66">
        <w:rPr>
          <w:sz w:val="20"/>
        </w:rPr>
        <w:t>The Tables may only be applied to a person’s impairment after the person’s medical history, in relation to the condition causing the impairment, has been considered.</w:t>
      </w:r>
    </w:p>
    <w:p w:rsidR="008C5622" w:rsidRPr="00275E66" w:rsidRDefault="008C5622" w:rsidP="008C5622">
      <w:pPr>
        <w:pStyle w:val="Quote2"/>
        <w:ind w:left="1560" w:hanging="632"/>
        <w:rPr>
          <w:sz w:val="18"/>
          <w:szCs w:val="18"/>
        </w:rPr>
      </w:pPr>
      <w:r w:rsidRPr="00275E66">
        <w:rPr>
          <w:i w:val="0"/>
          <w:sz w:val="18"/>
          <w:szCs w:val="18"/>
        </w:rPr>
        <w:t>Note:</w:t>
      </w:r>
      <w:r w:rsidRPr="00275E66">
        <w:rPr>
          <w:sz w:val="18"/>
          <w:szCs w:val="18"/>
        </w:rPr>
        <w:tab/>
        <w:t>For additional information that must be taken into account in applying the Tables see section 7.</w:t>
      </w:r>
    </w:p>
    <w:p w:rsidR="008C5622" w:rsidRPr="00275E66" w:rsidRDefault="008C5622" w:rsidP="008C5622">
      <w:pPr>
        <w:pStyle w:val="Quote2"/>
        <w:spacing w:after="120"/>
        <w:ind w:left="851"/>
        <w:rPr>
          <w:sz w:val="20"/>
        </w:rPr>
      </w:pPr>
      <w:r w:rsidRPr="00275E66">
        <w:rPr>
          <w:sz w:val="20"/>
        </w:rPr>
        <w:t>Impairment ratings</w:t>
      </w:r>
    </w:p>
    <w:p w:rsidR="008C5622" w:rsidRPr="00275E66" w:rsidRDefault="008C5622" w:rsidP="008C5622">
      <w:pPr>
        <w:pStyle w:val="Quote2"/>
        <w:numPr>
          <w:ilvl w:val="0"/>
          <w:numId w:val="12"/>
        </w:numPr>
        <w:spacing w:before="0"/>
        <w:ind w:left="1276" w:hanging="425"/>
        <w:rPr>
          <w:sz w:val="20"/>
        </w:rPr>
      </w:pPr>
      <w:r w:rsidRPr="00275E66">
        <w:rPr>
          <w:sz w:val="20"/>
        </w:rPr>
        <w:t>An impairment rating can only be assigned to an impairment if:</w:t>
      </w:r>
    </w:p>
    <w:p w:rsidR="008C5622" w:rsidRPr="00275E66" w:rsidRDefault="008C5622" w:rsidP="008C5622">
      <w:pPr>
        <w:pStyle w:val="Quote3"/>
        <w:numPr>
          <w:ilvl w:val="0"/>
          <w:numId w:val="13"/>
        </w:numPr>
        <w:spacing w:before="0"/>
        <w:ind w:left="1560" w:hanging="284"/>
        <w:rPr>
          <w:sz w:val="20"/>
        </w:rPr>
      </w:pPr>
      <w:r w:rsidRPr="00275E66">
        <w:rPr>
          <w:sz w:val="20"/>
        </w:rPr>
        <w:t>the person’s condition causing that impairment is permanent; and</w:t>
      </w:r>
    </w:p>
    <w:p w:rsidR="008C5622" w:rsidRPr="00275E66" w:rsidRDefault="008C5622" w:rsidP="008C5622">
      <w:pPr>
        <w:pStyle w:val="Quote3"/>
        <w:tabs>
          <w:tab w:val="left" w:pos="2268"/>
        </w:tabs>
        <w:spacing w:before="0"/>
        <w:ind w:left="1560"/>
        <w:rPr>
          <w:sz w:val="20"/>
        </w:rPr>
      </w:pPr>
      <w:r w:rsidRPr="00275E66">
        <w:rPr>
          <w:i w:val="0"/>
          <w:sz w:val="20"/>
        </w:rPr>
        <w:t>Note:</w:t>
      </w:r>
      <w:r w:rsidRPr="00275E66">
        <w:rPr>
          <w:i w:val="0"/>
          <w:sz w:val="20"/>
        </w:rPr>
        <w:tab/>
      </w:r>
      <w:r w:rsidRPr="00275E66">
        <w:rPr>
          <w:sz w:val="20"/>
        </w:rPr>
        <w:t xml:space="preserve">For </w:t>
      </w:r>
      <w:r w:rsidRPr="00275E66">
        <w:rPr>
          <w:b/>
          <w:sz w:val="20"/>
        </w:rPr>
        <w:t>permanent</w:t>
      </w:r>
      <w:r w:rsidRPr="00275E66">
        <w:rPr>
          <w:sz w:val="20"/>
        </w:rPr>
        <w:t xml:space="preserve"> see subsection 6(4).</w:t>
      </w:r>
    </w:p>
    <w:p w:rsidR="008C5622" w:rsidRPr="00275E66" w:rsidRDefault="008C5622" w:rsidP="008C5622">
      <w:pPr>
        <w:pStyle w:val="Quote3"/>
        <w:numPr>
          <w:ilvl w:val="0"/>
          <w:numId w:val="13"/>
        </w:numPr>
        <w:spacing w:before="0"/>
        <w:ind w:left="1560" w:hanging="284"/>
        <w:rPr>
          <w:sz w:val="20"/>
        </w:rPr>
      </w:pPr>
      <w:r w:rsidRPr="00275E66">
        <w:rPr>
          <w:sz w:val="20"/>
        </w:rPr>
        <w:t>the impairment that results from that condition is more likely than not, in light of available evidence, to persist for more than 2 years.</w:t>
      </w:r>
    </w:p>
    <w:p w:rsidR="008C5622" w:rsidRPr="00275E66" w:rsidRDefault="008C5622" w:rsidP="008C5622">
      <w:pPr>
        <w:pStyle w:val="Quote3"/>
        <w:tabs>
          <w:tab w:val="left" w:pos="1276"/>
          <w:tab w:val="left" w:pos="1701"/>
          <w:tab w:val="left" w:pos="2552"/>
        </w:tabs>
        <w:ind w:left="1276"/>
        <w:rPr>
          <w:sz w:val="18"/>
          <w:szCs w:val="18"/>
        </w:rPr>
      </w:pPr>
      <w:r w:rsidRPr="00275E66">
        <w:rPr>
          <w:i w:val="0"/>
          <w:sz w:val="18"/>
          <w:szCs w:val="18"/>
        </w:rPr>
        <w:t>Example:</w:t>
      </w:r>
      <w:r>
        <w:rPr>
          <w:i w:val="0"/>
          <w:sz w:val="18"/>
          <w:szCs w:val="18"/>
        </w:rPr>
        <w:t xml:space="preserve"> </w:t>
      </w:r>
      <w:r w:rsidRPr="00275E66">
        <w:rPr>
          <w:sz w:val="18"/>
          <w:szCs w:val="18"/>
        </w:rPr>
        <w:t>A condition may last for more than 2 years, but the impairment resulting from that condition may be assessed as likely to improve or cease within 2 years – if this is the case, an impairment rating under the Tables cannot be assigned to the impairment.</w:t>
      </w:r>
    </w:p>
    <w:p w:rsidR="008C5622" w:rsidRPr="00275E66" w:rsidRDefault="008C5622" w:rsidP="008C5622">
      <w:pPr>
        <w:pStyle w:val="Quote2"/>
        <w:spacing w:after="120"/>
        <w:ind w:left="851"/>
        <w:rPr>
          <w:sz w:val="20"/>
        </w:rPr>
      </w:pPr>
      <w:r w:rsidRPr="00275E66">
        <w:rPr>
          <w:sz w:val="20"/>
        </w:rPr>
        <w:t xml:space="preserve">Permanency of conditions  </w:t>
      </w:r>
    </w:p>
    <w:p w:rsidR="008C5622" w:rsidRPr="00275E66" w:rsidRDefault="008C5622" w:rsidP="008C5622">
      <w:pPr>
        <w:pStyle w:val="Quote2"/>
        <w:numPr>
          <w:ilvl w:val="0"/>
          <w:numId w:val="12"/>
        </w:numPr>
        <w:spacing w:before="0"/>
        <w:ind w:left="1276" w:hanging="425"/>
        <w:rPr>
          <w:sz w:val="20"/>
        </w:rPr>
      </w:pPr>
      <w:r w:rsidRPr="00275E66">
        <w:rPr>
          <w:sz w:val="20"/>
        </w:rPr>
        <w:t>For the purposes of paragraph 6(3)(a) a condition is permanent if:</w:t>
      </w:r>
    </w:p>
    <w:p w:rsidR="008C5622" w:rsidRPr="00275E66" w:rsidRDefault="008C5622" w:rsidP="008C5622">
      <w:pPr>
        <w:pStyle w:val="Quote2"/>
        <w:numPr>
          <w:ilvl w:val="0"/>
          <w:numId w:val="14"/>
        </w:numPr>
        <w:spacing w:before="0"/>
        <w:ind w:left="1560" w:hanging="284"/>
        <w:rPr>
          <w:sz w:val="20"/>
        </w:rPr>
      </w:pPr>
      <w:r w:rsidRPr="00275E66">
        <w:rPr>
          <w:sz w:val="20"/>
        </w:rPr>
        <w:t>the condition has been fully diagnosed by an appropriately qualified medical practitioner; and</w:t>
      </w:r>
    </w:p>
    <w:p w:rsidR="008C5622" w:rsidRPr="00275E66" w:rsidRDefault="008C5622" w:rsidP="008C5622">
      <w:pPr>
        <w:pStyle w:val="Quote2"/>
        <w:numPr>
          <w:ilvl w:val="0"/>
          <w:numId w:val="14"/>
        </w:numPr>
        <w:spacing w:before="0"/>
        <w:ind w:left="1560" w:hanging="284"/>
        <w:rPr>
          <w:sz w:val="20"/>
        </w:rPr>
      </w:pPr>
      <w:r w:rsidRPr="00275E66">
        <w:rPr>
          <w:sz w:val="20"/>
        </w:rPr>
        <w:t>the condition has been fully treated; and</w:t>
      </w:r>
    </w:p>
    <w:p w:rsidR="008C5622" w:rsidRPr="00275E66" w:rsidRDefault="008C5622" w:rsidP="008C5622">
      <w:pPr>
        <w:pStyle w:val="Quote2"/>
        <w:tabs>
          <w:tab w:val="left" w:pos="1418"/>
        </w:tabs>
        <w:spacing w:before="0"/>
        <w:ind w:left="1560"/>
        <w:rPr>
          <w:sz w:val="20"/>
        </w:rPr>
      </w:pPr>
      <w:r w:rsidRPr="00275E66">
        <w:rPr>
          <w:i w:val="0"/>
          <w:sz w:val="20"/>
        </w:rPr>
        <w:t>Note:</w:t>
      </w:r>
      <w:r w:rsidRPr="00275E66">
        <w:rPr>
          <w:sz w:val="20"/>
        </w:rPr>
        <w:tab/>
        <w:t xml:space="preserve">For </w:t>
      </w:r>
      <w:r w:rsidRPr="00275E66">
        <w:rPr>
          <w:b/>
          <w:sz w:val="20"/>
        </w:rPr>
        <w:t>fully diagnosed</w:t>
      </w:r>
      <w:r w:rsidRPr="00275E66">
        <w:rPr>
          <w:sz w:val="20"/>
        </w:rPr>
        <w:t xml:space="preserve"> and </w:t>
      </w:r>
      <w:r w:rsidRPr="00275E66">
        <w:rPr>
          <w:b/>
          <w:sz w:val="20"/>
        </w:rPr>
        <w:t>fully treated</w:t>
      </w:r>
      <w:r w:rsidRPr="00275E66">
        <w:rPr>
          <w:sz w:val="20"/>
        </w:rPr>
        <w:t xml:space="preserve"> see subsection 6(5).</w:t>
      </w:r>
    </w:p>
    <w:p w:rsidR="008C5622" w:rsidRPr="00275E66" w:rsidRDefault="008C5622" w:rsidP="008C5622">
      <w:pPr>
        <w:pStyle w:val="Quote2"/>
        <w:numPr>
          <w:ilvl w:val="0"/>
          <w:numId w:val="14"/>
        </w:numPr>
        <w:spacing w:before="0"/>
        <w:ind w:left="1560" w:hanging="284"/>
        <w:rPr>
          <w:sz w:val="20"/>
        </w:rPr>
      </w:pPr>
      <w:r w:rsidRPr="00275E66">
        <w:rPr>
          <w:sz w:val="20"/>
        </w:rPr>
        <w:t>the condition has been fully stabilised; and</w:t>
      </w:r>
    </w:p>
    <w:p w:rsidR="008C5622" w:rsidRPr="00275E66" w:rsidRDefault="008C5622" w:rsidP="008C5622">
      <w:pPr>
        <w:pStyle w:val="Quote2"/>
        <w:tabs>
          <w:tab w:val="left" w:pos="1418"/>
        </w:tabs>
        <w:spacing w:before="0"/>
        <w:ind w:left="1560"/>
        <w:rPr>
          <w:sz w:val="20"/>
        </w:rPr>
      </w:pPr>
      <w:r w:rsidRPr="00275E66">
        <w:rPr>
          <w:i w:val="0"/>
          <w:sz w:val="20"/>
        </w:rPr>
        <w:t>Note:</w:t>
      </w:r>
      <w:r w:rsidRPr="00275E66">
        <w:rPr>
          <w:sz w:val="20"/>
        </w:rPr>
        <w:t xml:space="preserve"> For </w:t>
      </w:r>
      <w:r w:rsidRPr="00275E66">
        <w:rPr>
          <w:b/>
          <w:sz w:val="20"/>
        </w:rPr>
        <w:t>fully stabilised</w:t>
      </w:r>
      <w:r w:rsidRPr="00275E66">
        <w:rPr>
          <w:sz w:val="20"/>
        </w:rPr>
        <w:t xml:space="preserve"> see subsection 6(6).</w:t>
      </w:r>
    </w:p>
    <w:p w:rsidR="008C5622" w:rsidRPr="00275E66" w:rsidRDefault="008C5622" w:rsidP="008C5622">
      <w:pPr>
        <w:pStyle w:val="Quote2"/>
        <w:numPr>
          <w:ilvl w:val="0"/>
          <w:numId w:val="14"/>
        </w:numPr>
        <w:spacing w:before="0"/>
        <w:ind w:left="1560" w:hanging="284"/>
        <w:rPr>
          <w:sz w:val="20"/>
        </w:rPr>
      </w:pPr>
      <w:r w:rsidRPr="00275E66">
        <w:rPr>
          <w:sz w:val="20"/>
        </w:rPr>
        <w:lastRenderedPageBreak/>
        <w:t xml:space="preserve">the condition is more likely than not, in light of available evidence, to persist for more than 2 years.  </w:t>
      </w:r>
    </w:p>
    <w:p w:rsidR="008C5622" w:rsidRPr="00275E66" w:rsidRDefault="008C5622" w:rsidP="00776825">
      <w:pPr>
        <w:pStyle w:val="Quote2"/>
        <w:keepNext/>
        <w:keepLines/>
        <w:spacing w:after="120"/>
        <w:ind w:left="851"/>
        <w:rPr>
          <w:sz w:val="20"/>
        </w:rPr>
      </w:pPr>
      <w:r w:rsidRPr="00275E66">
        <w:rPr>
          <w:sz w:val="20"/>
        </w:rPr>
        <w:t xml:space="preserve">Fully diagnosed and fully treated  </w:t>
      </w:r>
    </w:p>
    <w:p w:rsidR="008C5622" w:rsidRPr="00275E66" w:rsidRDefault="008C5622" w:rsidP="00776825">
      <w:pPr>
        <w:pStyle w:val="Quote2"/>
        <w:keepNext/>
        <w:keepLines/>
        <w:numPr>
          <w:ilvl w:val="0"/>
          <w:numId w:val="12"/>
        </w:numPr>
        <w:tabs>
          <w:tab w:val="left" w:pos="2268"/>
        </w:tabs>
        <w:spacing w:before="0"/>
        <w:ind w:left="1276" w:hanging="425"/>
        <w:rPr>
          <w:sz w:val="20"/>
        </w:rPr>
      </w:pPr>
      <w:r w:rsidRPr="00275E66">
        <w:rPr>
          <w:sz w:val="20"/>
        </w:rPr>
        <w:t>In determining whether a condition has been fully diagnosed by an appropriately qualified medical practitioner and whether it has been fully treated for the purposes of paragraphs 6(4)(a) and (b), the following is to be considered:</w:t>
      </w:r>
    </w:p>
    <w:p w:rsidR="008C5622" w:rsidRPr="00275E66" w:rsidRDefault="008C5622" w:rsidP="008C5622">
      <w:pPr>
        <w:pStyle w:val="Quote2"/>
        <w:numPr>
          <w:ilvl w:val="0"/>
          <w:numId w:val="15"/>
        </w:numPr>
        <w:spacing w:before="0"/>
        <w:ind w:left="1560" w:hanging="284"/>
        <w:rPr>
          <w:sz w:val="20"/>
        </w:rPr>
      </w:pPr>
      <w:r w:rsidRPr="00275E66">
        <w:rPr>
          <w:sz w:val="20"/>
        </w:rPr>
        <w:t>whether there is corroborating evidence of the condition; and</w:t>
      </w:r>
    </w:p>
    <w:p w:rsidR="008C5622" w:rsidRPr="00275E66" w:rsidRDefault="008C5622" w:rsidP="008C5622">
      <w:pPr>
        <w:pStyle w:val="Quote2"/>
        <w:numPr>
          <w:ilvl w:val="0"/>
          <w:numId w:val="15"/>
        </w:numPr>
        <w:spacing w:before="0"/>
        <w:ind w:left="1560" w:hanging="284"/>
        <w:rPr>
          <w:sz w:val="20"/>
        </w:rPr>
      </w:pPr>
      <w:r w:rsidRPr="00275E66">
        <w:rPr>
          <w:sz w:val="20"/>
        </w:rPr>
        <w:t>what treatment or rehabilitation has occurred in relation to the condition; and</w:t>
      </w:r>
    </w:p>
    <w:p w:rsidR="008C5622" w:rsidRPr="00275E66" w:rsidRDefault="008C5622" w:rsidP="008C5622">
      <w:pPr>
        <w:pStyle w:val="Quote2"/>
        <w:numPr>
          <w:ilvl w:val="0"/>
          <w:numId w:val="15"/>
        </w:numPr>
        <w:spacing w:before="0"/>
        <w:ind w:left="1560" w:hanging="284"/>
        <w:rPr>
          <w:sz w:val="20"/>
        </w:rPr>
      </w:pPr>
      <w:r w:rsidRPr="00275E66">
        <w:rPr>
          <w:sz w:val="20"/>
        </w:rPr>
        <w:t>whether treatment is continuing or is planned in the next 2 years.</w:t>
      </w:r>
    </w:p>
    <w:p w:rsidR="008C5622" w:rsidRPr="00275E66" w:rsidRDefault="008C5622" w:rsidP="008C5622">
      <w:pPr>
        <w:pStyle w:val="Quote2"/>
        <w:ind w:left="851"/>
        <w:rPr>
          <w:sz w:val="20"/>
        </w:rPr>
      </w:pPr>
      <w:r w:rsidRPr="00275E66">
        <w:rPr>
          <w:sz w:val="20"/>
        </w:rPr>
        <w:t xml:space="preserve">Fully stabilised  </w:t>
      </w:r>
    </w:p>
    <w:p w:rsidR="008C5622" w:rsidRPr="00275E66" w:rsidRDefault="008C5622" w:rsidP="008C5622">
      <w:pPr>
        <w:pStyle w:val="Quote2"/>
        <w:numPr>
          <w:ilvl w:val="0"/>
          <w:numId w:val="12"/>
        </w:numPr>
        <w:tabs>
          <w:tab w:val="left" w:pos="2268"/>
        </w:tabs>
        <w:spacing w:after="120"/>
        <w:ind w:left="1276" w:hanging="425"/>
        <w:rPr>
          <w:sz w:val="20"/>
        </w:rPr>
      </w:pPr>
      <w:r w:rsidRPr="00275E66">
        <w:rPr>
          <w:sz w:val="20"/>
        </w:rPr>
        <w:t>For the purposes of paragraph 6(4)(c) and subsection 11(4) a condition is fully stabilised if:</w:t>
      </w:r>
    </w:p>
    <w:p w:rsidR="008C5622" w:rsidRPr="00275E66" w:rsidRDefault="008C5622" w:rsidP="008C5622">
      <w:pPr>
        <w:pStyle w:val="Quote2"/>
        <w:numPr>
          <w:ilvl w:val="0"/>
          <w:numId w:val="16"/>
        </w:numPr>
        <w:spacing w:before="0"/>
        <w:ind w:left="1559" w:hanging="283"/>
        <w:rPr>
          <w:sz w:val="20"/>
        </w:rPr>
      </w:pPr>
      <w:r w:rsidRPr="00275E66">
        <w:rPr>
          <w:sz w:val="20"/>
        </w:rPr>
        <w:t>either the person has undertaken reasonable treatment for the condition and any further reasonable treatment is unlikely to result in significant functional improvement to a level enabling the person to undertake work in the next 2 years; or</w:t>
      </w:r>
    </w:p>
    <w:p w:rsidR="008C5622" w:rsidRPr="00275E66" w:rsidRDefault="008C5622" w:rsidP="008C5622">
      <w:pPr>
        <w:pStyle w:val="Quote2"/>
        <w:numPr>
          <w:ilvl w:val="0"/>
          <w:numId w:val="16"/>
        </w:numPr>
        <w:spacing w:before="0"/>
        <w:ind w:left="1559" w:hanging="283"/>
        <w:rPr>
          <w:sz w:val="20"/>
        </w:rPr>
      </w:pPr>
      <w:r w:rsidRPr="00275E66">
        <w:rPr>
          <w:sz w:val="20"/>
        </w:rPr>
        <w:t>the person has not undertaken reasonable treatment for the condition and:</w:t>
      </w:r>
    </w:p>
    <w:p w:rsidR="008C5622" w:rsidRPr="00275E66" w:rsidRDefault="008C5622" w:rsidP="008C5622">
      <w:pPr>
        <w:pStyle w:val="Quote2"/>
        <w:tabs>
          <w:tab w:val="left" w:pos="1843"/>
        </w:tabs>
        <w:spacing w:before="0"/>
        <w:ind w:left="1843" w:hanging="283"/>
        <w:rPr>
          <w:sz w:val="20"/>
        </w:rPr>
      </w:pPr>
      <w:r w:rsidRPr="00275E66">
        <w:rPr>
          <w:sz w:val="20"/>
        </w:rPr>
        <w:t>(i)</w:t>
      </w:r>
      <w:r w:rsidRPr="00275E66">
        <w:rPr>
          <w:sz w:val="20"/>
        </w:rPr>
        <w:tab/>
        <w:t>significant functional improvement to a level enabling the person to undertake work in the next 2 years is not expected to result, even if the person undertakes reasonable treatment; or</w:t>
      </w:r>
    </w:p>
    <w:p w:rsidR="008C5622" w:rsidRPr="00275E66" w:rsidRDefault="008C5622" w:rsidP="008C5622">
      <w:pPr>
        <w:pStyle w:val="Quote2"/>
        <w:tabs>
          <w:tab w:val="left" w:pos="1843"/>
        </w:tabs>
        <w:spacing w:before="0"/>
        <w:ind w:left="1843" w:hanging="283"/>
        <w:rPr>
          <w:sz w:val="20"/>
        </w:rPr>
      </w:pPr>
      <w:r w:rsidRPr="00275E66">
        <w:rPr>
          <w:sz w:val="20"/>
        </w:rPr>
        <w:t>(ii)</w:t>
      </w:r>
      <w:r w:rsidRPr="00275E66">
        <w:rPr>
          <w:sz w:val="20"/>
        </w:rPr>
        <w:tab/>
        <w:t>there is a medical or other compelling reason for the person not to undertake reasonable treatment.</w:t>
      </w:r>
    </w:p>
    <w:p w:rsidR="008C5622" w:rsidRPr="00275E66" w:rsidRDefault="008C5622" w:rsidP="008C5622">
      <w:pPr>
        <w:pStyle w:val="Quote2"/>
        <w:tabs>
          <w:tab w:val="left" w:pos="1560"/>
          <w:tab w:val="left" w:pos="2268"/>
        </w:tabs>
        <w:ind w:left="2880" w:hanging="1320"/>
        <w:rPr>
          <w:i w:val="0"/>
          <w:sz w:val="18"/>
          <w:szCs w:val="18"/>
        </w:rPr>
      </w:pPr>
      <w:r w:rsidRPr="00275E66">
        <w:rPr>
          <w:i w:val="0"/>
          <w:sz w:val="18"/>
          <w:szCs w:val="18"/>
        </w:rPr>
        <w:t>Note:</w:t>
      </w:r>
      <w:r w:rsidRPr="00275E66">
        <w:rPr>
          <w:i w:val="0"/>
          <w:sz w:val="18"/>
          <w:szCs w:val="18"/>
        </w:rPr>
        <w:tab/>
      </w:r>
      <w:r w:rsidRPr="00275E66">
        <w:rPr>
          <w:sz w:val="18"/>
          <w:szCs w:val="18"/>
        </w:rPr>
        <w:t xml:space="preserve">For </w:t>
      </w:r>
      <w:r w:rsidRPr="00275E66">
        <w:rPr>
          <w:b/>
          <w:sz w:val="18"/>
          <w:szCs w:val="18"/>
        </w:rPr>
        <w:t>reasonable treatment</w:t>
      </w:r>
      <w:r w:rsidRPr="00275E66">
        <w:rPr>
          <w:sz w:val="18"/>
          <w:szCs w:val="18"/>
        </w:rPr>
        <w:t xml:space="preserve"> see subsection 6(7).</w:t>
      </w:r>
    </w:p>
    <w:p w:rsidR="008C5622" w:rsidRPr="00275E66" w:rsidRDefault="008C5622" w:rsidP="008C5622">
      <w:pPr>
        <w:pStyle w:val="Quote2"/>
        <w:tabs>
          <w:tab w:val="left" w:pos="2268"/>
        </w:tabs>
        <w:ind w:left="851"/>
        <w:rPr>
          <w:sz w:val="20"/>
        </w:rPr>
      </w:pPr>
      <w:r w:rsidRPr="00275E66">
        <w:rPr>
          <w:sz w:val="20"/>
        </w:rPr>
        <w:t>Reasonable treatment</w:t>
      </w:r>
    </w:p>
    <w:p w:rsidR="008C5622" w:rsidRPr="00275E66" w:rsidRDefault="008C5622" w:rsidP="008C5622">
      <w:pPr>
        <w:pStyle w:val="Quote2"/>
        <w:numPr>
          <w:ilvl w:val="0"/>
          <w:numId w:val="12"/>
        </w:numPr>
        <w:tabs>
          <w:tab w:val="left" w:pos="2268"/>
        </w:tabs>
        <w:ind w:left="1276" w:hanging="425"/>
        <w:rPr>
          <w:sz w:val="20"/>
        </w:rPr>
      </w:pPr>
      <w:r w:rsidRPr="00275E66">
        <w:rPr>
          <w:sz w:val="20"/>
        </w:rPr>
        <w:t>For the purposes of subsection 6(6), reasonable treatment is treatment that:</w:t>
      </w:r>
    </w:p>
    <w:p w:rsidR="008C5622" w:rsidRPr="00275E66" w:rsidRDefault="008C5622" w:rsidP="008C5622">
      <w:pPr>
        <w:pStyle w:val="Quote2"/>
        <w:numPr>
          <w:ilvl w:val="0"/>
          <w:numId w:val="17"/>
        </w:numPr>
        <w:spacing w:before="0"/>
        <w:ind w:left="1560" w:hanging="284"/>
        <w:rPr>
          <w:sz w:val="20"/>
        </w:rPr>
      </w:pPr>
      <w:r w:rsidRPr="00275E66">
        <w:rPr>
          <w:sz w:val="20"/>
        </w:rPr>
        <w:t>is available at a location reasonably accessible to the person; and</w:t>
      </w:r>
    </w:p>
    <w:p w:rsidR="008C5622" w:rsidRPr="00275E66" w:rsidRDefault="008C5622" w:rsidP="008C5622">
      <w:pPr>
        <w:pStyle w:val="Quote2"/>
        <w:numPr>
          <w:ilvl w:val="0"/>
          <w:numId w:val="17"/>
        </w:numPr>
        <w:spacing w:before="0"/>
        <w:ind w:left="1560" w:hanging="284"/>
        <w:rPr>
          <w:sz w:val="20"/>
        </w:rPr>
      </w:pPr>
      <w:r w:rsidRPr="00275E66">
        <w:rPr>
          <w:sz w:val="20"/>
        </w:rPr>
        <w:t>is at a reasonable cost; and</w:t>
      </w:r>
    </w:p>
    <w:p w:rsidR="008C5622" w:rsidRPr="00275E66" w:rsidRDefault="008C5622" w:rsidP="008C5622">
      <w:pPr>
        <w:pStyle w:val="Quote2"/>
        <w:numPr>
          <w:ilvl w:val="0"/>
          <w:numId w:val="17"/>
        </w:numPr>
        <w:spacing w:before="0"/>
        <w:ind w:left="1560" w:hanging="284"/>
        <w:rPr>
          <w:sz w:val="20"/>
        </w:rPr>
      </w:pPr>
      <w:r w:rsidRPr="00275E66">
        <w:rPr>
          <w:sz w:val="20"/>
        </w:rPr>
        <w:t>can reliably be expected to result in a substantial improvement in functional capacity; and</w:t>
      </w:r>
    </w:p>
    <w:p w:rsidR="008C5622" w:rsidRPr="00275E66" w:rsidRDefault="008C5622" w:rsidP="008C5622">
      <w:pPr>
        <w:pStyle w:val="Quote2"/>
        <w:numPr>
          <w:ilvl w:val="0"/>
          <w:numId w:val="17"/>
        </w:numPr>
        <w:spacing w:before="0"/>
        <w:ind w:left="1560" w:hanging="284"/>
        <w:rPr>
          <w:sz w:val="20"/>
        </w:rPr>
      </w:pPr>
      <w:r w:rsidRPr="00275E66">
        <w:rPr>
          <w:sz w:val="20"/>
        </w:rPr>
        <w:t>is regularly undertaken or performed; and</w:t>
      </w:r>
    </w:p>
    <w:p w:rsidR="008C5622" w:rsidRPr="00275E66" w:rsidRDefault="008C5622" w:rsidP="008C5622">
      <w:pPr>
        <w:pStyle w:val="Quote2"/>
        <w:numPr>
          <w:ilvl w:val="0"/>
          <w:numId w:val="17"/>
        </w:numPr>
        <w:spacing w:before="0"/>
        <w:ind w:left="1560" w:hanging="284"/>
        <w:rPr>
          <w:sz w:val="20"/>
        </w:rPr>
      </w:pPr>
      <w:r w:rsidRPr="00275E66">
        <w:rPr>
          <w:sz w:val="20"/>
        </w:rPr>
        <w:t>has a high success rate; and</w:t>
      </w:r>
    </w:p>
    <w:p w:rsidR="008C5622" w:rsidRPr="00275E66" w:rsidRDefault="008C5622" w:rsidP="008C5622">
      <w:pPr>
        <w:pStyle w:val="Quote2"/>
        <w:numPr>
          <w:ilvl w:val="0"/>
          <w:numId w:val="17"/>
        </w:numPr>
        <w:spacing w:before="0"/>
        <w:ind w:left="1560" w:hanging="284"/>
        <w:rPr>
          <w:sz w:val="20"/>
        </w:rPr>
      </w:pPr>
      <w:r w:rsidRPr="00275E66">
        <w:rPr>
          <w:sz w:val="20"/>
        </w:rPr>
        <w:t>carries a low risk to the person.</w:t>
      </w:r>
    </w:p>
    <w:p w:rsidR="008C5622" w:rsidRPr="00275E66" w:rsidRDefault="008C5622" w:rsidP="008C5622">
      <w:pPr>
        <w:pStyle w:val="Quote2"/>
        <w:tabs>
          <w:tab w:val="left" w:pos="851"/>
        </w:tabs>
        <w:ind w:left="851"/>
        <w:rPr>
          <w:sz w:val="20"/>
        </w:rPr>
      </w:pPr>
      <w:r w:rsidRPr="00275E66">
        <w:rPr>
          <w:sz w:val="20"/>
        </w:rPr>
        <w:t>Impairment has no functional impact</w:t>
      </w:r>
    </w:p>
    <w:p w:rsidR="008C5622" w:rsidRPr="00275E66" w:rsidRDefault="008C5622" w:rsidP="008C5622">
      <w:pPr>
        <w:pStyle w:val="Quote2"/>
        <w:numPr>
          <w:ilvl w:val="0"/>
          <w:numId w:val="12"/>
        </w:numPr>
        <w:tabs>
          <w:tab w:val="left" w:pos="851"/>
        </w:tabs>
        <w:ind w:left="1276" w:hanging="425"/>
        <w:rPr>
          <w:sz w:val="20"/>
        </w:rPr>
      </w:pPr>
      <w:r w:rsidRPr="00275E66">
        <w:rPr>
          <w:sz w:val="20"/>
        </w:rPr>
        <w:t>The presence of a diagnosed condition does not necessarily mean that there will be an impairment to which an impairment rating may be assigned.</w:t>
      </w:r>
    </w:p>
    <w:p w:rsidR="008C5622" w:rsidRPr="00275E66" w:rsidRDefault="008C5622" w:rsidP="008C5622">
      <w:pPr>
        <w:pStyle w:val="Quote2"/>
        <w:tabs>
          <w:tab w:val="left" w:pos="851"/>
        </w:tabs>
        <w:rPr>
          <w:sz w:val="18"/>
          <w:szCs w:val="18"/>
        </w:rPr>
      </w:pPr>
      <w:r w:rsidRPr="00275E66">
        <w:rPr>
          <w:sz w:val="18"/>
          <w:szCs w:val="18"/>
        </w:rPr>
        <w:t>Example: A person may be diagnosed with hypertension but with appropriate treatment the impairment resulting from this condition may not result in any functional impact.</w:t>
      </w:r>
    </w:p>
    <w:p w:rsidR="008C5622" w:rsidRPr="00275E66" w:rsidRDefault="008C5622" w:rsidP="008C5622">
      <w:pPr>
        <w:pStyle w:val="Quote2"/>
        <w:tabs>
          <w:tab w:val="left" w:pos="851"/>
        </w:tabs>
        <w:ind w:left="851"/>
        <w:rPr>
          <w:sz w:val="20"/>
        </w:rPr>
      </w:pPr>
      <w:r w:rsidRPr="00275E66">
        <w:rPr>
          <w:sz w:val="20"/>
        </w:rPr>
        <w:t>Assessing functional impact of pain</w:t>
      </w:r>
    </w:p>
    <w:p w:rsidR="008C5622" w:rsidRPr="00275E66" w:rsidRDefault="008C5622" w:rsidP="008C5622">
      <w:pPr>
        <w:pStyle w:val="Quote2"/>
        <w:numPr>
          <w:ilvl w:val="0"/>
          <w:numId w:val="12"/>
        </w:numPr>
        <w:tabs>
          <w:tab w:val="left" w:pos="851"/>
        </w:tabs>
        <w:ind w:left="1276" w:hanging="425"/>
        <w:rPr>
          <w:sz w:val="20"/>
        </w:rPr>
      </w:pPr>
      <w:r>
        <w:rPr>
          <w:sz w:val="20"/>
        </w:rPr>
        <w:t>There is no</w:t>
      </w:r>
      <w:r w:rsidRPr="00275E66">
        <w:rPr>
          <w:sz w:val="20"/>
        </w:rPr>
        <w:t xml:space="preserve"> Table dealing specifically with pain and when assessing pain the following must be considered:</w:t>
      </w:r>
    </w:p>
    <w:p w:rsidR="008C5622" w:rsidRPr="00275E66" w:rsidRDefault="008C5622" w:rsidP="008C5622">
      <w:pPr>
        <w:pStyle w:val="Quote2"/>
        <w:numPr>
          <w:ilvl w:val="0"/>
          <w:numId w:val="18"/>
        </w:numPr>
        <w:tabs>
          <w:tab w:val="left" w:pos="851"/>
        </w:tabs>
        <w:ind w:left="1560" w:hanging="284"/>
        <w:rPr>
          <w:sz w:val="20"/>
        </w:rPr>
      </w:pPr>
      <w:r w:rsidRPr="00275E66">
        <w:rPr>
          <w:sz w:val="20"/>
        </w:rPr>
        <w:t>acute pain is a symptom which may result in short term loss of functional capacity in more than one area of the body; and</w:t>
      </w:r>
    </w:p>
    <w:p w:rsidR="008C5622" w:rsidRPr="00275E66" w:rsidRDefault="008C5622" w:rsidP="008C5622">
      <w:pPr>
        <w:pStyle w:val="Quote2"/>
        <w:numPr>
          <w:ilvl w:val="0"/>
          <w:numId w:val="18"/>
        </w:numPr>
        <w:tabs>
          <w:tab w:val="left" w:pos="851"/>
        </w:tabs>
        <w:ind w:left="1560" w:hanging="284"/>
        <w:rPr>
          <w:sz w:val="20"/>
        </w:rPr>
      </w:pPr>
      <w:r w:rsidRPr="00275E66">
        <w:rPr>
          <w:sz w:val="20"/>
        </w:rPr>
        <w:t>chronic pain is a condition and, where it has been diagnosed, any resulting impairment should be assessed using the Table relevant to the area of function affected; and</w:t>
      </w:r>
    </w:p>
    <w:p w:rsidR="008C5622" w:rsidRPr="00275E66" w:rsidRDefault="008C5622" w:rsidP="008C5622">
      <w:pPr>
        <w:pStyle w:val="Quote2"/>
        <w:numPr>
          <w:ilvl w:val="0"/>
          <w:numId w:val="18"/>
        </w:numPr>
        <w:tabs>
          <w:tab w:val="left" w:pos="851"/>
        </w:tabs>
        <w:ind w:left="1560" w:hanging="284"/>
        <w:rPr>
          <w:sz w:val="20"/>
        </w:rPr>
      </w:pPr>
      <w:r w:rsidRPr="00275E66">
        <w:rPr>
          <w:sz w:val="20"/>
        </w:rPr>
        <w:t>whether the condition causing pain has been fully diagnosed, fully treated and fully stabilised for the purposes of subsections 6(5) and (6).</w:t>
      </w:r>
    </w:p>
    <w:p w:rsidR="008C5622" w:rsidRPr="00275E66" w:rsidRDefault="008C5622" w:rsidP="008C5622">
      <w:pPr>
        <w:pStyle w:val="Quote2"/>
        <w:ind w:left="567"/>
        <w:rPr>
          <w:sz w:val="20"/>
        </w:rPr>
      </w:pPr>
      <w:r w:rsidRPr="00275E66">
        <w:rPr>
          <w:sz w:val="20"/>
        </w:rPr>
        <w:t>…</w:t>
      </w:r>
    </w:p>
    <w:p w:rsidR="008C5622" w:rsidRPr="00275E66" w:rsidRDefault="008C5622" w:rsidP="00776825">
      <w:pPr>
        <w:pStyle w:val="Quote2"/>
        <w:keepNext/>
        <w:keepLines/>
        <w:tabs>
          <w:tab w:val="left" w:pos="851"/>
        </w:tabs>
        <w:ind w:left="567"/>
        <w:rPr>
          <w:sz w:val="20"/>
        </w:rPr>
      </w:pPr>
      <w:r w:rsidRPr="00275E66">
        <w:rPr>
          <w:b/>
          <w:sz w:val="20"/>
        </w:rPr>
        <w:lastRenderedPageBreak/>
        <w:t>8</w:t>
      </w:r>
      <w:r w:rsidRPr="00275E66">
        <w:rPr>
          <w:b/>
          <w:sz w:val="20"/>
        </w:rPr>
        <w:tab/>
        <w:t>Information that must be not be taken into account in applying the Tables</w:t>
      </w:r>
    </w:p>
    <w:p w:rsidR="008C5622" w:rsidRPr="00275E66" w:rsidRDefault="008C5622" w:rsidP="00776825">
      <w:pPr>
        <w:pStyle w:val="Quote"/>
        <w:keepNext/>
        <w:keepLines/>
        <w:ind w:left="1276" w:hanging="425"/>
        <w:rPr>
          <w:sz w:val="20"/>
        </w:rPr>
      </w:pPr>
      <w:r w:rsidRPr="00275E66">
        <w:rPr>
          <w:sz w:val="20"/>
          <w:lang w:val="en-US"/>
        </w:rPr>
        <w:t>(1)</w:t>
      </w:r>
      <w:r>
        <w:rPr>
          <w:sz w:val="20"/>
          <w:lang w:val="en-US"/>
        </w:rPr>
        <w:tab/>
      </w:r>
      <w:r w:rsidRPr="00275E66">
        <w:rPr>
          <w:sz w:val="20"/>
          <w:lang w:val="en-US"/>
        </w:rPr>
        <w:t>Symptoms reported by a person in relation to their condition can only be taken into account where there is corroborating evidence.</w:t>
      </w:r>
    </w:p>
    <w:p w:rsidR="008C5622" w:rsidRPr="00275E66" w:rsidRDefault="008C5622" w:rsidP="008C5622">
      <w:pPr>
        <w:pStyle w:val="Quote"/>
        <w:ind w:left="1276"/>
        <w:rPr>
          <w:sz w:val="18"/>
          <w:szCs w:val="18"/>
        </w:rPr>
      </w:pPr>
      <w:r w:rsidRPr="00275E66">
        <w:rPr>
          <w:iCs/>
          <w:sz w:val="18"/>
          <w:szCs w:val="18"/>
          <w:lang w:val="en-US"/>
        </w:rPr>
        <w:t>Note</w:t>
      </w:r>
      <w:r w:rsidRPr="00275E66">
        <w:rPr>
          <w:sz w:val="18"/>
          <w:szCs w:val="18"/>
          <w:lang w:val="en-US"/>
        </w:rPr>
        <w:t>: Examples of the corroborating evidence that may be taken into account are set out in the Introduction of each Table in Part 3 of this Determination.</w:t>
      </w:r>
    </w:p>
    <w:p w:rsidR="008C5622" w:rsidRPr="00275E66" w:rsidRDefault="008C5622" w:rsidP="008C5622">
      <w:pPr>
        <w:pStyle w:val="Quote"/>
        <w:ind w:left="1276" w:hanging="425"/>
        <w:rPr>
          <w:sz w:val="20"/>
        </w:rPr>
      </w:pPr>
      <w:r w:rsidRPr="00275E66">
        <w:rPr>
          <w:sz w:val="20"/>
          <w:lang w:val="en-US"/>
        </w:rPr>
        <w:t>(2)</w:t>
      </w:r>
      <w:r>
        <w:rPr>
          <w:sz w:val="20"/>
          <w:lang w:val="en-US"/>
        </w:rPr>
        <w:tab/>
      </w:r>
      <w:r w:rsidRPr="00275E66">
        <w:rPr>
          <w:sz w:val="20"/>
          <w:lang w:val="en-US"/>
        </w:rPr>
        <w:t>Unless required under the Tables, the impact of non-medical factors when assessing a person’s impairment must not be taken into account.</w:t>
      </w:r>
    </w:p>
    <w:p w:rsidR="008C5622" w:rsidRPr="00275E66" w:rsidRDefault="008C5622" w:rsidP="008C5622">
      <w:pPr>
        <w:pStyle w:val="Quote"/>
        <w:ind w:left="1276"/>
        <w:rPr>
          <w:sz w:val="18"/>
          <w:szCs w:val="18"/>
        </w:rPr>
      </w:pPr>
      <w:r w:rsidRPr="00275E66">
        <w:rPr>
          <w:iCs/>
          <w:sz w:val="18"/>
          <w:szCs w:val="18"/>
          <w:lang w:val="en-US"/>
        </w:rPr>
        <w:t>Example</w:t>
      </w:r>
      <w:r w:rsidRPr="00275E66">
        <w:rPr>
          <w:sz w:val="18"/>
          <w:szCs w:val="18"/>
          <w:lang w:val="en-US"/>
        </w:rPr>
        <w:t>: Unless specifically referred to by a descriptor in a Table, the following must not be taken into account in assessing an impairment: the availability of suitable work in the person’s local community; English language competence; age; gender; level of education; numeracy and literacy skills; level of work skills and experience; social or domestic situation; level of personal motivation; or religious or cultural factors.</w:t>
      </w:r>
    </w:p>
    <w:p w:rsidR="008C5622" w:rsidRPr="00C1489D" w:rsidRDefault="008C5622" w:rsidP="008C5622">
      <w:pPr>
        <w:pStyle w:val="headingsection"/>
        <w:keepNext/>
        <w:tabs>
          <w:tab w:val="left" w:pos="851"/>
          <w:tab w:val="left" w:pos="1134"/>
        </w:tabs>
        <w:spacing w:before="120" w:beforeAutospacing="0" w:after="0" w:afterAutospacing="0"/>
        <w:ind w:left="567"/>
        <w:rPr>
          <w:rFonts w:asciiTheme="minorHAnsi" w:hAnsiTheme="minorHAnsi" w:cstheme="minorHAnsi"/>
          <w:b/>
          <w:i/>
          <w:sz w:val="20"/>
          <w:szCs w:val="20"/>
        </w:rPr>
      </w:pPr>
      <w:bookmarkStart w:id="9" w:name="_Toc310259525"/>
      <w:r w:rsidRPr="00C1489D">
        <w:rPr>
          <w:rFonts w:asciiTheme="minorHAnsi" w:hAnsiTheme="minorHAnsi" w:cstheme="minorHAnsi"/>
          <w:b/>
          <w:i/>
          <w:sz w:val="20"/>
          <w:szCs w:val="20"/>
          <w:lang w:val="en-US"/>
        </w:rPr>
        <w:t>9</w:t>
      </w:r>
      <w:r w:rsidRPr="00C1489D">
        <w:rPr>
          <w:rFonts w:asciiTheme="minorHAnsi" w:hAnsiTheme="minorHAnsi" w:cstheme="minorHAnsi"/>
          <w:b/>
          <w:i/>
          <w:sz w:val="20"/>
          <w:szCs w:val="20"/>
          <w:lang w:val="en-US"/>
        </w:rPr>
        <w:tab/>
        <w:t>Use of aids, equipment and assistive technology</w:t>
      </w:r>
      <w:bookmarkEnd w:id="9"/>
    </w:p>
    <w:p w:rsidR="008C5622" w:rsidRPr="00C23AB1" w:rsidRDefault="008C5622" w:rsidP="008C5622">
      <w:pPr>
        <w:pStyle w:val="Quote"/>
        <w:ind w:left="851"/>
        <w:rPr>
          <w:sz w:val="20"/>
        </w:rPr>
      </w:pPr>
      <w:r w:rsidRPr="00C23AB1">
        <w:rPr>
          <w:sz w:val="20"/>
          <w:lang w:val="en-US"/>
        </w:rPr>
        <w:t>A person’s impairment is to be assessed when the person is using or wearing any aids, equipment or assistive technology that the person has and usually uses.</w:t>
      </w:r>
    </w:p>
    <w:p w:rsidR="008C5622" w:rsidRPr="00C23AB1" w:rsidRDefault="008C5622" w:rsidP="008C5622">
      <w:pPr>
        <w:pStyle w:val="Quote"/>
        <w:ind w:left="567"/>
        <w:rPr>
          <w:b/>
          <w:sz w:val="20"/>
        </w:rPr>
      </w:pPr>
      <w:bookmarkStart w:id="10" w:name="_Toc310259526"/>
      <w:r w:rsidRPr="00C23AB1">
        <w:rPr>
          <w:b/>
          <w:sz w:val="20"/>
          <w:lang w:val="en-US"/>
        </w:rPr>
        <w:t>10 Selecting the applicable Table and assessing impairments</w:t>
      </w:r>
      <w:bookmarkEnd w:id="10"/>
    </w:p>
    <w:p w:rsidR="008C5622" w:rsidRPr="00C23AB1" w:rsidRDefault="008C5622" w:rsidP="008C5622">
      <w:pPr>
        <w:pStyle w:val="Quote"/>
        <w:tabs>
          <w:tab w:val="left" w:pos="851"/>
          <w:tab w:val="left" w:pos="1276"/>
        </w:tabs>
        <w:ind w:left="851"/>
        <w:rPr>
          <w:sz w:val="20"/>
        </w:rPr>
      </w:pPr>
      <w:r w:rsidRPr="00C23AB1">
        <w:rPr>
          <w:sz w:val="20"/>
          <w:lang w:val="en-US"/>
        </w:rPr>
        <w:t>Selection steps</w:t>
      </w:r>
    </w:p>
    <w:p w:rsidR="008C5622" w:rsidRPr="00C23AB1" w:rsidRDefault="008C5622" w:rsidP="008C5622">
      <w:pPr>
        <w:pStyle w:val="Quote"/>
        <w:tabs>
          <w:tab w:val="left" w:pos="851"/>
          <w:tab w:val="left" w:pos="1276"/>
        </w:tabs>
        <w:ind w:left="851"/>
        <w:rPr>
          <w:sz w:val="20"/>
        </w:rPr>
      </w:pPr>
      <w:r w:rsidRPr="00C23AB1">
        <w:rPr>
          <w:sz w:val="20"/>
          <w:lang w:val="en-US"/>
        </w:rPr>
        <w:t>(1)</w:t>
      </w:r>
      <w:r w:rsidRPr="00C23AB1">
        <w:rPr>
          <w:sz w:val="20"/>
          <w:lang w:val="en-US"/>
        </w:rPr>
        <w:tab/>
        <w:t>Table selection is to be made by applying the following steps:</w:t>
      </w:r>
    </w:p>
    <w:p w:rsidR="008C5622" w:rsidRPr="00C23AB1" w:rsidRDefault="008C5622" w:rsidP="008C5622">
      <w:pPr>
        <w:pStyle w:val="Quote"/>
        <w:tabs>
          <w:tab w:val="left" w:pos="1276"/>
          <w:tab w:val="left" w:pos="1560"/>
        </w:tabs>
        <w:ind w:left="1276"/>
        <w:rPr>
          <w:sz w:val="20"/>
        </w:rPr>
      </w:pPr>
      <w:r w:rsidRPr="00C23AB1">
        <w:rPr>
          <w:sz w:val="20"/>
          <w:lang w:val="en-US"/>
        </w:rPr>
        <w:t>(a)</w:t>
      </w:r>
      <w:r w:rsidRPr="00C23AB1">
        <w:rPr>
          <w:sz w:val="20"/>
          <w:lang w:val="en-US"/>
        </w:rPr>
        <w:tab/>
        <w:t>identify the loss of function; then</w:t>
      </w:r>
    </w:p>
    <w:p w:rsidR="008C5622" w:rsidRPr="00C23AB1" w:rsidRDefault="008C5622" w:rsidP="008C5622">
      <w:pPr>
        <w:pStyle w:val="Quote"/>
        <w:tabs>
          <w:tab w:val="left" w:pos="1276"/>
          <w:tab w:val="left" w:pos="1560"/>
        </w:tabs>
        <w:ind w:left="1276"/>
        <w:rPr>
          <w:sz w:val="20"/>
        </w:rPr>
      </w:pPr>
      <w:r w:rsidRPr="00C23AB1">
        <w:rPr>
          <w:sz w:val="20"/>
          <w:lang w:val="en-US"/>
        </w:rPr>
        <w:t>(b)</w:t>
      </w:r>
      <w:r w:rsidRPr="00C23AB1">
        <w:rPr>
          <w:sz w:val="20"/>
          <w:lang w:val="en-US"/>
        </w:rPr>
        <w:tab/>
        <w:t>refer to the Table related to the function affected; then</w:t>
      </w:r>
    </w:p>
    <w:p w:rsidR="008C5622" w:rsidRPr="00C23AB1" w:rsidRDefault="008C5622" w:rsidP="008C5622">
      <w:pPr>
        <w:pStyle w:val="Quote"/>
        <w:tabs>
          <w:tab w:val="left" w:pos="1276"/>
          <w:tab w:val="left" w:pos="1560"/>
        </w:tabs>
        <w:ind w:left="1276"/>
        <w:rPr>
          <w:sz w:val="20"/>
        </w:rPr>
      </w:pPr>
      <w:r w:rsidRPr="00C23AB1">
        <w:rPr>
          <w:sz w:val="20"/>
          <w:lang w:val="en-US"/>
        </w:rPr>
        <w:t>(c)</w:t>
      </w:r>
      <w:r w:rsidRPr="00C23AB1">
        <w:rPr>
          <w:sz w:val="20"/>
          <w:lang w:val="en-US"/>
        </w:rPr>
        <w:tab/>
        <w:t>identify the correct impairment rating.</w:t>
      </w:r>
    </w:p>
    <w:p w:rsidR="008C5622" w:rsidRPr="00C23AB1" w:rsidRDefault="008C5622" w:rsidP="008C5622">
      <w:pPr>
        <w:pStyle w:val="Quote"/>
        <w:tabs>
          <w:tab w:val="left" w:pos="851"/>
          <w:tab w:val="left" w:pos="1276"/>
        </w:tabs>
        <w:ind w:left="1276" w:hanging="425"/>
        <w:rPr>
          <w:sz w:val="20"/>
        </w:rPr>
      </w:pPr>
      <w:r w:rsidRPr="00C23AB1">
        <w:rPr>
          <w:sz w:val="20"/>
          <w:lang w:val="en-US"/>
        </w:rPr>
        <w:t>(2)</w:t>
      </w:r>
      <w:r w:rsidRPr="00C23AB1">
        <w:rPr>
          <w:sz w:val="20"/>
          <w:lang w:val="en-US"/>
        </w:rPr>
        <w:tab/>
        <w:t>The Table specific to the impairment being rated must always be applied to that impairment unless the instructions in a Table specify otherwise.</w:t>
      </w:r>
    </w:p>
    <w:p w:rsidR="008C5622" w:rsidRPr="00C23AB1" w:rsidRDefault="008C5622" w:rsidP="008C5622">
      <w:pPr>
        <w:pStyle w:val="Quote"/>
        <w:ind w:left="851"/>
        <w:rPr>
          <w:sz w:val="20"/>
        </w:rPr>
      </w:pPr>
      <w:r w:rsidRPr="00C23AB1">
        <w:rPr>
          <w:sz w:val="20"/>
          <w:lang w:val="en-US"/>
        </w:rPr>
        <w:t>Single condition causing multiple impairments</w:t>
      </w:r>
    </w:p>
    <w:p w:rsidR="008C5622" w:rsidRPr="00C23AB1" w:rsidRDefault="008C5622" w:rsidP="008C5622">
      <w:pPr>
        <w:pStyle w:val="Quote"/>
        <w:tabs>
          <w:tab w:val="left" w:pos="851"/>
          <w:tab w:val="left" w:pos="1276"/>
          <w:tab w:val="left" w:pos="1560"/>
        </w:tabs>
        <w:ind w:left="1276" w:hanging="425"/>
        <w:rPr>
          <w:sz w:val="20"/>
        </w:rPr>
      </w:pPr>
      <w:r w:rsidRPr="00C23AB1">
        <w:rPr>
          <w:sz w:val="20"/>
          <w:lang w:val="en-US"/>
        </w:rPr>
        <w:t>(3)</w:t>
      </w:r>
      <w:r w:rsidRPr="00C23AB1">
        <w:rPr>
          <w:sz w:val="20"/>
          <w:lang w:val="en-US"/>
        </w:rPr>
        <w:tab/>
        <w:t>Where a single condition causes multiple impairments, each impairment should be assessed under the relevant Table.</w:t>
      </w:r>
    </w:p>
    <w:p w:rsidR="008C5622" w:rsidRPr="00C23AB1" w:rsidRDefault="008C5622" w:rsidP="008C5622">
      <w:pPr>
        <w:pStyle w:val="Quote"/>
        <w:tabs>
          <w:tab w:val="left" w:pos="1276"/>
        </w:tabs>
        <w:ind w:left="1276" w:hanging="709"/>
        <w:rPr>
          <w:sz w:val="18"/>
          <w:szCs w:val="18"/>
        </w:rPr>
      </w:pPr>
      <w:r>
        <w:rPr>
          <w:iCs/>
          <w:sz w:val="20"/>
          <w:lang w:val="en-US"/>
        </w:rPr>
        <w:tab/>
      </w:r>
      <w:r w:rsidRPr="00C23AB1">
        <w:rPr>
          <w:iCs/>
          <w:sz w:val="18"/>
          <w:szCs w:val="18"/>
          <w:lang w:val="en-US"/>
        </w:rPr>
        <w:t>Example</w:t>
      </w:r>
      <w:r w:rsidRPr="00C23AB1">
        <w:rPr>
          <w:sz w:val="18"/>
          <w:szCs w:val="18"/>
          <w:lang w:val="en-US"/>
        </w:rPr>
        <w:t>: A stroke may affect different functions, thus resulting in multiple impairments which could be assessed under a number of different Tables including: upper and lower limb function (Tables 2 and 3); brain function (Table 7); communication function (Table 8); and visual function (Table 12).</w:t>
      </w:r>
    </w:p>
    <w:p w:rsidR="008C5622" w:rsidRPr="00C23AB1" w:rsidRDefault="008C5622" w:rsidP="008C5622">
      <w:pPr>
        <w:pStyle w:val="Quote"/>
        <w:tabs>
          <w:tab w:val="left" w:pos="851"/>
          <w:tab w:val="left" w:pos="1276"/>
        </w:tabs>
        <w:ind w:left="1276" w:hanging="425"/>
        <w:rPr>
          <w:sz w:val="20"/>
        </w:rPr>
      </w:pPr>
      <w:r w:rsidRPr="00C23AB1">
        <w:rPr>
          <w:sz w:val="20"/>
          <w:lang w:val="en-US"/>
        </w:rPr>
        <w:t>(4)</w:t>
      </w:r>
      <w:r w:rsidRPr="00C23AB1">
        <w:rPr>
          <w:sz w:val="20"/>
          <w:lang w:val="en-US"/>
        </w:rPr>
        <w:tab/>
        <w:t>When using more than one Table to assess multiple impairments resulting from a single condition, impairment ratings for the same impairment must not be assigned under more than one Table.</w:t>
      </w:r>
    </w:p>
    <w:p w:rsidR="008C5622" w:rsidRPr="00C23AB1" w:rsidRDefault="008C5622" w:rsidP="008C5622">
      <w:pPr>
        <w:pStyle w:val="Quote"/>
        <w:tabs>
          <w:tab w:val="left" w:pos="1276"/>
        </w:tabs>
        <w:ind w:left="851"/>
        <w:rPr>
          <w:sz w:val="20"/>
        </w:rPr>
      </w:pPr>
      <w:r w:rsidRPr="00C23AB1">
        <w:rPr>
          <w:sz w:val="20"/>
          <w:lang w:val="en-US"/>
        </w:rPr>
        <w:t>Multiple conditions causing a common impairment</w:t>
      </w:r>
    </w:p>
    <w:p w:rsidR="008C5622" w:rsidRPr="00C23AB1" w:rsidRDefault="008C5622" w:rsidP="008C5622">
      <w:pPr>
        <w:pStyle w:val="Quote"/>
        <w:tabs>
          <w:tab w:val="left" w:pos="851"/>
          <w:tab w:val="left" w:pos="1276"/>
        </w:tabs>
        <w:ind w:left="1276" w:hanging="425"/>
        <w:rPr>
          <w:sz w:val="20"/>
        </w:rPr>
      </w:pPr>
      <w:r w:rsidRPr="00C23AB1">
        <w:rPr>
          <w:sz w:val="20"/>
          <w:lang w:val="en-US"/>
        </w:rPr>
        <w:t>(5)</w:t>
      </w:r>
      <w:r w:rsidRPr="00C23AB1">
        <w:rPr>
          <w:sz w:val="20"/>
          <w:lang w:val="en-US"/>
        </w:rPr>
        <w:tab/>
        <w:t>Where two or more conditions cause a common or combined impairment, a single rating should be assigned in relation to that common or combined impairment under a single Table.</w:t>
      </w:r>
    </w:p>
    <w:p w:rsidR="008C5622" w:rsidRPr="00C94761" w:rsidRDefault="008C5622" w:rsidP="008C5622">
      <w:pPr>
        <w:pStyle w:val="Quote"/>
        <w:tabs>
          <w:tab w:val="left" w:pos="851"/>
          <w:tab w:val="left" w:pos="1276"/>
        </w:tabs>
        <w:ind w:left="1276" w:hanging="425"/>
      </w:pPr>
      <w:r w:rsidRPr="00C23AB1">
        <w:rPr>
          <w:sz w:val="20"/>
          <w:lang w:val="en-US"/>
        </w:rPr>
        <w:t>(6)</w:t>
      </w:r>
      <w:r w:rsidRPr="00C23AB1">
        <w:rPr>
          <w:sz w:val="20"/>
          <w:lang w:val="en-US"/>
        </w:rPr>
        <w:tab/>
        <w:t>Where a common or combined impairment resulting from two or more conditions is assessed in accordance with subsection 10(5), it is inappropriate to assign a separate impairment rating for each condition as this would result in the same impairment being assessed more than once</w:t>
      </w:r>
      <w:r w:rsidRPr="00C94761">
        <w:rPr>
          <w:lang w:val="en-US"/>
        </w:rPr>
        <w:t>.</w:t>
      </w:r>
    </w:p>
    <w:p w:rsidR="008C5622" w:rsidRPr="00C23AB1" w:rsidRDefault="008C5622" w:rsidP="008C5622">
      <w:pPr>
        <w:pStyle w:val="Quote"/>
        <w:ind w:left="1276"/>
        <w:rPr>
          <w:sz w:val="18"/>
          <w:szCs w:val="18"/>
        </w:rPr>
      </w:pPr>
      <w:r w:rsidRPr="00C23AB1">
        <w:rPr>
          <w:iCs/>
          <w:sz w:val="18"/>
          <w:szCs w:val="18"/>
          <w:lang w:val="en-US"/>
        </w:rPr>
        <w:t>Example</w:t>
      </w:r>
      <w:r w:rsidRPr="00C23AB1">
        <w:rPr>
          <w:sz w:val="18"/>
          <w:szCs w:val="18"/>
          <w:lang w:val="en-US"/>
        </w:rPr>
        <w:t>: The presence of both heart disease and chronic lung disease may each result in breathing difficulties. The overall impact on function requiring physical exertion and stamina would be a combined or common effect. In this case a single impairment rating should be assigned using Table 1.</w:t>
      </w:r>
    </w:p>
    <w:p w:rsidR="008C5622" w:rsidRPr="00C23AB1" w:rsidRDefault="008C5622" w:rsidP="008C5622">
      <w:pPr>
        <w:pStyle w:val="Quote"/>
        <w:ind w:left="567"/>
        <w:rPr>
          <w:b/>
          <w:sz w:val="20"/>
        </w:rPr>
      </w:pPr>
      <w:bookmarkStart w:id="11" w:name="_Toc310259527"/>
      <w:r w:rsidRPr="00C23AB1">
        <w:rPr>
          <w:b/>
          <w:sz w:val="20"/>
          <w:lang w:val="en-US"/>
        </w:rPr>
        <w:t>11 Assigning an impairment rating</w:t>
      </w:r>
      <w:bookmarkEnd w:id="11"/>
    </w:p>
    <w:p w:rsidR="008C5622" w:rsidRPr="00C23AB1" w:rsidRDefault="008C5622" w:rsidP="008C5622">
      <w:pPr>
        <w:pStyle w:val="Quote"/>
        <w:tabs>
          <w:tab w:val="left" w:pos="851"/>
          <w:tab w:val="left" w:pos="1276"/>
        </w:tabs>
        <w:ind w:left="851"/>
        <w:rPr>
          <w:sz w:val="20"/>
        </w:rPr>
      </w:pPr>
      <w:r w:rsidRPr="00C23AB1">
        <w:rPr>
          <w:sz w:val="20"/>
          <w:lang w:val="en-US"/>
        </w:rPr>
        <w:t>(1)</w:t>
      </w:r>
      <w:r w:rsidRPr="00C23AB1">
        <w:rPr>
          <w:sz w:val="20"/>
          <w:lang w:val="en-US"/>
        </w:rPr>
        <w:tab/>
        <w:t>In assigning an impairment rating:</w:t>
      </w:r>
    </w:p>
    <w:p w:rsidR="008C5622" w:rsidRPr="00C23AB1" w:rsidRDefault="008C5622" w:rsidP="008C5622">
      <w:pPr>
        <w:pStyle w:val="Quote"/>
        <w:tabs>
          <w:tab w:val="left" w:pos="851"/>
          <w:tab w:val="left" w:pos="1276"/>
          <w:tab w:val="left" w:pos="1560"/>
        </w:tabs>
        <w:ind w:left="1560" w:hanging="709"/>
        <w:rPr>
          <w:sz w:val="20"/>
        </w:rPr>
      </w:pPr>
      <w:r>
        <w:rPr>
          <w:sz w:val="20"/>
          <w:lang w:val="en-US"/>
        </w:rPr>
        <w:lastRenderedPageBreak/>
        <w:tab/>
      </w:r>
      <w:r w:rsidRPr="00C23AB1">
        <w:rPr>
          <w:sz w:val="20"/>
          <w:lang w:val="en-US"/>
        </w:rPr>
        <w:t>(a)</w:t>
      </w:r>
      <w:r w:rsidRPr="00C23AB1">
        <w:rPr>
          <w:sz w:val="20"/>
          <w:lang w:val="en-US"/>
        </w:rPr>
        <w:tab/>
        <w:t>an impairment rating can only be assigned in accordance with the rating points in each Table; and</w:t>
      </w:r>
    </w:p>
    <w:p w:rsidR="008C5622" w:rsidRPr="00C23AB1" w:rsidRDefault="008C5622" w:rsidP="008C5622">
      <w:pPr>
        <w:pStyle w:val="Quote"/>
        <w:tabs>
          <w:tab w:val="left" w:pos="1276"/>
        </w:tabs>
        <w:ind w:left="1560" w:hanging="993"/>
        <w:rPr>
          <w:sz w:val="20"/>
        </w:rPr>
      </w:pPr>
      <w:r w:rsidRPr="00C23AB1">
        <w:rPr>
          <w:sz w:val="20"/>
          <w:lang w:val="en-US"/>
        </w:rPr>
        <w:tab/>
        <w:t>(b)</w:t>
      </w:r>
      <w:r w:rsidRPr="00C23AB1">
        <w:rPr>
          <w:sz w:val="20"/>
          <w:lang w:val="en-US"/>
        </w:rPr>
        <w:tab/>
        <w:t>a rating cannot be assigned between consecutive impairment ratings; and</w:t>
      </w:r>
    </w:p>
    <w:p w:rsidR="008C5622" w:rsidRPr="00C23AB1" w:rsidRDefault="008C5622" w:rsidP="008C5622">
      <w:pPr>
        <w:pStyle w:val="Quote"/>
        <w:tabs>
          <w:tab w:val="left" w:pos="1276"/>
        </w:tabs>
        <w:ind w:left="1276"/>
        <w:rPr>
          <w:sz w:val="18"/>
          <w:szCs w:val="18"/>
        </w:rPr>
      </w:pPr>
      <w:r w:rsidRPr="00C23AB1">
        <w:rPr>
          <w:iCs/>
          <w:sz w:val="18"/>
          <w:szCs w:val="18"/>
          <w:lang w:val="en-US"/>
        </w:rPr>
        <w:t>Example</w:t>
      </w:r>
      <w:r w:rsidRPr="00C23AB1">
        <w:rPr>
          <w:sz w:val="18"/>
          <w:szCs w:val="18"/>
          <w:lang w:val="en-US"/>
        </w:rPr>
        <w:t>: A rating of 15 cannot be assigned between 10 and 20.</w:t>
      </w:r>
    </w:p>
    <w:p w:rsidR="008C5622" w:rsidRPr="00C23AB1" w:rsidRDefault="008C5622" w:rsidP="008C5622">
      <w:pPr>
        <w:pStyle w:val="Quote"/>
        <w:tabs>
          <w:tab w:val="left" w:pos="1560"/>
        </w:tabs>
        <w:ind w:left="1560" w:hanging="284"/>
        <w:rPr>
          <w:sz w:val="20"/>
        </w:rPr>
      </w:pPr>
      <w:r w:rsidRPr="00C23AB1">
        <w:rPr>
          <w:sz w:val="20"/>
          <w:lang w:val="en-US"/>
        </w:rPr>
        <w:t>(c)</w:t>
      </w:r>
      <w:r w:rsidRPr="00C23AB1">
        <w:rPr>
          <w:sz w:val="20"/>
          <w:lang w:val="en-US"/>
        </w:rPr>
        <w:tab/>
        <w:t>if an impairment is considered as falling between 2 impairment ratings, the lower of the 2 ratings is to be assigned and the higher rating must not be assigned unless all the descriptors for that level of impairment are satisfied; and</w:t>
      </w:r>
    </w:p>
    <w:p w:rsidR="008C5622" w:rsidRPr="00C23AB1" w:rsidRDefault="008C5622" w:rsidP="008C5622">
      <w:pPr>
        <w:pStyle w:val="Quote"/>
        <w:tabs>
          <w:tab w:val="left" w:pos="1560"/>
        </w:tabs>
        <w:ind w:left="1560" w:hanging="284"/>
        <w:rPr>
          <w:sz w:val="20"/>
        </w:rPr>
      </w:pPr>
      <w:r w:rsidRPr="00C23AB1">
        <w:rPr>
          <w:sz w:val="20"/>
          <w:lang w:val="en-US"/>
        </w:rPr>
        <w:t>(d)</w:t>
      </w:r>
      <w:r>
        <w:rPr>
          <w:sz w:val="20"/>
          <w:lang w:val="en-US"/>
        </w:rPr>
        <w:tab/>
      </w:r>
      <w:r w:rsidRPr="00C23AB1">
        <w:rPr>
          <w:sz w:val="20"/>
          <w:lang w:val="en-US"/>
        </w:rPr>
        <w:t>a rating cannot be assigned in excess of the maximum rating specified in each Table.</w:t>
      </w:r>
    </w:p>
    <w:p w:rsidR="008C5622" w:rsidRPr="00C23AB1" w:rsidRDefault="008C5622" w:rsidP="008C5622">
      <w:pPr>
        <w:pStyle w:val="Quote"/>
        <w:tabs>
          <w:tab w:val="left" w:pos="851"/>
          <w:tab w:val="left" w:pos="1276"/>
          <w:tab w:val="left" w:pos="1560"/>
        </w:tabs>
        <w:ind w:left="1276" w:hanging="425"/>
        <w:rPr>
          <w:sz w:val="20"/>
        </w:rPr>
      </w:pPr>
      <w:r w:rsidRPr="00C23AB1">
        <w:rPr>
          <w:sz w:val="20"/>
          <w:lang w:val="en-US"/>
        </w:rPr>
        <w:t>(2)</w:t>
      </w:r>
      <w:r w:rsidRPr="00C23AB1">
        <w:rPr>
          <w:sz w:val="20"/>
          <w:lang w:val="en-US"/>
        </w:rPr>
        <w:tab/>
        <w:t>In deciding whether an impairment has no, mild, moderate, severe or extreme functional impact upon a person, the relative descriptors for each impairment rating in a Table should be compared to determine which impairment rating is to be applied.</w:t>
      </w:r>
    </w:p>
    <w:p w:rsidR="008C5622" w:rsidRPr="00C23AB1" w:rsidRDefault="008C5622" w:rsidP="008C5622">
      <w:pPr>
        <w:pStyle w:val="Quote"/>
        <w:tabs>
          <w:tab w:val="left" w:pos="1276"/>
          <w:tab w:val="left" w:pos="1560"/>
        </w:tabs>
        <w:ind w:left="851"/>
        <w:rPr>
          <w:sz w:val="20"/>
        </w:rPr>
      </w:pPr>
      <w:r w:rsidRPr="00C23AB1">
        <w:rPr>
          <w:sz w:val="20"/>
          <w:lang w:val="en-US"/>
        </w:rPr>
        <w:t>Descriptors involving performing activities</w:t>
      </w:r>
    </w:p>
    <w:p w:rsidR="008C5622" w:rsidRPr="00C23AB1" w:rsidRDefault="008C5622" w:rsidP="008C5622">
      <w:pPr>
        <w:pStyle w:val="Quote"/>
        <w:tabs>
          <w:tab w:val="left" w:pos="1276"/>
          <w:tab w:val="left" w:pos="1560"/>
        </w:tabs>
        <w:ind w:left="1276" w:hanging="425"/>
        <w:rPr>
          <w:sz w:val="20"/>
        </w:rPr>
      </w:pPr>
      <w:r w:rsidRPr="00C23AB1">
        <w:rPr>
          <w:sz w:val="20"/>
          <w:lang w:val="en-US"/>
        </w:rPr>
        <w:t>(3)</w:t>
      </w:r>
      <w:r w:rsidRPr="00C23AB1">
        <w:rPr>
          <w:sz w:val="20"/>
          <w:lang w:val="en-US"/>
        </w:rPr>
        <w:tab/>
        <w:t>When determining whether a descriptor applies that involves a person performing an activity, the descriptor applies if that person can do the activity normally and on a repetitive or habitual basis and not only once or rarely.</w:t>
      </w:r>
    </w:p>
    <w:p w:rsidR="008C5622" w:rsidRPr="00C23AB1" w:rsidRDefault="008C5622" w:rsidP="008C5622">
      <w:pPr>
        <w:pStyle w:val="Quote"/>
        <w:ind w:left="1276"/>
        <w:rPr>
          <w:sz w:val="18"/>
          <w:szCs w:val="18"/>
        </w:rPr>
      </w:pPr>
      <w:r w:rsidRPr="00C23AB1">
        <w:rPr>
          <w:iCs/>
          <w:sz w:val="18"/>
          <w:szCs w:val="18"/>
          <w:lang w:val="en-US"/>
        </w:rPr>
        <w:t>Example</w:t>
      </w:r>
      <w:r w:rsidRPr="00C23AB1">
        <w:rPr>
          <w:sz w:val="18"/>
          <w:szCs w:val="18"/>
          <w:lang w:val="en-US"/>
        </w:rPr>
        <w:t>: If, under Table 2, a person is being assessed as to whether they can unscrew a lid of a soft drink bottle, the relevant impairment rating can only be assigned where the person is generally able to do that activity whenever they attempt it.</w:t>
      </w:r>
    </w:p>
    <w:p w:rsidR="008C5622" w:rsidRPr="00C23AB1" w:rsidRDefault="008C5622" w:rsidP="008C5622">
      <w:pPr>
        <w:pStyle w:val="Quote"/>
        <w:tabs>
          <w:tab w:val="left" w:pos="1276"/>
          <w:tab w:val="left" w:pos="1560"/>
        </w:tabs>
        <w:ind w:left="851"/>
        <w:rPr>
          <w:sz w:val="20"/>
        </w:rPr>
      </w:pPr>
      <w:r w:rsidRPr="00C23AB1">
        <w:rPr>
          <w:sz w:val="20"/>
          <w:lang w:val="en-US"/>
        </w:rPr>
        <w:t>Episodic and fluctuating conditions</w:t>
      </w:r>
    </w:p>
    <w:p w:rsidR="008C5622" w:rsidRPr="00C23AB1" w:rsidRDefault="008C5622" w:rsidP="008C5622">
      <w:pPr>
        <w:pStyle w:val="Quote"/>
        <w:tabs>
          <w:tab w:val="left" w:pos="851"/>
          <w:tab w:val="left" w:pos="1276"/>
          <w:tab w:val="left" w:pos="1560"/>
        </w:tabs>
        <w:ind w:left="1276" w:hanging="425"/>
        <w:rPr>
          <w:sz w:val="20"/>
        </w:rPr>
      </w:pPr>
      <w:r w:rsidRPr="00C23AB1">
        <w:rPr>
          <w:sz w:val="20"/>
          <w:lang w:val="en-US"/>
        </w:rPr>
        <w:t>(4)</w:t>
      </w:r>
      <w:r w:rsidRPr="00C23AB1">
        <w:rPr>
          <w:sz w:val="20"/>
          <w:lang w:val="en-US"/>
        </w:rPr>
        <w:tab/>
        <w:t>When assessing impairments caused by conditions that have stabilised as episodic or fluctuating a rating must be assigned, which reflects the overall functional impact of those impairments, taking into account the severity, duration and frequency of the episodes or fluctuations as appropriate.</w:t>
      </w:r>
    </w:p>
    <w:p w:rsidR="008C5622" w:rsidRPr="00C23AB1" w:rsidRDefault="008C5622" w:rsidP="008C5622">
      <w:pPr>
        <w:pStyle w:val="Quote"/>
        <w:tabs>
          <w:tab w:val="left" w:pos="851"/>
          <w:tab w:val="left" w:pos="1276"/>
          <w:tab w:val="left" w:pos="1560"/>
        </w:tabs>
        <w:ind w:left="851"/>
        <w:rPr>
          <w:sz w:val="20"/>
        </w:rPr>
      </w:pPr>
      <w:r w:rsidRPr="00C23AB1">
        <w:rPr>
          <w:sz w:val="20"/>
          <w:lang w:val="en-US"/>
        </w:rPr>
        <w:t>No impairment resulting from a condition</w:t>
      </w:r>
    </w:p>
    <w:p w:rsidR="008C5622" w:rsidRDefault="008C5622" w:rsidP="008C5622">
      <w:pPr>
        <w:pStyle w:val="Quote"/>
        <w:tabs>
          <w:tab w:val="left" w:pos="851"/>
          <w:tab w:val="left" w:pos="1276"/>
          <w:tab w:val="left" w:pos="1560"/>
        </w:tabs>
        <w:ind w:left="1276" w:hanging="425"/>
        <w:rPr>
          <w:sz w:val="20"/>
          <w:lang w:val="en-US"/>
        </w:rPr>
      </w:pPr>
      <w:r w:rsidRPr="00C23AB1">
        <w:rPr>
          <w:sz w:val="20"/>
          <w:lang w:val="en-US"/>
        </w:rPr>
        <w:t>(5)</w:t>
      </w:r>
      <w:r w:rsidRPr="00C23AB1">
        <w:rPr>
          <w:sz w:val="20"/>
          <w:lang w:val="en-US"/>
        </w:rPr>
        <w:tab/>
        <w:t>To avoid doubt, where a person’s diagnosed condition results in no impairment, the impairment should be assessed as having no functional impact and a zero rating must be assigned.”</w:t>
      </w:r>
    </w:p>
    <w:p w:rsidR="008C5622" w:rsidRDefault="008C5622" w:rsidP="008C5622">
      <w:pPr>
        <w:pStyle w:val="Heading1"/>
      </w:pPr>
      <w:r>
        <w:t>BACKGROUND facts</w:t>
      </w:r>
    </w:p>
    <w:p w:rsidR="008C5622" w:rsidRDefault="008C5622" w:rsidP="00A455BE">
      <w:pPr>
        <w:pStyle w:val="ListNumber"/>
      </w:pPr>
      <w:r>
        <w:t xml:space="preserve">The background facts in this case are not in dispute and are largely extracted from the respondent’s statement of facts and contentions.  </w:t>
      </w:r>
    </w:p>
    <w:p w:rsidR="008C5622" w:rsidRDefault="008C5622" w:rsidP="00A455BE">
      <w:pPr>
        <w:pStyle w:val="ListNumber"/>
      </w:pPr>
      <w:r>
        <w:t>In relation to the portability issue, the applicant had previously been in receipt of DSP from 5 November 2011.  He contacted the respondent on 11 June 2013 to advise his intention to leave Australia from 19 June 2013 and to return between 31 July 2013 and 18 September 2013.</w:t>
      </w:r>
      <w:r>
        <w:rPr>
          <w:rStyle w:val="FootnoteReference"/>
        </w:rPr>
        <w:footnoteReference w:id="2"/>
      </w:r>
      <w:r>
        <w:t xml:space="preserve">  On 11 June 2013 the applicant was sent a notice about the effect of his travel plans on his DSP.</w:t>
      </w:r>
      <w:r>
        <w:rPr>
          <w:rStyle w:val="FootnoteReference"/>
        </w:rPr>
        <w:footnoteReference w:id="3"/>
      </w:r>
      <w:r>
        <w:t xml:space="preserve">  On 31 July 2013, the applicant’s DSP was suspended as he </w:t>
      </w:r>
      <w:r>
        <w:lastRenderedPageBreak/>
        <w:t>had continued to remain overseas for more than six weeks.</w:t>
      </w:r>
      <w:r>
        <w:rPr>
          <w:rStyle w:val="FootnoteReference"/>
        </w:rPr>
        <w:footnoteReference w:id="4"/>
      </w:r>
      <w:r>
        <w:t xml:space="preserve">  On 30 October 2013, the applicant’s DSP was cancelled as he had then continued overseas for a further 13</w:t>
      </w:r>
      <w:r w:rsidR="00ED4ACA">
        <w:t> </w:t>
      </w:r>
      <w:r>
        <w:t>weeks.</w:t>
      </w:r>
      <w:r>
        <w:rPr>
          <w:rStyle w:val="FootnoteReference"/>
        </w:rPr>
        <w:footnoteReference w:id="5"/>
      </w:r>
      <w:r>
        <w:t xml:space="preserve">  On 25 November 2013, the applicant returned to Australia.</w:t>
      </w:r>
      <w:r>
        <w:rPr>
          <w:rStyle w:val="FootnoteReference"/>
        </w:rPr>
        <w:footnoteReference w:id="6"/>
      </w:r>
      <w:r>
        <w:t xml:space="preserve">  The applicant claimed and received Newstart Allowance from 26 November 2013.</w:t>
      </w:r>
      <w:r>
        <w:rPr>
          <w:rStyle w:val="FootnoteReference"/>
        </w:rPr>
        <w:footnoteReference w:id="7"/>
      </w:r>
    </w:p>
    <w:p w:rsidR="008C5622" w:rsidRDefault="008C5622" w:rsidP="00A455BE">
      <w:pPr>
        <w:pStyle w:val="ListNumber"/>
      </w:pPr>
      <w:r>
        <w:t>The a</w:t>
      </w:r>
      <w:r w:rsidR="00DE705C">
        <w:t>pplicant also claimed DSP from 2</w:t>
      </w:r>
      <w:r>
        <w:t xml:space="preserve">4 January 2014.  As part of </w:t>
      </w:r>
      <w:r w:rsidR="007A7422">
        <w:t>t</w:t>
      </w:r>
      <w:r>
        <w:t xml:space="preserve">his claim, he lodged a “Medical Report – Disability Support Pension” form completed by Dr Kerry and signed on 16 January 2014.  This </w:t>
      </w:r>
      <w:r w:rsidR="007A7422">
        <w:t>R</w:t>
      </w:r>
      <w:r>
        <w:t xml:space="preserve">eport said that the applicant suffered from “bilateral hip osteoarthritis” and “deep vein thrombosis of right calf”.  He also lodged a “Medical Report </w:t>
      </w:r>
      <w:r w:rsidR="00E55484">
        <w:t>–</w:t>
      </w:r>
      <w:r>
        <w:t xml:space="preserve"> </w:t>
      </w:r>
      <w:r w:rsidR="00E55484">
        <w:t>Disability Support Pension” form completed by Dr Spriggins, purportedly sig</w:t>
      </w:r>
      <w:r w:rsidR="007A7422">
        <w:t>ned on 11 February 2014.  This R</w:t>
      </w:r>
      <w:r w:rsidR="00E55484">
        <w:t>eport also said that he suffered from “osteoarthritis</w:t>
      </w:r>
      <w:r w:rsidR="00DE705C">
        <w:t xml:space="preserve"> left hip” and “right hip replacement</w:t>
      </w:r>
      <w:r w:rsidR="00E55484">
        <w:t>”.  A Job Capacity Assessment (“JCA”) report was completed on 25</w:t>
      </w:r>
      <w:r w:rsidR="00DE705C">
        <w:t> </w:t>
      </w:r>
      <w:r w:rsidR="00E55484">
        <w:t>February 2014</w:t>
      </w:r>
      <w:r w:rsidR="00DE705C">
        <w:rPr>
          <w:rStyle w:val="FootnoteReference"/>
        </w:rPr>
        <w:footnoteReference w:id="8"/>
      </w:r>
      <w:r w:rsidR="00E55484">
        <w:t xml:space="preserve"> to assess the applicant’s qualification for DSP.  In addition to the medical conditions already mentioned, the </w:t>
      </w:r>
      <w:r w:rsidR="007A7422">
        <w:t xml:space="preserve">JCA </w:t>
      </w:r>
      <w:r w:rsidR="00E55484">
        <w:t xml:space="preserve">report said that the applicant suffered from “lower limb deficiency of the right </w:t>
      </w:r>
      <w:r w:rsidR="00D96CC9">
        <w:t>5</w:t>
      </w:r>
      <w:r w:rsidR="00E55484">
        <w:t xml:space="preserve">th metatarsal”.  The JCA report found that the applicant’s bilateral hip osteoarthritis condition was fully diagnosed, but not fully treated and stabilised and could not be assigned an impairment rating under the Impairment Tables.  The report also found that the applicant’s lower limb deficiency (metatarsal condition) was reported by Dr Kerry to be a condition causing limited or minimal functional impact.  There was insufficient information to assess whether the condition was fully diagnosed, fully treated and fully stabilised and </w:t>
      </w:r>
      <w:r w:rsidR="00EC144E">
        <w:t xml:space="preserve">the condition </w:t>
      </w:r>
      <w:r w:rsidR="00E55484">
        <w:t xml:space="preserve">could not be assigned an impairment rating under </w:t>
      </w:r>
      <w:r w:rsidR="00EC144E">
        <w:t xml:space="preserve">the </w:t>
      </w:r>
      <w:r w:rsidR="00E55484">
        <w:t>Impairment Tables.</w:t>
      </w:r>
    </w:p>
    <w:p w:rsidR="00E55484" w:rsidRDefault="00E55484" w:rsidP="00A455BE">
      <w:pPr>
        <w:pStyle w:val="ListNumber"/>
      </w:pPr>
      <w:r>
        <w:t xml:space="preserve">Before the SSAT, the member considered the applicant’s impairment rating for his hip condition under Table 3 – Lower </w:t>
      </w:r>
      <w:r w:rsidR="00DE705C">
        <w:t>L</w:t>
      </w:r>
      <w:r>
        <w:t xml:space="preserve">imb </w:t>
      </w:r>
      <w:r w:rsidR="00DE705C">
        <w:t>F</w:t>
      </w:r>
      <w:r>
        <w:t xml:space="preserve">unction.  The member found that </w:t>
      </w:r>
      <w:r w:rsidR="00D96CC9">
        <w:t>t</w:t>
      </w:r>
      <w:r>
        <w:t xml:space="preserve">he </w:t>
      </w:r>
      <w:r w:rsidR="00D96CC9">
        <w:t xml:space="preserve">applicant </w:t>
      </w:r>
      <w:r>
        <w:t xml:space="preserve">had a moderate functional impact on activities using lower limbs and assigned 10 impairment points for this condition.  However, the member could not allocate 20 points for the condition as the applicant was able to walk from the car park into a shopping centre or supermarket without assistance.  As to the claim for deep vein thrombosis and </w:t>
      </w:r>
      <w:r>
        <w:lastRenderedPageBreak/>
        <w:t>the right foot condition, the member agreed that these conditions did not attract impairment ratings under the Impairment Tables.</w:t>
      </w:r>
    </w:p>
    <w:p w:rsidR="00E55484" w:rsidRDefault="00E55484" w:rsidP="00E55484">
      <w:pPr>
        <w:pStyle w:val="Heading1"/>
      </w:pPr>
      <w:r>
        <w:t>evidence</w:t>
      </w:r>
    </w:p>
    <w:p w:rsidR="00E55484" w:rsidRDefault="00E55484" w:rsidP="00E55484">
      <w:pPr>
        <w:pStyle w:val="ListNumber"/>
        <w:rPr>
          <w:lang w:eastAsia="en-AU"/>
        </w:rPr>
      </w:pPr>
      <w:r>
        <w:rPr>
          <w:lang w:eastAsia="en-AU"/>
        </w:rPr>
        <w:t>In giving his evidence, the applicant said that he telephoned Centrelink to advise that he planned to leave Australia for Cypr</w:t>
      </w:r>
      <w:r w:rsidR="00D96CC9">
        <w:rPr>
          <w:lang w:eastAsia="en-AU"/>
        </w:rPr>
        <w:t>u</w:t>
      </w:r>
      <w:r>
        <w:rPr>
          <w:lang w:eastAsia="en-AU"/>
        </w:rPr>
        <w:t xml:space="preserve">s on 19 June 2013.  The return date was not confirmed because of a matter involving Housing SA, but he said he had an itinerary to return on 23 October 2013.  On 31 July 2013, Centrelink wrote to him to advise that his DSP had been suspended because he was still overseas.  The Centrelink letter was not forwarded to him.  He said he wrote to Centrelink on 1 September 2013 regarding the inability to book a flight back to Australia, because no seats were available until the date he had booked, being 23 October 2013.  When Centrelink advised him that his DSP had been cancelled, he was still overseas because the </w:t>
      </w:r>
      <w:r w:rsidR="00EC144E">
        <w:rPr>
          <w:lang w:eastAsia="en-AU"/>
        </w:rPr>
        <w:t>deep vein thrombosis</w:t>
      </w:r>
      <w:r>
        <w:rPr>
          <w:lang w:eastAsia="en-AU"/>
        </w:rPr>
        <w:t xml:space="preserve"> condition arose and he cancelled the flight on 23 October 2013.  After calling the airline, the best travel date was 24</w:t>
      </w:r>
      <w:r w:rsidR="00D16043">
        <w:rPr>
          <w:lang w:eastAsia="en-AU"/>
        </w:rPr>
        <w:t> </w:t>
      </w:r>
      <w:r>
        <w:rPr>
          <w:lang w:eastAsia="en-AU"/>
        </w:rPr>
        <w:t xml:space="preserve">November 2013 </w:t>
      </w:r>
      <w:r w:rsidR="00D96CC9">
        <w:rPr>
          <w:lang w:eastAsia="en-AU"/>
        </w:rPr>
        <w:t>because</w:t>
      </w:r>
      <w:r>
        <w:rPr>
          <w:lang w:eastAsia="en-AU"/>
        </w:rPr>
        <w:t xml:space="preserve"> the airline had no available seats until then.  </w:t>
      </w:r>
    </w:p>
    <w:p w:rsidR="00E55484" w:rsidRDefault="00E55484" w:rsidP="00E55484">
      <w:pPr>
        <w:pStyle w:val="ListNumber"/>
        <w:rPr>
          <w:lang w:eastAsia="en-AU"/>
        </w:rPr>
      </w:pPr>
      <w:r>
        <w:rPr>
          <w:lang w:eastAsia="en-AU"/>
        </w:rPr>
        <w:t>In relation to the applica</w:t>
      </w:r>
      <w:r w:rsidR="00DE705C">
        <w:rPr>
          <w:lang w:eastAsia="en-AU"/>
        </w:rPr>
        <w:t>nt’s further DSP claim made on 2</w:t>
      </w:r>
      <w:r>
        <w:rPr>
          <w:lang w:eastAsia="en-AU"/>
        </w:rPr>
        <w:t>4 January 2014, h</w:t>
      </w:r>
      <w:r w:rsidR="00E67BA1">
        <w:rPr>
          <w:lang w:eastAsia="en-AU"/>
        </w:rPr>
        <w:t>e said he was still taking Warfa</w:t>
      </w:r>
      <w:r>
        <w:rPr>
          <w:lang w:eastAsia="en-AU"/>
        </w:rPr>
        <w:t>rin due to his deep</w:t>
      </w:r>
      <w:r w:rsidR="00D16043">
        <w:rPr>
          <w:lang w:eastAsia="en-AU"/>
        </w:rPr>
        <w:t xml:space="preserve"> vein thrombosis.  His doctor was reluctant to operate while he was on this medication.  He may need further surgery on his left hip.  He preferred walking to driving, as he found it difficult to get in and out of the car.  He also found public transport difficult to get on and off bus</w:t>
      </w:r>
      <w:r w:rsidR="00D96CC9">
        <w:rPr>
          <w:lang w:eastAsia="en-AU"/>
        </w:rPr>
        <w:t>es</w:t>
      </w:r>
      <w:r w:rsidR="00D16043">
        <w:rPr>
          <w:lang w:eastAsia="en-AU"/>
        </w:rPr>
        <w:t xml:space="preserve">.  Once on a bus, it could not move until he sat down.  </w:t>
      </w:r>
    </w:p>
    <w:p w:rsidR="00D16043" w:rsidRDefault="00D16043" w:rsidP="00E55484">
      <w:pPr>
        <w:pStyle w:val="ListNumber"/>
        <w:rPr>
          <w:lang w:eastAsia="en-AU"/>
        </w:rPr>
      </w:pPr>
      <w:r>
        <w:rPr>
          <w:lang w:eastAsia="en-AU"/>
        </w:rPr>
        <w:t xml:space="preserve">The applicant said that he had no argument with the decision to suspend his DSP after </w:t>
      </w:r>
      <w:r w:rsidR="00D96CC9">
        <w:rPr>
          <w:lang w:eastAsia="en-AU"/>
        </w:rPr>
        <w:t>6</w:t>
      </w:r>
      <w:r w:rsidR="00ED4ACA">
        <w:rPr>
          <w:lang w:eastAsia="en-AU"/>
        </w:rPr>
        <w:t> </w:t>
      </w:r>
      <w:r>
        <w:rPr>
          <w:lang w:eastAsia="en-AU"/>
        </w:rPr>
        <w:t xml:space="preserve">weeks when the portability period ended.  He contended that his DSP should not have been cancelled and the respondent should have continued the suspension until he returned to Australia.  He referred to the decision of Senior Member Toohey in </w:t>
      </w:r>
      <w:r w:rsidR="0099476A" w:rsidRPr="0099476A">
        <w:rPr>
          <w:i/>
          <w:lang w:eastAsia="en-AU"/>
        </w:rPr>
        <w:t xml:space="preserve">Re </w:t>
      </w:r>
      <w:r w:rsidR="00BF353A">
        <w:rPr>
          <w:i/>
          <w:lang w:eastAsia="en-AU"/>
        </w:rPr>
        <w:t xml:space="preserve">Secretary, Department of Social Services and </w:t>
      </w:r>
      <w:r>
        <w:rPr>
          <w:i/>
          <w:lang w:eastAsia="en-AU"/>
        </w:rPr>
        <w:t>Anwar</w:t>
      </w:r>
      <w:r w:rsidR="00BF353A">
        <w:rPr>
          <w:lang w:eastAsia="en-AU"/>
        </w:rPr>
        <w:t xml:space="preserve"> [2015] AATA 413</w:t>
      </w:r>
      <w:r>
        <w:rPr>
          <w:i/>
          <w:lang w:eastAsia="en-AU"/>
        </w:rPr>
        <w:t xml:space="preserve">, </w:t>
      </w:r>
      <w:r w:rsidR="00BF353A">
        <w:rPr>
          <w:lang w:eastAsia="en-AU"/>
        </w:rPr>
        <w:t xml:space="preserve">which was </w:t>
      </w:r>
      <w:r>
        <w:rPr>
          <w:lang w:eastAsia="en-AU"/>
        </w:rPr>
        <w:t>dated 12</w:t>
      </w:r>
      <w:r w:rsidR="00ED4ACA">
        <w:rPr>
          <w:lang w:eastAsia="en-AU"/>
        </w:rPr>
        <w:t> </w:t>
      </w:r>
      <w:r>
        <w:rPr>
          <w:lang w:eastAsia="en-AU"/>
        </w:rPr>
        <w:t>June</w:t>
      </w:r>
      <w:r w:rsidR="00ED4ACA">
        <w:rPr>
          <w:lang w:eastAsia="en-AU"/>
        </w:rPr>
        <w:t> </w:t>
      </w:r>
      <w:r>
        <w:rPr>
          <w:lang w:eastAsia="en-AU"/>
        </w:rPr>
        <w:t>2015</w:t>
      </w:r>
      <w:r w:rsidR="00BF353A">
        <w:rPr>
          <w:lang w:eastAsia="en-AU"/>
        </w:rPr>
        <w:t>.</w:t>
      </w:r>
      <w:r>
        <w:rPr>
          <w:lang w:eastAsia="en-AU"/>
        </w:rPr>
        <w:t xml:space="preserve"> </w:t>
      </w:r>
    </w:p>
    <w:p w:rsidR="00D16043" w:rsidRDefault="00D16043" w:rsidP="00D16043">
      <w:pPr>
        <w:pStyle w:val="Heading1"/>
      </w:pPr>
      <w:r>
        <w:lastRenderedPageBreak/>
        <w:t>CONSIDERATION</w:t>
      </w:r>
    </w:p>
    <w:p w:rsidR="00D16043" w:rsidRDefault="00D16043" w:rsidP="00D16043">
      <w:pPr>
        <w:pStyle w:val="Heading2"/>
      </w:pPr>
      <w:r>
        <w:t>Were the decisions made on 31 July 2013 and 30 October 2013 to suspend and then cancel the applicant’s DSP correct?</w:t>
      </w:r>
    </w:p>
    <w:p w:rsidR="00111E7D" w:rsidRDefault="00EF2AEF" w:rsidP="00D16043">
      <w:pPr>
        <w:pStyle w:val="ListNumber"/>
        <w:rPr>
          <w:lang w:eastAsia="en-AU"/>
        </w:rPr>
      </w:pPr>
      <w:r>
        <w:rPr>
          <w:lang w:eastAsia="en-AU"/>
        </w:rPr>
        <w:t xml:space="preserve">The portability of a payment, that is the amount of time a payment may be paid </w:t>
      </w:r>
      <w:r w:rsidR="00DE705C">
        <w:rPr>
          <w:lang w:eastAsia="en-AU"/>
        </w:rPr>
        <w:t xml:space="preserve">while </w:t>
      </w:r>
      <w:r>
        <w:rPr>
          <w:lang w:eastAsia="en-AU"/>
        </w:rPr>
        <w:t>overseas, is governed by the provisions of Part 4.2 of the Act.</w:t>
      </w:r>
      <w:r w:rsidR="00EE117D">
        <w:rPr>
          <w:lang w:eastAsia="en-AU"/>
        </w:rPr>
        <w:t xml:space="preserve">  The general provisions are contained in s 1217 of the Act and provide that the maximum portability period for a person to receive DSP while overseas is limited to 6 weeks, unless the person is severely impaired or has a terminal illness.  </w:t>
      </w:r>
    </w:p>
    <w:p w:rsidR="00D16043" w:rsidRDefault="00D16043" w:rsidP="00D16043">
      <w:pPr>
        <w:pStyle w:val="ListNumber"/>
        <w:rPr>
          <w:lang w:eastAsia="en-AU"/>
        </w:rPr>
      </w:pPr>
      <w:r>
        <w:rPr>
          <w:lang w:eastAsia="en-AU"/>
        </w:rPr>
        <w:t>In giving his evidence and in making his closing submissions, it seemed that the applicant was arguing that he was a “severely impaired disability support pensioner” with</w:t>
      </w:r>
      <w:r w:rsidR="00BF353A">
        <w:rPr>
          <w:lang w:eastAsia="en-AU"/>
        </w:rPr>
        <w:t xml:space="preserve">in the </w:t>
      </w:r>
      <w:r>
        <w:rPr>
          <w:lang w:eastAsia="en-AU"/>
        </w:rPr>
        <w:t xml:space="preserve">meaning of </w:t>
      </w:r>
      <w:r w:rsidR="00BF353A">
        <w:rPr>
          <w:lang w:eastAsia="en-AU"/>
        </w:rPr>
        <w:t>I</w:t>
      </w:r>
      <w:r>
        <w:rPr>
          <w:lang w:eastAsia="en-AU"/>
        </w:rPr>
        <w:t xml:space="preserve">tem 2A of </w:t>
      </w:r>
      <w:r w:rsidR="00BF353A">
        <w:rPr>
          <w:lang w:eastAsia="en-AU"/>
        </w:rPr>
        <w:t>C</w:t>
      </w:r>
      <w:r>
        <w:rPr>
          <w:lang w:eastAsia="en-AU"/>
        </w:rPr>
        <w:t xml:space="preserve">olumn 1 in the </w:t>
      </w:r>
      <w:r w:rsidR="00BF353A">
        <w:rPr>
          <w:lang w:eastAsia="en-AU"/>
        </w:rPr>
        <w:t>T</w:t>
      </w:r>
      <w:r>
        <w:rPr>
          <w:lang w:eastAsia="en-AU"/>
        </w:rPr>
        <w:t>able appearing at the end of s 1217 of the Act.</w:t>
      </w:r>
      <w:r w:rsidR="009F04DA">
        <w:rPr>
          <w:lang w:eastAsia="en-AU"/>
        </w:rPr>
        <w:t xml:space="preserve">  </w:t>
      </w:r>
      <w:r w:rsidR="00EF2AEF">
        <w:rPr>
          <w:lang w:eastAsia="en-AU"/>
        </w:rPr>
        <w:t>However, there is no evidence that, at the time, he was severely impaired.</w:t>
      </w:r>
    </w:p>
    <w:p w:rsidR="00111E7D" w:rsidRDefault="00111E7D" w:rsidP="00111E7D">
      <w:pPr>
        <w:pStyle w:val="ListNumber"/>
      </w:pPr>
      <w:r>
        <w:t>It was not contended by the applicant that either of these situations applied to him.  His contention was that he was aware that his DSP would be suspende</w:t>
      </w:r>
      <w:r w:rsidR="00185E4F">
        <w:t>d after 6 weeks, but that he had</w:t>
      </w:r>
      <w:r>
        <w:t xml:space="preserve"> planned to return to Australia prior to the subsequent 13 week period </w:t>
      </w:r>
      <w:r w:rsidR="00DE705C">
        <w:t xml:space="preserve">which could </w:t>
      </w:r>
      <w:r>
        <w:t>result in cancellation of his DSP.  He said he had an itinerary to return to Australia on 23</w:t>
      </w:r>
      <w:r w:rsidR="0099476A">
        <w:t> </w:t>
      </w:r>
      <w:r>
        <w:t xml:space="preserve">October 2013.  It was the result of </w:t>
      </w:r>
      <w:r w:rsidR="00185E4F">
        <w:t>the</w:t>
      </w:r>
      <w:r>
        <w:t xml:space="preserve"> medical condition of deep vein thrombosis that caused him to be unable to return, prior to the </w:t>
      </w:r>
      <w:r w:rsidR="00185E4F">
        <w:t>13</w:t>
      </w:r>
      <w:r>
        <w:t xml:space="preserve"> week period.  Section 1218C(2) provides that the person</w:t>
      </w:r>
      <w:r w:rsidR="00185E4F">
        <w:t>’</w:t>
      </w:r>
      <w:r>
        <w:t xml:space="preserve">s portability period should not be extended under subsection (1) unless the illness or event occurred or began during the period of absence.  According to the applicant, his </w:t>
      </w:r>
      <w:r w:rsidR="00185E4F">
        <w:t>deep vein thrombosis</w:t>
      </w:r>
      <w:r>
        <w:t xml:space="preserve"> had a date of onset of 24 October 2013.  Even though this falls outside the 6 week portability period, he was seeking the application of s</w:t>
      </w:r>
      <w:r w:rsidR="0099476A">
        <w:t> </w:t>
      </w:r>
      <w:r>
        <w:t>1218C as the onset occurred while he was away.  There are letters in the T documents</w:t>
      </w:r>
      <w:r>
        <w:rPr>
          <w:rStyle w:val="FootnoteReference"/>
          <w:lang w:eastAsia="en-AU"/>
        </w:rPr>
        <w:footnoteReference w:id="9"/>
      </w:r>
      <w:r>
        <w:t xml:space="preserve"> from two surgeons in Cypr</w:t>
      </w:r>
      <w:r w:rsidR="00185E4F">
        <w:t>us</w:t>
      </w:r>
      <w:r>
        <w:t xml:space="preserve"> that indicate the applicant suffered </w:t>
      </w:r>
      <w:r w:rsidR="00185E4F">
        <w:t>deep vein thrombosis</w:t>
      </w:r>
      <w:r>
        <w:t xml:space="preserve"> in October 2013.  However, the diagnosis of the </w:t>
      </w:r>
      <w:r w:rsidR="00185E4F">
        <w:t>deep vein thrombosis</w:t>
      </w:r>
      <w:r>
        <w:t xml:space="preserve"> does not appear to have occurred until 6 November 2013, which was after the 13 week period.  Notwithstanding this, even if the </w:t>
      </w:r>
      <w:r w:rsidR="009B339E">
        <w:t>deep vein thrombosis</w:t>
      </w:r>
      <w:r>
        <w:t xml:space="preserve"> occurred prior to 30 October 2013, it was after the initial portability period of </w:t>
      </w:r>
      <w:r w:rsidR="009B339E">
        <w:t>6</w:t>
      </w:r>
      <w:r>
        <w:t xml:space="preserve"> weeks had expired.  In the SSAT</w:t>
      </w:r>
      <w:r w:rsidR="00DE705C">
        <w:t xml:space="preserve"> decision</w:t>
      </w:r>
      <w:r>
        <w:t xml:space="preserve">, the member referred to the decision of Senior Member Imlach in </w:t>
      </w:r>
      <w:r w:rsidR="0099476A">
        <w:rPr>
          <w:i/>
        </w:rPr>
        <w:t xml:space="preserve">Re </w:t>
      </w:r>
      <w:r>
        <w:rPr>
          <w:i/>
        </w:rPr>
        <w:t xml:space="preserve">Young and Secretary, </w:t>
      </w:r>
      <w:r>
        <w:rPr>
          <w:i/>
        </w:rPr>
        <w:lastRenderedPageBreak/>
        <w:t>Department of Family and Community Services.</w:t>
      </w:r>
      <w:r>
        <w:rPr>
          <w:rStyle w:val="FootnoteReference"/>
          <w:i/>
        </w:rPr>
        <w:footnoteReference w:id="10"/>
      </w:r>
      <w:r>
        <w:rPr>
          <w:i/>
        </w:rPr>
        <w:t xml:space="preserve">  </w:t>
      </w:r>
      <w:r>
        <w:t xml:space="preserve">In that case, the Senior Member found that </w:t>
      </w:r>
      <w:r w:rsidR="009B339E">
        <w:t>a</w:t>
      </w:r>
      <w:r>
        <w:t xml:space="preserve"> medical condition occurring after the initial period of portability had expired could not be used to extend the period of portability.  </w:t>
      </w:r>
    </w:p>
    <w:p w:rsidR="00635B45" w:rsidRDefault="00111E7D" w:rsidP="00111E7D">
      <w:pPr>
        <w:pStyle w:val="ListNumber"/>
        <w:spacing w:before="240"/>
        <w:rPr>
          <w:lang w:eastAsia="en-AU"/>
        </w:rPr>
      </w:pPr>
      <w:r>
        <w:rPr>
          <w:lang w:eastAsia="en-AU"/>
        </w:rPr>
        <w:t>The SSAT member also referred to the Social Security Guide which contains policy about the application of s 1218C.  At 7.1.2.10</w:t>
      </w:r>
      <w:r w:rsidR="009B339E">
        <w:rPr>
          <w:lang w:eastAsia="en-AU"/>
        </w:rPr>
        <w:t xml:space="preserve"> in the Guide</w:t>
      </w:r>
      <w:r>
        <w:rPr>
          <w:lang w:eastAsia="en-AU"/>
        </w:rPr>
        <w:t xml:space="preserve">, dealing with </w:t>
      </w:r>
      <w:r w:rsidRPr="00111E7D">
        <w:rPr>
          <w:i/>
          <w:lang w:eastAsia="en-AU"/>
        </w:rPr>
        <w:t xml:space="preserve">General Rules </w:t>
      </w:r>
      <w:r w:rsidR="009B339E">
        <w:rPr>
          <w:i/>
          <w:lang w:eastAsia="en-AU"/>
        </w:rPr>
        <w:t>o</w:t>
      </w:r>
      <w:r w:rsidRPr="00111E7D">
        <w:rPr>
          <w:i/>
          <w:lang w:eastAsia="en-AU"/>
        </w:rPr>
        <w:t>f Portability</w:t>
      </w:r>
      <w:r>
        <w:rPr>
          <w:i/>
          <w:lang w:eastAsia="en-AU"/>
        </w:rPr>
        <w:t xml:space="preserve">, </w:t>
      </w:r>
      <w:r>
        <w:rPr>
          <w:lang w:eastAsia="en-AU"/>
        </w:rPr>
        <w:t>the Tribunal must apply policy unless there is good reason not to do so (</w:t>
      </w:r>
      <w:r>
        <w:rPr>
          <w:i/>
          <w:lang w:eastAsia="en-AU"/>
        </w:rPr>
        <w:t>Drake and Minister for Immigration and Ethnic Affairs (No2)).</w:t>
      </w:r>
      <w:r>
        <w:rPr>
          <w:rStyle w:val="FootnoteReference"/>
          <w:i/>
          <w:lang w:eastAsia="en-AU"/>
        </w:rPr>
        <w:footnoteReference w:id="11"/>
      </w:r>
      <w:r>
        <w:rPr>
          <w:i/>
          <w:lang w:eastAsia="en-AU"/>
        </w:rPr>
        <w:t xml:space="preserve">  </w:t>
      </w:r>
      <w:r>
        <w:rPr>
          <w:lang w:eastAsia="en-AU"/>
        </w:rPr>
        <w:t xml:space="preserve">The application of policy ensures that like situations are treated alike.  However, the Tribunal’s task is to arrive at the “correct or preferable” decision after considering the policy, rather than making a passive decision about how the circumstances of the case conform (or not) to the policy guidelines.  It must make an independent assessment (see </w:t>
      </w:r>
      <w:r>
        <w:rPr>
          <w:i/>
          <w:lang w:eastAsia="en-AU"/>
        </w:rPr>
        <w:t>Hneidi v Minister for Immigration and Citizenship).</w:t>
      </w:r>
      <w:r>
        <w:rPr>
          <w:rStyle w:val="FootnoteReference"/>
          <w:i/>
          <w:lang w:eastAsia="en-AU"/>
        </w:rPr>
        <w:footnoteReference w:id="12"/>
      </w:r>
      <w:r>
        <w:rPr>
          <w:i/>
          <w:lang w:eastAsia="en-AU"/>
        </w:rPr>
        <w:t xml:space="preserve">  </w:t>
      </w:r>
      <w:r>
        <w:rPr>
          <w:lang w:eastAsia="en-AU"/>
        </w:rPr>
        <w:t xml:space="preserve">The SSAT member </w:t>
      </w:r>
      <w:r w:rsidR="00DE705C">
        <w:rPr>
          <w:lang w:eastAsia="en-AU"/>
        </w:rPr>
        <w:t>maintained</w:t>
      </w:r>
      <w:r>
        <w:rPr>
          <w:lang w:eastAsia="en-AU"/>
        </w:rPr>
        <w:t xml:space="preserve"> that the Guide states that the event preventing the person</w:t>
      </w:r>
      <w:r w:rsidR="00E7638D">
        <w:rPr>
          <w:lang w:eastAsia="en-AU"/>
        </w:rPr>
        <w:t>’</w:t>
      </w:r>
      <w:r>
        <w:rPr>
          <w:lang w:eastAsia="en-AU"/>
        </w:rPr>
        <w:t>s return to Australia must be extreme or of an emergency nature and must have occurred or begun during the allowable portability period.</w:t>
      </w:r>
    </w:p>
    <w:p w:rsidR="00111E7D" w:rsidRDefault="00111E7D" w:rsidP="00111E7D">
      <w:pPr>
        <w:pStyle w:val="ListNumber"/>
        <w:spacing w:before="240"/>
        <w:rPr>
          <w:lang w:eastAsia="en-AU"/>
        </w:rPr>
      </w:pPr>
      <w:r>
        <w:rPr>
          <w:lang w:eastAsia="en-AU"/>
        </w:rPr>
        <w:t>Given the applicant’s circumstances, the SSAT member found that the respondent had correctly suspended and then cancelled the applicant’s DSP.  I agree with the SSAT member’s finding.</w:t>
      </w:r>
    </w:p>
    <w:p w:rsidR="00D37FD4" w:rsidRPr="00D37FD4" w:rsidRDefault="00D37FD4" w:rsidP="00F90807">
      <w:pPr>
        <w:pStyle w:val="Heading2"/>
      </w:pPr>
      <w:r>
        <w:t>Is the decision on 26 February 2014 to reject the applicant’s further claim for disability support pension correct?</w:t>
      </w:r>
    </w:p>
    <w:p w:rsidR="00111E7D" w:rsidRDefault="00111E7D" w:rsidP="00111E7D">
      <w:pPr>
        <w:pStyle w:val="ListNumber"/>
        <w:spacing w:before="240"/>
        <w:rPr>
          <w:lang w:eastAsia="en-AU"/>
        </w:rPr>
      </w:pPr>
      <w:r>
        <w:rPr>
          <w:lang w:eastAsia="en-AU"/>
        </w:rPr>
        <w:t>I now turn to consider whether the</w:t>
      </w:r>
      <w:r w:rsidR="00DE705C">
        <w:rPr>
          <w:lang w:eastAsia="en-AU"/>
        </w:rPr>
        <w:t xml:space="preserve"> applicant’s DSP claim made on 2</w:t>
      </w:r>
      <w:r>
        <w:rPr>
          <w:lang w:eastAsia="en-AU"/>
        </w:rPr>
        <w:t>4 January 2014 should have been granted.</w:t>
      </w:r>
    </w:p>
    <w:p w:rsidR="00111E7D" w:rsidRDefault="00111E7D" w:rsidP="00111E7D">
      <w:pPr>
        <w:pStyle w:val="ListNumber"/>
        <w:spacing w:before="240"/>
        <w:rPr>
          <w:lang w:eastAsia="en-AU"/>
        </w:rPr>
      </w:pPr>
      <w:r>
        <w:rPr>
          <w:lang w:eastAsia="en-AU"/>
        </w:rPr>
        <w:t>In paragraph 11 of these reasons, I refer to s 42 of, and clause 4(1) of Schedule 2 to, the Administration Act.  I am required to determine the applicant’s eligibility for DSP on the da</w:t>
      </w:r>
      <w:r w:rsidR="00DE705C">
        <w:rPr>
          <w:lang w:eastAsia="en-AU"/>
        </w:rPr>
        <w:t>te he lodged his claim, namely 2</w:t>
      </w:r>
      <w:r>
        <w:rPr>
          <w:lang w:eastAsia="en-AU"/>
        </w:rPr>
        <w:t>4 January 2014, and within 13 weeks thereafter, that is</w:t>
      </w:r>
      <w:r w:rsidR="00E7638D">
        <w:rPr>
          <w:lang w:eastAsia="en-AU"/>
        </w:rPr>
        <w:t>,</w:t>
      </w:r>
      <w:r>
        <w:rPr>
          <w:lang w:eastAsia="en-AU"/>
        </w:rPr>
        <w:t xml:space="preserve"> before 25 April 2014.  </w:t>
      </w:r>
    </w:p>
    <w:p w:rsidR="00B5063F" w:rsidRDefault="00B5063F" w:rsidP="00111E7D">
      <w:pPr>
        <w:pStyle w:val="ListNumber"/>
        <w:spacing w:before="240"/>
        <w:rPr>
          <w:lang w:eastAsia="en-AU"/>
        </w:rPr>
      </w:pPr>
      <w:r>
        <w:rPr>
          <w:lang w:eastAsia="en-AU"/>
        </w:rPr>
        <w:t>There have been decisions of Courts and Tribunals involving an applicant’s qualification for DSP within the relevant claim period</w:t>
      </w:r>
      <w:r w:rsidR="00E7638D">
        <w:rPr>
          <w:lang w:eastAsia="en-AU"/>
        </w:rPr>
        <w:t xml:space="preserve"> (the Relevant Period)</w:t>
      </w:r>
      <w:r>
        <w:rPr>
          <w:lang w:eastAsia="en-AU"/>
        </w:rPr>
        <w:t xml:space="preserve">.  In </w:t>
      </w:r>
      <w:r w:rsidR="009C2144">
        <w:rPr>
          <w:i/>
          <w:lang w:eastAsia="en-AU"/>
        </w:rPr>
        <w:t>R</w:t>
      </w:r>
      <w:r>
        <w:rPr>
          <w:i/>
          <w:lang w:eastAsia="en-AU"/>
        </w:rPr>
        <w:t xml:space="preserve">e Bobera and </w:t>
      </w:r>
      <w:r>
        <w:rPr>
          <w:i/>
          <w:lang w:eastAsia="en-AU"/>
        </w:rPr>
        <w:lastRenderedPageBreak/>
        <w:t>Secretary, Department of Families, Housing, Community Services and Indigenous Affairs,</w:t>
      </w:r>
      <w:r>
        <w:rPr>
          <w:rStyle w:val="FootnoteReference"/>
          <w:i/>
          <w:lang w:eastAsia="en-AU"/>
        </w:rPr>
        <w:footnoteReference w:id="13"/>
      </w:r>
      <w:r>
        <w:rPr>
          <w:lang w:eastAsia="en-AU"/>
        </w:rPr>
        <w:t xml:space="preserve"> the Tribunal there said:</w:t>
      </w:r>
    </w:p>
    <w:p w:rsidR="00B5063F" w:rsidRDefault="00B5063F" w:rsidP="00B5063F">
      <w:pPr>
        <w:pStyle w:val="Quote"/>
      </w:pPr>
      <w:r>
        <w:t>“In the Tribunal</w:t>
      </w:r>
      <w:r w:rsidR="00425CEF">
        <w:t xml:space="preserve">’s consideration as to whether a condition has been stabilised and is likely to persist for the foreseeable future, the Tribunal must look at the situation as it was, and the evidence that was available, at the time of the application for DSP (and the subsequent 13 weeks).  Any subsequent evolution of a particular condition might be relevant to any weight the Tribunal places on competing prognostications or on an assessment of the quality of the medical reports provided (most </w:t>
      </w:r>
      <w:r w:rsidR="00BB68A6">
        <w:t>notably where evidence indicates</w:t>
      </w:r>
      <w:r w:rsidR="00425CEF">
        <w:t xml:space="preserve"> that the creator of a medical report may not have had access to all relevant information or may not have turned his or her mind to all the relevant issues). …”</w:t>
      </w:r>
    </w:p>
    <w:p w:rsidR="00425CEF" w:rsidRDefault="00425CEF" w:rsidP="00425CEF">
      <w:pPr>
        <w:pStyle w:val="ListNumber"/>
      </w:pPr>
      <w:r>
        <w:t xml:space="preserve">Gyles J of the Federal </w:t>
      </w:r>
      <w:r w:rsidR="00E7638D">
        <w:t>C</w:t>
      </w:r>
      <w:r>
        <w:t xml:space="preserve">ourt in </w:t>
      </w:r>
      <w:r w:rsidR="006F3B93">
        <w:rPr>
          <w:i/>
        </w:rPr>
        <w:t>R</w:t>
      </w:r>
      <w:r>
        <w:rPr>
          <w:i/>
        </w:rPr>
        <w:t xml:space="preserve">e Harris v Secretary, Department of Employment and </w:t>
      </w:r>
      <w:r w:rsidR="006F3B93">
        <w:rPr>
          <w:i/>
        </w:rPr>
        <w:t>W</w:t>
      </w:r>
      <w:r>
        <w:rPr>
          <w:i/>
        </w:rPr>
        <w:t xml:space="preserve">orkplace Relations </w:t>
      </w:r>
      <w:r w:rsidRPr="00425CEF">
        <w:t>[2007] FCA 404 stated at</w:t>
      </w:r>
      <w:r>
        <w:rPr>
          <w:i/>
        </w:rPr>
        <w:t xml:space="preserve"> </w:t>
      </w:r>
      <w:r>
        <w:t>[1];</w:t>
      </w:r>
    </w:p>
    <w:p w:rsidR="00425CEF" w:rsidRDefault="006F3B93" w:rsidP="00425CEF">
      <w:pPr>
        <w:pStyle w:val="Quote"/>
      </w:pPr>
      <w:r>
        <w:t>“</w:t>
      </w:r>
      <w:r w:rsidR="00425CEF">
        <w:t>… the applicant’s entitlement to the pension must be considered as at the date of her claim, namely, 3 May 2004 and a period of 13 weeks thereafter.  Any subsequent change in her health is irrelevant to the questions which arise in this proceeding except insofar as it may cast light on the position at the relevant time.”</w:t>
      </w:r>
    </w:p>
    <w:p w:rsidR="00111E7D" w:rsidRDefault="00111E7D" w:rsidP="00111E7D">
      <w:pPr>
        <w:pStyle w:val="ListNumber"/>
        <w:spacing w:before="240"/>
        <w:rPr>
          <w:lang w:eastAsia="en-AU"/>
        </w:rPr>
      </w:pPr>
      <w:r>
        <w:rPr>
          <w:lang w:eastAsia="en-AU"/>
        </w:rPr>
        <w:t xml:space="preserve">The evidence of </w:t>
      </w:r>
      <w:r w:rsidR="001E041B">
        <w:rPr>
          <w:lang w:eastAsia="en-AU"/>
        </w:rPr>
        <w:t>his</w:t>
      </w:r>
      <w:r>
        <w:rPr>
          <w:lang w:eastAsia="en-AU"/>
        </w:rPr>
        <w:t xml:space="preserve"> treating doctor, Dr J C Kerry, says that </w:t>
      </w:r>
      <w:r w:rsidR="001E041B">
        <w:rPr>
          <w:lang w:eastAsia="en-AU"/>
        </w:rPr>
        <w:t>t</w:t>
      </w:r>
      <w:r>
        <w:rPr>
          <w:lang w:eastAsia="en-AU"/>
        </w:rPr>
        <w:t xml:space="preserve">he </w:t>
      </w:r>
      <w:r w:rsidR="001E041B">
        <w:rPr>
          <w:lang w:eastAsia="en-AU"/>
        </w:rPr>
        <w:t xml:space="preserve">applicant </w:t>
      </w:r>
      <w:r>
        <w:rPr>
          <w:lang w:eastAsia="en-AU"/>
        </w:rPr>
        <w:t>has the following medical conditions:</w:t>
      </w:r>
    </w:p>
    <w:p w:rsidR="00111E7D" w:rsidRDefault="001E041B" w:rsidP="00111E7D">
      <w:pPr>
        <w:pStyle w:val="ListNumber2"/>
        <w:numPr>
          <w:ilvl w:val="1"/>
          <w:numId w:val="19"/>
        </w:numPr>
      </w:pPr>
      <w:r>
        <w:t>o</w:t>
      </w:r>
      <w:r w:rsidR="00111E7D">
        <w:t>steoarthritis (bilateral hip)</w:t>
      </w:r>
      <w:r w:rsidR="000B7479">
        <w:t>;</w:t>
      </w:r>
    </w:p>
    <w:p w:rsidR="000B7479" w:rsidRDefault="001E041B" w:rsidP="00111E7D">
      <w:pPr>
        <w:pStyle w:val="ListNumber2"/>
        <w:numPr>
          <w:ilvl w:val="1"/>
          <w:numId w:val="19"/>
        </w:numPr>
      </w:pPr>
      <w:r>
        <w:t>d</w:t>
      </w:r>
      <w:r w:rsidR="000B7479">
        <w:t>eep vein thrombosis; and</w:t>
      </w:r>
    </w:p>
    <w:p w:rsidR="000B7479" w:rsidRDefault="001E041B" w:rsidP="00111E7D">
      <w:pPr>
        <w:pStyle w:val="ListNumber2"/>
        <w:numPr>
          <w:ilvl w:val="1"/>
          <w:numId w:val="19"/>
        </w:numPr>
      </w:pPr>
      <w:r>
        <w:t>l</w:t>
      </w:r>
      <w:r w:rsidR="000B7479">
        <w:t>ower limb deficiency (pin in fifth metatarsal on right foot following fracture).</w:t>
      </w:r>
    </w:p>
    <w:p w:rsidR="000B7479" w:rsidRDefault="000B7479" w:rsidP="000B7479">
      <w:pPr>
        <w:pStyle w:val="FollowingPara"/>
      </w:pPr>
      <w:r>
        <w:t>The JCA report agrees that these conditions are present and this is not disputed by the respondent.</w:t>
      </w:r>
    </w:p>
    <w:p w:rsidR="000B7479" w:rsidRDefault="001E041B" w:rsidP="000B7479">
      <w:pPr>
        <w:pStyle w:val="ListNumber"/>
      </w:pPr>
      <w:r>
        <w:t>In</w:t>
      </w:r>
      <w:r w:rsidR="000B7479">
        <w:t xml:space="preserve"> relation to the applicant’s hip condition, the report of Dr Kerry states that the condition results in the applicant being unable to climb stairs or steps or stand for too long.  He has significant loss of range of movement in both hips and he may need </w:t>
      </w:r>
      <w:r w:rsidR="00DE705C">
        <w:t>further surgery on both hips.  In t</w:t>
      </w:r>
      <w:r w:rsidR="000B7479">
        <w:t>he report of Dr Spriggins dated 11 February 2014</w:t>
      </w:r>
      <w:r w:rsidR="00F90807">
        <w:rPr>
          <w:rStyle w:val="FootnoteReference"/>
        </w:rPr>
        <w:footnoteReference w:id="14"/>
      </w:r>
      <w:r w:rsidR="000B7479">
        <w:t xml:space="preserve"> </w:t>
      </w:r>
      <w:r w:rsidR="00DE705C">
        <w:t xml:space="preserve">he </w:t>
      </w:r>
      <w:r w:rsidR="000B7479">
        <w:t xml:space="preserve">states that the applicant needs a total left hip replacement and he expects the applicant’s function to </w:t>
      </w:r>
      <w:r w:rsidR="000B7479">
        <w:lastRenderedPageBreak/>
        <w:t>deteriorate over the next two years.</w:t>
      </w:r>
      <w:r w:rsidR="00DE705C">
        <w:rPr>
          <w:rStyle w:val="FootnoteReference"/>
        </w:rPr>
        <w:footnoteReference w:id="15"/>
      </w:r>
      <w:r w:rsidR="000B7479">
        <w:t xml:space="preserve">  In his further report dated 26 March 2014,</w:t>
      </w:r>
      <w:r w:rsidR="00F90807">
        <w:rPr>
          <w:rStyle w:val="FootnoteReference"/>
        </w:rPr>
        <w:footnoteReference w:id="16"/>
      </w:r>
      <w:r w:rsidR="000B7479">
        <w:t xml:space="preserve"> Dr</w:t>
      </w:r>
      <w:r w:rsidR="00E67BA1">
        <w:t> </w:t>
      </w:r>
      <w:r w:rsidR="000B7479">
        <w:t xml:space="preserve">Spriggins confirmed that the applicant will need a left total hip replacement as well as the right total hip replacement he has had.  The ARO found that the hip condition was not fully treated and stabilised because surgery for the left hip was intended.  As such, an impairment rating was not allocated.  In the SSAT, the member did not agree with this assessment.  As the applicant had a bilateral condition, the member considered an impairment rating under Table 3 – lower limb function.  As the applicant was unable to use stairs or steps without assistance, </w:t>
      </w:r>
      <w:r w:rsidR="00BA6763">
        <w:t>t</w:t>
      </w:r>
      <w:r w:rsidR="000B7479">
        <w:t>he</w:t>
      </w:r>
      <w:r w:rsidR="00BA6763">
        <w:t xml:space="preserve"> member</w:t>
      </w:r>
      <w:r w:rsidR="000B7479">
        <w:t xml:space="preserve"> found that the applicant had a moderate functional impact on activities using lower limbs and assigned 10 impairment points for the condition.  For the respondent, Mr Hay submitted that the SSAT had erred in finding that the hip condition was fully diagnosed, fully treated and fully stabilised and could be assigned an impairment rating of 10 points under Table 3.  Mr Hay submitted that, on the medical evidence, the applicant did not have a moderate impairment of the lower limbs as he did not satisfy any of the descriptors </w:t>
      </w:r>
      <w:r w:rsidR="00BA6763">
        <w:t>in</w:t>
      </w:r>
      <w:r w:rsidR="000B7479">
        <w:t xml:space="preserve"> paragraph</w:t>
      </w:r>
      <w:r w:rsidR="00BA6763">
        <w:t>s</w:t>
      </w:r>
      <w:r w:rsidR="000B7479">
        <w:t xml:space="preserve"> (1)(a), (b) or (c) </w:t>
      </w:r>
      <w:r w:rsidR="00BA6763">
        <w:t xml:space="preserve">of Table 3 </w:t>
      </w:r>
      <w:r w:rsidR="000B7479">
        <w:t>for a 10</w:t>
      </w:r>
      <w:r w:rsidR="00C20ED2">
        <w:t> </w:t>
      </w:r>
      <w:r w:rsidR="000B7479">
        <w:t xml:space="preserve">point rating.  In particular, </w:t>
      </w:r>
      <w:r w:rsidR="00214F7D">
        <w:t>it was contended that the applicant did not satisfy descriptor</w:t>
      </w:r>
      <w:r w:rsidR="00C20ED2">
        <w:t> </w:t>
      </w:r>
      <w:r w:rsidR="00214F7D">
        <w:t>(1)(b)</w:t>
      </w:r>
      <w:r w:rsidR="00BA6763">
        <w:t>,</w:t>
      </w:r>
      <w:r w:rsidR="00214F7D">
        <w:t xml:space="preserve"> that “the person is unable to use stairs or steps without assistance”.  Although Mr Hay’s submission has merit, I do not think it is necessary for me to reach a decision on the issue.</w:t>
      </w:r>
    </w:p>
    <w:p w:rsidR="00214F7D" w:rsidRDefault="00214F7D" w:rsidP="000B7479">
      <w:pPr>
        <w:pStyle w:val="ListNumber"/>
      </w:pPr>
      <w:r>
        <w:t xml:space="preserve">In relation to the deep vein thrombosis, the evidence of Dr Kerry and the ARO’s finding that the condition was not fully treated and stabilised, the </w:t>
      </w:r>
      <w:r w:rsidR="00BA6763">
        <w:t xml:space="preserve">SSAT </w:t>
      </w:r>
      <w:r>
        <w:t xml:space="preserve">member agreed </w:t>
      </w:r>
      <w:r w:rsidR="00BA6763">
        <w:t xml:space="preserve">and decided </w:t>
      </w:r>
      <w:r>
        <w:t>that an impairment rating for the condition could not be allocated.  I agree with the SSAT member’s decision.</w:t>
      </w:r>
    </w:p>
    <w:p w:rsidR="00214F7D" w:rsidRDefault="00214F7D" w:rsidP="000B7479">
      <w:pPr>
        <w:pStyle w:val="ListNumber"/>
      </w:pPr>
      <w:r>
        <w:t xml:space="preserve">In relation to the lower limb (metatarsal) condition, Dr Kerry said that the condition caused minimal or limited impact on ability to function.  In these circumstances, the ARO found that the condition did not attract a rating under the Impairment Tables.  </w:t>
      </w:r>
      <w:r w:rsidR="00B5063F">
        <w:t xml:space="preserve">I also agree with the ARO’s </w:t>
      </w:r>
      <w:r w:rsidR="00BA6763">
        <w:t>finding</w:t>
      </w:r>
      <w:r w:rsidR="00B5063F">
        <w:t>.</w:t>
      </w:r>
    </w:p>
    <w:p w:rsidR="00214F7D" w:rsidRDefault="00214F7D" w:rsidP="000B7479">
      <w:pPr>
        <w:pStyle w:val="ListNumber"/>
      </w:pPr>
      <w:r>
        <w:t xml:space="preserve">Even if the SSAT member’s finding is correct and that 10 impairment points </w:t>
      </w:r>
      <w:r w:rsidR="00BA6763">
        <w:t>can</w:t>
      </w:r>
      <w:r>
        <w:t xml:space="preserve"> be allocated for the hip condition under Table 3, the applicant’s conditions do not attract at </w:t>
      </w:r>
      <w:r>
        <w:lastRenderedPageBreak/>
        <w:t xml:space="preserve">least 20 points under the Impairment Tables as required for the grant of a disability support pension.  </w:t>
      </w:r>
    </w:p>
    <w:p w:rsidR="00D37FD4" w:rsidRDefault="00B5063F" w:rsidP="000B7479">
      <w:pPr>
        <w:pStyle w:val="ListNumber"/>
      </w:pPr>
      <w:r>
        <w:t xml:space="preserve">As I am not satisfied that the applicant had an impairment or a combination if impairments attracting a rating of at least 20 points under the Impairment Tables, it is not necessary for me consider whether or not he had a “continuing inability to work” within the meaning of s 94(1)(c) of the Act.  In these circumstances, it is </w:t>
      </w:r>
      <w:r w:rsidR="00DE705C">
        <w:t xml:space="preserve">also </w:t>
      </w:r>
      <w:r w:rsidR="00D37FD4">
        <w:t xml:space="preserve">not </w:t>
      </w:r>
      <w:r>
        <w:t>necessary for me to consider whether he had actively participated in a Program of Support.</w:t>
      </w:r>
      <w:r w:rsidR="00D37FD4">
        <w:t xml:space="preserve">  </w:t>
      </w:r>
    </w:p>
    <w:p w:rsidR="00B5063F" w:rsidRDefault="00D37FD4" w:rsidP="000B7479">
      <w:pPr>
        <w:pStyle w:val="ListNumber"/>
      </w:pPr>
      <w:r>
        <w:t>It follows that the decision on 26 February 2014 to reject the applicant’s claim for disability support pension is correct.</w:t>
      </w:r>
      <w:r w:rsidR="00B5063F">
        <w:t xml:space="preserve">  </w:t>
      </w:r>
    </w:p>
    <w:p w:rsidR="00B5063F" w:rsidRDefault="00B5063F" w:rsidP="00B5063F">
      <w:pPr>
        <w:pStyle w:val="Heading1"/>
      </w:pPr>
      <w:r>
        <w:t>DECISION</w:t>
      </w:r>
    </w:p>
    <w:p w:rsidR="00B5063F" w:rsidRDefault="00B5063F" w:rsidP="00B5063F">
      <w:pPr>
        <w:pStyle w:val="ListNumber"/>
        <w:rPr>
          <w:lang w:eastAsia="en-AU"/>
        </w:rPr>
      </w:pPr>
      <w:r>
        <w:rPr>
          <w:lang w:eastAsia="en-AU"/>
        </w:rPr>
        <w:t>For the reasons outlined above, the Tribunal affirms the two decisions under review.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1"/>
      </w:tblGrid>
      <w:tr w:rsidR="00F90807" w:rsidTr="00512B79">
        <w:tc>
          <w:tcPr>
            <w:tcW w:w="3651" w:type="dxa"/>
          </w:tcPr>
          <w:p w:rsidR="00F90807" w:rsidRDefault="00F90807" w:rsidP="00512B79">
            <w:pPr>
              <w:pStyle w:val="NoSpacing"/>
            </w:pPr>
            <w:r>
              <w:t xml:space="preserve">I </w:t>
            </w:r>
            <w:bookmarkStart w:id="12" w:name="StartStamp"/>
            <w:bookmarkEnd w:id="12"/>
            <w:r>
              <w:t xml:space="preserve">certify that the </w:t>
            </w:r>
            <w:r w:rsidRPr="000A3D70">
              <w:t>preceding</w:t>
            </w:r>
            <w:r>
              <w:t xml:space="preserve"> </w:t>
            </w:r>
            <w:bookmarkStart w:id="13" w:name="NumParas"/>
            <w:bookmarkEnd w:id="13"/>
            <w:r>
              <w:t xml:space="preserve">37 (thirty -seven) </w:t>
            </w:r>
            <w:r w:rsidRPr="000A3D70">
              <w:t>paragraphs are a true copy of the reasons for the decision herein of</w:t>
            </w:r>
            <w:r>
              <w:t xml:space="preserve"> </w:t>
            </w:r>
            <w:r w:rsidRPr="00483D56">
              <w:fldChar w:fldCharType="begin"/>
            </w:r>
            <w:r w:rsidRPr="00483D56">
              <w:instrText xml:space="preserve"> DOCPROPERTY  Tribunal</w:instrText>
            </w:r>
            <w:r>
              <w:instrText>LastPgForm</w:instrText>
            </w:r>
            <w:r w:rsidRPr="00483D56">
              <w:fldChar w:fldCharType="separate"/>
            </w:r>
            <w:r w:rsidR="00E87A46">
              <w:t>Senior Member R W Dunne</w:t>
            </w:r>
            <w:r w:rsidRPr="00483D56">
              <w:fldChar w:fldCharType="end"/>
            </w:r>
          </w:p>
        </w:tc>
      </w:tr>
    </w:tbl>
    <w:p w:rsidR="00F90807" w:rsidRPr="00BC2D09" w:rsidRDefault="00F90807" w:rsidP="00512B79">
      <w:pPr>
        <w:keepNext/>
        <w:spacing w:before="960"/>
        <w:rPr>
          <w:lang w:eastAsia="en-US"/>
        </w:rPr>
      </w:pPr>
      <w:r w:rsidRPr="00BC2D09">
        <w:rPr>
          <w:lang w:eastAsia="en-US"/>
        </w:rPr>
        <w:t>.........................</w:t>
      </w:r>
      <w:r w:rsidR="00A76659">
        <w:rPr>
          <w:lang w:eastAsia="en-US"/>
        </w:rPr>
        <w:t>[Sgd]</w:t>
      </w:r>
      <w:r w:rsidRPr="00BC2D09">
        <w:rPr>
          <w:lang w:eastAsia="en-US"/>
        </w:rPr>
        <w:t>...............................................</w:t>
      </w:r>
    </w:p>
    <w:p w:rsidR="00F90807" w:rsidRPr="00D8769A" w:rsidRDefault="0085669A" w:rsidP="00512B79">
      <w:pPr>
        <w:pStyle w:val="NoSpacing"/>
      </w:pPr>
      <w:fldSimple w:instr=" DOCPROPERTY  SigneeDesignation ">
        <w:r w:rsidR="00E87A46">
          <w:t>Administrative Assistant</w:t>
        </w:r>
      </w:fldSimple>
    </w:p>
    <w:p w:rsidR="00F90807" w:rsidRDefault="00F90807" w:rsidP="00512B79">
      <w:r>
        <w:t xml:space="preserve">Dated </w:t>
      </w:r>
      <w:fldSimple w:instr=" DOCPROPERTY  StampDate ">
        <w:r w:rsidR="00E87A46">
          <w:t>22 December 2015</w:t>
        </w:r>
      </w:fldSimple>
    </w:p>
    <w:p w:rsidR="00F90807" w:rsidRDefault="00F90807" w:rsidP="00512B79"/>
    <w:tbl>
      <w:tblPr>
        <w:tblW w:w="0" w:type="auto"/>
        <w:tblLayout w:type="fixed"/>
        <w:tblLook w:val="00A0" w:firstRow="1" w:lastRow="0" w:firstColumn="1" w:lastColumn="0" w:noHBand="0" w:noVBand="0"/>
      </w:tblPr>
      <w:tblGrid>
        <w:gridCol w:w="3510"/>
        <w:gridCol w:w="5279"/>
      </w:tblGrid>
      <w:tr w:rsidR="00F90807" w:rsidRPr="00BC2D09" w:rsidTr="00512B79">
        <w:trPr>
          <w:trHeight w:val="567"/>
        </w:trPr>
        <w:tc>
          <w:tcPr>
            <w:tcW w:w="3510" w:type="dxa"/>
          </w:tcPr>
          <w:p w:rsidR="00F90807" w:rsidRPr="00BC2D09" w:rsidRDefault="00F90807" w:rsidP="00512B79">
            <w:pPr>
              <w:pStyle w:val="NoSpacing"/>
              <w:rPr>
                <w:lang w:eastAsia="en-US"/>
              </w:rPr>
            </w:pPr>
            <w:r>
              <w:rPr>
                <w:lang w:eastAsia="en-US"/>
              </w:rPr>
              <w:t>Date(s) of hearing</w:t>
            </w:r>
          </w:p>
        </w:tc>
        <w:tc>
          <w:tcPr>
            <w:tcW w:w="5279" w:type="dxa"/>
          </w:tcPr>
          <w:p w:rsidR="00F90807" w:rsidRPr="00771CAC" w:rsidRDefault="00F90807" w:rsidP="00512B79">
            <w:pPr>
              <w:pStyle w:val="NoSpacing"/>
              <w:rPr>
                <w:b/>
                <w:bCs/>
                <w:lang w:eastAsia="en-US"/>
              </w:rPr>
            </w:pPr>
            <w:r>
              <w:rPr>
                <w:b/>
                <w:bCs/>
                <w:lang w:eastAsia="en-US"/>
              </w:rPr>
              <w:fldChar w:fldCharType="begin"/>
            </w:r>
            <w:r>
              <w:rPr>
                <w:b/>
                <w:bCs/>
                <w:lang w:eastAsia="en-US"/>
              </w:rPr>
              <w:instrText xml:space="preserve">DOCPROPERTY  DateOfHearing </w:instrText>
            </w:r>
            <w:r>
              <w:rPr>
                <w:b/>
                <w:bCs/>
                <w:lang w:eastAsia="en-US"/>
              </w:rPr>
              <w:fldChar w:fldCharType="separate"/>
            </w:r>
            <w:r w:rsidR="00E87A46">
              <w:rPr>
                <w:b/>
                <w:bCs/>
                <w:lang w:eastAsia="en-US"/>
              </w:rPr>
              <w:t>13 October 2015 and 16 November 2015</w:t>
            </w:r>
            <w:r>
              <w:rPr>
                <w:b/>
                <w:bCs/>
                <w:lang w:eastAsia="en-US"/>
              </w:rPr>
              <w:fldChar w:fldCharType="end"/>
            </w:r>
          </w:p>
        </w:tc>
      </w:tr>
      <w:tr w:rsidR="00F90807" w:rsidRPr="00BC2D09" w:rsidTr="00512B79">
        <w:trPr>
          <w:trHeight w:val="567"/>
        </w:trPr>
        <w:tc>
          <w:tcPr>
            <w:tcW w:w="3510" w:type="dxa"/>
          </w:tcPr>
          <w:p w:rsidR="00F90807" w:rsidRPr="00BC2D09" w:rsidRDefault="00F90807" w:rsidP="00512B79">
            <w:pPr>
              <w:pStyle w:val="NoSpacing"/>
              <w:rPr>
                <w:lang w:eastAsia="en-US"/>
              </w:rPr>
            </w:pPr>
            <w:bookmarkStart w:id="14" w:name="DateFinalSubmission"/>
            <w:bookmarkStart w:id="15" w:name="AppSelfRepresented"/>
            <w:bookmarkEnd w:id="14"/>
            <w:bookmarkEnd w:id="15"/>
            <w:r>
              <w:rPr>
                <w:lang w:eastAsia="en-US"/>
              </w:rPr>
              <w:t>Applicant</w:t>
            </w:r>
          </w:p>
        </w:tc>
        <w:tc>
          <w:tcPr>
            <w:tcW w:w="5279" w:type="dxa"/>
          </w:tcPr>
          <w:p w:rsidR="00F90807" w:rsidRPr="00771CAC" w:rsidRDefault="00F90807" w:rsidP="00512B79">
            <w:pPr>
              <w:pStyle w:val="NoSpacing"/>
              <w:rPr>
                <w:b/>
                <w:bCs/>
                <w:lang w:eastAsia="en-US"/>
              </w:rPr>
            </w:pPr>
            <w:r>
              <w:rPr>
                <w:b/>
                <w:bCs/>
                <w:lang w:eastAsia="en-US"/>
              </w:rPr>
              <w:t>In person</w:t>
            </w:r>
          </w:p>
        </w:tc>
      </w:tr>
      <w:tr w:rsidR="00F90807" w:rsidRPr="00BC2D09" w:rsidTr="00512B79">
        <w:trPr>
          <w:trHeight w:val="567"/>
        </w:trPr>
        <w:tc>
          <w:tcPr>
            <w:tcW w:w="3510" w:type="dxa"/>
          </w:tcPr>
          <w:p w:rsidR="00F90807" w:rsidRDefault="00F90807" w:rsidP="00512B79">
            <w:pPr>
              <w:pStyle w:val="NoSpacing"/>
              <w:rPr>
                <w:lang w:eastAsia="en-US"/>
              </w:rPr>
            </w:pPr>
            <w:bookmarkStart w:id="16" w:name="Respondent_Advocate"/>
            <w:bookmarkEnd w:id="16"/>
            <w:r>
              <w:rPr>
                <w:lang w:eastAsia="en-US"/>
              </w:rPr>
              <w:t>Advocate for the Respondent</w:t>
            </w:r>
          </w:p>
        </w:tc>
        <w:tc>
          <w:tcPr>
            <w:tcW w:w="5279" w:type="dxa"/>
          </w:tcPr>
          <w:p w:rsidR="00F90807" w:rsidRPr="00771CAC" w:rsidRDefault="00F90807" w:rsidP="00512B79">
            <w:pPr>
              <w:pStyle w:val="NoSpacing"/>
              <w:rPr>
                <w:b/>
                <w:bCs/>
                <w:lang w:eastAsia="en-US"/>
              </w:rPr>
            </w:pPr>
            <w:r>
              <w:rPr>
                <w:b/>
                <w:bCs/>
                <w:lang w:eastAsia="en-US"/>
              </w:rPr>
              <w:fldChar w:fldCharType="begin"/>
            </w:r>
            <w:r>
              <w:rPr>
                <w:b/>
                <w:bCs/>
                <w:lang w:eastAsia="en-US"/>
              </w:rPr>
              <w:instrText xml:space="preserve">DOCPROPERTY  Respondent_Advocate </w:instrText>
            </w:r>
            <w:r>
              <w:rPr>
                <w:b/>
                <w:bCs/>
                <w:lang w:eastAsia="en-US"/>
              </w:rPr>
              <w:fldChar w:fldCharType="separate"/>
            </w:r>
            <w:r w:rsidR="00E87A46">
              <w:rPr>
                <w:b/>
                <w:bCs/>
                <w:lang w:eastAsia="en-US"/>
              </w:rPr>
              <w:t>Mr A Hay</w:t>
            </w:r>
            <w:r>
              <w:rPr>
                <w:b/>
                <w:bCs/>
                <w:lang w:eastAsia="en-US"/>
              </w:rPr>
              <w:fldChar w:fldCharType="end"/>
            </w:r>
          </w:p>
        </w:tc>
      </w:tr>
      <w:tr w:rsidR="00F90807" w:rsidRPr="00BC2D09" w:rsidTr="00512B79">
        <w:trPr>
          <w:trHeight w:val="567"/>
        </w:trPr>
        <w:tc>
          <w:tcPr>
            <w:tcW w:w="3510" w:type="dxa"/>
          </w:tcPr>
          <w:p w:rsidR="00F90807" w:rsidRDefault="00F90807" w:rsidP="00512B79">
            <w:pPr>
              <w:pStyle w:val="NoSpacing"/>
              <w:rPr>
                <w:lang w:eastAsia="en-US"/>
              </w:rPr>
            </w:pPr>
            <w:bookmarkStart w:id="17" w:name="Respondent_Solicitors"/>
            <w:bookmarkEnd w:id="17"/>
            <w:r>
              <w:rPr>
                <w:lang w:eastAsia="en-US"/>
              </w:rPr>
              <w:t>Solicitors for the Respondent</w:t>
            </w:r>
          </w:p>
        </w:tc>
        <w:tc>
          <w:tcPr>
            <w:tcW w:w="5279" w:type="dxa"/>
          </w:tcPr>
          <w:p w:rsidR="00F90807" w:rsidRPr="00771CAC" w:rsidRDefault="00F90807" w:rsidP="00512B79">
            <w:pPr>
              <w:pStyle w:val="NoSpacing"/>
              <w:rPr>
                <w:b/>
                <w:bCs/>
                <w:lang w:eastAsia="en-US"/>
              </w:rPr>
            </w:pPr>
            <w:r>
              <w:rPr>
                <w:b/>
                <w:bCs/>
                <w:lang w:eastAsia="en-US"/>
              </w:rPr>
              <w:fldChar w:fldCharType="begin"/>
            </w:r>
            <w:r>
              <w:rPr>
                <w:b/>
                <w:bCs/>
                <w:lang w:eastAsia="en-US"/>
              </w:rPr>
              <w:instrText xml:space="preserve">DOCPROPERTY  Respondent_Solicitors </w:instrText>
            </w:r>
            <w:r>
              <w:rPr>
                <w:b/>
                <w:bCs/>
                <w:lang w:eastAsia="en-US"/>
              </w:rPr>
              <w:fldChar w:fldCharType="separate"/>
            </w:r>
            <w:r w:rsidR="00E87A46">
              <w:rPr>
                <w:b/>
                <w:bCs/>
                <w:lang w:eastAsia="en-US"/>
              </w:rPr>
              <w:t>Department of Human Services</w:t>
            </w:r>
            <w:r>
              <w:rPr>
                <w:b/>
                <w:bCs/>
                <w:lang w:eastAsia="en-US"/>
              </w:rPr>
              <w:fldChar w:fldCharType="end"/>
            </w:r>
          </w:p>
        </w:tc>
      </w:tr>
    </w:tbl>
    <w:p w:rsidR="00425CEF" w:rsidRPr="00B5063F" w:rsidRDefault="00425CEF" w:rsidP="00F90807"/>
    <w:sectPr w:rsidR="00425CEF" w:rsidRPr="00B5063F" w:rsidSect="006D113F">
      <w:headerReference w:type="even" r:id="rId8"/>
      <w:headerReference w:type="default" r:id="rId9"/>
      <w:footerReference w:type="even" r:id="rId10"/>
      <w:footerReference w:type="default" r:id="rId11"/>
      <w:headerReference w:type="first" r:id="rId12"/>
      <w:footerReference w:type="first" r:id="rId13"/>
      <w:type w:val="continuous"/>
      <w:pgSz w:w="11907" w:h="16834" w:code="9"/>
      <w:pgMar w:top="1758" w:right="1134" w:bottom="1758" w:left="1985" w:header="567" w:footer="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735" w:rsidRDefault="005F4735">
      <w:r>
        <w:separator/>
      </w:r>
    </w:p>
    <w:p w:rsidR="005F4735" w:rsidRDefault="005F4735"/>
  </w:endnote>
  <w:endnote w:type="continuationSeparator" w:id="0">
    <w:p w:rsidR="005F4735" w:rsidRDefault="005F4735">
      <w:r>
        <w:continuationSeparator/>
      </w:r>
    </w:p>
    <w:p w:rsidR="005F4735" w:rsidRDefault="005F47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06C" w:rsidRDefault="00E030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C2180D" w:rsidRPr="006F16E0" w:rsidTr="003B4BBD">
      <w:tc>
        <w:tcPr>
          <w:tcW w:w="1447" w:type="dxa"/>
          <w:vAlign w:val="center"/>
        </w:tcPr>
        <w:p w:rsidR="00C2180D" w:rsidRPr="006F16E0" w:rsidRDefault="00C2180D" w:rsidP="003B4BBD">
          <w:pPr>
            <w:pStyle w:val="Footer"/>
          </w:pPr>
        </w:p>
      </w:tc>
      <w:tc>
        <w:tcPr>
          <w:tcW w:w="8763" w:type="dxa"/>
          <w:vAlign w:val="center"/>
        </w:tcPr>
        <w:p w:rsidR="00C2180D" w:rsidRPr="006F16E0" w:rsidRDefault="00C2180D" w:rsidP="003B4BBD">
          <w:pPr>
            <w:pStyle w:val="Footer"/>
            <w:jc w:val="right"/>
          </w:pPr>
          <w:r>
            <w:t xml:space="preserve">Page </w:t>
          </w:r>
          <w:r>
            <w:fldChar w:fldCharType="begin"/>
          </w:r>
          <w:r>
            <w:instrText xml:space="preserve"> PAGE  \* Arabic </w:instrText>
          </w:r>
          <w:r>
            <w:fldChar w:fldCharType="separate"/>
          </w:r>
          <w:r w:rsidR="00155AFB">
            <w:rPr>
              <w:noProof/>
            </w:rPr>
            <w:t>2</w:t>
          </w:r>
          <w:r>
            <w:fldChar w:fldCharType="end"/>
          </w:r>
          <w:r>
            <w:t xml:space="preserve"> of </w:t>
          </w:r>
          <w:fldSimple w:instr=" NUMPAGES  \* Arabic ">
            <w:r w:rsidR="00155AFB">
              <w:rPr>
                <w:noProof/>
              </w:rPr>
              <w:t>18</w:t>
            </w:r>
          </w:fldSimple>
        </w:p>
      </w:tc>
    </w:tr>
  </w:tbl>
  <w:p w:rsidR="00C2180D" w:rsidRDefault="00C218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210"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7"/>
      <w:gridCol w:w="8763"/>
    </w:tblGrid>
    <w:tr w:rsidR="00C2180D" w:rsidTr="003B4BBD">
      <w:tc>
        <w:tcPr>
          <w:tcW w:w="1447" w:type="dxa"/>
          <w:vAlign w:val="center"/>
        </w:tcPr>
        <w:p w:rsidR="00C2180D" w:rsidRDefault="00C2180D" w:rsidP="003B4BBD">
          <w:pPr>
            <w:pStyle w:val="FooterPage1"/>
          </w:pPr>
        </w:p>
      </w:tc>
      <w:tc>
        <w:tcPr>
          <w:tcW w:w="8763" w:type="dxa"/>
          <w:tcBorders>
            <w:left w:val="nil"/>
          </w:tcBorders>
          <w:tcMar>
            <w:left w:w="85" w:type="dxa"/>
          </w:tcMar>
          <w:vAlign w:val="center"/>
        </w:tcPr>
        <w:p w:rsidR="00C2180D" w:rsidRDefault="00C2180D" w:rsidP="00E0306C">
          <w:pPr>
            <w:pStyle w:val="FooterPage1"/>
            <w:jc w:val="right"/>
          </w:pPr>
          <w:r>
            <w:t xml:space="preserve">© Commonwealth of Australia </w:t>
          </w:r>
          <w:r w:rsidR="00E0306C">
            <w:t>2015</w:t>
          </w:r>
        </w:p>
      </w:tc>
    </w:tr>
  </w:tbl>
  <w:p w:rsidR="00C2180D" w:rsidRDefault="00C2180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735" w:rsidRDefault="005F4735">
      <w:r>
        <w:separator/>
      </w:r>
    </w:p>
  </w:footnote>
  <w:footnote w:type="continuationSeparator" w:id="0">
    <w:p w:rsidR="005F4735" w:rsidRDefault="005F4735">
      <w:r>
        <w:continuationSeparator/>
      </w:r>
    </w:p>
    <w:p w:rsidR="005F4735" w:rsidRDefault="005F4735"/>
  </w:footnote>
  <w:footnote w:id="1">
    <w:p w:rsidR="00C2180D" w:rsidRDefault="00C2180D">
      <w:pPr>
        <w:pStyle w:val="FootnoteText"/>
      </w:pPr>
      <w:r>
        <w:rPr>
          <w:rStyle w:val="FootnoteReference"/>
        </w:rPr>
        <w:footnoteRef/>
      </w:r>
      <w:r>
        <w:t xml:space="preserve"> Exhibit R1.</w:t>
      </w:r>
    </w:p>
  </w:footnote>
  <w:footnote w:id="2">
    <w:p w:rsidR="00C2180D" w:rsidRDefault="00C2180D">
      <w:pPr>
        <w:pStyle w:val="FootnoteText"/>
      </w:pPr>
      <w:r>
        <w:rPr>
          <w:rStyle w:val="FootnoteReference"/>
        </w:rPr>
        <w:footnoteRef/>
      </w:r>
      <w:r>
        <w:t xml:space="preserve"> Exhibit R1, pages 199-200.</w:t>
      </w:r>
    </w:p>
  </w:footnote>
  <w:footnote w:id="3">
    <w:p w:rsidR="00C2180D" w:rsidRDefault="00C2180D">
      <w:pPr>
        <w:pStyle w:val="FootnoteText"/>
      </w:pPr>
      <w:r>
        <w:rPr>
          <w:rStyle w:val="FootnoteReference"/>
        </w:rPr>
        <w:footnoteRef/>
      </w:r>
      <w:r>
        <w:t xml:space="preserve"> Exhibit R1, pages 69-70.</w:t>
      </w:r>
    </w:p>
  </w:footnote>
  <w:footnote w:id="4">
    <w:p w:rsidR="00C2180D" w:rsidRDefault="00C2180D">
      <w:pPr>
        <w:pStyle w:val="FootnoteText"/>
      </w:pPr>
      <w:r>
        <w:rPr>
          <w:rStyle w:val="FootnoteReference"/>
        </w:rPr>
        <w:footnoteRef/>
      </w:r>
      <w:r>
        <w:t xml:space="preserve"> Exhibit R1, pages 71-72.</w:t>
      </w:r>
    </w:p>
  </w:footnote>
  <w:footnote w:id="5">
    <w:p w:rsidR="00C2180D" w:rsidRDefault="00C2180D">
      <w:pPr>
        <w:pStyle w:val="FootnoteText"/>
      </w:pPr>
      <w:r>
        <w:rPr>
          <w:rStyle w:val="FootnoteReference"/>
        </w:rPr>
        <w:footnoteRef/>
      </w:r>
      <w:r>
        <w:t xml:space="preserve"> Exhibit R1, page 74.</w:t>
      </w:r>
    </w:p>
  </w:footnote>
  <w:footnote w:id="6">
    <w:p w:rsidR="00C2180D" w:rsidRDefault="00C2180D">
      <w:pPr>
        <w:pStyle w:val="FootnoteText"/>
      </w:pPr>
      <w:r>
        <w:rPr>
          <w:rStyle w:val="FootnoteReference"/>
        </w:rPr>
        <w:footnoteRef/>
      </w:r>
      <w:r>
        <w:t xml:space="preserve"> Exhibit R1, page 162.</w:t>
      </w:r>
    </w:p>
  </w:footnote>
  <w:footnote w:id="7">
    <w:p w:rsidR="00C2180D" w:rsidRDefault="00C2180D">
      <w:pPr>
        <w:pStyle w:val="FootnoteText"/>
      </w:pPr>
      <w:r>
        <w:rPr>
          <w:rStyle w:val="FootnoteReference"/>
        </w:rPr>
        <w:footnoteRef/>
      </w:r>
      <w:r>
        <w:t xml:space="preserve"> Exhibit R1, page 191.</w:t>
      </w:r>
    </w:p>
  </w:footnote>
  <w:footnote w:id="8">
    <w:p w:rsidR="00DE705C" w:rsidRDefault="00DE705C">
      <w:pPr>
        <w:pStyle w:val="FootnoteText"/>
      </w:pPr>
      <w:r>
        <w:rPr>
          <w:rStyle w:val="FootnoteReference"/>
        </w:rPr>
        <w:footnoteRef/>
      </w:r>
      <w:r>
        <w:t xml:space="preserve"> Exhibit R1, pages 146-152.</w:t>
      </w:r>
    </w:p>
  </w:footnote>
  <w:footnote w:id="9">
    <w:p w:rsidR="00C2180D" w:rsidRDefault="00C2180D" w:rsidP="00111E7D">
      <w:pPr>
        <w:pStyle w:val="FootnoteText"/>
      </w:pPr>
      <w:r>
        <w:rPr>
          <w:rStyle w:val="FootnoteReference"/>
        </w:rPr>
        <w:footnoteRef/>
      </w:r>
      <w:r>
        <w:t xml:space="preserve"> Exhibit R1, page 77-78. </w:t>
      </w:r>
    </w:p>
  </w:footnote>
  <w:footnote w:id="10">
    <w:p w:rsidR="00C2180D" w:rsidRDefault="00C2180D">
      <w:pPr>
        <w:pStyle w:val="FootnoteText"/>
      </w:pPr>
      <w:r>
        <w:rPr>
          <w:rStyle w:val="FootnoteReference"/>
        </w:rPr>
        <w:footnoteRef/>
      </w:r>
      <w:r>
        <w:t xml:space="preserve"> [2004] AATA 392.</w:t>
      </w:r>
    </w:p>
  </w:footnote>
  <w:footnote w:id="11">
    <w:p w:rsidR="00C2180D" w:rsidRDefault="00C2180D">
      <w:pPr>
        <w:pStyle w:val="FootnoteText"/>
      </w:pPr>
      <w:r>
        <w:rPr>
          <w:rStyle w:val="FootnoteReference"/>
        </w:rPr>
        <w:footnoteRef/>
      </w:r>
      <w:r>
        <w:t xml:space="preserve"> (1979) 2 ALD 634.</w:t>
      </w:r>
    </w:p>
  </w:footnote>
  <w:footnote w:id="12">
    <w:p w:rsidR="00C2180D" w:rsidRDefault="00C2180D">
      <w:pPr>
        <w:pStyle w:val="FootnoteText"/>
      </w:pPr>
      <w:r>
        <w:rPr>
          <w:rStyle w:val="FootnoteReference"/>
        </w:rPr>
        <w:footnoteRef/>
      </w:r>
      <w:r>
        <w:t xml:space="preserve"> [2010] FCAFC 20.</w:t>
      </w:r>
    </w:p>
  </w:footnote>
  <w:footnote w:id="13">
    <w:p w:rsidR="00C2180D" w:rsidRDefault="00C2180D">
      <w:pPr>
        <w:pStyle w:val="FootnoteText"/>
      </w:pPr>
      <w:r>
        <w:rPr>
          <w:rStyle w:val="FootnoteReference"/>
        </w:rPr>
        <w:footnoteRef/>
      </w:r>
      <w:r>
        <w:t xml:space="preserve"> [2012] AATA 922.</w:t>
      </w:r>
    </w:p>
  </w:footnote>
  <w:footnote w:id="14">
    <w:p w:rsidR="00C2180D" w:rsidRDefault="00C2180D">
      <w:pPr>
        <w:pStyle w:val="FootnoteText"/>
      </w:pPr>
      <w:r>
        <w:rPr>
          <w:rStyle w:val="FootnoteReference"/>
        </w:rPr>
        <w:footnoteRef/>
      </w:r>
      <w:r>
        <w:t xml:space="preserve"> Exhibit R1, page 139.</w:t>
      </w:r>
    </w:p>
  </w:footnote>
  <w:footnote w:id="15">
    <w:p w:rsidR="00DE705C" w:rsidRDefault="00DE705C">
      <w:pPr>
        <w:pStyle w:val="FootnoteText"/>
      </w:pPr>
      <w:r>
        <w:rPr>
          <w:rStyle w:val="FootnoteReference"/>
        </w:rPr>
        <w:footnoteRef/>
      </w:r>
      <w:r>
        <w:t xml:space="preserve"> Exhibit R1, page 140.</w:t>
      </w:r>
    </w:p>
  </w:footnote>
  <w:footnote w:id="16">
    <w:p w:rsidR="00C2180D" w:rsidRDefault="00C2180D">
      <w:pPr>
        <w:pStyle w:val="FootnoteText"/>
      </w:pPr>
      <w:r>
        <w:rPr>
          <w:rStyle w:val="FootnoteReference"/>
        </w:rPr>
        <w:footnoteRef/>
      </w:r>
      <w:r>
        <w:t xml:space="preserve"> Exhibit R1, page 155.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80D" w:rsidRDefault="00C2180D">
    <w:pPr>
      <w:framePr w:wrap="around" w:vAnchor="text" w:hAnchor="margin" w:xAlign="center" w:y="1"/>
      <w:numPr>
        <w:ilvl w:val="12"/>
        <w:numId w:val="0"/>
      </w:numPr>
      <w:ind w:hanging="851"/>
    </w:pPr>
    <w:r>
      <w:fldChar w:fldCharType="begin"/>
    </w:r>
    <w:r>
      <w:instrText xml:space="preserve">PAGE  </w:instrText>
    </w:r>
    <w:r>
      <w:fldChar w:fldCharType="end"/>
    </w:r>
  </w:p>
  <w:p w:rsidR="00C2180D" w:rsidRDefault="00C2180D">
    <w:pPr>
      <w:numPr>
        <w:ilvl w:val="12"/>
        <w:numId w:val="0"/>
      </w:numPr>
      <w:ind w:hanging="851"/>
    </w:pPr>
  </w:p>
  <w:p w:rsidR="00C2180D" w:rsidRDefault="00C2180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06C" w:rsidRDefault="00E030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37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407"/>
      <w:gridCol w:w="3969"/>
    </w:tblGrid>
    <w:tr w:rsidR="00C2180D" w:rsidTr="003B4BBD">
      <w:trPr>
        <w:trHeight w:hRule="exact" w:val="1702"/>
      </w:trPr>
      <w:tc>
        <w:tcPr>
          <w:tcW w:w="6407" w:type="dxa"/>
        </w:tcPr>
        <w:p w:rsidR="00C2180D" w:rsidRDefault="00C2180D" w:rsidP="003B4BBD">
          <w:pPr>
            <w:numPr>
              <w:ilvl w:val="12"/>
              <w:numId w:val="0"/>
            </w:numPr>
          </w:pPr>
          <w:r>
            <w:rPr>
              <w:noProof/>
            </w:rPr>
            <w:drawing>
              <wp:inline distT="0" distB="0" distL="0" distR="0" wp14:anchorId="11C50D7F" wp14:editId="4FA38CBD">
                <wp:extent cx="2448000" cy="9169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T master logo-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000" cy="916990"/>
                        </a:xfrm>
                        <a:prstGeom prst="rect">
                          <a:avLst/>
                        </a:prstGeom>
                      </pic:spPr>
                    </pic:pic>
                  </a:graphicData>
                </a:graphic>
              </wp:inline>
            </w:drawing>
          </w:r>
        </w:p>
      </w:tc>
      <w:tc>
        <w:tcPr>
          <w:tcW w:w="3969" w:type="dxa"/>
          <w:vAlign w:val="bottom"/>
        </w:tcPr>
        <w:p w:rsidR="00C2180D" w:rsidRDefault="00C2180D" w:rsidP="003B4BBD">
          <w:pPr>
            <w:numPr>
              <w:ilvl w:val="12"/>
              <w:numId w:val="0"/>
            </w:numPr>
            <w:jc w:val="right"/>
          </w:pPr>
          <w:r>
            <w:rPr>
              <w:noProof/>
            </w:rPr>
            <w:drawing>
              <wp:inline distT="0" distB="0" distL="0" distR="0" wp14:anchorId="505B1310" wp14:editId="50F735F0">
                <wp:extent cx="2145600" cy="313200"/>
                <wp:effectExtent l="0" t="0" r="7620" b="0"/>
                <wp:docPr id="8" name="Picture 8" descr="Decisions&amp;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cisions&amp;Reason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5600" cy="313200"/>
                        </a:xfrm>
                        <a:prstGeom prst="rect">
                          <a:avLst/>
                        </a:prstGeom>
                        <a:noFill/>
                        <a:ln>
                          <a:noFill/>
                        </a:ln>
                      </pic:spPr>
                    </pic:pic>
                  </a:graphicData>
                </a:graphic>
              </wp:inline>
            </w:drawing>
          </w:r>
        </w:p>
      </w:tc>
    </w:tr>
  </w:tbl>
  <w:p w:rsidR="00C2180D" w:rsidRDefault="00C2180D" w:rsidP="00DD17FC">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64084"/>
    <w:multiLevelType w:val="multilevel"/>
    <w:tmpl w:val="41AE35B0"/>
    <w:styleLink w:val="ListNumbers"/>
    <w:lvl w:ilvl="0">
      <w:start w:val="1"/>
      <w:numFmt w:val="decimal"/>
      <w:pStyle w:val="ListNumber"/>
      <w:lvlText w:val="%1."/>
      <w:lvlJc w:val="left"/>
      <w:pPr>
        <w:tabs>
          <w:tab w:val="num" w:pos="0"/>
        </w:tabs>
        <w:ind w:left="0" w:hanging="709"/>
      </w:pPr>
      <w:rPr>
        <w:rFonts w:hint="default"/>
      </w:rPr>
    </w:lvl>
    <w:lvl w:ilvl="1">
      <w:start w:val="1"/>
      <w:numFmt w:val="lowerLetter"/>
      <w:lvlRestart w:val="0"/>
      <w:pStyle w:val="ListNumber2"/>
      <w:lvlText w:val="(%2)"/>
      <w:lvlJc w:val="left"/>
      <w:pPr>
        <w:tabs>
          <w:tab w:val="num" w:pos="709"/>
        </w:tabs>
        <w:ind w:left="709" w:hanging="709"/>
      </w:pPr>
      <w:rPr>
        <w:rFonts w:hint="default"/>
      </w:rPr>
    </w:lvl>
    <w:lvl w:ilvl="2">
      <w:start w:val="1"/>
      <w:numFmt w:val="lowerRoman"/>
      <w:lvlRestart w:val="0"/>
      <w:pStyle w:val="ListNumber3"/>
      <w:lvlText w:val="(%3)"/>
      <w:lvlJc w:val="left"/>
      <w:pPr>
        <w:tabs>
          <w:tab w:val="num" w:pos="1418"/>
        </w:tabs>
        <w:ind w:left="1418"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0DF81586"/>
    <w:multiLevelType w:val="hybridMultilevel"/>
    <w:tmpl w:val="1ABCFEC8"/>
    <w:lvl w:ilvl="0" w:tplc="331ABF94">
      <w:start w:val="1"/>
      <w:numFmt w:val="lowerLetter"/>
      <w:lvlText w:val="(%1)"/>
      <w:lvlJc w:val="left"/>
      <w:pPr>
        <w:ind w:left="2203" w:hanging="360"/>
      </w:pPr>
      <w:rPr>
        <w:rFonts w:hint="default"/>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2" w15:restartNumberingAfterBreak="0">
    <w:nsid w:val="0F393CC1"/>
    <w:multiLevelType w:val="hybridMultilevel"/>
    <w:tmpl w:val="D3F2647C"/>
    <w:lvl w:ilvl="0" w:tplc="305ECBE0">
      <w:start w:val="1"/>
      <w:numFmt w:val="lowerLetter"/>
      <w:lvlText w:val="(%1)"/>
      <w:lvlJc w:val="left"/>
      <w:pPr>
        <w:ind w:left="2203" w:hanging="360"/>
      </w:pPr>
      <w:rPr>
        <w:rFonts w:hint="default"/>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3" w15:restartNumberingAfterBreak="0">
    <w:nsid w:val="141511BA"/>
    <w:multiLevelType w:val="multilevel"/>
    <w:tmpl w:val="0C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71C3CC7"/>
    <w:multiLevelType w:val="hybridMultilevel"/>
    <w:tmpl w:val="5C709B26"/>
    <w:lvl w:ilvl="0" w:tplc="08B44E18">
      <w:start w:val="1"/>
      <w:numFmt w:val="decimal"/>
      <w:lvlText w:val="(%1)"/>
      <w:lvlJc w:val="left"/>
      <w:pPr>
        <w:ind w:left="2345"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5" w15:restartNumberingAfterBreak="0">
    <w:nsid w:val="1ADE74D5"/>
    <w:multiLevelType w:val="hybridMultilevel"/>
    <w:tmpl w:val="CD5011A8"/>
    <w:lvl w:ilvl="0" w:tplc="E912F6D4">
      <w:start w:val="1"/>
      <w:numFmt w:val="lowerLetter"/>
      <w:lvlText w:val="(%1)"/>
      <w:lvlJc w:val="left"/>
      <w:pPr>
        <w:ind w:left="1347" w:hanging="360"/>
      </w:pPr>
      <w:rPr>
        <w:rFonts w:hint="default"/>
      </w:rPr>
    </w:lvl>
    <w:lvl w:ilvl="1" w:tplc="0C090019" w:tentative="1">
      <w:start w:val="1"/>
      <w:numFmt w:val="lowerLetter"/>
      <w:lvlText w:val="%2."/>
      <w:lvlJc w:val="left"/>
      <w:pPr>
        <w:ind w:left="2067" w:hanging="360"/>
      </w:pPr>
    </w:lvl>
    <w:lvl w:ilvl="2" w:tplc="0C09001B" w:tentative="1">
      <w:start w:val="1"/>
      <w:numFmt w:val="lowerRoman"/>
      <w:lvlText w:val="%3."/>
      <w:lvlJc w:val="right"/>
      <w:pPr>
        <w:ind w:left="2787" w:hanging="180"/>
      </w:pPr>
    </w:lvl>
    <w:lvl w:ilvl="3" w:tplc="0C09000F" w:tentative="1">
      <w:start w:val="1"/>
      <w:numFmt w:val="decimal"/>
      <w:lvlText w:val="%4."/>
      <w:lvlJc w:val="left"/>
      <w:pPr>
        <w:ind w:left="3507" w:hanging="360"/>
      </w:pPr>
    </w:lvl>
    <w:lvl w:ilvl="4" w:tplc="0C090019" w:tentative="1">
      <w:start w:val="1"/>
      <w:numFmt w:val="lowerLetter"/>
      <w:lvlText w:val="%5."/>
      <w:lvlJc w:val="left"/>
      <w:pPr>
        <w:ind w:left="4227" w:hanging="360"/>
      </w:pPr>
    </w:lvl>
    <w:lvl w:ilvl="5" w:tplc="0C09001B" w:tentative="1">
      <w:start w:val="1"/>
      <w:numFmt w:val="lowerRoman"/>
      <w:lvlText w:val="%6."/>
      <w:lvlJc w:val="right"/>
      <w:pPr>
        <w:ind w:left="4947" w:hanging="180"/>
      </w:pPr>
    </w:lvl>
    <w:lvl w:ilvl="6" w:tplc="0C09000F" w:tentative="1">
      <w:start w:val="1"/>
      <w:numFmt w:val="decimal"/>
      <w:lvlText w:val="%7."/>
      <w:lvlJc w:val="left"/>
      <w:pPr>
        <w:ind w:left="5667" w:hanging="360"/>
      </w:pPr>
    </w:lvl>
    <w:lvl w:ilvl="7" w:tplc="0C090019" w:tentative="1">
      <w:start w:val="1"/>
      <w:numFmt w:val="lowerLetter"/>
      <w:lvlText w:val="%8."/>
      <w:lvlJc w:val="left"/>
      <w:pPr>
        <w:ind w:left="6387" w:hanging="360"/>
      </w:pPr>
    </w:lvl>
    <w:lvl w:ilvl="8" w:tplc="0C09001B" w:tentative="1">
      <w:start w:val="1"/>
      <w:numFmt w:val="lowerRoman"/>
      <w:lvlText w:val="%9."/>
      <w:lvlJc w:val="right"/>
      <w:pPr>
        <w:ind w:left="7107" w:hanging="180"/>
      </w:pPr>
    </w:lvl>
  </w:abstractNum>
  <w:abstractNum w:abstractNumId="6" w15:restartNumberingAfterBreak="0">
    <w:nsid w:val="1D6B378B"/>
    <w:multiLevelType w:val="multilevel"/>
    <w:tmpl w:val="C38441E4"/>
    <w:numStyleLink w:val="Quotes"/>
  </w:abstractNum>
  <w:abstractNum w:abstractNumId="7" w15:restartNumberingAfterBreak="0">
    <w:nsid w:val="259D2F77"/>
    <w:multiLevelType w:val="hybridMultilevel"/>
    <w:tmpl w:val="6B0AFCEA"/>
    <w:lvl w:ilvl="0" w:tplc="2D08FC6C">
      <w:start w:val="1"/>
      <w:numFmt w:val="lowerLetter"/>
      <w:lvlText w:val="(%1)"/>
      <w:lvlJc w:val="left"/>
      <w:pPr>
        <w:ind w:left="2203" w:hanging="360"/>
      </w:pPr>
      <w:rPr>
        <w:rFonts w:hint="default"/>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8" w15:restartNumberingAfterBreak="0">
    <w:nsid w:val="2D8E4DEF"/>
    <w:multiLevelType w:val="multilevel"/>
    <w:tmpl w:val="C38441E4"/>
    <w:styleLink w:val="Quotes"/>
    <w:lvl w:ilvl="0">
      <w:start w:val="1"/>
      <w:numFmt w:val="decimal"/>
      <w:pStyle w:val="NumberedQuote2"/>
      <w:lvlText w:val="%1"/>
      <w:lvlJc w:val="left"/>
      <w:pPr>
        <w:tabs>
          <w:tab w:val="num" w:pos="1276"/>
        </w:tabs>
        <w:ind w:left="1276" w:hanging="567"/>
      </w:pPr>
      <w:rPr>
        <w:rFonts w:hint="default"/>
      </w:rPr>
    </w:lvl>
    <w:lvl w:ilvl="1">
      <w:start w:val="1"/>
      <w:numFmt w:val="lowerLetter"/>
      <w:pStyle w:val="NumberedQuote3"/>
      <w:lvlText w:val="(%2)"/>
      <w:lvlJc w:val="left"/>
      <w:pPr>
        <w:tabs>
          <w:tab w:val="num" w:pos="1843"/>
        </w:tabs>
        <w:ind w:left="1843" w:hanging="567"/>
      </w:pPr>
      <w:rPr>
        <w:rFonts w:hint="default"/>
      </w:rPr>
    </w:lvl>
    <w:lvl w:ilvl="2">
      <w:start w:val="1"/>
      <w:numFmt w:val="lowerRoman"/>
      <w:pStyle w:val="NumberedQuote4"/>
      <w:lvlText w:val="(%3)"/>
      <w:lvlJc w:val="left"/>
      <w:pPr>
        <w:tabs>
          <w:tab w:val="num" w:pos="2410"/>
        </w:tabs>
        <w:ind w:left="2410" w:hanging="567"/>
      </w:pPr>
      <w:rPr>
        <w:rFonts w:hint="default"/>
      </w:rPr>
    </w:lvl>
    <w:lvl w:ilvl="3">
      <w:start w:val="1"/>
      <w:numFmt w:val="none"/>
      <w:lvlText w:val=""/>
      <w:lvlJc w:val="left"/>
      <w:pPr>
        <w:tabs>
          <w:tab w:val="num" w:pos="2410"/>
        </w:tabs>
        <w:ind w:left="2410"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DE150BC"/>
    <w:multiLevelType w:val="hybridMultilevel"/>
    <w:tmpl w:val="ED06C708"/>
    <w:lvl w:ilvl="0" w:tplc="595EDB6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85019E2"/>
    <w:multiLevelType w:val="hybridMultilevel"/>
    <w:tmpl w:val="EECEEEB2"/>
    <w:lvl w:ilvl="0" w:tplc="EDFA4DE0">
      <w:start w:val="1"/>
      <w:numFmt w:val="lowerLetter"/>
      <w:lvlText w:val="(%1)"/>
      <w:lvlJc w:val="left"/>
      <w:pPr>
        <w:ind w:left="1637" w:hanging="360"/>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11" w15:restartNumberingAfterBreak="0">
    <w:nsid w:val="387A585C"/>
    <w:multiLevelType w:val="multilevel"/>
    <w:tmpl w:val="0C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C95644A"/>
    <w:multiLevelType w:val="multilevel"/>
    <w:tmpl w:val="2160D004"/>
    <w:styleLink w:val="Bullets"/>
    <w:lvl w:ilvl="0">
      <w:start w:val="1"/>
      <w:numFmt w:val="bullet"/>
      <w:pStyle w:val="ListBullet"/>
      <w:lvlText w:val=""/>
      <w:lvlJc w:val="left"/>
      <w:pPr>
        <w:tabs>
          <w:tab w:val="num" w:pos="1276"/>
        </w:tabs>
        <w:ind w:left="709" w:hanging="709"/>
      </w:pPr>
      <w:rPr>
        <w:rFonts w:ascii="Symbol" w:hAnsi="Symbol" w:hint="default"/>
        <w:b w:val="0"/>
        <w:i w:val="0"/>
        <w:color w:val="auto"/>
        <w:sz w:val="24"/>
      </w:rPr>
    </w:lvl>
    <w:lvl w:ilvl="1">
      <w:start w:val="1"/>
      <w:numFmt w:val="bullet"/>
      <w:lvlRestart w:val="0"/>
      <w:pStyle w:val="ListBullet2"/>
      <w:lvlText w:val="o"/>
      <w:lvlJc w:val="left"/>
      <w:pPr>
        <w:tabs>
          <w:tab w:val="num" w:pos="1843"/>
        </w:tabs>
        <w:ind w:left="1418" w:hanging="709"/>
      </w:pPr>
      <w:rPr>
        <w:rFonts w:ascii="Courier New" w:hAnsi="Courier New" w:hint="default"/>
        <w:color w:val="auto"/>
      </w:rPr>
    </w:lvl>
    <w:lvl w:ilvl="2">
      <w:start w:val="1"/>
      <w:numFmt w:val="bullet"/>
      <w:lvlRestart w:val="0"/>
      <w:lvlText w:val=""/>
      <w:lvlJc w:val="left"/>
      <w:pPr>
        <w:tabs>
          <w:tab w:val="num" w:pos="2410"/>
        </w:tabs>
        <w:ind w:left="2410" w:hanging="567"/>
      </w:pPr>
      <w:rPr>
        <w:rFonts w:ascii="Symbol" w:hAnsi="Symbol" w:hint="default"/>
        <w:color w:val="auto"/>
      </w:rPr>
    </w:lvl>
    <w:lvl w:ilvl="3">
      <w:start w:val="1"/>
      <w:numFmt w:val="bullet"/>
      <w:lvlRestart w:val="0"/>
      <w:lvlText w:val=""/>
      <w:lvlJc w:val="left"/>
      <w:pPr>
        <w:tabs>
          <w:tab w:val="num" w:pos="2977"/>
        </w:tabs>
        <w:ind w:left="2977" w:hanging="567"/>
      </w:pPr>
      <w:rPr>
        <w:rFonts w:ascii="Symbol" w:hAnsi="Symbol" w:hint="default"/>
        <w:color w:val="auto"/>
      </w:rPr>
    </w:lvl>
    <w:lvl w:ilvl="4">
      <w:start w:val="1"/>
      <w:numFmt w:val="bullet"/>
      <w:lvlRestart w:val="0"/>
      <w:lvlText w:val=""/>
      <w:lvlJc w:val="left"/>
      <w:pPr>
        <w:tabs>
          <w:tab w:val="num" w:pos="3544"/>
        </w:tabs>
        <w:ind w:left="3544" w:hanging="567"/>
      </w:pPr>
      <w:rPr>
        <w:rFonts w:ascii="Symbol" w:hAnsi="Symbol" w:hint="default"/>
        <w:color w:val="auto"/>
      </w:rPr>
    </w:lvl>
    <w:lvl w:ilvl="5">
      <w:start w:val="1"/>
      <w:numFmt w:val="bullet"/>
      <w:lvlRestart w:val="0"/>
      <w:lvlText w:val=""/>
      <w:lvlJc w:val="left"/>
      <w:pPr>
        <w:tabs>
          <w:tab w:val="num" w:pos="4111"/>
        </w:tabs>
        <w:ind w:left="4111" w:hanging="567"/>
      </w:pPr>
      <w:rPr>
        <w:rFonts w:ascii="Symbol" w:hAnsi="Symbol" w:hint="default"/>
        <w:color w:val="auto"/>
      </w:rPr>
    </w:lvl>
    <w:lvl w:ilvl="6">
      <w:start w:val="1"/>
      <w:numFmt w:val="bullet"/>
      <w:lvlRestart w:val="0"/>
      <w:lvlText w:val=""/>
      <w:lvlJc w:val="left"/>
      <w:pPr>
        <w:tabs>
          <w:tab w:val="num" w:pos="4678"/>
        </w:tabs>
        <w:ind w:left="4678" w:hanging="567"/>
      </w:pPr>
      <w:rPr>
        <w:rFonts w:ascii="Symbol" w:hAnsi="Symbol" w:hint="default"/>
        <w:color w:val="auto"/>
      </w:rPr>
    </w:lvl>
    <w:lvl w:ilvl="7">
      <w:start w:val="1"/>
      <w:numFmt w:val="bullet"/>
      <w:lvlRestart w:val="0"/>
      <w:lvlText w:val=""/>
      <w:lvlJc w:val="left"/>
      <w:pPr>
        <w:tabs>
          <w:tab w:val="num" w:pos="5245"/>
        </w:tabs>
        <w:ind w:left="5245" w:hanging="567"/>
      </w:pPr>
      <w:rPr>
        <w:rFonts w:ascii="Symbol" w:hAnsi="Symbol" w:hint="default"/>
        <w:color w:val="auto"/>
      </w:rPr>
    </w:lvl>
    <w:lvl w:ilvl="8">
      <w:start w:val="1"/>
      <w:numFmt w:val="bullet"/>
      <w:lvlRestart w:val="0"/>
      <w:lvlText w:val=""/>
      <w:lvlJc w:val="left"/>
      <w:pPr>
        <w:tabs>
          <w:tab w:val="num" w:pos="5812"/>
        </w:tabs>
        <w:ind w:left="5812" w:hanging="567"/>
      </w:pPr>
      <w:rPr>
        <w:rFonts w:ascii="Symbol" w:hAnsi="Symbol" w:hint="default"/>
        <w:color w:val="auto"/>
      </w:rPr>
    </w:lvl>
  </w:abstractNum>
  <w:abstractNum w:abstractNumId="13" w15:restartNumberingAfterBreak="0">
    <w:nsid w:val="48192350"/>
    <w:multiLevelType w:val="hybridMultilevel"/>
    <w:tmpl w:val="D26067DC"/>
    <w:lvl w:ilvl="0" w:tplc="EFDC5E72">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4" w15:restartNumberingAfterBreak="0">
    <w:nsid w:val="584105E7"/>
    <w:multiLevelType w:val="hybridMultilevel"/>
    <w:tmpl w:val="663A2C3E"/>
    <w:lvl w:ilvl="0" w:tplc="EB4A2DEE">
      <w:start w:val="1"/>
      <w:numFmt w:val="lowerLetter"/>
      <w:lvlText w:val="(%1)"/>
      <w:lvlJc w:val="left"/>
      <w:pPr>
        <w:ind w:left="2203" w:hanging="360"/>
      </w:pPr>
      <w:rPr>
        <w:rFonts w:hint="default"/>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15" w15:restartNumberingAfterBreak="0">
    <w:nsid w:val="641E12EB"/>
    <w:multiLevelType w:val="multilevel"/>
    <w:tmpl w:val="2160D004"/>
    <w:numStyleLink w:val="Bullets"/>
  </w:abstractNum>
  <w:num w:numId="1">
    <w:abstractNumId w:val="3"/>
  </w:num>
  <w:num w:numId="2">
    <w:abstractNumId w:val="11"/>
  </w:num>
  <w:num w:numId="3">
    <w:abstractNumId w:val="12"/>
  </w:num>
  <w:num w:numId="4">
    <w:abstractNumId w:val="15"/>
  </w:num>
  <w:num w:numId="5">
    <w:abstractNumId w:val="0"/>
  </w:num>
  <w:num w:numId="6">
    <w:abstractNumId w:val="8"/>
  </w:num>
  <w:num w:numId="7">
    <w:abstractNumId w:val="6"/>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num>
  <w:num w:numId="12">
    <w:abstractNumId w:val="4"/>
  </w:num>
  <w:num w:numId="13">
    <w:abstractNumId w:val="1"/>
  </w:num>
  <w:num w:numId="14">
    <w:abstractNumId w:val="10"/>
  </w:num>
  <w:num w:numId="15">
    <w:abstractNumId w:val="7"/>
  </w:num>
  <w:num w:numId="16">
    <w:abstractNumId w:val="2"/>
  </w:num>
  <w:num w:numId="17">
    <w:abstractNumId w:val="14"/>
  </w:num>
  <w:num w:numId="18">
    <w:abstractNumId w:val="13"/>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rstRun" w:val="False"/>
    <w:docVar w:name="RunAlready" w:val="True"/>
  </w:docVars>
  <w:rsids>
    <w:rsidRoot w:val="008B58F1"/>
    <w:rsid w:val="00000438"/>
    <w:rsid w:val="00000788"/>
    <w:rsid w:val="00000ABB"/>
    <w:rsid w:val="00004028"/>
    <w:rsid w:val="00004916"/>
    <w:rsid w:val="00005D43"/>
    <w:rsid w:val="00010D8F"/>
    <w:rsid w:val="0001309B"/>
    <w:rsid w:val="00016E32"/>
    <w:rsid w:val="000176A5"/>
    <w:rsid w:val="00020FCA"/>
    <w:rsid w:val="00022CF0"/>
    <w:rsid w:val="00024EF9"/>
    <w:rsid w:val="00025EC9"/>
    <w:rsid w:val="00026072"/>
    <w:rsid w:val="00026A57"/>
    <w:rsid w:val="00030E12"/>
    <w:rsid w:val="00031D09"/>
    <w:rsid w:val="00034645"/>
    <w:rsid w:val="0003647F"/>
    <w:rsid w:val="00036C03"/>
    <w:rsid w:val="00037306"/>
    <w:rsid w:val="00040997"/>
    <w:rsid w:val="00041993"/>
    <w:rsid w:val="00041DE0"/>
    <w:rsid w:val="00051969"/>
    <w:rsid w:val="000533BE"/>
    <w:rsid w:val="00054765"/>
    <w:rsid w:val="0005765E"/>
    <w:rsid w:val="00066A89"/>
    <w:rsid w:val="00072703"/>
    <w:rsid w:val="00074057"/>
    <w:rsid w:val="00076AE1"/>
    <w:rsid w:val="00077D8F"/>
    <w:rsid w:val="00077E34"/>
    <w:rsid w:val="0008091F"/>
    <w:rsid w:val="00082425"/>
    <w:rsid w:val="000852E6"/>
    <w:rsid w:val="0008639E"/>
    <w:rsid w:val="00086AFC"/>
    <w:rsid w:val="000903C8"/>
    <w:rsid w:val="0009045E"/>
    <w:rsid w:val="0009097C"/>
    <w:rsid w:val="00096477"/>
    <w:rsid w:val="000A058C"/>
    <w:rsid w:val="000A2C43"/>
    <w:rsid w:val="000A3B7B"/>
    <w:rsid w:val="000A40FB"/>
    <w:rsid w:val="000A6277"/>
    <w:rsid w:val="000B05AB"/>
    <w:rsid w:val="000B41C7"/>
    <w:rsid w:val="000B7479"/>
    <w:rsid w:val="000B799C"/>
    <w:rsid w:val="000B7E7F"/>
    <w:rsid w:val="000C0421"/>
    <w:rsid w:val="000C200E"/>
    <w:rsid w:val="000C716A"/>
    <w:rsid w:val="000D1F26"/>
    <w:rsid w:val="000E14C4"/>
    <w:rsid w:val="000E35BC"/>
    <w:rsid w:val="000E3B5A"/>
    <w:rsid w:val="000E4089"/>
    <w:rsid w:val="000E5FB6"/>
    <w:rsid w:val="000F18F4"/>
    <w:rsid w:val="000F6FDF"/>
    <w:rsid w:val="001064ED"/>
    <w:rsid w:val="00110450"/>
    <w:rsid w:val="00110C0F"/>
    <w:rsid w:val="00111E7D"/>
    <w:rsid w:val="00111F84"/>
    <w:rsid w:val="001131C2"/>
    <w:rsid w:val="00114BD8"/>
    <w:rsid w:val="0011681C"/>
    <w:rsid w:val="00117552"/>
    <w:rsid w:val="0012021D"/>
    <w:rsid w:val="001209DA"/>
    <w:rsid w:val="00122092"/>
    <w:rsid w:val="001220FF"/>
    <w:rsid w:val="00122EFA"/>
    <w:rsid w:val="00132A1F"/>
    <w:rsid w:val="0013307E"/>
    <w:rsid w:val="00143874"/>
    <w:rsid w:val="0014665F"/>
    <w:rsid w:val="001466C7"/>
    <w:rsid w:val="00152EB0"/>
    <w:rsid w:val="00155013"/>
    <w:rsid w:val="00155AFB"/>
    <w:rsid w:val="00156035"/>
    <w:rsid w:val="00161B81"/>
    <w:rsid w:val="001623BA"/>
    <w:rsid w:val="001625D8"/>
    <w:rsid w:val="0016425D"/>
    <w:rsid w:val="0016773D"/>
    <w:rsid w:val="00170921"/>
    <w:rsid w:val="00170BEE"/>
    <w:rsid w:val="00174965"/>
    <w:rsid w:val="001761FE"/>
    <w:rsid w:val="00177ECF"/>
    <w:rsid w:val="001803FE"/>
    <w:rsid w:val="00183666"/>
    <w:rsid w:val="001851A9"/>
    <w:rsid w:val="00185304"/>
    <w:rsid w:val="0018598D"/>
    <w:rsid w:val="00185E4F"/>
    <w:rsid w:val="00187636"/>
    <w:rsid w:val="00197BFF"/>
    <w:rsid w:val="001A2C68"/>
    <w:rsid w:val="001A3530"/>
    <w:rsid w:val="001A364D"/>
    <w:rsid w:val="001A364E"/>
    <w:rsid w:val="001A37DD"/>
    <w:rsid w:val="001A4085"/>
    <w:rsid w:val="001A4617"/>
    <w:rsid w:val="001B7953"/>
    <w:rsid w:val="001C1058"/>
    <w:rsid w:val="001C59B1"/>
    <w:rsid w:val="001D0804"/>
    <w:rsid w:val="001D5528"/>
    <w:rsid w:val="001D5B26"/>
    <w:rsid w:val="001D661E"/>
    <w:rsid w:val="001D734A"/>
    <w:rsid w:val="001E041B"/>
    <w:rsid w:val="001E0794"/>
    <w:rsid w:val="001E1E9E"/>
    <w:rsid w:val="001E237C"/>
    <w:rsid w:val="001E4799"/>
    <w:rsid w:val="001F058C"/>
    <w:rsid w:val="001F2404"/>
    <w:rsid w:val="001F2C5D"/>
    <w:rsid w:val="001F3698"/>
    <w:rsid w:val="001F708A"/>
    <w:rsid w:val="001F711F"/>
    <w:rsid w:val="00200058"/>
    <w:rsid w:val="00200390"/>
    <w:rsid w:val="00201958"/>
    <w:rsid w:val="00202BDD"/>
    <w:rsid w:val="002037D9"/>
    <w:rsid w:val="00203F58"/>
    <w:rsid w:val="002044E0"/>
    <w:rsid w:val="002101C7"/>
    <w:rsid w:val="0021136A"/>
    <w:rsid w:val="00211543"/>
    <w:rsid w:val="002135E8"/>
    <w:rsid w:val="002137DF"/>
    <w:rsid w:val="00213896"/>
    <w:rsid w:val="00214F7D"/>
    <w:rsid w:val="00215BDF"/>
    <w:rsid w:val="00215E98"/>
    <w:rsid w:val="00217DAA"/>
    <w:rsid w:val="002216BD"/>
    <w:rsid w:val="002257FA"/>
    <w:rsid w:val="002260F4"/>
    <w:rsid w:val="002276C4"/>
    <w:rsid w:val="00230141"/>
    <w:rsid w:val="00237992"/>
    <w:rsid w:val="00242AEC"/>
    <w:rsid w:val="0024473D"/>
    <w:rsid w:val="0024549E"/>
    <w:rsid w:val="00253104"/>
    <w:rsid w:val="00256FC5"/>
    <w:rsid w:val="002607D3"/>
    <w:rsid w:val="00264A1D"/>
    <w:rsid w:val="00271135"/>
    <w:rsid w:val="002735B9"/>
    <w:rsid w:val="00273B5A"/>
    <w:rsid w:val="0027496E"/>
    <w:rsid w:val="002754F8"/>
    <w:rsid w:val="00275E2F"/>
    <w:rsid w:val="002801D9"/>
    <w:rsid w:val="00280F2B"/>
    <w:rsid w:val="002839BF"/>
    <w:rsid w:val="00287811"/>
    <w:rsid w:val="00287FE0"/>
    <w:rsid w:val="002944AA"/>
    <w:rsid w:val="0029482B"/>
    <w:rsid w:val="002954D6"/>
    <w:rsid w:val="00295ACC"/>
    <w:rsid w:val="00297BAC"/>
    <w:rsid w:val="00297EA1"/>
    <w:rsid w:val="002A40EA"/>
    <w:rsid w:val="002A5BD8"/>
    <w:rsid w:val="002A6D3A"/>
    <w:rsid w:val="002B1002"/>
    <w:rsid w:val="002B4F02"/>
    <w:rsid w:val="002B52FA"/>
    <w:rsid w:val="002C009A"/>
    <w:rsid w:val="002C1516"/>
    <w:rsid w:val="002C1D28"/>
    <w:rsid w:val="002C2118"/>
    <w:rsid w:val="002C7E16"/>
    <w:rsid w:val="002D3429"/>
    <w:rsid w:val="002D7F26"/>
    <w:rsid w:val="002E599F"/>
    <w:rsid w:val="002E6962"/>
    <w:rsid w:val="002E7FBA"/>
    <w:rsid w:val="002F0D19"/>
    <w:rsid w:val="002F0F50"/>
    <w:rsid w:val="002F3DDF"/>
    <w:rsid w:val="002F6956"/>
    <w:rsid w:val="002F7E7B"/>
    <w:rsid w:val="00301154"/>
    <w:rsid w:val="0030226A"/>
    <w:rsid w:val="00305792"/>
    <w:rsid w:val="003058C9"/>
    <w:rsid w:val="003070FA"/>
    <w:rsid w:val="00307689"/>
    <w:rsid w:val="003152B2"/>
    <w:rsid w:val="00323B7B"/>
    <w:rsid w:val="00325D17"/>
    <w:rsid w:val="00325EC3"/>
    <w:rsid w:val="0032657E"/>
    <w:rsid w:val="00331390"/>
    <w:rsid w:val="003345C3"/>
    <w:rsid w:val="00336C16"/>
    <w:rsid w:val="0034191E"/>
    <w:rsid w:val="00342BEC"/>
    <w:rsid w:val="00343163"/>
    <w:rsid w:val="003436FA"/>
    <w:rsid w:val="00350976"/>
    <w:rsid w:val="00352348"/>
    <w:rsid w:val="00352381"/>
    <w:rsid w:val="003530AA"/>
    <w:rsid w:val="003579F7"/>
    <w:rsid w:val="00357F88"/>
    <w:rsid w:val="003739F4"/>
    <w:rsid w:val="00380425"/>
    <w:rsid w:val="00382E91"/>
    <w:rsid w:val="003868D3"/>
    <w:rsid w:val="00391759"/>
    <w:rsid w:val="00391A9B"/>
    <w:rsid w:val="00394A18"/>
    <w:rsid w:val="00395365"/>
    <w:rsid w:val="00395B38"/>
    <w:rsid w:val="00397AC3"/>
    <w:rsid w:val="003A1F50"/>
    <w:rsid w:val="003A5522"/>
    <w:rsid w:val="003B4BBD"/>
    <w:rsid w:val="003B6DAC"/>
    <w:rsid w:val="003C12DE"/>
    <w:rsid w:val="003C3A2F"/>
    <w:rsid w:val="003C6C6D"/>
    <w:rsid w:val="003D2450"/>
    <w:rsid w:val="003D4BB1"/>
    <w:rsid w:val="003E1FE6"/>
    <w:rsid w:val="003E261A"/>
    <w:rsid w:val="003E45BA"/>
    <w:rsid w:val="003E5E87"/>
    <w:rsid w:val="003E64EB"/>
    <w:rsid w:val="003F2BEB"/>
    <w:rsid w:val="003F3503"/>
    <w:rsid w:val="003F5488"/>
    <w:rsid w:val="00401581"/>
    <w:rsid w:val="004050E6"/>
    <w:rsid w:val="00406B68"/>
    <w:rsid w:val="00411738"/>
    <w:rsid w:val="004152C5"/>
    <w:rsid w:val="00416CE8"/>
    <w:rsid w:val="00417658"/>
    <w:rsid w:val="00425CEF"/>
    <w:rsid w:val="00426A4B"/>
    <w:rsid w:val="00434C15"/>
    <w:rsid w:val="00434C43"/>
    <w:rsid w:val="0044330A"/>
    <w:rsid w:val="00451821"/>
    <w:rsid w:val="0045440C"/>
    <w:rsid w:val="00454437"/>
    <w:rsid w:val="00463C53"/>
    <w:rsid w:val="00466655"/>
    <w:rsid w:val="0047066D"/>
    <w:rsid w:val="00472670"/>
    <w:rsid w:val="004727B7"/>
    <w:rsid w:val="00473144"/>
    <w:rsid w:val="00473AB1"/>
    <w:rsid w:val="00480DF4"/>
    <w:rsid w:val="004856B3"/>
    <w:rsid w:val="00485A89"/>
    <w:rsid w:val="004905BD"/>
    <w:rsid w:val="00490C0A"/>
    <w:rsid w:val="004A0002"/>
    <w:rsid w:val="004A4F2C"/>
    <w:rsid w:val="004A55A2"/>
    <w:rsid w:val="004A75CC"/>
    <w:rsid w:val="004B6924"/>
    <w:rsid w:val="004C4132"/>
    <w:rsid w:val="004C7483"/>
    <w:rsid w:val="004C74C6"/>
    <w:rsid w:val="004D0176"/>
    <w:rsid w:val="004D3365"/>
    <w:rsid w:val="004E5063"/>
    <w:rsid w:val="004E720A"/>
    <w:rsid w:val="004E7541"/>
    <w:rsid w:val="004F13F5"/>
    <w:rsid w:val="004F5034"/>
    <w:rsid w:val="004F62A5"/>
    <w:rsid w:val="004F63A1"/>
    <w:rsid w:val="0050054F"/>
    <w:rsid w:val="0050166A"/>
    <w:rsid w:val="00502ACA"/>
    <w:rsid w:val="00505CF1"/>
    <w:rsid w:val="0050670F"/>
    <w:rsid w:val="00512B79"/>
    <w:rsid w:val="00513A55"/>
    <w:rsid w:val="0051593B"/>
    <w:rsid w:val="00520D65"/>
    <w:rsid w:val="00521399"/>
    <w:rsid w:val="00522817"/>
    <w:rsid w:val="00522908"/>
    <w:rsid w:val="00526022"/>
    <w:rsid w:val="0052665E"/>
    <w:rsid w:val="00531AA1"/>
    <w:rsid w:val="00531B56"/>
    <w:rsid w:val="0053335B"/>
    <w:rsid w:val="00552511"/>
    <w:rsid w:val="0055292B"/>
    <w:rsid w:val="0055307E"/>
    <w:rsid w:val="00554246"/>
    <w:rsid w:val="00556B39"/>
    <w:rsid w:val="00561B98"/>
    <w:rsid w:val="005632FA"/>
    <w:rsid w:val="005706B0"/>
    <w:rsid w:val="0057112B"/>
    <w:rsid w:val="00576A65"/>
    <w:rsid w:val="00581AFC"/>
    <w:rsid w:val="005833E8"/>
    <w:rsid w:val="00585C0F"/>
    <w:rsid w:val="0058690A"/>
    <w:rsid w:val="005921CA"/>
    <w:rsid w:val="00592DF7"/>
    <w:rsid w:val="00594020"/>
    <w:rsid w:val="005940BF"/>
    <w:rsid w:val="00596126"/>
    <w:rsid w:val="005964BE"/>
    <w:rsid w:val="00596579"/>
    <w:rsid w:val="005976AB"/>
    <w:rsid w:val="005A3DE1"/>
    <w:rsid w:val="005A4682"/>
    <w:rsid w:val="005A5149"/>
    <w:rsid w:val="005A51FD"/>
    <w:rsid w:val="005A5A37"/>
    <w:rsid w:val="005B23D4"/>
    <w:rsid w:val="005B3289"/>
    <w:rsid w:val="005B4862"/>
    <w:rsid w:val="005B5C21"/>
    <w:rsid w:val="005C01A0"/>
    <w:rsid w:val="005C2BEF"/>
    <w:rsid w:val="005C5785"/>
    <w:rsid w:val="005C6B79"/>
    <w:rsid w:val="005D01F0"/>
    <w:rsid w:val="005D5DF5"/>
    <w:rsid w:val="005D6394"/>
    <w:rsid w:val="005E0F42"/>
    <w:rsid w:val="005E1A25"/>
    <w:rsid w:val="005E4260"/>
    <w:rsid w:val="005E7261"/>
    <w:rsid w:val="005F21C4"/>
    <w:rsid w:val="005F2E99"/>
    <w:rsid w:val="005F4735"/>
    <w:rsid w:val="005F4A5B"/>
    <w:rsid w:val="005F7680"/>
    <w:rsid w:val="00600553"/>
    <w:rsid w:val="00602F9D"/>
    <w:rsid w:val="00605BAB"/>
    <w:rsid w:val="00607F3F"/>
    <w:rsid w:val="0061014E"/>
    <w:rsid w:val="00615503"/>
    <w:rsid w:val="00617636"/>
    <w:rsid w:val="00621408"/>
    <w:rsid w:val="00622FE3"/>
    <w:rsid w:val="0062609A"/>
    <w:rsid w:val="00633101"/>
    <w:rsid w:val="00635B45"/>
    <w:rsid w:val="00635CEE"/>
    <w:rsid w:val="00635E9D"/>
    <w:rsid w:val="00645512"/>
    <w:rsid w:val="00647330"/>
    <w:rsid w:val="00653401"/>
    <w:rsid w:val="0066062A"/>
    <w:rsid w:val="00661217"/>
    <w:rsid w:val="00661270"/>
    <w:rsid w:val="00662B1E"/>
    <w:rsid w:val="00663243"/>
    <w:rsid w:val="00664295"/>
    <w:rsid w:val="0066463B"/>
    <w:rsid w:val="00671D54"/>
    <w:rsid w:val="00681AA2"/>
    <w:rsid w:val="00682631"/>
    <w:rsid w:val="00690288"/>
    <w:rsid w:val="0069197D"/>
    <w:rsid w:val="006945BD"/>
    <w:rsid w:val="00696443"/>
    <w:rsid w:val="006970A2"/>
    <w:rsid w:val="006A5846"/>
    <w:rsid w:val="006A586C"/>
    <w:rsid w:val="006A6494"/>
    <w:rsid w:val="006A7826"/>
    <w:rsid w:val="006B3EE8"/>
    <w:rsid w:val="006B5946"/>
    <w:rsid w:val="006B624A"/>
    <w:rsid w:val="006B7D30"/>
    <w:rsid w:val="006C2314"/>
    <w:rsid w:val="006C4F5E"/>
    <w:rsid w:val="006C77A1"/>
    <w:rsid w:val="006D0EE2"/>
    <w:rsid w:val="006D113F"/>
    <w:rsid w:val="006D2055"/>
    <w:rsid w:val="006D20BD"/>
    <w:rsid w:val="006D3300"/>
    <w:rsid w:val="006D3A70"/>
    <w:rsid w:val="006D4055"/>
    <w:rsid w:val="006D748E"/>
    <w:rsid w:val="006D7A2C"/>
    <w:rsid w:val="006D7A7B"/>
    <w:rsid w:val="006D7F83"/>
    <w:rsid w:val="006E183F"/>
    <w:rsid w:val="006E1CB3"/>
    <w:rsid w:val="006E467D"/>
    <w:rsid w:val="006E5759"/>
    <w:rsid w:val="006E5CA8"/>
    <w:rsid w:val="006F0A2D"/>
    <w:rsid w:val="006F16E0"/>
    <w:rsid w:val="006F3B93"/>
    <w:rsid w:val="006F4185"/>
    <w:rsid w:val="0070444D"/>
    <w:rsid w:val="00705F57"/>
    <w:rsid w:val="0070693C"/>
    <w:rsid w:val="0070746A"/>
    <w:rsid w:val="00707C6C"/>
    <w:rsid w:val="00713462"/>
    <w:rsid w:val="00713ADF"/>
    <w:rsid w:val="0072102D"/>
    <w:rsid w:val="00721D66"/>
    <w:rsid w:val="00724C6E"/>
    <w:rsid w:val="00726B2F"/>
    <w:rsid w:val="00726DEA"/>
    <w:rsid w:val="00727FBE"/>
    <w:rsid w:val="00731113"/>
    <w:rsid w:val="007339E9"/>
    <w:rsid w:val="00734E18"/>
    <w:rsid w:val="00737A0D"/>
    <w:rsid w:val="007435BC"/>
    <w:rsid w:val="00746F7A"/>
    <w:rsid w:val="007511FE"/>
    <w:rsid w:val="00751737"/>
    <w:rsid w:val="00754290"/>
    <w:rsid w:val="00755234"/>
    <w:rsid w:val="007559DB"/>
    <w:rsid w:val="0075763B"/>
    <w:rsid w:val="00760AB6"/>
    <w:rsid w:val="007651A6"/>
    <w:rsid w:val="00771CAC"/>
    <w:rsid w:val="0077217E"/>
    <w:rsid w:val="0077250E"/>
    <w:rsid w:val="00773CCF"/>
    <w:rsid w:val="00776825"/>
    <w:rsid w:val="00776FD2"/>
    <w:rsid w:val="007800EC"/>
    <w:rsid w:val="0078314E"/>
    <w:rsid w:val="007840EF"/>
    <w:rsid w:val="00785FFA"/>
    <w:rsid w:val="00797D4B"/>
    <w:rsid w:val="007A7422"/>
    <w:rsid w:val="007B2F65"/>
    <w:rsid w:val="007B585F"/>
    <w:rsid w:val="007B6AC8"/>
    <w:rsid w:val="007B71FC"/>
    <w:rsid w:val="007C276C"/>
    <w:rsid w:val="007C2DF2"/>
    <w:rsid w:val="007C326A"/>
    <w:rsid w:val="007C7239"/>
    <w:rsid w:val="007C7784"/>
    <w:rsid w:val="007C7CFC"/>
    <w:rsid w:val="007D1803"/>
    <w:rsid w:val="007D1DF7"/>
    <w:rsid w:val="007D5ED6"/>
    <w:rsid w:val="007D7592"/>
    <w:rsid w:val="007E173D"/>
    <w:rsid w:val="007F41A6"/>
    <w:rsid w:val="007F50A2"/>
    <w:rsid w:val="0080210D"/>
    <w:rsid w:val="00803D8A"/>
    <w:rsid w:val="0081024C"/>
    <w:rsid w:val="00814E7C"/>
    <w:rsid w:val="00821074"/>
    <w:rsid w:val="008233C4"/>
    <w:rsid w:val="0082393D"/>
    <w:rsid w:val="0082514B"/>
    <w:rsid w:val="00827793"/>
    <w:rsid w:val="0082795E"/>
    <w:rsid w:val="00830233"/>
    <w:rsid w:val="008337D5"/>
    <w:rsid w:val="008408EA"/>
    <w:rsid w:val="00840AB7"/>
    <w:rsid w:val="0084118E"/>
    <w:rsid w:val="00842ACE"/>
    <w:rsid w:val="0084301B"/>
    <w:rsid w:val="008526D9"/>
    <w:rsid w:val="008535EE"/>
    <w:rsid w:val="00855BBF"/>
    <w:rsid w:val="0085669A"/>
    <w:rsid w:val="00856D59"/>
    <w:rsid w:val="00857375"/>
    <w:rsid w:val="008579F6"/>
    <w:rsid w:val="00857DD6"/>
    <w:rsid w:val="00860F03"/>
    <w:rsid w:val="00860FEC"/>
    <w:rsid w:val="008625B1"/>
    <w:rsid w:val="008629EB"/>
    <w:rsid w:val="00862CFE"/>
    <w:rsid w:val="00864777"/>
    <w:rsid w:val="00865B83"/>
    <w:rsid w:val="008720E5"/>
    <w:rsid w:val="008728CF"/>
    <w:rsid w:val="008764FB"/>
    <w:rsid w:val="00876A16"/>
    <w:rsid w:val="00880CF9"/>
    <w:rsid w:val="008812E5"/>
    <w:rsid w:val="008816AE"/>
    <w:rsid w:val="00881B39"/>
    <w:rsid w:val="00887918"/>
    <w:rsid w:val="00890614"/>
    <w:rsid w:val="0089622D"/>
    <w:rsid w:val="008A238D"/>
    <w:rsid w:val="008A6374"/>
    <w:rsid w:val="008B0201"/>
    <w:rsid w:val="008B51F3"/>
    <w:rsid w:val="008B58F1"/>
    <w:rsid w:val="008B7170"/>
    <w:rsid w:val="008C1ACF"/>
    <w:rsid w:val="008C2C0A"/>
    <w:rsid w:val="008C4D87"/>
    <w:rsid w:val="008C5622"/>
    <w:rsid w:val="008D0B03"/>
    <w:rsid w:val="008D1E16"/>
    <w:rsid w:val="008D75FE"/>
    <w:rsid w:val="008F0E23"/>
    <w:rsid w:val="008F49AD"/>
    <w:rsid w:val="008F4CE4"/>
    <w:rsid w:val="009003F4"/>
    <w:rsid w:val="00900A96"/>
    <w:rsid w:val="009030DC"/>
    <w:rsid w:val="00911471"/>
    <w:rsid w:val="0091202C"/>
    <w:rsid w:val="009151B2"/>
    <w:rsid w:val="00916850"/>
    <w:rsid w:val="009201DC"/>
    <w:rsid w:val="00921243"/>
    <w:rsid w:val="00924FD7"/>
    <w:rsid w:val="00926EDE"/>
    <w:rsid w:val="00934AD0"/>
    <w:rsid w:val="00935401"/>
    <w:rsid w:val="009356EB"/>
    <w:rsid w:val="00943F4B"/>
    <w:rsid w:val="00947603"/>
    <w:rsid w:val="00950B47"/>
    <w:rsid w:val="00952EBD"/>
    <w:rsid w:val="00954082"/>
    <w:rsid w:val="009602B5"/>
    <w:rsid w:val="0096159B"/>
    <w:rsid w:val="00963197"/>
    <w:rsid w:val="00963ABB"/>
    <w:rsid w:val="00964E99"/>
    <w:rsid w:val="0097163C"/>
    <w:rsid w:val="00975559"/>
    <w:rsid w:val="00985BC9"/>
    <w:rsid w:val="00985FF8"/>
    <w:rsid w:val="00987A78"/>
    <w:rsid w:val="00990F29"/>
    <w:rsid w:val="0099476A"/>
    <w:rsid w:val="00994A78"/>
    <w:rsid w:val="00994F17"/>
    <w:rsid w:val="009A42E4"/>
    <w:rsid w:val="009A5001"/>
    <w:rsid w:val="009B339E"/>
    <w:rsid w:val="009B583E"/>
    <w:rsid w:val="009C2144"/>
    <w:rsid w:val="009C22DF"/>
    <w:rsid w:val="009C3C5A"/>
    <w:rsid w:val="009C6540"/>
    <w:rsid w:val="009C773B"/>
    <w:rsid w:val="009D05A1"/>
    <w:rsid w:val="009D1AEA"/>
    <w:rsid w:val="009D2B4D"/>
    <w:rsid w:val="009D2CC4"/>
    <w:rsid w:val="009D3CAC"/>
    <w:rsid w:val="009D7BFB"/>
    <w:rsid w:val="009E2C76"/>
    <w:rsid w:val="009E3C22"/>
    <w:rsid w:val="009E3EBA"/>
    <w:rsid w:val="009E4374"/>
    <w:rsid w:val="009F04DA"/>
    <w:rsid w:val="009F0642"/>
    <w:rsid w:val="009F1E36"/>
    <w:rsid w:val="009F2340"/>
    <w:rsid w:val="009F2F8F"/>
    <w:rsid w:val="009F3159"/>
    <w:rsid w:val="009F4415"/>
    <w:rsid w:val="009F547C"/>
    <w:rsid w:val="009F767D"/>
    <w:rsid w:val="00A026D9"/>
    <w:rsid w:val="00A063DF"/>
    <w:rsid w:val="00A1128D"/>
    <w:rsid w:val="00A11BDF"/>
    <w:rsid w:val="00A122F6"/>
    <w:rsid w:val="00A161A7"/>
    <w:rsid w:val="00A2060C"/>
    <w:rsid w:val="00A20674"/>
    <w:rsid w:val="00A2103A"/>
    <w:rsid w:val="00A237DD"/>
    <w:rsid w:val="00A240E9"/>
    <w:rsid w:val="00A27932"/>
    <w:rsid w:val="00A32543"/>
    <w:rsid w:val="00A336C1"/>
    <w:rsid w:val="00A421E8"/>
    <w:rsid w:val="00A42C48"/>
    <w:rsid w:val="00A455BE"/>
    <w:rsid w:val="00A47435"/>
    <w:rsid w:val="00A51A9C"/>
    <w:rsid w:val="00A55F5C"/>
    <w:rsid w:val="00A57111"/>
    <w:rsid w:val="00A575A7"/>
    <w:rsid w:val="00A66C12"/>
    <w:rsid w:val="00A71ACA"/>
    <w:rsid w:val="00A724F3"/>
    <w:rsid w:val="00A73971"/>
    <w:rsid w:val="00A74195"/>
    <w:rsid w:val="00A745B2"/>
    <w:rsid w:val="00A76659"/>
    <w:rsid w:val="00A80A02"/>
    <w:rsid w:val="00A82FFF"/>
    <w:rsid w:val="00A872CD"/>
    <w:rsid w:val="00A90658"/>
    <w:rsid w:val="00A93D28"/>
    <w:rsid w:val="00A9538E"/>
    <w:rsid w:val="00A95766"/>
    <w:rsid w:val="00A95F05"/>
    <w:rsid w:val="00A96474"/>
    <w:rsid w:val="00AA0FB6"/>
    <w:rsid w:val="00AA1597"/>
    <w:rsid w:val="00AA1E42"/>
    <w:rsid w:val="00AA299A"/>
    <w:rsid w:val="00AA34CF"/>
    <w:rsid w:val="00AA7310"/>
    <w:rsid w:val="00AB3C6B"/>
    <w:rsid w:val="00AC7595"/>
    <w:rsid w:val="00AC7DC0"/>
    <w:rsid w:val="00AD32FC"/>
    <w:rsid w:val="00AD35F4"/>
    <w:rsid w:val="00AD51F7"/>
    <w:rsid w:val="00AE3896"/>
    <w:rsid w:val="00AE398A"/>
    <w:rsid w:val="00AE3CE3"/>
    <w:rsid w:val="00AE53C8"/>
    <w:rsid w:val="00AE5B4E"/>
    <w:rsid w:val="00AE7746"/>
    <w:rsid w:val="00AF5606"/>
    <w:rsid w:val="00B005D3"/>
    <w:rsid w:val="00B022ED"/>
    <w:rsid w:val="00B0420B"/>
    <w:rsid w:val="00B05153"/>
    <w:rsid w:val="00B05845"/>
    <w:rsid w:val="00B05942"/>
    <w:rsid w:val="00B05D80"/>
    <w:rsid w:val="00B06810"/>
    <w:rsid w:val="00B1158D"/>
    <w:rsid w:val="00B11896"/>
    <w:rsid w:val="00B123AA"/>
    <w:rsid w:val="00B13055"/>
    <w:rsid w:val="00B1367F"/>
    <w:rsid w:val="00B14334"/>
    <w:rsid w:val="00B144A6"/>
    <w:rsid w:val="00B16F37"/>
    <w:rsid w:val="00B172F1"/>
    <w:rsid w:val="00B17623"/>
    <w:rsid w:val="00B21697"/>
    <w:rsid w:val="00B27588"/>
    <w:rsid w:val="00B276BA"/>
    <w:rsid w:val="00B33786"/>
    <w:rsid w:val="00B35EA7"/>
    <w:rsid w:val="00B36572"/>
    <w:rsid w:val="00B36E06"/>
    <w:rsid w:val="00B40E6C"/>
    <w:rsid w:val="00B43038"/>
    <w:rsid w:val="00B44205"/>
    <w:rsid w:val="00B46BDC"/>
    <w:rsid w:val="00B5063F"/>
    <w:rsid w:val="00B52E8C"/>
    <w:rsid w:val="00B53159"/>
    <w:rsid w:val="00B54990"/>
    <w:rsid w:val="00B64F68"/>
    <w:rsid w:val="00B71D27"/>
    <w:rsid w:val="00B7231F"/>
    <w:rsid w:val="00B72A14"/>
    <w:rsid w:val="00B74FD0"/>
    <w:rsid w:val="00B761F4"/>
    <w:rsid w:val="00B8069B"/>
    <w:rsid w:val="00B816C9"/>
    <w:rsid w:val="00B819B4"/>
    <w:rsid w:val="00B825B3"/>
    <w:rsid w:val="00B907AB"/>
    <w:rsid w:val="00B91000"/>
    <w:rsid w:val="00B9254B"/>
    <w:rsid w:val="00B925DE"/>
    <w:rsid w:val="00B953C5"/>
    <w:rsid w:val="00B967BC"/>
    <w:rsid w:val="00B96D9A"/>
    <w:rsid w:val="00BA0884"/>
    <w:rsid w:val="00BA0CEC"/>
    <w:rsid w:val="00BA0EE6"/>
    <w:rsid w:val="00BA1726"/>
    <w:rsid w:val="00BA1CFE"/>
    <w:rsid w:val="00BA1D11"/>
    <w:rsid w:val="00BA4651"/>
    <w:rsid w:val="00BA6247"/>
    <w:rsid w:val="00BA6763"/>
    <w:rsid w:val="00BB4097"/>
    <w:rsid w:val="00BB4D2F"/>
    <w:rsid w:val="00BB4DDC"/>
    <w:rsid w:val="00BB68A6"/>
    <w:rsid w:val="00BB7405"/>
    <w:rsid w:val="00BB74E6"/>
    <w:rsid w:val="00BC1CC8"/>
    <w:rsid w:val="00BC2D09"/>
    <w:rsid w:val="00BC3D36"/>
    <w:rsid w:val="00BC53EB"/>
    <w:rsid w:val="00BC75C3"/>
    <w:rsid w:val="00BD007E"/>
    <w:rsid w:val="00BD0F9A"/>
    <w:rsid w:val="00BD1CE4"/>
    <w:rsid w:val="00BD33AF"/>
    <w:rsid w:val="00BD40FE"/>
    <w:rsid w:val="00BE1AAE"/>
    <w:rsid w:val="00BE4DCE"/>
    <w:rsid w:val="00BF0304"/>
    <w:rsid w:val="00BF1A7B"/>
    <w:rsid w:val="00BF2524"/>
    <w:rsid w:val="00BF353A"/>
    <w:rsid w:val="00BF384D"/>
    <w:rsid w:val="00BF5513"/>
    <w:rsid w:val="00BF654D"/>
    <w:rsid w:val="00BF6ED6"/>
    <w:rsid w:val="00C00EAE"/>
    <w:rsid w:val="00C03EAA"/>
    <w:rsid w:val="00C05300"/>
    <w:rsid w:val="00C116C1"/>
    <w:rsid w:val="00C1753D"/>
    <w:rsid w:val="00C2072D"/>
    <w:rsid w:val="00C20ED2"/>
    <w:rsid w:val="00C2180D"/>
    <w:rsid w:val="00C33D54"/>
    <w:rsid w:val="00C34FCC"/>
    <w:rsid w:val="00C36FD6"/>
    <w:rsid w:val="00C40AD0"/>
    <w:rsid w:val="00C41CEB"/>
    <w:rsid w:val="00C4309C"/>
    <w:rsid w:val="00C435F7"/>
    <w:rsid w:val="00C45890"/>
    <w:rsid w:val="00C46F19"/>
    <w:rsid w:val="00C519F0"/>
    <w:rsid w:val="00C52E97"/>
    <w:rsid w:val="00C5401C"/>
    <w:rsid w:val="00C54247"/>
    <w:rsid w:val="00C56C6C"/>
    <w:rsid w:val="00C57261"/>
    <w:rsid w:val="00C5781A"/>
    <w:rsid w:val="00C57B09"/>
    <w:rsid w:val="00C638C3"/>
    <w:rsid w:val="00C6666B"/>
    <w:rsid w:val="00C66CB9"/>
    <w:rsid w:val="00C70812"/>
    <w:rsid w:val="00C70B49"/>
    <w:rsid w:val="00C72F83"/>
    <w:rsid w:val="00C756F8"/>
    <w:rsid w:val="00C7661D"/>
    <w:rsid w:val="00C77C64"/>
    <w:rsid w:val="00C83CA0"/>
    <w:rsid w:val="00C83E00"/>
    <w:rsid w:val="00C845EA"/>
    <w:rsid w:val="00C93672"/>
    <w:rsid w:val="00C94EDA"/>
    <w:rsid w:val="00C95193"/>
    <w:rsid w:val="00CA099E"/>
    <w:rsid w:val="00CA0F32"/>
    <w:rsid w:val="00CA211B"/>
    <w:rsid w:val="00CA2EC5"/>
    <w:rsid w:val="00CA469B"/>
    <w:rsid w:val="00CA69DA"/>
    <w:rsid w:val="00CB18AE"/>
    <w:rsid w:val="00CB4124"/>
    <w:rsid w:val="00CB4DCF"/>
    <w:rsid w:val="00CC1A6B"/>
    <w:rsid w:val="00CC2329"/>
    <w:rsid w:val="00CC370F"/>
    <w:rsid w:val="00CC7478"/>
    <w:rsid w:val="00CC7598"/>
    <w:rsid w:val="00CD03C5"/>
    <w:rsid w:val="00CD0A16"/>
    <w:rsid w:val="00CD1BA5"/>
    <w:rsid w:val="00CD2AD9"/>
    <w:rsid w:val="00CD497A"/>
    <w:rsid w:val="00CD4BDE"/>
    <w:rsid w:val="00CD6D47"/>
    <w:rsid w:val="00CE004E"/>
    <w:rsid w:val="00CE01F2"/>
    <w:rsid w:val="00CE08F6"/>
    <w:rsid w:val="00CE0B8E"/>
    <w:rsid w:val="00CE1622"/>
    <w:rsid w:val="00CE20EC"/>
    <w:rsid w:val="00CE5FF6"/>
    <w:rsid w:val="00CE68E5"/>
    <w:rsid w:val="00CF25D6"/>
    <w:rsid w:val="00CF3697"/>
    <w:rsid w:val="00CF445C"/>
    <w:rsid w:val="00CF5E0E"/>
    <w:rsid w:val="00CF7872"/>
    <w:rsid w:val="00D02DA5"/>
    <w:rsid w:val="00D03E1D"/>
    <w:rsid w:val="00D05215"/>
    <w:rsid w:val="00D0526C"/>
    <w:rsid w:val="00D05659"/>
    <w:rsid w:val="00D11646"/>
    <w:rsid w:val="00D11CBE"/>
    <w:rsid w:val="00D1397A"/>
    <w:rsid w:val="00D15C72"/>
    <w:rsid w:val="00D16043"/>
    <w:rsid w:val="00D160CA"/>
    <w:rsid w:val="00D20486"/>
    <w:rsid w:val="00D20507"/>
    <w:rsid w:val="00D23357"/>
    <w:rsid w:val="00D23EFB"/>
    <w:rsid w:val="00D25909"/>
    <w:rsid w:val="00D27B06"/>
    <w:rsid w:val="00D31091"/>
    <w:rsid w:val="00D32489"/>
    <w:rsid w:val="00D329F6"/>
    <w:rsid w:val="00D331AA"/>
    <w:rsid w:val="00D33F15"/>
    <w:rsid w:val="00D347D1"/>
    <w:rsid w:val="00D36E94"/>
    <w:rsid w:val="00D37FD4"/>
    <w:rsid w:val="00D41258"/>
    <w:rsid w:val="00D42207"/>
    <w:rsid w:val="00D42B1E"/>
    <w:rsid w:val="00D430D1"/>
    <w:rsid w:val="00D474C1"/>
    <w:rsid w:val="00D50614"/>
    <w:rsid w:val="00D51FAF"/>
    <w:rsid w:val="00D60E86"/>
    <w:rsid w:val="00D6501B"/>
    <w:rsid w:val="00D729CB"/>
    <w:rsid w:val="00D73168"/>
    <w:rsid w:val="00D750F5"/>
    <w:rsid w:val="00D753E7"/>
    <w:rsid w:val="00D7573B"/>
    <w:rsid w:val="00D76EE5"/>
    <w:rsid w:val="00D832F6"/>
    <w:rsid w:val="00D83F73"/>
    <w:rsid w:val="00D86AF2"/>
    <w:rsid w:val="00D90A26"/>
    <w:rsid w:val="00D90A28"/>
    <w:rsid w:val="00D94FCE"/>
    <w:rsid w:val="00D96CC9"/>
    <w:rsid w:val="00DA14A0"/>
    <w:rsid w:val="00DA5AA0"/>
    <w:rsid w:val="00DA5C23"/>
    <w:rsid w:val="00DA687F"/>
    <w:rsid w:val="00DA7DD9"/>
    <w:rsid w:val="00DB10BD"/>
    <w:rsid w:val="00DB36C6"/>
    <w:rsid w:val="00DB708A"/>
    <w:rsid w:val="00DC0CB0"/>
    <w:rsid w:val="00DC479C"/>
    <w:rsid w:val="00DC53C8"/>
    <w:rsid w:val="00DD17FC"/>
    <w:rsid w:val="00DD2834"/>
    <w:rsid w:val="00DD2DE4"/>
    <w:rsid w:val="00DD5935"/>
    <w:rsid w:val="00DD5FC5"/>
    <w:rsid w:val="00DD7AEB"/>
    <w:rsid w:val="00DE0DFC"/>
    <w:rsid w:val="00DE3378"/>
    <w:rsid w:val="00DE35A0"/>
    <w:rsid w:val="00DE6020"/>
    <w:rsid w:val="00DE67BB"/>
    <w:rsid w:val="00DE6F75"/>
    <w:rsid w:val="00DE705C"/>
    <w:rsid w:val="00DF1A18"/>
    <w:rsid w:val="00E01B62"/>
    <w:rsid w:val="00E02C96"/>
    <w:rsid w:val="00E0306C"/>
    <w:rsid w:val="00E05562"/>
    <w:rsid w:val="00E069C4"/>
    <w:rsid w:val="00E14A70"/>
    <w:rsid w:val="00E1533A"/>
    <w:rsid w:val="00E15377"/>
    <w:rsid w:val="00E20D75"/>
    <w:rsid w:val="00E219DF"/>
    <w:rsid w:val="00E21BB2"/>
    <w:rsid w:val="00E21F00"/>
    <w:rsid w:val="00E22DC4"/>
    <w:rsid w:val="00E22FD9"/>
    <w:rsid w:val="00E26F98"/>
    <w:rsid w:val="00E31B49"/>
    <w:rsid w:val="00E31B91"/>
    <w:rsid w:val="00E35425"/>
    <w:rsid w:val="00E37D4D"/>
    <w:rsid w:val="00E41546"/>
    <w:rsid w:val="00E419D2"/>
    <w:rsid w:val="00E43144"/>
    <w:rsid w:val="00E53225"/>
    <w:rsid w:val="00E537F4"/>
    <w:rsid w:val="00E53E11"/>
    <w:rsid w:val="00E55484"/>
    <w:rsid w:val="00E56B7F"/>
    <w:rsid w:val="00E60680"/>
    <w:rsid w:val="00E616B9"/>
    <w:rsid w:val="00E657FE"/>
    <w:rsid w:val="00E67697"/>
    <w:rsid w:val="00E67BA1"/>
    <w:rsid w:val="00E7349B"/>
    <w:rsid w:val="00E753BB"/>
    <w:rsid w:val="00E75F68"/>
    <w:rsid w:val="00E7638D"/>
    <w:rsid w:val="00E8215F"/>
    <w:rsid w:val="00E87A46"/>
    <w:rsid w:val="00E90C6F"/>
    <w:rsid w:val="00E92DDB"/>
    <w:rsid w:val="00E944CF"/>
    <w:rsid w:val="00E951D7"/>
    <w:rsid w:val="00E95A17"/>
    <w:rsid w:val="00E96669"/>
    <w:rsid w:val="00EA0DB3"/>
    <w:rsid w:val="00EA0E51"/>
    <w:rsid w:val="00EA6C19"/>
    <w:rsid w:val="00EB1367"/>
    <w:rsid w:val="00EB53E3"/>
    <w:rsid w:val="00EB659E"/>
    <w:rsid w:val="00EC144E"/>
    <w:rsid w:val="00EC5C80"/>
    <w:rsid w:val="00ED04F9"/>
    <w:rsid w:val="00ED4ACA"/>
    <w:rsid w:val="00EE0F4C"/>
    <w:rsid w:val="00EE117D"/>
    <w:rsid w:val="00EE19C3"/>
    <w:rsid w:val="00EE24D8"/>
    <w:rsid w:val="00EE6F06"/>
    <w:rsid w:val="00EE7912"/>
    <w:rsid w:val="00EF03B8"/>
    <w:rsid w:val="00EF123D"/>
    <w:rsid w:val="00EF1394"/>
    <w:rsid w:val="00EF1799"/>
    <w:rsid w:val="00EF2AEF"/>
    <w:rsid w:val="00EF31CA"/>
    <w:rsid w:val="00EF54FD"/>
    <w:rsid w:val="00EF7890"/>
    <w:rsid w:val="00F01667"/>
    <w:rsid w:val="00F0287F"/>
    <w:rsid w:val="00F061FA"/>
    <w:rsid w:val="00F067BB"/>
    <w:rsid w:val="00F06915"/>
    <w:rsid w:val="00F20BA7"/>
    <w:rsid w:val="00F3279E"/>
    <w:rsid w:val="00F3428A"/>
    <w:rsid w:val="00F35E91"/>
    <w:rsid w:val="00F410ED"/>
    <w:rsid w:val="00F4176E"/>
    <w:rsid w:val="00F469C0"/>
    <w:rsid w:val="00F46B14"/>
    <w:rsid w:val="00F53D14"/>
    <w:rsid w:val="00F55943"/>
    <w:rsid w:val="00F55C20"/>
    <w:rsid w:val="00F562A1"/>
    <w:rsid w:val="00F56362"/>
    <w:rsid w:val="00F57817"/>
    <w:rsid w:val="00F57C3D"/>
    <w:rsid w:val="00F610DE"/>
    <w:rsid w:val="00F613D4"/>
    <w:rsid w:val="00F63CE5"/>
    <w:rsid w:val="00F66A79"/>
    <w:rsid w:val="00F72777"/>
    <w:rsid w:val="00F75AAB"/>
    <w:rsid w:val="00F77901"/>
    <w:rsid w:val="00F83E86"/>
    <w:rsid w:val="00F90807"/>
    <w:rsid w:val="00FA041A"/>
    <w:rsid w:val="00FA1573"/>
    <w:rsid w:val="00FC1949"/>
    <w:rsid w:val="00FC2148"/>
    <w:rsid w:val="00FC43A5"/>
    <w:rsid w:val="00FD391D"/>
    <w:rsid w:val="00FD3DB2"/>
    <w:rsid w:val="00FD72BB"/>
    <w:rsid w:val="00FE036A"/>
    <w:rsid w:val="00FE3C23"/>
    <w:rsid w:val="00FE435A"/>
    <w:rsid w:val="00FE72AC"/>
    <w:rsid w:val="00FF0105"/>
    <w:rsid w:val="00FF0F13"/>
    <w:rsid w:val="00FF1892"/>
    <w:rsid w:val="00FF2873"/>
    <w:rsid w:val="00FF2B2F"/>
    <w:rsid w:val="00FF3321"/>
    <w:rsid w:val="00FF4B24"/>
    <w:rsid w:val="00FF511E"/>
    <w:rsid w:val="00FF7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78D7C1B-E759-4508-9ACE-1FDC2F78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5A7"/>
    <w:pPr>
      <w:spacing w:before="240" w:line="360" w:lineRule="auto"/>
      <w:jc w:val="both"/>
    </w:pPr>
    <w:rPr>
      <w:rFonts w:asciiTheme="minorHAnsi" w:hAnsiTheme="minorHAnsi"/>
      <w:sz w:val="22"/>
    </w:rPr>
  </w:style>
  <w:style w:type="paragraph" w:styleId="Heading1">
    <w:name w:val="heading 1"/>
    <w:basedOn w:val="Normal"/>
    <w:next w:val="ListNumber"/>
    <w:qFormat/>
    <w:rsid w:val="006D113F"/>
    <w:pPr>
      <w:keepNext/>
      <w:spacing w:before="360" w:line="240" w:lineRule="auto"/>
      <w:jc w:val="left"/>
      <w:outlineLvl w:val="0"/>
    </w:pPr>
    <w:rPr>
      <w:rFonts w:asciiTheme="majorHAnsi" w:hAnsiTheme="majorHAnsi"/>
      <w:b/>
      <w:caps/>
    </w:rPr>
  </w:style>
  <w:style w:type="paragraph" w:styleId="Heading2">
    <w:name w:val="heading 2"/>
    <w:basedOn w:val="Normal"/>
    <w:next w:val="ListNumber"/>
    <w:qFormat/>
    <w:rsid w:val="006D113F"/>
    <w:pPr>
      <w:keepNext/>
      <w:spacing w:before="360" w:line="240" w:lineRule="auto"/>
      <w:jc w:val="left"/>
      <w:outlineLvl w:val="1"/>
    </w:pPr>
    <w:rPr>
      <w:rFonts w:asciiTheme="majorHAnsi" w:hAnsiTheme="majorHAnsi"/>
      <w:b/>
    </w:rPr>
  </w:style>
  <w:style w:type="paragraph" w:styleId="Heading3">
    <w:name w:val="heading 3"/>
    <w:basedOn w:val="Normal"/>
    <w:next w:val="ListNumber"/>
    <w:link w:val="Heading3Char"/>
    <w:qFormat/>
    <w:rsid w:val="006D113F"/>
    <w:pPr>
      <w:keepNext/>
      <w:spacing w:before="360" w:line="240" w:lineRule="auto"/>
      <w:jc w:val="left"/>
      <w:outlineLvl w:val="2"/>
    </w:pPr>
    <w:rPr>
      <w:rFonts w:asciiTheme="majorHAnsi" w:hAnsiTheme="majorHAns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ntinue">
    <w:name w:val="Normal Continue"/>
    <w:basedOn w:val="Normal"/>
    <w:next w:val="Normal"/>
  </w:style>
  <w:style w:type="paragraph" w:customStyle="1" w:styleId="CatchWords">
    <w:name w:val="CatchWords"/>
    <w:basedOn w:val="Normal"/>
    <w:qFormat/>
    <w:rsid w:val="00FF2873"/>
    <w:pPr>
      <w:spacing w:after="120"/>
      <w:contextualSpacing/>
    </w:pPr>
    <w:rPr>
      <w:i/>
    </w:rPr>
  </w:style>
  <w:style w:type="paragraph" w:customStyle="1" w:styleId="FooterPage1">
    <w:name w:val="Footer Page1"/>
    <w:basedOn w:val="Footer"/>
    <w:rsid w:val="005D5DF5"/>
    <w:pPr>
      <w:jc w:val="left"/>
    </w:pPr>
    <w:rPr>
      <w:b w:val="0"/>
      <w:caps w:val="0"/>
      <w:sz w:val="13"/>
    </w:rPr>
  </w:style>
  <w:style w:type="paragraph" w:customStyle="1" w:styleId="NumberedQuote2">
    <w:name w:val="Numbered Quote 2"/>
    <w:basedOn w:val="Quote"/>
    <w:qFormat/>
    <w:rsid w:val="00BF384D"/>
    <w:pPr>
      <w:numPr>
        <w:numId w:val="7"/>
      </w:numPr>
    </w:pPr>
  </w:style>
  <w:style w:type="paragraph" w:styleId="Quote">
    <w:name w:val="Quote"/>
    <w:basedOn w:val="Normal"/>
    <w:qFormat/>
    <w:rsid w:val="009F2340"/>
    <w:pPr>
      <w:spacing w:before="120" w:line="240" w:lineRule="auto"/>
      <w:ind w:left="709"/>
    </w:pPr>
    <w:rPr>
      <w:i/>
    </w:rPr>
  </w:style>
  <w:style w:type="paragraph" w:styleId="Footer">
    <w:name w:val="footer"/>
    <w:basedOn w:val="Normal"/>
    <w:rsid w:val="009D1AEA"/>
    <w:rPr>
      <w:rFonts w:ascii="Arial" w:hAnsi="Arial"/>
      <w:b/>
      <w:caps/>
      <w:sz w:val="16"/>
    </w:rPr>
  </w:style>
  <w:style w:type="numbering" w:customStyle="1" w:styleId="Style1">
    <w:name w:val="Style1"/>
    <w:basedOn w:val="NoList"/>
    <w:rsid w:val="007C7784"/>
    <w:pPr>
      <w:numPr>
        <w:numId w:val="1"/>
      </w:numPr>
    </w:pPr>
  </w:style>
  <w:style w:type="numbering" w:customStyle="1" w:styleId="Style2">
    <w:name w:val="Style2"/>
    <w:rsid w:val="007C7784"/>
    <w:pPr>
      <w:numPr>
        <w:numId w:val="2"/>
      </w:numPr>
    </w:pPr>
  </w:style>
  <w:style w:type="character" w:customStyle="1" w:styleId="Heading3Char">
    <w:name w:val="Heading 3 Char"/>
    <w:basedOn w:val="DefaultParagraphFont"/>
    <w:link w:val="Heading3"/>
    <w:rsid w:val="006D113F"/>
    <w:rPr>
      <w:rFonts w:asciiTheme="majorHAnsi" w:hAnsiTheme="majorHAnsi"/>
      <w:b/>
      <w:i/>
      <w:sz w:val="22"/>
    </w:rPr>
  </w:style>
  <w:style w:type="table" w:styleId="TableGrid">
    <w:name w:val="Table Grid"/>
    <w:basedOn w:val="TableNormal"/>
    <w:rsid w:val="003E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qFormat/>
    <w:rsid w:val="003A5522"/>
    <w:pPr>
      <w:spacing w:after="240"/>
    </w:pPr>
  </w:style>
  <w:style w:type="paragraph" w:styleId="NormalIndent">
    <w:name w:val="Normal Indent"/>
    <w:basedOn w:val="Normal"/>
    <w:qFormat/>
    <w:rsid w:val="0066062A"/>
    <w:pPr>
      <w:ind w:left="709"/>
    </w:pPr>
  </w:style>
  <w:style w:type="paragraph" w:customStyle="1" w:styleId="NumberedQuote3">
    <w:name w:val="Numbered Quote 3"/>
    <w:basedOn w:val="Quote"/>
    <w:qFormat/>
    <w:rsid w:val="00BF384D"/>
    <w:pPr>
      <w:numPr>
        <w:ilvl w:val="1"/>
        <w:numId w:val="7"/>
      </w:numPr>
    </w:pPr>
  </w:style>
  <w:style w:type="paragraph" w:customStyle="1" w:styleId="NumberedQuote4">
    <w:name w:val="Numbered Quote 4"/>
    <w:basedOn w:val="Quote"/>
    <w:qFormat/>
    <w:rsid w:val="00BF384D"/>
    <w:pPr>
      <w:numPr>
        <w:ilvl w:val="2"/>
        <w:numId w:val="7"/>
      </w:numPr>
    </w:pPr>
  </w:style>
  <w:style w:type="paragraph" w:styleId="ListBullet">
    <w:name w:val="List Bullet"/>
    <w:basedOn w:val="Normal"/>
    <w:qFormat/>
    <w:rsid w:val="000903C8"/>
    <w:pPr>
      <w:numPr>
        <w:numId w:val="4"/>
      </w:numPr>
      <w:spacing w:before="120"/>
      <w:jc w:val="left"/>
    </w:pPr>
    <w:rPr>
      <w:rFonts w:eastAsia="MS Mincho"/>
      <w:szCs w:val="24"/>
      <w:lang w:eastAsia="ja-JP"/>
    </w:rPr>
  </w:style>
  <w:style w:type="paragraph" w:styleId="ListBullet2">
    <w:name w:val="List Bullet 2"/>
    <w:basedOn w:val="Normal"/>
    <w:qFormat/>
    <w:rsid w:val="000903C8"/>
    <w:pPr>
      <w:numPr>
        <w:ilvl w:val="1"/>
        <w:numId w:val="4"/>
      </w:numPr>
      <w:spacing w:before="120"/>
      <w:jc w:val="left"/>
    </w:pPr>
    <w:rPr>
      <w:rFonts w:eastAsia="MS Mincho"/>
      <w:szCs w:val="24"/>
      <w:lang w:eastAsia="ja-JP"/>
    </w:rPr>
  </w:style>
  <w:style w:type="paragraph" w:styleId="ListNumber">
    <w:name w:val="List Number"/>
    <w:basedOn w:val="Normal"/>
    <w:qFormat/>
    <w:rsid w:val="007B585F"/>
    <w:pPr>
      <w:numPr>
        <w:numId w:val="8"/>
      </w:numPr>
      <w:spacing w:before="360"/>
    </w:pPr>
    <w:rPr>
      <w:rFonts w:eastAsia="MS Mincho"/>
      <w:szCs w:val="24"/>
      <w:lang w:eastAsia="ja-JP"/>
    </w:rPr>
  </w:style>
  <w:style w:type="paragraph" w:styleId="ListNumber2">
    <w:name w:val="List Number 2"/>
    <w:basedOn w:val="Normal"/>
    <w:qFormat/>
    <w:rsid w:val="007B585F"/>
    <w:pPr>
      <w:numPr>
        <w:ilvl w:val="1"/>
        <w:numId w:val="8"/>
      </w:numPr>
    </w:pPr>
    <w:rPr>
      <w:rFonts w:eastAsia="MS Mincho"/>
      <w:szCs w:val="24"/>
      <w:lang w:eastAsia="ja-JP"/>
    </w:rPr>
  </w:style>
  <w:style w:type="paragraph" w:styleId="ListNumber3">
    <w:name w:val="List Number 3"/>
    <w:basedOn w:val="Normal"/>
    <w:qFormat/>
    <w:rsid w:val="007B585F"/>
    <w:pPr>
      <w:numPr>
        <w:ilvl w:val="2"/>
        <w:numId w:val="8"/>
      </w:numPr>
    </w:pPr>
    <w:rPr>
      <w:rFonts w:eastAsia="MS Mincho"/>
      <w:szCs w:val="24"/>
      <w:lang w:eastAsia="ja-JP"/>
    </w:rPr>
  </w:style>
  <w:style w:type="table" w:customStyle="1" w:styleId="TableAAT">
    <w:name w:val="Table AAT"/>
    <w:basedOn w:val="TableNormal"/>
    <w:qFormat/>
    <w:rsid w:val="003E261A"/>
    <w:pPr>
      <w:spacing w:before="60" w:after="60"/>
      <w:jc w:val="center"/>
    </w:pPr>
    <w:rPr>
      <w:rFonts w:eastAsia="MS Minch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wordWrap/>
        <w:jc w:val="center"/>
      </w:pPr>
      <w:rPr>
        <w:rFonts w:ascii="Times New Roman" w:hAnsi="Times New Roman"/>
        <w:b/>
        <w:i w:val="0"/>
        <w:color w:val="auto"/>
        <w:kern w:val="0"/>
        <w:sz w:val="24"/>
      </w:rPr>
      <w:tblPr/>
      <w:tcPr>
        <w:tcBorders>
          <w:top w:val="single" w:sz="4" w:space="0" w:color="auto"/>
          <w:left w:val="single" w:sz="4" w:space="0" w:color="auto"/>
          <w:bottom w:val="nil"/>
          <w:right w:val="single" w:sz="4" w:space="0" w:color="auto"/>
          <w:insideH w:val="nil"/>
          <w:insideV w:val="single" w:sz="4" w:space="0" w:color="auto"/>
          <w:tl2br w:val="nil"/>
          <w:tr2bl w:val="nil"/>
        </w:tcBorders>
      </w:tcPr>
    </w:tblStylePr>
    <w:tblStylePr w:type="firstCol">
      <w:pPr>
        <w:wordWrap/>
        <w:jc w:val="left"/>
      </w:pPr>
    </w:tblStylePr>
  </w:style>
  <w:style w:type="numbering" w:customStyle="1" w:styleId="Bullets">
    <w:name w:val="Bullets"/>
    <w:uiPriority w:val="99"/>
    <w:rsid w:val="000903C8"/>
    <w:pPr>
      <w:numPr>
        <w:numId w:val="3"/>
      </w:numPr>
    </w:pPr>
  </w:style>
  <w:style w:type="paragraph" w:styleId="NoSpacing">
    <w:name w:val="No Spacing"/>
    <w:uiPriority w:val="1"/>
    <w:qFormat/>
    <w:rsid w:val="003B4BBD"/>
    <w:pPr>
      <w:jc w:val="both"/>
    </w:pPr>
    <w:rPr>
      <w:rFonts w:asciiTheme="minorHAnsi" w:hAnsiTheme="minorHAnsi"/>
      <w:sz w:val="22"/>
    </w:rPr>
  </w:style>
  <w:style w:type="paragraph" w:customStyle="1" w:styleId="Label">
    <w:name w:val="Label"/>
    <w:basedOn w:val="Normal"/>
    <w:rsid w:val="00AA34CF"/>
    <w:pPr>
      <w:spacing w:before="180" w:after="180" w:line="240" w:lineRule="auto"/>
    </w:pPr>
    <w:rPr>
      <w:sz w:val="20"/>
    </w:rPr>
  </w:style>
  <w:style w:type="paragraph" w:styleId="BalloonText">
    <w:name w:val="Balloon Text"/>
    <w:basedOn w:val="Normal"/>
    <w:link w:val="BalloonTextChar"/>
    <w:semiHidden/>
    <w:rsid w:val="00DD17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3D36"/>
    <w:rPr>
      <w:rFonts w:ascii="Tahoma" w:hAnsi="Tahoma" w:cs="Tahoma"/>
      <w:sz w:val="16"/>
      <w:szCs w:val="16"/>
    </w:rPr>
  </w:style>
  <w:style w:type="paragraph" w:styleId="Header">
    <w:name w:val="header"/>
    <w:basedOn w:val="Normal"/>
    <w:link w:val="HeaderChar"/>
    <w:rsid w:val="00DD17FC"/>
    <w:pPr>
      <w:tabs>
        <w:tab w:val="center" w:pos="4513"/>
        <w:tab w:val="right" w:pos="9026"/>
      </w:tabs>
      <w:spacing w:before="0" w:line="240" w:lineRule="auto"/>
    </w:pPr>
  </w:style>
  <w:style w:type="character" w:customStyle="1" w:styleId="HeaderChar">
    <w:name w:val="Header Char"/>
    <w:basedOn w:val="DefaultParagraphFont"/>
    <w:link w:val="Header"/>
    <w:rsid w:val="00DD17FC"/>
    <w:rPr>
      <w:sz w:val="24"/>
    </w:rPr>
  </w:style>
  <w:style w:type="paragraph" w:customStyle="1" w:styleId="Details">
    <w:name w:val="Details"/>
    <w:basedOn w:val="Normal"/>
    <w:qFormat/>
    <w:rsid w:val="00A9538E"/>
    <w:pPr>
      <w:contextualSpacing/>
    </w:pPr>
    <w:rPr>
      <w:b/>
      <w:bCs/>
    </w:rPr>
  </w:style>
  <w:style w:type="paragraph" w:styleId="FootnoteText">
    <w:name w:val="footnote text"/>
    <w:basedOn w:val="Normal"/>
    <w:link w:val="FootnoteTextChar"/>
    <w:qFormat/>
    <w:rsid w:val="003B4BBD"/>
    <w:pPr>
      <w:spacing w:before="60" w:line="240" w:lineRule="auto"/>
    </w:pPr>
    <w:rPr>
      <w:sz w:val="18"/>
    </w:rPr>
  </w:style>
  <w:style w:type="character" w:customStyle="1" w:styleId="FootnoteTextChar">
    <w:name w:val="Footnote Text Char"/>
    <w:basedOn w:val="DefaultParagraphFont"/>
    <w:link w:val="FootnoteText"/>
    <w:rsid w:val="003B4BBD"/>
    <w:rPr>
      <w:rFonts w:asciiTheme="minorHAnsi" w:hAnsiTheme="minorHAnsi"/>
      <w:sz w:val="18"/>
    </w:rPr>
  </w:style>
  <w:style w:type="character" w:styleId="FootnoteReference">
    <w:name w:val="footnote reference"/>
    <w:basedOn w:val="DefaultParagraphFont"/>
    <w:rsid w:val="0012021D"/>
    <w:rPr>
      <w:vertAlign w:val="superscript"/>
    </w:rPr>
  </w:style>
  <w:style w:type="numbering" w:customStyle="1" w:styleId="ListNumbers">
    <w:name w:val="ListNumbers"/>
    <w:uiPriority w:val="99"/>
    <w:rsid w:val="007B585F"/>
    <w:pPr>
      <w:numPr>
        <w:numId w:val="5"/>
      </w:numPr>
    </w:pPr>
  </w:style>
  <w:style w:type="character" w:styleId="PlaceholderText">
    <w:name w:val="Placeholder Text"/>
    <w:basedOn w:val="DefaultParagraphFont"/>
    <w:uiPriority w:val="99"/>
    <w:semiHidden/>
    <w:rsid w:val="004A55A2"/>
    <w:rPr>
      <w:color w:val="808080"/>
    </w:rPr>
  </w:style>
  <w:style w:type="paragraph" w:styleId="Title">
    <w:name w:val="Title"/>
    <w:basedOn w:val="Normal"/>
    <w:next w:val="Normal"/>
    <w:link w:val="TitleChar"/>
    <w:qFormat/>
    <w:rsid w:val="000D1F26"/>
    <w:pPr>
      <w:tabs>
        <w:tab w:val="left" w:pos="5681"/>
      </w:tabs>
    </w:pPr>
    <w:rPr>
      <w:rFonts w:eastAsiaTheme="majorEastAsia" w:cstheme="majorBidi"/>
      <w:b/>
      <w:szCs w:val="52"/>
    </w:rPr>
  </w:style>
  <w:style w:type="character" w:customStyle="1" w:styleId="TitleChar">
    <w:name w:val="Title Char"/>
    <w:basedOn w:val="DefaultParagraphFont"/>
    <w:link w:val="Title"/>
    <w:rsid w:val="000D1F26"/>
    <w:rPr>
      <w:rFonts w:eastAsiaTheme="majorEastAsia" w:cstheme="majorBidi"/>
      <w:b/>
      <w:sz w:val="24"/>
      <w:szCs w:val="52"/>
    </w:rPr>
  </w:style>
  <w:style w:type="numbering" w:customStyle="1" w:styleId="Quotes">
    <w:name w:val="Quotes"/>
    <w:uiPriority w:val="99"/>
    <w:rsid w:val="00BF384D"/>
    <w:pPr>
      <w:numPr>
        <w:numId w:val="6"/>
      </w:numPr>
    </w:pPr>
  </w:style>
  <w:style w:type="paragraph" w:customStyle="1" w:styleId="Quote2">
    <w:name w:val="Quote 2"/>
    <w:basedOn w:val="Quote"/>
    <w:qFormat/>
    <w:rsid w:val="009F2340"/>
    <w:pPr>
      <w:ind w:left="1276"/>
    </w:pPr>
  </w:style>
  <w:style w:type="paragraph" w:customStyle="1" w:styleId="Quote3">
    <w:name w:val="Quote 3"/>
    <w:basedOn w:val="Quote"/>
    <w:qFormat/>
    <w:rsid w:val="009F2340"/>
    <w:pPr>
      <w:ind w:left="1843"/>
    </w:pPr>
  </w:style>
  <w:style w:type="paragraph" w:customStyle="1" w:styleId="Quote4">
    <w:name w:val="Quote 4"/>
    <w:basedOn w:val="Quote"/>
    <w:qFormat/>
    <w:rsid w:val="009F2340"/>
    <w:pPr>
      <w:ind w:left="2410"/>
    </w:pPr>
  </w:style>
  <w:style w:type="paragraph" w:customStyle="1" w:styleId="FollowingPara">
    <w:name w:val="FollowingPara"/>
    <w:basedOn w:val="Normal"/>
    <w:qFormat/>
    <w:rsid w:val="00417658"/>
  </w:style>
  <w:style w:type="paragraph" w:customStyle="1" w:styleId="TableText">
    <w:name w:val="Table Text"/>
    <w:basedOn w:val="Normal"/>
    <w:qFormat/>
    <w:rsid w:val="00921243"/>
  </w:style>
  <w:style w:type="paragraph" w:customStyle="1" w:styleId="headingsection">
    <w:name w:val="headingsection"/>
    <w:basedOn w:val="Normal"/>
    <w:rsid w:val="008C5622"/>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971371">
      <w:bodyDiv w:val="1"/>
      <w:marLeft w:val="0"/>
      <w:marRight w:val="0"/>
      <w:marTop w:val="0"/>
      <w:marBottom w:val="0"/>
      <w:divBdr>
        <w:top w:val="none" w:sz="0" w:space="0" w:color="auto"/>
        <w:left w:val="none" w:sz="0" w:space="0" w:color="auto"/>
        <w:bottom w:val="none" w:sz="0" w:space="0" w:color="auto"/>
        <w:right w:val="none" w:sz="0" w:space="0" w:color="auto"/>
      </w:divBdr>
    </w:div>
    <w:div w:id="146781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ecisions\DecisionAndReasons_A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4076F70F4804423A3E047E1F79F10FB"/>
        <w:category>
          <w:name w:val="General"/>
          <w:gallery w:val="placeholder"/>
        </w:category>
        <w:types>
          <w:type w:val="bbPlcHdr"/>
        </w:types>
        <w:behaviors>
          <w:behavior w:val="content"/>
        </w:behaviors>
        <w:guid w:val="{B7CD9AA8-BCBA-42EC-B60D-9181D8F7F9D4}"/>
      </w:docPartPr>
      <w:docPartBody>
        <w:p w:rsidR="000A09C5" w:rsidRDefault="000A09C5">
          <w:pPr>
            <w:pStyle w:val="94076F70F4804423A3E047E1F79F10FB"/>
          </w:pPr>
          <w:r w:rsidRPr="00CD5897">
            <w:rPr>
              <w:rStyle w:val="PlaceholderText"/>
            </w:rPr>
            <w:t>Click here to enter</w:t>
          </w:r>
          <w:r>
            <w:rPr>
              <w:rStyle w:val="PlaceholderText"/>
            </w:rPr>
            <w:t xml:space="preserve"> decision</w:t>
          </w:r>
          <w:r w:rsidRPr="00CD5897">
            <w:rPr>
              <w:rStyle w:val="PlaceholderText"/>
            </w:rPr>
            <w:t>.</w:t>
          </w:r>
        </w:p>
      </w:docPartBody>
    </w:docPart>
    <w:docPart>
      <w:docPartPr>
        <w:name w:val="6C87884A31554951A3E0BAB82ACA627B"/>
        <w:category>
          <w:name w:val="General"/>
          <w:gallery w:val="placeholder"/>
        </w:category>
        <w:types>
          <w:type w:val="bbPlcHdr"/>
        </w:types>
        <w:behaviors>
          <w:behavior w:val="content"/>
        </w:behaviors>
        <w:guid w:val="{E5714A93-6C1B-46C9-8594-FCB58CEFE883}"/>
      </w:docPartPr>
      <w:docPartBody>
        <w:p w:rsidR="000A09C5" w:rsidRDefault="000A09C5">
          <w:pPr>
            <w:pStyle w:val="6C87884A31554951A3E0BAB82ACA627B"/>
          </w:pPr>
          <w:r w:rsidRPr="00CD5897">
            <w:rPr>
              <w:rStyle w:val="PlaceholderText"/>
            </w:rPr>
            <w:t>Click here to enter text.</w:t>
          </w:r>
        </w:p>
      </w:docPartBody>
    </w:docPart>
    <w:docPart>
      <w:docPartPr>
        <w:name w:val="EF0F438D2B724B199CE19284F768014D"/>
        <w:category>
          <w:name w:val="General"/>
          <w:gallery w:val="placeholder"/>
        </w:category>
        <w:types>
          <w:type w:val="bbPlcHdr"/>
        </w:types>
        <w:behaviors>
          <w:behavior w:val="content"/>
        </w:behaviors>
        <w:guid w:val="{276B5C77-566B-48FC-9468-932D02BE42CC}"/>
      </w:docPartPr>
      <w:docPartBody>
        <w:p w:rsidR="000A09C5" w:rsidRDefault="000A09C5">
          <w:pPr>
            <w:pStyle w:val="EF0F438D2B724B199CE19284F768014D"/>
          </w:pPr>
          <w:r w:rsidRPr="00CD5897">
            <w:rPr>
              <w:rStyle w:val="PlaceholderText"/>
            </w:rPr>
            <w:t>Click here to enter text.</w:t>
          </w:r>
        </w:p>
      </w:docPartBody>
    </w:docPart>
    <w:docPart>
      <w:docPartPr>
        <w:name w:val="630DAD5C63DE4D44B6C53CDBE0A602D9"/>
        <w:category>
          <w:name w:val="General"/>
          <w:gallery w:val="placeholder"/>
        </w:category>
        <w:types>
          <w:type w:val="bbPlcHdr"/>
        </w:types>
        <w:behaviors>
          <w:behavior w:val="content"/>
        </w:behaviors>
        <w:guid w:val="{C0EBC85A-12A7-4EEE-9F2C-192AA86D005E}"/>
      </w:docPartPr>
      <w:docPartBody>
        <w:p w:rsidR="000A09C5" w:rsidRDefault="000A09C5">
          <w:pPr>
            <w:pStyle w:val="630DAD5C63DE4D44B6C53CDBE0A602D9"/>
          </w:pPr>
          <w:r w:rsidRPr="00CD5897">
            <w:rPr>
              <w:rStyle w:val="PlaceholderText"/>
            </w:rPr>
            <w:t>Click here to enter text.</w:t>
          </w:r>
        </w:p>
      </w:docPartBody>
    </w:docPart>
    <w:docPart>
      <w:docPartPr>
        <w:name w:val="B3D0777BBC4F4D5B8B203EB1894A6267"/>
        <w:category>
          <w:name w:val="General"/>
          <w:gallery w:val="placeholder"/>
        </w:category>
        <w:types>
          <w:type w:val="bbPlcHdr"/>
        </w:types>
        <w:behaviors>
          <w:behavior w:val="content"/>
        </w:behaviors>
        <w:guid w:val="{B2DAB496-141B-4B29-BBEF-59F5BD9F511C}"/>
      </w:docPartPr>
      <w:docPartBody>
        <w:p w:rsidR="000A09C5" w:rsidRDefault="000A09C5">
          <w:pPr>
            <w:pStyle w:val="B3D0777BBC4F4D5B8B203EB1894A6267"/>
          </w:pPr>
          <w:r w:rsidRPr="00CD58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9C5"/>
    <w:rsid w:val="000A09C5"/>
    <w:rsid w:val="002145A1"/>
    <w:rsid w:val="00801302"/>
    <w:rsid w:val="00AC671A"/>
    <w:rsid w:val="00D009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4076F70F4804423A3E047E1F79F10FB">
    <w:name w:val="94076F70F4804423A3E047E1F79F10FB"/>
  </w:style>
  <w:style w:type="paragraph" w:customStyle="1" w:styleId="6C87884A31554951A3E0BAB82ACA627B">
    <w:name w:val="6C87884A31554951A3E0BAB82ACA627B"/>
  </w:style>
  <w:style w:type="paragraph" w:customStyle="1" w:styleId="EF0F438D2B724B199CE19284F768014D">
    <w:name w:val="EF0F438D2B724B199CE19284F768014D"/>
  </w:style>
  <w:style w:type="paragraph" w:customStyle="1" w:styleId="630DAD5C63DE4D44B6C53CDBE0A602D9">
    <w:name w:val="630DAD5C63DE4D44B6C53CDBE0A602D9"/>
  </w:style>
  <w:style w:type="paragraph" w:customStyle="1" w:styleId="B3D0777BBC4F4D5B8B203EB1894A6267">
    <w:name w:val="B3D0777BBC4F4D5B8B203EB1894A62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T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C823C-1745-4C2C-9B88-2B1AF0AE3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DecisionAndReasons_AAT</Template>
  <TotalTime>0</TotalTime>
  <Pages>18</Pages>
  <Words>5771</Words>
  <Characters>32901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Administrative Appeals Tribunal</Company>
  <LinksUpToDate>false</LinksUpToDate>
  <CharactersWithSpaces>38595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Scobie</dc:creator>
  <cp:lastModifiedBy>Vivienne Rawlinson</cp:lastModifiedBy>
  <cp:revision>2</cp:revision>
  <cp:lastPrinted>2016-01-21T03:52:00Z</cp:lastPrinted>
  <dcterms:created xsi:type="dcterms:W3CDTF">2016-01-21T22:34:00Z</dcterms:created>
  <dcterms:modified xsi:type="dcterms:W3CDTF">2016-01-21T22:34:00Z</dcterms:modified>
  <cp:category>Decision and Reasons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Number">
    <vt:lpwstr>999 </vt:lpwstr>
  </property>
  <property fmtid="{D5CDD505-2E9C-101B-9397-08002B2CF9AE}" pid="3" name="TribunalText">
    <vt:lpwstr/>
  </property>
  <property fmtid="{D5CDD505-2E9C-101B-9397-08002B2CF9AE}" pid="4" name="ThirdParty5">
    <vt:lpwstr> </vt:lpwstr>
  </property>
  <property fmtid="{D5CDD505-2E9C-101B-9397-08002B2CF9AE}" pid="5" name="ThirdParty4">
    <vt:lpwstr> </vt:lpwstr>
  </property>
  <property fmtid="{D5CDD505-2E9C-101B-9397-08002B2CF9AE}" pid="6" name="ThirdParty3">
    <vt:lpwstr> </vt:lpwstr>
  </property>
  <property fmtid="{D5CDD505-2E9C-101B-9397-08002B2CF9AE}" pid="7" name="ThirdParty2">
    <vt:lpwstr> </vt:lpwstr>
  </property>
  <property fmtid="{D5CDD505-2E9C-101B-9397-08002B2CF9AE}" pid="8" name="OtherParty5">
    <vt:lpwstr> </vt:lpwstr>
  </property>
  <property fmtid="{D5CDD505-2E9C-101B-9397-08002B2CF9AE}" pid="9" name="OtherParty4">
    <vt:lpwstr> </vt:lpwstr>
  </property>
  <property fmtid="{D5CDD505-2E9C-101B-9397-08002B2CF9AE}" pid="10" name="OtherParty3">
    <vt:lpwstr> </vt:lpwstr>
  </property>
  <property fmtid="{D5CDD505-2E9C-101B-9397-08002B2CF9AE}" pid="11" name="OtherParty2">
    <vt:lpwstr> </vt:lpwstr>
  </property>
  <property fmtid="{D5CDD505-2E9C-101B-9397-08002B2CF9AE}" pid="12" name="Respondent5">
    <vt:lpwstr> </vt:lpwstr>
  </property>
  <property fmtid="{D5CDD505-2E9C-101B-9397-08002B2CF9AE}" pid="13" name="Respondent4">
    <vt:lpwstr> </vt:lpwstr>
  </property>
  <property fmtid="{D5CDD505-2E9C-101B-9397-08002B2CF9AE}" pid="14" name="Respondent3">
    <vt:lpwstr> </vt:lpwstr>
  </property>
  <property fmtid="{D5CDD505-2E9C-101B-9397-08002B2CF9AE}" pid="15" name="Respondent2">
    <vt:lpwstr> </vt:lpwstr>
  </property>
  <property fmtid="{D5CDD505-2E9C-101B-9397-08002B2CF9AE}" pid="16" name="Respondent">
    <vt:lpwstr>Secretary, Department of Social Services</vt:lpwstr>
  </property>
  <property fmtid="{D5CDD505-2E9C-101B-9397-08002B2CF9AE}" pid="17" name="JoinedParty5">
    <vt:lpwstr> </vt:lpwstr>
  </property>
  <property fmtid="{D5CDD505-2E9C-101B-9397-08002B2CF9AE}" pid="18" name="JoinedParty4">
    <vt:lpwstr> </vt:lpwstr>
  </property>
  <property fmtid="{D5CDD505-2E9C-101B-9397-08002B2CF9AE}" pid="19" name="JoinedParty3">
    <vt:lpwstr> </vt:lpwstr>
  </property>
  <property fmtid="{D5CDD505-2E9C-101B-9397-08002B2CF9AE}" pid="20" name="JoinedParty2">
    <vt:lpwstr> </vt:lpwstr>
  </property>
  <property fmtid="{D5CDD505-2E9C-101B-9397-08002B2CF9AE}" pid="21" name="Applicant5">
    <vt:lpwstr> </vt:lpwstr>
  </property>
  <property fmtid="{D5CDD505-2E9C-101B-9397-08002B2CF9AE}" pid="22" name="Applicant4">
    <vt:lpwstr> </vt:lpwstr>
  </property>
  <property fmtid="{D5CDD505-2E9C-101B-9397-08002B2CF9AE}" pid="23" name="Applicant3">
    <vt:lpwstr> </vt:lpwstr>
  </property>
  <property fmtid="{D5CDD505-2E9C-101B-9397-08002B2CF9AE}" pid="24" name="Applicant2">
    <vt:lpwstr> </vt:lpwstr>
  </property>
  <property fmtid="{D5CDD505-2E9C-101B-9397-08002B2CF9AE}" pid="25" name="Applicant">
    <vt:lpwstr>Mark Ioannou</vt:lpwstr>
  </property>
  <property fmtid="{D5CDD505-2E9C-101B-9397-08002B2CF9AE}" pid="26" name="FileNumber">
    <vt:lpwstr>2014/6048</vt:lpwstr>
  </property>
  <property fmtid="{D5CDD505-2E9C-101B-9397-08002B2CF9AE}" pid="27" name="FileNumber2">
    <vt:lpwstr> </vt:lpwstr>
  </property>
  <property fmtid="{D5CDD505-2E9C-101B-9397-08002B2CF9AE}" pid="28" name="FileNumber3">
    <vt:lpwstr> </vt:lpwstr>
  </property>
  <property fmtid="{D5CDD505-2E9C-101B-9397-08002B2CF9AE}" pid="29" name="FileNumber4">
    <vt:lpwstr> </vt:lpwstr>
  </property>
  <property fmtid="{D5CDD505-2E9C-101B-9397-08002B2CF9AE}" pid="30" name="FileNumber5">
    <vt:lpwstr> </vt:lpwstr>
  </property>
  <property fmtid="{D5CDD505-2E9C-101B-9397-08002B2CF9AE}" pid="31" name="FileNumber6">
    <vt:lpwstr> </vt:lpwstr>
  </property>
  <property fmtid="{D5CDD505-2E9C-101B-9397-08002B2CF9AE}" pid="32" name="FileNumber7">
    <vt:lpwstr> </vt:lpwstr>
  </property>
  <property fmtid="{D5CDD505-2E9C-101B-9397-08002B2CF9AE}" pid="33" name="FileNumber8">
    <vt:lpwstr> </vt:lpwstr>
  </property>
  <property fmtid="{D5CDD505-2E9C-101B-9397-08002B2CF9AE}" pid="34" name="FileNumber9">
    <vt:lpwstr> </vt:lpwstr>
  </property>
  <property fmtid="{D5CDD505-2E9C-101B-9397-08002B2CF9AE}" pid="35" name="FileNumber10">
    <vt:lpwstr> </vt:lpwstr>
  </property>
  <property fmtid="{D5CDD505-2E9C-101B-9397-08002B2CF9AE}" pid="36" name="FileNumber11">
    <vt:lpwstr> </vt:lpwstr>
  </property>
  <property fmtid="{D5CDD505-2E9C-101B-9397-08002B2CF9AE}" pid="37" name="Applicant6">
    <vt:lpwstr> </vt:lpwstr>
  </property>
  <property fmtid="{D5CDD505-2E9C-101B-9397-08002B2CF9AE}" pid="38" name="Applicant7">
    <vt:lpwstr> </vt:lpwstr>
  </property>
  <property fmtid="{D5CDD505-2E9C-101B-9397-08002B2CF9AE}" pid="39" name="Applicant8">
    <vt:lpwstr> </vt:lpwstr>
  </property>
  <property fmtid="{D5CDD505-2E9C-101B-9397-08002B2CF9AE}" pid="40" name="Applicant9">
    <vt:lpwstr> </vt:lpwstr>
  </property>
  <property fmtid="{D5CDD505-2E9C-101B-9397-08002B2CF9AE}" pid="41" name="Applicant10">
    <vt:lpwstr> </vt:lpwstr>
  </property>
  <property fmtid="{D5CDD505-2E9C-101B-9397-08002B2CF9AE}" pid="42" name="Applicant11">
    <vt:lpwstr> </vt:lpwstr>
  </property>
  <property fmtid="{D5CDD505-2E9C-101B-9397-08002B2CF9AE}" pid="43" name="Respondent6">
    <vt:lpwstr> </vt:lpwstr>
  </property>
  <property fmtid="{D5CDD505-2E9C-101B-9397-08002B2CF9AE}" pid="44" name="Respondent7">
    <vt:lpwstr> </vt:lpwstr>
  </property>
  <property fmtid="{D5CDD505-2E9C-101B-9397-08002B2CF9AE}" pid="45" name="Respondent8">
    <vt:lpwstr> </vt:lpwstr>
  </property>
  <property fmtid="{D5CDD505-2E9C-101B-9397-08002B2CF9AE}" pid="46" name="Respondent9">
    <vt:lpwstr> </vt:lpwstr>
  </property>
  <property fmtid="{D5CDD505-2E9C-101B-9397-08002B2CF9AE}" pid="47" name="Respondent10">
    <vt:lpwstr> </vt:lpwstr>
  </property>
  <property fmtid="{D5CDD505-2E9C-101B-9397-08002B2CF9AE}" pid="48" name="Respondent11">
    <vt:lpwstr> </vt:lpwstr>
  </property>
  <property fmtid="{D5CDD505-2E9C-101B-9397-08002B2CF9AE}" pid="49" name="JoinedParty6">
    <vt:lpwstr> </vt:lpwstr>
  </property>
  <property fmtid="{D5CDD505-2E9C-101B-9397-08002B2CF9AE}" pid="50" name="JoinedParty7">
    <vt:lpwstr> </vt:lpwstr>
  </property>
  <property fmtid="{D5CDD505-2E9C-101B-9397-08002B2CF9AE}" pid="51" name="JoinedParty8">
    <vt:lpwstr> </vt:lpwstr>
  </property>
  <property fmtid="{D5CDD505-2E9C-101B-9397-08002B2CF9AE}" pid="52" name="JoinedParty9">
    <vt:lpwstr> </vt:lpwstr>
  </property>
  <property fmtid="{D5CDD505-2E9C-101B-9397-08002B2CF9AE}" pid="53" name="JoinedParty10">
    <vt:lpwstr> </vt:lpwstr>
  </property>
  <property fmtid="{D5CDD505-2E9C-101B-9397-08002B2CF9AE}" pid="54" name="JoinedParty11">
    <vt:lpwstr> </vt:lpwstr>
  </property>
  <property fmtid="{D5CDD505-2E9C-101B-9397-08002B2CF9AE}" pid="55" name="OtherParty6">
    <vt:lpwstr> </vt:lpwstr>
  </property>
  <property fmtid="{D5CDD505-2E9C-101B-9397-08002B2CF9AE}" pid="56" name="OtherParty7">
    <vt:lpwstr> </vt:lpwstr>
  </property>
  <property fmtid="{D5CDD505-2E9C-101B-9397-08002B2CF9AE}" pid="57" name="OtherParty8">
    <vt:lpwstr> </vt:lpwstr>
  </property>
  <property fmtid="{D5CDD505-2E9C-101B-9397-08002B2CF9AE}" pid="58" name="OtherParty9">
    <vt:lpwstr> </vt:lpwstr>
  </property>
  <property fmtid="{D5CDD505-2E9C-101B-9397-08002B2CF9AE}" pid="59" name="OtherParty10">
    <vt:lpwstr> </vt:lpwstr>
  </property>
  <property fmtid="{D5CDD505-2E9C-101B-9397-08002B2CF9AE}" pid="60" name="OtherParty11">
    <vt:lpwstr> </vt:lpwstr>
  </property>
  <property fmtid="{D5CDD505-2E9C-101B-9397-08002B2CF9AE}" pid="61" name="ThirdParty6">
    <vt:lpwstr> </vt:lpwstr>
  </property>
  <property fmtid="{D5CDD505-2E9C-101B-9397-08002B2CF9AE}" pid="62" name="ThirdParty7">
    <vt:lpwstr> </vt:lpwstr>
  </property>
  <property fmtid="{D5CDD505-2E9C-101B-9397-08002B2CF9AE}" pid="63" name="ThirdParty8">
    <vt:lpwstr> </vt:lpwstr>
  </property>
  <property fmtid="{D5CDD505-2E9C-101B-9397-08002B2CF9AE}" pid="64" name="ThirdParty9">
    <vt:lpwstr> </vt:lpwstr>
  </property>
  <property fmtid="{D5CDD505-2E9C-101B-9397-08002B2CF9AE}" pid="65" name="ThirdParty10">
    <vt:lpwstr> </vt:lpwstr>
  </property>
  <property fmtid="{D5CDD505-2E9C-101B-9397-08002B2CF9AE}" pid="66" name="ThirdParty11">
    <vt:lpwstr> </vt:lpwstr>
  </property>
  <property fmtid="{D5CDD505-2E9C-101B-9397-08002B2CF9AE}" pid="67" name="ThirdParty">
    <vt:lpwstr> </vt:lpwstr>
  </property>
  <property fmtid="{D5CDD505-2E9C-101B-9397-08002B2CF9AE}" pid="68" name="OtherParty">
    <vt:lpwstr> </vt:lpwstr>
  </property>
  <property fmtid="{D5CDD505-2E9C-101B-9397-08002B2CF9AE}" pid="69" name="JoinedParty">
    <vt:lpwstr> </vt:lpwstr>
  </property>
  <property fmtid="{D5CDD505-2E9C-101B-9397-08002B2CF9AE}" pid="70" name="Division">
    <vt:lpwstr>GENERAL DIVISION</vt:lpwstr>
  </property>
  <property fmtid="{D5CDD505-2E9C-101B-9397-08002B2CF9AE}" pid="71" name="TribunalSignee">
    <vt:lpwstr>Senior Member R W Dunne</vt:lpwstr>
  </property>
  <property fmtid="{D5CDD505-2E9C-101B-9397-08002B2CF9AE}" pid="72" name="Catchwords">
    <vt:lpwstr> </vt:lpwstr>
  </property>
  <property fmtid="{D5CDD505-2E9C-101B-9397-08002B2CF9AE}" pid="73" name="Legislation">
    <vt:lpwstr> </vt:lpwstr>
  </property>
  <property fmtid="{D5CDD505-2E9C-101B-9397-08002B2CF9AE}" pid="74" name="Cases">
    <vt:lpwstr> </vt:lpwstr>
  </property>
  <property fmtid="{D5CDD505-2E9C-101B-9397-08002B2CF9AE}" pid="75" name="SecondaryMaterials">
    <vt:lpwstr> </vt:lpwstr>
  </property>
  <property fmtid="{D5CDD505-2E9C-101B-9397-08002B2CF9AE}" pid="76" name="DateOfHearing">
    <vt:lpwstr>13 October 2015 and 16 November 2015</vt:lpwstr>
  </property>
  <property fmtid="{D5CDD505-2E9C-101B-9397-08002B2CF9AE}" pid="77" name="DateFinalSubmission">
    <vt:lpwstr> </vt:lpwstr>
  </property>
  <property fmtid="{D5CDD505-2E9C-101B-9397-08002B2CF9AE}" pid="78" name="Applicant_Counsel">
    <vt:lpwstr> </vt:lpwstr>
  </property>
  <property fmtid="{D5CDD505-2E9C-101B-9397-08002B2CF9AE}" pid="79" name="Applicant_Advocate">
    <vt:lpwstr> </vt:lpwstr>
  </property>
  <property fmtid="{D5CDD505-2E9C-101B-9397-08002B2CF9AE}" pid="80" name="Applicant_Solicitors">
    <vt:lpwstr> </vt:lpwstr>
  </property>
  <property fmtid="{D5CDD505-2E9C-101B-9397-08002B2CF9AE}" pid="81" name="Respondent_Counsel">
    <vt:lpwstr> </vt:lpwstr>
  </property>
  <property fmtid="{D5CDD505-2E9C-101B-9397-08002B2CF9AE}" pid="82" name="Respondent_Advocate">
    <vt:lpwstr>Mr A Hay</vt:lpwstr>
  </property>
  <property fmtid="{D5CDD505-2E9C-101B-9397-08002B2CF9AE}" pid="83" name="Respondent_Solicitors">
    <vt:lpwstr>Department of Human Services</vt:lpwstr>
  </property>
  <property fmtid="{D5CDD505-2E9C-101B-9397-08002B2CF9AE}" pid="84" name="Joined_Counsel">
    <vt:lpwstr> </vt:lpwstr>
  </property>
  <property fmtid="{D5CDD505-2E9C-101B-9397-08002B2CF9AE}" pid="85" name="Joined_Advocate">
    <vt:lpwstr> </vt:lpwstr>
  </property>
  <property fmtid="{D5CDD505-2E9C-101B-9397-08002B2CF9AE}" pid="86" name="OtherParty_Counsel">
    <vt:lpwstr> </vt:lpwstr>
  </property>
  <property fmtid="{D5CDD505-2E9C-101B-9397-08002B2CF9AE}" pid="87" name="OtherParty_Advocate">
    <vt:lpwstr> </vt:lpwstr>
  </property>
  <property fmtid="{D5CDD505-2E9C-101B-9397-08002B2CF9AE}" pid="88" name="OtherParty_Solicitors">
    <vt:lpwstr> </vt:lpwstr>
  </property>
  <property fmtid="{D5CDD505-2E9C-101B-9397-08002B2CF9AE}" pid="89" name="DecisionSummary">
    <vt:lpwstr> </vt:lpwstr>
  </property>
  <property fmtid="{D5CDD505-2E9C-101B-9397-08002B2CF9AE}" pid="90" name="Joined_Solicitors">
    <vt:lpwstr> </vt:lpwstr>
  </property>
  <property fmtid="{D5CDD505-2E9C-101B-9397-08002B2CF9AE}" pid="91" name="ThirdParty_Counsel">
    <vt:lpwstr> </vt:lpwstr>
  </property>
  <property fmtid="{D5CDD505-2E9C-101B-9397-08002B2CF9AE}" pid="92" name="ThirdParty_Solicitors">
    <vt:lpwstr> </vt:lpwstr>
  </property>
  <property fmtid="{D5CDD505-2E9C-101B-9397-08002B2CF9AE}" pid="93" name="ThirdParty_Advocate">
    <vt:lpwstr> </vt:lpwstr>
  </property>
  <property fmtid="{D5CDD505-2E9C-101B-9397-08002B2CF9AE}" pid="94" name="SigneeDesignation">
    <vt:lpwstr>Administrative Assistant</vt:lpwstr>
  </property>
  <property fmtid="{D5CDD505-2E9C-101B-9397-08002B2CF9AE}" pid="95" name="DateWrittenReason">
    <vt:lpwstr>22 December 2015</vt:lpwstr>
  </property>
  <property fmtid="{D5CDD505-2E9C-101B-9397-08002B2CF9AE}" pid="96" name="DecisionDate">
    <vt:lpwstr>6 November 2015</vt:lpwstr>
  </property>
  <property fmtid="{D5CDD505-2E9C-101B-9397-08002B2CF9AE}" pid="97" name="ReasonsforDecisionDate">
    <vt:lpwstr>22 December 2015</vt:lpwstr>
  </property>
  <property fmtid="{D5CDD505-2E9C-101B-9397-08002B2CF9AE}" pid="98" name="StampDate">
    <vt:lpwstr>22 December 2015</vt:lpwstr>
  </property>
  <property fmtid="{D5CDD505-2E9C-101B-9397-08002B2CF9AE}" pid="99" name="TribunalLastPgForm">
    <vt:lpwstr>Senior Member R W Dunne</vt:lpwstr>
  </property>
  <property fmtid="{D5CDD505-2E9C-101B-9397-08002B2CF9AE}" pid="100" name="InfoCDC">
    <vt:lpwstr> </vt:lpwstr>
  </property>
  <property fmtid="{D5CDD505-2E9C-101B-9397-08002B2CF9AE}" pid="101" name="Place">
    <vt:lpwstr>Adelaide</vt:lpwstr>
  </property>
</Properties>
</file>