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E9" w:rsidRDefault="005F5DF9">
      <w:pPr>
        <w:pStyle w:val="NormalHeadings"/>
        <w:jc w:val="center"/>
        <w:rPr>
          <w:sz w:val="32"/>
        </w:rPr>
      </w:pPr>
      <w:r>
        <w:rPr>
          <w:sz w:val="32"/>
        </w:rPr>
        <w:t>FEDERAL COURT OF AUSTRALIA</w:t>
      </w:r>
    </w:p>
    <w:p w:rsidR="004751E9" w:rsidRDefault="004751E9">
      <w:pPr>
        <w:pStyle w:val="NormalHeadings"/>
        <w:jc w:val="center"/>
        <w:rPr>
          <w:sz w:val="32"/>
        </w:rPr>
      </w:pPr>
    </w:p>
    <w:p w:rsidR="004751E9" w:rsidRDefault="005F5DF9">
      <w:pPr>
        <w:pStyle w:val="MediaNeutralStyle"/>
      </w:pPr>
      <w:bookmarkStart w:id="0" w:name="MNC"/>
      <w:r w:rsidRPr="005F5DF9">
        <w:t xml:space="preserve">Australian Mud Company Pty Ltd v Coretell Pty Ltd (No </w:t>
      </w:r>
      <w:r w:rsidR="00545264">
        <w:t>4</w:t>
      </w:r>
      <w:r w:rsidRPr="005F5DF9">
        <w:t>) [201</w:t>
      </w:r>
      <w:r w:rsidR="00363815">
        <w:t>5</w:t>
      </w:r>
      <w:r w:rsidRPr="005F5DF9">
        <w:t>] FCA</w:t>
      </w:r>
      <w:r w:rsidR="00C13B94">
        <w:t xml:space="preserve"> </w:t>
      </w:r>
      <w:r w:rsidR="00C13B94" w:rsidRPr="00C13B94">
        <w:t>1372</w:t>
      </w:r>
      <w:r>
        <w:t xml:space="preserve"> </w:t>
      </w:r>
      <w:bookmarkEnd w:id="0"/>
    </w:p>
    <w:p w:rsidR="004751E9" w:rsidRDefault="004751E9">
      <w:pPr>
        <w:pStyle w:val="Normal1linespace"/>
      </w:pPr>
    </w:p>
    <w:tbl>
      <w:tblPr>
        <w:tblW w:w="0" w:type="auto"/>
        <w:tblLook w:val="01E0" w:firstRow="1" w:lastRow="1" w:firstColumn="1" w:lastColumn="1" w:noHBand="0" w:noVBand="0"/>
      </w:tblPr>
      <w:tblGrid>
        <w:gridCol w:w="3085"/>
        <w:gridCol w:w="5989"/>
      </w:tblGrid>
      <w:tr w:rsidR="004751E9" w:rsidTr="00AA6AFE">
        <w:tc>
          <w:tcPr>
            <w:tcW w:w="3085" w:type="dxa"/>
            <w:shd w:val="clear" w:color="auto" w:fill="auto"/>
          </w:tcPr>
          <w:p w:rsidR="004751E9" w:rsidRDefault="005F5DF9">
            <w:pPr>
              <w:pStyle w:val="Normal1linespace"/>
              <w:widowControl w:val="0"/>
            </w:pPr>
            <w:r>
              <w:t>Citation:</w:t>
            </w:r>
          </w:p>
        </w:tc>
        <w:tc>
          <w:tcPr>
            <w:tcW w:w="5989" w:type="dxa"/>
            <w:shd w:val="clear" w:color="auto" w:fill="auto"/>
          </w:tcPr>
          <w:p w:rsidR="004751E9" w:rsidRDefault="005F5DF9" w:rsidP="00363815">
            <w:pPr>
              <w:pStyle w:val="Normal1linespace"/>
              <w:widowControl w:val="0"/>
              <w:jc w:val="left"/>
            </w:pPr>
            <w:r>
              <w:t>Australian Mud Company Pty Ltd v Coretell Pty Ltd (No </w:t>
            </w:r>
            <w:r w:rsidR="00C1357D">
              <w:t>4</w:t>
            </w:r>
            <w:r>
              <w:t>) [201</w:t>
            </w:r>
            <w:r w:rsidR="00363815">
              <w:t>5</w:t>
            </w:r>
            <w:r>
              <w:t>] FCA</w:t>
            </w:r>
            <w:r w:rsidR="00C13B94">
              <w:t xml:space="preserve"> </w:t>
            </w:r>
            <w:r w:rsidR="00C13B94" w:rsidRPr="00C13B94">
              <w:t>1372</w:t>
            </w:r>
          </w:p>
        </w:tc>
      </w:tr>
      <w:tr w:rsidR="004751E9" w:rsidTr="00AA6AFE">
        <w:tc>
          <w:tcPr>
            <w:tcW w:w="3085" w:type="dxa"/>
            <w:shd w:val="clear" w:color="auto" w:fill="auto"/>
          </w:tcPr>
          <w:p w:rsidR="004751E9" w:rsidRDefault="004751E9">
            <w:pPr>
              <w:pStyle w:val="Normal1linespace"/>
              <w:widowControl w:val="0"/>
            </w:pPr>
          </w:p>
        </w:tc>
        <w:tc>
          <w:tcPr>
            <w:tcW w:w="5989" w:type="dxa"/>
            <w:shd w:val="clear" w:color="auto" w:fill="auto"/>
          </w:tcPr>
          <w:p w:rsidR="004751E9" w:rsidRDefault="004751E9">
            <w:pPr>
              <w:pStyle w:val="Normal1linespace"/>
              <w:widowControl w:val="0"/>
              <w:jc w:val="left"/>
            </w:pPr>
          </w:p>
        </w:tc>
      </w:tr>
      <w:tr w:rsidR="004751E9" w:rsidTr="00AA6AFE">
        <w:tc>
          <w:tcPr>
            <w:tcW w:w="3085" w:type="dxa"/>
            <w:shd w:val="clear" w:color="auto" w:fill="auto"/>
          </w:tcPr>
          <w:p w:rsidR="004751E9" w:rsidRDefault="005F5DF9">
            <w:pPr>
              <w:pStyle w:val="Normal1linespace"/>
              <w:widowControl w:val="0"/>
            </w:pPr>
            <w:r>
              <w:t>Parties:</w:t>
            </w:r>
          </w:p>
        </w:tc>
        <w:tc>
          <w:tcPr>
            <w:tcW w:w="5989" w:type="dxa"/>
            <w:shd w:val="clear" w:color="auto" w:fill="auto"/>
          </w:tcPr>
          <w:p w:rsidR="004751E9" w:rsidRDefault="00A666E2">
            <w:pPr>
              <w:pStyle w:val="Normal1linespace"/>
              <w:widowControl w:val="0"/>
              <w:jc w:val="left"/>
              <w:rPr>
                <w:b/>
              </w:rPr>
            </w:pPr>
            <w:bookmarkStart w:id="1" w:name="JudgmentFP"/>
            <w:r>
              <w:rPr>
                <w:b/>
              </w:rPr>
              <w:t xml:space="preserve">AUSTRALIAN MUD </w:t>
            </w:r>
            <w:r w:rsidR="00423E34">
              <w:rPr>
                <w:b/>
              </w:rPr>
              <w:t>COMPANY</w:t>
            </w:r>
            <w:r>
              <w:rPr>
                <w:b/>
              </w:rPr>
              <w:t xml:space="preserve"> PTY LTD ACN 009 283 416 and REFLEX INSTRUMENTS ASIA PACIFIC PTY LTD ACN 124 204 191 v CORETELL PTY LTD ACN 119 188 493, MINCREST HOLDINGS PTY LTD ACN 068 672 471 (TRADING AS </w:t>
            </w:r>
            <w:r w:rsidR="00131417">
              <w:rPr>
                <w:b/>
              </w:rPr>
              <w:t>CAMTEQ INSTRUMENTS</w:t>
            </w:r>
            <w:r>
              <w:rPr>
                <w:b/>
              </w:rPr>
              <w:t>), NICKY KLEYN and KLEYN INVESTMENTS PTY LTD ACN 118 967 687 (TRADING AS CAMTEQ INTERNATIONAL SERVICES)</w:t>
            </w:r>
            <w:bookmarkEnd w:id="1"/>
          </w:p>
        </w:tc>
      </w:tr>
      <w:tr w:rsidR="004751E9" w:rsidTr="00AA6AFE">
        <w:tc>
          <w:tcPr>
            <w:tcW w:w="3085" w:type="dxa"/>
            <w:shd w:val="clear" w:color="auto" w:fill="auto"/>
          </w:tcPr>
          <w:p w:rsidR="004751E9" w:rsidRDefault="004751E9">
            <w:pPr>
              <w:pStyle w:val="Normal1linespace"/>
              <w:widowControl w:val="0"/>
            </w:pPr>
          </w:p>
        </w:tc>
        <w:tc>
          <w:tcPr>
            <w:tcW w:w="5989" w:type="dxa"/>
            <w:shd w:val="clear" w:color="auto" w:fill="auto"/>
          </w:tcPr>
          <w:p w:rsidR="004751E9" w:rsidRDefault="004751E9">
            <w:pPr>
              <w:pStyle w:val="Normal1linespace"/>
              <w:widowControl w:val="0"/>
              <w:jc w:val="left"/>
            </w:pPr>
          </w:p>
        </w:tc>
      </w:tr>
      <w:tr w:rsidR="004751E9" w:rsidTr="00AA6AFE">
        <w:tc>
          <w:tcPr>
            <w:tcW w:w="3085" w:type="dxa"/>
            <w:shd w:val="clear" w:color="auto" w:fill="auto"/>
          </w:tcPr>
          <w:p w:rsidR="004751E9" w:rsidRDefault="00BA4741">
            <w:pPr>
              <w:pStyle w:val="Normal1linespace"/>
              <w:widowControl w:val="0"/>
            </w:pPr>
            <w:r>
              <w:t>File number</w:t>
            </w:r>
            <w:r w:rsidR="005F5DF9">
              <w:t>:</w:t>
            </w:r>
          </w:p>
        </w:tc>
        <w:tc>
          <w:tcPr>
            <w:tcW w:w="5989" w:type="dxa"/>
            <w:shd w:val="clear" w:color="auto" w:fill="auto"/>
          </w:tcPr>
          <w:p w:rsidR="004751E9" w:rsidRDefault="005F5DF9">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r w:rsidR="00A666E2">
              <w:rPr>
                <w:szCs w:val="24"/>
              </w:rPr>
              <w:t>NSD 2082 of 2011</w:t>
            </w:r>
            <w:r>
              <w:rPr>
                <w:szCs w:val="24"/>
              </w:rPr>
              <w:fldChar w:fldCharType="end"/>
            </w:r>
          </w:p>
        </w:tc>
      </w:tr>
      <w:tr w:rsidR="004751E9" w:rsidTr="00AA6AFE">
        <w:tc>
          <w:tcPr>
            <w:tcW w:w="3085" w:type="dxa"/>
            <w:shd w:val="clear" w:color="auto" w:fill="auto"/>
          </w:tcPr>
          <w:p w:rsidR="004751E9" w:rsidRDefault="004751E9">
            <w:pPr>
              <w:pStyle w:val="Normal1linespace"/>
              <w:widowControl w:val="0"/>
            </w:pPr>
          </w:p>
        </w:tc>
        <w:tc>
          <w:tcPr>
            <w:tcW w:w="5989" w:type="dxa"/>
            <w:shd w:val="clear" w:color="auto" w:fill="auto"/>
          </w:tcPr>
          <w:p w:rsidR="004751E9" w:rsidRDefault="004751E9">
            <w:pPr>
              <w:pStyle w:val="Normal1linespace"/>
              <w:widowControl w:val="0"/>
              <w:jc w:val="left"/>
            </w:pPr>
          </w:p>
        </w:tc>
      </w:tr>
      <w:tr w:rsidR="004751E9" w:rsidTr="00AA6AFE">
        <w:tc>
          <w:tcPr>
            <w:tcW w:w="3085" w:type="dxa"/>
            <w:shd w:val="clear" w:color="auto" w:fill="auto"/>
          </w:tcPr>
          <w:p w:rsidR="004751E9" w:rsidRDefault="00BA4741">
            <w:pPr>
              <w:pStyle w:val="Normal1linespace"/>
              <w:widowControl w:val="0"/>
            </w:pPr>
            <w:r>
              <w:t>Judge</w:t>
            </w:r>
            <w:r w:rsidR="005F5DF9">
              <w:t>:</w:t>
            </w:r>
          </w:p>
        </w:tc>
        <w:tc>
          <w:tcPr>
            <w:tcW w:w="5989" w:type="dxa"/>
            <w:shd w:val="clear" w:color="auto" w:fill="auto"/>
          </w:tcPr>
          <w:p w:rsidR="004751E9" w:rsidRDefault="005F5DF9">
            <w:pPr>
              <w:pStyle w:val="Normal1linespace"/>
              <w:widowControl w:val="0"/>
              <w:jc w:val="left"/>
              <w:rPr>
                <w:b/>
              </w:rPr>
            </w:pPr>
            <w:r w:rsidRPr="00A666E2">
              <w:rPr>
                <w:b/>
              </w:rPr>
              <w:fldChar w:fldCharType="begin" w:fldLock="1"/>
            </w:r>
            <w:r w:rsidRPr="00A666E2">
              <w:rPr>
                <w:b/>
              </w:rPr>
              <w:instrText xml:space="preserve"> REF  Judge  \* MERGEFORMAT </w:instrText>
            </w:r>
            <w:r w:rsidRPr="00A666E2">
              <w:rPr>
                <w:b/>
              </w:rPr>
              <w:fldChar w:fldCharType="separate"/>
            </w:r>
            <w:r w:rsidR="00A666E2" w:rsidRPr="00A666E2">
              <w:rPr>
                <w:b/>
                <w:caps/>
                <w:szCs w:val="24"/>
              </w:rPr>
              <w:t>MCKERRACHER J</w:t>
            </w:r>
            <w:r w:rsidRPr="00A666E2">
              <w:rPr>
                <w:b/>
              </w:rPr>
              <w:fldChar w:fldCharType="end"/>
            </w:r>
          </w:p>
        </w:tc>
      </w:tr>
      <w:tr w:rsidR="004751E9" w:rsidTr="00AA6AFE">
        <w:tc>
          <w:tcPr>
            <w:tcW w:w="3085" w:type="dxa"/>
            <w:shd w:val="clear" w:color="auto" w:fill="auto"/>
          </w:tcPr>
          <w:p w:rsidR="004751E9" w:rsidRDefault="004751E9">
            <w:pPr>
              <w:pStyle w:val="Normal1linespace"/>
              <w:widowControl w:val="0"/>
            </w:pPr>
          </w:p>
        </w:tc>
        <w:tc>
          <w:tcPr>
            <w:tcW w:w="5989" w:type="dxa"/>
            <w:shd w:val="clear" w:color="auto" w:fill="auto"/>
          </w:tcPr>
          <w:p w:rsidR="004751E9" w:rsidRDefault="004751E9">
            <w:pPr>
              <w:pStyle w:val="Normal1linespace"/>
              <w:widowControl w:val="0"/>
              <w:jc w:val="left"/>
            </w:pPr>
          </w:p>
        </w:tc>
      </w:tr>
      <w:tr w:rsidR="004751E9" w:rsidTr="00AA6AFE">
        <w:tc>
          <w:tcPr>
            <w:tcW w:w="3085" w:type="dxa"/>
            <w:shd w:val="clear" w:color="auto" w:fill="auto"/>
          </w:tcPr>
          <w:p w:rsidR="004751E9" w:rsidRDefault="005F5DF9">
            <w:pPr>
              <w:pStyle w:val="Normal1linespace"/>
              <w:widowControl w:val="0"/>
            </w:pPr>
            <w:r>
              <w:t>Date of judgment:</w:t>
            </w:r>
          </w:p>
        </w:tc>
        <w:tc>
          <w:tcPr>
            <w:tcW w:w="5989" w:type="dxa"/>
            <w:shd w:val="clear" w:color="auto" w:fill="auto"/>
          </w:tcPr>
          <w:p w:rsidR="004751E9" w:rsidRDefault="002C71FB" w:rsidP="002C71FB">
            <w:pPr>
              <w:pStyle w:val="Normal1linespace"/>
              <w:widowControl w:val="0"/>
              <w:jc w:val="left"/>
            </w:pPr>
            <w:bookmarkStart w:id="2" w:name="JudgmentDate"/>
            <w:r>
              <w:t>4 December</w:t>
            </w:r>
            <w:r w:rsidR="00A666E2">
              <w:t xml:space="preserve"> 201</w:t>
            </w:r>
            <w:bookmarkEnd w:id="2"/>
            <w:r>
              <w:t>5</w:t>
            </w:r>
          </w:p>
        </w:tc>
      </w:tr>
      <w:tr w:rsidR="004751E9" w:rsidTr="00AA6AFE">
        <w:tc>
          <w:tcPr>
            <w:tcW w:w="3085" w:type="dxa"/>
            <w:shd w:val="clear" w:color="auto" w:fill="auto"/>
          </w:tcPr>
          <w:p w:rsidR="004751E9" w:rsidRDefault="004751E9">
            <w:pPr>
              <w:pStyle w:val="Normal1linespace"/>
              <w:widowControl w:val="0"/>
            </w:pPr>
          </w:p>
        </w:tc>
        <w:tc>
          <w:tcPr>
            <w:tcW w:w="5989" w:type="dxa"/>
            <w:shd w:val="clear" w:color="auto" w:fill="auto"/>
          </w:tcPr>
          <w:p w:rsidR="004751E9" w:rsidRDefault="004751E9">
            <w:pPr>
              <w:pStyle w:val="Normal1linespace"/>
              <w:widowControl w:val="0"/>
              <w:jc w:val="left"/>
            </w:pPr>
          </w:p>
        </w:tc>
      </w:tr>
      <w:tr w:rsidR="004751E9" w:rsidTr="00AA6AFE">
        <w:tc>
          <w:tcPr>
            <w:tcW w:w="3085" w:type="dxa"/>
            <w:shd w:val="clear" w:color="auto" w:fill="auto"/>
          </w:tcPr>
          <w:p w:rsidR="004751E9" w:rsidRDefault="005F5DF9">
            <w:pPr>
              <w:pStyle w:val="Normal1linespace"/>
              <w:widowControl w:val="0"/>
            </w:pPr>
            <w:r>
              <w:t>Catchwords:</w:t>
            </w:r>
          </w:p>
        </w:tc>
        <w:tc>
          <w:tcPr>
            <w:tcW w:w="5989" w:type="dxa"/>
            <w:shd w:val="clear" w:color="auto" w:fill="auto"/>
          </w:tcPr>
          <w:p w:rsidR="00DC5FA4" w:rsidRPr="00DC5FA4" w:rsidRDefault="00DC5FA4" w:rsidP="00E31118">
            <w:pPr>
              <w:pStyle w:val="Normal1linespace"/>
              <w:widowControl w:val="0"/>
            </w:pPr>
            <w:bookmarkStart w:id="3" w:name="Catchwords"/>
            <w:r w:rsidRPr="00DC5FA4">
              <w:rPr>
                <w:b/>
              </w:rPr>
              <w:t>PATENTS</w:t>
            </w:r>
            <w:r w:rsidRPr="00DC5FA4">
              <w:t xml:space="preserve"> – innovation patents – system and method patents for the orientation of core samples extracted from the ground in connection with geological surveying and other drilling operations – construction of the claims –</w:t>
            </w:r>
            <w:r w:rsidR="0026680C">
              <w:t xml:space="preserve"> </w:t>
            </w:r>
            <w:r w:rsidRPr="00DC5FA4">
              <w:t>whether the claims are directed to orientation of core samples in the context of mineral exploration which involves hard rock formations where there is unlikely to be fractured rock or to petroleum exploration which involves soft, fractured or brittle rock – whether the patents are confined in their scope to a system and method carried out by a ‘unitary’ electronic device or embrace a ‘two part’ device</w:t>
            </w:r>
            <w:r>
              <w:t xml:space="preserve"> </w:t>
            </w:r>
            <w:r w:rsidRPr="00DC5FA4">
              <w:t>– whether the claims require that the recording of time at which the core sample is detached is a separate and discrete action removed in time from the ‘inputting’ of the time – whether an essential integer of the applicants’ tool is that the core sample be ‘held in fixed relation to’ the inner tube at the time of detachment from the body of material – whether the integer ‘indication of the orientation’ in the claims is not present in the respondents’ tool in the ‘real time roll’ method of display</w:t>
            </w:r>
          </w:p>
          <w:p w:rsidR="00DC5FA4" w:rsidRPr="00DC5FA4" w:rsidRDefault="00DC5FA4" w:rsidP="00E31118">
            <w:pPr>
              <w:pStyle w:val="Normal1linespace"/>
              <w:widowControl w:val="0"/>
              <w:rPr>
                <w:b/>
              </w:rPr>
            </w:pPr>
          </w:p>
          <w:p w:rsidR="00DC5FA4" w:rsidRDefault="00DC5FA4" w:rsidP="00E31118">
            <w:pPr>
              <w:pStyle w:val="Normal1linespace"/>
              <w:widowControl w:val="0"/>
            </w:pPr>
            <w:r w:rsidRPr="00DC5FA4">
              <w:rPr>
                <w:b/>
              </w:rPr>
              <w:t>PATENTS</w:t>
            </w:r>
            <w:r w:rsidRPr="00DC5FA4">
              <w:t xml:space="preserve"> – </w:t>
            </w:r>
            <w:r w:rsidR="0026680C">
              <w:t xml:space="preserve">infringement – </w:t>
            </w:r>
            <w:r w:rsidR="0026680C" w:rsidRPr="00DC5FA4">
              <w:t xml:space="preserve">whether the respondents’ tools include the features of each of the claims of the system and method patent – </w:t>
            </w:r>
            <w:r w:rsidRPr="00DC5FA4">
              <w:t xml:space="preserve">liability of each of the respondents for infringement – direct infringement – whether the corporate respondents have infringed the patents by making, selling, </w:t>
            </w:r>
            <w:r w:rsidR="00DE05AF">
              <w:lastRenderedPageBreak/>
              <w:t>suppling</w:t>
            </w:r>
            <w:r w:rsidRPr="00DC5FA4">
              <w:t xml:space="preserve"> or otherwise disposing of, or offering for those purposes, the respondents’ tools</w:t>
            </w:r>
            <w:r>
              <w:t xml:space="preserve"> </w:t>
            </w:r>
            <w:r w:rsidRPr="00DC5FA4">
              <w:t>– indirect infringement – whether the corporate respondents have authorised, procured, induced or joined in a common design with persons to whom the respondents’ tools have been supplied to use the tools, and those persons have so used the respondents’ tools</w:t>
            </w:r>
            <w:r>
              <w:t xml:space="preserve"> </w:t>
            </w:r>
            <w:r w:rsidR="00E31118" w:rsidRPr="00DC5FA4">
              <w:t xml:space="preserve">– </w:t>
            </w:r>
            <w:r w:rsidRPr="00DC5FA4">
              <w:t>joint tortfeasorship – whether the second and fourth respondent</w:t>
            </w:r>
            <w:r w:rsidR="00DE05AF">
              <w:t>s</w:t>
            </w:r>
            <w:r w:rsidRPr="00DC5FA4">
              <w:t xml:space="preserve"> authorised, procured or induced, or joined in a common design with the first respondent to do the acts alleged to amount to infringement – whether the third respondent authorised, procured or induced or joined in a common design with the corporate respondents to do the acts alleged to amount to infringement – whether the third respondent was directly and personally involved in the corporate respondents’ activities alleged to amount to infringement – innocent infringement – whether the respondents were not aware or had no reason to believe that a patent for the invention existed or that their acts constituted infringement in accordance with s 123 of the </w:t>
            </w:r>
            <w:r w:rsidRPr="00413927">
              <w:rPr>
                <w:i/>
              </w:rPr>
              <w:t xml:space="preserve">Patents Act 1990 </w:t>
            </w:r>
            <w:r w:rsidRPr="00DC5FA4">
              <w:t>(Cth)</w:t>
            </w:r>
            <w:r>
              <w:t xml:space="preserve"> (</w:t>
            </w:r>
            <w:r w:rsidRPr="00DC5FA4">
              <w:rPr>
                <w:b/>
              </w:rPr>
              <w:t>Act</w:t>
            </w:r>
            <w:r>
              <w:t xml:space="preserve">) </w:t>
            </w:r>
          </w:p>
          <w:p w:rsidR="00DC5FA4" w:rsidRDefault="00DC5FA4" w:rsidP="00E31118">
            <w:pPr>
              <w:pStyle w:val="Normal1linespace"/>
              <w:widowControl w:val="0"/>
            </w:pPr>
          </w:p>
          <w:p w:rsidR="00DC5FA4" w:rsidRPr="00DC5FA4" w:rsidRDefault="00DC5FA4" w:rsidP="00E31118">
            <w:pPr>
              <w:pStyle w:val="Normal1linespace"/>
              <w:widowControl w:val="0"/>
              <w:rPr>
                <w:b/>
              </w:rPr>
            </w:pPr>
            <w:r w:rsidRPr="00DC5FA4">
              <w:rPr>
                <w:b/>
              </w:rPr>
              <w:t>PATENTS</w:t>
            </w:r>
            <w:r w:rsidRPr="00DC5FA4">
              <w:t xml:space="preserve"> – relief for infringement – whether the applicants are entitled to any relief consequent on activities by the respondents in countries outside </w:t>
            </w:r>
            <w:r w:rsidR="00DE05AF">
              <w:t xml:space="preserve">of </w:t>
            </w:r>
            <w:r w:rsidRPr="00DC5FA4">
              <w:t xml:space="preserve">Australia – whether the applicants are entitled to additional damages for patent infringement pursuant to s 122(1A) </w:t>
            </w:r>
            <w:r>
              <w:t xml:space="preserve">of the </w:t>
            </w:r>
            <w:r w:rsidRPr="00DC5FA4">
              <w:t>Act</w:t>
            </w:r>
          </w:p>
          <w:p w:rsidR="00DC5FA4" w:rsidRPr="00DC5FA4" w:rsidRDefault="00DC5FA4" w:rsidP="00E31118">
            <w:pPr>
              <w:pStyle w:val="Normal1linespace"/>
              <w:widowControl w:val="0"/>
              <w:rPr>
                <w:b/>
              </w:rPr>
            </w:pPr>
          </w:p>
          <w:p w:rsidR="00DC5FA4" w:rsidRPr="00DC5FA4" w:rsidRDefault="00DC5FA4" w:rsidP="00E31118">
            <w:pPr>
              <w:pStyle w:val="Normal1linespace"/>
              <w:widowControl w:val="0"/>
            </w:pPr>
            <w:r w:rsidRPr="00DC5FA4">
              <w:rPr>
                <w:b/>
              </w:rPr>
              <w:t>PATENTS</w:t>
            </w:r>
            <w:r w:rsidRPr="00DC5FA4">
              <w:t xml:space="preserve"> – invalidity – priority date – whether the patents are entitled to claim priority from the priority date of the provisional application –</w:t>
            </w:r>
            <w:r>
              <w:t xml:space="preserve"> </w:t>
            </w:r>
            <w:r w:rsidRPr="00DC5FA4">
              <w:t>whether the claims are fairly based on matters disclosed in the earlier applications – whether the onus of establishing priority date rests on the party attacki</w:t>
            </w:r>
            <w:r w:rsidR="00DE05AF">
              <w:t>ng the validity of the patents</w:t>
            </w:r>
          </w:p>
          <w:p w:rsidR="00DC5FA4" w:rsidRPr="00DC5FA4" w:rsidRDefault="00DC5FA4" w:rsidP="00E31118">
            <w:pPr>
              <w:pStyle w:val="Normal1linespace"/>
              <w:widowControl w:val="0"/>
              <w:rPr>
                <w:b/>
              </w:rPr>
            </w:pPr>
          </w:p>
          <w:p w:rsidR="00DC5FA4" w:rsidRPr="00DC5FA4" w:rsidRDefault="00DC5FA4" w:rsidP="00E31118">
            <w:pPr>
              <w:pStyle w:val="Normal1linespace"/>
              <w:widowControl w:val="0"/>
            </w:pPr>
            <w:r w:rsidRPr="00DC5FA4">
              <w:rPr>
                <w:b/>
              </w:rPr>
              <w:t>PATENTS</w:t>
            </w:r>
            <w:r w:rsidRPr="00DC5FA4">
              <w:t xml:space="preserve"> – invalidity – novelty – </w:t>
            </w:r>
            <w:r w:rsidR="00DE05AF" w:rsidRPr="00DC5FA4">
              <w:t xml:space="preserve">whether the patents are novel when compared with the prior art base </w:t>
            </w:r>
            <w:r w:rsidR="00E31118" w:rsidRPr="00DC5FA4">
              <w:t xml:space="preserve">– </w:t>
            </w:r>
            <w:r w:rsidRPr="00DC5FA4">
              <w:t>whether the invention is not novel in light of information made publicly available from publ</w:t>
            </w:r>
            <w:r>
              <w:t xml:space="preserve">ication of prior art documents </w:t>
            </w:r>
            <w:r w:rsidRPr="00DC5FA4">
              <w:t xml:space="preserve">– whether the Skopec </w:t>
            </w:r>
            <w:r w:rsidR="00DE05AF">
              <w:t>p</w:t>
            </w:r>
            <w:r w:rsidRPr="00DC5FA4">
              <w:t>aper, manuals and operating instructions of the applicants’ tool disclosed the integers of the patents prior to the priority date – whether the invention is not novel in light of information made publicly available from acts of prior use and disclosures of the system and method claimed in the patents before the priority date – whether the alleged prior use, that is, the promotion, demonstration and public exposure of the applicants’ tool</w:t>
            </w:r>
            <w:r w:rsidR="00DE05AF">
              <w:t>,</w:t>
            </w:r>
            <w:r w:rsidRPr="00DC5FA4">
              <w:t xml:space="preserve"> took place prior to the priority date – whether the alleged prior use constituted public disclosure – whether the negotiation of a distribution agreement between the owner of the relevant patent rights in the United Kingdom and an associated entity of the </w:t>
            </w:r>
            <w:r w:rsidRPr="00DC5FA4">
              <w:lastRenderedPageBreak/>
              <w:t>applicants in Australia prior to the priority date constituted invalidating commer</w:t>
            </w:r>
            <w:r>
              <w:t xml:space="preserve">cial dealings in the invention </w:t>
            </w:r>
            <w:r w:rsidRPr="00DC5FA4">
              <w:t xml:space="preserve">– whether the nature of the testing of the applicants’ tool at mine sites was for commercial purposes and constituted prior use and destroyed novelty – whether the invention was ready for patenting at the time of the testing – whether the activities associated with the testing were confidential – whether the working of the invention in the testing must be disregarded as it was for the purposes of reasonable trial of the invention and, because of the nature of the invention, it was reasonable necessary for the working to be in public pursuant to s 24(1) </w:t>
            </w:r>
            <w:r w:rsidR="00C21320">
              <w:t xml:space="preserve">of the Act </w:t>
            </w:r>
            <w:r w:rsidRPr="00DC5FA4">
              <w:t>and reg 2.2</w:t>
            </w:r>
            <w:r w:rsidR="00E31118">
              <w:t>(2)</w:t>
            </w:r>
            <w:r w:rsidRPr="00DC5FA4">
              <w:t xml:space="preserve">(d) </w:t>
            </w:r>
            <w:r w:rsidR="001E6127">
              <w:t xml:space="preserve">of the </w:t>
            </w:r>
            <w:r w:rsidR="001E6127" w:rsidRPr="00413927">
              <w:rPr>
                <w:i/>
              </w:rPr>
              <w:t xml:space="preserve">Patents Regulations 1991 </w:t>
            </w:r>
            <w:r w:rsidR="001E6127" w:rsidRPr="00413927">
              <w:t>(Cth)</w:t>
            </w:r>
          </w:p>
          <w:p w:rsidR="00DC5FA4" w:rsidRPr="00DC5FA4" w:rsidRDefault="00DC5FA4" w:rsidP="00E31118">
            <w:pPr>
              <w:pStyle w:val="Normal1linespace"/>
              <w:widowControl w:val="0"/>
              <w:rPr>
                <w:b/>
              </w:rPr>
            </w:pPr>
          </w:p>
          <w:p w:rsidR="004751E9" w:rsidRDefault="00DC5FA4" w:rsidP="00E31118">
            <w:pPr>
              <w:pStyle w:val="Normal1linespace"/>
              <w:widowControl w:val="0"/>
            </w:pPr>
            <w:r w:rsidRPr="00DC5FA4">
              <w:rPr>
                <w:b/>
              </w:rPr>
              <w:t>PATENTS</w:t>
            </w:r>
            <w:r w:rsidRPr="00DC5FA4">
              <w:t xml:space="preserve"> – invalidity – whether the patents lack an innovative step – whether the patents include significant differences from, and advantages over, the prior art – whether the claims in the Patents are fairly based on the matter </w:t>
            </w:r>
            <w:r>
              <w:t>described in the specification</w:t>
            </w:r>
            <w:r w:rsidR="00C21320">
              <w:t>s</w:t>
            </w:r>
            <w:r>
              <w:t xml:space="preserve"> </w:t>
            </w:r>
            <w:r w:rsidRPr="00DC5FA4">
              <w:t>– whether the patents were obtained by false suggestion or misrepresentation – whether the patents are not useful as the invention as claimed in the patents does not achieve the promises set out in the specification</w:t>
            </w:r>
            <w:r w:rsidR="00C21320">
              <w:t>s</w:t>
            </w:r>
            <w:r w:rsidRPr="00DC5FA4">
              <w:t xml:space="preserve"> – whether the specifications in the patents do not describe the inventions fully and are insufficient – whether the patents are inadequately defined – whether the claims in the patents are unclear – whether there were acts of prior secret use – whether the use of the invention was for the purpose of reasonable trial or experiment only – whether the party seeking to establish </w:t>
            </w:r>
            <w:r w:rsidR="00C21320">
              <w:t xml:space="preserve">the </w:t>
            </w:r>
            <w:r w:rsidRPr="00DC5FA4">
              <w:t xml:space="preserve">invalidity of the patents has the onus of establishing a secret use of the invention prior to the priority date – whether the patents disclose a manner of manufacture </w:t>
            </w:r>
            <w:r w:rsidR="00C21320">
              <w:t xml:space="preserve">in light of </w:t>
            </w:r>
            <w:r w:rsidRPr="00DC5FA4">
              <w:t>the alleged disclosures of the invention prior to the priority date – whether the applicants made unjustified threats within the meaning of s 128 of the Act and/or false or misleading and deceptive statements contrary to the Australian Consumer Law</w:t>
            </w:r>
            <w:r w:rsidR="00BA7702">
              <w:t xml:space="preserve"> </w:t>
            </w:r>
            <w:bookmarkEnd w:id="3"/>
          </w:p>
        </w:tc>
      </w:tr>
      <w:tr w:rsidR="004751E9" w:rsidTr="00AA6AFE">
        <w:tc>
          <w:tcPr>
            <w:tcW w:w="3085" w:type="dxa"/>
            <w:shd w:val="clear" w:color="auto" w:fill="auto"/>
          </w:tcPr>
          <w:p w:rsidR="004751E9" w:rsidRDefault="004751E9">
            <w:pPr>
              <w:pStyle w:val="Normal1linespace"/>
              <w:widowControl w:val="0"/>
            </w:pPr>
          </w:p>
        </w:tc>
        <w:tc>
          <w:tcPr>
            <w:tcW w:w="5989" w:type="dxa"/>
            <w:shd w:val="clear" w:color="auto" w:fill="auto"/>
          </w:tcPr>
          <w:p w:rsidR="004751E9" w:rsidRDefault="004751E9">
            <w:pPr>
              <w:pStyle w:val="Normal1linespace"/>
              <w:widowControl w:val="0"/>
              <w:jc w:val="left"/>
            </w:pPr>
          </w:p>
        </w:tc>
      </w:tr>
      <w:tr w:rsidR="004751E9" w:rsidTr="00AA6AFE">
        <w:tc>
          <w:tcPr>
            <w:tcW w:w="3085" w:type="dxa"/>
            <w:shd w:val="clear" w:color="auto" w:fill="auto"/>
          </w:tcPr>
          <w:p w:rsidR="004751E9" w:rsidRDefault="005F5DF9">
            <w:pPr>
              <w:pStyle w:val="Normal1linespace"/>
              <w:widowControl w:val="0"/>
            </w:pPr>
            <w:r>
              <w:t>Legislation:</w:t>
            </w:r>
          </w:p>
        </w:tc>
        <w:tc>
          <w:tcPr>
            <w:tcW w:w="5989" w:type="dxa"/>
            <w:shd w:val="clear" w:color="auto" w:fill="auto"/>
          </w:tcPr>
          <w:p w:rsidR="00413927" w:rsidRPr="00413927" w:rsidRDefault="00413927" w:rsidP="00413927">
            <w:pPr>
              <w:pStyle w:val="Normal1linespace"/>
              <w:widowControl w:val="0"/>
              <w:jc w:val="left"/>
              <w:rPr>
                <w:i/>
              </w:rPr>
            </w:pPr>
            <w:r w:rsidRPr="00413927">
              <w:rPr>
                <w:i/>
              </w:rPr>
              <w:t xml:space="preserve">Corporations Act 2001 </w:t>
            </w:r>
            <w:r w:rsidRPr="00413927">
              <w:t>(Cth) s 50AAA</w:t>
            </w:r>
          </w:p>
          <w:p w:rsidR="00413927" w:rsidRPr="00413927" w:rsidRDefault="00413927" w:rsidP="00413927">
            <w:pPr>
              <w:pStyle w:val="Normal1linespace"/>
              <w:widowControl w:val="0"/>
              <w:jc w:val="left"/>
            </w:pPr>
            <w:r w:rsidRPr="00413927">
              <w:rPr>
                <w:i/>
              </w:rPr>
              <w:t xml:space="preserve">Patents Act 1990 (Cth) </w:t>
            </w:r>
            <w:r w:rsidRPr="00413927">
              <w:t>ss 7(1), 7(4), 7(5), 9(a), 13, 18(1A)(a), 18(1A)(b)(i), 18(1A)(b)(ii), 18(1A)(c), 18(1A)(d), 24(1)(a), 24(1)(b), 40(2)(a), 40(2)(c), 40(3), 43, 79B, 117, 122(1A), 123(1), 128, 138(3)(b)</w:t>
            </w:r>
          </w:p>
          <w:p w:rsidR="004751E9" w:rsidRDefault="00413927" w:rsidP="00413927">
            <w:pPr>
              <w:pStyle w:val="Normal1linespace"/>
              <w:widowControl w:val="0"/>
              <w:jc w:val="left"/>
            </w:pPr>
            <w:r w:rsidRPr="00413927">
              <w:rPr>
                <w:i/>
              </w:rPr>
              <w:t xml:space="preserve">Patents Regulations 1991 </w:t>
            </w:r>
            <w:r w:rsidRPr="00413927">
              <w:t>(Cth) regs 2.2(2)(d)(i), 2.2(2)(d)(ii), 2.3(1A), 2.3(1)(c), 2.3(2), 3.12</w:t>
            </w:r>
          </w:p>
        </w:tc>
      </w:tr>
      <w:tr w:rsidR="004751E9" w:rsidTr="00AA6AFE">
        <w:tc>
          <w:tcPr>
            <w:tcW w:w="3085" w:type="dxa"/>
            <w:shd w:val="clear" w:color="auto" w:fill="auto"/>
          </w:tcPr>
          <w:p w:rsidR="004751E9" w:rsidRDefault="004751E9">
            <w:pPr>
              <w:pStyle w:val="Normal1linespace"/>
              <w:widowControl w:val="0"/>
            </w:pPr>
          </w:p>
        </w:tc>
        <w:tc>
          <w:tcPr>
            <w:tcW w:w="5989" w:type="dxa"/>
            <w:shd w:val="clear" w:color="auto" w:fill="auto"/>
          </w:tcPr>
          <w:p w:rsidR="004751E9" w:rsidRDefault="004751E9">
            <w:pPr>
              <w:pStyle w:val="Normal1linespace"/>
              <w:widowControl w:val="0"/>
              <w:jc w:val="left"/>
            </w:pPr>
          </w:p>
        </w:tc>
      </w:tr>
      <w:tr w:rsidR="004751E9" w:rsidTr="00AA6AFE">
        <w:tc>
          <w:tcPr>
            <w:tcW w:w="3085" w:type="dxa"/>
            <w:shd w:val="clear" w:color="auto" w:fill="auto"/>
          </w:tcPr>
          <w:p w:rsidR="004751E9" w:rsidRDefault="005F5DF9">
            <w:pPr>
              <w:pStyle w:val="Normal1linespace"/>
              <w:widowControl w:val="0"/>
            </w:pPr>
            <w:r>
              <w:t>Cases cited:</w:t>
            </w:r>
          </w:p>
        </w:tc>
        <w:tc>
          <w:tcPr>
            <w:tcW w:w="5989" w:type="dxa"/>
            <w:shd w:val="clear" w:color="auto" w:fill="auto"/>
          </w:tcPr>
          <w:p w:rsidR="003C3AC7" w:rsidRDefault="003C3AC7">
            <w:pPr>
              <w:pStyle w:val="Normal1linespace"/>
              <w:widowControl w:val="0"/>
              <w:jc w:val="left"/>
              <w:rPr>
                <w:i/>
              </w:rPr>
            </w:pPr>
            <w:bookmarkStart w:id="4" w:name="Cases_Cited"/>
            <w:r w:rsidRPr="003C3AC7">
              <w:rPr>
                <w:i/>
              </w:rPr>
              <w:t xml:space="preserve">Apotex Pty Ltd v AstraZeneca AB (No 4) </w:t>
            </w:r>
            <w:r>
              <w:t xml:space="preserve">(2013) </w:t>
            </w:r>
            <w:r w:rsidRPr="003C3AC7">
              <w:t>100 IPR 285</w:t>
            </w:r>
          </w:p>
          <w:p w:rsidR="00E7281B" w:rsidRDefault="00E7281B">
            <w:pPr>
              <w:pStyle w:val="Normal1linespace"/>
              <w:widowControl w:val="0"/>
              <w:jc w:val="left"/>
            </w:pPr>
            <w:r w:rsidRPr="00E7281B">
              <w:rPr>
                <w:i/>
              </w:rPr>
              <w:t>Apotex Pty Ltd v Les Laboratoires Servier (No 2)</w:t>
            </w:r>
            <w:r>
              <w:t xml:space="preserve"> </w:t>
            </w:r>
            <w:r w:rsidR="0016009D">
              <w:t>(2012) 293 ALR 272</w:t>
            </w:r>
          </w:p>
          <w:p w:rsidR="00775EFE" w:rsidRDefault="00775EFE">
            <w:pPr>
              <w:pStyle w:val="Normal1linespace"/>
              <w:widowControl w:val="0"/>
              <w:jc w:val="left"/>
            </w:pPr>
            <w:r w:rsidRPr="00775EFE">
              <w:rPr>
                <w:i/>
              </w:rPr>
              <w:lastRenderedPageBreak/>
              <w:t xml:space="preserve">Apotex Pty Ltd v Sanofi-Aventis </w:t>
            </w:r>
            <w:r>
              <w:t>(2008) 78 IPR 485</w:t>
            </w:r>
          </w:p>
          <w:p w:rsidR="00622092" w:rsidRDefault="00622092">
            <w:pPr>
              <w:pStyle w:val="Normal1linespace"/>
              <w:widowControl w:val="0"/>
              <w:jc w:val="left"/>
            </w:pPr>
            <w:r w:rsidRPr="00622092">
              <w:rPr>
                <w:i/>
              </w:rPr>
              <w:t xml:space="preserve">Apotex Pty Ltd v Sanofi-Aventis Australia Pty Ltd </w:t>
            </w:r>
            <w:r>
              <w:t>(2013) 304 ALR 1</w:t>
            </w:r>
          </w:p>
          <w:p w:rsidR="0003693E" w:rsidRDefault="0003693E">
            <w:pPr>
              <w:pStyle w:val="Normal1linespace"/>
              <w:widowControl w:val="0"/>
              <w:jc w:val="left"/>
            </w:pPr>
            <w:r w:rsidRPr="0003693E">
              <w:rPr>
                <w:i/>
              </w:rPr>
              <w:t xml:space="preserve">Aspirating IP Ltd v Vision Systems Ltd </w:t>
            </w:r>
            <w:r>
              <w:t>(2010) 88 IPR 52</w:t>
            </w:r>
          </w:p>
          <w:p w:rsidR="00E157A3" w:rsidRDefault="00E157A3">
            <w:pPr>
              <w:pStyle w:val="Normal1linespace"/>
              <w:widowControl w:val="0"/>
              <w:jc w:val="left"/>
            </w:pPr>
            <w:r w:rsidRPr="00E157A3">
              <w:rPr>
                <w:i/>
              </w:rPr>
              <w:t xml:space="preserve">Australian Mud Company Pty Ltd v Coretell Pty Ltd </w:t>
            </w:r>
            <w:r>
              <w:t>(2010) 88 IPR 270</w:t>
            </w:r>
          </w:p>
          <w:p w:rsidR="00254D03" w:rsidRDefault="00254D03">
            <w:pPr>
              <w:pStyle w:val="Normal1linespace"/>
              <w:widowControl w:val="0"/>
              <w:jc w:val="left"/>
            </w:pPr>
            <w:r w:rsidRPr="00254D03">
              <w:rPr>
                <w:i/>
              </w:rPr>
              <w:t xml:space="preserve">Australian Mud Company Pty Ltd v Coretell Pty Ltd </w:t>
            </w:r>
            <w:r>
              <w:t>(2011) 93 IPR 188</w:t>
            </w:r>
          </w:p>
          <w:p w:rsidR="00B446F1" w:rsidRDefault="00B446F1">
            <w:pPr>
              <w:pStyle w:val="Normal1linespace"/>
              <w:widowControl w:val="0"/>
              <w:jc w:val="left"/>
            </w:pPr>
            <w:r w:rsidRPr="00B446F1">
              <w:rPr>
                <w:i/>
              </w:rPr>
              <w:t>Azuko Pty Ltd v Old Digger Pty Ltd</w:t>
            </w:r>
            <w:r w:rsidRPr="00387FE2">
              <w:t xml:space="preserve"> </w:t>
            </w:r>
            <w:r>
              <w:t xml:space="preserve">(2001) </w:t>
            </w:r>
            <w:r w:rsidRPr="00B446F1">
              <w:t>52 IPR 75</w:t>
            </w:r>
          </w:p>
          <w:p w:rsidR="00D85B79" w:rsidRDefault="00BE3E81">
            <w:pPr>
              <w:pStyle w:val="Normal1linespace"/>
              <w:widowControl w:val="0"/>
              <w:jc w:val="left"/>
            </w:pPr>
            <w:r w:rsidRPr="00BE3E81">
              <w:rPr>
                <w:i/>
              </w:rPr>
              <w:t xml:space="preserve">Beadcrete Pty Ltd v Fei Yu </w:t>
            </w:r>
            <w:r>
              <w:rPr>
                <w:i/>
              </w:rPr>
              <w:t xml:space="preserve">(t/as Jewels 4 Pools) </w:t>
            </w:r>
            <w:r w:rsidRPr="00BE3E81">
              <w:rPr>
                <w:i/>
              </w:rPr>
              <w:t xml:space="preserve">(No </w:t>
            </w:r>
            <w:r>
              <w:rPr>
                <w:i/>
              </w:rPr>
              <w:t>2</w:t>
            </w:r>
            <w:r w:rsidRPr="00BE3E81">
              <w:rPr>
                <w:i/>
              </w:rPr>
              <w:t xml:space="preserve">) </w:t>
            </w:r>
            <w:r>
              <w:t>(2013) 100 IPR 188</w:t>
            </w:r>
          </w:p>
          <w:p w:rsidR="00E67D05" w:rsidRDefault="00E67D05">
            <w:pPr>
              <w:pStyle w:val="Normal1linespace"/>
              <w:widowControl w:val="0"/>
              <w:jc w:val="left"/>
            </w:pPr>
            <w:r w:rsidRPr="00F66DDA">
              <w:rPr>
                <w:i/>
              </w:rPr>
              <w:t xml:space="preserve">Belegging-en Exploitatiemaatschappij Lavender BV v </w:t>
            </w:r>
            <w:r w:rsidR="00E359F2" w:rsidRPr="00B02FB7">
              <w:rPr>
                <w:i/>
              </w:rPr>
              <w:t>W</w:t>
            </w:r>
            <w:r w:rsidR="00E359F2">
              <w:rPr>
                <w:i/>
              </w:rPr>
              <w:t>hitten Industrial Diamonds Limite</w:t>
            </w:r>
            <w:r w:rsidR="00E359F2" w:rsidRPr="00B02FB7">
              <w:rPr>
                <w:i/>
              </w:rPr>
              <w:t>d</w:t>
            </w:r>
            <w:r w:rsidR="00E359F2">
              <w:t xml:space="preserve"> [1979] FSR 59 </w:t>
            </w:r>
            <w:r>
              <w:t>[1979] FSR 59</w:t>
            </w:r>
          </w:p>
          <w:p w:rsidR="00E7281B" w:rsidRDefault="0016009D">
            <w:pPr>
              <w:pStyle w:val="Normal1linespace"/>
              <w:widowControl w:val="0"/>
              <w:jc w:val="left"/>
            </w:pPr>
            <w:r>
              <w:rPr>
                <w:i/>
              </w:rPr>
              <w:t xml:space="preserve">BEST Australia </w:t>
            </w:r>
            <w:r w:rsidRPr="00E7281B">
              <w:rPr>
                <w:i/>
              </w:rPr>
              <w:t xml:space="preserve">Ltd v Aquagas Marketing </w:t>
            </w:r>
            <w:r>
              <w:rPr>
                <w:i/>
              </w:rPr>
              <w:t xml:space="preserve">Pty </w:t>
            </w:r>
            <w:r w:rsidRPr="00E7281B">
              <w:rPr>
                <w:i/>
              </w:rPr>
              <w:t>Ltd</w:t>
            </w:r>
            <w:r>
              <w:t xml:space="preserve"> (1988) 12 IPR 143</w:t>
            </w:r>
          </w:p>
          <w:p w:rsidR="006E769D" w:rsidRDefault="006E769D">
            <w:pPr>
              <w:pStyle w:val="Normal1linespace"/>
              <w:widowControl w:val="0"/>
              <w:jc w:val="left"/>
            </w:pPr>
            <w:r w:rsidRPr="006E769D">
              <w:rPr>
                <w:i/>
              </w:rPr>
              <w:t>Bitech Engineering v Garth Living Pty Ltd</w:t>
            </w:r>
            <w:r>
              <w:rPr>
                <w:i/>
              </w:rPr>
              <w:t xml:space="preserve"> </w:t>
            </w:r>
            <w:r>
              <w:t>(2010) 86 IPR 468</w:t>
            </w:r>
          </w:p>
          <w:p w:rsidR="00387FE2" w:rsidRDefault="00387FE2">
            <w:pPr>
              <w:pStyle w:val="Normal1linespace"/>
              <w:widowControl w:val="0"/>
              <w:jc w:val="left"/>
            </w:pPr>
            <w:r w:rsidRPr="00387FE2">
              <w:rPr>
                <w:i/>
              </w:rPr>
              <w:t>Bradken Resources Pty Ltd v Lynx Engineering Consultants Pty Ltd</w:t>
            </w:r>
            <w:r w:rsidRPr="00387FE2">
              <w:t xml:space="preserve"> </w:t>
            </w:r>
            <w:r>
              <w:t xml:space="preserve">(2012) </w:t>
            </w:r>
            <w:r w:rsidR="007B6EF2">
              <w:t>210 FLR 21</w:t>
            </w:r>
          </w:p>
          <w:p w:rsidR="00EA24D9" w:rsidRDefault="0013713C">
            <w:pPr>
              <w:pStyle w:val="Normal1linespace"/>
              <w:widowControl w:val="0"/>
              <w:jc w:val="left"/>
              <w:rPr>
                <w:i/>
              </w:rPr>
            </w:pPr>
            <w:r>
              <w:rPr>
                <w:i/>
              </w:rPr>
              <w:t xml:space="preserve">Bristol-Myers Co v Beecham Group Ltd </w:t>
            </w:r>
            <w:r>
              <w:t xml:space="preserve">[1974] AC 646 </w:t>
            </w:r>
            <w:r w:rsidR="00EA24D9" w:rsidRPr="00EA24D9">
              <w:rPr>
                <w:i/>
              </w:rPr>
              <w:t>Bristol-Myers Squibb Company v F H Faulding &amp; Co Ltd</w:t>
            </w:r>
            <w:r w:rsidR="00EA24D9" w:rsidRPr="00EA24D9">
              <w:t xml:space="preserve"> (2000) 97 FCR 524</w:t>
            </w:r>
          </w:p>
          <w:p w:rsidR="00B25083" w:rsidRDefault="00B25083">
            <w:pPr>
              <w:pStyle w:val="Normal1linespace"/>
              <w:widowControl w:val="0"/>
              <w:jc w:val="left"/>
            </w:pPr>
            <w:r w:rsidRPr="00AD2E36">
              <w:rPr>
                <w:i/>
              </w:rPr>
              <w:t>Britax Childcare Pty Ltd v Infa-Secure Pty Ltd</w:t>
            </w:r>
            <w:r>
              <w:rPr>
                <w:i/>
              </w:rPr>
              <w:t xml:space="preserve"> </w:t>
            </w:r>
            <w:r w:rsidR="00FB778A">
              <w:t>(2012) 290 ALR 47</w:t>
            </w:r>
          </w:p>
          <w:p w:rsidR="00F66DDA" w:rsidRDefault="00F66DDA">
            <w:pPr>
              <w:pStyle w:val="Normal1linespace"/>
              <w:widowControl w:val="0"/>
              <w:jc w:val="left"/>
            </w:pPr>
            <w:r w:rsidRPr="00F66DDA">
              <w:rPr>
                <w:i/>
              </w:rPr>
              <w:t xml:space="preserve">Collins v Northern Territory </w:t>
            </w:r>
            <w:r>
              <w:t>(2007) 161 FCR 549</w:t>
            </w:r>
          </w:p>
          <w:p w:rsidR="005E0ACD" w:rsidRDefault="005E0ACD">
            <w:pPr>
              <w:pStyle w:val="Normal1linespace"/>
              <w:widowControl w:val="0"/>
              <w:jc w:val="left"/>
            </w:pPr>
            <w:r w:rsidRPr="006275F1">
              <w:rPr>
                <w:i/>
              </w:rPr>
              <w:t>Commissioner of Patents v Microcell Ltd</w:t>
            </w:r>
            <w:r w:rsidRPr="006275F1">
              <w:t xml:space="preserve"> (1959) 102 CLR 232</w:t>
            </w:r>
          </w:p>
          <w:p w:rsidR="003E33D1" w:rsidRDefault="003E33D1">
            <w:pPr>
              <w:pStyle w:val="Normal1linespace"/>
              <w:widowControl w:val="0"/>
              <w:jc w:val="left"/>
            </w:pPr>
            <w:r w:rsidRPr="003E33D1">
              <w:rPr>
                <w:i/>
              </w:rPr>
              <w:t xml:space="preserve">Danisco A/S v Novozymes A/S (No 2) </w:t>
            </w:r>
            <w:r>
              <w:t xml:space="preserve">(2011) </w:t>
            </w:r>
            <w:r w:rsidRPr="003E33D1">
              <w:t>91 IPR 209</w:t>
            </w:r>
          </w:p>
          <w:p w:rsidR="0051705F" w:rsidRDefault="0051705F">
            <w:pPr>
              <w:pStyle w:val="Normal1linespace"/>
              <w:widowControl w:val="0"/>
              <w:jc w:val="left"/>
            </w:pPr>
            <w:r w:rsidRPr="005D3145">
              <w:rPr>
                <w:i/>
              </w:rPr>
              <w:t xml:space="preserve">Delnorth Pty Ltd v Dura-Post (Aust) Pty Ltd </w:t>
            </w:r>
            <w:r w:rsidRPr="0051705F">
              <w:t>(2008) 78 IPR 463</w:t>
            </w:r>
          </w:p>
          <w:p w:rsidR="008C354E" w:rsidRDefault="008C354E">
            <w:pPr>
              <w:pStyle w:val="Normal1linespace"/>
              <w:widowControl w:val="0"/>
              <w:jc w:val="left"/>
            </w:pPr>
            <w:r>
              <w:rPr>
                <w:i/>
              </w:rPr>
              <w:t xml:space="preserve">Dow Chemical AG v Spence Bryson &amp; Company Ltd </w:t>
            </w:r>
            <w:r>
              <w:t>[1984] RPC 359</w:t>
            </w:r>
          </w:p>
          <w:p w:rsidR="00534C1E" w:rsidRDefault="00170EF2">
            <w:pPr>
              <w:pStyle w:val="Normal1linespace"/>
              <w:widowControl w:val="0"/>
              <w:jc w:val="left"/>
            </w:pPr>
            <w:r>
              <w:rPr>
                <w:i/>
              </w:rPr>
              <w:t>Dura-Post (Aust</w:t>
            </w:r>
            <w:r w:rsidR="00534C1E" w:rsidRPr="00534C1E">
              <w:rPr>
                <w:i/>
              </w:rPr>
              <w:t xml:space="preserve">) Pty Ltd v Delnorth Pty Ltd </w:t>
            </w:r>
            <w:r w:rsidR="00534C1E">
              <w:t>(2009) 177 FCR 239</w:t>
            </w:r>
          </w:p>
          <w:p w:rsidR="00D922BC" w:rsidRDefault="008B5AE9">
            <w:pPr>
              <w:pStyle w:val="Normal1linespace"/>
              <w:widowControl w:val="0"/>
              <w:jc w:val="left"/>
            </w:pPr>
            <w:r w:rsidRPr="00D922BC">
              <w:rPr>
                <w:i/>
              </w:rPr>
              <w:t xml:space="preserve">Eli Lilly </w:t>
            </w:r>
            <w:r>
              <w:rPr>
                <w:i/>
              </w:rPr>
              <w:t>&amp;</w:t>
            </w:r>
            <w:r w:rsidR="00A77B05">
              <w:rPr>
                <w:i/>
              </w:rPr>
              <w:t xml:space="preserve"> </w:t>
            </w:r>
            <w:r>
              <w:rPr>
                <w:i/>
              </w:rPr>
              <w:t xml:space="preserve">Co Ltd </w:t>
            </w:r>
            <w:r w:rsidRPr="00D922BC">
              <w:rPr>
                <w:i/>
              </w:rPr>
              <w:t xml:space="preserve">v Apotex Pty Ltd </w:t>
            </w:r>
            <w:r w:rsidRPr="00D922BC">
              <w:t>(</w:t>
            </w:r>
            <w:r>
              <w:t xml:space="preserve">2013) </w:t>
            </w:r>
            <w:r w:rsidRPr="00D922BC">
              <w:t>100 IPR 451</w:t>
            </w:r>
          </w:p>
          <w:p w:rsidR="0053722B" w:rsidRDefault="0053722B">
            <w:pPr>
              <w:pStyle w:val="Normal1linespace"/>
              <w:widowControl w:val="0"/>
              <w:jc w:val="left"/>
            </w:pPr>
            <w:r w:rsidRPr="0053722B">
              <w:rPr>
                <w:i/>
              </w:rPr>
              <w:t>Fieldturf Tarkett Inc v Tigerturf International Limited</w:t>
            </w:r>
            <w:r w:rsidRPr="0053722B">
              <w:t xml:space="preserve"> </w:t>
            </w:r>
            <w:r w:rsidR="00F42188">
              <w:t>(</w:t>
            </w:r>
            <w:r w:rsidRPr="0053722B">
              <w:t>2014</w:t>
            </w:r>
            <w:r w:rsidR="00F42188">
              <w:t>)</w:t>
            </w:r>
            <w:r w:rsidRPr="0053722B">
              <w:t xml:space="preserve"> </w:t>
            </w:r>
            <w:r w:rsidR="00F42188">
              <w:t>107 IPR 46</w:t>
            </w:r>
          </w:p>
          <w:p w:rsidR="00B25083" w:rsidRDefault="00B25083">
            <w:pPr>
              <w:pStyle w:val="Normal1linespace"/>
              <w:widowControl w:val="0"/>
              <w:jc w:val="left"/>
            </w:pPr>
            <w:r>
              <w:rPr>
                <w:i/>
              </w:rPr>
              <w:t>Flexible Steel Lacing</w:t>
            </w:r>
            <w:r w:rsidR="00FB778A">
              <w:rPr>
                <w:i/>
              </w:rPr>
              <w:t>s</w:t>
            </w:r>
            <w:r>
              <w:rPr>
                <w:i/>
              </w:rPr>
              <w:t xml:space="preserve"> Co v Beltreco Ltd </w:t>
            </w:r>
            <w:r w:rsidR="00FB778A">
              <w:t>(2000</w:t>
            </w:r>
            <w:r>
              <w:t>) 49 IPR 331</w:t>
            </w:r>
          </w:p>
          <w:p w:rsidR="00820EAE" w:rsidRDefault="00820EAE">
            <w:pPr>
              <w:pStyle w:val="Normal1linespace"/>
              <w:widowControl w:val="0"/>
              <w:jc w:val="left"/>
            </w:pPr>
            <w:r w:rsidRPr="00820EAE">
              <w:rPr>
                <w:i/>
              </w:rPr>
              <w:t>Fresenius Medical Care Australia Pty Limited v Gambro Pty Limited</w:t>
            </w:r>
            <w:r w:rsidRPr="00820EAE">
              <w:t xml:space="preserve"> </w:t>
            </w:r>
            <w:r>
              <w:t>(</w:t>
            </w:r>
            <w:r w:rsidRPr="00820EAE">
              <w:t>2005</w:t>
            </w:r>
            <w:r>
              <w:t>)</w:t>
            </w:r>
            <w:r w:rsidRPr="00820EAE">
              <w:t xml:space="preserve"> 67 IPR 230</w:t>
            </w:r>
          </w:p>
          <w:p w:rsidR="00512BAA" w:rsidRDefault="00185085">
            <w:pPr>
              <w:pStyle w:val="Normal1linespace"/>
              <w:widowControl w:val="0"/>
              <w:jc w:val="left"/>
            </w:pPr>
            <w:r w:rsidRPr="00512BAA">
              <w:rPr>
                <w:i/>
              </w:rPr>
              <w:t xml:space="preserve">Garford Pty Ltd v </w:t>
            </w:r>
            <w:r>
              <w:rPr>
                <w:i/>
              </w:rPr>
              <w:t>DYWIDAG</w:t>
            </w:r>
            <w:r w:rsidRPr="00512BAA">
              <w:rPr>
                <w:i/>
              </w:rPr>
              <w:t xml:space="preserve"> Systems International Pty Ltd </w:t>
            </w:r>
            <w:r>
              <w:t>(</w:t>
            </w:r>
            <w:r w:rsidRPr="00512BAA">
              <w:t>2015</w:t>
            </w:r>
            <w:r>
              <w:t>)</w:t>
            </w:r>
            <w:r w:rsidRPr="00512BAA">
              <w:t xml:space="preserve"> </w:t>
            </w:r>
            <w:r>
              <w:t>110 IPR 30</w:t>
            </w:r>
          </w:p>
          <w:p w:rsidR="00361235" w:rsidRDefault="00361235">
            <w:pPr>
              <w:pStyle w:val="Normal1linespace"/>
              <w:widowControl w:val="0"/>
              <w:jc w:val="left"/>
              <w:rPr>
                <w:i/>
              </w:rPr>
            </w:pPr>
            <w:r w:rsidRPr="00C566B6">
              <w:rPr>
                <w:i/>
              </w:rPr>
              <w:t>G</w:t>
            </w:r>
            <w:r>
              <w:rPr>
                <w:i/>
              </w:rPr>
              <w:t xml:space="preserve">eneral Tire &amp; Rubber Co v Firestone Tyre </w:t>
            </w:r>
            <w:r w:rsidR="008546E1">
              <w:rPr>
                <w:i/>
              </w:rPr>
              <w:t xml:space="preserve">&amp; Rubber </w:t>
            </w:r>
            <w:r>
              <w:rPr>
                <w:i/>
              </w:rPr>
              <w:t xml:space="preserve">Co Limited </w:t>
            </w:r>
            <w:r>
              <w:t>[1972] RPC 457</w:t>
            </w:r>
          </w:p>
          <w:p w:rsidR="00E67D05" w:rsidRDefault="00E67D05">
            <w:pPr>
              <w:pStyle w:val="Normal1linespace"/>
              <w:widowControl w:val="0"/>
              <w:jc w:val="left"/>
            </w:pPr>
            <w:r>
              <w:rPr>
                <w:i/>
              </w:rPr>
              <w:t xml:space="preserve">Grove Hill Pty Ltd v Great Western Corporation Pty Ltd </w:t>
            </w:r>
            <w:r>
              <w:t>(2002) 55 IPR 257</w:t>
            </w:r>
          </w:p>
          <w:p w:rsidR="00845222" w:rsidRDefault="00845222">
            <w:pPr>
              <w:pStyle w:val="Normal1linespace"/>
              <w:widowControl w:val="0"/>
              <w:jc w:val="left"/>
            </w:pPr>
            <w:r w:rsidRPr="00845222">
              <w:rPr>
                <w:i/>
              </w:rPr>
              <w:t xml:space="preserve">H Lundbeck A/S v Alphapharm Pty Ltd </w:t>
            </w:r>
            <w:r>
              <w:t>(2009)</w:t>
            </w:r>
            <w:r w:rsidRPr="00845222">
              <w:t xml:space="preserve"> 177 FCR 151</w:t>
            </w:r>
          </w:p>
          <w:p w:rsidR="007D6A69" w:rsidRDefault="007D6A69">
            <w:pPr>
              <w:pStyle w:val="Normal1linespace"/>
              <w:widowControl w:val="0"/>
              <w:jc w:val="left"/>
            </w:pPr>
            <w:r>
              <w:rPr>
                <w:i/>
              </w:rPr>
              <w:t xml:space="preserve">Harrison v Project &amp; Design Co (Redcar) Ltd </w:t>
            </w:r>
            <w:r>
              <w:t xml:space="preserve">(1978) FSR </w:t>
            </w:r>
            <w:r>
              <w:lastRenderedPageBreak/>
              <w:t>81</w:t>
            </w:r>
          </w:p>
          <w:p w:rsidR="00FC2F0F" w:rsidRDefault="00FC2F0F">
            <w:pPr>
              <w:pStyle w:val="Normal1linespace"/>
              <w:widowControl w:val="0"/>
              <w:jc w:val="left"/>
            </w:pPr>
            <w:r w:rsidRPr="00FC2F0F">
              <w:rPr>
                <w:i/>
              </w:rPr>
              <w:t xml:space="preserve">Insta Image Pty Ltd v KD Kanopy Australasia Pty Ltd </w:t>
            </w:r>
            <w:r>
              <w:t>[2008] FCAFC 139</w:t>
            </w:r>
          </w:p>
          <w:p w:rsidR="00D02CB6" w:rsidRDefault="00D02CB6">
            <w:pPr>
              <w:pStyle w:val="Normal1linespace"/>
              <w:widowControl w:val="0"/>
              <w:jc w:val="left"/>
            </w:pPr>
            <w:r w:rsidRPr="00D02CB6">
              <w:rPr>
                <w:i/>
              </w:rPr>
              <w:t xml:space="preserve">Inverness Medical Switzerland GmbH v MDS Diagnostics Pty Ltd </w:t>
            </w:r>
            <w:r>
              <w:t>(2010) 85 IPR 525</w:t>
            </w:r>
          </w:p>
          <w:p w:rsidR="00FE5276" w:rsidRDefault="00FE5276">
            <w:pPr>
              <w:pStyle w:val="Normal1linespace"/>
              <w:widowControl w:val="0"/>
              <w:jc w:val="left"/>
            </w:pPr>
            <w:r w:rsidRPr="00D76108">
              <w:rPr>
                <w:i/>
              </w:rPr>
              <w:t>Jupiters Ltd v Neurizon Pty Ltd</w:t>
            </w:r>
            <w:r w:rsidRPr="00ED41CD">
              <w:rPr>
                <w:i/>
              </w:rPr>
              <w:t xml:space="preserve"> </w:t>
            </w:r>
            <w:r>
              <w:t>(2005) 222 ALR 155</w:t>
            </w:r>
          </w:p>
          <w:p w:rsidR="00845222" w:rsidRDefault="00845222" w:rsidP="00845222">
            <w:pPr>
              <w:pStyle w:val="Normal1linespace"/>
              <w:widowControl w:val="0"/>
              <w:jc w:val="left"/>
            </w:pPr>
            <w:r w:rsidRPr="009F7CE1">
              <w:rPr>
                <w:i/>
              </w:rPr>
              <w:t>Keller v LED Technologies Pty Ltd</w:t>
            </w:r>
            <w:r>
              <w:t xml:space="preserve"> (2010) </w:t>
            </w:r>
            <w:r w:rsidRPr="009F7CE1">
              <w:t>185 FCR 449</w:t>
            </w:r>
          </w:p>
          <w:p w:rsidR="00B25083" w:rsidRDefault="00B25083">
            <w:pPr>
              <w:pStyle w:val="Normal1linespace"/>
              <w:widowControl w:val="0"/>
              <w:jc w:val="left"/>
            </w:pPr>
            <w:r w:rsidRPr="00B25083">
              <w:rPr>
                <w:i/>
              </w:rPr>
              <w:t>Kimberly-Clark Australia Pty Ltd v Arico Trading International Pty Ltd</w:t>
            </w:r>
            <w:r>
              <w:rPr>
                <w:i/>
              </w:rPr>
              <w:t xml:space="preserve"> </w:t>
            </w:r>
            <w:r>
              <w:t>(2001) 207 CLR 1</w:t>
            </w:r>
          </w:p>
          <w:p w:rsidR="0021611F" w:rsidRDefault="0021611F">
            <w:pPr>
              <w:pStyle w:val="Normal1linespace"/>
              <w:widowControl w:val="0"/>
              <w:jc w:val="left"/>
            </w:pPr>
            <w:r>
              <w:rPr>
                <w:i/>
              </w:rPr>
              <w:t xml:space="preserve">Lockwood Security Products Pty Ltd v Doric Products Pty Ltd </w:t>
            </w:r>
            <w:r>
              <w:t>(2004) 217 CLR 274</w:t>
            </w:r>
          </w:p>
          <w:p w:rsidR="00382F92" w:rsidRDefault="0053722B">
            <w:pPr>
              <w:pStyle w:val="Normal1linespace"/>
              <w:widowControl w:val="0"/>
              <w:jc w:val="left"/>
            </w:pPr>
            <w:r w:rsidRPr="0053722B">
              <w:rPr>
                <w:i/>
              </w:rPr>
              <w:t xml:space="preserve">Lockwood Security Products Pty Ltd v Doric Products Pty Ltd </w:t>
            </w:r>
            <w:r>
              <w:t>(</w:t>
            </w:r>
            <w:r w:rsidRPr="0053722B">
              <w:t>2007</w:t>
            </w:r>
            <w:r>
              <w:t>)</w:t>
            </w:r>
            <w:r w:rsidRPr="0053722B">
              <w:t xml:space="preserve"> 235 CLR 173</w:t>
            </w:r>
          </w:p>
          <w:p w:rsidR="0096133A" w:rsidRDefault="0096133A">
            <w:pPr>
              <w:pStyle w:val="Normal1linespace"/>
              <w:widowControl w:val="0"/>
              <w:jc w:val="left"/>
            </w:pPr>
            <w:r w:rsidRPr="0096133A">
              <w:rPr>
                <w:i/>
              </w:rPr>
              <w:t xml:space="preserve">Longworth v Emerton </w:t>
            </w:r>
            <w:r>
              <w:t>(1951) 83 CLR 539</w:t>
            </w:r>
          </w:p>
          <w:p w:rsidR="0013713C" w:rsidRDefault="004C2B21">
            <w:pPr>
              <w:pStyle w:val="Normal1linespace"/>
              <w:widowControl w:val="0"/>
              <w:jc w:val="left"/>
            </w:pPr>
            <w:r>
              <w:rPr>
                <w:i/>
              </w:rPr>
              <w:t>Melbourne J.S. v</w:t>
            </w:r>
            <w:r w:rsidR="0013713C">
              <w:rPr>
                <w:i/>
              </w:rPr>
              <w:t xml:space="preserve"> Terry Fluid Controls Pty Ltd </w:t>
            </w:r>
            <w:r w:rsidR="0013713C" w:rsidRPr="00572B8F">
              <w:t>(1993)</w:t>
            </w:r>
            <w:r w:rsidR="0013713C">
              <w:rPr>
                <w:i/>
              </w:rPr>
              <w:t xml:space="preserve"> </w:t>
            </w:r>
            <w:r w:rsidR="0013713C">
              <w:t>26 IPR 292</w:t>
            </w:r>
          </w:p>
          <w:p w:rsidR="00EC440C" w:rsidRDefault="00EC440C">
            <w:pPr>
              <w:pStyle w:val="Normal1linespace"/>
              <w:widowControl w:val="0"/>
              <w:jc w:val="left"/>
            </w:pPr>
            <w:r w:rsidRPr="00EC440C">
              <w:rPr>
                <w:i/>
              </w:rPr>
              <w:t xml:space="preserve">Merck &amp; Co Inc v Arrow Pharmaceuticals Limited </w:t>
            </w:r>
            <w:r>
              <w:t xml:space="preserve">(2006) </w:t>
            </w:r>
            <w:r w:rsidRPr="00EC440C">
              <w:t>154</w:t>
            </w:r>
            <w:r>
              <w:t xml:space="preserve"> </w:t>
            </w:r>
            <w:r w:rsidRPr="00EC440C">
              <w:t>FCR</w:t>
            </w:r>
            <w:r>
              <w:t xml:space="preserve"> </w:t>
            </w:r>
            <w:r w:rsidRPr="00EC440C">
              <w:t>31</w:t>
            </w:r>
          </w:p>
          <w:p w:rsidR="009C2B07" w:rsidRDefault="009C2B07">
            <w:pPr>
              <w:pStyle w:val="Normal1linespace"/>
              <w:widowControl w:val="0"/>
              <w:jc w:val="left"/>
            </w:pPr>
            <w:r w:rsidRPr="00C14EC2">
              <w:rPr>
                <w:i/>
              </w:rPr>
              <w:t>Minnesota Mining and Manufacturing Company v Beiersdorf (Australia) Limited</w:t>
            </w:r>
            <w:r>
              <w:t xml:space="preserve"> (1980) 144 CLR 253</w:t>
            </w:r>
          </w:p>
          <w:p w:rsidR="00720D5F" w:rsidRDefault="00720D5F">
            <w:pPr>
              <w:pStyle w:val="Normal1linespace"/>
              <w:widowControl w:val="0"/>
              <w:jc w:val="left"/>
            </w:pPr>
            <w:r w:rsidRPr="00720D5F">
              <w:rPr>
                <w:i/>
              </w:rPr>
              <w:t>Morton-Norwich Products Inc v lntercen Ltd</w:t>
            </w:r>
            <w:r>
              <w:t xml:space="preserve"> [1978] RPC 501</w:t>
            </w:r>
          </w:p>
          <w:p w:rsidR="002B5FEC" w:rsidRDefault="002B5FEC">
            <w:pPr>
              <w:pStyle w:val="Normal1linespace"/>
              <w:widowControl w:val="0"/>
              <w:jc w:val="left"/>
            </w:pPr>
            <w:r w:rsidRPr="002B5FEC">
              <w:rPr>
                <w:i/>
              </w:rPr>
              <w:t xml:space="preserve">Myall Australia Pty Ltd v RPL Central Pty Ltd </w:t>
            </w:r>
            <w:r>
              <w:t>(2011) 93 IPR 1</w:t>
            </w:r>
          </w:p>
          <w:p w:rsidR="002C4F32" w:rsidRDefault="002C4F32">
            <w:pPr>
              <w:pStyle w:val="Normal1linespace"/>
              <w:widowControl w:val="0"/>
              <w:jc w:val="left"/>
            </w:pPr>
            <w:r w:rsidRPr="002C4F32">
              <w:rPr>
                <w:i/>
              </w:rPr>
              <w:t xml:space="preserve">Re Newall &amp; Elliot &amp; Glass </w:t>
            </w:r>
            <w:r w:rsidRPr="002C4F32">
              <w:t xml:space="preserve">(1858) </w:t>
            </w:r>
            <w:r w:rsidR="0026130E">
              <w:t>140 ER 1087</w:t>
            </w:r>
          </w:p>
          <w:p w:rsidR="00CD34CD" w:rsidRDefault="00CD34CD">
            <w:pPr>
              <w:pStyle w:val="Normal1linespace"/>
              <w:widowControl w:val="0"/>
              <w:jc w:val="left"/>
            </w:pPr>
            <w:r w:rsidRPr="00CD34CD">
              <w:rPr>
                <w:i/>
              </w:rPr>
              <w:t xml:space="preserve">Nicaro Holdings Pty Ltd v Martin Engineering Co </w:t>
            </w:r>
            <w:r w:rsidRPr="00CD34CD">
              <w:t>(1990)</w:t>
            </w:r>
            <w:r>
              <w:t xml:space="preserve"> 16 IPR 545</w:t>
            </w:r>
          </w:p>
          <w:p w:rsidR="00D9784E" w:rsidRDefault="00D9784E">
            <w:pPr>
              <w:pStyle w:val="Normal1linespace"/>
              <w:widowControl w:val="0"/>
              <w:jc w:val="left"/>
            </w:pPr>
            <w:r w:rsidRPr="00D9784E">
              <w:rPr>
                <w:i/>
              </w:rPr>
              <w:t>Northern Territory v Collins</w:t>
            </w:r>
            <w:r>
              <w:rPr>
                <w:i/>
              </w:rPr>
              <w:t xml:space="preserve"> </w:t>
            </w:r>
            <w:r>
              <w:t xml:space="preserve">(2008) </w:t>
            </w:r>
            <w:r w:rsidRPr="00D9784E">
              <w:t>235 CLR 619</w:t>
            </w:r>
          </w:p>
          <w:p w:rsidR="007D6A69" w:rsidRDefault="007D6A69">
            <w:pPr>
              <w:pStyle w:val="Normal1linespace"/>
              <w:widowControl w:val="0"/>
              <w:jc w:val="left"/>
            </w:pPr>
            <w:r>
              <w:rPr>
                <w:i/>
              </w:rPr>
              <w:t xml:space="preserve">Perard Engineering Ltd (Hubbard’s) Application </w:t>
            </w:r>
            <w:r>
              <w:t>(1976) RPC 363</w:t>
            </w:r>
          </w:p>
          <w:p w:rsidR="008835EF" w:rsidRDefault="008835EF">
            <w:pPr>
              <w:pStyle w:val="Normal1linespace"/>
              <w:widowControl w:val="0"/>
              <w:jc w:val="left"/>
            </w:pPr>
            <w:r>
              <w:rPr>
                <w:i/>
              </w:rPr>
              <w:t xml:space="preserve">Pfaff v Wells Electronics Inc </w:t>
            </w:r>
            <w:r>
              <w:t>525 U.S. 55 (1998)</w:t>
            </w:r>
          </w:p>
          <w:p w:rsidR="0013333A" w:rsidRDefault="0013333A">
            <w:pPr>
              <w:pStyle w:val="Normal1linespace"/>
              <w:widowControl w:val="0"/>
              <w:jc w:val="left"/>
            </w:pPr>
            <w:r w:rsidRPr="0013333A">
              <w:rPr>
                <w:i/>
              </w:rPr>
              <w:t xml:space="preserve">PhotoCure ASA v Queen's University at Kingston </w:t>
            </w:r>
            <w:r>
              <w:t xml:space="preserve">(2005) </w:t>
            </w:r>
            <w:r w:rsidR="000433E3">
              <w:t>216 ALR 41</w:t>
            </w:r>
          </w:p>
          <w:p w:rsidR="00D77682" w:rsidRDefault="00D77682">
            <w:pPr>
              <w:pStyle w:val="Normal1linespace"/>
              <w:widowControl w:val="0"/>
              <w:jc w:val="left"/>
            </w:pPr>
            <w:r w:rsidRPr="00D77682">
              <w:rPr>
                <w:i/>
              </w:rPr>
              <w:t>Raben Footwear Pty Ltd v Polygram Records Inc</w:t>
            </w:r>
            <w:r w:rsidRPr="00D77682">
              <w:t xml:space="preserve"> (1997) 5 FCR 88</w:t>
            </w:r>
          </w:p>
          <w:p w:rsidR="00E67D05" w:rsidRDefault="00E67D05">
            <w:pPr>
              <w:pStyle w:val="Normal1linespace"/>
              <w:widowControl w:val="0"/>
              <w:jc w:val="left"/>
            </w:pPr>
            <w:r w:rsidRPr="009A1391">
              <w:rPr>
                <w:i/>
              </w:rPr>
              <w:t>Ramset Fasteners (Aust) Pty Ltd v Advanced Building Systems Pty Ltd</w:t>
            </w:r>
            <w:r>
              <w:t xml:space="preserve"> (1999) </w:t>
            </w:r>
            <w:r w:rsidR="00F42188">
              <w:t>164 ALR 239</w:t>
            </w:r>
          </w:p>
          <w:p w:rsidR="007A0640" w:rsidRDefault="007A0640">
            <w:pPr>
              <w:pStyle w:val="Normal1linespace"/>
              <w:widowControl w:val="0"/>
              <w:jc w:val="left"/>
            </w:pPr>
            <w:r w:rsidRPr="00084FFD">
              <w:rPr>
                <w:i/>
              </w:rPr>
              <w:t>Roadshow Films Pty Ltd v iiNet Limited</w:t>
            </w:r>
            <w:r w:rsidRPr="00084FFD">
              <w:t xml:space="preserve"> </w:t>
            </w:r>
            <w:r>
              <w:t xml:space="preserve">(2012) </w:t>
            </w:r>
            <w:r w:rsidRPr="00084FFD">
              <w:t>248 CLR 42</w:t>
            </w:r>
          </w:p>
          <w:p w:rsidR="00820EAE" w:rsidRDefault="00382F92">
            <w:pPr>
              <w:pStyle w:val="Normal1linespace"/>
              <w:widowControl w:val="0"/>
              <w:jc w:val="left"/>
            </w:pPr>
            <w:r w:rsidRPr="00382F92">
              <w:rPr>
                <w:i/>
              </w:rPr>
              <w:t xml:space="preserve">Root Quality Pty Ltd v Root Control Technologies Pty Ltd </w:t>
            </w:r>
            <w:r>
              <w:t>(2000) 49 IPR 225</w:t>
            </w:r>
          </w:p>
          <w:p w:rsidR="001C6F51" w:rsidRDefault="001C6F51">
            <w:pPr>
              <w:pStyle w:val="Normal1linespace"/>
              <w:widowControl w:val="0"/>
              <w:jc w:val="left"/>
            </w:pPr>
            <w:r w:rsidRPr="001C6F51">
              <w:rPr>
                <w:i/>
              </w:rPr>
              <w:t xml:space="preserve">Sanofi-Aventis Australia Pty Ltd v Apotex Pty Ltd (No 3) </w:t>
            </w:r>
            <w:r>
              <w:t xml:space="preserve">(2011) </w:t>
            </w:r>
            <w:r w:rsidR="002D651E">
              <w:t>281 ALR 705</w:t>
            </w:r>
          </w:p>
          <w:p w:rsidR="0003693E" w:rsidRDefault="0003693E">
            <w:pPr>
              <w:pStyle w:val="Normal1linespace"/>
              <w:widowControl w:val="0"/>
              <w:jc w:val="left"/>
            </w:pPr>
            <w:r w:rsidRPr="0003693E">
              <w:rPr>
                <w:i/>
              </w:rPr>
              <w:t xml:space="preserve">Sigma Pharmaceuticals (Australia) Pty Ltd v Wyeth </w:t>
            </w:r>
            <w:r>
              <w:t>(2009) 81 IPR 339</w:t>
            </w:r>
          </w:p>
          <w:p w:rsidR="00385998" w:rsidRDefault="00385998">
            <w:pPr>
              <w:pStyle w:val="Normal1linespace"/>
              <w:widowControl w:val="0"/>
              <w:jc w:val="left"/>
            </w:pPr>
            <w:r w:rsidRPr="00385998">
              <w:rPr>
                <w:i/>
              </w:rPr>
              <w:t>Sporte Leisure Pty Ltd v Paul’s International Pty Ltd (No 3)</w:t>
            </w:r>
            <w:r>
              <w:t xml:space="preserve"> (2010) </w:t>
            </w:r>
            <w:r w:rsidRPr="00385998">
              <w:t>88 IPR 242</w:t>
            </w:r>
          </w:p>
          <w:p w:rsidR="00C72302" w:rsidRDefault="00C72302">
            <w:pPr>
              <w:pStyle w:val="Normal1linespace"/>
              <w:widowControl w:val="0"/>
              <w:jc w:val="left"/>
            </w:pPr>
            <w:r>
              <w:rPr>
                <w:i/>
              </w:rPr>
              <w:t xml:space="preserve">Synthon BV v SmithKline Beecham plc </w:t>
            </w:r>
            <w:r>
              <w:t>(2006) RPC 333</w:t>
            </w:r>
          </w:p>
          <w:p w:rsidR="00E0450A" w:rsidRDefault="00E0450A">
            <w:pPr>
              <w:pStyle w:val="Normal1linespace"/>
              <w:widowControl w:val="0"/>
              <w:jc w:val="left"/>
            </w:pPr>
            <w:r w:rsidRPr="00E0450A">
              <w:rPr>
                <w:i/>
              </w:rPr>
              <w:t xml:space="preserve">Unilin Beeher BV v Huili Building Materials Pty Ltd (No 2) </w:t>
            </w:r>
            <w:r>
              <w:t>[2007] FCA 1615</w:t>
            </w:r>
          </w:p>
          <w:p w:rsidR="00FF23E4" w:rsidRDefault="00FF23E4">
            <w:pPr>
              <w:pStyle w:val="Normal1linespace"/>
              <w:widowControl w:val="0"/>
              <w:jc w:val="left"/>
            </w:pPr>
            <w:r w:rsidRPr="00FF23E4">
              <w:rPr>
                <w:i/>
              </w:rPr>
              <w:lastRenderedPageBreak/>
              <w:t>Varco Canada Limited v Pason S</w:t>
            </w:r>
            <w:r>
              <w:rPr>
                <w:i/>
              </w:rPr>
              <w:t>ys</w:t>
            </w:r>
            <w:r w:rsidRPr="00FF23E4">
              <w:rPr>
                <w:i/>
              </w:rPr>
              <w:t>tems Corp</w:t>
            </w:r>
            <w:r>
              <w:t xml:space="preserve"> 2013 FC 750</w:t>
            </w:r>
          </w:p>
          <w:p w:rsidR="00EA24D9" w:rsidRDefault="00EA24D9">
            <w:pPr>
              <w:pStyle w:val="Normal1linespace"/>
              <w:widowControl w:val="0"/>
              <w:jc w:val="left"/>
            </w:pPr>
            <w:r w:rsidRPr="00EA24D9">
              <w:rPr>
                <w:i/>
              </w:rPr>
              <w:t xml:space="preserve">WEA </w:t>
            </w:r>
            <w:r>
              <w:rPr>
                <w:i/>
              </w:rPr>
              <w:t>International Inc v Hanimex Corporation</w:t>
            </w:r>
            <w:r w:rsidRPr="00EA24D9">
              <w:rPr>
                <w:i/>
              </w:rPr>
              <w:t xml:space="preserve"> Ltd</w:t>
            </w:r>
            <w:r w:rsidRPr="00EA24D9">
              <w:t xml:space="preserve"> (1987) 17 FCR 274</w:t>
            </w:r>
          </w:p>
          <w:p w:rsidR="00606011" w:rsidRDefault="00820EAE">
            <w:pPr>
              <w:pStyle w:val="Normal1linespace"/>
              <w:widowControl w:val="0"/>
              <w:jc w:val="left"/>
            </w:pPr>
            <w:r w:rsidRPr="00820EAE">
              <w:rPr>
                <w:i/>
              </w:rPr>
              <w:t xml:space="preserve">Welcome Real-Time SA v Catuity Inc </w:t>
            </w:r>
            <w:r>
              <w:t xml:space="preserve">(2001) </w:t>
            </w:r>
            <w:r w:rsidRPr="00820EAE">
              <w:t>51 IPR 327</w:t>
            </w:r>
          </w:p>
          <w:p w:rsidR="007E194E" w:rsidRDefault="00606011">
            <w:pPr>
              <w:pStyle w:val="Normal1linespace"/>
              <w:widowControl w:val="0"/>
              <w:jc w:val="left"/>
            </w:pPr>
            <w:r w:rsidRPr="00606011">
              <w:rPr>
                <w:i/>
              </w:rPr>
              <w:t>Welch Perrin &amp; Co Pty Ltd v Worrel</w:t>
            </w:r>
            <w:r w:rsidRPr="00606011">
              <w:t xml:space="preserve"> (1961) 106 CLR 588</w:t>
            </w:r>
          </w:p>
          <w:p w:rsidR="00B772EE" w:rsidRDefault="0080501A">
            <w:pPr>
              <w:pStyle w:val="Normal1linespace"/>
              <w:widowControl w:val="0"/>
              <w:jc w:val="left"/>
            </w:pPr>
            <w:r>
              <w:rPr>
                <w:i/>
              </w:rPr>
              <w:t xml:space="preserve">Re </w:t>
            </w:r>
            <w:r w:rsidRPr="00B772EE">
              <w:rPr>
                <w:i/>
              </w:rPr>
              <w:t>Wheatley's Patent Application</w:t>
            </w:r>
            <w:r w:rsidRPr="00B772EE">
              <w:t xml:space="preserve"> </w:t>
            </w:r>
            <w:r w:rsidR="00B772EE" w:rsidRPr="00B772EE">
              <w:t>(1984) 2 IPR 450</w:t>
            </w:r>
          </w:p>
          <w:p w:rsidR="009B6429" w:rsidRDefault="009B6429">
            <w:pPr>
              <w:pStyle w:val="Normal1linespace"/>
              <w:widowControl w:val="0"/>
              <w:jc w:val="left"/>
            </w:pPr>
            <w:r w:rsidRPr="009B6429">
              <w:rPr>
                <w:i/>
              </w:rPr>
              <w:t xml:space="preserve">Windsurfing International Inc v Petit </w:t>
            </w:r>
            <w:r>
              <w:t xml:space="preserve">(1984) </w:t>
            </w:r>
            <w:r w:rsidRPr="009B6429">
              <w:t>3 IPR 449</w:t>
            </w:r>
          </w:p>
          <w:p w:rsidR="004751E9" w:rsidRDefault="007E194E">
            <w:pPr>
              <w:pStyle w:val="Normal1linespace"/>
              <w:widowControl w:val="0"/>
              <w:jc w:val="left"/>
            </w:pPr>
            <w:r w:rsidRPr="007E194E">
              <w:rPr>
                <w:i/>
              </w:rPr>
              <w:t xml:space="preserve">Zetco Pty Ltd v Austworld Commodities Pty Ltd (No 2) </w:t>
            </w:r>
            <w:r w:rsidRPr="007E194E">
              <w:t>[2011] FCA 848</w:t>
            </w:r>
            <w:r w:rsidR="00BE68F8">
              <w:t xml:space="preserve"> </w:t>
            </w:r>
            <w:bookmarkEnd w:id="4"/>
          </w:p>
        </w:tc>
      </w:tr>
      <w:tr w:rsidR="00804FF8" w:rsidTr="00AA6AFE">
        <w:tc>
          <w:tcPr>
            <w:tcW w:w="3085" w:type="dxa"/>
            <w:shd w:val="clear" w:color="auto" w:fill="auto"/>
          </w:tcPr>
          <w:p w:rsidR="00804FF8" w:rsidRDefault="00804FF8">
            <w:pPr>
              <w:pStyle w:val="Normal1linespace"/>
              <w:widowControl w:val="0"/>
            </w:pPr>
          </w:p>
        </w:tc>
        <w:tc>
          <w:tcPr>
            <w:tcW w:w="5989" w:type="dxa"/>
            <w:shd w:val="clear" w:color="auto" w:fill="auto"/>
          </w:tcPr>
          <w:p w:rsidR="00804FF8" w:rsidRPr="003C3AC7" w:rsidRDefault="00804FF8">
            <w:pPr>
              <w:pStyle w:val="Normal1linespace"/>
              <w:widowControl w:val="0"/>
              <w:jc w:val="left"/>
              <w:rPr>
                <w:i/>
              </w:rPr>
            </w:pPr>
          </w:p>
        </w:tc>
      </w:tr>
      <w:tr w:rsidR="00804FF8" w:rsidTr="00AA6AFE">
        <w:tc>
          <w:tcPr>
            <w:tcW w:w="3085" w:type="dxa"/>
            <w:shd w:val="clear" w:color="auto" w:fill="auto"/>
          </w:tcPr>
          <w:p w:rsidR="00804FF8" w:rsidRDefault="00804FF8">
            <w:pPr>
              <w:pStyle w:val="Normal1linespace"/>
              <w:widowControl w:val="0"/>
            </w:pPr>
            <w:r>
              <w:t>Other reference material:</w:t>
            </w:r>
          </w:p>
        </w:tc>
        <w:tc>
          <w:tcPr>
            <w:tcW w:w="5989" w:type="dxa"/>
            <w:shd w:val="clear" w:color="auto" w:fill="auto"/>
          </w:tcPr>
          <w:p w:rsidR="00804FF8" w:rsidRPr="00804FF8" w:rsidRDefault="00701A91">
            <w:pPr>
              <w:pStyle w:val="Normal1linespace"/>
              <w:widowControl w:val="0"/>
              <w:jc w:val="left"/>
            </w:pPr>
            <w:r w:rsidRPr="00701A91">
              <w:t xml:space="preserve">Skopec RA, Mann MM, Jeffers D, Grier SP, “Horizontal Core Acquisition and Orientation for Formation Evaluation” (1992) 7(1) </w:t>
            </w:r>
            <w:r w:rsidRPr="00701A91">
              <w:rPr>
                <w:i/>
              </w:rPr>
              <w:t>Society of Petroleum Engineers Drilling Engineering</w:t>
            </w:r>
            <w:r w:rsidRPr="00701A91">
              <w:t xml:space="preserve"> 47</w:t>
            </w:r>
          </w:p>
        </w:tc>
      </w:tr>
      <w:tr w:rsidR="00AA6AFE" w:rsidRPr="00AA6AFE" w:rsidTr="00AA6AFE">
        <w:tblPrEx>
          <w:tblCellSpacing w:w="8" w:type="dxa"/>
        </w:tblPrEx>
        <w:trPr>
          <w:tblCellSpacing w:w="8" w:type="dxa"/>
        </w:trPr>
        <w:tc>
          <w:tcPr>
            <w:tcW w:w="3085" w:type="dxa"/>
            <w:shd w:val="clear" w:color="auto" w:fill="auto"/>
          </w:tcPr>
          <w:p w:rsidR="00AA6AFE" w:rsidRPr="00AA6AFE" w:rsidRDefault="00AA6AFE" w:rsidP="00AA6AFE">
            <w:pPr>
              <w:pStyle w:val="Normal1linespace"/>
              <w:jc w:val="left"/>
            </w:pPr>
          </w:p>
        </w:tc>
        <w:tc>
          <w:tcPr>
            <w:tcW w:w="5989" w:type="dxa"/>
            <w:shd w:val="clear" w:color="auto" w:fill="auto"/>
          </w:tcPr>
          <w:p w:rsidR="00AA6AFE" w:rsidRPr="00AA6AFE" w:rsidRDefault="00AA6AFE" w:rsidP="00AA6AFE">
            <w:pPr>
              <w:pStyle w:val="Normal1linespace"/>
              <w:jc w:val="left"/>
            </w:pPr>
          </w:p>
        </w:tc>
      </w:tr>
      <w:tr w:rsidR="00AA6AFE" w:rsidRPr="00AA6AFE" w:rsidTr="00AA6AFE">
        <w:tblPrEx>
          <w:tblCellSpacing w:w="8" w:type="dxa"/>
        </w:tblPrEx>
        <w:trPr>
          <w:tblCellSpacing w:w="8" w:type="dxa"/>
        </w:trPr>
        <w:tc>
          <w:tcPr>
            <w:tcW w:w="3085" w:type="dxa"/>
            <w:shd w:val="clear" w:color="auto" w:fill="auto"/>
          </w:tcPr>
          <w:p w:rsidR="00AA6AFE" w:rsidRPr="00AA6AFE" w:rsidRDefault="00AA6AFE" w:rsidP="00AA6AFE">
            <w:pPr>
              <w:pStyle w:val="Normal1linespace"/>
              <w:jc w:val="left"/>
            </w:pPr>
            <w:bookmarkStart w:id="5" w:name="CounselDate"/>
            <w:r w:rsidRPr="00AA6AFE">
              <w:t>Date</w:t>
            </w:r>
            <w:r w:rsidR="006A4E8A">
              <w:t>s</w:t>
            </w:r>
            <w:r w:rsidRPr="00AA6AFE">
              <w:t xml:space="preserve"> of hearing:</w:t>
            </w:r>
          </w:p>
        </w:tc>
        <w:tc>
          <w:tcPr>
            <w:tcW w:w="5989" w:type="dxa"/>
            <w:shd w:val="clear" w:color="auto" w:fill="auto"/>
          </w:tcPr>
          <w:p w:rsidR="00AA6AFE" w:rsidRPr="00AA6AFE" w:rsidRDefault="003520E7" w:rsidP="00AA6AFE">
            <w:pPr>
              <w:pStyle w:val="Normal1linespace"/>
              <w:jc w:val="left"/>
            </w:pPr>
            <w:r>
              <w:t>14, 15, 16, 17, 22, 23, 24, 28, 29 and 30 April 2014, 1 and 2 May 2014, 14, 15, 21, 23 and 24 July 2014</w:t>
            </w:r>
          </w:p>
        </w:tc>
      </w:tr>
      <w:tr w:rsidR="00AA6AFE" w:rsidRPr="00AA6AFE" w:rsidTr="00AA6AFE">
        <w:tblPrEx>
          <w:tblCellSpacing w:w="8" w:type="dxa"/>
        </w:tblPrEx>
        <w:trPr>
          <w:tblCellSpacing w:w="8" w:type="dxa"/>
        </w:trPr>
        <w:tc>
          <w:tcPr>
            <w:tcW w:w="3085" w:type="dxa"/>
            <w:shd w:val="clear" w:color="auto" w:fill="auto"/>
          </w:tcPr>
          <w:p w:rsidR="00AA6AFE" w:rsidRPr="00AA6AFE" w:rsidRDefault="00AA6AFE" w:rsidP="00AA6AFE">
            <w:pPr>
              <w:pStyle w:val="Normal1linespace"/>
              <w:jc w:val="left"/>
            </w:pPr>
          </w:p>
        </w:tc>
        <w:tc>
          <w:tcPr>
            <w:tcW w:w="5989" w:type="dxa"/>
            <w:shd w:val="clear" w:color="auto" w:fill="auto"/>
          </w:tcPr>
          <w:p w:rsidR="00AA6AFE" w:rsidRPr="00AA6AFE" w:rsidRDefault="00AA6AFE" w:rsidP="00AA6AFE">
            <w:pPr>
              <w:pStyle w:val="Normal1linespace"/>
              <w:jc w:val="left"/>
            </w:pPr>
          </w:p>
        </w:tc>
      </w:tr>
      <w:bookmarkEnd w:id="5"/>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r w:rsidRPr="00E23089">
              <w:t>Place:</w:t>
            </w:r>
          </w:p>
        </w:tc>
        <w:tc>
          <w:tcPr>
            <w:tcW w:w="5989" w:type="dxa"/>
            <w:shd w:val="clear" w:color="auto" w:fill="auto"/>
          </w:tcPr>
          <w:p w:rsidR="00AA6AFE" w:rsidRPr="00E23089" w:rsidRDefault="0038403B" w:rsidP="00AA6AFE">
            <w:pPr>
              <w:pStyle w:val="Normal1linespace"/>
              <w:widowControl w:val="0"/>
              <w:jc w:val="left"/>
            </w:pPr>
            <w:r>
              <w:fldChar w:fldCharType="begin"/>
            </w:r>
            <w:r>
              <w:instrText xml:space="preserve"> DOCVARIABLE  Place_SentenceCase  \* MERGEFORMAT </w:instrText>
            </w:r>
            <w:r>
              <w:fldChar w:fldCharType="separate"/>
            </w:r>
            <w:r w:rsidR="00AA6AFE" w:rsidRPr="00E23089">
              <w:t>Perth</w:t>
            </w:r>
            <w:r>
              <w:fldChar w:fldCharType="end"/>
            </w: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p>
        </w:tc>
        <w:tc>
          <w:tcPr>
            <w:tcW w:w="5989" w:type="dxa"/>
            <w:shd w:val="clear" w:color="auto" w:fill="auto"/>
          </w:tcPr>
          <w:p w:rsidR="00AA6AFE" w:rsidRPr="00E23089" w:rsidRDefault="00AA6AFE" w:rsidP="00AA6AFE">
            <w:pPr>
              <w:pStyle w:val="Normal1linespace"/>
              <w:widowControl w:val="0"/>
              <w:jc w:val="left"/>
            </w:pP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r w:rsidRPr="00E23089">
              <w:t>Division:</w:t>
            </w:r>
          </w:p>
        </w:tc>
        <w:tc>
          <w:tcPr>
            <w:tcW w:w="5989" w:type="dxa"/>
            <w:shd w:val="clear" w:color="auto" w:fill="auto"/>
          </w:tcPr>
          <w:p w:rsidR="00AA6AFE" w:rsidRPr="00E23089" w:rsidRDefault="0038403B" w:rsidP="00AA6AFE">
            <w:pPr>
              <w:pStyle w:val="Normal1linespace"/>
              <w:widowControl w:val="0"/>
              <w:jc w:val="left"/>
            </w:pPr>
            <w:r>
              <w:fldChar w:fldCharType="begin"/>
            </w:r>
            <w:r>
              <w:instrText xml:space="preserve"> REF  Division  \* MERGEFORMAT </w:instrText>
            </w:r>
            <w:r>
              <w:fldChar w:fldCharType="separate"/>
            </w:r>
            <w:r w:rsidR="00312998" w:rsidRPr="00312998">
              <w:t>GENERAL</w:t>
            </w:r>
            <w:r w:rsidR="00312998">
              <w:rPr>
                <w:caps/>
                <w:szCs w:val="24"/>
              </w:rPr>
              <w:t xml:space="preserve"> DIVISION</w:t>
            </w:r>
            <w:r>
              <w:rPr>
                <w:caps/>
                <w:szCs w:val="24"/>
              </w:rPr>
              <w:fldChar w:fldCharType="end"/>
            </w: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p>
        </w:tc>
        <w:tc>
          <w:tcPr>
            <w:tcW w:w="5989" w:type="dxa"/>
            <w:shd w:val="clear" w:color="auto" w:fill="auto"/>
          </w:tcPr>
          <w:p w:rsidR="00AA6AFE" w:rsidRPr="00E23089" w:rsidRDefault="00AA6AFE" w:rsidP="00AA6AFE">
            <w:pPr>
              <w:pStyle w:val="Normal1linespace"/>
              <w:widowControl w:val="0"/>
              <w:jc w:val="left"/>
            </w:pP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r w:rsidRPr="00E23089">
              <w:t>Category:</w:t>
            </w:r>
          </w:p>
        </w:tc>
        <w:tc>
          <w:tcPr>
            <w:tcW w:w="5989" w:type="dxa"/>
            <w:shd w:val="clear" w:color="auto" w:fill="auto"/>
          </w:tcPr>
          <w:p w:rsidR="00AA6AFE" w:rsidRPr="00E23089" w:rsidRDefault="00E23089" w:rsidP="00AA6AFE">
            <w:pPr>
              <w:pStyle w:val="Normal1linespace"/>
              <w:widowControl w:val="0"/>
              <w:jc w:val="left"/>
            </w:pPr>
            <w:r>
              <w:t>Catchwords</w:t>
            </w: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p>
        </w:tc>
        <w:tc>
          <w:tcPr>
            <w:tcW w:w="5989" w:type="dxa"/>
            <w:shd w:val="clear" w:color="auto" w:fill="auto"/>
          </w:tcPr>
          <w:p w:rsidR="00AA6AFE" w:rsidRPr="00E23089" w:rsidRDefault="00AA6AFE" w:rsidP="00AA6AFE">
            <w:pPr>
              <w:pStyle w:val="Normal1linespace"/>
              <w:widowControl w:val="0"/>
              <w:jc w:val="left"/>
            </w:pP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r w:rsidRPr="00E23089">
              <w:t>Number of paragraphs:</w:t>
            </w:r>
          </w:p>
        </w:tc>
        <w:tc>
          <w:tcPr>
            <w:tcW w:w="5989" w:type="dxa"/>
            <w:shd w:val="clear" w:color="auto" w:fill="auto"/>
          </w:tcPr>
          <w:p w:rsidR="00AA6AFE" w:rsidRPr="00E23089" w:rsidRDefault="006A6DB4" w:rsidP="00AA6AFE">
            <w:pPr>
              <w:pStyle w:val="Normal1linespace"/>
              <w:widowControl w:val="0"/>
              <w:jc w:val="left"/>
            </w:pPr>
            <w:r>
              <w:t>772</w:t>
            </w: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p>
        </w:tc>
        <w:tc>
          <w:tcPr>
            <w:tcW w:w="5989" w:type="dxa"/>
            <w:shd w:val="clear" w:color="auto" w:fill="auto"/>
          </w:tcPr>
          <w:p w:rsidR="00AA6AFE" w:rsidRPr="00E23089" w:rsidRDefault="00AA6AFE" w:rsidP="00AA6AFE">
            <w:pPr>
              <w:pStyle w:val="Normal1linespace"/>
              <w:widowControl w:val="0"/>
              <w:jc w:val="left"/>
            </w:pP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bookmarkStart w:id="6" w:name="Counsel"/>
            <w:r w:rsidRPr="00E23089">
              <w:t>Counsel for the Applicants</w:t>
            </w:r>
            <w:r w:rsidR="0092017C">
              <w:t>/Cross Respondents</w:t>
            </w:r>
            <w:r w:rsidRPr="00E23089">
              <w:t>:</w:t>
            </w:r>
          </w:p>
        </w:tc>
        <w:tc>
          <w:tcPr>
            <w:tcW w:w="5989" w:type="dxa"/>
            <w:shd w:val="clear" w:color="auto" w:fill="auto"/>
          </w:tcPr>
          <w:p w:rsidR="00AA6AFE" w:rsidRPr="00E23089" w:rsidRDefault="00AA6AFE" w:rsidP="00AA6AFE">
            <w:pPr>
              <w:pStyle w:val="Normal1linespace"/>
              <w:widowControl w:val="0"/>
              <w:jc w:val="left"/>
            </w:pPr>
            <w:bookmarkStart w:id="7" w:name="AppCounsel"/>
            <w:bookmarkEnd w:id="7"/>
            <w:r w:rsidRPr="00E23089">
              <w:t xml:space="preserve">Mr JM Hennessey SC with Mr </w:t>
            </w:r>
            <w:r w:rsidR="00413927">
              <w:t>C</w:t>
            </w:r>
            <w:r w:rsidRPr="00E23089">
              <w:t xml:space="preserve"> Dimitriadis</w:t>
            </w: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p>
        </w:tc>
        <w:tc>
          <w:tcPr>
            <w:tcW w:w="5989" w:type="dxa"/>
            <w:shd w:val="clear" w:color="auto" w:fill="auto"/>
          </w:tcPr>
          <w:p w:rsidR="00AA6AFE" w:rsidRPr="00E23089" w:rsidRDefault="00AA6AFE" w:rsidP="00AA6AFE">
            <w:pPr>
              <w:pStyle w:val="Normal1linespace"/>
              <w:widowControl w:val="0"/>
              <w:jc w:val="left"/>
            </w:pP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r w:rsidRPr="00E23089">
              <w:t>Solicitor for the Applicants</w:t>
            </w:r>
            <w:r w:rsidR="0092017C">
              <w:t>/Cross-Respondents</w:t>
            </w:r>
            <w:r w:rsidRPr="00E23089">
              <w:t>:</w:t>
            </w:r>
          </w:p>
        </w:tc>
        <w:tc>
          <w:tcPr>
            <w:tcW w:w="5989" w:type="dxa"/>
            <w:shd w:val="clear" w:color="auto" w:fill="auto"/>
          </w:tcPr>
          <w:p w:rsidR="00AA6AFE" w:rsidRPr="00E23089" w:rsidRDefault="00AA6AFE" w:rsidP="00AA6AFE">
            <w:pPr>
              <w:pStyle w:val="Normal1linespace"/>
              <w:widowControl w:val="0"/>
              <w:jc w:val="left"/>
            </w:pPr>
            <w:r w:rsidRPr="00E23089">
              <w:t>Gilbert + Tobin</w:t>
            </w: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p>
        </w:tc>
        <w:tc>
          <w:tcPr>
            <w:tcW w:w="5989" w:type="dxa"/>
            <w:shd w:val="clear" w:color="auto" w:fill="auto"/>
          </w:tcPr>
          <w:p w:rsidR="00AA6AFE" w:rsidRPr="00E23089" w:rsidRDefault="00AA6AFE" w:rsidP="00AA6AFE">
            <w:pPr>
              <w:pStyle w:val="Normal1linespace"/>
              <w:widowControl w:val="0"/>
              <w:jc w:val="left"/>
            </w:pP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r w:rsidRPr="00E23089">
              <w:t>Counsel for the Respondents</w:t>
            </w:r>
            <w:r w:rsidR="0092017C">
              <w:t>/Cross-Claimant</w:t>
            </w:r>
            <w:r w:rsidRPr="00E23089">
              <w:t>:</w:t>
            </w:r>
          </w:p>
        </w:tc>
        <w:tc>
          <w:tcPr>
            <w:tcW w:w="5989" w:type="dxa"/>
            <w:shd w:val="clear" w:color="auto" w:fill="auto"/>
          </w:tcPr>
          <w:p w:rsidR="00AA6AFE" w:rsidRPr="00E23089" w:rsidRDefault="00AA6AFE" w:rsidP="00AA6AFE">
            <w:pPr>
              <w:pStyle w:val="Normal1linespace"/>
              <w:widowControl w:val="0"/>
              <w:jc w:val="left"/>
            </w:pPr>
            <w:r w:rsidRPr="00E23089">
              <w:t>Mr B</w:t>
            </w:r>
            <w:r w:rsidR="003520E7">
              <w:t>J</w:t>
            </w:r>
            <w:r w:rsidRPr="00E23089">
              <w:t xml:space="preserve"> Hess QC and Dr L</w:t>
            </w:r>
            <w:r w:rsidR="003520E7">
              <w:t>J</w:t>
            </w:r>
            <w:r w:rsidRPr="00E23089">
              <w:t xml:space="preserve"> Duncan</w:t>
            </w: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p>
        </w:tc>
        <w:tc>
          <w:tcPr>
            <w:tcW w:w="5989" w:type="dxa"/>
            <w:shd w:val="clear" w:color="auto" w:fill="auto"/>
          </w:tcPr>
          <w:p w:rsidR="00AA6AFE" w:rsidRPr="00E23089" w:rsidRDefault="00AA6AFE" w:rsidP="00AA6AFE">
            <w:pPr>
              <w:pStyle w:val="Normal1linespace"/>
              <w:widowControl w:val="0"/>
              <w:jc w:val="left"/>
            </w:pPr>
          </w:p>
        </w:tc>
      </w:tr>
      <w:tr w:rsidR="00AA6AFE" w:rsidRPr="00E23089" w:rsidTr="00AA6AFE">
        <w:tblPrEx>
          <w:tblCellSpacing w:w="8" w:type="dxa"/>
        </w:tblPrEx>
        <w:trPr>
          <w:tblCellSpacing w:w="8" w:type="dxa"/>
        </w:trPr>
        <w:tc>
          <w:tcPr>
            <w:tcW w:w="3085" w:type="dxa"/>
            <w:shd w:val="clear" w:color="auto" w:fill="auto"/>
          </w:tcPr>
          <w:p w:rsidR="00AA6AFE" w:rsidRPr="00E23089" w:rsidRDefault="00AA6AFE" w:rsidP="00AA6AFE">
            <w:pPr>
              <w:pStyle w:val="Normal1linespace"/>
              <w:widowControl w:val="0"/>
              <w:jc w:val="left"/>
            </w:pPr>
            <w:r w:rsidRPr="00E23089">
              <w:t>Solicitor for the Respondents</w:t>
            </w:r>
            <w:r w:rsidR="0092017C">
              <w:t>/Cross- Claimant</w:t>
            </w:r>
            <w:r w:rsidRPr="00E23089">
              <w:t>:</w:t>
            </w:r>
          </w:p>
        </w:tc>
        <w:tc>
          <w:tcPr>
            <w:tcW w:w="5989" w:type="dxa"/>
            <w:shd w:val="clear" w:color="auto" w:fill="auto"/>
          </w:tcPr>
          <w:p w:rsidR="00AA6AFE" w:rsidRPr="00E23089" w:rsidRDefault="00AA6AFE" w:rsidP="00AA6AFE">
            <w:pPr>
              <w:pStyle w:val="Normal1linespace"/>
              <w:widowControl w:val="0"/>
              <w:jc w:val="left"/>
            </w:pPr>
            <w:r w:rsidRPr="00E23089">
              <w:t>Arns &amp; Associates</w:t>
            </w:r>
          </w:p>
        </w:tc>
      </w:tr>
      <w:bookmarkEnd w:id="6"/>
    </w:tbl>
    <w:p w:rsidR="004751E9" w:rsidRDefault="004751E9">
      <w:pPr>
        <w:pStyle w:val="Normal1linespace"/>
      </w:pPr>
    </w:p>
    <w:p w:rsidR="004751E9" w:rsidRDefault="004751E9">
      <w:pPr>
        <w:pStyle w:val="Normal1linespace"/>
      </w:pPr>
    </w:p>
    <w:p w:rsidR="004751E9" w:rsidRDefault="004751E9">
      <w:pPr>
        <w:pStyle w:val="Normal1linespace"/>
        <w:sectPr w:rsidR="004751E9">
          <w:headerReference w:type="default" r:id="rId9"/>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4751E9">
        <w:tc>
          <w:tcPr>
            <w:tcW w:w="6771" w:type="dxa"/>
          </w:tcPr>
          <w:p w:rsidR="004751E9" w:rsidRDefault="005F5DF9">
            <w:pPr>
              <w:pStyle w:val="NormalHeadings"/>
              <w:spacing w:after="120"/>
              <w:jc w:val="left"/>
              <w:rPr>
                <w:caps/>
                <w:szCs w:val="24"/>
              </w:rPr>
            </w:pPr>
            <w:r>
              <w:rPr>
                <w:caps/>
                <w:szCs w:val="24"/>
              </w:rPr>
              <w:lastRenderedPageBreak/>
              <w:t>IN THE FEDERAL COURT OF AUSTRALIA</w:t>
            </w:r>
          </w:p>
        </w:tc>
        <w:tc>
          <w:tcPr>
            <w:tcW w:w="2471" w:type="dxa"/>
          </w:tcPr>
          <w:p w:rsidR="004751E9" w:rsidRDefault="004751E9">
            <w:pPr>
              <w:pStyle w:val="NormalHeadings"/>
              <w:jc w:val="left"/>
              <w:rPr>
                <w:caps/>
                <w:szCs w:val="24"/>
              </w:rPr>
            </w:pPr>
          </w:p>
        </w:tc>
      </w:tr>
      <w:tr w:rsidR="004751E9">
        <w:tc>
          <w:tcPr>
            <w:tcW w:w="6771" w:type="dxa"/>
          </w:tcPr>
          <w:p w:rsidR="004751E9" w:rsidRDefault="00BA4741">
            <w:pPr>
              <w:pStyle w:val="NormalHeadings"/>
              <w:spacing w:after="120"/>
              <w:jc w:val="left"/>
              <w:rPr>
                <w:caps/>
                <w:szCs w:val="24"/>
              </w:rPr>
            </w:pPr>
            <w:r>
              <w:rPr>
                <w:caps/>
                <w:szCs w:val="24"/>
              </w:rPr>
              <w:t>new south wales</w:t>
            </w:r>
            <w:r w:rsidR="005F5DF9">
              <w:rPr>
                <w:caps/>
                <w:szCs w:val="24"/>
              </w:rPr>
              <w:t xml:space="preserve"> DISTRICT REGISTRY</w:t>
            </w:r>
          </w:p>
        </w:tc>
        <w:tc>
          <w:tcPr>
            <w:tcW w:w="2471" w:type="dxa"/>
          </w:tcPr>
          <w:p w:rsidR="004751E9" w:rsidRDefault="004751E9">
            <w:pPr>
              <w:pStyle w:val="NormalHeadings"/>
              <w:tabs>
                <w:tab w:val="right" w:pos="3609"/>
              </w:tabs>
              <w:jc w:val="right"/>
              <w:rPr>
                <w:szCs w:val="24"/>
              </w:rPr>
            </w:pPr>
          </w:p>
        </w:tc>
      </w:tr>
      <w:tr w:rsidR="004751E9">
        <w:tc>
          <w:tcPr>
            <w:tcW w:w="6771" w:type="dxa"/>
          </w:tcPr>
          <w:p w:rsidR="004751E9" w:rsidRDefault="00A666E2">
            <w:pPr>
              <w:pStyle w:val="NormalHeadings"/>
              <w:spacing w:after="120"/>
              <w:jc w:val="left"/>
              <w:rPr>
                <w:caps/>
                <w:szCs w:val="24"/>
              </w:rPr>
            </w:pPr>
            <w:bookmarkStart w:id="8" w:name="Division"/>
            <w:r>
              <w:rPr>
                <w:caps/>
                <w:szCs w:val="24"/>
              </w:rPr>
              <w:t>GENERAL DIVISION</w:t>
            </w:r>
            <w:bookmarkEnd w:id="8"/>
          </w:p>
        </w:tc>
        <w:tc>
          <w:tcPr>
            <w:tcW w:w="2471" w:type="dxa"/>
          </w:tcPr>
          <w:p w:rsidR="004751E9" w:rsidRDefault="00A666E2">
            <w:pPr>
              <w:pStyle w:val="NormalHeadings"/>
              <w:tabs>
                <w:tab w:val="right" w:pos="3609"/>
              </w:tabs>
              <w:jc w:val="right"/>
              <w:rPr>
                <w:szCs w:val="24"/>
              </w:rPr>
            </w:pPr>
            <w:bookmarkStart w:id="9" w:name="Num"/>
            <w:r>
              <w:rPr>
                <w:szCs w:val="24"/>
              </w:rPr>
              <w:t>NSD 2082 of 2011</w:t>
            </w:r>
            <w:bookmarkEnd w:id="9"/>
          </w:p>
        </w:tc>
      </w:tr>
    </w:tbl>
    <w:p w:rsidR="004751E9" w:rsidRPr="00A666E2" w:rsidRDefault="005F5DF9">
      <w:pPr>
        <w:pStyle w:val="AppealTable"/>
        <w:rPr>
          <w:sz w:val="24"/>
        </w:rPr>
      </w:pPr>
      <w:bookmarkStart w:id="10" w:name="AppealTable"/>
      <w:r w:rsidRPr="00A666E2">
        <w:rPr>
          <w:sz w:val="24"/>
        </w:rPr>
        <w:t xml:space="preserve"> </w:t>
      </w:r>
      <w:bookmarkEnd w:id="10"/>
    </w:p>
    <w:tbl>
      <w:tblPr>
        <w:tblW w:w="0" w:type="auto"/>
        <w:tblLayout w:type="fixed"/>
        <w:tblLook w:val="0000" w:firstRow="0" w:lastRow="0" w:firstColumn="0" w:lastColumn="0" w:noHBand="0" w:noVBand="0"/>
      </w:tblPr>
      <w:tblGrid>
        <w:gridCol w:w="2376"/>
        <w:gridCol w:w="6866"/>
      </w:tblGrid>
      <w:tr w:rsidR="004751E9">
        <w:trPr>
          <w:trHeight w:val="386"/>
        </w:trPr>
        <w:tc>
          <w:tcPr>
            <w:tcW w:w="2376" w:type="dxa"/>
          </w:tcPr>
          <w:p w:rsidR="004751E9" w:rsidRDefault="005F5DF9">
            <w:pPr>
              <w:pStyle w:val="NormalHeadings"/>
              <w:jc w:val="left"/>
              <w:rPr>
                <w:caps/>
                <w:szCs w:val="24"/>
              </w:rPr>
            </w:pPr>
            <w:bookmarkStart w:id="11" w:name="Parties"/>
            <w:r>
              <w:rPr>
                <w:caps/>
                <w:szCs w:val="24"/>
              </w:rPr>
              <w:t>BETWEEN:</w:t>
            </w:r>
          </w:p>
        </w:tc>
        <w:tc>
          <w:tcPr>
            <w:tcW w:w="6866" w:type="dxa"/>
          </w:tcPr>
          <w:p w:rsidR="00A666E2" w:rsidRDefault="00A666E2">
            <w:pPr>
              <w:pStyle w:val="NormalHeadings"/>
              <w:jc w:val="left"/>
              <w:rPr>
                <w:szCs w:val="24"/>
              </w:rPr>
            </w:pPr>
            <w:bookmarkStart w:id="12" w:name="Applicant"/>
            <w:r>
              <w:rPr>
                <w:szCs w:val="24"/>
              </w:rPr>
              <w:t xml:space="preserve">AUSTRALIAN MUD </w:t>
            </w:r>
            <w:r w:rsidR="00423E34">
              <w:rPr>
                <w:szCs w:val="24"/>
              </w:rPr>
              <w:t>COMPANY</w:t>
            </w:r>
            <w:r>
              <w:rPr>
                <w:szCs w:val="24"/>
              </w:rPr>
              <w:t xml:space="preserve"> PTY LTD ACN 009 283 416</w:t>
            </w:r>
          </w:p>
          <w:p w:rsidR="00A666E2" w:rsidRDefault="00A666E2">
            <w:pPr>
              <w:pStyle w:val="NormalHeadings"/>
              <w:jc w:val="left"/>
              <w:rPr>
                <w:szCs w:val="24"/>
              </w:rPr>
            </w:pPr>
            <w:r>
              <w:rPr>
                <w:szCs w:val="24"/>
              </w:rPr>
              <w:t xml:space="preserve">First </w:t>
            </w:r>
            <w:r w:rsidR="001B41B0">
              <w:rPr>
                <w:szCs w:val="24"/>
              </w:rPr>
              <w:t>A</w:t>
            </w:r>
            <w:r w:rsidR="00E23CBE">
              <w:rPr>
                <w:szCs w:val="24"/>
              </w:rPr>
              <w:t>pplicant</w:t>
            </w:r>
            <w:r w:rsidR="001B41B0">
              <w:rPr>
                <w:szCs w:val="24"/>
              </w:rPr>
              <w:t>/First Cross-Respondent</w:t>
            </w:r>
          </w:p>
          <w:p w:rsidR="00A666E2" w:rsidRDefault="00A666E2">
            <w:pPr>
              <w:pStyle w:val="NormalHeadings"/>
              <w:jc w:val="left"/>
              <w:rPr>
                <w:szCs w:val="24"/>
              </w:rPr>
            </w:pPr>
          </w:p>
          <w:p w:rsidR="00A666E2" w:rsidRDefault="00A666E2">
            <w:pPr>
              <w:pStyle w:val="NormalHeadings"/>
              <w:jc w:val="left"/>
              <w:rPr>
                <w:szCs w:val="24"/>
              </w:rPr>
            </w:pPr>
            <w:r>
              <w:rPr>
                <w:szCs w:val="24"/>
              </w:rPr>
              <w:t xml:space="preserve">REFLEX INSTRUMENTS ASIA PACIFIC PTY LTD </w:t>
            </w:r>
            <w:r w:rsidR="007D7390">
              <w:rPr>
                <w:szCs w:val="24"/>
              </w:rPr>
              <w:br/>
            </w:r>
            <w:r>
              <w:rPr>
                <w:szCs w:val="24"/>
              </w:rPr>
              <w:t>ACN 124 204 191</w:t>
            </w:r>
          </w:p>
          <w:p w:rsidR="00A666E2" w:rsidRDefault="00A666E2">
            <w:pPr>
              <w:pStyle w:val="NormalHeadings"/>
              <w:jc w:val="left"/>
              <w:rPr>
                <w:szCs w:val="24"/>
              </w:rPr>
            </w:pPr>
            <w:r>
              <w:rPr>
                <w:szCs w:val="24"/>
              </w:rPr>
              <w:t xml:space="preserve">Second </w:t>
            </w:r>
            <w:r w:rsidR="001B41B0">
              <w:rPr>
                <w:szCs w:val="24"/>
              </w:rPr>
              <w:t>A</w:t>
            </w:r>
            <w:r w:rsidR="00E23CBE">
              <w:rPr>
                <w:szCs w:val="24"/>
              </w:rPr>
              <w:t>pplicant</w:t>
            </w:r>
            <w:r w:rsidR="001B41B0">
              <w:rPr>
                <w:szCs w:val="24"/>
              </w:rPr>
              <w:t>/Second Cross-Respondent</w:t>
            </w:r>
          </w:p>
          <w:bookmarkEnd w:id="12"/>
          <w:p w:rsidR="004751E9" w:rsidRDefault="004751E9">
            <w:pPr>
              <w:pStyle w:val="NormalHeadings"/>
              <w:jc w:val="left"/>
              <w:rPr>
                <w:szCs w:val="24"/>
              </w:rPr>
            </w:pPr>
          </w:p>
        </w:tc>
      </w:tr>
      <w:tr w:rsidR="004751E9">
        <w:trPr>
          <w:trHeight w:val="386"/>
        </w:trPr>
        <w:tc>
          <w:tcPr>
            <w:tcW w:w="2376" w:type="dxa"/>
          </w:tcPr>
          <w:p w:rsidR="004751E9" w:rsidRDefault="005F5DF9">
            <w:pPr>
              <w:pStyle w:val="NormalHeadings"/>
              <w:jc w:val="left"/>
              <w:rPr>
                <w:caps/>
                <w:szCs w:val="24"/>
              </w:rPr>
            </w:pPr>
            <w:r>
              <w:rPr>
                <w:caps/>
                <w:szCs w:val="24"/>
              </w:rPr>
              <w:t>AND:</w:t>
            </w:r>
          </w:p>
        </w:tc>
        <w:tc>
          <w:tcPr>
            <w:tcW w:w="6866" w:type="dxa"/>
          </w:tcPr>
          <w:p w:rsidR="00A666E2" w:rsidRDefault="00A666E2">
            <w:pPr>
              <w:pStyle w:val="NormalHeadings"/>
              <w:jc w:val="left"/>
              <w:rPr>
                <w:szCs w:val="24"/>
              </w:rPr>
            </w:pPr>
            <w:bookmarkStart w:id="13" w:name="Respondent"/>
            <w:r>
              <w:rPr>
                <w:szCs w:val="24"/>
              </w:rPr>
              <w:t>CORETELL PTY LTD ACN 119 188 493</w:t>
            </w:r>
          </w:p>
          <w:p w:rsidR="00A666E2" w:rsidRDefault="00A666E2">
            <w:pPr>
              <w:pStyle w:val="NormalHeadings"/>
              <w:jc w:val="left"/>
              <w:rPr>
                <w:szCs w:val="24"/>
              </w:rPr>
            </w:pPr>
            <w:r>
              <w:rPr>
                <w:szCs w:val="24"/>
              </w:rPr>
              <w:t>First Respondent</w:t>
            </w:r>
            <w:r w:rsidR="001B41B0">
              <w:rPr>
                <w:szCs w:val="24"/>
              </w:rPr>
              <w:t>/Cross-Claimant</w:t>
            </w:r>
          </w:p>
          <w:p w:rsidR="00A666E2" w:rsidRDefault="00A666E2">
            <w:pPr>
              <w:pStyle w:val="NormalHeadings"/>
              <w:jc w:val="left"/>
              <w:rPr>
                <w:szCs w:val="24"/>
              </w:rPr>
            </w:pPr>
          </w:p>
          <w:p w:rsidR="00A666E2" w:rsidRDefault="00A666E2">
            <w:pPr>
              <w:pStyle w:val="NormalHeadings"/>
              <w:jc w:val="left"/>
              <w:rPr>
                <w:szCs w:val="24"/>
              </w:rPr>
            </w:pPr>
            <w:r>
              <w:rPr>
                <w:szCs w:val="24"/>
              </w:rPr>
              <w:t xml:space="preserve">MINCREST HOLDINGS PTY LTD ACN 068 672 471 (TRADING AS </w:t>
            </w:r>
            <w:r w:rsidR="00131417">
              <w:rPr>
                <w:szCs w:val="24"/>
              </w:rPr>
              <w:t>CAMTEQ INSTRUMENTS</w:t>
            </w:r>
            <w:r>
              <w:rPr>
                <w:szCs w:val="24"/>
              </w:rPr>
              <w:t>)</w:t>
            </w:r>
          </w:p>
          <w:p w:rsidR="00A666E2" w:rsidRDefault="00A666E2">
            <w:pPr>
              <w:pStyle w:val="NormalHeadings"/>
              <w:jc w:val="left"/>
              <w:rPr>
                <w:szCs w:val="24"/>
              </w:rPr>
            </w:pPr>
            <w:r>
              <w:rPr>
                <w:szCs w:val="24"/>
              </w:rPr>
              <w:t>Second Respondent</w:t>
            </w:r>
          </w:p>
          <w:p w:rsidR="00A666E2" w:rsidRDefault="00A666E2">
            <w:pPr>
              <w:pStyle w:val="NormalHeadings"/>
              <w:jc w:val="left"/>
              <w:rPr>
                <w:szCs w:val="24"/>
              </w:rPr>
            </w:pPr>
          </w:p>
          <w:p w:rsidR="00A666E2" w:rsidRDefault="00A666E2">
            <w:pPr>
              <w:pStyle w:val="NormalHeadings"/>
              <w:jc w:val="left"/>
              <w:rPr>
                <w:szCs w:val="24"/>
              </w:rPr>
            </w:pPr>
            <w:r>
              <w:rPr>
                <w:szCs w:val="24"/>
              </w:rPr>
              <w:t>NICKY KLEYN</w:t>
            </w:r>
          </w:p>
          <w:p w:rsidR="00A666E2" w:rsidRDefault="00A666E2">
            <w:pPr>
              <w:pStyle w:val="NormalHeadings"/>
              <w:jc w:val="left"/>
              <w:rPr>
                <w:szCs w:val="24"/>
              </w:rPr>
            </w:pPr>
            <w:r>
              <w:rPr>
                <w:szCs w:val="24"/>
              </w:rPr>
              <w:t>Third Respondent</w:t>
            </w:r>
          </w:p>
          <w:p w:rsidR="00A666E2" w:rsidRDefault="00A666E2">
            <w:pPr>
              <w:pStyle w:val="NormalHeadings"/>
              <w:jc w:val="left"/>
              <w:rPr>
                <w:szCs w:val="24"/>
              </w:rPr>
            </w:pPr>
          </w:p>
          <w:p w:rsidR="00A666E2" w:rsidRDefault="00A666E2">
            <w:pPr>
              <w:pStyle w:val="NormalHeadings"/>
              <w:jc w:val="left"/>
              <w:rPr>
                <w:szCs w:val="24"/>
              </w:rPr>
            </w:pPr>
            <w:r>
              <w:rPr>
                <w:szCs w:val="24"/>
              </w:rPr>
              <w:t>KLEYN INVESTMENTS PTY LTD ACN 118 967 687 (TRADING AS CAMTEQ INTERNATIONAL SERVICES)</w:t>
            </w:r>
          </w:p>
          <w:p w:rsidR="00A666E2" w:rsidRDefault="00A666E2">
            <w:pPr>
              <w:pStyle w:val="NormalHeadings"/>
              <w:jc w:val="left"/>
              <w:rPr>
                <w:szCs w:val="24"/>
              </w:rPr>
            </w:pPr>
            <w:r>
              <w:rPr>
                <w:szCs w:val="24"/>
              </w:rPr>
              <w:t>Fourth Respondent</w:t>
            </w:r>
          </w:p>
          <w:bookmarkEnd w:id="13"/>
          <w:p w:rsidR="004751E9" w:rsidRDefault="004751E9">
            <w:pPr>
              <w:pStyle w:val="NormalHeadings"/>
              <w:jc w:val="left"/>
              <w:rPr>
                <w:szCs w:val="24"/>
              </w:rPr>
            </w:pPr>
          </w:p>
        </w:tc>
      </w:tr>
      <w:bookmarkEnd w:id="11"/>
    </w:tbl>
    <w:p w:rsidR="004751E9" w:rsidRDefault="004751E9">
      <w:pPr>
        <w:pStyle w:val="NormalHeadings"/>
      </w:pPr>
    </w:p>
    <w:tbl>
      <w:tblPr>
        <w:tblW w:w="0" w:type="auto"/>
        <w:tblLayout w:type="fixed"/>
        <w:tblLook w:val="0000" w:firstRow="0" w:lastRow="0" w:firstColumn="0" w:lastColumn="0" w:noHBand="0" w:noVBand="0"/>
      </w:tblPr>
      <w:tblGrid>
        <w:gridCol w:w="2376"/>
        <w:gridCol w:w="6866"/>
      </w:tblGrid>
      <w:tr w:rsidR="004751E9">
        <w:tc>
          <w:tcPr>
            <w:tcW w:w="2376" w:type="dxa"/>
          </w:tcPr>
          <w:p w:rsidR="004751E9" w:rsidRDefault="00A666E2">
            <w:pPr>
              <w:pStyle w:val="NormalHeadings"/>
              <w:spacing w:after="120"/>
              <w:jc w:val="left"/>
              <w:rPr>
                <w:caps/>
                <w:szCs w:val="24"/>
              </w:rPr>
            </w:pPr>
            <w:bookmarkStart w:id="14" w:name="JudgeText"/>
            <w:r>
              <w:rPr>
                <w:caps/>
                <w:szCs w:val="24"/>
              </w:rPr>
              <w:t>JUDGE</w:t>
            </w:r>
            <w:bookmarkEnd w:id="14"/>
            <w:r w:rsidR="005F5DF9">
              <w:rPr>
                <w:caps/>
                <w:szCs w:val="24"/>
              </w:rPr>
              <w:t>:</w:t>
            </w:r>
          </w:p>
        </w:tc>
        <w:tc>
          <w:tcPr>
            <w:tcW w:w="6866" w:type="dxa"/>
          </w:tcPr>
          <w:p w:rsidR="004751E9" w:rsidRDefault="00AA6AFE">
            <w:pPr>
              <w:pStyle w:val="NormalHeadings"/>
              <w:jc w:val="left"/>
              <w:rPr>
                <w:caps/>
                <w:szCs w:val="24"/>
              </w:rPr>
            </w:pPr>
            <w:bookmarkStart w:id="15" w:name="Judge"/>
            <w:r>
              <w:rPr>
                <w:caps/>
                <w:szCs w:val="24"/>
              </w:rPr>
              <w:t>MCKERRACHER J</w:t>
            </w:r>
            <w:bookmarkEnd w:id="15"/>
          </w:p>
        </w:tc>
      </w:tr>
      <w:tr w:rsidR="004751E9">
        <w:tc>
          <w:tcPr>
            <w:tcW w:w="2376" w:type="dxa"/>
          </w:tcPr>
          <w:p w:rsidR="004751E9" w:rsidRDefault="005F5DF9">
            <w:pPr>
              <w:pStyle w:val="NormalHeadings"/>
              <w:spacing w:after="120"/>
              <w:jc w:val="left"/>
              <w:rPr>
                <w:caps/>
                <w:szCs w:val="24"/>
              </w:rPr>
            </w:pPr>
            <w:r>
              <w:rPr>
                <w:caps/>
                <w:szCs w:val="24"/>
              </w:rPr>
              <w:t>DATE OF ORDER:</w:t>
            </w:r>
          </w:p>
        </w:tc>
        <w:tc>
          <w:tcPr>
            <w:tcW w:w="6866" w:type="dxa"/>
          </w:tcPr>
          <w:p w:rsidR="004751E9" w:rsidRDefault="002C71FB" w:rsidP="00363815">
            <w:pPr>
              <w:pStyle w:val="NormalHeadings"/>
              <w:jc w:val="left"/>
              <w:rPr>
                <w:caps/>
                <w:szCs w:val="24"/>
              </w:rPr>
            </w:pPr>
            <w:bookmarkStart w:id="16" w:name="Judgment_Dated"/>
            <w:r>
              <w:rPr>
                <w:caps/>
                <w:szCs w:val="24"/>
              </w:rPr>
              <w:t>4 DECEMBER</w:t>
            </w:r>
            <w:r w:rsidR="00A666E2">
              <w:rPr>
                <w:caps/>
                <w:szCs w:val="24"/>
              </w:rPr>
              <w:t xml:space="preserve"> 201</w:t>
            </w:r>
            <w:bookmarkEnd w:id="16"/>
            <w:r w:rsidR="00363815">
              <w:rPr>
                <w:caps/>
                <w:szCs w:val="24"/>
              </w:rPr>
              <w:t>5</w:t>
            </w:r>
          </w:p>
        </w:tc>
      </w:tr>
      <w:tr w:rsidR="004751E9">
        <w:tc>
          <w:tcPr>
            <w:tcW w:w="2376" w:type="dxa"/>
          </w:tcPr>
          <w:p w:rsidR="004751E9" w:rsidRDefault="005F5DF9">
            <w:pPr>
              <w:pStyle w:val="NormalHeadings"/>
              <w:spacing w:after="120"/>
              <w:jc w:val="left"/>
              <w:rPr>
                <w:caps/>
                <w:szCs w:val="24"/>
              </w:rPr>
            </w:pPr>
            <w:r>
              <w:rPr>
                <w:caps/>
                <w:szCs w:val="24"/>
              </w:rPr>
              <w:t>WHERE MADE:</w:t>
            </w:r>
          </w:p>
        </w:tc>
        <w:tc>
          <w:tcPr>
            <w:tcW w:w="6866" w:type="dxa"/>
          </w:tcPr>
          <w:p w:rsidR="004751E9" w:rsidRDefault="00A666E2">
            <w:pPr>
              <w:pStyle w:val="NormalHeadings"/>
              <w:jc w:val="left"/>
              <w:rPr>
                <w:caps/>
                <w:szCs w:val="24"/>
              </w:rPr>
            </w:pPr>
            <w:bookmarkStart w:id="17" w:name="Place"/>
            <w:r>
              <w:rPr>
                <w:caps/>
                <w:szCs w:val="24"/>
              </w:rPr>
              <w:t>PERTH</w:t>
            </w:r>
            <w:bookmarkEnd w:id="17"/>
          </w:p>
        </w:tc>
      </w:tr>
    </w:tbl>
    <w:p w:rsidR="004751E9" w:rsidRDefault="004751E9">
      <w:pPr>
        <w:pStyle w:val="NormalHeadings"/>
        <w:rPr>
          <w:b w:val="0"/>
        </w:rPr>
      </w:pPr>
    </w:p>
    <w:p w:rsidR="004751E9" w:rsidRDefault="005F5DF9">
      <w:pPr>
        <w:pStyle w:val="NormalHeadings"/>
      </w:pPr>
      <w:r>
        <w:t>THE COURT ORDERS THAT:</w:t>
      </w:r>
    </w:p>
    <w:p w:rsidR="004751E9" w:rsidRDefault="004751E9">
      <w:pPr>
        <w:pStyle w:val="NormalHeadings"/>
      </w:pPr>
    </w:p>
    <w:p w:rsidR="00DC70D7" w:rsidRDefault="003520E7" w:rsidP="00DC70D7">
      <w:pPr>
        <w:numPr>
          <w:ilvl w:val="0"/>
          <w:numId w:val="2"/>
        </w:numPr>
        <w:spacing w:before="60" w:after="60"/>
      </w:pPr>
      <w:r>
        <w:t>The A</w:t>
      </w:r>
      <w:r w:rsidR="00DC70D7">
        <w:t>pplicants file and serve a minute of orders reflecting these reasons</w:t>
      </w:r>
      <w:r w:rsidR="00FE1696" w:rsidRPr="00FE1696">
        <w:t xml:space="preserve"> </w:t>
      </w:r>
      <w:r w:rsidR="00FE1696">
        <w:t>within 30 days</w:t>
      </w:r>
      <w:r w:rsidR="00DC70D7">
        <w:t>.</w:t>
      </w:r>
    </w:p>
    <w:p w:rsidR="00DC70D7" w:rsidRDefault="00DC70D7" w:rsidP="00DC70D7">
      <w:pPr>
        <w:numPr>
          <w:ilvl w:val="0"/>
          <w:numId w:val="2"/>
        </w:numPr>
        <w:spacing w:before="60" w:after="60"/>
      </w:pPr>
      <w:r>
        <w:t xml:space="preserve">The </w:t>
      </w:r>
      <w:r w:rsidR="003520E7">
        <w:t>R</w:t>
      </w:r>
      <w:r>
        <w:t>espondents file any responsive material within a further 21 days.</w:t>
      </w:r>
    </w:p>
    <w:p w:rsidR="00DC70D7" w:rsidRDefault="00DC70D7" w:rsidP="00DC70D7">
      <w:pPr>
        <w:numPr>
          <w:ilvl w:val="0"/>
          <w:numId w:val="2"/>
        </w:numPr>
        <w:spacing w:before="60" w:after="60"/>
      </w:pPr>
      <w:r>
        <w:t xml:space="preserve">A further directions hearing be scheduled </w:t>
      </w:r>
      <w:r w:rsidR="00FE1696">
        <w:t xml:space="preserve">in </w:t>
      </w:r>
      <w:r>
        <w:t>late February 2016 to make and/or program the making of orders consequent upon these reasons and directions as to the future conduct of the proceeding.</w:t>
      </w:r>
    </w:p>
    <w:p w:rsidR="004751E9" w:rsidRDefault="004751E9">
      <w:pPr>
        <w:spacing w:before="60" w:after="60"/>
      </w:pPr>
    </w:p>
    <w:p w:rsidR="004751E9" w:rsidRDefault="005F5DF9">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4751E9" w:rsidRDefault="004751E9"/>
    <w:p w:rsidR="004751E9" w:rsidRDefault="004751E9"/>
    <w:p w:rsidR="004751E9" w:rsidRDefault="004751E9">
      <w:pPr>
        <w:pStyle w:val="NormalHeadings"/>
        <w:spacing w:before="240" w:after="120"/>
        <w:rPr>
          <w:b w:val="0"/>
        </w:rPr>
        <w:sectPr w:rsidR="004751E9">
          <w:headerReference w:type="default" r:id="rId10"/>
          <w:headerReference w:type="first" r:id="rId11"/>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4751E9">
        <w:tc>
          <w:tcPr>
            <w:tcW w:w="6771" w:type="dxa"/>
          </w:tcPr>
          <w:p w:rsidR="004751E9" w:rsidRDefault="005F5DF9">
            <w:pPr>
              <w:pStyle w:val="NormalHeadings"/>
              <w:spacing w:after="120"/>
              <w:jc w:val="left"/>
              <w:rPr>
                <w:caps/>
                <w:szCs w:val="24"/>
              </w:rPr>
            </w:pPr>
            <w:bookmarkStart w:id="18" w:name="ReasonsPage"/>
            <w:bookmarkEnd w:id="18"/>
            <w:r>
              <w:rPr>
                <w:caps/>
                <w:szCs w:val="24"/>
              </w:rPr>
              <w:lastRenderedPageBreak/>
              <w:t>IN THE FEDERAL COURT OF AUSTRALIA</w:t>
            </w:r>
          </w:p>
        </w:tc>
        <w:tc>
          <w:tcPr>
            <w:tcW w:w="2471" w:type="dxa"/>
          </w:tcPr>
          <w:p w:rsidR="004751E9" w:rsidRDefault="004751E9">
            <w:pPr>
              <w:pStyle w:val="NormalHeadings"/>
            </w:pPr>
          </w:p>
        </w:tc>
      </w:tr>
      <w:tr w:rsidR="004751E9">
        <w:tc>
          <w:tcPr>
            <w:tcW w:w="6771" w:type="dxa"/>
          </w:tcPr>
          <w:p w:rsidR="004751E9" w:rsidRDefault="00BA4741">
            <w:pPr>
              <w:pStyle w:val="NormalHeadings"/>
              <w:spacing w:after="120"/>
              <w:jc w:val="left"/>
              <w:rPr>
                <w:caps/>
                <w:szCs w:val="24"/>
              </w:rPr>
            </w:pPr>
            <w:r>
              <w:rPr>
                <w:caps/>
                <w:szCs w:val="24"/>
              </w:rPr>
              <w:t>new south wales</w:t>
            </w:r>
            <w:r w:rsidR="005F5DF9">
              <w:rPr>
                <w:caps/>
                <w:szCs w:val="24"/>
              </w:rPr>
              <w:t xml:space="preserve"> DISTRICT REGISTRY</w:t>
            </w:r>
          </w:p>
        </w:tc>
        <w:tc>
          <w:tcPr>
            <w:tcW w:w="2471" w:type="dxa"/>
          </w:tcPr>
          <w:p w:rsidR="004751E9" w:rsidRDefault="004751E9">
            <w:pPr>
              <w:pStyle w:val="NormalHeadings"/>
              <w:tabs>
                <w:tab w:val="right" w:pos="3609"/>
              </w:tabs>
              <w:jc w:val="right"/>
              <w:rPr>
                <w:caps/>
                <w:szCs w:val="24"/>
              </w:rPr>
            </w:pPr>
          </w:p>
        </w:tc>
      </w:tr>
      <w:tr w:rsidR="004751E9">
        <w:tc>
          <w:tcPr>
            <w:tcW w:w="6771" w:type="dxa"/>
          </w:tcPr>
          <w:p w:rsidR="004751E9" w:rsidRDefault="005F5DF9">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A666E2">
              <w:rPr>
                <w:caps/>
                <w:szCs w:val="24"/>
              </w:rPr>
              <w:t>GENERAL DIVISION</w:t>
            </w:r>
            <w:r>
              <w:rPr>
                <w:caps/>
                <w:szCs w:val="24"/>
              </w:rPr>
              <w:fldChar w:fldCharType="end"/>
            </w:r>
          </w:p>
        </w:tc>
        <w:tc>
          <w:tcPr>
            <w:tcW w:w="2471" w:type="dxa"/>
          </w:tcPr>
          <w:p w:rsidR="004751E9" w:rsidRDefault="005F5DF9">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00A666E2" w:rsidRPr="00A666E2">
              <w:rPr>
                <w:caps/>
                <w:szCs w:val="24"/>
              </w:rPr>
              <w:t>NSD</w:t>
            </w:r>
            <w:r w:rsidR="00A666E2">
              <w:rPr>
                <w:szCs w:val="24"/>
              </w:rPr>
              <w:t xml:space="preserve"> 2082 of 2011</w:t>
            </w:r>
            <w:r>
              <w:rPr>
                <w:caps/>
                <w:szCs w:val="24"/>
              </w:rPr>
              <w:fldChar w:fldCharType="end"/>
            </w:r>
          </w:p>
        </w:tc>
      </w:tr>
    </w:tbl>
    <w:p w:rsidR="004751E9" w:rsidRDefault="0038403B">
      <w:pPr>
        <w:pStyle w:val="AppealTable"/>
      </w:pPr>
      <w:r>
        <w:fldChar w:fldCharType="begin" w:fldLock="1"/>
      </w:r>
      <w:r>
        <w:instrText xml:space="preserve"> Ref AppealTable  \* MERGEFORMAT </w:instrText>
      </w:r>
      <w:r>
        <w:fldChar w:fldCharType="separate"/>
      </w:r>
      <w:r w:rsidR="00A666E2" w:rsidRPr="00A666E2">
        <w:rPr>
          <w:sz w:val="24"/>
        </w:rPr>
        <w:t xml:space="preserve"> </w:t>
      </w:r>
      <w:r>
        <w:rPr>
          <w:sz w:val="24"/>
        </w:rPr>
        <w:fldChar w:fldCharType="end"/>
      </w:r>
    </w:p>
    <w:tbl>
      <w:tblPr>
        <w:tblW w:w="0" w:type="auto"/>
        <w:tblLayout w:type="fixed"/>
        <w:tblLook w:val="0000" w:firstRow="0" w:lastRow="0" w:firstColumn="0" w:lastColumn="0" w:noHBand="0" w:noVBand="0"/>
      </w:tblPr>
      <w:tblGrid>
        <w:gridCol w:w="2376"/>
        <w:gridCol w:w="6866"/>
      </w:tblGrid>
      <w:tr w:rsidR="004751E9">
        <w:trPr>
          <w:trHeight w:val="386"/>
        </w:trPr>
        <w:tc>
          <w:tcPr>
            <w:tcW w:w="2376" w:type="dxa"/>
          </w:tcPr>
          <w:p w:rsidR="004751E9" w:rsidRDefault="005F5DF9">
            <w:pPr>
              <w:pStyle w:val="NormalHeadings"/>
              <w:jc w:val="left"/>
              <w:rPr>
                <w:caps/>
                <w:szCs w:val="24"/>
              </w:rPr>
            </w:pPr>
            <w:r>
              <w:rPr>
                <w:caps/>
                <w:szCs w:val="24"/>
              </w:rPr>
              <w:t>BETWEEN:</w:t>
            </w:r>
          </w:p>
        </w:tc>
        <w:tc>
          <w:tcPr>
            <w:tcW w:w="6866" w:type="dxa"/>
          </w:tcPr>
          <w:p w:rsidR="00A666E2" w:rsidRDefault="005F5DF9">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A666E2" w:rsidRPr="00A666E2">
              <w:rPr>
                <w:caps/>
                <w:szCs w:val="24"/>
              </w:rPr>
              <w:t>AUSTRALIAN</w:t>
            </w:r>
            <w:r w:rsidR="00A666E2">
              <w:rPr>
                <w:szCs w:val="24"/>
              </w:rPr>
              <w:t xml:space="preserve"> MUD </w:t>
            </w:r>
            <w:r w:rsidR="00423E34">
              <w:rPr>
                <w:szCs w:val="24"/>
              </w:rPr>
              <w:t>COMPANY</w:t>
            </w:r>
            <w:r w:rsidR="00A666E2">
              <w:rPr>
                <w:szCs w:val="24"/>
              </w:rPr>
              <w:t xml:space="preserve"> PTY LTD ACN 009 283 416</w:t>
            </w:r>
          </w:p>
          <w:p w:rsidR="00A666E2" w:rsidRDefault="00A666E2">
            <w:pPr>
              <w:pStyle w:val="NormalHeadings"/>
              <w:jc w:val="left"/>
              <w:rPr>
                <w:szCs w:val="24"/>
              </w:rPr>
            </w:pPr>
            <w:r>
              <w:rPr>
                <w:szCs w:val="24"/>
              </w:rPr>
              <w:t xml:space="preserve">First </w:t>
            </w:r>
            <w:r w:rsidR="001B41B0">
              <w:rPr>
                <w:szCs w:val="24"/>
              </w:rPr>
              <w:t>A</w:t>
            </w:r>
            <w:r w:rsidR="00E23CBE">
              <w:rPr>
                <w:szCs w:val="24"/>
              </w:rPr>
              <w:t>pplicant</w:t>
            </w:r>
            <w:r w:rsidR="001B41B0">
              <w:rPr>
                <w:szCs w:val="24"/>
              </w:rPr>
              <w:t>/First Cross-Respondent</w:t>
            </w:r>
          </w:p>
          <w:p w:rsidR="00A666E2" w:rsidRDefault="00A666E2">
            <w:pPr>
              <w:pStyle w:val="NormalHeadings"/>
              <w:jc w:val="left"/>
              <w:rPr>
                <w:szCs w:val="24"/>
              </w:rPr>
            </w:pPr>
          </w:p>
          <w:p w:rsidR="00A666E2" w:rsidRDefault="00A666E2">
            <w:pPr>
              <w:pStyle w:val="NormalHeadings"/>
              <w:jc w:val="left"/>
              <w:rPr>
                <w:szCs w:val="24"/>
              </w:rPr>
            </w:pPr>
            <w:r>
              <w:rPr>
                <w:szCs w:val="24"/>
              </w:rPr>
              <w:t xml:space="preserve">REFLEX INSTRUMENTS ASIA PACIFIC PTY LTD </w:t>
            </w:r>
            <w:r w:rsidR="007D7390">
              <w:rPr>
                <w:szCs w:val="24"/>
              </w:rPr>
              <w:br/>
            </w:r>
            <w:r>
              <w:rPr>
                <w:szCs w:val="24"/>
              </w:rPr>
              <w:t>ACN 124 204 191</w:t>
            </w:r>
          </w:p>
          <w:p w:rsidR="00A666E2" w:rsidRDefault="00A666E2">
            <w:pPr>
              <w:pStyle w:val="NormalHeadings"/>
              <w:jc w:val="left"/>
              <w:rPr>
                <w:szCs w:val="24"/>
              </w:rPr>
            </w:pPr>
            <w:r>
              <w:rPr>
                <w:szCs w:val="24"/>
              </w:rPr>
              <w:t xml:space="preserve">Second </w:t>
            </w:r>
            <w:r w:rsidR="00C1424F">
              <w:rPr>
                <w:szCs w:val="24"/>
              </w:rPr>
              <w:t>A</w:t>
            </w:r>
            <w:r w:rsidR="00E23CBE">
              <w:rPr>
                <w:szCs w:val="24"/>
              </w:rPr>
              <w:t>pplicant</w:t>
            </w:r>
            <w:r w:rsidR="00C1424F">
              <w:rPr>
                <w:szCs w:val="24"/>
              </w:rPr>
              <w:t>/Second Cross-Respondent</w:t>
            </w:r>
          </w:p>
          <w:p w:rsidR="004751E9" w:rsidRDefault="005F5DF9">
            <w:pPr>
              <w:pStyle w:val="NormalHeadings"/>
              <w:jc w:val="left"/>
              <w:rPr>
                <w:caps/>
                <w:szCs w:val="24"/>
              </w:rPr>
            </w:pPr>
            <w:r>
              <w:rPr>
                <w:caps/>
                <w:szCs w:val="24"/>
              </w:rPr>
              <w:fldChar w:fldCharType="end"/>
            </w:r>
          </w:p>
        </w:tc>
      </w:tr>
      <w:tr w:rsidR="004751E9">
        <w:trPr>
          <w:trHeight w:val="386"/>
        </w:trPr>
        <w:tc>
          <w:tcPr>
            <w:tcW w:w="2376" w:type="dxa"/>
          </w:tcPr>
          <w:p w:rsidR="004751E9" w:rsidRDefault="005F5DF9">
            <w:pPr>
              <w:pStyle w:val="NormalHeadings"/>
              <w:jc w:val="left"/>
              <w:rPr>
                <w:caps/>
                <w:szCs w:val="24"/>
              </w:rPr>
            </w:pPr>
            <w:r>
              <w:rPr>
                <w:caps/>
                <w:szCs w:val="24"/>
              </w:rPr>
              <w:t>AND:</w:t>
            </w:r>
          </w:p>
        </w:tc>
        <w:tc>
          <w:tcPr>
            <w:tcW w:w="6866" w:type="dxa"/>
          </w:tcPr>
          <w:p w:rsidR="00A666E2" w:rsidRDefault="005F5DF9">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A666E2" w:rsidRPr="00A666E2">
              <w:rPr>
                <w:caps/>
                <w:szCs w:val="24"/>
              </w:rPr>
              <w:t>CORETELL</w:t>
            </w:r>
            <w:r w:rsidR="00A666E2">
              <w:rPr>
                <w:szCs w:val="24"/>
              </w:rPr>
              <w:t xml:space="preserve"> PTY LTD ACN 119 188 493</w:t>
            </w:r>
          </w:p>
          <w:p w:rsidR="00A666E2" w:rsidRDefault="00A666E2">
            <w:pPr>
              <w:pStyle w:val="NormalHeadings"/>
              <w:jc w:val="left"/>
              <w:rPr>
                <w:szCs w:val="24"/>
              </w:rPr>
            </w:pPr>
            <w:r>
              <w:rPr>
                <w:szCs w:val="24"/>
              </w:rPr>
              <w:t>First Respondent</w:t>
            </w:r>
            <w:r w:rsidR="00C1424F">
              <w:rPr>
                <w:szCs w:val="24"/>
              </w:rPr>
              <w:t>/Cross-Claimant</w:t>
            </w:r>
          </w:p>
          <w:p w:rsidR="00A666E2" w:rsidRDefault="00A666E2">
            <w:pPr>
              <w:pStyle w:val="NormalHeadings"/>
              <w:jc w:val="left"/>
              <w:rPr>
                <w:szCs w:val="24"/>
              </w:rPr>
            </w:pPr>
          </w:p>
          <w:p w:rsidR="00A666E2" w:rsidRDefault="00A666E2">
            <w:pPr>
              <w:pStyle w:val="NormalHeadings"/>
              <w:jc w:val="left"/>
              <w:rPr>
                <w:szCs w:val="24"/>
              </w:rPr>
            </w:pPr>
            <w:r>
              <w:rPr>
                <w:szCs w:val="24"/>
              </w:rPr>
              <w:t xml:space="preserve">MINCREST HOLDINGS PTY LTD ACN 068 672 471 (TRADING AS </w:t>
            </w:r>
            <w:r w:rsidR="00131417">
              <w:rPr>
                <w:szCs w:val="24"/>
              </w:rPr>
              <w:t>CAMTEQ INSTRUMENTS</w:t>
            </w:r>
            <w:r>
              <w:rPr>
                <w:szCs w:val="24"/>
              </w:rPr>
              <w:t>)</w:t>
            </w:r>
          </w:p>
          <w:p w:rsidR="00A666E2" w:rsidRDefault="00A666E2">
            <w:pPr>
              <w:pStyle w:val="NormalHeadings"/>
              <w:jc w:val="left"/>
              <w:rPr>
                <w:szCs w:val="24"/>
              </w:rPr>
            </w:pPr>
            <w:r>
              <w:rPr>
                <w:szCs w:val="24"/>
              </w:rPr>
              <w:t>Second Respondent</w:t>
            </w:r>
          </w:p>
          <w:p w:rsidR="00A666E2" w:rsidRDefault="00A666E2">
            <w:pPr>
              <w:pStyle w:val="NormalHeadings"/>
              <w:jc w:val="left"/>
              <w:rPr>
                <w:szCs w:val="24"/>
              </w:rPr>
            </w:pPr>
          </w:p>
          <w:p w:rsidR="00A666E2" w:rsidRDefault="00A666E2">
            <w:pPr>
              <w:pStyle w:val="NormalHeadings"/>
              <w:jc w:val="left"/>
              <w:rPr>
                <w:szCs w:val="24"/>
              </w:rPr>
            </w:pPr>
            <w:r>
              <w:rPr>
                <w:szCs w:val="24"/>
              </w:rPr>
              <w:t>NICKY KLEYN</w:t>
            </w:r>
          </w:p>
          <w:p w:rsidR="00A666E2" w:rsidRDefault="00A666E2">
            <w:pPr>
              <w:pStyle w:val="NormalHeadings"/>
              <w:jc w:val="left"/>
              <w:rPr>
                <w:szCs w:val="24"/>
              </w:rPr>
            </w:pPr>
            <w:r>
              <w:rPr>
                <w:szCs w:val="24"/>
              </w:rPr>
              <w:t>Third Respondent</w:t>
            </w:r>
          </w:p>
          <w:p w:rsidR="00A666E2" w:rsidRDefault="00A666E2">
            <w:pPr>
              <w:pStyle w:val="NormalHeadings"/>
              <w:jc w:val="left"/>
              <w:rPr>
                <w:szCs w:val="24"/>
              </w:rPr>
            </w:pPr>
          </w:p>
          <w:p w:rsidR="00A666E2" w:rsidRDefault="00A666E2">
            <w:pPr>
              <w:pStyle w:val="NormalHeadings"/>
              <w:jc w:val="left"/>
              <w:rPr>
                <w:szCs w:val="24"/>
              </w:rPr>
            </w:pPr>
            <w:r>
              <w:rPr>
                <w:szCs w:val="24"/>
              </w:rPr>
              <w:t>KLEYN INVESTMENTS PTY LTD ACN 118 967 687 (TRADING AS CAMTEQ INTERNATIONAL SERVICES)</w:t>
            </w:r>
          </w:p>
          <w:p w:rsidR="00A666E2" w:rsidRDefault="00A666E2">
            <w:pPr>
              <w:pStyle w:val="NormalHeadings"/>
              <w:jc w:val="left"/>
              <w:rPr>
                <w:szCs w:val="24"/>
              </w:rPr>
            </w:pPr>
            <w:r>
              <w:rPr>
                <w:szCs w:val="24"/>
              </w:rPr>
              <w:t>Fourth Respondent</w:t>
            </w:r>
          </w:p>
          <w:p w:rsidR="004751E9" w:rsidRDefault="005F5DF9">
            <w:pPr>
              <w:pStyle w:val="NormalHeadings"/>
              <w:jc w:val="left"/>
              <w:rPr>
                <w:caps/>
                <w:szCs w:val="24"/>
              </w:rPr>
            </w:pPr>
            <w:r>
              <w:rPr>
                <w:caps/>
                <w:szCs w:val="24"/>
              </w:rPr>
              <w:fldChar w:fldCharType="end"/>
            </w:r>
          </w:p>
        </w:tc>
      </w:tr>
    </w:tbl>
    <w:p w:rsidR="004751E9" w:rsidRDefault="004751E9">
      <w:pPr>
        <w:pStyle w:val="NormalHeadings"/>
      </w:pPr>
    </w:p>
    <w:tbl>
      <w:tblPr>
        <w:tblW w:w="0" w:type="auto"/>
        <w:tblLayout w:type="fixed"/>
        <w:tblLook w:val="0000" w:firstRow="0" w:lastRow="0" w:firstColumn="0" w:lastColumn="0" w:noHBand="0" w:noVBand="0"/>
      </w:tblPr>
      <w:tblGrid>
        <w:gridCol w:w="2376"/>
        <w:gridCol w:w="6866"/>
      </w:tblGrid>
      <w:tr w:rsidR="004751E9">
        <w:tc>
          <w:tcPr>
            <w:tcW w:w="2376" w:type="dxa"/>
          </w:tcPr>
          <w:p w:rsidR="004751E9" w:rsidRDefault="005F5DF9">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A666E2">
              <w:rPr>
                <w:caps/>
                <w:szCs w:val="24"/>
              </w:rPr>
              <w:t>JUDGE</w:t>
            </w:r>
            <w:r>
              <w:rPr>
                <w:caps/>
                <w:szCs w:val="24"/>
              </w:rPr>
              <w:fldChar w:fldCharType="end"/>
            </w:r>
            <w:r>
              <w:rPr>
                <w:caps/>
                <w:szCs w:val="24"/>
              </w:rPr>
              <w:t>:</w:t>
            </w:r>
          </w:p>
        </w:tc>
        <w:tc>
          <w:tcPr>
            <w:tcW w:w="6866" w:type="dxa"/>
          </w:tcPr>
          <w:p w:rsidR="004751E9" w:rsidRDefault="005F5DF9">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A666E2">
              <w:rPr>
                <w:caps/>
                <w:szCs w:val="24"/>
              </w:rPr>
              <w:t>MCKERRACHER J</w:t>
            </w:r>
            <w:r>
              <w:rPr>
                <w:caps/>
                <w:szCs w:val="24"/>
              </w:rPr>
              <w:fldChar w:fldCharType="end"/>
            </w:r>
          </w:p>
        </w:tc>
      </w:tr>
      <w:tr w:rsidR="004751E9">
        <w:tc>
          <w:tcPr>
            <w:tcW w:w="2376" w:type="dxa"/>
          </w:tcPr>
          <w:p w:rsidR="004751E9" w:rsidRDefault="005F5DF9">
            <w:pPr>
              <w:pStyle w:val="NormalHeadings"/>
              <w:spacing w:after="120"/>
              <w:jc w:val="left"/>
              <w:rPr>
                <w:caps/>
                <w:szCs w:val="24"/>
              </w:rPr>
            </w:pPr>
            <w:r>
              <w:rPr>
                <w:caps/>
                <w:szCs w:val="24"/>
              </w:rPr>
              <w:t>DATE:</w:t>
            </w:r>
          </w:p>
        </w:tc>
        <w:tc>
          <w:tcPr>
            <w:tcW w:w="6866" w:type="dxa"/>
          </w:tcPr>
          <w:p w:rsidR="004751E9" w:rsidRDefault="005F5DF9" w:rsidP="00363815">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2C71FB">
              <w:rPr>
                <w:caps/>
                <w:szCs w:val="24"/>
              </w:rPr>
              <w:t>4 DECEMBER</w:t>
            </w:r>
            <w:r w:rsidR="00A666E2">
              <w:rPr>
                <w:caps/>
                <w:szCs w:val="24"/>
              </w:rPr>
              <w:t xml:space="preserve"> 201</w:t>
            </w:r>
            <w:r w:rsidR="00363815">
              <w:rPr>
                <w:caps/>
                <w:szCs w:val="24"/>
              </w:rPr>
              <w:t>5</w:t>
            </w:r>
            <w:r>
              <w:rPr>
                <w:caps/>
                <w:szCs w:val="24"/>
              </w:rPr>
              <w:fldChar w:fldCharType="end"/>
            </w:r>
          </w:p>
        </w:tc>
      </w:tr>
      <w:tr w:rsidR="004751E9">
        <w:tc>
          <w:tcPr>
            <w:tcW w:w="2376" w:type="dxa"/>
          </w:tcPr>
          <w:p w:rsidR="004751E9" w:rsidRDefault="005F5DF9">
            <w:pPr>
              <w:pStyle w:val="NormalHeadings"/>
              <w:spacing w:after="120"/>
              <w:jc w:val="left"/>
              <w:rPr>
                <w:caps/>
                <w:szCs w:val="24"/>
              </w:rPr>
            </w:pPr>
            <w:r>
              <w:rPr>
                <w:caps/>
                <w:szCs w:val="24"/>
              </w:rPr>
              <w:t>PLACE:</w:t>
            </w:r>
          </w:p>
        </w:tc>
        <w:tc>
          <w:tcPr>
            <w:tcW w:w="6866" w:type="dxa"/>
          </w:tcPr>
          <w:p w:rsidR="004751E9" w:rsidRDefault="005F5DF9">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A666E2">
              <w:rPr>
                <w:caps/>
                <w:szCs w:val="24"/>
              </w:rPr>
              <w:t>PERTH</w:t>
            </w:r>
            <w:r>
              <w:rPr>
                <w:caps/>
                <w:szCs w:val="24"/>
              </w:rPr>
              <w:fldChar w:fldCharType="end"/>
            </w:r>
          </w:p>
        </w:tc>
      </w:tr>
    </w:tbl>
    <w:p w:rsidR="004751E9" w:rsidRDefault="004751E9"/>
    <w:p w:rsidR="004751E9" w:rsidRDefault="005F5DF9">
      <w:pPr>
        <w:pStyle w:val="StyleBold"/>
        <w:jc w:val="center"/>
        <w:rPr>
          <w:b/>
        </w:rPr>
      </w:pPr>
      <w:r>
        <w:rPr>
          <w:b/>
        </w:rPr>
        <w:t>REASONS FOR JUDGMENT</w:t>
      </w:r>
    </w:p>
    <w:tbl>
      <w:tblPr>
        <w:tblW w:w="9507" w:type="dxa"/>
        <w:tblLook w:val="01E0" w:firstRow="1" w:lastRow="1" w:firstColumn="1" w:lastColumn="1" w:noHBand="0" w:noVBand="0"/>
      </w:tblPr>
      <w:tblGrid>
        <w:gridCol w:w="8507"/>
        <w:gridCol w:w="1000"/>
      </w:tblGrid>
      <w:tr w:rsidR="002548F4" w:rsidRPr="00D326DB" w:rsidTr="002548F4">
        <w:tc>
          <w:tcPr>
            <w:tcW w:w="8507" w:type="dxa"/>
            <w:shd w:val="clear" w:color="auto" w:fill="auto"/>
          </w:tcPr>
          <w:bookmarkStart w:id="19" w:name="PTOC"/>
          <w:p w:rsidR="002548F4" w:rsidRPr="002548F4" w:rsidRDefault="002548F4" w:rsidP="002548F4">
            <w:pPr>
              <w:pStyle w:val="FTOC5"/>
              <w:tabs>
                <w:tab w:val="clear" w:pos="9072"/>
              </w:tabs>
              <w:rPr>
                <w:lang w:eastAsia="en-AU"/>
              </w:rPr>
            </w:pPr>
            <w:r>
              <w:rPr>
                <w:lang w:eastAsia="en-AU"/>
              </w:rPr>
              <w:fldChar w:fldCharType="begin"/>
            </w:r>
            <w:r>
              <w:rPr>
                <w:lang w:eastAsia="en-AU"/>
              </w:rPr>
              <w:instrText xml:space="preserve"> REF _Ref403035667 \w \h </w:instrText>
            </w:r>
            <w:r>
              <w:rPr>
                <w:lang w:eastAsia="en-AU"/>
              </w:rPr>
            </w:r>
            <w:r>
              <w:rPr>
                <w:lang w:eastAsia="en-AU"/>
              </w:rPr>
              <w:fldChar w:fldCharType="separate"/>
            </w:r>
            <w:r>
              <w:rPr>
                <w:lang w:eastAsia="en-AU"/>
              </w:rPr>
              <w:t>1</w:t>
            </w:r>
            <w:r>
              <w:rPr>
                <w:lang w:eastAsia="en-AU"/>
              </w:rPr>
              <w:fldChar w:fldCharType="end"/>
            </w:r>
            <w:r>
              <w:rPr>
                <w:lang w:eastAsia="en-AU"/>
              </w:rPr>
              <w:tab/>
            </w:r>
            <w:r>
              <w:rPr>
                <w:lang w:eastAsia="en-AU"/>
              </w:rPr>
              <w:fldChar w:fldCharType="begin"/>
            </w:r>
            <w:r>
              <w:rPr>
                <w:lang w:eastAsia="en-AU"/>
              </w:rPr>
              <w:instrText xml:space="preserve"> REF _Ref403035667 \h </w:instrText>
            </w:r>
            <w:r>
              <w:rPr>
                <w:lang w:eastAsia="en-AU"/>
              </w:rPr>
            </w:r>
            <w:r>
              <w:rPr>
                <w:lang w:eastAsia="en-AU"/>
              </w:rPr>
              <w:fldChar w:fldCharType="separate"/>
            </w:r>
            <w:r>
              <w:t>THE DISPUTE</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w:t>
            </w:r>
          </w:p>
        </w:tc>
      </w:tr>
      <w:tr w:rsidR="002548F4" w:rsidRPr="00D326DB" w:rsidTr="002548F4">
        <w:tc>
          <w:tcPr>
            <w:tcW w:w="8507" w:type="dxa"/>
            <w:shd w:val="clear" w:color="auto" w:fill="auto"/>
          </w:tcPr>
          <w:p w:rsidR="002548F4" w:rsidRPr="002548F4" w:rsidRDefault="002548F4" w:rsidP="002548F4">
            <w:pPr>
              <w:pStyle w:val="FTOC5"/>
              <w:tabs>
                <w:tab w:val="clear" w:pos="9072"/>
              </w:tabs>
              <w:rPr>
                <w:lang w:eastAsia="en-AU"/>
              </w:rPr>
            </w:pPr>
            <w:r>
              <w:rPr>
                <w:lang w:eastAsia="en-AU"/>
              </w:rPr>
              <w:fldChar w:fldCharType="begin"/>
            </w:r>
            <w:r>
              <w:rPr>
                <w:lang w:eastAsia="en-AU"/>
              </w:rPr>
              <w:instrText xml:space="preserve"> REF _Ref410393873 \w \h </w:instrText>
            </w:r>
            <w:r>
              <w:rPr>
                <w:lang w:eastAsia="en-AU"/>
              </w:rPr>
            </w:r>
            <w:r>
              <w:rPr>
                <w:lang w:eastAsia="en-AU"/>
              </w:rPr>
              <w:fldChar w:fldCharType="separate"/>
            </w:r>
            <w:r>
              <w:rPr>
                <w:lang w:eastAsia="en-AU"/>
              </w:rPr>
              <w:t>2</w:t>
            </w:r>
            <w:r>
              <w:rPr>
                <w:lang w:eastAsia="en-AU"/>
              </w:rPr>
              <w:fldChar w:fldCharType="end"/>
            </w:r>
            <w:r>
              <w:rPr>
                <w:lang w:eastAsia="en-AU"/>
              </w:rPr>
              <w:tab/>
            </w:r>
            <w:r>
              <w:rPr>
                <w:lang w:eastAsia="en-AU"/>
              </w:rPr>
              <w:fldChar w:fldCharType="begin"/>
            </w:r>
            <w:r>
              <w:rPr>
                <w:lang w:eastAsia="en-AU"/>
              </w:rPr>
              <w:instrText xml:space="preserve"> REF _Ref410393873 \h </w:instrText>
            </w:r>
            <w:r>
              <w:rPr>
                <w:lang w:eastAsia="en-AU"/>
              </w:rPr>
            </w:r>
            <w:r>
              <w:rPr>
                <w:lang w:eastAsia="en-AU"/>
              </w:rPr>
              <w:fldChar w:fldCharType="separate"/>
            </w:r>
            <w:r>
              <w:t>THE PATENTS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[11]</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_Ref436660769 \w \h </w:instrText>
            </w:r>
            <w:r>
              <w:rPr>
                <w:lang w:eastAsia="en-AU"/>
              </w:rPr>
            </w:r>
            <w:r>
              <w:rPr>
                <w:lang w:eastAsia="en-AU"/>
              </w:rPr>
              <w:fldChar w:fldCharType="separate"/>
            </w:r>
            <w:r>
              <w:rPr>
                <w:lang w:eastAsia="en-AU"/>
              </w:rPr>
              <w:t>2.1</w:t>
            </w:r>
            <w:r>
              <w:rPr>
                <w:lang w:eastAsia="en-AU"/>
              </w:rPr>
              <w:fldChar w:fldCharType="end"/>
            </w:r>
            <w:r>
              <w:rPr>
                <w:lang w:eastAsia="en-AU"/>
              </w:rPr>
              <w:tab/>
            </w:r>
            <w:r>
              <w:rPr>
                <w:lang w:eastAsia="en-AU"/>
              </w:rPr>
              <w:fldChar w:fldCharType="begin"/>
            </w:r>
            <w:r>
              <w:rPr>
                <w:lang w:eastAsia="en-AU"/>
              </w:rPr>
              <w:instrText xml:space="preserve"> REF _Ref436660769 \h </w:instrText>
            </w:r>
            <w:r>
              <w:rPr>
                <w:lang w:eastAsia="en-AU"/>
              </w:rPr>
            </w:r>
            <w:r>
              <w:rPr>
                <w:lang w:eastAsia="en-AU"/>
              </w:rPr>
              <w:fldChar w:fldCharType="separate"/>
            </w:r>
            <w:r>
              <w:t>Background art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[14]</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_Ref436660770 \w \h </w:instrText>
            </w:r>
            <w:r>
              <w:rPr>
                <w:lang w:eastAsia="en-AU"/>
              </w:rPr>
            </w:r>
            <w:r>
              <w:rPr>
                <w:lang w:eastAsia="en-AU"/>
              </w:rPr>
              <w:fldChar w:fldCharType="separate"/>
            </w:r>
            <w:r>
              <w:rPr>
                <w:lang w:eastAsia="en-AU"/>
              </w:rPr>
              <w:t>2.2</w:t>
            </w:r>
            <w:r>
              <w:rPr>
                <w:lang w:eastAsia="en-AU"/>
              </w:rPr>
              <w:fldChar w:fldCharType="end"/>
            </w:r>
            <w:r>
              <w:rPr>
                <w:lang w:eastAsia="en-AU"/>
              </w:rPr>
              <w:tab/>
            </w:r>
            <w:r>
              <w:rPr>
                <w:lang w:eastAsia="en-AU"/>
              </w:rPr>
              <w:fldChar w:fldCharType="begin"/>
            </w:r>
            <w:r>
              <w:rPr>
                <w:lang w:eastAsia="en-AU"/>
              </w:rPr>
              <w:instrText xml:space="preserve"> REF _Ref436660770 \h </w:instrText>
            </w:r>
            <w:r>
              <w:rPr>
                <w:lang w:eastAsia="en-AU"/>
              </w:rPr>
            </w:r>
            <w:r>
              <w:rPr>
                <w:lang w:eastAsia="en-AU"/>
              </w:rPr>
              <w:fldChar w:fldCharType="separate"/>
            </w:r>
            <w:r>
              <w:t>Disclosure of the invention</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[17]</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_Ref436660771 \w \h </w:instrText>
            </w:r>
            <w:r>
              <w:rPr>
                <w:lang w:eastAsia="en-AU"/>
              </w:rPr>
            </w:r>
            <w:r>
              <w:rPr>
                <w:lang w:eastAsia="en-AU"/>
              </w:rPr>
              <w:fldChar w:fldCharType="separate"/>
            </w:r>
            <w:r>
              <w:rPr>
                <w:lang w:eastAsia="en-AU"/>
              </w:rPr>
              <w:t>2.3</w:t>
            </w:r>
            <w:r>
              <w:rPr>
                <w:lang w:eastAsia="en-AU"/>
              </w:rPr>
              <w:fldChar w:fldCharType="end"/>
            </w:r>
            <w:r>
              <w:rPr>
                <w:lang w:eastAsia="en-AU"/>
              </w:rPr>
              <w:tab/>
            </w:r>
            <w:r>
              <w:rPr>
                <w:lang w:eastAsia="en-AU"/>
              </w:rPr>
              <w:fldChar w:fldCharType="begin"/>
            </w:r>
            <w:r>
              <w:rPr>
                <w:lang w:eastAsia="en-AU"/>
              </w:rPr>
              <w:instrText xml:space="preserve"> REF _Ref436660771 \h </w:instrText>
            </w:r>
            <w:r>
              <w:rPr>
                <w:lang w:eastAsia="en-AU"/>
              </w:rPr>
            </w:r>
            <w:r>
              <w:rPr>
                <w:lang w:eastAsia="en-AU"/>
              </w:rPr>
              <w:fldChar w:fldCharType="separate"/>
            </w:r>
            <w:r>
              <w:t>Best mode for carrying out the invention</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[19]</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_Ref410890365 \w \h </w:instrText>
            </w:r>
            <w:r>
              <w:rPr>
                <w:lang w:eastAsia="en-AU"/>
              </w:rPr>
            </w:r>
            <w:r>
              <w:rPr>
                <w:lang w:eastAsia="en-AU"/>
              </w:rPr>
              <w:fldChar w:fldCharType="separate"/>
            </w:r>
            <w:r>
              <w:rPr>
                <w:lang w:eastAsia="en-AU"/>
              </w:rPr>
              <w:t>2.4</w:t>
            </w:r>
            <w:r>
              <w:rPr>
                <w:lang w:eastAsia="en-AU"/>
              </w:rPr>
              <w:fldChar w:fldCharType="end"/>
            </w:r>
            <w:r>
              <w:rPr>
                <w:lang w:eastAsia="en-AU"/>
              </w:rPr>
              <w:tab/>
            </w:r>
            <w:r>
              <w:rPr>
                <w:lang w:eastAsia="en-AU"/>
              </w:rPr>
              <w:fldChar w:fldCharType="begin"/>
            </w:r>
            <w:r>
              <w:rPr>
                <w:lang w:eastAsia="en-AU"/>
              </w:rPr>
              <w:instrText xml:space="preserve"> REF _Ref410890365 \h </w:instrText>
            </w:r>
            <w:r>
              <w:rPr>
                <w:lang w:eastAsia="en-AU"/>
              </w:rPr>
            </w:r>
            <w:r>
              <w:rPr>
                <w:lang w:eastAsia="en-AU"/>
              </w:rPr>
              <w:fldChar w:fldCharType="separate"/>
            </w:r>
            <w:r>
              <w:t>The claims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[46]</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_Ref410890366 \w \h </w:instrText>
            </w:r>
            <w:r>
              <w:rPr>
                <w:lang w:eastAsia="en-AU"/>
              </w:rPr>
            </w:r>
            <w:r>
              <w:rPr>
                <w:lang w:eastAsia="en-AU"/>
              </w:rPr>
              <w:fldChar w:fldCharType="separate"/>
            </w:r>
            <w:r>
              <w:rPr>
                <w:lang w:eastAsia="en-AU"/>
              </w:rPr>
              <w:t>2.5</w:t>
            </w:r>
            <w:r>
              <w:rPr>
                <w:lang w:eastAsia="en-AU"/>
              </w:rPr>
              <w:fldChar w:fldCharType="end"/>
            </w:r>
            <w:r>
              <w:rPr>
                <w:lang w:eastAsia="en-AU"/>
              </w:rPr>
              <w:tab/>
            </w:r>
            <w:r>
              <w:rPr>
                <w:lang w:eastAsia="en-AU"/>
              </w:rPr>
              <w:fldChar w:fldCharType="begin"/>
            </w:r>
            <w:r>
              <w:rPr>
                <w:lang w:eastAsia="en-AU"/>
              </w:rPr>
              <w:instrText xml:space="preserve"> REF _Ref410890366 \h </w:instrText>
            </w:r>
            <w:r>
              <w:rPr>
                <w:lang w:eastAsia="en-AU"/>
              </w:rPr>
            </w:r>
            <w:r>
              <w:rPr>
                <w:lang w:eastAsia="en-AU"/>
              </w:rPr>
              <w:fldChar w:fldCharType="separate"/>
            </w:r>
            <w:r>
              <w:t>Dates of grant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[48]</w:t>
            </w:r>
          </w:p>
        </w:tc>
      </w:tr>
      <w:tr w:rsidR="002548F4" w:rsidRPr="00D326DB" w:rsidTr="002548F4">
        <w:tc>
          <w:tcPr>
            <w:tcW w:w="8507" w:type="dxa"/>
            <w:shd w:val="clear" w:color="auto" w:fill="auto"/>
          </w:tcPr>
          <w:p w:rsidR="002548F4" w:rsidRPr="002548F4" w:rsidRDefault="002548F4" w:rsidP="002548F4">
            <w:pPr>
              <w:pStyle w:val="FTOC5"/>
              <w:tabs>
                <w:tab w:val="clear" w:pos="9072"/>
              </w:tabs>
              <w:rPr>
                <w:lang w:eastAsia="en-AU"/>
              </w:rPr>
            </w:pPr>
            <w:r>
              <w:rPr>
                <w:lang w:eastAsia="en-AU"/>
              </w:rPr>
              <w:lastRenderedPageBreak/>
              <w:fldChar w:fldCharType="begin"/>
            </w:r>
            <w:r>
              <w:rPr>
                <w:lang w:eastAsia="en-AU"/>
              </w:rPr>
              <w:instrText xml:space="preserve"> REF _Ref403035668 \w \h </w:instrText>
            </w:r>
            <w:r>
              <w:rPr>
                <w:lang w:eastAsia="en-AU"/>
              </w:rPr>
            </w:r>
            <w:r>
              <w:rPr>
                <w:lang w:eastAsia="en-AU"/>
              </w:rPr>
              <w:fldChar w:fldCharType="separate"/>
            </w:r>
            <w:r>
              <w:rPr>
                <w:lang w:eastAsia="en-AU"/>
              </w:rPr>
              <w:t>3</w:t>
            </w:r>
            <w:r>
              <w:rPr>
                <w:lang w:eastAsia="en-AU"/>
              </w:rPr>
              <w:fldChar w:fldCharType="end"/>
            </w:r>
            <w:r>
              <w:rPr>
                <w:lang w:eastAsia="en-AU"/>
              </w:rPr>
              <w:tab/>
            </w:r>
            <w:r>
              <w:rPr>
                <w:lang w:eastAsia="en-AU"/>
              </w:rPr>
              <w:fldChar w:fldCharType="begin"/>
            </w:r>
            <w:r>
              <w:rPr>
                <w:lang w:eastAsia="en-AU"/>
              </w:rPr>
              <w:instrText xml:space="preserve"> REF _Ref403035668 \h </w:instrText>
            </w:r>
            <w:r>
              <w:rPr>
                <w:lang w:eastAsia="en-AU"/>
              </w:rPr>
            </w:r>
            <w:r>
              <w:rPr>
                <w:lang w:eastAsia="en-AU"/>
              </w:rPr>
              <w:fldChar w:fldCharType="separate"/>
            </w:r>
            <w:r>
              <w:t>KEY FACTS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[55]</w:t>
            </w:r>
          </w:p>
        </w:tc>
      </w:tr>
      <w:tr w:rsidR="002548F4" w:rsidRPr="00D326DB" w:rsidTr="002548F4">
        <w:tc>
          <w:tcPr>
            <w:tcW w:w="8507" w:type="dxa"/>
            <w:shd w:val="clear" w:color="auto" w:fill="auto"/>
          </w:tcPr>
          <w:p w:rsidR="002548F4" w:rsidRPr="002548F4" w:rsidRDefault="002548F4" w:rsidP="002548F4">
            <w:pPr>
              <w:pStyle w:val="FTOC5"/>
              <w:tabs>
                <w:tab w:val="clear" w:pos="9072"/>
              </w:tabs>
              <w:rPr>
                <w:lang w:eastAsia="en-AU"/>
              </w:rPr>
            </w:pPr>
            <w:r>
              <w:rPr>
                <w:lang w:eastAsia="en-AU"/>
              </w:rPr>
              <w:fldChar w:fldCharType="begin"/>
            </w:r>
            <w:r>
              <w:rPr>
                <w:lang w:eastAsia="en-AU"/>
              </w:rPr>
              <w:instrText xml:space="preserve"> REF _Ref404090346 \w \h </w:instrText>
            </w:r>
            <w:r>
              <w:rPr>
                <w:lang w:eastAsia="en-AU"/>
              </w:rPr>
            </w:r>
            <w:r>
              <w:rPr>
                <w:lang w:eastAsia="en-AU"/>
              </w:rPr>
              <w:fldChar w:fldCharType="separate"/>
            </w:r>
            <w:r>
              <w:rPr>
                <w:lang w:eastAsia="en-AU"/>
              </w:rPr>
              <w:t>4</w:t>
            </w:r>
            <w:r>
              <w:rPr>
                <w:lang w:eastAsia="en-AU"/>
              </w:rPr>
              <w:fldChar w:fldCharType="end"/>
            </w:r>
            <w:r>
              <w:rPr>
                <w:lang w:eastAsia="en-AU"/>
              </w:rPr>
              <w:tab/>
            </w:r>
            <w:r>
              <w:rPr>
                <w:lang w:eastAsia="en-AU"/>
              </w:rPr>
              <w:fldChar w:fldCharType="begin"/>
            </w:r>
            <w:r>
              <w:rPr>
                <w:lang w:eastAsia="en-AU"/>
              </w:rPr>
              <w:instrText xml:space="preserve"> REF _Ref404090346 \h </w:instrText>
            </w:r>
            <w:r>
              <w:rPr>
                <w:lang w:eastAsia="en-AU"/>
              </w:rPr>
            </w:r>
            <w:r>
              <w:rPr>
                <w:lang w:eastAsia="en-AU"/>
              </w:rPr>
              <w:fldChar w:fldCharType="separate"/>
            </w:r>
            <w:r>
              <w:t>THE ISSUES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[73]</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_Ref436891528 \w \h </w:instrText>
            </w:r>
            <w:r>
              <w:rPr>
                <w:lang w:eastAsia="en-AU"/>
              </w:rPr>
            </w:r>
            <w:r>
              <w:rPr>
                <w:lang w:eastAsia="en-AU"/>
              </w:rPr>
              <w:fldChar w:fldCharType="separate"/>
            </w:r>
            <w:r>
              <w:rPr>
                <w:lang w:eastAsia="en-AU"/>
              </w:rPr>
              <w:t>4.1</w:t>
            </w:r>
            <w:r>
              <w:rPr>
                <w:lang w:eastAsia="en-AU"/>
              </w:rPr>
              <w:fldChar w:fldCharType="end"/>
            </w:r>
            <w:r>
              <w:rPr>
                <w:lang w:eastAsia="en-AU"/>
              </w:rPr>
              <w:tab/>
            </w:r>
            <w:r>
              <w:rPr>
                <w:lang w:eastAsia="en-AU"/>
              </w:rPr>
              <w:fldChar w:fldCharType="begin"/>
            </w:r>
            <w:r>
              <w:rPr>
                <w:lang w:eastAsia="en-AU"/>
              </w:rPr>
              <w:instrText xml:space="preserve"> REF _Ref436891528 \h </w:instrText>
            </w:r>
            <w:r>
              <w:rPr>
                <w:lang w:eastAsia="en-AU"/>
              </w:rPr>
            </w:r>
            <w:r>
              <w:rPr>
                <w:lang w:eastAsia="en-AU"/>
              </w:rPr>
              <w:fldChar w:fldCharType="separate"/>
            </w:r>
            <w:r>
              <w:t>Infringement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[74]</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_Ref436722504 \w \h </w:instrText>
            </w:r>
            <w:r>
              <w:rPr>
                <w:lang w:eastAsia="en-AU"/>
              </w:rPr>
            </w:r>
            <w:r>
              <w:rPr>
                <w:lang w:eastAsia="en-AU"/>
              </w:rPr>
              <w:fldChar w:fldCharType="separate"/>
            </w:r>
            <w:r>
              <w:rPr>
                <w:lang w:eastAsia="en-AU"/>
              </w:rPr>
              <w:t>4.1.1</w:t>
            </w:r>
            <w:r>
              <w:rPr>
                <w:lang w:eastAsia="en-AU"/>
              </w:rPr>
              <w:fldChar w:fldCharType="end"/>
            </w:r>
            <w:r>
              <w:rPr>
                <w:lang w:eastAsia="en-AU"/>
              </w:rPr>
              <w:tab/>
            </w:r>
            <w:r>
              <w:rPr>
                <w:lang w:eastAsia="en-AU"/>
              </w:rPr>
              <w:fldChar w:fldCharType="begin"/>
            </w:r>
            <w:r>
              <w:rPr>
                <w:lang w:eastAsia="en-AU"/>
              </w:rPr>
              <w:instrText xml:space="preserve"> REF _Ref436722504 \h </w:instrText>
            </w:r>
            <w:r>
              <w:rPr>
                <w:lang w:eastAsia="en-AU"/>
              </w:rPr>
            </w:r>
            <w:r>
              <w:rPr>
                <w:lang w:eastAsia="en-AU"/>
              </w:rPr>
              <w:fldChar w:fldCharType="separate"/>
            </w:r>
            <w:r>
              <w:t>Exclusive licensee and priority dates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[74]</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_Ref436660773 \w \h </w:instrText>
            </w:r>
            <w:r>
              <w:rPr>
                <w:lang w:eastAsia="en-AU"/>
              </w:rPr>
            </w:r>
            <w:r>
              <w:rPr>
                <w:lang w:eastAsia="en-AU"/>
              </w:rPr>
              <w:fldChar w:fldCharType="separate"/>
            </w:r>
            <w:r>
              <w:rPr>
                <w:lang w:eastAsia="en-AU"/>
              </w:rPr>
              <w:t>4.1.2</w:t>
            </w:r>
            <w:r>
              <w:rPr>
                <w:lang w:eastAsia="en-AU"/>
              </w:rPr>
              <w:fldChar w:fldCharType="end"/>
            </w:r>
            <w:r>
              <w:rPr>
                <w:lang w:eastAsia="en-AU"/>
              </w:rPr>
              <w:tab/>
            </w:r>
            <w:r>
              <w:rPr>
                <w:lang w:eastAsia="en-AU"/>
              </w:rPr>
              <w:fldChar w:fldCharType="begin"/>
            </w:r>
            <w:r>
              <w:rPr>
                <w:lang w:eastAsia="en-AU"/>
              </w:rPr>
              <w:instrText xml:space="preserve"> REF _Ref436660773 \h </w:instrText>
            </w:r>
            <w:r>
              <w:rPr>
                <w:lang w:eastAsia="en-AU"/>
              </w:rPr>
            </w:r>
            <w:r>
              <w:rPr>
                <w:lang w:eastAsia="en-AU"/>
              </w:rPr>
              <w:fldChar w:fldCharType="separate"/>
            </w:r>
            <w:r>
              <w:t>Claims of direct infringement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[75]</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_Ref436660774 \w \h </w:instrText>
            </w:r>
            <w:r>
              <w:rPr>
                <w:lang w:eastAsia="en-AU"/>
              </w:rPr>
            </w:r>
            <w:r>
              <w:rPr>
                <w:lang w:eastAsia="en-AU"/>
              </w:rPr>
              <w:fldChar w:fldCharType="separate"/>
            </w:r>
            <w:r>
              <w:rPr>
                <w:lang w:eastAsia="en-AU"/>
              </w:rPr>
              <w:t>4.1.3</w:t>
            </w:r>
            <w:r>
              <w:rPr>
                <w:lang w:eastAsia="en-AU"/>
              </w:rPr>
              <w:fldChar w:fldCharType="end"/>
            </w:r>
            <w:r>
              <w:rPr>
                <w:lang w:eastAsia="en-AU"/>
              </w:rPr>
              <w:tab/>
            </w:r>
            <w:r>
              <w:rPr>
                <w:lang w:eastAsia="en-AU"/>
              </w:rPr>
              <w:fldChar w:fldCharType="begin"/>
            </w:r>
            <w:r>
              <w:rPr>
                <w:lang w:eastAsia="en-AU"/>
              </w:rPr>
              <w:instrText xml:space="preserve"> REF _Ref436660774 \h </w:instrText>
            </w:r>
            <w:r>
              <w:rPr>
                <w:lang w:eastAsia="en-AU"/>
              </w:rPr>
            </w:r>
            <w:r>
              <w:rPr>
                <w:lang w:eastAsia="en-AU"/>
              </w:rPr>
              <w:fldChar w:fldCharType="separate"/>
            </w:r>
            <w:r>
              <w:t>Proper construction</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[78]</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_Ref436660776 \w \h </w:instrText>
            </w:r>
            <w:r>
              <w:rPr>
                <w:lang w:eastAsia="en-AU"/>
              </w:rPr>
            </w:r>
            <w:r>
              <w:rPr>
                <w:lang w:eastAsia="en-AU"/>
              </w:rPr>
              <w:fldChar w:fldCharType="separate"/>
            </w:r>
            <w:r>
              <w:rPr>
                <w:lang w:eastAsia="en-AU"/>
              </w:rPr>
              <w:t>4.1.4</w:t>
            </w:r>
            <w:r>
              <w:rPr>
                <w:lang w:eastAsia="en-AU"/>
              </w:rPr>
              <w:fldChar w:fldCharType="end"/>
            </w:r>
            <w:r>
              <w:rPr>
                <w:lang w:eastAsia="en-AU"/>
              </w:rPr>
              <w:tab/>
            </w:r>
            <w:r>
              <w:rPr>
                <w:lang w:eastAsia="en-AU"/>
              </w:rPr>
              <w:fldChar w:fldCharType="begin"/>
            </w:r>
            <w:r>
              <w:rPr>
                <w:lang w:eastAsia="en-AU"/>
              </w:rPr>
              <w:instrText xml:space="preserve"> REF _Ref436660776 \h </w:instrText>
            </w:r>
            <w:r>
              <w:rPr>
                <w:lang w:eastAsia="en-AU"/>
              </w:rPr>
            </w:r>
            <w:r>
              <w:rPr>
                <w:lang w:eastAsia="en-AU"/>
              </w:rPr>
              <w:fldChar w:fldCharType="separate"/>
            </w:r>
            <w:r w:rsidRPr="00954C17">
              <w:t xml:space="preserve">Infringement of </w:t>
            </w:r>
            <w:r>
              <w:t>S</w:t>
            </w:r>
            <w:r w:rsidRPr="00954C17">
              <w:t xml:space="preserve">ystem </w:t>
            </w:r>
            <w:r>
              <w:t>P</w:t>
            </w:r>
            <w:r w:rsidRPr="00954C17">
              <w:t>atent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[80]</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_Ref436660777 \w \h </w:instrText>
            </w:r>
            <w:r>
              <w:rPr>
                <w:lang w:eastAsia="en-AU"/>
              </w:rPr>
            </w:r>
            <w:r>
              <w:rPr>
                <w:lang w:eastAsia="en-AU"/>
              </w:rPr>
              <w:fldChar w:fldCharType="separate"/>
            </w:r>
            <w:r>
              <w:rPr>
                <w:lang w:eastAsia="en-AU"/>
              </w:rPr>
              <w:t>4.1.4.1</w:t>
            </w:r>
            <w:r>
              <w:rPr>
                <w:lang w:eastAsia="en-AU"/>
              </w:rPr>
              <w:fldChar w:fldCharType="end"/>
            </w:r>
            <w:r>
              <w:rPr>
                <w:lang w:eastAsia="en-AU"/>
              </w:rPr>
              <w:tab/>
            </w:r>
            <w:r>
              <w:rPr>
                <w:lang w:eastAsia="en-AU"/>
              </w:rPr>
              <w:fldChar w:fldCharType="begin"/>
            </w:r>
            <w:r>
              <w:rPr>
                <w:lang w:eastAsia="en-AU"/>
              </w:rPr>
              <w:instrText xml:space="preserve"> REF _Ref436660777 \h </w:instrText>
            </w:r>
            <w:r>
              <w:rPr>
                <w:lang w:eastAsia="en-AU"/>
              </w:rPr>
            </w:r>
            <w:r>
              <w:rPr>
                <w:lang w:eastAsia="en-AU"/>
              </w:rPr>
              <w:fldChar w:fldCharType="separate"/>
            </w:r>
            <w:r w:rsidRPr="00803616">
              <w:t xml:space="preserve">Making </w:t>
            </w:r>
            <w:r>
              <w:t>ORIshot Tool</w:t>
            </w:r>
            <w:r w:rsidRPr="00803616">
              <w:t>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[80]</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_Ref436660778 \w \h </w:instrText>
            </w:r>
            <w:r>
              <w:rPr>
                <w:lang w:eastAsia="en-AU"/>
              </w:rPr>
            </w:r>
            <w:r>
              <w:rPr>
                <w:lang w:eastAsia="en-AU"/>
              </w:rPr>
              <w:fldChar w:fldCharType="separate"/>
            </w:r>
            <w:r>
              <w:rPr>
                <w:lang w:eastAsia="en-AU"/>
              </w:rPr>
              <w:t>4.1.4.2</w:t>
            </w:r>
            <w:r>
              <w:rPr>
                <w:lang w:eastAsia="en-AU"/>
              </w:rPr>
              <w:fldChar w:fldCharType="end"/>
            </w:r>
            <w:r>
              <w:rPr>
                <w:lang w:eastAsia="en-AU"/>
              </w:rPr>
              <w:tab/>
            </w:r>
            <w:r>
              <w:rPr>
                <w:lang w:eastAsia="en-AU"/>
              </w:rPr>
              <w:fldChar w:fldCharType="begin"/>
            </w:r>
            <w:r>
              <w:rPr>
                <w:lang w:eastAsia="en-AU"/>
              </w:rPr>
              <w:instrText xml:space="preserve"> REF _Ref436660778 \h </w:instrText>
            </w:r>
            <w:r>
              <w:rPr>
                <w:lang w:eastAsia="en-AU"/>
              </w:rPr>
            </w:r>
            <w:r>
              <w:rPr>
                <w:lang w:eastAsia="en-AU"/>
              </w:rPr>
              <w:fldChar w:fldCharType="separate"/>
            </w:r>
            <w:r w:rsidRPr="00F91E8A">
              <w:t xml:space="preserve">Sales and supply of </w:t>
            </w:r>
            <w:r>
              <w:t>ORIshot Tool</w:t>
            </w:r>
            <w:r w:rsidRPr="00F91E8A">
              <w:t xml:space="preserve">s, supply of </w:t>
            </w:r>
            <w:r>
              <w:t>ORIshot Tool</w:t>
            </w:r>
            <w:r w:rsidRPr="00F91E8A">
              <w:t>s for use</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[82]</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_Ref436660779 \w \h </w:instrText>
            </w:r>
            <w:r>
              <w:rPr>
                <w:lang w:eastAsia="en-AU"/>
              </w:rPr>
            </w:r>
            <w:r>
              <w:rPr>
                <w:lang w:eastAsia="en-AU"/>
              </w:rPr>
              <w:fldChar w:fldCharType="separate"/>
            </w:r>
            <w:r>
              <w:rPr>
                <w:lang w:eastAsia="en-AU"/>
              </w:rPr>
              <w:t>4.1.4.3</w:t>
            </w:r>
            <w:r>
              <w:rPr>
                <w:lang w:eastAsia="en-AU"/>
              </w:rPr>
              <w:fldChar w:fldCharType="end"/>
            </w:r>
            <w:r>
              <w:rPr>
                <w:lang w:eastAsia="en-AU"/>
              </w:rPr>
              <w:tab/>
            </w:r>
            <w:r>
              <w:rPr>
                <w:lang w:eastAsia="en-AU"/>
              </w:rPr>
              <w:fldChar w:fldCharType="begin"/>
            </w:r>
            <w:r>
              <w:rPr>
                <w:lang w:eastAsia="en-AU"/>
              </w:rPr>
              <w:instrText xml:space="preserve"> REF _Ref436660779 \h </w:instrText>
            </w:r>
            <w:r>
              <w:rPr>
                <w:lang w:eastAsia="en-AU"/>
              </w:rPr>
            </w:r>
            <w:r>
              <w:rPr>
                <w:lang w:eastAsia="en-AU"/>
              </w:rPr>
              <w:fldChar w:fldCharType="separate"/>
            </w:r>
            <w:r w:rsidRPr="00DC07C0">
              <w:t>Features of claims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[84]</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_Ref436660780 \w \h </w:instrText>
            </w:r>
            <w:r>
              <w:rPr>
                <w:lang w:eastAsia="en-AU"/>
              </w:rPr>
            </w:r>
            <w:r>
              <w:rPr>
                <w:lang w:eastAsia="en-AU"/>
              </w:rPr>
              <w:fldChar w:fldCharType="separate"/>
            </w:r>
            <w:r>
              <w:rPr>
                <w:lang w:eastAsia="en-AU"/>
              </w:rPr>
              <w:t>4.1.5</w:t>
            </w:r>
            <w:r>
              <w:rPr>
                <w:lang w:eastAsia="en-AU"/>
              </w:rPr>
              <w:fldChar w:fldCharType="end"/>
            </w:r>
            <w:r>
              <w:rPr>
                <w:lang w:eastAsia="en-AU"/>
              </w:rPr>
              <w:tab/>
            </w:r>
            <w:r>
              <w:rPr>
                <w:lang w:eastAsia="en-AU"/>
              </w:rPr>
              <w:fldChar w:fldCharType="begin"/>
            </w:r>
            <w:r>
              <w:rPr>
                <w:lang w:eastAsia="en-AU"/>
              </w:rPr>
              <w:instrText xml:space="preserve"> REF _Ref436660780 \h </w:instrText>
            </w:r>
            <w:r>
              <w:rPr>
                <w:lang w:eastAsia="en-AU"/>
              </w:rPr>
            </w:r>
            <w:r>
              <w:rPr>
                <w:lang w:eastAsia="en-AU"/>
              </w:rPr>
              <w:fldChar w:fldCharType="separate"/>
            </w:r>
            <w:r w:rsidRPr="00C4777F">
              <w:t xml:space="preserve">Infringement of </w:t>
            </w:r>
            <w:r>
              <w:t>M</w:t>
            </w:r>
            <w:r w:rsidRPr="00C4777F">
              <w:t xml:space="preserve">ethod </w:t>
            </w:r>
            <w:r>
              <w:t>P</w:t>
            </w:r>
            <w:r w:rsidRPr="00C4777F">
              <w:t>atent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[87]</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_Ref436931745 \w \h </w:instrText>
            </w:r>
            <w:r>
              <w:rPr>
                <w:lang w:eastAsia="en-AU"/>
              </w:rPr>
            </w:r>
            <w:r>
              <w:rPr>
                <w:lang w:eastAsia="en-AU"/>
              </w:rPr>
              <w:fldChar w:fldCharType="separate"/>
            </w:r>
            <w:r>
              <w:rPr>
                <w:lang w:eastAsia="en-AU"/>
              </w:rPr>
              <w:t>4.1.5.1</w:t>
            </w:r>
            <w:r>
              <w:rPr>
                <w:lang w:eastAsia="en-AU"/>
              </w:rPr>
              <w:fldChar w:fldCharType="end"/>
            </w:r>
            <w:r>
              <w:rPr>
                <w:lang w:eastAsia="en-AU"/>
              </w:rPr>
              <w:tab/>
            </w:r>
            <w:r>
              <w:rPr>
                <w:lang w:eastAsia="en-AU"/>
              </w:rPr>
              <w:fldChar w:fldCharType="begin"/>
            </w:r>
            <w:r>
              <w:rPr>
                <w:lang w:eastAsia="en-AU"/>
              </w:rPr>
              <w:instrText xml:space="preserve"> REF _Ref436931745 \h </w:instrText>
            </w:r>
            <w:r>
              <w:rPr>
                <w:lang w:eastAsia="en-AU"/>
              </w:rPr>
            </w:r>
            <w:r>
              <w:rPr>
                <w:lang w:eastAsia="en-AU"/>
              </w:rPr>
              <w:fldChar w:fldCharType="separate"/>
            </w:r>
            <w:r>
              <w:t>Sale etc of ORIshot Tools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[95]</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_Ref436660782 \w \h </w:instrText>
            </w:r>
            <w:r>
              <w:rPr>
                <w:lang w:eastAsia="en-AU"/>
              </w:rPr>
            </w:r>
            <w:r>
              <w:rPr>
                <w:lang w:eastAsia="en-AU"/>
              </w:rPr>
              <w:fldChar w:fldCharType="separate"/>
            </w:r>
            <w:r>
              <w:rPr>
                <w:lang w:eastAsia="en-AU"/>
              </w:rPr>
              <w:t>4.1.6</w:t>
            </w:r>
            <w:r>
              <w:rPr>
                <w:lang w:eastAsia="en-AU"/>
              </w:rPr>
              <w:fldChar w:fldCharType="end"/>
            </w:r>
            <w:r>
              <w:rPr>
                <w:lang w:eastAsia="en-AU"/>
              </w:rPr>
              <w:tab/>
            </w:r>
            <w:r>
              <w:rPr>
                <w:lang w:eastAsia="en-AU"/>
              </w:rPr>
              <w:fldChar w:fldCharType="begin"/>
            </w:r>
            <w:r>
              <w:rPr>
                <w:lang w:eastAsia="en-AU"/>
              </w:rPr>
              <w:instrText xml:space="preserve"> REF _Ref436660782 \h </w:instrText>
            </w:r>
            <w:r>
              <w:rPr>
                <w:lang w:eastAsia="en-AU"/>
              </w:rPr>
            </w:r>
            <w:r>
              <w:rPr>
                <w:lang w:eastAsia="en-AU"/>
              </w:rPr>
              <w:fldChar w:fldCharType="separate"/>
            </w:r>
            <w:r w:rsidRPr="00C4777F">
              <w:t>Accessorial liability</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[98]</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_Ref436660783 \w \h </w:instrText>
            </w:r>
            <w:r>
              <w:rPr>
                <w:lang w:eastAsia="en-AU"/>
              </w:rPr>
            </w:r>
            <w:r>
              <w:rPr>
                <w:lang w:eastAsia="en-AU"/>
              </w:rPr>
              <w:fldChar w:fldCharType="separate"/>
            </w:r>
            <w:r>
              <w:rPr>
                <w:lang w:eastAsia="en-AU"/>
              </w:rPr>
              <w:t>4.1.6.1</w:t>
            </w:r>
            <w:r>
              <w:rPr>
                <w:lang w:eastAsia="en-AU"/>
              </w:rPr>
              <w:fldChar w:fldCharType="end"/>
            </w:r>
            <w:r>
              <w:rPr>
                <w:lang w:eastAsia="en-AU"/>
              </w:rPr>
              <w:tab/>
            </w:r>
            <w:r>
              <w:rPr>
                <w:lang w:eastAsia="en-AU"/>
              </w:rPr>
              <w:fldChar w:fldCharType="begin"/>
            </w:r>
            <w:r>
              <w:rPr>
                <w:lang w:eastAsia="en-AU"/>
              </w:rPr>
              <w:instrText xml:space="preserve"> REF _Ref436660783 \h </w:instrText>
            </w:r>
            <w:r>
              <w:rPr>
                <w:lang w:eastAsia="en-AU"/>
              </w:rPr>
            </w:r>
            <w:r>
              <w:rPr>
                <w:lang w:eastAsia="en-AU"/>
              </w:rPr>
              <w:fldChar w:fldCharType="separate"/>
            </w:r>
            <w:r w:rsidRPr="00E23CBE">
              <w:t>Mincrest and Kleyn Investments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[98]</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_Ref436660784 \w \h </w:instrText>
            </w:r>
            <w:r>
              <w:rPr>
                <w:lang w:eastAsia="en-AU"/>
              </w:rPr>
            </w:r>
            <w:r>
              <w:rPr>
                <w:lang w:eastAsia="en-AU"/>
              </w:rPr>
              <w:fldChar w:fldCharType="separate"/>
            </w:r>
            <w:r>
              <w:rPr>
                <w:lang w:eastAsia="en-AU"/>
              </w:rPr>
              <w:t>4.1.6.2</w:t>
            </w:r>
            <w:r>
              <w:rPr>
                <w:lang w:eastAsia="en-AU"/>
              </w:rPr>
              <w:fldChar w:fldCharType="end"/>
            </w:r>
            <w:r>
              <w:rPr>
                <w:lang w:eastAsia="en-AU"/>
              </w:rPr>
              <w:tab/>
            </w:r>
            <w:r>
              <w:rPr>
                <w:lang w:eastAsia="en-AU"/>
              </w:rPr>
              <w:fldChar w:fldCharType="begin"/>
            </w:r>
            <w:r>
              <w:rPr>
                <w:lang w:eastAsia="en-AU"/>
              </w:rPr>
              <w:instrText xml:space="preserve"> REF _Ref436660784 \h </w:instrText>
            </w:r>
            <w:r>
              <w:rPr>
                <w:lang w:eastAsia="en-AU"/>
              </w:rPr>
            </w:r>
            <w:r>
              <w:rPr>
                <w:lang w:eastAsia="en-AU"/>
              </w:rPr>
              <w:fldChar w:fldCharType="separate"/>
            </w:r>
            <w:r w:rsidRPr="00465723">
              <w:t>Mr Kleyn</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[101]</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_Ref436660785 \w \h </w:instrText>
            </w:r>
            <w:r>
              <w:rPr>
                <w:lang w:eastAsia="en-AU"/>
              </w:rPr>
            </w:r>
            <w:r>
              <w:rPr>
                <w:lang w:eastAsia="en-AU"/>
              </w:rPr>
              <w:fldChar w:fldCharType="separate"/>
            </w:r>
            <w:r>
              <w:rPr>
                <w:lang w:eastAsia="en-AU"/>
              </w:rPr>
              <w:t>4.1.6.3</w:t>
            </w:r>
            <w:r>
              <w:rPr>
                <w:lang w:eastAsia="en-AU"/>
              </w:rPr>
              <w:fldChar w:fldCharType="end"/>
            </w:r>
            <w:r>
              <w:rPr>
                <w:lang w:eastAsia="en-AU"/>
              </w:rPr>
              <w:tab/>
            </w:r>
            <w:r>
              <w:rPr>
                <w:lang w:eastAsia="en-AU"/>
              </w:rPr>
              <w:fldChar w:fldCharType="begin"/>
            </w:r>
            <w:r>
              <w:rPr>
                <w:lang w:eastAsia="en-AU"/>
              </w:rPr>
              <w:instrText xml:space="preserve"> REF _Ref436660785 \h </w:instrText>
            </w:r>
            <w:r>
              <w:rPr>
                <w:lang w:eastAsia="en-AU"/>
              </w:rPr>
            </w:r>
            <w:r>
              <w:rPr>
                <w:lang w:eastAsia="en-AU"/>
              </w:rPr>
              <w:fldChar w:fldCharType="separate"/>
            </w:r>
            <w:r w:rsidRPr="00D215AF">
              <w:t>Priority dates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[103]</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_Ref436660786 \w \h </w:instrText>
            </w:r>
            <w:r>
              <w:rPr>
                <w:lang w:eastAsia="en-AU"/>
              </w:rPr>
            </w:r>
            <w:r>
              <w:rPr>
                <w:lang w:eastAsia="en-AU"/>
              </w:rPr>
              <w:fldChar w:fldCharType="separate"/>
            </w:r>
            <w:r>
              <w:rPr>
                <w:lang w:eastAsia="en-AU"/>
              </w:rPr>
              <w:t>4.1.7</w:t>
            </w:r>
            <w:r>
              <w:rPr>
                <w:lang w:eastAsia="en-AU"/>
              </w:rPr>
              <w:fldChar w:fldCharType="end"/>
            </w:r>
            <w:r>
              <w:rPr>
                <w:lang w:eastAsia="en-AU"/>
              </w:rPr>
              <w:tab/>
            </w:r>
            <w:r>
              <w:rPr>
                <w:lang w:eastAsia="en-AU"/>
              </w:rPr>
              <w:fldChar w:fldCharType="begin"/>
            </w:r>
            <w:r>
              <w:rPr>
                <w:lang w:eastAsia="en-AU"/>
              </w:rPr>
              <w:instrText xml:space="preserve"> REF _Ref436660786 \h </w:instrText>
            </w:r>
            <w:r>
              <w:rPr>
                <w:lang w:eastAsia="en-AU"/>
              </w:rPr>
            </w:r>
            <w:r>
              <w:rPr>
                <w:lang w:eastAsia="en-AU"/>
              </w:rPr>
              <w:fldChar w:fldCharType="separate"/>
            </w:r>
            <w:r w:rsidRPr="0084155B">
              <w:t>Innocent infringement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[109]</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_Ref436722506 \w \h </w:instrText>
            </w:r>
            <w:r>
              <w:rPr>
                <w:lang w:eastAsia="en-AU"/>
              </w:rPr>
            </w:r>
            <w:r>
              <w:rPr>
                <w:lang w:eastAsia="en-AU"/>
              </w:rPr>
              <w:fldChar w:fldCharType="separate"/>
            </w:r>
            <w:r>
              <w:rPr>
                <w:lang w:eastAsia="en-AU"/>
              </w:rPr>
              <w:t>4.2</w:t>
            </w:r>
            <w:r>
              <w:rPr>
                <w:lang w:eastAsia="en-AU"/>
              </w:rPr>
              <w:fldChar w:fldCharType="end"/>
            </w:r>
            <w:r>
              <w:rPr>
                <w:lang w:eastAsia="en-AU"/>
              </w:rPr>
              <w:tab/>
            </w:r>
            <w:r>
              <w:rPr>
                <w:lang w:eastAsia="en-AU"/>
              </w:rPr>
              <w:fldChar w:fldCharType="begin"/>
            </w:r>
            <w:r>
              <w:rPr>
                <w:lang w:eastAsia="en-AU"/>
              </w:rPr>
              <w:instrText xml:space="preserve"> REF _Ref436722506 \h </w:instrText>
            </w:r>
            <w:r>
              <w:rPr>
                <w:lang w:eastAsia="en-AU"/>
              </w:rPr>
            </w:r>
            <w:r>
              <w:rPr>
                <w:lang w:eastAsia="en-AU"/>
              </w:rPr>
              <w:fldChar w:fldCharType="separate"/>
            </w:r>
            <w:r>
              <w:t>Invalidity</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[110]</w:t>
            </w:r>
          </w:p>
        </w:tc>
      </w:tr>
      <w:tr w:rsidR="002548F4" w:rsidRPr="00D326DB" w:rsidTr="002548F4">
        <w:tc>
          <w:tcPr>
            <w:tcW w:w="8507" w:type="dxa"/>
            <w:shd w:val="clear" w:color="auto" w:fill="auto"/>
          </w:tcPr>
          <w:p w:rsidR="002548F4" w:rsidRPr="002548F4" w:rsidRDefault="002548F4" w:rsidP="002548F4">
            <w:pPr>
              <w:pStyle w:val="FTOC5"/>
              <w:tabs>
                <w:tab w:val="clear" w:pos="9072"/>
              </w:tabs>
              <w:rPr>
                <w:lang w:eastAsia="en-AU"/>
              </w:rPr>
            </w:pPr>
            <w:r>
              <w:rPr>
                <w:lang w:eastAsia="en-AU"/>
              </w:rPr>
              <w:fldChar w:fldCharType="begin"/>
            </w:r>
            <w:r>
              <w:rPr>
                <w:lang w:eastAsia="en-AU"/>
              </w:rPr>
              <w:instrText xml:space="preserve"> REF _Ref409424806 \w \h </w:instrText>
            </w:r>
            <w:r>
              <w:rPr>
                <w:lang w:eastAsia="en-AU"/>
              </w:rPr>
            </w:r>
            <w:r>
              <w:rPr>
                <w:lang w:eastAsia="en-AU"/>
              </w:rPr>
              <w:fldChar w:fldCharType="separate"/>
            </w:r>
            <w:r>
              <w:rPr>
                <w:lang w:eastAsia="en-AU"/>
              </w:rPr>
              <w:t>5</w:t>
            </w:r>
            <w:r>
              <w:rPr>
                <w:lang w:eastAsia="en-AU"/>
              </w:rPr>
              <w:fldChar w:fldCharType="end"/>
            </w:r>
            <w:r>
              <w:rPr>
                <w:lang w:eastAsia="en-AU"/>
              </w:rPr>
              <w:tab/>
            </w:r>
            <w:r>
              <w:rPr>
                <w:lang w:eastAsia="en-AU"/>
              </w:rPr>
              <w:fldChar w:fldCharType="begin"/>
            </w:r>
            <w:r>
              <w:rPr>
                <w:lang w:eastAsia="en-AU"/>
              </w:rPr>
              <w:instrText xml:space="preserve"> REF _Ref409424806 \h </w:instrText>
            </w:r>
            <w:r>
              <w:rPr>
                <w:lang w:eastAsia="en-AU"/>
              </w:rPr>
            </w:r>
            <w:r>
              <w:rPr>
                <w:lang w:eastAsia="en-AU"/>
              </w:rPr>
              <w:fldChar w:fldCharType="separate"/>
            </w:r>
            <w:r>
              <w:t>SOME GUIDING PRINCIPLES ON CONSTRUCTION</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[113]</w:t>
            </w:r>
          </w:p>
        </w:tc>
      </w:tr>
      <w:tr w:rsidR="002548F4" w:rsidRPr="00D326DB" w:rsidTr="002548F4">
        <w:tc>
          <w:tcPr>
            <w:tcW w:w="8507" w:type="dxa"/>
            <w:shd w:val="clear" w:color="auto" w:fill="auto"/>
          </w:tcPr>
          <w:p w:rsidR="002548F4" w:rsidRPr="002548F4" w:rsidRDefault="002548F4" w:rsidP="002548F4">
            <w:pPr>
              <w:pStyle w:val="FTOC5"/>
              <w:tabs>
                <w:tab w:val="clear" w:pos="9072"/>
              </w:tabs>
              <w:rPr>
                <w:lang w:eastAsia="en-AU"/>
              </w:rPr>
            </w:pPr>
            <w:r>
              <w:rPr>
                <w:lang w:eastAsia="en-AU"/>
              </w:rPr>
              <w:fldChar w:fldCharType="begin"/>
            </w:r>
            <w:r>
              <w:rPr>
                <w:lang w:eastAsia="en-AU"/>
              </w:rPr>
              <w:instrText xml:space="preserve"> REF _Ref403035672 \w \h </w:instrText>
            </w:r>
            <w:r>
              <w:rPr>
                <w:lang w:eastAsia="en-AU"/>
              </w:rPr>
            </w:r>
            <w:r>
              <w:rPr>
                <w:lang w:eastAsia="en-AU"/>
              </w:rPr>
              <w:fldChar w:fldCharType="separate"/>
            </w:r>
            <w:r>
              <w:rPr>
                <w:lang w:eastAsia="en-AU"/>
              </w:rPr>
              <w:t>6</w:t>
            </w:r>
            <w:r>
              <w:rPr>
                <w:lang w:eastAsia="en-AU"/>
              </w:rPr>
              <w:fldChar w:fldCharType="end"/>
            </w:r>
            <w:r>
              <w:rPr>
                <w:lang w:eastAsia="en-AU"/>
              </w:rPr>
              <w:tab/>
            </w:r>
            <w:r>
              <w:rPr>
                <w:lang w:eastAsia="en-AU"/>
              </w:rPr>
              <w:fldChar w:fldCharType="begin"/>
            </w:r>
            <w:r>
              <w:rPr>
                <w:lang w:eastAsia="en-AU"/>
              </w:rPr>
              <w:instrText xml:space="preserve"> REF _Ref403035672 \h </w:instrText>
            </w:r>
            <w:r>
              <w:rPr>
                <w:lang w:eastAsia="en-AU"/>
              </w:rPr>
            </w:r>
            <w:r>
              <w:rPr>
                <w:lang w:eastAsia="en-AU"/>
              </w:rPr>
              <w:fldChar w:fldCharType="separate"/>
            </w:r>
            <w:r>
              <w:t>AN OVERVIEW OF THE ORAL EVIDENCE</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[122]</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_Ref436660787 \w \h </w:instrText>
            </w:r>
            <w:r>
              <w:rPr>
                <w:lang w:eastAsia="en-AU"/>
              </w:rPr>
            </w:r>
            <w:r>
              <w:rPr>
                <w:lang w:eastAsia="en-AU"/>
              </w:rPr>
              <w:fldChar w:fldCharType="separate"/>
            </w:r>
            <w:r>
              <w:rPr>
                <w:lang w:eastAsia="en-AU"/>
              </w:rPr>
              <w:t>6.1</w:t>
            </w:r>
            <w:r>
              <w:rPr>
                <w:lang w:eastAsia="en-AU"/>
              </w:rPr>
              <w:fldChar w:fldCharType="end"/>
            </w:r>
            <w:r>
              <w:rPr>
                <w:lang w:eastAsia="en-AU"/>
              </w:rPr>
              <w:tab/>
            </w:r>
            <w:r>
              <w:rPr>
                <w:lang w:eastAsia="en-AU"/>
              </w:rPr>
              <w:fldChar w:fldCharType="begin"/>
            </w:r>
            <w:r>
              <w:rPr>
                <w:lang w:eastAsia="en-AU"/>
              </w:rPr>
              <w:instrText xml:space="preserve"> REF _Ref436660787 \h </w:instrText>
            </w:r>
            <w:r>
              <w:rPr>
                <w:lang w:eastAsia="en-AU"/>
              </w:rPr>
            </w:r>
            <w:r>
              <w:rPr>
                <w:lang w:eastAsia="en-AU"/>
              </w:rPr>
              <w:fldChar w:fldCharType="separate"/>
            </w:r>
            <w:r>
              <w:t>Infringement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[126]</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_Ref436660788 \w \h </w:instrText>
            </w:r>
            <w:r>
              <w:rPr>
                <w:lang w:eastAsia="en-AU"/>
              </w:rPr>
            </w:r>
            <w:r>
              <w:rPr>
                <w:lang w:eastAsia="en-AU"/>
              </w:rPr>
              <w:fldChar w:fldCharType="separate"/>
            </w:r>
            <w:r>
              <w:rPr>
                <w:lang w:eastAsia="en-AU"/>
              </w:rPr>
              <w:t>6.2</w:t>
            </w:r>
            <w:r>
              <w:rPr>
                <w:lang w:eastAsia="en-AU"/>
              </w:rPr>
              <w:fldChar w:fldCharType="end"/>
            </w:r>
            <w:r>
              <w:rPr>
                <w:lang w:eastAsia="en-AU"/>
              </w:rPr>
              <w:tab/>
            </w:r>
            <w:r>
              <w:rPr>
                <w:lang w:eastAsia="en-AU"/>
              </w:rPr>
              <w:fldChar w:fldCharType="begin"/>
            </w:r>
            <w:r>
              <w:rPr>
                <w:lang w:eastAsia="en-AU"/>
              </w:rPr>
              <w:instrText xml:space="preserve"> REF _Ref436660788 \h </w:instrText>
            </w:r>
            <w:r>
              <w:rPr>
                <w:lang w:eastAsia="en-AU"/>
              </w:rPr>
            </w:r>
            <w:r>
              <w:rPr>
                <w:lang w:eastAsia="en-AU"/>
              </w:rPr>
              <w:fldChar w:fldCharType="separate"/>
            </w:r>
            <w:r>
              <w:t>Invalidity</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[159]</w:t>
            </w:r>
          </w:p>
        </w:tc>
      </w:tr>
      <w:tr w:rsidR="002548F4" w:rsidRPr="00D326DB" w:rsidTr="002548F4">
        <w:tc>
          <w:tcPr>
            <w:tcW w:w="8507" w:type="dxa"/>
            <w:shd w:val="clear" w:color="auto" w:fill="auto"/>
          </w:tcPr>
          <w:p w:rsidR="002548F4" w:rsidRPr="002548F4" w:rsidRDefault="002548F4" w:rsidP="002548F4">
            <w:pPr>
              <w:pStyle w:val="FTOC5"/>
              <w:tabs>
                <w:tab w:val="clear" w:pos="9072"/>
              </w:tabs>
              <w:rPr>
                <w:lang w:eastAsia="en-AU"/>
              </w:rPr>
            </w:pPr>
            <w:r>
              <w:rPr>
                <w:lang w:eastAsia="en-AU"/>
              </w:rPr>
              <w:fldChar w:fldCharType="begin"/>
            </w:r>
            <w:r>
              <w:rPr>
                <w:lang w:eastAsia="en-AU"/>
              </w:rPr>
              <w:instrText xml:space="preserve"> REF _Ref436660789 \w \h </w:instrText>
            </w:r>
            <w:r>
              <w:rPr>
                <w:lang w:eastAsia="en-AU"/>
              </w:rPr>
            </w:r>
            <w:r>
              <w:rPr>
                <w:lang w:eastAsia="en-AU"/>
              </w:rPr>
              <w:fldChar w:fldCharType="separate"/>
            </w:r>
            <w:r>
              <w:rPr>
                <w:lang w:eastAsia="en-AU"/>
              </w:rPr>
              <w:t>7</w:t>
            </w:r>
            <w:r>
              <w:rPr>
                <w:lang w:eastAsia="en-AU"/>
              </w:rPr>
              <w:fldChar w:fldCharType="end"/>
            </w:r>
            <w:r>
              <w:rPr>
                <w:lang w:eastAsia="en-AU"/>
              </w:rPr>
              <w:tab/>
            </w:r>
            <w:r>
              <w:rPr>
                <w:lang w:eastAsia="en-AU"/>
              </w:rPr>
              <w:fldChar w:fldCharType="begin"/>
            </w:r>
            <w:r>
              <w:rPr>
                <w:lang w:eastAsia="en-AU"/>
              </w:rPr>
              <w:instrText xml:space="preserve"> REF _Ref436660789 \h </w:instrText>
            </w:r>
            <w:r>
              <w:rPr>
                <w:lang w:eastAsia="en-AU"/>
              </w:rPr>
            </w:r>
            <w:r>
              <w:rPr>
                <w:lang w:eastAsia="en-AU"/>
              </w:rPr>
              <w:fldChar w:fldCharType="separate"/>
            </w:r>
            <w:r>
              <w:t>AMC’S CLAIM - INFRINGEMENT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[216]</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lastRenderedPageBreak/>
              <w:fldChar w:fldCharType="begin"/>
            </w:r>
            <w:r>
              <w:rPr>
                <w:lang w:eastAsia="en-AU"/>
              </w:rPr>
              <w:instrText xml:space="preserve"> REF _Ref403035674 \w \h </w:instrText>
            </w:r>
            <w:r>
              <w:rPr>
                <w:lang w:eastAsia="en-AU"/>
              </w:rPr>
            </w:r>
            <w:r>
              <w:rPr>
                <w:lang w:eastAsia="en-AU"/>
              </w:rPr>
              <w:fldChar w:fldCharType="separate"/>
            </w:r>
            <w:r>
              <w:rPr>
                <w:lang w:eastAsia="en-AU"/>
              </w:rPr>
              <w:t>7.1</w:t>
            </w:r>
            <w:r>
              <w:rPr>
                <w:lang w:eastAsia="en-AU"/>
              </w:rPr>
              <w:fldChar w:fldCharType="end"/>
            </w:r>
            <w:r>
              <w:rPr>
                <w:lang w:eastAsia="en-AU"/>
              </w:rPr>
              <w:tab/>
            </w:r>
            <w:r>
              <w:rPr>
                <w:lang w:eastAsia="en-AU"/>
              </w:rPr>
              <w:fldChar w:fldCharType="begin"/>
            </w:r>
            <w:r>
              <w:rPr>
                <w:lang w:eastAsia="en-AU"/>
              </w:rPr>
              <w:instrText xml:space="preserve"> REF _Ref403035674 \h </w:instrText>
            </w:r>
            <w:r>
              <w:rPr>
                <w:lang w:eastAsia="en-AU"/>
              </w:rPr>
            </w:r>
            <w:r>
              <w:rPr>
                <w:lang w:eastAsia="en-AU"/>
              </w:rPr>
              <w:fldChar w:fldCharType="separate"/>
            </w:r>
            <w:r>
              <w:t>Previous proceeding</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[216]</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_Ref436894460 \w \h </w:instrText>
            </w:r>
            <w:r>
              <w:rPr>
                <w:lang w:eastAsia="en-AU"/>
              </w:rPr>
            </w:r>
            <w:r>
              <w:rPr>
                <w:lang w:eastAsia="en-AU"/>
              </w:rPr>
              <w:fldChar w:fldCharType="separate"/>
            </w:r>
            <w:r>
              <w:rPr>
                <w:lang w:eastAsia="en-AU"/>
              </w:rPr>
              <w:t>7.2</w:t>
            </w:r>
            <w:r>
              <w:rPr>
                <w:lang w:eastAsia="en-AU"/>
              </w:rPr>
              <w:fldChar w:fldCharType="end"/>
            </w:r>
            <w:r>
              <w:rPr>
                <w:lang w:eastAsia="en-AU"/>
              </w:rPr>
              <w:tab/>
            </w:r>
            <w:r>
              <w:rPr>
                <w:lang w:eastAsia="en-AU"/>
              </w:rPr>
              <w:fldChar w:fldCharType="begin"/>
            </w:r>
            <w:r>
              <w:rPr>
                <w:lang w:eastAsia="en-AU"/>
              </w:rPr>
              <w:instrText xml:space="preserve"> REF _Ref436894460 \h </w:instrText>
            </w:r>
            <w:r>
              <w:rPr>
                <w:lang w:eastAsia="en-AU"/>
              </w:rPr>
            </w:r>
            <w:r>
              <w:rPr>
                <w:lang w:eastAsia="en-AU"/>
              </w:rPr>
              <w:fldChar w:fldCharType="separate"/>
            </w:r>
            <w:r>
              <w:t>The respondents’ arguments on infringement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[220]</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_Ref436722509 \w \h </w:instrText>
            </w:r>
            <w:r>
              <w:rPr>
                <w:lang w:eastAsia="en-AU"/>
              </w:rPr>
            </w:r>
            <w:r>
              <w:rPr>
                <w:lang w:eastAsia="en-AU"/>
              </w:rPr>
              <w:fldChar w:fldCharType="separate"/>
            </w:r>
            <w:r>
              <w:rPr>
                <w:lang w:eastAsia="en-AU"/>
              </w:rPr>
              <w:t>7.2.1</w:t>
            </w:r>
            <w:r>
              <w:rPr>
                <w:lang w:eastAsia="en-AU"/>
              </w:rPr>
              <w:fldChar w:fldCharType="end"/>
            </w:r>
            <w:r>
              <w:rPr>
                <w:lang w:eastAsia="en-AU"/>
              </w:rPr>
              <w:tab/>
            </w:r>
            <w:r>
              <w:rPr>
                <w:lang w:eastAsia="en-AU"/>
              </w:rPr>
              <w:fldChar w:fldCharType="begin"/>
            </w:r>
            <w:r>
              <w:rPr>
                <w:lang w:eastAsia="en-AU"/>
              </w:rPr>
              <w:instrText xml:space="preserve"> REF _Ref436722509 \h </w:instrText>
            </w:r>
            <w:r>
              <w:rPr>
                <w:lang w:eastAsia="en-AU"/>
              </w:rPr>
            </w:r>
            <w:r>
              <w:rPr>
                <w:lang w:eastAsia="en-AU"/>
              </w:rPr>
              <w:fldChar w:fldCharType="separate"/>
            </w:r>
            <w:r>
              <w:t>The structure of the argument on infringement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[222]</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_Ref403035678 \w \h </w:instrText>
            </w:r>
            <w:r>
              <w:rPr>
                <w:lang w:eastAsia="en-AU"/>
              </w:rPr>
            </w:r>
            <w:r>
              <w:rPr>
                <w:lang w:eastAsia="en-AU"/>
              </w:rPr>
              <w:fldChar w:fldCharType="separate"/>
            </w:r>
            <w:r>
              <w:rPr>
                <w:lang w:eastAsia="en-AU"/>
              </w:rPr>
              <w:t>7.2.2</w:t>
            </w:r>
            <w:r>
              <w:rPr>
                <w:lang w:eastAsia="en-AU"/>
              </w:rPr>
              <w:fldChar w:fldCharType="end"/>
            </w:r>
            <w:r>
              <w:rPr>
                <w:lang w:eastAsia="en-AU"/>
              </w:rPr>
              <w:tab/>
            </w:r>
            <w:r>
              <w:rPr>
                <w:lang w:eastAsia="en-AU"/>
              </w:rPr>
              <w:fldChar w:fldCharType="begin"/>
            </w:r>
            <w:r>
              <w:rPr>
                <w:lang w:eastAsia="en-AU"/>
              </w:rPr>
              <w:instrText xml:space="preserve"> REF _Ref403035678 \h </w:instrText>
            </w:r>
            <w:r>
              <w:rPr>
                <w:lang w:eastAsia="en-AU"/>
              </w:rPr>
            </w:r>
            <w:r>
              <w:rPr>
                <w:lang w:eastAsia="en-AU"/>
              </w:rPr>
              <w:fldChar w:fldCharType="separate"/>
            </w:r>
            <w:r>
              <w:t>A ‘unitary’ device</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[224]</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_Ref403035680 \w \h </w:instrText>
            </w:r>
            <w:r>
              <w:rPr>
                <w:lang w:eastAsia="en-AU"/>
              </w:rPr>
            </w:r>
            <w:r>
              <w:rPr>
                <w:lang w:eastAsia="en-AU"/>
              </w:rPr>
              <w:fldChar w:fldCharType="separate"/>
            </w:r>
            <w:r>
              <w:rPr>
                <w:lang w:eastAsia="en-AU"/>
              </w:rPr>
              <w:t>7.2.3</w:t>
            </w:r>
            <w:r>
              <w:rPr>
                <w:lang w:eastAsia="en-AU"/>
              </w:rPr>
              <w:fldChar w:fldCharType="end"/>
            </w:r>
            <w:r>
              <w:rPr>
                <w:lang w:eastAsia="en-AU"/>
              </w:rPr>
              <w:tab/>
            </w:r>
            <w:r>
              <w:rPr>
                <w:lang w:eastAsia="en-AU"/>
              </w:rPr>
              <w:fldChar w:fldCharType="begin"/>
            </w:r>
            <w:r>
              <w:rPr>
                <w:lang w:eastAsia="en-AU"/>
              </w:rPr>
              <w:instrText xml:space="preserve"> REF _Ref403035680 \h </w:instrText>
            </w:r>
            <w:r>
              <w:rPr>
                <w:lang w:eastAsia="en-AU"/>
              </w:rPr>
            </w:r>
            <w:r>
              <w:rPr>
                <w:lang w:eastAsia="en-AU"/>
              </w:rPr>
              <w:fldChar w:fldCharType="separate"/>
            </w:r>
            <w:r>
              <w:t>‘Input means’ or ‘inputting’</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[233]</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_Ref436660791 \w \h </w:instrText>
            </w:r>
            <w:r>
              <w:rPr>
                <w:lang w:eastAsia="en-AU"/>
              </w:rPr>
            </w:r>
            <w:r>
              <w:rPr>
                <w:lang w:eastAsia="en-AU"/>
              </w:rPr>
              <w:fldChar w:fldCharType="separate"/>
            </w:r>
            <w:r>
              <w:rPr>
                <w:lang w:eastAsia="en-AU"/>
              </w:rPr>
              <w:t>7.2.4</w:t>
            </w:r>
            <w:r>
              <w:rPr>
                <w:lang w:eastAsia="en-AU"/>
              </w:rPr>
              <w:fldChar w:fldCharType="end"/>
            </w:r>
            <w:r>
              <w:rPr>
                <w:lang w:eastAsia="en-AU"/>
              </w:rPr>
              <w:tab/>
            </w:r>
            <w:r>
              <w:rPr>
                <w:lang w:eastAsia="en-AU"/>
              </w:rPr>
              <w:fldChar w:fldCharType="begin"/>
            </w:r>
            <w:r>
              <w:rPr>
                <w:lang w:eastAsia="en-AU"/>
              </w:rPr>
              <w:instrText xml:space="preserve"> REF _Ref436660791 \h </w:instrText>
            </w:r>
            <w:r>
              <w:rPr>
                <w:lang w:eastAsia="en-AU"/>
              </w:rPr>
            </w:r>
            <w:r>
              <w:rPr>
                <w:lang w:eastAsia="en-AU"/>
              </w:rPr>
              <w:fldChar w:fldCharType="separate"/>
            </w:r>
            <w:r>
              <w:t>Context of the Patents – hard rock</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[241]</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_Ref436722510 \w \h </w:instrText>
            </w:r>
            <w:r>
              <w:rPr>
                <w:lang w:eastAsia="en-AU"/>
              </w:rPr>
            </w:r>
            <w:r>
              <w:rPr>
                <w:lang w:eastAsia="en-AU"/>
              </w:rPr>
              <w:fldChar w:fldCharType="separate"/>
            </w:r>
            <w:r>
              <w:rPr>
                <w:lang w:eastAsia="en-AU"/>
              </w:rPr>
              <w:t>7.2.5</w:t>
            </w:r>
            <w:r>
              <w:rPr>
                <w:lang w:eastAsia="en-AU"/>
              </w:rPr>
              <w:fldChar w:fldCharType="end"/>
            </w:r>
            <w:r>
              <w:rPr>
                <w:lang w:eastAsia="en-AU"/>
              </w:rPr>
              <w:tab/>
            </w:r>
            <w:r>
              <w:rPr>
                <w:lang w:eastAsia="en-AU"/>
              </w:rPr>
              <w:fldChar w:fldCharType="begin"/>
            </w:r>
            <w:r>
              <w:rPr>
                <w:lang w:eastAsia="en-AU"/>
              </w:rPr>
              <w:instrText xml:space="preserve"> REF _Ref436722510 \h </w:instrText>
            </w:r>
            <w:r>
              <w:rPr>
                <w:lang w:eastAsia="en-AU"/>
              </w:rPr>
            </w:r>
            <w:r>
              <w:rPr>
                <w:lang w:eastAsia="en-AU"/>
              </w:rPr>
              <w:fldChar w:fldCharType="separate"/>
            </w:r>
            <w:r>
              <w:t>‘Held in fixed relationship’</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[250]</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_Ref403035684 \w \h </w:instrText>
            </w:r>
            <w:r>
              <w:rPr>
                <w:lang w:eastAsia="en-AU"/>
              </w:rPr>
            </w:r>
            <w:r>
              <w:rPr>
                <w:lang w:eastAsia="en-AU"/>
              </w:rPr>
              <w:fldChar w:fldCharType="separate"/>
            </w:r>
            <w:r>
              <w:rPr>
                <w:lang w:eastAsia="en-AU"/>
              </w:rPr>
              <w:t>7.2.6</w:t>
            </w:r>
            <w:r>
              <w:rPr>
                <w:lang w:eastAsia="en-AU"/>
              </w:rPr>
              <w:fldChar w:fldCharType="end"/>
            </w:r>
            <w:r>
              <w:rPr>
                <w:lang w:eastAsia="en-AU"/>
              </w:rPr>
              <w:tab/>
            </w:r>
            <w:r>
              <w:rPr>
                <w:lang w:eastAsia="en-AU"/>
              </w:rPr>
              <w:fldChar w:fldCharType="begin"/>
            </w:r>
            <w:r>
              <w:rPr>
                <w:lang w:eastAsia="en-AU"/>
              </w:rPr>
              <w:instrText xml:space="preserve"> REF _Ref403035684 \h </w:instrText>
            </w:r>
            <w:r>
              <w:rPr>
                <w:lang w:eastAsia="en-AU"/>
              </w:rPr>
            </w:r>
            <w:r>
              <w:rPr>
                <w:lang w:eastAsia="en-AU"/>
              </w:rPr>
              <w:fldChar w:fldCharType="separate"/>
            </w:r>
            <w:r>
              <w:t>‘Real time roll mode’</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[255]</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_Ref410393874 \w \h </w:instrText>
            </w:r>
            <w:r>
              <w:rPr>
                <w:lang w:eastAsia="en-AU"/>
              </w:rPr>
            </w:r>
            <w:r>
              <w:rPr>
                <w:lang w:eastAsia="en-AU"/>
              </w:rPr>
              <w:fldChar w:fldCharType="separate"/>
            </w:r>
            <w:r>
              <w:rPr>
                <w:lang w:eastAsia="en-AU"/>
              </w:rPr>
              <w:t>7.3</w:t>
            </w:r>
            <w:r>
              <w:rPr>
                <w:lang w:eastAsia="en-AU"/>
              </w:rPr>
              <w:fldChar w:fldCharType="end"/>
            </w:r>
            <w:r>
              <w:rPr>
                <w:lang w:eastAsia="en-AU"/>
              </w:rPr>
              <w:tab/>
            </w:r>
            <w:r>
              <w:rPr>
                <w:lang w:eastAsia="en-AU"/>
              </w:rPr>
              <w:fldChar w:fldCharType="begin"/>
            </w:r>
            <w:r>
              <w:rPr>
                <w:lang w:eastAsia="en-AU"/>
              </w:rPr>
              <w:instrText xml:space="preserve"> REF _Ref410393874 \h </w:instrText>
            </w:r>
            <w:r>
              <w:rPr>
                <w:lang w:eastAsia="en-AU"/>
              </w:rPr>
            </w:r>
            <w:r>
              <w:rPr>
                <w:lang w:eastAsia="en-AU"/>
              </w:rPr>
              <w:fldChar w:fldCharType="separate"/>
            </w:r>
            <w:r>
              <w:t>Conclusion on infringement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[263]</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_Ref436660792 \w \h </w:instrText>
            </w:r>
            <w:r>
              <w:rPr>
                <w:lang w:eastAsia="en-AU"/>
              </w:rPr>
            </w:r>
            <w:r>
              <w:rPr>
                <w:lang w:eastAsia="en-AU"/>
              </w:rPr>
              <w:fldChar w:fldCharType="separate"/>
            </w:r>
            <w:r>
              <w:rPr>
                <w:lang w:eastAsia="en-AU"/>
              </w:rPr>
              <w:t>7.4</w:t>
            </w:r>
            <w:r>
              <w:rPr>
                <w:lang w:eastAsia="en-AU"/>
              </w:rPr>
              <w:fldChar w:fldCharType="end"/>
            </w:r>
            <w:r>
              <w:rPr>
                <w:lang w:eastAsia="en-AU"/>
              </w:rPr>
              <w:tab/>
            </w:r>
            <w:r>
              <w:rPr>
                <w:lang w:eastAsia="en-AU"/>
              </w:rPr>
              <w:fldChar w:fldCharType="begin"/>
            </w:r>
            <w:r>
              <w:rPr>
                <w:lang w:eastAsia="en-AU"/>
              </w:rPr>
              <w:instrText xml:space="preserve"> REF _Ref436660792 \h </w:instrText>
            </w:r>
            <w:r>
              <w:rPr>
                <w:lang w:eastAsia="en-AU"/>
              </w:rPr>
            </w:r>
            <w:r>
              <w:rPr>
                <w:lang w:eastAsia="en-AU"/>
              </w:rPr>
              <w:fldChar w:fldCharType="separate"/>
            </w:r>
            <w:r>
              <w:t>Liability of each of the respondents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[264]</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_Ref436665439 \w \h </w:instrText>
            </w:r>
            <w:r>
              <w:rPr>
                <w:lang w:eastAsia="en-AU"/>
              </w:rPr>
            </w:r>
            <w:r>
              <w:rPr>
                <w:lang w:eastAsia="en-AU"/>
              </w:rPr>
              <w:fldChar w:fldCharType="separate"/>
            </w:r>
            <w:r>
              <w:rPr>
                <w:lang w:eastAsia="en-AU"/>
              </w:rPr>
              <w:t>7.5</w:t>
            </w:r>
            <w:r>
              <w:rPr>
                <w:lang w:eastAsia="en-AU"/>
              </w:rPr>
              <w:fldChar w:fldCharType="end"/>
            </w:r>
            <w:r>
              <w:rPr>
                <w:lang w:eastAsia="en-AU"/>
              </w:rPr>
              <w:tab/>
            </w:r>
            <w:r>
              <w:rPr>
                <w:lang w:eastAsia="en-AU"/>
              </w:rPr>
              <w:fldChar w:fldCharType="begin"/>
            </w:r>
            <w:r>
              <w:rPr>
                <w:lang w:eastAsia="en-AU"/>
              </w:rPr>
              <w:instrText xml:space="preserve"> REF _Ref436665439 \h </w:instrText>
            </w:r>
            <w:r>
              <w:rPr>
                <w:lang w:eastAsia="en-AU"/>
              </w:rPr>
            </w:r>
            <w:r>
              <w:rPr>
                <w:lang w:eastAsia="en-AU"/>
              </w:rPr>
              <w:fldChar w:fldCharType="separate"/>
            </w:r>
            <w:r>
              <w:t>Consideration of the liability of each of the respondents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[369]</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_Ref403035699 \w \h </w:instrText>
            </w:r>
            <w:r>
              <w:rPr>
                <w:lang w:eastAsia="en-AU"/>
              </w:rPr>
            </w:r>
            <w:r>
              <w:rPr>
                <w:lang w:eastAsia="en-AU"/>
              </w:rPr>
              <w:fldChar w:fldCharType="separate"/>
            </w:r>
            <w:r>
              <w:rPr>
                <w:lang w:eastAsia="en-AU"/>
              </w:rPr>
              <w:t>7.6</w:t>
            </w:r>
            <w:r>
              <w:rPr>
                <w:lang w:eastAsia="en-AU"/>
              </w:rPr>
              <w:fldChar w:fldCharType="end"/>
            </w:r>
            <w:r>
              <w:rPr>
                <w:lang w:eastAsia="en-AU"/>
              </w:rPr>
              <w:tab/>
            </w:r>
            <w:r>
              <w:rPr>
                <w:lang w:eastAsia="en-AU"/>
              </w:rPr>
              <w:fldChar w:fldCharType="begin"/>
            </w:r>
            <w:r>
              <w:rPr>
                <w:lang w:eastAsia="en-AU"/>
              </w:rPr>
              <w:instrText xml:space="preserve"> REF _Ref403035699 \h </w:instrText>
            </w:r>
            <w:r>
              <w:rPr>
                <w:lang w:eastAsia="en-AU"/>
              </w:rPr>
            </w:r>
            <w:r>
              <w:rPr>
                <w:lang w:eastAsia="en-AU"/>
              </w:rPr>
              <w:fldChar w:fldCharType="separate"/>
            </w:r>
            <w:r>
              <w:t>Defence of innocent infringement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[419]</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_Ref403035700 \w \h </w:instrText>
            </w:r>
            <w:r>
              <w:rPr>
                <w:lang w:eastAsia="en-AU"/>
              </w:rPr>
            </w:r>
            <w:r>
              <w:rPr>
                <w:lang w:eastAsia="en-AU"/>
              </w:rPr>
              <w:fldChar w:fldCharType="separate"/>
            </w:r>
            <w:r>
              <w:rPr>
                <w:lang w:eastAsia="en-AU"/>
              </w:rPr>
              <w:t>7.7</w:t>
            </w:r>
            <w:r>
              <w:rPr>
                <w:lang w:eastAsia="en-AU"/>
              </w:rPr>
              <w:fldChar w:fldCharType="end"/>
            </w:r>
            <w:r>
              <w:rPr>
                <w:lang w:eastAsia="en-AU"/>
              </w:rPr>
              <w:tab/>
            </w:r>
            <w:r>
              <w:rPr>
                <w:lang w:eastAsia="en-AU"/>
              </w:rPr>
              <w:fldChar w:fldCharType="begin"/>
            </w:r>
            <w:r>
              <w:rPr>
                <w:lang w:eastAsia="en-AU"/>
              </w:rPr>
              <w:instrText xml:space="preserve"> REF _Ref403035700 \h </w:instrText>
            </w:r>
            <w:r>
              <w:rPr>
                <w:lang w:eastAsia="en-AU"/>
              </w:rPr>
            </w:r>
            <w:r>
              <w:rPr>
                <w:lang w:eastAsia="en-AU"/>
              </w:rPr>
              <w:fldChar w:fldCharType="separate"/>
            </w:r>
            <w:r>
              <w:t>Activities outside Australia</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[422]</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_Ref403035686 \w \h </w:instrText>
            </w:r>
            <w:r>
              <w:rPr>
                <w:lang w:eastAsia="en-AU"/>
              </w:rPr>
            </w:r>
            <w:r>
              <w:rPr>
                <w:lang w:eastAsia="en-AU"/>
              </w:rPr>
              <w:fldChar w:fldCharType="separate"/>
            </w:r>
            <w:r>
              <w:rPr>
                <w:lang w:eastAsia="en-AU"/>
              </w:rPr>
              <w:t>7.8</w:t>
            </w:r>
            <w:r>
              <w:rPr>
                <w:lang w:eastAsia="en-AU"/>
              </w:rPr>
              <w:fldChar w:fldCharType="end"/>
            </w:r>
            <w:r>
              <w:rPr>
                <w:lang w:eastAsia="en-AU"/>
              </w:rPr>
              <w:tab/>
            </w:r>
            <w:r>
              <w:rPr>
                <w:lang w:eastAsia="en-AU"/>
              </w:rPr>
              <w:fldChar w:fldCharType="begin"/>
            </w:r>
            <w:r>
              <w:rPr>
                <w:lang w:eastAsia="en-AU"/>
              </w:rPr>
              <w:instrText xml:space="preserve"> REF _Ref403035686 \h </w:instrText>
            </w:r>
            <w:r>
              <w:rPr>
                <w:lang w:eastAsia="en-AU"/>
              </w:rPr>
            </w:r>
            <w:r>
              <w:rPr>
                <w:lang w:eastAsia="en-AU"/>
              </w:rPr>
              <w:fldChar w:fldCharType="separate"/>
            </w:r>
            <w:r>
              <w:t>A claim for additional damages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[425]</w:t>
            </w:r>
          </w:p>
        </w:tc>
      </w:tr>
      <w:tr w:rsidR="002548F4" w:rsidRPr="00D326DB" w:rsidTr="002548F4">
        <w:tc>
          <w:tcPr>
            <w:tcW w:w="8507" w:type="dxa"/>
            <w:shd w:val="clear" w:color="auto" w:fill="auto"/>
          </w:tcPr>
          <w:p w:rsidR="002548F4" w:rsidRPr="002548F4" w:rsidRDefault="002548F4" w:rsidP="002548F4">
            <w:pPr>
              <w:pStyle w:val="FTOC5"/>
              <w:tabs>
                <w:tab w:val="clear" w:pos="9072"/>
              </w:tabs>
              <w:rPr>
                <w:lang w:eastAsia="en-AU"/>
              </w:rPr>
            </w:pPr>
            <w:r>
              <w:rPr>
                <w:lang w:eastAsia="en-AU"/>
              </w:rPr>
              <w:fldChar w:fldCharType="begin"/>
            </w:r>
            <w:r>
              <w:rPr>
                <w:lang w:eastAsia="en-AU"/>
              </w:rPr>
              <w:instrText xml:space="preserve"> REF _Ref410127195 \w \h </w:instrText>
            </w:r>
            <w:r>
              <w:rPr>
                <w:lang w:eastAsia="en-AU"/>
              </w:rPr>
            </w:r>
            <w:r>
              <w:rPr>
                <w:lang w:eastAsia="en-AU"/>
              </w:rPr>
              <w:fldChar w:fldCharType="separate"/>
            </w:r>
            <w:r>
              <w:rPr>
                <w:lang w:eastAsia="en-AU"/>
              </w:rPr>
              <w:t>8</w:t>
            </w:r>
            <w:r>
              <w:rPr>
                <w:lang w:eastAsia="en-AU"/>
              </w:rPr>
              <w:fldChar w:fldCharType="end"/>
            </w:r>
            <w:r>
              <w:rPr>
                <w:lang w:eastAsia="en-AU"/>
              </w:rPr>
              <w:tab/>
            </w:r>
            <w:r>
              <w:rPr>
                <w:lang w:eastAsia="en-AU"/>
              </w:rPr>
              <w:fldChar w:fldCharType="begin"/>
            </w:r>
            <w:r>
              <w:rPr>
                <w:lang w:eastAsia="en-AU"/>
              </w:rPr>
              <w:instrText xml:space="preserve"> REF _Ref410127195 \h </w:instrText>
            </w:r>
            <w:r>
              <w:rPr>
                <w:lang w:eastAsia="en-AU"/>
              </w:rPr>
            </w:r>
            <w:r>
              <w:rPr>
                <w:lang w:eastAsia="en-AU"/>
              </w:rPr>
              <w:fldChar w:fldCharType="separate"/>
            </w:r>
            <w:r>
              <w:t>CORETELL’S CROSS-CLAIM – INVALIDITY</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[430]</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_Ref404090362 \w \h </w:instrText>
            </w:r>
            <w:r>
              <w:rPr>
                <w:lang w:eastAsia="en-AU"/>
              </w:rPr>
            </w:r>
            <w:r>
              <w:rPr>
                <w:lang w:eastAsia="en-AU"/>
              </w:rPr>
              <w:fldChar w:fldCharType="separate"/>
            </w:r>
            <w:r>
              <w:rPr>
                <w:lang w:eastAsia="en-AU"/>
              </w:rPr>
              <w:t>8.1</w:t>
            </w:r>
            <w:r>
              <w:rPr>
                <w:lang w:eastAsia="en-AU"/>
              </w:rPr>
              <w:fldChar w:fldCharType="end"/>
            </w:r>
            <w:r>
              <w:rPr>
                <w:lang w:eastAsia="en-AU"/>
              </w:rPr>
              <w:tab/>
            </w:r>
            <w:r>
              <w:rPr>
                <w:lang w:eastAsia="en-AU"/>
              </w:rPr>
              <w:fldChar w:fldCharType="begin"/>
            </w:r>
            <w:r>
              <w:rPr>
                <w:lang w:eastAsia="en-AU"/>
              </w:rPr>
              <w:instrText xml:space="preserve"> REF _Ref404090362 \h </w:instrText>
            </w:r>
            <w:r>
              <w:rPr>
                <w:lang w:eastAsia="en-AU"/>
              </w:rPr>
            </w:r>
            <w:r>
              <w:rPr>
                <w:lang w:eastAsia="en-AU"/>
              </w:rPr>
              <w:fldChar w:fldCharType="separate"/>
            </w:r>
            <w:r>
              <w:t>Priority Date</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[437]</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_Ref410393881 \w \h </w:instrText>
            </w:r>
            <w:r>
              <w:rPr>
                <w:lang w:eastAsia="en-AU"/>
              </w:rPr>
            </w:r>
            <w:r>
              <w:rPr>
                <w:lang w:eastAsia="en-AU"/>
              </w:rPr>
              <w:fldChar w:fldCharType="separate"/>
            </w:r>
            <w:r>
              <w:rPr>
                <w:lang w:eastAsia="en-AU"/>
              </w:rPr>
              <w:t>8.2</w:t>
            </w:r>
            <w:r>
              <w:rPr>
                <w:lang w:eastAsia="en-AU"/>
              </w:rPr>
              <w:fldChar w:fldCharType="end"/>
            </w:r>
            <w:r>
              <w:rPr>
                <w:lang w:eastAsia="en-AU"/>
              </w:rPr>
              <w:tab/>
            </w:r>
            <w:r>
              <w:rPr>
                <w:lang w:eastAsia="en-AU"/>
              </w:rPr>
              <w:fldChar w:fldCharType="begin"/>
            </w:r>
            <w:r>
              <w:rPr>
                <w:lang w:eastAsia="en-AU"/>
              </w:rPr>
              <w:instrText xml:space="preserve"> REF _Ref410393881 \h </w:instrText>
            </w:r>
            <w:r>
              <w:rPr>
                <w:lang w:eastAsia="en-AU"/>
              </w:rPr>
            </w:r>
            <w:r>
              <w:rPr>
                <w:lang w:eastAsia="en-AU"/>
              </w:rPr>
              <w:fldChar w:fldCharType="separate"/>
            </w:r>
            <w:r>
              <w:t>Novelty - prior art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[460]</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_Ref436660793 \w \h </w:instrText>
            </w:r>
            <w:r>
              <w:rPr>
                <w:lang w:eastAsia="en-AU"/>
              </w:rPr>
            </w:r>
            <w:r>
              <w:rPr>
                <w:lang w:eastAsia="en-AU"/>
              </w:rPr>
              <w:fldChar w:fldCharType="separate"/>
            </w:r>
            <w:r>
              <w:rPr>
                <w:lang w:eastAsia="en-AU"/>
              </w:rPr>
              <w:t>8.3</w:t>
            </w:r>
            <w:r>
              <w:rPr>
                <w:lang w:eastAsia="en-AU"/>
              </w:rPr>
              <w:fldChar w:fldCharType="end"/>
            </w:r>
            <w:r>
              <w:rPr>
                <w:lang w:eastAsia="en-AU"/>
              </w:rPr>
              <w:tab/>
            </w:r>
            <w:r>
              <w:rPr>
                <w:lang w:eastAsia="en-AU"/>
              </w:rPr>
              <w:fldChar w:fldCharType="begin"/>
            </w:r>
            <w:r>
              <w:rPr>
                <w:lang w:eastAsia="en-AU"/>
              </w:rPr>
              <w:instrText xml:space="preserve"> REF _Ref436660793 \h </w:instrText>
            </w:r>
            <w:r>
              <w:rPr>
                <w:lang w:eastAsia="en-AU"/>
              </w:rPr>
            </w:r>
            <w:r>
              <w:rPr>
                <w:lang w:eastAsia="en-AU"/>
              </w:rPr>
              <w:fldChar w:fldCharType="separate"/>
            </w:r>
            <w:r>
              <w:t>Consideration of novelty – prior art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[473]</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lastRenderedPageBreak/>
              <w:fldChar w:fldCharType="begin"/>
            </w:r>
            <w:r>
              <w:rPr>
                <w:lang w:eastAsia="en-AU"/>
              </w:rPr>
              <w:instrText xml:space="preserve"> REF _Ref436660794 \w \h </w:instrText>
            </w:r>
            <w:r>
              <w:rPr>
                <w:lang w:eastAsia="en-AU"/>
              </w:rPr>
            </w:r>
            <w:r>
              <w:rPr>
                <w:lang w:eastAsia="en-AU"/>
              </w:rPr>
              <w:fldChar w:fldCharType="separate"/>
            </w:r>
            <w:r>
              <w:rPr>
                <w:lang w:eastAsia="en-AU"/>
              </w:rPr>
              <w:t>8.3.1</w:t>
            </w:r>
            <w:r>
              <w:rPr>
                <w:lang w:eastAsia="en-AU"/>
              </w:rPr>
              <w:fldChar w:fldCharType="end"/>
            </w:r>
            <w:r>
              <w:rPr>
                <w:lang w:eastAsia="en-AU"/>
              </w:rPr>
              <w:tab/>
            </w:r>
            <w:r>
              <w:rPr>
                <w:lang w:eastAsia="en-AU"/>
              </w:rPr>
              <w:fldChar w:fldCharType="begin"/>
            </w:r>
            <w:r>
              <w:rPr>
                <w:lang w:eastAsia="en-AU"/>
              </w:rPr>
              <w:instrText xml:space="preserve"> REF _Ref436660794 \h </w:instrText>
            </w:r>
            <w:r>
              <w:rPr>
                <w:lang w:eastAsia="en-AU"/>
              </w:rPr>
            </w:r>
            <w:r>
              <w:rPr>
                <w:lang w:eastAsia="en-AU"/>
              </w:rPr>
              <w:fldChar w:fldCharType="separate"/>
            </w:r>
            <w:r>
              <w:t>Skopec Paper and integers of the System Patent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[475]</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_Ref410393883 \w \h </w:instrText>
            </w:r>
            <w:r>
              <w:rPr>
                <w:lang w:eastAsia="en-AU"/>
              </w:rPr>
            </w:r>
            <w:r>
              <w:rPr>
                <w:lang w:eastAsia="en-AU"/>
              </w:rPr>
              <w:fldChar w:fldCharType="separate"/>
            </w:r>
            <w:r>
              <w:rPr>
                <w:lang w:eastAsia="en-AU"/>
              </w:rPr>
              <w:t>8.3.1.1</w:t>
            </w:r>
            <w:r>
              <w:rPr>
                <w:lang w:eastAsia="en-AU"/>
              </w:rPr>
              <w:fldChar w:fldCharType="end"/>
            </w:r>
            <w:r>
              <w:rPr>
                <w:lang w:eastAsia="en-AU"/>
              </w:rPr>
              <w:tab/>
            </w:r>
            <w:r>
              <w:rPr>
                <w:lang w:eastAsia="en-AU"/>
              </w:rPr>
              <w:fldChar w:fldCharType="begin"/>
            </w:r>
            <w:r>
              <w:rPr>
                <w:lang w:eastAsia="en-AU"/>
              </w:rPr>
              <w:instrText xml:space="preserve"> REF _Ref410393883 \h </w:instrText>
            </w:r>
            <w:r>
              <w:rPr>
                <w:lang w:eastAsia="en-AU"/>
              </w:rPr>
            </w:r>
            <w:r>
              <w:rPr>
                <w:lang w:eastAsia="en-AU"/>
              </w:rPr>
              <w:fldChar w:fldCharType="separate"/>
            </w:r>
            <w:r>
              <w:t>Integers S1 – S3</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[475]</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_Ref404090365 \w \h </w:instrText>
            </w:r>
            <w:r>
              <w:rPr>
                <w:lang w:eastAsia="en-AU"/>
              </w:rPr>
            </w:r>
            <w:r>
              <w:rPr>
                <w:lang w:eastAsia="en-AU"/>
              </w:rPr>
              <w:fldChar w:fldCharType="separate"/>
            </w:r>
            <w:r>
              <w:rPr>
                <w:lang w:eastAsia="en-AU"/>
              </w:rPr>
              <w:t>8.3.1.2</w:t>
            </w:r>
            <w:r>
              <w:rPr>
                <w:lang w:eastAsia="en-AU"/>
              </w:rPr>
              <w:fldChar w:fldCharType="end"/>
            </w:r>
            <w:r>
              <w:rPr>
                <w:lang w:eastAsia="en-AU"/>
              </w:rPr>
              <w:tab/>
            </w:r>
            <w:r>
              <w:rPr>
                <w:lang w:eastAsia="en-AU"/>
              </w:rPr>
              <w:fldChar w:fldCharType="begin"/>
            </w:r>
            <w:r>
              <w:rPr>
                <w:lang w:eastAsia="en-AU"/>
              </w:rPr>
              <w:instrText xml:space="preserve"> REF _Ref404090365 \h </w:instrText>
            </w:r>
            <w:r>
              <w:rPr>
                <w:lang w:eastAsia="en-AU"/>
              </w:rPr>
            </w:r>
            <w:r>
              <w:rPr>
                <w:lang w:eastAsia="en-AU"/>
              </w:rPr>
              <w:fldChar w:fldCharType="separate"/>
            </w:r>
            <w:r>
              <w:t>Integer S4</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[476]</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_Ref404090366 \w \h </w:instrText>
            </w:r>
            <w:r>
              <w:rPr>
                <w:lang w:eastAsia="en-AU"/>
              </w:rPr>
            </w:r>
            <w:r>
              <w:rPr>
                <w:lang w:eastAsia="en-AU"/>
              </w:rPr>
              <w:fldChar w:fldCharType="separate"/>
            </w:r>
            <w:r>
              <w:rPr>
                <w:lang w:eastAsia="en-AU"/>
              </w:rPr>
              <w:t>8.3.1.3</w:t>
            </w:r>
            <w:r>
              <w:rPr>
                <w:lang w:eastAsia="en-AU"/>
              </w:rPr>
              <w:fldChar w:fldCharType="end"/>
            </w:r>
            <w:r>
              <w:rPr>
                <w:lang w:eastAsia="en-AU"/>
              </w:rPr>
              <w:tab/>
            </w:r>
            <w:r>
              <w:rPr>
                <w:lang w:eastAsia="en-AU"/>
              </w:rPr>
              <w:fldChar w:fldCharType="begin"/>
            </w:r>
            <w:r>
              <w:rPr>
                <w:lang w:eastAsia="en-AU"/>
              </w:rPr>
              <w:instrText xml:space="preserve"> REF _Ref404090366 \h </w:instrText>
            </w:r>
            <w:r>
              <w:rPr>
                <w:lang w:eastAsia="en-AU"/>
              </w:rPr>
            </w:r>
            <w:r>
              <w:rPr>
                <w:lang w:eastAsia="en-AU"/>
              </w:rPr>
              <w:fldChar w:fldCharType="separate"/>
            </w:r>
            <w:r>
              <w:t>Integer S5</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[482]</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_Ref436660795 \w \h </w:instrText>
            </w:r>
            <w:r>
              <w:rPr>
                <w:lang w:eastAsia="en-AU"/>
              </w:rPr>
            </w:r>
            <w:r>
              <w:rPr>
                <w:lang w:eastAsia="en-AU"/>
              </w:rPr>
              <w:fldChar w:fldCharType="separate"/>
            </w:r>
            <w:r>
              <w:rPr>
                <w:lang w:eastAsia="en-AU"/>
              </w:rPr>
              <w:t>8.3.1.4</w:t>
            </w:r>
            <w:r>
              <w:rPr>
                <w:lang w:eastAsia="en-AU"/>
              </w:rPr>
              <w:fldChar w:fldCharType="end"/>
            </w:r>
            <w:r>
              <w:rPr>
                <w:lang w:eastAsia="en-AU"/>
              </w:rPr>
              <w:tab/>
            </w:r>
            <w:r>
              <w:rPr>
                <w:lang w:eastAsia="en-AU"/>
              </w:rPr>
              <w:fldChar w:fldCharType="begin"/>
            </w:r>
            <w:r>
              <w:rPr>
                <w:lang w:eastAsia="en-AU"/>
              </w:rPr>
              <w:instrText xml:space="preserve"> REF _Ref436660795 \h </w:instrText>
            </w:r>
            <w:r>
              <w:rPr>
                <w:lang w:eastAsia="en-AU"/>
              </w:rPr>
            </w:r>
            <w:r>
              <w:rPr>
                <w:lang w:eastAsia="en-AU"/>
              </w:rPr>
              <w:fldChar w:fldCharType="separate"/>
            </w:r>
            <w:r>
              <w:t>Integer 6</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[488]</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_Ref404090367 \w \h </w:instrText>
            </w:r>
            <w:r>
              <w:rPr>
                <w:lang w:eastAsia="en-AU"/>
              </w:rPr>
            </w:r>
            <w:r>
              <w:rPr>
                <w:lang w:eastAsia="en-AU"/>
              </w:rPr>
              <w:fldChar w:fldCharType="separate"/>
            </w:r>
            <w:r>
              <w:rPr>
                <w:lang w:eastAsia="en-AU"/>
              </w:rPr>
              <w:t>8.3.1.5</w:t>
            </w:r>
            <w:r>
              <w:rPr>
                <w:lang w:eastAsia="en-AU"/>
              </w:rPr>
              <w:fldChar w:fldCharType="end"/>
            </w:r>
            <w:r>
              <w:rPr>
                <w:lang w:eastAsia="en-AU"/>
              </w:rPr>
              <w:tab/>
            </w:r>
            <w:r>
              <w:rPr>
                <w:lang w:eastAsia="en-AU"/>
              </w:rPr>
              <w:fldChar w:fldCharType="begin"/>
            </w:r>
            <w:r>
              <w:rPr>
                <w:lang w:eastAsia="en-AU"/>
              </w:rPr>
              <w:instrText xml:space="preserve"> REF _Ref404090367 \h </w:instrText>
            </w:r>
            <w:r>
              <w:rPr>
                <w:lang w:eastAsia="en-AU"/>
              </w:rPr>
            </w:r>
            <w:r>
              <w:rPr>
                <w:lang w:eastAsia="en-AU"/>
              </w:rPr>
              <w:fldChar w:fldCharType="separate"/>
            </w:r>
            <w:r>
              <w:t>Integer S7</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[489]</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_Ref404090368 \w \h </w:instrText>
            </w:r>
            <w:r>
              <w:rPr>
                <w:lang w:eastAsia="en-AU"/>
              </w:rPr>
            </w:r>
            <w:r>
              <w:rPr>
                <w:lang w:eastAsia="en-AU"/>
              </w:rPr>
              <w:fldChar w:fldCharType="separate"/>
            </w:r>
            <w:r>
              <w:rPr>
                <w:lang w:eastAsia="en-AU"/>
              </w:rPr>
              <w:t>8.3.1.6</w:t>
            </w:r>
            <w:r>
              <w:rPr>
                <w:lang w:eastAsia="en-AU"/>
              </w:rPr>
              <w:fldChar w:fldCharType="end"/>
            </w:r>
            <w:r>
              <w:rPr>
                <w:lang w:eastAsia="en-AU"/>
              </w:rPr>
              <w:tab/>
            </w:r>
            <w:r>
              <w:rPr>
                <w:lang w:eastAsia="en-AU"/>
              </w:rPr>
              <w:fldChar w:fldCharType="begin"/>
            </w:r>
            <w:r>
              <w:rPr>
                <w:lang w:eastAsia="en-AU"/>
              </w:rPr>
              <w:instrText xml:space="preserve"> REF _Ref404090368 \h </w:instrText>
            </w:r>
            <w:r>
              <w:rPr>
                <w:lang w:eastAsia="en-AU"/>
              </w:rPr>
            </w:r>
            <w:r>
              <w:rPr>
                <w:lang w:eastAsia="en-AU"/>
              </w:rPr>
              <w:fldChar w:fldCharType="separate"/>
            </w:r>
            <w:r>
              <w:t>Integer S8</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[494]</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_Ref404090369 \w \h </w:instrText>
            </w:r>
            <w:r>
              <w:rPr>
                <w:lang w:eastAsia="en-AU"/>
              </w:rPr>
            </w:r>
            <w:r>
              <w:rPr>
                <w:lang w:eastAsia="en-AU"/>
              </w:rPr>
              <w:fldChar w:fldCharType="separate"/>
            </w:r>
            <w:r>
              <w:rPr>
                <w:lang w:eastAsia="en-AU"/>
              </w:rPr>
              <w:t>8.3.1.7</w:t>
            </w:r>
            <w:r>
              <w:rPr>
                <w:lang w:eastAsia="en-AU"/>
              </w:rPr>
              <w:fldChar w:fldCharType="end"/>
            </w:r>
            <w:r>
              <w:rPr>
                <w:lang w:eastAsia="en-AU"/>
              </w:rPr>
              <w:tab/>
            </w:r>
            <w:r>
              <w:rPr>
                <w:lang w:eastAsia="en-AU"/>
              </w:rPr>
              <w:fldChar w:fldCharType="begin"/>
            </w:r>
            <w:r>
              <w:rPr>
                <w:lang w:eastAsia="en-AU"/>
              </w:rPr>
              <w:instrText xml:space="preserve"> REF _Ref404090369 \h </w:instrText>
            </w:r>
            <w:r>
              <w:rPr>
                <w:lang w:eastAsia="en-AU"/>
              </w:rPr>
            </w:r>
            <w:r>
              <w:rPr>
                <w:lang w:eastAsia="en-AU"/>
              </w:rPr>
              <w:fldChar w:fldCharType="separate"/>
            </w:r>
            <w:r>
              <w:t>Integer S9</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[498]</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_Ref410393884 \w \h </w:instrText>
            </w:r>
            <w:r>
              <w:rPr>
                <w:lang w:eastAsia="en-AU"/>
              </w:rPr>
            </w:r>
            <w:r>
              <w:rPr>
                <w:lang w:eastAsia="en-AU"/>
              </w:rPr>
              <w:fldChar w:fldCharType="separate"/>
            </w:r>
            <w:r>
              <w:rPr>
                <w:lang w:eastAsia="en-AU"/>
              </w:rPr>
              <w:t>8.3.1.8</w:t>
            </w:r>
            <w:r>
              <w:rPr>
                <w:lang w:eastAsia="en-AU"/>
              </w:rPr>
              <w:fldChar w:fldCharType="end"/>
            </w:r>
            <w:r>
              <w:rPr>
                <w:lang w:eastAsia="en-AU"/>
              </w:rPr>
              <w:tab/>
            </w:r>
            <w:r>
              <w:rPr>
                <w:lang w:eastAsia="en-AU"/>
              </w:rPr>
              <w:fldChar w:fldCharType="begin"/>
            </w:r>
            <w:r>
              <w:rPr>
                <w:lang w:eastAsia="en-AU"/>
              </w:rPr>
              <w:instrText xml:space="preserve"> REF _Ref410393884 \h </w:instrText>
            </w:r>
            <w:r>
              <w:rPr>
                <w:lang w:eastAsia="en-AU"/>
              </w:rPr>
            </w:r>
            <w:r>
              <w:rPr>
                <w:lang w:eastAsia="en-AU"/>
              </w:rPr>
              <w:fldChar w:fldCharType="separate"/>
            </w:r>
            <w:r>
              <w:t>Integers S10 and S11</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[502]</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_Ref404090370 \w \h </w:instrText>
            </w:r>
            <w:r>
              <w:rPr>
                <w:lang w:eastAsia="en-AU"/>
              </w:rPr>
            </w:r>
            <w:r>
              <w:rPr>
                <w:lang w:eastAsia="en-AU"/>
              </w:rPr>
              <w:fldChar w:fldCharType="separate"/>
            </w:r>
            <w:r>
              <w:rPr>
                <w:lang w:eastAsia="en-AU"/>
              </w:rPr>
              <w:t>8.3.1.9</w:t>
            </w:r>
            <w:r>
              <w:rPr>
                <w:lang w:eastAsia="en-AU"/>
              </w:rPr>
              <w:fldChar w:fldCharType="end"/>
            </w:r>
            <w:r>
              <w:rPr>
                <w:lang w:eastAsia="en-AU"/>
              </w:rPr>
              <w:tab/>
            </w:r>
            <w:r>
              <w:rPr>
                <w:lang w:eastAsia="en-AU"/>
              </w:rPr>
              <w:fldChar w:fldCharType="begin"/>
            </w:r>
            <w:r>
              <w:rPr>
                <w:lang w:eastAsia="en-AU"/>
              </w:rPr>
              <w:instrText xml:space="preserve"> REF _Ref404090370 \h </w:instrText>
            </w:r>
            <w:r>
              <w:rPr>
                <w:lang w:eastAsia="en-AU"/>
              </w:rPr>
            </w:r>
            <w:r>
              <w:rPr>
                <w:lang w:eastAsia="en-AU"/>
              </w:rPr>
              <w:fldChar w:fldCharType="separate"/>
            </w:r>
            <w:r>
              <w:t>Integer S12</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[503]</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_Ref410393885 \w \h </w:instrText>
            </w:r>
            <w:r>
              <w:rPr>
                <w:lang w:eastAsia="en-AU"/>
              </w:rPr>
            </w:r>
            <w:r>
              <w:rPr>
                <w:lang w:eastAsia="en-AU"/>
              </w:rPr>
              <w:fldChar w:fldCharType="separate"/>
            </w:r>
            <w:r>
              <w:rPr>
                <w:lang w:eastAsia="en-AU"/>
              </w:rPr>
              <w:t>8.3.1.10</w:t>
            </w:r>
            <w:r>
              <w:rPr>
                <w:lang w:eastAsia="en-AU"/>
              </w:rPr>
              <w:fldChar w:fldCharType="end"/>
            </w:r>
            <w:r>
              <w:rPr>
                <w:lang w:eastAsia="en-AU"/>
              </w:rPr>
              <w:tab/>
            </w:r>
            <w:r>
              <w:rPr>
                <w:lang w:eastAsia="en-AU"/>
              </w:rPr>
              <w:fldChar w:fldCharType="begin"/>
            </w:r>
            <w:r>
              <w:rPr>
                <w:lang w:eastAsia="en-AU"/>
              </w:rPr>
              <w:instrText xml:space="preserve"> REF _Ref410393885 \h </w:instrText>
            </w:r>
            <w:r>
              <w:rPr>
                <w:lang w:eastAsia="en-AU"/>
              </w:rPr>
            </w:r>
            <w:r>
              <w:rPr>
                <w:lang w:eastAsia="en-AU"/>
              </w:rPr>
              <w:fldChar w:fldCharType="separate"/>
            </w:r>
            <w:r>
              <w:t>Integers S13-S16</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[506]</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_Ref436660796 \w \h </w:instrText>
            </w:r>
            <w:r>
              <w:rPr>
                <w:lang w:eastAsia="en-AU"/>
              </w:rPr>
            </w:r>
            <w:r>
              <w:rPr>
                <w:lang w:eastAsia="en-AU"/>
              </w:rPr>
              <w:fldChar w:fldCharType="separate"/>
            </w:r>
            <w:r>
              <w:rPr>
                <w:lang w:eastAsia="en-AU"/>
              </w:rPr>
              <w:t>8.3.2</w:t>
            </w:r>
            <w:r>
              <w:rPr>
                <w:lang w:eastAsia="en-AU"/>
              </w:rPr>
              <w:fldChar w:fldCharType="end"/>
            </w:r>
            <w:r>
              <w:rPr>
                <w:lang w:eastAsia="en-AU"/>
              </w:rPr>
              <w:tab/>
            </w:r>
            <w:r>
              <w:rPr>
                <w:lang w:eastAsia="en-AU"/>
              </w:rPr>
              <w:fldChar w:fldCharType="begin"/>
            </w:r>
            <w:r>
              <w:rPr>
                <w:lang w:eastAsia="en-AU"/>
              </w:rPr>
              <w:instrText xml:space="preserve"> REF _Ref436660796 \h </w:instrText>
            </w:r>
            <w:r>
              <w:rPr>
                <w:lang w:eastAsia="en-AU"/>
              </w:rPr>
            </w:r>
            <w:r>
              <w:rPr>
                <w:lang w:eastAsia="en-AU"/>
              </w:rPr>
              <w:fldChar w:fldCharType="separate"/>
            </w:r>
            <w:r>
              <w:t>Skopec Paper and Integers of the Method Patent</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[512]</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_Ref436660797 \w \h </w:instrText>
            </w:r>
            <w:r>
              <w:rPr>
                <w:lang w:eastAsia="en-AU"/>
              </w:rPr>
            </w:r>
            <w:r>
              <w:rPr>
                <w:lang w:eastAsia="en-AU"/>
              </w:rPr>
              <w:fldChar w:fldCharType="separate"/>
            </w:r>
            <w:r>
              <w:rPr>
                <w:lang w:eastAsia="en-AU"/>
              </w:rPr>
              <w:t>8.3.2.1</w:t>
            </w:r>
            <w:r>
              <w:rPr>
                <w:lang w:eastAsia="en-AU"/>
              </w:rPr>
              <w:fldChar w:fldCharType="end"/>
            </w:r>
            <w:r>
              <w:rPr>
                <w:lang w:eastAsia="en-AU"/>
              </w:rPr>
              <w:tab/>
            </w:r>
            <w:r>
              <w:rPr>
                <w:lang w:eastAsia="en-AU"/>
              </w:rPr>
              <w:fldChar w:fldCharType="begin"/>
            </w:r>
            <w:r>
              <w:rPr>
                <w:lang w:eastAsia="en-AU"/>
              </w:rPr>
              <w:instrText xml:space="preserve"> REF _Ref436660797 \h </w:instrText>
            </w:r>
            <w:r>
              <w:rPr>
                <w:lang w:eastAsia="en-AU"/>
              </w:rPr>
            </w:r>
            <w:r>
              <w:rPr>
                <w:lang w:eastAsia="en-AU"/>
              </w:rPr>
              <w:fldChar w:fldCharType="separate"/>
            </w:r>
            <w:r>
              <w:t>Integers M4, M13, M20, M25</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[513]</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_Ref436891535 \w \h </w:instrText>
            </w:r>
            <w:r>
              <w:rPr>
                <w:lang w:eastAsia="en-AU"/>
              </w:rPr>
            </w:r>
            <w:r>
              <w:rPr>
                <w:lang w:eastAsia="en-AU"/>
              </w:rPr>
              <w:fldChar w:fldCharType="separate"/>
            </w:r>
            <w:r>
              <w:rPr>
                <w:lang w:eastAsia="en-AU"/>
              </w:rPr>
              <w:t>8.3.2.2</w:t>
            </w:r>
            <w:r>
              <w:rPr>
                <w:lang w:eastAsia="en-AU"/>
              </w:rPr>
              <w:fldChar w:fldCharType="end"/>
            </w:r>
            <w:r>
              <w:rPr>
                <w:lang w:eastAsia="en-AU"/>
              </w:rPr>
              <w:tab/>
            </w:r>
            <w:r>
              <w:rPr>
                <w:lang w:eastAsia="en-AU"/>
              </w:rPr>
              <w:fldChar w:fldCharType="begin"/>
            </w:r>
            <w:r>
              <w:rPr>
                <w:lang w:eastAsia="en-AU"/>
              </w:rPr>
              <w:instrText xml:space="preserve"> REF _Ref436891535 \h </w:instrText>
            </w:r>
            <w:r>
              <w:rPr>
                <w:lang w:eastAsia="en-AU"/>
              </w:rPr>
            </w:r>
            <w:r>
              <w:rPr>
                <w:lang w:eastAsia="en-AU"/>
              </w:rPr>
              <w:fldChar w:fldCharType="separate"/>
            </w:r>
            <w:r>
              <w:t>Integer M5</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[516]</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_Ref404090372 \w \h </w:instrText>
            </w:r>
            <w:r>
              <w:rPr>
                <w:lang w:eastAsia="en-AU"/>
              </w:rPr>
            </w:r>
            <w:r>
              <w:rPr>
                <w:lang w:eastAsia="en-AU"/>
              </w:rPr>
              <w:fldChar w:fldCharType="separate"/>
            </w:r>
            <w:r>
              <w:rPr>
                <w:lang w:eastAsia="en-AU"/>
              </w:rPr>
              <w:t>8.3.2.3</w:t>
            </w:r>
            <w:r>
              <w:rPr>
                <w:lang w:eastAsia="en-AU"/>
              </w:rPr>
              <w:fldChar w:fldCharType="end"/>
            </w:r>
            <w:r>
              <w:rPr>
                <w:lang w:eastAsia="en-AU"/>
              </w:rPr>
              <w:tab/>
            </w:r>
            <w:r>
              <w:rPr>
                <w:lang w:eastAsia="en-AU"/>
              </w:rPr>
              <w:fldChar w:fldCharType="begin"/>
            </w:r>
            <w:r>
              <w:rPr>
                <w:lang w:eastAsia="en-AU"/>
              </w:rPr>
              <w:instrText xml:space="preserve"> REF _Ref404090372 \h </w:instrText>
            </w:r>
            <w:r>
              <w:rPr>
                <w:lang w:eastAsia="en-AU"/>
              </w:rPr>
            </w:r>
            <w:r>
              <w:rPr>
                <w:lang w:eastAsia="en-AU"/>
              </w:rPr>
              <w:fldChar w:fldCharType="separate"/>
            </w:r>
            <w:r>
              <w:t>Integer M6</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[519]</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_Ref410393886 \w \h </w:instrText>
            </w:r>
            <w:r>
              <w:rPr>
                <w:lang w:eastAsia="en-AU"/>
              </w:rPr>
            </w:r>
            <w:r>
              <w:rPr>
                <w:lang w:eastAsia="en-AU"/>
              </w:rPr>
              <w:fldChar w:fldCharType="separate"/>
            </w:r>
            <w:r>
              <w:rPr>
                <w:lang w:eastAsia="en-AU"/>
              </w:rPr>
              <w:t>8.3.2.4</w:t>
            </w:r>
            <w:r>
              <w:rPr>
                <w:lang w:eastAsia="en-AU"/>
              </w:rPr>
              <w:fldChar w:fldCharType="end"/>
            </w:r>
            <w:r>
              <w:rPr>
                <w:lang w:eastAsia="en-AU"/>
              </w:rPr>
              <w:tab/>
            </w:r>
            <w:r>
              <w:rPr>
                <w:lang w:eastAsia="en-AU"/>
              </w:rPr>
              <w:fldChar w:fldCharType="begin"/>
            </w:r>
            <w:r>
              <w:rPr>
                <w:lang w:eastAsia="en-AU"/>
              </w:rPr>
              <w:instrText xml:space="preserve"> REF _Ref410393886 \h </w:instrText>
            </w:r>
            <w:r>
              <w:rPr>
                <w:lang w:eastAsia="en-AU"/>
              </w:rPr>
            </w:r>
            <w:r>
              <w:rPr>
                <w:lang w:eastAsia="en-AU"/>
              </w:rPr>
              <w:fldChar w:fldCharType="separate"/>
            </w:r>
            <w:r>
              <w:t>Integer M7</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[522]</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_Ref404090374 \w \h </w:instrText>
            </w:r>
            <w:r>
              <w:rPr>
                <w:lang w:eastAsia="en-AU"/>
              </w:rPr>
            </w:r>
            <w:r>
              <w:rPr>
                <w:lang w:eastAsia="en-AU"/>
              </w:rPr>
              <w:fldChar w:fldCharType="separate"/>
            </w:r>
            <w:r>
              <w:rPr>
                <w:lang w:eastAsia="en-AU"/>
              </w:rPr>
              <w:t>8.3.2.5</w:t>
            </w:r>
            <w:r>
              <w:rPr>
                <w:lang w:eastAsia="en-AU"/>
              </w:rPr>
              <w:fldChar w:fldCharType="end"/>
            </w:r>
            <w:r>
              <w:rPr>
                <w:lang w:eastAsia="en-AU"/>
              </w:rPr>
              <w:tab/>
            </w:r>
            <w:r>
              <w:rPr>
                <w:lang w:eastAsia="en-AU"/>
              </w:rPr>
              <w:fldChar w:fldCharType="begin"/>
            </w:r>
            <w:r>
              <w:rPr>
                <w:lang w:eastAsia="en-AU"/>
              </w:rPr>
              <w:instrText xml:space="preserve"> REF _Ref404090374 \h </w:instrText>
            </w:r>
            <w:r>
              <w:rPr>
                <w:lang w:eastAsia="en-AU"/>
              </w:rPr>
            </w:r>
            <w:r>
              <w:rPr>
                <w:lang w:eastAsia="en-AU"/>
              </w:rPr>
              <w:fldChar w:fldCharType="separate"/>
            </w:r>
            <w:r>
              <w:t>Integer M23</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[525]</w:t>
            </w:r>
          </w:p>
        </w:tc>
      </w:tr>
      <w:tr w:rsidR="002548F4" w:rsidRPr="00D326DB" w:rsidTr="002548F4">
        <w:tc>
          <w:tcPr>
            <w:tcW w:w="8507" w:type="dxa"/>
            <w:shd w:val="clear" w:color="auto" w:fill="auto"/>
          </w:tcPr>
          <w:p w:rsidR="002548F4" w:rsidRPr="002548F4" w:rsidRDefault="002548F4" w:rsidP="002548F4">
            <w:pPr>
              <w:pStyle w:val="FTOC8"/>
              <w:tabs>
                <w:tab w:val="clear" w:pos="9072"/>
              </w:tabs>
              <w:rPr>
                <w:lang w:eastAsia="en-AU"/>
              </w:rPr>
            </w:pPr>
            <w:r>
              <w:rPr>
                <w:lang w:eastAsia="en-AU"/>
              </w:rPr>
              <w:fldChar w:fldCharType="begin"/>
            </w:r>
            <w:r>
              <w:rPr>
                <w:lang w:eastAsia="en-AU"/>
              </w:rPr>
              <w:instrText xml:space="preserve"> REF _Ref404090375 \w \h </w:instrText>
            </w:r>
            <w:r>
              <w:rPr>
                <w:lang w:eastAsia="en-AU"/>
              </w:rPr>
            </w:r>
            <w:r>
              <w:rPr>
                <w:lang w:eastAsia="en-AU"/>
              </w:rPr>
              <w:fldChar w:fldCharType="separate"/>
            </w:r>
            <w:r>
              <w:rPr>
                <w:lang w:eastAsia="en-AU"/>
              </w:rPr>
              <w:t>8.3.2.6</w:t>
            </w:r>
            <w:r>
              <w:rPr>
                <w:lang w:eastAsia="en-AU"/>
              </w:rPr>
              <w:fldChar w:fldCharType="end"/>
            </w:r>
            <w:r>
              <w:rPr>
                <w:lang w:eastAsia="en-AU"/>
              </w:rPr>
              <w:tab/>
            </w:r>
            <w:r>
              <w:rPr>
                <w:lang w:eastAsia="en-AU"/>
              </w:rPr>
              <w:fldChar w:fldCharType="begin"/>
            </w:r>
            <w:r>
              <w:rPr>
                <w:lang w:eastAsia="en-AU"/>
              </w:rPr>
              <w:instrText xml:space="preserve"> REF _Ref404090375 \h </w:instrText>
            </w:r>
            <w:r>
              <w:rPr>
                <w:lang w:eastAsia="en-AU"/>
              </w:rPr>
            </w:r>
            <w:r>
              <w:rPr>
                <w:lang w:eastAsia="en-AU"/>
              </w:rPr>
              <w:fldChar w:fldCharType="separate"/>
            </w:r>
            <w:r>
              <w:t>Integers M28 and M29</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[526]</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_Ref404090376 \w \h </w:instrText>
            </w:r>
            <w:r>
              <w:rPr>
                <w:lang w:eastAsia="en-AU"/>
              </w:rPr>
            </w:r>
            <w:r>
              <w:rPr>
                <w:lang w:eastAsia="en-AU"/>
              </w:rPr>
              <w:fldChar w:fldCharType="separate"/>
            </w:r>
            <w:r>
              <w:rPr>
                <w:lang w:eastAsia="en-AU"/>
              </w:rPr>
              <w:t>8.3.3</w:t>
            </w:r>
            <w:r>
              <w:rPr>
                <w:lang w:eastAsia="en-AU"/>
              </w:rPr>
              <w:fldChar w:fldCharType="end"/>
            </w:r>
            <w:r>
              <w:rPr>
                <w:lang w:eastAsia="en-AU"/>
              </w:rPr>
              <w:tab/>
            </w:r>
            <w:r>
              <w:rPr>
                <w:lang w:eastAsia="en-AU"/>
              </w:rPr>
              <w:fldChar w:fldCharType="begin"/>
            </w:r>
            <w:r>
              <w:rPr>
                <w:lang w:eastAsia="en-AU"/>
              </w:rPr>
              <w:instrText xml:space="preserve"> REF _Ref404090376 \h </w:instrText>
            </w:r>
            <w:r>
              <w:rPr>
                <w:lang w:eastAsia="en-AU"/>
              </w:rPr>
            </w:r>
            <w:r>
              <w:rPr>
                <w:lang w:eastAsia="en-AU"/>
              </w:rPr>
              <w:fldChar w:fldCharType="separate"/>
            </w:r>
            <w:r>
              <w:t>The Sperry-Sun and Baker Hughes manuals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[529]</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_Ref409424811 \w \h </w:instrText>
            </w:r>
            <w:r>
              <w:rPr>
                <w:lang w:eastAsia="en-AU"/>
              </w:rPr>
            </w:r>
            <w:r>
              <w:rPr>
                <w:lang w:eastAsia="en-AU"/>
              </w:rPr>
              <w:fldChar w:fldCharType="separate"/>
            </w:r>
            <w:r>
              <w:rPr>
                <w:lang w:eastAsia="en-AU"/>
              </w:rPr>
              <w:t>8.3.4</w:t>
            </w:r>
            <w:r>
              <w:rPr>
                <w:lang w:eastAsia="en-AU"/>
              </w:rPr>
              <w:fldChar w:fldCharType="end"/>
            </w:r>
            <w:r>
              <w:rPr>
                <w:lang w:eastAsia="en-AU"/>
              </w:rPr>
              <w:tab/>
            </w:r>
            <w:r>
              <w:rPr>
                <w:lang w:eastAsia="en-AU"/>
              </w:rPr>
              <w:fldChar w:fldCharType="begin"/>
            </w:r>
            <w:r>
              <w:rPr>
                <w:lang w:eastAsia="en-AU"/>
              </w:rPr>
              <w:instrText xml:space="preserve"> REF _Ref409424811 \h </w:instrText>
            </w:r>
            <w:r>
              <w:rPr>
                <w:lang w:eastAsia="en-AU"/>
              </w:rPr>
            </w:r>
            <w:r>
              <w:rPr>
                <w:lang w:eastAsia="en-AU"/>
              </w:rPr>
              <w:fldChar w:fldCharType="separate"/>
            </w:r>
            <w:r>
              <w:t>Dr Skopec’s own alleged prior ‘use’</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[531]</w:t>
            </w:r>
          </w:p>
        </w:tc>
      </w:tr>
      <w:tr w:rsidR="002548F4" w:rsidRPr="00D326DB" w:rsidTr="002548F4">
        <w:tc>
          <w:tcPr>
            <w:tcW w:w="8507" w:type="dxa"/>
            <w:shd w:val="clear" w:color="auto" w:fill="auto"/>
          </w:tcPr>
          <w:p w:rsidR="002548F4" w:rsidRPr="002548F4" w:rsidRDefault="002548F4" w:rsidP="002548F4">
            <w:pPr>
              <w:pStyle w:val="FTOC7"/>
              <w:tabs>
                <w:tab w:val="clear" w:pos="9072"/>
              </w:tabs>
              <w:rPr>
                <w:i w:val="0"/>
                <w:lang w:eastAsia="en-AU"/>
              </w:rPr>
            </w:pPr>
            <w:r>
              <w:rPr>
                <w:lang w:eastAsia="en-AU"/>
              </w:rPr>
              <w:fldChar w:fldCharType="begin"/>
            </w:r>
            <w:r>
              <w:rPr>
                <w:lang w:eastAsia="en-AU"/>
              </w:rPr>
              <w:instrText xml:space="preserve"> REF _Ref404090361 \w \h </w:instrText>
            </w:r>
            <w:r>
              <w:rPr>
                <w:lang w:eastAsia="en-AU"/>
              </w:rPr>
            </w:r>
            <w:r>
              <w:rPr>
                <w:lang w:eastAsia="en-AU"/>
              </w:rPr>
              <w:fldChar w:fldCharType="separate"/>
            </w:r>
            <w:r>
              <w:rPr>
                <w:lang w:eastAsia="en-AU"/>
              </w:rPr>
              <w:t>8.3.5</w:t>
            </w:r>
            <w:r>
              <w:rPr>
                <w:lang w:eastAsia="en-AU"/>
              </w:rPr>
              <w:fldChar w:fldCharType="end"/>
            </w:r>
            <w:r>
              <w:rPr>
                <w:lang w:eastAsia="en-AU"/>
              </w:rPr>
              <w:tab/>
            </w:r>
            <w:r>
              <w:rPr>
                <w:lang w:eastAsia="en-AU"/>
              </w:rPr>
              <w:fldChar w:fldCharType="begin"/>
            </w:r>
            <w:r>
              <w:rPr>
                <w:lang w:eastAsia="en-AU"/>
              </w:rPr>
              <w:instrText xml:space="preserve"> REF _Ref404090361 \h </w:instrText>
            </w:r>
            <w:r>
              <w:rPr>
                <w:lang w:eastAsia="en-AU"/>
              </w:rPr>
            </w:r>
            <w:r>
              <w:rPr>
                <w:lang w:eastAsia="en-AU"/>
              </w:rPr>
              <w:fldChar w:fldCharType="separate"/>
            </w:r>
            <w:r>
              <w:t>Publication of the ACT Tool operating instructions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[536]</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_Ref436660798 \w \h </w:instrText>
            </w:r>
            <w:r>
              <w:rPr>
                <w:lang w:eastAsia="en-AU"/>
              </w:rPr>
            </w:r>
            <w:r>
              <w:rPr>
                <w:lang w:eastAsia="en-AU"/>
              </w:rPr>
              <w:fldChar w:fldCharType="separate"/>
            </w:r>
            <w:r>
              <w:rPr>
                <w:lang w:eastAsia="en-AU"/>
              </w:rPr>
              <w:t>8.4</w:t>
            </w:r>
            <w:r>
              <w:rPr>
                <w:lang w:eastAsia="en-AU"/>
              </w:rPr>
              <w:fldChar w:fldCharType="end"/>
            </w:r>
            <w:r>
              <w:rPr>
                <w:lang w:eastAsia="en-AU"/>
              </w:rPr>
              <w:tab/>
            </w:r>
            <w:r>
              <w:rPr>
                <w:lang w:eastAsia="en-AU"/>
              </w:rPr>
              <w:fldChar w:fldCharType="begin"/>
            </w:r>
            <w:r>
              <w:rPr>
                <w:lang w:eastAsia="en-AU"/>
              </w:rPr>
              <w:instrText xml:space="preserve"> REF _Ref436660798 \h </w:instrText>
            </w:r>
            <w:r>
              <w:rPr>
                <w:lang w:eastAsia="en-AU"/>
              </w:rPr>
            </w:r>
            <w:r>
              <w:rPr>
                <w:lang w:eastAsia="en-AU"/>
              </w:rPr>
              <w:fldChar w:fldCharType="separate"/>
            </w:r>
            <w:r>
              <w:t>Novelty – prior use</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[540]</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_Ref410890370 \w \h </w:instrText>
            </w:r>
            <w:r>
              <w:rPr>
                <w:lang w:eastAsia="en-AU"/>
              </w:rPr>
            </w:r>
            <w:r>
              <w:rPr>
                <w:lang w:eastAsia="en-AU"/>
              </w:rPr>
              <w:fldChar w:fldCharType="separate"/>
            </w:r>
            <w:r>
              <w:rPr>
                <w:lang w:eastAsia="en-AU"/>
              </w:rPr>
              <w:t>8.5</w:t>
            </w:r>
            <w:r>
              <w:rPr>
                <w:lang w:eastAsia="en-AU"/>
              </w:rPr>
              <w:fldChar w:fldCharType="end"/>
            </w:r>
            <w:r>
              <w:rPr>
                <w:lang w:eastAsia="en-AU"/>
              </w:rPr>
              <w:tab/>
            </w:r>
            <w:r>
              <w:rPr>
                <w:lang w:eastAsia="en-AU"/>
              </w:rPr>
              <w:fldChar w:fldCharType="begin"/>
            </w:r>
            <w:r>
              <w:rPr>
                <w:lang w:eastAsia="en-AU"/>
              </w:rPr>
              <w:instrText xml:space="preserve"> REF _Ref410890370 \h </w:instrText>
            </w:r>
            <w:r>
              <w:rPr>
                <w:lang w:eastAsia="en-AU"/>
              </w:rPr>
            </w:r>
            <w:r>
              <w:rPr>
                <w:lang w:eastAsia="en-AU"/>
              </w:rPr>
              <w:fldChar w:fldCharType="separate"/>
            </w:r>
            <w:r>
              <w:t>Consideration of the prior use arguments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[604]</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_Ref436891536 \w \h </w:instrText>
            </w:r>
            <w:r>
              <w:rPr>
                <w:lang w:eastAsia="en-AU"/>
              </w:rPr>
            </w:r>
            <w:r>
              <w:rPr>
                <w:lang w:eastAsia="en-AU"/>
              </w:rPr>
              <w:fldChar w:fldCharType="separate"/>
            </w:r>
            <w:r>
              <w:rPr>
                <w:lang w:eastAsia="en-AU"/>
              </w:rPr>
              <w:t>8.6</w:t>
            </w:r>
            <w:r>
              <w:rPr>
                <w:lang w:eastAsia="en-AU"/>
              </w:rPr>
              <w:fldChar w:fldCharType="end"/>
            </w:r>
            <w:r>
              <w:rPr>
                <w:lang w:eastAsia="en-AU"/>
              </w:rPr>
              <w:tab/>
            </w:r>
            <w:r>
              <w:rPr>
                <w:lang w:eastAsia="en-AU"/>
              </w:rPr>
              <w:fldChar w:fldCharType="begin"/>
            </w:r>
            <w:r>
              <w:rPr>
                <w:lang w:eastAsia="en-AU"/>
              </w:rPr>
              <w:instrText xml:space="preserve"> REF _Ref436891536 \h </w:instrText>
            </w:r>
            <w:r>
              <w:rPr>
                <w:lang w:eastAsia="en-AU"/>
              </w:rPr>
            </w:r>
            <w:r>
              <w:rPr>
                <w:lang w:eastAsia="en-AU"/>
              </w:rPr>
              <w:fldChar w:fldCharType="separate"/>
            </w:r>
            <w:r>
              <w:t>Innovative step – s 18(1A)(b)(ii)</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[668]</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lastRenderedPageBreak/>
              <w:fldChar w:fldCharType="begin"/>
            </w:r>
            <w:r>
              <w:rPr>
                <w:lang w:eastAsia="en-AU"/>
              </w:rPr>
              <w:instrText xml:space="preserve"> REF _Ref436891537 \w \h </w:instrText>
            </w:r>
            <w:r>
              <w:rPr>
                <w:lang w:eastAsia="en-AU"/>
              </w:rPr>
            </w:r>
            <w:r>
              <w:rPr>
                <w:lang w:eastAsia="en-AU"/>
              </w:rPr>
              <w:fldChar w:fldCharType="separate"/>
            </w:r>
            <w:r>
              <w:rPr>
                <w:lang w:eastAsia="en-AU"/>
              </w:rPr>
              <w:t>8.7</w:t>
            </w:r>
            <w:r>
              <w:rPr>
                <w:lang w:eastAsia="en-AU"/>
              </w:rPr>
              <w:fldChar w:fldCharType="end"/>
            </w:r>
            <w:r>
              <w:rPr>
                <w:lang w:eastAsia="en-AU"/>
              </w:rPr>
              <w:tab/>
            </w:r>
            <w:r>
              <w:rPr>
                <w:lang w:eastAsia="en-AU"/>
              </w:rPr>
              <w:fldChar w:fldCharType="begin"/>
            </w:r>
            <w:r>
              <w:rPr>
                <w:lang w:eastAsia="en-AU"/>
              </w:rPr>
              <w:instrText xml:space="preserve"> REF _Ref436891537 \h </w:instrText>
            </w:r>
            <w:r>
              <w:rPr>
                <w:lang w:eastAsia="en-AU"/>
              </w:rPr>
            </w:r>
            <w:r>
              <w:rPr>
                <w:lang w:eastAsia="en-AU"/>
              </w:rPr>
              <w:fldChar w:fldCharType="separate"/>
            </w:r>
            <w:r>
              <w:t>Lack of fair basis – s 40(3)</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[683]</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_Ref436891538 \w \h </w:instrText>
            </w:r>
            <w:r>
              <w:rPr>
                <w:lang w:eastAsia="en-AU"/>
              </w:rPr>
            </w:r>
            <w:r>
              <w:rPr>
                <w:lang w:eastAsia="en-AU"/>
              </w:rPr>
              <w:fldChar w:fldCharType="separate"/>
            </w:r>
            <w:r>
              <w:rPr>
                <w:lang w:eastAsia="en-AU"/>
              </w:rPr>
              <w:t>8.8</w:t>
            </w:r>
            <w:r>
              <w:rPr>
                <w:lang w:eastAsia="en-AU"/>
              </w:rPr>
              <w:fldChar w:fldCharType="end"/>
            </w:r>
            <w:r>
              <w:rPr>
                <w:lang w:eastAsia="en-AU"/>
              </w:rPr>
              <w:tab/>
            </w:r>
            <w:r>
              <w:rPr>
                <w:lang w:eastAsia="en-AU"/>
              </w:rPr>
              <w:fldChar w:fldCharType="begin"/>
            </w:r>
            <w:r>
              <w:rPr>
                <w:lang w:eastAsia="en-AU"/>
              </w:rPr>
              <w:instrText xml:space="preserve"> REF _Ref436891538 \h </w:instrText>
            </w:r>
            <w:r>
              <w:rPr>
                <w:lang w:eastAsia="en-AU"/>
              </w:rPr>
            </w:r>
            <w:r>
              <w:rPr>
                <w:lang w:eastAsia="en-AU"/>
              </w:rPr>
              <w:fldChar w:fldCharType="separate"/>
            </w:r>
            <w:r>
              <w:t>False suggestion or misrepresentation – s 138(3)(d)</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[687]</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_Ref436891539 \w \h </w:instrText>
            </w:r>
            <w:r>
              <w:rPr>
                <w:lang w:eastAsia="en-AU"/>
              </w:rPr>
            </w:r>
            <w:r>
              <w:rPr>
                <w:lang w:eastAsia="en-AU"/>
              </w:rPr>
              <w:fldChar w:fldCharType="separate"/>
            </w:r>
            <w:r>
              <w:rPr>
                <w:lang w:eastAsia="en-AU"/>
              </w:rPr>
              <w:t>8.9</w:t>
            </w:r>
            <w:r>
              <w:rPr>
                <w:lang w:eastAsia="en-AU"/>
              </w:rPr>
              <w:fldChar w:fldCharType="end"/>
            </w:r>
            <w:r>
              <w:rPr>
                <w:lang w:eastAsia="en-AU"/>
              </w:rPr>
              <w:tab/>
            </w:r>
            <w:r>
              <w:rPr>
                <w:lang w:eastAsia="en-AU"/>
              </w:rPr>
              <w:fldChar w:fldCharType="begin"/>
            </w:r>
            <w:r>
              <w:rPr>
                <w:lang w:eastAsia="en-AU"/>
              </w:rPr>
              <w:instrText xml:space="preserve"> REF _Ref436891539 \h </w:instrText>
            </w:r>
            <w:r>
              <w:rPr>
                <w:lang w:eastAsia="en-AU"/>
              </w:rPr>
            </w:r>
            <w:r>
              <w:rPr>
                <w:lang w:eastAsia="en-AU"/>
              </w:rPr>
              <w:fldChar w:fldCharType="separate"/>
            </w:r>
            <w:r>
              <w:t>Lack of utility – s 18(1A)(c)</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[696]</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_Ref436660799 \w \h </w:instrText>
            </w:r>
            <w:r>
              <w:rPr>
                <w:lang w:eastAsia="en-AU"/>
              </w:rPr>
            </w:r>
            <w:r>
              <w:rPr>
                <w:lang w:eastAsia="en-AU"/>
              </w:rPr>
              <w:fldChar w:fldCharType="separate"/>
            </w:r>
            <w:r>
              <w:rPr>
                <w:lang w:eastAsia="en-AU"/>
              </w:rPr>
              <w:t>8.10</w:t>
            </w:r>
            <w:r>
              <w:rPr>
                <w:lang w:eastAsia="en-AU"/>
              </w:rPr>
              <w:fldChar w:fldCharType="end"/>
            </w:r>
            <w:r>
              <w:rPr>
                <w:lang w:eastAsia="en-AU"/>
              </w:rPr>
              <w:tab/>
            </w:r>
            <w:r>
              <w:rPr>
                <w:lang w:eastAsia="en-AU"/>
              </w:rPr>
              <w:fldChar w:fldCharType="begin"/>
            </w:r>
            <w:r>
              <w:rPr>
                <w:lang w:eastAsia="en-AU"/>
              </w:rPr>
              <w:instrText xml:space="preserve"> REF _Ref436660799 \h </w:instrText>
            </w:r>
            <w:r>
              <w:rPr>
                <w:lang w:eastAsia="en-AU"/>
              </w:rPr>
            </w:r>
            <w:r>
              <w:rPr>
                <w:lang w:eastAsia="en-AU"/>
              </w:rPr>
              <w:fldChar w:fldCharType="separate"/>
            </w:r>
            <w:r>
              <w:t>Insufficiency of description – s 40(2)(a)</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[720]</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_Ref436660800 \w \h </w:instrText>
            </w:r>
            <w:r>
              <w:rPr>
                <w:lang w:eastAsia="en-AU"/>
              </w:rPr>
            </w:r>
            <w:r>
              <w:rPr>
                <w:lang w:eastAsia="en-AU"/>
              </w:rPr>
              <w:fldChar w:fldCharType="separate"/>
            </w:r>
            <w:r>
              <w:rPr>
                <w:lang w:eastAsia="en-AU"/>
              </w:rPr>
              <w:t>8.11</w:t>
            </w:r>
            <w:r>
              <w:rPr>
                <w:lang w:eastAsia="en-AU"/>
              </w:rPr>
              <w:fldChar w:fldCharType="end"/>
            </w:r>
            <w:r>
              <w:rPr>
                <w:lang w:eastAsia="en-AU"/>
              </w:rPr>
              <w:tab/>
            </w:r>
            <w:r>
              <w:rPr>
                <w:lang w:eastAsia="en-AU"/>
              </w:rPr>
              <w:fldChar w:fldCharType="begin"/>
            </w:r>
            <w:r>
              <w:rPr>
                <w:lang w:eastAsia="en-AU"/>
              </w:rPr>
              <w:instrText xml:space="preserve"> REF _Ref436660800 \h </w:instrText>
            </w:r>
            <w:r>
              <w:rPr>
                <w:lang w:eastAsia="en-AU"/>
              </w:rPr>
            </w:r>
            <w:r>
              <w:rPr>
                <w:lang w:eastAsia="en-AU"/>
              </w:rPr>
              <w:fldChar w:fldCharType="separate"/>
            </w:r>
            <w:r>
              <w:t>Definition of the invention – s 40(2)(c)</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[730]</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_Ref436660801 \w \h </w:instrText>
            </w:r>
            <w:r>
              <w:rPr>
                <w:lang w:eastAsia="en-AU"/>
              </w:rPr>
            </w:r>
            <w:r>
              <w:rPr>
                <w:lang w:eastAsia="en-AU"/>
              </w:rPr>
              <w:fldChar w:fldCharType="separate"/>
            </w:r>
            <w:r>
              <w:rPr>
                <w:lang w:eastAsia="en-AU"/>
              </w:rPr>
              <w:t>8.12</w:t>
            </w:r>
            <w:r>
              <w:rPr>
                <w:lang w:eastAsia="en-AU"/>
              </w:rPr>
              <w:fldChar w:fldCharType="end"/>
            </w:r>
            <w:r>
              <w:rPr>
                <w:lang w:eastAsia="en-AU"/>
              </w:rPr>
              <w:tab/>
            </w:r>
            <w:r>
              <w:rPr>
                <w:lang w:eastAsia="en-AU"/>
              </w:rPr>
              <w:fldChar w:fldCharType="begin"/>
            </w:r>
            <w:r>
              <w:rPr>
                <w:lang w:eastAsia="en-AU"/>
              </w:rPr>
              <w:instrText xml:space="preserve"> REF _Ref436660801 \h </w:instrText>
            </w:r>
            <w:r>
              <w:rPr>
                <w:lang w:eastAsia="en-AU"/>
              </w:rPr>
            </w:r>
            <w:r>
              <w:rPr>
                <w:lang w:eastAsia="en-AU"/>
              </w:rPr>
              <w:fldChar w:fldCharType="separate"/>
            </w:r>
            <w:r>
              <w:t>Clarity – s 40(3)</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[734]</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_Ref436891540 \w \h </w:instrText>
            </w:r>
            <w:r>
              <w:rPr>
                <w:lang w:eastAsia="en-AU"/>
              </w:rPr>
            </w:r>
            <w:r>
              <w:rPr>
                <w:lang w:eastAsia="en-AU"/>
              </w:rPr>
              <w:fldChar w:fldCharType="separate"/>
            </w:r>
            <w:r>
              <w:rPr>
                <w:lang w:eastAsia="en-AU"/>
              </w:rPr>
              <w:t>8.13</w:t>
            </w:r>
            <w:r>
              <w:rPr>
                <w:lang w:eastAsia="en-AU"/>
              </w:rPr>
              <w:fldChar w:fldCharType="end"/>
            </w:r>
            <w:r>
              <w:rPr>
                <w:lang w:eastAsia="en-AU"/>
              </w:rPr>
              <w:tab/>
            </w:r>
            <w:r>
              <w:rPr>
                <w:lang w:eastAsia="en-AU"/>
              </w:rPr>
              <w:fldChar w:fldCharType="begin"/>
            </w:r>
            <w:r>
              <w:rPr>
                <w:lang w:eastAsia="en-AU"/>
              </w:rPr>
              <w:instrText xml:space="preserve"> REF _Ref436891540 \h </w:instrText>
            </w:r>
            <w:r>
              <w:rPr>
                <w:lang w:eastAsia="en-AU"/>
              </w:rPr>
            </w:r>
            <w:r>
              <w:rPr>
                <w:lang w:eastAsia="en-AU"/>
              </w:rPr>
              <w:fldChar w:fldCharType="separate"/>
            </w:r>
            <w:r>
              <w:t>Prior secret use – s 18(1A)(d)</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[737]</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_Ref436891541 \w \h </w:instrText>
            </w:r>
            <w:r>
              <w:rPr>
                <w:lang w:eastAsia="en-AU"/>
              </w:rPr>
            </w:r>
            <w:r>
              <w:rPr>
                <w:lang w:eastAsia="en-AU"/>
              </w:rPr>
              <w:fldChar w:fldCharType="separate"/>
            </w:r>
            <w:r>
              <w:rPr>
                <w:lang w:eastAsia="en-AU"/>
              </w:rPr>
              <w:t>8.14</w:t>
            </w:r>
            <w:r>
              <w:rPr>
                <w:lang w:eastAsia="en-AU"/>
              </w:rPr>
              <w:fldChar w:fldCharType="end"/>
            </w:r>
            <w:r>
              <w:rPr>
                <w:lang w:eastAsia="en-AU"/>
              </w:rPr>
              <w:tab/>
            </w:r>
            <w:r>
              <w:rPr>
                <w:lang w:eastAsia="en-AU"/>
              </w:rPr>
              <w:fldChar w:fldCharType="begin"/>
            </w:r>
            <w:r>
              <w:rPr>
                <w:lang w:eastAsia="en-AU"/>
              </w:rPr>
              <w:instrText xml:space="preserve"> REF _Ref436891541 \h </w:instrText>
            </w:r>
            <w:r>
              <w:rPr>
                <w:lang w:eastAsia="en-AU"/>
              </w:rPr>
            </w:r>
            <w:r>
              <w:rPr>
                <w:lang w:eastAsia="en-AU"/>
              </w:rPr>
              <w:fldChar w:fldCharType="separate"/>
            </w:r>
            <w:r>
              <w:t>No manner of manufacture – s 18(1A)(a)</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[758]</w:t>
            </w:r>
          </w:p>
        </w:tc>
      </w:tr>
      <w:tr w:rsidR="002548F4" w:rsidRPr="00D326DB" w:rsidTr="002548F4">
        <w:tc>
          <w:tcPr>
            <w:tcW w:w="8507" w:type="dxa"/>
            <w:shd w:val="clear" w:color="auto" w:fill="auto"/>
          </w:tcPr>
          <w:p w:rsidR="002548F4" w:rsidRPr="002548F4" w:rsidRDefault="002548F4" w:rsidP="002548F4">
            <w:pPr>
              <w:pStyle w:val="FTOC6"/>
              <w:tabs>
                <w:tab w:val="clear" w:pos="9072"/>
              </w:tabs>
              <w:rPr>
                <w:lang w:eastAsia="en-AU"/>
              </w:rPr>
            </w:pPr>
            <w:r>
              <w:rPr>
                <w:lang w:eastAsia="en-AU"/>
              </w:rPr>
              <w:fldChar w:fldCharType="begin"/>
            </w:r>
            <w:r>
              <w:rPr>
                <w:lang w:eastAsia="en-AU"/>
              </w:rPr>
              <w:instrText xml:space="preserve"> REF _Ref436730553 \w \h </w:instrText>
            </w:r>
            <w:r>
              <w:rPr>
                <w:lang w:eastAsia="en-AU"/>
              </w:rPr>
            </w:r>
            <w:r>
              <w:rPr>
                <w:lang w:eastAsia="en-AU"/>
              </w:rPr>
              <w:fldChar w:fldCharType="separate"/>
            </w:r>
            <w:r>
              <w:rPr>
                <w:lang w:eastAsia="en-AU"/>
              </w:rPr>
              <w:t>8.15</w:t>
            </w:r>
            <w:r>
              <w:rPr>
                <w:lang w:eastAsia="en-AU"/>
              </w:rPr>
              <w:fldChar w:fldCharType="end"/>
            </w:r>
            <w:r>
              <w:rPr>
                <w:lang w:eastAsia="en-AU"/>
              </w:rPr>
              <w:tab/>
            </w:r>
            <w:r>
              <w:rPr>
                <w:lang w:eastAsia="en-AU"/>
              </w:rPr>
              <w:fldChar w:fldCharType="begin"/>
            </w:r>
            <w:r>
              <w:rPr>
                <w:lang w:eastAsia="en-AU"/>
              </w:rPr>
              <w:instrText xml:space="preserve"> REF _Ref436730553 \h </w:instrText>
            </w:r>
            <w:r>
              <w:rPr>
                <w:lang w:eastAsia="en-AU"/>
              </w:rPr>
            </w:r>
            <w:r>
              <w:rPr>
                <w:lang w:eastAsia="en-AU"/>
              </w:rPr>
              <w:fldChar w:fldCharType="separate"/>
            </w:r>
            <w:r>
              <w:t>Unjustified threats and the ACL claims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[765]</w:t>
            </w:r>
          </w:p>
        </w:tc>
      </w:tr>
      <w:tr w:rsidR="002548F4" w:rsidRPr="00D326DB" w:rsidTr="002548F4">
        <w:tc>
          <w:tcPr>
            <w:tcW w:w="8507" w:type="dxa"/>
            <w:shd w:val="clear" w:color="auto" w:fill="auto"/>
          </w:tcPr>
          <w:p w:rsidR="002548F4" w:rsidRPr="002548F4" w:rsidRDefault="002548F4" w:rsidP="002548F4">
            <w:pPr>
              <w:pStyle w:val="FTOC5"/>
              <w:tabs>
                <w:tab w:val="clear" w:pos="9072"/>
              </w:tabs>
              <w:rPr>
                <w:lang w:eastAsia="en-AU"/>
              </w:rPr>
            </w:pPr>
            <w:r>
              <w:rPr>
                <w:lang w:eastAsia="en-AU"/>
              </w:rPr>
              <w:fldChar w:fldCharType="begin"/>
            </w:r>
            <w:r>
              <w:rPr>
                <w:lang w:eastAsia="en-AU"/>
              </w:rPr>
              <w:instrText xml:space="preserve"> REF _Ref410890374 \w \h </w:instrText>
            </w:r>
            <w:r>
              <w:rPr>
                <w:lang w:eastAsia="en-AU"/>
              </w:rPr>
            </w:r>
            <w:r>
              <w:rPr>
                <w:lang w:eastAsia="en-AU"/>
              </w:rPr>
              <w:fldChar w:fldCharType="separate"/>
            </w:r>
            <w:r>
              <w:rPr>
                <w:lang w:eastAsia="en-AU"/>
              </w:rPr>
              <w:t>9</w:t>
            </w:r>
            <w:r>
              <w:rPr>
                <w:lang w:eastAsia="en-AU"/>
              </w:rPr>
              <w:fldChar w:fldCharType="end"/>
            </w:r>
            <w:r>
              <w:rPr>
                <w:lang w:eastAsia="en-AU"/>
              </w:rPr>
              <w:tab/>
            </w:r>
            <w:r>
              <w:rPr>
                <w:lang w:eastAsia="en-AU"/>
              </w:rPr>
              <w:fldChar w:fldCharType="begin"/>
            </w:r>
            <w:r>
              <w:rPr>
                <w:lang w:eastAsia="en-AU"/>
              </w:rPr>
              <w:instrText xml:space="preserve"> REF _Ref410890374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[770]</w:t>
            </w:r>
          </w:p>
        </w:tc>
      </w:tr>
      <w:tr w:rsidR="002548F4" w:rsidRPr="00D326DB" w:rsidTr="002548F4">
        <w:tc>
          <w:tcPr>
            <w:tcW w:w="8507" w:type="dxa"/>
            <w:shd w:val="clear" w:color="auto" w:fill="auto"/>
          </w:tcPr>
          <w:p w:rsidR="002548F4" w:rsidRPr="002548F4" w:rsidRDefault="002548F4" w:rsidP="002548F4">
            <w:pPr>
              <w:pStyle w:val="FTOC1"/>
              <w:tabs>
                <w:tab w:val="clear" w:pos="9072"/>
              </w:tabs>
              <w:rPr>
                <w:lang w:eastAsia="en-AU"/>
              </w:rPr>
            </w:pPr>
            <w:r>
              <w:rPr>
                <w:lang w:eastAsia="en-AU"/>
              </w:rPr>
              <w:fldChar w:fldCharType="begin"/>
            </w:r>
            <w:r>
              <w:rPr>
                <w:lang w:eastAsia="en-AU"/>
              </w:rPr>
              <w:instrText xml:space="preserve"> REF _Ref436891542 \h </w:instrText>
            </w:r>
            <w:r>
              <w:rPr>
                <w:lang w:eastAsia="en-AU"/>
              </w:rPr>
            </w:r>
            <w:r>
              <w:rPr>
                <w:lang w:eastAsia="en-AU"/>
              </w:rPr>
              <w:fldChar w:fldCharType="separate"/>
            </w:r>
            <w:r>
              <w:t xml:space="preserve">APPENDIX </w:t>
            </w:r>
            <w:r w:rsidRPr="008D4DCF">
              <w:t>A</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[773]</w:t>
            </w:r>
          </w:p>
        </w:tc>
      </w:tr>
      <w:tr w:rsidR="002548F4" w:rsidRPr="00D326DB" w:rsidTr="002548F4">
        <w:tc>
          <w:tcPr>
            <w:tcW w:w="8507" w:type="dxa"/>
            <w:shd w:val="clear" w:color="auto" w:fill="auto"/>
          </w:tcPr>
          <w:p w:rsidR="002548F4" w:rsidRPr="002548F4" w:rsidRDefault="002548F4" w:rsidP="002548F4">
            <w:pPr>
              <w:pStyle w:val="FTOC1"/>
              <w:tabs>
                <w:tab w:val="clear" w:pos="9072"/>
              </w:tabs>
              <w:rPr>
                <w:lang w:eastAsia="en-AU"/>
              </w:rPr>
            </w:pPr>
            <w:r>
              <w:rPr>
                <w:lang w:eastAsia="en-AU"/>
              </w:rPr>
              <w:fldChar w:fldCharType="begin"/>
            </w:r>
            <w:r>
              <w:rPr>
                <w:lang w:eastAsia="en-AU"/>
              </w:rPr>
              <w:instrText xml:space="preserve"> REF _Ref437347546 \h </w:instrText>
            </w:r>
            <w:r>
              <w:rPr>
                <w:lang w:eastAsia="en-AU"/>
              </w:rPr>
            </w:r>
            <w:r>
              <w:rPr>
                <w:lang w:eastAsia="en-AU"/>
              </w:rPr>
              <w:fldChar w:fldCharType="separate"/>
            </w:r>
            <w:r>
              <w:t>APPENDIX B - RULINGS</w:t>
            </w:r>
            <w:r>
              <w:rPr>
                <w:lang w:eastAsia="en-AU"/>
              </w:rPr>
              <w:fldChar w:fldCharType="end"/>
            </w:r>
          </w:p>
        </w:tc>
        <w:tc>
          <w:tcPr>
            <w:tcW w:w="1000" w:type="dxa"/>
            <w:shd w:val="clear" w:color="auto" w:fill="auto"/>
            <w:vAlign w:val="bottom"/>
          </w:tcPr>
          <w:p w:rsidR="002548F4" w:rsidRDefault="002548F4">
            <w:pPr>
              <w:jc w:val="right"/>
              <w:rPr>
                <w:szCs w:val="24"/>
              </w:rPr>
            </w:pPr>
            <w:r>
              <w:rPr>
                <w:szCs w:val="24"/>
              </w:rPr>
              <w:t>[774]</w:t>
            </w:r>
          </w:p>
        </w:tc>
      </w:tr>
      <w:bookmarkEnd w:id="19"/>
    </w:tbl>
    <w:p w:rsidR="00896E10" w:rsidRPr="00896E10" w:rsidRDefault="00896E10" w:rsidP="00896E10"/>
    <w:p w:rsidR="009275F5" w:rsidRDefault="00CD2D69" w:rsidP="00CD2D69">
      <w:pPr>
        <w:pStyle w:val="Heading5"/>
      </w:pPr>
      <w:bookmarkStart w:id="20" w:name="_Ref403035667"/>
      <w:r>
        <w:t>THE DISPUTE</w:t>
      </w:r>
      <w:bookmarkEnd w:id="20"/>
    </w:p>
    <w:p w:rsidR="00CD2D69" w:rsidRDefault="00D7602E" w:rsidP="00CD2D69">
      <w:pPr>
        <w:pStyle w:val="ParaNumbering"/>
      </w:pPr>
      <w:r>
        <w:t xml:space="preserve">This proceeding commences, in this iteration at least, as a </w:t>
      </w:r>
      <w:r w:rsidR="007D7390">
        <w:t xml:space="preserve">claim for relief in respect of infringement of two innovation </w:t>
      </w:r>
      <w:r w:rsidR="007D7390" w:rsidRPr="00E3668B">
        <w:rPr>
          <w:b/>
        </w:rPr>
        <w:t>patents</w:t>
      </w:r>
      <w:r w:rsidR="007D7390">
        <w:t>.  The Patents relate to a system and method for orienting core samples extracted from the ground</w:t>
      </w:r>
      <w:r w:rsidR="00E3668B">
        <w:t xml:space="preserve">, commonly used in connection with geological surveying operations and </w:t>
      </w:r>
      <w:r w:rsidR="0089757C">
        <w:t>other</w:t>
      </w:r>
      <w:r w:rsidR="00E3668B">
        <w:t xml:space="preserve"> drilling operations</w:t>
      </w:r>
      <w:r w:rsidR="007B5E1C">
        <w:t>.</w:t>
      </w:r>
    </w:p>
    <w:p w:rsidR="00F112F6" w:rsidRDefault="0064409B" w:rsidP="00CD2D69">
      <w:pPr>
        <w:pStyle w:val="ParaNumbering"/>
      </w:pPr>
      <w:r>
        <w:t xml:space="preserve">Underground samples of </w:t>
      </w:r>
      <w:r w:rsidR="00F719C6">
        <w:t>ore bodies are collected by a drill</w:t>
      </w:r>
      <w:r>
        <w:t xml:space="preserve"> which extracts a core</w:t>
      </w:r>
      <w:r w:rsidR="00F719C6">
        <w:t xml:space="preserve">.  The core samples so collected can be analysed for their geological content.  The </w:t>
      </w:r>
      <w:r w:rsidR="00D46BB5">
        <w:t xml:space="preserve">quality </w:t>
      </w:r>
      <w:r w:rsidR="00F719C6">
        <w:t xml:space="preserve">of that </w:t>
      </w:r>
      <w:r w:rsidR="00D46BB5">
        <w:t xml:space="preserve">analysis </w:t>
      </w:r>
      <w:r w:rsidR="00F719C6">
        <w:t xml:space="preserve">depends </w:t>
      </w:r>
      <w:r w:rsidR="00D46BB5">
        <w:t xml:space="preserve">in part </w:t>
      </w:r>
      <w:r w:rsidR="00F719C6">
        <w:t xml:space="preserve">on </w:t>
      </w:r>
      <w:r w:rsidR="00E3668B">
        <w:t xml:space="preserve">identifying </w:t>
      </w:r>
      <w:r w:rsidR="00F719C6">
        <w:t>the orientation of the core sample</w:t>
      </w:r>
      <w:r w:rsidR="00463361">
        <w:t xml:space="preserve"> </w:t>
      </w:r>
      <w:r w:rsidR="00E3668B">
        <w:t xml:space="preserve">relative </w:t>
      </w:r>
      <w:r w:rsidR="00463361">
        <w:t xml:space="preserve">to the host material from which the core </w:t>
      </w:r>
      <w:r w:rsidR="00E3668B">
        <w:t xml:space="preserve">has been </w:t>
      </w:r>
      <w:r w:rsidR="00463361">
        <w:t>extracted</w:t>
      </w:r>
      <w:r w:rsidR="00F719C6">
        <w:t xml:space="preserve">.  </w:t>
      </w:r>
      <w:r w:rsidR="006512E2">
        <w:t>T</w:t>
      </w:r>
      <w:r w:rsidR="00F719C6">
        <w:t xml:space="preserve">ools have been invented to enable the core </w:t>
      </w:r>
      <w:r w:rsidR="00E3668B">
        <w:t xml:space="preserve">sample </w:t>
      </w:r>
      <w:r w:rsidR="00F719C6">
        <w:t xml:space="preserve">orientation </w:t>
      </w:r>
      <w:r w:rsidR="00D47DE4">
        <w:t>to be identified</w:t>
      </w:r>
      <w:r w:rsidR="00F719C6">
        <w:t>.  This case involves consideration of such tools, practices and</w:t>
      </w:r>
      <w:r w:rsidR="00E3668B">
        <w:t>,</w:t>
      </w:r>
      <w:r w:rsidR="00F719C6">
        <w:t xml:space="preserve"> </w:t>
      </w:r>
      <w:r w:rsidR="00F13309">
        <w:t>particularly</w:t>
      </w:r>
      <w:r w:rsidR="00E3668B">
        <w:t>,</w:t>
      </w:r>
      <w:r w:rsidR="00F13309">
        <w:t xml:space="preserve"> the </w:t>
      </w:r>
      <w:r w:rsidR="00E3668B">
        <w:t>P</w:t>
      </w:r>
      <w:r w:rsidR="00F719C6">
        <w:t>atents</w:t>
      </w:r>
      <w:r w:rsidR="00F13309">
        <w:t xml:space="preserve"> in suit</w:t>
      </w:r>
      <w:r w:rsidR="00F719C6">
        <w:t xml:space="preserve">.  </w:t>
      </w:r>
    </w:p>
    <w:p w:rsidR="00832D18" w:rsidRDefault="007D7390" w:rsidP="00154187">
      <w:pPr>
        <w:pStyle w:val="ParaNumbering"/>
      </w:pPr>
      <w:r>
        <w:t xml:space="preserve">For </w:t>
      </w:r>
      <w:r w:rsidR="005954AF">
        <w:t xml:space="preserve">the </w:t>
      </w:r>
      <w:r>
        <w:t xml:space="preserve">applicants, the primary </w:t>
      </w:r>
      <w:r w:rsidR="005954AF">
        <w:t xml:space="preserve">participants </w:t>
      </w:r>
      <w:r>
        <w:t>are Australian Mud Company Pty Ltd (</w:t>
      </w:r>
      <w:r w:rsidRPr="007D7390">
        <w:rPr>
          <w:b/>
        </w:rPr>
        <w:t>AMC</w:t>
      </w:r>
      <w:r>
        <w:t xml:space="preserve">) and </w:t>
      </w:r>
      <w:r w:rsidRPr="00E3668B">
        <w:rPr>
          <w:b/>
        </w:rPr>
        <w:t>Reflex</w:t>
      </w:r>
      <w:r>
        <w:t xml:space="preserve"> Instruments Asia Pacific Pty Ltd.  They are</w:t>
      </w:r>
      <w:r w:rsidR="005954AF" w:rsidRPr="005954AF">
        <w:t xml:space="preserve"> </w:t>
      </w:r>
      <w:r w:rsidR="005954AF">
        <w:t>respectively</w:t>
      </w:r>
      <w:r>
        <w:t xml:space="preserve"> the patentee and exclusive licensee of the Patents.  In turn, they are </w:t>
      </w:r>
      <w:r w:rsidR="00E3668B">
        <w:t xml:space="preserve">wholly owned </w:t>
      </w:r>
      <w:r>
        <w:t xml:space="preserve">subsidiaries of the publicly listed company, </w:t>
      </w:r>
      <w:r w:rsidRPr="00E3668B">
        <w:rPr>
          <w:b/>
        </w:rPr>
        <w:t>Imdex</w:t>
      </w:r>
      <w:r>
        <w:t xml:space="preserve"> Limited.  </w:t>
      </w:r>
    </w:p>
    <w:p w:rsidR="00832D18" w:rsidRDefault="007D7390" w:rsidP="00154187">
      <w:pPr>
        <w:pStyle w:val="ParaNumbering"/>
      </w:pPr>
      <w:r>
        <w:lastRenderedPageBreak/>
        <w:t>The tool which has been developed and commercialised by AMC for the orienting of core samples is described in the evidence as being the</w:t>
      </w:r>
      <w:r w:rsidR="00637758">
        <w:t xml:space="preserve"> </w:t>
      </w:r>
      <w:r w:rsidR="00E3668B">
        <w:t>‘</w:t>
      </w:r>
      <w:r w:rsidR="00BF240F">
        <w:rPr>
          <w:b/>
        </w:rPr>
        <w:t>ACT Tool</w:t>
      </w:r>
      <w:r w:rsidR="00E3668B">
        <w:t>’</w:t>
      </w:r>
      <w:r w:rsidR="00637758">
        <w:t xml:space="preserve"> </w:t>
      </w:r>
      <w:r>
        <w:t xml:space="preserve">or the </w:t>
      </w:r>
      <w:r w:rsidR="00E3668B">
        <w:t>‘</w:t>
      </w:r>
      <w:r w:rsidRPr="00023D0C">
        <w:t>Ace Core Tool</w:t>
      </w:r>
      <w:r w:rsidR="00E3668B">
        <w:t>’</w:t>
      </w:r>
      <w:r>
        <w:t xml:space="preserve">.  </w:t>
      </w:r>
    </w:p>
    <w:p w:rsidR="00A37118" w:rsidRDefault="007D7390" w:rsidP="00154187">
      <w:pPr>
        <w:pStyle w:val="ParaNumbering"/>
      </w:pPr>
      <w:r>
        <w:t>The respondent</w:t>
      </w:r>
      <w:r w:rsidR="00832D18">
        <w:t xml:space="preserve"> corporations</w:t>
      </w:r>
      <w:r>
        <w:t xml:space="preserve"> are a group of associated companies</w:t>
      </w:r>
      <w:r w:rsidR="00832D18">
        <w:t xml:space="preserve">. </w:t>
      </w:r>
      <w:r>
        <w:t xml:space="preserve"> </w:t>
      </w:r>
      <w:r w:rsidRPr="00E3668B">
        <w:rPr>
          <w:b/>
        </w:rPr>
        <w:t>Mr</w:t>
      </w:r>
      <w:r>
        <w:t> </w:t>
      </w:r>
      <w:r w:rsidR="00E3668B">
        <w:t xml:space="preserve">Nicky </w:t>
      </w:r>
      <w:r w:rsidRPr="00E3668B">
        <w:rPr>
          <w:b/>
        </w:rPr>
        <w:t>Kleyn</w:t>
      </w:r>
      <w:r w:rsidR="00832D18">
        <w:t xml:space="preserve"> </w:t>
      </w:r>
      <w:r>
        <w:t xml:space="preserve">is the sole </w:t>
      </w:r>
      <w:r w:rsidR="00E3668B">
        <w:t>sharehold</w:t>
      </w:r>
      <w:r w:rsidR="00023D0C">
        <w:t>er</w:t>
      </w:r>
      <w:r w:rsidR="004F11B0">
        <w:t xml:space="preserve"> in,</w:t>
      </w:r>
      <w:r w:rsidR="00E3668B">
        <w:t xml:space="preserve"> </w:t>
      </w:r>
      <w:r>
        <w:t xml:space="preserve">director and </w:t>
      </w:r>
      <w:r w:rsidR="0089757C">
        <w:t xml:space="preserve">company </w:t>
      </w:r>
      <w:r>
        <w:t>secretary of the first</w:t>
      </w:r>
      <w:r w:rsidR="00E3668B">
        <w:t xml:space="preserve"> respondent, </w:t>
      </w:r>
      <w:r w:rsidR="00E3668B" w:rsidRPr="00E3668B">
        <w:rPr>
          <w:b/>
        </w:rPr>
        <w:t>Coretell</w:t>
      </w:r>
      <w:r w:rsidR="00E3668B">
        <w:rPr>
          <w:b/>
        </w:rPr>
        <w:t>,</w:t>
      </w:r>
      <w:r w:rsidR="00E3668B">
        <w:t xml:space="preserve"> and the fourth respondent, </w:t>
      </w:r>
      <w:r w:rsidR="00E3668B" w:rsidRPr="00E3668B">
        <w:rPr>
          <w:b/>
        </w:rPr>
        <w:t>Kleyn Investments</w:t>
      </w:r>
      <w:r w:rsidR="00E3668B">
        <w:t xml:space="preserve"> Pty Ltd</w:t>
      </w:r>
      <w:r w:rsidR="006512E2">
        <w:t xml:space="preserve">.  </w:t>
      </w:r>
      <w:r w:rsidR="00E3668B">
        <w:t xml:space="preserve">He is one of two shareholders in, and directors of, the second respondent, </w:t>
      </w:r>
      <w:r w:rsidR="00E3668B" w:rsidRPr="00E3668B">
        <w:rPr>
          <w:b/>
        </w:rPr>
        <w:t>Mincrest</w:t>
      </w:r>
      <w:r w:rsidR="00E3668B">
        <w:t xml:space="preserve"> Holdings Pty Ltd (the other being his wife).  Mr Kleyn </w:t>
      </w:r>
      <w:r w:rsidR="006512E2">
        <w:t xml:space="preserve">is </w:t>
      </w:r>
      <w:r>
        <w:t xml:space="preserve">the third respondent.  </w:t>
      </w:r>
      <w:r w:rsidR="00154187">
        <w:t>Coretell causes to be made and thereafter hires or causes to be hired</w:t>
      </w:r>
      <w:r w:rsidR="00E3668B">
        <w:t>,</w:t>
      </w:r>
      <w:r w:rsidR="00154187">
        <w:t xml:space="preserve"> core orientation apparatus</w:t>
      </w:r>
      <w:r w:rsidR="00551DB9">
        <w:t xml:space="preserve"> known or described as the ‘</w:t>
      </w:r>
      <w:r w:rsidR="00551DB9" w:rsidRPr="0064409B">
        <w:rPr>
          <w:b/>
        </w:rPr>
        <w:t>ORI</w:t>
      </w:r>
      <w:r w:rsidR="00154187" w:rsidRPr="0064409B">
        <w:rPr>
          <w:b/>
        </w:rPr>
        <w:t>shot</w:t>
      </w:r>
      <w:r w:rsidR="00154187">
        <w:t>’</w:t>
      </w:r>
      <w:r w:rsidR="00215A04">
        <w:t xml:space="preserve"> or ‘</w:t>
      </w:r>
      <w:r w:rsidR="00215A04" w:rsidRPr="00215A04">
        <w:rPr>
          <w:b/>
        </w:rPr>
        <w:t>ORIShot Tool</w:t>
      </w:r>
      <w:r w:rsidR="00215A04">
        <w:t>’</w:t>
      </w:r>
      <w:r w:rsidR="00154187">
        <w:t xml:space="preserve">, both in Australia and in countries outside of Australia.  </w:t>
      </w:r>
      <w:r w:rsidR="00832D18">
        <w:t>The ORI</w:t>
      </w:r>
      <w:r w:rsidR="00154187">
        <w:t xml:space="preserve">shot </w:t>
      </w:r>
      <w:r w:rsidR="00EE7727">
        <w:t>apparatus</w:t>
      </w:r>
      <w:r w:rsidR="00832D18">
        <w:t xml:space="preserve"> </w:t>
      </w:r>
      <w:r w:rsidR="00154187">
        <w:t xml:space="preserve">is used by </w:t>
      </w:r>
      <w:r w:rsidR="005954AF">
        <w:t>exploration drillers under hiring</w:t>
      </w:r>
      <w:r w:rsidR="00154187">
        <w:t xml:space="preserve"> arrangements with Coretell.  </w:t>
      </w:r>
      <w:r w:rsidR="00B7037E">
        <w:t>A</w:t>
      </w:r>
      <w:r w:rsidR="00154187">
        <w:t xml:space="preserve">ccording to the respondents, </w:t>
      </w:r>
      <w:r w:rsidR="00B7037E">
        <w:t xml:space="preserve">Mincrest </w:t>
      </w:r>
      <w:r w:rsidR="00154187">
        <w:t xml:space="preserve">does not carry out trade or business in Australia, but acts as a trustee for a third party unconnected with the present proceedings or with any trade or </w:t>
      </w:r>
      <w:r w:rsidR="00EE7727">
        <w:t>business concerned with the ORI</w:t>
      </w:r>
      <w:r w:rsidR="00154187">
        <w:t xml:space="preserve">shot apparatus.  The respondents </w:t>
      </w:r>
      <w:r w:rsidR="00EE7727">
        <w:t xml:space="preserve">say </w:t>
      </w:r>
      <w:r w:rsidR="00154187">
        <w:t xml:space="preserve">that </w:t>
      </w:r>
      <w:r w:rsidR="00154187" w:rsidRPr="00B7037E">
        <w:t>Kleyn Investments</w:t>
      </w:r>
      <w:r w:rsidR="00154187">
        <w:t xml:space="preserve"> is not involved</w:t>
      </w:r>
      <w:r w:rsidR="00EE7727">
        <w:t xml:space="preserve"> in any exploitation of the ORI</w:t>
      </w:r>
      <w:r w:rsidR="00154187">
        <w:t xml:space="preserve">shot apparatus.  It trades in </w:t>
      </w:r>
      <w:r w:rsidR="00B7037E">
        <w:t xml:space="preserve">a </w:t>
      </w:r>
      <w:r w:rsidR="00154187">
        <w:t>different apparatus known as the ‘</w:t>
      </w:r>
      <w:r w:rsidR="00154187" w:rsidRPr="00B7037E">
        <w:rPr>
          <w:b/>
        </w:rPr>
        <w:t>Camteq Pro-</w:t>
      </w:r>
      <w:r w:rsidR="00B7037E" w:rsidRPr="00B7037E">
        <w:rPr>
          <w:b/>
        </w:rPr>
        <w:t>S</w:t>
      </w:r>
      <w:r w:rsidR="00154187" w:rsidRPr="00B7037E">
        <w:rPr>
          <w:b/>
        </w:rPr>
        <w:t>hot</w:t>
      </w:r>
      <w:r w:rsidR="00154187">
        <w:t xml:space="preserve"> Multi</w:t>
      </w:r>
      <w:r w:rsidR="00B7037E">
        <w:t xml:space="preserve"> </w:t>
      </w:r>
      <w:r w:rsidR="00154187">
        <w:t xml:space="preserve">shot Survey Instrument’.  </w:t>
      </w:r>
    </w:p>
    <w:p w:rsidR="006512E2" w:rsidRDefault="00154187" w:rsidP="00154187">
      <w:pPr>
        <w:pStyle w:val="ParaNumbering"/>
      </w:pPr>
      <w:r>
        <w:t xml:space="preserve">The applicants’ case is that the respondents </w:t>
      </w:r>
      <w:r w:rsidR="005954AF">
        <w:t xml:space="preserve">have </w:t>
      </w:r>
      <w:r>
        <w:t>infringed the Patents by making, selling, supplying and otherwise dealing in various tools for orienting core sample</w:t>
      </w:r>
      <w:r w:rsidR="00B7037E">
        <w:t>s</w:t>
      </w:r>
      <w:r>
        <w:t xml:space="preserve"> and have done so flagrantly</w:t>
      </w:r>
      <w:r w:rsidR="00B7037E">
        <w:t>,</w:t>
      </w:r>
      <w:r>
        <w:t xml:space="preserve"> with knowledge of</w:t>
      </w:r>
      <w:r w:rsidR="00B7037E">
        <w:t>,</w:t>
      </w:r>
      <w:r>
        <w:t xml:space="preserve"> and </w:t>
      </w:r>
      <w:r w:rsidR="00B7037E">
        <w:t>in disregard of</w:t>
      </w:r>
      <w:r w:rsidR="00215A04">
        <w:t>,</w:t>
      </w:r>
      <w:r w:rsidR="00B7037E">
        <w:t xml:space="preserve"> </w:t>
      </w:r>
      <w:r>
        <w:t xml:space="preserve">the applicants’ rights under the Patents, such as to support an award of additional damages for patent infringement under s 122(1A) of </w:t>
      </w:r>
      <w:r w:rsidR="007D7FA4">
        <w:t xml:space="preserve">the </w:t>
      </w:r>
      <w:r w:rsidR="002F5FD0" w:rsidRPr="00171C03">
        <w:rPr>
          <w:i/>
        </w:rPr>
        <w:t xml:space="preserve">Patents </w:t>
      </w:r>
      <w:r w:rsidR="007D7FA4" w:rsidRPr="00B7037E">
        <w:rPr>
          <w:b/>
          <w:i/>
        </w:rPr>
        <w:t>Act</w:t>
      </w:r>
      <w:r w:rsidRPr="00171C03">
        <w:rPr>
          <w:i/>
        </w:rPr>
        <w:t xml:space="preserve"> 1990 </w:t>
      </w:r>
      <w:r>
        <w:t xml:space="preserve">(Cth).  </w:t>
      </w:r>
    </w:p>
    <w:p w:rsidR="00154187" w:rsidRDefault="00154187" w:rsidP="00154187">
      <w:pPr>
        <w:pStyle w:val="ParaNumbering"/>
      </w:pPr>
      <w:r>
        <w:t xml:space="preserve">However, </w:t>
      </w:r>
      <w:r w:rsidR="00EE7727">
        <w:t>by order made by Justice Nicholas on 4 May 2012</w:t>
      </w:r>
      <w:r w:rsidR="00B7037E">
        <w:t xml:space="preserve"> all of the</w:t>
      </w:r>
      <w:r w:rsidR="00EE7727">
        <w:t xml:space="preserve"> </w:t>
      </w:r>
      <w:r>
        <w:t xml:space="preserve">issues </w:t>
      </w:r>
      <w:r w:rsidR="005954AF">
        <w:t xml:space="preserve">as to </w:t>
      </w:r>
      <w:r>
        <w:t>the quantum of pecuniary relief</w:t>
      </w:r>
      <w:r w:rsidR="005954AF">
        <w:t>, if any,</w:t>
      </w:r>
      <w:r>
        <w:t xml:space="preserve"> have been reserved for later determination.  </w:t>
      </w:r>
    </w:p>
    <w:p w:rsidR="00E0653C" w:rsidRDefault="006512E2" w:rsidP="00E0653C">
      <w:pPr>
        <w:pStyle w:val="ParaNumbering"/>
      </w:pPr>
      <w:r>
        <w:t>T</w:t>
      </w:r>
      <w:r w:rsidR="00E0653C">
        <w:t xml:space="preserve">he applicants </w:t>
      </w:r>
      <w:r>
        <w:t xml:space="preserve">also </w:t>
      </w:r>
      <w:r w:rsidR="00E0653C">
        <w:t xml:space="preserve">seek post-expiry injunctive relief consequent upon the </w:t>
      </w:r>
      <w:r w:rsidR="00C5614B">
        <w:t xml:space="preserve">alleged </w:t>
      </w:r>
      <w:r w:rsidR="00E0653C">
        <w:t>infringements that were committed during the term of the Patents</w:t>
      </w:r>
      <w:r w:rsidR="003E3BC9">
        <w:t xml:space="preserve">.  </w:t>
      </w:r>
    </w:p>
    <w:p w:rsidR="0025787D" w:rsidRDefault="0025787D" w:rsidP="0025787D">
      <w:pPr>
        <w:pStyle w:val="ParaNumbering"/>
      </w:pPr>
      <w:r>
        <w:t xml:space="preserve">AMC contends that the </w:t>
      </w:r>
      <w:r w:rsidR="00FC24DD">
        <w:t>ORIshot Tool</w:t>
      </w:r>
      <w:r>
        <w:t xml:space="preserve"> infringes its </w:t>
      </w:r>
      <w:r w:rsidR="00B56866">
        <w:t>P</w:t>
      </w:r>
      <w:r>
        <w:t xml:space="preserve">atents.  </w:t>
      </w:r>
      <w:r w:rsidR="00215A04">
        <w:t xml:space="preserve">The respondents </w:t>
      </w:r>
      <w:r>
        <w:t xml:space="preserve">refute this on several grounds.  </w:t>
      </w:r>
    </w:p>
    <w:p w:rsidR="0025787D" w:rsidRDefault="0025787D" w:rsidP="00804FF8">
      <w:pPr>
        <w:pStyle w:val="ParaNumbering"/>
      </w:pPr>
      <w:r>
        <w:t xml:space="preserve">Coretell </w:t>
      </w:r>
      <w:r w:rsidR="003F2230">
        <w:t xml:space="preserve">(independent of the other respondents) </w:t>
      </w:r>
      <w:r>
        <w:t xml:space="preserve">also advances cross-claims </w:t>
      </w:r>
      <w:r w:rsidR="00B56866">
        <w:t xml:space="preserve">which allege the </w:t>
      </w:r>
      <w:r>
        <w:t xml:space="preserve">invalidity </w:t>
      </w:r>
      <w:r w:rsidR="003F2230">
        <w:t xml:space="preserve">of the Patents on </w:t>
      </w:r>
      <w:r w:rsidR="00C5614B">
        <w:t xml:space="preserve">numerous grounds, including lack of novelty on the basis of prior art and prior use.  </w:t>
      </w:r>
      <w:r w:rsidR="00080CD6">
        <w:t>I</w:t>
      </w:r>
      <w:r>
        <w:t>n about Sept</w:t>
      </w:r>
      <w:r w:rsidR="00B56866">
        <w:t>ember 1990, Messrs Skopec, Mann,</w:t>
      </w:r>
      <w:r>
        <w:t xml:space="preserve"> Jeffers and Grier published a conference paper entitled ‘Horizontal Core Acquisition and Orientation for Formation Evaluation’ at a 1990 </w:t>
      </w:r>
      <w:r w:rsidR="00B56866">
        <w:t>C</w:t>
      </w:r>
      <w:r>
        <w:t>onference in New Orleans</w:t>
      </w:r>
      <w:r w:rsidR="00804FF8">
        <w:t>,</w:t>
      </w:r>
      <w:r>
        <w:t xml:space="preserve"> </w:t>
      </w:r>
      <w:r w:rsidR="00804FF8">
        <w:t xml:space="preserve">which was </w:t>
      </w:r>
      <w:r w:rsidR="0052506E">
        <w:t xml:space="preserve">later </w:t>
      </w:r>
      <w:r>
        <w:t>published</w:t>
      </w:r>
      <w:r w:rsidR="00804FF8" w:rsidRPr="00804FF8">
        <w:t xml:space="preserve">: </w:t>
      </w:r>
      <w:r w:rsidR="00804FF8" w:rsidRPr="00804FF8">
        <w:lastRenderedPageBreak/>
        <w:t xml:space="preserve">Skopec et al, “Horizontal Core Acquisition and Orientation for Formation Evaluation” (1992) 7(1) </w:t>
      </w:r>
      <w:r w:rsidR="00804FF8" w:rsidRPr="00804FF8">
        <w:rPr>
          <w:i/>
        </w:rPr>
        <w:t>Society of Petroleum Engineers Drilling Engineering</w:t>
      </w:r>
      <w:r w:rsidR="00804FF8" w:rsidRPr="00804FF8">
        <w:t xml:space="preserve"> 47 (</w:t>
      </w:r>
      <w:r w:rsidR="00804FF8" w:rsidRPr="00804FF8">
        <w:rPr>
          <w:b/>
        </w:rPr>
        <w:t>Skopec Paper</w:t>
      </w:r>
      <w:r w:rsidR="00804FF8" w:rsidRPr="00804FF8">
        <w:t>).</w:t>
      </w:r>
      <w:r>
        <w:t xml:space="preserve"> </w:t>
      </w:r>
      <w:r w:rsidR="00B56866">
        <w:t xml:space="preserve"> </w:t>
      </w:r>
      <w:r w:rsidR="00806ECA">
        <w:t>I</w:t>
      </w:r>
      <w:r>
        <w:t xml:space="preserve">n January 2004, </w:t>
      </w:r>
      <w:r w:rsidRPr="00B56866">
        <w:rPr>
          <w:b/>
        </w:rPr>
        <w:t>Mr</w:t>
      </w:r>
      <w:r w:rsidR="0052506E">
        <w:t> </w:t>
      </w:r>
      <w:r>
        <w:t xml:space="preserve">Chris </w:t>
      </w:r>
      <w:r w:rsidRPr="00B56866">
        <w:rPr>
          <w:b/>
        </w:rPr>
        <w:t>Bradford</w:t>
      </w:r>
      <w:r>
        <w:t>, an empl</w:t>
      </w:r>
      <w:r w:rsidR="00B56866">
        <w:t>oyee of Imdex</w:t>
      </w:r>
      <w:r w:rsidR="00924EC2">
        <w:t>,</w:t>
      </w:r>
      <w:r w:rsidR="00B56866">
        <w:t xml:space="preserve"> collected two </w:t>
      </w:r>
      <w:r w:rsidR="00BF240F">
        <w:t>ACT Tool</w:t>
      </w:r>
      <w:r>
        <w:t>s from Mr Parfitt</w:t>
      </w:r>
      <w:r w:rsidR="00B56866">
        <w:t xml:space="preserve"> </w:t>
      </w:r>
      <w:r>
        <w:t xml:space="preserve">of the entity </w:t>
      </w:r>
      <w:r w:rsidRPr="00B56866">
        <w:rPr>
          <w:b/>
        </w:rPr>
        <w:t>Chardec</w:t>
      </w:r>
      <w:r>
        <w:t xml:space="preserve"> Consultants Limited in the United Kingdom.  Those </w:t>
      </w:r>
      <w:r w:rsidR="00BF240F">
        <w:t>ACT Tool</w:t>
      </w:r>
      <w:r>
        <w:t xml:space="preserve">s were </w:t>
      </w:r>
      <w:r w:rsidR="009353A6">
        <w:t>alleged to have been us</w:t>
      </w:r>
      <w:r w:rsidR="00BF240F">
        <w:t xml:space="preserve">ed </w:t>
      </w:r>
      <w:r>
        <w:t>subsequently at operations conducted by:</w:t>
      </w:r>
      <w:r w:rsidR="00BF240F">
        <w:t xml:space="preserve"> </w:t>
      </w:r>
    </w:p>
    <w:p w:rsidR="0025787D" w:rsidRDefault="0025787D" w:rsidP="0025787D">
      <w:pPr>
        <w:pStyle w:val="ListNo"/>
        <w:numPr>
          <w:ilvl w:val="0"/>
          <w:numId w:val="21"/>
        </w:numPr>
        <w:tabs>
          <w:tab w:val="clear" w:pos="720"/>
        </w:tabs>
      </w:pPr>
      <w:r w:rsidRPr="00F67878">
        <w:rPr>
          <w:b/>
        </w:rPr>
        <w:t>Mosslake</w:t>
      </w:r>
      <w:r>
        <w:t xml:space="preserve"> Drilling at Manjimup in April 2004;</w:t>
      </w:r>
    </w:p>
    <w:p w:rsidR="0025787D" w:rsidRDefault="0025787D" w:rsidP="0025787D">
      <w:pPr>
        <w:pStyle w:val="ListNo"/>
        <w:numPr>
          <w:ilvl w:val="0"/>
          <w:numId w:val="21"/>
        </w:numPr>
        <w:tabs>
          <w:tab w:val="clear" w:pos="720"/>
        </w:tabs>
      </w:pPr>
      <w:r w:rsidRPr="00E75832">
        <w:rPr>
          <w:b/>
        </w:rPr>
        <w:t>Drill</w:t>
      </w:r>
      <w:r w:rsidR="009353A6">
        <w:rPr>
          <w:b/>
        </w:rPr>
        <w:t xml:space="preserve"> C</w:t>
      </w:r>
      <w:r w:rsidRPr="00E75832">
        <w:rPr>
          <w:b/>
        </w:rPr>
        <w:t>orp</w:t>
      </w:r>
      <w:r>
        <w:t xml:space="preserve"> in Kalgoorlie in April 2004; and</w:t>
      </w:r>
    </w:p>
    <w:p w:rsidR="0025787D" w:rsidRDefault="0025787D" w:rsidP="0025787D">
      <w:pPr>
        <w:pStyle w:val="ListNo"/>
        <w:numPr>
          <w:ilvl w:val="0"/>
          <w:numId w:val="21"/>
        </w:numPr>
        <w:tabs>
          <w:tab w:val="clear" w:pos="720"/>
        </w:tabs>
      </w:pPr>
      <w:r w:rsidRPr="00E75832">
        <w:rPr>
          <w:b/>
        </w:rPr>
        <w:t>Barminco</w:t>
      </w:r>
      <w:r>
        <w:t xml:space="preserve"> in Kalgoorlie in May 2004.</w:t>
      </w:r>
    </w:p>
    <w:p w:rsidR="00EE7727" w:rsidRDefault="00A37118" w:rsidP="00A37118">
      <w:pPr>
        <w:pStyle w:val="Heading5"/>
      </w:pPr>
      <w:bookmarkStart w:id="21" w:name="_Ref410393873"/>
      <w:r>
        <w:t>THE PATENTS</w:t>
      </w:r>
      <w:bookmarkEnd w:id="21"/>
    </w:p>
    <w:p w:rsidR="0052506E" w:rsidRDefault="00EE7727" w:rsidP="00154187">
      <w:pPr>
        <w:pStyle w:val="ParaNumbering"/>
      </w:pPr>
      <w:r>
        <w:t>The two Patents</w:t>
      </w:r>
      <w:r w:rsidR="005F4263">
        <w:t xml:space="preserve"> are </w:t>
      </w:r>
      <w:r w:rsidR="006923BD">
        <w:t>n</w:t>
      </w:r>
      <w:r w:rsidR="00047D77">
        <w:t>o 2010101356</w:t>
      </w:r>
      <w:r w:rsidR="009353A6">
        <w:t xml:space="preserve">, </w:t>
      </w:r>
      <w:r w:rsidR="0052506E">
        <w:t xml:space="preserve">which is </w:t>
      </w:r>
      <w:r w:rsidR="009353A6">
        <w:t xml:space="preserve">the </w:t>
      </w:r>
      <w:r w:rsidR="00047D77" w:rsidRPr="0052506E">
        <w:rPr>
          <w:b/>
        </w:rPr>
        <w:t>System Patent</w:t>
      </w:r>
      <w:r w:rsidR="00047D77">
        <w:t xml:space="preserve"> and </w:t>
      </w:r>
      <w:r w:rsidR="006923BD">
        <w:t>n</w:t>
      </w:r>
      <w:r w:rsidR="00047D77">
        <w:t>o 2011101041</w:t>
      </w:r>
      <w:r w:rsidR="009353A6">
        <w:t>,</w:t>
      </w:r>
      <w:r w:rsidR="00047D77">
        <w:t xml:space="preserve"> </w:t>
      </w:r>
      <w:r w:rsidR="0052506E">
        <w:t xml:space="preserve">which is </w:t>
      </w:r>
      <w:r w:rsidR="009353A6">
        <w:t xml:space="preserve">the </w:t>
      </w:r>
      <w:r w:rsidR="00047D77" w:rsidRPr="0052506E">
        <w:rPr>
          <w:b/>
        </w:rPr>
        <w:t>Method Patent</w:t>
      </w:r>
      <w:r w:rsidR="00772C28">
        <w:t xml:space="preserve">.  </w:t>
      </w:r>
      <w:r w:rsidR="006F28BB">
        <w:t>They are in similar terms</w:t>
      </w:r>
      <w:r w:rsidR="005F4263">
        <w:t xml:space="preserve">.  </w:t>
      </w:r>
    </w:p>
    <w:p w:rsidR="005F4263" w:rsidRDefault="006F28BB" w:rsidP="00154187">
      <w:pPr>
        <w:pStyle w:val="ParaNumbering"/>
      </w:pPr>
      <w:r>
        <w:t xml:space="preserve">I will refer first to the content of the System Patent.  </w:t>
      </w:r>
    </w:p>
    <w:p w:rsidR="001B28AF" w:rsidRDefault="006F28BB" w:rsidP="00154187">
      <w:pPr>
        <w:pStyle w:val="ParaNumbering"/>
      </w:pPr>
      <w:r>
        <w:t xml:space="preserve">The </w:t>
      </w:r>
      <w:r w:rsidR="00DF0C9F">
        <w:t xml:space="preserve">System </w:t>
      </w:r>
      <w:r>
        <w:t>Patent explain</w:t>
      </w:r>
      <w:r w:rsidR="00DF0C9F">
        <w:t>s</w:t>
      </w:r>
      <w:r>
        <w:t xml:space="preserve"> that the field of the invention r</w:t>
      </w:r>
      <w:r w:rsidR="00EE7CDA">
        <w:t xml:space="preserve">elates to an orientation device, which is used </w:t>
      </w:r>
      <w:r>
        <w:t xml:space="preserve">for providing an indication of the </w:t>
      </w:r>
      <w:r w:rsidR="00AF7465">
        <w:t>orient</w:t>
      </w:r>
      <w:r w:rsidR="0052506E">
        <w:t>ation of a core sample relative to a body of material from which the core has been extracted</w:t>
      </w:r>
      <w:r w:rsidR="00AF7465">
        <w:t>,</w:t>
      </w:r>
      <w:r>
        <w:t xml:space="preserve"> and also to a method of core sample orientation identification.</w:t>
      </w:r>
    </w:p>
    <w:p w:rsidR="00EE7CDA" w:rsidRDefault="009F746D" w:rsidP="00EE7CDA">
      <w:pPr>
        <w:pStyle w:val="Heading6"/>
      </w:pPr>
      <w:bookmarkStart w:id="22" w:name="_Ref436660769"/>
      <w:r>
        <w:t>Background a</w:t>
      </w:r>
      <w:r w:rsidR="00EE7CDA">
        <w:t>rt</w:t>
      </w:r>
      <w:bookmarkEnd w:id="22"/>
    </w:p>
    <w:p w:rsidR="006F28BB" w:rsidRDefault="009D33EF" w:rsidP="00154187">
      <w:pPr>
        <w:pStyle w:val="ParaNumbering"/>
      </w:pPr>
      <w:r>
        <w:t>There i</w:t>
      </w:r>
      <w:r w:rsidR="00FB69D7">
        <w:t xml:space="preserve">s a brief section dealing with </w:t>
      </w:r>
      <w:r w:rsidR="006923BD">
        <w:t>‘</w:t>
      </w:r>
      <w:r w:rsidR="00FB69D7">
        <w:t>B</w:t>
      </w:r>
      <w:r>
        <w:t xml:space="preserve">ackground </w:t>
      </w:r>
      <w:r w:rsidR="00FB69D7">
        <w:t>A</w:t>
      </w:r>
      <w:r>
        <w:t>rt</w:t>
      </w:r>
      <w:r w:rsidR="006923BD">
        <w:t>’</w:t>
      </w:r>
      <w:r>
        <w:t xml:space="preserve">, </w:t>
      </w:r>
      <w:r w:rsidR="00FB69D7">
        <w:t xml:space="preserve">which explains </w:t>
      </w:r>
      <w:r>
        <w:t xml:space="preserve">the need for core sampling in geological surveying operations and the fact that </w:t>
      </w:r>
      <w:r w:rsidR="00FB69D7">
        <w:t xml:space="preserve">core samples </w:t>
      </w:r>
      <w:r>
        <w:t xml:space="preserve">are obtained through core drilling operations.  Those operations, it is said, are typically conducted with a core drill comprising outer and inner tube assemblies.  A cutting head is attached to the outer tube assembly so that rotational torque applied to the outer tube assembly is transmitted to the cutting head.  </w:t>
      </w:r>
      <w:r w:rsidR="00FB69D7">
        <w:t xml:space="preserve">A </w:t>
      </w:r>
      <w:r>
        <w:t>core is generated during the drilling operation</w:t>
      </w:r>
      <w:r w:rsidR="00FB69D7">
        <w:t>,</w:t>
      </w:r>
      <w:r>
        <w:t xml:space="preserve"> with the core progressively extending along the inner tube assembly as drilling progresses.  When a core sample is acquired, the core within the inner tube assembly is fractured.  The inner tube assembly and the fractured core sample contained in the inner tube are then retrieved from within the drill hole</w:t>
      </w:r>
      <w:r w:rsidR="00FB69D7">
        <w:t>,</w:t>
      </w:r>
      <w:r>
        <w:t xml:space="preserve"> typically by way of a retrieval cable lowered down the drill hole.  Once the inner tube assembly has been brought to the ground </w:t>
      </w:r>
      <w:r w:rsidR="006512E2">
        <w:t>surface</w:t>
      </w:r>
      <w:r>
        <w:t xml:space="preserve">, the core sample can be removed and subjected to the necessary analysis.  </w:t>
      </w:r>
    </w:p>
    <w:p w:rsidR="00FB69D7" w:rsidRDefault="008E7D0D" w:rsidP="00154187">
      <w:pPr>
        <w:pStyle w:val="ParaNumbering"/>
      </w:pPr>
      <w:r>
        <w:lastRenderedPageBreak/>
        <w:t xml:space="preserve">In </w:t>
      </w:r>
      <w:r w:rsidR="006512E2">
        <w:t>discussing</w:t>
      </w:r>
      <w:r>
        <w:t xml:space="preserve"> the background art, the System Patent explains that typically core drilling operations </w:t>
      </w:r>
      <w:r w:rsidR="00FB69D7">
        <w:t xml:space="preserve">are </w:t>
      </w:r>
      <w:r>
        <w:t xml:space="preserve">performed at an angle to the vertical </w:t>
      </w:r>
      <w:r w:rsidR="00FB69D7">
        <w:t xml:space="preserve">because </w:t>
      </w:r>
      <w:r>
        <w:t>it is desirable</w:t>
      </w:r>
      <w:r w:rsidR="00FB69D7">
        <w:t>,</w:t>
      </w:r>
      <w:r>
        <w:t xml:space="preserve"> for analysis purposes</w:t>
      </w:r>
      <w:r w:rsidR="00FB69D7">
        <w:t>,</w:t>
      </w:r>
      <w:r>
        <w:t xml:space="preserve"> to have an indication of the orientation of the core sample relative to the ground from which it was extracted.  It is therefore important there be some means of identifying the orientation </w:t>
      </w:r>
      <w:r w:rsidR="00FB69D7">
        <w:t xml:space="preserve">of </w:t>
      </w:r>
      <w:r>
        <w:t xml:space="preserve">the core sample </w:t>
      </w:r>
      <w:r w:rsidR="00FB69D7">
        <w:t xml:space="preserve">relative to the </w:t>
      </w:r>
      <w:r>
        <w:t>ground prior to it having been brought to the surface.  So, the System Patent explains</w:t>
      </w:r>
      <w:r w:rsidR="006512E2">
        <w:t xml:space="preserve"> </w:t>
      </w:r>
      <w:r>
        <w:t xml:space="preserve">that core orientation devices have been used to provide an indication of the orientation of the core sample.  </w:t>
      </w:r>
    </w:p>
    <w:p w:rsidR="009D33EF" w:rsidRDefault="00FB69D7" w:rsidP="00154187">
      <w:pPr>
        <w:pStyle w:val="ParaNumbering"/>
      </w:pPr>
      <w:r>
        <w:t>T</w:t>
      </w:r>
      <w:r w:rsidR="008E7D0D">
        <w:t xml:space="preserve">he System Patent explains that a common way of obtaining an indication of the orientation of a core sample </w:t>
      </w:r>
      <w:r>
        <w:t xml:space="preserve">is </w:t>
      </w:r>
      <w:r w:rsidR="008E7D0D">
        <w:t xml:space="preserve">through </w:t>
      </w:r>
      <w:r>
        <w:t xml:space="preserve">the </w:t>
      </w:r>
      <w:r w:rsidR="008E7D0D">
        <w:t xml:space="preserve">use of an orientation spear comprising </w:t>
      </w:r>
      <w:r w:rsidR="00DD0D25">
        <w:t>a marker</w:t>
      </w:r>
      <w:r>
        <w:t>,</w:t>
      </w:r>
      <w:r w:rsidR="00DD0D25">
        <w:t xml:space="preserve"> such as a crayon projecting from one </w:t>
      </w:r>
      <w:r w:rsidR="006512E2">
        <w:t xml:space="preserve">end </w:t>
      </w:r>
      <w:r w:rsidR="00DD0D25">
        <w:t>of a thin steel shank, the other end of which is attached to a wire line</w:t>
      </w:r>
      <w:r>
        <w:t xml:space="preserve"> (</w:t>
      </w:r>
      <w:r w:rsidRPr="00FB69D7">
        <w:rPr>
          <w:b/>
        </w:rPr>
        <w:t>Spear Method</w:t>
      </w:r>
      <w:r>
        <w:t>)</w:t>
      </w:r>
      <w:r w:rsidR="00DD0D25">
        <w:t xml:space="preserve">.  The spear </w:t>
      </w:r>
      <w:r>
        <w:t xml:space="preserve">is then </w:t>
      </w:r>
      <w:r w:rsidR="00DD0D25">
        <w:t xml:space="preserve">lowered down the drill hole prior to the inner tube assembly being introduced.  The marker on the orientation spear </w:t>
      </w:r>
      <w:r>
        <w:t xml:space="preserve">strikes </w:t>
      </w:r>
      <w:r w:rsidR="00DD0D25">
        <w:t xml:space="preserve">the facing surface of material from which the core </w:t>
      </w:r>
      <w:r>
        <w:t xml:space="preserve">is </w:t>
      </w:r>
      <w:r w:rsidR="00DD0D25">
        <w:t xml:space="preserve">to be generated, leaving a mark on it.  </w:t>
      </w:r>
      <w:r>
        <w:t>T</w:t>
      </w:r>
      <w:r w:rsidR="00DD0D25">
        <w:t xml:space="preserve">hat mark </w:t>
      </w:r>
      <w:r>
        <w:t xml:space="preserve">is </w:t>
      </w:r>
      <w:r w:rsidR="00DD0D25">
        <w:t>on the lower side of the drill hole</w:t>
      </w:r>
      <w:r>
        <w:t xml:space="preserve"> because of the operation of gravity</w:t>
      </w:r>
      <w:r w:rsidR="00DD0D25">
        <w:t xml:space="preserve">.  The inner tube assembly </w:t>
      </w:r>
      <w:r w:rsidR="00386687">
        <w:t xml:space="preserve">is </w:t>
      </w:r>
      <w:r w:rsidR="00DD0D25">
        <w:t xml:space="preserve">then introduced into the outer tube assembly in the drill hole.  As </w:t>
      </w:r>
      <w:r w:rsidR="00386687">
        <w:t>drilling proceeds</w:t>
      </w:r>
      <w:r w:rsidR="00DD0D25">
        <w:t xml:space="preserve">, a core sample </w:t>
      </w:r>
      <w:r w:rsidR="00386687">
        <w:t xml:space="preserve">is </w:t>
      </w:r>
      <w:r w:rsidR="00DD0D25">
        <w:t>generated within the inner tube assembly.  The core sample so generated continue</w:t>
      </w:r>
      <w:r w:rsidR="00386687">
        <w:t>s</w:t>
      </w:r>
      <w:r w:rsidR="00DD0D25">
        <w:t xml:space="preserve"> to carry the mark which was previously applied.  </w:t>
      </w:r>
      <w:r w:rsidR="00386687">
        <w:t>Upo</w:t>
      </w:r>
      <w:r w:rsidR="00DD0D25">
        <w:t>n</w:t>
      </w:r>
      <w:r w:rsidR="00386687">
        <w:t xml:space="preserve"> </w:t>
      </w:r>
      <w:r w:rsidR="00DD0D25">
        <w:t>completion of the core drilling run and retrieval of the core sample, the mark give</w:t>
      </w:r>
      <w:r w:rsidR="00386687">
        <w:t>s</w:t>
      </w:r>
      <w:r w:rsidR="00DD0D25">
        <w:t xml:space="preserve"> an indication of the orientation of the core sample at the time it was in the ground.  In addition to this</w:t>
      </w:r>
      <w:r w:rsidR="006512E2">
        <w:t xml:space="preserve"> method</w:t>
      </w:r>
      <w:r w:rsidR="00DD0D25">
        <w:t xml:space="preserve">, there </w:t>
      </w:r>
      <w:r w:rsidR="00386687">
        <w:t xml:space="preserve">are </w:t>
      </w:r>
      <w:r w:rsidR="00DD0D25">
        <w:t xml:space="preserve">other mechanical core orientation devices for marking a core sample prior to its extraction from the drill hole.  Those devices </w:t>
      </w:r>
      <w:r w:rsidR="00386687">
        <w:t xml:space="preserve">are </w:t>
      </w:r>
      <w:r w:rsidR="00DD0D25">
        <w:t xml:space="preserve">typically adapted to be incorporated in the inner tube assembly </w:t>
      </w:r>
      <w:r w:rsidR="00386687">
        <w:t xml:space="preserve">for </w:t>
      </w:r>
      <w:r w:rsidR="00DD0D25">
        <w:t xml:space="preserve">marking the core.  </w:t>
      </w:r>
    </w:p>
    <w:p w:rsidR="00386687" w:rsidRDefault="00386687" w:rsidP="00386687">
      <w:pPr>
        <w:pStyle w:val="Heading6"/>
      </w:pPr>
      <w:bookmarkStart w:id="23" w:name="_Ref436660770"/>
      <w:r>
        <w:t xml:space="preserve">Disclosure of the </w:t>
      </w:r>
      <w:r w:rsidR="00D8262E">
        <w:t>i</w:t>
      </w:r>
      <w:r>
        <w:t>nvention</w:t>
      </w:r>
      <w:bookmarkEnd w:id="23"/>
    </w:p>
    <w:p w:rsidR="00075B21" w:rsidRDefault="00075B21" w:rsidP="00154187">
      <w:pPr>
        <w:pStyle w:val="ParaNumbering"/>
      </w:pPr>
      <w:r>
        <w:t>Under the heading ‘Disclosure of the Invention’, there is then a description o</w:t>
      </w:r>
      <w:r w:rsidR="00D8262E">
        <w:t>f the way the invention operates</w:t>
      </w:r>
      <w:r>
        <w:t xml:space="preserve"> as against the background of problems and difficulties associated with previous methodology.  In the </w:t>
      </w:r>
      <w:r w:rsidR="00D8262E">
        <w:t xml:space="preserve">disclosure </w:t>
      </w:r>
      <w:r>
        <w:t>of the invention</w:t>
      </w:r>
      <w:r w:rsidR="00D8262E">
        <w:t>,</w:t>
      </w:r>
      <w:r>
        <w:t xml:space="preserve"> it is explained that in accordance with an aspect of the present invention</w:t>
      </w:r>
      <w:r w:rsidR="00D8262E">
        <w:t>,</w:t>
      </w:r>
      <w:r>
        <w:t xml:space="preserve"> a core orientation system </w:t>
      </w:r>
      <w:r w:rsidR="00D8262E">
        <w:t xml:space="preserve">is provided </w:t>
      </w:r>
      <w:r>
        <w:t>for use with a core drill, the core drill having an inner tube and the system comprising:</w:t>
      </w:r>
    </w:p>
    <w:p w:rsidR="00075B21" w:rsidRDefault="00075B21" w:rsidP="00A8723C">
      <w:pPr>
        <w:pStyle w:val="Quote1"/>
      </w:pPr>
      <w:r>
        <w:t>means for providing signals associated with the physical orientation of the inner tube of the core drill during drilling;</w:t>
      </w:r>
    </w:p>
    <w:p w:rsidR="00D8262E" w:rsidRDefault="00D8262E" w:rsidP="00A8723C">
      <w:pPr>
        <w:pStyle w:val="Quote1"/>
      </w:pPr>
    </w:p>
    <w:p w:rsidR="00075B21" w:rsidRDefault="00075B21" w:rsidP="00A8723C">
      <w:pPr>
        <w:pStyle w:val="Quote1"/>
      </w:pPr>
      <w:r>
        <w:t>means for measuring a time measurement indicative of the time during drilling when the core sample is detached from the body of material from which it is taken and held in fixed relation to the inner tube;</w:t>
      </w:r>
    </w:p>
    <w:p w:rsidR="00D8262E" w:rsidRDefault="00D8262E" w:rsidP="00A8723C">
      <w:pPr>
        <w:pStyle w:val="Quote1"/>
      </w:pPr>
    </w:p>
    <w:p w:rsidR="00075B21" w:rsidRDefault="00075B21" w:rsidP="00A8723C">
      <w:pPr>
        <w:pStyle w:val="Quote1"/>
      </w:pPr>
      <w:r>
        <w:t>input means for imputing the time measurement into the system;</w:t>
      </w:r>
    </w:p>
    <w:p w:rsidR="00D8262E" w:rsidRDefault="00D8262E" w:rsidP="00A8723C">
      <w:pPr>
        <w:pStyle w:val="Quote1"/>
      </w:pPr>
    </w:p>
    <w:p w:rsidR="00075B21" w:rsidRDefault="00A8723C" w:rsidP="00A8723C">
      <w:pPr>
        <w:pStyle w:val="Quote1"/>
      </w:pPr>
      <w:r>
        <w:t>one or more processing means for processing the signals to produce data indicative of the orientation of the inner tube;</w:t>
      </w:r>
    </w:p>
    <w:p w:rsidR="00D8262E" w:rsidRDefault="00D8262E" w:rsidP="00A8723C">
      <w:pPr>
        <w:pStyle w:val="Quote1"/>
      </w:pPr>
    </w:p>
    <w:p w:rsidR="00A8723C" w:rsidRDefault="00A8723C" w:rsidP="00A8723C">
      <w:pPr>
        <w:pStyle w:val="Quote1"/>
      </w:pPr>
      <w:r>
        <w:t>one or more processing means for process</w:t>
      </w:r>
      <w:r w:rsidR="00C8382F">
        <w:t>ing the data produced and the in</w:t>
      </w:r>
      <w:r>
        <w:t>put</w:t>
      </w:r>
      <w:r w:rsidR="00D8262E">
        <w:t>t</w:t>
      </w:r>
      <w:r>
        <w:t>ed time measurement to produce an indication of the orientation of the core sample relative to the material from which it is detached; and</w:t>
      </w:r>
    </w:p>
    <w:p w:rsidR="00D8262E" w:rsidRDefault="00D8262E" w:rsidP="00A8723C">
      <w:pPr>
        <w:pStyle w:val="Quote1"/>
      </w:pPr>
    </w:p>
    <w:p w:rsidR="00A8723C" w:rsidRDefault="00A8723C" w:rsidP="00A8723C">
      <w:pPr>
        <w:pStyle w:val="Quote1"/>
      </w:pPr>
      <w:r>
        <w:t xml:space="preserve">display means for the indication of the orientation of the core sample relative to the material from which it is detached.  </w:t>
      </w:r>
    </w:p>
    <w:p w:rsidR="00072A06" w:rsidRDefault="00072A06" w:rsidP="00A8723C">
      <w:pPr>
        <w:pStyle w:val="Quote1"/>
      </w:pPr>
      <w:r>
        <w:t>(</w:t>
      </w:r>
      <w:r w:rsidR="00D8262E">
        <w:t>T</w:t>
      </w:r>
      <w:r w:rsidR="00DA6389" w:rsidRPr="00DA6389">
        <w:t>he</w:t>
      </w:r>
      <w:r w:rsidR="00DA6389">
        <w:t xml:space="preserve"> </w:t>
      </w:r>
      <w:r w:rsidRPr="00D8262E">
        <w:t>consistory statements</w:t>
      </w:r>
      <w:r w:rsidR="0052506E">
        <w:t>.</w:t>
      </w:r>
      <w:r>
        <w:t>)</w:t>
      </w:r>
    </w:p>
    <w:p w:rsidR="00032AC6" w:rsidRDefault="00032AC6" w:rsidP="00032AC6">
      <w:pPr>
        <w:pStyle w:val="ParaNumbering"/>
      </w:pPr>
      <w:r>
        <w:t xml:space="preserve">There are </w:t>
      </w:r>
      <w:r w:rsidR="00DA6389">
        <w:t xml:space="preserve">several </w:t>
      </w:r>
      <w:r>
        <w:t>preferences indicated</w:t>
      </w:r>
      <w:r w:rsidR="00D8262E">
        <w:t xml:space="preserve"> in the System Patent</w:t>
      </w:r>
      <w:r>
        <w:t>, specifically under the disclosure of the invention:</w:t>
      </w:r>
    </w:p>
    <w:p w:rsidR="00A8723C" w:rsidRDefault="00032AC6" w:rsidP="00032AC6">
      <w:pPr>
        <w:pStyle w:val="Quote1"/>
      </w:pPr>
      <w:r>
        <w:t>Preferably</w:t>
      </w:r>
      <w:r w:rsidR="00D8262E">
        <w:t>,</w:t>
      </w:r>
      <w:r>
        <w:t xml:space="preserve"> the system comprises one or more means for storing the data produced and the indication of the orientation of the core sample.</w:t>
      </w:r>
    </w:p>
    <w:p w:rsidR="00032AC6" w:rsidRDefault="00032AC6" w:rsidP="00032AC6">
      <w:pPr>
        <w:pStyle w:val="Quote1"/>
      </w:pPr>
    </w:p>
    <w:p w:rsidR="00032AC6" w:rsidRDefault="00032AC6" w:rsidP="00032AC6">
      <w:pPr>
        <w:pStyle w:val="Quote1"/>
      </w:pPr>
      <w:r>
        <w:t>Preferably</w:t>
      </w:r>
      <w:r w:rsidR="00D8262E">
        <w:t>,</w:t>
      </w:r>
      <w:r>
        <w:t xml:space="preserve"> the means for storing the data comprised memory, the system comprising interface means having first means for storing the data in the memory and second means for accessing the memory to produce the indication of the orientation of the core sample when detached when required.</w:t>
      </w:r>
    </w:p>
    <w:p w:rsidR="00032AC6" w:rsidRDefault="00032AC6" w:rsidP="00032AC6">
      <w:pPr>
        <w:pStyle w:val="Quote1"/>
      </w:pPr>
    </w:p>
    <w:p w:rsidR="00032AC6" w:rsidRDefault="00032AC6" w:rsidP="00032AC6">
      <w:pPr>
        <w:pStyle w:val="Quote1"/>
      </w:pPr>
      <w:r>
        <w:t>Preferably</w:t>
      </w:r>
      <w:r w:rsidR="00D8262E">
        <w:t>,</w:t>
      </w:r>
      <w:r>
        <w:t xml:space="preserve"> the means for storing data comprises memory, the system comprising a timer for determining predetermined time intervals relative to a reference time</w:t>
      </w:r>
      <w:r w:rsidR="00213680">
        <w:t>,</w:t>
      </w:r>
      <w:r>
        <w:t xml:space="preserve"> and a means for storing the data in the memory upon each of the predetermined time intervals terminating.</w:t>
      </w:r>
    </w:p>
    <w:p w:rsidR="00032AC6" w:rsidRDefault="00032AC6" w:rsidP="00032AC6">
      <w:pPr>
        <w:pStyle w:val="Quote1"/>
      </w:pPr>
    </w:p>
    <w:p w:rsidR="00032AC6" w:rsidRDefault="00032AC6" w:rsidP="00D8262E">
      <w:pPr>
        <w:pStyle w:val="Quote1"/>
      </w:pPr>
      <w:r>
        <w:t>Preferably</w:t>
      </w:r>
      <w:r w:rsidR="00D8262E">
        <w:t xml:space="preserve">, </w:t>
      </w:r>
      <w:r>
        <w:t>the physical orientation of the core sample comprises:</w:t>
      </w:r>
      <w:r w:rsidR="00D8262E">
        <w:t xml:space="preserve"> a r</w:t>
      </w:r>
      <w:r>
        <w:t>otational orientation about a longitudinal axis of the core sample; and/or</w:t>
      </w:r>
      <w:r w:rsidR="00D8262E">
        <w:t xml:space="preserve"> an </w:t>
      </w:r>
      <w:r>
        <w:t>angular orientation of a longitudinal axis of the core sample above or below a horizontal plane.</w:t>
      </w:r>
    </w:p>
    <w:p w:rsidR="00D8262E" w:rsidRDefault="00D8262E" w:rsidP="00D8262E">
      <w:pPr>
        <w:pStyle w:val="Heading6"/>
      </w:pPr>
      <w:bookmarkStart w:id="24" w:name="_Ref436660771"/>
      <w:r>
        <w:t>Best mode for carrying out the invention</w:t>
      </w:r>
      <w:bookmarkEnd w:id="24"/>
      <w:r>
        <w:t xml:space="preserve"> </w:t>
      </w:r>
    </w:p>
    <w:p w:rsidR="008F7B89" w:rsidRDefault="00C22285" w:rsidP="00032AC6">
      <w:pPr>
        <w:pStyle w:val="ParaNumbering"/>
      </w:pPr>
      <w:r>
        <w:t>There i</w:t>
      </w:r>
      <w:r w:rsidR="00032AC6">
        <w:t xml:space="preserve">s then a </w:t>
      </w:r>
      <w:r w:rsidR="00D8262E">
        <w:t xml:space="preserve">‘Brief Description of the Drawings’, which describes </w:t>
      </w:r>
      <w:r w:rsidR="00032AC6">
        <w:t xml:space="preserve">one specific embodiment of the invention </w:t>
      </w:r>
      <w:r w:rsidR="00DA6389">
        <w:t xml:space="preserve">and </w:t>
      </w:r>
      <w:r w:rsidR="00032AC6">
        <w:t>accompanying drawings</w:t>
      </w:r>
      <w:r w:rsidR="008F7B89">
        <w:t xml:space="preserve">. </w:t>
      </w:r>
      <w:r w:rsidR="00032AC6">
        <w:t xml:space="preserve"> </w:t>
      </w:r>
      <w:r w:rsidR="008F7B89">
        <w:t xml:space="preserve">The drawings </w:t>
      </w:r>
      <w:r w:rsidR="00032AC6">
        <w:t>are annexed to these reasons.</w:t>
      </w:r>
      <w:r w:rsidR="00D8262E">
        <w:t xml:space="preserve">  </w:t>
      </w:r>
    </w:p>
    <w:p w:rsidR="00032AC6" w:rsidRDefault="00032AC6" w:rsidP="00032AC6">
      <w:pPr>
        <w:pStyle w:val="ParaNumbering"/>
      </w:pPr>
      <w:r>
        <w:t>Figure 1</w:t>
      </w:r>
      <w:r w:rsidR="00B44D59">
        <w:t xml:space="preserve"> in the drawing </w:t>
      </w:r>
      <w:r w:rsidR="00D8262E">
        <w:t xml:space="preserve">is </w:t>
      </w:r>
      <w:r w:rsidR="00B44D59">
        <w:t xml:space="preserve">a schematic view of a core drill with an orientation device according to the embodiment.  Figure 2 </w:t>
      </w:r>
      <w:r w:rsidR="00D8262E">
        <w:t xml:space="preserve">is </w:t>
      </w:r>
      <w:r w:rsidR="00B44D59">
        <w:t xml:space="preserve">a schematic side elevation view of the arrangement shown in Figure 1.  Figure 3 </w:t>
      </w:r>
      <w:r w:rsidR="00D8262E">
        <w:t xml:space="preserve">is </w:t>
      </w:r>
      <w:r w:rsidR="00B44D59">
        <w:t>a further schematic side elevation view of a lower part of the arrangement shown in Figure 2.  Figure 4 is a schematic side elevational view in section of the orientation device.</w:t>
      </w:r>
      <w:r w:rsidR="00D8262E">
        <w:t xml:space="preserve"> </w:t>
      </w:r>
      <w:r w:rsidR="00B44D59">
        <w:t xml:space="preserve"> Figure 5 is a block diagram illustrating various components of the orientation device</w:t>
      </w:r>
      <w:r w:rsidR="00D8262E">
        <w:t xml:space="preserve">.  </w:t>
      </w:r>
      <w:r w:rsidR="00B44D59">
        <w:t>Figure 6 is a schematic plan view of a ke</w:t>
      </w:r>
      <w:r w:rsidR="00D8262E">
        <w:t>y</w:t>
      </w:r>
      <w:r w:rsidR="00B44D59">
        <w:t xml:space="preserve">pad and display provided at one end of the orientation device.  </w:t>
      </w:r>
    </w:p>
    <w:p w:rsidR="00B44D59" w:rsidRDefault="001F1FE6" w:rsidP="00032AC6">
      <w:pPr>
        <w:pStyle w:val="ParaNumbering"/>
      </w:pPr>
      <w:r>
        <w:lastRenderedPageBreak/>
        <w:t xml:space="preserve">Still continuing with the preferred embodiment, the System Patent goes on to describe the </w:t>
      </w:r>
      <w:r w:rsidR="00D8262E">
        <w:t>‘</w:t>
      </w:r>
      <w:r>
        <w:t>best mode</w:t>
      </w:r>
      <w:r w:rsidR="00D8262E">
        <w:t>(</w:t>
      </w:r>
      <w:r>
        <w:t>s</w:t>
      </w:r>
      <w:r w:rsidR="00D8262E">
        <w:t>)</w:t>
      </w:r>
      <w:r>
        <w:t xml:space="preserve"> for carrying out the invention</w:t>
      </w:r>
      <w:r w:rsidR="00D8262E">
        <w:t>’</w:t>
      </w:r>
      <w:r>
        <w:t xml:space="preserve"> by reference to the drawing figures which are annexed to these reasons.  </w:t>
      </w:r>
      <w:r w:rsidR="001356EE">
        <w:t xml:space="preserve">The numbers in the </w:t>
      </w:r>
      <w:r w:rsidR="00D8262E">
        <w:t xml:space="preserve">following </w:t>
      </w:r>
      <w:r w:rsidR="001356EE">
        <w:t xml:space="preserve">text correspond to the numbers in the </w:t>
      </w:r>
      <w:r w:rsidR="0054631D">
        <w:t xml:space="preserve">annexed drawings of </w:t>
      </w:r>
      <w:r w:rsidR="001356EE">
        <w:t xml:space="preserve">Figures.  The </w:t>
      </w:r>
      <w:r>
        <w:t>best mode shows, by referring to Figure 1, that there is a core orientation device 10 for a core drill 12.  The device 10 comprises an arrangement 14 for providing signal</w:t>
      </w:r>
      <w:r w:rsidR="00D8262E">
        <w:t>s </w:t>
      </w:r>
      <w:r>
        <w:t>16 associated with a physical orientation of the core orientation device 10.  According to the preferred embodiment, the physical orientation of the core orientation device 10 comprises rotation orientation 18 about a longitudinal axis 20 of the core orientation device 10.  The device includes processing means 22 for processing the signals 16 provided by the arrangement 14 so as to provide processed data 2</w:t>
      </w:r>
      <w:r w:rsidR="00D8262E">
        <w:t>3</w:t>
      </w:r>
      <w:r>
        <w:t xml:space="preserve"> from which  a measure 24 of the rotational orientation 18 of the core orientation device 10 can be established.  The measure 24 is associated with the rotational orientation 18 of the device 10 at a particular moment in time.  </w:t>
      </w:r>
    </w:p>
    <w:p w:rsidR="0054631D" w:rsidRDefault="00F50647" w:rsidP="00032AC6">
      <w:pPr>
        <w:pStyle w:val="ParaNumbering"/>
      </w:pPr>
      <w:r>
        <w:t>Continuing with the preferred embodiment discussion of the best mode for carrying out the invention, the System Patent indicates that a memory 26 is coupled to the processing means 22 for storing the processed data 23</w:t>
      </w:r>
      <w:r w:rsidR="0054631D">
        <w:t xml:space="preserve">. </w:t>
      </w:r>
      <w:r>
        <w:t xml:space="preserve"> </w:t>
      </w:r>
      <w:r w:rsidR="0054631D">
        <w:t>T</w:t>
      </w:r>
      <w:r>
        <w:t xml:space="preserve">o this end there is provided an interface means 27 comprising first means 28 for storing the processed data 23, processed by the processing means 22 in the memory 26 and the second means 30 for accessing the memory 26 to provide the measure 24 of the rotational orientation 18 of core orientation device 10.  This allows the measure 24 to be obtained when required.  </w:t>
      </w:r>
    </w:p>
    <w:p w:rsidR="0054631D" w:rsidRDefault="00F50647" w:rsidP="00032AC6">
      <w:pPr>
        <w:pStyle w:val="ParaNumbering"/>
      </w:pPr>
      <w:r>
        <w:t xml:space="preserve">Figure 2 shows the </w:t>
      </w:r>
      <w:r w:rsidR="00D8262E">
        <w:t xml:space="preserve">core drill 12 comprises an </w:t>
      </w:r>
      <w:r>
        <w:t xml:space="preserve">outer tube assembly 34 and an inner tube assembly 36 of </w:t>
      </w:r>
      <w:r w:rsidR="0054631D">
        <w:t>‘</w:t>
      </w:r>
      <w:r>
        <w:t>generally conventional construction</w:t>
      </w:r>
      <w:r w:rsidR="0054631D">
        <w:t>’</w:t>
      </w:r>
      <w:r w:rsidR="00D8262E">
        <w:t xml:space="preserve">. </w:t>
      </w:r>
      <w:r>
        <w:t xml:space="preserve"> </w:t>
      </w:r>
      <w:r w:rsidR="00D8262E">
        <w:t xml:space="preserve">The </w:t>
      </w:r>
      <w:r>
        <w:t xml:space="preserve">orientation device 10 according to the embodiment </w:t>
      </w:r>
      <w:r w:rsidR="00D8262E">
        <w:t xml:space="preserve">is </w:t>
      </w:r>
      <w:r>
        <w:t>accommodated along the length 38 of the inner tube assembly 36</w:t>
      </w:r>
      <w:r w:rsidR="00D8262E">
        <w:t>,</w:t>
      </w:r>
      <w:r>
        <w:t xml:space="preserve"> as shown in Figure 2.  </w:t>
      </w:r>
    </w:p>
    <w:p w:rsidR="0054631D" w:rsidRDefault="00F50647" w:rsidP="00032AC6">
      <w:pPr>
        <w:pStyle w:val="ParaNumbering"/>
      </w:pPr>
      <w:r>
        <w:t>Under that arrangement, the inner tube assembly</w:t>
      </w:r>
      <w:r w:rsidR="00D8262E">
        <w:t> 36</w:t>
      </w:r>
      <w:r>
        <w:t xml:space="preserve"> comprises upper and lower parts 36a, 36b between which the orientation device 10 is fitted.  The upper part 36a includes a bearing 40</w:t>
      </w:r>
      <w:r w:rsidR="00D8262E">
        <w:t>,</w:t>
      </w:r>
      <w:r>
        <w:t xml:space="preserve"> with the portion above the bearing 40 being rotatable with the outer tube assembly 34 and the portion below the bearing 40 being restrained against rotation because of friction</w:t>
      </w:r>
      <w:r w:rsidR="00D8262E">
        <w:t>al</w:t>
      </w:r>
      <w:r>
        <w:t xml:space="preserve"> engagement with the core being generated.  Thus, in this manner, the bearing 40 allows the core orientation device 10 to rotate relative to the outer tube assembly 34 but not relative to the core sample when the core is received.  </w:t>
      </w:r>
    </w:p>
    <w:p w:rsidR="009D4FED" w:rsidRDefault="00170B34" w:rsidP="00032AC6">
      <w:pPr>
        <w:pStyle w:val="ParaNumbering"/>
      </w:pPr>
      <w:r>
        <w:lastRenderedPageBreak/>
        <w:t>It is explained that incorporating the orientation device</w:t>
      </w:r>
      <w:r w:rsidR="00D8262E">
        <w:t> 10</w:t>
      </w:r>
      <w:r>
        <w:t xml:space="preserve"> in the inner tube assembly</w:t>
      </w:r>
      <w:r w:rsidR="00D8262E">
        <w:t> 36 increases</w:t>
      </w:r>
      <w:r>
        <w:t xml:space="preserve"> the overall length of the inner tube assembly</w:t>
      </w:r>
      <w:r w:rsidR="00D8262E">
        <w:t> 36</w:t>
      </w:r>
      <w:r>
        <w:t>, a consequence of which is that the overall length of the outer tube assembly</w:t>
      </w:r>
      <w:r w:rsidR="005F20BE">
        <w:t> 34</w:t>
      </w:r>
      <w:r>
        <w:t xml:space="preserve"> needs also to be increased.   A spacer 42 is provided in the outer tube assembly 34 for this purpose.  Apart from the modification to the inner tube assembly</w:t>
      </w:r>
      <w:r w:rsidR="00D8262E">
        <w:t> 36</w:t>
      </w:r>
      <w:r>
        <w:t xml:space="preserve"> to accommodate the orientation tool</w:t>
      </w:r>
      <w:r w:rsidR="00D8262E">
        <w:t> 10,</w:t>
      </w:r>
      <w:r>
        <w:t xml:space="preserve"> and also the spacer</w:t>
      </w:r>
      <w:r w:rsidR="00D8262E">
        <w:t> 42</w:t>
      </w:r>
      <w:r>
        <w:t xml:space="preserve"> provided in the outer tube assembly</w:t>
      </w:r>
      <w:r w:rsidR="00D8262E">
        <w:t> 36,</w:t>
      </w:r>
      <w:r>
        <w:t xml:space="preserve"> the core drill is of conventional construction and operates in a conventional way.  </w:t>
      </w:r>
    </w:p>
    <w:p w:rsidR="0054631D" w:rsidRDefault="00CC3542" w:rsidP="009E1BDE">
      <w:pPr>
        <w:pStyle w:val="ParaNumbering"/>
      </w:pPr>
      <w:r>
        <w:t xml:space="preserve">Then by reference to Figure 3, it can be seen that the inner tube </w:t>
      </w:r>
      <w:r w:rsidR="00ED79AF">
        <w:t xml:space="preserve">assembly 36 </w:t>
      </w:r>
      <w:r>
        <w:t>comprises a back</w:t>
      </w:r>
      <w:r w:rsidR="00ED79AF">
        <w:t xml:space="preserve"> </w:t>
      </w:r>
      <w:r>
        <w:t xml:space="preserve">end assembly 33, a replacement </w:t>
      </w:r>
      <w:r w:rsidR="00E268BD">
        <w:t xml:space="preserve">grease </w:t>
      </w:r>
      <w:r w:rsidR="00ED79AF">
        <w:t>s</w:t>
      </w:r>
      <w:r w:rsidR="0054631D">
        <w:t>ub</w:t>
      </w:r>
      <w:r>
        <w:t xml:space="preserve"> 35, </w:t>
      </w:r>
      <w:r w:rsidR="00F866A9">
        <w:t xml:space="preserve">the core </w:t>
      </w:r>
      <w:r w:rsidR="00E268BD">
        <w:t>orientation</w:t>
      </w:r>
      <w:r w:rsidR="00F866A9">
        <w:t xml:space="preserve"> device 10, three metres of inner tube 37 and core lifter case 39.  </w:t>
      </w:r>
    </w:p>
    <w:p w:rsidR="0054631D" w:rsidRDefault="00F866A9" w:rsidP="009E1BDE">
      <w:pPr>
        <w:pStyle w:val="ParaNumbering"/>
      </w:pPr>
      <w:r>
        <w:t xml:space="preserve">Figure 4 shows </w:t>
      </w:r>
      <w:r w:rsidR="00ED79AF">
        <w:t xml:space="preserve">that the </w:t>
      </w:r>
      <w:r w:rsidR="00CF58B9">
        <w:t xml:space="preserve">orientation </w:t>
      </w:r>
      <w:r w:rsidR="00ED79AF">
        <w:t>device comprises</w:t>
      </w:r>
      <w:r>
        <w:t xml:space="preserve"> a housing 44 of general cylindrical construction thereby defining the central longitudinal access</w:t>
      </w:r>
      <w:r w:rsidR="00ED79AF">
        <w:t> 20</w:t>
      </w:r>
      <w:r>
        <w:t>.  The housing</w:t>
      </w:r>
      <w:r w:rsidR="00ED79AF">
        <w:t> 44</w:t>
      </w:r>
      <w:r>
        <w:t xml:space="preserve"> has a general cylindrical side wall 46 and two opposed ends 48 and 50.  </w:t>
      </w:r>
      <w:r w:rsidR="00ED79AF">
        <w:t>The end 48 is open</w:t>
      </w:r>
      <w:r>
        <w:t xml:space="preserve"> and internally threaded to provide a female thread formation.  A male threaded formation 52 is provided on the cylindrical side 46 of the housing 40 inwardly spaced from the other end 50.  </w:t>
      </w:r>
      <w:r w:rsidR="009E1BDE">
        <w:t xml:space="preserve">The effect of these two formations is that the </w:t>
      </w:r>
      <w:r w:rsidR="00ED79AF">
        <w:t xml:space="preserve">orientation </w:t>
      </w:r>
      <w:r w:rsidR="009E1BDE">
        <w:t>device</w:t>
      </w:r>
      <w:r w:rsidR="00ED79AF">
        <w:t> 10</w:t>
      </w:r>
      <w:r w:rsidR="009E1BDE">
        <w:t xml:space="preserve"> can be installed between</w:t>
      </w:r>
      <w:r w:rsidR="00ED79AF">
        <w:t>,</w:t>
      </w:r>
      <w:r w:rsidR="009E1BDE">
        <w:t xml:space="preserve"> and in threaded engagement with</w:t>
      </w:r>
      <w:r w:rsidR="00ED79AF">
        <w:t>,</w:t>
      </w:r>
      <w:r w:rsidR="009E1BDE">
        <w:t xml:space="preserve"> the upper and lower parts, 36a and 36b of the inner tube assembly 36, </w:t>
      </w:r>
      <w:r w:rsidR="00ED79AF">
        <w:t>as shown in Figure 2.  T</w:t>
      </w:r>
      <w:r w:rsidR="009E1BDE">
        <w:t>he inner tube assembly 36 has complementary threaded portions which provide means for accommodating the core orientation device</w:t>
      </w:r>
      <w:r w:rsidR="00ED79AF">
        <w:t> 10</w:t>
      </w:r>
      <w:r w:rsidR="009E1BDE">
        <w:t xml:space="preserve"> along the length of the inner tube assembly</w:t>
      </w:r>
      <w:r w:rsidR="00ED79AF">
        <w:t> 36</w:t>
      </w:r>
      <w:r w:rsidR="009E1BDE">
        <w:t xml:space="preserve">.  </w:t>
      </w:r>
    </w:p>
    <w:p w:rsidR="0054631D" w:rsidRDefault="009E1BDE" w:rsidP="009E1BDE">
      <w:pPr>
        <w:pStyle w:val="ParaNumbering"/>
      </w:pPr>
      <w:r>
        <w:t>There is also an internal chassis 54 shown in the housing 44.  That chassis</w:t>
      </w:r>
      <w:r w:rsidR="00ED79AF">
        <w:t> 54</w:t>
      </w:r>
      <w:r>
        <w:t xml:space="preserve"> has a cavity 56 which accommodates shock absorbing material 57 encasing a t</w:t>
      </w:r>
      <w:r w:rsidRPr="009E1BDE">
        <w:t xml:space="preserve">riaxial </w:t>
      </w:r>
      <w:r>
        <w:t>a</w:t>
      </w:r>
      <w:r w:rsidRPr="009E1BDE">
        <w:t>ccelerometer</w:t>
      </w:r>
      <w:r w:rsidR="00ED79AF">
        <w:t xml:space="preserve"> means</w:t>
      </w:r>
      <w:r>
        <w:t> 58.  The shock absorbing material</w:t>
      </w:r>
      <w:r w:rsidR="00ED79AF">
        <w:t> 57</w:t>
      </w:r>
      <w:r>
        <w:t xml:space="preserve"> comprises several layers of cushioning and there is an outer cushioning layer, an immediate cushioning layer and an inner cushioning layer embracing the triaxial accelerometer means</w:t>
      </w:r>
      <w:r w:rsidR="00ED79AF">
        <w:t> 58</w:t>
      </w:r>
      <w:r>
        <w:t xml:space="preserve">.  The robustness of cushioning progressively decreases from the outer layer to the inner layer.  </w:t>
      </w:r>
    </w:p>
    <w:p w:rsidR="0054631D" w:rsidRDefault="009E1BDE" w:rsidP="009E1BDE">
      <w:pPr>
        <w:pStyle w:val="ParaNumbering"/>
      </w:pPr>
      <w:r>
        <w:t xml:space="preserve">Figure 5 shows the </w:t>
      </w:r>
      <w:r w:rsidR="00E268BD">
        <w:t>housing 44 accommodating a main printed circuit board 60 and an electrical power source 62 in the form of a lithium battery pack.  The processing means 22 comprises an electronic circuit with chip on the main printed circuit board 60.  The processing means</w:t>
      </w:r>
      <w:r w:rsidR="00ED79AF">
        <w:t> 22</w:t>
      </w:r>
      <w:r w:rsidR="00E268BD">
        <w:t xml:space="preserve"> incorporates an analogue to digital converter 64</w:t>
      </w:r>
      <w:r w:rsidR="003F6EF4">
        <w:t>, a low power microcontroller 66, which provides a processor, a timer and non-</w:t>
      </w:r>
      <w:r w:rsidR="00C50E5E">
        <w:t>volatile</w:t>
      </w:r>
      <w:r w:rsidR="003F6EF4">
        <w:t xml:space="preserve"> memory 70</w:t>
      </w:r>
      <w:r w:rsidR="00ED79AF">
        <w:t>,</w:t>
      </w:r>
      <w:r w:rsidR="003F6EF4">
        <w:t xml:space="preserve"> as </w:t>
      </w:r>
      <w:r w:rsidR="003F6EF4">
        <w:lastRenderedPageBreak/>
        <w:t>illustrated in Figure 6</w:t>
      </w:r>
      <w:r w:rsidR="009E5EE3">
        <w:t>.  Thus</w:t>
      </w:r>
      <w:r w:rsidR="003F6EF4">
        <w:t xml:space="preserve">, in </w:t>
      </w:r>
      <w:r w:rsidR="009E5EE3">
        <w:t xml:space="preserve">this </w:t>
      </w:r>
      <w:r w:rsidR="003F6EF4">
        <w:t xml:space="preserve">embodiment the memory 26 forms part of the processing means 22.  </w:t>
      </w:r>
    </w:p>
    <w:p w:rsidR="00170B34" w:rsidRDefault="003F6EF4" w:rsidP="009E1BDE">
      <w:pPr>
        <w:pStyle w:val="ParaNumbering"/>
      </w:pPr>
      <w:r>
        <w:t xml:space="preserve">It </w:t>
      </w:r>
      <w:r w:rsidR="0054631D">
        <w:t xml:space="preserve">is </w:t>
      </w:r>
      <w:r>
        <w:t xml:space="preserve">explained further </w:t>
      </w:r>
      <w:r w:rsidR="009E5EE3">
        <w:t xml:space="preserve">in the System Patent </w:t>
      </w:r>
      <w:r>
        <w:t>that the interface means</w:t>
      </w:r>
      <w:r w:rsidR="009E5EE3">
        <w:t> 27</w:t>
      </w:r>
      <w:r>
        <w:t xml:space="preserve"> forms part of the processing means</w:t>
      </w:r>
      <w:r w:rsidR="009E5EE3">
        <w:t> 22</w:t>
      </w:r>
      <w:r>
        <w:t xml:space="preserve"> while having first means</w:t>
      </w:r>
      <w:r w:rsidR="009E5EE3">
        <w:t> 28</w:t>
      </w:r>
      <w:r>
        <w:t xml:space="preserve"> for storing the process data</w:t>
      </w:r>
      <w:r w:rsidR="009E5EE3">
        <w:t> 23</w:t>
      </w:r>
      <w:r>
        <w:t xml:space="preserve"> and second means</w:t>
      </w:r>
      <w:r w:rsidR="009E5EE3">
        <w:t> 30</w:t>
      </w:r>
      <w:r>
        <w:t xml:space="preserve"> for accessing the memory</w:t>
      </w:r>
      <w:r w:rsidR="009E5EE3">
        <w:t> 26</w:t>
      </w:r>
      <w:r>
        <w:t xml:space="preserve"> to provide the measure</w:t>
      </w:r>
      <w:r w:rsidR="009E5EE3">
        <w:t> 24</w:t>
      </w:r>
      <w:r>
        <w:t xml:space="preserve"> of the rotational orientation 18 of the core orientation device</w:t>
      </w:r>
      <w:r w:rsidR="009E5EE3">
        <w:t> 10</w:t>
      </w:r>
      <w:r>
        <w:t xml:space="preserve"> at the associated time.  There is a </w:t>
      </w:r>
      <w:r w:rsidR="0054631D">
        <w:t>‘</w:t>
      </w:r>
      <w:r>
        <w:t>watchdog circuit</w:t>
      </w:r>
      <w:r w:rsidR="0054631D">
        <w:t>’</w:t>
      </w:r>
      <w:r>
        <w:t xml:space="preserve"> 71 provided for watching the system.  In instances where the device 10 shuts down, it can be reset at the surface.  </w:t>
      </w:r>
    </w:p>
    <w:p w:rsidR="008234ED" w:rsidRDefault="00C50E5E" w:rsidP="00C50E5E">
      <w:pPr>
        <w:pStyle w:val="ParaNumbering"/>
      </w:pPr>
      <w:r>
        <w:t>The triaxial accelerometer means</w:t>
      </w:r>
      <w:r w:rsidR="009E5EE3">
        <w:t> 58</w:t>
      </w:r>
      <w:r>
        <w:t xml:space="preserve"> comprises three internal silicon accelerometers operating along </w:t>
      </w:r>
      <w:r w:rsidRPr="00C50E5E">
        <w:t>orthogonal</w:t>
      </w:r>
      <w:r>
        <w:t xml:space="preserve"> directions X, Y and Z.  The three accelerometers measure components of the earth</w:t>
      </w:r>
      <w:r w:rsidR="009E5EE3">
        <w:t>’s</w:t>
      </w:r>
      <w:r>
        <w:t xml:space="preserve"> gravitational field.  Mathematically transforming the outputs from the three accelerometers allows the rotational orientation 18 of the device 10 about its longitudinal </w:t>
      </w:r>
      <w:r w:rsidR="009E5EE3">
        <w:t>axis</w:t>
      </w:r>
      <w:r>
        <w:t> 20 to be determined.  More particularly, the signals</w:t>
      </w:r>
      <w:r w:rsidR="009E5EE3">
        <w:t> 16</w:t>
      </w:r>
      <w:r>
        <w:t xml:space="preserve"> produced by the triaxial accelerometer means</w:t>
      </w:r>
      <w:r w:rsidR="009E5EE3">
        <w:t> 43</w:t>
      </w:r>
      <w:r>
        <w:t xml:space="preserve"> are determinative of the change in orientation of the device</w:t>
      </w:r>
      <w:r w:rsidR="009E5EE3">
        <w:t> 10</w:t>
      </w:r>
      <w:r>
        <w:t xml:space="preserve"> and are transmitted to the analogue to digital converter</w:t>
      </w:r>
      <w:r w:rsidR="009E5EE3">
        <w:t> 64</w:t>
      </w:r>
      <w:r>
        <w:t xml:space="preserve">, which in turn transmits signals or signal data to the microcontroller 66.  </w:t>
      </w:r>
    </w:p>
    <w:p w:rsidR="0054631D" w:rsidRDefault="00C50E5E" w:rsidP="00C50E5E">
      <w:pPr>
        <w:pStyle w:val="ParaNumbering"/>
      </w:pPr>
      <w:r>
        <w:t>The timer</w:t>
      </w:r>
      <w:r w:rsidR="009E5EE3">
        <w:t> 68</w:t>
      </w:r>
      <w:r>
        <w:t xml:space="preserve"> is provided for ensuring that the processing means processes signals from the arrangement over predetermined time intervals.  In this embodiment, the processor means</w:t>
      </w:r>
      <w:r w:rsidR="009E5EE3">
        <w:t> 22</w:t>
      </w:r>
      <w:r>
        <w:t xml:space="preserve"> includes integration means for </w:t>
      </w:r>
      <w:r w:rsidR="0040140A">
        <w:t>integrating</w:t>
      </w:r>
      <w:r>
        <w:t xml:space="preserve"> signals over a particular predetermined time interval of one minute.  When device</w:t>
      </w:r>
      <w:r w:rsidR="009E5EE3">
        <w:t> 10</w:t>
      </w:r>
      <w:r>
        <w:t xml:space="preserve"> is operating, the relative operation of the device is determined at regular intervals as determined by processing means 22.  The processing means 22 employs the interface means 27 and second means</w:t>
      </w:r>
      <w:r w:rsidR="009E5EE3">
        <w:t> 30</w:t>
      </w:r>
      <w:r>
        <w:t xml:space="preserve"> to store the processed data</w:t>
      </w:r>
      <w:r w:rsidR="009E5EE3">
        <w:t> 23</w:t>
      </w:r>
      <w:r>
        <w:t xml:space="preserve"> and memory</w:t>
      </w:r>
      <w:r w:rsidR="009E5EE3">
        <w:t> 26</w:t>
      </w:r>
      <w:r>
        <w:t>.  In this embodiment, the time intervals at which the orientation is determined and stored comprise intervals of one minute.  In this way</w:t>
      </w:r>
      <w:r w:rsidR="009E5EE3">
        <w:t>,</w:t>
      </w:r>
      <w:r>
        <w:t xml:space="preserve"> there is a stored record of the orientation of the device</w:t>
      </w:r>
      <w:r w:rsidR="009E5EE3">
        <w:t> 10</w:t>
      </w:r>
      <w:r>
        <w:t xml:space="preserve"> at minute intervals.  The orientation of the device</w:t>
      </w:r>
      <w:r w:rsidR="009E5EE3">
        <w:t> 10</w:t>
      </w:r>
      <w:r>
        <w:t xml:space="preserve"> corresponds to the orientation of the lower part 36b of the inner tube assembly</w:t>
      </w:r>
      <w:r w:rsidR="009E5EE3">
        <w:t> 36</w:t>
      </w:r>
      <w:r>
        <w:t xml:space="preserve">, which in turn corresponds to </w:t>
      </w:r>
      <w:r w:rsidR="00AD2C20">
        <w:t xml:space="preserve">the </w:t>
      </w:r>
      <w:r>
        <w:t xml:space="preserve">orientation of </w:t>
      </w:r>
      <w:r w:rsidR="00AD2C20">
        <w:t xml:space="preserve">a </w:t>
      </w:r>
      <w:r>
        <w:t>core sample progressively entering the inner tube assembly</w:t>
      </w:r>
      <w:r w:rsidR="006923BD">
        <w:t> 36,</w:t>
      </w:r>
      <w:r w:rsidR="00AD2C20">
        <w:t xml:space="preserve"> </w:t>
      </w:r>
      <w:r>
        <w:t xml:space="preserve">as the lower part 36b does not rotate relative to the core sample.  </w:t>
      </w:r>
    </w:p>
    <w:p w:rsidR="0097150B" w:rsidRDefault="00C50E5E" w:rsidP="00C50E5E">
      <w:pPr>
        <w:pStyle w:val="ParaNumbering"/>
      </w:pPr>
      <w:r>
        <w:t xml:space="preserve">In the operation </w:t>
      </w:r>
      <w:r w:rsidR="003658EF">
        <w:t>of the core orientation device and the core drill, a first step comprises moving the core drill</w:t>
      </w:r>
      <w:r w:rsidR="004644F1">
        <w:t> 12</w:t>
      </w:r>
      <w:r w:rsidR="003658EF">
        <w:t>, having the core orientation device</w:t>
      </w:r>
      <w:r w:rsidR="004644F1">
        <w:t> 12</w:t>
      </w:r>
      <w:r w:rsidR="003658EF">
        <w:t xml:space="preserve"> forming part thereof from a first location to a drilling location.  After this, the core drill is operated to drill a core sample.  When the core drill is moved from the first location to the drilling location, the core </w:t>
      </w:r>
      <w:r w:rsidR="003658EF">
        <w:lastRenderedPageBreak/>
        <w:t>orientation device generates acceleration signals associated with the rotational orientation</w:t>
      </w:r>
      <w:r w:rsidR="004644F1">
        <w:t> 18</w:t>
      </w:r>
      <w:r w:rsidR="003658EF">
        <w:t xml:space="preserve"> of the core orientation device</w:t>
      </w:r>
      <w:r w:rsidR="004644F1">
        <w:t> 10</w:t>
      </w:r>
      <w:r w:rsidR="003658EF">
        <w:t>.  The processing means</w:t>
      </w:r>
      <w:r w:rsidR="00AC016F">
        <w:t> 2</w:t>
      </w:r>
      <w:r w:rsidR="004644F1">
        <w:t>2</w:t>
      </w:r>
      <w:r w:rsidR="003658EF">
        <w:t xml:space="preserve"> then processes the signals</w:t>
      </w:r>
      <w:r w:rsidR="004644F1">
        <w:t> 16</w:t>
      </w:r>
      <w:r w:rsidR="003658EF">
        <w:t xml:space="preserve"> to provide</w:t>
      </w:r>
      <w:r w:rsidR="00290A76">
        <w:t xml:space="preserve"> </w:t>
      </w:r>
      <w:r w:rsidR="003658EF">
        <w:t>processed data</w:t>
      </w:r>
      <w:r w:rsidR="004644F1">
        <w:t> 23</w:t>
      </w:r>
      <w:r w:rsidR="003658EF">
        <w:t xml:space="preserve"> from which the measure</w:t>
      </w:r>
      <w:r w:rsidR="004644F1">
        <w:t> 24</w:t>
      </w:r>
      <w:r w:rsidR="003658EF">
        <w:t xml:space="preserve"> of rotational orientation</w:t>
      </w:r>
      <w:r w:rsidR="004644F1">
        <w:t> 18</w:t>
      </w:r>
      <w:r w:rsidR="003658EF">
        <w:t xml:space="preserve"> </w:t>
      </w:r>
      <w:r w:rsidR="00290A76">
        <w:t>of the device</w:t>
      </w:r>
      <w:r w:rsidR="004644F1">
        <w:t> 10</w:t>
      </w:r>
      <w:r w:rsidR="00290A76">
        <w:t xml:space="preserve"> at a drilling location can be established.  The process</w:t>
      </w:r>
      <w:r w:rsidR="0054631D">
        <w:t>ed</w:t>
      </w:r>
      <w:r w:rsidR="00290A76">
        <w:t xml:space="preserve"> data</w:t>
      </w:r>
      <w:r w:rsidR="004644F1">
        <w:t> 23</w:t>
      </w:r>
      <w:r w:rsidR="00290A76">
        <w:t xml:space="preserve"> is stored in memory</w:t>
      </w:r>
      <w:r w:rsidR="004644F1">
        <w:t> 26</w:t>
      </w:r>
      <w:r w:rsidR="00290A76">
        <w:t xml:space="preserve"> for later recall such that the measure</w:t>
      </w:r>
      <w:r w:rsidR="004644F1">
        <w:t> 23</w:t>
      </w:r>
      <w:r w:rsidR="00290A76">
        <w:t xml:space="preserve"> of the rotational orientation of the device</w:t>
      </w:r>
      <w:r w:rsidR="004644F1">
        <w:t> 10</w:t>
      </w:r>
      <w:r w:rsidR="00290A76">
        <w:t xml:space="preserve"> can be obtained from it.  By using integration means and time intervals of one minute, the process</w:t>
      </w:r>
      <w:r w:rsidR="004644F1">
        <w:t>ed</w:t>
      </w:r>
      <w:r w:rsidR="00290A76">
        <w:t xml:space="preserve"> data</w:t>
      </w:r>
      <w:r w:rsidR="004644F1">
        <w:t> 23</w:t>
      </w:r>
      <w:r w:rsidR="00290A76">
        <w:t xml:space="preserve"> indicates the change orientation of the device</w:t>
      </w:r>
      <w:r w:rsidR="004644F1">
        <w:t> 10</w:t>
      </w:r>
      <w:r w:rsidR="00290A76">
        <w:t xml:space="preserve"> in one minute intervals commencing from the reference time that corresponds to the time at which the orientation device</w:t>
      </w:r>
      <w:r w:rsidR="004644F1">
        <w:t> 10</w:t>
      </w:r>
      <w:r w:rsidR="00290A76">
        <w:t xml:space="preserve"> was started.  </w:t>
      </w:r>
    </w:p>
    <w:p w:rsidR="0097150B" w:rsidRDefault="00290A76" w:rsidP="00C50E5E">
      <w:pPr>
        <w:pStyle w:val="ParaNumbering"/>
      </w:pPr>
      <w:r>
        <w:t xml:space="preserve">In this embodiment, as shown in Figure 6, the core orientation device includes a </w:t>
      </w:r>
      <w:r w:rsidR="0040140A">
        <w:t>membrane</w:t>
      </w:r>
      <w:r>
        <w:t xml:space="preserve"> keypad 72 and an LCD display 74, both of which are provided at end 50 of the device</w:t>
      </w:r>
      <w:r w:rsidR="00200986">
        <w:t> 10</w:t>
      </w:r>
      <w:r>
        <w:t xml:space="preserve">.  With this arrangement, the keypad 72 is </w:t>
      </w:r>
      <w:r w:rsidR="0040140A">
        <w:t>accessible</w:t>
      </w:r>
      <w:r>
        <w:t xml:space="preserve"> for operation </w:t>
      </w:r>
      <w:r w:rsidR="00C43D69">
        <w:t>from the end 50 and the display 74 is also visible from that end, but of course only when the orientation device</w:t>
      </w:r>
      <w:r w:rsidR="00200986">
        <w:t> 10</w:t>
      </w:r>
      <w:r w:rsidR="00C43D69">
        <w:t xml:space="preserve"> is not connected to the upper part 36a of the inner tube assembly</w:t>
      </w:r>
      <w:r w:rsidR="00200986">
        <w:t> 36</w:t>
      </w:r>
      <w:r w:rsidR="00C43D69">
        <w:t>.  The keypad</w:t>
      </w:r>
      <w:r w:rsidR="00200986">
        <w:t> 72</w:t>
      </w:r>
      <w:r w:rsidR="00C43D69">
        <w:t xml:space="preserve"> incorporates a window section 76 through which the LCD display</w:t>
      </w:r>
      <w:r w:rsidR="00200986">
        <w:t> 74</w:t>
      </w:r>
      <w:r w:rsidR="00C43D69">
        <w:t xml:space="preserve"> is visible.  In this embodiment, the keypad has four keys identified in Figure 4 as ‘N’, ‘R’, ‘+’ and ‘-’ keys.  The membrane keypad 72 and the display 74 are protected by the inner tube assembly</w:t>
      </w:r>
      <w:r w:rsidR="00200986">
        <w:t> 36</w:t>
      </w:r>
      <w:r w:rsidR="00C43D69">
        <w:t xml:space="preserve"> when accommodated in the female threaded portion.  </w:t>
      </w:r>
    </w:p>
    <w:p w:rsidR="0097150B" w:rsidRDefault="00C43D69" w:rsidP="00C50E5E">
      <w:pPr>
        <w:pStyle w:val="ParaNumbering"/>
      </w:pPr>
      <w:r>
        <w:t>In this particular embodiment, the orientation device</w:t>
      </w:r>
      <w:r w:rsidR="00200986">
        <w:t> 10</w:t>
      </w:r>
      <w:r>
        <w:t xml:space="preserve"> is started by pressing the ‘N’ key on the keypad 72.  It is also necessary to record the time duration between starting the core orientation device</w:t>
      </w:r>
      <w:r w:rsidR="00200986">
        <w:t> 10</w:t>
      </w:r>
      <w:r>
        <w:t xml:space="preserve"> and extracting the core sample.  Typically, that is achieved by starting an external stopwatch at the time of starting the orientation device</w:t>
      </w:r>
      <w:r w:rsidR="00200986">
        <w:t> 10</w:t>
      </w:r>
      <w:r>
        <w:t xml:space="preserve">.  </w:t>
      </w:r>
      <w:r w:rsidR="00200986">
        <w:t>The System Patent stat</w:t>
      </w:r>
      <w:r w:rsidR="009C578F">
        <w:t>e</w:t>
      </w:r>
      <w:r w:rsidR="00200986">
        <w:t xml:space="preserve">s that the ‘[o]ther </w:t>
      </w:r>
      <w:r>
        <w:t>arrangements are, of course, possible</w:t>
      </w:r>
      <w:r w:rsidR="0054631D">
        <w:t>’</w:t>
      </w:r>
      <w:r>
        <w:t xml:space="preserve">.  </w:t>
      </w:r>
    </w:p>
    <w:p w:rsidR="0097150B" w:rsidRDefault="00C43D69" w:rsidP="00C50E5E">
      <w:pPr>
        <w:pStyle w:val="ParaNumbering"/>
      </w:pPr>
      <w:r>
        <w:t>In this embodiment, the stopwatch is started at the time that the orientation device</w:t>
      </w:r>
      <w:r w:rsidR="00200986">
        <w:t> 10</w:t>
      </w:r>
      <w:r>
        <w:t xml:space="preserve"> displays a signal on the display</w:t>
      </w:r>
      <w:r w:rsidR="00200986">
        <w:t> 31</w:t>
      </w:r>
      <w:r>
        <w:t xml:space="preserve"> indicating that the operation of the orientation device has started.  </w:t>
      </w:r>
      <w:r w:rsidR="00200986">
        <w:t xml:space="preserve">This provides for added accuracy.  </w:t>
      </w:r>
      <w:r>
        <w:t>Once the orientation device has been started and recording of the subsequent time duration has commenced, the inner tube assembly</w:t>
      </w:r>
      <w:r w:rsidR="00200986">
        <w:t> 36</w:t>
      </w:r>
      <w:r>
        <w:t xml:space="preserve"> is inserted into a drill hole for reception in the outer tube assembly</w:t>
      </w:r>
      <w:r w:rsidR="00200986">
        <w:t> 13</w:t>
      </w:r>
      <w:r>
        <w:t xml:space="preserve">.  The core drilling operation is then commenced.  During the drilling operation, </w:t>
      </w:r>
      <w:r w:rsidR="00200986">
        <w:t xml:space="preserve">a </w:t>
      </w:r>
      <w:r>
        <w:t>core is progressively generated within the inner tube assembly</w:t>
      </w:r>
      <w:r w:rsidR="00200986">
        <w:t xml:space="preserve">. </w:t>
      </w:r>
      <w:r>
        <w:t xml:space="preserve"> </w:t>
      </w:r>
      <w:r w:rsidR="00200986">
        <w:t>W</w:t>
      </w:r>
      <w:r>
        <w:t xml:space="preserve">hen it is ready to be extracted, the </w:t>
      </w:r>
      <w:r w:rsidR="00200986">
        <w:t xml:space="preserve">core drill </w:t>
      </w:r>
      <w:r>
        <w:t xml:space="preserve">operator refers to the timer and notes the time duration involved.  Specifically, the operator will note </w:t>
      </w:r>
      <w:r w:rsidR="00200986">
        <w:t xml:space="preserve">either </w:t>
      </w:r>
      <w:r>
        <w:t xml:space="preserve">the full minute that has previously elapsed or waits until the next full minute </w:t>
      </w:r>
      <w:r>
        <w:lastRenderedPageBreak/>
        <w:t>elapses</w:t>
      </w:r>
      <w:r w:rsidR="00200986">
        <w:t>,</w:t>
      </w:r>
      <w:r>
        <w:t xml:space="preserve"> and then records that time </w:t>
      </w:r>
      <w:r w:rsidR="00200986">
        <w:t>(</w:t>
      </w:r>
      <w:r>
        <w:t>as it must be recalled later</w:t>
      </w:r>
      <w:r w:rsidR="00200986">
        <w:t>)</w:t>
      </w:r>
      <w:r>
        <w:t>.  The operator then initiates the procedure for breaking the core from the body of material</w:t>
      </w:r>
      <w:r w:rsidR="00200986">
        <w:t>,</w:t>
      </w:r>
      <w:r>
        <w:t xml:space="preserve"> ensuring that no rotation of the inner tube assembly</w:t>
      </w:r>
      <w:r w:rsidR="00200986">
        <w:t> 36</w:t>
      </w:r>
      <w:r>
        <w:t xml:space="preserve"> occurs.  </w:t>
      </w:r>
    </w:p>
    <w:p w:rsidR="00C50E5E" w:rsidRDefault="00C43D69" w:rsidP="00C50E5E">
      <w:pPr>
        <w:pStyle w:val="ParaNumbering"/>
      </w:pPr>
      <w:r>
        <w:t xml:space="preserve">The inner tube </w:t>
      </w:r>
      <w:r w:rsidR="00200986">
        <w:t xml:space="preserve">assembly 36 </w:t>
      </w:r>
      <w:r>
        <w:t xml:space="preserve">is retrieved from the drill hole in </w:t>
      </w:r>
      <w:r w:rsidR="00200986">
        <w:t xml:space="preserve">the </w:t>
      </w:r>
      <w:r>
        <w:t xml:space="preserve">conventional manner.  Once it is at the surface, the upper part </w:t>
      </w:r>
      <w:r w:rsidR="00200986">
        <w:t xml:space="preserve">36a </w:t>
      </w:r>
      <w:r>
        <w:t>of the inner tube assembly</w:t>
      </w:r>
      <w:r w:rsidR="00200986">
        <w:t> 36</w:t>
      </w:r>
      <w:r>
        <w:t xml:space="preserve"> is unscrewed from the orientation device</w:t>
      </w:r>
      <w:r w:rsidR="00200986">
        <w:t> 10</w:t>
      </w:r>
      <w:r w:rsidR="008957A4">
        <w:t>,</w:t>
      </w:r>
      <w:r>
        <w:t xml:space="preserve"> </w:t>
      </w:r>
      <w:r w:rsidR="003D41BB">
        <w:t>so as to expose the end</w:t>
      </w:r>
      <w:r w:rsidR="00200986">
        <w:t> 50</w:t>
      </w:r>
      <w:r w:rsidR="003D41BB">
        <w:t xml:space="preserve"> to provide access to the keypad</w:t>
      </w:r>
      <w:r w:rsidR="00200986">
        <w:t> 72</w:t>
      </w:r>
      <w:r w:rsidR="003D41BB">
        <w:t xml:space="preserve"> and the display</w:t>
      </w:r>
      <w:r w:rsidR="00200986">
        <w:t> 74</w:t>
      </w:r>
      <w:r w:rsidR="003D41BB">
        <w:t>.  The frictional engagement of the core and the inner tube</w:t>
      </w:r>
      <w:r w:rsidR="00200986">
        <w:t xml:space="preserve"> assembly 36b along with bearing 40</w:t>
      </w:r>
      <w:r w:rsidR="003D41BB">
        <w:t xml:space="preserve"> allows the lower part</w:t>
      </w:r>
      <w:r w:rsidR="00200986">
        <w:t> 36b</w:t>
      </w:r>
      <w:r w:rsidR="003D41BB">
        <w:t xml:space="preserve"> to rotate relative to the outer tube assembly</w:t>
      </w:r>
      <w:r w:rsidR="00200986">
        <w:t> 34</w:t>
      </w:r>
      <w:r w:rsidR="003D41BB">
        <w:t xml:space="preserve">, but not relative to the core sample.  </w:t>
      </w:r>
    </w:p>
    <w:p w:rsidR="00EF7072" w:rsidRDefault="00B11212" w:rsidP="00C50E5E">
      <w:pPr>
        <w:pStyle w:val="ParaNumbering"/>
      </w:pPr>
      <w:r>
        <w:t>The device</w:t>
      </w:r>
      <w:r w:rsidR="00200986">
        <w:t> 10</w:t>
      </w:r>
      <w:r>
        <w:t xml:space="preserve"> includes means</w:t>
      </w:r>
      <w:r w:rsidR="00200986">
        <w:t> 80</w:t>
      </w:r>
      <w:r>
        <w:t xml:space="preserve"> for relating the measurement of the orientation of the core orientation device</w:t>
      </w:r>
      <w:r w:rsidR="00200986">
        <w:t> 10</w:t>
      </w:r>
      <w:r>
        <w:t xml:space="preserve"> with the current rotational orientation.  It allows for the core orientation device to consequently be rotated to reflect the measure of the device.  </w:t>
      </w:r>
    </w:p>
    <w:p w:rsidR="002455D8" w:rsidRDefault="00B11212" w:rsidP="00C50E5E">
      <w:pPr>
        <w:pStyle w:val="ParaNumbering"/>
      </w:pPr>
      <w:r>
        <w:t xml:space="preserve">In this embodiment, this </w:t>
      </w:r>
      <w:r w:rsidR="008C7B00">
        <w:t xml:space="preserve">is </w:t>
      </w:r>
      <w:r>
        <w:t>achieved by imputing the time duration as measured by an external stop</w:t>
      </w:r>
      <w:r w:rsidR="00200986">
        <w:t xml:space="preserve"> </w:t>
      </w:r>
      <w:r>
        <w:t>watch into the orientation device</w:t>
      </w:r>
      <w:r w:rsidR="00200986">
        <w:t> 10</w:t>
      </w:r>
      <w:r>
        <w:t xml:space="preserve"> through the keypad</w:t>
      </w:r>
      <w:r w:rsidR="00200986">
        <w:t> 72</w:t>
      </w:r>
      <w:r>
        <w:t xml:space="preserve">.  That is done by pressing the ‘R’ key to display numbers ‘00’ and then </w:t>
      </w:r>
      <w:r w:rsidR="00483EBD">
        <w:t>pressing</w:t>
      </w:r>
      <w:r>
        <w:t xml:space="preserve"> the ‘</w:t>
      </w:r>
      <w:r w:rsidR="00200986">
        <w:t>+/-</w:t>
      </w:r>
      <w:r>
        <w:t xml:space="preserve">’ keys to display the relevant time duration in minutes.  Once that time has been entered, the ‘R’ key is pressed once </w:t>
      </w:r>
      <w:r w:rsidR="00483EBD">
        <w:t>causing the</w:t>
      </w:r>
      <w:r>
        <w:t xml:space="preserve"> means</w:t>
      </w:r>
      <w:r w:rsidR="00200986">
        <w:t> 80</w:t>
      </w:r>
      <w:r>
        <w:t xml:space="preserve"> for relating the core orientation device to the current rotational orientation </w:t>
      </w:r>
      <w:r w:rsidR="00200986">
        <w:t xml:space="preserve">thereof, </w:t>
      </w:r>
      <w:r>
        <w:t>to determine a current rotational orientation</w:t>
      </w:r>
      <w:r w:rsidR="00200986">
        <w:t> 81</w:t>
      </w:r>
      <w:r>
        <w:t xml:space="preserve"> from the processing means</w:t>
      </w:r>
      <w:r w:rsidR="00200986">
        <w:t> 22</w:t>
      </w:r>
      <w:r>
        <w:t xml:space="preserve"> and display a graphical indication</w:t>
      </w:r>
      <w:r w:rsidR="00200986">
        <w:t> 83</w:t>
      </w:r>
      <w:r>
        <w:t xml:space="preserve"> of the direction in which the </w:t>
      </w:r>
      <w:r w:rsidR="00200986">
        <w:t xml:space="preserve">orientation </w:t>
      </w:r>
      <w:r>
        <w:t>device</w:t>
      </w:r>
      <w:r w:rsidR="00200986">
        <w:t> 10</w:t>
      </w:r>
      <w:r>
        <w:t xml:space="preserve"> and the lower part</w:t>
      </w:r>
      <w:r w:rsidR="00200986">
        <w:t> 36b</w:t>
      </w:r>
      <w:r>
        <w:t xml:space="preserve"> of the inner tube assembly</w:t>
      </w:r>
      <w:r w:rsidR="00200986">
        <w:t> 36</w:t>
      </w:r>
      <w:r>
        <w:t xml:space="preserve"> attached to it should be rotated.  Rotating the device and low</w:t>
      </w:r>
      <w:r w:rsidR="00453F9A">
        <w:t>er part</w:t>
      </w:r>
      <w:r w:rsidR="002455D8">
        <w:t> 36b</w:t>
      </w:r>
      <w:r w:rsidR="00453F9A">
        <w:t xml:space="preserve"> in this direction causes</w:t>
      </w:r>
      <w:r>
        <w:t xml:space="preserve"> the core contained within the inner tube assembly</w:t>
      </w:r>
      <w:r w:rsidR="002455D8">
        <w:t> 36b</w:t>
      </w:r>
      <w:r>
        <w:t xml:space="preserve"> to move into an orientation corresponding to its orientation at the time that it was in the ground before extraction.  </w:t>
      </w:r>
      <w:r w:rsidR="002455D8">
        <w:t xml:space="preserve">At this time, there </w:t>
      </w:r>
      <w:r>
        <w:t>is a symbol</w:t>
      </w:r>
      <w:r w:rsidR="002455D8">
        <w:t> 85</w:t>
      </w:r>
      <w:r>
        <w:t xml:space="preserve"> displayed to alert the operator.  </w:t>
      </w:r>
    </w:p>
    <w:p w:rsidR="0054631D" w:rsidRDefault="00B11212" w:rsidP="00C50E5E">
      <w:pPr>
        <w:pStyle w:val="ParaNumbering"/>
      </w:pPr>
      <w:r>
        <w:t>Once th</w:t>
      </w:r>
      <w:r w:rsidR="00305775">
        <w:t>e</w:t>
      </w:r>
      <w:r>
        <w:t xml:space="preserve"> required orientation has been established, the core sample can be marked as necessary and removed from the lower part of the inner tube assembly</w:t>
      </w:r>
      <w:r w:rsidR="00305775">
        <w:t> 36b</w:t>
      </w:r>
      <w:r>
        <w:t xml:space="preserve"> with the upper part</w:t>
      </w:r>
      <w:r w:rsidR="00305775">
        <w:t> 36a</w:t>
      </w:r>
      <w:r>
        <w:t xml:space="preserve"> being fitted onto the </w:t>
      </w:r>
      <w:r w:rsidR="00305775">
        <w:t xml:space="preserve">orientation </w:t>
      </w:r>
      <w:r>
        <w:t>device</w:t>
      </w:r>
      <w:r w:rsidR="00305775">
        <w:t xml:space="preserve"> 10 and the inner tube assembly 36 </w:t>
      </w:r>
      <w:r>
        <w:t xml:space="preserve">used for the next core sample drilling stage.  </w:t>
      </w:r>
    </w:p>
    <w:p w:rsidR="005C7F57" w:rsidRDefault="005C7F57" w:rsidP="00C50E5E">
      <w:pPr>
        <w:pStyle w:val="ParaNumbering"/>
      </w:pPr>
      <w:r>
        <w:t xml:space="preserve">The </w:t>
      </w:r>
      <w:r w:rsidR="00305775">
        <w:t xml:space="preserve">process </w:t>
      </w:r>
      <w:r>
        <w:t>by which the device determines and provides a graphical indication of the direction in which it should be rotated, together with the lower part</w:t>
      </w:r>
      <w:r w:rsidR="00305775">
        <w:t> 15b</w:t>
      </w:r>
      <w:r>
        <w:t xml:space="preserve"> of the inner tube </w:t>
      </w:r>
      <w:r>
        <w:lastRenderedPageBreak/>
        <w:t>assembly</w:t>
      </w:r>
      <w:r w:rsidR="00305775">
        <w:t> 36</w:t>
      </w:r>
      <w:r>
        <w:t xml:space="preserve"> in order to be at an orientation corresponding to the orientation of the core sample in its original position </w:t>
      </w:r>
      <w:r w:rsidR="00305775">
        <w:t>with</w:t>
      </w:r>
      <w:r>
        <w:t>in the ground, operates on the following basis</w:t>
      </w:r>
      <w:r w:rsidR="00305775">
        <w:t>.</w:t>
      </w:r>
    </w:p>
    <w:p w:rsidR="00305775" w:rsidRDefault="005C7F57" w:rsidP="00305775">
      <w:pPr>
        <w:pStyle w:val="ParaNumbering"/>
      </w:pPr>
      <w:r>
        <w:t xml:space="preserve">The time measurement measured by the operator and entered into the keypad 72 represents the duration of time between starting the orientation device 10 and the point at which the particular drilling process was terminated in order to fracture the core sample from the body of material </w:t>
      </w:r>
      <w:r w:rsidR="00483EBD">
        <w:t>to which it is a</w:t>
      </w:r>
      <w:r w:rsidR="00305775">
        <w:t>ttached so that the core sample</w:t>
      </w:r>
      <w:r w:rsidR="00483EBD">
        <w:t xml:space="preserve"> could be retrieved from the drill hole and brought to the surface level.  </w:t>
      </w:r>
    </w:p>
    <w:p w:rsidR="00305775" w:rsidRDefault="00483EBD" w:rsidP="00305775">
      <w:pPr>
        <w:pStyle w:val="ParaNumbering"/>
      </w:pPr>
      <w:r>
        <w:t>The orientation is determined at predetermined intervals of a minute in this embodiment</w:t>
      </w:r>
      <w:r w:rsidR="00305775">
        <w:t>.  The timer simply allows</w:t>
      </w:r>
      <w:r>
        <w:t xml:space="preserve"> </w:t>
      </w:r>
      <w:r w:rsidR="00305775">
        <w:t xml:space="preserve">identification </w:t>
      </w:r>
      <w:r>
        <w:t xml:space="preserve">of the particular minute interval at which the appropriate reading was taken and recorded.  </w:t>
      </w:r>
    </w:p>
    <w:p w:rsidR="00483EBD" w:rsidRDefault="00305775" w:rsidP="00305775">
      <w:pPr>
        <w:pStyle w:val="ParaNumbering"/>
      </w:pPr>
      <w:r>
        <w:t>In</w:t>
      </w:r>
      <w:r w:rsidR="00483EBD">
        <w:t>put</w:t>
      </w:r>
      <w:r>
        <w:t>t</w:t>
      </w:r>
      <w:r w:rsidR="00483EBD">
        <w:t>ing of the time measurement into the keypad</w:t>
      </w:r>
      <w:r>
        <w:t> 72</w:t>
      </w:r>
      <w:r w:rsidR="00483EBD">
        <w:t xml:space="preserve"> allows the controller</w:t>
      </w:r>
      <w:r>
        <w:t> 66</w:t>
      </w:r>
      <w:r w:rsidR="00483EBD">
        <w:t xml:space="preserve"> to compare the i</w:t>
      </w:r>
      <w:r>
        <w:t>n</w:t>
      </w:r>
      <w:r w:rsidR="00483EBD">
        <w:t>put</w:t>
      </w:r>
      <w:r>
        <w:t>t</w:t>
      </w:r>
      <w:r w:rsidR="00483EBD">
        <w:t>ed reading to the various stored readings</w:t>
      </w:r>
      <w:r>
        <w:t>,</w:t>
      </w:r>
      <w:r w:rsidR="00483EBD">
        <w:t xml:space="preserve"> </w:t>
      </w:r>
      <w:r>
        <w:t xml:space="preserve">and identify </w:t>
      </w:r>
      <w:r w:rsidR="00483EBD">
        <w:t>the relevant orientation reading.  The triaxial accelerometer means</w:t>
      </w:r>
      <w:r>
        <w:t> 58</w:t>
      </w:r>
      <w:r w:rsidR="00483EBD">
        <w:t xml:space="preserve"> provides signals responsive to the orientation </w:t>
      </w:r>
      <w:r>
        <w:t xml:space="preserve">of the orientation </w:t>
      </w:r>
      <w:r w:rsidR="00483EBD">
        <w:t>device</w:t>
      </w:r>
      <w:r>
        <w:t> 10</w:t>
      </w:r>
      <w:r w:rsidR="00483EBD">
        <w:t xml:space="preserve"> at any instant in time</w:t>
      </w:r>
      <w:r>
        <w:t>,</w:t>
      </w:r>
      <w:r w:rsidR="00483EBD">
        <w:t xml:space="preserve"> including when operating at surface level.  Such signals allow the controller</w:t>
      </w:r>
      <w:r>
        <w:t> 66</w:t>
      </w:r>
      <w:r w:rsidR="00483EBD">
        <w:t xml:space="preserve"> to process the signals and determine orientation of the device at any instant</w:t>
      </w:r>
      <w:r>
        <w:t>.  T</w:t>
      </w:r>
      <w:r w:rsidR="00483EBD">
        <w:t>he controller</w:t>
      </w:r>
      <w:r>
        <w:t> 53</w:t>
      </w:r>
      <w:r w:rsidR="00483EBD">
        <w:t xml:space="preserve"> can compare the instant of the device at surface level at any instant in time to the particular recorded reading corresponding to the orientation of the device at the time </w:t>
      </w:r>
      <w:r>
        <w:t>that</w:t>
      </w:r>
      <w:r w:rsidR="00483EBD">
        <w:t xml:space="preserve"> the core sample was separated from the body of material to which it was previously attached.  </w:t>
      </w:r>
      <w:r>
        <w:t xml:space="preserve">This </w:t>
      </w:r>
      <w:r w:rsidR="00483EBD">
        <w:t xml:space="preserve">comparison </w:t>
      </w:r>
      <w:r>
        <w:t xml:space="preserve">is </w:t>
      </w:r>
      <w:r w:rsidR="00483EBD">
        <w:t xml:space="preserve">processed </w:t>
      </w:r>
      <w:r w:rsidR="00CB5C71">
        <w:t xml:space="preserve">to </w:t>
      </w:r>
      <w:r w:rsidR="00483EBD">
        <w:t xml:space="preserve">provide data </w:t>
      </w:r>
      <w:r>
        <w:t xml:space="preserve">which is </w:t>
      </w:r>
      <w:r w:rsidR="00483EBD">
        <w:t>outputted to the display</w:t>
      </w:r>
      <w:r>
        <w:t xml:space="preserve"> 74 to provide a visual </w:t>
      </w:r>
      <w:r w:rsidR="00483EBD">
        <w:t xml:space="preserve">indication of the direction in which the orientation device should be rotated.  </w:t>
      </w:r>
    </w:p>
    <w:p w:rsidR="003D41BB" w:rsidRDefault="00483EBD" w:rsidP="00210E7A">
      <w:pPr>
        <w:pStyle w:val="ParaNumbering"/>
      </w:pPr>
      <w:r>
        <w:t>What this means is that in this orientation device, the orientation device does not require physical marking of a core sample prior to extraction from the ground.  Indeed</w:t>
      </w:r>
      <w:r w:rsidR="00305775">
        <w:t>,</w:t>
      </w:r>
      <w:r>
        <w:t xml:space="preserve"> the orientation device according to the embodiment is particularly convenient for an operator to use</w:t>
      </w:r>
      <w:r w:rsidR="004E15DB">
        <w:t>, it is said, because all</w:t>
      </w:r>
      <w:r w:rsidR="002A0BF8">
        <w:t xml:space="preserve"> that is required is for the operator to start the device prior to the inner tube assembly</w:t>
      </w:r>
      <w:r w:rsidR="00305775">
        <w:t> 36</w:t>
      </w:r>
      <w:r w:rsidR="002A0BF8">
        <w:t xml:space="preserve"> being inserted into the drill hole</w:t>
      </w:r>
      <w:r w:rsidR="00321AD5">
        <w:t>,</w:t>
      </w:r>
      <w:r w:rsidR="002A0BF8">
        <w:t xml:space="preserve"> and contemporaneously start a timer for recording the time duration before the drilling operation ceases to allow the core sample to be retrieved.  </w:t>
      </w:r>
    </w:p>
    <w:p w:rsidR="004E15DB" w:rsidRDefault="009F746D" w:rsidP="004E15DB">
      <w:pPr>
        <w:pStyle w:val="Heading6"/>
      </w:pPr>
      <w:bookmarkStart w:id="25" w:name="_Ref410890365"/>
      <w:r>
        <w:t>The c</w:t>
      </w:r>
      <w:r w:rsidR="004E15DB">
        <w:t>laims</w:t>
      </w:r>
      <w:bookmarkEnd w:id="25"/>
    </w:p>
    <w:p w:rsidR="002A0BF8" w:rsidRDefault="0035151E" w:rsidP="00143B6B">
      <w:pPr>
        <w:pStyle w:val="ParaNumbering"/>
      </w:pPr>
      <w:r>
        <w:t xml:space="preserve">There are then the claims of the invention which </w:t>
      </w:r>
      <w:r w:rsidR="00CF58B9">
        <w:t>correspond with the consistory statements</w:t>
      </w:r>
      <w:r>
        <w:t>, being in the following terms:</w:t>
      </w:r>
    </w:p>
    <w:p w:rsidR="0035151E" w:rsidRDefault="00E51D30" w:rsidP="00E51D30">
      <w:pPr>
        <w:pStyle w:val="Quote1"/>
        <w:ind w:left="1440" w:hanging="703"/>
      </w:pPr>
      <w:r>
        <w:lastRenderedPageBreak/>
        <w:t>1.</w:t>
      </w:r>
      <w:r>
        <w:tab/>
        <w:t>A core orientation system for use with a core drill, the core drill having an inner tube, the system comprising:</w:t>
      </w:r>
    </w:p>
    <w:p w:rsidR="00E51D30" w:rsidRDefault="00E51D30" w:rsidP="00E51D30">
      <w:pPr>
        <w:pStyle w:val="Quote1"/>
        <w:ind w:left="1440" w:hanging="703"/>
      </w:pPr>
    </w:p>
    <w:p w:rsidR="00E51D30" w:rsidRDefault="00E51D30" w:rsidP="00E51D30">
      <w:pPr>
        <w:pStyle w:val="Quote2"/>
      </w:pPr>
      <w:r>
        <w:t>means to providing signals associated with the physical orientation of the inner tube of the core drill during drilling;</w:t>
      </w:r>
    </w:p>
    <w:p w:rsidR="00E51D30" w:rsidRDefault="00E51D30" w:rsidP="00E51D30">
      <w:pPr>
        <w:pStyle w:val="Quote2"/>
      </w:pPr>
    </w:p>
    <w:p w:rsidR="00E51D30" w:rsidRDefault="00E51D30" w:rsidP="00E51D30">
      <w:pPr>
        <w:pStyle w:val="Quote2"/>
      </w:pPr>
      <w:r>
        <w:t>means for measuring a time measurement indicative of the time during drilling when the core sample is detached from the body of material from which it is taken and held in fixed relation to the inner tube;</w:t>
      </w:r>
    </w:p>
    <w:p w:rsidR="00E51D30" w:rsidRDefault="00E51D30" w:rsidP="00E51D30">
      <w:pPr>
        <w:pStyle w:val="Quote2"/>
      </w:pPr>
    </w:p>
    <w:p w:rsidR="00E51D30" w:rsidRDefault="00E51D30" w:rsidP="00E51D30">
      <w:pPr>
        <w:pStyle w:val="Quote2"/>
      </w:pPr>
      <w:r>
        <w:t xml:space="preserve">input means for </w:t>
      </w:r>
      <w:r w:rsidR="000D169D">
        <w:t>inputting</w:t>
      </w:r>
      <w:r>
        <w:t xml:space="preserve"> </w:t>
      </w:r>
      <w:r w:rsidR="00305775">
        <w:t xml:space="preserve">the </w:t>
      </w:r>
      <w:r>
        <w:t>time measurement into the system;</w:t>
      </w:r>
    </w:p>
    <w:p w:rsidR="00E51D30" w:rsidRDefault="00E51D30" w:rsidP="00E51D30">
      <w:pPr>
        <w:pStyle w:val="Quote2"/>
      </w:pPr>
    </w:p>
    <w:p w:rsidR="00E51D30" w:rsidRDefault="00E51D30" w:rsidP="00E51D30">
      <w:pPr>
        <w:pStyle w:val="Quote2"/>
      </w:pPr>
      <w:r>
        <w:t xml:space="preserve">one or more processing </w:t>
      </w:r>
      <w:r w:rsidR="000D169D">
        <w:t>means</w:t>
      </w:r>
      <w:r>
        <w:t xml:space="preserve"> for processing the signals to produce data indicative of the orientation of the inner tube;</w:t>
      </w:r>
    </w:p>
    <w:p w:rsidR="00E51D30" w:rsidRDefault="00E51D30" w:rsidP="00E51D30">
      <w:pPr>
        <w:pStyle w:val="Quote2"/>
      </w:pPr>
    </w:p>
    <w:p w:rsidR="00E51D30" w:rsidRDefault="00E51D30" w:rsidP="00E51D30">
      <w:pPr>
        <w:pStyle w:val="Quote2"/>
      </w:pPr>
      <w:r>
        <w:t xml:space="preserve">one or more processing </w:t>
      </w:r>
      <w:r w:rsidR="000D169D">
        <w:t>means</w:t>
      </w:r>
      <w:r>
        <w:t xml:space="preserve"> for processing the data produced and the inputted time measurement to produce an indication of the orientation of the core sample relative to the material from which it is detached; and</w:t>
      </w:r>
    </w:p>
    <w:p w:rsidR="00E51D30" w:rsidRDefault="00E51D30" w:rsidP="00E51D30">
      <w:pPr>
        <w:pStyle w:val="Quote2"/>
      </w:pPr>
    </w:p>
    <w:p w:rsidR="00E51D30" w:rsidRDefault="00E51D30" w:rsidP="00E51D30">
      <w:pPr>
        <w:pStyle w:val="Quote2"/>
      </w:pPr>
      <w:r>
        <w:t xml:space="preserve">display means for the indication of the orientation of the core sample relative to the material </w:t>
      </w:r>
      <w:r w:rsidR="000D169D">
        <w:t>from</w:t>
      </w:r>
      <w:r>
        <w:t xml:space="preserve"> which it is detached.  </w:t>
      </w:r>
    </w:p>
    <w:p w:rsidR="00E51D30" w:rsidRDefault="00E51D30" w:rsidP="00E51D30">
      <w:pPr>
        <w:pStyle w:val="Quote2"/>
      </w:pPr>
    </w:p>
    <w:p w:rsidR="00E51D30" w:rsidRDefault="00E51D30" w:rsidP="005A57BE">
      <w:pPr>
        <w:pStyle w:val="Quote1"/>
        <w:ind w:left="1440" w:hanging="703"/>
      </w:pPr>
      <w:r>
        <w:t>2.</w:t>
      </w:r>
      <w:r>
        <w:tab/>
      </w:r>
      <w:r w:rsidR="005A57BE">
        <w:t xml:space="preserve">A system as claimed in claim 1, comprising one or more </w:t>
      </w:r>
      <w:r w:rsidR="000D169D">
        <w:t>means</w:t>
      </w:r>
      <w:r w:rsidR="005A57BE">
        <w:t xml:space="preserve"> for storing the data produced and the indication of the orientation of the </w:t>
      </w:r>
      <w:r w:rsidR="00217BF0">
        <w:t xml:space="preserve">core sample.  </w:t>
      </w:r>
    </w:p>
    <w:p w:rsidR="00217BF0" w:rsidRDefault="00217BF0" w:rsidP="005A57BE">
      <w:pPr>
        <w:pStyle w:val="Quote1"/>
        <w:ind w:left="1440" w:hanging="703"/>
      </w:pPr>
    </w:p>
    <w:p w:rsidR="00217BF0" w:rsidRDefault="00217BF0" w:rsidP="005A57BE">
      <w:pPr>
        <w:pStyle w:val="Quote1"/>
        <w:ind w:left="1440" w:hanging="703"/>
      </w:pPr>
      <w:r>
        <w:t>3.</w:t>
      </w:r>
      <w:r>
        <w:tab/>
        <w:t xml:space="preserve">A system as claimed in claim 2, wherein the means for </w:t>
      </w:r>
      <w:r w:rsidR="000D169D">
        <w:t>storing</w:t>
      </w:r>
      <w:r>
        <w:t xml:space="preserve"> the data comprise memory, the system comprising interface means having first means for storing the data in the memory and second means for accessing the memory to produce the indication of the orientation of the core sample when detached when required.  </w:t>
      </w:r>
    </w:p>
    <w:p w:rsidR="00217BF0" w:rsidRDefault="00217BF0" w:rsidP="005A57BE">
      <w:pPr>
        <w:pStyle w:val="Quote1"/>
        <w:ind w:left="1440" w:hanging="703"/>
      </w:pPr>
    </w:p>
    <w:p w:rsidR="00217BF0" w:rsidRDefault="00217BF0" w:rsidP="005A57BE">
      <w:pPr>
        <w:pStyle w:val="Quote1"/>
        <w:ind w:left="1440" w:hanging="703"/>
      </w:pPr>
      <w:r>
        <w:t>4.</w:t>
      </w:r>
      <w:r>
        <w:tab/>
        <w:t xml:space="preserve">A system as claimed in claim 1 or 2, wherein the means to storing the data comprises memory, the system comprising a timer for determining predetermined time intervals relative to a reference time, and means for storing the data in the memory upon each of </w:t>
      </w:r>
      <w:r w:rsidR="000D169D">
        <w:t>the</w:t>
      </w:r>
      <w:r>
        <w:t xml:space="preserve"> predetermined time intervals terminating.</w:t>
      </w:r>
    </w:p>
    <w:p w:rsidR="00217BF0" w:rsidRDefault="00217BF0" w:rsidP="005A57BE">
      <w:pPr>
        <w:pStyle w:val="Quote1"/>
        <w:ind w:left="1440" w:hanging="703"/>
      </w:pPr>
    </w:p>
    <w:p w:rsidR="00217BF0" w:rsidRDefault="00217BF0" w:rsidP="005A57BE">
      <w:pPr>
        <w:pStyle w:val="Quote1"/>
        <w:ind w:left="1440" w:hanging="703"/>
      </w:pPr>
      <w:r>
        <w:t>5.</w:t>
      </w:r>
      <w:r>
        <w:tab/>
        <w:t>A system as claimed in any one of the claims 1 to 4, wherein the physical orientation of the core sample comprises</w:t>
      </w:r>
      <w:r w:rsidR="00305775">
        <w:t>:</w:t>
      </w:r>
      <w:r>
        <w:t xml:space="preserve"> a rotational orientation about a longitudinal axis of the core sample; and/or an angular orientation of a longitudinal axis of the core sample above or below a horizontal plane.  </w:t>
      </w:r>
    </w:p>
    <w:p w:rsidR="00615B88" w:rsidRDefault="00EB5F04" w:rsidP="00154187">
      <w:pPr>
        <w:pStyle w:val="ParaNumbering"/>
      </w:pPr>
      <w:r>
        <w:t xml:space="preserve">The Method Patent is in very similar terms, with the attached diagrams being the same.  </w:t>
      </w:r>
      <w:r w:rsidR="0054631D">
        <w:t xml:space="preserve">Of course it relates to a method rather than a system.  </w:t>
      </w:r>
    </w:p>
    <w:p w:rsidR="00755BD2" w:rsidRDefault="009F746D" w:rsidP="00755BD2">
      <w:pPr>
        <w:pStyle w:val="Heading6"/>
      </w:pPr>
      <w:bookmarkStart w:id="26" w:name="_Ref410890366"/>
      <w:r>
        <w:t>Dates of g</w:t>
      </w:r>
      <w:r w:rsidR="00755BD2">
        <w:t>rant</w:t>
      </w:r>
      <w:bookmarkEnd w:id="26"/>
    </w:p>
    <w:p w:rsidR="00E82D58" w:rsidRDefault="00047D77" w:rsidP="00FA2F42">
      <w:pPr>
        <w:pStyle w:val="ParaNumbering"/>
      </w:pPr>
      <w:r>
        <w:t xml:space="preserve">The </w:t>
      </w:r>
      <w:r w:rsidR="00305775">
        <w:t>System Patent and the Method Patent</w:t>
      </w:r>
      <w:r>
        <w:t xml:space="preserve"> </w:t>
      </w:r>
      <w:r w:rsidR="009C1AF0">
        <w:t xml:space="preserve">were </w:t>
      </w:r>
      <w:r>
        <w:t>gra</w:t>
      </w:r>
      <w:r w:rsidR="00A6587D">
        <w:t>nted on 16 December 2010 and 15 </w:t>
      </w:r>
      <w:r>
        <w:t xml:space="preserve">September 2011 respectively.  The date of each Patent, however, is earlier because they were granted on </w:t>
      </w:r>
      <w:r w:rsidR="00A6587D">
        <w:t>d</w:t>
      </w:r>
      <w:r>
        <w:t xml:space="preserve">ivisional </w:t>
      </w:r>
      <w:r w:rsidR="00A6587D">
        <w:t>a</w:t>
      </w:r>
      <w:r>
        <w:t xml:space="preserve">pplications filed pursuant to s 79B of </w:t>
      </w:r>
      <w:r w:rsidR="007D7FA4">
        <w:t>the Act</w:t>
      </w:r>
      <w:r>
        <w:t xml:space="preserve"> and are associated with a series of earlier patent applications.  </w:t>
      </w:r>
    </w:p>
    <w:p w:rsidR="00E82D58" w:rsidRDefault="00E82D58" w:rsidP="00E82D58">
      <w:pPr>
        <w:pStyle w:val="ParaNumbering"/>
      </w:pPr>
      <w:r>
        <w:lastRenderedPageBreak/>
        <w:t xml:space="preserve">The Patents are a </w:t>
      </w:r>
      <w:r w:rsidR="00A6587D">
        <w:t>d</w:t>
      </w:r>
      <w:r>
        <w:t xml:space="preserve">ivisional of </w:t>
      </w:r>
      <w:r w:rsidR="00A6587D">
        <w:t>s</w:t>
      </w:r>
      <w:r>
        <w:t xml:space="preserve">tandard </w:t>
      </w:r>
      <w:r w:rsidR="00A6587D">
        <w:t>p</w:t>
      </w:r>
      <w:r>
        <w:t xml:space="preserve">atent </w:t>
      </w:r>
      <w:r w:rsidR="00A6587D">
        <w:t>a</w:t>
      </w:r>
      <w:r>
        <w:t xml:space="preserve">pplication </w:t>
      </w:r>
      <w:r w:rsidR="00A6587D">
        <w:t>n</w:t>
      </w:r>
      <w:r>
        <w:t xml:space="preserve">o 2010200162, filed on 15 January 2010, which, in turn, is a </w:t>
      </w:r>
      <w:r w:rsidR="00A6587D">
        <w:t>d</w:t>
      </w:r>
      <w:r>
        <w:t xml:space="preserve">ivisional of </w:t>
      </w:r>
      <w:r w:rsidR="00A6587D">
        <w:t>s</w:t>
      </w:r>
      <w:r>
        <w:t xml:space="preserve">tandard </w:t>
      </w:r>
      <w:r w:rsidR="00A6587D">
        <w:t>p</w:t>
      </w:r>
      <w:r>
        <w:t xml:space="preserve">atent </w:t>
      </w:r>
      <w:r w:rsidR="00A6587D">
        <w:t>a</w:t>
      </w:r>
      <w:r>
        <w:t xml:space="preserve">pplication </w:t>
      </w:r>
      <w:r w:rsidR="00A6587D">
        <w:t>n</w:t>
      </w:r>
      <w:r>
        <w:t>o 2005256104 filed on 5 September 2005 (</w:t>
      </w:r>
      <w:r w:rsidRPr="00E82D58">
        <w:rPr>
          <w:b/>
        </w:rPr>
        <w:t>Complete Application</w:t>
      </w:r>
      <w:r>
        <w:t xml:space="preserve">).  Each claims priority from the </w:t>
      </w:r>
      <w:r w:rsidRPr="00F276D5">
        <w:rPr>
          <w:b/>
        </w:rPr>
        <w:t xml:space="preserve">Provisional </w:t>
      </w:r>
      <w:r w:rsidR="00A6587D">
        <w:t xml:space="preserve">Patent </w:t>
      </w:r>
      <w:r w:rsidRPr="00A6587D">
        <w:rPr>
          <w:b/>
        </w:rPr>
        <w:t>Application</w:t>
      </w:r>
      <w:r>
        <w:t xml:space="preserve"> </w:t>
      </w:r>
      <w:r w:rsidR="00FA2F42">
        <w:t>n</w:t>
      </w:r>
      <w:r>
        <w:t xml:space="preserve">o 2004905021 filed on 3 September 2004.  </w:t>
      </w:r>
      <w:r w:rsidR="009105FB">
        <w:t>This is a key date in Coretell</w:t>
      </w:r>
      <w:r w:rsidR="00A6587D">
        <w:t>’s</w:t>
      </w:r>
      <w:r w:rsidR="009105FB">
        <w:t xml:space="preserve"> invalidity</w:t>
      </w:r>
      <w:r w:rsidR="00A6587D">
        <w:t xml:space="preserve"> case</w:t>
      </w:r>
      <w:r w:rsidR="009105FB">
        <w:t xml:space="preserve">.  </w:t>
      </w:r>
    </w:p>
    <w:p w:rsidR="00426F85" w:rsidRDefault="00E82D58" w:rsidP="00E82D58">
      <w:pPr>
        <w:pStyle w:val="ParaNumbering"/>
      </w:pPr>
      <w:r>
        <w:t xml:space="preserve">As a result, although the System Patent and the Method Patent were applied for and granted in 2010 and 2011, </w:t>
      </w:r>
      <w:r w:rsidRPr="00E82D58">
        <w:rPr>
          <w:i/>
        </w:rPr>
        <w:t>prima facie</w:t>
      </w:r>
      <w:r>
        <w:t xml:space="preserve">, the date of </w:t>
      </w:r>
      <w:r w:rsidR="00FC7797">
        <w:t>the</w:t>
      </w:r>
      <w:r>
        <w:t xml:space="preserve"> Patent</w:t>
      </w:r>
      <w:r w:rsidR="00FC7797">
        <w:t>s</w:t>
      </w:r>
      <w:r>
        <w:t xml:space="preserve"> is 5 September 2005, as this was the date of the filing of the Complete Application.  </w:t>
      </w:r>
    </w:p>
    <w:p w:rsidR="009C1AF0" w:rsidRDefault="00B13A88" w:rsidP="00BE68F8">
      <w:pPr>
        <w:pStyle w:val="ParaNumbering"/>
      </w:pPr>
      <w:r>
        <w:t>Thus, t</w:t>
      </w:r>
      <w:r w:rsidR="007534CC">
        <w:t xml:space="preserve">he eight year term of </w:t>
      </w:r>
      <w:r w:rsidR="00FC7797">
        <w:t xml:space="preserve">the </w:t>
      </w:r>
      <w:r w:rsidR="007534CC">
        <w:t>Patent</w:t>
      </w:r>
      <w:r w:rsidR="00FC7797">
        <w:t>s</w:t>
      </w:r>
      <w:r w:rsidR="007534CC">
        <w:t xml:space="preserve"> under s 68 of </w:t>
      </w:r>
      <w:r w:rsidR="007D7FA4">
        <w:t>the Act</w:t>
      </w:r>
      <w:r w:rsidR="007534CC">
        <w:t xml:space="preserve"> commenced on 5 September 200</w:t>
      </w:r>
      <w:r w:rsidR="00F276D5">
        <w:t>5</w:t>
      </w:r>
      <w:r w:rsidR="007534CC">
        <w:t xml:space="preserve"> and ended on 5 September 2013.  As a result, the Patents had expired at the time of trial.  Although the Patents have expired, </w:t>
      </w:r>
      <w:r w:rsidR="00FC7797">
        <w:t>the applicants seek</w:t>
      </w:r>
      <w:r w:rsidR="007534CC">
        <w:t xml:space="preserve"> relief in respect of infringements that </w:t>
      </w:r>
      <w:r>
        <w:t xml:space="preserve">allegedly </w:t>
      </w:r>
      <w:r w:rsidR="007534CC">
        <w:t xml:space="preserve">occurred up to and including 5 September 2013.  </w:t>
      </w:r>
    </w:p>
    <w:p w:rsidR="00D97C74" w:rsidRDefault="00D97C74" w:rsidP="00D97C74">
      <w:pPr>
        <w:pStyle w:val="ParaNumbering"/>
      </w:pPr>
      <w:r>
        <w:t>In summary then, the System Patent was:</w:t>
      </w:r>
    </w:p>
    <w:p w:rsidR="00D97C74" w:rsidRDefault="00D97C74" w:rsidP="00D97C74">
      <w:pPr>
        <w:pStyle w:val="ListNo"/>
        <w:numPr>
          <w:ilvl w:val="0"/>
          <w:numId w:val="19"/>
        </w:numPr>
        <w:tabs>
          <w:tab w:val="clear" w:pos="720"/>
        </w:tabs>
      </w:pPr>
      <w:r>
        <w:t>granted on 16 December 2010;</w:t>
      </w:r>
    </w:p>
    <w:p w:rsidR="00D97C74" w:rsidRDefault="00D97C74" w:rsidP="00D97C74">
      <w:pPr>
        <w:pStyle w:val="ListNo"/>
        <w:numPr>
          <w:ilvl w:val="0"/>
          <w:numId w:val="19"/>
        </w:numPr>
        <w:tabs>
          <w:tab w:val="clear" w:pos="720"/>
        </w:tabs>
      </w:pPr>
      <w:r>
        <w:t>certified on 5 September 2011; and</w:t>
      </w:r>
    </w:p>
    <w:p w:rsidR="00D97C74" w:rsidRDefault="00D97C74" w:rsidP="00D97C74">
      <w:pPr>
        <w:pStyle w:val="ListNo"/>
        <w:numPr>
          <w:ilvl w:val="0"/>
          <w:numId w:val="19"/>
        </w:numPr>
        <w:tabs>
          <w:tab w:val="clear" w:pos="720"/>
        </w:tabs>
      </w:pPr>
      <w:r>
        <w:t xml:space="preserve">claims priority from the </w:t>
      </w:r>
      <w:r w:rsidRPr="00EB4F21">
        <w:t xml:space="preserve">Provisional </w:t>
      </w:r>
      <w:r w:rsidR="00FC7797">
        <w:t xml:space="preserve">Application </w:t>
      </w:r>
      <w:r>
        <w:t>filed on 3 September 2004.</w:t>
      </w:r>
    </w:p>
    <w:p w:rsidR="00D97C74" w:rsidRDefault="00D97C74" w:rsidP="00D97C74">
      <w:pPr>
        <w:pStyle w:val="ParaNumbering"/>
      </w:pPr>
      <w:r>
        <w:t>The Method Patent was;</w:t>
      </w:r>
    </w:p>
    <w:p w:rsidR="00D97C74" w:rsidRDefault="00D97C74" w:rsidP="00D97C74">
      <w:pPr>
        <w:pStyle w:val="ListNo"/>
        <w:numPr>
          <w:ilvl w:val="0"/>
          <w:numId w:val="20"/>
        </w:numPr>
        <w:tabs>
          <w:tab w:val="clear" w:pos="720"/>
        </w:tabs>
      </w:pPr>
      <w:r>
        <w:t>granted on 15 September 2011;</w:t>
      </w:r>
    </w:p>
    <w:p w:rsidR="00D97C74" w:rsidRDefault="00D97C74" w:rsidP="00D97C74">
      <w:pPr>
        <w:pStyle w:val="ListNo"/>
        <w:numPr>
          <w:ilvl w:val="0"/>
          <w:numId w:val="20"/>
        </w:numPr>
        <w:tabs>
          <w:tab w:val="clear" w:pos="720"/>
        </w:tabs>
      </w:pPr>
      <w:r>
        <w:t xml:space="preserve">certified on 1 November 2011; and </w:t>
      </w:r>
    </w:p>
    <w:p w:rsidR="00D97C74" w:rsidRDefault="00D97C74" w:rsidP="00D97C74">
      <w:pPr>
        <w:pStyle w:val="ListNo"/>
        <w:numPr>
          <w:ilvl w:val="0"/>
          <w:numId w:val="20"/>
        </w:numPr>
        <w:tabs>
          <w:tab w:val="clear" w:pos="720"/>
        </w:tabs>
      </w:pPr>
      <w:r>
        <w:t>claims priority from the Provisional Application filed on 3 September 2004.</w:t>
      </w:r>
    </w:p>
    <w:p w:rsidR="00F0181B" w:rsidRDefault="00F0181B" w:rsidP="006E38B0">
      <w:pPr>
        <w:pStyle w:val="ParaNumbering"/>
      </w:pPr>
      <w:r>
        <w:t xml:space="preserve">The priority date claimed under the Patents is 3 September 2004, being the date of filing of the Provisional Application.  </w:t>
      </w:r>
      <w:r w:rsidR="00993001">
        <w:t xml:space="preserve">Although </w:t>
      </w:r>
      <w:r>
        <w:t xml:space="preserve">this is not relevant to </w:t>
      </w:r>
      <w:r w:rsidR="00FC7797">
        <w:t xml:space="preserve">the applicants’ </w:t>
      </w:r>
      <w:r>
        <w:t xml:space="preserve">infringement contentions, it goes to the question </w:t>
      </w:r>
      <w:r w:rsidR="00FC7797">
        <w:t xml:space="preserve">as to </w:t>
      </w:r>
      <w:r>
        <w:t>the validity of the Patents</w:t>
      </w:r>
      <w:r w:rsidR="00FC7797">
        <w:t xml:space="preserve"> raised by Coretell</w:t>
      </w:r>
      <w:r>
        <w:t xml:space="preserve">, which will be discussed below.  </w:t>
      </w:r>
    </w:p>
    <w:p w:rsidR="00CD2D69" w:rsidRDefault="00B11738" w:rsidP="00CD2D69">
      <w:pPr>
        <w:pStyle w:val="Heading5"/>
      </w:pPr>
      <w:bookmarkStart w:id="27" w:name="_Ref403035668"/>
      <w:r>
        <w:t xml:space="preserve">KEY </w:t>
      </w:r>
      <w:r w:rsidR="00CD2D69">
        <w:t>FACTS</w:t>
      </w:r>
      <w:bookmarkEnd w:id="27"/>
    </w:p>
    <w:p w:rsidR="00CD2D69" w:rsidRDefault="0000653E" w:rsidP="00CD2D69">
      <w:pPr>
        <w:pStyle w:val="ParaNumbering"/>
      </w:pPr>
      <w:r>
        <w:t>As noted, e</w:t>
      </w:r>
      <w:r w:rsidR="006517B0">
        <w:t xml:space="preserve">ach of AMC and Reflex are </w:t>
      </w:r>
      <w:r w:rsidR="00FC7797">
        <w:t xml:space="preserve">wholly owned </w:t>
      </w:r>
      <w:r w:rsidR="006517B0">
        <w:t>subsidiaries of Imdex</w:t>
      </w:r>
      <w:r>
        <w:t xml:space="preserve">.  They were </w:t>
      </w:r>
      <w:r w:rsidR="006517B0">
        <w:t xml:space="preserve">incorporated in 1987 and 2007 respectively.  While AMC is the registered owner of the Patents, Reflex, which supplies digital surveying core orientation equipment to the mineral exploration </w:t>
      </w:r>
      <w:r w:rsidR="00FC7797">
        <w:t xml:space="preserve">drilling </w:t>
      </w:r>
      <w:r w:rsidR="006517B0">
        <w:t xml:space="preserve">industry, is the exclusive licensee of the Patents.  </w:t>
      </w:r>
    </w:p>
    <w:p w:rsidR="00FA2F42" w:rsidRDefault="00AF2789" w:rsidP="00CD2D69">
      <w:pPr>
        <w:pStyle w:val="ParaNumbering"/>
      </w:pPr>
      <w:r>
        <w:lastRenderedPageBreak/>
        <w:t xml:space="preserve">Coretell </w:t>
      </w:r>
      <w:r w:rsidR="003C04AC">
        <w:t xml:space="preserve">was </w:t>
      </w:r>
      <w:r>
        <w:t>incorporated in 2006</w:t>
      </w:r>
      <w:r w:rsidR="003C04AC">
        <w:t xml:space="preserve">. </w:t>
      </w:r>
      <w:r>
        <w:t xml:space="preserve"> </w:t>
      </w:r>
      <w:r w:rsidR="003C04AC">
        <w:t xml:space="preserve">It is </w:t>
      </w:r>
      <w:r>
        <w:t>associated</w:t>
      </w:r>
      <w:r w:rsidR="00FC7797">
        <w:t>,</w:t>
      </w:r>
      <w:r>
        <w:t xml:space="preserve"> within the meaning of s 50AAA of the </w:t>
      </w:r>
      <w:r>
        <w:rPr>
          <w:i/>
        </w:rPr>
        <w:t xml:space="preserve">Corporations Act 2001 </w:t>
      </w:r>
      <w:r>
        <w:t xml:space="preserve">(Cth) </w:t>
      </w:r>
      <w:r w:rsidR="00B545A0">
        <w:t>(</w:t>
      </w:r>
      <w:r w:rsidR="00B545A0" w:rsidRPr="00B545A0">
        <w:rPr>
          <w:b/>
        </w:rPr>
        <w:t>CA</w:t>
      </w:r>
      <w:r w:rsidR="00B545A0">
        <w:t>)</w:t>
      </w:r>
      <w:r w:rsidR="00FC7797">
        <w:t>,</w:t>
      </w:r>
      <w:r w:rsidR="00B545A0">
        <w:t xml:space="preserve"> </w:t>
      </w:r>
      <w:r>
        <w:t xml:space="preserve">with Mincrest, which </w:t>
      </w:r>
      <w:r w:rsidR="004B4B39">
        <w:t>trades as Camteq Instruments.  Coretell</w:t>
      </w:r>
      <w:r w:rsidR="00FC7797">
        <w:t>’s</w:t>
      </w:r>
      <w:r w:rsidR="004B4B39">
        <w:t xml:space="preserve"> </w:t>
      </w:r>
      <w:r w:rsidR="00FC7797">
        <w:t xml:space="preserve">business address is </w:t>
      </w:r>
      <w:r w:rsidR="004B4B39">
        <w:t>at 6 Davison Street, Maddington, Western Australia (</w:t>
      </w:r>
      <w:r w:rsidR="00993001">
        <w:rPr>
          <w:b/>
        </w:rPr>
        <w:t>Madd</w:t>
      </w:r>
      <w:r w:rsidR="004B4B39" w:rsidRPr="004B4B39">
        <w:rPr>
          <w:b/>
        </w:rPr>
        <w:t>ington Warehouse</w:t>
      </w:r>
      <w:r w:rsidR="004B4B39">
        <w:t>)</w:t>
      </w:r>
      <w:r w:rsidR="00B545A0">
        <w:t xml:space="preserve">.  </w:t>
      </w:r>
    </w:p>
    <w:p w:rsidR="00FC7797" w:rsidRDefault="00B545A0" w:rsidP="00CD2D69">
      <w:pPr>
        <w:pStyle w:val="ParaNumbering"/>
      </w:pPr>
      <w:r>
        <w:t>Mincrest was incorporated in 1995 and is also associated, as is Coretell, with Kleyn Investments pursuant to s 50AAA CA</w:t>
      </w:r>
      <w:r w:rsidR="0000653E">
        <w:t xml:space="preserve">. </w:t>
      </w:r>
      <w:r>
        <w:t xml:space="preserve"> </w:t>
      </w:r>
      <w:r w:rsidR="00FC7797">
        <w:t xml:space="preserve">Mincrest </w:t>
      </w:r>
      <w:r>
        <w:t xml:space="preserve">is also the trustee of the Kleyn Family Trust ABN 39 593 588 385.  Mincrest ceased trading in approximately February 2010.  </w:t>
      </w:r>
    </w:p>
    <w:p w:rsidR="00FC7797" w:rsidRDefault="00B545A0" w:rsidP="00CD2D69">
      <w:pPr>
        <w:pStyle w:val="ParaNumbering"/>
      </w:pPr>
      <w:r>
        <w:t xml:space="preserve">Kleyn Investments was incorporated in 2006 and is the owner of the business name </w:t>
      </w:r>
      <w:r w:rsidR="00FC7797">
        <w:t>‘</w:t>
      </w:r>
      <w:r>
        <w:t>Camteq International Services</w:t>
      </w:r>
      <w:r w:rsidR="00FC7797">
        <w:t>’</w:t>
      </w:r>
      <w:r>
        <w:t xml:space="preserve"> and is the trustee of the Kleyn Investment Trust ABN 71 981 737 047.  The business </w:t>
      </w:r>
      <w:r w:rsidR="001A62AC">
        <w:t xml:space="preserve">address </w:t>
      </w:r>
      <w:r w:rsidR="00FC7797">
        <w:t xml:space="preserve">of Kleyn Investments </w:t>
      </w:r>
      <w:r w:rsidR="001A62AC">
        <w:t xml:space="preserve">is the Maddington Warehouse.  </w:t>
      </w:r>
    </w:p>
    <w:p w:rsidR="00B545A0" w:rsidRDefault="001A62AC" w:rsidP="00CD2D69">
      <w:pPr>
        <w:pStyle w:val="ParaNumbering"/>
      </w:pPr>
      <w:r>
        <w:t xml:space="preserve">In respect of </w:t>
      </w:r>
      <w:r w:rsidR="00BA3692">
        <w:t>Coretell</w:t>
      </w:r>
      <w:r w:rsidR="00FC7797">
        <w:t>, Mincrest</w:t>
      </w:r>
      <w:r w:rsidR="00BA3692">
        <w:t xml:space="preserve"> and Kleyn Investments</w:t>
      </w:r>
      <w:r>
        <w:t>, the third respondent, Mr</w:t>
      </w:r>
      <w:r w:rsidR="00517414">
        <w:t xml:space="preserve"> Kleyn, is realistically the controlling mind and will in that he is:</w:t>
      </w:r>
    </w:p>
    <w:p w:rsidR="00517414" w:rsidRDefault="00FC7797" w:rsidP="000755A6">
      <w:pPr>
        <w:pStyle w:val="ListNo"/>
        <w:numPr>
          <w:ilvl w:val="0"/>
          <w:numId w:val="18"/>
        </w:numPr>
        <w:tabs>
          <w:tab w:val="clear" w:pos="720"/>
        </w:tabs>
      </w:pPr>
      <w:r>
        <w:t>t</w:t>
      </w:r>
      <w:r w:rsidR="00517414">
        <w:t>he sole shareholder in</w:t>
      </w:r>
      <w:r>
        <w:t>,</w:t>
      </w:r>
      <w:r w:rsidR="00517414">
        <w:t xml:space="preserve"> and director and company secretary of</w:t>
      </w:r>
      <w:r>
        <w:t>,</w:t>
      </w:r>
      <w:r w:rsidR="00517414">
        <w:t xml:space="preserve"> Coretell;</w:t>
      </w:r>
    </w:p>
    <w:p w:rsidR="00517414" w:rsidRDefault="00FC7797" w:rsidP="000755A6">
      <w:pPr>
        <w:pStyle w:val="ListNo"/>
        <w:numPr>
          <w:ilvl w:val="0"/>
          <w:numId w:val="18"/>
        </w:numPr>
        <w:tabs>
          <w:tab w:val="clear" w:pos="720"/>
        </w:tabs>
      </w:pPr>
      <w:r>
        <w:t>o</w:t>
      </w:r>
      <w:r w:rsidR="00517414">
        <w:t>ne of two shareholders in</w:t>
      </w:r>
      <w:r>
        <w:t>,</w:t>
      </w:r>
      <w:r w:rsidR="00517414">
        <w:t xml:space="preserve"> and directors of</w:t>
      </w:r>
      <w:r>
        <w:t>,</w:t>
      </w:r>
      <w:r w:rsidR="00517414">
        <w:t xml:space="preserve"> Mincrest</w:t>
      </w:r>
      <w:r w:rsidR="00337C85">
        <w:t xml:space="preserve"> (</w:t>
      </w:r>
      <w:r w:rsidR="00517414">
        <w:t>the other b</w:t>
      </w:r>
      <w:r w:rsidR="003C04AC">
        <w:t>eing his wife</w:t>
      </w:r>
      <w:r w:rsidR="00337C85">
        <w:t xml:space="preserve"> </w:t>
      </w:r>
      <w:r w:rsidR="00647701">
        <w:t xml:space="preserve">who </w:t>
      </w:r>
      <w:r w:rsidR="008B261E">
        <w:t>did</w:t>
      </w:r>
      <w:r w:rsidR="00647701">
        <w:t xml:space="preserve"> not give evidence)</w:t>
      </w:r>
      <w:r w:rsidR="003C04AC">
        <w:t xml:space="preserve">; </w:t>
      </w:r>
      <w:r w:rsidR="00F42C81">
        <w:t>and</w:t>
      </w:r>
    </w:p>
    <w:p w:rsidR="00517414" w:rsidRDefault="00525323" w:rsidP="000755A6">
      <w:pPr>
        <w:pStyle w:val="ListNo"/>
        <w:numPr>
          <w:ilvl w:val="0"/>
          <w:numId w:val="18"/>
        </w:numPr>
        <w:tabs>
          <w:tab w:val="clear" w:pos="720"/>
        </w:tabs>
      </w:pPr>
      <w:r>
        <w:t>t</w:t>
      </w:r>
      <w:r w:rsidR="00517414">
        <w:t xml:space="preserve">he sole </w:t>
      </w:r>
      <w:r w:rsidR="00337C85">
        <w:t>shareholder in,</w:t>
      </w:r>
      <w:r w:rsidR="00517414">
        <w:t xml:space="preserve"> and director and company</w:t>
      </w:r>
      <w:r w:rsidR="003C04AC">
        <w:t xml:space="preserve"> sec</w:t>
      </w:r>
      <w:r w:rsidR="00F42C81">
        <w:t>retary of</w:t>
      </w:r>
      <w:r>
        <w:t>,</w:t>
      </w:r>
      <w:r w:rsidR="00F42C81">
        <w:t xml:space="preserve"> Kleyn Investments</w:t>
      </w:r>
      <w:r>
        <w:t>.</w:t>
      </w:r>
    </w:p>
    <w:p w:rsidR="00635678" w:rsidRDefault="00337C85" w:rsidP="00384631">
      <w:pPr>
        <w:pStyle w:val="ParaNumbering"/>
      </w:pPr>
      <w:r>
        <w:t>As noted, t</w:t>
      </w:r>
      <w:r w:rsidR="00EB4F21">
        <w:t xml:space="preserve">he equipment under consideration in this proceeding involves core orientation tools, </w:t>
      </w:r>
      <w:r w:rsidR="00FF31E4">
        <w:t>which</w:t>
      </w:r>
      <w:r w:rsidR="00EB4F21">
        <w:t xml:space="preserve"> indicate the orientation of core samples, and </w:t>
      </w:r>
      <w:r w:rsidR="00525323">
        <w:t xml:space="preserve">also </w:t>
      </w:r>
      <w:r w:rsidR="00EB4F21">
        <w:t xml:space="preserve">in survey instruments which </w:t>
      </w:r>
      <w:r w:rsidR="00525323">
        <w:t xml:space="preserve">determine </w:t>
      </w:r>
      <w:r w:rsidR="00EB4F21">
        <w:t>the geo-spatial properties of down-hole environments.  These pieces of equipment are complementary products</w:t>
      </w:r>
      <w:r w:rsidR="00525323">
        <w:t>.  T</w:t>
      </w:r>
      <w:r w:rsidR="00EB4F21">
        <w:t xml:space="preserve">ypically drilling rig operators require the supply of both before commencing drilling and mineral exploration activities.  </w:t>
      </w:r>
    </w:p>
    <w:p w:rsidR="00EB4F21" w:rsidRDefault="00A72C71" w:rsidP="00384631">
      <w:pPr>
        <w:pStyle w:val="ParaNumbering"/>
      </w:pPr>
      <w:r>
        <w:t>The applicants’ core orientation tool</w:t>
      </w:r>
      <w:r w:rsidR="00F42C81">
        <w:t xml:space="preserve">, </w:t>
      </w:r>
      <w:r>
        <w:t xml:space="preserve">the </w:t>
      </w:r>
      <w:r w:rsidRPr="00525323">
        <w:t>A</w:t>
      </w:r>
      <w:r w:rsidR="002F4D1A" w:rsidRPr="00525323">
        <w:t>CT</w:t>
      </w:r>
      <w:r w:rsidR="00525323">
        <w:t xml:space="preserve"> Tool</w:t>
      </w:r>
      <w:r w:rsidR="00F42C81">
        <w:t xml:space="preserve">, </w:t>
      </w:r>
      <w:r w:rsidR="002F4D1A">
        <w:t>was</w:t>
      </w:r>
      <w:r w:rsidR="00525323">
        <w:t>,</w:t>
      </w:r>
      <w:r w:rsidR="002F4D1A">
        <w:t xml:space="preserve"> from the date of its release on the Australian market until mid-2007</w:t>
      </w:r>
      <w:r w:rsidR="00525323">
        <w:t>,</w:t>
      </w:r>
      <w:r w:rsidR="002F4D1A">
        <w:t xml:space="preserve"> marketed by Ace Drilling Supplies, a business division of Imdex.  Imdex acquired Reflex’s parent company on 1 August 2006 and merged Ace Drilling</w:t>
      </w:r>
      <w:r w:rsidR="00525323">
        <w:t>’s</w:t>
      </w:r>
      <w:r w:rsidR="002F4D1A">
        <w:t xml:space="preserve"> </w:t>
      </w:r>
      <w:r w:rsidR="00525323">
        <w:t xml:space="preserve">business </w:t>
      </w:r>
      <w:r w:rsidR="002F4D1A">
        <w:t>into Reflex in July 2007.</w:t>
      </w:r>
    </w:p>
    <w:p w:rsidR="002F4D1A" w:rsidRDefault="00DC10EB" w:rsidP="00384631">
      <w:pPr>
        <w:pStyle w:val="ParaNumbering"/>
      </w:pPr>
      <w:r>
        <w:t>There are two relevant models of Coretell equipment, the first being the Coretell Orientation Tool (</w:t>
      </w:r>
      <w:r w:rsidR="00337C85" w:rsidRPr="00337C85">
        <w:rPr>
          <w:b/>
        </w:rPr>
        <w:t>F</w:t>
      </w:r>
      <w:r w:rsidR="00525323" w:rsidRPr="00525323">
        <w:rPr>
          <w:b/>
        </w:rPr>
        <w:t>ir</w:t>
      </w:r>
      <w:r w:rsidRPr="00551DB9">
        <w:rPr>
          <w:b/>
        </w:rPr>
        <w:t xml:space="preserve">st </w:t>
      </w:r>
      <w:r w:rsidR="00337C85">
        <w:rPr>
          <w:b/>
        </w:rPr>
        <w:t>T</w:t>
      </w:r>
      <w:r w:rsidRPr="00551DB9">
        <w:rPr>
          <w:b/>
        </w:rPr>
        <w:t>ool</w:t>
      </w:r>
      <w:r>
        <w:t>) as described i</w:t>
      </w:r>
      <w:r w:rsidR="00525323">
        <w:t>n the document entitled ‘Camteq-</w:t>
      </w:r>
      <w:r>
        <w:t xml:space="preserve">Orientation Tool </w:t>
      </w:r>
      <w:r w:rsidR="00525323">
        <w:t>q</w:t>
      </w:r>
      <w:r>
        <w:t xml:space="preserve">uick </w:t>
      </w:r>
      <w:r w:rsidR="00525323">
        <w:t>u</w:t>
      </w:r>
      <w:r>
        <w:t xml:space="preserve">ser </w:t>
      </w:r>
      <w:r w:rsidR="00525323">
        <w:t>g</w:t>
      </w:r>
      <w:r>
        <w:t>uide</w:t>
      </w:r>
      <w:r w:rsidR="00337C85">
        <w:t>’</w:t>
      </w:r>
      <w:r>
        <w:t xml:space="preserve"> (</w:t>
      </w:r>
      <w:r w:rsidRPr="00551DB9">
        <w:rPr>
          <w:b/>
        </w:rPr>
        <w:t xml:space="preserve">Camteq </w:t>
      </w:r>
      <w:r w:rsidR="0011776B">
        <w:rPr>
          <w:b/>
        </w:rPr>
        <w:t>U</w:t>
      </w:r>
      <w:r w:rsidRPr="00551DB9">
        <w:rPr>
          <w:b/>
        </w:rPr>
        <w:t xml:space="preserve">ser </w:t>
      </w:r>
      <w:r w:rsidR="0011776B">
        <w:rPr>
          <w:b/>
        </w:rPr>
        <w:t>M</w:t>
      </w:r>
      <w:r w:rsidRPr="00551DB9">
        <w:rPr>
          <w:b/>
        </w:rPr>
        <w:t>anual</w:t>
      </w:r>
      <w:r>
        <w:t xml:space="preserve">); and secondly, the core orientation tool known as the </w:t>
      </w:r>
      <w:r w:rsidR="00525323">
        <w:t>‘</w:t>
      </w:r>
      <w:r>
        <w:t>ORIshot</w:t>
      </w:r>
      <w:r w:rsidR="00525323">
        <w:t>’</w:t>
      </w:r>
      <w:r>
        <w:t xml:space="preserve"> referred to above.  </w:t>
      </w:r>
      <w:r w:rsidR="00551DB9">
        <w:t xml:space="preserve">This </w:t>
      </w:r>
      <w:r w:rsidR="006C100E">
        <w:t xml:space="preserve">is </w:t>
      </w:r>
      <w:r w:rsidR="00551DB9">
        <w:t xml:space="preserve">described in the documents entitled ‘ORIshot Tool – </w:t>
      </w:r>
      <w:r w:rsidR="00525323">
        <w:t>q</w:t>
      </w:r>
      <w:r w:rsidR="00551DB9">
        <w:t xml:space="preserve">uick </w:t>
      </w:r>
      <w:r w:rsidR="00525323">
        <w:t>u</w:t>
      </w:r>
      <w:r w:rsidR="00551DB9">
        <w:t xml:space="preserve">ser </w:t>
      </w:r>
      <w:r w:rsidR="00525323">
        <w:t>g</w:t>
      </w:r>
      <w:r w:rsidR="00551DB9">
        <w:t xml:space="preserve">uide’ and ‘ORIshot </w:t>
      </w:r>
      <w:r w:rsidR="00525323">
        <w:t>m</w:t>
      </w:r>
      <w:r w:rsidR="00551DB9">
        <w:t xml:space="preserve">ultifunction Orientation Instrument’ </w:t>
      </w:r>
      <w:r w:rsidR="00525323">
        <w:lastRenderedPageBreak/>
        <w:t xml:space="preserve">(together the </w:t>
      </w:r>
      <w:r w:rsidR="00525323" w:rsidRPr="00733343">
        <w:rPr>
          <w:b/>
        </w:rPr>
        <w:t xml:space="preserve">ORIshot </w:t>
      </w:r>
      <w:r w:rsidR="00337C85">
        <w:rPr>
          <w:b/>
        </w:rPr>
        <w:t>U</w:t>
      </w:r>
      <w:r w:rsidR="00525323" w:rsidRPr="00733343">
        <w:rPr>
          <w:b/>
        </w:rPr>
        <w:t xml:space="preserve">ser </w:t>
      </w:r>
      <w:r w:rsidR="00337C85">
        <w:rPr>
          <w:b/>
        </w:rPr>
        <w:t>M</w:t>
      </w:r>
      <w:r w:rsidR="00525323" w:rsidRPr="00733343">
        <w:rPr>
          <w:b/>
        </w:rPr>
        <w:t>anual</w:t>
      </w:r>
      <w:r w:rsidR="00525323" w:rsidRPr="00525323">
        <w:t>)</w:t>
      </w:r>
      <w:r w:rsidR="00525323">
        <w:t xml:space="preserve">.  </w:t>
      </w:r>
      <w:r w:rsidR="007162EF">
        <w:t xml:space="preserve">The </w:t>
      </w:r>
      <w:r w:rsidR="00FC24DD">
        <w:t>ORIshot Tool</w:t>
      </w:r>
      <w:r w:rsidR="00551DB9">
        <w:t xml:space="preserve"> is comprised of </w:t>
      </w:r>
      <w:r w:rsidR="00A518C1">
        <w:t xml:space="preserve">a </w:t>
      </w:r>
      <w:r w:rsidR="00525323">
        <w:t>p</w:t>
      </w:r>
      <w:r w:rsidR="00551DB9">
        <w:t xml:space="preserve">robe </w:t>
      </w:r>
      <w:r w:rsidR="00A518C1">
        <w:t>(</w:t>
      </w:r>
      <w:r w:rsidR="00525323">
        <w:t>p</w:t>
      </w:r>
      <w:r w:rsidR="00551DB9">
        <w:t xml:space="preserve">art </w:t>
      </w:r>
      <w:r w:rsidR="00525323">
        <w:t>n</w:t>
      </w:r>
      <w:r w:rsidR="00551DB9">
        <w:t>o CNPS100</w:t>
      </w:r>
      <w:r w:rsidR="00A518C1">
        <w:t>)</w:t>
      </w:r>
      <w:r w:rsidR="00525323">
        <w:t>,</w:t>
      </w:r>
      <w:r w:rsidR="00551DB9">
        <w:t xml:space="preserve"> and </w:t>
      </w:r>
      <w:r w:rsidR="00A518C1">
        <w:t xml:space="preserve">a </w:t>
      </w:r>
      <w:r w:rsidR="00525323">
        <w:t>h</w:t>
      </w:r>
      <w:r w:rsidR="00551DB9">
        <w:t xml:space="preserve">andset </w:t>
      </w:r>
      <w:r w:rsidR="00A518C1">
        <w:t>(</w:t>
      </w:r>
      <w:r w:rsidR="00525323">
        <w:t>p</w:t>
      </w:r>
      <w:r w:rsidR="00551DB9">
        <w:t xml:space="preserve">art </w:t>
      </w:r>
      <w:r w:rsidR="00337C85">
        <w:t>n</w:t>
      </w:r>
      <w:r w:rsidR="00551DB9">
        <w:t>o CNH</w:t>
      </w:r>
      <w:r w:rsidR="00525323">
        <w:t> </w:t>
      </w:r>
      <w:r w:rsidR="00551DB9">
        <w:t>100</w:t>
      </w:r>
      <w:r w:rsidR="00A518C1">
        <w:t>)</w:t>
      </w:r>
      <w:r w:rsidR="00551DB9">
        <w:t xml:space="preserve">.  Coretell updated, amongst other things, the </w:t>
      </w:r>
      <w:r w:rsidR="008D4EC0">
        <w:t>O</w:t>
      </w:r>
      <w:r w:rsidR="00337C85">
        <w:t>RIshot T</w:t>
      </w:r>
      <w:r w:rsidR="008D4EC0">
        <w:t>ools</w:t>
      </w:r>
      <w:r w:rsidR="00337C85">
        <w:t>’</w:t>
      </w:r>
      <w:r w:rsidR="00551DB9">
        <w:t xml:space="preserve"> handset design and wireless communication means in about May 2012.  </w:t>
      </w:r>
    </w:p>
    <w:p w:rsidR="00373EF4" w:rsidRDefault="00373EF4" w:rsidP="00384631">
      <w:pPr>
        <w:pStyle w:val="ParaNumbering"/>
      </w:pPr>
      <w:r>
        <w:t>Mincrest manufactured, or caused to be manufactured, the First Tool between 5 September 2005 and November 2006</w:t>
      </w:r>
      <w:r w:rsidR="00CD2687">
        <w:t>,</w:t>
      </w:r>
      <w:r>
        <w:t xml:space="preserve"> a</w:t>
      </w:r>
      <w:r w:rsidR="006C100E">
        <w:t>nd kept stock</w:t>
      </w:r>
      <w:r w:rsidR="00337C85">
        <w:t>s</w:t>
      </w:r>
      <w:r w:rsidR="006C100E">
        <w:t xml:space="preserve"> of the First Tool</w:t>
      </w:r>
      <w:r>
        <w:t xml:space="preserve"> at Lot 4 </w:t>
      </w:r>
      <w:r w:rsidR="00244C17">
        <w:t>Reservoir</w:t>
      </w:r>
      <w:r>
        <w:t xml:space="preserve"> Road, Orange Grove, Western Australia (</w:t>
      </w:r>
      <w:r w:rsidRPr="00B634FF">
        <w:rPr>
          <w:b/>
        </w:rPr>
        <w:t>Orange Grove Premises</w:t>
      </w:r>
      <w:r>
        <w:t xml:space="preserve">).  Mincrest </w:t>
      </w:r>
      <w:r w:rsidR="00CD2687">
        <w:t xml:space="preserve">supplied </w:t>
      </w:r>
      <w:r>
        <w:t xml:space="preserve">six of the First Tool to </w:t>
      </w:r>
      <w:r w:rsidR="00B30427">
        <w:t>M</w:t>
      </w:r>
      <w:r>
        <w:t>TL Philippines on 31 October 2006.  In or about July 2007, all dealings in relation to the First Tool ceased.</w:t>
      </w:r>
    </w:p>
    <w:p w:rsidR="00373EF4" w:rsidRDefault="00373EF4" w:rsidP="00384631">
      <w:pPr>
        <w:pStyle w:val="ParaNumbering"/>
      </w:pPr>
      <w:r>
        <w:t>Since January 2009, Coretell has made and thereaf</w:t>
      </w:r>
      <w:r w:rsidR="00B634FF">
        <w:t xml:space="preserve">ter </w:t>
      </w:r>
      <w:r w:rsidR="00B30427">
        <w:t xml:space="preserve">supplied, hired, </w:t>
      </w:r>
      <w:r w:rsidR="00B634FF">
        <w:t>offered for supply and hire</w:t>
      </w:r>
      <w:r w:rsidR="00B30427">
        <w:t>,</w:t>
      </w:r>
      <w:r>
        <w:t xml:space="preserve"> and kept for the purposes of supply and hire, </w:t>
      </w:r>
      <w:r w:rsidR="00337C85">
        <w:t>ORIshot Tool</w:t>
      </w:r>
      <w:r w:rsidR="008D4EC0">
        <w:t>s</w:t>
      </w:r>
      <w:r>
        <w:t xml:space="preserve"> to customers and distribution agents in Australia </w:t>
      </w:r>
      <w:r w:rsidR="00733343">
        <w:t>and countries outside Australia</w:t>
      </w:r>
      <w:r w:rsidR="00B634FF">
        <w:t xml:space="preserve">. </w:t>
      </w:r>
      <w:r w:rsidR="00733343">
        <w:t xml:space="preserve"> </w:t>
      </w:r>
      <w:r w:rsidR="00B634FF">
        <w:t>I</w:t>
      </w:r>
      <w:r w:rsidR="00733343">
        <w:t xml:space="preserve">t has kept </w:t>
      </w:r>
      <w:r w:rsidR="00337C85">
        <w:t>ORIshot Tool</w:t>
      </w:r>
      <w:r w:rsidR="008D4EC0">
        <w:t>s</w:t>
      </w:r>
      <w:r w:rsidR="00733343">
        <w:t xml:space="preserve"> at the Orange Grove Premises and</w:t>
      </w:r>
      <w:r w:rsidR="00B30427">
        <w:t>,</w:t>
      </w:r>
      <w:r w:rsidR="00733343">
        <w:t xml:space="preserve"> since September 2010, at the Maddington Warehouse.  Coretell has also supplied </w:t>
      </w:r>
      <w:r w:rsidR="00337C85">
        <w:t>ORIshot Tool</w:t>
      </w:r>
      <w:r w:rsidR="008D4EC0">
        <w:t>s</w:t>
      </w:r>
      <w:r w:rsidR="00733343">
        <w:t xml:space="preserve"> to customers and distribution agents in Australia and in countries outside Australia, together with the ORIshot User Manual</w:t>
      </w:r>
      <w:r w:rsidR="00B30427">
        <w:t>,</w:t>
      </w:r>
      <w:r w:rsidR="00733343">
        <w:t xml:space="preserve"> and such </w:t>
      </w:r>
      <w:r w:rsidR="00337C85">
        <w:t>ORIshot Tool</w:t>
      </w:r>
      <w:r w:rsidR="008D4EC0">
        <w:t>s</w:t>
      </w:r>
      <w:r w:rsidR="00733343">
        <w:t xml:space="preserve"> have been used in accordance with the ORIshot User Manual.  </w:t>
      </w:r>
    </w:p>
    <w:p w:rsidR="00733343" w:rsidRDefault="007162EF" w:rsidP="006D1B19">
      <w:pPr>
        <w:pStyle w:val="ParaNumbering"/>
      </w:pPr>
      <w:r>
        <w:t xml:space="preserve">The First Tool and the </w:t>
      </w:r>
      <w:r w:rsidR="00FC24DD">
        <w:t>ORIshot Tool</w:t>
      </w:r>
      <w:r w:rsidR="00C760D0">
        <w:t xml:space="preserve"> were the subject of a claim </w:t>
      </w:r>
      <w:r w:rsidR="00292BB4">
        <w:t>by Imdex</w:t>
      </w:r>
      <w:r w:rsidR="00B30427">
        <w:t xml:space="preserve">, </w:t>
      </w:r>
      <w:r w:rsidR="00292BB4">
        <w:t xml:space="preserve">AMC and Reflex </w:t>
      </w:r>
      <w:r w:rsidR="00C760D0">
        <w:t xml:space="preserve">of patent infringement of Innovation Patent </w:t>
      </w:r>
      <w:r w:rsidR="00337C85">
        <w:t>n</w:t>
      </w:r>
      <w:r w:rsidR="00C760D0">
        <w:t xml:space="preserve">o 2006100113, which claim was dismissed, both at first instance </w:t>
      </w:r>
      <w:r w:rsidR="00FC1463">
        <w:t xml:space="preserve">by Justice Barker </w:t>
      </w:r>
      <w:r w:rsidR="006D1B19">
        <w:t xml:space="preserve">in </w:t>
      </w:r>
      <w:r w:rsidR="006D1B19" w:rsidRPr="006D1B19">
        <w:rPr>
          <w:i/>
        </w:rPr>
        <w:t xml:space="preserve">Australian Mud Company Pty Ltd v Coretell Pty Ltd </w:t>
      </w:r>
      <w:r w:rsidR="006D1B19">
        <w:t xml:space="preserve">(2010) </w:t>
      </w:r>
      <w:r w:rsidR="006D1B19" w:rsidRPr="006D1B19">
        <w:t>88 IPR 270</w:t>
      </w:r>
      <w:r w:rsidR="006D1B19">
        <w:t xml:space="preserve"> </w:t>
      </w:r>
      <w:r w:rsidR="00502487">
        <w:t>(</w:t>
      </w:r>
      <w:r w:rsidR="00502487" w:rsidRPr="00502487">
        <w:rPr>
          <w:b/>
        </w:rPr>
        <w:t>AMC No 1</w:t>
      </w:r>
      <w:r w:rsidR="00502487">
        <w:t xml:space="preserve">) </w:t>
      </w:r>
      <w:r w:rsidR="00C760D0">
        <w:t>and on appeal</w:t>
      </w:r>
      <w:r w:rsidR="00FC1463">
        <w:t xml:space="preserve"> by the Full Court </w:t>
      </w:r>
      <w:r w:rsidR="006D1B19">
        <w:t>(Bennett, Gilmour</w:t>
      </w:r>
      <w:r w:rsidR="006D1B19" w:rsidRPr="006D1B19">
        <w:t xml:space="preserve"> </w:t>
      </w:r>
      <w:r w:rsidR="006D1B19">
        <w:t xml:space="preserve">and </w:t>
      </w:r>
      <w:r w:rsidR="006D1B19" w:rsidRPr="006D1B19">
        <w:t>Yates JJ</w:t>
      </w:r>
      <w:r w:rsidR="006D1B19">
        <w:t xml:space="preserve">) in </w:t>
      </w:r>
      <w:r w:rsidR="006D1B19" w:rsidRPr="006D1B19">
        <w:rPr>
          <w:i/>
        </w:rPr>
        <w:t>Australian Mud Company Pty Ltd v Coretell Pty Ltd</w:t>
      </w:r>
      <w:r w:rsidR="006D1B19" w:rsidRPr="006D1B19">
        <w:t xml:space="preserve"> </w:t>
      </w:r>
      <w:r w:rsidR="006D1B19">
        <w:t>(</w:t>
      </w:r>
      <w:r w:rsidR="006D1B19" w:rsidRPr="006D1B19">
        <w:t>2011</w:t>
      </w:r>
      <w:r w:rsidR="006D1B19">
        <w:t>)</w:t>
      </w:r>
      <w:r w:rsidR="006D1B19" w:rsidRPr="006D1B19">
        <w:t xml:space="preserve"> 93 IPR 188</w:t>
      </w:r>
      <w:r w:rsidR="007C6531">
        <w:t xml:space="preserve"> (</w:t>
      </w:r>
      <w:r w:rsidR="007C6531" w:rsidRPr="007C6531">
        <w:rPr>
          <w:b/>
        </w:rPr>
        <w:t>AMC Full Court</w:t>
      </w:r>
      <w:r w:rsidR="007C6531">
        <w:t>)</w:t>
      </w:r>
      <w:r w:rsidR="00C760D0">
        <w:t xml:space="preserve">. </w:t>
      </w:r>
      <w:r w:rsidR="006D1B19">
        <w:t xml:space="preserve"> </w:t>
      </w:r>
    </w:p>
    <w:p w:rsidR="00D97C74" w:rsidRDefault="00D97C74" w:rsidP="00D97C74">
      <w:pPr>
        <w:pStyle w:val="ParaNumbering"/>
      </w:pPr>
      <w:r>
        <w:t xml:space="preserve">The </w:t>
      </w:r>
      <w:r w:rsidR="00FC24DD">
        <w:t>ORIshot Tool</w:t>
      </w:r>
      <w:r>
        <w:t xml:space="preserve"> comprises three components:</w:t>
      </w:r>
    </w:p>
    <w:p w:rsidR="00D97C74" w:rsidRDefault="00D97C74" w:rsidP="001332BE">
      <w:pPr>
        <w:pStyle w:val="ListNo"/>
        <w:numPr>
          <w:ilvl w:val="0"/>
          <w:numId w:val="35"/>
        </w:numPr>
        <w:tabs>
          <w:tab w:val="clear" w:pos="720"/>
        </w:tabs>
      </w:pPr>
      <w:r>
        <w:t>a pair of down</w:t>
      </w:r>
      <w:r w:rsidR="00B30427">
        <w:t>-</w:t>
      </w:r>
      <w:r>
        <w:t>hole orientation tools;</w:t>
      </w:r>
    </w:p>
    <w:p w:rsidR="00D97C74" w:rsidRDefault="00D97C74" w:rsidP="001332BE">
      <w:pPr>
        <w:pStyle w:val="ListNo"/>
        <w:numPr>
          <w:ilvl w:val="0"/>
          <w:numId w:val="35"/>
        </w:numPr>
        <w:tabs>
          <w:tab w:val="clear" w:pos="720"/>
        </w:tabs>
      </w:pPr>
      <w:r>
        <w:t>two adaptors; and</w:t>
      </w:r>
    </w:p>
    <w:p w:rsidR="00D97C74" w:rsidRDefault="00D97C74" w:rsidP="001332BE">
      <w:pPr>
        <w:pStyle w:val="ListNo"/>
        <w:numPr>
          <w:ilvl w:val="0"/>
          <w:numId w:val="35"/>
        </w:numPr>
        <w:tabs>
          <w:tab w:val="clear" w:pos="720"/>
        </w:tabs>
      </w:pPr>
      <w:r>
        <w:t>a handset controller.</w:t>
      </w:r>
    </w:p>
    <w:p w:rsidR="00D97C74" w:rsidRDefault="00A9131B" w:rsidP="00D97C74">
      <w:pPr>
        <w:pStyle w:val="ParaNumbering"/>
      </w:pPr>
      <w:r>
        <w:t xml:space="preserve">An expert, </w:t>
      </w:r>
      <w:r w:rsidR="008562C8" w:rsidRPr="00A51D9E">
        <w:rPr>
          <w:b/>
        </w:rPr>
        <w:t xml:space="preserve">Dr </w:t>
      </w:r>
      <w:r w:rsidRPr="00B30427">
        <w:t>Anton</w:t>
      </w:r>
      <w:r w:rsidRPr="00A51D9E">
        <w:rPr>
          <w:b/>
        </w:rPr>
        <w:t xml:space="preserve"> </w:t>
      </w:r>
      <w:r w:rsidR="008562C8" w:rsidRPr="00A51D9E">
        <w:rPr>
          <w:b/>
        </w:rPr>
        <w:t>Kepic</w:t>
      </w:r>
      <w:r>
        <w:t>,</w:t>
      </w:r>
      <w:r w:rsidR="008562C8">
        <w:t xml:space="preserve"> </w:t>
      </w:r>
      <w:r w:rsidR="00292BB4">
        <w:t xml:space="preserve">called by AMC </w:t>
      </w:r>
      <w:r w:rsidR="008562C8">
        <w:t>explai</w:t>
      </w:r>
      <w:r w:rsidR="007C6531">
        <w:t>ned</w:t>
      </w:r>
      <w:r w:rsidR="008562C8">
        <w:t xml:space="preserve"> that in general terms</w:t>
      </w:r>
      <w:r>
        <w:t xml:space="preserve"> </w:t>
      </w:r>
      <w:r w:rsidR="008562C8">
        <w:t>t</w:t>
      </w:r>
      <w:r w:rsidR="00D97C74">
        <w:t xml:space="preserve">he </w:t>
      </w:r>
      <w:r w:rsidR="00337C85">
        <w:t>ORIshot Tool</w:t>
      </w:r>
      <w:r w:rsidR="008D4EC0">
        <w:t>s</w:t>
      </w:r>
      <w:r w:rsidR="00D97C74">
        <w:t xml:space="preserve"> are sent down a drilling exploration hole with a core drill.  Two such tools are provided so that one can be down the hole while the other is on the surface </w:t>
      </w:r>
      <w:r w:rsidR="00B30427">
        <w:t xml:space="preserve">with </w:t>
      </w:r>
      <w:r w:rsidR="00D97C74">
        <w:t xml:space="preserve">information being read from it by the operator.  </w:t>
      </w:r>
    </w:p>
    <w:p w:rsidR="00B30427" w:rsidRDefault="008562C8" w:rsidP="00A9131B">
      <w:pPr>
        <w:pStyle w:val="ParaNumbering"/>
      </w:pPr>
      <w:r>
        <w:lastRenderedPageBreak/>
        <w:t>T</w:t>
      </w:r>
      <w:r w:rsidR="00D97C74">
        <w:t>he down</w:t>
      </w:r>
      <w:r w:rsidR="00B30427">
        <w:t>-</w:t>
      </w:r>
      <w:r w:rsidR="00D97C74">
        <w:t xml:space="preserve">hole component of the </w:t>
      </w:r>
      <w:r w:rsidR="00FC24DD">
        <w:t>ORIshot Tool</w:t>
      </w:r>
      <w:r w:rsidR="00D97C74">
        <w:t xml:space="preserve"> continuously logs orientation data at set intervals while drilling proceeds.  After the core sample is obtained, that component is retrieved and taken to the surface.  By using </w:t>
      </w:r>
      <w:r w:rsidR="00B30427">
        <w:t>the</w:t>
      </w:r>
      <w:r w:rsidR="00D97C74">
        <w:t xml:space="preserve"> handset, orientation data is then displayed. It is the data recorded immediately prior to the core sample being broken away from its </w:t>
      </w:r>
      <w:r w:rsidR="00D97C74" w:rsidRPr="003E7FA2">
        <w:rPr>
          <w:i/>
        </w:rPr>
        <w:t>in situ</w:t>
      </w:r>
      <w:r w:rsidR="00D97C74">
        <w:t xml:space="preserve"> location.  Instructions on how to place the retrieved core in that </w:t>
      </w:r>
      <w:r w:rsidR="00D97C74" w:rsidRPr="003E7FA2">
        <w:rPr>
          <w:i/>
        </w:rPr>
        <w:t>in situ</w:t>
      </w:r>
      <w:r w:rsidR="00D97C74">
        <w:t xml:space="preserve"> orientation are displayed on the handset.  </w:t>
      </w:r>
    </w:p>
    <w:p w:rsidR="00D97C74" w:rsidRDefault="00D97C74" w:rsidP="00A9131B">
      <w:pPr>
        <w:pStyle w:val="ParaNumbering"/>
      </w:pPr>
      <w:r>
        <w:t xml:space="preserve">The </w:t>
      </w:r>
      <w:r w:rsidR="00FC24DD">
        <w:t>ORIshot Tool</w:t>
      </w:r>
      <w:r>
        <w:t xml:space="preserve"> works by way of time synchronisation between two time</w:t>
      </w:r>
      <w:r w:rsidR="00B30427">
        <w:t xml:space="preserve"> </w:t>
      </w:r>
      <w:r>
        <w:t xml:space="preserve">keeping devices.  One is located in the </w:t>
      </w:r>
      <w:r w:rsidR="00B30427">
        <w:t>down-hole</w:t>
      </w:r>
      <w:r>
        <w:t xml:space="preserve"> orientation tool and the other is located in the handset controller.  Once the two time</w:t>
      </w:r>
      <w:r w:rsidR="00B30427">
        <w:t xml:space="preserve"> </w:t>
      </w:r>
      <w:r>
        <w:t xml:space="preserve">keeping devices are synchronised, the </w:t>
      </w:r>
      <w:r w:rsidR="00B30427">
        <w:t>down-hole</w:t>
      </w:r>
      <w:r>
        <w:t xml:space="preserve"> orientation tool is attached to the inner tube assembly of the core drill and sent down the hole.  Drilling is then commenced and a core sample is generated.  The inner tube assembly attaches to the rock core so that it cannot rotate relative to the core sample.  Because the orientation tool is firmly attached to the inner tube assembly, which is in turn attached to the core sample, the orientation of the </w:t>
      </w:r>
      <w:r w:rsidR="00B30427">
        <w:t>down-hole</w:t>
      </w:r>
      <w:r>
        <w:t xml:space="preserve"> orientation tool corresponds to that of the core sample.  Orientation data then is generated and recorded at set time intervals during this process in the manner described above.  The data is generated by means of accelerometers.</w:t>
      </w:r>
      <w:r w:rsidR="00A9131B">
        <w:t xml:space="preserve">  </w:t>
      </w:r>
    </w:p>
    <w:p w:rsidR="00D97C74" w:rsidRDefault="00D97C74" w:rsidP="00D97C74">
      <w:pPr>
        <w:pStyle w:val="ParaNumbering"/>
      </w:pPr>
      <w:r>
        <w:t xml:space="preserve">When the operator is ready to break the core sample away from its </w:t>
      </w:r>
      <w:r w:rsidRPr="009C3CBD">
        <w:rPr>
          <w:i/>
        </w:rPr>
        <w:t>in situ</w:t>
      </w:r>
      <w:r>
        <w:t xml:space="preserve"> location, a ‘</w:t>
      </w:r>
      <w:r w:rsidR="00B30427">
        <w:t xml:space="preserve">TAKE </w:t>
      </w:r>
      <w:r>
        <w:t xml:space="preserve">MEASUREMENT’ button is pressed on the handset controller.  That function logs the elapsed time from the synchronisation time or reference time to the point of taking the measurement.  This is recorded in the handset controller.  </w:t>
      </w:r>
    </w:p>
    <w:p w:rsidR="00B30427" w:rsidRDefault="00D97C74" w:rsidP="00D97C74">
      <w:pPr>
        <w:pStyle w:val="ParaNumbering"/>
      </w:pPr>
      <w:r>
        <w:t xml:space="preserve">The </w:t>
      </w:r>
      <w:r w:rsidR="00B30427">
        <w:t>down-hole</w:t>
      </w:r>
      <w:r>
        <w:t xml:space="preserve"> orientation tool, which is attached to the inner tube, which is in turn attached to the core sample, is then retrieved to the surface along with a core sample.  At the surface, the </w:t>
      </w:r>
      <w:r w:rsidR="00B30427">
        <w:t>down-hole</w:t>
      </w:r>
      <w:r>
        <w:t xml:space="preserve"> orientation tool and the handset controller then communicate with </w:t>
      </w:r>
      <w:r w:rsidR="00B30427">
        <w:t xml:space="preserve">each </w:t>
      </w:r>
      <w:r>
        <w:t xml:space="preserve">by way of radio frequency modules.  </w:t>
      </w:r>
    </w:p>
    <w:p w:rsidR="00D97C74" w:rsidRDefault="00B30427" w:rsidP="00D97C74">
      <w:pPr>
        <w:pStyle w:val="ParaNumbering"/>
      </w:pPr>
      <w:r>
        <w:t xml:space="preserve">There is then a display of </w:t>
      </w:r>
      <w:r w:rsidR="00D97C74">
        <w:t xml:space="preserve">orientation data on the handset controller.  This is achieved by pressing appropriate buttons on the handset controller obtained through communication with the </w:t>
      </w:r>
      <w:r>
        <w:t>down-hole</w:t>
      </w:r>
      <w:r w:rsidR="00D97C74">
        <w:t xml:space="preserve"> orientation tool.  By pressing a button entitled ‘VIEW DATA’ on the handset controller, the core sample can be placed in its original </w:t>
      </w:r>
      <w:r w:rsidR="00D97C74" w:rsidRPr="00EE3152">
        <w:rPr>
          <w:i/>
        </w:rPr>
        <w:t>in situ</w:t>
      </w:r>
      <w:r w:rsidR="00D97C74">
        <w:t xml:space="preserve"> orientation when the ‘</w:t>
      </w:r>
      <w:r>
        <w:t xml:space="preserve">TAKE </w:t>
      </w:r>
      <w:r w:rsidR="00D97C74">
        <w:t xml:space="preserve">MEASUREMENT’ button is pressed immediately prior to the core being broken away from its </w:t>
      </w:r>
      <w:r w:rsidR="00D97C74" w:rsidRPr="00EE3152">
        <w:rPr>
          <w:i/>
        </w:rPr>
        <w:t>in situ</w:t>
      </w:r>
      <w:r w:rsidR="00D97C74">
        <w:rPr>
          <w:i/>
        </w:rPr>
        <w:t xml:space="preserve"> </w:t>
      </w:r>
      <w:r w:rsidR="00D97C74">
        <w:t xml:space="preserve">location.  Symbols are then displayed on an LCD display of the handset controller showing which way the core should be rotated to coincide with its </w:t>
      </w:r>
      <w:r w:rsidR="00D97C74" w:rsidRPr="00EE3152">
        <w:rPr>
          <w:i/>
        </w:rPr>
        <w:t>in situ</w:t>
      </w:r>
      <w:r w:rsidR="00D97C74">
        <w:t xml:space="preserve"> orientation.  For example, ‘&gt;&gt;&gt;&gt;’ indicates that the core should be rotated clockwise and </w:t>
      </w:r>
      <w:r>
        <w:lastRenderedPageBreak/>
        <w:t>‘&lt;&lt;&lt;&lt;’ indicates</w:t>
      </w:r>
      <w:r w:rsidR="00D97C74">
        <w:t xml:space="preserve"> that it should be rotated anti-clockwise.  The display also indicate</w:t>
      </w:r>
      <w:r>
        <w:t>s</w:t>
      </w:r>
      <w:r w:rsidR="00D97C74">
        <w:t xml:space="preserve"> the ‘dip’ or ‘inclination’ at which the core sample was taken.  </w:t>
      </w:r>
    </w:p>
    <w:p w:rsidR="0052412E" w:rsidRDefault="00E75832" w:rsidP="0052412E">
      <w:pPr>
        <w:pStyle w:val="Heading5"/>
      </w:pPr>
      <w:bookmarkStart w:id="28" w:name="_Ref404090346"/>
      <w:bookmarkStart w:id="29" w:name="_Ref436891728"/>
      <w:r>
        <w:t xml:space="preserve">THE </w:t>
      </w:r>
      <w:r w:rsidR="0052412E">
        <w:t>ISSUES</w:t>
      </w:r>
      <w:bookmarkEnd w:id="28"/>
      <w:bookmarkEnd w:id="29"/>
    </w:p>
    <w:p w:rsidR="006B2C59" w:rsidRDefault="005E6327" w:rsidP="000E5568">
      <w:pPr>
        <w:pStyle w:val="ParaNumbering"/>
      </w:pPr>
      <w:r>
        <w:t>T</w:t>
      </w:r>
      <w:r w:rsidR="00BF1AAE">
        <w:t xml:space="preserve">he following </w:t>
      </w:r>
      <w:r>
        <w:t xml:space="preserve">are the areas of dispute in relation to infringement.  </w:t>
      </w:r>
    </w:p>
    <w:p w:rsidR="00785BB4" w:rsidRDefault="00785BB4" w:rsidP="00785BB4">
      <w:pPr>
        <w:pStyle w:val="Heading6"/>
      </w:pPr>
      <w:bookmarkStart w:id="30" w:name="_Ref436891528"/>
      <w:r>
        <w:t>Infringement</w:t>
      </w:r>
      <w:bookmarkEnd w:id="30"/>
    </w:p>
    <w:p w:rsidR="001409AC" w:rsidRPr="00442D66" w:rsidRDefault="00785BB4" w:rsidP="00785BB4">
      <w:pPr>
        <w:pStyle w:val="Heading7"/>
      </w:pPr>
      <w:bookmarkStart w:id="31" w:name="_Ref436722504"/>
      <w:r>
        <w:t>Exclusive licensee</w:t>
      </w:r>
      <w:r w:rsidR="0040531C">
        <w:t xml:space="preserve"> and priority dates</w:t>
      </w:r>
      <w:bookmarkEnd w:id="31"/>
      <w:r w:rsidR="0040531C">
        <w:t xml:space="preserve"> </w:t>
      </w:r>
    </w:p>
    <w:p w:rsidR="001409AC" w:rsidRDefault="00785BB4" w:rsidP="001409AC">
      <w:pPr>
        <w:pStyle w:val="ParaNumbering"/>
      </w:pPr>
      <w:r>
        <w:t>The parties are in dispute regarding whether</w:t>
      </w:r>
      <w:r w:rsidR="001409AC">
        <w:t>:</w:t>
      </w:r>
    </w:p>
    <w:p w:rsidR="001409AC" w:rsidRDefault="001409AC" w:rsidP="000755A6">
      <w:pPr>
        <w:pStyle w:val="ListNo"/>
        <w:numPr>
          <w:ilvl w:val="0"/>
          <w:numId w:val="22"/>
        </w:numPr>
        <w:tabs>
          <w:tab w:val="clear" w:pos="720"/>
        </w:tabs>
      </w:pPr>
      <w:r>
        <w:t>Reflex is and was at all times the exclusive licensee of the Patents; and</w:t>
      </w:r>
    </w:p>
    <w:p w:rsidR="001409AC" w:rsidRDefault="001409AC" w:rsidP="000755A6">
      <w:pPr>
        <w:pStyle w:val="ListNo"/>
        <w:numPr>
          <w:ilvl w:val="0"/>
          <w:numId w:val="22"/>
        </w:numPr>
        <w:tabs>
          <w:tab w:val="clear" w:pos="720"/>
        </w:tabs>
      </w:pPr>
      <w:r>
        <w:t>the Patents take the priority date of the Provisional Applic</w:t>
      </w:r>
      <w:r w:rsidR="00654126">
        <w:t>ation filed on 3 September 2004; and</w:t>
      </w:r>
    </w:p>
    <w:p w:rsidR="001409AC" w:rsidRDefault="001409AC" w:rsidP="00654126">
      <w:pPr>
        <w:pStyle w:val="ListNo"/>
        <w:numPr>
          <w:ilvl w:val="0"/>
          <w:numId w:val="22"/>
        </w:numPr>
        <w:tabs>
          <w:tab w:val="clear" w:pos="720"/>
        </w:tabs>
      </w:pPr>
      <w:r>
        <w:t>the Patents expired on 5 September</w:t>
      </w:r>
      <w:r w:rsidR="00F009C3">
        <w:t xml:space="preserve"> </w:t>
      </w:r>
      <w:r w:rsidR="000452BE">
        <w:t>2013</w:t>
      </w:r>
      <w:r>
        <w:t xml:space="preserve"> so that the applicants’ entitlement to relief ceased at that date.</w:t>
      </w:r>
    </w:p>
    <w:p w:rsidR="001409AC" w:rsidRPr="00A70492" w:rsidRDefault="000452BE" w:rsidP="008C5377">
      <w:pPr>
        <w:pStyle w:val="Heading7"/>
      </w:pPr>
      <w:bookmarkStart w:id="32" w:name="_Ref436660773"/>
      <w:r>
        <w:t>Claims of direct infringement</w:t>
      </w:r>
      <w:bookmarkEnd w:id="32"/>
      <w:r>
        <w:t xml:space="preserve"> </w:t>
      </w:r>
    </w:p>
    <w:p w:rsidR="001409AC" w:rsidRDefault="000452BE" w:rsidP="001409AC">
      <w:pPr>
        <w:pStyle w:val="ParaNumbering"/>
      </w:pPr>
      <w:r>
        <w:t xml:space="preserve">The applicants’ </w:t>
      </w:r>
      <w:r w:rsidR="001409AC">
        <w:t xml:space="preserve">claims relate to alleged acts of any of the </w:t>
      </w:r>
      <w:r w:rsidR="004E7209">
        <w:t>respondents between 5 </w:t>
      </w:r>
      <w:r w:rsidR="001409AC">
        <w:t>September 2005, being the date on which the Complete Application was filed</w:t>
      </w:r>
      <w:r w:rsidR="00E250B4">
        <w:t xml:space="preserve"> </w:t>
      </w:r>
      <w:r w:rsidR="001409AC">
        <w:t>and</w:t>
      </w:r>
      <w:r w:rsidR="00E250B4">
        <w:t>,</w:t>
      </w:r>
      <w:r w:rsidR="001409AC">
        <w:t xml:space="preserve"> in the alternative</w:t>
      </w:r>
      <w:r w:rsidR="00E250B4">
        <w:t xml:space="preserve">, </w:t>
      </w:r>
      <w:r w:rsidR="001409AC">
        <w:t xml:space="preserve">since 16 December 2010 being the day after the </w:t>
      </w:r>
      <w:r>
        <w:t xml:space="preserve">divisional parent application </w:t>
      </w:r>
      <w:r w:rsidR="001409AC">
        <w:t>was filed</w:t>
      </w:r>
      <w:r w:rsidR="00E250B4">
        <w:t>.</w:t>
      </w:r>
      <w:r w:rsidR="00244C17">
        <w:t xml:space="preserve"> </w:t>
      </w:r>
      <w:r>
        <w:t xml:space="preserve"> </w:t>
      </w:r>
      <w:r w:rsidR="001409AC">
        <w:t xml:space="preserve">The </w:t>
      </w:r>
      <w:r w:rsidR="00E250B4">
        <w:t>a</w:t>
      </w:r>
      <w:r w:rsidR="001409AC">
        <w:t>pplicants allege direct infringement of both of the Patents by a</w:t>
      </w:r>
      <w:r w:rsidR="00DC10EB">
        <w:t>ll of the corporate respondents.</w:t>
      </w:r>
    </w:p>
    <w:p w:rsidR="001409AC" w:rsidRDefault="001409AC" w:rsidP="001409AC">
      <w:pPr>
        <w:pStyle w:val="ParaNumbering"/>
      </w:pPr>
      <w:r>
        <w:t>Coretell admits to making</w:t>
      </w:r>
      <w:r w:rsidR="00E250B4">
        <w:t xml:space="preserve"> and supplying the </w:t>
      </w:r>
      <w:r w:rsidR="00337C85">
        <w:t>ORIshot Tool</w:t>
      </w:r>
      <w:r w:rsidR="008D4EC0">
        <w:t>s</w:t>
      </w:r>
      <w:r w:rsidR="00E250B4">
        <w:t xml:space="preserve"> from 16 December 201</w:t>
      </w:r>
      <w:r>
        <w:t>0</w:t>
      </w:r>
      <w:r w:rsidR="000452BE">
        <w:t>,</w:t>
      </w:r>
      <w:r w:rsidR="00E250B4">
        <w:t xml:space="preserve"> and that customers used those tools in accordance with instruction</w:t>
      </w:r>
      <w:r>
        <w:t>s provided</w:t>
      </w:r>
      <w:r w:rsidR="000452BE">
        <w:t>,</w:t>
      </w:r>
      <w:r>
        <w:t xml:space="preserve"> but the </w:t>
      </w:r>
      <w:r w:rsidR="00E250B4">
        <w:t>respondents otherwise deny the allegat</w:t>
      </w:r>
      <w:r>
        <w:t>ions of infringement</w:t>
      </w:r>
      <w:r w:rsidR="001C4C5F">
        <w:t>.</w:t>
      </w:r>
    </w:p>
    <w:p w:rsidR="007B0141" w:rsidRDefault="007B0141" w:rsidP="007B0141">
      <w:pPr>
        <w:pStyle w:val="ParaNumbering"/>
      </w:pPr>
      <w:r>
        <w:t xml:space="preserve">The respondents further dispute that the applicants could be entitled to any relief consequent on any activities by </w:t>
      </w:r>
      <w:r w:rsidR="00CB7B9D">
        <w:t xml:space="preserve">the respondents </w:t>
      </w:r>
      <w:r>
        <w:t>in countries outside Australia.</w:t>
      </w:r>
    </w:p>
    <w:p w:rsidR="007B0141" w:rsidRPr="00E0536C" w:rsidRDefault="000452BE" w:rsidP="008C5377">
      <w:pPr>
        <w:pStyle w:val="Heading7"/>
      </w:pPr>
      <w:bookmarkStart w:id="33" w:name="_Ref436660774"/>
      <w:r>
        <w:t>Proper construction</w:t>
      </w:r>
      <w:bookmarkEnd w:id="33"/>
    </w:p>
    <w:p w:rsidR="000452BE" w:rsidRDefault="000452BE" w:rsidP="000452BE">
      <w:pPr>
        <w:pStyle w:val="ParaNumbering"/>
      </w:pPr>
      <w:r>
        <w:t>The respondents con</w:t>
      </w:r>
      <w:r w:rsidR="00654126">
        <w:t xml:space="preserve">tend, and the applicants dispute, </w:t>
      </w:r>
      <w:r w:rsidR="0048556D">
        <w:t xml:space="preserve">that </w:t>
      </w:r>
      <w:r w:rsidR="007B0141">
        <w:t xml:space="preserve">on a proper construction of the claims of the Patents, having regard to their respective specifications, the claimed </w:t>
      </w:r>
      <w:r w:rsidR="00654126">
        <w:t>‘</w:t>
      </w:r>
      <w:r>
        <w:t>system</w:t>
      </w:r>
      <w:r w:rsidR="00654126">
        <w:t>’</w:t>
      </w:r>
      <w:r w:rsidR="007B0141">
        <w:t xml:space="preserve"> of each of claims </w:t>
      </w:r>
      <w:r w:rsidR="00DC10EB">
        <w:t>1</w:t>
      </w:r>
      <w:r w:rsidR="007B0141">
        <w:t xml:space="preserve"> to 5 of the System Patent, and the claimed </w:t>
      </w:r>
      <w:r w:rsidR="00654126">
        <w:t>‘</w:t>
      </w:r>
      <w:r>
        <w:t>method</w:t>
      </w:r>
      <w:r w:rsidR="00654126">
        <w:t>’</w:t>
      </w:r>
      <w:r w:rsidR="007B0141">
        <w:t xml:space="preserve"> of each of claims 1 to 5 of the Method Patent, are each relevantly confined in their scope to a system and method carried out by an </w:t>
      </w:r>
      <w:r w:rsidR="007B0141" w:rsidRPr="00654126">
        <w:rPr>
          <w:b/>
        </w:rPr>
        <w:t xml:space="preserve">integrated unitary electronic apparatus in one piece as </w:t>
      </w:r>
      <w:r w:rsidR="007B0141" w:rsidRPr="00654126">
        <w:rPr>
          <w:b/>
        </w:rPr>
        <w:lastRenderedPageBreak/>
        <w:t>described and as illustrated</w:t>
      </w:r>
      <w:r w:rsidR="007B0141">
        <w:t xml:space="preserve"> </w:t>
      </w:r>
      <w:r w:rsidR="007B0141" w:rsidRPr="00654126">
        <w:rPr>
          <w:b/>
        </w:rPr>
        <w:t>in the Patents</w:t>
      </w:r>
      <w:r w:rsidR="007B0141">
        <w:t xml:space="preserve"> so that, by reason of that construction, the </w:t>
      </w:r>
      <w:r w:rsidR="00654126">
        <w:t>ORIshot</w:t>
      </w:r>
      <w:r w:rsidR="007B0141">
        <w:t xml:space="preserve"> </w:t>
      </w:r>
      <w:r w:rsidR="00654126">
        <w:t>T</w:t>
      </w:r>
      <w:r w:rsidR="007B0141">
        <w:t>ools do not infringe the Patents</w:t>
      </w:r>
      <w:r>
        <w:t>.</w:t>
      </w:r>
    </w:p>
    <w:p w:rsidR="007B0141" w:rsidRDefault="00464EFD" w:rsidP="007B0141">
      <w:pPr>
        <w:pStyle w:val="ParaNumbering"/>
      </w:pPr>
      <w:r>
        <w:t xml:space="preserve">Coretell further </w:t>
      </w:r>
      <w:r w:rsidR="00D67F59">
        <w:t>contends, and the applicants dispute, that</w:t>
      </w:r>
      <w:r w:rsidR="007B0141">
        <w:t>:</w:t>
      </w:r>
    </w:p>
    <w:p w:rsidR="007B0141" w:rsidRDefault="00464EFD" w:rsidP="001332BE">
      <w:pPr>
        <w:pStyle w:val="ListNo"/>
        <w:numPr>
          <w:ilvl w:val="3"/>
          <w:numId w:val="60"/>
        </w:numPr>
        <w:tabs>
          <w:tab w:val="clear" w:pos="2880"/>
        </w:tabs>
        <w:ind w:left="1440" w:hanging="731"/>
      </w:pPr>
      <w:r>
        <w:t xml:space="preserve">if, </w:t>
      </w:r>
      <w:r w:rsidR="007B0141">
        <w:t xml:space="preserve">as </w:t>
      </w:r>
      <w:r w:rsidR="001325A1">
        <w:t xml:space="preserve">the applicants </w:t>
      </w:r>
      <w:r w:rsidR="007B0141">
        <w:t>contend</w:t>
      </w:r>
      <w:r w:rsidR="00D67F59">
        <w:t xml:space="preserve"> (</w:t>
      </w:r>
      <w:r w:rsidR="00855587">
        <w:t>but Coretell rejects</w:t>
      </w:r>
      <w:r w:rsidR="00D67F59">
        <w:t>)</w:t>
      </w:r>
      <w:r w:rsidR="001325A1">
        <w:t xml:space="preserve"> </w:t>
      </w:r>
      <w:r w:rsidR="007B0141">
        <w:t xml:space="preserve">the integers of </w:t>
      </w:r>
      <w:r w:rsidR="00D67F59">
        <w:t>‘</w:t>
      </w:r>
      <w:r w:rsidR="007B0141" w:rsidRPr="00B64F99">
        <w:rPr>
          <w:b/>
        </w:rPr>
        <w:t>input means</w:t>
      </w:r>
      <w:r w:rsidR="00D67F59">
        <w:rPr>
          <w:b/>
        </w:rPr>
        <w:t>’</w:t>
      </w:r>
      <w:r w:rsidR="007B0141">
        <w:t xml:space="preserve"> and </w:t>
      </w:r>
      <w:r w:rsidR="00D67F59">
        <w:t>‘</w:t>
      </w:r>
      <w:r w:rsidR="00DC10EB" w:rsidRPr="00B64F99">
        <w:rPr>
          <w:b/>
        </w:rPr>
        <w:t>inputting</w:t>
      </w:r>
      <w:r w:rsidR="00D67F59">
        <w:rPr>
          <w:b/>
        </w:rPr>
        <w:t>’</w:t>
      </w:r>
      <w:r>
        <w:t xml:space="preserve"> as they variousl</w:t>
      </w:r>
      <w:r w:rsidR="007B0141">
        <w:t>y appear throughout</w:t>
      </w:r>
      <w:r>
        <w:t xml:space="preserve"> the claims of the System Paten</w:t>
      </w:r>
      <w:r w:rsidR="007B0141">
        <w:t>t and the Method Patent, exclude activities or operations carried ou</w:t>
      </w:r>
      <w:r>
        <w:t>t by the driller/operator at the surface su</w:t>
      </w:r>
      <w:r w:rsidR="007B0141">
        <w:t>ch as to reco</w:t>
      </w:r>
      <w:r>
        <w:t>rd the time of detachment of th</w:t>
      </w:r>
      <w:r w:rsidR="007B0141">
        <w:t>e c</w:t>
      </w:r>
      <w:r>
        <w:t>ore sample, then there can be no infringement by th</w:t>
      </w:r>
      <w:r w:rsidR="007B0141">
        <w:t xml:space="preserve">e </w:t>
      </w:r>
      <w:r w:rsidR="001325A1">
        <w:t xml:space="preserve">ORIshot </w:t>
      </w:r>
      <w:r w:rsidR="00D67F59">
        <w:t>T</w:t>
      </w:r>
      <w:r w:rsidR="007B0141">
        <w:t xml:space="preserve">ools which has such activities carried out </w:t>
      </w:r>
      <w:r w:rsidR="00D67F59">
        <w:t>‘</w:t>
      </w:r>
      <w:r w:rsidR="001325A1">
        <w:t>externally</w:t>
      </w:r>
      <w:r w:rsidR="00D67F59">
        <w:t>’</w:t>
      </w:r>
      <w:r>
        <w:t xml:space="preserve"> on th</w:t>
      </w:r>
      <w:r w:rsidR="007B0141">
        <w:t>e surface by the</w:t>
      </w:r>
      <w:r>
        <w:t xml:space="preserve"> operator in conjunction wi</w:t>
      </w:r>
      <w:r w:rsidR="007B0141">
        <w:t xml:space="preserve">th </w:t>
      </w:r>
      <w:r w:rsidR="002268F0">
        <w:t>a</w:t>
      </w:r>
      <w:r w:rsidR="007B0141">
        <w:t xml:space="preserve"> handset; and</w:t>
      </w:r>
    </w:p>
    <w:p w:rsidR="001325A1" w:rsidRDefault="00464EFD" w:rsidP="001332BE">
      <w:pPr>
        <w:pStyle w:val="ListNo"/>
        <w:numPr>
          <w:ilvl w:val="3"/>
          <w:numId w:val="60"/>
        </w:numPr>
        <w:tabs>
          <w:tab w:val="clear" w:pos="2880"/>
        </w:tabs>
        <w:ind w:left="1440" w:hanging="731"/>
      </w:pPr>
      <w:r>
        <w:t>the integer ‘indication of</w:t>
      </w:r>
      <w:r w:rsidR="00244C17">
        <w:t xml:space="preserve"> </w:t>
      </w:r>
      <w:r>
        <w:t xml:space="preserve">the orientation’ as it variously </w:t>
      </w:r>
      <w:r w:rsidR="007B0141">
        <w:t>a</w:t>
      </w:r>
      <w:r>
        <w:t>ppears throughout the claims wh</w:t>
      </w:r>
      <w:r w:rsidR="007B0141">
        <w:t xml:space="preserve">ich is said by </w:t>
      </w:r>
      <w:r w:rsidR="001325A1">
        <w:t xml:space="preserve">the applicants </w:t>
      </w:r>
      <w:r>
        <w:t>to require a visual indication of th</w:t>
      </w:r>
      <w:r w:rsidR="007B0141">
        <w:t>e d</w:t>
      </w:r>
      <w:r>
        <w:t>ir</w:t>
      </w:r>
      <w:r w:rsidR="007B0141">
        <w:t>ection in which the core sample</w:t>
      </w:r>
      <w:r>
        <w:t xml:space="preserve"> should be rotated is not prese</w:t>
      </w:r>
      <w:r w:rsidR="007B0141">
        <w:t xml:space="preserve">nt in the </w:t>
      </w:r>
      <w:r w:rsidR="00D67F59">
        <w:t>ORIshot</w:t>
      </w:r>
      <w:r w:rsidR="001325A1">
        <w:t xml:space="preserve"> </w:t>
      </w:r>
      <w:r w:rsidR="00D67F59">
        <w:t>T</w:t>
      </w:r>
      <w:r>
        <w:t xml:space="preserve">ools in </w:t>
      </w:r>
      <w:r w:rsidR="00245A4D">
        <w:t xml:space="preserve">the </w:t>
      </w:r>
      <w:r w:rsidR="001325A1" w:rsidRPr="001325A1">
        <w:t>“</w:t>
      </w:r>
      <w:r w:rsidRPr="00D67F59">
        <w:t xml:space="preserve">Real-time </w:t>
      </w:r>
      <w:r w:rsidR="007B0141" w:rsidRPr="00D67F59">
        <w:t>Roll</w:t>
      </w:r>
      <w:r w:rsidR="001325A1" w:rsidRPr="001325A1">
        <w:t>”</w:t>
      </w:r>
      <w:r w:rsidRPr="0052412E">
        <w:rPr>
          <w:b/>
        </w:rPr>
        <w:t xml:space="preserve"> </w:t>
      </w:r>
      <w:r w:rsidRPr="002268F0">
        <w:t>m</w:t>
      </w:r>
      <w:r w:rsidR="007B0141" w:rsidRPr="002268F0">
        <w:t>e</w:t>
      </w:r>
      <w:r w:rsidRPr="002268F0">
        <w:t>thod of display</w:t>
      </w:r>
      <w:r>
        <w:t xml:space="preserve"> as that method displays onl</w:t>
      </w:r>
      <w:r w:rsidR="007B0141">
        <w:t>y the current roll angle and roll angle at the time of detachment of the core</w:t>
      </w:r>
      <w:r>
        <w:t xml:space="preserve"> </w:t>
      </w:r>
      <w:r w:rsidR="007B0141">
        <w:t>sample</w:t>
      </w:r>
      <w:r w:rsidR="0052412E">
        <w:t xml:space="preserve"> </w:t>
      </w:r>
    </w:p>
    <w:p w:rsidR="00803616" w:rsidRPr="00954C17" w:rsidRDefault="00803616" w:rsidP="008C5377">
      <w:pPr>
        <w:pStyle w:val="Heading7"/>
      </w:pPr>
      <w:bookmarkStart w:id="34" w:name="_Ref436660776"/>
      <w:r w:rsidRPr="00954C17">
        <w:t>I</w:t>
      </w:r>
      <w:r w:rsidR="00CA2848" w:rsidRPr="00954C17">
        <w:t xml:space="preserve">nfringement of </w:t>
      </w:r>
      <w:r w:rsidR="00CA2848">
        <w:t>S</w:t>
      </w:r>
      <w:r w:rsidR="00CA2848" w:rsidRPr="00954C17">
        <w:t xml:space="preserve">ystem </w:t>
      </w:r>
      <w:r w:rsidR="00CA2848">
        <w:t>P</w:t>
      </w:r>
      <w:r w:rsidR="00CA2848" w:rsidRPr="00954C17">
        <w:t>atent</w:t>
      </w:r>
      <w:bookmarkEnd w:id="34"/>
    </w:p>
    <w:p w:rsidR="00803616" w:rsidRPr="00803616" w:rsidRDefault="00803616" w:rsidP="008C5377">
      <w:pPr>
        <w:pStyle w:val="Heading8"/>
      </w:pPr>
      <w:bookmarkStart w:id="35" w:name="_Ref436660777"/>
      <w:r w:rsidRPr="00803616">
        <w:t xml:space="preserve">Making </w:t>
      </w:r>
      <w:r w:rsidR="00337C85">
        <w:t>ORIshot Tool</w:t>
      </w:r>
      <w:r w:rsidRPr="00803616">
        <w:t>s</w:t>
      </w:r>
      <w:bookmarkEnd w:id="35"/>
    </w:p>
    <w:p w:rsidR="008C74F2" w:rsidRDefault="0052412E" w:rsidP="00803616">
      <w:pPr>
        <w:pStyle w:val="ParaNumbering"/>
      </w:pPr>
      <w:r>
        <w:t xml:space="preserve">As already noted, </w:t>
      </w:r>
      <w:r w:rsidR="00CE0DDE">
        <w:t xml:space="preserve">the applicants </w:t>
      </w:r>
      <w:r w:rsidR="00803616">
        <w:t>allege that since 16 December 2010</w:t>
      </w:r>
      <w:r w:rsidR="00CE0DDE">
        <w:t xml:space="preserve">, </w:t>
      </w:r>
      <w:r w:rsidR="00803616">
        <w:t xml:space="preserve">and further since 5 September 2005, the </w:t>
      </w:r>
      <w:r w:rsidR="00C623EF">
        <w:t xml:space="preserve">corporate </w:t>
      </w:r>
      <w:r w:rsidR="00803616">
        <w:t>respondents made core sample orientation tools.</w:t>
      </w:r>
      <w:r w:rsidR="00244C17">
        <w:t xml:space="preserve"> </w:t>
      </w:r>
      <w:r w:rsidR="00803616">
        <w:t xml:space="preserve">The respondents admit that </w:t>
      </w:r>
      <w:r w:rsidR="00DC10EB">
        <w:t>Coretell</w:t>
      </w:r>
      <w:r w:rsidR="00803616">
        <w:t xml:space="preserve"> has made, and offered for that purpose, the </w:t>
      </w:r>
      <w:r w:rsidR="00337C85">
        <w:t>ORIshot Tool</w:t>
      </w:r>
      <w:r w:rsidR="00CE0DDE">
        <w:t>s since 16 </w:t>
      </w:r>
      <w:r w:rsidR="00803616">
        <w:t xml:space="preserve">December 2010.  </w:t>
      </w:r>
    </w:p>
    <w:p w:rsidR="00803616" w:rsidRDefault="00803616" w:rsidP="00803616">
      <w:pPr>
        <w:pStyle w:val="ParaNumbering"/>
      </w:pPr>
      <w:r>
        <w:t>The respondents deny that Mincrest or Kleyn Investments made or offered to make a</w:t>
      </w:r>
      <w:r w:rsidR="008C74F2">
        <w:t>ny core sample orientation tool</w:t>
      </w:r>
      <w:r>
        <w:t xml:space="preserve">s as alleged.  </w:t>
      </w:r>
    </w:p>
    <w:p w:rsidR="00803616" w:rsidRPr="00F91E8A" w:rsidRDefault="00803616" w:rsidP="008C5377">
      <w:pPr>
        <w:pStyle w:val="Heading8"/>
      </w:pPr>
      <w:bookmarkStart w:id="36" w:name="_Ref436660778"/>
      <w:r w:rsidRPr="00F91E8A">
        <w:t xml:space="preserve">Sales and supply of </w:t>
      </w:r>
      <w:r w:rsidR="00337C85">
        <w:t>ORIshot Tool</w:t>
      </w:r>
      <w:r w:rsidRPr="00F91E8A">
        <w:t xml:space="preserve">s, supply of </w:t>
      </w:r>
      <w:r w:rsidR="00337C85">
        <w:t>ORIshot Tool</w:t>
      </w:r>
      <w:r w:rsidRPr="00F91E8A">
        <w:t>s for use</w:t>
      </w:r>
      <w:bookmarkEnd w:id="36"/>
    </w:p>
    <w:p w:rsidR="008C74F2" w:rsidRDefault="00CE0DDE" w:rsidP="00803616">
      <w:pPr>
        <w:pStyle w:val="ParaNumbering"/>
      </w:pPr>
      <w:r>
        <w:t xml:space="preserve">The applicants </w:t>
      </w:r>
      <w:r w:rsidR="00803616">
        <w:t>allege that since 16 December 2010</w:t>
      </w:r>
      <w:r>
        <w:t xml:space="preserve">, </w:t>
      </w:r>
      <w:r w:rsidR="00803616">
        <w:t>and further since 5 September 2005</w:t>
      </w:r>
      <w:r>
        <w:t>,</w:t>
      </w:r>
      <w:r w:rsidR="00803616">
        <w:t xml:space="preserve"> the corporate </w:t>
      </w:r>
      <w:r w:rsidR="00F91E8A">
        <w:t>responden</w:t>
      </w:r>
      <w:r w:rsidR="00803616">
        <w:t>ts sold, or otherwise disposed of, offered to sell</w:t>
      </w:r>
      <w:r w:rsidR="00F91E8A">
        <w:t xml:space="preserve"> or otherwise dispose of the </w:t>
      </w:r>
      <w:r w:rsidR="00337C85">
        <w:t>ORIshot Tool</w:t>
      </w:r>
      <w:r w:rsidR="008D4EC0">
        <w:t>s</w:t>
      </w:r>
      <w:r w:rsidR="00803616">
        <w:t xml:space="preserve">. </w:t>
      </w:r>
      <w:r w:rsidR="00F91E8A">
        <w:t xml:space="preserve"> </w:t>
      </w:r>
      <w:r w:rsidR="00803616">
        <w:t xml:space="preserve">The </w:t>
      </w:r>
      <w:r w:rsidR="00F91E8A">
        <w:t>r</w:t>
      </w:r>
      <w:r w:rsidR="00803616">
        <w:t>espondents admit that since 16 Dece</w:t>
      </w:r>
      <w:r w:rsidR="00F91E8A">
        <w:t>mber 2010 Coretell has supplied</w:t>
      </w:r>
      <w:r w:rsidR="00803616">
        <w:t>, hired and offered fo</w:t>
      </w:r>
      <w:r w:rsidR="00F91E8A">
        <w:t>r supply and hire core orientat</w:t>
      </w:r>
      <w:r w:rsidR="00803616">
        <w:t xml:space="preserve">ion tools. </w:t>
      </w:r>
      <w:r w:rsidR="00F91E8A">
        <w:t xml:space="preserve"> </w:t>
      </w:r>
    </w:p>
    <w:p w:rsidR="00803616" w:rsidRDefault="00803616" w:rsidP="00803616">
      <w:pPr>
        <w:pStyle w:val="ParaNumbering"/>
      </w:pPr>
      <w:r>
        <w:lastRenderedPageBreak/>
        <w:t xml:space="preserve">The </w:t>
      </w:r>
      <w:r w:rsidR="00F91E8A">
        <w:t>r</w:t>
      </w:r>
      <w:r>
        <w:t>espondents deny that Mincrest or Kleyn Investments supplied, hired and offered for suppl</w:t>
      </w:r>
      <w:r w:rsidR="00F91E8A">
        <w:t xml:space="preserve">y and hire core orientation tools as alleged.  </w:t>
      </w:r>
    </w:p>
    <w:p w:rsidR="00803616" w:rsidRPr="00DC07C0" w:rsidRDefault="00803616" w:rsidP="008C5377">
      <w:pPr>
        <w:pStyle w:val="Heading8"/>
      </w:pPr>
      <w:bookmarkStart w:id="37" w:name="_Ref436660779"/>
      <w:r w:rsidRPr="00DC07C0">
        <w:t>Features of claims</w:t>
      </w:r>
      <w:bookmarkEnd w:id="37"/>
    </w:p>
    <w:p w:rsidR="00803616" w:rsidRDefault="00CE0DDE" w:rsidP="00803616">
      <w:pPr>
        <w:pStyle w:val="ParaNumbering"/>
      </w:pPr>
      <w:r>
        <w:t>The applicants alle</w:t>
      </w:r>
      <w:r w:rsidR="00803616">
        <w:t xml:space="preserve">ge that the </w:t>
      </w:r>
      <w:r w:rsidR="00337C85">
        <w:t>ORIshot Tool</w:t>
      </w:r>
      <w:r w:rsidR="00803616">
        <w:t>s include the features of each of the claims of</w:t>
      </w:r>
      <w:r w:rsidR="00DC07C0">
        <w:t xml:space="preserve"> </w:t>
      </w:r>
      <w:r w:rsidR="00803616">
        <w:t>the System Paten</w:t>
      </w:r>
      <w:r w:rsidR="00DC07C0">
        <w:t>t</w:t>
      </w:r>
      <w:r w:rsidR="00803616">
        <w:t>.</w:t>
      </w:r>
    </w:p>
    <w:p w:rsidR="00803616" w:rsidRDefault="005678DF" w:rsidP="00803616">
      <w:pPr>
        <w:pStyle w:val="ParaNumbering"/>
      </w:pPr>
      <w:r>
        <w:t>T</w:t>
      </w:r>
      <w:r w:rsidR="00803616">
        <w:t xml:space="preserve">he </w:t>
      </w:r>
      <w:r>
        <w:t>r</w:t>
      </w:r>
      <w:r w:rsidR="00803616">
        <w:t>espondents deny these alle</w:t>
      </w:r>
      <w:r>
        <w:t xml:space="preserve">gations about the </w:t>
      </w:r>
      <w:r w:rsidR="00337C85">
        <w:t>ORIshot Tool</w:t>
      </w:r>
      <w:r w:rsidR="00803616">
        <w:t>s.</w:t>
      </w:r>
    </w:p>
    <w:p w:rsidR="00803616" w:rsidRDefault="00803616" w:rsidP="00803616">
      <w:pPr>
        <w:pStyle w:val="ParaNumbering"/>
      </w:pPr>
      <w:r>
        <w:t xml:space="preserve">The </w:t>
      </w:r>
      <w:r w:rsidR="005678DF">
        <w:t>r</w:t>
      </w:r>
      <w:r>
        <w:t xml:space="preserve">espondents </w:t>
      </w:r>
      <w:r w:rsidR="005678DF">
        <w:t xml:space="preserve">further allege that </w:t>
      </w:r>
      <w:r w:rsidR="00653C1E">
        <w:t xml:space="preserve">the applicants </w:t>
      </w:r>
      <w:r w:rsidR="005678DF">
        <w:t>had no granted and published patent ri</w:t>
      </w:r>
      <w:r>
        <w:t>ghts on 16</w:t>
      </w:r>
      <w:r w:rsidR="005678DF">
        <w:t xml:space="preserve"> </w:t>
      </w:r>
      <w:r>
        <w:t>December</w:t>
      </w:r>
      <w:r w:rsidR="005678DF">
        <w:t xml:space="preserve"> </w:t>
      </w:r>
      <w:r>
        <w:t>2010.</w:t>
      </w:r>
    </w:p>
    <w:p w:rsidR="00803616" w:rsidRPr="00C4777F" w:rsidRDefault="00803616" w:rsidP="008C5377">
      <w:pPr>
        <w:pStyle w:val="Heading7"/>
      </w:pPr>
      <w:bookmarkStart w:id="38" w:name="_Ref436660780"/>
      <w:r w:rsidRPr="00C4777F">
        <w:t>I</w:t>
      </w:r>
      <w:r w:rsidR="00CE0DDE" w:rsidRPr="00C4777F">
        <w:t xml:space="preserve">nfringement of </w:t>
      </w:r>
      <w:r w:rsidR="00CE0DDE">
        <w:t>M</w:t>
      </w:r>
      <w:r w:rsidR="00CE0DDE" w:rsidRPr="00C4777F">
        <w:t xml:space="preserve">ethod </w:t>
      </w:r>
      <w:r w:rsidR="00CE0DDE">
        <w:t>P</w:t>
      </w:r>
      <w:r w:rsidR="00CE0DDE" w:rsidRPr="00C4777F">
        <w:t>atent</w:t>
      </w:r>
      <w:bookmarkEnd w:id="38"/>
    </w:p>
    <w:p w:rsidR="00803616" w:rsidRDefault="00CE0DDE" w:rsidP="00803616">
      <w:pPr>
        <w:pStyle w:val="ParaNumbering"/>
      </w:pPr>
      <w:r>
        <w:t xml:space="preserve">The applicants </w:t>
      </w:r>
      <w:r w:rsidR="00725927">
        <w:t>allege</w:t>
      </w:r>
      <w:r>
        <w:t xml:space="preserve"> </w:t>
      </w:r>
      <w:r w:rsidR="00725927">
        <w:t xml:space="preserve">that the </w:t>
      </w:r>
      <w:r w:rsidR="00337C85">
        <w:t>ORIshot Tool</w:t>
      </w:r>
      <w:r w:rsidR="00803616">
        <w:t>s are:</w:t>
      </w:r>
      <w:r w:rsidR="00725927">
        <w:t xml:space="preserve">  </w:t>
      </w:r>
    </w:p>
    <w:p w:rsidR="00803616" w:rsidRDefault="007E0CAD" w:rsidP="001332BE">
      <w:pPr>
        <w:pStyle w:val="ListNo"/>
        <w:numPr>
          <w:ilvl w:val="0"/>
          <w:numId w:val="23"/>
        </w:numPr>
        <w:tabs>
          <w:tab w:val="clear" w:pos="720"/>
        </w:tabs>
      </w:pPr>
      <w:r>
        <w:t xml:space="preserve">capable of </w:t>
      </w:r>
      <w:r w:rsidR="00803616">
        <w:t>be</w:t>
      </w:r>
      <w:r>
        <w:t>ing used in a method incl</w:t>
      </w:r>
      <w:r w:rsidR="00803616">
        <w:t>uding the features of each of the claims</w:t>
      </w:r>
      <w:r>
        <w:t xml:space="preserve"> of the Method Patent; </w:t>
      </w:r>
      <w:r w:rsidR="00803616">
        <w:t>and</w:t>
      </w:r>
    </w:p>
    <w:p w:rsidR="00024664" w:rsidRDefault="007A7EE7" w:rsidP="001332BE">
      <w:pPr>
        <w:pStyle w:val="ListNo"/>
        <w:numPr>
          <w:ilvl w:val="0"/>
          <w:numId w:val="23"/>
        </w:numPr>
        <w:tabs>
          <w:tab w:val="clear" w:pos="720"/>
        </w:tabs>
      </w:pPr>
      <w:r>
        <w:t xml:space="preserve">are only capable of that one reasonable use having regard </w:t>
      </w:r>
      <w:r w:rsidR="00024664">
        <w:t>to their nature or</w:t>
      </w:r>
      <w:r>
        <w:t xml:space="preserve"> design</w:t>
      </w:r>
      <w:r w:rsidR="00024664">
        <w:t>.</w:t>
      </w:r>
    </w:p>
    <w:p w:rsidR="00024664" w:rsidRDefault="00024664" w:rsidP="00024664">
      <w:pPr>
        <w:pStyle w:val="ParaNumbering"/>
      </w:pPr>
      <w:r>
        <w:t xml:space="preserve">The </w:t>
      </w:r>
      <w:r w:rsidR="007A7EE7">
        <w:t>r</w:t>
      </w:r>
      <w:r>
        <w:t xml:space="preserve">espondents deny these allegations about the </w:t>
      </w:r>
      <w:r w:rsidR="00337C85">
        <w:t>ORIshot Tool</w:t>
      </w:r>
      <w:r>
        <w:t>s.</w:t>
      </w:r>
    </w:p>
    <w:p w:rsidR="00024664" w:rsidRDefault="00024664" w:rsidP="00024664">
      <w:pPr>
        <w:pStyle w:val="ParaNumbering"/>
      </w:pPr>
      <w:r>
        <w:t xml:space="preserve">The </w:t>
      </w:r>
      <w:r w:rsidR="007A7EE7">
        <w:t xml:space="preserve">applicants allege that the </w:t>
      </w:r>
      <w:r w:rsidR="00337C85">
        <w:t>ORIshot Tool</w:t>
      </w:r>
      <w:r>
        <w:t>s are:</w:t>
      </w:r>
    </w:p>
    <w:p w:rsidR="00024664" w:rsidRDefault="00024664" w:rsidP="001332BE">
      <w:pPr>
        <w:pStyle w:val="ListNo"/>
        <w:numPr>
          <w:ilvl w:val="0"/>
          <w:numId w:val="24"/>
        </w:numPr>
        <w:tabs>
          <w:tab w:val="clear" w:pos="720"/>
        </w:tabs>
      </w:pPr>
      <w:r>
        <w:t>not staple commercial products; and</w:t>
      </w:r>
    </w:p>
    <w:p w:rsidR="00024664" w:rsidRDefault="00024664" w:rsidP="001332BE">
      <w:pPr>
        <w:pStyle w:val="ListNo"/>
        <w:numPr>
          <w:ilvl w:val="0"/>
          <w:numId w:val="24"/>
        </w:numPr>
        <w:tabs>
          <w:tab w:val="clear" w:pos="720"/>
        </w:tabs>
      </w:pPr>
      <w:r>
        <w:t xml:space="preserve">the corporate </w:t>
      </w:r>
      <w:r w:rsidR="007A7EE7">
        <w:t>r</w:t>
      </w:r>
      <w:r>
        <w:t>espondents had reason to believe that the persons to whom they</w:t>
      </w:r>
      <w:r w:rsidR="007A7EE7">
        <w:t xml:space="preserve"> </w:t>
      </w:r>
      <w:r>
        <w:t>were suppl</w:t>
      </w:r>
      <w:r w:rsidR="007A7EE7">
        <w:t xml:space="preserve">ied would use them in a method </w:t>
      </w:r>
      <w:r>
        <w:t xml:space="preserve">including each of </w:t>
      </w:r>
      <w:r w:rsidR="007A7EE7">
        <w:t>the claims of the Method Patent.</w:t>
      </w:r>
    </w:p>
    <w:p w:rsidR="00024664" w:rsidRDefault="004F545D" w:rsidP="00024664">
      <w:pPr>
        <w:pStyle w:val="ParaNumbering"/>
      </w:pPr>
      <w:r>
        <w:t>Corete</w:t>
      </w:r>
      <w:r w:rsidR="00024664">
        <w:t xml:space="preserve">ll admits that it had reason to believe that its customers would use the </w:t>
      </w:r>
      <w:r w:rsidR="00337C85">
        <w:t>ORIshot Tool</w:t>
      </w:r>
      <w:r w:rsidR="00024664">
        <w:t xml:space="preserve">s in accordance with the instructions provided with those tools. </w:t>
      </w:r>
      <w:r>
        <w:t xml:space="preserve"> </w:t>
      </w:r>
      <w:r w:rsidR="00024664">
        <w:t xml:space="preserve">Otherwise, the </w:t>
      </w:r>
      <w:r>
        <w:t xml:space="preserve">respondents deny these </w:t>
      </w:r>
      <w:r w:rsidR="00024664">
        <w:t>allegations</w:t>
      </w:r>
      <w:r>
        <w:t xml:space="preserve">.  </w:t>
      </w:r>
    </w:p>
    <w:p w:rsidR="00024664" w:rsidRDefault="00DC10EB" w:rsidP="00024664">
      <w:pPr>
        <w:pStyle w:val="ParaNumbering"/>
      </w:pPr>
      <w:r>
        <w:t xml:space="preserve">The applicants allege that the corporate respondents have given, or published advertisements containing, instructions or inducements for the use of the </w:t>
      </w:r>
      <w:r w:rsidR="00337C85">
        <w:t>ORIshot Tool</w:t>
      </w:r>
      <w:r>
        <w:t xml:space="preserve">s and use of the </w:t>
      </w:r>
      <w:r w:rsidR="00337C85">
        <w:t>ORIshot Tool</w:t>
      </w:r>
      <w:r>
        <w:t xml:space="preserve">s in accordance with those instructions or inducements will involve them being used in a method including the features of the claims of the Method Patent.  </w:t>
      </w:r>
    </w:p>
    <w:p w:rsidR="00024664" w:rsidRDefault="00F5493D" w:rsidP="00024664">
      <w:pPr>
        <w:pStyle w:val="ParaNumbering"/>
      </w:pPr>
      <w:r>
        <w:t>Corete</w:t>
      </w:r>
      <w:r w:rsidR="00024664">
        <w:t xml:space="preserve">ll admits that it supplied and hired the </w:t>
      </w:r>
      <w:r w:rsidR="00337C85">
        <w:t>ORIshot Tool</w:t>
      </w:r>
      <w:r w:rsidR="00024664">
        <w:t>s with instructions for the use of those tools.</w:t>
      </w:r>
      <w:r>
        <w:t xml:space="preserve"> </w:t>
      </w:r>
      <w:r w:rsidR="00024664">
        <w:t xml:space="preserve"> Otherwise, the </w:t>
      </w:r>
      <w:r>
        <w:t>r</w:t>
      </w:r>
      <w:r w:rsidR="00024664">
        <w:t>espondents deny these allegations</w:t>
      </w:r>
      <w:r>
        <w:t>.</w:t>
      </w:r>
    </w:p>
    <w:p w:rsidR="00024664" w:rsidRDefault="00DC10EB" w:rsidP="00024664">
      <w:pPr>
        <w:pStyle w:val="ParaNumbering"/>
      </w:pPr>
      <w:r>
        <w:lastRenderedPageBreak/>
        <w:t>The applicants allege that since 16 December 2010</w:t>
      </w:r>
      <w:r w:rsidR="00CE0DDE">
        <w:t xml:space="preserve">, </w:t>
      </w:r>
      <w:r>
        <w:t>alternatively since 5 September 2005</w:t>
      </w:r>
      <w:r w:rsidR="00CE0DDE">
        <w:t xml:space="preserve">, </w:t>
      </w:r>
      <w:r>
        <w:t xml:space="preserve">the respondents have authorised, procured, induced or joined in a common design with persons to whom the </w:t>
      </w:r>
      <w:r w:rsidR="00337C85">
        <w:t>ORIshot Tool</w:t>
      </w:r>
      <w:r>
        <w:t xml:space="preserve">s have been supplied to use those </w:t>
      </w:r>
      <w:r w:rsidR="00337C85">
        <w:t>ORIshot Tool</w:t>
      </w:r>
      <w:r>
        <w:t xml:space="preserve">s in a method including the features of the claims of the Method Patent and those persons have so used the </w:t>
      </w:r>
      <w:r w:rsidR="00337C85">
        <w:t>ORIshot Tool</w:t>
      </w:r>
      <w:r>
        <w:t xml:space="preserve">s.  </w:t>
      </w:r>
    </w:p>
    <w:p w:rsidR="00803616" w:rsidRDefault="00024664" w:rsidP="00957E7F">
      <w:pPr>
        <w:pStyle w:val="ParaNumbering"/>
      </w:pPr>
      <w:r>
        <w:t xml:space="preserve">Coretell admits that it supplied and hired </w:t>
      </w:r>
      <w:r w:rsidR="00337C85">
        <w:t>ORIshot Tool</w:t>
      </w:r>
      <w:r w:rsidR="00957E7F">
        <w:t xml:space="preserve">s with instructions with </w:t>
      </w:r>
      <w:r>
        <w:t>reaso</w:t>
      </w:r>
      <w:r w:rsidR="00957E7F">
        <w:t>n to believe that the tools wou</w:t>
      </w:r>
      <w:r>
        <w:t>ld be used in accordance with the instructions.</w:t>
      </w:r>
      <w:r w:rsidR="00957E7F">
        <w:t xml:space="preserve"> </w:t>
      </w:r>
      <w:r>
        <w:t xml:space="preserve"> Otherwise, the </w:t>
      </w:r>
      <w:r w:rsidR="00957E7F">
        <w:t>r</w:t>
      </w:r>
      <w:r>
        <w:t>espondents deny these allegations</w:t>
      </w:r>
      <w:r w:rsidR="00957E7F">
        <w:t>.</w:t>
      </w:r>
    </w:p>
    <w:p w:rsidR="00602FA9" w:rsidRPr="00602FA9" w:rsidRDefault="00A036E6" w:rsidP="008C5377">
      <w:pPr>
        <w:pStyle w:val="Heading8"/>
      </w:pPr>
      <w:bookmarkStart w:id="39" w:name="_Ref436931745"/>
      <w:r>
        <w:t>Sale etc of ORIshot Tools</w:t>
      </w:r>
      <w:bookmarkEnd w:id="39"/>
    </w:p>
    <w:p w:rsidR="00602FA9" w:rsidRDefault="00602FA9" w:rsidP="00602FA9">
      <w:pPr>
        <w:pStyle w:val="ParaNumbering"/>
      </w:pPr>
      <w:r>
        <w:t>The applicants allege that the respondents</w:t>
      </w:r>
      <w:r w:rsidR="00CE0DDE">
        <w:t xml:space="preserve"> have infringed the claims of the Method Patent</w:t>
      </w:r>
      <w:r>
        <w:t xml:space="preserve"> by reason of:</w:t>
      </w:r>
    </w:p>
    <w:p w:rsidR="00602FA9" w:rsidRDefault="00602FA9" w:rsidP="001332BE">
      <w:pPr>
        <w:pStyle w:val="ListNo"/>
        <w:numPr>
          <w:ilvl w:val="0"/>
          <w:numId w:val="25"/>
        </w:numPr>
        <w:tabs>
          <w:tab w:val="clear" w:pos="720"/>
        </w:tabs>
      </w:pPr>
      <w:r>
        <w:t>their unauthorised acts since 16 December 2010</w:t>
      </w:r>
      <w:r w:rsidR="00965D70">
        <w:t xml:space="preserve">, </w:t>
      </w:r>
      <w:r>
        <w:t>alternatively since 5 September 2005</w:t>
      </w:r>
      <w:r w:rsidR="00965D70">
        <w:t>,</w:t>
      </w:r>
      <w:r>
        <w:t xml:space="preserve"> of making, selling, supplying or otherwise disposing of, or offering for those purposes, </w:t>
      </w:r>
      <w:r w:rsidR="00337C85">
        <w:t>ORIshot Tool</w:t>
      </w:r>
      <w:r w:rsidR="008D4EC0">
        <w:t>s</w:t>
      </w:r>
      <w:r>
        <w:t>;</w:t>
      </w:r>
    </w:p>
    <w:p w:rsidR="00602FA9" w:rsidRDefault="00602FA9" w:rsidP="001332BE">
      <w:pPr>
        <w:pStyle w:val="ListNo"/>
        <w:numPr>
          <w:ilvl w:val="0"/>
          <w:numId w:val="25"/>
        </w:numPr>
        <w:tabs>
          <w:tab w:val="clear" w:pos="720"/>
        </w:tabs>
      </w:pPr>
      <w:r>
        <w:t>their supply since 16 December 2010</w:t>
      </w:r>
      <w:r w:rsidR="00965D70">
        <w:t xml:space="preserve">, </w:t>
      </w:r>
      <w:r>
        <w:t>alternatively since 5 September 2005</w:t>
      </w:r>
      <w:r w:rsidR="00965D70">
        <w:t>,</w:t>
      </w:r>
      <w:r>
        <w:t xml:space="preserve"> of </w:t>
      </w:r>
      <w:r w:rsidR="00337C85">
        <w:t>ORIshot Tool</w:t>
      </w:r>
      <w:r w:rsidR="008D4EC0">
        <w:t>s</w:t>
      </w:r>
      <w:r>
        <w:t xml:space="preserve"> for use; </w:t>
      </w:r>
    </w:p>
    <w:p w:rsidR="00602FA9" w:rsidRDefault="00602FA9" w:rsidP="001332BE">
      <w:pPr>
        <w:pStyle w:val="ListNo"/>
        <w:numPr>
          <w:ilvl w:val="0"/>
          <w:numId w:val="25"/>
        </w:numPr>
        <w:tabs>
          <w:tab w:val="clear" w:pos="720"/>
        </w:tabs>
      </w:pPr>
      <w:r>
        <w:t xml:space="preserve">the use of </w:t>
      </w:r>
      <w:r w:rsidR="00337C85">
        <w:t>ORIshot Tool</w:t>
      </w:r>
      <w:r w:rsidR="008D4EC0">
        <w:t>s</w:t>
      </w:r>
      <w:r>
        <w:t xml:space="preserve"> since 16 December 2010, alternatively since 5 September 2005, in a method including the features of each of the claims in the Method Patent.</w:t>
      </w:r>
    </w:p>
    <w:p w:rsidR="00602FA9" w:rsidRDefault="00602FA9" w:rsidP="00602FA9">
      <w:pPr>
        <w:pStyle w:val="ParaNumbering"/>
      </w:pPr>
      <w:r>
        <w:t>These claims are denied by the respondents.</w:t>
      </w:r>
    </w:p>
    <w:p w:rsidR="00602FA9" w:rsidRDefault="0092407C" w:rsidP="00602FA9">
      <w:pPr>
        <w:pStyle w:val="ParaNumbering"/>
      </w:pPr>
      <w:r>
        <w:t xml:space="preserve">The respondents further allege that </w:t>
      </w:r>
      <w:r w:rsidR="00653C1E">
        <w:t xml:space="preserve">the applicants </w:t>
      </w:r>
      <w:r>
        <w:t>had no</w:t>
      </w:r>
      <w:r w:rsidR="00244C17">
        <w:t xml:space="preserve"> </w:t>
      </w:r>
      <w:r>
        <w:t>granted and published patent rights in respect of the Method Patent prior to 29 September 201</w:t>
      </w:r>
      <w:r w:rsidR="00965D70">
        <w:t>1</w:t>
      </w:r>
      <w:r>
        <w:t xml:space="preserve"> and had no granted and published patent rights on 16 December 2010</w:t>
      </w:r>
      <w:r w:rsidR="00602FA9">
        <w:t>.</w:t>
      </w:r>
    </w:p>
    <w:p w:rsidR="00602FA9" w:rsidRPr="00C4777F" w:rsidRDefault="00026CDE" w:rsidP="008C5377">
      <w:pPr>
        <w:pStyle w:val="Heading7"/>
      </w:pPr>
      <w:bookmarkStart w:id="40" w:name="_Ref436660782"/>
      <w:r w:rsidRPr="00C4777F">
        <w:t>A</w:t>
      </w:r>
      <w:r w:rsidR="00965D70" w:rsidRPr="00C4777F">
        <w:t>ccessorial liability</w:t>
      </w:r>
      <w:bookmarkEnd w:id="40"/>
    </w:p>
    <w:p w:rsidR="00602FA9" w:rsidRPr="00E23CBE" w:rsidRDefault="00602FA9" w:rsidP="008C5377">
      <w:pPr>
        <w:pStyle w:val="Heading8"/>
      </w:pPr>
      <w:bookmarkStart w:id="41" w:name="_Ref436660783"/>
      <w:r w:rsidRPr="00E23CBE">
        <w:t>Mincrest and Kleyn Investments</w:t>
      </w:r>
      <w:bookmarkEnd w:id="41"/>
    </w:p>
    <w:p w:rsidR="00602FA9" w:rsidRDefault="00C441CF" w:rsidP="00602FA9">
      <w:pPr>
        <w:pStyle w:val="ParaNumbering"/>
      </w:pPr>
      <w:r>
        <w:t xml:space="preserve">The applicants allege </w:t>
      </w:r>
      <w:r w:rsidR="00602FA9">
        <w:t xml:space="preserve">that Mincrest </w:t>
      </w:r>
      <w:r w:rsidR="00E23CBE">
        <w:t>or Kleyn Investments authorised, procured or induced</w:t>
      </w:r>
      <w:r w:rsidR="00602FA9">
        <w:t>, or joined in a common design with Coretell to do the acts alleged to amount of infringement.</w:t>
      </w:r>
    </w:p>
    <w:p w:rsidR="00602FA9" w:rsidRDefault="000E27D5" w:rsidP="00602FA9">
      <w:pPr>
        <w:pStyle w:val="ParaNumbering"/>
      </w:pPr>
      <w:r>
        <w:t xml:space="preserve">The </w:t>
      </w:r>
      <w:r w:rsidR="00E23CBE">
        <w:t>respondents</w:t>
      </w:r>
      <w:r>
        <w:t xml:space="preserve"> deny the above allegations and contend further that:</w:t>
      </w:r>
    </w:p>
    <w:p w:rsidR="00602FA9" w:rsidRDefault="00602FA9" w:rsidP="001332BE">
      <w:pPr>
        <w:pStyle w:val="ListNo"/>
        <w:numPr>
          <w:ilvl w:val="0"/>
          <w:numId w:val="26"/>
        </w:numPr>
        <w:tabs>
          <w:tab w:val="clear" w:pos="720"/>
        </w:tabs>
      </w:pPr>
      <w:r w:rsidRPr="00424259">
        <w:lastRenderedPageBreak/>
        <w:t>Mincrest did not carry on any trade</w:t>
      </w:r>
      <w:r w:rsidR="00495A77" w:rsidRPr="00424259">
        <w:t xml:space="preserve"> </w:t>
      </w:r>
      <w:r w:rsidRPr="00424259">
        <w:t>or</w:t>
      </w:r>
      <w:r w:rsidR="00495A77" w:rsidRPr="00424259">
        <w:t xml:space="preserve"> </w:t>
      </w:r>
      <w:r w:rsidRPr="00424259">
        <w:t>business</w:t>
      </w:r>
      <w:r w:rsidR="00495A77" w:rsidRPr="00424259">
        <w:t xml:space="preserve"> </w:t>
      </w:r>
      <w:r w:rsidRPr="00424259">
        <w:t>in</w:t>
      </w:r>
      <w:r w:rsidR="00495A77" w:rsidRPr="00424259">
        <w:t xml:space="preserve"> </w:t>
      </w:r>
      <w:r w:rsidRPr="00424259">
        <w:t>Australia</w:t>
      </w:r>
      <w:r w:rsidR="00495A77" w:rsidRPr="00424259">
        <w:t xml:space="preserve"> </w:t>
      </w:r>
      <w:r w:rsidRPr="00424259">
        <w:t>at</w:t>
      </w:r>
      <w:r w:rsidR="00495A77" w:rsidRPr="00424259">
        <w:t xml:space="preserve"> </w:t>
      </w:r>
      <w:r w:rsidRPr="00424259">
        <w:t>all</w:t>
      </w:r>
      <w:r w:rsidR="00495A77" w:rsidRPr="00424259">
        <w:t xml:space="preserve"> </w:t>
      </w:r>
      <w:r w:rsidRPr="00424259">
        <w:t>material times after</w:t>
      </w:r>
      <w:r w:rsidR="00495A77" w:rsidRPr="00424259">
        <w:t xml:space="preserve"> </w:t>
      </w:r>
      <w:r w:rsidRPr="00424259">
        <w:t>16 December</w:t>
      </w:r>
      <w:r w:rsidR="00495A77" w:rsidRPr="00424259">
        <w:t xml:space="preserve"> </w:t>
      </w:r>
      <w:r w:rsidRPr="00424259">
        <w:t>2010</w:t>
      </w:r>
      <w:r>
        <w:t>; and</w:t>
      </w:r>
    </w:p>
    <w:p w:rsidR="006E7549" w:rsidRDefault="000E27D5" w:rsidP="001332BE">
      <w:pPr>
        <w:pStyle w:val="ListNo"/>
        <w:numPr>
          <w:ilvl w:val="0"/>
          <w:numId w:val="26"/>
        </w:numPr>
        <w:tabs>
          <w:tab w:val="clear" w:pos="720"/>
        </w:tabs>
      </w:pPr>
      <w:r w:rsidRPr="00424259">
        <w:t>Kleyn Investments</w:t>
      </w:r>
      <w:r w:rsidR="00C21167" w:rsidRPr="00424259">
        <w:t>’</w:t>
      </w:r>
      <w:r w:rsidRPr="00424259">
        <w:t xml:space="preserve"> business has been solely concerned since 16 December 2010 with exploitation of the Pro-Shot </w:t>
      </w:r>
      <w:r>
        <w:t xml:space="preserve">and not with any exploitation of the </w:t>
      </w:r>
      <w:r w:rsidR="00337C85">
        <w:t>ORIshot Tool</w:t>
      </w:r>
      <w:r w:rsidR="008D4EC0">
        <w:t>s</w:t>
      </w:r>
      <w:r>
        <w:t>.</w:t>
      </w:r>
      <w:r w:rsidR="006E7549">
        <w:t xml:space="preserve">  </w:t>
      </w:r>
    </w:p>
    <w:p w:rsidR="00602FA9" w:rsidRDefault="00C441CF" w:rsidP="00602FA9">
      <w:pPr>
        <w:pStyle w:val="ParaNumbering"/>
      </w:pPr>
      <w:r>
        <w:t xml:space="preserve">The applicants </w:t>
      </w:r>
      <w:r w:rsidR="000E27D5">
        <w:t>dispute t</w:t>
      </w:r>
      <w:r w:rsidR="00C21167">
        <w:t xml:space="preserve">he contentions in </w:t>
      </w:r>
      <w:r w:rsidR="000E27D5">
        <w:t>(a) and (b)</w:t>
      </w:r>
      <w:r w:rsidR="00465723">
        <w:t xml:space="preserve"> above</w:t>
      </w:r>
      <w:r w:rsidR="000E27D5">
        <w:t>.</w:t>
      </w:r>
    </w:p>
    <w:p w:rsidR="00602FA9" w:rsidRPr="00465723" w:rsidRDefault="00602FA9" w:rsidP="008C5377">
      <w:pPr>
        <w:pStyle w:val="Heading8"/>
      </w:pPr>
      <w:bookmarkStart w:id="42" w:name="_Ref436660784"/>
      <w:r w:rsidRPr="00465723">
        <w:t>Mr Kleyn</w:t>
      </w:r>
      <w:bookmarkEnd w:id="42"/>
    </w:p>
    <w:p w:rsidR="00602FA9" w:rsidRDefault="00C441CF" w:rsidP="00602FA9">
      <w:pPr>
        <w:pStyle w:val="ParaNumbering"/>
      </w:pPr>
      <w:r>
        <w:t xml:space="preserve">The applicants allege </w:t>
      </w:r>
      <w:r w:rsidR="000E27D5">
        <w:t>that Mr Kleyn has authorised, procured or induced or joined in</w:t>
      </w:r>
      <w:r w:rsidR="00465723">
        <w:t xml:space="preserve"> </w:t>
      </w:r>
      <w:r w:rsidR="000E27D5">
        <w:t xml:space="preserve">a common design with the corporate </w:t>
      </w:r>
      <w:r w:rsidR="00E23CBE">
        <w:t>respondents</w:t>
      </w:r>
      <w:r w:rsidR="000E27D5">
        <w:t xml:space="preserve"> to do the acts alleged to amount of</w:t>
      </w:r>
      <w:r w:rsidR="00465723">
        <w:t xml:space="preserve"> </w:t>
      </w:r>
      <w:r w:rsidR="00602FA9">
        <w:t>infringement</w:t>
      </w:r>
      <w:r w:rsidR="00465723">
        <w:t xml:space="preserve">. </w:t>
      </w:r>
      <w:r w:rsidR="00602FA9">
        <w:t xml:space="preserve"> </w:t>
      </w:r>
    </w:p>
    <w:p w:rsidR="00602FA9" w:rsidRDefault="00602FA9" w:rsidP="00602FA9">
      <w:pPr>
        <w:pStyle w:val="ParaNumbering"/>
      </w:pPr>
      <w:r>
        <w:t xml:space="preserve">The </w:t>
      </w:r>
      <w:r w:rsidR="00026CDE">
        <w:t>respondents</w:t>
      </w:r>
      <w:r w:rsidR="00465723">
        <w:t xml:space="preserve"> deny these allegation</w:t>
      </w:r>
      <w:r>
        <w:t>s.</w:t>
      </w:r>
    </w:p>
    <w:p w:rsidR="00D215AF" w:rsidRPr="00D215AF" w:rsidRDefault="00602FA9" w:rsidP="00F514FC">
      <w:pPr>
        <w:pStyle w:val="Heading8"/>
      </w:pPr>
      <w:bookmarkStart w:id="43" w:name="_Ref436660785"/>
      <w:r w:rsidRPr="00D215AF">
        <w:t>P</w:t>
      </w:r>
      <w:r w:rsidR="00C441CF" w:rsidRPr="00D215AF">
        <w:t>riority dates</w:t>
      </w:r>
      <w:bookmarkEnd w:id="43"/>
    </w:p>
    <w:p w:rsidR="00602FA9" w:rsidRDefault="00602FA9" w:rsidP="00D215AF">
      <w:pPr>
        <w:pStyle w:val="ParaNumbering"/>
      </w:pPr>
      <w:r>
        <w:t xml:space="preserve">The </w:t>
      </w:r>
      <w:r w:rsidR="00026CDE">
        <w:t>applicants</w:t>
      </w:r>
      <w:r>
        <w:t xml:space="preserve"> allege that:</w:t>
      </w:r>
    </w:p>
    <w:p w:rsidR="00602FA9" w:rsidRDefault="00602FA9" w:rsidP="001332BE">
      <w:pPr>
        <w:pStyle w:val="ListNo"/>
        <w:numPr>
          <w:ilvl w:val="0"/>
          <w:numId w:val="27"/>
        </w:numPr>
        <w:tabs>
          <w:tab w:val="clear" w:pos="720"/>
        </w:tabs>
      </w:pPr>
      <w:r>
        <w:t>the</w:t>
      </w:r>
      <w:r w:rsidR="00495A77">
        <w:t xml:space="preserve"> </w:t>
      </w:r>
      <w:r>
        <w:t>Patents</w:t>
      </w:r>
      <w:r w:rsidR="00495A77">
        <w:t xml:space="preserve"> </w:t>
      </w:r>
      <w:r>
        <w:t>are</w:t>
      </w:r>
      <w:r w:rsidR="00495A77">
        <w:t xml:space="preserve"> </w:t>
      </w:r>
      <w:r>
        <w:t>entitled</w:t>
      </w:r>
      <w:r w:rsidR="00495A77">
        <w:t xml:space="preserve"> </w:t>
      </w:r>
      <w:r>
        <w:t>to</w:t>
      </w:r>
      <w:r w:rsidR="00495A77">
        <w:t xml:space="preserve"> </w:t>
      </w:r>
      <w:r>
        <w:t>claim</w:t>
      </w:r>
      <w:r w:rsidR="00495A77">
        <w:t xml:space="preserve"> </w:t>
      </w:r>
      <w:r>
        <w:t>priority</w:t>
      </w:r>
      <w:r w:rsidR="00495A77">
        <w:t xml:space="preserve"> </w:t>
      </w:r>
      <w:r>
        <w:t>from</w:t>
      </w:r>
      <w:r w:rsidR="00495A77">
        <w:t xml:space="preserve"> </w:t>
      </w:r>
      <w:r>
        <w:t>the</w:t>
      </w:r>
      <w:r w:rsidR="00495A77">
        <w:t xml:space="preserve"> </w:t>
      </w:r>
      <w:r>
        <w:t>Provisional</w:t>
      </w:r>
      <w:r w:rsidR="00495A77">
        <w:t xml:space="preserve"> </w:t>
      </w:r>
      <w:r>
        <w:t>Application</w:t>
      </w:r>
      <w:r w:rsidR="00C441CF">
        <w:t xml:space="preserve"> filed on 3 </w:t>
      </w:r>
      <w:r w:rsidR="001F6151">
        <w:t>September 2004;</w:t>
      </w:r>
    </w:p>
    <w:p w:rsidR="00602FA9" w:rsidRDefault="00842B00" w:rsidP="001332BE">
      <w:pPr>
        <w:pStyle w:val="ListNo"/>
        <w:numPr>
          <w:ilvl w:val="0"/>
          <w:numId w:val="27"/>
        </w:numPr>
        <w:tabs>
          <w:tab w:val="clear" w:pos="720"/>
        </w:tabs>
      </w:pPr>
      <w:r>
        <w:t>the Complete Application, f</w:t>
      </w:r>
      <w:r w:rsidR="00602FA9">
        <w:t>iled on 5 September 2005:</w:t>
      </w:r>
    </w:p>
    <w:p w:rsidR="00602FA9" w:rsidRDefault="00602FA9" w:rsidP="001332BE">
      <w:pPr>
        <w:pStyle w:val="ListNo"/>
        <w:numPr>
          <w:ilvl w:val="4"/>
          <w:numId w:val="27"/>
        </w:numPr>
        <w:tabs>
          <w:tab w:val="clear" w:pos="3600"/>
          <w:tab w:val="num" w:pos="1418"/>
        </w:tabs>
        <w:ind w:left="1418" w:hanging="709"/>
      </w:pPr>
      <w:r>
        <w:t>is the divisional parent of</w:t>
      </w:r>
      <w:r w:rsidR="00465723">
        <w:t xml:space="preserve"> the </w:t>
      </w:r>
      <w:r w:rsidR="00C441CF">
        <w:t>d</w:t>
      </w:r>
      <w:r w:rsidR="00465723">
        <w:t>ivisional</w:t>
      </w:r>
      <w:r w:rsidR="00495A77">
        <w:t xml:space="preserve"> </w:t>
      </w:r>
      <w:r w:rsidR="00C441CF">
        <w:t>p</w:t>
      </w:r>
      <w:r w:rsidR="00465723">
        <w:t xml:space="preserve">arent </w:t>
      </w:r>
      <w:r w:rsidR="00C441CF">
        <w:t>a</w:t>
      </w:r>
      <w:r w:rsidR="00465723">
        <w:t>pplicat</w:t>
      </w:r>
      <w:r>
        <w:t>ion</w:t>
      </w:r>
      <w:r w:rsidR="00495A77">
        <w:t xml:space="preserve"> </w:t>
      </w:r>
      <w:r w:rsidR="00465723">
        <w:t>f</w:t>
      </w:r>
      <w:r>
        <w:t>iled on</w:t>
      </w:r>
      <w:r w:rsidR="00495A77">
        <w:t xml:space="preserve"> </w:t>
      </w:r>
      <w:r w:rsidR="00465723">
        <w:t>15 </w:t>
      </w:r>
      <w:r>
        <w:t>January 20</w:t>
      </w:r>
      <w:r w:rsidR="00465723">
        <w:t>10; and</w:t>
      </w:r>
    </w:p>
    <w:p w:rsidR="00602FA9" w:rsidRDefault="00602FA9" w:rsidP="001332BE">
      <w:pPr>
        <w:pStyle w:val="ListNo"/>
        <w:numPr>
          <w:ilvl w:val="4"/>
          <w:numId w:val="27"/>
        </w:numPr>
        <w:tabs>
          <w:tab w:val="clear" w:pos="3600"/>
          <w:tab w:val="num" w:pos="1418"/>
        </w:tabs>
        <w:ind w:left="1418" w:hanging="709"/>
      </w:pPr>
      <w:r>
        <w:t>therefore the divisional grandparent of the Patents.</w:t>
      </w:r>
    </w:p>
    <w:p w:rsidR="00602FA9" w:rsidRDefault="00602FA9" w:rsidP="00602FA9">
      <w:pPr>
        <w:pStyle w:val="ParaNumbering"/>
      </w:pPr>
      <w:r>
        <w:t xml:space="preserve">This is denied by the </w:t>
      </w:r>
      <w:r w:rsidR="00026CDE">
        <w:t>respondents</w:t>
      </w:r>
      <w:r w:rsidR="00C9105A">
        <w:t>.</w:t>
      </w:r>
    </w:p>
    <w:p w:rsidR="005801B4" w:rsidRDefault="00C441CF" w:rsidP="00602FA9">
      <w:pPr>
        <w:pStyle w:val="ParaNumbering"/>
      </w:pPr>
      <w:r>
        <w:t xml:space="preserve">The applicants allege </w:t>
      </w:r>
      <w:r w:rsidR="000E27D5">
        <w:t>that the System</w:t>
      </w:r>
      <w:r w:rsidR="00495A77">
        <w:t xml:space="preserve"> </w:t>
      </w:r>
      <w:r w:rsidR="000E27D5">
        <w:t>Patent was granted to AMC on</w:t>
      </w:r>
      <w:r w:rsidR="00495A77">
        <w:t xml:space="preserve"> </w:t>
      </w:r>
      <w:r w:rsidR="000E27D5">
        <w:t>16 December</w:t>
      </w:r>
      <w:r w:rsidR="00C9105A">
        <w:t xml:space="preserve"> 2010.</w:t>
      </w:r>
      <w:r w:rsidR="00254904">
        <w:t xml:space="preserve">  </w:t>
      </w:r>
      <w:r w:rsidR="00602FA9">
        <w:t>The</w:t>
      </w:r>
      <w:r w:rsidR="00495A77">
        <w:t xml:space="preserve"> </w:t>
      </w:r>
      <w:r w:rsidR="00C9105A">
        <w:t>respondent</w:t>
      </w:r>
      <w:r w:rsidR="00602FA9">
        <w:t>s allege that</w:t>
      </w:r>
      <w:r w:rsidR="00495A77">
        <w:t xml:space="preserve"> </w:t>
      </w:r>
      <w:r w:rsidR="00602FA9">
        <w:t>the</w:t>
      </w:r>
      <w:r w:rsidR="00495A77">
        <w:t xml:space="preserve"> </w:t>
      </w:r>
      <w:r w:rsidR="00602FA9">
        <w:t>S</w:t>
      </w:r>
      <w:r w:rsidR="00C9105A">
        <w:t>ystem Patent was granted</w:t>
      </w:r>
      <w:r w:rsidR="00495A77">
        <w:t xml:space="preserve"> </w:t>
      </w:r>
      <w:r w:rsidR="00C9105A">
        <w:t>to AM</w:t>
      </w:r>
      <w:r w:rsidR="00602FA9">
        <w:t>C on 6 January</w:t>
      </w:r>
      <w:r w:rsidR="00C9105A">
        <w:t xml:space="preserve"> 2011</w:t>
      </w:r>
      <w:r w:rsidR="00602FA9">
        <w:t>.</w:t>
      </w:r>
      <w:r w:rsidR="002268F0">
        <w:t xml:space="preserve">  </w:t>
      </w:r>
    </w:p>
    <w:p w:rsidR="00602FA9" w:rsidRDefault="005801B4" w:rsidP="00602FA9">
      <w:pPr>
        <w:pStyle w:val="ParaNumbering"/>
      </w:pPr>
      <w:r>
        <w:t xml:space="preserve">The applicants allege </w:t>
      </w:r>
      <w:r w:rsidR="000E27D5">
        <w:t>that</w:t>
      </w:r>
      <w:r w:rsidR="00602FA9">
        <w:t xml:space="preserve"> the Method</w:t>
      </w:r>
      <w:r w:rsidR="00495A77">
        <w:t xml:space="preserve"> </w:t>
      </w:r>
      <w:r w:rsidR="00602FA9">
        <w:t>Patent was granted to AMC on</w:t>
      </w:r>
      <w:r w:rsidR="00495A77">
        <w:t xml:space="preserve"> </w:t>
      </w:r>
      <w:r w:rsidR="00602FA9">
        <w:t xml:space="preserve">15 September </w:t>
      </w:r>
      <w:r w:rsidR="00C9105A">
        <w:t>2011.</w:t>
      </w:r>
      <w:r w:rsidR="005D78F8">
        <w:t xml:space="preserve">  </w:t>
      </w:r>
      <w:r w:rsidR="00602FA9">
        <w:t>The</w:t>
      </w:r>
      <w:r w:rsidR="00495A77">
        <w:t xml:space="preserve"> </w:t>
      </w:r>
      <w:r w:rsidR="00026CDE">
        <w:t>respondents</w:t>
      </w:r>
      <w:r w:rsidR="00602FA9">
        <w:t xml:space="preserve"> allege that</w:t>
      </w:r>
      <w:r w:rsidR="00495A77">
        <w:t xml:space="preserve"> </w:t>
      </w:r>
      <w:r w:rsidR="00602FA9">
        <w:t>the Method</w:t>
      </w:r>
      <w:r w:rsidR="00495A77">
        <w:t xml:space="preserve"> </w:t>
      </w:r>
      <w:r w:rsidR="00602FA9">
        <w:t>Patent</w:t>
      </w:r>
      <w:r w:rsidR="00495A77">
        <w:t xml:space="preserve"> </w:t>
      </w:r>
      <w:r w:rsidR="00602FA9">
        <w:t>was granted</w:t>
      </w:r>
      <w:r w:rsidR="00495A77">
        <w:t xml:space="preserve"> </w:t>
      </w:r>
      <w:r w:rsidR="00602FA9">
        <w:t>to AMC</w:t>
      </w:r>
      <w:r w:rsidR="00495A77">
        <w:t xml:space="preserve"> </w:t>
      </w:r>
      <w:r w:rsidR="00602FA9">
        <w:t>on</w:t>
      </w:r>
      <w:r w:rsidR="00495A77">
        <w:t xml:space="preserve"> </w:t>
      </w:r>
      <w:r w:rsidR="00602FA9">
        <w:t>29 September 2011</w:t>
      </w:r>
      <w:r w:rsidR="00C9105A">
        <w:t>.</w:t>
      </w:r>
    </w:p>
    <w:p w:rsidR="00602FA9" w:rsidRDefault="000E27D5" w:rsidP="00602FA9">
      <w:pPr>
        <w:pStyle w:val="ParaNumbering"/>
      </w:pPr>
      <w:r>
        <w:t>Coretell</w:t>
      </w:r>
      <w:r w:rsidR="00244C17">
        <w:t xml:space="preserve"> </w:t>
      </w:r>
      <w:r>
        <w:t>contends</w:t>
      </w:r>
      <w:r w:rsidR="00495A77">
        <w:t xml:space="preserve"> </w:t>
      </w:r>
      <w:r>
        <w:t>that:</w:t>
      </w:r>
    </w:p>
    <w:p w:rsidR="00602FA9" w:rsidRDefault="000E27D5" w:rsidP="001332BE">
      <w:pPr>
        <w:pStyle w:val="ListNo"/>
        <w:numPr>
          <w:ilvl w:val="0"/>
          <w:numId w:val="28"/>
        </w:numPr>
        <w:tabs>
          <w:tab w:val="clear" w:pos="720"/>
        </w:tabs>
      </w:pPr>
      <w:r>
        <w:t xml:space="preserve">it is for the applicants to establish the </w:t>
      </w:r>
      <w:r w:rsidR="00E23CBE">
        <w:t>‘</w:t>
      </w:r>
      <w:r w:rsidR="00C15E8D">
        <w:t>fair basis’</w:t>
      </w:r>
      <w:r>
        <w:t xml:space="preserve"> for their claim to a priority date for the Patents of 3 September 2004 based on the asserted disclosure in </w:t>
      </w:r>
      <w:r w:rsidR="002D651E">
        <w:t xml:space="preserve">the </w:t>
      </w:r>
      <w:r>
        <w:t>Provisional Applicatio</w:t>
      </w:r>
      <w:r w:rsidR="00C15E8D">
        <w:t>n</w:t>
      </w:r>
      <w:r>
        <w:t>; and</w:t>
      </w:r>
    </w:p>
    <w:p w:rsidR="00602FA9" w:rsidRDefault="000E27D5" w:rsidP="001332BE">
      <w:pPr>
        <w:pStyle w:val="ListNo"/>
        <w:numPr>
          <w:ilvl w:val="0"/>
          <w:numId w:val="28"/>
        </w:numPr>
        <w:tabs>
          <w:tab w:val="clear" w:pos="720"/>
        </w:tabs>
      </w:pPr>
      <w:r>
        <w:lastRenderedPageBreak/>
        <w:t xml:space="preserve">if the Court construes the scope of the claims of the System Patent and the Method Patent as </w:t>
      </w:r>
      <w:r w:rsidR="00322748">
        <w:t xml:space="preserve">being </w:t>
      </w:r>
      <w:r>
        <w:t>broad enough to comprehend the Coretell tools involving two separate devices which are in d</w:t>
      </w:r>
      <w:r w:rsidR="00C15E8D">
        <w:t>ynamic electronic communication</w:t>
      </w:r>
      <w:r>
        <w:t>, there is no requisite disclosure in the priority documents to support</w:t>
      </w:r>
      <w:r w:rsidR="00842B00">
        <w:t xml:space="preserve"> the</w:t>
      </w:r>
      <w:r>
        <w:t xml:space="preserve"> claims as </w:t>
      </w:r>
      <w:r w:rsidR="00842B00">
        <w:t>s</w:t>
      </w:r>
      <w:r>
        <w:t>o broadly construed and</w:t>
      </w:r>
      <w:r w:rsidR="00495A77">
        <w:t xml:space="preserve"> </w:t>
      </w:r>
      <w:r>
        <w:t>consequently</w:t>
      </w:r>
      <w:r w:rsidR="00495A77">
        <w:t xml:space="preserve"> </w:t>
      </w:r>
      <w:r>
        <w:t>denies</w:t>
      </w:r>
      <w:r w:rsidR="00495A77">
        <w:t xml:space="preserve"> </w:t>
      </w:r>
      <w:r>
        <w:t>the applicants</w:t>
      </w:r>
      <w:r w:rsidR="00C15E8D">
        <w:t>’</w:t>
      </w:r>
      <w:r>
        <w:t xml:space="preserve"> entitlement to rely on that priority date of 3 September 2004.</w:t>
      </w:r>
    </w:p>
    <w:p w:rsidR="00602FA9" w:rsidRDefault="00602FA9" w:rsidP="00602FA9">
      <w:pPr>
        <w:pStyle w:val="ParaNumbering"/>
      </w:pPr>
      <w:r>
        <w:t xml:space="preserve">Coretell also contends </w:t>
      </w:r>
      <w:r w:rsidR="005801B4">
        <w:t xml:space="preserve">(and the applicants dispute) </w:t>
      </w:r>
      <w:r w:rsidR="00842B00">
        <w:t>that</w:t>
      </w:r>
      <w:r>
        <w:t>:</w:t>
      </w:r>
    </w:p>
    <w:p w:rsidR="00602FA9" w:rsidRDefault="000E27D5" w:rsidP="001332BE">
      <w:pPr>
        <w:pStyle w:val="ListNo"/>
        <w:numPr>
          <w:ilvl w:val="0"/>
          <w:numId w:val="29"/>
        </w:numPr>
        <w:tabs>
          <w:tab w:val="clear" w:pos="720"/>
        </w:tabs>
      </w:pPr>
      <w:r>
        <w:t xml:space="preserve">an essential feature of the invention as variously claimed in the Patents is that the core sample </w:t>
      </w:r>
      <w:r w:rsidR="005801B4">
        <w:t xml:space="preserve">as </w:t>
      </w:r>
      <w:r>
        <w:t>a unitary piece</w:t>
      </w:r>
      <w:r w:rsidR="00C15E8D">
        <w:t>,</w:t>
      </w:r>
      <w:r>
        <w:t xml:space="preserve"> </w:t>
      </w:r>
      <w:r w:rsidR="002D651E">
        <w:t xml:space="preserve">that is, </w:t>
      </w:r>
      <w:r>
        <w:t>unfractured, be held in fixed relation to the inner tube at the time of detachment from the body of material;</w:t>
      </w:r>
    </w:p>
    <w:p w:rsidR="00602FA9" w:rsidRDefault="00602FA9" w:rsidP="001332BE">
      <w:pPr>
        <w:pStyle w:val="ListNo"/>
        <w:numPr>
          <w:ilvl w:val="0"/>
          <w:numId w:val="29"/>
        </w:numPr>
        <w:tabs>
          <w:tab w:val="clear" w:pos="720"/>
        </w:tabs>
      </w:pPr>
      <w:r>
        <w:t xml:space="preserve">further essential features are the feature to the effect of </w:t>
      </w:r>
      <w:r w:rsidR="00E23CBE">
        <w:t>‘</w:t>
      </w:r>
      <w:r>
        <w:t>removing the inner tube</w:t>
      </w:r>
      <w:r w:rsidR="005801B4">
        <w:t>,</w:t>
      </w:r>
      <w:r>
        <w:t xml:space="preserve"> with the core sample held therein in fixed relation to it, from the body of material</w:t>
      </w:r>
      <w:r w:rsidR="006E6832">
        <w:t>’</w:t>
      </w:r>
      <w:r>
        <w:t xml:space="preserve"> and/or the feature to the effect of </w:t>
      </w:r>
      <w:r w:rsidR="00E23CBE">
        <w:t>‘</w:t>
      </w:r>
      <w:r>
        <w:t>means for measuring a time measurement</w:t>
      </w:r>
      <w:r w:rsidR="00495A77">
        <w:t xml:space="preserve"> </w:t>
      </w:r>
      <w:r>
        <w:t>indicative</w:t>
      </w:r>
      <w:r w:rsidR="00495A77">
        <w:t xml:space="preserve"> </w:t>
      </w:r>
      <w:r>
        <w:t>of the time during drilling</w:t>
      </w:r>
      <w:r w:rsidR="00495A77">
        <w:t xml:space="preserve"> </w:t>
      </w:r>
      <w:r>
        <w:t>when</w:t>
      </w:r>
      <w:r w:rsidR="00495A77">
        <w:t xml:space="preserve"> </w:t>
      </w:r>
      <w:r>
        <w:t>the</w:t>
      </w:r>
      <w:r w:rsidR="00495A77">
        <w:t xml:space="preserve"> </w:t>
      </w:r>
      <w:r>
        <w:t>core sample</w:t>
      </w:r>
      <w:r w:rsidR="00495A77">
        <w:t xml:space="preserve"> </w:t>
      </w:r>
      <w:r>
        <w:t>is</w:t>
      </w:r>
      <w:r w:rsidR="006E6832">
        <w:t xml:space="preserve"> </w:t>
      </w:r>
      <w:r>
        <w:t>detached from the body of material from which it is taken and held in fixed</w:t>
      </w:r>
      <w:r w:rsidR="006E6832">
        <w:t xml:space="preserve"> </w:t>
      </w:r>
      <w:r>
        <w:t>relation to the inner tube</w:t>
      </w:r>
      <w:r w:rsidR="00E23CBE">
        <w:t>’</w:t>
      </w:r>
      <w:r>
        <w:t>;</w:t>
      </w:r>
    </w:p>
    <w:p w:rsidR="00602FA9" w:rsidRDefault="000E27D5" w:rsidP="001332BE">
      <w:pPr>
        <w:pStyle w:val="ListNo"/>
        <w:numPr>
          <w:ilvl w:val="0"/>
          <w:numId w:val="29"/>
        </w:numPr>
        <w:tabs>
          <w:tab w:val="clear" w:pos="720"/>
        </w:tabs>
      </w:pPr>
      <w:r>
        <w:t xml:space="preserve">neither the </w:t>
      </w:r>
      <w:r w:rsidR="005801B4">
        <w:t>p</w:t>
      </w:r>
      <w:r>
        <w:t xml:space="preserve">rovisional </w:t>
      </w:r>
      <w:r w:rsidR="005801B4">
        <w:t>s</w:t>
      </w:r>
      <w:r>
        <w:t xml:space="preserve">pecification nor the </w:t>
      </w:r>
      <w:r w:rsidR="005801B4">
        <w:t>c</w:t>
      </w:r>
      <w:r>
        <w:t xml:space="preserve">omplete </w:t>
      </w:r>
      <w:r w:rsidR="005801B4">
        <w:t>s</w:t>
      </w:r>
      <w:r>
        <w:t>pecification disclose these essential features and, accordingly</w:t>
      </w:r>
      <w:r w:rsidR="006E6832">
        <w:t>,</w:t>
      </w:r>
      <w:r>
        <w:t xml:space="preserve"> </w:t>
      </w:r>
      <w:r w:rsidR="00602FA9">
        <w:t>the Patents</w:t>
      </w:r>
      <w:r w:rsidR="00495A77">
        <w:t xml:space="preserve"> </w:t>
      </w:r>
      <w:r w:rsidR="00602FA9">
        <w:t>are</w:t>
      </w:r>
      <w:r w:rsidR="00495A77">
        <w:t xml:space="preserve"> </w:t>
      </w:r>
      <w:r w:rsidR="00602FA9">
        <w:t>not entitled to any earlier priority date than the respective dates of filing of the Patents.</w:t>
      </w:r>
    </w:p>
    <w:p w:rsidR="00602FA9" w:rsidRPr="0084155B" w:rsidRDefault="000E27D5" w:rsidP="008C5377">
      <w:pPr>
        <w:pStyle w:val="Heading7"/>
      </w:pPr>
      <w:bookmarkStart w:id="44" w:name="_Ref436660786"/>
      <w:r w:rsidRPr="0084155B">
        <w:t>I</w:t>
      </w:r>
      <w:r w:rsidR="005801B4" w:rsidRPr="0084155B">
        <w:t>nnocent infringement</w:t>
      </w:r>
      <w:bookmarkEnd w:id="44"/>
    </w:p>
    <w:p w:rsidR="00602FA9" w:rsidRDefault="000E27D5" w:rsidP="00602FA9">
      <w:pPr>
        <w:pStyle w:val="ParaNumbering"/>
      </w:pPr>
      <w:r>
        <w:t>The respondents rely on s </w:t>
      </w:r>
      <w:r w:rsidR="00B37478">
        <w:t xml:space="preserve">123(1) </w:t>
      </w:r>
      <w:r w:rsidR="0084155B">
        <w:t xml:space="preserve">of the Act </w:t>
      </w:r>
      <w:r w:rsidR="00B37478">
        <w:t>and contend that</w:t>
      </w:r>
      <w:r w:rsidR="002E7C11">
        <w:t>,</w:t>
      </w:r>
      <w:r>
        <w:t xml:space="preserve"> if </w:t>
      </w:r>
      <w:r w:rsidR="002E7C11">
        <w:t xml:space="preserve">the Court finds that </w:t>
      </w:r>
      <w:r w:rsidR="00470CCE">
        <w:t>Coretell</w:t>
      </w:r>
      <w:r w:rsidR="002E7C11">
        <w:t xml:space="preserve"> </w:t>
      </w:r>
      <w:r w:rsidR="00B37478">
        <w:t>or an</w:t>
      </w:r>
      <w:r>
        <w:t xml:space="preserve">y </w:t>
      </w:r>
      <w:r w:rsidR="002E7C11">
        <w:t xml:space="preserve">of the other </w:t>
      </w:r>
      <w:r w:rsidR="00D43F87">
        <w:t>respondent</w:t>
      </w:r>
      <w:r w:rsidR="002E7C11">
        <w:t xml:space="preserve">s infringed the Patents, </w:t>
      </w:r>
      <w:r>
        <w:t>or one of</w:t>
      </w:r>
      <w:r w:rsidR="00495A77">
        <w:t xml:space="preserve"> </w:t>
      </w:r>
      <w:r>
        <w:t>them</w:t>
      </w:r>
      <w:r w:rsidR="002E7C11">
        <w:t>,</w:t>
      </w:r>
      <w:r w:rsidR="00495A77">
        <w:t xml:space="preserve"> </w:t>
      </w:r>
      <w:r>
        <w:t>then</w:t>
      </w:r>
      <w:r w:rsidR="00495A77">
        <w:t xml:space="preserve"> </w:t>
      </w:r>
      <w:r>
        <w:t xml:space="preserve">the </w:t>
      </w:r>
      <w:r w:rsidR="00E23CBE">
        <w:t>respondents</w:t>
      </w:r>
      <w:r>
        <w:t xml:space="preserve"> were not aware, and had no reason to believe, that a patent for the invention</w:t>
      </w:r>
      <w:r w:rsidR="00495A77">
        <w:t xml:space="preserve"> </w:t>
      </w:r>
      <w:r>
        <w:t>existed</w:t>
      </w:r>
      <w:r w:rsidR="00495A77">
        <w:t xml:space="preserve"> </w:t>
      </w:r>
      <w:r>
        <w:t>or</w:t>
      </w:r>
      <w:r w:rsidR="00495A77">
        <w:t xml:space="preserve"> </w:t>
      </w:r>
      <w:r>
        <w:t>that</w:t>
      </w:r>
      <w:r w:rsidR="00495A77">
        <w:t xml:space="preserve"> </w:t>
      </w:r>
      <w:r>
        <w:t>their</w:t>
      </w:r>
      <w:r w:rsidR="00495A77">
        <w:t xml:space="preserve"> </w:t>
      </w:r>
      <w:r>
        <w:t>a</w:t>
      </w:r>
      <w:r w:rsidR="00B37478">
        <w:t>cts</w:t>
      </w:r>
      <w:r w:rsidR="00495A77">
        <w:t xml:space="preserve"> </w:t>
      </w:r>
      <w:r w:rsidR="00B37478">
        <w:t>constituted</w:t>
      </w:r>
      <w:r w:rsidR="00495A77">
        <w:t xml:space="preserve"> </w:t>
      </w:r>
      <w:r w:rsidR="00B37478">
        <w:t xml:space="preserve">infringement.  </w:t>
      </w:r>
      <w:r>
        <w:t>Accordingly the applicants would be disentitled to relief for any such infringement.</w:t>
      </w:r>
    </w:p>
    <w:p w:rsidR="00213900" w:rsidRDefault="00213900" w:rsidP="00213900">
      <w:pPr>
        <w:pStyle w:val="Heading6"/>
      </w:pPr>
      <w:bookmarkStart w:id="45" w:name="_Ref436722506"/>
      <w:r>
        <w:t>Invalidity</w:t>
      </w:r>
      <w:bookmarkEnd w:id="45"/>
    </w:p>
    <w:p w:rsidR="00213900" w:rsidRDefault="00E17E00" w:rsidP="00213900">
      <w:pPr>
        <w:pStyle w:val="ParaNumbering"/>
      </w:pPr>
      <w:r>
        <w:t>Coretell</w:t>
      </w:r>
      <w:r w:rsidR="00213900">
        <w:t>, while denying any infringement, also contend</w:t>
      </w:r>
      <w:r>
        <w:t xml:space="preserve">s by cross-claim </w:t>
      </w:r>
      <w:r w:rsidR="00213900">
        <w:t xml:space="preserve">that the </w:t>
      </w:r>
      <w:r w:rsidR="002B10B5">
        <w:t>P</w:t>
      </w:r>
      <w:r w:rsidR="00213900">
        <w:t>atents are invalid on numerous grounds,</w:t>
      </w:r>
      <w:r w:rsidR="002B10B5">
        <w:t xml:space="preserve"> which will be developed</w:t>
      </w:r>
      <w:r w:rsidR="00047F66">
        <w:t xml:space="preserve"> fully in the section concerned</w:t>
      </w:r>
      <w:r w:rsidR="002B10B5">
        <w:t xml:space="preserve"> with Coretell’s cross-claims.  T</w:t>
      </w:r>
      <w:r w:rsidR="00213900">
        <w:t>hose grounds involving consideration of:</w:t>
      </w:r>
    </w:p>
    <w:p w:rsidR="00213900" w:rsidRDefault="00213900" w:rsidP="00213900">
      <w:pPr>
        <w:pStyle w:val="FCBullets"/>
      </w:pPr>
      <w:r>
        <w:t>the priority date;</w:t>
      </w:r>
    </w:p>
    <w:p w:rsidR="00213900" w:rsidRDefault="00235C6A" w:rsidP="00213900">
      <w:pPr>
        <w:pStyle w:val="FCBullets"/>
      </w:pPr>
      <w:r>
        <w:t xml:space="preserve">lack of </w:t>
      </w:r>
      <w:r w:rsidR="00213900">
        <w:t xml:space="preserve">novelty - prior art; </w:t>
      </w:r>
    </w:p>
    <w:p w:rsidR="00213900" w:rsidRDefault="00235C6A" w:rsidP="00213900">
      <w:pPr>
        <w:pStyle w:val="FCBullets"/>
      </w:pPr>
      <w:r>
        <w:lastRenderedPageBreak/>
        <w:t xml:space="preserve">lack of </w:t>
      </w:r>
      <w:r w:rsidR="00213900">
        <w:t xml:space="preserve">novelty - prior use; </w:t>
      </w:r>
    </w:p>
    <w:p w:rsidR="00213900" w:rsidRDefault="00213900" w:rsidP="00213900">
      <w:pPr>
        <w:pStyle w:val="FCBullets"/>
      </w:pPr>
      <w:r>
        <w:t>lack of innovative step;</w:t>
      </w:r>
    </w:p>
    <w:p w:rsidR="00213900" w:rsidRDefault="00213900" w:rsidP="00213900">
      <w:pPr>
        <w:pStyle w:val="FCBullets"/>
      </w:pPr>
      <w:r>
        <w:t>lack of fair basis;</w:t>
      </w:r>
    </w:p>
    <w:p w:rsidR="00213900" w:rsidRDefault="00235C6A" w:rsidP="00213900">
      <w:pPr>
        <w:pStyle w:val="FCBullets"/>
      </w:pPr>
      <w:r>
        <w:t xml:space="preserve">patents obtained by </w:t>
      </w:r>
      <w:r w:rsidR="00213900">
        <w:t xml:space="preserve">false suggestion or misrepresentation; </w:t>
      </w:r>
    </w:p>
    <w:p w:rsidR="00213900" w:rsidRDefault="00213900" w:rsidP="00213900">
      <w:pPr>
        <w:pStyle w:val="FCBullets"/>
      </w:pPr>
      <w:r>
        <w:t xml:space="preserve">lack of utility; </w:t>
      </w:r>
    </w:p>
    <w:p w:rsidR="00213900" w:rsidRDefault="00213900" w:rsidP="00213900">
      <w:pPr>
        <w:pStyle w:val="FCBullets"/>
      </w:pPr>
      <w:r>
        <w:t xml:space="preserve">insufficiency of description; </w:t>
      </w:r>
    </w:p>
    <w:p w:rsidR="00213900" w:rsidRDefault="00213900" w:rsidP="00213900">
      <w:pPr>
        <w:pStyle w:val="FCBullets"/>
      </w:pPr>
      <w:r>
        <w:t xml:space="preserve">inadequate definition; </w:t>
      </w:r>
    </w:p>
    <w:p w:rsidR="00213900" w:rsidRDefault="00213900" w:rsidP="00213900">
      <w:pPr>
        <w:pStyle w:val="FCBullets"/>
      </w:pPr>
      <w:r>
        <w:t xml:space="preserve">inadequate clarity; </w:t>
      </w:r>
    </w:p>
    <w:p w:rsidR="00213900" w:rsidRDefault="00213900" w:rsidP="00213900">
      <w:pPr>
        <w:pStyle w:val="FCBullets"/>
      </w:pPr>
      <w:r>
        <w:t>prior secret use; and</w:t>
      </w:r>
    </w:p>
    <w:p w:rsidR="00213900" w:rsidRDefault="00213900" w:rsidP="00213900">
      <w:pPr>
        <w:pStyle w:val="FCBullets"/>
      </w:pPr>
      <w:r>
        <w:t xml:space="preserve">no manner of manufacture disclosed. </w:t>
      </w:r>
    </w:p>
    <w:p w:rsidR="00213900" w:rsidRDefault="00213900" w:rsidP="00213900">
      <w:pPr>
        <w:pStyle w:val="ParaNumbering"/>
      </w:pPr>
      <w:r>
        <w:t>Coretell also claims in relation to unjustified threats</w:t>
      </w:r>
      <w:r w:rsidR="009F1147">
        <w:t xml:space="preserve"> and/or statutory breaches of the Australian Consumer Law, which is contained in Sch 2 of the </w:t>
      </w:r>
      <w:r w:rsidR="009F1147" w:rsidRPr="00BE0B2C">
        <w:rPr>
          <w:i/>
        </w:rPr>
        <w:t>C</w:t>
      </w:r>
      <w:r w:rsidR="009F1147">
        <w:rPr>
          <w:i/>
        </w:rPr>
        <w:t>ompetition and Consumer Act 2010</w:t>
      </w:r>
      <w:r w:rsidR="009F1147">
        <w:t xml:space="preserve"> (Cth) (</w:t>
      </w:r>
      <w:r w:rsidR="009F1147" w:rsidRPr="009F1147">
        <w:rPr>
          <w:b/>
        </w:rPr>
        <w:t>ACL</w:t>
      </w:r>
      <w:r w:rsidR="009F1147">
        <w:t>)</w:t>
      </w:r>
      <w:r>
        <w:t>.</w:t>
      </w:r>
    </w:p>
    <w:p w:rsidR="00042ACD" w:rsidRDefault="00042ACD" w:rsidP="00042ACD">
      <w:pPr>
        <w:pStyle w:val="ParaNumbering"/>
      </w:pPr>
      <w:r>
        <w:t>Th</w:t>
      </w:r>
      <w:r w:rsidR="00390F7B">
        <w:t xml:space="preserve">e applicants take issue with </w:t>
      </w:r>
      <w:r w:rsidR="00151136">
        <w:t xml:space="preserve">all of </w:t>
      </w:r>
      <w:r w:rsidR="00390F7B">
        <w:t>the</w:t>
      </w:r>
      <w:r>
        <w:t>s</w:t>
      </w:r>
      <w:r w:rsidR="00390F7B">
        <w:t>e</w:t>
      </w:r>
      <w:r>
        <w:t xml:space="preserve"> allegation</w:t>
      </w:r>
      <w:r w:rsidR="00390F7B">
        <w:t>s</w:t>
      </w:r>
      <w:r>
        <w:t>.</w:t>
      </w:r>
    </w:p>
    <w:p w:rsidR="00DB2308" w:rsidRDefault="00A95B48" w:rsidP="00B25A5D">
      <w:pPr>
        <w:pStyle w:val="Heading5"/>
      </w:pPr>
      <w:bookmarkStart w:id="46" w:name="_Ref404090347"/>
      <w:bookmarkStart w:id="47" w:name="_Ref409424806"/>
      <w:r>
        <w:t>SOME GUIDING PRINCIPLES</w:t>
      </w:r>
      <w:bookmarkEnd w:id="46"/>
      <w:r w:rsidR="007833EC">
        <w:t xml:space="preserve"> ON CONSTRUCTION</w:t>
      </w:r>
      <w:bookmarkEnd w:id="47"/>
    </w:p>
    <w:p w:rsidR="00B25A5D" w:rsidRDefault="007833EC" w:rsidP="00B25A5D">
      <w:pPr>
        <w:pStyle w:val="ParaNumbering"/>
      </w:pPr>
      <w:r>
        <w:t xml:space="preserve">I intend at this point only to touch lightly upon principles of construction for two reasons.  First, </w:t>
      </w:r>
      <w:r w:rsidR="00955B8F">
        <w:t>th</w:t>
      </w:r>
      <w:r w:rsidR="00E8233D">
        <w:t>e principles are not contentious</w:t>
      </w:r>
      <w:r w:rsidR="00955B8F">
        <w:t xml:space="preserve"> and not</w:t>
      </w:r>
      <w:r w:rsidR="00E8233D">
        <w:t xml:space="preserve"> </w:t>
      </w:r>
      <w:r>
        <w:t>be</w:t>
      </w:r>
      <w:r w:rsidR="00955B8F">
        <w:t>ing</w:t>
      </w:r>
      <w:r>
        <w:t xml:space="preserve"> contested</w:t>
      </w:r>
      <w:r w:rsidR="00E8233D">
        <w:t xml:space="preserve"> in this proceeding</w:t>
      </w:r>
      <w:r>
        <w:t xml:space="preserve">.  Secondly, I have </w:t>
      </w:r>
      <w:r w:rsidR="00E8233D">
        <w:t xml:space="preserve">dealt </w:t>
      </w:r>
      <w:r>
        <w:t>with the authorities</w:t>
      </w:r>
      <w:r w:rsidR="00E8233D">
        <w:t xml:space="preserve"> below</w:t>
      </w:r>
      <w:r>
        <w:t xml:space="preserve">, topic by topic in relation to </w:t>
      </w:r>
      <w:r w:rsidR="00955B8F">
        <w:t xml:space="preserve">each of </w:t>
      </w:r>
      <w:r>
        <w:t xml:space="preserve">the </w:t>
      </w:r>
      <w:r w:rsidR="00151136">
        <w:t xml:space="preserve">specifically </w:t>
      </w:r>
      <w:r>
        <w:t xml:space="preserve">disputed areas.  </w:t>
      </w:r>
    </w:p>
    <w:p w:rsidR="00882DCE" w:rsidRDefault="00882DCE" w:rsidP="00882DCE">
      <w:pPr>
        <w:pStyle w:val="ParaNumbering"/>
      </w:pPr>
      <w:r>
        <w:t xml:space="preserve">It is impermissible for either the Court or the witnesses to approach the issues of construction with any regard to the alleged infringing articles:  </w:t>
      </w:r>
      <w:r w:rsidRPr="00820EAE">
        <w:rPr>
          <w:i/>
        </w:rPr>
        <w:t>Fresenius Medical Care Australia Pty Limited v Gambro Pty Limited</w:t>
      </w:r>
      <w:r w:rsidRPr="00820EAE">
        <w:t xml:space="preserve"> </w:t>
      </w:r>
      <w:r>
        <w:t>(</w:t>
      </w:r>
      <w:r w:rsidRPr="00820EAE">
        <w:t>2005</w:t>
      </w:r>
      <w:r>
        <w:t>)</w:t>
      </w:r>
      <w:r w:rsidRPr="00820EAE">
        <w:t xml:space="preserve"> 67 IPR 230</w:t>
      </w:r>
      <w:r>
        <w:t xml:space="preserve"> </w:t>
      </w:r>
      <w:r w:rsidR="00955B8F">
        <w:t xml:space="preserve">per </w:t>
      </w:r>
      <w:r w:rsidR="00955B8F" w:rsidRPr="00820EAE">
        <w:t>Wilcox, Branson</w:t>
      </w:r>
      <w:r w:rsidR="00955B8F">
        <w:t xml:space="preserve"> and </w:t>
      </w:r>
      <w:r w:rsidR="00955B8F" w:rsidRPr="00820EAE">
        <w:t>Bennett JJ</w:t>
      </w:r>
      <w:r w:rsidR="00955B8F">
        <w:t xml:space="preserve"> </w:t>
      </w:r>
      <w:r>
        <w:t xml:space="preserve">(at [95]).  As observed by Heerey J in </w:t>
      </w:r>
      <w:r w:rsidRPr="00820EAE">
        <w:rPr>
          <w:i/>
        </w:rPr>
        <w:t xml:space="preserve">Welcome Real-Time SA v Catuity Inc </w:t>
      </w:r>
      <w:r>
        <w:t xml:space="preserve">(2001) </w:t>
      </w:r>
      <w:r w:rsidRPr="00820EAE">
        <w:t>51 IPR 327</w:t>
      </w:r>
      <w:r>
        <w:t xml:space="preserve"> (at [21]):</w:t>
      </w:r>
    </w:p>
    <w:p w:rsidR="00882DCE" w:rsidRDefault="00882DCE" w:rsidP="00882DCE">
      <w:pPr>
        <w:pStyle w:val="Quote1"/>
      </w:pPr>
      <w:r w:rsidRPr="003247FF">
        <w:t>All that needs be added is the perhaps trite observation that the alleged infringement is to be ignored when construing the patent.  Although the forensic contest will throw up the particular construction issues to be resolved, a patent must, as the saying goes, be construed as if the infringer had never been born.</w:t>
      </w:r>
    </w:p>
    <w:p w:rsidR="00882DCE" w:rsidRDefault="00955B8F" w:rsidP="00882DCE">
      <w:pPr>
        <w:pStyle w:val="ParaNumbering"/>
      </w:pPr>
      <w:r>
        <w:t xml:space="preserve">This was also confirmed </w:t>
      </w:r>
      <w:r w:rsidR="00882DCE">
        <w:t xml:space="preserve">in </w:t>
      </w:r>
      <w:r w:rsidR="00882DCE" w:rsidRPr="003E33D1">
        <w:rPr>
          <w:i/>
        </w:rPr>
        <w:t xml:space="preserve">Danisco A/S v Novozymes A/S (No 2) </w:t>
      </w:r>
      <w:r w:rsidR="00882DCE">
        <w:t xml:space="preserve">(2011) </w:t>
      </w:r>
      <w:r w:rsidR="00882DCE" w:rsidRPr="003E33D1">
        <w:t>91 IPR 209</w:t>
      </w:r>
      <w:r w:rsidR="00882DCE">
        <w:t xml:space="preserve"> </w:t>
      </w:r>
      <w:r w:rsidR="002D651E">
        <w:t xml:space="preserve">per Bennett J </w:t>
      </w:r>
      <w:r w:rsidR="00882DCE">
        <w:t xml:space="preserve">(at [38]) and </w:t>
      </w:r>
      <w:r w:rsidR="00882DCE" w:rsidRPr="001C6F51">
        <w:rPr>
          <w:i/>
        </w:rPr>
        <w:t xml:space="preserve">Sanofi-Aventis Australia Pty Ltd v Apotex Pty Ltd (No 3) </w:t>
      </w:r>
      <w:r w:rsidR="00882DCE">
        <w:t xml:space="preserve">(2011) </w:t>
      </w:r>
      <w:r w:rsidR="002D651E">
        <w:t>281 ALR 705 per Jagot J</w:t>
      </w:r>
      <w:r w:rsidR="00882DCE">
        <w:t xml:space="preserve"> (at [135] and [153]).  </w:t>
      </w:r>
    </w:p>
    <w:p w:rsidR="007833EC" w:rsidRDefault="00107B79" w:rsidP="00B25A5D">
      <w:pPr>
        <w:pStyle w:val="ParaNumbering"/>
      </w:pPr>
      <w:r>
        <w:lastRenderedPageBreak/>
        <w:t xml:space="preserve">Overall, the question of construction of a patent specification is a question for the Court.  The specification is a public document and not a document operating </w:t>
      </w:r>
      <w:r w:rsidRPr="00107B79">
        <w:rPr>
          <w:i/>
        </w:rPr>
        <w:t xml:space="preserve">inter </w:t>
      </w:r>
      <w:r>
        <w:rPr>
          <w:i/>
        </w:rPr>
        <w:t>partes</w:t>
      </w:r>
      <w:r>
        <w:t xml:space="preserve">.  However, the Court is to place itself in the position of a person acquainted with the state of </w:t>
      </w:r>
      <w:r w:rsidR="00BF2082">
        <w:t xml:space="preserve">the </w:t>
      </w:r>
      <w:r>
        <w:t xml:space="preserve">art and manufacture at the relevant time and educate itself about the meaning of the technical terms, if any:  </w:t>
      </w:r>
      <w:r w:rsidR="00FB778A">
        <w:rPr>
          <w:i/>
        </w:rPr>
        <w:t xml:space="preserve">Kimberly-Clark </w:t>
      </w:r>
      <w:r w:rsidR="00FB778A" w:rsidRPr="00B25083">
        <w:rPr>
          <w:i/>
        </w:rPr>
        <w:t>Australia Pty Ltd v Arico Trading International Pty Ltd</w:t>
      </w:r>
      <w:r w:rsidR="00FB778A">
        <w:rPr>
          <w:i/>
        </w:rPr>
        <w:t xml:space="preserve"> </w:t>
      </w:r>
      <w:r w:rsidR="00FB778A">
        <w:t>(2001) 207 CLR 1 (at [24])</w:t>
      </w:r>
      <w:r>
        <w:t>.</w:t>
      </w:r>
    </w:p>
    <w:p w:rsidR="00107B79" w:rsidRDefault="00107B79" w:rsidP="00107B79">
      <w:pPr>
        <w:pStyle w:val="ParaNumbering"/>
      </w:pPr>
      <w:r>
        <w:t xml:space="preserve">Justice Hely in </w:t>
      </w:r>
      <w:r>
        <w:rPr>
          <w:i/>
        </w:rPr>
        <w:t>Flexible Steel Lacing</w:t>
      </w:r>
      <w:r w:rsidR="00FB778A">
        <w:rPr>
          <w:i/>
        </w:rPr>
        <w:t>s</w:t>
      </w:r>
      <w:r>
        <w:rPr>
          <w:i/>
        </w:rPr>
        <w:t xml:space="preserve"> Co v Beltreco Ltd </w:t>
      </w:r>
      <w:r>
        <w:t>(200</w:t>
      </w:r>
      <w:r w:rsidR="00FB778A">
        <w:t>0</w:t>
      </w:r>
      <w:r>
        <w:t>) 49 IPR 331 (at [81]) s</w:t>
      </w:r>
      <w:r w:rsidR="00FB778A">
        <w:t>aid:</w:t>
      </w:r>
    </w:p>
    <w:p w:rsidR="00107B79" w:rsidRDefault="00107B79" w:rsidP="00107B79">
      <w:pPr>
        <w:pStyle w:val="Quote1"/>
      </w:pPr>
      <w:r>
        <w:t>…</w:t>
      </w:r>
      <w:r w:rsidRPr="00107B79">
        <w:t>the construction of the specification is for the Court, not for the expert witness. Insofar as a view expressed by an expert depends upon a reading of the patent, it cannot carry the day unless the Court reads the patent in the same way</w:t>
      </w:r>
      <w:r>
        <w:t>. …</w:t>
      </w:r>
    </w:p>
    <w:p w:rsidR="00107B79" w:rsidRDefault="00B25083" w:rsidP="00B25083">
      <w:pPr>
        <w:pStyle w:val="ParaNumbering"/>
      </w:pPr>
      <w:r>
        <w:t xml:space="preserve">The specification, including the claims, is not to be read in the abstract but construed in light of the common general knowledge </w:t>
      </w:r>
      <w:r w:rsidR="00FB778A">
        <w:t xml:space="preserve">and </w:t>
      </w:r>
      <w:r>
        <w:t xml:space="preserve">the art as at the priority date:  </w:t>
      </w:r>
      <w:r w:rsidRPr="00B25083">
        <w:rPr>
          <w:i/>
        </w:rPr>
        <w:t>Kimberly-Clark</w:t>
      </w:r>
      <w:r>
        <w:t>.</w:t>
      </w:r>
    </w:p>
    <w:p w:rsidR="00B25083" w:rsidRDefault="00B25083" w:rsidP="00B25083">
      <w:pPr>
        <w:pStyle w:val="ParaNumbering"/>
      </w:pPr>
      <w:r>
        <w:t xml:space="preserve">The words of a specification </w:t>
      </w:r>
      <w:r w:rsidR="00470CCE">
        <w:t>should</w:t>
      </w:r>
      <w:r>
        <w:t xml:space="preserve"> generally be given their ordinary English meaning, unless a person skilled in the art would, in the context of the claims, give the words a special meaning, or unless the specification ascribes a special meaning to them:  </w:t>
      </w:r>
      <w:r w:rsidRPr="00AD2E36">
        <w:rPr>
          <w:i/>
        </w:rPr>
        <w:t>Britax Childcare Pty Ltd v Infa-Secure Pty Ltd</w:t>
      </w:r>
      <w:r>
        <w:rPr>
          <w:i/>
        </w:rPr>
        <w:t xml:space="preserve"> </w:t>
      </w:r>
      <w:r w:rsidR="00FB778A">
        <w:t>(2012</w:t>
      </w:r>
      <w:r>
        <w:t xml:space="preserve">) </w:t>
      </w:r>
      <w:r w:rsidR="00FB778A">
        <w:t>290 ALR 47 per Middleton J</w:t>
      </w:r>
      <w:r>
        <w:t xml:space="preserve"> (at [224]).  </w:t>
      </w:r>
    </w:p>
    <w:p w:rsidR="00125FE7" w:rsidRDefault="00125FE7" w:rsidP="00845222">
      <w:pPr>
        <w:pStyle w:val="ParaNumbering"/>
      </w:pPr>
      <w:r>
        <w:t xml:space="preserve">As a general proposition, patent specifications should be construed with a view to validity and </w:t>
      </w:r>
      <w:r w:rsidR="00E8233D">
        <w:t xml:space="preserve">making </w:t>
      </w:r>
      <w:r>
        <w:t>the patent work</w:t>
      </w:r>
      <w:r w:rsidR="00845222">
        <w:t xml:space="preserve">:  </w:t>
      </w:r>
      <w:r w:rsidR="00845222" w:rsidRPr="00845222">
        <w:rPr>
          <w:i/>
        </w:rPr>
        <w:t xml:space="preserve">H Lundbeck A/S v Alphapharm Pty Ltd </w:t>
      </w:r>
      <w:r w:rsidR="00845222">
        <w:t>(2009)</w:t>
      </w:r>
      <w:r w:rsidR="00845222" w:rsidRPr="00845222">
        <w:t xml:space="preserve"> 177 FCR 151</w:t>
      </w:r>
      <w:r w:rsidR="00845222">
        <w:t xml:space="preserve"> </w:t>
      </w:r>
      <w:r w:rsidR="00FB778A">
        <w:t xml:space="preserve">per Emmett J </w:t>
      </w:r>
      <w:r w:rsidR="00845222">
        <w:t xml:space="preserve">(at [52]-[53]).  </w:t>
      </w:r>
    </w:p>
    <w:p w:rsidR="009C2B07" w:rsidRDefault="009C2B07" w:rsidP="00845222">
      <w:pPr>
        <w:pStyle w:val="ParaNumbering"/>
      </w:pPr>
      <w:r>
        <w:t>The specification and claims</w:t>
      </w:r>
      <w:r w:rsidR="00E8233D">
        <w:t xml:space="preserve"> </w:t>
      </w:r>
      <w:r>
        <w:t xml:space="preserve">must be construed in light of the common general knowledge of a worker in the field before the priority date.  Traditionally, such a person (or persons) come within the description of a hypothetical, non-inventive worker in the relevant field of technology in Australia, who is equipped with the common general knowledge in the art:  </w:t>
      </w:r>
      <w:r w:rsidRPr="00C14EC2">
        <w:rPr>
          <w:i/>
        </w:rPr>
        <w:t>Minnesota Mining and Manufacturing Company v Beiersdorf (Australia) Limited</w:t>
      </w:r>
      <w:r>
        <w:t xml:space="preserve"> (1980) 144 CLR 253</w:t>
      </w:r>
      <w:r w:rsidR="007730FF">
        <w:t xml:space="preserve">.  </w:t>
      </w:r>
    </w:p>
    <w:p w:rsidR="00DB2308" w:rsidRDefault="00D7602E" w:rsidP="00DB2308">
      <w:pPr>
        <w:pStyle w:val="Heading5"/>
      </w:pPr>
      <w:bookmarkStart w:id="48" w:name="_Ref403035672"/>
      <w:r>
        <w:t>AN</w:t>
      </w:r>
      <w:r w:rsidR="00DB2308">
        <w:t xml:space="preserve"> OVERVIEW OF THE </w:t>
      </w:r>
      <w:r w:rsidR="00F74D91">
        <w:t xml:space="preserve">ORAL </w:t>
      </w:r>
      <w:r w:rsidR="00DB2308">
        <w:t>EVIDENCE</w:t>
      </w:r>
      <w:bookmarkEnd w:id="48"/>
    </w:p>
    <w:p w:rsidR="00F621D2" w:rsidRDefault="00233D69" w:rsidP="00A57E7D">
      <w:pPr>
        <w:pStyle w:val="ParaNumbering"/>
      </w:pPr>
      <w:r>
        <w:t xml:space="preserve">As will be apparent, I </w:t>
      </w:r>
      <w:r w:rsidR="00E8233D">
        <w:t>will address</w:t>
      </w:r>
      <w:r>
        <w:t xml:space="preserve"> the applicants’ case </w:t>
      </w:r>
      <w:r w:rsidR="00E8233D">
        <w:t xml:space="preserve">first </w:t>
      </w:r>
      <w:r>
        <w:t xml:space="preserve">and, secondly, </w:t>
      </w:r>
      <w:r w:rsidR="00384E54">
        <w:t>Coretell</w:t>
      </w:r>
      <w:r w:rsidR="00E8233D">
        <w:t xml:space="preserve">’s </w:t>
      </w:r>
      <w:r w:rsidR="00F74D91">
        <w:t>cross-claim</w:t>
      </w:r>
      <w:r>
        <w:t xml:space="preserve">.  </w:t>
      </w:r>
      <w:r w:rsidR="00165402">
        <w:t xml:space="preserve">This </w:t>
      </w:r>
      <w:r w:rsidR="0099747F">
        <w:t xml:space="preserve">accords </w:t>
      </w:r>
      <w:r w:rsidR="00165402">
        <w:t xml:space="preserve">with the order in which </w:t>
      </w:r>
      <w:r w:rsidR="00042ACD">
        <w:t xml:space="preserve">the cases </w:t>
      </w:r>
      <w:r w:rsidR="00165402">
        <w:t xml:space="preserve">were presented.  </w:t>
      </w:r>
      <w:r>
        <w:t>Both cases were put very strenuously.  There were, in some instances, strong credit attacks in respect of various witnesses.  The respondents</w:t>
      </w:r>
      <w:r w:rsidR="00E8233D">
        <w:t>, through Coretell,</w:t>
      </w:r>
      <w:r>
        <w:t xml:space="preserve"> put numerous defence and cross-claim </w:t>
      </w:r>
      <w:r>
        <w:lastRenderedPageBreak/>
        <w:t>allegatio</w:t>
      </w:r>
      <w:r w:rsidR="00F74D91">
        <w:t>ns against the applicants’ case or as senior counsel for the applicants described i</w:t>
      </w:r>
      <w:r w:rsidR="00CC021C">
        <w:t>t,</w:t>
      </w:r>
      <w:r w:rsidR="00F74D91">
        <w:t xml:space="preserve"> ‘every imaginable defence’</w:t>
      </w:r>
      <w:r>
        <w:t xml:space="preserve">.  The applicants’ case was, by comparison, relatively focused.  </w:t>
      </w:r>
    </w:p>
    <w:p w:rsidR="00DB2308" w:rsidRDefault="00A57E7D" w:rsidP="00A57E7D">
      <w:pPr>
        <w:pStyle w:val="ParaNumbering"/>
      </w:pPr>
      <w:r w:rsidRPr="00A57E7D">
        <w:t xml:space="preserve">Many rulings were made in the course of the trial on objections. </w:t>
      </w:r>
      <w:r w:rsidR="00242345">
        <w:t xml:space="preserve"> </w:t>
      </w:r>
      <w:r w:rsidRPr="00A57E7D">
        <w:t>The rulings did not warrant separate recording in these reasons</w:t>
      </w:r>
      <w:r w:rsidR="0084228E">
        <w:t>,</w:t>
      </w:r>
      <w:r w:rsidRPr="00A57E7D">
        <w:t xml:space="preserve"> with the possible exception only of one ruling</w:t>
      </w:r>
      <w:r w:rsidR="0084228E">
        <w:t>,</w:t>
      </w:r>
      <w:r w:rsidRPr="00A57E7D">
        <w:t xml:space="preserve"> and one anticipated ruling</w:t>
      </w:r>
      <w:r w:rsidR="00242345">
        <w:t>,</w:t>
      </w:r>
      <w:r w:rsidRPr="00A57E7D">
        <w:t xml:space="preserve"> which I have </w:t>
      </w:r>
      <w:r w:rsidR="00F621D2">
        <w:t>discussed</w:t>
      </w:r>
      <w:r w:rsidRPr="00A57E7D">
        <w:t xml:space="preserve"> in Appendix B to these reasons.</w:t>
      </w:r>
    </w:p>
    <w:p w:rsidR="00233D69" w:rsidRDefault="001545B8" w:rsidP="00DB2308">
      <w:pPr>
        <w:pStyle w:val="ParaNumbering"/>
      </w:pPr>
      <w:r>
        <w:t>I propose</w:t>
      </w:r>
      <w:r w:rsidR="00622D1D">
        <w:t xml:space="preserve"> to say something now of the role played by various witnesses in connection with the issues in the case and the extent to which </w:t>
      </w:r>
      <w:r>
        <w:t>I</w:t>
      </w:r>
      <w:r w:rsidR="00622D1D">
        <w:t xml:space="preserve"> regarded the evidence of those witnesses</w:t>
      </w:r>
      <w:r w:rsidR="00E8233D">
        <w:t>,</w:t>
      </w:r>
      <w:r w:rsidR="00622D1D">
        <w:t xml:space="preserve"> in a general sense</w:t>
      </w:r>
      <w:r w:rsidR="00E8233D">
        <w:t>,</w:t>
      </w:r>
      <w:r w:rsidR="00622D1D">
        <w:t xml:space="preserve"> as assisting the case advanced by the p</w:t>
      </w:r>
      <w:r w:rsidR="002415D1">
        <w:t xml:space="preserve">arty calling the witness.  </w:t>
      </w:r>
    </w:p>
    <w:p w:rsidR="00E124E3" w:rsidRDefault="00AD0636" w:rsidP="00DB2308">
      <w:pPr>
        <w:pStyle w:val="ParaNumbering"/>
      </w:pPr>
      <w:r>
        <w:t xml:space="preserve">It should be emphasised that </w:t>
      </w:r>
      <w:r w:rsidR="00E124E3">
        <w:t xml:space="preserve">I am presently dealing with general observations on some of the more important witnesses.  More detailed attention to the evidence of those and other witnesses appears topic by topic.  </w:t>
      </w:r>
    </w:p>
    <w:p w:rsidR="00E8233D" w:rsidRDefault="00E8233D" w:rsidP="00E8233D">
      <w:pPr>
        <w:pStyle w:val="Heading6"/>
      </w:pPr>
      <w:bookmarkStart w:id="49" w:name="_Ref436660787"/>
      <w:r>
        <w:t>Infringement</w:t>
      </w:r>
      <w:bookmarkEnd w:id="49"/>
    </w:p>
    <w:p w:rsidR="00B54778" w:rsidRDefault="00D13B98" w:rsidP="00DB2308">
      <w:pPr>
        <w:pStyle w:val="ParaNumbering"/>
      </w:pPr>
      <w:r>
        <w:t xml:space="preserve">Insofar as infringement was concerned, the applicants called </w:t>
      </w:r>
      <w:r w:rsidRPr="001545B8">
        <w:t>Dr Kepic</w:t>
      </w:r>
      <w:r>
        <w:t xml:space="preserve"> as an independent expert.  Dr Kepic is an Associate Professor </w:t>
      </w:r>
      <w:r w:rsidR="00E8233D">
        <w:t xml:space="preserve">of </w:t>
      </w:r>
      <w:r>
        <w:t>the Department of Exploration Geophysics at Curtin University, Western Australia.  He</w:t>
      </w:r>
      <w:r w:rsidR="00E8233D">
        <w:t>,</w:t>
      </w:r>
      <w:r>
        <w:t xml:space="preserve"> along with virtually all witnesses in the case</w:t>
      </w:r>
      <w:r w:rsidR="00E8233D">
        <w:t xml:space="preserve">, has </w:t>
      </w:r>
      <w:r>
        <w:t xml:space="preserve">provided one or more witness statements or affidavits on which </w:t>
      </w:r>
      <w:r w:rsidR="00E8233D">
        <w:t xml:space="preserve">he was </w:t>
      </w:r>
      <w:r>
        <w:t xml:space="preserve">examined and cross-examined. </w:t>
      </w:r>
    </w:p>
    <w:p w:rsidR="00D13B98" w:rsidRDefault="00ED52C6" w:rsidP="00DB2308">
      <w:pPr>
        <w:pStyle w:val="ParaNumbering"/>
      </w:pPr>
      <w:r>
        <w:t xml:space="preserve">Dr Kepic has substantial practical and academic experience in the exploration drilling industry, including direct experience with core sampling operations, although </w:t>
      </w:r>
      <w:r w:rsidR="00E8233D">
        <w:t xml:space="preserve">he had not </w:t>
      </w:r>
      <w:r w:rsidR="00184B6E">
        <w:t xml:space="preserve">himself </w:t>
      </w:r>
      <w:r w:rsidR="00E8233D">
        <w:t>been involved in the operation of core orientation tools at an operational drilling rig</w:t>
      </w:r>
      <w:r w:rsidR="00FF11A2">
        <w:t>.  Dr Kepic gave</w:t>
      </w:r>
      <w:r>
        <w:t xml:space="preserve"> evidence relevant to the construction of the claims of the Patents and the features of the respondents’ tools.  </w:t>
      </w:r>
    </w:p>
    <w:p w:rsidR="005E3345" w:rsidRDefault="007065D0" w:rsidP="00DB2308">
      <w:pPr>
        <w:pStyle w:val="ParaNumbering"/>
      </w:pPr>
      <w:r>
        <w:t xml:space="preserve">I accepted the evidence of Dr Kepic, including concessions that he made which were </w:t>
      </w:r>
      <w:r w:rsidR="00223933">
        <w:t xml:space="preserve">potentially </w:t>
      </w:r>
      <w:r>
        <w:t>of assistance to the respondents.  He has practical and academic experience in the exploration industry, including experience in dealing with core samples.</w:t>
      </w:r>
    </w:p>
    <w:p w:rsidR="00F6231B" w:rsidRDefault="00A51D9E" w:rsidP="00382F92">
      <w:pPr>
        <w:pStyle w:val="ParaNumbering"/>
      </w:pPr>
      <w:r>
        <w:t>Dr Kepic</w:t>
      </w:r>
      <w:r w:rsidR="00382F92">
        <w:t xml:space="preserve"> was well placed to give evidence on the Patents from the perspective of a person skilled in the art.  By that expression, I mean a person with a ‘practical interest in the subject matter of the invention’:  see, for example, </w:t>
      </w:r>
      <w:r w:rsidR="00382F92" w:rsidRPr="00184B6E">
        <w:rPr>
          <w:i/>
        </w:rPr>
        <w:t xml:space="preserve">Root Quality Pty Ltd v Root Control Technologies Pty Ltd </w:t>
      </w:r>
      <w:r w:rsidR="00382F92">
        <w:t xml:space="preserve">(2000) 49 IPR 225 </w:t>
      </w:r>
      <w:r w:rsidR="00184B6E">
        <w:t xml:space="preserve">per Finkelstein J </w:t>
      </w:r>
      <w:r w:rsidR="00382F92">
        <w:t xml:space="preserve">(at [40] and [46]).  The relevant subject matter for present purposes in which a practical interest is required is the subject </w:t>
      </w:r>
      <w:r w:rsidR="00382F92">
        <w:lastRenderedPageBreak/>
        <w:t xml:space="preserve">matter of the techniques and technology used in core sample orientation.  Dr Kepic has </w:t>
      </w:r>
      <w:r w:rsidR="00FF11A2">
        <w:t xml:space="preserve">considerable </w:t>
      </w:r>
      <w:r w:rsidR="00382F92">
        <w:t>experience in the hard rock exploration industry.  He designed and operated</w:t>
      </w:r>
      <w:r w:rsidR="00FF11A2">
        <w:t xml:space="preserve"> bore hole</w:t>
      </w:r>
      <w:r w:rsidR="00382F92">
        <w:t xml:space="preserve"> survey instruments fro</w:t>
      </w:r>
      <w:r>
        <w:t>m 1997 to 2002.  Although he has</w:t>
      </w:r>
      <w:r w:rsidR="00382F92">
        <w:t xml:space="preserve"> not, himself, been an operator of core orientation tools at an operational drilling rig, nevertheless, his knowledge of the technology was substantial.  During his professional duties at Australian mining sites, </w:t>
      </w:r>
      <w:r>
        <w:t>he has</w:t>
      </w:r>
      <w:r w:rsidR="00F6231B">
        <w:t xml:space="preserve"> been involved in </w:t>
      </w:r>
      <w:r w:rsidR="00C11AD9">
        <w:t>inspecting recovered drill core</w:t>
      </w:r>
      <w:r w:rsidR="00F6231B">
        <w:t xml:space="preserve"> and making measurements of the core immediately after the drilling sequence.  </w:t>
      </w:r>
      <w:r w:rsidR="00C11AD9">
        <w:t xml:space="preserve">Only qualified drillers are permitted to use core orientation tools and other drilling equipment, so it is unsurprising that Dr Kepic </w:t>
      </w:r>
      <w:r w:rsidR="00184B6E">
        <w:t>has not operated a drill himself</w:t>
      </w:r>
      <w:r w:rsidR="00C11AD9">
        <w:t xml:space="preserve">. </w:t>
      </w:r>
    </w:p>
    <w:p w:rsidR="00C11AD9" w:rsidRDefault="001A721B" w:rsidP="00382F92">
      <w:pPr>
        <w:pStyle w:val="ParaNumbering"/>
      </w:pPr>
      <w:r>
        <w:t xml:space="preserve">The respondents </w:t>
      </w:r>
      <w:r w:rsidR="00D81E24">
        <w:t>did not file</w:t>
      </w:r>
      <w:r>
        <w:t xml:space="preserve"> </w:t>
      </w:r>
      <w:r w:rsidR="00D81E24">
        <w:t xml:space="preserve">any </w:t>
      </w:r>
      <w:r w:rsidR="00FF11A2">
        <w:t xml:space="preserve">directly </w:t>
      </w:r>
      <w:r>
        <w:t xml:space="preserve">responsive expert evidence </w:t>
      </w:r>
      <w:r w:rsidR="00FF11A2">
        <w:t xml:space="preserve">commenting on </w:t>
      </w:r>
      <w:r>
        <w:t xml:space="preserve">that of Dr Kepic.  They relied upon </w:t>
      </w:r>
      <w:r w:rsidR="00A51D9E">
        <w:t xml:space="preserve">their </w:t>
      </w:r>
      <w:r>
        <w:t>cross-examination</w:t>
      </w:r>
      <w:r w:rsidR="00A51D9E">
        <w:t xml:space="preserve"> of him</w:t>
      </w:r>
      <w:r>
        <w:t>.  They have not</w:t>
      </w:r>
      <w:r w:rsidR="00223933">
        <w:t>, in my view,</w:t>
      </w:r>
      <w:r>
        <w:t xml:space="preserve"> called any skilled person with greater or more direct experience in relation to the technology, </w:t>
      </w:r>
      <w:r w:rsidR="00D81E24">
        <w:t xml:space="preserve">which is the </w:t>
      </w:r>
      <w:r>
        <w:t xml:space="preserve">subject of the Patents.  </w:t>
      </w:r>
      <w:r w:rsidR="00FF11A2">
        <w:t>T</w:t>
      </w:r>
      <w:r>
        <w:t xml:space="preserve">he respondents </w:t>
      </w:r>
      <w:r w:rsidR="009F4DE8">
        <w:t>did not rely</w:t>
      </w:r>
      <w:r>
        <w:t xml:space="preserve"> upon any positive evidence on the infringement case advanced by the applicants</w:t>
      </w:r>
      <w:r w:rsidR="000D1D59">
        <w:t>.  R</w:t>
      </w:r>
      <w:r>
        <w:t xml:space="preserve">ather </w:t>
      </w:r>
      <w:r w:rsidR="000D1D59">
        <w:t xml:space="preserve">they sought </w:t>
      </w:r>
      <w:r>
        <w:t xml:space="preserve">to </w:t>
      </w:r>
      <w:r w:rsidR="0026490F">
        <w:t>extinguish</w:t>
      </w:r>
      <w:r>
        <w:t xml:space="preserve"> the applicants’ case.  I will not at this point comment in detail as to all of the evidence of Dr Kepic, other than to identify that </w:t>
      </w:r>
      <w:r w:rsidR="00D81E24">
        <w:t xml:space="preserve">he gave detailed evidence in his first affidavit </w:t>
      </w:r>
      <w:r>
        <w:t>in relation to the construction of the Patents and the features of the respondents</w:t>
      </w:r>
      <w:r w:rsidR="00223933">
        <w:t>’</w:t>
      </w:r>
      <w:r>
        <w:t xml:space="preserve"> </w:t>
      </w:r>
      <w:r w:rsidR="00FC24DD">
        <w:t>ORIshot Tool</w:t>
      </w:r>
      <w:r>
        <w:t>.  He concluded</w:t>
      </w:r>
      <w:r w:rsidR="00FD5515">
        <w:t>, and I accept,</w:t>
      </w:r>
      <w:r>
        <w:t xml:space="preserve"> that the </w:t>
      </w:r>
      <w:r w:rsidR="00FC24DD">
        <w:t>ORIshot Tool</w:t>
      </w:r>
      <w:r>
        <w:t xml:space="preserve">, </w:t>
      </w:r>
      <w:r w:rsidR="00223933">
        <w:t>in</w:t>
      </w:r>
      <w:r>
        <w:t xml:space="preserve"> each of its three versions, incorporates the features of each of the claims of the System Patent and the Method Patent.  </w:t>
      </w:r>
    </w:p>
    <w:p w:rsidR="001A721B" w:rsidRDefault="0008199B" w:rsidP="00382F92">
      <w:pPr>
        <w:pStyle w:val="ParaNumbering"/>
      </w:pPr>
      <w:r>
        <w:t xml:space="preserve">A significant feature of </w:t>
      </w:r>
      <w:r w:rsidR="00FD11A8">
        <w:t xml:space="preserve">Dr Kepic’s cross-examination was </w:t>
      </w:r>
      <w:r w:rsidR="000D1D59">
        <w:t xml:space="preserve">devoted to </w:t>
      </w:r>
      <w:r w:rsidR="00FD11A8">
        <w:t xml:space="preserve">the respondents’ argument </w:t>
      </w:r>
      <w:r w:rsidR="00D81E24">
        <w:t xml:space="preserve">that </w:t>
      </w:r>
      <w:r w:rsidR="00E266F1">
        <w:t xml:space="preserve">the </w:t>
      </w:r>
      <w:r w:rsidR="00FC24DD">
        <w:t>ORIshot Tool</w:t>
      </w:r>
      <w:r w:rsidR="00E266F1">
        <w:t xml:space="preserve"> is </w:t>
      </w:r>
      <w:r w:rsidR="00FD11A8">
        <w:t xml:space="preserve">a two part device, unlike the </w:t>
      </w:r>
      <w:r w:rsidR="000D1D59">
        <w:t>ACT</w:t>
      </w:r>
      <w:r w:rsidR="00D81E24">
        <w:t xml:space="preserve"> Tool</w:t>
      </w:r>
      <w:r w:rsidR="00FD11A8">
        <w:t>.  Dr Kepic adhered to the views expressed in his first affidavit</w:t>
      </w:r>
      <w:r w:rsidR="00D81E24">
        <w:t xml:space="preserve"> in cross-examination</w:t>
      </w:r>
      <w:r w:rsidR="00FD11A8">
        <w:t>.  He said:</w:t>
      </w:r>
    </w:p>
    <w:p w:rsidR="00952AE7" w:rsidRDefault="00952AE7" w:rsidP="00952AE7">
      <w:pPr>
        <w:pStyle w:val="Quote1"/>
      </w:pPr>
      <w:r>
        <w:t>Well, Dr Kepic, that’s a matter for his Honour, but can I just make this last observation, that – I’m going to put this to:  that when you gave the evidence in the earlier trial when we were involved in this handset issue – I will quote it to you.  That part of your evidence was that you would – that one would have to be literal in the meanest sense to say that the Coretell equipment is excluded from claim 1 of the patent.  Paragraph 74 of his Honour’s judgment.  Now, I’m going to put this to you, Dr Kepic, that the whole approach that you’re taking to your evidence here is precisely that.  That you’re motivated by saying that you would have to be the meanest person not to have the Coretell equipment within these claims?</w:t>
      </w:r>
      <w:r w:rsidR="00D81E24">
        <w:t>---</w:t>
      </w:r>
      <w:r>
        <w:t xml:space="preserve">Well, again, quoted – it seemed to me, and it still seems to me, the word “mean”, “narrow”, “literal” – if I step back and away from the detail and the wording and such, and I look at the equipment that I was given and said “Here is a patent.  Here is the equipment.  Does this equipment look like it acts as you might expect something out of that patent would be developed?”  And when I looked at, it ticks nearly every box.  That’s why I consider this whole handset peripheral, moving functionality in or out </w:t>
      </w:r>
      <w:r>
        <w:lastRenderedPageBreak/>
        <w:t xml:space="preserve">of the thing, it – it’s sort of a sideshow.  If I look objectively and think to myself, “Okay” – and as you pointed out, we’ve just gone at length – if we decide to have a scheme where we have a data logger in the hole, we have synchronisation at the surface, etcetera, etcetera, what’s the logical progression?  All the logical elements are there and, as I see it, they’re in the patent.  So when I step back and just look at it, it’s – it seems to me, as an expert, that you could almost read the patent and develop that tool as I saw it in there.  It largely has – all the elements are there.  Again, whether or not I’m the expert, to be honest, the whole device/devices thing is – is just something that’s very foreign to me as a scientist, as a – and such.  It’s just a minor part of something that is – so obviously translates one to one from the claims in its functionality and what it does, when I could design two or three variants that would not even transgress this patent.  2004, right now, whatever.  So I just find it very hard to sympathise, if you will, on the great details when it’s – it’s relative easy, to be honest, to tick the boxes and see this tool looks pretty much like what the patent says. </w:t>
      </w:r>
    </w:p>
    <w:p w:rsidR="00724E11" w:rsidRDefault="00724E11" w:rsidP="00724E11">
      <w:pPr>
        <w:pStyle w:val="ParaNumbering"/>
      </w:pPr>
      <w:r>
        <w:t xml:space="preserve">I accept Dr Kepic’s evidence that the process which was undertaken is a relatively straightforward one of comparing the features of the </w:t>
      </w:r>
      <w:r w:rsidR="00FC24DD">
        <w:t>ORIshot Tool</w:t>
      </w:r>
      <w:r>
        <w:t xml:space="preserve"> and its mode of operation with the features of the claims as he understood them.  This was a conventional approach.  Specifically, on the main</w:t>
      </w:r>
      <w:r w:rsidR="00CF71AA">
        <w:t xml:space="preserve"> </w:t>
      </w:r>
      <w:r>
        <w:t xml:space="preserve">line of cross-examination, Dr Kepic consistently rejected the contention that the claims did not contemplate a ‘two part device’.  He also rejected the argument put to him in cross-examination that pressing the </w:t>
      </w:r>
      <w:r w:rsidR="00FC24DD">
        <w:t>ORIshot Tool</w:t>
      </w:r>
      <w:r>
        <w:t>’s ‘</w:t>
      </w:r>
      <w:r w:rsidR="00D81E24">
        <w:t xml:space="preserve">TAKE </w:t>
      </w:r>
      <w:r>
        <w:t xml:space="preserve">MEASUREMENT’ button </w:t>
      </w:r>
      <w:r w:rsidR="00E266F1">
        <w:t xml:space="preserve">was an </w:t>
      </w:r>
      <w:r>
        <w:t>‘input means’ or ‘inputting’ and, further, that its ‘Real-Time Rol</w:t>
      </w:r>
      <w:r w:rsidR="00D81E24">
        <w:t>l</w:t>
      </w:r>
      <w:r>
        <w:t>’ display was not an ‘indication of orientation of the core sample’.  I accept Dr Kepic</w:t>
      </w:r>
      <w:r w:rsidR="001566CD">
        <w:t>’s</w:t>
      </w:r>
      <w:r>
        <w:t xml:space="preserve"> answers and </w:t>
      </w:r>
      <w:r w:rsidR="00D81E24">
        <w:t xml:space="preserve">the </w:t>
      </w:r>
      <w:r>
        <w:t>explanations for them.</w:t>
      </w:r>
    </w:p>
    <w:p w:rsidR="00ED52C6" w:rsidRDefault="00E56018" w:rsidP="00DB2308">
      <w:pPr>
        <w:pStyle w:val="ParaNumbering"/>
      </w:pPr>
      <w:r>
        <w:t>Another expert witness called for the applicants on the infringem</w:t>
      </w:r>
      <w:r w:rsidR="00CA3019">
        <w:t xml:space="preserve">ent case was </w:t>
      </w:r>
      <w:r w:rsidR="001566CD">
        <w:rPr>
          <w:b/>
        </w:rPr>
        <w:t>M</w:t>
      </w:r>
      <w:r w:rsidR="00CA3019" w:rsidRPr="000C1B6F">
        <w:rPr>
          <w:b/>
        </w:rPr>
        <w:t>r </w:t>
      </w:r>
      <w:r w:rsidR="00CA3019" w:rsidRPr="00D81E24">
        <w:t>Andrew</w:t>
      </w:r>
      <w:r w:rsidR="00CA3019" w:rsidRPr="000C1B6F">
        <w:rPr>
          <w:b/>
        </w:rPr>
        <w:t xml:space="preserve"> Ross</w:t>
      </w:r>
      <w:r w:rsidR="00CA3019">
        <w:t xml:space="preserve">, a </w:t>
      </w:r>
      <w:r w:rsidR="00D81E24">
        <w:t>c</w:t>
      </w:r>
      <w:r>
        <w:t xml:space="preserve">hartered </w:t>
      </w:r>
      <w:r w:rsidR="00D81E24">
        <w:t>a</w:t>
      </w:r>
      <w:r>
        <w:t>ccountant</w:t>
      </w:r>
      <w:r w:rsidR="00657FC5">
        <w:t xml:space="preserve">.  Mr Ross addresses the financial </w:t>
      </w:r>
      <w:r w:rsidR="00D81E24">
        <w:t xml:space="preserve">and operational </w:t>
      </w:r>
      <w:r w:rsidR="00657FC5">
        <w:t xml:space="preserve">involvement of </w:t>
      </w:r>
      <w:r w:rsidR="00D81E24">
        <w:t xml:space="preserve">the respondents in the Camteq business, and the </w:t>
      </w:r>
      <w:r w:rsidR="00876288">
        <w:t>extent to which Mr Kleyn and others have</w:t>
      </w:r>
      <w:r w:rsidR="00D81E24">
        <w:t>,</w:t>
      </w:r>
      <w:r w:rsidR="00876288">
        <w:t xml:space="preserve"> or have not</w:t>
      </w:r>
      <w:r w:rsidR="00D81E24">
        <w:t>,</w:t>
      </w:r>
      <w:r w:rsidR="00876288">
        <w:t xml:space="preserve"> benefitted from that business.</w:t>
      </w:r>
    </w:p>
    <w:p w:rsidR="000C1B6F" w:rsidRDefault="00956D20" w:rsidP="00DB2308">
      <w:pPr>
        <w:pStyle w:val="ParaNumbering"/>
      </w:pPr>
      <w:r>
        <w:t>T</w:t>
      </w:r>
      <w:r w:rsidR="007E158F">
        <w:t xml:space="preserve">he evidence of Mr Ross was compelling.  </w:t>
      </w:r>
      <w:r>
        <w:t>It</w:t>
      </w:r>
      <w:r w:rsidR="007E158F">
        <w:t xml:space="preserve"> entirely accorded with </w:t>
      </w:r>
      <w:r w:rsidR="001566CD">
        <w:t xml:space="preserve">what will be seen to be </w:t>
      </w:r>
      <w:r w:rsidR="007E158F">
        <w:t xml:space="preserve">my rejection of the evidence </w:t>
      </w:r>
      <w:r w:rsidR="004B6FFE">
        <w:t xml:space="preserve">given </w:t>
      </w:r>
      <w:r w:rsidR="007E158F">
        <w:t>by Mr Kleyn.  He presented two expert reports, which will be discussed at greater length below, but I note that the evidence is that, apart from a brief period in late 2012, Coretell did not employ any of the numerous staff working for the Coretell business, did n</w:t>
      </w:r>
      <w:r w:rsidR="00D81E24">
        <w:t xml:space="preserve">ot incur operational expenses, </w:t>
      </w:r>
      <w:r w:rsidR="007E158F">
        <w:t>such as wages, plant and equipment, office expense</w:t>
      </w:r>
      <w:r w:rsidR="00D81E24">
        <w:t xml:space="preserve">s and such, </w:t>
      </w:r>
      <w:r w:rsidR="007E158F">
        <w:t>associated with its multi-million dollar core tool business and</w:t>
      </w:r>
      <w:r w:rsidR="00D81E24">
        <w:t>,</w:t>
      </w:r>
      <w:r w:rsidR="007E158F">
        <w:t xml:space="preserve"> apart from a single motor vehicle, did not own any of the plant or equipment at the business premises at the Maddington Warehouse.  Rather, the evidence shows that it was Kleyn Investments which engaged the staff and paid certain operational expenses associated with Coretell’s core tool business.  Prior to moving to the Maddington Warehouse, Mincrest bore these expenses.  No rent </w:t>
      </w:r>
      <w:r w:rsidR="005B29FE">
        <w:t>w</w:t>
      </w:r>
      <w:r w:rsidR="007E158F">
        <w:t xml:space="preserve">as paid to the related company, Goldview Assets Pty Ltd </w:t>
      </w:r>
      <w:r w:rsidR="00D81E24">
        <w:t xml:space="preserve">in </w:t>
      </w:r>
      <w:r w:rsidR="00D81E24">
        <w:lastRenderedPageBreak/>
        <w:t xml:space="preserve">certain periods </w:t>
      </w:r>
      <w:r w:rsidR="007E158F">
        <w:t xml:space="preserve">and, accordingly, Mr Ross concluded that </w:t>
      </w:r>
      <w:r w:rsidR="00D81E24">
        <w:t>‘</w:t>
      </w:r>
      <w:r w:rsidR="007E158F">
        <w:t>Coretell was not operating as an independent entity</w:t>
      </w:r>
      <w:r w:rsidR="00D81E24">
        <w:t>’</w:t>
      </w:r>
      <w:r w:rsidR="007E158F">
        <w:t xml:space="preserve"> during the periods </w:t>
      </w:r>
      <w:r w:rsidR="00D81E24">
        <w:t xml:space="preserve">for </w:t>
      </w:r>
      <w:r w:rsidR="007E158F">
        <w:t xml:space="preserve">which he was supplied with accounting records.  </w:t>
      </w:r>
    </w:p>
    <w:p w:rsidR="007E158F" w:rsidRDefault="00E266F1" w:rsidP="00DB2308">
      <w:pPr>
        <w:pStyle w:val="ParaNumbering"/>
      </w:pPr>
      <w:r>
        <w:t xml:space="preserve">Rather, </w:t>
      </w:r>
      <w:r w:rsidR="00CF4399">
        <w:t>Kleyn Investments and Mincrest provided significant financial assistance to Coretell</w:t>
      </w:r>
      <w:r w:rsidR="00D81E24">
        <w:t xml:space="preserve">, </w:t>
      </w:r>
      <w:r w:rsidR="00CF4399">
        <w:t>namely, $185,000 from Mincrest</w:t>
      </w:r>
      <w:r w:rsidR="00D81E24">
        <w:t xml:space="preserve">, $433,427 from Mincrest </w:t>
      </w:r>
      <w:r w:rsidR="00CF4399">
        <w:t>as trustee of the Kleyn Family Trust</w:t>
      </w:r>
      <w:r w:rsidR="00D81E24">
        <w:t>,</w:t>
      </w:r>
      <w:r w:rsidR="00CF4399">
        <w:t xml:space="preserve"> and $437,000 from Kleyn Investments as trustee of the Kleyn Investment Trust.  These amounts were necessary for Coretell to conduct its core tool business.  Accordingly, Mr Ross gave evidence that had Coretell not rec</w:t>
      </w:r>
      <w:r w:rsidR="00D81E24">
        <w:t xml:space="preserve">eived distributions from trusts </w:t>
      </w:r>
      <w:r w:rsidR="00CF4399">
        <w:t xml:space="preserve">administered by Mincrest and Kleyn Investments as trustees, it would have reported significant cumulative losses for the financial years ending 2007 to 2011.  </w:t>
      </w:r>
    </w:p>
    <w:p w:rsidR="00CF4399" w:rsidRDefault="009D0E76" w:rsidP="00DB2308">
      <w:pPr>
        <w:pStyle w:val="ParaNumbering"/>
      </w:pPr>
      <w:r>
        <w:t xml:space="preserve">The explanation provided </w:t>
      </w:r>
      <w:r w:rsidR="00E266F1">
        <w:t xml:space="preserve">by the respondents </w:t>
      </w:r>
      <w:r>
        <w:t>for the distribution of funds was that the trust distributions were made to Coretell to avoid adverse tax consequences</w:t>
      </w:r>
      <w:r w:rsidR="00D81E24">
        <w:t>,</w:t>
      </w:r>
      <w:r>
        <w:t xml:space="preserve"> and that it made rational economic sense for the businesses to move staff from one business to another as required and to use a single warehouse.  Mr Ross accepted these propositions and, indeed, </w:t>
      </w:r>
      <w:r w:rsidR="00D81E24">
        <w:t xml:space="preserve">observed </w:t>
      </w:r>
      <w:r>
        <w:t>that they supported his thesis that Coretell was not acting independently</w:t>
      </w:r>
      <w:r w:rsidR="00E266F1">
        <w:t xml:space="preserve">.  He </w:t>
      </w:r>
      <w:r>
        <w:t>gave evidence that if those events took place in the context of a group of related entities, they would make commercial sense</w:t>
      </w:r>
      <w:r w:rsidR="00D81E24">
        <w:t>, but i</w:t>
      </w:r>
      <w:r>
        <w:t xml:space="preserve">f they </w:t>
      </w:r>
      <w:r w:rsidR="00D81E24">
        <w:t>we</w:t>
      </w:r>
      <w:r>
        <w:t xml:space="preserve">re not related, then those arrangements would not make commercial sense.  </w:t>
      </w:r>
      <w:r w:rsidR="005B29FE">
        <w:t>I</w:t>
      </w:r>
      <w:r>
        <w:t xml:space="preserve">n large measure I accepted the evidence of Mr Ross.  </w:t>
      </w:r>
    </w:p>
    <w:p w:rsidR="00876288" w:rsidRDefault="00E074F6" w:rsidP="00DB2308">
      <w:pPr>
        <w:pStyle w:val="ParaNumbering"/>
      </w:pPr>
      <w:r w:rsidRPr="000665C9">
        <w:rPr>
          <w:b/>
        </w:rPr>
        <w:t>Mr Robert Kleyn</w:t>
      </w:r>
      <w:r>
        <w:t xml:space="preserve"> was not </w:t>
      </w:r>
      <w:r w:rsidR="00E266F1">
        <w:t>required for cross-examination</w:t>
      </w:r>
      <w:r>
        <w:t xml:space="preserve">, but his </w:t>
      </w:r>
      <w:r w:rsidR="00E266F1">
        <w:t xml:space="preserve">affidavit </w:t>
      </w:r>
      <w:r>
        <w:t xml:space="preserve">was tendered.  He is the brother of the third respondent, </w:t>
      </w:r>
      <w:r w:rsidRPr="00D81E24">
        <w:t>Mr Nicky Kleyn</w:t>
      </w:r>
      <w:r>
        <w:t xml:space="preserve">.  He gave evidence regarding aspects of the development of the respondents’ first generation </w:t>
      </w:r>
      <w:r w:rsidR="00FC24DD">
        <w:t>ORIshot Tool</w:t>
      </w:r>
      <w:r>
        <w:t xml:space="preserve"> and discussions with his brother</w:t>
      </w:r>
      <w:r w:rsidR="005B29FE">
        <w:t>.</w:t>
      </w:r>
      <w:r>
        <w:t xml:space="preserve">  </w:t>
      </w:r>
      <w:r w:rsidR="00AF0247">
        <w:t>Mr </w:t>
      </w:r>
      <w:r w:rsidR="00D81E24">
        <w:t xml:space="preserve">Robert </w:t>
      </w:r>
      <w:r w:rsidR="00AF0247">
        <w:t>Kleyn swore an aff</w:t>
      </w:r>
      <w:r w:rsidR="00D81E24">
        <w:t>idavit in which he said that Mr </w:t>
      </w:r>
      <w:r w:rsidR="00AF0247">
        <w:t xml:space="preserve">Nicky Kleyn informed him that he was developing a core orientation tool with the assistance of Ashley Barker in about 2005 and </w:t>
      </w:r>
      <w:r w:rsidR="00D81E24">
        <w:t xml:space="preserve">that </w:t>
      </w:r>
      <w:r w:rsidR="00AF0247">
        <w:t xml:space="preserve">‘we’ve copied it from Ace’s new core tool but we’re planning to make one or two changes to it’.  Mr Robert Kleyn purportedly asked him ‘won’t Ace know you copied it?’ to which Mr Nicky Kleyn said ‘maybe, but they’ll have to prove it’.  </w:t>
      </w:r>
    </w:p>
    <w:p w:rsidR="00AF0247" w:rsidRDefault="00AF0247" w:rsidP="00AF0247">
      <w:pPr>
        <w:pStyle w:val="ParaNumbering"/>
      </w:pPr>
      <w:r>
        <w:t>In addition, in his affidavit, Mr Robert Kleyn said that Mr Nicky Kleyn said to him:</w:t>
      </w:r>
    </w:p>
    <w:p w:rsidR="00AF0247" w:rsidRDefault="00AF0247" w:rsidP="00AF0247">
      <w:pPr>
        <w:pStyle w:val="Quote1"/>
      </w:pPr>
      <w:r>
        <w:t xml:space="preserve">The shit might hit the fan with this </w:t>
      </w:r>
      <w:r w:rsidR="00D81E24">
        <w:t>o</w:t>
      </w:r>
      <w:r>
        <w:t>rientation tool.  So what I’ve set up is a company that will have no assets and take the fall if things go wrong in court.  I’m setting up another company called Goldview Asset that will hold all the assets of the business.  You</w:t>
      </w:r>
      <w:r w:rsidR="00D81E24">
        <w:t xml:space="preserve"> will be </w:t>
      </w:r>
      <w:r>
        <w:t>one director of one of them.  Don’t worry you won’t have to do anything.  They won’t come after you because you’ve got no money.</w:t>
      </w:r>
    </w:p>
    <w:p w:rsidR="00AF0247" w:rsidRDefault="00AF0247" w:rsidP="00AF0247">
      <w:pPr>
        <w:pStyle w:val="ParaNumbering"/>
      </w:pPr>
      <w:r>
        <w:t xml:space="preserve">Mr Robert Kleyn said he later rejected that proposal.  </w:t>
      </w:r>
    </w:p>
    <w:p w:rsidR="00AF0247" w:rsidRDefault="00AF0247" w:rsidP="00AF0247">
      <w:pPr>
        <w:pStyle w:val="ParaNumbering"/>
      </w:pPr>
      <w:r>
        <w:lastRenderedPageBreak/>
        <w:t xml:space="preserve">Mr </w:t>
      </w:r>
      <w:r w:rsidR="002A2285">
        <w:t>Nicky Kleyn described his estranged brother, Mr Robert Kleyn, as being a</w:t>
      </w:r>
      <w:r w:rsidR="00AF2C49">
        <w:t>n</w:t>
      </w:r>
      <w:r w:rsidR="002A2285">
        <w:t xml:space="preserve"> habitual liar.  Despite this, Mr Robert Kleyn was not required for cross-examination on his affidavit.  In due course I will discuss the weight, if any, to be given to these statements.  </w:t>
      </w:r>
    </w:p>
    <w:p w:rsidR="00D81E24" w:rsidRDefault="00E074F6" w:rsidP="00E074F6">
      <w:pPr>
        <w:pStyle w:val="ParaNumbering"/>
      </w:pPr>
      <w:r w:rsidRPr="00C20F57">
        <w:rPr>
          <w:b/>
        </w:rPr>
        <w:t xml:space="preserve">Mr </w:t>
      </w:r>
      <w:r w:rsidRPr="00D81E24">
        <w:t>Stephen</w:t>
      </w:r>
      <w:r w:rsidRPr="00C20F57">
        <w:rPr>
          <w:b/>
        </w:rPr>
        <w:t xml:space="preserve"> Budiselic</w:t>
      </w:r>
      <w:r>
        <w:t xml:space="preserve">, </w:t>
      </w:r>
      <w:r w:rsidR="00D81E24">
        <w:t>g</w:t>
      </w:r>
      <w:r>
        <w:t xml:space="preserve">eneral </w:t>
      </w:r>
      <w:r w:rsidR="00D81E24">
        <w:t>m</w:t>
      </w:r>
      <w:r>
        <w:t xml:space="preserve">anager in the Asia Pacific </w:t>
      </w:r>
      <w:r w:rsidR="00D81E24">
        <w:t>r</w:t>
      </w:r>
      <w:r>
        <w:t>egion for Reflex</w:t>
      </w:r>
      <w:r w:rsidR="00AC0B7D">
        <w:t>,</w:t>
      </w:r>
      <w:r>
        <w:t xml:space="preserve"> dealt with the market for core orientation and survey tools</w:t>
      </w:r>
      <w:r w:rsidR="00D81E24">
        <w:t>,</w:t>
      </w:r>
      <w:r>
        <w:t xml:space="preserve"> and instances </w:t>
      </w:r>
      <w:r w:rsidR="00285BDC">
        <w:t xml:space="preserve">of </w:t>
      </w:r>
      <w:r>
        <w:t xml:space="preserve">the promotion by the respondents </w:t>
      </w:r>
      <w:r w:rsidR="00285BDC">
        <w:t xml:space="preserve">and of their supply and distribution of the </w:t>
      </w:r>
      <w:r w:rsidR="00FC24DD">
        <w:t>ORIshot Tool</w:t>
      </w:r>
      <w:r w:rsidR="00285BDC">
        <w:t xml:space="preserve">, including at the Maddington Warehouse.  </w:t>
      </w:r>
    </w:p>
    <w:p w:rsidR="00D31C47" w:rsidRDefault="00285BDC" w:rsidP="00E074F6">
      <w:pPr>
        <w:pStyle w:val="ParaNumbering"/>
      </w:pPr>
      <w:r>
        <w:t xml:space="preserve">I placed limited reliance on the evidence of Mr Budiselic.  </w:t>
      </w:r>
      <w:r w:rsidR="001C1E7F">
        <w:t>I form</w:t>
      </w:r>
      <w:r w:rsidR="0030093E">
        <w:t>ed</w:t>
      </w:r>
      <w:r w:rsidR="001C1E7F">
        <w:t xml:space="preserve"> the impression that Mr Budiselic was something of an advocate for the applicants’ case.  His enthusiasm to champion the cause of the applicants might be explained by the fact </w:t>
      </w:r>
      <w:r w:rsidR="00D31C47">
        <w:t>of his position as an employee of Reflex</w:t>
      </w:r>
      <w:r w:rsidR="008F73EE">
        <w:t xml:space="preserve">.  </w:t>
      </w:r>
      <w:r w:rsidR="00A82283">
        <w:t xml:space="preserve">Equally, </w:t>
      </w:r>
      <w:r w:rsidR="00FD5515">
        <w:t xml:space="preserve">however, </w:t>
      </w:r>
      <w:r w:rsidR="00A82283">
        <w:t xml:space="preserve">I think that senior counsel for the respondents overstated the matter considerably in describing Mr Budiselic as being ‘a great mischief maker </w:t>
      </w:r>
      <w:r w:rsidR="00D31C47">
        <w:t xml:space="preserve">… </w:t>
      </w:r>
      <w:r w:rsidR="00A82283">
        <w:t xml:space="preserve">who </w:t>
      </w:r>
      <w:r w:rsidR="00D31C47">
        <w:t xml:space="preserve">is </w:t>
      </w:r>
      <w:r w:rsidR="00A82283">
        <w:t>duplicitous</w:t>
      </w:r>
      <w:r w:rsidR="00D31C47">
        <w:t>,</w:t>
      </w:r>
      <w:r w:rsidR="00A82283">
        <w:t xml:space="preserve"> to say the least.  He purports to have been a friend of Mr Kleyn over many</w:t>
      </w:r>
      <w:r w:rsidR="00D31C47">
        <w:t>,</w:t>
      </w:r>
      <w:r w:rsidR="00A82283">
        <w:t xml:space="preserve"> many years and he advances evidence which is at best misleading, if not wrong’.  </w:t>
      </w:r>
      <w:r w:rsidR="00310AA9">
        <w:t>I rate Mr </w:t>
      </w:r>
      <w:r w:rsidR="00A50179">
        <w:t xml:space="preserve">Budiselic, in witness terms, somewhere between that description by senior counsel for the respondents and the favourable embrace received by senior counsel for the applicants.  </w:t>
      </w:r>
      <w:r w:rsidR="00F862C4">
        <w:t xml:space="preserve">Much of Mr Budiselic’s evidence was borderline in terms of admissibility.  </w:t>
      </w:r>
    </w:p>
    <w:p w:rsidR="00A50179" w:rsidRDefault="00FD5515" w:rsidP="00E074F6">
      <w:pPr>
        <w:pStyle w:val="ParaNumbering"/>
      </w:pPr>
      <w:r>
        <w:t>Mr Budiselic</w:t>
      </w:r>
      <w:r w:rsidR="00F862C4">
        <w:t xml:space="preserve"> has had long experience in the mining industry</w:t>
      </w:r>
      <w:r w:rsidR="00D31C47">
        <w:t xml:space="preserve">. </w:t>
      </w:r>
      <w:r w:rsidR="00F862C4">
        <w:t xml:space="preserve"> </w:t>
      </w:r>
      <w:r w:rsidR="00D31C47">
        <w:t xml:space="preserve">He </w:t>
      </w:r>
      <w:r w:rsidR="00F862C4">
        <w:t xml:space="preserve">has known Mr Kleyn for almost 17 years and had always understood him to be representing the ‘Camteq’ business.  He gave evidence which supports the applicants’ case, but on which I do not need to rely in order to reach </w:t>
      </w:r>
      <w:r w:rsidR="00D31C47">
        <w:t xml:space="preserve">the </w:t>
      </w:r>
      <w:r w:rsidR="00F862C4">
        <w:t xml:space="preserve">finding that in 2009, whilst employed for a customer of Camteq, Supply Force International, he was told by Mr Kleyn that he had split his business into Camteq and Coretell divisions to </w:t>
      </w:r>
      <w:r w:rsidR="00D31C47">
        <w:t>‘</w:t>
      </w:r>
      <w:r w:rsidR="00F862C4">
        <w:t>alleviate legal issues later on</w:t>
      </w:r>
      <w:r w:rsidR="00D31C47">
        <w:t>’</w:t>
      </w:r>
      <w:r w:rsidR="00F862C4">
        <w:t>.  Mr Budiselic’s evidence was directed to overcoming the fact that, as I subsequently find, Mr Kleyn move</w:t>
      </w:r>
      <w:r w:rsidR="00D31C47">
        <w:t>d</w:t>
      </w:r>
      <w:r w:rsidR="00F862C4">
        <w:t xml:space="preserve"> his business arrangements in such a way as to minimise any capacity for liability to the applicants in this or any subsequent proceeding</w:t>
      </w:r>
      <w:r w:rsidR="00D31C47">
        <w:t>.  T</w:t>
      </w:r>
      <w:r w:rsidR="00F862C4">
        <w:t xml:space="preserve">he evidence of Mr Budiselic was not particularly helpful in </w:t>
      </w:r>
      <w:r w:rsidR="00D31C47">
        <w:t>reaching that conclusion</w:t>
      </w:r>
      <w:r w:rsidR="00F862C4">
        <w:t xml:space="preserve">.  I reached the conclusion </w:t>
      </w:r>
      <w:r w:rsidR="00D31C47">
        <w:t xml:space="preserve">that these are the steps he took </w:t>
      </w:r>
      <w:r w:rsidR="00F862C4">
        <w:t>based on Mr Kleyn’s own evidence in cross-examination</w:t>
      </w:r>
      <w:r>
        <w:t xml:space="preserve"> and the objective facts</w:t>
      </w:r>
      <w:r w:rsidR="00F862C4">
        <w:t xml:space="preserve">.  </w:t>
      </w:r>
    </w:p>
    <w:p w:rsidR="00285BDC" w:rsidRDefault="00285BDC" w:rsidP="00285BDC">
      <w:pPr>
        <w:pStyle w:val="ParaNumbering"/>
      </w:pPr>
      <w:r w:rsidRPr="000974B1">
        <w:rPr>
          <w:b/>
        </w:rPr>
        <w:t xml:space="preserve">Mr </w:t>
      </w:r>
      <w:r w:rsidRPr="00BF4603">
        <w:t xml:space="preserve">Kelvin </w:t>
      </w:r>
      <w:r w:rsidRPr="000974B1">
        <w:rPr>
          <w:b/>
        </w:rPr>
        <w:t>Brown</w:t>
      </w:r>
      <w:r>
        <w:t xml:space="preserve"> was an impressive witness. </w:t>
      </w:r>
      <w:r w:rsidR="002B2031">
        <w:t xml:space="preserve"> At the time of giving evidence, he was </w:t>
      </w:r>
      <w:r>
        <w:t xml:space="preserve">the </w:t>
      </w:r>
      <w:r w:rsidR="00BF4603">
        <w:t>‘</w:t>
      </w:r>
      <w:r w:rsidR="00CA3019">
        <w:t>G</w:t>
      </w:r>
      <w:r>
        <w:t xml:space="preserve">lobal </w:t>
      </w:r>
      <w:r w:rsidR="00CA3019">
        <w:t>P</w:t>
      </w:r>
      <w:r>
        <w:t xml:space="preserve">roducts </w:t>
      </w:r>
      <w:r w:rsidR="00CA3019">
        <w:t>M</w:t>
      </w:r>
      <w:r>
        <w:t>anager</w:t>
      </w:r>
      <w:r w:rsidR="00BF4603">
        <w:t>’</w:t>
      </w:r>
      <w:r>
        <w:t xml:space="preserve"> for Reflex.  Mr Brown has over 19 years</w:t>
      </w:r>
      <w:r w:rsidR="00BF4603">
        <w:t xml:space="preserve"> of</w:t>
      </w:r>
      <w:r>
        <w:t xml:space="preserve"> experience in the supply and use of equipment in mineral exploration drilling, including experience in </w:t>
      </w:r>
      <w:r w:rsidR="00BF4603">
        <w:t xml:space="preserve">core </w:t>
      </w:r>
      <w:r w:rsidR="00BF4603">
        <w:lastRenderedPageBreak/>
        <w:t>sample</w:t>
      </w:r>
      <w:r w:rsidR="00195CC4">
        <w:t xml:space="preserve"> operations at hard rock drilling rigs.  Mr Brown’s first affidavit dealt with a design feature of the respondents’ tool</w:t>
      </w:r>
      <w:r w:rsidR="00BF4603">
        <w:t>,</w:t>
      </w:r>
      <w:r w:rsidR="00195CC4">
        <w:t xml:space="preserve"> and instances of the respondents</w:t>
      </w:r>
      <w:r w:rsidR="00082B70">
        <w:t>’</w:t>
      </w:r>
      <w:r w:rsidR="00195CC4">
        <w:t xml:space="preserve"> promotion and supply of the </w:t>
      </w:r>
      <w:r w:rsidR="00FC24DD">
        <w:t>ORIshot Tool</w:t>
      </w:r>
      <w:r w:rsidR="00195CC4">
        <w:t xml:space="preserve">.  He </w:t>
      </w:r>
      <w:r w:rsidR="00082B70">
        <w:t xml:space="preserve">also gave evidence on the </w:t>
      </w:r>
      <w:r w:rsidR="00195CC4">
        <w:t xml:space="preserve">topic </w:t>
      </w:r>
      <w:r w:rsidR="00082B70">
        <w:t>invalidity</w:t>
      </w:r>
      <w:r w:rsidR="00BF4603">
        <w:t>, to which I will refer to below</w:t>
      </w:r>
      <w:r w:rsidR="00082B70">
        <w:t>.</w:t>
      </w:r>
    </w:p>
    <w:p w:rsidR="006969B1" w:rsidRDefault="000974B1" w:rsidP="00285BDC">
      <w:pPr>
        <w:pStyle w:val="ParaNumbering"/>
      </w:pPr>
      <w:r>
        <w:t xml:space="preserve">The respondents also accept that Mr Brown was truthful and reliable witness.  </w:t>
      </w:r>
      <w:r w:rsidR="00BF4603">
        <w:t xml:space="preserve">Mr Brown also assisted the respondents’ case.  </w:t>
      </w:r>
      <w:r>
        <w:t xml:space="preserve">He readily admitted that he had no formal training in aspects of core orientation technology.  Notwithstanding this, he had extensive knowledge and </w:t>
      </w:r>
      <w:r w:rsidR="00BF4603">
        <w:t xml:space="preserve">practical </w:t>
      </w:r>
      <w:r>
        <w:t xml:space="preserve">experience with procedures and equipment involved in core orientation </w:t>
      </w:r>
      <w:r w:rsidR="00BF4603">
        <w:t>as at 3 September 2004</w:t>
      </w:r>
      <w:r>
        <w:t xml:space="preserve">.  </w:t>
      </w:r>
      <w:r w:rsidR="008436E3">
        <w:t xml:space="preserve">He gave evidence relevant to several issues in the case, including the alleged prior disclosures in </w:t>
      </w:r>
      <w:r w:rsidR="00BF4603">
        <w:t>the Skopec Paper</w:t>
      </w:r>
      <w:r w:rsidR="008436E3">
        <w:t>, his experience with testing procedures for prototype equipment at drilling rigs</w:t>
      </w:r>
      <w:r w:rsidR="00BF4603">
        <w:t>,</w:t>
      </w:r>
      <w:r w:rsidR="008436E3">
        <w:t xml:space="preserve"> and prior art methods for orienting core samples in mineral exploration in Australia before 3 September 2004.  </w:t>
      </w:r>
      <w:r w:rsidR="00CE6942">
        <w:t xml:space="preserve">He explained three methods in use, namely, the </w:t>
      </w:r>
      <w:r w:rsidR="00BF4603">
        <w:t xml:space="preserve">Spear </w:t>
      </w:r>
      <w:r w:rsidR="00CE6942">
        <w:t xml:space="preserve">Method, the </w:t>
      </w:r>
      <w:r w:rsidR="00BF4603">
        <w:t>‘</w:t>
      </w:r>
      <w:r w:rsidR="00CE6942">
        <w:t>Ball-Mark</w:t>
      </w:r>
      <w:r w:rsidR="00BF4603">
        <w:t>’</w:t>
      </w:r>
      <w:r w:rsidR="00CE6942">
        <w:t xml:space="preserve"> </w:t>
      </w:r>
      <w:r w:rsidR="00BF4603">
        <w:t>m</w:t>
      </w:r>
      <w:r w:rsidR="00CE6942">
        <w:t xml:space="preserve">ethod and the </w:t>
      </w:r>
      <w:r w:rsidR="007135E3">
        <w:t>‘</w:t>
      </w:r>
      <w:r w:rsidR="00CE6942">
        <w:t>E</w:t>
      </w:r>
      <w:r w:rsidR="007135E3">
        <w:t>z</w:t>
      </w:r>
      <w:r w:rsidR="00CE6942">
        <w:t>y-Mark</w:t>
      </w:r>
      <w:r w:rsidR="007135E3">
        <w:t>’</w:t>
      </w:r>
      <w:r w:rsidR="00CE6942">
        <w:t xml:space="preserve"> </w:t>
      </w:r>
      <w:r w:rsidR="007135E3">
        <w:t>m</w:t>
      </w:r>
      <w:r w:rsidR="00CE6942">
        <w:t xml:space="preserve">ethod.  </w:t>
      </w:r>
      <w:r w:rsidR="006969B1">
        <w:t xml:space="preserve">Mr Brown identified functional and accuracy issues with </w:t>
      </w:r>
      <w:r w:rsidR="007135E3">
        <w:t xml:space="preserve">those </w:t>
      </w:r>
      <w:r w:rsidR="006969B1">
        <w:t>respective methods in use prior to 3 September 2004.</w:t>
      </w:r>
    </w:p>
    <w:p w:rsidR="00585DFF" w:rsidRDefault="00C108A7" w:rsidP="00285BDC">
      <w:pPr>
        <w:pStyle w:val="ParaNumbering"/>
      </w:pPr>
      <w:r>
        <w:t xml:space="preserve">For the respondents, evidence was given by </w:t>
      </w:r>
      <w:r w:rsidR="007135E3">
        <w:t>Mr </w:t>
      </w:r>
      <w:r w:rsidRPr="00586220">
        <w:t>Kleyn</w:t>
      </w:r>
      <w:r>
        <w:t xml:space="preserve">.  His evidence addressed </w:t>
      </w:r>
      <w:r w:rsidR="00CF7956">
        <w:t xml:space="preserve">the activities of the corporate respondents and his involvement in selling, supplying and offering the </w:t>
      </w:r>
      <w:r w:rsidR="00FC24DD">
        <w:t>ORIshot Tool</w:t>
      </w:r>
      <w:r w:rsidR="00CF7956">
        <w:t xml:space="preserve"> to customers in Australia.</w:t>
      </w:r>
    </w:p>
    <w:p w:rsidR="007135E3" w:rsidRDefault="000665C9" w:rsidP="000665C9">
      <w:pPr>
        <w:pStyle w:val="ParaNumbering"/>
      </w:pPr>
      <w:r>
        <w:t xml:space="preserve">I regret to say that I found Mr Kleyn’s evidence unsatisfactory.  The applicants submit that Mr </w:t>
      </w:r>
      <w:r w:rsidR="00D617D1">
        <w:t>Kleyn</w:t>
      </w:r>
      <w:r>
        <w:t xml:space="preserve"> was</w:t>
      </w:r>
      <w:r w:rsidR="007135E3">
        <w:t>:</w:t>
      </w:r>
    </w:p>
    <w:p w:rsidR="000665C9" w:rsidRDefault="002B2031" w:rsidP="007135E3">
      <w:pPr>
        <w:pStyle w:val="Quote1"/>
      </w:pPr>
      <w:r>
        <w:t>[a]</w:t>
      </w:r>
      <w:r w:rsidR="000665C9">
        <w:t xml:space="preserve"> combative and dishonest witness whose evidence should not be accepted on any issue adverse to the respondents’ case unless it is corroborated by a credible witness or contemporaneous document.  </w:t>
      </w:r>
    </w:p>
    <w:p w:rsidR="000665C9" w:rsidRDefault="00D617D1" w:rsidP="000665C9">
      <w:pPr>
        <w:pStyle w:val="ParaNumbering"/>
      </w:pPr>
      <w:r>
        <w:t>The applicants</w:t>
      </w:r>
      <w:r w:rsidR="007135E3">
        <w:t>’</w:t>
      </w:r>
      <w:r>
        <w:t xml:space="preserve"> attack on Mr Kleyn was very forceful.  Equally, I feel that the applicants’ submission</w:t>
      </w:r>
      <w:r w:rsidR="0066436E">
        <w:t>s</w:t>
      </w:r>
      <w:r>
        <w:t xml:space="preserve"> in relation to Mr Kleyn are somewhat more strenuous </w:t>
      </w:r>
      <w:r w:rsidR="0066436E">
        <w:t xml:space="preserve">than warranted.  I should </w:t>
      </w:r>
      <w:r w:rsidR="00B65E0C">
        <w:t>stress, however</w:t>
      </w:r>
      <w:r w:rsidR="0066436E">
        <w:t xml:space="preserve">, </w:t>
      </w:r>
      <w:r w:rsidR="00B65E0C">
        <w:t xml:space="preserve">Mr Kleyn’s </w:t>
      </w:r>
      <w:r w:rsidR="0066436E">
        <w:t xml:space="preserve">evidence that the </w:t>
      </w:r>
      <w:r w:rsidR="00FC24DD">
        <w:t>ORIshot Tool</w:t>
      </w:r>
      <w:r w:rsidR="0066436E">
        <w:t xml:space="preserve"> was transferred by Mincrest to Coretell and the </w:t>
      </w:r>
      <w:r w:rsidR="00C16867">
        <w:t>P</w:t>
      </w:r>
      <w:r w:rsidR="0066436E">
        <w:t>ro-</w:t>
      </w:r>
      <w:r w:rsidR="00C16867">
        <w:t>S</w:t>
      </w:r>
      <w:r w:rsidR="0066436E">
        <w:t>hot from Mincrest to Kleyn Investments</w:t>
      </w:r>
      <w:r w:rsidR="007135E3">
        <w:t>,</w:t>
      </w:r>
      <w:r w:rsidR="0066436E">
        <w:t xml:space="preserve"> as part</w:t>
      </w:r>
      <w:r w:rsidR="00B65E0C">
        <w:t xml:space="preserve"> of undocumented transfers was, in my assessment as I will </w:t>
      </w:r>
      <w:r w:rsidR="007135E3">
        <w:t xml:space="preserve">later </w:t>
      </w:r>
      <w:r w:rsidR="00B65E0C">
        <w:t>explain, a</w:t>
      </w:r>
      <w:r w:rsidR="0066436E">
        <w:t xml:space="preserve"> fabrication.</w:t>
      </w:r>
    </w:p>
    <w:p w:rsidR="0066436E" w:rsidRDefault="00C16867" w:rsidP="000665C9">
      <w:pPr>
        <w:pStyle w:val="ParaNumbering"/>
      </w:pPr>
      <w:r>
        <w:t xml:space="preserve">Mr Kleyn does appear to have specifically avoided disclosing in his affidavit evidence that he had given instructions to Mr Barker, the inventor of the </w:t>
      </w:r>
      <w:r w:rsidR="00FC24DD">
        <w:t>ORIshot Tool</w:t>
      </w:r>
      <w:r>
        <w:t xml:space="preserve">, which included references to taking the </w:t>
      </w:r>
      <w:r w:rsidR="00BF240F">
        <w:t>ACT Tool</w:t>
      </w:r>
      <w:r w:rsidR="00637758">
        <w:t xml:space="preserve"> </w:t>
      </w:r>
      <w:r>
        <w:t xml:space="preserve">into account and his advice to Mr Barker that he was introducing Coretell into the business to quarantine any liability for patent infringement.  I do </w:t>
      </w:r>
      <w:r>
        <w:lastRenderedPageBreak/>
        <w:t xml:space="preserve">note that Mr Kleyn exercised his right to be present in court for each day of the hearing prior to his own oral testimony.  </w:t>
      </w:r>
    </w:p>
    <w:p w:rsidR="00C16867" w:rsidRDefault="00165658" w:rsidP="000665C9">
      <w:pPr>
        <w:pStyle w:val="ParaNumbering"/>
      </w:pPr>
      <w:r>
        <w:t>I have no doubt that Mr Kleyn structured his affairs to minimise his financial exposure should this</w:t>
      </w:r>
      <w:r w:rsidR="007135E3">
        <w:t xml:space="preserve"> litigation,</w:t>
      </w:r>
      <w:r>
        <w:t xml:space="preserve"> or subsequent patent litigation </w:t>
      </w:r>
      <w:r w:rsidR="00637758">
        <w:t>against the respondents</w:t>
      </w:r>
      <w:r w:rsidR="007135E3">
        <w:t>,</w:t>
      </w:r>
      <w:r w:rsidR="00637758">
        <w:t xml:space="preserve"> </w:t>
      </w:r>
      <w:r>
        <w:t xml:space="preserve">succeed.  I totally reject the evidence </w:t>
      </w:r>
      <w:r w:rsidR="00637758">
        <w:t xml:space="preserve">he gave </w:t>
      </w:r>
      <w:r>
        <w:t>of the transfers of the various businesses</w:t>
      </w:r>
      <w:r w:rsidR="000102B3">
        <w:t xml:space="preserve">. </w:t>
      </w:r>
      <w:r>
        <w:t xml:space="preserve"> I accept the submission for the applicants that the evidence of Mr Kleyn should be accepted only if it is independently corroborated by other credible witnesses or documents.</w:t>
      </w:r>
    </w:p>
    <w:p w:rsidR="00CF7956" w:rsidRDefault="00CF7956" w:rsidP="00285BDC">
      <w:pPr>
        <w:pStyle w:val="ParaNumbering"/>
      </w:pPr>
      <w:r>
        <w:t xml:space="preserve">The respondents also called </w:t>
      </w:r>
      <w:r w:rsidRPr="00F71852">
        <w:rPr>
          <w:b/>
        </w:rPr>
        <w:t>Mr </w:t>
      </w:r>
      <w:r w:rsidRPr="007135E3">
        <w:t>Zane</w:t>
      </w:r>
      <w:r w:rsidRPr="00F71852">
        <w:rPr>
          <w:b/>
        </w:rPr>
        <w:t xml:space="preserve"> Kenny</w:t>
      </w:r>
      <w:r>
        <w:t xml:space="preserve"> on infringement.  </w:t>
      </w:r>
      <w:r w:rsidR="002B2031">
        <w:t xml:space="preserve">At the time of giving evidence, </w:t>
      </w:r>
      <w:r>
        <w:t xml:space="preserve">Mr Kenny </w:t>
      </w:r>
      <w:r w:rsidR="002B2031">
        <w:t>wa</w:t>
      </w:r>
      <w:r>
        <w:t xml:space="preserve">s an </w:t>
      </w:r>
      <w:r w:rsidR="007135E3">
        <w:t>a</w:t>
      </w:r>
      <w:r>
        <w:t>ccountant a</w:t>
      </w:r>
      <w:r w:rsidR="007135E3">
        <w:t>n</w:t>
      </w:r>
      <w:r>
        <w:t xml:space="preserve">d </w:t>
      </w:r>
      <w:r w:rsidR="007135E3">
        <w:t>d</w:t>
      </w:r>
      <w:r>
        <w:t xml:space="preserve">irector of the firm of accountants who </w:t>
      </w:r>
      <w:r w:rsidR="000C23FC">
        <w:t xml:space="preserve">prepare financial statements for the respondents.  His evidence was directed, amongst other things, to the relationship between the corporate respondents.  </w:t>
      </w:r>
    </w:p>
    <w:p w:rsidR="00D1520D" w:rsidRDefault="00D1520D" w:rsidP="000102B3">
      <w:pPr>
        <w:pStyle w:val="ParaNumbering"/>
      </w:pPr>
      <w:r>
        <w:t>I consider Mr Kenny was a good witness and gave evidence to the best of his ability</w:t>
      </w:r>
      <w:r w:rsidR="000102B3">
        <w:t xml:space="preserve">. </w:t>
      </w:r>
      <w:r>
        <w:t xml:space="preserve"> </w:t>
      </w:r>
    </w:p>
    <w:p w:rsidR="008A6F9A" w:rsidRDefault="008B440D" w:rsidP="008A6F9A">
      <w:pPr>
        <w:pStyle w:val="ParaNumbering"/>
      </w:pPr>
      <w:r>
        <w:t xml:space="preserve">Mr Kenny was not an expert as such, but simply the external accountant for the </w:t>
      </w:r>
      <w:r w:rsidR="007135E3">
        <w:t>corporate respondents</w:t>
      </w:r>
      <w:r>
        <w:t xml:space="preserve">.  He </w:t>
      </w:r>
      <w:r w:rsidR="007135E3">
        <w:t xml:space="preserve">did not give </w:t>
      </w:r>
      <w:r>
        <w:t xml:space="preserve">expert evidence and made it clear that he knew nothing of the professional obligations which </w:t>
      </w:r>
      <w:r w:rsidR="007135E3">
        <w:t xml:space="preserve">are involved </w:t>
      </w:r>
      <w:r>
        <w:t xml:space="preserve">in giving </w:t>
      </w:r>
      <w:r w:rsidR="00D00CD6">
        <w:t>expert</w:t>
      </w:r>
      <w:r>
        <w:t xml:space="preserve"> evidence.  </w:t>
      </w:r>
    </w:p>
    <w:p w:rsidR="008B440D" w:rsidRDefault="008B440D" w:rsidP="008A6F9A">
      <w:pPr>
        <w:pStyle w:val="ParaNumbering"/>
      </w:pPr>
      <w:r>
        <w:t>W</w:t>
      </w:r>
      <w:r w:rsidR="00CB66AD">
        <w:t>it</w:t>
      </w:r>
      <w:r>
        <w:t xml:space="preserve">hout </w:t>
      </w:r>
      <w:r w:rsidR="00CB66AD">
        <w:t>being critical in any way of Mr Kenny, on the topic of the relationship within the group, I firmly prefer the evidence of Mr Ross</w:t>
      </w:r>
      <w:r w:rsidR="007135E3">
        <w:t xml:space="preserve"> who was</w:t>
      </w:r>
      <w:r w:rsidR="00CB66AD">
        <w:t xml:space="preserve"> called for the applicants.  This is as much a reflection on Mr Kenny’s briefing as anything else.  In substance, Mr Kenny’s evidence was reduced to identifying the financial statements</w:t>
      </w:r>
      <w:r w:rsidR="007135E3">
        <w:t xml:space="preserve"> of the corporate respondents</w:t>
      </w:r>
      <w:r w:rsidR="00CB66AD">
        <w:t xml:space="preserve">, which had been prepared on instructions given from Mr Kleyn and his employees.  To the extent that his evidence purported to go further than that, it did not have an adequate evidentiary basis upon which to do so.  </w:t>
      </w:r>
    </w:p>
    <w:p w:rsidR="00CB66AD" w:rsidRDefault="00CB66AD" w:rsidP="008A6F9A">
      <w:pPr>
        <w:pStyle w:val="ParaNumbering"/>
      </w:pPr>
      <w:r>
        <w:t xml:space="preserve">It was </w:t>
      </w:r>
      <w:r w:rsidR="00CA1997">
        <w:t xml:space="preserve">clear that Mr Kenny had not been supplied with any written instructions and had not been supplied with a range of documents which would enable him to better understand the terms of operation of a business and, as </w:t>
      </w:r>
      <w:r w:rsidR="007135E3">
        <w:t xml:space="preserve">conceded </w:t>
      </w:r>
      <w:r w:rsidR="00CA1997">
        <w:t xml:space="preserve">by the respondents, Mr Kenny </w:t>
      </w:r>
      <w:r w:rsidR="007135E3">
        <w:t>‘[</w:t>
      </w:r>
      <w:r w:rsidR="00CA1997">
        <w:t>did not</w:t>
      </w:r>
      <w:r w:rsidR="007135E3">
        <w:t>]</w:t>
      </w:r>
      <w:r w:rsidR="00CA1997">
        <w:t xml:space="preserve"> kn</w:t>
      </w:r>
      <w:r w:rsidR="007135E3">
        <w:t xml:space="preserve">ow </w:t>
      </w:r>
      <w:r w:rsidR="00CA1997">
        <w:t xml:space="preserve">how the business </w:t>
      </w:r>
      <w:r w:rsidR="007135E3">
        <w:t xml:space="preserve">is </w:t>
      </w:r>
      <w:r w:rsidR="00CA1997">
        <w:t xml:space="preserve">conducted at the management level or an operational level’.  </w:t>
      </w:r>
      <w:r w:rsidR="004C5C62">
        <w:t>Mr Kenny</w:t>
      </w:r>
      <w:r w:rsidR="007135E3">
        <w:t xml:space="preserve"> </w:t>
      </w:r>
      <w:r w:rsidR="004C5C62">
        <w:t xml:space="preserve">made it clear that he did not know </w:t>
      </w:r>
      <w:r w:rsidR="007135E3">
        <w:t xml:space="preserve">about </w:t>
      </w:r>
      <w:r w:rsidR="004C5C62">
        <w:t>the relationship between Coretell and Mincrest</w:t>
      </w:r>
      <w:r w:rsidR="006E4611">
        <w:t>,</w:t>
      </w:r>
      <w:r w:rsidR="004C5C62">
        <w:t xml:space="preserve"> </w:t>
      </w:r>
      <w:r w:rsidR="007135E3">
        <w:t xml:space="preserve">particularly </w:t>
      </w:r>
      <w:r w:rsidR="002B2031">
        <w:t xml:space="preserve">in respect of </w:t>
      </w:r>
      <w:r w:rsidR="004C5C62">
        <w:t xml:space="preserve">how they operated </w:t>
      </w:r>
      <w:r w:rsidR="006E4611">
        <w:t xml:space="preserve">their business.  The statement in his affidavit to the effect that Coretell was the sole operator of the business supplying </w:t>
      </w:r>
      <w:r w:rsidR="007135E3">
        <w:t xml:space="preserve">the </w:t>
      </w:r>
      <w:r w:rsidR="00FC24DD">
        <w:t>ORIshot Tool</w:t>
      </w:r>
      <w:r w:rsidR="006E4611">
        <w:t xml:space="preserve"> from November 2006 does not have an adequate </w:t>
      </w:r>
      <w:r w:rsidR="007135E3">
        <w:t xml:space="preserve">evidentiary </w:t>
      </w:r>
      <w:r w:rsidR="006E4611">
        <w:t>basis.  It wa</w:t>
      </w:r>
      <w:r w:rsidR="007135E3">
        <w:t>s based, first on the solicitor for the respondents’</w:t>
      </w:r>
      <w:r w:rsidR="006E4611">
        <w:t xml:space="preserve"> undisclosed oral instructions, </w:t>
      </w:r>
      <w:r w:rsidR="007135E3">
        <w:lastRenderedPageBreak/>
        <w:t xml:space="preserve">and </w:t>
      </w:r>
      <w:r w:rsidR="006E4611">
        <w:t xml:space="preserve">secondly, on the respondents’ taxation returns and financial statements and, thirdly, on discussions </w:t>
      </w:r>
      <w:r w:rsidR="002B2031">
        <w:t xml:space="preserve">which took place between </w:t>
      </w:r>
      <w:r w:rsidR="007135E3">
        <w:t xml:space="preserve">Mr Kenny </w:t>
      </w:r>
      <w:r w:rsidR="002B2031">
        <w:t xml:space="preserve">and </w:t>
      </w:r>
      <w:r w:rsidR="006E4611">
        <w:t xml:space="preserve">Mr Kleyn.  Mr Kenny had not been provided with sufficient information, nor given an adequate opportunity in order for him to express a view, such as that </w:t>
      </w:r>
      <w:r w:rsidR="007135E3">
        <w:t xml:space="preserve">in </w:t>
      </w:r>
      <w:r w:rsidR="006E4611">
        <w:t xml:space="preserve">his affidavit </w:t>
      </w:r>
      <w:r w:rsidR="007135E3">
        <w:t xml:space="preserve">regarding </w:t>
      </w:r>
      <w:r w:rsidR="006E4611">
        <w:t>the need for Mincrest to compensate Kleyn Investments for services.</w:t>
      </w:r>
    </w:p>
    <w:p w:rsidR="006E4611" w:rsidRDefault="00FE5CCE" w:rsidP="008A6F9A">
      <w:pPr>
        <w:pStyle w:val="ParaNumbering"/>
      </w:pPr>
      <w:r>
        <w:t xml:space="preserve">Mr Kenny was not in close contact with Mr Kleyn, </w:t>
      </w:r>
      <w:r w:rsidR="00E616B1">
        <w:t xml:space="preserve">nor </w:t>
      </w:r>
      <w:r w:rsidR="002B2031">
        <w:t xml:space="preserve">with </w:t>
      </w:r>
      <w:r w:rsidR="00E616B1">
        <w:t xml:space="preserve">Mr Kleyn’s wife, </w:t>
      </w:r>
      <w:r>
        <w:t>notwithstanding the suggestion in his affidavit that he w</w:t>
      </w:r>
      <w:r w:rsidR="00884F11">
        <w:t xml:space="preserve">as in regular contact with </w:t>
      </w:r>
      <w:r w:rsidR="00E616B1">
        <w:t>them</w:t>
      </w:r>
      <w:r w:rsidR="00884F11">
        <w:t>.  In fact, he met with Mr Kleyn only a couple of times a year if everything was going well</w:t>
      </w:r>
      <w:r w:rsidR="00E616B1">
        <w:t>,</w:t>
      </w:r>
      <w:r w:rsidR="00884F11">
        <w:t xml:space="preserve"> or a few more if it was not.  Similarly, </w:t>
      </w:r>
      <w:r w:rsidR="00E616B1">
        <w:t xml:space="preserve">Mr Kenny only met </w:t>
      </w:r>
      <w:r w:rsidR="005034B0">
        <w:t>with Mrs Kleyn</w:t>
      </w:r>
      <w:r w:rsidR="00884F11">
        <w:t xml:space="preserve"> two or three times a year.  </w:t>
      </w:r>
    </w:p>
    <w:p w:rsidR="006B61CF" w:rsidRDefault="005034B0" w:rsidP="008A6F9A">
      <w:pPr>
        <w:pStyle w:val="ParaNumbering"/>
      </w:pPr>
      <w:r>
        <w:t xml:space="preserve">I did not attach weight to Mr Kenny’s evidence in chief, but I am not critical of his attempts to give evidence to the best of his ability.  </w:t>
      </w:r>
    </w:p>
    <w:p w:rsidR="006B61CF" w:rsidRDefault="006B61CF" w:rsidP="00941151">
      <w:pPr>
        <w:pStyle w:val="ParaNumbering"/>
      </w:pPr>
      <w:r>
        <w:t xml:space="preserve">From the foregoing brief discussion, although there were numerous witnesses on both cases, those I have mentioned collectively strongly supported the case of infringement by all </w:t>
      </w:r>
      <w:r w:rsidR="00E616B1">
        <w:t xml:space="preserve">of the </w:t>
      </w:r>
      <w:r>
        <w:t xml:space="preserve">respondents. </w:t>
      </w:r>
    </w:p>
    <w:p w:rsidR="00E616B1" w:rsidRDefault="00E616B1" w:rsidP="00E616B1">
      <w:pPr>
        <w:pStyle w:val="Heading6"/>
      </w:pPr>
      <w:bookmarkStart w:id="50" w:name="_Ref436660788"/>
      <w:r>
        <w:t>Invalidity</w:t>
      </w:r>
      <w:bookmarkEnd w:id="50"/>
    </w:p>
    <w:p w:rsidR="000C23FC" w:rsidRDefault="00941151" w:rsidP="00941151">
      <w:pPr>
        <w:pStyle w:val="ParaNumbering"/>
      </w:pPr>
      <w:r>
        <w:t>On the invalidity case for the respond</w:t>
      </w:r>
      <w:r w:rsidR="00791435">
        <w:t xml:space="preserve">ents, evidence was given by </w:t>
      </w:r>
      <w:r w:rsidR="00791435" w:rsidRPr="00E616B1">
        <w:t>Mr </w:t>
      </w:r>
      <w:r w:rsidRPr="00E616B1">
        <w:t>Bradford</w:t>
      </w:r>
      <w:r>
        <w:t xml:space="preserve">, a </w:t>
      </w:r>
      <w:r w:rsidR="00E616B1">
        <w:t>p</w:t>
      </w:r>
      <w:r>
        <w:t xml:space="preserve">urchasing </w:t>
      </w:r>
      <w:r w:rsidR="00E616B1">
        <w:t>o</w:t>
      </w:r>
      <w:r>
        <w:t xml:space="preserve">fficer </w:t>
      </w:r>
      <w:r w:rsidR="00E616B1">
        <w:t>at an engineering and constructions firm</w:t>
      </w:r>
      <w:r>
        <w:t>.  In J</w:t>
      </w:r>
      <w:r w:rsidR="00791435">
        <w:t>anuary 1995 to January 2005, Mr </w:t>
      </w:r>
      <w:r>
        <w:t xml:space="preserve">Bradford was the </w:t>
      </w:r>
      <w:r w:rsidR="00E616B1">
        <w:t>‘</w:t>
      </w:r>
      <w:r>
        <w:t>rental and repair coordinator</w:t>
      </w:r>
      <w:r w:rsidR="00E616B1">
        <w:t>’</w:t>
      </w:r>
      <w:r>
        <w:t xml:space="preserve"> with Ace Drilling Supplies business, a business unit of Imdex.  Mr Bradford </w:t>
      </w:r>
      <w:r w:rsidR="00E616B1">
        <w:t xml:space="preserve">gave </w:t>
      </w:r>
      <w:r>
        <w:t>evide</w:t>
      </w:r>
      <w:r w:rsidR="00E616B1">
        <w:t>nce regarding alleged prior use</w:t>
      </w:r>
      <w:r>
        <w:t xml:space="preserve"> of the prototype </w:t>
      </w:r>
      <w:r w:rsidR="00BF240F">
        <w:t>ACT Tool</w:t>
      </w:r>
      <w:r>
        <w:t xml:space="preserve"> before the filing of the Provisional Application, including at test sites in Kalgoorlie and Manjimup.  </w:t>
      </w:r>
    </w:p>
    <w:p w:rsidR="00791435" w:rsidRDefault="00791435" w:rsidP="00941151">
      <w:pPr>
        <w:pStyle w:val="ParaNumbering"/>
      </w:pPr>
      <w:r>
        <w:t xml:space="preserve">I found Mr Bradford to be an unimpressive witness and I was unable to accept much of his evidence.  He was neither an </w:t>
      </w:r>
      <w:r w:rsidR="00E616B1">
        <w:t>‘</w:t>
      </w:r>
      <w:r>
        <w:t>executive</w:t>
      </w:r>
      <w:r w:rsidR="00E616B1">
        <w:t>’</w:t>
      </w:r>
      <w:r>
        <w:t xml:space="preserve"> nor an </w:t>
      </w:r>
      <w:r w:rsidR="00E616B1">
        <w:t>‘</w:t>
      </w:r>
      <w:r>
        <w:t>accredited executive</w:t>
      </w:r>
      <w:r w:rsidR="00E616B1">
        <w:t>’</w:t>
      </w:r>
      <w:r>
        <w:t xml:space="preserve">.  Indeed, he did not know what that term meant even though this was the basis on which he was described in opening by the respondents.  One of the difficulties with the evidence from Mr Bradford was that, although he worked with the Ace Drilling business from about January 1995 to January 2005, Imdex terminated his employment due to his unsatisfactory performance and concerns that he was dishonest.  He has known Mr Kleyn since at least 1995 when he commenced employment with Ace Drilling.  </w:t>
      </w:r>
    </w:p>
    <w:p w:rsidR="00791435" w:rsidRDefault="002B2031" w:rsidP="00941151">
      <w:pPr>
        <w:pStyle w:val="ParaNumbering"/>
      </w:pPr>
      <w:r>
        <w:lastRenderedPageBreak/>
        <w:t xml:space="preserve">The unreliability Mr Bradford </w:t>
      </w:r>
      <w:r w:rsidR="00791435">
        <w:t xml:space="preserve">poses </w:t>
      </w:r>
      <w:r>
        <w:t xml:space="preserve">is </w:t>
      </w:r>
      <w:r w:rsidR="00791435">
        <w:t xml:space="preserve">a central difficulty for the respondents as </w:t>
      </w:r>
      <w:r w:rsidR="004B6FFE">
        <w:t xml:space="preserve">central </w:t>
      </w:r>
      <w:r w:rsidR="00BE038E">
        <w:t xml:space="preserve">aspects </w:t>
      </w:r>
      <w:r w:rsidR="004B6FFE">
        <w:t xml:space="preserve">of </w:t>
      </w:r>
      <w:r>
        <w:t xml:space="preserve">the </w:t>
      </w:r>
      <w:r w:rsidR="00791435">
        <w:t xml:space="preserve">cross-claim </w:t>
      </w:r>
      <w:r>
        <w:t xml:space="preserve">brought by Coretell </w:t>
      </w:r>
      <w:r w:rsidR="004B6FFE">
        <w:t xml:space="preserve">are </w:t>
      </w:r>
      <w:r w:rsidR="00791435">
        <w:t>heavily dependent upon Mr Bradford’s evidence</w:t>
      </w:r>
      <w:r w:rsidR="00E616B1">
        <w:t xml:space="preserve">, in particular </w:t>
      </w:r>
      <w:r w:rsidR="00791435">
        <w:t xml:space="preserve">in relation to prior use.  In the first of his two affidavits, he gave an account of events surrounding the development and release of the </w:t>
      </w:r>
      <w:r w:rsidR="00BF240F">
        <w:t>ACT Tool</w:t>
      </w:r>
      <w:r w:rsidR="002156B3">
        <w:t xml:space="preserve">. </w:t>
      </w:r>
      <w:r w:rsidR="00637758">
        <w:t xml:space="preserve"> </w:t>
      </w:r>
      <w:r w:rsidR="002156B3">
        <w:t>I</w:t>
      </w:r>
      <w:r w:rsidR="00791435">
        <w:t>n giving that evidence</w:t>
      </w:r>
      <w:r w:rsidR="00200D9A">
        <w:t xml:space="preserve"> he</w:t>
      </w:r>
      <w:r w:rsidR="00791435">
        <w:t>:</w:t>
      </w:r>
    </w:p>
    <w:p w:rsidR="00791435" w:rsidRDefault="00791435" w:rsidP="001332BE">
      <w:pPr>
        <w:pStyle w:val="ListNo"/>
        <w:numPr>
          <w:ilvl w:val="0"/>
          <w:numId w:val="33"/>
        </w:numPr>
        <w:tabs>
          <w:tab w:val="clear" w:pos="720"/>
        </w:tabs>
      </w:pPr>
      <w:r>
        <w:t>challenged Mr Parfitt’s status as the sole inventor of the ACT</w:t>
      </w:r>
      <w:r w:rsidR="00E616B1">
        <w:t xml:space="preserve"> Tool</w:t>
      </w:r>
      <w:r>
        <w:t>, which was an allegation going to entitlement to grant</w:t>
      </w:r>
      <w:r w:rsidR="00E616B1">
        <w:t xml:space="preserve">, which </w:t>
      </w:r>
      <w:r>
        <w:t>allegation was abandoned by the respondents the day before the hearing commenced;</w:t>
      </w:r>
    </w:p>
    <w:p w:rsidR="00791435" w:rsidRDefault="00A02988" w:rsidP="001332BE">
      <w:pPr>
        <w:pStyle w:val="ListNo"/>
        <w:numPr>
          <w:ilvl w:val="0"/>
          <w:numId w:val="33"/>
        </w:numPr>
        <w:tabs>
          <w:tab w:val="clear" w:pos="720"/>
        </w:tabs>
      </w:pPr>
      <w:r>
        <w:t xml:space="preserve">contended that from early 2004, that is, before the Priority Date of 3 September 2004, the </w:t>
      </w:r>
      <w:r w:rsidR="00BF240F">
        <w:t>ACT Tool</w:t>
      </w:r>
      <w:r w:rsidR="00637758">
        <w:t xml:space="preserve"> </w:t>
      </w:r>
      <w:r>
        <w:t xml:space="preserve">prototypes were ‘demonstrated’ to customers for the purpose of promoting and marketing the </w:t>
      </w:r>
      <w:r w:rsidR="00BF240F">
        <w:t>ACT Tool</w:t>
      </w:r>
      <w:r w:rsidR="00E616B1">
        <w:t xml:space="preserve">, which </w:t>
      </w:r>
      <w:r>
        <w:t>was the central allegation behind his evidence; and</w:t>
      </w:r>
    </w:p>
    <w:p w:rsidR="00A02988" w:rsidRDefault="00A02988" w:rsidP="001332BE">
      <w:pPr>
        <w:pStyle w:val="ListNo"/>
        <w:numPr>
          <w:ilvl w:val="0"/>
          <w:numId w:val="33"/>
        </w:numPr>
        <w:tabs>
          <w:tab w:val="clear" w:pos="720"/>
        </w:tabs>
      </w:pPr>
      <w:r>
        <w:t xml:space="preserve">alleged that the first batch of 50 </w:t>
      </w:r>
      <w:r w:rsidR="00BF240F">
        <w:t>ACT Tool</w:t>
      </w:r>
      <w:r>
        <w:t xml:space="preserve">s arrived in Australia in July 2004 and were supplied to customers immediately and thus before the Priority Date.  </w:t>
      </w:r>
    </w:p>
    <w:p w:rsidR="00A02988" w:rsidRDefault="00AE4087" w:rsidP="00A02988">
      <w:pPr>
        <w:pStyle w:val="ParaNumbering"/>
      </w:pPr>
      <w:r>
        <w:t>As it transpired, this critical evidence was seriously inaccurate on a number of counts</w:t>
      </w:r>
      <w:r w:rsidR="004F2098">
        <w:t xml:space="preserve">, but it appears that Mr Bradford did not have the benefit of examining all of the documentation which </w:t>
      </w:r>
      <w:r w:rsidR="002B2031">
        <w:t xml:space="preserve">should </w:t>
      </w:r>
      <w:r w:rsidR="004F2098">
        <w:t xml:space="preserve">have made </w:t>
      </w:r>
      <w:r w:rsidR="00E616B1">
        <w:t xml:space="preserve">clear </w:t>
      </w:r>
      <w:r w:rsidR="002B2031">
        <w:t xml:space="preserve">to him </w:t>
      </w:r>
      <w:r w:rsidR="00E616B1">
        <w:t xml:space="preserve">that his </w:t>
      </w:r>
      <w:r w:rsidR="004F2098">
        <w:t>recollection</w:t>
      </w:r>
      <w:r w:rsidR="00E616B1">
        <w:t xml:space="preserve"> was</w:t>
      </w:r>
      <w:r w:rsidR="004F2098">
        <w:t xml:space="preserve"> obviously incorrect.  </w:t>
      </w:r>
    </w:p>
    <w:p w:rsidR="00E616B1" w:rsidRDefault="00D8131B" w:rsidP="00A02988">
      <w:pPr>
        <w:pStyle w:val="ParaNumbering"/>
      </w:pPr>
      <w:r>
        <w:t xml:space="preserve">I find </w:t>
      </w:r>
      <w:r w:rsidR="00E616B1">
        <w:t>it difficult</w:t>
      </w:r>
      <w:r>
        <w:t xml:space="preserve"> </w:t>
      </w:r>
      <w:r w:rsidR="00E616B1">
        <w:t>to conclude</w:t>
      </w:r>
      <w:r>
        <w:t xml:space="preserve"> that Mr Bradford’s evidence was given objectively.  He admitted being offended and hurt by the fact that Imdex had terminated his employment.  </w:t>
      </w:r>
    </w:p>
    <w:p w:rsidR="004F2098" w:rsidRDefault="00D8131B" w:rsidP="00A02988">
      <w:pPr>
        <w:pStyle w:val="ParaNumbering"/>
      </w:pPr>
      <w:r>
        <w:t xml:space="preserve">The applicants filed affidavits from seven witnesses in response to the contentions raised by Mr Bradford in his first affidavit.  In every instance, his version of events was contradicted.  </w:t>
      </w:r>
      <w:r w:rsidR="001932B2">
        <w:t xml:space="preserve">I do not </w:t>
      </w:r>
      <w:r>
        <w:t xml:space="preserve">believe that they could </w:t>
      </w:r>
      <w:r w:rsidR="002E54FB">
        <w:t xml:space="preserve">all </w:t>
      </w:r>
      <w:r>
        <w:t>be wrong.  The evidence in response made clear that Mr Bradford and the respondents had, as the applicants’ submit, ‘overreached this aspect of the case’.  The evidence from the witnesses for the applicants was essentially confirmed and corroborated by contemporaneous documents.</w:t>
      </w:r>
    </w:p>
    <w:p w:rsidR="001A5689" w:rsidRDefault="001A5689" w:rsidP="001A5689">
      <w:pPr>
        <w:pStyle w:val="ParaNumbering"/>
      </w:pPr>
      <w:r>
        <w:t xml:space="preserve">Notwithstanding this, the respondents attempted to </w:t>
      </w:r>
      <w:r w:rsidR="002E54FB">
        <w:t>negotiate</w:t>
      </w:r>
      <w:r>
        <w:t xml:space="preserve"> around those difficulties </w:t>
      </w:r>
      <w:r w:rsidR="00E616B1">
        <w:t xml:space="preserve">by preparing and filing </w:t>
      </w:r>
      <w:r w:rsidR="002B2031">
        <w:t>a</w:t>
      </w:r>
      <w:r>
        <w:t xml:space="preserve"> second affidavit by which Mr Bradford maintained his account of events often by offering speculation to answer the evidence from the witnesses who contradicted his accounts.  Certain paragraphs of his </w:t>
      </w:r>
      <w:r w:rsidR="002B2031">
        <w:t>‘</w:t>
      </w:r>
      <w:r>
        <w:t>evidence</w:t>
      </w:r>
      <w:r w:rsidR="002B2031">
        <w:t>’</w:t>
      </w:r>
      <w:r>
        <w:t xml:space="preserve"> </w:t>
      </w:r>
      <w:r w:rsidR="00365D58">
        <w:t>were</w:t>
      </w:r>
      <w:r>
        <w:t xml:space="preserve"> struck out in his second affidavit.  </w:t>
      </w:r>
    </w:p>
    <w:p w:rsidR="00E16CFE" w:rsidRDefault="00365D58" w:rsidP="001A5689">
      <w:pPr>
        <w:pStyle w:val="ParaNumbering"/>
      </w:pPr>
      <w:r>
        <w:lastRenderedPageBreak/>
        <w:t>Ultimately, the important issues arising from Mr Bradford’s evidence were the three central topics on which there was a deal of focus on the invalidity argument.  The first one was whether the operation of t</w:t>
      </w:r>
      <w:r w:rsidR="00E616B1">
        <w:t xml:space="preserve">he prototypes on the </w:t>
      </w:r>
      <w:r w:rsidR="00470CCE">
        <w:t>applicants’</w:t>
      </w:r>
      <w:r>
        <w:t xml:space="preserve"> customer</w:t>
      </w:r>
      <w:r w:rsidR="00E616B1">
        <w:t>s’</w:t>
      </w:r>
      <w:r>
        <w:t xml:space="preserve"> drilling sites prior to </w:t>
      </w:r>
      <w:r w:rsidR="00E616B1">
        <w:t>3</w:t>
      </w:r>
      <w:r>
        <w:t> September 2004</w:t>
      </w:r>
      <w:r w:rsidR="00E616B1">
        <w:t>, the</w:t>
      </w:r>
      <w:r>
        <w:t xml:space="preserve"> Priority Date</w:t>
      </w:r>
      <w:r w:rsidR="00E616B1">
        <w:t>,</w:t>
      </w:r>
      <w:r>
        <w:t xml:space="preserve"> was for the purpose of trialling or, whether it was for marketing and promotion.  The second issue </w:t>
      </w:r>
      <w:r w:rsidR="00E616B1">
        <w:t xml:space="preserve">on </w:t>
      </w:r>
      <w:r w:rsidR="00E16CFE">
        <w:t>which Mr Bradford gave evidence was the question of whether the first batch of 50</w:t>
      </w:r>
      <w:r w:rsidR="007728A9">
        <w:t xml:space="preserve"> </w:t>
      </w:r>
      <w:r w:rsidR="00BF240F">
        <w:t>ACT Tool</w:t>
      </w:r>
      <w:r w:rsidR="007728A9">
        <w:t>s</w:t>
      </w:r>
      <w:r w:rsidR="00E16CFE">
        <w:t xml:space="preserve"> </w:t>
      </w:r>
      <w:r w:rsidR="00E616B1">
        <w:t xml:space="preserve">to be </w:t>
      </w:r>
      <w:r w:rsidR="00E16CFE">
        <w:t>commercially released in Australia arrived in July 2004 or in September 2004.  There is no co</w:t>
      </w:r>
      <w:r w:rsidR="007B7E81">
        <w:t>gent reliable evidence to displace</w:t>
      </w:r>
      <w:r w:rsidR="00E16CFE">
        <w:t xml:space="preserve"> the evidence, which I accept, which is that the first commercial shipment arrived after the Priority Date.</w:t>
      </w:r>
      <w:r w:rsidR="00E616B1">
        <w:t xml:space="preserve">  </w:t>
      </w:r>
      <w:r w:rsidR="00CA108D">
        <w:t xml:space="preserve">The </w:t>
      </w:r>
      <w:r w:rsidR="00E616B1">
        <w:t xml:space="preserve">third </w:t>
      </w:r>
      <w:r w:rsidR="009C296B">
        <w:t>issue</w:t>
      </w:r>
      <w:r w:rsidR="00CA108D">
        <w:t xml:space="preserve"> was whether the first batch of</w:t>
      </w:r>
      <w:r w:rsidR="007728A9">
        <w:t xml:space="preserve"> </w:t>
      </w:r>
      <w:r w:rsidR="00BF240F">
        <w:t>ACT Tool</w:t>
      </w:r>
      <w:r w:rsidR="007728A9">
        <w:t>s</w:t>
      </w:r>
      <w:r w:rsidR="00CA108D">
        <w:t xml:space="preserve"> were, in fact, promoted and released into the market in July or October 2004.</w:t>
      </w:r>
    </w:p>
    <w:p w:rsidR="00CA108D" w:rsidRDefault="00CA108D" w:rsidP="001A5689">
      <w:pPr>
        <w:pStyle w:val="ParaNumbering"/>
      </w:pPr>
      <w:r>
        <w:t xml:space="preserve">I will, of course, return to these issues, which are of significant importance to the invalidity case.  </w:t>
      </w:r>
    </w:p>
    <w:p w:rsidR="006C0562" w:rsidRDefault="00DC7971" w:rsidP="00941151">
      <w:pPr>
        <w:pStyle w:val="ParaNumbering"/>
      </w:pPr>
      <w:r w:rsidRPr="009C296B">
        <w:rPr>
          <w:b/>
        </w:rPr>
        <w:t xml:space="preserve">Mr </w:t>
      </w:r>
      <w:r w:rsidRPr="00E616B1">
        <w:t>Alun</w:t>
      </w:r>
      <w:r w:rsidRPr="009C296B">
        <w:rPr>
          <w:b/>
        </w:rPr>
        <w:t xml:space="preserve"> Thomas</w:t>
      </w:r>
      <w:r>
        <w:t xml:space="preserve">, a </w:t>
      </w:r>
      <w:r w:rsidR="00E616B1">
        <w:t>p</w:t>
      </w:r>
      <w:r>
        <w:t xml:space="preserve">atent </w:t>
      </w:r>
      <w:r w:rsidR="00E616B1">
        <w:t>a</w:t>
      </w:r>
      <w:r>
        <w:t>ttorney and consultant</w:t>
      </w:r>
      <w:r w:rsidR="00E616B1">
        <w:t xml:space="preserve">, gave evidence, amongst other things, </w:t>
      </w:r>
      <w:r>
        <w:t xml:space="preserve">on patent attorney </w:t>
      </w:r>
      <w:r w:rsidR="001A5689">
        <w:t>p</w:t>
      </w:r>
      <w:r>
        <w:t>ractice regarding the filing of a provisional or complete patent application.</w:t>
      </w:r>
      <w:r w:rsidR="009C296B">
        <w:t xml:space="preserve">  </w:t>
      </w:r>
      <w:r w:rsidR="002E653F">
        <w:t xml:space="preserve">I consider that Mr Thomas was an honest expert witness who did his best given the circumstances of his briefing.  </w:t>
      </w:r>
      <w:r w:rsidR="00E616B1">
        <w:t xml:space="preserve">For example, </w:t>
      </w:r>
      <w:r w:rsidR="002E653F">
        <w:t>he worked on the assumption</w:t>
      </w:r>
      <w:r w:rsidR="00E616B1">
        <w:t xml:space="preserve">, </w:t>
      </w:r>
      <w:r w:rsidR="002E653F">
        <w:t xml:space="preserve">which I reject, that Mr Parfitt had assured Mr Bradford in January 2004 that the </w:t>
      </w:r>
      <w:r w:rsidR="00BF240F">
        <w:t>ACT Tool</w:t>
      </w:r>
      <w:r w:rsidR="00637758">
        <w:t xml:space="preserve"> </w:t>
      </w:r>
      <w:r w:rsidR="002E653F">
        <w:t xml:space="preserve">and its method of working was completed </w:t>
      </w:r>
      <w:r w:rsidR="005F54E9">
        <w:t xml:space="preserve">in its development.  He was also informed, which I reject, that the </w:t>
      </w:r>
      <w:r w:rsidR="00BF240F">
        <w:t>ACT Tool</w:t>
      </w:r>
      <w:r w:rsidR="00637758">
        <w:t xml:space="preserve"> </w:t>
      </w:r>
      <w:r w:rsidR="005F54E9">
        <w:t xml:space="preserve">had been publicly disclosed and exploited commercially by April 2004.  These two fundamental errors in his briefing undermined the entirety of his evidence.  Naturally, he worked on the assumption that the information he was given was correct and based his evidence on that expectation.  </w:t>
      </w:r>
    </w:p>
    <w:p w:rsidR="005F54E9" w:rsidRDefault="009C296B" w:rsidP="00941151">
      <w:pPr>
        <w:pStyle w:val="ParaNumbering"/>
      </w:pPr>
      <w:r>
        <w:t>Mr Thomas</w:t>
      </w:r>
      <w:r w:rsidR="007D5FBD">
        <w:t xml:space="preserve"> was willing to qualify and modify a number of the opinions that he had expressed in his affidavit in the course of cross-examination and he fully accepted, as would be expected, that the inventions claimed in the Patents would be required to work in real world </w:t>
      </w:r>
      <w:r w:rsidR="00DB4AC8">
        <w:t xml:space="preserve">field </w:t>
      </w:r>
      <w:r w:rsidR="007D5FBD">
        <w:t xml:space="preserve">conditions and that </w:t>
      </w:r>
      <w:r w:rsidR="00DB4AC8">
        <w:t xml:space="preserve">the </w:t>
      </w:r>
      <w:r w:rsidR="007D5FBD">
        <w:t xml:space="preserve">testing for that purpose need not be confined to a single drilling site.  I accept the submissions for the applicants that Mr Thomas was not a person skilled in the art.  While he expressed some opinions in </w:t>
      </w:r>
      <w:r w:rsidR="00DB4AC8">
        <w:t xml:space="preserve">his </w:t>
      </w:r>
      <w:r w:rsidR="007D5FBD">
        <w:t xml:space="preserve">affidavits about the level of complexity of the inventions, he accepted unequivocally that he would not put himself forward as a person skilled in the art in the sense in which that phrase is used in </w:t>
      </w:r>
      <w:r w:rsidR="007D7FA4">
        <w:t>the</w:t>
      </w:r>
      <w:r w:rsidR="00637758">
        <w:t xml:space="preserve"> </w:t>
      </w:r>
      <w:r w:rsidR="00DB4AC8">
        <w:t xml:space="preserve">Act </w:t>
      </w:r>
      <w:r w:rsidR="00FF31E4">
        <w:t>relevant</w:t>
      </w:r>
      <w:r w:rsidR="007D5FBD">
        <w:t xml:space="preserve"> to this invention.  </w:t>
      </w:r>
      <w:r w:rsidR="00190A27">
        <w:t xml:space="preserve">He also accepted unequivocally that his characterisation of the subject matter of the Patents’ specifications was not intended to be from the perspective of a </w:t>
      </w:r>
      <w:r w:rsidR="00190A27">
        <w:lastRenderedPageBreak/>
        <w:t xml:space="preserve">person skilled in the art of core orientation devices, being someone to whom the Patents’ specifications are addressed.  </w:t>
      </w:r>
    </w:p>
    <w:p w:rsidR="00DB4AC8" w:rsidRDefault="00A93337" w:rsidP="00941151">
      <w:pPr>
        <w:pStyle w:val="ParaNumbering"/>
      </w:pPr>
      <w:r w:rsidRPr="00C113D5">
        <w:rPr>
          <w:b/>
        </w:rPr>
        <w:t>Mr Scott</w:t>
      </w:r>
      <w:r>
        <w:t xml:space="preserve"> is a former employee of Barminco and </w:t>
      </w:r>
      <w:r w:rsidR="00C113D5">
        <w:t xml:space="preserve">at the time of giving evidence was </w:t>
      </w:r>
      <w:r>
        <w:t>the rental manager with Camteq International</w:t>
      </w:r>
      <w:r w:rsidR="00C113D5">
        <w:t xml:space="preserve"> Services</w:t>
      </w:r>
      <w:r>
        <w:t xml:space="preserve">.  Mr Scott gave evidence that during his employment as drill supervisor with Barminco, he operated the ACT Tool at Sunrise Dam.  He also gave evidence about aspects of the Camteq business.  </w:t>
      </w:r>
    </w:p>
    <w:p w:rsidR="00B71EFE" w:rsidRDefault="00ED26E1" w:rsidP="00941151">
      <w:pPr>
        <w:pStyle w:val="ParaNumbering"/>
      </w:pPr>
      <w:r>
        <w:t>An independent expert</w:t>
      </w:r>
      <w:r w:rsidR="00DB4AC8">
        <w:t xml:space="preserve"> called for the respondents</w:t>
      </w:r>
      <w:r>
        <w:t xml:space="preserve">, </w:t>
      </w:r>
      <w:r w:rsidRPr="002D018E">
        <w:rPr>
          <w:b/>
        </w:rPr>
        <w:t>Mr </w:t>
      </w:r>
      <w:r w:rsidRPr="00DB4AC8">
        <w:t>Raul</w:t>
      </w:r>
      <w:r w:rsidRPr="002D018E">
        <w:rPr>
          <w:b/>
        </w:rPr>
        <w:t xml:space="preserve"> Ballantyne</w:t>
      </w:r>
      <w:r>
        <w:t xml:space="preserve">, is a </w:t>
      </w:r>
      <w:r w:rsidR="00DB4AC8">
        <w:t>s</w:t>
      </w:r>
      <w:r>
        <w:t xml:space="preserve">ales </w:t>
      </w:r>
      <w:r w:rsidR="00DB4AC8">
        <w:t>m</w:t>
      </w:r>
      <w:r>
        <w:t>anager for Sandvik Mining and a former employee of Reflex.  Mr Ballantyne’s evidence concerned the background knowledge of a drilling rig operator as at 3 September 2004.  He carried out an assessment of what the operation of the</w:t>
      </w:r>
      <w:r w:rsidR="00637758">
        <w:t xml:space="preserve"> </w:t>
      </w:r>
      <w:r w:rsidR="00BF240F">
        <w:t>ACT Tool</w:t>
      </w:r>
      <w:r w:rsidR="00637758">
        <w:t xml:space="preserve"> </w:t>
      </w:r>
      <w:r>
        <w:t xml:space="preserve">would have disclosed to him at the Priority Date.  </w:t>
      </w:r>
      <w:r w:rsidR="002D018E">
        <w:t>Mr </w:t>
      </w:r>
      <w:r w:rsidR="00C42B7E">
        <w:t>Ballantyne was called by the respondents to explain that the operating instructions for the ACT</w:t>
      </w:r>
      <w:r w:rsidR="00003C9E">
        <w:t xml:space="preserve"> Tool </w:t>
      </w:r>
      <w:r w:rsidR="00C42B7E">
        <w:t xml:space="preserve">disclosed the inventions claimed in the Patents.  </w:t>
      </w:r>
    </w:p>
    <w:p w:rsidR="00003C9E" w:rsidRDefault="0084098E" w:rsidP="00941151">
      <w:pPr>
        <w:pStyle w:val="ParaNumbering"/>
      </w:pPr>
      <w:r>
        <w:t xml:space="preserve">This </w:t>
      </w:r>
      <w:r w:rsidR="002D018E">
        <w:t xml:space="preserve">argument </w:t>
      </w:r>
      <w:r>
        <w:t>did not, as the applicants submit, survive cross-examination.  This is</w:t>
      </w:r>
      <w:r w:rsidR="002B42EE">
        <w:t>, again,</w:t>
      </w:r>
      <w:r>
        <w:t xml:space="preserve"> by no means an adverse reflection on</w:t>
      </w:r>
      <w:r w:rsidR="002D018E">
        <w:t xml:space="preserve"> Mr Ballantyne, who</w:t>
      </w:r>
      <w:r w:rsidR="002B42EE">
        <w:t>m</w:t>
      </w:r>
      <w:r w:rsidR="002D018E">
        <w:t xml:space="preserve"> I consider</w:t>
      </w:r>
      <w:r>
        <w:t xml:space="preserve"> to be an honest witness, but the events concerned took place at least 10 years ago.  He explained that he had experience as a drilling assistant, a drilling offsider and a driller with two drilling contractors before September 2004, namely, Ausdrill and Barminco.  He was involved in drilling in both above ground and underground operations.  As such, he was involved in obtaining core samples in the context of mineral exploration and drilling in hard rock environments.  I accept the applicants’ case that </w:t>
      </w:r>
      <w:r w:rsidR="00003C9E">
        <w:t xml:space="preserve">this </w:t>
      </w:r>
      <w:r>
        <w:t xml:space="preserve">is the context of core drilling with which the Patents are concerned, notwithstanding the lack of </w:t>
      </w:r>
      <w:r w:rsidR="00003C9E">
        <w:t xml:space="preserve">specific </w:t>
      </w:r>
      <w:r>
        <w:t xml:space="preserve">reference in the Patents to hard rock.  The only </w:t>
      </w:r>
      <w:r w:rsidR="00F64B41">
        <w:t xml:space="preserve">orientation method of which Mr Ballantyne was aware as at 3 September 2004 was the </w:t>
      </w:r>
      <w:r w:rsidR="00003C9E">
        <w:t>S</w:t>
      </w:r>
      <w:r w:rsidR="002D018E">
        <w:t>pear</w:t>
      </w:r>
      <w:r w:rsidR="00F64B41">
        <w:t xml:space="preserve"> </w:t>
      </w:r>
      <w:r w:rsidR="00003C9E">
        <w:t>M</w:t>
      </w:r>
      <w:r w:rsidR="00F64B41">
        <w:t xml:space="preserve">ethod, which was commonly used in such drilling operations before that time.  </w:t>
      </w:r>
      <w:r w:rsidR="00003C9E">
        <w:t>The Sp</w:t>
      </w:r>
      <w:r w:rsidR="002D018E">
        <w:t>ear</w:t>
      </w:r>
      <w:r w:rsidR="00F64B41">
        <w:t xml:space="preserve"> </w:t>
      </w:r>
      <w:r w:rsidR="00003C9E">
        <w:t>M</w:t>
      </w:r>
      <w:r w:rsidR="00F64B41">
        <w:t xml:space="preserve">ethod was, of course, one of the prior art methods </w:t>
      </w:r>
      <w:r w:rsidR="005B24B9">
        <w:t xml:space="preserve">expressly </w:t>
      </w:r>
      <w:r w:rsidR="00F64B41">
        <w:t xml:space="preserve">described in the ‘Background Art’ section of the Patents.  </w:t>
      </w:r>
    </w:p>
    <w:p w:rsidR="00C42B7E" w:rsidRDefault="00F64B41" w:rsidP="00941151">
      <w:pPr>
        <w:pStyle w:val="ParaNumbering"/>
      </w:pPr>
      <w:r>
        <w:t xml:space="preserve">Mr Ballantyne’s evidence was that </w:t>
      </w:r>
      <w:r w:rsidR="00B30427">
        <w:t>down-hole</w:t>
      </w:r>
      <w:r>
        <w:t xml:space="preserve"> survey tools or cameras are different from core orientation tools because they cannot be used to orient core samples.  Nevertheless, </w:t>
      </w:r>
      <w:r w:rsidR="00003C9E">
        <w:t xml:space="preserve">he gave evidence that </w:t>
      </w:r>
      <w:r>
        <w:t xml:space="preserve">the two are complementary in the sense that they are typically to be found in the same type of drilling operations and used by the same companies.  The tools go hand in hand with the day to day running of a drilling operation.  </w:t>
      </w:r>
    </w:p>
    <w:p w:rsidR="00003C9E" w:rsidRDefault="00F24941" w:rsidP="00B9358B">
      <w:pPr>
        <w:pStyle w:val="ParaNumbering"/>
      </w:pPr>
      <w:r w:rsidRPr="003554C8">
        <w:rPr>
          <w:b/>
        </w:rPr>
        <w:lastRenderedPageBreak/>
        <w:t xml:space="preserve">Mr </w:t>
      </w:r>
      <w:r w:rsidRPr="00003C9E">
        <w:t>Ronald</w:t>
      </w:r>
      <w:r w:rsidRPr="003554C8">
        <w:rPr>
          <w:b/>
        </w:rPr>
        <w:t xml:space="preserve"> </w:t>
      </w:r>
      <w:r w:rsidR="00C5164D" w:rsidRPr="003554C8">
        <w:rPr>
          <w:b/>
        </w:rPr>
        <w:t>Munro</w:t>
      </w:r>
      <w:r>
        <w:t xml:space="preserve"> was called for the respondents.  </w:t>
      </w:r>
      <w:r w:rsidR="00003C9E">
        <w:t xml:space="preserve">He was born in 1943 and is now retired.  </w:t>
      </w:r>
      <w:r>
        <w:t>He was the branch manager of Ace Drilling</w:t>
      </w:r>
      <w:r w:rsidR="00003C9E">
        <w:t xml:space="preserve">’s </w:t>
      </w:r>
      <w:r>
        <w:t>Kalgoorlie’s office from 1997 to 2007.  He gave evidence concerning a demonstration of the</w:t>
      </w:r>
      <w:r w:rsidR="00637758">
        <w:t xml:space="preserve"> </w:t>
      </w:r>
      <w:r w:rsidR="00BF240F">
        <w:t>ACT Tool</w:t>
      </w:r>
      <w:r w:rsidR="00637758">
        <w:t xml:space="preserve"> </w:t>
      </w:r>
      <w:r>
        <w:t xml:space="preserve">at the Sunrise Dam and at Ausdrill’s office in </w:t>
      </w:r>
      <w:r w:rsidR="00B9358B" w:rsidRPr="00B9358B">
        <w:t>Kambalda</w:t>
      </w:r>
      <w:r w:rsidR="00B9358B">
        <w:t>.</w:t>
      </w:r>
      <w:r w:rsidR="003554C8">
        <w:t xml:space="preserve">  </w:t>
      </w:r>
      <w:r w:rsidR="00CE6465">
        <w:t xml:space="preserve">Mr </w:t>
      </w:r>
      <w:r w:rsidR="00C5164D">
        <w:t>Munro</w:t>
      </w:r>
      <w:r w:rsidR="00CE6465">
        <w:t xml:space="preserve"> was certainly an honest witness, but was not of assistance to the respondents.  </w:t>
      </w:r>
    </w:p>
    <w:p w:rsidR="00CD5F28" w:rsidRDefault="00003C9E" w:rsidP="00B9358B">
      <w:pPr>
        <w:pStyle w:val="ParaNumbering"/>
      </w:pPr>
      <w:r>
        <w:t xml:space="preserve">Mr Munro </w:t>
      </w:r>
      <w:r w:rsidR="00CE6465">
        <w:t>had worked at Barminco from 19</w:t>
      </w:r>
      <w:r>
        <w:t>9</w:t>
      </w:r>
      <w:r w:rsidR="00CE6465">
        <w:t>4 to 1996.  While he was there, Mr Koushappi was his foreman and Mr Koushappi succeeded him</w:t>
      </w:r>
      <w:r w:rsidR="00BB1B5E" w:rsidRPr="00BB1B5E">
        <w:t xml:space="preserve"> </w:t>
      </w:r>
      <w:r w:rsidR="00BB1B5E">
        <w:t>after his departure</w:t>
      </w:r>
      <w:r w:rsidR="00CE6465">
        <w:t>.  As a sales manager acting for Ace Drilling, Mr </w:t>
      </w:r>
      <w:r w:rsidR="00C5164D">
        <w:t>Munro</w:t>
      </w:r>
      <w:r w:rsidR="00CE6465">
        <w:t xml:space="preserve"> enjoyed a good relationship with Barminco and Mr Koushappi.  He was able to open doors at Barminco in relation to the supply of products.  Mr Weston had identified these factors as relevant to Ace Drilling’s decision to request Barminco to assist it by trialling the</w:t>
      </w:r>
      <w:r w:rsidR="00637758">
        <w:t xml:space="preserve"> </w:t>
      </w:r>
      <w:r w:rsidR="00BF240F">
        <w:t>ACT Tool</w:t>
      </w:r>
      <w:r w:rsidR="00637758">
        <w:t xml:space="preserve"> </w:t>
      </w:r>
      <w:r w:rsidR="00CE6465">
        <w:t xml:space="preserve">prototypes.  </w:t>
      </w:r>
      <w:r w:rsidR="00CD5F28">
        <w:t>Unassisted by materials, unsurprisingly, Mr </w:t>
      </w:r>
      <w:r w:rsidR="00C5164D">
        <w:t>Munro</w:t>
      </w:r>
      <w:r w:rsidR="00CD5F28">
        <w:t xml:space="preserve"> had difficulty in recalling the events.  </w:t>
      </w:r>
      <w:r w:rsidR="00B712FF">
        <w:t xml:space="preserve">Mr </w:t>
      </w:r>
      <w:r w:rsidR="00C5164D">
        <w:t>Munro</w:t>
      </w:r>
      <w:r w:rsidR="00CD5F28">
        <w:t xml:space="preserve"> was unaware, as an example, that it was clear that </w:t>
      </w:r>
      <w:r w:rsidR="00B712FF">
        <w:t xml:space="preserve">he </w:t>
      </w:r>
      <w:r w:rsidR="00CD5F28">
        <w:t>had participated in the trial of the</w:t>
      </w:r>
      <w:r w:rsidR="00637758">
        <w:t xml:space="preserve"> </w:t>
      </w:r>
      <w:r w:rsidR="00BF240F">
        <w:t>ACT Tool</w:t>
      </w:r>
      <w:r w:rsidR="00637758">
        <w:t xml:space="preserve"> </w:t>
      </w:r>
      <w:r w:rsidR="00CD5F28">
        <w:t>prototypes with Barminco personnel in May 2004.  This was in contrast to his recollection</w:t>
      </w:r>
      <w:r w:rsidR="008E03EA">
        <w:t>.</w:t>
      </w:r>
    </w:p>
    <w:p w:rsidR="00B712FF" w:rsidRDefault="00A40483" w:rsidP="00B9358B">
      <w:pPr>
        <w:pStyle w:val="ParaNumbering"/>
      </w:pPr>
      <w:r>
        <w:t xml:space="preserve">The first documented Barminco purchase order is 31 December 2004, but it appears that this was not drawn to Mr </w:t>
      </w:r>
      <w:r w:rsidR="00C5164D">
        <w:t>Munro</w:t>
      </w:r>
      <w:r>
        <w:t xml:space="preserve">’s attention </w:t>
      </w:r>
      <w:r w:rsidR="00A72047">
        <w:t xml:space="preserve">prior to giving his evidence.  In contrast, the document which Mr </w:t>
      </w:r>
      <w:r w:rsidR="00C5164D">
        <w:t>Munro</w:t>
      </w:r>
      <w:r w:rsidR="00A72047">
        <w:t xml:space="preserve"> was shown before swearing his affidavit was Mr Scott’s affidavit which erroneously recalled that he had seen the</w:t>
      </w:r>
      <w:r w:rsidR="00637758">
        <w:t xml:space="preserve"> </w:t>
      </w:r>
      <w:r w:rsidR="00BF240F">
        <w:t>ACT Tool</w:t>
      </w:r>
      <w:r w:rsidR="00637758">
        <w:t xml:space="preserve"> </w:t>
      </w:r>
      <w:r w:rsidR="00A72047">
        <w:t>in ordinary commercial operation at Sunrise Dam in July or August 2004</w:t>
      </w:r>
      <w:r w:rsidR="00BB1B5E">
        <w:t xml:space="preserve">. </w:t>
      </w:r>
      <w:r w:rsidR="00A72047">
        <w:t xml:space="preserve"> (Mr Scott was also not shown the materials which would have demonstrated that this </w:t>
      </w:r>
      <w:r w:rsidR="008E03EA">
        <w:t xml:space="preserve">fairly distant recollection </w:t>
      </w:r>
      <w:r w:rsidR="00A72047">
        <w:t>was erroneous.</w:t>
      </w:r>
      <w:r w:rsidR="00BB1B5E">
        <w:t>)</w:t>
      </w:r>
      <w:r w:rsidR="00A72047">
        <w:t xml:space="preserve">  </w:t>
      </w:r>
    </w:p>
    <w:p w:rsidR="00A72047" w:rsidRDefault="00892341" w:rsidP="00B9358B">
      <w:pPr>
        <w:pStyle w:val="ParaNumbering"/>
      </w:pPr>
      <w:r>
        <w:t xml:space="preserve">It was only in the course of cross-examination that Mr </w:t>
      </w:r>
      <w:r w:rsidR="00C5164D">
        <w:t>Munro</w:t>
      </w:r>
      <w:r>
        <w:t xml:space="preserve"> was happy to </w:t>
      </w:r>
      <w:r w:rsidR="00BE2DF7">
        <w:t xml:space="preserve">accept </w:t>
      </w:r>
      <w:r>
        <w:t xml:space="preserve">that if he had been shown a copy of Barminco’s purchase order at the time his affidavit was prepared, that document would have assisted him in recalling </w:t>
      </w:r>
      <w:r w:rsidR="00BB1B5E">
        <w:t xml:space="preserve">the time of which </w:t>
      </w:r>
      <w:r>
        <w:t xml:space="preserve">the demonstration at Sunrise Dam occurred.  </w:t>
      </w:r>
    </w:p>
    <w:p w:rsidR="00892341" w:rsidRDefault="00F37055" w:rsidP="00B9358B">
      <w:pPr>
        <w:pStyle w:val="ParaNumbering"/>
      </w:pPr>
      <w:r>
        <w:t xml:space="preserve">From a timing point of view, Mr </w:t>
      </w:r>
      <w:r w:rsidR="00C5164D">
        <w:t>Munro</w:t>
      </w:r>
      <w:r>
        <w:t xml:space="preserve"> does not assist the respondents’ case on invalidity.  </w:t>
      </w:r>
      <w:r w:rsidR="00263C15">
        <w:t>Neither on his evidence</w:t>
      </w:r>
      <w:r w:rsidR="00BB1B5E">
        <w:t>,</w:t>
      </w:r>
      <w:r w:rsidR="00263C15">
        <w:t xml:space="preserve"> </w:t>
      </w:r>
      <w:r w:rsidR="00BB1B5E">
        <w:t>n</w:t>
      </w:r>
      <w:r w:rsidR="00263C15">
        <w:t>or the evidence generally</w:t>
      </w:r>
      <w:r w:rsidR="00BB1B5E">
        <w:t>,</w:t>
      </w:r>
      <w:r w:rsidR="00263C15">
        <w:t xml:space="preserve"> do I </w:t>
      </w:r>
      <w:r>
        <w:t xml:space="preserve">accept that there was any commercialisation of the </w:t>
      </w:r>
      <w:r w:rsidR="00BF240F">
        <w:t>ACT Tool</w:t>
      </w:r>
      <w:r>
        <w:t xml:space="preserve"> prior to 3 September 2004.  </w:t>
      </w:r>
    </w:p>
    <w:p w:rsidR="003102BF" w:rsidRDefault="0006439C" w:rsidP="00B9358B">
      <w:pPr>
        <w:pStyle w:val="ParaNumbering"/>
      </w:pPr>
      <w:r w:rsidRPr="003102BF">
        <w:rPr>
          <w:b/>
        </w:rPr>
        <w:t xml:space="preserve">Mr </w:t>
      </w:r>
      <w:r w:rsidRPr="00BB1B5E">
        <w:t>Raymond</w:t>
      </w:r>
      <w:r w:rsidRPr="003102BF">
        <w:rPr>
          <w:b/>
        </w:rPr>
        <w:t xml:space="preserve"> Hill</w:t>
      </w:r>
      <w:r>
        <w:t xml:space="preserve"> is an independent expert who was called for the respondents.  He is a consultant and former employee of Sandvik Mining with experience in product development in the automotive</w:t>
      </w:r>
      <w:r w:rsidR="00DE382A">
        <w:t>,</w:t>
      </w:r>
      <w:r>
        <w:t xml:space="preserve"> solar hot watering</w:t>
      </w:r>
      <w:r w:rsidR="00DE382A">
        <w:t>,</w:t>
      </w:r>
      <w:r>
        <w:t xml:space="preserve"> and reverse circulation drilling industry</w:t>
      </w:r>
      <w:r w:rsidR="00BB1B5E">
        <w:t xml:space="preserve">. </w:t>
      </w:r>
      <w:r>
        <w:t xml:space="preserve"> </w:t>
      </w:r>
      <w:r w:rsidR="00BB1B5E">
        <w:t>D</w:t>
      </w:r>
      <w:r>
        <w:t xml:space="preserve">uring </w:t>
      </w:r>
      <w:r w:rsidR="00BB1B5E">
        <w:t xml:space="preserve">this time </w:t>
      </w:r>
      <w:r>
        <w:t xml:space="preserve">he assisted in the preparation of patent specifications.  Mr Hill gave </w:t>
      </w:r>
      <w:r>
        <w:lastRenderedPageBreak/>
        <w:t xml:space="preserve">evidence concerning, amongst other things, Sandvik Mining’s protocols and procedures for testing new products.  </w:t>
      </w:r>
    </w:p>
    <w:p w:rsidR="00614A7B" w:rsidRDefault="00981CCC" w:rsidP="00B9358B">
      <w:pPr>
        <w:pStyle w:val="ParaNumbering"/>
      </w:pPr>
      <w:r>
        <w:t>The applicants submit that Mr Hill’s evidence should be give</w:t>
      </w:r>
      <w:r w:rsidR="00DE382A">
        <w:t>n</w:t>
      </w:r>
      <w:r>
        <w:t xml:space="preserve"> no weight on the basis that it is irrelevant as much of what he said was directed to the position of </w:t>
      </w:r>
      <w:r w:rsidR="00BB1B5E">
        <w:t xml:space="preserve">Sandvik Mining, </w:t>
      </w:r>
      <w:r>
        <w:t xml:space="preserve">which was in a very different position to AMC as at 3 September 2004.  </w:t>
      </w:r>
    </w:p>
    <w:p w:rsidR="00981CCC" w:rsidRDefault="00263C15" w:rsidP="00B9358B">
      <w:pPr>
        <w:pStyle w:val="ParaNumbering"/>
      </w:pPr>
      <w:r>
        <w:t xml:space="preserve">I had no </w:t>
      </w:r>
      <w:r w:rsidR="00292951">
        <w:t>concerns about the credit or reliability of Mr Hill, but I did have misgivings as to the helpfulness of the evidence which he was asked to give and, in saying this, I certainly direct no criticism to Mr Hill.</w:t>
      </w:r>
    </w:p>
    <w:p w:rsidR="0018518D" w:rsidRDefault="003102BF" w:rsidP="00B9358B">
      <w:pPr>
        <w:pStyle w:val="ParaNumbering"/>
      </w:pPr>
      <w:r>
        <w:t>H</w:t>
      </w:r>
      <w:r w:rsidR="0018518D">
        <w:t xml:space="preserve">e described himself as being an </w:t>
      </w:r>
      <w:r w:rsidR="00DE382A">
        <w:t>‘</w:t>
      </w:r>
      <w:r w:rsidR="0018518D">
        <w:t>independent consultant</w:t>
      </w:r>
      <w:r w:rsidR="00DE382A">
        <w:t>’</w:t>
      </w:r>
      <w:r w:rsidR="0018518D">
        <w:t xml:space="preserve">, but, in fact, he had orally accepted an offer of employment from </w:t>
      </w:r>
      <w:r w:rsidR="0018518D" w:rsidRPr="00BB1B5E">
        <w:rPr>
          <w:b/>
        </w:rPr>
        <w:t>Global Tech</w:t>
      </w:r>
      <w:r w:rsidR="0018518D">
        <w:t xml:space="preserve"> Corporation</w:t>
      </w:r>
      <w:r w:rsidR="00BB1B5E">
        <w:t xml:space="preserve"> at the time he made his affidavit</w:t>
      </w:r>
      <w:r w:rsidR="0018518D">
        <w:t xml:space="preserve">.  While that acceptance required confirmation, nevertheless, he had a relationship with Global Tech which was not disclosed in his affidavit evidence.  He indicated that he had informed </w:t>
      </w:r>
      <w:r w:rsidR="00263C15">
        <w:t xml:space="preserve">a member of the respondents’ legal team </w:t>
      </w:r>
      <w:r w:rsidR="0018518D">
        <w:t>of the prospective employment position.</w:t>
      </w:r>
      <w:r w:rsidR="00BB1B5E">
        <w:t xml:space="preserve">  </w:t>
      </w:r>
      <w:r w:rsidR="00831DA1">
        <w:t xml:space="preserve">Notwithstanding the fact that his employment had not been confirmed, he had made known in his publically available profile on the LinkedIn website that he had commenced employment with Global Tech in September 2013.  </w:t>
      </w:r>
    </w:p>
    <w:p w:rsidR="00831DA1" w:rsidRDefault="005B5579" w:rsidP="00B9358B">
      <w:pPr>
        <w:pStyle w:val="ParaNumbering"/>
      </w:pPr>
      <w:r>
        <w:t xml:space="preserve">Global Tech is a competitor of the applicants, including </w:t>
      </w:r>
      <w:r w:rsidR="00AA5CCB">
        <w:t xml:space="preserve">in relation to core orientation technology.  This is significant because Global Tech has a product called the </w:t>
      </w:r>
      <w:r w:rsidR="00BB1B5E">
        <w:t>‘</w:t>
      </w:r>
      <w:r w:rsidR="00AA5CCB">
        <w:t>ORI Finder</w:t>
      </w:r>
      <w:r w:rsidR="00BB1B5E">
        <w:t>’</w:t>
      </w:r>
      <w:r w:rsidR="00AA5CCB">
        <w:t xml:space="preserve"> which the applicants have </w:t>
      </w:r>
      <w:r w:rsidR="002B39C4">
        <w:t xml:space="preserve">also </w:t>
      </w:r>
      <w:r w:rsidR="00AA5CCB">
        <w:t xml:space="preserve">alleged infringes the Patents presently in suit.  The applicants </w:t>
      </w:r>
      <w:r w:rsidR="002B39C4">
        <w:t>and</w:t>
      </w:r>
      <w:r w:rsidR="00AA5CCB">
        <w:t xml:space="preserve"> Global Tech are involved in a dispute about this issue.  Mr Hill confirmed that he was aware of those matters when he gave his evidence, at least in general terms, if not as to the fine details.  </w:t>
      </w:r>
      <w:r w:rsidR="00BB1B5E">
        <w:t xml:space="preserve">Essentially this means that </w:t>
      </w:r>
      <w:r w:rsidR="00AA5CCB">
        <w:t>Mr Hill, while purportedly an independent expert was</w:t>
      </w:r>
      <w:r w:rsidR="00BB1B5E">
        <w:t>,</w:t>
      </w:r>
      <w:r w:rsidR="00AA5CCB">
        <w:t xml:space="preserve"> in fact</w:t>
      </w:r>
      <w:r w:rsidR="00BB1B5E">
        <w:t>,</w:t>
      </w:r>
      <w:r w:rsidR="00AA5CCB">
        <w:t xml:space="preserve"> engaged </w:t>
      </w:r>
      <w:r w:rsidR="00BB1B5E">
        <w:t xml:space="preserve">to be employed by </w:t>
      </w:r>
      <w:r w:rsidR="00AA5CCB">
        <w:t xml:space="preserve">a competitor who is also the subject of a patent infringement allegation in respect of the same Patents.  </w:t>
      </w:r>
    </w:p>
    <w:p w:rsidR="00AA5CCB" w:rsidRDefault="00524438" w:rsidP="00B9358B">
      <w:pPr>
        <w:pStyle w:val="ParaNumbering"/>
      </w:pPr>
      <w:r>
        <w:t>There are other difficulties</w:t>
      </w:r>
      <w:r w:rsidR="001B4FB0">
        <w:t xml:space="preserve">. </w:t>
      </w:r>
      <w:r>
        <w:t xml:space="preserve"> Mr Hill was not actually working in the mining industry in 2004 and had only ever worked for one company in the industry when he made his affidavit, namely, Sandvik, with whom he did not commence until 2007.  He had </w:t>
      </w:r>
      <w:r w:rsidR="00BB1B5E">
        <w:t xml:space="preserve">previously </w:t>
      </w:r>
      <w:r>
        <w:t xml:space="preserve">had no involvement in the management practices of other mining products companies during the period from 2007 to 2013.  It followed that his experience in the management practices of other companies in relation to the development and protection of inventions in the material years was non-existent.  </w:t>
      </w:r>
    </w:p>
    <w:p w:rsidR="00182CDF" w:rsidRDefault="00182CDF" w:rsidP="00B9358B">
      <w:pPr>
        <w:pStyle w:val="ParaNumbering"/>
      </w:pPr>
      <w:r>
        <w:lastRenderedPageBreak/>
        <w:t>I hasten to add that Mr Hill did not suggest otherwise.  He made it clear that he had no experience in core orientation technology as at 3 September 2004</w:t>
      </w:r>
      <w:r w:rsidR="00E8176F">
        <w:t>,</w:t>
      </w:r>
      <w:r>
        <w:t xml:space="preserve"> </w:t>
      </w:r>
      <w:r w:rsidR="00E8176F">
        <w:t>n</w:t>
      </w:r>
      <w:r>
        <w:t xml:space="preserve">or when he made his affidavit.  </w:t>
      </w:r>
      <w:r w:rsidR="002E1501">
        <w:t xml:space="preserve">It is clear that Sandvik, as with other </w:t>
      </w:r>
      <w:r w:rsidR="00E8176F">
        <w:t>companies with which Mr Hill had</w:t>
      </w:r>
      <w:r w:rsidR="002E1501">
        <w:t xml:space="preserve"> been employed, adopted a more sophisticated </w:t>
      </w:r>
      <w:r w:rsidR="00FB1981">
        <w:t xml:space="preserve">intellectual property approach than </w:t>
      </w:r>
      <w:r w:rsidR="00E8176F">
        <w:t xml:space="preserve">that of </w:t>
      </w:r>
      <w:r w:rsidR="00FB1981">
        <w:t xml:space="preserve">many companies.  I accept that </w:t>
      </w:r>
      <w:r w:rsidR="00E8176F">
        <w:t xml:space="preserve">it </w:t>
      </w:r>
      <w:r w:rsidR="00FB1981">
        <w:t xml:space="preserve">is the case, as submitted for the applicants and, as Mr Hill readily agreed, that not all companies in the mining industry </w:t>
      </w:r>
      <w:r w:rsidR="00E8176F">
        <w:t xml:space="preserve">have </w:t>
      </w:r>
      <w:r w:rsidR="00FB1981">
        <w:t xml:space="preserve">an approach </w:t>
      </w:r>
      <w:r w:rsidR="00E8176F">
        <w:t xml:space="preserve">as sophisticated </w:t>
      </w:r>
      <w:r w:rsidR="00FB1981">
        <w:t>to patenting as Sandvik</w:t>
      </w:r>
      <w:r w:rsidR="00E8176F">
        <w:t>,</w:t>
      </w:r>
      <w:r w:rsidR="00FB1981">
        <w:t xml:space="preserve"> and certainly not all of them </w:t>
      </w:r>
      <w:r w:rsidR="00E8176F">
        <w:t>have in-house patent</w:t>
      </w:r>
      <w:r w:rsidR="00FB1981">
        <w:t xml:space="preserve"> departments.  </w:t>
      </w:r>
    </w:p>
    <w:p w:rsidR="00FB1981" w:rsidRDefault="004F401F" w:rsidP="00B9358B">
      <w:pPr>
        <w:pStyle w:val="ParaNumbering"/>
      </w:pPr>
      <w:r>
        <w:t>In any event, in matters of substance</w:t>
      </w:r>
      <w:r w:rsidR="00DE382A">
        <w:t xml:space="preserve"> rather than form</w:t>
      </w:r>
      <w:r>
        <w:t xml:space="preserve">, it seems to me that the approach taken by the applicants, which is discussed elsewhere, to protect their invention, largely accorded with the approach taken by Sandvik.  </w:t>
      </w:r>
    </w:p>
    <w:p w:rsidR="004F401F" w:rsidRDefault="004F401F" w:rsidP="00B9358B">
      <w:pPr>
        <w:pStyle w:val="ParaNumbering"/>
      </w:pPr>
      <w:r>
        <w:t xml:space="preserve">Mr Hill </w:t>
      </w:r>
      <w:r w:rsidR="004858A6">
        <w:t>also expressed views on the Patents in the context of inventive step or novelty.  He contended that the technology was ‘straightforward’, ‘basi</w:t>
      </w:r>
      <w:r w:rsidR="00E8176F">
        <w:t>c</w:t>
      </w:r>
      <w:r w:rsidR="004858A6">
        <w:t>’ and ‘kindergarten stuff’ as at 3 September 2004 and that he ‘could have come up with something like that’.  I give these observations little weight.  Mr Hill was not a person skilled in the relevant art.  He was not experienced in core orientation technology as at 3 September 2004 or at the time of giving evidence.  He did not direct his review of the Patents to the Priority Date and did not</w:t>
      </w:r>
      <w:r w:rsidR="00E8176F">
        <w:t>,</w:t>
      </w:r>
      <w:r w:rsidR="004858A6">
        <w:t xml:space="preserve"> and could not</w:t>
      </w:r>
      <w:r w:rsidR="00E8176F">
        <w:t>,</w:t>
      </w:r>
      <w:r w:rsidR="004858A6">
        <w:t xml:space="preserve"> read them in light of the common general knowledge as 3 September 2004.  </w:t>
      </w:r>
    </w:p>
    <w:p w:rsidR="004858A6" w:rsidRDefault="00AF05FF" w:rsidP="0053722B">
      <w:pPr>
        <w:pStyle w:val="ParaNumbering"/>
      </w:pPr>
      <w:r>
        <w:t xml:space="preserve">Further, the views expressed by Mr Hill on this topic were after he had reviewed the Patents, rather than being confronted with a problem and devising a solution.  </w:t>
      </w:r>
      <w:r w:rsidR="0053722B">
        <w:t xml:space="preserve">The </w:t>
      </w:r>
      <w:r w:rsidR="0053722B" w:rsidRPr="0053722B">
        <w:rPr>
          <w:i/>
        </w:rPr>
        <w:t>ex post facto</w:t>
      </w:r>
      <w:r w:rsidR="00E8176F">
        <w:t>,</w:t>
      </w:r>
      <w:r w:rsidR="0053722B">
        <w:t xml:space="preserve"> or benefit of hindsight</w:t>
      </w:r>
      <w:r w:rsidR="00E8176F">
        <w:t>,</w:t>
      </w:r>
      <w:r w:rsidR="0053722B">
        <w:t xml:space="preserve"> observations should be accorded little weight</w:t>
      </w:r>
      <w:r w:rsidR="00E8176F">
        <w:t xml:space="preserve"> in context of inventive step</w:t>
      </w:r>
      <w:r w:rsidR="0053722B">
        <w:t xml:space="preserve">:  </w:t>
      </w:r>
      <w:r w:rsidR="0053722B" w:rsidRPr="0053722B">
        <w:rPr>
          <w:i/>
        </w:rPr>
        <w:t xml:space="preserve">Lockwood Security Products Pty Ltd v Doric Products Pty Ltd </w:t>
      </w:r>
      <w:r w:rsidR="0053722B">
        <w:t>(</w:t>
      </w:r>
      <w:r w:rsidR="0053722B" w:rsidRPr="0053722B">
        <w:t>2007</w:t>
      </w:r>
      <w:r w:rsidR="0053722B">
        <w:t>)</w:t>
      </w:r>
      <w:r w:rsidR="0053722B" w:rsidRPr="0053722B">
        <w:t xml:space="preserve"> 235 CLR 173 </w:t>
      </w:r>
      <w:r w:rsidR="00DE7082">
        <w:t>(</w:t>
      </w:r>
      <w:r w:rsidR="00DE7082" w:rsidRPr="00DE7082">
        <w:rPr>
          <w:b/>
          <w:i/>
        </w:rPr>
        <w:t>Lockwood No </w:t>
      </w:r>
      <w:r w:rsidR="00D02BFE">
        <w:rPr>
          <w:b/>
          <w:i/>
        </w:rPr>
        <w:t>2</w:t>
      </w:r>
      <w:r w:rsidR="00DE7082">
        <w:t xml:space="preserve">) </w:t>
      </w:r>
      <w:r w:rsidR="0053722B">
        <w:t>(at [46]) and in the context of novelty</w:t>
      </w:r>
      <w:r w:rsidR="00E8176F">
        <w:t xml:space="preserve">:  </w:t>
      </w:r>
      <w:r w:rsidR="00E8176F" w:rsidRPr="0053722B">
        <w:rPr>
          <w:i/>
        </w:rPr>
        <w:t>Fieldturf Tarkett Inc v Tigerturf International Limited</w:t>
      </w:r>
      <w:r w:rsidR="00E8176F" w:rsidRPr="0053722B">
        <w:t xml:space="preserve"> [2014] FCA 647</w:t>
      </w:r>
      <w:r w:rsidR="00E8176F">
        <w:t xml:space="preserve"> </w:t>
      </w:r>
      <w:r w:rsidR="00B46EFB">
        <w:t xml:space="preserve">per Jagot J </w:t>
      </w:r>
      <w:r w:rsidR="00E8176F">
        <w:t>(at [42])</w:t>
      </w:r>
      <w:r w:rsidR="0053722B">
        <w:t xml:space="preserve">.  </w:t>
      </w:r>
    </w:p>
    <w:p w:rsidR="0006439C" w:rsidRDefault="0006439C" w:rsidP="00B9358B">
      <w:pPr>
        <w:pStyle w:val="ParaNumbering"/>
      </w:pPr>
      <w:r w:rsidRPr="009B3DC7">
        <w:rPr>
          <w:b/>
        </w:rPr>
        <w:t xml:space="preserve">Dr </w:t>
      </w:r>
      <w:r w:rsidRPr="00B46EFB">
        <w:t>Robert</w:t>
      </w:r>
      <w:r w:rsidRPr="009B3DC7">
        <w:rPr>
          <w:b/>
        </w:rPr>
        <w:t xml:space="preserve"> Skopec</w:t>
      </w:r>
      <w:r>
        <w:t xml:space="preserve"> was the lead expert for the respondents.  He is a </w:t>
      </w:r>
      <w:r w:rsidR="00B46EFB">
        <w:t>p</w:t>
      </w:r>
      <w:r>
        <w:t xml:space="preserve">etrophysicist </w:t>
      </w:r>
      <w:r w:rsidR="00B46EFB">
        <w:t>g</w:t>
      </w:r>
      <w:r>
        <w:t xml:space="preserve">eologist with Petrophysical Applications International Inc.  He is a </w:t>
      </w:r>
      <w:r w:rsidR="00B46EFB">
        <w:t>co</w:t>
      </w:r>
      <w:r>
        <w:t xml:space="preserve">-author of the </w:t>
      </w:r>
      <w:r w:rsidR="00B46EFB">
        <w:t>Skopec Paper</w:t>
      </w:r>
      <w:r>
        <w:t>.  Dr Skopec gave evidence</w:t>
      </w:r>
      <w:r w:rsidR="00DD2AA8">
        <w:t xml:space="preserve"> </w:t>
      </w:r>
      <w:r>
        <w:t>concerning</w:t>
      </w:r>
      <w:r w:rsidR="00DD2AA8">
        <w:t xml:space="preserve">, amongst other things, </w:t>
      </w:r>
      <w:r>
        <w:t>the construction of the claims in the Patents and the extent to which his paper and prior uses said to have been made by him disclosed the feature of the claims in the Patents.  He also gave evidence regarding the workability of the patented invention.</w:t>
      </w:r>
    </w:p>
    <w:p w:rsidR="003D18EB" w:rsidRDefault="009B3DC7" w:rsidP="00B9358B">
      <w:pPr>
        <w:pStyle w:val="ParaNumbering"/>
      </w:pPr>
      <w:r>
        <w:t xml:space="preserve">While I found </w:t>
      </w:r>
      <w:r w:rsidR="00CF71F6">
        <w:t xml:space="preserve">aspects of </w:t>
      </w:r>
      <w:r>
        <w:t xml:space="preserve">Dr Skopec’s explanation as to core orientation very helpful, I found that parts of his evidence in cross-examination were unhelpful.  Generally speaking, I </w:t>
      </w:r>
      <w:r>
        <w:lastRenderedPageBreak/>
        <w:t xml:space="preserve">prefer the evidence of Dr Kepic, who I considered was more suitably qualified.  It was clear that Dr Skopec had little or no familiarity </w:t>
      </w:r>
      <w:r w:rsidR="00195496">
        <w:t xml:space="preserve">with </w:t>
      </w:r>
      <w:r>
        <w:t xml:space="preserve">hard rock drilling and mineral exploration of the kind with which the Patents are concerned.  Obviously I will discuss his evidence in greater detail below, but while Dr Skopec is undoubtedly both experienced in core sampling in </w:t>
      </w:r>
      <w:r w:rsidR="00195496">
        <w:t xml:space="preserve">the context of </w:t>
      </w:r>
      <w:r>
        <w:t>petroleum exploration, he is not as experienced, if at all, in the context of mineral exploration</w:t>
      </w:r>
      <w:r w:rsidR="00CF71F6">
        <w:t xml:space="preserve"> to which I consider the </w:t>
      </w:r>
      <w:r w:rsidR="00195496">
        <w:t>P</w:t>
      </w:r>
      <w:r w:rsidR="00CF71F6">
        <w:t>atent</w:t>
      </w:r>
      <w:r w:rsidR="00195496">
        <w:t xml:space="preserve">s </w:t>
      </w:r>
      <w:r w:rsidR="00CF71F6">
        <w:t>in suit are directed</w:t>
      </w:r>
      <w:r>
        <w:t xml:space="preserve">.  The respondents would challenge this and would say that this matters not, but in the context of this litigation, I consider that it is an important distinction.  </w:t>
      </w:r>
      <w:r w:rsidR="00195496">
        <w:t>F</w:t>
      </w:r>
      <w:r>
        <w:t xml:space="preserve">or example, </w:t>
      </w:r>
      <w:r w:rsidR="00195496">
        <w:t>Dr Skopec wa</w:t>
      </w:r>
      <w:r>
        <w:t>s not familiar with either of the commercially available orientation tools produced by the parties, b</w:t>
      </w:r>
      <w:r w:rsidR="003D18EB">
        <w:t>eing the</w:t>
      </w:r>
      <w:r w:rsidR="00637758">
        <w:t xml:space="preserve"> </w:t>
      </w:r>
      <w:r w:rsidR="00BF240F">
        <w:t>ACT Tool</w:t>
      </w:r>
      <w:r w:rsidR="00637758">
        <w:t xml:space="preserve"> </w:t>
      </w:r>
      <w:r w:rsidR="003D18EB">
        <w:t xml:space="preserve">and the </w:t>
      </w:r>
      <w:r w:rsidR="00F41D3E">
        <w:t>ORIshot</w:t>
      </w:r>
      <w:r w:rsidR="00D02BFE">
        <w:t xml:space="preserve"> Tool</w:t>
      </w:r>
      <w:r w:rsidR="003D18EB">
        <w:t xml:space="preserve">, </w:t>
      </w:r>
      <w:r>
        <w:t xml:space="preserve">before being </w:t>
      </w:r>
      <w:r w:rsidR="003D18EB">
        <w:t xml:space="preserve">given information about them for the purposes of giving evidence in </w:t>
      </w:r>
      <w:r w:rsidR="00195496">
        <w:t xml:space="preserve">this </w:t>
      </w:r>
      <w:r w:rsidR="003D18EB">
        <w:t xml:space="preserve">case.  Nor was he aware of the </w:t>
      </w:r>
      <w:r w:rsidR="00195496">
        <w:t xml:space="preserve">three </w:t>
      </w:r>
      <w:r w:rsidR="003D18EB">
        <w:t xml:space="preserve">prior art mechanical core orientation methods described in the ‘Background Art’ section of the Patents or used in Australia before 3 September 2004.  This would </w:t>
      </w:r>
      <w:r w:rsidR="00147328">
        <w:t xml:space="preserve">be </w:t>
      </w:r>
      <w:r w:rsidR="003D18EB">
        <w:t xml:space="preserve">inconsequential if there </w:t>
      </w:r>
      <w:r w:rsidR="00195496">
        <w:t xml:space="preserve">was </w:t>
      </w:r>
      <w:r w:rsidR="003D18EB">
        <w:t xml:space="preserve">no difference relevant to this proceeding between core sampling </w:t>
      </w:r>
      <w:r w:rsidR="00015415">
        <w:t xml:space="preserve">in the context of petroleum exploration and core sampling in the context of mineral exploration.  In my view, there are important differences for </w:t>
      </w:r>
      <w:r w:rsidR="00195496">
        <w:t xml:space="preserve">the purposes of this </w:t>
      </w:r>
      <w:r w:rsidR="00015415">
        <w:t xml:space="preserve">case.  </w:t>
      </w:r>
    </w:p>
    <w:p w:rsidR="00015415" w:rsidRDefault="008925C3" w:rsidP="00B9358B">
      <w:pPr>
        <w:pStyle w:val="ParaNumbering"/>
      </w:pPr>
      <w:r>
        <w:t xml:space="preserve">While Dr Skopec emphasised that petroleum exploration may include drilling in hard rock environments, </w:t>
      </w:r>
      <w:r w:rsidR="00195496">
        <w:t xml:space="preserve">an important </w:t>
      </w:r>
      <w:r>
        <w:t xml:space="preserve">distinction is that hard rock is of necessity in </w:t>
      </w:r>
      <w:r w:rsidR="00195496">
        <w:t xml:space="preserve">those environments in </w:t>
      </w:r>
      <w:r>
        <w:t xml:space="preserve">order to support an environment for the existence of petroleum, </w:t>
      </w:r>
      <w:r w:rsidR="00195496">
        <w:t xml:space="preserve">and is </w:t>
      </w:r>
      <w:r>
        <w:t xml:space="preserve">highly fractured.  Hydrocarbon </w:t>
      </w:r>
      <w:r w:rsidR="00A60B95">
        <w:t xml:space="preserve">reservoirs do not exist in </w:t>
      </w:r>
      <w:r w:rsidR="00195496">
        <w:t>unf</w:t>
      </w:r>
      <w:r w:rsidR="00A60B95">
        <w:t>ractured hard rock</w:t>
      </w:r>
      <w:r w:rsidR="00195496">
        <w:t>.  T</w:t>
      </w:r>
      <w:r w:rsidR="00A60B95">
        <w:t xml:space="preserve">hey are present in loose sediments or in hard rock which is highly fractured.  In contrast, mineral exploration </w:t>
      </w:r>
      <w:r w:rsidR="00195496">
        <w:t xml:space="preserve">typically </w:t>
      </w:r>
      <w:r w:rsidR="00A60B95">
        <w:t xml:space="preserve">takes place in hard rock environments where fractures are unlikely to </w:t>
      </w:r>
      <w:r w:rsidR="00195496">
        <w:t>occur</w:t>
      </w:r>
      <w:r w:rsidR="00A60B95">
        <w:t xml:space="preserve">.  As the evidence makes clear, this is an important difference because it affects the nature of the techniques that will be suitable for use in core sampling operations.  It explains why it is appropriate in the context of hard rock drilling in mineral exploration to work on the assumption that a sample of the core will usually be found in </w:t>
      </w:r>
      <w:r w:rsidR="00195496">
        <w:t xml:space="preserve">a </w:t>
      </w:r>
      <w:r w:rsidR="00A60B95">
        <w:t xml:space="preserve">single piece.  Alternatively, if </w:t>
      </w:r>
      <w:r w:rsidR="00195496">
        <w:t xml:space="preserve">the core </w:t>
      </w:r>
      <w:r w:rsidR="00A60B95">
        <w:t xml:space="preserve">is actually fractured the pieces will be such that it </w:t>
      </w:r>
      <w:r w:rsidR="00195496">
        <w:t xml:space="preserve">will readily be able to put </w:t>
      </w:r>
      <w:r w:rsidR="00A60B95">
        <w:t xml:space="preserve">them </w:t>
      </w:r>
      <w:r w:rsidR="00195496">
        <w:t xml:space="preserve">back </w:t>
      </w:r>
      <w:r w:rsidR="00A60B95">
        <w:t xml:space="preserve">together at the surface.  The Patents </w:t>
      </w:r>
      <w:r w:rsidR="00195496">
        <w:t xml:space="preserve">and </w:t>
      </w:r>
      <w:r w:rsidR="00A60B95">
        <w:t>the mechanical prior art methods used in mineral exploration, including those described in the Patents</w:t>
      </w:r>
      <w:r w:rsidR="00195496">
        <w:t>, rely on an assumption to that effect.</w:t>
      </w:r>
      <w:r w:rsidR="00A60B95">
        <w:t xml:space="preserve">  </w:t>
      </w:r>
    </w:p>
    <w:p w:rsidR="0006439C" w:rsidRDefault="000A7046" w:rsidP="00B9358B">
      <w:pPr>
        <w:pStyle w:val="ParaNumbering"/>
      </w:pPr>
      <w:r>
        <w:t xml:space="preserve">For the applicants on invalidity, evidence was given </w:t>
      </w:r>
      <w:r w:rsidRPr="004E12AA">
        <w:t>by</w:t>
      </w:r>
      <w:r w:rsidRPr="004A5B08">
        <w:rPr>
          <w:b/>
        </w:rPr>
        <w:t xml:space="preserve"> Mr </w:t>
      </w:r>
      <w:r w:rsidRPr="004E12AA">
        <w:t>Noel Desmond</w:t>
      </w:r>
      <w:r w:rsidRPr="004A5B08">
        <w:rPr>
          <w:b/>
        </w:rPr>
        <w:t xml:space="preserve"> Ford</w:t>
      </w:r>
      <w:r w:rsidR="004E12AA">
        <w:rPr>
          <w:b/>
        </w:rPr>
        <w:t>e</w:t>
      </w:r>
      <w:r>
        <w:t xml:space="preserve">, an </w:t>
      </w:r>
      <w:r w:rsidR="004E12AA">
        <w:t>o</w:t>
      </w:r>
      <w:r>
        <w:t xml:space="preserve">perations </w:t>
      </w:r>
      <w:r w:rsidR="004E12AA">
        <w:t>m</w:t>
      </w:r>
      <w:r>
        <w:t xml:space="preserve">anager at </w:t>
      </w:r>
      <w:r w:rsidRPr="004E12AA">
        <w:rPr>
          <w:b/>
        </w:rPr>
        <w:t>Boart Longyear</w:t>
      </w:r>
      <w:r>
        <w:t xml:space="preserve"> Pty Ltd.  In April 2004, Mr Ford</w:t>
      </w:r>
      <w:r w:rsidR="004E12AA">
        <w:t>e</w:t>
      </w:r>
      <w:r>
        <w:t xml:space="preserve"> was employed by </w:t>
      </w:r>
      <w:r w:rsidR="009353A6">
        <w:t>Drill Corp</w:t>
      </w:r>
      <w:r>
        <w:t xml:space="preserve"> </w:t>
      </w:r>
      <w:r w:rsidR="00E47115">
        <w:t xml:space="preserve">as an operations coordinator.  </w:t>
      </w:r>
    </w:p>
    <w:p w:rsidR="004E12AA" w:rsidRDefault="004172F1" w:rsidP="00B9358B">
      <w:pPr>
        <w:pStyle w:val="ParaNumbering"/>
      </w:pPr>
      <w:r>
        <w:lastRenderedPageBreak/>
        <w:t xml:space="preserve">I </w:t>
      </w:r>
      <w:r w:rsidR="00147328">
        <w:t>accepted</w:t>
      </w:r>
      <w:r>
        <w:t xml:space="preserve"> Mr </w:t>
      </w:r>
      <w:r w:rsidR="004E12AA">
        <w:t>Forde</w:t>
      </w:r>
      <w:r w:rsidR="00147328">
        <w:t>’s</w:t>
      </w:r>
      <w:r>
        <w:t xml:space="preserve"> </w:t>
      </w:r>
      <w:r w:rsidR="00147328">
        <w:t>evidence</w:t>
      </w:r>
      <w:r>
        <w:t xml:space="preserve">.  Mr </w:t>
      </w:r>
      <w:r w:rsidR="004E12AA">
        <w:t>Forde</w:t>
      </w:r>
      <w:r>
        <w:t xml:space="preserve"> gave evidence that Mr Bradford visited </w:t>
      </w:r>
      <w:r w:rsidR="009353A6">
        <w:t>Drill Corp</w:t>
      </w:r>
      <w:r>
        <w:t xml:space="preserve">’s </w:t>
      </w:r>
      <w:r w:rsidR="004E12AA">
        <w:t xml:space="preserve">Wangara </w:t>
      </w:r>
      <w:r>
        <w:t xml:space="preserve">premises in Perth </w:t>
      </w:r>
      <w:r w:rsidR="004E12AA">
        <w:t xml:space="preserve">in April 2004 </w:t>
      </w:r>
      <w:r>
        <w:t>to organise field testing of the</w:t>
      </w:r>
      <w:r w:rsidR="00637758">
        <w:t xml:space="preserve"> </w:t>
      </w:r>
      <w:r w:rsidR="00BF240F">
        <w:t>ACT Tool</w:t>
      </w:r>
      <w:r w:rsidR="00637758">
        <w:t xml:space="preserve"> </w:t>
      </w:r>
      <w:r>
        <w:t>prototype</w:t>
      </w:r>
      <w:r w:rsidR="004E12AA">
        <w:t>,</w:t>
      </w:r>
      <w:r>
        <w:t xml:space="preserve"> and that field testing was subsequently conducted at a </w:t>
      </w:r>
      <w:r w:rsidR="009353A6">
        <w:t>Drill Corp</w:t>
      </w:r>
      <w:r>
        <w:t xml:space="preserve"> </w:t>
      </w:r>
      <w:r w:rsidR="004E12AA">
        <w:t xml:space="preserve">rigs </w:t>
      </w:r>
      <w:r>
        <w:t xml:space="preserve">outside of Kalgoorlie.  </w:t>
      </w:r>
      <w:r w:rsidR="004E12AA">
        <w:t xml:space="preserve">Mr Forde gave evidence that he had provided feedback </w:t>
      </w:r>
      <w:r>
        <w:t xml:space="preserve">to Ace Drilling regarding possible alterations to the </w:t>
      </w:r>
      <w:r w:rsidR="004E12AA">
        <w:t>ACT T</w:t>
      </w:r>
      <w:r>
        <w:t>ool following the field test</w:t>
      </w:r>
      <w:r w:rsidR="004E12AA">
        <w:t>.  A</w:t>
      </w:r>
      <w:r>
        <w:t xml:space="preserve">fter Mr </w:t>
      </w:r>
      <w:r w:rsidR="004E12AA">
        <w:t>Forde</w:t>
      </w:r>
      <w:r>
        <w:t xml:space="preserve"> had provided that feedback, he said that it was ‘several months before the</w:t>
      </w:r>
      <w:r w:rsidR="00637758">
        <w:t xml:space="preserve"> </w:t>
      </w:r>
      <w:r w:rsidR="004E12AA">
        <w:t>[</w:t>
      </w:r>
      <w:r w:rsidR="00BF240F">
        <w:t>ACT Tool</w:t>
      </w:r>
      <w:r w:rsidR="004E12AA">
        <w:t>]</w:t>
      </w:r>
      <w:r w:rsidR="00637758">
        <w:t xml:space="preserve"> </w:t>
      </w:r>
      <w:r>
        <w:t xml:space="preserve">come </w:t>
      </w:r>
      <w:r w:rsidR="004E12AA">
        <w:t xml:space="preserve">[sic] </w:t>
      </w:r>
      <w:r>
        <w:t xml:space="preserve">into production’.  This evidence </w:t>
      </w:r>
      <w:r w:rsidR="004E12AA">
        <w:t xml:space="preserve">is </w:t>
      </w:r>
      <w:r>
        <w:t>more consistent with the applicants’ account that there was no commercialisation of the</w:t>
      </w:r>
      <w:r w:rsidR="00637758">
        <w:t xml:space="preserve"> </w:t>
      </w:r>
      <w:r w:rsidR="00BF240F">
        <w:t>ACT Tool</w:t>
      </w:r>
      <w:r w:rsidR="00637758">
        <w:t xml:space="preserve"> </w:t>
      </w:r>
      <w:r>
        <w:t xml:space="preserve">prior to early September 2004.  </w:t>
      </w:r>
    </w:p>
    <w:p w:rsidR="004A5B08" w:rsidRDefault="004172F1" w:rsidP="00B9358B">
      <w:pPr>
        <w:pStyle w:val="ParaNumbering"/>
      </w:pPr>
      <w:r>
        <w:t xml:space="preserve">Mr </w:t>
      </w:r>
      <w:r w:rsidR="004E12AA">
        <w:t>Forde</w:t>
      </w:r>
      <w:r>
        <w:t xml:space="preserve"> also gave evidence that it was clear to him that the purpose of </w:t>
      </w:r>
      <w:r w:rsidR="00265435">
        <w:t xml:space="preserve">the </w:t>
      </w:r>
      <w:r>
        <w:t xml:space="preserve">meeting with Mr Bradford in April 2004 was to discuss testing of the prototype at a working rig to assess performance and identify any technical improvements before commercial release.  He </w:t>
      </w:r>
      <w:r w:rsidR="00265435">
        <w:t xml:space="preserve">said that he </w:t>
      </w:r>
      <w:r>
        <w:t>appreciated that</w:t>
      </w:r>
      <w:r w:rsidR="00265435">
        <w:t>,</w:t>
      </w:r>
      <w:r>
        <w:t xml:space="preserve"> at the time</w:t>
      </w:r>
      <w:r w:rsidR="00265435">
        <w:t>,</w:t>
      </w:r>
      <w:r>
        <w:t xml:space="preserve"> </w:t>
      </w:r>
      <w:r w:rsidR="00265435">
        <w:t xml:space="preserve">the </w:t>
      </w:r>
      <w:r>
        <w:t>field testing would have been important for a tool like the ACT</w:t>
      </w:r>
      <w:r w:rsidR="00265435">
        <w:t xml:space="preserve"> Tool</w:t>
      </w:r>
      <w:r>
        <w:t xml:space="preserve">, which operated electronically.  </w:t>
      </w:r>
    </w:p>
    <w:p w:rsidR="004172F1" w:rsidRDefault="007E4C66" w:rsidP="00B9358B">
      <w:pPr>
        <w:pStyle w:val="ParaNumbering"/>
      </w:pPr>
      <w:r>
        <w:t xml:space="preserve">Mr </w:t>
      </w:r>
      <w:r w:rsidR="004E12AA">
        <w:t>Forde</w:t>
      </w:r>
      <w:r>
        <w:t xml:space="preserve"> </w:t>
      </w:r>
      <w:r w:rsidR="00265435">
        <w:t xml:space="preserve">gave evidence </w:t>
      </w:r>
      <w:r>
        <w:t>that it was standard practice for developers of new technology to be involved with</w:t>
      </w:r>
      <w:r w:rsidR="00265435">
        <w:t>,</w:t>
      </w:r>
      <w:r>
        <w:t xml:space="preserve"> and attend a meeting with</w:t>
      </w:r>
      <w:r w:rsidR="00265435">
        <w:t>,</w:t>
      </w:r>
      <w:r>
        <w:t xml:space="preserve"> the management team of </w:t>
      </w:r>
      <w:r w:rsidR="009353A6">
        <w:t>Drill Corp</w:t>
      </w:r>
      <w:r>
        <w:t xml:space="preserve"> at </w:t>
      </w:r>
      <w:r w:rsidR="00265435">
        <w:t xml:space="preserve">Wangara </w:t>
      </w:r>
      <w:r>
        <w:t xml:space="preserve">before a prototype was allowed onsite for testing.  This </w:t>
      </w:r>
      <w:r w:rsidR="00265435">
        <w:t xml:space="preserve">also </w:t>
      </w:r>
      <w:r>
        <w:t>involved having a ‘verbal rundown’ about how the equipment would work</w:t>
      </w:r>
      <w:r w:rsidR="00265435">
        <w:t xml:space="preserve">, which </w:t>
      </w:r>
      <w:r>
        <w:t xml:space="preserve">was necessary and ‘standard procedure’ in such meetings.  </w:t>
      </w:r>
    </w:p>
    <w:p w:rsidR="007E4C66" w:rsidRDefault="00CA4170" w:rsidP="00CA4170">
      <w:pPr>
        <w:pStyle w:val="ParaNumbering"/>
      </w:pPr>
      <w:r>
        <w:t>Contrary to the evidence of Mr Bradford, he said, and I accept</w:t>
      </w:r>
      <w:r w:rsidR="0053786A">
        <w:t>,</w:t>
      </w:r>
      <w:r>
        <w:t xml:space="preserve"> that he did not believe Mr </w:t>
      </w:r>
      <w:r w:rsidRPr="00CA4170">
        <w:t>McConachy</w:t>
      </w:r>
      <w:r w:rsidR="00265435">
        <w:t>, Mr Shine or Mr Blackburne-</w:t>
      </w:r>
      <w:r>
        <w:t xml:space="preserve">Kane attended the meeting.  </w:t>
      </w:r>
    </w:p>
    <w:p w:rsidR="00CA4170" w:rsidRDefault="00DE55C4" w:rsidP="00CA4170">
      <w:pPr>
        <w:pStyle w:val="ParaNumbering"/>
      </w:pPr>
      <w:r>
        <w:t xml:space="preserve">I also accept the evidence from Mr </w:t>
      </w:r>
      <w:r w:rsidR="004E12AA">
        <w:t>Forde</w:t>
      </w:r>
      <w:r>
        <w:t xml:space="preserve"> about the limited accessibility of mining sites in Western Australia.  He </w:t>
      </w:r>
      <w:r w:rsidR="00265435">
        <w:t xml:space="preserve">gave evidence that ‘[t]here’s </w:t>
      </w:r>
      <w:r>
        <w:t xml:space="preserve">no open sites in Western Australia.  You </w:t>
      </w:r>
      <w:r w:rsidR="00A75296">
        <w:t>have</w:t>
      </w:r>
      <w:r w:rsidR="00265435">
        <w:t xml:space="preserve"> to get </w:t>
      </w:r>
      <w:r>
        <w:t>permission to go on a site</w:t>
      </w:r>
      <w:r w:rsidR="00265435">
        <w:t>,</w:t>
      </w:r>
      <w:r>
        <w:t xml:space="preserve"> and you have to do the appropriate paperwork’.  Ev</w:t>
      </w:r>
      <w:r w:rsidR="00265435">
        <w:t>idence was given about the Wigi-</w:t>
      </w:r>
      <w:r>
        <w:t xml:space="preserve">Malta site, which was used during testing.  </w:t>
      </w:r>
      <w:r w:rsidR="00265435">
        <w:t xml:space="preserve">Mr Forde </w:t>
      </w:r>
      <w:r>
        <w:t xml:space="preserve">explained that this </w:t>
      </w:r>
      <w:r w:rsidR="00265435">
        <w:t xml:space="preserve">site </w:t>
      </w:r>
      <w:r>
        <w:t xml:space="preserve">was remote with relatively few people, on average about four or five.  </w:t>
      </w:r>
    </w:p>
    <w:p w:rsidR="00DE55C4" w:rsidRDefault="00D203DC" w:rsidP="00CA4170">
      <w:pPr>
        <w:pStyle w:val="ParaNumbering"/>
      </w:pPr>
      <w:r>
        <w:t xml:space="preserve">As to the commercial implications of this field testing, Mr </w:t>
      </w:r>
      <w:r w:rsidR="004E12AA">
        <w:t>Forde</w:t>
      </w:r>
      <w:r>
        <w:t xml:space="preserve"> gave evidence that </w:t>
      </w:r>
      <w:r w:rsidR="009353A6">
        <w:t>Drill Corp</w:t>
      </w:r>
      <w:r>
        <w:t xml:space="preserve"> </w:t>
      </w:r>
      <w:r w:rsidR="002A5DC4">
        <w:t xml:space="preserve">had </w:t>
      </w:r>
      <w:r>
        <w:t>never received any direct benefit from agreeing to trial the</w:t>
      </w:r>
      <w:r w:rsidR="00637758">
        <w:t xml:space="preserve"> </w:t>
      </w:r>
      <w:r w:rsidR="00BF240F">
        <w:t>ACT Tool</w:t>
      </w:r>
      <w:r w:rsidR="00637758">
        <w:t xml:space="preserve"> </w:t>
      </w:r>
      <w:r>
        <w:t xml:space="preserve">prototype.  He said that, rather, </w:t>
      </w:r>
      <w:r w:rsidR="009353A6">
        <w:t>Drill Corp</w:t>
      </w:r>
      <w:r>
        <w:t xml:space="preserve"> agreed to participate in the trial of the prototype because it was in everyone’s interest that the workability of the </w:t>
      </w:r>
      <w:r w:rsidR="002A5DC4">
        <w:t>ACT T</w:t>
      </w:r>
      <w:r>
        <w:t>ool be determined and established before its commercial release.  He described it in the following terms:</w:t>
      </w:r>
    </w:p>
    <w:p w:rsidR="00D203DC" w:rsidRDefault="00D203DC" w:rsidP="00D203DC">
      <w:pPr>
        <w:pStyle w:val="Quote1"/>
      </w:pPr>
      <w:r>
        <w:lastRenderedPageBreak/>
        <w:t>You do it for the industry.  If there’s something new on the m</w:t>
      </w:r>
      <w:r w:rsidR="002A5DC4">
        <w:t>arket and you need to put it on</w:t>
      </w:r>
      <w:r>
        <w:t xml:space="preserve">to your clients, then you have to test it.  You don’t give it to your clients if it doesn’t work properly, so it would be in any drilling company’s interest to make sure it actually worked, which is why the visual look and the field test.  </w:t>
      </w:r>
    </w:p>
    <w:p w:rsidR="00D203DC" w:rsidRDefault="000B6C3E" w:rsidP="00D203DC">
      <w:pPr>
        <w:pStyle w:val="ParaNumbering"/>
      </w:pPr>
      <w:r>
        <w:t xml:space="preserve">Most significantly, Mr </w:t>
      </w:r>
      <w:r w:rsidR="004E12AA">
        <w:t>Forde</w:t>
      </w:r>
      <w:r>
        <w:t xml:space="preserve"> gave evidence, which I accept, that </w:t>
      </w:r>
      <w:r w:rsidR="009353A6">
        <w:t>Drill Corp</w:t>
      </w:r>
      <w:r>
        <w:t xml:space="preserve"> was first contacted about potential </w:t>
      </w:r>
      <w:r w:rsidR="003363B0">
        <w:t xml:space="preserve">hiring of </w:t>
      </w:r>
      <w:r>
        <w:t>the</w:t>
      </w:r>
      <w:r w:rsidR="00637758">
        <w:t xml:space="preserve"> </w:t>
      </w:r>
      <w:r w:rsidR="00BF240F">
        <w:t>ACT Tool</w:t>
      </w:r>
      <w:r w:rsidR="00637758">
        <w:t xml:space="preserve"> </w:t>
      </w:r>
      <w:r>
        <w:t xml:space="preserve">in late September 2004.  </w:t>
      </w:r>
    </w:p>
    <w:p w:rsidR="00E47115" w:rsidRDefault="00FD2245" w:rsidP="00B9358B">
      <w:pPr>
        <w:pStyle w:val="ParaNumbering"/>
      </w:pPr>
      <w:r w:rsidRPr="002A4387">
        <w:rPr>
          <w:b/>
        </w:rPr>
        <w:t xml:space="preserve">Mr </w:t>
      </w:r>
      <w:r w:rsidRPr="002A5DC4">
        <w:t>David</w:t>
      </w:r>
      <w:r w:rsidRPr="002A4387">
        <w:rPr>
          <w:b/>
        </w:rPr>
        <w:t xml:space="preserve"> Miitel</w:t>
      </w:r>
      <w:r>
        <w:t xml:space="preserve"> </w:t>
      </w:r>
      <w:r w:rsidR="002A5DC4">
        <w:t xml:space="preserve">was, at the time of giving evidence, </w:t>
      </w:r>
      <w:r>
        <w:t xml:space="preserve">employed by Barminco as the </w:t>
      </w:r>
      <w:r w:rsidR="002A5DC4">
        <w:t>g</w:t>
      </w:r>
      <w:r>
        <w:t xml:space="preserve">eneral </w:t>
      </w:r>
      <w:r w:rsidR="002A5DC4">
        <w:t>m</w:t>
      </w:r>
      <w:r>
        <w:t xml:space="preserve">anager for </w:t>
      </w:r>
      <w:r w:rsidR="002A5DC4">
        <w:t>d</w:t>
      </w:r>
      <w:r>
        <w:t xml:space="preserve">iamond </w:t>
      </w:r>
      <w:r w:rsidR="002A5DC4">
        <w:t>d</w:t>
      </w:r>
      <w:r>
        <w:t xml:space="preserve">rilling.  In 2004, Mr Miitel was the human resources and operations manager at </w:t>
      </w:r>
      <w:r w:rsidRPr="00084DCA">
        <w:t>Mosslake</w:t>
      </w:r>
      <w:r>
        <w:t xml:space="preserve">.  He </w:t>
      </w:r>
      <w:r w:rsidR="002A5DC4">
        <w:t xml:space="preserve">gave </w:t>
      </w:r>
      <w:r>
        <w:t xml:space="preserve">evidence that he arranged for the field testing of Ace Drilling’s prototype core tool at Mosslake’s Manjimup site in rural southwest, </w:t>
      </w:r>
      <w:r w:rsidR="00084DCA">
        <w:t>Western Australia</w:t>
      </w:r>
      <w:r w:rsidR="002A5DC4">
        <w:t xml:space="preserve">, in April 2004, and gave </w:t>
      </w:r>
      <w:r w:rsidR="00084DCA">
        <w:t xml:space="preserve">evidence </w:t>
      </w:r>
      <w:r w:rsidR="002A5DC4">
        <w:t xml:space="preserve">in relation to the </w:t>
      </w:r>
      <w:r w:rsidR="00084DCA">
        <w:t xml:space="preserve">testing that was conducted.  </w:t>
      </w:r>
    </w:p>
    <w:p w:rsidR="002A4387" w:rsidRDefault="002A4387" w:rsidP="00B9358B">
      <w:pPr>
        <w:pStyle w:val="ParaNumbering"/>
      </w:pPr>
      <w:r>
        <w:t xml:space="preserve">Mr Miitel </w:t>
      </w:r>
      <w:r w:rsidR="0053786A">
        <w:t xml:space="preserve">was a </w:t>
      </w:r>
      <w:r>
        <w:t>good witness.  He demonstrated a sound recollection of events in September 2004.</w:t>
      </w:r>
    </w:p>
    <w:p w:rsidR="002A4387" w:rsidRDefault="002A4387" w:rsidP="00B9358B">
      <w:pPr>
        <w:pStyle w:val="ParaNumbering"/>
      </w:pPr>
      <w:r>
        <w:t>Mr Miitel made it clear that the</w:t>
      </w:r>
      <w:r w:rsidR="00637758">
        <w:t xml:space="preserve"> </w:t>
      </w:r>
      <w:r w:rsidR="00BF240F">
        <w:t>ACT Tool</w:t>
      </w:r>
      <w:r w:rsidR="00637758">
        <w:t xml:space="preserve"> </w:t>
      </w:r>
      <w:r>
        <w:t>was never on hire to Mosslake in March 2004</w:t>
      </w:r>
      <w:r w:rsidR="002A5DC4">
        <w:t>,</w:t>
      </w:r>
      <w:r>
        <w:t xml:space="preserve"> and that it was his understanding that the</w:t>
      </w:r>
      <w:r w:rsidR="00637758">
        <w:t xml:space="preserve"> </w:t>
      </w:r>
      <w:r w:rsidR="00BF240F">
        <w:t>ACT Tool</w:t>
      </w:r>
      <w:r w:rsidR="00637758">
        <w:t xml:space="preserve"> </w:t>
      </w:r>
      <w:r>
        <w:t xml:space="preserve">required testing.  </w:t>
      </w:r>
      <w:r w:rsidR="003779C6">
        <w:t>According to Mr </w:t>
      </w:r>
      <w:r w:rsidR="002A5DC4">
        <w:t>Miitel, Manjimup had</w:t>
      </w:r>
      <w:r>
        <w:t xml:space="preserve"> been selected as an appropriate site because it had shallow hole</w:t>
      </w:r>
      <w:r w:rsidR="003779C6">
        <w:t>s</w:t>
      </w:r>
      <w:r>
        <w:t xml:space="preserve"> that made the testing more efficient.  </w:t>
      </w:r>
      <w:r w:rsidR="002A5DC4">
        <w:t xml:space="preserve">He gave </w:t>
      </w:r>
      <w:r>
        <w:t xml:space="preserve">evidence that the trial site </w:t>
      </w:r>
      <w:r w:rsidR="002A5DC4">
        <w:t xml:space="preserve">in </w:t>
      </w:r>
      <w:r>
        <w:t xml:space="preserve">Manjimup was </w:t>
      </w:r>
      <w:r w:rsidR="004B26AF">
        <w:t xml:space="preserve">at </w:t>
      </w:r>
      <w:r>
        <w:t xml:space="preserve">an isolated </w:t>
      </w:r>
      <w:r w:rsidR="004B26AF">
        <w:t xml:space="preserve">location, </w:t>
      </w:r>
      <w:r w:rsidR="002A5DC4">
        <w:t xml:space="preserve">which was </w:t>
      </w:r>
      <w:r w:rsidR="004B26AF">
        <w:t xml:space="preserve">a </w:t>
      </w:r>
      <w:r>
        <w:t xml:space="preserve">45 minute drive from Manjimup.  It was difficult to access and only had a few authorised personnel onsite.  He confirmed that Mr Bradford was present throughout the testing.  </w:t>
      </w:r>
    </w:p>
    <w:p w:rsidR="002A4387" w:rsidRDefault="002A5DC4" w:rsidP="00B9358B">
      <w:pPr>
        <w:pStyle w:val="ParaNumbering"/>
      </w:pPr>
      <w:r>
        <w:t xml:space="preserve">Following the testing, </w:t>
      </w:r>
      <w:r w:rsidR="005D65C9">
        <w:t xml:space="preserve">Mr Miitel </w:t>
      </w:r>
      <w:r>
        <w:t xml:space="preserve">said that he had </w:t>
      </w:r>
      <w:r w:rsidR="005D65C9">
        <w:t xml:space="preserve">provided feedback to Ace Drilling on the delays </w:t>
      </w:r>
      <w:r>
        <w:t xml:space="preserve">which </w:t>
      </w:r>
      <w:r w:rsidR="005D65C9">
        <w:t xml:space="preserve">drillers at Manjimup </w:t>
      </w:r>
      <w:r>
        <w:t xml:space="preserve">had </w:t>
      </w:r>
      <w:r w:rsidR="005D65C9">
        <w:t xml:space="preserve">experienced due to the length of the chassis.  He suggested to Ace Drilling that modifying the tool length could be a way to remedy the problems which had been encountered at Manjimup.  </w:t>
      </w:r>
    </w:p>
    <w:p w:rsidR="005D65C9" w:rsidRDefault="002D70C6" w:rsidP="00B9358B">
      <w:pPr>
        <w:pStyle w:val="ParaNumbering"/>
      </w:pPr>
      <w:r>
        <w:t xml:space="preserve">This observation and </w:t>
      </w:r>
      <w:r w:rsidR="002A5DC4">
        <w:t>feedback of Mr Miitel</w:t>
      </w:r>
      <w:r>
        <w:t xml:space="preserve">, </w:t>
      </w:r>
      <w:r w:rsidR="002A5DC4">
        <w:t xml:space="preserve">when </w:t>
      </w:r>
      <w:r>
        <w:t>viewed objectively, is consistent with the n</w:t>
      </w:r>
      <w:r w:rsidR="00672D15">
        <w:t xml:space="preserve">ature of testing of a product or a prototype of a product.  Indeed, Mr Miitel, importantly confirmed that the difficulties experienced with the tool while on trial </w:t>
      </w:r>
      <w:r w:rsidR="002A5DC4">
        <w:t>in</w:t>
      </w:r>
      <w:r w:rsidR="00672D15">
        <w:t xml:space="preserve"> Manjimup meant that further testing was not viable at Mosslake.  He also confirmed that Mosslake did not have the facilities at Manjimup to transport the</w:t>
      </w:r>
      <w:r w:rsidR="00637758">
        <w:t xml:space="preserve"> </w:t>
      </w:r>
      <w:r w:rsidR="00BF240F">
        <w:t>ACT Tool</w:t>
      </w:r>
      <w:r w:rsidR="00637758">
        <w:t xml:space="preserve"> </w:t>
      </w:r>
      <w:r w:rsidR="004B26AF">
        <w:t>to Kalgoorlie</w:t>
      </w:r>
      <w:r w:rsidR="002A5DC4">
        <w:t>, which was a distance of 800 kilometres</w:t>
      </w:r>
      <w:r w:rsidR="004B26AF">
        <w:t xml:space="preserve">.  In his </w:t>
      </w:r>
      <w:r w:rsidR="002A5DC4">
        <w:t xml:space="preserve">oral </w:t>
      </w:r>
      <w:r w:rsidR="004B26AF">
        <w:t xml:space="preserve">evidence </w:t>
      </w:r>
      <w:r w:rsidR="002A5DC4">
        <w:t xml:space="preserve">Mr Miitel </w:t>
      </w:r>
      <w:r w:rsidR="004B26AF">
        <w:t>said:</w:t>
      </w:r>
    </w:p>
    <w:p w:rsidR="002536AB" w:rsidRDefault="000C3521" w:rsidP="000C3521">
      <w:pPr>
        <w:pStyle w:val="Quote1"/>
      </w:pPr>
      <w:r>
        <w:t>… he took the tool back out, because we really didn’t have a way or means of taking the tool from there, 800 kilometres to Kalgoorlie.  It would have had to come back throug</w:t>
      </w:r>
      <w:r w:rsidR="002A5DC4">
        <w:t xml:space="preserve">h Perth and we didn’t have the </w:t>
      </w:r>
      <w:r>
        <w:t xml:space="preserve">facilities to do that.  And that’s why I asked </w:t>
      </w:r>
      <w:r>
        <w:lastRenderedPageBreak/>
        <w:t>them, make sure you’ve got a guy to do it, because otherwise, not only do we perform the test for these guys, we’re actually out of pocket transporting it around the place and it’s not what we do.</w:t>
      </w:r>
    </w:p>
    <w:p w:rsidR="000C3521" w:rsidRDefault="000C3521" w:rsidP="000C3521">
      <w:pPr>
        <w:pStyle w:val="ParaNumbering"/>
      </w:pPr>
      <w:r>
        <w:t xml:space="preserve">Consequently, I find </w:t>
      </w:r>
      <w:r w:rsidR="002A5DC4">
        <w:t xml:space="preserve">that </w:t>
      </w:r>
      <w:r>
        <w:t xml:space="preserve">it is highly unlikely that Mr Bradford did not take the </w:t>
      </w:r>
      <w:r w:rsidR="002A5DC4">
        <w:t>t</w:t>
      </w:r>
      <w:r>
        <w:t xml:space="preserve">ool with him when he left the Manjimup site.  I reject Mr Bradford’s evidence that the </w:t>
      </w:r>
      <w:r w:rsidR="002A5DC4">
        <w:t>ACT T</w:t>
      </w:r>
      <w:r>
        <w:t xml:space="preserve">ool was left at the </w:t>
      </w:r>
      <w:r w:rsidR="002A5DC4">
        <w:t xml:space="preserve">Manjimup </w:t>
      </w:r>
      <w:r>
        <w:t xml:space="preserve">site.  </w:t>
      </w:r>
    </w:p>
    <w:p w:rsidR="00084DCA" w:rsidRDefault="00084DCA" w:rsidP="00084DCA">
      <w:pPr>
        <w:pStyle w:val="ParaNumbering"/>
      </w:pPr>
      <w:r w:rsidRPr="004B26AF">
        <w:rPr>
          <w:b/>
        </w:rPr>
        <w:t xml:space="preserve">Mr </w:t>
      </w:r>
      <w:r w:rsidRPr="002A5DC4">
        <w:t>Duncan</w:t>
      </w:r>
      <w:r w:rsidRPr="004B26AF">
        <w:rPr>
          <w:b/>
        </w:rPr>
        <w:t xml:space="preserve"> McConachy</w:t>
      </w:r>
      <w:r>
        <w:t xml:space="preserve"> was, at the time of giving evidence, employed as </w:t>
      </w:r>
      <w:r w:rsidR="002A5DC4">
        <w:t>an o</w:t>
      </w:r>
      <w:r>
        <w:t xml:space="preserve">perations </w:t>
      </w:r>
      <w:r w:rsidR="002A5DC4">
        <w:t>m</w:t>
      </w:r>
      <w:r>
        <w:t xml:space="preserve">anager at DDH1 Drilling Pty Ltd.  </w:t>
      </w:r>
      <w:r w:rsidR="00CA3019">
        <w:t xml:space="preserve">He gave evidence that he </w:t>
      </w:r>
      <w:r w:rsidR="002A5DC4">
        <w:t xml:space="preserve">had </w:t>
      </w:r>
      <w:r w:rsidR="00CA3019">
        <w:t>no recollection of ever having a core orientation tool demonstrated to him as alleged by Mr Bradford.</w:t>
      </w:r>
    </w:p>
    <w:p w:rsidR="001C4F53" w:rsidRDefault="00015ECF" w:rsidP="00652EEE">
      <w:pPr>
        <w:pStyle w:val="ParaNumbering"/>
      </w:pPr>
      <w:r>
        <w:t>Mr Brown, previously referred to</w:t>
      </w:r>
      <w:r w:rsidR="00FB61AE">
        <w:t xml:space="preserve"> in relation to infringement, gave evidence </w:t>
      </w:r>
      <w:r>
        <w:t xml:space="preserve">that he </w:t>
      </w:r>
      <w:r w:rsidR="00FB61AE">
        <w:t xml:space="preserve">had </w:t>
      </w:r>
      <w:r>
        <w:t>carried out in excess of 90,000 metres of core drilling and orientation operations</w:t>
      </w:r>
      <w:r w:rsidR="00FB61AE">
        <w:t>,</w:t>
      </w:r>
      <w:r>
        <w:t xml:space="preserve"> and had participated in about six field trials of drilling equipment at core drilling rigs</w:t>
      </w:r>
      <w:r w:rsidR="007053D4">
        <w:t xml:space="preserve">.  He </w:t>
      </w:r>
      <w:r w:rsidR="00FB61AE">
        <w:t xml:space="preserve">also </w:t>
      </w:r>
      <w:r w:rsidR="007053D4">
        <w:t xml:space="preserve">gave evidence that the prior disclosures alleged by Dr Skopec </w:t>
      </w:r>
      <w:r w:rsidR="00FB61AE">
        <w:t xml:space="preserve">did </w:t>
      </w:r>
      <w:r w:rsidR="007053D4">
        <w:t xml:space="preserve">not disclose various features of the claims of the Patents.  His evidence also addressed the </w:t>
      </w:r>
      <w:r w:rsidR="00FB61AE">
        <w:t xml:space="preserve">requirement of </w:t>
      </w:r>
      <w:r w:rsidR="007053D4">
        <w:t>orienting core samples during mineral exploration drilling, his experience with testing procedures with prototype equipment at drilling rigs</w:t>
      </w:r>
      <w:r w:rsidR="00FB61AE">
        <w:t>,</w:t>
      </w:r>
      <w:r w:rsidR="007053D4">
        <w:t xml:space="preserve"> and the mechanical techniques in equipment in use in Australia for retrieving and orienting a drill core at the Priority Date.  </w:t>
      </w:r>
    </w:p>
    <w:p w:rsidR="00D17C7C" w:rsidRDefault="007F452A" w:rsidP="00652EEE">
      <w:pPr>
        <w:pStyle w:val="ParaNumbering"/>
      </w:pPr>
      <w:r w:rsidRPr="00D9403E">
        <w:rPr>
          <w:b/>
        </w:rPr>
        <w:t xml:space="preserve">Mr </w:t>
      </w:r>
      <w:r w:rsidRPr="00FB61AE">
        <w:t>Richard</w:t>
      </w:r>
      <w:r w:rsidRPr="00D9403E">
        <w:rPr>
          <w:b/>
        </w:rPr>
        <w:t xml:space="preserve"> Parfitt</w:t>
      </w:r>
      <w:r>
        <w:t>,</w:t>
      </w:r>
      <w:r w:rsidR="00D9403E">
        <w:t xml:space="preserve"> was an impressive witness</w:t>
      </w:r>
      <w:r w:rsidR="004B26AF">
        <w:t xml:space="preserve">.  He </w:t>
      </w:r>
      <w:r w:rsidR="00FB61AE">
        <w:t>wa</w:t>
      </w:r>
      <w:r>
        <w:t xml:space="preserve">s the </w:t>
      </w:r>
      <w:r w:rsidR="00FB61AE">
        <w:t>c</w:t>
      </w:r>
      <w:r>
        <w:t xml:space="preserve">hief </w:t>
      </w:r>
      <w:r w:rsidR="00FB61AE">
        <w:t>e</w:t>
      </w:r>
      <w:r>
        <w:t xml:space="preserve">lectronic </w:t>
      </w:r>
      <w:r w:rsidR="00FB61AE">
        <w:t>e</w:t>
      </w:r>
      <w:r>
        <w:t xml:space="preserve">ngineer at Imdex Technology UK, </w:t>
      </w:r>
      <w:r w:rsidR="00FB61AE">
        <w:t xml:space="preserve">which was formerly known as </w:t>
      </w:r>
      <w:r>
        <w:t xml:space="preserve">Chardec.  Mr Parfitt </w:t>
      </w:r>
      <w:r w:rsidR="00D6415C">
        <w:t>g</w:t>
      </w:r>
      <w:r w:rsidR="00FB61AE">
        <w:t xml:space="preserve">ave evidence that he had </w:t>
      </w:r>
      <w:r>
        <w:t>over 20 years</w:t>
      </w:r>
      <w:r w:rsidR="00FB61AE">
        <w:t xml:space="preserve"> of </w:t>
      </w:r>
      <w:r>
        <w:t xml:space="preserve">experience in the field of electronics, sensors and </w:t>
      </w:r>
      <w:r w:rsidR="00B30427">
        <w:t>down-hole</w:t>
      </w:r>
      <w:r>
        <w:t xml:space="preserve"> instrumentation.  Originally, there was a challenge </w:t>
      </w:r>
      <w:r w:rsidR="004B26AF">
        <w:t xml:space="preserve">by the respondents </w:t>
      </w:r>
      <w:r w:rsidR="00FB61AE">
        <w:t>as to whether Mr </w:t>
      </w:r>
      <w:r>
        <w:t>Parfitt was the sole inventor of the methods and systems claimed by the Patents.  That challenge was abandoned.  Nonetheless, his evidence addressed, amongst other things, the nature of the field testing of the two</w:t>
      </w:r>
      <w:r w:rsidR="00637758">
        <w:t xml:space="preserve"> </w:t>
      </w:r>
      <w:r w:rsidR="00BF240F">
        <w:t>ACT Tool</w:t>
      </w:r>
      <w:r w:rsidR="00637758">
        <w:t xml:space="preserve"> </w:t>
      </w:r>
      <w:r>
        <w:t>prototype</w:t>
      </w:r>
      <w:r w:rsidR="00FB61AE">
        <w:t>s</w:t>
      </w:r>
      <w:r>
        <w:t xml:space="preserve"> in April and May 2004</w:t>
      </w:r>
      <w:r w:rsidR="00FB61AE">
        <w:t>,</w:t>
      </w:r>
      <w:r>
        <w:t xml:space="preserve"> and his relationship with the applicants at</w:t>
      </w:r>
      <w:r w:rsidR="00FB61AE">
        <w:t>,</w:t>
      </w:r>
      <w:r>
        <w:t xml:space="preserve"> and prior to</w:t>
      </w:r>
      <w:r w:rsidR="00FB61AE">
        <w:t>,</w:t>
      </w:r>
      <w:r>
        <w:t xml:space="preserve"> that testing.  </w:t>
      </w:r>
    </w:p>
    <w:p w:rsidR="00D9403E" w:rsidRDefault="0042429A" w:rsidP="00652EEE">
      <w:pPr>
        <w:pStyle w:val="ParaNumbering"/>
      </w:pPr>
      <w:r>
        <w:t>Mr Parfitt</w:t>
      </w:r>
      <w:r w:rsidR="00D02BFE">
        <w:t>’s</w:t>
      </w:r>
      <w:r>
        <w:t xml:space="preserve"> </w:t>
      </w:r>
      <w:r w:rsidR="00FB61AE">
        <w:t xml:space="preserve">affidavit </w:t>
      </w:r>
      <w:r>
        <w:t>evidence was initially directed to the respondents</w:t>
      </w:r>
      <w:r w:rsidR="00FB61AE">
        <w:t>’</w:t>
      </w:r>
      <w:r>
        <w:t xml:space="preserve"> challenge on </w:t>
      </w:r>
      <w:r w:rsidR="00FB61AE">
        <w:t xml:space="preserve">the grounds of </w:t>
      </w:r>
      <w:r>
        <w:t xml:space="preserve">lack of entitlement, that is, </w:t>
      </w:r>
      <w:r w:rsidR="00FB61AE">
        <w:t xml:space="preserve">the contention </w:t>
      </w:r>
      <w:r>
        <w:t xml:space="preserve">that Mr Parfitt was </w:t>
      </w:r>
      <w:r w:rsidR="00FB61AE">
        <w:t xml:space="preserve">not </w:t>
      </w:r>
      <w:r>
        <w:t xml:space="preserve">the inventor.  </w:t>
      </w:r>
      <w:r w:rsidR="008456A2">
        <w:t>As noted, t</w:t>
      </w:r>
      <w:r>
        <w:t xml:space="preserve">his assertion </w:t>
      </w:r>
      <w:r w:rsidR="008456A2">
        <w:t xml:space="preserve">was </w:t>
      </w:r>
      <w:r>
        <w:t xml:space="preserve">abandoned shortly before </w:t>
      </w:r>
      <w:r w:rsidR="00FB61AE">
        <w:t xml:space="preserve">commencement of </w:t>
      </w:r>
      <w:r>
        <w:t xml:space="preserve">the trial.  Nevertheless, </w:t>
      </w:r>
      <w:r w:rsidR="00FB61AE">
        <w:t xml:space="preserve">Mr Parfitt’s </w:t>
      </w:r>
      <w:r>
        <w:t>evidence address</w:t>
      </w:r>
      <w:r w:rsidR="00FB61AE">
        <w:t>ed</w:t>
      </w:r>
      <w:r>
        <w:t xml:space="preserve"> his development of the inventions claimed in the Patents, the release of the prototype</w:t>
      </w:r>
      <w:r w:rsidR="00637758">
        <w:t xml:space="preserve"> </w:t>
      </w:r>
      <w:r w:rsidR="00BF240F">
        <w:t>ACT Tool</w:t>
      </w:r>
      <w:r w:rsidR="00637758">
        <w:t xml:space="preserve"> </w:t>
      </w:r>
      <w:r>
        <w:t xml:space="preserve">for field testing in April and May 2004, the need for such fielding testing, the negotiation of a </w:t>
      </w:r>
      <w:r w:rsidR="00FB61AE">
        <w:t>d</w:t>
      </w:r>
      <w:r w:rsidR="003A2595">
        <w:t xml:space="preserve">istribution </w:t>
      </w:r>
      <w:r w:rsidR="00FB61AE">
        <w:t>a</w:t>
      </w:r>
      <w:r w:rsidR="003A2595">
        <w:t xml:space="preserve">greement </w:t>
      </w:r>
      <w:r>
        <w:t>with the applicants</w:t>
      </w:r>
      <w:r w:rsidR="00FB61AE">
        <w:t>,</w:t>
      </w:r>
      <w:r>
        <w:t xml:space="preserve"> and the subsequent dispatch by Chardec of the first commercial shipment of 10 units of the</w:t>
      </w:r>
      <w:r w:rsidR="00637758">
        <w:t xml:space="preserve"> </w:t>
      </w:r>
      <w:r w:rsidR="00BF240F">
        <w:t>ACT Tool</w:t>
      </w:r>
      <w:r w:rsidR="00637758">
        <w:t xml:space="preserve"> </w:t>
      </w:r>
      <w:r>
        <w:t xml:space="preserve">in late September 2004.  </w:t>
      </w:r>
    </w:p>
    <w:p w:rsidR="0042429A" w:rsidRDefault="00400BBF" w:rsidP="00652EEE">
      <w:pPr>
        <w:pStyle w:val="ParaNumbering"/>
      </w:pPr>
      <w:r>
        <w:lastRenderedPageBreak/>
        <w:t xml:space="preserve">I accepted </w:t>
      </w:r>
      <w:r w:rsidR="00FB61AE">
        <w:t xml:space="preserve">the </w:t>
      </w:r>
      <w:r>
        <w:t xml:space="preserve">evidence </w:t>
      </w:r>
      <w:r w:rsidR="00FB61AE">
        <w:t xml:space="preserve">of Mr Parfitt </w:t>
      </w:r>
      <w:r>
        <w:t xml:space="preserve">and, in particular, accept his denial of the proposition put to him in cross-examination that there was some commercial arrangement documented or otherwise for purchase of the </w:t>
      </w:r>
      <w:r w:rsidR="00FB61AE">
        <w:t>ACT T</w:t>
      </w:r>
      <w:r>
        <w:t xml:space="preserve">ool prior to September 2004.  </w:t>
      </w:r>
      <w:r w:rsidR="00882DCE">
        <w:t xml:space="preserve">I accept that </w:t>
      </w:r>
      <w:r w:rsidR="00FB61AE">
        <w:t>Mr </w:t>
      </w:r>
      <w:r>
        <w:t xml:space="preserve">Parfitt was particularly careful, as was Chardec, that there was </w:t>
      </w:r>
      <w:r w:rsidR="00882DCE">
        <w:t>no commercialisation prior to 3 </w:t>
      </w:r>
      <w:r>
        <w:t xml:space="preserve">September 2004.  </w:t>
      </w:r>
    </w:p>
    <w:p w:rsidR="007F452A" w:rsidRDefault="00BA654A" w:rsidP="00652EEE">
      <w:pPr>
        <w:pStyle w:val="ParaNumbering"/>
      </w:pPr>
      <w:r w:rsidRPr="000C1D48">
        <w:rPr>
          <w:b/>
        </w:rPr>
        <w:t xml:space="preserve">Professor </w:t>
      </w:r>
      <w:r w:rsidRPr="00FB61AE">
        <w:t>Jonathan</w:t>
      </w:r>
      <w:r w:rsidRPr="000C1D48">
        <w:rPr>
          <w:b/>
        </w:rPr>
        <w:t xml:space="preserve"> Tapson</w:t>
      </w:r>
      <w:r>
        <w:t xml:space="preserve">, an independent expert, </w:t>
      </w:r>
      <w:r w:rsidR="00FB61AE">
        <w:t>at the time of giving evidence wa</w:t>
      </w:r>
      <w:r>
        <w:t xml:space="preserve">s the </w:t>
      </w:r>
      <w:r w:rsidR="00E348EB">
        <w:t>d</w:t>
      </w:r>
      <w:r>
        <w:t xml:space="preserve">eputy </w:t>
      </w:r>
      <w:r w:rsidR="00E348EB">
        <w:t>d</w:t>
      </w:r>
      <w:r>
        <w:t xml:space="preserve">ean of the </w:t>
      </w:r>
      <w:r w:rsidR="00FB61AE">
        <w:t>s</w:t>
      </w:r>
      <w:r>
        <w:t>chool o</w:t>
      </w:r>
      <w:r w:rsidR="00FB61AE">
        <w:t>f</w:t>
      </w:r>
      <w:r>
        <w:t xml:space="preserve"> </w:t>
      </w:r>
      <w:r w:rsidR="00FB61AE">
        <w:t>c</w:t>
      </w:r>
      <w:r>
        <w:t>omputing</w:t>
      </w:r>
      <w:r w:rsidR="00FB61AE">
        <w:t>,</w:t>
      </w:r>
      <w:r>
        <w:t xml:space="preserve"> </w:t>
      </w:r>
      <w:r w:rsidR="00FB61AE">
        <w:t>e</w:t>
      </w:r>
      <w:r>
        <w:t xml:space="preserve">ngineering and </w:t>
      </w:r>
      <w:r w:rsidR="00FB61AE">
        <w:t>m</w:t>
      </w:r>
      <w:r>
        <w:t xml:space="preserve">athematics at the University of Western Sydney.  He </w:t>
      </w:r>
      <w:r w:rsidR="00FB61AE">
        <w:t xml:space="preserve">gave evidence that he had </w:t>
      </w:r>
      <w:r>
        <w:t>over 20 years of academic and practical experience in the field of electronic</w:t>
      </w:r>
      <w:r w:rsidR="00FB61AE">
        <w:t>s,</w:t>
      </w:r>
      <w:r>
        <w:t xml:space="preserve"> sensors and instrumentation, including design</w:t>
      </w:r>
      <w:r w:rsidR="00FB61AE">
        <w:t>ing</w:t>
      </w:r>
      <w:r>
        <w:t xml:space="preserve"> orientation systems in drilling environments.  He gave evidence that the prior disclosures alleged by Dr Skopec did not disclose all features of the claims of the Patents</w:t>
      </w:r>
      <w:r w:rsidR="00FB61AE">
        <w:t>,</w:t>
      </w:r>
      <w:r>
        <w:t xml:space="preserve"> and that the</w:t>
      </w:r>
      <w:r w:rsidR="00FB61AE">
        <w:t>se</w:t>
      </w:r>
      <w:r>
        <w:t xml:space="preserve"> differences make a substantial difference to the working of the inventions claimed by the Patents.  </w:t>
      </w:r>
    </w:p>
    <w:p w:rsidR="000C1D48" w:rsidRDefault="000C1D48" w:rsidP="00652EEE">
      <w:pPr>
        <w:pStyle w:val="ParaNumbering"/>
      </w:pPr>
      <w:r>
        <w:t>Professor Tapson was a</w:t>
      </w:r>
      <w:r w:rsidR="00882DCE">
        <w:t>n</w:t>
      </w:r>
      <w:r>
        <w:t xml:space="preserve"> impressive witness.  His evidence was directed to the asserted prior disclosures contained </w:t>
      </w:r>
      <w:r w:rsidR="00FB61AE">
        <w:t xml:space="preserve">in the Skopec </w:t>
      </w:r>
      <w:r w:rsidR="003576F7">
        <w:t>Paper</w:t>
      </w:r>
      <w:r w:rsidR="00FB61AE">
        <w:t>,</w:t>
      </w:r>
      <w:r>
        <w:t xml:space="preserve"> and other alleged prior art, as well as Dr Skopec’s assertions about the inutility of the inventions</w:t>
      </w:r>
      <w:r w:rsidR="00FB61AE">
        <w:t>,</w:t>
      </w:r>
      <w:r>
        <w:t xml:space="preserve"> and certain matters </w:t>
      </w:r>
      <w:r w:rsidR="00EE7756">
        <w:t xml:space="preserve">relevant </w:t>
      </w:r>
      <w:r>
        <w:t>to infringement.  I will discuss this evidence in greater length below.  I accept the evidence of Prof</w:t>
      </w:r>
      <w:r w:rsidR="00EE7756">
        <w:t>essor</w:t>
      </w:r>
      <w:r>
        <w:t xml:space="preserve"> Tapson.  He also explained the context of the Patents and the differences between core sampling </w:t>
      </w:r>
      <w:r w:rsidR="00EE7756">
        <w:t xml:space="preserve">in </w:t>
      </w:r>
      <w:r>
        <w:t xml:space="preserve">mineral and petroleum exploration.  </w:t>
      </w:r>
    </w:p>
    <w:p w:rsidR="00D1178E" w:rsidRDefault="00D1178E" w:rsidP="00652EEE">
      <w:pPr>
        <w:pStyle w:val="ParaNumbering"/>
      </w:pPr>
      <w:r w:rsidRPr="007D5FBD">
        <w:rPr>
          <w:b/>
        </w:rPr>
        <w:t xml:space="preserve">Mr </w:t>
      </w:r>
      <w:r w:rsidRPr="00EE7756">
        <w:t>Gary</w:t>
      </w:r>
      <w:r w:rsidRPr="007D5FBD">
        <w:rPr>
          <w:b/>
        </w:rPr>
        <w:t xml:space="preserve"> Weston</w:t>
      </w:r>
      <w:r>
        <w:t xml:space="preserve"> was </w:t>
      </w:r>
      <w:r w:rsidR="00EE7756">
        <w:t xml:space="preserve">a </w:t>
      </w:r>
      <w:r>
        <w:t xml:space="preserve">part-time consultant with Imdex, </w:t>
      </w:r>
      <w:r w:rsidR="00EE7756">
        <w:t xml:space="preserve">which is </w:t>
      </w:r>
      <w:r>
        <w:t>the parent company of the applicants.  At the relevant time</w:t>
      </w:r>
      <w:r w:rsidR="00EE7756">
        <w:t>,</w:t>
      </w:r>
      <w:r>
        <w:t xml:space="preserve"> </w:t>
      </w:r>
      <w:r w:rsidR="00EE7756">
        <w:t xml:space="preserve">Mr Weston </w:t>
      </w:r>
      <w:r>
        <w:t xml:space="preserve">was </w:t>
      </w:r>
      <w:r w:rsidR="00EE7756">
        <w:t>g</w:t>
      </w:r>
      <w:r>
        <w:t xml:space="preserve">eneral </w:t>
      </w:r>
      <w:r w:rsidR="00EE7756">
        <w:t>manager of the Ace Drilling b</w:t>
      </w:r>
      <w:r>
        <w:t xml:space="preserve">usiness </w:t>
      </w:r>
      <w:r w:rsidR="00EE7756">
        <w:t>d</w:t>
      </w:r>
      <w:r>
        <w:t>ivision of Imdex</w:t>
      </w:r>
      <w:r w:rsidR="00EE7756">
        <w:t>,</w:t>
      </w:r>
      <w:r>
        <w:t xml:space="preserve"> and </w:t>
      </w:r>
      <w:r w:rsidR="00EE7756">
        <w:t>h</w:t>
      </w:r>
      <w:r>
        <w:t xml:space="preserve">ead of the </w:t>
      </w:r>
      <w:r w:rsidR="00EE7756">
        <w:t>p</w:t>
      </w:r>
      <w:r>
        <w:t xml:space="preserve">roject </w:t>
      </w:r>
      <w:r w:rsidR="00EE7756">
        <w:t>t</w:t>
      </w:r>
      <w:r>
        <w:t>eam that tested the prototype</w:t>
      </w:r>
      <w:r w:rsidR="00637758">
        <w:t xml:space="preserve"> </w:t>
      </w:r>
      <w:r w:rsidR="00BF240F">
        <w:t>ACT Tool</w:t>
      </w:r>
      <w:r w:rsidR="00637758">
        <w:t xml:space="preserve"> </w:t>
      </w:r>
      <w:r>
        <w:t>and its method of operation before filing for patent protection.  He gave evidence about the field testing of the</w:t>
      </w:r>
      <w:r w:rsidR="00637758">
        <w:t xml:space="preserve"> </w:t>
      </w:r>
      <w:r w:rsidR="00BF240F">
        <w:t>ACT Tool</w:t>
      </w:r>
      <w:r w:rsidR="00637758">
        <w:t xml:space="preserve"> </w:t>
      </w:r>
      <w:r>
        <w:t xml:space="preserve">and his responsibility </w:t>
      </w:r>
      <w:r w:rsidR="00EE7756">
        <w:t xml:space="preserve">in </w:t>
      </w:r>
      <w:r>
        <w:t xml:space="preserve">negotiating </w:t>
      </w:r>
      <w:r w:rsidR="00C13627">
        <w:t>the</w:t>
      </w:r>
      <w:r w:rsidR="00F029CA">
        <w:t xml:space="preserve"> </w:t>
      </w:r>
      <w:r w:rsidR="00EE7756">
        <w:t>d</w:t>
      </w:r>
      <w:r w:rsidR="003A2595">
        <w:t xml:space="preserve">istribution </w:t>
      </w:r>
      <w:r w:rsidR="00EE7756">
        <w:t>a</w:t>
      </w:r>
      <w:r w:rsidR="003A2595">
        <w:t xml:space="preserve">greement </w:t>
      </w:r>
      <w:r>
        <w:t xml:space="preserve">with Chardec to commercialise the new tool in Australia.  </w:t>
      </w:r>
    </w:p>
    <w:p w:rsidR="007D5FBD" w:rsidRDefault="00C13627" w:rsidP="00652EEE">
      <w:pPr>
        <w:pStyle w:val="ParaNumbering"/>
      </w:pPr>
      <w:r>
        <w:t xml:space="preserve">Mr Weston was a good witness.  I considered that his account was entirely credible and truthful and accorded with the documentary record.  As with other witnesses, Mr Weston’s evidence will be discussed further below in relation to specific issues.  </w:t>
      </w:r>
    </w:p>
    <w:p w:rsidR="00BA28C2" w:rsidRDefault="00EE7756" w:rsidP="00652EEE">
      <w:pPr>
        <w:pStyle w:val="ParaNumbering"/>
      </w:pPr>
      <w:r>
        <w:t>This general</w:t>
      </w:r>
      <w:r w:rsidR="007510D1">
        <w:t xml:space="preserve"> overview only </w:t>
      </w:r>
      <w:r w:rsidR="00A73397">
        <w:t xml:space="preserve">of </w:t>
      </w:r>
      <w:r w:rsidR="007510D1">
        <w:t xml:space="preserve">some key </w:t>
      </w:r>
      <w:r>
        <w:t>witnesses shows that Cor</w:t>
      </w:r>
      <w:r w:rsidR="00E348EB">
        <w:t>e</w:t>
      </w:r>
      <w:r>
        <w:t xml:space="preserve">tell’s </w:t>
      </w:r>
      <w:r w:rsidR="00747776">
        <w:t>invalidity</w:t>
      </w:r>
      <w:r w:rsidR="0071431F">
        <w:t xml:space="preserve"> cross-claim had a very weak foundation.  In particular, the prior use claim</w:t>
      </w:r>
      <w:r>
        <w:t xml:space="preserve"> upon </w:t>
      </w:r>
      <w:r w:rsidR="0071431F">
        <w:t xml:space="preserve">which </w:t>
      </w:r>
      <w:r w:rsidR="00470CCE">
        <w:t>Coretell</w:t>
      </w:r>
      <w:r>
        <w:t xml:space="preserve"> </w:t>
      </w:r>
      <w:r w:rsidR="0071431F">
        <w:t>relied</w:t>
      </w:r>
      <w:r>
        <w:t xml:space="preserve"> heavily</w:t>
      </w:r>
      <w:r w:rsidR="0071431F">
        <w:t xml:space="preserve"> was seriously </w:t>
      </w:r>
      <w:r w:rsidR="00A73397">
        <w:t xml:space="preserve">flawed </w:t>
      </w:r>
      <w:r w:rsidR="0071431F">
        <w:t>on the evidence</w:t>
      </w:r>
      <w:r w:rsidR="00A73397">
        <w:t xml:space="preserve"> as found</w:t>
      </w:r>
      <w:r w:rsidR="0071431F">
        <w:t>.</w:t>
      </w:r>
      <w:r w:rsidR="00384E54">
        <w:t xml:space="preserve">  </w:t>
      </w:r>
    </w:p>
    <w:p w:rsidR="00DB2308" w:rsidRDefault="00DB2308" w:rsidP="00F14548">
      <w:pPr>
        <w:pStyle w:val="Heading5"/>
      </w:pPr>
      <w:bookmarkStart w:id="51" w:name="_Ref403035673"/>
      <w:bookmarkStart w:id="52" w:name="_Ref436660789"/>
      <w:r>
        <w:lastRenderedPageBreak/>
        <w:t>AMC’S CLAIM</w:t>
      </w:r>
      <w:bookmarkEnd w:id="51"/>
      <w:r w:rsidR="00EE7756">
        <w:t xml:space="preserve"> - INFRINGEMENT</w:t>
      </w:r>
      <w:bookmarkEnd w:id="52"/>
    </w:p>
    <w:p w:rsidR="00904A42" w:rsidRDefault="00A1188F" w:rsidP="00E157A3">
      <w:pPr>
        <w:pStyle w:val="Heading6"/>
      </w:pPr>
      <w:bookmarkStart w:id="53" w:name="_Ref403035674"/>
      <w:r>
        <w:t>Previous p</w:t>
      </w:r>
      <w:r w:rsidR="00E157A3">
        <w:t>roceeding</w:t>
      </w:r>
      <w:bookmarkEnd w:id="53"/>
    </w:p>
    <w:p w:rsidR="00E157A3" w:rsidRDefault="00E157A3" w:rsidP="00254D03">
      <w:pPr>
        <w:pStyle w:val="ParaNumbering"/>
      </w:pPr>
      <w:r>
        <w:t xml:space="preserve">The parties were involved in a previous proceeding in this Court </w:t>
      </w:r>
      <w:r w:rsidR="00E34E8F">
        <w:t xml:space="preserve">which was </w:t>
      </w:r>
      <w:r>
        <w:t xml:space="preserve">determined by </w:t>
      </w:r>
      <w:r w:rsidR="00E100FF">
        <w:t xml:space="preserve">Justice </w:t>
      </w:r>
      <w:r>
        <w:t xml:space="preserve">Barker in </w:t>
      </w:r>
      <w:r w:rsidR="00F34CAC" w:rsidRPr="00502487">
        <w:t>AMC No 1</w:t>
      </w:r>
      <w:r w:rsidR="00E34E8F">
        <w:t>,</w:t>
      </w:r>
      <w:r w:rsidR="00F34CAC">
        <w:t xml:space="preserve"> </w:t>
      </w:r>
      <w:r>
        <w:t xml:space="preserve">and on appeal in </w:t>
      </w:r>
      <w:r w:rsidR="00E34E8F">
        <w:t xml:space="preserve">AMC Full Court where the </w:t>
      </w:r>
      <w:r w:rsidR="00254D03">
        <w:t>first instance decision</w:t>
      </w:r>
      <w:r w:rsidR="00E34E8F">
        <w:t xml:space="preserve"> was upheld by the Full Court</w:t>
      </w:r>
      <w:r w:rsidR="00254D03">
        <w:t xml:space="preserve">.  </w:t>
      </w:r>
    </w:p>
    <w:p w:rsidR="0025330F" w:rsidRDefault="0025330F" w:rsidP="00254D03">
      <w:pPr>
        <w:pStyle w:val="ParaNumbering"/>
      </w:pPr>
      <w:r>
        <w:t xml:space="preserve">The applicants </w:t>
      </w:r>
      <w:r w:rsidR="00457966">
        <w:t>stress that the prior proceedings involved a different patent, which was part of the same family as the System Patent and the Method Patent but had differently worded claims directed to a core orientation ‘device’ (</w:t>
      </w:r>
      <w:r w:rsidR="00457966" w:rsidRPr="00457966">
        <w:rPr>
          <w:b/>
        </w:rPr>
        <w:t>Device Patent</w:t>
      </w:r>
      <w:r w:rsidR="00457966">
        <w:t xml:space="preserve">).  The </w:t>
      </w:r>
      <w:r w:rsidR="00040F27">
        <w:t>reasoning of Barker J and the Full Court reveals that the differences in wording by reference to ‘</w:t>
      </w:r>
      <w:r w:rsidR="00040F27" w:rsidRPr="0025330F">
        <w:t>a device</w:t>
      </w:r>
      <w:r w:rsidR="00040F27">
        <w:t>’ were material for the purpose</w:t>
      </w:r>
      <w:r>
        <w:t>s</w:t>
      </w:r>
      <w:r w:rsidR="00040F27">
        <w:t xml:space="preserve"> of the present case.  Both Barker J and the Full Court held that the Device Patent </w:t>
      </w:r>
      <w:r w:rsidR="0037534F">
        <w:t xml:space="preserve">was not infringed by </w:t>
      </w:r>
      <w:r>
        <w:t xml:space="preserve">the respondents’ </w:t>
      </w:r>
      <w:r w:rsidR="0037534F">
        <w:t xml:space="preserve">core orientation tools because the claims were directed to a single or ‘unitary’ </w:t>
      </w:r>
      <w:r w:rsidR="00C60B20">
        <w:t>device</w:t>
      </w:r>
      <w:r>
        <w:t>,</w:t>
      </w:r>
      <w:r w:rsidR="00C60B20">
        <w:t xml:space="preserve"> </w:t>
      </w:r>
      <w:r w:rsidR="0037534F">
        <w:t>whereas the respondents’ tools included two physically separate components that operate</w:t>
      </w:r>
      <w:r>
        <w:t>d</w:t>
      </w:r>
      <w:r w:rsidR="0037534F">
        <w:t xml:space="preserve"> in conjunction with each other.  </w:t>
      </w:r>
    </w:p>
    <w:p w:rsidR="00C60B20" w:rsidRDefault="0037534F" w:rsidP="00254D03">
      <w:pPr>
        <w:pStyle w:val="ParaNumbering"/>
      </w:pPr>
      <w:r>
        <w:t>The applicants argue</w:t>
      </w:r>
      <w:r w:rsidR="00795845">
        <w:t>, and I accept,</w:t>
      </w:r>
      <w:r>
        <w:t xml:space="preserve"> that the earlier decisions of Barker J and the Full Court do not bear </w:t>
      </w:r>
      <w:r w:rsidR="0025330F">
        <w:t>up</w:t>
      </w:r>
      <w:r>
        <w:t xml:space="preserve">on the issues of infringement </w:t>
      </w:r>
      <w:r w:rsidR="0025330F">
        <w:t xml:space="preserve">in issue in this proceeding </w:t>
      </w:r>
      <w:r>
        <w:t>because the decisions involve</w:t>
      </w:r>
      <w:r w:rsidR="0025330F">
        <w:t>d</w:t>
      </w:r>
      <w:r>
        <w:t xml:space="preserve"> an issue of construction that does not arise in this case.  The Full Court acknowledged </w:t>
      </w:r>
      <w:r w:rsidR="0025330F">
        <w:t xml:space="preserve">(at [74]-[81]) </w:t>
      </w:r>
      <w:r>
        <w:t xml:space="preserve">that the case turned on the construction of the word ‘device’ as used in the claims of the Device Patent.  </w:t>
      </w:r>
    </w:p>
    <w:p w:rsidR="00254D03" w:rsidRDefault="0037534F" w:rsidP="00254D03">
      <w:pPr>
        <w:pStyle w:val="ParaNumbering"/>
      </w:pPr>
      <w:r>
        <w:t>The word ‘device’ is not used in the claims of the System Patent or the Method Patent</w:t>
      </w:r>
      <w:r w:rsidR="0025330F">
        <w:t xml:space="preserve"> in this proceeding</w:t>
      </w:r>
      <w:r>
        <w:t xml:space="preserve">.  The applicants </w:t>
      </w:r>
      <w:r w:rsidR="00384E54">
        <w:t>assert, and I accept,</w:t>
      </w:r>
      <w:r>
        <w:t xml:space="preserve"> </w:t>
      </w:r>
      <w:r w:rsidR="0025330F">
        <w:t xml:space="preserve">that the claims in the Patents </w:t>
      </w:r>
      <w:r>
        <w:t xml:space="preserve">are clearly not limited to the use of a unitary device in which all of the defined components are in one physical unit.  </w:t>
      </w:r>
    </w:p>
    <w:p w:rsidR="000C350B" w:rsidRDefault="000C350B" w:rsidP="000C350B">
      <w:pPr>
        <w:pStyle w:val="Heading6"/>
      </w:pPr>
      <w:bookmarkStart w:id="54" w:name="_Ref403035675"/>
      <w:bookmarkStart w:id="55" w:name="_Ref436660790"/>
      <w:bookmarkStart w:id="56" w:name="_Ref436722508"/>
      <w:bookmarkStart w:id="57" w:name="_Ref436894460"/>
      <w:r>
        <w:t xml:space="preserve">The </w:t>
      </w:r>
      <w:r w:rsidR="004B1DB5">
        <w:t>r</w:t>
      </w:r>
      <w:r w:rsidR="00026CDE">
        <w:t>espondents</w:t>
      </w:r>
      <w:r>
        <w:t xml:space="preserve">’ </w:t>
      </w:r>
      <w:bookmarkEnd w:id="54"/>
      <w:bookmarkEnd w:id="55"/>
      <w:bookmarkEnd w:id="56"/>
      <w:r w:rsidR="006758AE">
        <w:t>arguments on infringement</w:t>
      </w:r>
      <w:bookmarkEnd w:id="57"/>
    </w:p>
    <w:p w:rsidR="000C350B" w:rsidRDefault="00F1525A" w:rsidP="000C350B">
      <w:pPr>
        <w:pStyle w:val="ParaNumbering"/>
      </w:pPr>
      <w:r>
        <w:t xml:space="preserve">It is necessary to say </w:t>
      </w:r>
      <w:r w:rsidR="00384E54">
        <w:t xml:space="preserve">a little more </w:t>
      </w:r>
      <w:r>
        <w:t xml:space="preserve">about the respondents’ </w:t>
      </w:r>
      <w:r w:rsidR="004B1DB5">
        <w:t xml:space="preserve">core orientation </w:t>
      </w:r>
      <w:r>
        <w:t xml:space="preserve">tools.  There are three versions of the </w:t>
      </w:r>
      <w:r w:rsidR="00FC24DD">
        <w:t>ORIshot Tool</w:t>
      </w:r>
      <w:r w:rsidR="004B1DB5">
        <w:t xml:space="preserve">, each manufactured </w:t>
      </w:r>
      <w:r>
        <w:t xml:space="preserve">by the respondents at different times.  The first is the ‘Camteq </w:t>
      </w:r>
      <w:r w:rsidR="00FC24DD">
        <w:t>ORIshot Tool</w:t>
      </w:r>
      <w:r>
        <w:t>’</w:t>
      </w:r>
      <w:r w:rsidR="004B1DB5">
        <w:t>, which was supplied from</w:t>
      </w:r>
      <w:r>
        <w:t xml:space="preserve"> November 2006 to July 2007</w:t>
      </w:r>
      <w:r w:rsidR="004B1DB5">
        <w:t xml:space="preserve"> (</w:t>
      </w:r>
      <w:r w:rsidR="004B1DB5" w:rsidRPr="004B1DB5">
        <w:rPr>
          <w:b/>
        </w:rPr>
        <w:t>Version 1</w:t>
      </w:r>
      <w:r w:rsidR="004B1DB5">
        <w:t>)</w:t>
      </w:r>
      <w:r>
        <w:t>.  The second is the ‘ORIshot’</w:t>
      </w:r>
      <w:r w:rsidR="004B1DB5">
        <w:t xml:space="preserve"> tool, which was supplied from</w:t>
      </w:r>
      <w:r>
        <w:t xml:space="preserve"> November 2008 </w:t>
      </w:r>
      <w:r w:rsidR="004B1DB5">
        <w:t>(</w:t>
      </w:r>
      <w:r w:rsidR="004B1DB5" w:rsidRPr="004B1DB5">
        <w:rPr>
          <w:b/>
        </w:rPr>
        <w:t>Version 2</w:t>
      </w:r>
      <w:r w:rsidR="004B1DB5">
        <w:t>).  T</w:t>
      </w:r>
      <w:r>
        <w:t xml:space="preserve">he third </w:t>
      </w:r>
      <w:r w:rsidR="004B1DB5">
        <w:t xml:space="preserve">is </w:t>
      </w:r>
      <w:r>
        <w:t xml:space="preserve">a revised version of the </w:t>
      </w:r>
      <w:r w:rsidR="00FC24DD">
        <w:t>ORIshot Tool</w:t>
      </w:r>
      <w:r>
        <w:t xml:space="preserve">, </w:t>
      </w:r>
      <w:r w:rsidR="004B1DB5">
        <w:t xml:space="preserve">which was supplied </w:t>
      </w:r>
      <w:r>
        <w:t>from May 2012</w:t>
      </w:r>
      <w:r w:rsidR="004B1DB5">
        <w:t xml:space="preserve"> (</w:t>
      </w:r>
      <w:r w:rsidR="004B1DB5" w:rsidRPr="004B1DB5">
        <w:rPr>
          <w:b/>
        </w:rPr>
        <w:t>Version 3</w:t>
      </w:r>
      <w:r w:rsidR="004B1DB5">
        <w:t>)</w:t>
      </w:r>
      <w:r>
        <w:t xml:space="preserve">.  </w:t>
      </w:r>
    </w:p>
    <w:p w:rsidR="00F1525A" w:rsidRDefault="00F27D5B" w:rsidP="000C350B">
      <w:pPr>
        <w:pStyle w:val="ParaNumbering"/>
      </w:pPr>
      <w:r>
        <w:t xml:space="preserve">The </w:t>
      </w:r>
      <w:r w:rsidR="00FC24DD">
        <w:t>ORIshot Tool</w:t>
      </w:r>
      <w:r>
        <w:t xml:space="preserve"> comprises three components being</w:t>
      </w:r>
      <w:r w:rsidR="004B1DB5">
        <w:t>: first</w:t>
      </w:r>
      <w:r>
        <w:t xml:space="preserve">, a pair of </w:t>
      </w:r>
      <w:r w:rsidR="00B30427">
        <w:t>down-hole</w:t>
      </w:r>
      <w:r>
        <w:t xml:space="preserve"> orientation tools; secondly, two adaptors; and thirdly, a handset controller.   The orientation </w:t>
      </w:r>
      <w:r>
        <w:lastRenderedPageBreak/>
        <w:t xml:space="preserve">tools are </w:t>
      </w:r>
      <w:r w:rsidR="004B1DB5">
        <w:t xml:space="preserve">intended to be </w:t>
      </w:r>
      <w:r>
        <w:t xml:space="preserve">sent down the hole with a core drill.  Two of them are provided so that one can be down the hole while the other is on the surface </w:t>
      </w:r>
      <w:r w:rsidR="004B1DB5">
        <w:t xml:space="preserve">so that </w:t>
      </w:r>
      <w:r>
        <w:t xml:space="preserve">information </w:t>
      </w:r>
      <w:r w:rsidR="004B1DB5">
        <w:t xml:space="preserve">can be read </w:t>
      </w:r>
      <w:r>
        <w:t>from it by the operator.  The adapters are for attaching the orientation tools to the inner tube assembly of the core drill</w:t>
      </w:r>
      <w:r w:rsidR="004B1DB5">
        <w:t xml:space="preserve">, and </w:t>
      </w:r>
      <w:r>
        <w:t xml:space="preserve">the handset control </w:t>
      </w:r>
      <w:r w:rsidR="004B1DB5">
        <w:t xml:space="preserve">is </w:t>
      </w:r>
      <w:r>
        <w:t>used to interact with</w:t>
      </w:r>
      <w:r w:rsidR="004B1DB5">
        <w:t>,</w:t>
      </w:r>
      <w:r>
        <w:t xml:space="preserve"> and read information from</w:t>
      </w:r>
      <w:r w:rsidR="004B1DB5">
        <w:t>,</w:t>
      </w:r>
      <w:r>
        <w:t xml:space="preserve"> the orientation tools when they are on the surface, that is, after the core sample has been extracted.  </w:t>
      </w:r>
    </w:p>
    <w:p w:rsidR="00B700FA" w:rsidRDefault="00B700FA" w:rsidP="00B700FA">
      <w:pPr>
        <w:pStyle w:val="Heading7"/>
      </w:pPr>
      <w:bookmarkStart w:id="58" w:name="_Ref436722509"/>
      <w:r>
        <w:t>The structure of the argument on infringement</w:t>
      </w:r>
      <w:bookmarkEnd w:id="58"/>
    </w:p>
    <w:p w:rsidR="004B1DB5" w:rsidRDefault="004B1DB5" w:rsidP="000C350B">
      <w:pPr>
        <w:pStyle w:val="ParaNumbering"/>
      </w:pPr>
      <w:r>
        <w:t xml:space="preserve">The way that the respondents deal with the infringement aspect of the claim is to identify </w:t>
      </w:r>
      <w:r w:rsidR="00B700FA">
        <w:t xml:space="preserve">four </w:t>
      </w:r>
      <w:r>
        <w:t xml:space="preserve">arguments, any one of which, they say would defeat the infringement claim.  </w:t>
      </w:r>
    </w:p>
    <w:p w:rsidR="004B1DB5" w:rsidRDefault="004B1DB5" w:rsidP="000C350B">
      <w:pPr>
        <w:pStyle w:val="ParaNumbering"/>
      </w:pPr>
      <w:r>
        <w:t xml:space="preserve">It is implicit, if not express, but in any event I so find, that but for these </w:t>
      </w:r>
      <w:r w:rsidR="00280AE0">
        <w:t>four</w:t>
      </w:r>
      <w:r>
        <w:t xml:space="preserve"> suggested differences between the </w:t>
      </w:r>
      <w:r w:rsidR="009B636A">
        <w:t>ORIShot T</w:t>
      </w:r>
      <w:r>
        <w:t>ools</w:t>
      </w:r>
      <w:r w:rsidR="009B636A">
        <w:t xml:space="preserve"> and the </w:t>
      </w:r>
      <w:r w:rsidR="00B700FA">
        <w:t>claims of the S</w:t>
      </w:r>
      <w:r w:rsidR="009B636A">
        <w:t xml:space="preserve">ystem or </w:t>
      </w:r>
      <w:r w:rsidR="00B700FA">
        <w:t>M</w:t>
      </w:r>
      <w:r w:rsidR="009B636A">
        <w:t>ethod Patents</w:t>
      </w:r>
      <w:r>
        <w:t xml:space="preserve">, </w:t>
      </w:r>
      <w:r w:rsidR="009B636A">
        <w:t xml:space="preserve">the ORIshot Tools </w:t>
      </w:r>
      <w:r>
        <w:t xml:space="preserve">otherwise </w:t>
      </w:r>
      <w:r w:rsidR="00B700FA">
        <w:t xml:space="preserve">satisfy the claims and </w:t>
      </w:r>
      <w:r>
        <w:t xml:space="preserve">perform essentially identical functions in an extremely similar manner and </w:t>
      </w:r>
      <w:r w:rsidR="009B636A">
        <w:t xml:space="preserve">by </w:t>
      </w:r>
      <w:r>
        <w:t xml:space="preserve">the same system </w:t>
      </w:r>
      <w:r w:rsidR="009B636A">
        <w:t xml:space="preserve">and method </w:t>
      </w:r>
      <w:r>
        <w:t xml:space="preserve">as that specified in the respective </w:t>
      </w:r>
      <w:r w:rsidR="00C53693">
        <w:t>Pat</w:t>
      </w:r>
      <w:r>
        <w:t>ents in suit</w:t>
      </w:r>
      <w:r w:rsidR="009B636A">
        <w:t>.  B</w:t>
      </w:r>
      <w:r>
        <w:t xml:space="preserve">ut for </w:t>
      </w:r>
      <w:r w:rsidR="00C53693">
        <w:t xml:space="preserve">those </w:t>
      </w:r>
      <w:r w:rsidR="00280AE0">
        <w:t>four</w:t>
      </w:r>
      <w:r w:rsidR="00C53693">
        <w:t xml:space="preserve"> suggested differences, infringement could not otherwise be contested.</w:t>
      </w:r>
      <w:r w:rsidR="00BA4741">
        <w:t xml:space="preserve">  </w:t>
      </w:r>
    </w:p>
    <w:p w:rsidR="006504BB" w:rsidRDefault="006504BB" w:rsidP="007D2C6A">
      <w:pPr>
        <w:pStyle w:val="Heading7"/>
      </w:pPr>
      <w:bookmarkStart w:id="59" w:name="_Ref403035678"/>
      <w:r>
        <w:t xml:space="preserve">A </w:t>
      </w:r>
      <w:r w:rsidR="00C60B20">
        <w:t>‘</w:t>
      </w:r>
      <w:r w:rsidR="0028656B">
        <w:t>u</w:t>
      </w:r>
      <w:r>
        <w:t>nitary</w:t>
      </w:r>
      <w:r w:rsidR="00C60B20">
        <w:t>’</w:t>
      </w:r>
      <w:r w:rsidR="0028656B">
        <w:t xml:space="preserve"> d</w:t>
      </w:r>
      <w:r>
        <w:t>evice</w:t>
      </w:r>
      <w:bookmarkEnd w:id="59"/>
    </w:p>
    <w:p w:rsidR="006504BB" w:rsidRDefault="006504BB" w:rsidP="006504BB">
      <w:pPr>
        <w:pStyle w:val="ParaNumbering"/>
      </w:pPr>
      <w:r>
        <w:t xml:space="preserve">The respondents’ contention is </w:t>
      </w:r>
      <w:r w:rsidR="0028656B">
        <w:t xml:space="preserve">that </w:t>
      </w:r>
      <w:r>
        <w:t>the only invention described in the Patents is an invention which uses an integrated unitary</w:t>
      </w:r>
      <w:r w:rsidR="0028656B">
        <w:t>,</w:t>
      </w:r>
      <w:r>
        <w:t xml:space="preserve"> or one piece</w:t>
      </w:r>
      <w:r w:rsidR="0028656B">
        <w:t>,</w:t>
      </w:r>
      <w:r>
        <w:t xml:space="preserve"> electronic </w:t>
      </w:r>
      <w:r w:rsidR="007F6F32">
        <w:t xml:space="preserve">device attached to the inner tube </w:t>
      </w:r>
      <w:r w:rsidR="00B40B2B">
        <w:t>back</w:t>
      </w:r>
      <w:r w:rsidR="00ED79AF">
        <w:t xml:space="preserve"> </w:t>
      </w:r>
      <w:r w:rsidR="00B40B2B">
        <w:t>end</w:t>
      </w:r>
      <w:r w:rsidR="007F6F32">
        <w:t xml:space="preserve"> assembly.  They submit that this device directly receives orientation information and has direct user input via a keypad and visually displays that orientation information to an operator by an integrally operated visual display.  </w:t>
      </w:r>
      <w:r w:rsidR="00742B9C">
        <w:t>They argue that</w:t>
      </w:r>
      <w:r w:rsidR="0028656B">
        <w:t>,</w:t>
      </w:r>
      <w:r w:rsidR="00742B9C">
        <w:t xml:space="preserve"> i</w:t>
      </w:r>
      <w:r w:rsidR="007F6F32">
        <w:t>f fairly based and conforming with the evidence, the claims of the System Patent and of the Method Patent</w:t>
      </w:r>
      <w:r w:rsidR="0028656B">
        <w:t>,</w:t>
      </w:r>
      <w:r w:rsidR="007F6F32">
        <w:t xml:space="preserve"> properly construed</w:t>
      </w:r>
      <w:r w:rsidR="0028656B">
        <w:t>,</w:t>
      </w:r>
      <w:r w:rsidR="007F6F32">
        <w:t xml:space="preserve"> must be read in conjunction with an orientation device of the kind described and illustrated in the Patents.  </w:t>
      </w:r>
      <w:r w:rsidR="0028656B">
        <w:t xml:space="preserve">According to the respondents, they </w:t>
      </w:r>
      <w:r w:rsidR="007F6F32">
        <w:t xml:space="preserve">do not comprehend a system and method for orientating a core sample involving the dynamic interchange of electronic data between </w:t>
      </w:r>
      <w:r w:rsidR="009B636A">
        <w:t xml:space="preserve">two </w:t>
      </w:r>
      <w:r w:rsidR="007F6F32">
        <w:t xml:space="preserve">separated devices as occurs with </w:t>
      </w:r>
      <w:r w:rsidR="0082505E">
        <w:t>ORIshot</w:t>
      </w:r>
      <w:r w:rsidR="00A7331C">
        <w:t xml:space="preserve"> </w:t>
      </w:r>
      <w:r w:rsidR="00B30427">
        <w:t>down-hole</w:t>
      </w:r>
      <w:r w:rsidR="007F6F32">
        <w:t xml:space="preserve"> unit and separate handset</w:t>
      </w:r>
      <w:r w:rsidR="0028656B">
        <w:t>, and n</w:t>
      </w:r>
      <w:r w:rsidR="007F6F32">
        <w:t>o such two part device is described.  No</w:t>
      </w:r>
      <w:r w:rsidR="00E849EC">
        <w:t xml:space="preserve">r has the inventor </w:t>
      </w:r>
      <w:r w:rsidR="007F6F32">
        <w:t xml:space="preserve">or the patentee ever described a core orientation apparatus and its ‘system’ or ‘method’ of operation involving </w:t>
      </w:r>
      <w:r w:rsidR="0028656B">
        <w:t>t</w:t>
      </w:r>
      <w:r w:rsidR="007F6F32">
        <w:t xml:space="preserve">he dynamic interchange of electronic data between two separate electronic devices to orientate a core sample, as done with the Coretell apparatus.  </w:t>
      </w:r>
    </w:p>
    <w:p w:rsidR="007F6F32" w:rsidRDefault="00B32A44" w:rsidP="006504BB">
      <w:pPr>
        <w:pStyle w:val="ParaNumbering"/>
      </w:pPr>
      <w:r>
        <w:lastRenderedPageBreak/>
        <w:t>The respondents stress that any system or method carried o</w:t>
      </w:r>
      <w:r w:rsidR="00EE7727">
        <w:t>ut by operation of Coretell ORI</w:t>
      </w:r>
      <w:r>
        <w:t>shot apparatus cannot be an infringement of the claims of the Patents becau</w:t>
      </w:r>
      <w:r w:rsidR="006B235C">
        <w:t>se when properly construed, th</w:t>
      </w:r>
      <w:r>
        <w:t xml:space="preserve">e claims must be confined to a ‘system’ </w:t>
      </w:r>
      <w:r w:rsidR="00E100FF">
        <w:t xml:space="preserve">and a </w:t>
      </w:r>
      <w:r w:rsidR="009B636A">
        <w:t>‘</w:t>
      </w:r>
      <w:r>
        <w:t>method</w:t>
      </w:r>
      <w:r w:rsidR="009B636A">
        <w:t>’</w:t>
      </w:r>
      <w:r>
        <w:t xml:space="preserve"> carried out by an integrated unitary electronic apparatus in one piece as described and illustrated in the Patents.  </w:t>
      </w:r>
      <w:r w:rsidR="00EC27CD">
        <w:t>It is contended that the non-infringement consequence is entirely consistent with the policy of the patent system, which in return for publication of the invention confers a monopoly for a described invention so as to encourage innovative development around the monopoly with the dual aims of advancing and learning in the art and encouraging competitive technology during the term of the patent.  The respondents contend that that is what has happened here with th</w:t>
      </w:r>
      <w:r w:rsidR="00EE7727">
        <w:t>e development of Coretell’s ORI</w:t>
      </w:r>
      <w:r w:rsidR="00EC27CD">
        <w:t>shot apparatus.</w:t>
      </w:r>
    </w:p>
    <w:p w:rsidR="00975100" w:rsidRDefault="00EC27CD" w:rsidP="006504BB">
      <w:pPr>
        <w:pStyle w:val="ParaNumbering"/>
      </w:pPr>
      <w:r>
        <w:t xml:space="preserve">There is no doubt that the Coretell </w:t>
      </w:r>
      <w:r w:rsidR="00EE7727">
        <w:t>ORIshot</w:t>
      </w:r>
      <w:r>
        <w:t xml:space="preserve"> apparatus </w:t>
      </w:r>
      <w:r w:rsidR="0045016C">
        <w:t xml:space="preserve">is a two part device, but the </w:t>
      </w:r>
      <w:r w:rsidR="00E100FF">
        <w:t xml:space="preserve">Patents </w:t>
      </w:r>
      <w:r w:rsidR="00A50CF1">
        <w:t xml:space="preserve">do not disclose any </w:t>
      </w:r>
      <w:r w:rsidR="00E25C03">
        <w:t xml:space="preserve">such </w:t>
      </w:r>
      <w:r w:rsidR="0045016C">
        <w:t xml:space="preserve">limitation in the claims to a unitary device.  To suggest there is </w:t>
      </w:r>
      <w:r w:rsidR="00E100FF">
        <w:t xml:space="preserve">such a limitation </w:t>
      </w:r>
      <w:r w:rsidR="0045016C">
        <w:t>involves a misconstruction of the claims</w:t>
      </w:r>
      <w:r w:rsidR="00E100FF">
        <w:t xml:space="preserve">. </w:t>
      </w:r>
      <w:r w:rsidR="0045016C">
        <w:t xml:space="preserve"> The correct approach is simply to examine the actual words of the claims of the Patents and</w:t>
      </w:r>
      <w:r w:rsidR="00975100">
        <w:t xml:space="preserve"> to construe them in the context of the specifications and common general knowledge.  </w:t>
      </w:r>
      <w:r w:rsidR="00E059F6">
        <w:t xml:space="preserve">Once this exercise is pursued, the claims in the Patents are not limited in the manner which the respondents contend.  Specifically, for example, in relation to the Method Patent, there is no use of any particular </w:t>
      </w:r>
      <w:r w:rsidR="00E849EC">
        <w:t>‘</w:t>
      </w:r>
      <w:r w:rsidR="00E059F6">
        <w:t>device</w:t>
      </w:r>
      <w:r w:rsidR="00E849EC">
        <w:t>’</w:t>
      </w:r>
      <w:r w:rsidR="00E059F6">
        <w:t xml:space="preserve"> indicated.  </w:t>
      </w:r>
      <w:r w:rsidR="00E100FF">
        <w:t xml:space="preserve">Rather, a method </w:t>
      </w:r>
      <w:r w:rsidR="00E059F6">
        <w:t xml:space="preserve">is described.  There is no requirement that any such device must not be a two part device, nor is there any requirement that a so-called ‘unitary device’, to which the respondents point, must be used.  Indeed, no particular device, whether unitary, two part or otherwise, </w:t>
      </w:r>
      <w:r w:rsidR="00E100FF">
        <w:t xml:space="preserve">is </w:t>
      </w:r>
      <w:r w:rsidR="00E059F6">
        <w:t xml:space="preserve">required.  There is nothing in </w:t>
      </w:r>
      <w:r w:rsidR="00E100FF">
        <w:t>the Patents which give</w:t>
      </w:r>
      <w:r w:rsidR="00E059F6">
        <w:t xml:space="preserve"> rise to the limitation for which the respondents contend.  By reference to the Patent</w:t>
      </w:r>
      <w:r w:rsidR="00E100FF">
        <w:t>s</w:t>
      </w:r>
      <w:r w:rsidR="00E059F6">
        <w:t xml:space="preserve">, I expressly focus on the claims which define the monopoly.  Claim 1 matches the description which is set out in the ‘Disclosure of the Invention’ section.  </w:t>
      </w:r>
    </w:p>
    <w:p w:rsidR="00874B9A" w:rsidRDefault="00925EC3" w:rsidP="009B567B">
      <w:pPr>
        <w:pStyle w:val="ParaNumbering"/>
      </w:pPr>
      <w:r>
        <w:t>If there is any support for the respondents’ claim, it would be best found in the description of the preferred embodiment contained in the specification under the heading ‘Best Mode(s) for Carrying Out the Invention’</w:t>
      </w:r>
      <w:r w:rsidR="00332E3D">
        <w:t>.  B</w:t>
      </w:r>
      <w:r w:rsidR="00874B9A">
        <w:t xml:space="preserve">ut again, </w:t>
      </w:r>
      <w:r w:rsidR="00332E3D">
        <w:t xml:space="preserve">it is impermissible to rely </w:t>
      </w:r>
      <w:r>
        <w:t>upon the preferred embodiment</w:t>
      </w:r>
      <w:r w:rsidR="005563E3">
        <w:t xml:space="preserve"> r</w:t>
      </w:r>
      <w:r>
        <w:t xml:space="preserve">ather </w:t>
      </w:r>
      <w:r w:rsidR="005563E3">
        <w:t>than the wording of the claims themselves</w:t>
      </w:r>
      <w:r w:rsidR="00874B9A">
        <w:t>.</w:t>
      </w:r>
    </w:p>
    <w:p w:rsidR="00606011" w:rsidRDefault="00874B9A" w:rsidP="00606011">
      <w:pPr>
        <w:pStyle w:val="ParaNumbering"/>
      </w:pPr>
      <w:r>
        <w:t>I</w:t>
      </w:r>
      <w:r w:rsidR="00606011">
        <w:t xml:space="preserve">n </w:t>
      </w:r>
      <w:r w:rsidR="00BF2082" w:rsidRPr="00606011">
        <w:rPr>
          <w:i/>
        </w:rPr>
        <w:t>Welch Perrin &amp; Co Pty Ltd v Worrel</w:t>
      </w:r>
      <w:r w:rsidR="00BF2082" w:rsidRPr="00606011">
        <w:t xml:space="preserve"> (1961) 106 CLR 588</w:t>
      </w:r>
      <w:r w:rsidR="00BF2082">
        <w:t xml:space="preserve"> the High Court held (at 610)</w:t>
      </w:r>
      <w:r w:rsidR="00606011">
        <w:t>:</w:t>
      </w:r>
    </w:p>
    <w:p w:rsidR="00606011" w:rsidRDefault="00606011" w:rsidP="00606011">
      <w:pPr>
        <w:pStyle w:val="Quote1"/>
      </w:pPr>
      <w:r>
        <w:t xml:space="preserve">…The specification must be read as a whole. But it is a whole made up of several parts, and those parts have different functions. Courts have often insisted that it is not legitimate to narrow or expand the boundaries of monopoly as fixed by the words of </w:t>
      </w:r>
      <w:r>
        <w:lastRenderedPageBreak/>
        <w:t>a claim by adding to those words glosses drawn from other parts of the specification. …</w:t>
      </w:r>
    </w:p>
    <w:p w:rsidR="00C80056" w:rsidRDefault="00C80056" w:rsidP="00606011">
      <w:pPr>
        <w:pStyle w:val="ParaNumbering"/>
      </w:pPr>
      <w:r>
        <w:t xml:space="preserve">I accept the submission for </w:t>
      </w:r>
      <w:r w:rsidR="00470573">
        <w:t>the applicants that, in a</w:t>
      </w:r>
      <w:r w:rsidR="00710E9B">
        <w:t>ddition to the preceding reasoning</w:t>
      </w:r>
      <w:r w:rsidR="00470573">
        <w:t xml:space="preserve"> on which I rely for rejecting the unitary device argument, there was evidentiary support</w:t>
      </w:r>
      <w:r w:rsidR="00332E3D">
        <w:t xml:space="preserve"> which also confirms this</w:t>
      </w:r>
      <w:r w:rsidR="00470573">
        <w:t xml:space="preserve">.  </w:t>
      </w:r>
    </w:p>
    <w:p w:rsidR="007627FD" w:rsidRDefault="007627FD" w:rsidP="00606011">
      <w:pPr>
        <w:pStyle w:val="ParaNumbering"/>
      </w:pPr>
      <w:r>
        <w:t>Dr Kepic made clear in his cross-examination that he maintained the view that the claims enc</w:t>
      </w:r>
      <w:r w:rsidR="00AF049A">
        <w:t>ompassed the use of a ‘two part</w:t>
      </w:r>
      <w:r>
        <w:t xml:space="preserve"> device’</w:t>
      </w:r>
      <w:r w:rsidR="00AF049A">
        <w:t>,</w:t>
      </w:r>
      <w:r>
        <w:t xml:space="preserve"> such as the </w:t>
      </w:r>
      <w:r w:rsidR="00FC24DD">
        <w:t>ORIshot Tool</w:t>
      </w:r>
      <w:r>
        <w:t xml:space="preserve">.  </w:t>
      </w:r>
      <w:r w:rsidR="008C7A24">
        <w:t>Dr Skopec also</w:t>
      </w:r>
      <w:r w:rsidR="00AF049A">
        <w:t>, in my view,</w:t>
      </w:r>
      <w:r w:rsidR="008C7A24">
        <w:t xml:space="preserve"> correctly</w:t>
      </w:r>
      <w:r w:rsidR="00AF049A">
        <w:t>,</w:t>
      </w:r>
      <w:r w:rsidR="008C7A24">
        <w:t xml:space="preserve"> conceded </w:t>
      </w:r>
      <w:r w:rsidR="00AF049A">
        <w:t xml:space="preserve">that </w:t>
      </w:r>
      <w:r w:rsidR="008C7A24">
        <w:t>in his cross-examination</w:t>
      </w:r>
      <w:r w:rsidR="00AF049A">
        <w:t>,</w:t>
      </w:r>
      <w:r w:rsidR="008C7A24">
        <w:t xml:space="preserve"> </w:t>
      </w:r>
      <w:r w:rsidR="00AF049A">
        <w:t xml:space="preserve">during the course of which he accepted </w:t>
      </w:r>
      <w:r w:rsidR="008C7A24">
        <w:t xml:space="preserve">that, on the one hand, there </w:t>
      </w:r>
      <w:r w:rsidR="00EE7727">
        <w:t>is a difference between the ORI</w:t>
      </w:r>
      <w:r w:rsidR="008C7A24">
        <w:t xml:space="preserve">shot orientation system and the device described in the specifications, but </w:t>
      </w:r>
      <w:r w:rsidR="00E0345C">
        <w:t xml:space="preserve">that difference did not lead him to conclude that the </w:t>
      </w:r>
      <w:r w:rsidR="00EE7727">
        <w:t>ORIshot</w:t>
      </w:r>
      <w:r w:rsidR="00E0345C">
        <w:t xml:space="preserve"> orientation system was outside the scope of the claims of the Patents.  </w:t>
      </w:r>
      <w:r w:rsidR="00AF049A">
        <w:t xml:space="preserve">Dr Skopec gave evidence that ‘[t]he same </w:t>
      </w:r>
      <w:r w:rsidR="00E0345C">
        <w:t>objectives are there for both systems</w:t>
      </w:r>
      <w:r w:rsidR="00AF049A">
        <w:t>.  T</w:t>
      </w:r>
      <w:r w:rsidR="00E0345C">
        <w:t>hey just operate differently</w:t>
      </w:r>
      <w:r w:rsidR="00AF049A">
        <w:t>’</w:t>
      </w:r>
      <w:r w:rsidR="00E0345C">
        <w:t xml:space="preserve">.  He </w:t>
      </w:r>
      <w:r w:rsidR="005C4688">
        <w:t>went on to accept</w:t>
      </w:r>
      <w:r w:rsidR="00E0345C">
        <w:t xml:space="preserve"> that the featu</w:t>
      </w:r>
      <w:r w:rsidR="007871E2">
        <w:t>res of the claims were there for</w:t>
      </w:r>
      <w:r w:rsidR="00E0345C">
        <w:t xml:space="preserve"> both systems.  </w:t>
      </w:r>
    </w:p>
    <w:p w:rsidR="00E0345C" w:rsidRDefault="00131572" w:rsidP="00606011">
      <w:pPr>
        <w:pStyle w:val="ParaNumbering"/>
      </w:pPr>
      <w:r>
        <w:t xml:space="preserve">There is a substantial difference between this proceeding </w:t>
      </w:r>
      <w:r w:rsidR="00710E9B">
        <w:t>and</w:t>
      </w:r>
      <w:r>
        <w:t xml:space="preserve"> that determined by Justice Barker in the prior proceedings, which turned on </w:t>
      </w:r>
      <w:r w:rsidR="00A26E46">
        <w:t xml:space="preserve">claims which were </w:t>
      </w:r>
      <w:r>
        <w:t xml:space="preserve">differently worded </w:t>
      </w:r>
      <w:r w:rsidR="00A26E46">
        <w:t xml:space="preserve">and </w:t>
      </w:r>
      <w:r>
        <w:t xml:space="preserve">which were directed to a particular ‘device’.  It was the usage and construction of that particular word which led to the conclusion that the claims were limited to the use of a so-called ‘unitary’ device.  </w:t>
      </w:r>
      <w:r w:rsidR="007871E2">
        <w:t xml:space="preserve">That conclusion is not applicable to the </w:t>
      </w:r>
      <w:r w:rsidR="00A26E46">
        <w:t>P</w:t>
      </w:r>
      <w:r w:rsidR="007871E2">
        <w:t>atents in suit.</w:t>
      </w:r>
    </w:p>
    <w:p w:rsidR="00A26E46" w:rsidRDefault="00A26E46" w:rsidP="00606011">
      <w:pPr>
        <w:pStyle w:val="ParaNumbering"/>
      </w:pPr>
      <w:r>
        <w:t xml:space="preserve">I reject the respondents’ construction of the claims so as to exclude the use of a ‘two part device’.  </w:t>
      </w:r>
    </w:p>
    <w:p w:rsidR="002D3222" w:rsidRDefault="004E16BB" w:rsidP="007D2C6A">
      <w:pPr>
        <w:pStyle w:val="Heading7"/>
      </w:pPr>
      <w:bookmarkStart w:id="60" w:name="_Ref403035680"/>
      <w:r>
        <w:t>‘Input m</w:t>
      </w:r>
      <w:r w:rsidR="002D3222">
        <w:t>eans’ or ‘</w:t>
      </w:r>
      <w:r>
        <w:t>i</w:t>
      </w:r>
      <w:r w:rsidR="002D3222">
        <w:t>nputting’</w:t>
      </w:r>
      <w:bookmarkEnd w:id="60"/>
    </w:p>
    <w:p w:rsidR="001B2BEF" w:rsidRDefault="001B2BEF" w:rsidP="001B2BEF">
      <w:pPr>
        <w:pStyle w:val="ParaNumbering"/>
      </w:pPr>
      <w:r>
        <w:t xml:space="preserve">The respondents point out that with the </w:t>
      </w:r>
      <w:r w:rsidR="00B649BF">
        <w:t>ORIshot Tool</w:t>
      </w:r>
      <w:r>
        <w:t xml:space="preserve">, the operator at the relevant time of the cessation of the drilling sequence will press the ‘TAKE MEASUREMENT’ button at the time of cessation of drilling.  Thereafter, the down-hole unit is returned to the surface.  The down-hole unit and the handset then electronically communicate with each other and the processing activity takes place to thereby achieve the requisite visual display of the desired core orientation in the display of the handset.  The respondents argue that the operator on the surface only does one ‘input step’ and that is by the operator pressing the ‘TAKE MEASUREMENT’ button.  Once the down-hole unit returns to the surface there is no input activity undertaken by the operator and there is no input of any elapsed time in the </w:t>
      </w:r>
      <w:r>
        <w:lastRenderedPageBreak/>
        <w:t xml:space="preserve">sense described in the Patents as a separate action or task to be undertaken by the operator once the down-hole unit returns to the surface.  </w:t>
      </w:r>
    </w:p>
    <w:p w:rsidR="002D3222" w:rsidRDefault="00954EE5" w:rsidP="002D3222">
      <w:pPr>
        <w:pStyle w:val="ParaNumbering"/>
      </w:pPr>
      <w:r>
        <w:t xml:space="preserve">The respondents contend </w:t>
      </w:r>
      <w:r w:rsidR="004E16BB">
        <w:t xml:space="preserve">that </w:t>
      </w:r>
      <w:r w:rsidR="00F655F2">
        <w:t>a distinction is drawn</w:t>
      </w:r>
      <w:r w:rsidR="008E506C">
        <w:t>, however,</w:t>
      </w:r>
      <w:r w:rsidR="00F655F2">
        <w:t xml:space="preserve"> </w:t>
      </w:r>
      <w:r>
        <w:t>in each of the System Patent and the Method Patent descriptions and claims between the means of measuring an elapsed time at which the core sample is detached (</w:t>
      </w:r>
      <w:r w:rsidR="008E506C">
        <w:t xml:space="preserve">by say a </w:t>
      </w:r>
      <w:r>
        <w:t xml:space="preserve">stopwatch) and the keypad on the device as an input means by which the measured or elapsed time is input thereafter into the system </w:t>
      </w:r>
      <w:r w:rsidR="00F655F2">
        <w:t xml:space="preserve">or </w:t>
      </w:r>
      <w:r>
        <w:t xml:space="preserve">method.  </w:t>
      </w:r>
    </w:p>
    <w:p w:rsidR="00954EE5" w:rsidRDefault="00C1748D" w:rsidP="002D3222">
      <w:pPr>
        <w:pStyle w:val="ParaNumbering"/>
      </w:pPr>
      <w:r>
        <w:t>I</w:t>
      </w:r>
      <w:r w:rsidR="00D15351">
        <w:t>t is clear, the respondents contend, that the time measurement action and the inputting action are two separate features or integers</w:t>
      </w:r>
      <w:r w:rsidR="00F655F2">
        <w:t>,</w:t>
      </w:r>
      <w:r w:rsidR="00D15351">
        <w:t xml:space="preserve"> and necessarily must be so because:</w:t>
      </w:r>
    </w:p>
    <w:p w:rsidR="00D15351" w:rsidRDefault="00D15351" w:rsidP="001332BE">
      <w:pPr>
        <w:pStyle w:val="ListNo"/>
        <w:numPr>
          <w:ilvl w:val="0"/>
          <w:numId w:val="34"/>
        </w:numPr>
        <w:tabs>
          <w:tab w:val="clear" w:pos="720"/>
        </w:tabs>
      </w:pPr>
      <w:r>
        <w:t>the measured or elapsed time occurs by an operator pressing the stopwatch at the surface at the time the drilling sequence has ceased and when the device is stil</w:t>
      </w:r>
      <w:r w:rsidR="00EC37B0">
        <w:t>l</w:t>
      </w:r>
      <w:r>
        <w:t xml:space="preserve"> </w:t>
      </w:r>
      <w:r w:rsidR="00EC37B0">
        <w:t>down the hole and recording that time; and</w:t>
      </w:r>
    </w:p>
    <w:p w:rsidR="00EC37B0" w:rsidRDefault="00EC37B0" w:rsidP="001332BE">
      <w:pPr>
        <w:pStyle w:val="ListNo"/>
        <w:numPr>
          <w:ilvl w:val="0"/>
          <w:numId w:val="34"/>
        </w:numPr>
        <w:tabs>
          <w:tab w:val="clear" w:pos="720"/>
        </w:tabs>
      </w:pPr>
      <w:r>
        <w:t xml:space="preserve">the recorded measured or elapsed time can be input into the device only after the device is retrieved from the bottom of the hole and returned to the surface.  It is a step done by the operator separately and subsequently to the elapsed time measurement.  </w:t>
      </w:r>
    </w:p>
    <w:p w:rsidR="00EC37B0" w:rsidRDefault="00D44953" w:rsidP="00EC37B0">
      <w:pPr>
        <w:pStyle w:val="ParaNumbering"/>
      </w:pPr>
      <w:r>
        <w:t xml:space="preserve">Although </w:t>
      </w:r>
      <w:r w:rsidR="00EE7756">
        <w:t>Professor Tapson</w:t>
      </w:r>
      <w:r>
        <w:t xml:space="preserve"> initially considered that recording and inputting were two separate actions, he subsequently took a different view, which </w:t>
      </w:r>
      <w:r w:rsidR="009A733F">
        <w:t>t</w:t>
      </w:r>
      <w:r w:rsidR="004E16BB">
        <w:t>he respondents contend wa</w:t>
      </w:r>
      <w:r>
        <w:t xml:space="preserve">s a </w:t>
      </w:r>
      <w:r w:rsidR="00C1748D">
        <w:t>‘</w:t>
      </w:r>
      <w:r>
        <w:t>contrived and unconvincing recantation</w:t>
      </w:r>
      <w:r w:rsidR="00C1748D">
        <w:t>’</w:t>
      </w:r>
      <w:r>
        <w:t xml:space="preserve">.  </w:t>
      </w:r>
      <w:r w:rsidR="00C1748D">
        <w:t>I reject that submission.</w:t>
      </w:r>
    </w:p>
    <w:p w:rsidR="00D44953" w:rsidRDefault="00F565B1" w:rsidP="00EC37B0">
      <w:pPr>
        <w:pStyle w:val="ParaNumbering"/>
      </w:pPr>
      <w:r>
        <w:t xml:space="preserve">The respondents </w:t>
      </w:r>
      <w:r w:rsidR="001F2E94">
        <w:t xml:space="preserve">argue </w:t>
      </w:r>
      <w:r w:rsidR="000770FF">
        <w:t xml:space="preserve">that Dr Kepic avoided </w:t>
      </w:r>
      <w:r>
        <w:t>dealing with this issue in his written evidence.  The respondents maintain that Dr Kepic conceded in cross-examination that there were two different steps involved</w:t>
      </w:r>
      <w:r w:rsidR="008B0E70">
        <w:t xml:space="preserve"> in the claims</w:t>
      </w:r>
      <w:r>
        <w:t>, that is, that the elapsed time measurement step was a separate and different step to the inputting step</w:t>
      </w:r>
      <w:r w:rsidR="000770FF">
        <w:t xml:space="preserve">, and </w:t>
      </w:r>
      <w:r w:rsidR="00DF2EF8">
        <w:t>they were separate actions, separate steps and separate tasks.</w:t>
      </w:r>
    </w:p>
    <w:p w:rsidR="00CC4273" w:rsidRDefault="00FB1062" w:rsidP="00EC37B0">
      <w:pPr>
        <w:pStyle w:val="ParaNumbering"/>
      </w:pPr>
      <w:r>
        <w:t>The real question</w:t>
      </w:r>
      <w:r w:rsidR="00844303">
        <w:t>, in my view,</w:t>
      </w:r>
      <w:r>
        <w:t xml:space="preserve"> is whether there is any requirement in the claims that two separate actions be taken </w:t>
      </w:r>
      <w:r w:rsidR="008F28F9">
        <w:t>by the operator in order to input</w:t>
      </w:r>
      <w:r w:rsidR="000770FF">
        <w:t>,</w:t>
      </w:r>
      <w:r w:rsidR="008F28F9">
        <w:t xml:space="preserve"> and then to separately record</w:t>
      </w:r>
      <w:r w:rsidR="000770FF">
        <w:t>,</w:t>
      </w:r>
      <w:r w:rsidR="008F28F9">
        <w:t xml:space="preserve"> the data in</w:t>
      </w:r>
      <w:r w:rsidR="000770FF">
        <w:t>to</w:t>
      </w:r>
      <w:r w:rsidR="008F28F9">
        <w:t xml:space="preserve"> the system.  In my view, there is not.  Once again, the respondents’ argument </w:t>
      </w:r>
      <w:r w:rsidR="000770FF">
        <w:t xml:space="preserve">does not point to any </w:t>
      </w:r>
      <w:r w:rsidR="008F28F9">
        <w:t xml:space="preserve">specific words which identify the necessity that there be two separate actions involved.  It is difficult to conceive of why it would be thought that two actions would or should be required, rather than one.  The claims encompass the possibility that there could be two actions or one action.  For that reason, </w:t>
      </w:r>
      <w:r w:rsidR="00EE7756">
        <w:t>Professor Tapson</w:t>
      </w:r>
      <w:r w:rsidR="008F28F9">
        <w:t xml:space="preserve"> refuted the idea that the inputting and the recording must be separate actions in all circumstances.  His evidence was </w:t>
      </w:r>
      <w:r w:rsidR="008F28F9">
        <w:lastRenderedPageBreak/>
        <w:t xml:space="preserve">that the relevant features were present in the </w:t>
      </w:r>
      <w:r w:rsidR="00FC24DD">
        <w:t>ORIshot Tool</w:t>
      </w:r>
      <w:r w:rsidR="008F28F9">
        <w:t>.  He noted that the ‘</w:t>
      </w:r>
      <w:r w:rsidR="000770FF">
        <w:t xml:space="preserve">TAKE </w:t>
      </w:r>
      <w:r w:rsidR="008F28F9">
        <w:t>MEASUREMENT’ button was an input means for in</w:t>
      </w:r>
      <w:r w:rsidR="000770FF">
        <w:t>putting the time measurement in</w:t>
      </w:r>
      <w:r w:rsidR="008F28F9">
        <w:t>to the system as required by claim 1 of the System Patent.  Moreover, the pressing of the ‘</w:t>
      </w:r>
      <w:r w:rsidR="000770FF">
        <w:t xml:space="preserve">TAKE </w:t>
      </w:r>
      <w:r w:rsidR="008F28F9">
        <w:t xml:space="preserve">MEASUREMENT’ button constituted, in his view, the step of inputting a time measurement as required by claims 1- 4 of the Method Patent.  It was immaterial, in his view that, unlike the device in </w:t>
      </w:r>
      <w:r w:rsidR="000770FF">
        <w:t xml:space="preserve">the </w:t>
      </w:r>
      <w:r w:rsidR="008F28F9">
        <w:t xml:space="preserve">preferred embodiment of the Patents, the </w:t>
      </w:r>
      <w:r w:rsidR="00FC24DD">
        <w:t>ORIshot Tool</w:t>
      </w:r>
      <w:r w:rsidR="008F28F9">
        <w:t xml:space="preserve"> did not require above ground surface logging.  That was because the </w:t>
      </w:r>
      <w:r w:rsidR="00FC24DD">
        <w:t>ORIshot Tool</w:t>
      </w:r>
      <w:r w:rsidR="008F28F9">
        <w:t xml:space="preserve"> still contained the ‘input means’ as required by the claims of the </w:t>
      </w:r>
      <w:r w:rsidR="000770FF">
        <w:t xml:space="preserve">System </w:t>
      </w:r>
      <w:r w:rsidR="008F28F9">
        <w:t>Patent</w:t>
      </w:r>
      <w:r w:rsidR="00766C6F">
        <w:t xml:space="preserve">. </w:t>
      </w:r>
      <w:r w:rsidR="008F28F9">
        <w:t xml:space="preserve"> </w:t>
      </w:r>
      <w:r w:rsidR="00766C6F">
        <w:t>Professor</w:t>
      </w:r>
      <w:r w:rsidR="008F28F9">
        <w:t xml:space="preserve"> Tapson adhered to his views </w:t>
      </w:r>
      <w:r w:rsidR="004A7DD5">
        <w:t>when he was pressed on this topic at considerable length</w:t>
      </w:r>
      <w:r w:rsidR="000770FF" w:rsidRPr="000770FF">
        <w:t xml:space="preserve"> </w:t>
      </w:r>
      <w:r w:rsidR="000770FF">
        <w:t>in cross-examination</w:t>
      </w:r>
      <w:r w:rsidR="004A7DD5">
        <w:t xml:space="preserve">.  Professor Tapson was </w:t>
      </w:r>
      <w:r w:rsidR="00766C6F">
        <w:t xml:space="preserve">clear </w:t>
      </w:r>
      <w:r w:rsidR="004A7DD5">
        <w:t xml:space="preserve">that he did not agree that the only way he could read the claims of the Patents was that the recording of the time step was a separate and discrete action </w:t>
      </w:r>
      <w:r w:rsidR="00015FA1">
        <w:t xml:space="preserve">which was </w:t>
      </w:r>
      <w:r w:rsidR="004A7DD5">
        <w:t xml:space="preserve">removed in time from the inputting time step.  </w:t>
      </w:r>
    </w:p>
    <w:p w:rsidR="004A7DD5" w:rsidRDefault="004A7DD5" w:rsidP="00EC37B0">
      <w:pPr>
        <w:pStyle w:val="ParaNumbering"/>
      </w:pPr>
      <w:r>
        <w:t xml:space="preserve">Although the respondents were emphatic that </w:t>
      </w:r>
      <w:r w:rsidR="00EE7756">
        <w:t>Professor Tapson</w:t>
      </w:r>
      <w:r>
        <w:t xml:space="preserve"> had changed his evidence, he was equally emphatic that he had not.  In either event, insofar as the claims themselves are concerned, the proposition that the only way </w:t>
      </w:r>
      <w:r w:rsidR="00CB7EBB">
        <w:t xml:space="preserve">that they </w:t>
      </w:r>
      <w:r w:rsidR="00015FA1">
        <w:t xml:space="preserve">can be interpreted is </w:t>
      </w:r>
      <w:r>
        <w:t>that the recording of the time is a separate and discrete action removed in time from the inputting of the time is incorrect</w:t>
      </w:r>
      <w:r w:rsidR="002918FC">
        <w:t>, as a matter of construction</w:t>
      </w:r>
      <w:r>
        <w:t xml:space="preserve">.  There could be two actions or one action.  </w:t>
      </w:r>
    </w:p>
    <w:p w:rsidR="004A7DD5" w:rsidRPr="002D3222" w:rsidRDefault="004A7DD5" w:rsidP="00EC37B0">
      <w:pPr>
        <w:pStyle w:val="ParaNumbering"/>
      </w:pPr>
      <w:r>
        <w:t xml:space="preserve">This </w:t>
      </w:r>
      <w:r w:rsidR="002918FC">
        <w:t>contention</w:t>
      </w:r>
      <w:r w:rsidR="00015FA1">
        <w:t xml:space="preserve"> for the respondents in response to the applicants’ </w:t>
      </w:r>
      <w:r>
        <w:t>infringement argument therefore fails.</w:t>
      </w:r>
    </w:p>
    <w:p w:rsidR="004A7DD5" w:rsidRDefault="00015FA1" w:rsidP="007D2C6A">
      <w:pPr>
        <w:pStyle w:val="Heading7"/>
      </w:pPr>
      <w:bookmarkStart w:id="61" w:name="_Ref436660791"/>
      <w:r>
        <w:t>Context of the Patents – hard rock</w:t>
      </w:r>
      <w:bookmarkEnd w:id="61"/>
    </w:p>
    <w:p w:rsidR="003504A3" w:rsidRDefault="003504A3" w:rsidP="004A7DD5">
      <w:pPr>
        <w:pStyle w:val="ParaNumbering"/>
      </w:pPr>
      <w:r>
        <w:t>Before turning to the next infringement defence, it is important to reiterate the context of the claims.</w:t>
      </w:r>
    </w:p>
    <w:p w:rsidR="000A7006" w:rsidRDefault="004C42E9" w:rsidP="004A7DD5">
      <w:pPr>
        <w:pStyle w:val="ParaNumbering"/>
      </w:pPr>
      <w:r>
        <w:t>As noted, the claims must be construed in the context of the specification in which they appear</w:t>
      </w:r>
      <w:r w:rsidR="00487067">
        <w:t xml:space="preserve">.  Looking to, amongst other things, the field in which the inventions are directed as indicated from the specification, it is quite clear that the context of the Patents is mineral exploration.  </w:t>
      </w:r>
      <w:r w:rsidR="000A7006">
        <w:t>The evidence is that t</w:t>
      </w:r>
      <w:r w:rsidR="00487067">
        <w:t>he claimed inventions are directed to core sampling and rock formations where exploration has been carried out for minerals.  Such formations are hard rock</w:t>
      </w:r>
      <w:r w:rsidR="005A7015">
        <w:t>,</w:t>
      </w:r>
      <w:r w:rsidR="00487067">
        <w:t xml:space="preserve"> </w:t>
      </w:r>
      <w:r w:rsidR="005A7015">
        <w:t xml:space="preserve">in which </w:t>
      </w:r>
      <w:r w:rsidR="00487067">
        <w:t>fractures are unlikely to occur</w:t>
      </w:r>
      <w:r w:rsidR="005A7015">
        <w:t xml:space="preserve"> and which </w:t>
      </w:r>
      <w:r w:rsidR="00487067">
        <w:t xml:space="preserve">include unfractured igneous and metamorphic rock formations.  </w:t>
      </w:r>
    </w:p>
    <w:p w:rsidR="00487067" w:rsidRDefault="00487067" w:rsidP="004A7DD5">
      <w:pPr>
        <w:pStyle w:val="ParaNumbering"/>
      </w:pPr>
      <w:r>
        <w:lastRenderedPageBreak/>
        <w:t xml:space="preserve">In contrast, the formations, as the expert evidence clearly established, in petroleum exploration were likely to be soft, brittle or highly fractured.  These features are requisite features in order for hydrocarbons supporting the existence of petroleum to be present.  </w:t>
      </w:r>
      <w:r w:rsidR="00F72F35">
        <w:t xml:space="preserve">It is clear that the claimed inventions are not intended for use in orienting core </w:t>
      </w:r>
      <w:r w:rsidR="006D0DB9">
        <w:t>in</w:t>
      </w:r>
      <w:r w:rsidR="00F72F35">
        <w:t xml:space="preserve"> such formations and, indeed, they would not work in such formations.  I am satisfied </w:t>
      </w:r>
      <w:r w:rsidR="00BC4CB4">
        <w:t>o</w:t>
      </w:r>
      <w:r w:rsidR="00F72F35">
        <w:t>n the expert evidence that the person skilled in the art would clearly understand that such inventions would not be expected to be used other than in mineral exploration.  The specifications of the Patents themselves describe the prior art methods.  They are peculiar to the context of mineral exploration and drilling in hard</w:t>
      </w:r>
      <w:r w:rsidR="00190F3D">
        <w:t>,</w:t>
      </w:r>
      <w:r w:rsidR="00F72F35">
        <w:t xml:space="preserve"> unfractured or solid rock.  The references to the prior art methods in the ‘Background Art’ sections </w:t>
      </w:r>
      <w:r w:rsidR="00190F3D">
        <w:t xml:space="preserve">of the Patents </w:t>
      </w:r>
      <w:r w:rsidR="00F72F35">
        <w:t xml:space="preserve">are plainly directed to that context.  </w:t>
      </w:r>
    </w:p>
    <w:p w:rsidR="00F72F35" w:rsidRDefault="00190F3D" w:rsidP="004A7DD5">
      <w:pPr>
        <w:pStyle w:val="ParaNumbering"/>
      </w:pPr>
      <w:r>
        <w:t xml:space="preserve">The Skopec </w:t>
      </w:r>
      <w:r w:rsidR="003576F7">
        <w:t>Paper</w:t>
      </w:r>
      <w:r w:rsidR="00A67BF1">
        <w:t xml:space="preserve"> deal</w:t>
      </w:r>
      <w:r>
        <w:t>s</w:t>
      </w:r>
      <w:r w:rsidR="00A67BF1">
        <w:t xml:space="preserve"> with different and more sophisticated techniques than the prior art in the context of petroleum exploration, but there is no discussion in the Patents of such techniques</w:t>
      </w:r>
      <w:r>
        <w:t xml:space="preserve"> at all</w:t>
      </w:r>
      <w:r w:rsidR="00A67BF1">
        <w:t>.  T</w:t>
      </w:r>
      <w:r w:rsidR="00BC4CB4">
        <w:t>his is because t</w:t>
      </w:r>
      <w:r w:rsidR="00A67BF1">
        <w:t xml:space="preserve">he Patents are not directed to drilling in the context of petroleum exploration in soft, brittle or highly fractured formations.  </w:t>
      </w:r>
    </w:p>
    <w:p w:rsidR="009F2E7D" w:rsidRDefault="009F2E7D" w:rsidP="004A7DD5">
      <w:pPr>
        <w:pStyle w:val="ParaNumbering"/>
      </w:pPr>
      <w:r>
        <w:t xml:space="preserve">There is ample evidence on this point, including </w:t>
      </w:r>
      <w:r w:rsidR="00DE1A02">
        <w:t xml:space="preserve">that of </w:t>
      </w:r>
      <w:r w:rsidR="00EE7756">
        <w:t>Professor Tapson</w:t>
      </w:r>
      <w:r>
        <w:t xml:space="preserve">, who indicated in his second affidavit, after referring to the requirement that the core sample be ‘held </w:t>
      </w:r>
      <w:r w:rsidR="00BC4CB4">
        <w:t>in fixed relation</w:t>
      </w:r>
      <w:r>
        <w:t xml:space="preserve">’ to the inner tube assembly </w:t>
      </w:r>
      <w:r w:rsidR="00190F3D">
        <w:t>(</w:t>
      </w:r>
      <w:r>
        <w:t xml:space="preserve">being a requirement </w:t>
      </w:r>
      <w:r w:rsidR="00370F03">
        <w:t>of both the description</w:t>
      </w:r>
      <w:r w:rsidR="00190F3D">
        <w:t xml:space="preserve"> and </w:t>
      </w:r>
      <w:r>
        <w:t>the claims in both Patents</w:t>
      </w:r>
      <w:r w:rsidR="00370F03">
        <w:t>)</w:t>
      </w:r>
      <w:r w:rsidR="00190F3D">
        <w:t xml:space="preserve"> said</w:t>
      </w:r>
      <w:r>
        <w:t>:</w:t>
      </w:r>
    </w:p>
    <w:p w:rsidR="00190F3D" w:rsidRDefault="009F2E7D" w:rsidP="00190F3D">
      <w:pPr>
        <w:pStyle w:val="Quote1"/>
      </w:pPr>
      <w:r>
        <w:t>The presence of these words tells me based upon my experience that this is an invention intended for use in hard rock drilling.  In hard rock environments it is possible to fixe</w:t>
      </w:r>
      <w:r w:rsidR="00815ECE">
        <w:t xml:space="preserve">dly hold a core sample within an inner barrel at the time of detachment because of the integrity of the core generated in those environments makes it possible to frictionally engage the final piece of core and therein the entire sample.  </w:t>
      </w:r>
      <w:r w:rsidR="00EF2606">
        <w:t xml:space="preserve">As </w:t>
      </w:r>
      <w:r w:rsidR="00190F3D">
        <w:t xml:space="preserve">[the </w:t>
      </w:r>
      <w:r w:rsidR="00EF2606">
        <w:t>Skopec</w:t>
      </w:r>
      <w:r w:rsidR="00DE1A02">
        <w:t xml:space="preserve"> Paper</w:t>
      </w:r>
      <w:r w:rsidR="002918FC">
        <w:t>]</w:t>
      </w:r>
      <w:r w:rsidR="00EF2606">
        <w:t xml:space="preserve"> makes clear, it is not possible to fixedly </w:t>
      </w:r>
      <w:r w:rsidR="00190F3D">
        <w:t>“</w:t>
      </w:r>
      <w:r w:rsidR="00EF2606">
        <w:t>hold</w:t>
      </w:r>
      <w:r w:rsidR="00190F3D">
        <w:t>”</w:t>
      </w:r>
      <w:r w:rsidR="00EF2606">
        <w:t xml:space="preserve"> a core sample in petroleum bearing environments consisting of, amongst other things, liquid or gas enclosures and </w:t>
      </w:r>
      <w:r w:rsidR="00190F3D">
        <w:t>loose or unstable sediment</w:t>
      </w:r>
      <w:r w:rsidR="00EF2606">
        <w:t xml:space="preserve">.  </w:t>
      </w:r>
      <w:r w:rsidR="003C39FD">
        <w:t xml:space="preserve">This is because sections of the core generated in such geology will move irrespective of any holding mechanism at the base of the drill for </w:t>
      </w:r>
      <w:r w:rsidR="00190F3D">
        <w:t>holding the final piece of core</w:t>
      </w:r>
      <w:r w:rsidR="003C39FD">
        <w:t xml:space="preserve">.  </w:t>
      </w:r>
    </w:p>
    <w:p w:rsidR="007804C0" w:rsidRDefault="007804C0" w:rsidP="00190F3D">
      <w:pPr>
        <w:pStyle w:val="ParaNumbering"/>
      </w:pPr>
      <w:r>
        <w:t>Professor Tapson</w:t>
      </w:r>
      <w:r w:rsidR="003C39FD">
        <w:t xml:space="preserve"> also said that</w:t>
      </w:r>
      <w:r>
        <w:t>:</w:t>
      </w:r>
    </w:p>
    <w:p w:rsidR="007804C0" w:rsidRDefault="007804C0" w:rsidP="007804C0">
      <w:pPr>
        <w:pStyle w:val="Quote1"/>
      </w:pPr>
      <w:r>
        <w:t xml:space="preserve">… anyone reading [the claims] </w:t>
      </w:r>
      <w:r w:rsidRPr="007804C0">
        <w:t xml:space="preserve">would make the reasonable assumption that they </w:t>
      </w:r>
      <w:r>
        <w:t xml:space="preserve">will </w:t>
      </w:r>
      <w:r w:rsidRPr="007804C0">
        <w:t>not work in 100</w:t>
      </w:r>
      <w:r>
        <w:t xml:space="preserve"> per cent </w:t>
      </w:r>
      <w:r w:rsidRPr="007804C0">
        <w:t xml:space="preserve">of conditions.  For example, they would not work in a very soft medium </w:t>
      </w:r>
      <w:r>
        <w:t xml:space="preserve">like </w:t>
      </w:r>
      <w:r w:rsidRPr="007804C0">
        <w:t>clay</w:t>
      </w:r>
      <w:r w:rsidR="002918FC">
        <w:t>…</w:t>
      </w:r>
      <w:r w:rsidRPr="007804C0">
        <w:t xml:space="preserve">  </w:t>
      </w:r>
    </w:p>
    <w:p w:rsidR="007804C0" w:rsidRDefault="007804C0" w:rsidP="007804C0">
      <w:pPr>
        <w:pStyle w:val="ParaNumbering"/>
      </w:pPr>
      <w:r w:rsidRPr="007804C0">
        <w:t>Although Dr Skopec raised the question of whether the description of ‘hard rock’ environments was inherently ambiguous, I accept Professor Tapson’s response to this in which he acknowledged Dr Skopec’s point in his cross-examination</w:t>
      </w:r>
      <w:r>
        <w:t>:</w:t>
      </w:r>
    </w:p>
    <w:p w:rsidR="007804C0" w:rsidRDefault="007804C0" w:rsidP="007804C0">
      <w:pPr>
        <w:pStyle w:val="Quote1"/>
      </w:pPr>
      <w:r>
        <w:t xml:space="preserve">… I believe we would have had more clarity, both Dr Skopec and I, from the </w:t>
      </w:r>
      <w:r>
        <w:lastRenderedPageBreak/>
        <w:t>beginning, if it had referred to “brittle” or “fractured” formations as opposed to – and “solid” formations because we have been using “hard rock” as a shorthand for rock which will not break or in which fracture will not occur in “soft rock” as a shorthand for formations in which fracture may occur and those are not – that’s terminological in its aptitude (sic-in-exactitude).</w:t>
      </w:r>
    </w:p>
    <w:p w:rsidR="003C39FD" w:rsidRDefault="000B44FF" w:rsidP="003C39FD">
      <w:pPr>
        <w:pStyle w:val="ParaNumbering"/>
      </w:pPr>
      <w:r>
        <w:t xml:space="preserve">Professor Tapson </w:t>
      </w:r>
      <w:r w:rsidR="003C39FD">
        <w:t xml:space="preserve">continued </w:t>
      </w:r>
      <w:r w:rsidR="00175894">
        <w:t xml:space="preserve">that it was </w:t>
      </w:r>
      <w:r w:rsidR="004C6E03">
        <w:t>‘</w:t>
      </w:r>
      <w:r w:rsidR="00175894">
        <w:t xml:space="preserve">intrinsic </w:t>
      </w:r>
      <w:r w:rsidR="004C6E03">
        <w:t xml:space="preserve">in a petroleum environment that you would be looking at fractured formations because you don’t get the presence of oil or gas in solid rock, you get it in fractured formations’.  </w:t>
      </w:r>
      <w:r>
        <w:t xml:space="preserve">This </w:t>
      </w:r>
      <w:r w:rsidR="004C6E03">
        <w:t xml:space="preserve">evidence </w:t>
      </w:r>
      <w:r>
        <w:t xml:space="preserve">was also </w:t>
      </w:r>
      <w:r w:rsidR="004C6E03">
        <w:t>supported by Mr Brown.</w:t>
      </w:r>
    </w:p>
    <w:p w:rsidR="00245DD0" w:rsidRDefault="00CC78A9" w:rsidP="003C39FD">
      <w:pPr>
        <w:pStyle w:val="ParaNumbering"/>
      </w:pPr>
      <w:r>
        <w:t>These Patents relate</w:t>
      </w:r>
      <w:r w:rsidR="00245DD0">
        <w:t xml:space="preserve"> to hard rock drilling.  </w:t>
      </w:r>
    </w:p>
    <w:p w:rsidR="007D2C6A" w:rsidRDefault="00ED56C0" w:rsidP="007D2C6A">
      <w:pPr>
        <w:pStyle w:val="Heading7"/>
      </w:pPr>
      <w:bookmarkStart w:id="62" w:name="_Ref403035683"/>
      <w:r>
        <w:t xml:space="preserve"> </w:t>
      </w:r>
      <w:bookmarkStart w:id="63" w:name="_Ref436722510"/>
      <w:r w:rsidR="007D2C6A">
        <w:t xml:space="preserve">‘Held </w:t>
      </w:r>
      <w:r w:rsidR="00B70407">
        <w:t>in</w:t>
      </w:r>
      <w:r w:rsidR="000B44FF">
        <w:t xml:space="preserve"> f</w:t>
      </w:r>
      <w:r w:rsidR="007D2C6A">
        <w:t xml:space="preserve">ixed </w:t>
      </w:r>
      <w:r w:rsidR="000B44FF">
        <w:t>r</w:t>
      </w:r>
      <w:r w:rsidR="007D2C6A">
        <w:t>elationship’</w:t>
      </w:r>
      <w:bookmarkEnd w:id="62"/>
      <w:bookmarkEnd w:id="63"/>
    </w:p>
    <w:p w:rsidR="00CC78A9" w:rsidRDefault="00ED56C0" w:rsidP="007D2C6A">
      <w:pPr>
        <w:pStyle w:val="ParaNumbering"/>
      </w:pPr>
      <w:r>
        <w:t xml:space="preserve">The third infringement defence related to the fixing of the core sample.  </w:t>
      </w:r>
    </w:p>
    <w:p w:rsidR="007D2C6A" w:rsidRDefault="00B70407" w:rsidP="007D2C6A">
      <w:pPr>
        <w:pStyle w:val="ParaNumbering"/>
      </w:pPr>
      <w:r>
        <w:t xml:space="preserve">The claims deal with the core sample being held ‘in fixed relation to </w:t>
      </w:r>
      <w:r w:rsidR="000B44FF">
        <w:t xml:space="preserve">the inner </w:t>
      </w:r>
      <w:r w:rsidR="002918FC">
        <w:t>(</w:t>
      </w:r>
      <w:r w:rsidR="000B44FF">
        <w:t>core</w:t>
      </w:r>
      <w:r w:rsidR="002918FC">
        <w:t>)</w:t>
      </w:r>
      <w:r w:rsidR="000B44FF">
        <w:t xml:space="preserve"> tube</w:t>
      </w:r>
      <w:r>
        <w:t>’</w:t>
      </w:r>
      <w:r w:rsidR="000B44FF">
        <w:t>,</w:t>
      </w:r>
      <w:r>
        <w:t xml:space="preserve"> and the removal of the inner tube from the body of material from which the core sample has been extracted.  </w:t>
      </w:r>
    </w:p>
    <w:p w:rsidR="00B70407" w:rsidRDefault="000B44FF" w:rsidP="007D2C6A">
      <w:pPr>
        <w:pStyle w:val="ParaNumbering"/>
      </w:pPr>
      <w:r>
        <w:t xml:space="preserve">The respondents contend that there was </w:t>
      </w:r>
      <w:r w:rsidR="00C2709D">
        <w:t>no infringement of this integer as the only support for it came from Dr Kepic</w:t>
      </w:r>
      <w:r>
        <w:t>,</w:t>
      </w:r>
      <w:r w:rsidR="00C2709D">
        <w:t xml:space="preserve"> who formed his opinion solely on his inspection and working of the equipment at offices of </w:t>
      </w:r>
      <w:r>
        <w:t xml:space="preserve">the </w:t>
      </w:r>
      <w:r w:rsidR="00C2709D">
        <w:t xml:space="preserve">solicitors.  He never went to a drilling site where the Coretell orientation apparatus was working, </w:t>
      </w:r>
      <w:r>
        <w:t xml:space="preserve">and </w:t>
      </w:r>
      <w:r w:rsidR="00C2709D">
        <w:t>never operated any Coretell orientation apparatus at any drilling site</w:t>
      </w:r>
      <w:r>
        <w:t xml:space="preserve">.  Dr Kepic </w:t>
      </w:r>
      <w:r w:rsidR="00C2709D">
        <w:t xml:space="preserve">never saw it being operated </w:t>
      </w:r>
      <w:r>
        <w:t xml:space="preserve">or used </w:t>
      </w:r>
      <w:r w:rsidR="00C2709D">
        <w:t xml:space="preserve">other than in the demonstration.  </w:t>
      </w:r>
      <w:r>
        <w:t>According to the respondents</w:t>
      </w:r>
      <w:r w:rsidR="00C2709D">
        <w:t xml:space="preserve">, </w:t>
      </w:r>
      <w:r>
        <w:t xml:space="preserve">it is important that </w:t>
      </w:r>
      <w:r w:rsidR="00C2709D">
        <w:t>in the</w:t>
      </w:r>
      <w:r w:rsidR="005E0DB8">
        <w:t xml:space="preserve"> demonstration at the solicitor</w:t>
      </w:r>
      <w:r w:rsidR="00C2709D">
        <w:t>s</w:t>
      </w:r>
      <w:r w:rsidR="005E0DB8">
        <w:t>’</w:t>
      </w:r>
      <w:r w:rsidR="00C2709D">
        <w:t xml:space="preserve"> offices, there was no core tube and there was no retained core sample, and Dr Kepic did not scientifically test whether or not the core was held in fixed relation.  It did not occur to him to test it and he was never asked to </w:t>
      </w:r>
      <w:r w:rsidR="00B35B61">
        <w:t>be given the opportunity to do so.</w:t>
      </w:r>
    </w:p>
    <w:p w:rsidR="00B35B61" w:rsidRDefault="00E07941" w:rsidP="007D2C6A">
      <w:pPr>
        <w:pStyle w:val="ParaNumbering"/>
      </w:pPr>
      <w:r>
        <w:t>The respondents argue that</w:t>
      </w:r>
      <w:r w:rsidR="000B44FF">
        <w:t>,</w:t>
      </w:r>
      <w:r>
        <w:t xml:space="preserve"> in truth</w:t>
      </w:r>
      <w:r w:rsidR="000B44FF">
        <w:t>,</w:t>
      </w:r>
      <w:r>
        <w:t xml:space="preserve"> all that Dr Kepic has tested was that the handset and </w:t>
      </w:r>
      <w:r w:rsidR="00B30427">
        <w:t>down-hole</w:t>
      </w:r>
      <w:r>
        <w:t xml:space="preserve"> unit would work in the solicitor</w:t>
      </w:r>
      <w:r w:rsidR="000B44FF">
        <w:t>s’</w:t>
      </w:r>
      <w:r>
        <w:t xml:space="preserve"> offices</w:t>
      </w:r>
      <w:r w:rsidR="000B44FF">
        <w:t>, and al</w:t>
      </w:r>
      <w:r>
        <w:t>l</w:t>
      </w:r>
      <w:r w:rsidR="000B44FF">
        <w:t xml:space="preserve"> that</w:t>
      </w:r>
      <w:r>
        <w:t xml:space="preserve"> he </w:t>
      </w:r>
      <w:r w:rsidR="000B44FF">
        <w:t xml:space="preserve">had </w:t>
      </w:r>
      <w:r>
        <w:t xml:space="preserve">established was that the two separate devices would communicate </w:t>
      </w:r>
      <w:r w:rsidR="000B44FF">
        <w:t>to each other</w:t>
      </w:r>
      <w:r>
        <w:t xml:space="preserve">.  The respondents argue that the ‘held in fixed relationship’ point is important because, Dr Kepic and the other witnesses </w:t>
      </w:r>
      <w:r w:rsidR="00FB2D9D">
        <w:t xml:space="preserve">have all </w:t>
      </w:r>
      <w:r>
        <w:t>recognise</w:t>
      </w:r>
      <w:r w:rsidR="00FB2D9D">
        <w:t xml:space="preserve">d that </w:t>
      </w:r>
      <w:r>
        <w:t xml:space="preserve">there could be relative movement between the inner tube and the core as the operational sequence is taking place or as the core sample and inner tube are being returned to the surface.  </w:t>
      </w:r>
      <w:r w:rsidR="0095632C">
        <w:t xml:space="preserve">The Coretell </w:t>
      </w:r>
      <w:r w:rsidR="00FB2D9D">
        <w:t xml:space="preserve">document </w:t>
      </w:r>
      <w:r w:rsidR="00F547FE">
        <w:t xml:space="preserve">named </w:t>
      </w:r>
      <w:r w:rsidR="0095632C">
        <w:t xml:space="preserve">‘Coretell Apparatus – Makeup and Manner of Working’ has no disclosure of the relevant feature and there is no other material before the Court, the respondents contend, which deals with the question of whether or not </w:t>
      </w:r>
      <w:r w:rsidR="0095632C">
        <w:lastRenderedPageBreak/>
        <w:t xml:space="preserve">the core is held in fixed relationship to the inner tube.  Dr Kepic also recognised that there was no explicit disclosure in </w:t>
      </w:r>
      <w:r w:rsidR="00F252ED">
        <w:t xml:space="preserve">that </w:t>
      </w:r>
      <w:r w:rsidR="0095632C">
        <w:t xml:space="preserve">document.  In the context of the requirement that infringement must be strictly proven, the respondents say that the applicants have fallen well short.  </w:t>
      </w:r>
    </w:p>
    <w:p w:rsidR="001C6A6E" w:rsidRDefault="00C059B8" w:rsidP="007D2C6A">
      <w:pPr>
        <w:pStyle w:val="ParaNumbering"/>
      </w:pPr>
      <w:r>
        <w:t xml:space="preserve">I </w:t>
      </w:r>
      <w:r w:rsidR="00270BAD">
        <w:t xml:space="preserve">set out </w:t>
      </w:r>
      <w:r w:rsidR="00F252ED">
        <w:t xml:space="preserve">above the </w:t>
      </w:r>
      <w:r w:rsidR="00EE54E7">
        <w:t xml:space="preserve">passages </w:t>
      </w:r>
      <w:r w:rsidR="00F252ED">
        <w:t xml:space="preserve">of Dr Kepic’s evidence as to the operation of the </w:t>
      </w:r>
      <w:r w:rsidR="00FC24DD">
        <w:t>ORIshot Tool</w:t>
      </w:r>
      <w:r w:rsidR="00F252ED">
        <w:t xml:space="preserve"> </w:t>
      </w:r>
      <w:r w:rsidR="00270BAD">
        <w:t>which mak</w:t>
      </w:r>
      <w:r w:rsidR="00EE54E7">
        <w:t>e it quite clear that it was necessary that the core be held in fixed relation whe</w:t>
      </w:r>
      <w:r w:rsidR="007C18B8">
        <w:t xml:space="preserve">n it was brought to the surface.  That aspect of his evidence </w:t>
      </w:r>
      <w:r w:rsidR="00270BAD">
        <w:t xml:space="preserve">has not been </w:t>
      </w:r>
      <w:r w:rsidR="007C18B8">
        <w:t>challenged and although this topic was faintly raised in closing by the respondents, in my view, the evidence of Dr Kepic is to be accepted</w:t>
      </w:r>
      <w:r w:rsidR="00270BAD">
        <w:t>.  I</w:t>
      </w:r>
      <w:r w:rsidR="007C18B8">
        <w:t xml:space="preserve">t is clear that the </w:t>
      </w:r>
      <w:r w:rsidR="00FC24DD">
        <w:t>ORIshot Tool</w:t>
      </w:r>
      <w:r w:rsidR="007C18B8">
        <w:t xml:space="preserve"> does </w:t>
      </w:r>
      <w:r w:rsidR="00F252ED">
        <w:t xml:space="preserve">in fact </w:t>
      </w:r>
      <w:r w:rsidR="007C18B8">
        <w:t xml:space="preserve">keep the core in fixed relation to the inner tube.  </w:t>
      </w:r>
    </w:p>
    <w:p w:rsidR="007C18B8" w:rsidRDefault="007C18B8" w:rsidP="007C18B8">
      <w:pPr>
        <w:pStyle w:val="Heading7"/>
      </w:pPr>
      <w:bookmarkStart w:id="64" w:name="_Ref403035684"/>
      <w:r>
        <w:t xml:space="preserve">‘Real </w:t>
      </w:r>
      <w:r w:rsidR="00F547FE">
        <w:t>t</w:t>
      </w:r>
      <w:r>
        <w:t xml:space="preserve">ime </w:t>
      </w:r>
      <w:r w:rsidR="00F547FE">
        <w:t>r</w:t>
      </w:r>
      <w:r>
        <w:t>ol</w:t>
      </w:r>
      <w:r w:rsidR="002310AF">
        <w:t>l</w:t>
      </w:r>
      <w:r>
        <w:t xml:space="preserve"> </w:t>
      </w:r>
      <w:r w:rsidR="00F547FE">
        <w:t>m</w:t>
      </w:r>
      <w:r>
        <w:t>ode’</w:t>
      </w:r>
      <w:bookmarkEnd w:id="64"/>
    </w:p>
    <w:p w:rsidR="002310AF" w:rsidRDefault="007C18B8" w:rsidP="007D2C6A">
      <w:pPr>
        <w:pStyle w:val="ParaNumbering"/>
      </w:pPr>
      <w:r>
        <w:t xml:space="preserve">Finally, although it was not expressly raised in closing submissions for the respondents, there appeared to also </w:t>
      </w:r>
      <w:r w:rsidR="00F252ED">
        <w:t xml:space="preserve">be </w:t>
      </w:r>
      <w:r>
        <w:t>a ‘</w:t>
      </w:r>
      <w:r w:rsidR="00F547FE">
        <w:t>r</w:t>
      </w:r>
      <w:r>
        <w:t xml:space="preserve">eal </w:t>
      </w:r>
      <w:r w:rsidR="00F547FE">
        <w:t>t</w:t>
      </w:r>
      <w:r>
        <w:t>i</w:t>
      </w:r>
      <w:r w:rsidR="00F252ED">
        <w:t>m</w:t>
      </w:r>
      <w:r>
        <w:t xml:space="preserve">e </w:t>
      </w:r>
      <w:r w:rsidR="00F547FE">
        <w:t>r</w:t>
      </w:r>
      <w:r w:rsidR="002310AF">
        <w:t>oll</w:t>
      </w:r>
      <w:r>
        <w:t xml:space="preserve"> </w:t>
      </w:r>
      <w:r w:rsidR="00F547FE">
        <w:t>m</w:t>
      </w:r>
      <w:r>
        <w:t>ode’ argument</w:t>
      </w:r>
      <w:r w:rsidR="00F252ED">
        <w:t>,</w:t>
      </w:r>
      <w:r>
        <w:t xml:space="preserve"> which related only to one of the three modes. </w:t>
      </w:r>
    </w:p>
    <w:p w:rsidR="007772EE" w:rsidRDefault="007772EE" w:rsidP="007D2C6A">
      <w:pPr>
        <w:pStyle w:val="ParaNumbering"/>
      </w:pPr>
      <w:r>
        <w:t xml:space="preserve">As I understood the argument, it was that as the ORIshot Tool did not provide a graphical or visual indication of the direction of rotation to a drill operator, the system would not fall within the claims.  </w:t>
      </w:r>
    </w:p>
    <w:p w:rsidR="007772EE" w:rsidRDefault="007772EE" w:rsidP="007D2C6A">
      <w:pPr>
        <w:pStyle w:val="ParaNumbering"/>
      </w:pPr>
      <w:r>
        <w:t xml:space="preserve">In </w:t>
      </w:r>
      <w:r w:rsidR="00B77F9C">
        <w:t xml:space="preserve">the relevant </w:t>
      </w:r>
      <w:r>
        <w:t>mode</w:t>
      </w:r>
      <w:r w:rsidR="00B77F9C">
        <w:t>,</w:t>
      </w:r>
      <w:r>
        <w:t xml:space="preserve"> the ORIshot tool would provide a digital reading of the down-hole roll in terms of degrees which enables the drill operator to rotate the surface ORIshot </w:t>
      </w:r>
      <w:r w:rsidR="00B77F9C">
        <w:t xml:space="preserve">Tool </w:t>
      </w:r>
      <w:r>
        <w:t xml:space="preserve">to match the down-hole angle.  </w:t>
      </w:r>
    </w:p>
    <w:p w:rsidR="007C18B8" w:rsidRDefault="007C18B8" w:rsidP="007D2C6A">
      <w:pPr>
        <w:pStyle w:val="ParaNumbering"/>
      </w:pPr>
      <w:r>
        <w:t xml:space="preserve">It is not clear to me that this argument is still pressed by the respondents, but in </w:t>
      </w:r>
      <w:r w:rsidR="00096496">
        <w:t xml:space="preserve">any event, in </w:t>
      </w:r>
      <w:r>
        <w:t>my view</w:t>
      </w:r>
      <w:r w:rsidR="00096496">
        <w:t>,</w:t>
      </w:r>
      <w:r>
        <w:t xml:space="preserve"> it is incorrect.  I accept the submissions for the applicants that by displaying the angles</w:t>
      </w:r>
      <w:r w:rsidR="002310AF">
        <w:t xml:space="preserve"> referred to, the real time roll </w:t>
      </w:r>
      <w:r>
        <w:t>mode provides a visual indication of the orientation of the core sample to the operator.  This means that the features of the claims directed to this topic are present</w:t>
      </w:r>
      <w:r w:rsidR="0036324A">
        <w:t xml:space="preserve"> in the </w:t>
      </w:r>
      <w:r w:rsidR="00FC24DD">
        <w:t>ORIshot Tool</w:t>
      </w:r>
      <w:r>
        <w:t xml:space="preserve">.  </w:t>
      </w:r>
      <w:r w:rsidR="00D252CE">
        <w:t>There is support for this from the expert evidence</w:t>
      </w:r>
      <w:r w:rsidR="00700F6D">
        <w:t xml:space="preserve"> of </w:t>
      </w:r>
      <w:r w:rsidR="00D252CE">
        <w:t>Dr Kepic</w:t>
      </w:r>
      <w:r w:rsidR="0036324A">
        <w:t>,</w:t>
      </w:r>
      <w:r w:rsidR="00D252CE">
        <w:t xml:space="preserve"> </w:t>
      </w:r>
      <w:r w:rsidR="00700F6D">
        <w:t xml:space="preserve">who </w:t>
      </w:r>
      <w:r w:rsidR="00D252CE">
        <w:t>was pressed on the topic in cross-examination.</w:t>
      </w:r>
    </w:p>
    <w:p w:rsidR="0036324A" w:rsidRDefault="00D252CE" w:rsidP="00D252CE">
      <w:pPr>
        <w:pStyle w:val="ParaNumbering"/>
      </w:pPr>
      <w:r>
        <w:t xml:space="preserve">Dr Kepic noted that the method provided in the </w:t>
      </w:r>
      <w:r w:rsidR="00FC24DD">
        <w:t>ORIshot Tool</w:t>
      </w:r>
      <w:r>
        <w:t xml:space="preserve"> ‘would be completely useless if there was not a </w:t>
      </w:r>
      <w:r w:rsidR="0036324A">
        <w:t xml:space="preserve">… </w:t>
      </w:r>
      <w:r>
        <w:t>sort of zero degree mark on the tool</w:t>
      </w:r>
      <w:r w:rsidR="0036324A">
        <w:t>’,</w:t>
      </w:r>
      <w:r>
        <w:t xml:space="preserve"> so that the information achieved by the aligning the bars was the most useful visual identification for the way in which the tube had to be rotated.  </w:t>
      </w:r>
    </w:p>
    <w:p w:rsidR="00B77D5A" w:rsidRDefault="00D252CE" w:rsidP="008D1AF0">
      <w:pPr>
        <w:pStyle w:val="ParaNumbering"/>
      </w:pPr>
      <w:r>
        <w:lastRenderedPageBreak/>
        <w:t>Professor Tapson was also pressed on the point</w:t>
      </w:r>
      <w:r w:rsidR="00EB0D86">
        <w:t xml:space="preserve">. </w:t>
      </w:r>
      <w:r>
        <w:t xml:space="preserve"> </w:t>
      </w:r>
      <w:r w:rsidR="00B77D5A">
        <w:t xml:space="preserve">The following </w:t>
      </w:r>
      <w:r>
        <w:t xml:space="preserve">was put </w:t>
      </w:r>
      <w:r w:rsidR="00B77D5A">
        <w:t>to him in cross-examination:</w:t>
      </w:r>
    </w:p>
    <w:p w:rsidR="008D1AF0" w:rsidRDefault="008D1AF0" w:rsidP="008D1AF0">
      <w:pPr>
        <w:pStyle w:val="Quote1"/>
      </w:pPr>
      <w:r>
        <w:t>And I’m putting to you, therefore, that a mere indication of an angle is not an indication of orientation of the nature about which you have previously given your</w:t>
      </w:r>
    </w:p>
    <w:p w:rsidR="00D252CE" w:rsidRDefault="008D1AF0" w:rsidP="008D1AF0">
      <w:pPr>
        <w:pStyle w:val="Quote1"/>
      </w:pPr>
      <w:r>
        <w:t>evidence …</w:t>
      </w:r>
    </w:p>
    <w:p w:rsidR="008D1AF0" w:rsidRDefault="008D1AF0" w:rsidP="008D1AF0">
      <w:pPr>
        <w:pStyle w:val="ParaNumbering"/>
      </w:pPr>
      <w:r w:rsidRPr="008D1AF0">
        <w:t>In response, Professor Tapson said that he absolutely failed to see what the issue was, and said:</w:t>
      </w:r>
    </w:p>
    <w:p w:rsidR="008D1AF0" w:rsidRDefault="008D1AF0" w:rsidP="008D1AF0">
      <w:pPr>
        <w:pStyle w:val="Quote1"/>
      </w:pPr>
      <w:r w:rsidRPr="008D1AF0">
        <w:t>[I]f one …wants to know how fast one’s car is going. One could have needle speedometer or a number. They are both visual indications, and they both provide the information one is seeking, and it seems to me that that’s the same case here. But where – if it’s merely a number, how does it tell you any indication of orientation? And you say, I think further than that, it’s got to be an indication – visual indication of orientation. It’s also got to be an indication of the direction in which the inner tube should be rotated…any engineer would know …how to use an angle to rotate an object to – to bring it to the, you know, to zero that angle or to place it at that particular position.</w:t>
      </w:r>
    </w:p>
    <w:p w:rsidR="00EB0D86" w:rsidRDefault="00F442DF" w:rsidP="00D252CE">
      <w:pPr>
        <w:pStyle w:val="ParaNumbering"/>
      </w:pPr>
      <w:r>
        <w:t>In my view, the respondents’ argument on this topic fails.  However, t</w:t>
      </w:r>
      <w:r w:rsidR="00D252CE">
        <w:t xml:space="preserve">his is a peripheral issue because the </w:t>
      </w:r>
      <w:r w:rsidR="00FC24DD">
        <w:t>ORIshot Tool</w:t>
      </w:r>
      <w:r w:rsidR="00D252CE">
        <w:t xml:space="preserve"> includes two other display modes </w:t>
      </w:r>
      <w:r w:rsidR="00B77D5A">
        <w:t>which involve</w:t>
      </w:r>
      <w:r w:rsidR="00D252CE">
        <w:t xml:space="preserve"> directional arrows and use of bars which, even the respondents accept, incorporates this feature of the claims of the Patents.  </w:t>
      </w:r>
    </w:p>
    <w:p w:rsidR="00DB363F" w:rsidRDefault="001C4706" w:rsidP="00DB363F">
      <w:pPr>
        <w:pStyle w:val="Heading6"/>
      </w:pPr>
      <w:bookmarkStart w:id="65" w:name="_Ref410393874"/>
      <w:r>
        <w:t>Conclusion on i</w:t>
      </w:r>
      <w:r w:rsidR="00DB363F">
        <w:t>nfringement</w:t>
      </w:r>
      <w:bookmarkEnd w:id="65"/>
    </w:p>
    <w:p w:rsidR="00D252CE" w:rsidRPr="007D2C6A" w:rsidRDefault="00D252CE" w:rsidP="00D252CE">
      <w:pPr>
        <w:pStyle w:val="ParaNumbering"/>
      </w:pPr>
      <w:r>
        <w:t xml:space="preserve">Accordingly, </w:t>
      </w:r>
      <w:r w:rsidR="00B77D5A">
        <w:t>on the basis indicated above in 7.2</w:t>
      </w:r>
      <w:r w:rsidR="00504CAD">
        <w:t>.1</w:t>
      </w:r>
      <w:r w:rsidR="00B77D5A">
        <w:t>,</w:t>
      </w:r>
      <w:r w:rsidR="00F547FE">
        <w:t xml:space="preserve"> as to the manner to which the case was argued, </w:t>
      </w:r>
      <w:r w:rsidR="00EB0D86">
        <w:t xml:space="preserve">as none of the respondents’ arguments </w:t>
      </w:r>
      <w:r w:rsidR="00B77D5A">
        <w:t xml:space="preserve">in response to the applicants’ infringement claims has </w:t>
      </w:r>
      <w:r w:rsidR="00EB0D86">
        <w:t xml:space="preserve">succeeded, </w:t>
      </w:r>
      <w:r w:rsidR="007313DE">
        <w:t xml:space="preserve">infringement of the </w:t>
      </w:r>
      <w:r w:rsidR="00B77D5A">
        <w:t xml:space="preserve">Patents </w:t>
      </w:r>
      <w:r w:rsidR="007313DE">
        <w:t xml:space="preserve">has been established.  </w:t>
      </w:r>
    </w:p>
    <w:p w:rsidR="00DB2308" w:rsidRDefault="00F547FE" w:rsidP="00DB2308">
      <w:pPr>
        <w:pStyle w:val="Heading6"/>
      </w:pPr>
      <w:bookmarkStart w:id="66" w:name="_Ref410890367"/>
      <w:bookmarkStart w:id="67" w:name="_Ref436660792"/>
      <w:r>
        <w:t>L</w:t>
      </w:r>
      <w:r w:rsidR="0015385C">
        <w:t>iability</w:t>
      </w:r>
      <w:bookmarkEnd w:id="66"/>
      <w:r>
        <w:t xml:space="preserve"> of each of the respondents</w:t>
      </w:r>
      <w:bookmarkEnd w:id="67"/>
    </w:p>
    <w:p w:rsidR="0027093F" w:rsidRDefault="0027093F" w:rsidP="0027093F">
      <w:pPr>
        <w:pStyle w:val="ParaNumbering"/>
      </w:pPr>
      <w:r>
        <w:t>Infringement having been established, the question is which respondent has infringed</w:t>
      </w:r>
      <w:r w:rsidR="001C4706">
        <w:t xml:space="preserve"> the Patents.</w:t>
      </w:r>
      <w:r>
        <w:t xml:space="preserve">  The answer to that question, for reasons which follow, is that all respondents have infringed</w:t>
      </w:r>
      <w:r w:rsidR="001C4706">
        <w:t xml:space="preserve"> the Patents</w:t>
      </w:r>
      <w:r>
        <w:t xml:space="preserve">.  </w:t>
      </w:r>
    </w:p>
    <w:p w:rsidR="0027093F" w:rsidRDefault="00A061E1" w:rsidP="0027093F">
      <w:pPr>
        <w:pStyle w:val="ParaNumbering"/>
      </w:pPr>
      <w:r>
        <w:t xml:space="preserve">The applicants have advanced intricate and detailed arguments, both on the evidence and at law, in relation to the involvement of all </w:t>
      </w:r>
      <w:r w:rsidR="001C4706">
        <w:t xml:space="preserve">the </w:t>
      </w:r>
      <w:r>
        <w:t xml:space="preserve">respondents in the infringement.  </w:t>
      </w:r>
    </w:p>
    <w:p w:rsidR="001C4706" w:rsidRDefault="009B7380" w:rsidP="0027093F">
      <w:pPr>
        <w:pStyle w:val="ParaNumbering"/>
      </w:pPr>
      <w:r>
        <w:t>I have endeavoured to deal with the arguments by the parties in relation to most of those intricate arguments</w:t>
      </w:r>
      <w:r w:rsidR="001C4706">
        <w:t>.  B</w:t>
      </w:r>
      <w:r>
        <w:t xml:space="preserve">ut before dealing with that detail, the following fundamental factual findings need to be recorded to make the position quite clear.  </w:t>
      </w:r>
    </w:p>
    <w:p w:rsidR="00A061E1" w:rsidRDefault="009B7380" w:rsidP="0027093F">
      <w:pPr>
        <w:pStyle w:val="ParaNumbering"/>
      </w:pPr>
      <w:r>
        <w:lastRenderedPageBreak/>
        <w:t>First, I have found that Mr Kleyn deliberately set out to produce a tool which embraced</w:t>
      </w:r>
      <w:r w:rsidR="0041756D">
        <w:t xml:space="preserve"> or copied</w:t>
      </w:r>
      <w:r>
        <w:t xml:space="preserve"> the features of the tool designed in accordance with the </w:t>
      </w:r>
      <w:r w:rsidR="001C4706">
        <w:t>P</w:t>
      </w:r>
      <w:r>
        <w:t xml:space="preserve">atents in suit.  </w:t>
      </w:r>
    </w:p>
    <w:p w:rsidR="009B7380" w:rsidRDefault="009B7380" w:rsidP="0027093F">
      <w:pPr>
        <w:pStyle w:val="ParaNumbering"/>
      </w:pPr>
      <w:r>
        <w:t xml:space="preserve">Having achieved that objective in design, production, sale and promotion of such a tool through corporate vehicles, he subsequently became aware of a real risk of exposure to damages for patent infringement.  </w:t>
      </w:r>
    </w:p>
    <w:p w:rsidR="009B7380" w:rsidRDefault="000106D9" w:rsidP="0027093F">
      <w:pPr>
        <w:pStyle w:val="ParaNumbering"/>
      </w:pPr>
      <w:r>
        <w:t>Mr Kleyn then set about attempting to organise his corporate affairs through the respondent companies, of which he was the sole directing mind and will</w:t>
      </w:r>
      <w:r w:rsidR="004D0953">
        <w:t>,</w:t>
      </w:r>
      <w:r>
        <w:t xml:space="preserve"> so as to shelter and protect assets within the corporate structure</w:t>
      </w:r>
      <w:r w:rsidR="001E63E1">
        <w:t>s</w:t>
      </w:r>
      <w:r>
        <w:t xml:space="preserve">.  To this end he purported to assign and transfer assets from the primary infringing company to another company.  This assignment or transfer was entirely fictitious and never occurred.  His subsequent attempts to isolate and segregate the activities of the respective corporations to at least create the impression that only the corporation with no assets was involved with infringement </w:t>
      </w:r>
      <w:r w:rsidR="001E63E1">
        <w:t xml:space="preserve">have </w:t>
      </w:r>
      <w:r>
        <w:t xml:space="preserve">failed.  There is ample evidence to show that all </w:t>
      </w:r>
      <w:r w:rsidR="004D0953">
        <w:t xml:space="preserve">of the </w:t>
      </w:r>
      <w:r>
        <w:t xml:space="preserve">respondents, including Mr Kleyn personally, participated in the activities which infringed the Patents.  They all participated directly as a result of his personal control, decisions and actions.  </w:t>
      </w:r>
    </w:p>
    <w:p w:rsidR="000106D9" w:rsidRDefault="000106D9" w:rsidP="0027093F">
      <w:pPr>
        <w:pStyle w:val="ParaNumbering"/>
      </w:pPr>
      <w:r>
        <w:t>The respondents</w:t>
      </w:r>
      <w:r w:rsidR="004D0953">
        <w:t>’</w:t>
      </w:r>
      <w:r>
        <w:t xml:space="preserve"> attempt to show otherwise, either through the evidence of Mr Kleyn or the evidence of Mr Kenny</w:t>
      </w:r>
      <w:r w:rsidR="004D0953">
        <w:t>,</w:t>
      </w:r>
      <w:r>
        <w:t xml:space="preserve"> has failed.  </w:t>
      </w:r>
    </w:p>
    <w:p w:rsidR="000106D9" w:rsidRPr="0027093F" w:rsidRDefault="004D0953" w:rsidP="0027093F">
      <w:pPr>
        <w:pStyle w:val="ParaNumbering"/>
      </w:pPr>
      <w:r>
        <w:t xml:space="preserve">Having </w:t>
      </w:r>
      <w:r w:rsidR="00E41D26">
        <w:t xml:space="preserve">summarised </w:t>
      </w:r>
      <w:r>
        <w:t xml:space="preserve">the above </w:t>
      </w:r>
      <w:r w:rsidR="00E41D26">
        <w:t xml:space="preserve">findings on the </w:t>
      </w:r>
      <w:r>
        <w:t xml:space="preserve">basis of </w:t>
      </w:r>
      <w:r w:rsidR="00E41D26">
        <w:t>oral evidence and documentation adduced in the trial which I have discussed previously</w:t>
      </w:r>
      <w:r w:rsidR="00F547FE">
        <w:t>,</w:t>
      </w:r>
      <w:r w:rsidR="00E41D26">
        <w:t xml:space="preserve"> </w:t>
      </w:r>
      <w:r w:rsidR="00F547FE">
        <w:t>and in the passages to follow</w:t>
      </w:r>
      <w:r w:rsidR="00E41D26">
        <w:t xml:space="preserve"> in these reasons, I turn then to the more elaborate </w:t>
      </w:r>
      <w:r>
        <w:t xml:space="preserve">and </w:t>
      </w:r>
      <w:r w:rsidR="00E41D26">
        <w:t>detail</w:t>
      </w:r>
      <w:r>
        <w:t>ed</w:t>
      </w:r>
      <w:r w:rsidR="00E41D26">
        <w:t xml:space="preserve"> arguments advanced by the applicants.</w:t>
      </w:r>
    </w:p>
    <w:p w:rsidR="005A154E" w:rsidRDefault="00824C6A" w:rsidP="005A154E">
      <w:pPr>
        <w:pStyle w:val="ParaNumbering"/>
      </w:pPr>
      <w:r>
        <w:t xml:space="preserve">The applicants’ case is that each of </w:t>
      </w:r>
      <w:r w:rsidR="00F81D34">
        <w:t xml:space="preserve">the respondents </w:t>
      </w:r>
      <w:r>
        <w:t xml:space="preserve">is liable </w:t>
      </w:r>
      <w:r w:rsidR="00C51247">
        <w:t xml:space="preserve">for infringement of the Patents, although the details of the allegations against each respondent differ according to the nature and role of the particular respondent and the claims of the Patents under consideration.  </w:t>
      </w:r>
    </w:p>
    <w:p w:rsidR="00C51247" w:rsidRDefault="0052201C" w:rsidP="005A154E">
      <w:pPr>
        <w:pStyle w:val="ParaNumbering"/>
      </w:pPr>
      <w:r>
        <w:t>As explained by the applicants, direct infringement occurs where a person exploits</w:t>
      </w:r>
      <w:r w:rsidR="004D0953">
        <w:t>,</w:t>
      </w:r>
      <w:r>
        <w:t xml:space="preserve"> within the meaning of </w:t>
      </w:r>
      <w:r w:rsidR="007D7FA4">
        <w:t>the Act</w:t>
      </w:r>
      <w:r w:rsidR="004D0953">
        <w:t>,</w:t>
      </w:r>
      <w:r>
        <w:t xml:space="preserve"> the invention claimed in any claim of the Patents.  In the case of a claim to a product</w:t>
      </w:r>
      <w:r w:rsidR="004D0953">
        <w:t>,</w:t>
      </w:r>
      <w:r>
        <w:t xml:space="preserve"> such as those </w:t>
      </w:r>
      <w:r w:rsidR="00272AB4">
        <w:t>in the System Patent, this includes making, selling or otherwise disposing of the product</w:t>
      </w:r>
      <w:r w:rsidR="004D0953">
        <w:t>,</w:t>
      </w:r>
      <w:r w:rsidR="00272AB4">
        <w:t xml:space="preserve"> as well as using the product.  For a claim to a method</w:t>
      </w:r>
      <w:r w:rsidR="004D0953">
        <w:t>,</w:t>
      </w:r>
      <w:r w:rsidR="00272AB4">
        <w:t xml:space="preserve"> such as those described in the Method Patent, it includes using the method.</w:t>
      </w:r>
    </w:p>
    <w:p w:rsidR="0007018A" w:rsidRDefault="00C27186" w:rsidP="0007018A">
      <w:pPr>
        <w:pStyle w:val="ParaNumbering"/>
      </w:pPr>
      <w:r>
        <w:t xml:space="preserve">Infringement may also be indirect.  </w:t>
      </w:r>
      <w:r w:rsidR="001426EC">
        <w:t>Indirect infringement may arise on several bases</w:t>
      </w:r>
      <w:r>
        <w:t xml:space="preserve">. </w:t>
      </w:r>
      <w:r w:rsidR="001426EC">
        <w:t xml:space="preserve"> </w:t>
      </w:r>
      <w:r w:rsidR="0007018A">
        <w:t>These bases include where a person authorises another to exploit the invention</w:t>
      </w:r>
      <w:r>
        <w:t>,</w:t>
      </w:r>
      <w:r w:rsidR="0007018A">
        <w:t xml:space="preserve"> is a joint </w:t>
      </w:r>
      <w:r w:rsidR="0007018A">
        <w:lastRenderedPageBreak/>
        <w:t>tortfeasor in such exploitation</w:t>
      </w:r>
      <w:r>
        <w:t>,</w:t>
      </w:r>
      <w:r w:rsidR="0007018A">
        <w:t xml:space="preserve"> or pursuant to the specific contributory infringement provisions set out in s 117 of </w:t>
      </w:r>
      <w:r w:rsidR="007D7FA4">
        <w:t>the Act</w:t>
      </w:r>
      <w:r w:rsidR="0007018A">
        <w:t xml:space="preserve">.  Section 117 of </w:t>
      </w:r>
      <w:r w:rsidR="007D7FA4">
        <w:t>the Act</w:t>
      </w:r>
      <w:r w:rsidR="0007018A">
        <w:t xml:space="preserve"> provides as follows:</w:t>
      </w:r>
    </w:p>
    <w:p w:rsidR="00ED5C22" w:rsidRPr="00ED5C22" w:rsidRDefault="00ED5C22" w:rsidP="00ED5C22">
      <w:pPr>
        <w:pStyle w:val="Quote1"/>
        <w:rPr>
          <w:b/>
        </w:rPr>
      </w:pPr>
      <w:r w:rsidRPr="00ED5C22">
        <w:rPr>
          <w:b/>
        </w:rPr>
        <w:t>117</w:t>
      </w:r>
      <w:r w:rsidRPr="00ED5C22">
        <w:rPr>
          <w:b/>
        </w:rPr>
        <w:tab/>
        <w:t>Infringement by supply of products</w:t>
      </w:r>
    </w:p>
    <w:p w:rsidR="00ED5C22" w:rsidRDefault="00ED5C22" w:rsidP="00ED5C22">
      <w:pPr>
        <w:pStyle w:val="Quote2"/>
        <w:ind w:left="2160" w:hanging="720"/>
      </w:pPr>
    </w:p>
    <w:p w:rsidR="00ED5C22" w:rsidRPr="00ED5C22" w:rsidRDefault="00ED5C22" w:rsidP="00ED5C22">
      <w:pPr>
        <w:pStyle w:val="Quote2"/>
        <w:ind w:left="2160" w:hanging="720"/>
      </w:pPr>
      <w:r w:rsidRPr="00ED5C22">
        <w:t>(1)</w:t>
      </w:r>
      <w:r w:rsidRPr="00ED5C22">
        <w:tab/>
        <w:t>If the use of a product by a person would infringe a patent, the supply of that product by one person to another is an infringement of the patent by the supplier unless the supplier is the patentee or licensee of the patent.</w:t>
      </w:r>
    </w:p>
    <w:p w:rsidR="00ED5C22" w:rsidRPr="00ED5C22" w:rsidRDefault="00ED5C22" w:rsidP="00ED5C22">
      <w:pPr>
        <w:pStyle w:val="Quote2"/>
        <w:ind w:left="2160" w:hanging="720"/>
      </w:pPr>
      <w:r w:rsidRPr="00ED5C22">
        <w:t>(2)</w:t>
      </w:r>
      <w:r w:rsidRPr="00ED5C22">
        <w:tab/>
        <w:t>A reference in subsection (1) to the use of a product by a person is a reference to:</w:t>
      </w:r>
    </w:p>
    <w:p w:rsidR="00ED5C22" w:rsidRPr="00ED5C22" w:rsidRDefault="00ED5C22" w:rsidP="00ED5C22">
      <w:pPr>
        <w:pStyle w:val="Quote3"/>
        <w:ind w:left="2880" w:hanging="720"/>
      </w:pPr>
      <w:r w:rsidRPr="00ED5C22">
        <w:t>(a)</w:t>
      </w:r>
      <w:r w:rsidRPr="00ED5C22">
        <w:tab/>
        <w:t>if the product is capable of only one reasonable use, having</w:t>
      </w:r>
      <w:r w:rsidR="005457AF">
        <w:t xml:space="preserve"> regard to its nature or design-</w:t>
      </w:r>
      <w:r w:rsidRPr="00ED5C22">
        <w:t>that use; or</w:t>
      </w:r>
    </w:p>
    <w:p w:rsidR="00ED5C22" w:rsidRPr="00ED5C22" w:rsidRDefault="00ED5C22" w:rsidP="00ED5C22">
      <w:pPr>
        <w:pStyle w:val="Quote3"/>
        <w:ind w:left="2880" w:hanging="720"/>
      </w:pPr>
      <w:r w:rsidRPr="00ED5C22">
        <w:t>(b)</w:t>
      </w:r>
      <w:r w:rsidRPr="00ED5C22">
        <w:tab/>
        <w:t xml:space="preserve">if the product is </w:t>
      </w:r>
      <w:r w:rsidR="005457AF">
        <w:t>not a staple commercial product-</w:t>
      </w:r>
      <w:r w:rsidRPr="00ED5C22">
        <w:t>any use of the product, if the supplier had reason to believe that the person would put it to that use; or</w:t>
      </w:r>
    </w:p>
    <w:p w:rsidR="00337200" w:rsidRPr="00ED5C22" w:rsidRDefault="005457AF" w:rsidP="00ED5C22">
      <w:pPr>
        <w:pStyle w:val="Quote3"/>
        <w:ind w:left="2880" w:hanging="720"/>
      </w:pPr>
      <w:r>
        <w:t>(c)</w:t>
      </w:r>
      <w:r>
        <w:tab/>
        <w:t>in any case-</w:t>
      </w:r>
      <w:r w:rsidR="00ED5C22" w:rsidRPr="00ED5C22">
        <w:t>the use of the product in accordance with any instructions for the use of the product, or any inducement to use the product, given to the person by the supplier or contained in an advertisement published by or with the authority of the supplier.</w:t>
      </w:r>
    </w:p>
    <w:p w:rsidR="001452EA" w:rsidRDefault="001452EA" w:rsidP="00337200">
      <w:pPr>
        <w:pStyle w:val="ParaNumbering"/>
      </w:pPr>
      <w:r>
        <w:t xml:space="preserve">Mr Kleyn gave evidence that he transferred the proprietary and intellectual property rights in the </w:t>
      </w:r>
      <w:r w:rsidR="00FC24DD">
        <w:t>ORIshot Tool</w:t>
      </w:r>
      <w:r>
        <w:t xml:space="preserve"> from Mincrest to Coretell in November 2006.  The transfer is uncorroborated by documentary or other evidence.  </w:t>
      </w:r>
    </w:p>
    <w:p w:rsidR="00F612AF" w:rsidRDefault="00FF24A9" w:rsidP="00337200">
      <w:pPr>
        <w:pStyle w:val="ParaNumbering"/>
      </w:pPr>
      <w:r>
        <w:t>Mr Kleyn</w:t>
      </w:r>
      <w:r w:rsidR="00F612AF">
        <w:t xml:space="preserve"> also gave </w:t>
      </w:r>
      <w:r>
        <w:t>evidence that Mincrest</w:t>
      </w:r>
      <w:r w:rsidR="00F612AF">
        <w:t>, trading as Camteq Instruments,</w:t>
      </w:r>
      <w:r>
        <w:t xml:space="preserve"> transferred all </w:t>
      </w:r>
      <w:r w:rsidR="00F612AF">
        <w:t xml:space="preserve">of </w:t>
      </w:r>
      <w:r>
        <w:t xml:space="preserve">its </w:t>
      </w:r>
      <w:r w:rsidR="00F612AF">
        <w:t xml:space="preserve">camera business, including the Proshot, </w:t>
      </w:r>
      <w:r>
        <w:t>to Kleyn Investments</w:t>
      </w:r>
      <w:r w:rsidR="00F612AF">
        <w:t xml:space="preserve">, trading as Camteq International Services, </w:t>
      </w:r>
      <w:r>
        <w:t xml:space="preserve">shortly before trial in the </w:t>
      </w:r>
      <w:r w:rsidR="00BB1348">
        <w:t>prior</w:t>
      </w:r>
      <w:r>
        <w:t xml:space="preserve"> proceedings heard by Justice Barker</w:t>
      </w:r>
      <w:r w:rsidR="00BB1348">
        <w:t>,</w:t>
      </w:r>
      <w:r>
        <w:t xml:space="preserve"> </w:t>
      </w:r>
      <w:r w:rsidR="00DE4EA8" w:rsidRPr="00F612AF">
        <w:t>AMC No 1</w:t>
      </w:r>
      <w:r w:rsidR="00BB1348">
        <w:t>,</w:t>
      </w:r>
      <w:r w:rsidR="00DE4EA8">
        <w:t xml:space="preserve"> </w:t>
      </w:r>
      <w:r>
        <w:t xml:space="preserve">in around February 2010, although this was an undocumented transaction.  </w:t>
      </w:r>
    </w:p>
    <w:p w:rsidR="00337200" w:rsidRDefault="00EE75CD" w:rsidP="00337200">
      <w:pPr>
        <w:pStyle w:val="ParaNumbering"/>
      </w:pPr>
      <w:r>
        <w:t>The respondents argue</w:t>
      </w:r>
      <w:r w:rsidR="00FF24A9">
        <w:t xml:space="preserve"> that liability, if any, could only be as against Coretell.  They rely on the argument that there was an undocumented transfer of assets from Camteq Instruments to Camteq International Services shortly before the previous proceeding.  This was allegedly a transfer which took place, as far as the evidence shows, only in the mind of Mr Kleyn.  There is no contemporaneous documentary corroboration of it and certainly no witness to confirm that the transfer occurred.  </w:t>
      </w:r>
      <w:r>
        <w:t>As noted above</w:t>
      </w:r>
      <w:r w:rsidR="00F612AF">
        <w:t>,</w:t>
      </w:r>
      <w:r>
        <w:t xml:space="preserve"> t</w:t>
      </w:r>
      <w:r w:rsidR="00FF24A9">
        <w:t xml:space="preserve">he applicants relied upon </w:t>
      </w:r>
      <w:r w:rsidR="00F612AF">
        <w:t xml:space="preserve">the </w:t>
      </w:r>
      <w:r w:rsidR="00FF24A9">
        <w:t xml:space="preserve">expert evidence </w:t>
      </w:r>
      <w:r w:rsidR="00F612AF">
        <w:t xml:space="preserve">of </w:t>
      </w:r>
      <w:r w:rsidR="00FF24A9">
        <w:t>Mr Ross</w:t>
      </w:r>
      <w:r>
        <w:t xml:space="preserve"> </w:t>
      </w:r>
      <w:r w:rsidR="00FF24A9">
        <w:t>to address the financial and operational involvement of Camteq Instruments and Camteq International Services in Coretell’s business</w:t>
      </w:r>
      <w:r w:rsidR="00F612AF">
        <w:t>,</w:t>
      </w:r>
      <w:r w:rsidR="00FF24A9">
        <w:t xml:space="preserve"> and the extent to which Mr Kleyn benefited from the activities </w:t>
      </w:r>
      <w:r w:rsidR="00F612AF">
        <w:t xml:space="preserve">undertaken </w:t>
      </w:r>
      <w:r w:rsidR="00FF24A9">
        <w:t xml:space="preserve">by those entities.  </w:t>
      </w:r>
    </w:p>
    <w:p w:rsidR="00E31EC3" w:rsidRDefault="00A30E88" w:rsidP="00337200">
      <w:pPr>
        <w:pStyle w:val="ParaNumbering"/>
      </w:pPr>
      <w:r>
        <w:lastRenderedPageBreak/>
        <w:t>T</w:t>
      </w:r>
      <w:r w:rsidR="00FF24A9">
        <w:t xml:space="preserve">he three corporate respondents are said to have directly infringed the System Patent by making, selling and otherwise exploiting the </w:t>
      </w:r>
      <w:r w:rsidR="00FC24DD">
        <w:t>ORIshot Tool</w:t>
      </w:r>
      <w:r w:rsidR="00FF24A9">
        <w:t xml:space="preserve">.  There are limited admissions in respect of Coretell, </w:t>
      </w:r>
      <w:r w:rsidR="00F612AF">
        <w:t xml:space="preserve">which are </w:t>
      </w:r>
      <w:r w:rsidR="00FF24A9">
        <w:t xml:space="preserve">largely to the effect that Coretell did make and supply </w:t>
      </w:r>
      <w:r w:rsidR="00F612AF">
        <w:t>V</w:t>
      </w:r>
      <w:r w:rsidR="00FF24A9">
        <w:t xml:space="preserve">ersion </w:t>
      </w:r>
      <w:r w:rsidR="00F612AF">
        <w:t xml:space="preserve">2 </w:t>
      </w:r>
      <w:r w:rsidR="00FF24A9">
        <w:t xml:space="preserve">and </w:t>
      </w:r>
      <w:r w:rsidR="00F612AF">
        <w:t xml:space="preserve">Version 3 </w:t>
      </w:r>
      <w:r w:rsidR="00FF24A9">
        <w:t xml:space="preserve">of the </w:t>
      </w:r>
      <w:r w:rsidR="00F41D3E">
        <w:t xml:space="preserve">ORIshot </w:t>
      </w:r>
      <w:r w:rsidR="00FF24A9">
        <w:t xml:space="preserve">from 16 December 2010 onwards.  In other respects, the involvement of the corporate respondents has been in contention.  </w:t>
      </w:r>
      <w:r w:rsidR="00EA05C9">
        <w:t>(</w:t>
      </w:r>
      <w:r w:rsidR="00207F86">
        <w:t xml:space="preserve">As noted by Barker J in </w:t>
      </w:r>
      <w:r w:rsidR="00F34CAC" w:rsidRPr="00F612AF">
        <w:t>AMC No 1</w:t>
      </w:r>
      <w:r w:rsidR="00F34CAC" w:rsidRPr="00EA05C9">
        <w:rPr>
          <w:i/>
        </w:rPr>
        <w:t xml:space="preserve"> </w:t>
      </w:r>
      <w:r w:rsidR="00E31EC3">
        <w:t xml:space="preserve">(at [7]) it was acknowledged that there was no relevant difference between the operation of </w:t>
      </w:r>
      <w:r w:rsidR="00F612AF">
        <w:t>V</w:t>
      </w:r>
      <w:r w:rsidR="00E31EC3">
        <w:t xml:space="preserve">ersion 1 and </w:t>
      </w:r>
      <w:r w:rsidR="00F612AF">
        <w:t>V</w:t>
      </w:r>
      <w:r w:rsidR="00E31EC3">
        <w:t xml:space="preserve">ersion 2 of the </w:t>
      </w:r>
      <w:r w:rsidR="00FC24DD">
        <w:t>ORIshot Tool</w:t>
      </w:r>
      <w:r w:rsidR="00E31EC3">
        <w:t>.</w:t>
      </w:r>
      <w:r w:rsidR="00EA05C9">
        <w:t>)</w:t>
      </w:r>
      <w:r w:rsidR="00E31EC3">
        <w:t xml:space="preserve">  </w:t>
      </w:r>
      <w:r w:rsidR="00E92FD5">
        <w:t xml:space="preserve">The respondents’ pleadings dispute that Coretell made and supplied </w:t>
      </w:r>
      <w:r w:rsidR="00F612AF">
        <w:t>V</w:t>
      </w:r>
      <w:r w:rsidR="00E92FD5">
        <w:t xml:space="preserve">ersion 1 of the </w:t>
      </w:r>
      <w:r w:rsidR="00FC24DD">
        <w:t>ORIshot Tool</w:t>
      </w:r>
      <w:r w:rsidR="00EA05C9">
        <w:t xml:space="preserve">. </w:t>
      </w:r>
      <w:r w:rsidR="00E92FD5">
        <w:t xml:space="preserve"> </w:t>
      </w:r>
      <w:r w:rsidR="00EA05C9">
        <w:t xml:space="preserve">The respondents also contend that </w:t>
      </w:r>
      <w:r w:rsidR="00E92FD5">
        <w:t xml:space="preserve">the date of production of </w:t>
      </w:r>
      <w:r w:rsidR="00F612AF">
        <w:t>V</w:t>
      </w:r>
      <w:r w:rsidR="00E92FD5">
        <w:t xml:space="preserve">ersion 1 is at a date outside the period in respect of which </w:t>
      </w:r>
      <w:r w:rsidR="00EA05C9">
        <w:t xml:space="preserve">there is </w:t>
      </w:r>
      <w:r w:rsidR="00E92FD5">
        <w:t>any capacity for the applicants to pursue proc</w:t>
      </w:r>
      <w:r w:rsidR="00F612AF">
        <w:t>eedings for patent infringement</w:t>
      </w:r>
      <w:r w:rsidR="00E92FD5">
        <w:t>.  The responden</w:t>
      </w:r>
      <w:r w:rsidR="00EA05C9">
        <w:t xml:space="preserve">ts also dispute that Mincrest </w:t>
      </w:r>
      <w:r w:rsidR="00F612AF">
        <w:t>(</w:t>
      </w:r>
      <w:r w:rsidR="00E92FD5">
        <w:t>Camteq Instruments</w:t>
      </w:r>
      <w:r w:rsidR="00F612AF">
        <w:t>)</w:t>
      </w:r>
      <w:r w:rsidR="00E92FD5">
        <w:t xml:space="preserve"> </w:t>
      </w:r>
      <w:r w:rsidR="00131417">
        <w:t xml:space="preserve">or Kleyn Investments </w:t>
      </w:r>
      <w:r w:rsidR="00F612AF">
        <w:t>(</w:t>
      </w:r>
      <w:r w:rsidR="00131417">
        <w:t>Camteq International Services</w:t>
      </w:r>
      <w:r w:rsidR="00F612AF">
        <w:t>)</w:t>
      </w:r>
      <w:r w:rsidR="00131417">
        <w:t xml:space="preserve"> have engaged in any relevant conduct.  </w:t>
      </w:r>
    </w:p>
    <w:p w:rsidR="00131417" w:rsidRDefault="00131417" w:rsidP="00337200">
      <w:pPr>
        <w:pStyle w:val="ParaNumbering"/>
      </w:pPr>
      <w:r>
        <w:t xml:space="preserve">The </w:t>
      </w:r>
      <w:r w:rsidR="00E155DA">
        <w:t xml:space="preserve">applicants </w:t>
      </w:r>
      <w:r w:rsidR="002817D9">
        <w:t xml:space="preserve">argue </w:t>
      </w:r>
      <w:r w:rsidR="00E155DA">
        <w:t xml:space="preserve">that </w:t>
      </w:r>
      <w:r w:rsidR="00096A3E">
        <w:t>t</w:t>
      </w:r>
      <w:r w:rsidR="00E155DA">
        <w:t xml:space="preserve">his position is untenable.  The applicants rely </w:t>
      </w:r>
      <w:r w:rsidR="00096A3E">
        <w:t>upon the second further amended particulars of infringement by which the following matters are listed</w:t>
      </w:r>
      <w:r w:rsidR="005761A7">
        <w:t xml:space="preserve"> (at [2]-[20])</w:t>
      </w:r>
      <w:r w:rsidR="00096A3E">
        <w:t>:</w:t>
      </w:r>
    </w:p>
    <w:p w:rsidR="00096A3E" w:rsidRPr="00096A3E" w:rsidRDefault="00096A3E" w:rsidP="00096A3E">
      <w:pPr>
        <w:pStyle w:val="Quote1"/>
        <w:rPr>
          <w:b/>
          <w:i/>
        </w:rPr>
      </w:pPr>
      <w:r w:rsidRPr="00096A3E">
        <w:rPr>
          <w:b/>
          <w:i/>
        </w:rPr>
        <w:t>Manufacture in Australia</w:t>
      </w:r>
    </w:p>
    <w:p w:rsidR="00096A3E" w:rsidRDefault="00096A3E" w:rsidP="00096A3E">
      <w:pPr>
        <w:pStyle w:val="Quote1"/>
      </w:pPr>
    </w:p>
    <w:p w:rsidR="00096A3E" w:rsidRDefault="00096A3E" w:rsidP="00096A3E">
      <w:pPr>
        <w:pStyle w:val="Quote1"/>
      </w:pPr>
      <w:r>
        <w:t>2.</w:t>
      </w:r>
      <w:r>
        <w:tab/>
      </w:r>
      <w:r w:rsidR="00A30E88">
        <w:t>[Coretell]</w:t>
      </w:r>
      <w:r>
        <w:t>:</w:t>
      </w:r>
    </w:p>
    <w:p w:rsidR="00096A3E" w:rsidRDefault="00096A3E" w:rsidP="00096A3E">
      <w:pPr>
        <w:pStyle w:val="Quote2"/>
        <w:ind w:left="2160" w:hanging="720"/>
      </w:pPr>
      <w:r>
        <w:t>(i)</w:t>
      </w:r>
      <w:r>
        <w:tab/>
        <w:t>from about November 2006 to about July 2007 manufactured the “Camteq ORI-tool” core orientation tool, as described in the document entitled “Orientation Tool quick user guide”, formerly available at http:www.camteq.com.au\Quickuserguide (</w:t>
      </w:r>
      <w:r w:rsidRPr="00F023B9">
        <w:rPr>
          <w:b/>
        </w:rPr>
        <w:t>Version 1</w:t>
      </w:r>
      <w:r>
        <w:t>);</w:t>
      </w:r>
    </w:p>
    <w:p w:rsidR="00AA7193" w:rsidRDefault="00096A3E" w:rsidP="00F023B9">
      <w:pPr>
        <w:pStyle w:val="Quote2"/>
        <w:ind w:left="2160" w:hanging="720"/>
      </w:pPr>
      <w:r>
        <w:t>(ii)</w:t>
      </w:r>
      <w:r>
        <w:tab/>
        <w:t>since about November 2008 has manufactured, and continues to manufacture,</w:t>
      </w:r>
      <w:r w:rsidR="00F023B9">
        <w:t xml:space="preserve"> </w:t>
      </w:r>
      <w:r>
        <w:t>the “ORIshot” core orientation tool, model numbers CNPS100 and CNH100,</w:t>
      </w:r>
      <w:r w:rsidR="00F023B9">
        <w:t xml:space="preserve"> as described in the document entitled “ORIshot multifunction Orientation</w:t>
      </w:r>
      <w:r w:rsidR="00AA7193">
        <w:t xml:space="preserve"> </w:t>
      </w:r>
      <w:r w:rsidR="00F023B9">
        <w:t>Instrument - User Manual” (2009) (</w:t>
      </w:r>
      <w:r w:rsidR="00F023B9" w:rsidRPr="00AA7193">
        <w:rPr>
          <w:b/>
        </w:rPr>
        <w:t>Version 2</w:t>
      </w:r>
      <w:r w:rsidR="00F023B9">
        <w:t>); and</w:t>
      </w:r>
      <w:r w:rsidR="00AA7193">
        <w:t xml:space="preserve"> </w:t>
      </w:r>
    </w:p>
    <w:p w:rsidR="00F023B9" w:rsidRDefault="00AA7193" w:rsidP="00F023B9">
      <w:pPr>
        <w:pStyle w:val="Quote2"/>
        <w:ind w:left="2160" w:hanging="720"/>
      </w:pPr>
      <w:r>
        <w:t>(iii)</w:t>
      </w:r>
      <w:r>
        <w:tab/>
      </w:r>
      <w:r w:rsidR="00F023B9">
        <w:t>since about May 2012 has manufactured, and continues to manufacture, the</w:t>
      </w:r>
      <w:r>
        <w:t xml:space="preserve"> </w:t>
      </w:r>
      <w:r w:rsidR="00F023B9">
        <w:t>“ORIshot” core orientation tool, model numbers CNPS100 and CNH100, as</w:t>
      </w:r>
      <w:r>
        <w:t xml:space="preserve"> </w:t>
      </w:r>
      <w:r w:rsidR="00F023B9">
        <w:t>described in the document entitled “ORIshot multifunction Orientation</w:t>
      </w:r>
      <w:r>
        <w:t xml:space="preserve"> </w:t>
      </w:r>
      <w:r w:rsidR="00F023B9">
        <w:t>Instrument - User Manual” available at</w:t>
      </w:r>
      <w:r>
        <w:t xml:space="preserve"> </w:t>
      </w:r>
      <w:r w:rsidR="00F023B9">
        <w:t>http://www.coretell.com.au/ppp_oritool.htm (</w:t>
      </w:r>
      <w:r w:rsidR="00F023B9" w:rsidRPr="00AA7193">
        <w:rPr>
          <w:b/>
        </w:rPr>
        <w:t>Version 3</w:t>
      </w:r>
      <w:r w:rsidR="00F023B9">
        <w:t>),</w:t>
      </w:r>
    </w:p>
    <w:p w:rsidR="00AA7193" w:rsidRDefault="00AA7193" w:rsidP="00F023B9">
      <w:pPr>
        <w:pStyle w:val="Quote2"/>
        <w:ind w:left="2160" w:hanging="720"/>
      </w:pPr>
    </w:p>
    <w:p w:rsidR="00F023B9" w:rsidRDefault="00F023B9" w:rsidP="00AA7193">
      <w:pPr>
        <w:pStyle w:val="Quote2"/>
      </w:pPr>
      <w:r w:rsidRPr="00F612AF">
        <w:t>(</w:t>
      </w:r>
      <w:r w:rsidRPr="00AA7193">
        <w:rPr>
          <w:b/>
        </w:rPr>
        <w:t xml:space="preserve">Version 1, Version 2 and Version 3 </w:t>
      </w:r>
      <w:r w:rsidRPr="00F612AF">
        <w:t>together being referred to below as the</w:t>
      </w:r>
      <w:r w:rsidRPr="00AA7193">
        <w:rPr>
          <w:b/>
        </w:rPr>
        <w:t xml:space="preserve"> Coretell</w:t>
      </w:r>
      <w:r w:rsidR="00AA7193" w:rsidRPr="00AA7193">
        <w:rPr>
          <w:b/>
        </w:rPr>
        <w:t xml:space="preserve"> </w:t>
      </w:r>
      <w:r w:rsidRPr="00AA7193">
        <w:rPr>
          <w:b/>
        </w:rPr>
        <w:t>Equipment</w:t>
      </w:r>
      <w:r>
        <w:t>).</w:t>
      </w:r>
    </w:p>
    <w:p w:rsidR="00AA7193" w:rsidRDefault="00AA7193" w:rsidP="00F023B9">
      <w:pPr>
        <w:pStyle w:val="Quote2"/>
        <w:ind w:left="2160" w:hanging="720"/>
      </w:pPr>
    </w:p>
    <w:p w:rsidR="00F023B9" w:rsidRDefault="00AA7193" w:rsidP="00AA7193">
      <w:pPr>
        <w:pStyle w:val="Quote1"/>
        <w:ind w:left="1440" w:hanging="703"/>
      </w:pPr>
      <w:r>
        <w:t>3.</w:t>
      </w:r>
      <w:r>
        <w:tab/>
      </w:r>
      <w:r w:rsidR="00840F24">
        <w:t>[Mincrest]</w:t>
      </w:r>
      <w:r w:rsidR="00F023B9">
        <w:t xml:space="preserve"> manufactured </w:t>
      </w:r>
      <w:r w:rsidR="00F023B9" w:rsidRPr="00AA7193">
        <w:rPr>
          <w:b/>
        </w:rPr>
        <w:t>Version 1</w:t>
      </w:r>
      <w:r w:rsidR="00F023B9">
        <w:t xml:space="preserve"> of the </w:t>
      </w:r>
      <w:r w:rsidR="00F023B9" w:rsidRPr="00AA7193">
        <w:rPr>
          <w:b/>
        </w:rPr>
        <w:t>Coretell Equipment</w:t>
      </w:r>
      <w:r w:rsidR="00F023B9">
        <w:t xml:space="preserve"> from</w:t>
      </w:r>
      <w:r>
        <w:t xml:space="preserve"> </w:t>
      </w:r>
      <w:r w:rsidR="00F023B9">
        <w:t>before 5 September 2005 to about November 2006.</w:t>
      </w:r>
    </w:p>
    <w:p w:rsidR="00AA7193" w:rsidRDefault="00AA7193" w:rsidP="00AA7193">
      <w:pPr>
        <w:pStyle w:val="Quote1"/>
      </w:pPr>
    </w:p>
    <w:p w:rsidR="00F023B9" w:rsidRDefault="00AA7193" w:rsidP="00AA7193">
      <w:pPr>
        <w:pStyle w:val="Quote1"/>
        <w:ind w:left="1440" w:hanging="703"/>
      </w:pPr>
      <w:r>
        <w:t>4.</w:t>
      </w:r>
      <w:r>
        <w:tab/>
      </w:r>
      <w:r w:rsidR="00F023B9">
        <w:t xml:space="preserve">In about October 2008, </w:t>
      </w:r>
      <w:r w:rsidR="00840F24">
        <w:t>[Coretell]</w:t>
      </w:r>
      <w:r w:rsidR="00F023B9">
        <w:t xml:space="preserve"> entered into a</w:t>
      </w:r>
      <w:r>
        <w:t xml:space="preserve"> </w:t>
      </w:r>
      <w:r w:rsidR="00F023B9">
        <w:t>development and manufacturing agreement with the entity referred to in item 1 of the</w:t>
      </w:r>
      <w:r>
        <w:t xml:space="preserve"> </w:t>
      </w:r>
      <w:r w:rsidR="00F023B9">
        <w:t xml:space="preserve">Confidential Schedule, and that entity developed </w:t>
      </w:r>
      <w:r w:rsidR="00F023B9" w:rsidRPr="00AA7193">
        <w:rPr>
          <w:b/>
        </w:rPr>
        <w:t>Version 2</w:t>
      </w:r>
      <w:r w:rsidR="00F023B9">
        <w:t xml:space="preserve"> and </w:t>
      </w:r>
      <w:r w:rsidR="00F023B9" w:rsidRPr="00AA7193">
        <w:rPr>
          <w:b/>
        </w:rPr>
        <w:t>Version 3</w:t>
      </w:r>
      <w:r w:rsidR="00F023B9">
        <w:t xml:space="preserve"> of the</w:t>
      </w:r>
      <w:r>
        <w:t xml:space="preserve"> </w:t>
      </w:r>
      <w:r w:rsidR="00F023B9" w:rsidRPr="00AA7193">
        <w:rPr>
          <w:b/>
        </w:rPr>
        <w:t>Coretell Equipment</w:t>
      </w:r>
      <w:r w:rsidR="00F023B9">
        <w:t xml:space="preserve"> in Australia pursuant to the terms of that agreement.</w:t>
      </w:r>
    </w:p>
    <w:p w:rsidR="00AA7193" w:rsidRDefault="00AA7193" w:rsidP="00AA7193">
      <w:pPr>
        <w:pStyle w:val="Quote1"/>
      </w:pPr>
    </w:p>
    <w:p w:rsidR="00F023B9" w:rsidRDefault="00AA7193" w:rsidP="00AA7193">
      <w:pPr>
        <w:pStyle w:val="Quote1"/>
        <w:ind w:left="1440" w:hanging="703"/>
      </w:pPr>
      <w:r>
        <w:lastRenderedPageBreak/>
        <w:t>5.</w:t>
      </w:r>
      <w:r>
        <w:tab/>
      </w:r>
      <w:r w:rsidR="00F023B9">
        <w:t xml:space="preserve">Before 5 September 2005, </w:t>
      </w:r>
      <w:r w:rsidR="00840F24">
        <w:t>[Mincrest]</w:t>
      </w:r>
      <w:r w:rsidR="00F023B9">
        <w:t xml:space="preserve"> entered into a development and</w:t>
      </w:r>
      <w:r>
        <w:t xml:space="preserve"> </w:t>
      </w:r>
      <w:r w:rsidR="00F023B9">
        <w:t>manufacturing agreement with the person referred to in item 2 of the Confidential</w:t>
      </w:r>
      <w:r>
        <w:t xml:space="preserve"> </w:t>
      </w:r>
      <w:r w:rsidR="00F023B9">
        <w:t xml:space="preserve">Schedule, and that person developed </w:t>
      </w:r>
      <w:r w:rsidR="00F023B9" w:rsidRPr="00AA7193">
        <w:rPr>
          <w:b/>
        </w:rPr>
        <w:t>Version 1</w:t>
      </w:r>
      <w:r w:rsidR="00F023B9">
        <w:t xml:space="preserve"> of the </w:t>
      </w:r>
      <w:r w:rsidR="00F023B9" w:rsidRPr="00AA7193">
        <w:rPr>
          <w:b/>
        </w:rPr>
        <w:t>Coretell Equipment</w:t>
      </w:r>
      <w:r w:rsidR="00F023B9">
        <w:t xml:space="preserve"> in</w:t>
      </w:r>
      <w:r>
        <w:t xml:space="preserve"> </w:t>
      </w:r>
      <w:r w:rsidR="00F023B9">
        <w:t>Australia pursuant to the terms of that agreement.</w:t>
      </w:r>
    </w:p>
    <w:p w:rsidR="00AA7193" w:rsidRDefault="00AA7193" w:rsidP="00AA7193">
      <w:pPr>
        <w:pStyle w:val="Quote1"/>
      </w:pPr>
    </w:p>
    <w:p w:rsidR="00F023B9" w:rsidRPr="00AA7193" w:rsidRDefault="00F023B9" w:rsidP="00AA7193">
      <w:pPr>
        <w:pStyle w:val="Quote1"/>
        <w:rPr>
          <w:b/>
          <w:i/>
        </w:rPr>
      </w:pPr>
      <w:r w:rsidRPr="00AA7193">
        <w:rPr>
          <w:b/>
          <w:i/>
        </w:rPr>
        <w:t>Sale and supply in Australia</w:t>
      </w:r>
    </w:p>
    <w:p w:rsidR="00AA7193" w:rsidRDefault="00AA7193" w:rsidP="00AA7193">
      <w:pPr>
        <w:pStyle w:val="Quote1"/>
      </w:pPr>
    </w:p>
    <w:p w:rsidR="00F023B9" w:rsidRDefault="00AA7193" w:rsidP="00AA7193">
      <w:pPr>
        <w:pStyle w:val="Quote1"/>
        <w:ind w:left="1440" w:hanging="703"/>
      </w:pPr>
      <w:r>
        <w:t>6.</w:t>
      </w:r>
      <w:r>
        <w:tab/>
      </w:r>
      <w:r w:rsidR="00840F24">
        <w:t>[Coretell]</w:t>
      </w:r>
      <w:r w:rsidR="00F023B9">
        <w:t xml:space="preserve"> has sold, supplied and offered the </w:t>
      </w:r>
      <w:r w:rsidR="00F023B9" w:rsidRPr="00F612AF">
        <w:rPr>
          <w:b/>
        </w:rPr>
        <w:t>Coretell Equipment</w:t>
      </w:r>
      <w:r w:rsidR="00F023B9">
        <w:t xml:space="preserve"> to</w:t>
      </w:r>
      <w:r>
        <w:t xml:space="preserve"> </w:t>
      </w:r>
      <w:r w:rsidR="00F023B9">
        <w:t>customers in Australia including to the following customers on or about the dates</w:t>
      </w:r>
      <w:r>
        <w:t xml:space="preserve"> </w:t>
      </w:r>
      <w:r w:rsidR="00F023B9">
        <w:t xml:space="preserve">identified in </w:t>
      </w:r>
      <w:r w:rsidR="00840F24">
        <w:t>[Coretell’s]</w:t>
      </w:r>
      <w:r w:rsidR="00F023B9">
        <w:t xml:space="preserve"> confidential general ledgers (2007-2011):</w:t>
      </w:r>
    </w:p>
    <w:p w:rsidR="00F023B9" w:rsidRDefault="00AA7193" w:rsidP="00AA7193">
      <w:pPr>
        <w:pStyle w:val="Quote2"/>
      </w:pPr>
      <w:r>
        <w:t>(i)</w:t>
      </w:r>
      <w:r>
        <w:tab/>
      </w:r>
      <w:r w:rsidR="00F023B9">
        <w:t>Macquarie Drilling Pty Ltd;</w:t>
      </w:r>
    </w:p>
    <w:p w:rsidR="00F023B9" w:rsidRDefault="00AA7193" w:rsidP="00AA7193">
      <w:pPr>
        <w:pStyle w:val="Quote2"/>
      </w:pPr>
      <w:r>
        <w:t>(ii)</w:t>
      </w:r>
      <w:r>
        <w:tab/>
      </w:r>
      <w:r w:rsidR="00F023B9">
        <w:t>Tom Browne Drilling Services Pty Ltd;</w:t>
      </w:r>
    </w:p>
    <w:p w:rsidR="00096A3E" w:rsidRDefault="00F023B9" w:rsidP="00AA7193">
      <w:pPr>
        <w:pStyle w:val="Quote2"/>
      </w:pPr>
      <w:r>
        <w:t>(iii)</w:t>
      </w:r>
      <w:r w:rsidR="00AA7193">
        <w:tab/>
      </w:r>
      <w:r>
        <w:t>Australian Exploration Drilling Co Pty Ltd;</w:t>
      </w:r>
    </w:p>
    <w:p w:rsidR="00AA7193" w:rsidRDefault="00AA7193" w:rsidP="00AA7193">
      <w:pPr>
        <w:pStyle w:val="Quote2"/>
      </w:pPr>
      <w:r>
        <w:t>(iv)</w:t>
      </w:r>
      <w:r>
        <w:tab/>
        <w:t>Australian Mineral &amp; Waterwell Drilling Pty Ltd;</w:t>
      </w:r>
    </w:p>
    <w:p w:rsidR="00AA7193" w:rsidRDefault="00AA7193" w:rsidP="00AA7193">
      <w:pPr>
        <w:pStyle w:val="Quote2"/>
      </w:pPr>
      <w:r>
        <w:t>(v)</w:t>
      </w:r>
      <w:r>
        <w:tab/>
        <w:t>DDH1 Drilling Pty Ltd;</w:t>
      </w:r>
    </w:p>
    <w:p w:rsidR="00AA7193" w:rsidRDefault="00AA7193" w:rsidP="00AA7193">
      <w:pPr>
        <w:pStyle w:val="Quote2"/>
      </w:pPr>
      <w:r>
        <w:t>(vi)</w:t>
      </w:r>
      <w:r>
        <w:tab/>
        <w:t>Budd Drilling Pty Ltd;</w:t>
      </w:r>
    </w:p>
    <w:p w:rsidR="00AA7193" w:rsidRDefault="00AA7193" w:rsidP="00AA7193">
      <w:pPr>
        <w:pStyle w:val="Quote2"/>
      </w:pPr>
      <w:r>
        <w:t>(vii)</w:t>
      </w:r>
      <w:r>
        <w:tab/>
        <w:t>War (NQ) Pty Ltd;</w:t>
      </w:r>
    </w:p>
    <w:p w:rsidR="00AA7193" w:rsidRDefault="00AA7193" w:rsidP="00AA7193">
      <w:pPr>
        <w:pStyle w:val="Quote2"/>
      </w:pPr>
      <w:r>
        <w:t>(viii)</w:t>
      </w:r>
      <w:r>
        <w:tab/>
        <w:t>Deepcore Drilling Pty Ltd; and</w:t>
      </w:r>
    </w:p>
    <w:p w:rsidR="00AA7193" w:rsidRDefault="00AA7193" w:rsidP="00AA7193">
      <w:pPr>
        <w:pStyle w:val="Quote2"/>
      </w:pPr>
      <w:r>
        <w:t>(xi)</w:t>
      </w:r>
      <w:r>
        <w:tab/>
        <w:t>Australian Contract Mining Pty Ltd.</w:t>
      </w:r>
    </w:p>
    <w:p w:rsidR="00AA7193" w:rsidRDefault="00AA7193" w:rsidP="00AA7193">
      <w:pPr>
        <w:pStyle w:val="Quote1"/>
      </w:pPr>
    </w:p>
    <w:p w:rsidR="00AA7193" w:rsidRDefault="00AA7193" w:rsidP="00AA7193">
      <w:pPr>
        <w:pStyle w:val="Quote1"/>
        <w:ind w:left="1440" w:hanging="703"/>
      </w:pPr>
      <w:r>
        <w:t>7.</w:t>
      </w:r>
      <w:r>
        <w:tab/>
      </w:r>
      <w:r w:rsidR="00840F24">
        <w:t>[Coretell]</w:t>
      </w:r>
      <w:r>
        <w:t xml:space="preserve"> has sold, supplied and offered the </w:t>
      </w:r>
      <w:r w:rsidRPr="00AA7193">
        <w:rPr>
          <w:b/>
        </w:rPr>
        <w:t>Coretell Equipment</w:t>
      </w:r>
      <w:r>
        <w:t xml:space="preserve"> for sale or supply to suppliers in Australia including to the following suppliers on or about the dates identified in </w:t>
      </w:r>
      <w:r w:rsidR="00B05DBB">
        <w:t>[Coretell’s]</w:t>
      </w:r>
      <w:r>
        <w:t xml:space="preserve"> confidential general ledgers (2007-2011) under the description “Agent”:</w:t>
      </w:r>
    </w:p>
    <w:p w:rsidR="00AA7193" w:rsidRDefault="00AA7193" w:rsidP="00AA7193">
      <w:pPr>
        <w:pStyle w:val="Quote2"/>
        <w:ind w:left="2160" w:hanging="720"/>
      </w:pPr>
      <w:r>
        <w:t>(i)</w:t>
      </w:r>
      <w:r>
        <w:tab/>
        <w:t>Drillshop Pty Ltd (trading as the Drill Shop);</w:t>
      </w:r>
    </w:p>
    <w:p w:rsidR="00AA7193" w:rsidRDefault="00AA7193" w:rsidP="00AA7193">
      <w:pPr>
        <w:pStyle w:val="Quote2"/>
        <w:ind w:left="2160" w:hanging="720"/>
      </w:pPr>
      <w:r>
        <w:t>(ii)</w:t>
      </w:r>
      <w:r>
        <w:tab/>
        <w:t>Asahi Diamond Industrial Australia Pty Ltd;,</w:t>
      </w:r>
    </w:p>
    <w:p w:rsidR="00AA7193" w:rsidRDefault="00AA7193" w:rsidP="00AA7193">
      <w:pPr>
        <w:pStyle w:val="Quote2"/>
      </w:pPr>
      <w:r>
        <w:t xml:space="preserve">and such suppliers have sold, supplied and offered the </w:t>
      </w:r>
      <w:r w:rsidRPr="00AA7193">
        <w:rPr>
          <w:b/>
        </w:rPr>
        <w:t>Coretell Equipment</w:t>
      </w:r>
      <w:r>
        <w:t xml:space="preserve"> for sale or supply in Australia.</w:t>
      </w:r>
    </w:p>
    <w:p w:rsidR="0014051F" w:rsidRDefault="0014051F" w:rsidP="0014051F">
      <w:pPr>
        <w:pStyle w:val="Quote1"/>
      </w:pPr>
    </w:p>
    <w:p w:rsidR="00AA7193" w:rsidRDefault="0014051F" w:rsidP="0014051F">
      <w:pPr>
        <w:pStyle w:val="Quote1"/>
        <w:ind w:left="1440" w:hanging="703"/>
      </w:pPr>
      <w:r>
        <w:t>8.</w:t>
      </w:r>
      <w:r>
        <w:tab/>
      </w:r>
      <w:r w:rsidR="00B05DBB">
        <w:t>[Mincrest]</w:t>
      </w:r>
      <w:r w:rsidR="00AA7193">
        <w:t xml:space="preserve"> has sold, supplied and offered the </w:t>
      </w:r>
      <w:r w:rsidR="00AA7193" w:rsidRPr="00450764">
        <w:rPr>
          <w:b/>
        </w:rPr>
        <w:t>Coretell Equipment</w:t>
      </w:r>
      <w:r w:rsidR="00AA7193">
        <w:t xml:space="preserve"> to</w:t>
      </w:r>
      <w:r>
        <w:t xml:space="preserve"> </w:t>
      </w:r>
      <w:r w:rsidR="00AA7193">
        <w:t>customers in Australia including by:</w:t>
      </w:r>
    </w:p>
    <w:p w:rsidR="00AA7193" w:rsidRDefault="0014051F" w:rsidP="0014051F">
      <w:pPr>
        <w:pStyle w:val="Quote2"/>
        <w:ind w:left="2160" w:hanging="720"/>
      </w:pPr>
      <w:r>
        <w:t>(i)</w:t>
      </w:r>
      <w:r>
        <w:tab/>
      </w:r>
      <w:r w:rsidR="00AA7193">
        <w:t xml:space="preserve">advertising </w:t>
      </w:r>
      <w:r w:rsidR="00AA7193" w:rsidRPr="0014051F">
        <w:rPr>
          <w:b/>
        </w:rPr>
        <w:t>Version 1</w:t>
      </w:r>
      <w:r w:rsidR="00AA7193">
        <w:t xml:space="preserve"> for sale or supply to customers in Australia on the</w:t>
      </w:r>
      <w:r>
        <w:t xml:space="preserve"> </w:t>
      </w:r>
      <w:r w:rsidR="00AA7193">
        <w:t>website www.camteq.com.au from before 5 September 2005 to at least 3 March 2007;</w:t>
      </w:r>
    </w:p>
    <w:p w:rsidR="00AA7193" w:rsidRDefault="0014051F" w:rsidP="0014051F">
      <w:pPr>
        <w:pStyle w:val="Quote2"/>
        <w:ind w:left="2160" w:hanging="720"/>
      </w:pPr>
      <w:r>
        <w:t>(ii)</w:t>
      </w:r>
      <w:r>
        <w:tab/>
      </w:r>
      <w:r w:rsidR="00AA7193">
        <w:t xml:space="preserve">offering the </w:t>
      </w:r>
      <w:r w:rsidR="00AA7193" w:rsidRPr="0014051F">
        <w:rPr>
          <w:b/>
        </w:rPr>
        <w:t>Coretell Equipment</w:t>
      </w:r>
      <w:r w:rsidR="00AA7193">
        <w:t xml:space="preserve"> to customers in Australia calling the telephone</w:t>
      </w:r>
      <w:r>
        <w:t xml:space="preserve"> </w:t>
      </w:r>
      <w:r w:rsidR="00AA7193">
        <w:t>number listed on www.camteq.com.au or contacting Camteq Instruments since</w:t>
      </w:r>
      <w:r>
        <w:t xml:space="preserve"> </w:t>
      </w:r>
      <w:r w:rsidR="00AA7193">
        <w:t>before 5 September 2005; and</w:t>
      </w:r>
    </w:p>
    <w:p w:rsidR="00AA7193" w:rsidRDefault="0014051F" w:rsidP="0014051F">
      <w:pPr>
        <w:pStyle w:val="Quote2"/>
        <w:ind w:left="2160" w:hanging="720"/>
      </w:pPr>
      <w:r>
        <w:t>(iii)</w:t>
      </w:r>
      <w:r>
        <w:tab/>
      </w:r>
      <w:r w:rsidR="00AA7193">
        <w:t xml:space="preserve">supplying the </w:t>
      </w:r>
      <w:r w:rsidR="00AA7193" w:rsidRPr="0014051F">
        <w:rPr>
          <w:b/>
        </w:rPr>
        <w:t>Coretell Equipment</w:t>
      </w:r>
      <w:r w:rsidR="00AA7193">
        <w:t xml:space="preserve"> to customers in Australia requiring survey</w:t>
      </w:r>
      <w:r>
        <w:t xml:space="preserve"> </w:t>
      </w:r>
      <w:r w:rsidR="00AA7193">
        <w:t>and/or core orientation equipment since before 5 September 2005, including</w:t>
      </w:r>
      <w:r>
        <w:t xml:space="preserve"> </w:t>
      </w:r>
      <w:r w:rsidR="00AA7193">
        <w:t>supplies made to the entity referred to in item 13 of the Confidential Schedule</w:t>
      </w:r>
      <w:r>
        <w:t xml:space="preserve"> </w:t>
      </w:r>
      <w:r w:rsidR="00AA7193">
        <w:t>on 31 January 2007.</w:t>
      </w:r>
    </w:p>
    <w:p w:rsidR="0014051F" w:rsidRDefault="0014051F" w:rsidP="00464FB5">
      <w:pPr>
        <w:pStyle w:val="Quote1"/>
      </w:pPr>
    </w:p>
    <w:p w:rsidR="00AA7193" w:rsidRDefault="00464FB5" w:rsidP="00464FB5">
      <w:pPr>
        <w:pStyle w:val="Quote1"/>
        <w:ind w:left="1440" w:hanging="703"/>
      </w:pPr>
      <w:r>
        <w:t>9.</w:t>
      </w:r>
      <w:r>
        <w:tab/>
      </w:r>
      <w:r w:rsidR="00B05DBB">
        <w:t xml:space="preserve">[Mincrest] </w:t>
      </w:r>
      <w:r w:rsidR="00AA7193">
        <w:t>has since about November 2011 sold, supplied and offered</w:t>
      </w:r>
      <w:r>
        <w:t xml:space="preserve"> </w:t>
      </w:r>
      <w:r w:rsidR="00AA7193">
        <w:t xml:space="preserve">the </w:t>
      </w:r>
      <w:r w:rsidR="00AA7193" w:rsidRPr="00464FB5">
        <w:rPr>
          <w:b/>
        </w:rPr>
        <w:t>Coretell Equipment</w:t>
      </w:r>
      <w:r w:rsidR="00AA7193">
        <w:t xml:space="preserve"> to the distribution agent referred to in item 3 of the</w:t>
      </w:r>
      <w:r>
        <w:t xml:space="preserve"> </w:t>
      </w:r>
      <w:r w:rsidR="00AA7193">
        <w:t>Confidential Schedule pursuant to its obligations under a confidential agreement with</w:t>
      </w:r>
      <w:r>
        <w:t xml:space="preserve"> </w:t>
      </w:r>
      <w:r w:rsidR="00AA7193">
        <w:t xml:space="preserve">that entity, and such agent has sold, supplied and offered the </w:t>
      </w:r>
      <w:r w:rsidR="00AA7193" w:rsidRPr="00464FB5">
        <w:rPr>
          <w:b/>
        </w:rPr>
        <w:t>Coretell Equipment</w:t>
      </w:r>
      <w:r w:rsidR="00AA7193">
        <w:t xml:space="preserve"> for</w:t>
      </w:r>
      <w:r>
        <w:t xml:space="preserve"> </w:t>
      </w:r>
      <w:r w:rsidR="00AA7193">
        <w:t>sale or supply in Australia, including under the description “</w:t>
      </w:r>
      <w:r w:rsidR="00AA7193" w:rsidRPr="00464FB5">
        <w:rPr>
          <w:b/>
        </w:rPr>
        <w:t>Camteq – Ori-Shot –</w:t>
      </w:r>
      <w:r w:rsidRPr="00464FB5">
        <w:rPr>
          <w:b/>
        </w:rPr>
        <w:t xml:space="preserve"> </w:t>
      </w:r>
      <w:r w:rsidR="00AA7193" w:rsidRPr="00464FB5">
        <w:rPr>
          <w:b/>
        </w:rPr>
        <w:t>Backend core orientation device</w:t>
      </w:r>
      <w:r w:rsidR="00AA7193">
        <w:t>”.</w:t>
      </w:r>
    </w:p>
    <w:p w:rsidR="00464FB5" w:rsidRDefault="00464FB5" w:rsidP="00464FB5">
      <w:pPr>
        <w:pStyle w:val="Quote1"/>
      </w:pPr>
    </w:p>
    <w:p w:rsidR="00464FB5" w:rsidRDefault="00464FB5" w:rsidP="00464FB5">
      <w:pPr>
        <w:pStyle w:val="Quote1"/>
        <w:ind w:left="1440" w:hanging="703"/>
      </w:pPr>
      <w:r>
        <w:t>10.</w:t>
      </w:r>
      <w:r>
        <w:tab/>
      </w:r>
      <w:r w:rsidR="00B05DBB">
        <w:t>[</w:t>
      </w:r>
      <w:r w:rsidR="00450764">
        <w:t>Kleyn Investments</w:t>
      </w:r>
      <w:r w:rsidR="00B05DBB">
        <w:t>]</w:t>
      </w:r>
      <w:r w:rsidR="00AA7193">
        <w:t xml:space="preserve"> has sold, supplied and offered the Coretell Equipment to</w:t>
      </w:r>
      <w:r>
        <w:t xml:space="preserve"> </w:t>
      </w:r>
      <w:r w:rsidR="00AA7193">
        <w:t>customers in Australia including:</w:t>
      </w:r>
    </w:p>
    <w:p w:rsidR="00AA7193" w:rsidRDefault="00464FB5" w:rsidP="00464FB5">
      <w:pPr>
        <w:pStyle w:val="Quote2"/>
        <w:ind w:left="2160" w:hanging="720"/>
      </w:pPr>
      <w:r>
        <w:t>(i)</w:t>
      </w:r>
      <w:r>
        <w:tab/>
      </w:r>
      <w:r w:rsidR="00AA7193">
        <w:t xml:space="preserve">offering the </w:t>
      </w:r>
      <w:r w:rsidR="00AA7193" w:rsidRPr="00464FB5">
        <w:rPr>
          <w:b/>
        </w:rPr>
        <w:t>Coretell Equipment</w:t>
      </w:r>
      <w:r w:rsidR="00AA7193">
        <w:t xml:space="preserve"> to customers in Australia calling the telephone</w:t>
      </w:r>
      <w:r>
        <w:t xml:space="preserve"> </w:t>
      </w:r>
      <w:r w:rsidR="00AA7193">
        <w:t>number listed on www.camteq.com.au or contacting Camteq International since</w:t>
      </w:r>
      <w:r>
        <w:t xml:space="preserve"> before 5 September 2005</w:t>
      </w:r>
      <w:r w:rsidR="00AA7193">
        <w:t>;</w:t>
      </w:r>
    </w:p>
    <w:p w:rsidR="00AA7193" w:rsidRDefault="00464FB5" w:rsidP="00464FB5">
      <w:pPr>
        <w:pStyle w:val="Quote2"/>
        <w:ind w:left="2160" w:hanging="720"/>
      </w:pPr>
      <w:r>
        <w:t>(ii)</w:t>
      </w:r>
      <w:r>
        <w:tab/>
      </w:r>
      <w:r w:rsidR="00AA7193">
        <w:t xml:space="preserve">supplying or offering to supply the </w:t>
      </w:r>
      <w:r w:rsidR="00AA7193" w:rsidRPr="00464FB5">
        <w:rPr>
          <w:b/>
        </w:rPr>
        <w:t>Coretell Equipment</w:t>
      </w:r>
      <w:r w:rsidR="00AA7193">
        <w:t xml:space="preserve"> to </w:t>
      </w:r>
      <w:r w:rsidR="00AA7193">
        <w:lastRenderedPageBreak/>
        <w:t>customers in</w:t>
      </w:r>
      <w:r>
        <w:t xml:space="preserve"> </w:t>
      </w:r>
      <w:r w:rsidR="00AA7193">
        <w:t>Australia requiring survey and/or core orientation equipment since November</w:t>
      </w:r>
      <w:r>
        <w:t xml:space="preserve"> </w:t>
      </w:r>
      <w:r w:rsidR="00AA7193">
        <w:t>2010, including to the entity referred to in item 15.</w:t>
      </w:r>
    </w:p>
    <w:p w:rsidR="00AA7193" w:rsidRDefault="00464FB5" w:rsidP="00464FB5">
      <w:pPr>
        <w:pStyle w:val="Quote2"/>
        <w:ind w:left="2160" w:hanging="720"/>
      </w:pPr>
      <w:r>
        <w:t>(iii)</w:t>
      </w:r>
      <w:r>
        <w:tab/>
      </w:r>
      <w:r w:rsidR="00AA7193">
        <w:t xml:space="preserve">supplying or offering to supply the </w:t>
      </w:r>
      <w:r w:rsidR="00AA7193" w:rsidRPr="00464FB5">
        <w:rPr>
          <w:b/>
        </w:rPr>
        <w:t>Coretell Equipment</w:t>
      </w:r>
      <w:r w:rsidR="00AA7193">
        <w:t xml:space="preserve"> to the distribution agent</w:t>
      </w:r>
      <w:r>
        <w:t xml:space="preserve"> </w:t>
      </w:r>
      <w:r w:rsidR="00AA7193">
        <w:t>referred to in item 9 of the Confidential Schedule and such agent has sold,</w:t>
      </w:r>
      <w:r>
        <w:t xml:space="preserve"> </w:t>
      </w:r>
      <w:r w:rsidR="00AA7193">
        <w:t xml:space="preserve">supplied and offered the </w:t>
      </w:r>
      <w:r w:rsidR="00AA7193" w:rsidRPr="00464FB5">
        <w:rPr>
          <w:b/>
        </w:rPr>
        <w:t>Coretell Equipment</w:t>
      </w:r>
      <w:r w:rsidR="00AA7193">
        <w:t xml:space="preserve"> for sale or supply in Australia.</w:t>
      </w:r>
    </w:p>
    <w:p w:rsidR="00464FB5" w:rsidRDefault="00464FB5" w:rsidP="00464FB5">
      <w:pPr>
        <w:pStyle w:val="Quote1"/>
      </w:pPr>
    </w:p>
    <w:p w:rsidR="00AA7193" w:rsidRDefault="002B4B78" w:rsidP="002B4B78">
      <w:pPr>
        <w:pStyle w:val="Quote1"/>
        <w:ind w:left="1440" w:hanging="703"/>
      </w:pPr>
      <w:r>
        <w:t>11.</w:t>
      </w:r>
      <w:r>
        <w:tab/>
      </w:r>
      <w:r w:rsidR="00AA7193">
        <w:t>Further to paragraphs 6 to 10 above, to the best of the applicants’ knowledge, the</w:t>
      </w:r>
      <w:r>
        <w:t xml:space="preserve"> </w:t>
      </w:r>
      <w:r w:rsidR="00AA7193">
        <w:t xml:space="preserve">versions of the </w:t>
      </w:r>
      <w:r w:rsidR="00AA7193" w:rsidRPr="002B4B78">
        <w:rPr>
          <w:b/>
        </w:rPr>
        <w:t>Coretell Equipment</w:t>
      </w:r>
      <w:r w:rsidR="00AA7193">
        <w:t xml:space="preserve"> sold, supplied and offered by </w:t>
      </w:r>
      <w:r w:rsidR="00B05DBB">
        <w:t>[Coretell]</w:t>
      </w:r>
      <w:r w:rsidR="00AA7193">
        <w:t xml:space="preserve">, </w:t>
      </w:r>
      <w:r w:rsidR="00B05DBB">
        <w:t>[Mincrest]</w:t>
      </w:r>
      <w:r w:rsidR="00AA7193">
        <w:t xml:space="preserve"> and</w:t>
      </w:r>
      <w:r>
        <w:t xml:space="preserve"> </w:t>
      </w:r>
      <w:r w:rsidR="00B05DBB">
        <w:t>[</w:t>
      </w:r>
      <w:r w:rsidR="00450764">
        <w:t>Kleyn Investments</w:t>
      </w:r>
      <w:r w:rsidR="00B05DBB">
        <w:t>]</w:t>
      </w:r>
      <w:r w:rsidR="00AA7193">
        <w:t xml:space="preserve"> as referred to in those paragraphs were </w:t>
      </w:r>
      <w:r w:rsidR="00AA7193" w:rsidRPr="002B4B78">
        <w:rPr>
          <w:b/>
        </w:rPr>
        <w:t>Version 1</w:t>
      </w:r>
      <w:r w:rsidR="00AA7193">
        <w:t xml:space="preserve"> from before 5</w:t>
      </w:r>
      <w:r>
        <w:t xml:space="preserve"> </w:t>
      </w:r>
      <w:r w:rsidR="00AA7193">
        <w:t xml:space="preserve">September 2005 to about November 2008, </w:t>
      </w:r>
      <w:r>
        <w:rPr>
          <w:b/>
        </w:rPr>
        <w:t>Version </w:t>
      </w:r>
      <w:r w:rsidR="00AA7193" w:rsidRPr="002B4B78">
        <w:rPr>
          <w:b/>
        </w:rPr>
        <w:t>2</w:t>
      </w:r>
      <w:r w:rsidR="00AA7193">
        <w:t xml:space="preserve"> since about November 2008,</w:t>
      </w:r>
      <w:r>
        <w:t xml:space="preserve"> </w:t>
      </w:r>
      <w:r w:rsidR="00AA7193">
        <w:t xml:space="preserve">and </w:t>
      </w:r>
      <w:r w:rsidR="00AA7193" w:rsidRPr="002B4B78">
        <w:rPr>
          <w:b/>
        </w:rPr>
        <w:t>Version 3</w:t>
      </w:r>
      <w:r w:rsidR="00AA7193">
        <w:t xml:space="preserve"> since about May 2012.</w:t>
      </w:r>
    </w:p>
    <w:p w:rsidR="002B4B78" w:rsidRDefault="002B4B78" w:rsidP="002B4B78">
      <w:pPr>
        <w:pStyle w:val="Quote1"/>
      </w:pPr>
    </w:p>
    <w:p w:rsidR="00AA7193" w:rsidRPr="002B4B78" w:rsidRDefault="00AA7193" w:rsidP="002B4B78">
      <w:pPr>
        <w:pStyle w:val="Quote1"/>
        <w:rPr>
          <w:b/>
          <w:i/>
        </w:rPr>
      </w:pPr>
      <w:r w:rsidRPr="002B4B78">
        <w:rPr>
          <w:b/>
          <w:i/>
        </w:rPr>
        <w:t>Export and supply from Australia</w:t>
      </w:r>
    </w:p>
    <w:p w:rsidR="002B4B78" w:rsidRDefault="002B4B78" w:rsidP="002B4B78">
      <w:pPr>
        <w:pStyle w:val="Quote1"/>
      </w:pPr>
    </w:p>
    <w:p w:rsidR="00AA7193" w:rsidRDefault="002B4B78" w:rsidP="002B4B78">
      <w:pPr>
        <w:pStyle w:val="Quote1"/>
        <w:ind w:left="1440" w:hanging="703"/>
      </w:pPr>
      <w:r>
        <w:t>12.</w:t>
      </w:r>
      <w:r>
        <w:tab/>
      </w:r>
      <w:r w:rsidR="00B05DBB">
        <w:t>[Coretell]</w:t>
      </w:r>
      <w:r w:rsidR="00AA7193">
        <w:t xml:space="preserve"> has, from Australia, exported the </w:t>
      </w:r>
      <w:r w:rsidR="00AA7193" w:rsidRPr="002B4B78">
        <w:rPr>
          <w:b/>
        </w:rPr>
        <w:t>Coretell Equipment</w:t>
      </w:r>
      <w:r w:rsidR="00AA7193">
        <w:t xml:space="preserve"> to</w:t>
      </w:r>
      <w:r>
        <w:t xml:space="preserve"> </w:t>
      </w:r>
      <w:r w:rsidR="00AA7193">
        <w:t>customers outside Australia including to the following customers on or about the dates</w:t>
      </w:r>
      <w:r>
        <w:t xml:space="preserve"> </w:t>
      </w:r>
      <w:r w:rsidR="00AA7193">
        <w:t xml:space="preserve">identified in </w:t>
      </w:r>
      <w:r w:rsidR="00B05DBB">
        <w:t xml:space="preserve">[Coretell’s] </w:t>
      </w:r>
      <w:r w:rsidR="00AA7193">
        <w:t>confidential general ledgers (2007-2011):</w:t>
      </w:r>
    </w:p>
    <w:p w:rsidR="00AA7193" w:rsidRDefault="002B4B78" w:rsidP="002B4B78">
      <w:pPr>
        <w:pStyle w:val="Quote2"/>
        <w:ind w:left="2160" w:hanging="720"/>
      </w:pPr>
      <w:r>
        <w:t>(i)</w:t>
      </w:r>
      <w:r>
        <w:tab/>
      </w:r>
      <w:r w:rsidR="00AA7193">
        <w:t>The Indodrill Group of Companies;</w:t>
      </w:r>
    </w:p>
    <w:p w:rsidR="00AA7193" w:rsidRDefault="002B4B78" w:rsidP="002B4B78">
      <w:pPr>
        <w:pStyle w:val="Quote2"/>
        <w:ind w:left="2160" w:hanging="720"/>
      </w:pPr>
      <w:r>
        <w:t>(ii)</w:t>
      </w:r>
      <w:r>
        <w:tab/>
      </w:r>
      <w:r w:rsidR="00AA7193">
        <w:t xml:space="preserve">The </w:t>
      </w:r>
      <w:r w:rsidR="009353A6">
        <w:t>Drill Corp</w:t>
      </w:r>
      <w:r w:rsidR="00AA7193">
        <w:t xml:space="preserve"> Group of Companies;</w:t>
      </w:r>
    </w:p>
    <w:p w:rsidR="00AA7193" w:rsidRDefault="002B4B78" w:rsidP="002B4B78">
      <w:pPr>
        <w:pStyle w:val="Quote2"/>
        <w:ind w:left="2160" w:hanging="720"/>
      </w:pPr>
      <w:r>
        <w:t>(iii)</w:t>
      </w:r>
      <w:r>
        <w:tab/>
      </w:r>
      <w:r w:rsidR="00AA7193">
        <w:t>The Maxidrill Group of Companies;</w:t>
      </w:r>
    </w:p>
    <w:p w:rsidR="00AA7193" w:rsidRDefault="002B4B78" w:rsidP="002B4B78">
      <w:pPr>
        <w:pStyle w:val="Quote2"/>
        <w:ind w:left="2160" w:hanging="720"/>
      </w:pPr>
      <w:r>
        <w:t>(iv)</w:t>
      </w:r>
      <w:r>
        <w:tab/>
      </w:r>
      <w:r w:rsidR="00AA7193">
        <w:t>PT Promincon Indonesia; and</w:t>
      </w:r>
    </w:p>
    <w:p w:rsidR="00AA7193" w:rsidRDefault="002B4B78" w:rsidP="002B4B78">
      <w:pPr>
        <w:pStyle w:val="Quote2"/>
        <w:ind w:left="2160" w:hanging="720"/>
      </w:pPr>
      <w:r>
        <w:t>(v)</w:t>
      </w:r>
      <w:r>
        <w:tab/>
      </w:r>
      <w:r w:rsidR="00AA7193">
        <w:t>BintangMandiri Perkasa PT (trading as BMP Drilling).;</w:t>
      </w:r>
    </w:p>
    <w:p w:rsidR="002B4B78" w:rsidRDefault="002B4B78" w:rsidP="002B4B78">
      <w:pPr>
        <w:pStyle w:val="Quote1"/>
      </w:pPr>
    </w:p>
    <w:p w:rsidR="00AA7193" w:rsidRDefault="002B4B78" w:rsidP="002B4B78">
      <w:pPr>
        <w:pStyle w:val="Quote1"/>
        <w:ind w:left="1440" w:hanging="703"/>
      </w:pPr>
      <w:r>
        <w:t>13.</w:t>
      </w:r>
      <w:r>
        <w:tab/>
      </w:r>
      <w:r w:rsidR="00B05DBB">
        <w:t>[Mincrest]</w:t>
      </w:r>
      <w:r w:rsidR="00AA7193">
        <w:t xml:space="preserve"> has, from Australia, sold, supplied and offered the </w:t>
      </w:r>
      <w:r w:rsidR="00AA7193" w:rsidRPr="002B4B78">
        <w:rPr>
          <w:b/>
        </w:rPr>
        <w:t>Coretell</w:t>
      </w:r>
      <w:r w:rsidRPr="002B4B78">
        <w:rPr>
          <w:b/>
        </w:rPr>
        <w:t xml:space="preserve"> </w:t>
      </w:r>
      <w:r w:rsidR="00AA7193" w:rsidRPr="002B4B78">
        <w:rPr>
          <w:b/>
        </w:rPr>
        <w:t>Equipment</w:t>
      </w:r>
      <w:r w:rsidR="00AA7193">
        <w:t xml:space="preserve"> to customers outside Australia, including by:</w:t>
      </w:r>
    </w:p>
    <w:p w:rsidR="00AA7193" w:rsidRDefault="002B4B78" w:rsidP="002B4B78">
      <w:pPr>
        <w:pStyle w:val="Quote2"/>
        <w:ind w:left="2160" w:hanging="720"/>
      </w:pPr>
      <w:r>
        <w:t>(i)</w:t>
      </w:r>
      <w:r>
        <w:tab/>
      </w:r>
      <w:r w:rsidR="00AA7193">
        <w:t xml:space="preserve">advertising </w:t>
      </w:r>
      <w:r w:rsidR="00AA7193" w:rsidRPr="002B4B78">
        <w:rPr>
          <w:b/>
        </w:rPr>
        <w:t>Version 1</w:t>
      </w:r>
      <w:r w:rsidR="00AA7193">
        <w:t xml:space="preserve"> for sale or supply to customers outside Australia on the</w:t>
      </w:r>
      <w:r>
        <w:t xml:space="preserve"> </w:t>
      </w:r>
      <w:r w:rsidR="00AA7193">
        <w:t xml:space="preserve">website </w:t>
      </w:r>
      <w:r>
        <w:t>www.camteq.com.au from before 5 </w:t>
      </w:r>
      <w:r w:rsidR="00AA7193">
        <w:t>September 2005 to at least 2</w:t>
      </w:r>
      <w:r>
        <w:t xml:space="preserve"> </w:t>
      </w:r>
      <w:r w:rsidR="00AA7193">
        <w:t>March 2007;</w:t>
      </w:r>
    </w:p>
    <w:p w:rsidR="00AA7193" w:rsidRDefault="00450764" w:rsidP="002B4B78">
      <w:pPr>
        <w:pStyle w:val="Quote2"/>
        <w:ind w:left="2160" w:hanging="720"/>
      </w:pPr>
      <w:r>
        <w:t>(iii)</w:t>
      </w:r>
      <w:r>
        <w:tab/>
      </w:r>
      <w:r w:rsidR="00AA7193">
        <w:t xml:space="preserve">offering </w:t>
      </w:r>
      <w:r w:rsidR="00AA7193" w:rsidRPr="002B4B78">
        <w:rPr>
          <w:b/>
        </w:rPr>
        <w:t>Coretell Equipment</w:t>
      </w:r>
      <w:r w:rsidR="00AA7193">
        <w:t xml:space="preserve"> to customers outside Australia calling the</w:t>
      </w:r>
      <w:r w:rsidR="002B4B78">
        <w:t xml:space="preserve"> </w:t>
      </w:r>
      <w:r w:rsidR="00AA7193">
        <w:t>telephone number listed on www.camteq.com.au or contacting Camteq</w:t>
      </w:r>
      <w:r w:rsidR="002B4B78">
        <w:t xml:space="preserve"> </w:t>
      </w:r>
      <w:r w:rsidR="00AA7193">
        <w:t>Instruments since before 5 September 2005; and</w:t>
      </w:r>
    </w:p>
    <w:p w:rsidR="00AA7193" w:rsidRDefault="002B4B78" w:rsidP="002B4B78">
      <w:pPr>
        <w:pStyle w:val="Quote2"/>
        <w:ind w:left="2160" w:hanging="720"/>
      </w:pPr>
      <w:r>
        <w:t>(ii)</w:t>
      </w:r>
      <w:r>
        <w:tab/>
      </w:r>
      <w:r w:rsidR="00AA7193">
        <w:t xml:space="preserve">supplying </w:t>
      </w:r>
      <w:r w:rsidR="00AA7193" w:rsidRPr="002B4B78">
        <w:rPr>
          <w:b/>
        </w:rPr>
        <w:t>Coretell Equipment</w:t>
      </w:r>
      <w:r w:rsidR="00AA7193">
        <w:t xml:space="preserve"> to customers outside Australia requiring survey</w:t>
      </w:r>
      <w:r>
        <w:t xml:space="preserve"> </w:t>
      </w:r>
      <w:r w:rsidR="00AA7193">
        <w:t>and/or core orientation equipment, including supplies made to MTL Philippines</w:t>
      </w:r>
      <w:r>
        <w:t xml:space="preserve"> </w:t>
      </w:r>
      <w:r w:rsidR="00AA7193">
        <w:t>on 31 October 2007 and Geodrill Ltd in about November 2009.</w:t>
      </w:r>
    </w:p>
    <w:p w:rsidR="00DA4182" w:rsidRDefault="00DA4182" w:rsidP="00DA4182">
      <w:pPr>
        <w:pStyle w:val="Quote1"/>
      </w:pPr>
    </w:p>
    <w:p w:rsidR="00AA7193" w:rsidRDefault="00DA4182" w:rsidP="00DA4182">
      <w:pPr>
        <w:pStyle w:val="Quote1"/>
        <w:ind w:left="1440" w:hanging="703"/>
      </w:pPr>
      <w:r>
        <w:t>14.</w:t>
      </w:r>
      <w:r>
        <w:tab/>
      </w:r>
      <w:r w:rsidR="00B05DBB">
        <w:t>[</w:t>
      </w:r>
      <w:r w:rsidR="00450764">
        <w:t>Kleyn Investments</w:t>
      </w:r>
      <w:r w:rsidR="00B05DBB">
        <w:t>]</w:t>
      </w:r>
      <w:r w:rsidR="00AA7193">
        <w:t xml:space="preserve"> has, from Australia, sold, supplied and offered the </w:t>
      </w:r>
      <w:r w:rsidRPr="00DA4182">
        <w:rPr>
          <w:b/>
        </w:rPr>
        <w:t>C</w:t>
      </w:r>
      <w:r w:rsidR="00AA7193" w:rsidRPr="00DA4182">
        <w:rPr>
          <w:b/>
        </w:rPr>
        <w:t>oretell</w:t>
      </w:r>
      <w:r w:rsidRPr="00DA4182">
        <w:rPr>
          <w:b/>
        </w:rPr>
        <w:t xml:space="preserve"> </w:t>
      </w:r>
      <w:r w:rsidR="00AA7193" w:rsidRPr="00DA4182">
        <w:rPr>
          <w:b/>
        </w:rPr>
        <w:t>Equipment</w:t>
      </w:r>
      <w:r w:rsidR="00AA7193">
        <w:t xml:space="preserve"> to customers outside Australia, including by:</w:t>
      </w:r>
    </w:p>
    <w:p w:rsidR="00AA7193" w:rsidRDefault="00DA4182" w:rsidP="00DA4182">
      <w:pPr>
        <w:pStyle w:val="Quote2"/>
        <w:ind w:left="2160" w:hanging="720"/>
      </w:pPr>
      <w:r>
        <w:t>(i)</w:t>
      </w:r>
      <w:r>
        <w:tab/>
      </w:r>
      <w:r w:rsidR="00AA7193">
        <w:t xml:space="preserve">offering </w:t>
      </w:r>
      <w:r w:rsidR="00AA7193" w:rsidRPr="00DA4182">
        <w:rPr>
          <w:b/>
        </w:rPr>
        <w:t>Coretell Equipment</w:t>
      </w:r>
      <w:r w:rsidR="00AA7193">
        <w:t xml:space="preserve"> to customers outside Australia calling the</w:t>
      </w:r>
      <w:r>
        <w:t xml:space="preserve"> </w:t>
      </w:r>
      <w:r w:rsidR="00AA7193">
        <w:t>telephone number listed on www.camteq.com.au or contacting Camteq</w:t>
      </w:r>
      <w:r>
        <w:t xml:space="preserve"> </w:t>
      </w:r>
      <w:r w:rsidR="00AA7193">
        <w:t>International since before 5 September 2005; and</w:t>
      </w:r>
    </w:p>
    <w:p w:rsidR="00AA7193" w:rsidRDefault="00DA4182" w:rsidP="00DA4182">
      <w:pPr>
        <w:pStyle w:val="Quote2"/>
        <w:ind w:left="2160" w:hanging="720"/>
      </w:pPr>
      <w:r>
        <w:t>(ii)</w:t>
      </w:r>
      <w:r>
        <w:tab/>
      </w:r>
      <w:r w:rsidR="00AA7193">
        <w:t xml:space="preserve">supplying, from Australia, </w:t>
      </w:r>
      <w:r w:rsidR="00AA7193" w:rsidRPr="00DA4182">
        <w:rPr>
          <w:b/>
        </w:rPr>
        <w:t>Coretell Equipment</w:t>
      </w:r>
      <w:r w:rsidR="00AA7193">
        <w:t xml:space="preserve"> to customers outside Australia</w:t>
      </w:r>
      <w:r>
        <w:t xml:space="preserve"> </w:t>
      </w:r>
      <w:r w:rsidR="00AA7193">
        <w:t>requiring survey equipment and/or core orientation equipment, including</w:t>
      </w:r>
      <w:r>
        <w:t xml:space="preserve"> </w:t>
      </w:r>
      <w:r w:rsidR="00AA7193">
        <w:t>supplies made to the entities referred to in items 6 and 14 of the</w:t>
      </w:r>
      <w:r>
        <w:t xml:space="preserve"> </w:t>
      </w:r>
      <w:r w:rsidR="00AA7193">
        <w:t>Confidential Schedule.</w:t>
      </w:r>
    </w:p>
    <w:p w:rsidR="00DA4182" w:rsidRDefault="00DA4182" w:rsidP="00DA4182">
      <w:pPr>
        <w:pStyle w:val="Quote1"/>
        <w:ind w:left="1440" w:hanging="703"/>
      </w:pPr>
    </w:p>
    <w:p w:rsidR="00AA7193" w:rsidRDefault="00DA4182" w:rsidP="00DA4182">
      <w:pPr>
        <w:pStyle w:val="Quote1"/>
        <w:ind w:left="1440" w:hanging="703"/>
      </w:pPr>
      <w:r>
        <w:t>15.</w:t>
      </w:r>
      <w:r>
        <w:tab/>
      </w:r>
      <w:r w:rsidR="00B05DBB">
        <w:t>[</w:t>
      </w:r>
      <w:r w:rsidR="00450764">
        <w:t>Kleyn Investments</w:t>
      </w:r>
      <w:r w:rsidR="00B05DBB">
        <w:t>]</w:t>
      </w:r>
      <w:r w:rsidR="00AA7193">
        <w:t xml:space="preserve"> has, from Australia, sold, supplied and offered the </w:t>
      </w:r>
      <w:r w:rsidR="00AA7193" w:rsidRPr="00DA4182">
        <w:rPr>
          <w:b/>
        </w:rPr>
        <w:t>Coretell</w:t>
      </w:r>
      <w:r w:rsidRPr="00DA4182">
        <w:rPr>
          <w:b/>
        </w:rPr>
        <w:t xml:space="preserve"> </w:t>
      </w:r>
      <w:r w:rsidR="00AA7193" w:rsidRPr="00DA4182">
        <w:rPr>
          <w:b/>
        </w:rPr>
        <w:t>Equipment</w:t>
      </w:r>
      <w:r w:rsidR="00AA7193">
        <w:t xml:space="preserve"> to the distribution agent referred to in item 4 of the Confidential Schedule</w:t>
      </w:r>
      <w:r>
        <w:t xml:space="preserve"> </w:t>
      </w:r>
      <w:r w:rsidR="00AA7193">
        <w:t>as the defined “supplier” in the confidential agreement with that entity, and such agent</w:t>
      </w:r>
      <w:r>
        <w:t xml:space="preserve"> </w:t>
      </w:r>
      <w:r w:rsidR="00AA7193">
        <w:t xml:space="preserve">has sold, supplied and offered the </w:t>
      </w:r>
      <w:r w:rsidR="00AA7193" w:rsidRPr="00DA4182">
        <w:rPr>
          <w:b/>
        </w:rPr>
        <w:t>Coretell Equipment</w:t>
      </w:r>
      <w:r w:rsidR="00AA7193">
        <w:t xml:space="preserve"> for sale or supply outside</w:t>
      </w:r>
      <w:r>
        <w:t xml:space="preserve"> </w:t>
      </w:r>
      <w:r w:rsidR="00AA7193">
        <w:t>Australia.</w:t>
      </w:r>
    </w:p>
    <w:p w:rsidR="00DA4182" w:rsidRDefault="00DA4182" w:rsidP="00DA4182">
      <w:pPr>
        <w:pStyle w:val="Quote1"/>
        <w:ind w:left="1440" w:hanging="703"/>
      </w:pPr>
    </w:p>
    <w:p w:rsidR="00AA7193" w:rsidRDefault="00DA4182" w:rsidP="00DA4182">
      <w:pPr>
        <w:pStyle w:val="Quote1"/>
        <w:ind w:left="1440" w:hanging="703"/>
      </w:pPr>
      <w:r>
        <w:lastRenderedPageBreak/>
        <w:t>16.</w:t>
      </w:r>
      <w:r>
        <w:tab/>
      </w:r>
      <w:r w:rsidR="00B05DBB">
        <w:t>[Coretell]</w:t>
      </w:r>
      <w:r w:rsidR="00AA7193">
        <w:t xml:space="preserve"> has, from Australia, supplied or offered to supply </w:t>
      </w:r>
      <w:r w:rsidR="00AA7193" w:rsidRPr="00DA4182">
        <w:rPr>
          <w:b/>
        </w:rPr>
        <w:t>Coretell</w:t>
      </w:r>
      <w:r w:rsidRPr="00DA4182">
        <w:rPr>
          <w:b/>
        </w:rPr>
        <w:t xml:space="preserve"> </w:t>
      </w:r>
      <w:r w:rsidR="00AA7193" w:rsidRPr="00DA4182">
        <w:rPr>
          <w:b/>
        </w:rPr>
        <w:t>Equipment</w:t>
      </w:r>
      <w:r w:rsidR="00AA7193">
        <w:t xml:space="preserve"> to the distribution agent referred to item 5 of the Confidential Schedule</w:t>
      </w:r>
      <w:r>
        <w:t xml:space="preserve"> </w:t>
      </w:r>
      <w:r w:rsidR="00AA7193">
        <w:t xml:space="preserve">since 1 August 2012, and such agent has sold, supplied and offered the </w:t>
      </w:r>
      <w:r w:rsidR="00AA7193" w:rsidRPr="00DA4182">
        <w:rPr>
          <w:b/>
        </w:rPr>
        <w:t>Coretell</w:t>
      </w:r>
      <w:r w:rsidRPr="00DA4182">
        <w:rPr>
          <w:b/>
        </w:rPr>
        <w:t xml:space="preserve"> </w:t>
      </w:r>
      <w:r w:rsidR="00AA7193" w:rsidRPr="00DA4182">
        <w:rPr>
          <w:b/>
        </w:rPr>
        <w:t>Equipment</w:t>
      </w:r>
      <w:r w:rsidR="00AA7193">
        <w:t xml:space="preserve"> outside Australia.</w:t>
      </w:r>
    </w:p>
    <w:p w:rsidR="00DA4182" w:rsidRDefault="00DA4182" w:rsidP="00DA4182">
      <w:pPr>
        <w:pStyle w:val="Quote1"/>
        <w:ind w:left="1440" w:hanging="703"/>
      </w:pPr>
    </w:p>
    <w:p w:rsidR="00AA7193" w:rsidRDefault="00DA4182" w:rsidP="00DA4182">
      <w:pPr>
        <w:pStyle w:val="Quote1"/>
        <w:ind w:left="1440" w:hanging="703"/>
      </w:pPr>
      <w:r>
        <w:t>17</w:t>
      </w:r>
      <w:r>
        <w:tab/>
      </w:r>
      <w:r w:rsidR="00B05DBB">
        <w:t>[</w:t>
      </w:r>
      <w:r w:rsidR="00450764">
        <w:t>Kleyn Investments</w:t>
      </w:r>
      <w:r w:rsidR="00B05DBB">
        <w:t>]</w:t>
      </w:r>
      <w:r w:rsidR="00AA7193">
        <w:t xml:space="preserve"> has appointed </w:t>
      </w:r>
      <w:r w:rsidR="00370583">
        <w:t>[Coretell]</w:t>
      </w:r>
      <w:r w:rsidR="00AA7193">
        <w:t xml:space="preserve"> as its defined “African Agent”</w:t>
      </w:r>
      <w:r>
        <w:t xml:space="preserve"> </w:t>
      </w:r>
      <w:r w:rsidR="00AA7193">
        <w:t>in respect of the confidential agreement referred to in paragraph 16 above, which</w:t>
      </w:r>
      <w:r>
        <w:t xml:space="preserve"> </w:t>
      </w:r>
      <w:r w:rsidR="00AA7193">
        <w:t xml:space="preserve">agreement relates to supply from Australia of </w:t>
      </w:r>
      <w:r w:rsidR="00AA7193" w:rsidRPr="00DA4182">
        <w:rPr>
          <w:b/>
        </w:rPr>
        <w:t>Coretell Equipment</w:t>
      </w:r>
      <w:r w:rsidR="00AA7193">
        <w:t xml:space="preserve"> and camera</w:t>
      </w:r>
      <w:r>
        <w:t xml:space="preserve"> </w:t>
      </w:r>
      <w:r w:rsidR="00AA7193">
        <w:t>equipment outside Australia.</w:t>
      </w:r>
    </w:p>
    <w:p w:rsidR="00DA4182" w:rsidRDefault="00DA4182" w:rsidP="00DA4182">
      <w:pPr>
        <w:pStyle w:val="Quote1"/>
        <w:ind w:left="1440" w:hanging="703"/>
      </w:pPr>
    </w:p>
    <w:p w:rsidR="00AA7193" w:rsidRDefault="00DA4182" w:rsidP="00DA4182">
      <w:pPr>
        <w:pStyle w:val="Quote1"/>
        <w:ind w:left="1440" w:hanging="703"/>
      </w:pPr>
      <w:r>
        <w:t>18.</w:t>
      </w:r>
      <w:r>
        <w:tab/>
      </w:r>
      <w:r w:rsidR="00AA7193">
        <w:t>Further to paragraphs 12 to 17 above, to the best of the applicants’ knowledge, the</w:t>
      </w:r>
      <w:r>
        <w:t xml:space="preserve"> </w:t>
      </w:r>
      <w:r w:rsidR="00AA7193">
        <w:t xml:space="preserve">versions of the </w:t>
      </w:r>
      <w:r w:rsidR="00AA7193" w:rsidRPr="00DA4182">
        <w:rPr>
          <w:b/>
        </w:rPr>
        <w:t>Coretell Equipment</w:t>
      </w:r>
      <w:r w:rsidR="00AA7193">
        <w:t xml:space="preserve"> exported and supplied by </w:t>
      </w:r>
      <w:r w:rsidR="00B05DBB">
        <w:t>[Coretell]</w:t>
      </w:r>
      <w:r w:rsidR="00AA7193">
        <w:t xml:space="preserve">, </w:t>
      </w:r>
      <w:r w:rsidR="00B05DBB">
        <w:t>[Mincrest]</w:t>
      </w:r>
      <w:r w:rsidR="00AA7193">
        <w:t xml:space="preserve"> and</w:t>
      </w:r>
      <w:r>
        <w:t xml:space="preserve"> </w:t>
      </w:r>
      <w:r w:rsidR="00B05DBB">
        <w:t>[</w:t>
      </w:r>
      <w:r w:rsidR="00982C8E">
        <w:t>Kleyn Investments</w:t>
      </w:r>
      <w:r w:rsidR="00B05DBB">
        <w:t>]</w:t>
      </w:r>
      <w:r w:rsidR="00AA7193">
        <w:t xml:space="preserve"> as referred to in those paragraphs were </w:t>
      </w:r>
      <w:r w:rsidR="00AA7193" w:rsidRPr="00DA4182">
        <w:rPr>
          <w:b/>
        </w:rPr>
        <w:t>Version 1</w:t>
      </w:r>
      <w:r w:rsidR="00AA7193">
        <w:t xml:space="preserve"> from about May</w:t>
      </w:r>
      <w:r>
        <w:t xml:space="preserve"> </w:t>
      </w:r>
      <w:r w:rsidR="00AA7193">
        <w:t xml:space="preserve">2006 to about November 2008, </w:t>
      </w:r>
      <w:r w:rsidR="00AA7193" w:rsidRPr="00DA4182">
        <w:rPr>
          <w:b/>
        </w:rPr>
        <w:t>Version 2</w:t>
      </w:r>
      <w:r w:rsidR="00AA7193">
        <w:t xml:space="preserve"> since about November 2008, and </w:t>
      </w:r>
      <w:r w:rsidR="00AA7193" w:rsidRPr="00DA4182">
        <w:rPr>
          <w:b/>
        </w:rPr>
        <w:t>Version 3</w:t>
      </w:r>
      <w:r>
        <w:t xml:space="preserve"> </w:t>
      </w:r>
      <w:r w:rsidR="00AA7193">
        <w:t>since about May 2012.</w:t>
      </w:r>
    </w:p>
    <w:p w:rsidR="00DA4182" w:rsidRDefault="00DA4182" w:rsidP="00DA4182">
      <w:pPr>
        <w:pStyle w:val="Quote1"/>
        <w:ind w:left="1440" w:hanging="703"/>
      </w:pPr>
    </w:p>
    <w:p w:rsidR="00AA7193" w:rsidRPr="00DA4182" w:rsidRDefault="00AA7193" w:rsidP="00DA4182">
      <w:pPr>
        <w:pStyle w:val="Quote1"/>
        <w:ind w:left="1440" w:hanging="703"/>
        <w:rPr>
          <w:b/>
          <w:i/>
        </w:rPr>
      </w:pPr>
      <w:r w:rsidRPr="00DA4182">
        <w:rPr>
          <w:b/>
          <w:i/>
        </w:rPr>
        <w:t>Keeping in Australia</w:t>
      </w:r>
    </w:p>
    <w:p w:rsidR="00DA4182" w:rsidRDefault="00DA4182" w:rsidP="00DA4182">
      <w:pPr>
        <w:pStyle w:val="Quote1"/>
        <w:ind w:left="1440" w:hanging="703"/>
      </w:pPr>
    </w:p>
    <w:p w:rsidR="00DA4182" w:rsidRDefault="00DA4182" w:rsidP="00DA4182">
      <w:pPr>
        <w:pStyle w:val="Quote1"/>
        <w:ind w:left="1440" w:hanging="703"/>
      </w:pPr>
      <w:r>
        <w:t>19.</w:t>
      </w:r>
      <w:r>
        <w:tab/>
      </w:r>
      <w:r w:rsidR="00B05DBB">
        <w:t>[Coretell]</w:t>
      </w:r>
      <w:r w:rsidR="00AA7193">
        <w:t xml:space="preserve">, </w:t>
      </w:r>
      <w:r w:rsidR="00B05DBB">
        <w:t xml:space="preserve">[Mincrest] </w:t>
      </w:r>
      <w:r w:rsidR="00AA7193">
        <w:t xml:space="preserve">and/or </w:t>
      </w:r>
      <w:r w:rsidR="00B05DBB">
        <w:t>[</w:t>
      </w:r>
      <w:r w:rsidR="00101C73">
        <w:t>Kleyn Investments</w:t>
      </w:r>
      <w:r w:rsidR="00B05DBB">
        <w:t xml:space="preserve">] </w:t>
      </w:r>
      <w:r w:rsidR="00AA7193">
        <w:t xml:space="preserve">have kept the </w:t>
      </w:r>
      <w:r w:rsidR="00AA7193" w:rsidRPr="00DA4182">
        <w:rPr>
          <w:b/>
        </w:rPr>
        <w:t>Coretell Equipment</w:t>
      </w:r>
      <w:r w:rsidR="00AA7193">
        <w:t xml:space="preserve"> at</w:t>
      </w:r>
      <w:r>
        <w:t xml:space="preserve"> </w:t>
      </w:r>
      <w:r w:rsidR="00AA7193">
        <w:t>Lot 4 Reservoir Road, Orange Grove, Western Australia (</w:t>
      </w:r>
      <w:r w:rsidR="00AA7193" w:rsidRPr="00DA4182">
        <w:rPr>
          <w:b/>
        </w:rPr>
        <w:t>Kleyn Family Residence</w:t>
      </w:r>
      <w:r w:rsidR="00AA7193">
        <w:t>)</w:t>
      </w:r>
      <w:r>
        <w:t xml:space="preserve"> </w:t>
      </w:r>
      <w:r w:rsidR="00AA7193">
        <w:t>since before 5 September 2005 and 6 Davison Street, Maddington, Western Australia</w:t>
      </w:r>
      <w:r>
        <w:t xml:space="preserve"> </w:t>
      </w:r>
      <w:r w:rsidR="00AA7193">
        <w:t>(</w:t>
      </w:r>
      <w:r w:rsidR="00AA7193" w:rsidRPr="00DA4182">
        <w:rPr>
          <w:b/>
        </w:rPr>
        <w:t>Maddington Warehouse</w:t>
      </w:r>
      <w:r w:rsidR="00AA7193">
        <w:t>) since about September 2010</w:t>
      </w:r>
      <w:r w:rsidR="00101C73">
        <w:t>.</w:t>
      </w:r>
    </w:p>
    <w:p w:rsidR="00AA7193" w:rsidRDefault="00AA7193" w:rsidP="00DA4182">
      <w:pPr>
        <w:pStyle w:val="Quote1"/>
        <w:ind w:left="1440" w:hanging="703"/>
      </w:pPr>
    </w:p>
    <w:p w:rsidR="00AA7193" w:rsidRPr="00DA4182" w:rsidRDefault="00AA7193" w:rsidP="00DA4182">
      <w:pPr>
        <w:pStyle w:val="Quote1"/>
        <w:ind w:left="1440" w:hanging="703"/>
        <w:rPr>
          <w:b/>
          <w:i/>
        </w:rPr>
      </w:pPr>
      <w:r w:rsidRPr="00DA4182">
        <w:rPr>
          <w:b/>
          <w:i/>
        </w:rPr>
        <w:t>Documents relied upon</w:t>
      </w:r>
    </w:p>
    <w:p w:rsidR="00DA4182" w:rsidRDefault="00DA4182" w:rsidP="00DA4182">
      <w:pPr>
        <w:pStyle w:val="Quote1"/>
        <w:ind w:left="1440" w:hanging="703"/>
      </w:pPr>
    </w:p>
    <w:p w:rsidR="00AA7193" w:rsidRDefault="00DA4182" w:rsidP="00DA4182">
      <w:pPr>
        <w:pStyle w:val="Quote1"/>
        <w:ind w:left="1440" w:hanging="703"/>
      </w:pPr>
      <w:r>
        <w:t>20.</w:t>
      </w:r>
      <w:r>
        <w:tab/>
      </w:r>
      <w:r w:rsidR="00AA7193">
        <w:t xml:space="preserve">Without limiting the foregoing, in respect of their allegations of against </w:t>
      </w:r>
      <w:r w:rsidR="00B05DBB">
        <w:t>[Coretell], [Mincrest] and [</w:t>
      </w:r>
      <w:r w:rsidR="00101C73">
        <w:t>Kleyn Investments</w:t>
      </w:r>
      <w:r w:rsidR="00B05DBB">
        <w:t>]</w:t>
      </w:r>
      <w:r w:rsidR="00AA7193">
        <w:t>, the applicants rely upon:</w:t>
      </w:r>
    </w:p>
    <w:p w:rsidR="00AA7193" w:rsidRDefault="00EF7866" w:rsidP="00DA4182">
      <w:pPr>
        <w:pStyle w:val="Quote2"/>
        <w:ind w:left="2160" w:hanging="720"/>
      </w:pPr>
      <w:r>
        <w:t>(i)</w:t>
      </w:r>
      <w:r>
        <w:tab/>
      </w:r>
      <w:r w:rsidR="00AA7193">
        <w:t>the admissions set out in paragraph 8 of the third further amended defence</w:t>
      </w:r>
      <w:r>
        <w:t xml:space="preserve"> </w:t>
      </w:r>
      <w:r w:rsidR="00AA7193">
        <w:t>dated 16 October 2013;</w:t>
      </w:r>
    </w:p>
    <w:p w:rsidR="00AA7193" w:rsidRDefault="00EF7866" w:rsidP="00DA4182">
      <w:pPr>
        <w:pStyle w:val="Quote2"/>
        <w:ind w:left="2160" w:hanging="720"/>
      </w:pPr>
      <w:r>
        <w:t>(ii)</w:t>
      </w:r>
      <w:r>
        <w:tab/>
      </w:r>
      <w:r w:rsidR="00AA7193">
        <w:t>the manufacturing invoices from the pers</w:t>
      </w:r>
      <w:r>
        <w:t xml:space="preserve">on referred to in item 2 of the </w:t>
      </w:r>
      <w:r w:rsidR="00AA7193">
        <w:t xml:space="preserve">Confidential Schedule to </w:t>
      </w:r>
      <w:r w:rsidR="00C032CB">
        <w:t>[Coretell]</w:t>
      </w:r>
      <w:r w:rsidR="00AA7193">
        <w:t xml:space="preserve"> dated from January 2007 to July</w:t>
      </w:r>
      <w:r>
        <w:t xml:space="preserve"> </w:t>
      </w:r>
      <w:r w:rsidR="00AA7193">
        <w:t>2007 appearing at Annexure NK-11 of the Confidential Affidavit Nicky Kleyn</w:t>
      </w:r>
      <w:r>
        <w:t xml:space="preserve"> </w:t>
      </w:r>
      <w:r w:rsidR="00AA7193">
        <w:t>sworn 27 March 2013;</w:t>
      </w:r>
    </w:p>
    <w:p w:rsidR="00AA7193" w:rsidRDefault="00AA7193" w:rsidP="00EF7866">
      <w:pPr>
        <w:pStyle w:val="Quote2"/>
        <w:ind w:left="2160" w:hanging="720"/>
      </w:pPr>
      <w:r>
        <w:t>(iii)</w:t>
      </w:r>
      <w:r w:rsidR="00EF7866">
        <w:tab/>
      </w:r>
      <w:r>
        <w:t>the manufacturing invoices from the entity referred to in item 1 of the</w:t>
      </w:r>
      <w:r w:rsidR="00EF7866">
        <w:t xml:space="preserve"> </w:t>
      </w:r>
      <w:r>
        <w:t xml:space="preserve">Confidential Schedule to </w:t>
      </w:r>
      <w:r w:rsidR="00C032CB">
        <w:t xml:space="preserve">[Coretell] </w:t>
      </w:r>
      <w:r>
        <w:t>dated from December 2010</w:t>
      </w:r>
      <w:r w:rsidR="00EF7866">
        <w:t xml:space="preserve"> </w:t>
      </w:r>
      <w:r>
        <w:t>discovered as Respondents’ Di</w:t>
      </w:r>
      <w:r w:rsidR="00EF7866">
        <w:t>scovery Documents Nos 69 to 117</w:t>
      </w:r>
    </w:p>
    <w:p w:rsidR="00AA7193" w:rsidRDefault="00EF7866" w:rsidP="00DA4182">
      <w:pPr>
        <w:pStyle w:val="Quote2"/>
        <w:ind w:left="2160" w:hanging="720"/>
      </w:pPr>
      <w:r>
        <w:t>(v)</w:t>
      </w:r>
      <w:r>
        <w:tab/>
      </w:r>
      <w:r w:rsidR="00C032CB">
        <w:t xml:space="preserve">[Coretell’s] </w:t>
      </w:r>
      <w:r w:rsidR="00AA7193">
        <w:t>financial records set out in its confidential general ledgers</w:t>
      </w:r>
      <w:r>
        <w:t xml:space="preserve"> </w:t>
      </w:r>
      <w:r w:rsidR="00AA7193">
        <w:t>(2007-2011) appearing at Annexures ZK-2 to ZK-6 of the Confidential Affidavit</w:t>
      </w:r>
      <w:r>
        <w:t xml:space="preserve"> </w:t>
      </w:r>
      <w:r w:rsidR="00AA7193">
        <w:t>of Zane Kenny sworn 28 March 2013 and bundle of supply invoices in respect</w:t>
      </w:r>
      <w:r>
        <w:t xml:space="preserve"> </w:t>
      </w:r>
      <w:r w:rsidR="00AA7193">
        <w:t xml:space="preserve">of </w:t>
      </w:r>
      <w:r w:rsidR="00AA7193" w:rsidRPr="00EF7866">
        <w:rPr>
          <w:b/>
        </w:rPr>
        <w:t>Coretell Equipment</w:t>
      </w:r>
      <w:r w:rsidR="00AA7193">
        <w:t xml:space="preserve"> dated 2007 to 2013;</w:t>
      </w:r>
    </w:p>
    <w:p w:rsidR="00AA7193" w:rsidRDefault="00AA7193" w:rsidP="00DA4182">
      <w:pPr>
        <w:pStyle w:val="Quote2"/>
        <w:ind w:left="2160" w:hanging="720"/>
      </w:pPr>
      <w:r>
        <w:t>(vi)</w:t>
      </w:r>
      <w:r w:rsidR="00EF7866">
        <w:tab/>
      </w:r>
      <w:r w:rsidR="00C032CB">
        <w:t xml:space="preserve">[Mincrest’s] </w:t>
      </w:r>
      <w:r>
        <w:t xml:space="preserve">supply invoice in respect of </w:t>
      </w:r>
      <w:r w:rsidRPr="00EF7866">
        <w:rPr>
          <w:b/>
        </w:rPr>
        <w:t>Coretell Equipment</w:t>
      </w:r>
      <w:r>
        <w:t xml:space="preserve"> to</w:t>
      </w:r>
      <w:r w:rsidR="00EF7866">
        <w:t xml:space="preserve"> </w:t>
      </w:r>
      <w:r>
        <w:t>MTL Philippines dated 31 October 2006 appearing at Annexure NK-6 of the</w:t>
      </w:r>
      <w:r w:rsidR="00EF7866">
        <w:t xml:space="preserve"> </w:t>
      </w:r>
      <w:r>
        <w:t>Confidential Affidavit of Nicky Kleyn sworn 27 March 2013;</w:t>
      </w:r>
    </w:p>
    <w:p w:rsidR="00AA7193" w:rsidRDefault="00EF7866" w:rsidP="00DA4182">
      <w:pPr>
        <w:pStyle w:val="Quote2"/>
        <w:ind w:left="2160" w:hanging="720"/>
      </w:pPr>
      <w:r>
        <w:t>(vii)</w:t>
      </w:r>
      <w:r>
        <w:tab/>
      </w:r>
      <w:r w:rsidR="00C032CB">
        <w:t xml:space="preserve">[Mincrest’s] </w:t>
      </w:r>
      <w:r w:rsidR="00AA7193">
        <w:t xml:space="preserve">supply invoices in respect of </w:t>
      </w:r>
      <w:r w:rsidR="00AA7193" w:rsidRPr="00C919E8">
        <w:rPr>
          <w:b/>
        </w:rPr>
        <w:t>Coretell Equipment</w:t>
      </w:r>
      <w:r w:rsidR="00AA7193">
        <w:t xml:space="preserve"> to</w:t>
      </w:r>
      <w:r w:rsidR="00C919E8">
        <w:t xml:space="preserve"> </w:t>
      </w:r>
      <w:r w:rsidR="00AA7193">
        <w:t>the entity referred to in item 13 of the Confidential Schedule dated 31 January</w:t>
      </w:r>
      <w:r w:rsidR="00C919E8">
        <w:t xml:space="preserve"> </w:t>
      </w:r>
      <w:r w:rsidR="00AA7193">
        <w:t>2007;</w:t>
      </w:r>
    </w:p>
    <w:p w:rsidR="00AA7193" w:rsidRDefault="00C919E8" w:rsidP="00DA4182">
      <w:pPr>
        <w:pStyle w:val="Quote2"/>
        <w:ind w:left="2160" w:hanging="720"/>
      </w:pPr>
      <w:r>
        <w:t>(xxii)</w:t>
      </w:r>
      <w:r>
        <w:tab/>
      </w:r>
      <w:r w:rsidR="00AA7193">
        <w:t xml:space="preserve">the respondents’ admission in WAD 132 of 2007 that </w:t>
      </w:r>
      <w:r w:rsidR="00AA7193" w:rsidRPr="00C919E8">
        <w:t>Versions 1</w:t>
      </w:r>
      <w:r w:rsidR="00AA7193">
        <w:t xml:space="preserve"> and 2 of the</w:t>
      </w:r>
      <w:r>
        <w:t xml:space="preserve"> </w:t>
      </w:r>
      <w:r w:rsidR="00AA7193">
        <w:t>Coretell Equipment adopt the same make up and manner of working.</w:t>
      </w:r>
    </w:p>
    <w:p w:rsidR="00337200" w:rsidRDefault="00B627DD" w:rsidP="00B627DD">
      <w:pPr>
        <w:pStyle w:val="ParaNumbering"/>
      </w:pPr>
      <w:r w:rsidRPr="00B627DD">
        <w:lastRenderedPageBreak/>
        <w:t xml:space="preserve">First, the </w:t>
      </w:r>
      <w:r>
        <w:t>applicants</w:t>
      </w:r>
      <w:r w:rsidRPr="00B627DD">
        <w:t xml:space="preserve"> contend that the three corporate respondents, Coretell, Mincrest and Kleyn Investments, have directly infringed the System Patent by making, selling and otherwise exploiting the ORIshot Tool. </w:t>
      </w:r>
      <w:r>
        <w:t xml:space="preserve"> </w:t>
      </w:r>
      <w:r w:rsidRPr="00B627DD">
        <w:t>The applicants argue that the evidence above, and other matters, together constitute evidence that:</w:t>
      </w:r>
    </w:p>
    <w:p w:rsidR="00B627DD" w:rsidRDefault="00B627DD" w:rsidP="00B627DD">
      <w:pPr>
        <w:pStyle w:val="NoNum"/>
        <w:ind w:left="720" w:hanging="720"/>
      </w:pPr>
      <w:r>
        <w:t>(a)</w:t>
      </w:r>
      <w:r>
        <w:tab/>
        <w:t>each of Coretell and Mincrest (tra</w:t>
      </w:r>
      <w:r w:rsidR="007753E9">
        <w:t>ding as Camteq Instruments) has</w:t>
      </w:r>
      <w:r>
        <w:t xml:space="preserve"> manufactured and developed versions of the ORIshot Tool in Australia;</w:t>
      </w:r>
    </w:p>
    <w:p w:rsidR="00B627DD" w:rsidRDefault="00B627DD" w:rsidP="00B627DD">
      <w:pPr>
        <w:pStyle w:val="NoNum"/>
        <w:ind w:left="720" w:hanging="720"/>
      </w:pPr>
      <w:r>
        <w:t>(b)</w:t>
      </w:r>
      <w:r>
        <w:tab/>
        <w:t xml:space="preserve">each of the </w:t>
      </w:r>
      <w:r w:rsidR="007753E9">
        <w:t>three corporate respondents has</w:t>
      </w:r>
      <w:r>
        <w:t xml:space="preserve"> promoted and supplied the ORIshot Tool to customers, suppliers and distribution agents in Australia; and</w:t>
      </w:r>
    </w:p>
    <w:p w:rsidR="00B627DD" w:rsidRDefault="00B627DD" w:rsidP="00B627DD">
      <w:pPr>
        <w:pStyle w:val="NoNum"/>
        <w:ind w:left="720" w:hanging="720"/>
      </w:pPr>
      <w:r>
        <w:t>(c)</w:t>
      </w:r>
      <w:r>
        <w:tab/>
        <w:t xml:space="preserve">each of the </w:t>
      </w:r>
      <w:r w:rsidR="007753E9">
        <w:t>three corporate respondents has</w:t>
      </w:r>
      <w:r>
        <w:t xml:space="preserve"> exported the ORIshot Tool from Australia for supply to customers outside Australia, either themselves or through intermediaries such as distribution agents.</w:t>
      </w:r>
    </w:p>
    <w:p w:rsidR="00361C16" w:rsidRDefault="00EB23E3" w:rsidP="003A1460">
      <w:pPr>
        <w:pStyle w:val="ParaNumbering"/>
      </w:pPr>
      <w:r>
        <w:t xml:space="preserve">The second basis upon which the applicants assert that the corporate respondents have infringed the System Patent is that they </w:t>
      </w:r>
      <w:r w:rsidR="001902B4">
        <w:t xml:space="preserve">have also </w:t>
      </w:r>
      <w:r>
        <w:t>authorised, procured</w:t>
      </w:r>
      <w:r w:rsidR="001902B4">
        <w:t>,</w:t>
      </w:r>
      <w:r>
        <w:t xml:space="preserve"> </w:t>
      </w:r>
      <w:r w:rsidR="001902B4">
        <w:t xml:space="preserve">induced </w:t>
      </w:r>
      <w:r>
        <w:t xml:space="preserve">or joined in the common design with customers or end users to whom the </w:t>
      </w:r>
      <w:r w:rsidR="00FC24DD">
        <w:t>ORIshot Tool</w:t>
      </w:r>
      <w:r>
        <w:t xml:space="preserve"> has been supplied to use the </w:t>
      </w:r>
      <w:r w:rsidR="00FC24DD">
        <w:t>ORIshot Tool</w:t>
      </w:r>
      <w:r>
        <w:t xml:space="preserve"> as a core orientation tool, and have thereby indirectly infringed the System Patent.  </w:t>
      </w:r>
    </w:p>
    <w:p w:rsidR="0024618A" w:rsidRDefault="000A380D" w:rsidP="003A1460">
      <w:pPr>
        <w:pStyle w:val="ParaNumbering"/>
      </w:pPr>
      <w:r>
        <w:t>With regard to this aspect of the claim, t</w:t>
      </w:r>
      <w:r w:rsidR="0024618A">
        <w:t xml:space="preserve">he applicants rely on s 13 of </w:t>
      </w:r>
      <w:r w:rsidR="007D7FA4">
        <w:t>the Act</w:t>
      </w:r>
      <w:r>
        <w:t>,</w:t>
      </w:r>
      <w:r w:rsidR="00A857B4">
        <w:t xml:space="preserve"> </w:t>
      </w:r>
      <w:r w:rsidR="0024618A">
        <w:t>which provides as follows:</w:t>
      </w:r>
    </w:p>
    <w:p w:rsidR="0024618A" w:rsidRPr="0024618A" w:rsidRDefault="0024618A" w:rsidP="0024618A">
      <w:pPr>
        <w:pStyle w:val="Quote1"/>
        <w:rPr>
          <w:b/>
        </w:rPr>
      </w:pPr>
      <w:r w:rsidRPr="0024618A">
        <w:rPr>
          <w:b/>
        </w:rPr>
        <w:t>13</w:t>
      </w:r>
      <w:r w:rsidRPr="0024618A">
        <w:rPr>
          <w:b/>
        </w:rPr>
        <w:tab/>
        <w:t>Exclusive rights given by patent</w:t>
      </w:r>
    </w:p>
    <w:p w:rsidR="0024618A" w:rsidRDefault="0024618A" w:rsidP="0024618A">
      <w:pPr>
        <w:pStyle w:val="Quote1"/>
      </w:pPr>
    </w:p>
    <w:p w:rsidR="0024618A" w:rsidRDefault="0024618A" w:rsidP="0024618A">
      <w:pPr>
        <w:pStyle w:val="Quote1"/>
        <w:ind w:left="1440" w:hanging="703"/>
      </w:pPr>
      <w:r>
        <w:t>(1)</w:t>
      </w:r>
      <w:r>
        <w:tab/>
      </w:r>
      <w:r w:rsidRPr="00A857B4">
        <w:t>Subject to this Act, a patent gives the patentee the exclusive rights, during the term of the patent, to exploit the invention and to authorise another person to exploit the invention</w:t>
      </w:r>
      <w:r>
        <w:t>.</w:t>
      </w:r>
    </w:p>
    <w:p w:rsidR="0024618A" w:rsidRDefault="0024618A" w:rsidP="0024618A">
      <w:pPr>
        <w:pStyle w:val="Quote1"/>
        <w:ind w:left="1440" w:hanging="703"/>
      </w:pPr>
    </w:p>
    <w:p w:rsidR="0024618A" w:rsidRDefault="0024618A" w:rsidP="0024618A">
      <w:pPr>
        <w:pStyle w:val="Quote1"/>
        <w:ind w:left="1440" w:hanging="703"/>
      </w:pPr>
      <w:r>
        <w:t>(2)</w:t>
      </w:r>
      <w:r>
        <w:tab/>
        <w:t>The exclusive rights are personal property and are capable of assignment and of devolution by law.</w:t>
      </w:r>
    </w:p>
    <w:p w:rsidR="0024618A" w:rsidRDefault="0024618A" w:rsidP="0024618A">
      <w:pPr>
        <w:pStyle w:val="Quote1"/>
        <w:ind w:left="1440" w:hanging="703"/>
      </w:pPr>
    </w:p>
    <w:p w:rsidR="0024618A" w:rsidRDefault="0024618A" w:rsidP="0024618A">
      <w:pPr>
        <w:pStyle w:val="Quote1"/>
        <w:ind w:left="1440" w:hanging="703"/>
      </w:pPr>
      <w:r>
        <w:t>(3)</w:t>
      </w:r>
      <w:r>
        <w:tab/>
        <w:t>A patent has effect throughout the patent area.</w:t>
      </w:r>
    </w:p>
    <w:p w:rsidR="003A1460" w:rsidRDefault="000A380D" w:rsidP="00D02CB6">
      <w:pPr>
        <w:pStyle w:val="ParaNumbering"/>
      </w:pPr>
      <w:r>
        <w:t>The contention</w:t>
      </w:r>
      <w:r w:rsidR="00B369C6">
        <w:t xml:space="preserve"> that they have </w:t>
      </w:r>
      <w:r>
        <w:t>‘</w:t>
      </w:r>
      <w:r w:rsidR="00B369C6">
        <w:t>authorised</w:t>
      </w:r>
      <w:r>
        <w:t>’</w:t>
      </w:r>
      <w:r w:rsidR="00B369C6">
        <w:t xml:space="preserve"> the acts of customers or end users is based specifically on s 13(1) of </w:t>
      </w:r>
      <w:r w:rsidR="007D7FA4">
        <w:t>the Act</w:t>
      </w:r>
      <w:r>
        <w:t>.  T</w:t>
      </w:r>
      <w:r w:rsidR="00B369C6">
        <w:t xml:space="preserve">he effect of </w:t>
      </w:r>
      <w:r>
        <w:t xml:space="preserve">s 13(1) </w:t>
      </w:r>
      <w:r w:rsidR="00B369C6">
        <w:t xml:space="preserve">is that a patent gives the patentee the exclusive right to ‘exploit the invention and to authorise another person to exploit the invention’.  This </w:t>
      </w:r>
      <w:r w:rsidR="00986B1D">
        <w:t xml:space="preserve">exclusive entitlement </w:t>
      </w:r>
      <w:r w:rsidR="00B369C6">
        <w:t xml:space="preserve">was summarised by Justice Bennett in </w:t>
      </w:r>
      <w:r w:rsidR="00D02CB6" w:rsidRPr="00D02CB6">
        <w:rPr>
          <w:i/>
        </w:rPr>
        <w:t xml:space="preserve">Inverness Medical Switzerland GmbH v MDS Diagnostics Pty Ltd </w:t>
      </w:r>
      <w:r w:rsidR="00B369C6">
        <w:t>(2010) 85 IPR 525</w:t>
      </w:r>
      <w:r w:rsidR="00C36845">
        <w:t xml:space="preserve"> in the following way (at [194]):</w:t>
      </w:r>
    </w:p>
    <w:p w:rsidR="00C36845" w:rsidRDefault="00596463" w:rsidP="00C36845">
      <w:pPr>
        <w:pStyle w:val="Quote1"/>
      </w:pPr>
      <w:r w:rsidRPr="00596463">
        <w:lastRenderedPageBreak/>
        <w:t>194</w:t>
      </w:r>
      <w:r w:rsidRPr="00596463">
        <w:tab/>
        <w:t>It is an infringement of the patentee’s exclusive rights not only to exploit an invention but also to authorise another person to exploit it (s 13 of the 1990 Act).  The word “authorise” in s 13 has the meaning in the comparable context of the Copyright Act (</w:t>
      </w:r>
      <w:r w:rsidRPr="00596463">
        <w:rPr>
          <w:i/>
        </w:rPr>
        <w:t>Bristol-Myers Squibb Company v F H Faulding &amp; Co Ltd</w:t>
      </w:r>
      <w:r w:rsidRPr="00596463">
        <w:t xml:space="preserve"> (2000) 97 FCR 524 at [97] per Black CJ and Lehane J; see also </w:t>
      </w:r>
      <w:r w:rsidRPr="00596463">
        <w:rPr>
          <w:i/>
        </w:rPr>
        <w:t>Rescare</w:t>
      </w:r>
      <w:r w:rsidRPr="00596463">
        <w:t xml:space="preserve"> at 155 per Gummow J).  A person authorises an infringement if he or she “sanctions, approves or countenances’” the infringement (</w:t>
      </w:r>
      <w:r w:rsidRPr="00596463">
        <w:rPr>
          <w:i/>
        </w:rPr>
        <w:t>University of New South Wales v Moorhouse</w:t>
      </w:r>
      <w:r w:rsidRPr="00596463">
        <w:t xml:space="preserve"> (1975) 133 CLR 1 at 12 per Gibbs J, at 20-21 per Jacobs J (McTiernan ACJ agreeing); </w:t>
      </w:r>
      <w:r w:rsidRPr="00596463">
        <w:rPr>
          <w:i/>
        </w:rPr>
        <w:t>Cooper</w:t>
      </w:r>
      <w:r w:rsidRPr="00596463">
        <w:t xml:space="preserve"> at [137]-[140] per Kenny J (French J agreeing)).  As Burchett J said in </w:t>
      </w:r>
      <w:r w:rsidRPr="00596463">
        <w:rPr>
          <w:i/>
        </w:rPr>
        <w:t>Kimberly-Clark Australia Pty Ltd v Arico Trading International Pty Ltd</w:t>
      </w:r>
      <w:r w:rsidRPr="00596463">
        <w:t xml:space="preserve"> (1998) 42 IPR 111 at 129 (appeal allowed on validity, but not on infringement), s 13 at least embraces the case where a person ‘</w:t>
      </w:r>
      <w:r w:rsidRPr="00596463">
        <w:rPr>
          <w:i/>
        </w:rPr>
        <w:t>made himself a party to the act of infringement</w:t>
      </w:r>
      <w:r w:rsidRPr="00596463">
        <w:t>’ (</w:t>
      </w:r>
      <w:r w:rsidRPr="00596463">
        <w:rPr>
          <w:i/>
        </w:rPr>
        <w:t>Walker v Alemite Corp</w:t>
      </w:r>
      <w:r w:rsidRPr="00596463">
        <w:t xml:space="preserve"> (1933) 49 CLR 643 at 658 per Dixon J).   </w:t>
      </w:r>
    </w:p>
    <w:p w:rsidR="003A1460" w:rsidRDefault="00F66DDA" w:rsidP="00F66DDA">
      <w:pPr>
        <w:pStyle w:val="ParaNumbering"/>
      </w:pPr>
      <w:r>
        <w:t xml:space="preserve">The applicants also rely upon the common law principles of joint tortfeasance.  Such principles are applicable to patent infringement, which is a statutory tort.  French J (as his Honour then was) explained the position in </w:t>
      </w:r>
      <w:r w:rsidRPr="00F66DDA">
        <w:rPr>
          <w:i/>
        </w:rPr>
        <w:t xml:space="preserve">Collins v Northern Territory </w:t>
      </w:r>
      <w:r>
        <w:t>(2007) 161 FCR 549 in the following way (at [24]</w:t>
      </w:r>
      <w:r w:rsidR="0005203C">
        <w:t>-[</w:t>
      </w:r>
      <w:r w:rsidR="00873007">
        <w:t>26</w:t>
      </w:r>
      <w:r w:rsidR="0005203C">
        <w:t>]</w:t>
      </w:r>
      <w:r w:rsidR="00C23B83">
        <w:t>,</w:t>
      </w:r>
      <w:r w:rsidR="00873007">
        <w:t xml:space="preserve"> [28] and [30]</w:t>
      </w:r>
      <w:r>
        <w:t>):</w:t>
      </w:r>
    </w:p>
    <w:p w:rsidR="00F66DDA" w:rsidRPr="00F66DDA" w:rsidRDefault="00F66DDA" w:rsidP="00F66DDA">
      <w:pPr>
        <w:pStyle w:val="Quote1"/>
        <w:rPr>
          <w:b/>
        </w:rPr>
      </w:pPr>
      <w:r w:rsidRPr="00F66DDA">
        <w:rPr>
          <w:b/>
        </w:rPr>
        <w:t>Accessorial liability for infringement before contributory infringement</w:t>
      </w:r>
    </w:p>
    <w:p w:rsidR="00F66DDA" w:rsidRDefault="00F66DDA" w:rsidP="00F66DDA">
      <w:pPr>
        <w:pStyle w:val="Quote1"/>
      </w:pPr>
    </w:p>
    <w:p w:rsidR="00F66DDA" w:rsidRDefault="0005203C" w:rsidP="00F66DDA">
      <w:pPr>
        <w:pStyle w:val="Quote1"/>
      </w:pPr>
      <w:r>
        <w:t>24</w:t>
      </w:r>
      <w:r>
        <w:tab/>
      </w:r>
      <w:r w:rsidR="00F66DDA">
        <w:t xml:space="preserve">Prior to the enactment of the Act there was no liability under Australian law for merely facilitating infringement. The same was true in the United Kingdom before the enactment of </w:t>
      </w:r>
      <w:r w:rsidR="007D7FA4">
        <w:t xml:space="preserve">the </w:t>
      </w:r>
      <w:r w:rsidR="007A5234">
        <w:rPr>
          <w:i/>
        </w:rPr>
        <w:t>Patents Act</w:t>
      </w:r>
      <w:r w:rsidR="00F66DDA" w:rsidRPr="00F66DDA">
        <w:rPr>
          <w:i/>
        </w:rPr>
        <w:t xml:space="preserve"> 1977</w:t>
      </w:r>
      <w:r w:rsidR="00F66DDA">
        <w:t xml:space="preserve"> (UK). Suggestions to the contrary were rejected by Jessell MR in </w:t>
      </w:r>
      <w:r w:rsidR="00F66DDA" w:rsidRPr="00F66DDA">
        <w:rPr>
          <w:i/>
        </w:rPr>
        <w:t>Townsend v Haworth</w:t>
      </w:r>
      <w:r w:rsidR="00F66DDA">
        <w:t xml:space="preserve"> (1875) 48 LJ Ch 770, noted in </w:t>
      </w:r>
      <w:r w:rsidR="00F66DDA" w:rsidRPr="00F66DDA">
        <w:rPr>
          <w:i/>
        </w:rPr>
        <w:t>Sykes v Howarth</w:t>
      </w:r>
      <w:r w:rsidR="00F66DDA">
        <w:t xml:space="preserve"> (1879) 12 Ch D 826:</w:t>
      </w:r>
    </w:p>
    <w:p w:rsidR="00F66DDA" w:rsidRDefault="00F66DDA" w:rsidP="00F66DDA">
      <w:pPr>
        <w:pStyle w:val="Quote1"/>
      </w:pPr>
    </w:p>
    <w:p w:rsidR="00F66DDA" w:rsidRDefault="00F66DDA" w:rsidP="00F66DDA">
      <w:pPr>
        <w:pStyle w:val="Quote2"/>
      </w:pPr>
      <w:r>
        <w:t>You cannot make out the proposition that any person selling any article, either organic or inorganic, either produced by nature or produced by art, which could in any way be used in the making of a patented article can be sued as an infringer, because he knows that the purchaser intends to make use of it for that purpose.</w:t>
      </w:r>
    </w:p>
    <w:p w:rsidR="00F66DDA" w:rsidRDefault="00F66DDA" w:rsidP="00F66DDA">
      <w:pPr>
        <w:pStyle w:val="Quote2"/>
      </w:pPr>
    </w:p>
    <w:p w:rsidR="00F66DDA" w:rsidRDefault="00F66DDA" w:rsidP="00F66DDA">
      <w:pPr>
        <w:pStyle w:val="Quote1"/>
      </w:pPr>
      <w:r>
        <w:t xml:space="preserve">That authority was followed and applied by the Court of Appeal in </w:t>
      </w:r>
      <w:r w:rsidRPr="00F66DDA">
        <w:rPr>
          <w:i/>
        </w:rPr>
        <w:t>Dunlop Pneumatic Tyre Company Ltd v David Moseley &amp; Sons Ltd</w:t>
      </w:r>
      <w:r>
        <w:t xml:space="preserve"> [1904] 1 Ch 612. See also </w:t>
      </w:r>
      <w:r w:rsidRPr="00F66DDA">
        <w:rPr>
          <w:i/>
        </w:rPr>
        <w:t>Adhesive Dry Mounting Company Ltd v Trapp &amp; Company</w:t>
      </w:r>
      <w:r>
        <w:t xml:space="preserve"> (1910) 27 RPC 341 at 353 and </w:t>
      </w:r>
      <w:r w:rsidRPr="00F66DDA">
        <w:rPr>
          <w:i/>
        </w:rPr>
        <w:t>Belegging-en Exploitatiemaatschappij Lavender BV v Witten Industrial Diamonds Ltd</w:t>
      </w:r>
      <w:r>
        <w:t xml:space="preserve"> [1979] FSR 59 at 64-66. </w:t>
      </w:r>
    </w:p>
    <w:p w:rsidR="0005203C" w:rsidRDefault="0005203C" w:rsidP="00F66DDA">
      <w:pPr>
        <w:pStyle w:val="Quote1"/>
      </w:pPr>
    </w:p>
    <w:p w:rsidR="0005203C" w:rsidRDefault="0005203C" w:rsidP="0005203C">
      <w:pPr>
        <w:pStyle w:val="Quote1"/>
      </w:pPr>
      <w:r>
        <w:t>25</w:t>
      </w:r>
      <w:r>
        <w:tab/>
        <w:t xml:space="preserve">Despite the absence of statutory provisions relating to contributory or indirect infringement it always was, as it still is, the law that a person is liable as an infringer who aids or induces or procures another to infringe a patent. In </w:t>
      </w:r>
      <w:r w:rsidRPr="0005203C">
        <w:rPr>
          <w:i/>
        </w:rPr>
        <w:t>Gibson v Brand</w:t>
      </w:r>
      <w:r>
        <w:t xml:space="preserve"> (1841) 1 WPC 627, Tindal CJ said:</w:t>
      </w:r>
    </w:p>
    <w:p w:rsidR="0005203C" w:rsidRDefault="0005203C" w:rsidP="0005203C">
      <w:pPr>
        <w:pStyle w:val="Quote1"/>
      </w:pPr>
    </w:p>
    <w:p w:rsidR="0005203C" w:rsidRDefault="0005203C" w:rsidP="0005203C">
      <w:pPr>
        <w:pStyle w:val="Quote1"/>
      </w:pPr>
      <w:r>
        <w:t>… he that causes or procures to be made, may well be said to have made them himself.</w:t>
      </w:r>
    </w:p>
    <w:p w:rsidR="0005203C" w:rsidRDefault="0005203C" w:rsidP="0005203C">
      <w:pPr>
        <w:pStyle w:val="Quote1"/>
      </w:pPr>
    </w:p>
    <w:p w:rsidR="0005203C" w:rsidRDefault="0005203C" w:rsidP="0005203C">
      <w:pPr>
        <w:pStyle w:val="Quote1"/>
      </w:pPr>
      <w:r>
        <w:t xml:space="preserve">To attract that accessorial tortious liability, it is not enough to sell an article knowing that it would be used in a way which would infringe the patent of another: </w:t>
      </w:r>
      <w:r w:rsidRPr="0005203C">
        <w:rPr>
          <w:i/>
        </w:rPr>
        <w:t>Dow Chemical AG v Spence Bryson &amp; Company Ltd</w:t>
      </w:r>
      <w:r>
        <w:t xml:space="preserve"> [1982] FSR 397.  What was, and still is, required was conduct of the kind that would characterise a person as a joint tortfeasor at common law. As was said in </w:t>
      </w:r>
      <w:r w:rsidRPr="0005203C">
        <w:rPr>
          <w:i/>
        </w:rPr>
        <w:t>Terrell on The Law of Patents</w:t>
      </w:r>
      <w:r>
        <w:t xml:space="preserve"> (16th ed, Sweet &amp; Maxwell, 2006) at [8-40]:</w:t>
      </w:r>
    </w:p>
    <w:p w:rsidR="0005203C" w:rsidRDefault="0005203C" w:rsidP="0005203C">
      <w:pPr>
        <w:pStyle w:val="Quote1"/>
      </w:pPr>
    </w:p>
    <w:p w:rsidR="0005203C" w:rsidRDefault="0005203C" w:rsidP="0005203C">
      <w:pPr>
        <w:pStyle w:val="Quote2"/>
      </w:pPr>
      <w:r>
        <w:t>Persons may be liable for infringement if their acts are such as would make them joint tortfeasors under the general law.</w:t>
      </w:r>
    </w:p>
    <w:p w:rsidR="0005203C" w:rsidRDefault="0005203C" w:rsidP="0005203C">
      <w:pPr>
        <w:pStyle w:val="Quote1"/>
      </w:pPr>
    </w:p>
    <w:p w:rsidR="0005203C" w:rsidRDefault="0005203C" w:rsidP="0005203C">
      <w:pPr>
        <w:pStyle w:val="Quote1"/>
      </w:pPr>
      <w:r>
        <w:t xml:space="preserve">Liability as a joint tortfeasor has been said to require </w:t>
      </w:r>
      <w:r w:rsidRPr="005D58A3">
        <w:rPr>
          <w:b/>
        </w:rPr>
        <w:t>concerted action with another in the commission of the infringement or a “concerted design”</w:t>
      </w:r>
      <w:r>
        <w:t xml:space="preserve">: </w:t>
      </w:r>
      <w:r w:rsidRPr="0005203C">
        <w:rPr>
          <w:i/>
        </w:rPr>
        <w:t>Morton-Norwich Products Inc v Intercen Ltd</w:t>
      </w:r>
      <w:r>
        <w:t xml:space="preserve"> [1978] RPC 501 at 513 (Graham J). There is other authority for the proposition that inducing or procuring an infringement attracts liability as a joint tortfeasor. Some of the cases seem to use the words “joint tortfeasor” to refer only to the class of persons involved in a common or concerted design to infringe and assign liability to persons inducing or procuring infringement under a wider head of accessorial tortious liability. Whatever the proper nomenclature, </w:t>
      </w:r>
      <w:r w:rsidRPr="005D58A3">
        <w:rPr>
          <w:b/>
        </w:rPr>
        <w:t>mere facilitation of an infringement does not amount to procuration of or involvement in it</w:t>
      </w:r>
      <w:r>
        <w:t xml:space="preserve">: </w:t>
      </w:r>
      <w:r w:rsidRPr="0005203C">
        <w:rPr>
          <w:i/>
        </w:rPr>
        <w:t>Molnlycke AB v Procter &amp; Gamble Ltd (No 4)</w:t>
      </w:r>
      <w:r>
        <w:t xml:space="preserve"> [1992] RPC 21 at 29 (Dillon LJ).</w:t>
      </w:r>
    </w:p>
    <w:p w:rsidR="0005203C" w:rsidRDefault="0005203C" w:rsidP="0005203C">
      <w:pPr>
        <w:pStyle w:val="Quote1"/>
      </w:pPr>
    </w:p>
    <w:p w:rsidR="0005203C" w:rsidRDefault="0005203C" w:rsidP="0005203C">
      <w:pPr>
        <w:pStyle w:val="Quote1"/>
      </w:pPr>
      <w:r>
        <w:t>26</w:t>
      </w:r>
      <w:r>
        <w:tab/>
        <w:t xml:space="preserve">The rejection by the English Courts of the proposition that conduct merely facilitating infringement is a species of infringement, was followed by the High Court in </w:t>
      </w:r>
      <w:r w:rsidRPr="0005203C">
        <w:rPr>
          <w:i/>
        </w:rPr>
        <w:t>Walker v Alemite Corporation</w:t>
      </w:r>
      <w:r>
        <w:t xml:space="preserve"> (1933) 49 CLR 643 at 650 (Rich J), 654  (Starke J, Evatt J agreeing) and 658 (Dixon J, McTiernan J agreeing). Dixon J put it thus (at 658):</w:t>
      </w:r>
    </w:p>
    <w:p w:rsidR="0005203C" w:rsidRDefault="0005203C" w:rsidP="0005203C">
      <w:pPr>
        <w:pStyle w:val="Quote1"/>
      </w:pPr>
      <w:r>
        <w:t xml:space="preserve"> </w:t>
      </w:r>
    </w:p>
    <w:p w:rsidR="0005203C" w:rsidRDefault="0005203C" w:rsidP="0005203C">
      <w:pPr>
        <w:pStyle w:val="Quote2"/>
      </w:pPr>
      <w:r>
        <w:t xml:space="preserve">… it is settled law that the exclusive property in a combination invention is not infringed upon by the sale of the components … that selling articles to persons to be used for the purpose of infringing a patent is not an infringement of the patent … and that sale with a knowledge that the purchaser will use the articles for infringement is not itself an infringement although the vendor gives the purchaser an indemnity: the vendor must have made himself a party to the act of infringement … Further … it is not enough that the article sold has no other use than a use in the course of what amounts to infringement. The basis upon which these rules rest is that whatever is not included in the monopoly granted is </w:t>
      </w:r>
      <w:r w:rsidRPr="005668A8">
        <w:rPr>
          <w:i/>
        </w:rPr>
        <w:t>publici juris</w:t>
      </w:r>
      <w:r>
        <w:t xml:space="preserve"> and may be freely used as of common right.</w:t>
      </w:r>
    </w:p>
    <w:p w:rsidR="0005203C" w:rsidRDefault="005D58A3" w:rsidP="0005203C">
      <w:pPr>
        <w:pStyle w:val="Quote1"/>
      </w:pPr>
      <w:r>
        <w:t>…</w:t>
      </w:r>
    </w:p>
    <w:p w:rsidR="009A1391" w:rsidRDefault="0005203C" w:rsidP="005D58A3">
      <w:pPr>
        <w:pStyle w:val="Quote1"/>
      </w:pPr>
      <w:r>
        <w:t>28</w:t>
      </w:r>
      <w:r>
        <w:tab/>
      </w:r>
      <w:r w:rsidRPr="005D58A3">
        <w:rPr>
          <w:b/>
        </w:rPr>
        <w:t>Involvement as an accessorial or joint tortfeasor continues</w:t>
      </w:r>
      <w:r>
        <w:t xml:space="preserve"> in both the United</w:t>
      </w:r>
      <w:r w:rsidR="009A1391">
        <w:t xml:space="preserve"> </w:t>
      </w:r>
      <w:r>
        <w:t xml:space="preserve">Kingdom and Australia as a basis for imposing liability </w:t>
      </w:r>
      <w:r w:rsidRPr="005D58A3">
        <w:rPr>
          <w:b/>
        </w:rPr>
        <w:t>notwithstanding the</w:t>
      </w:r>
      <w:r w:rsidR="009A1391" w:rsidRPr="005D58A3">
        <w:rPr>
          <w:b/>
        </w:rPr>
        <w:t xml:space="preserve"> </w:t>
      </w:r>
      <w:r w:rsidRPr="005D58A3">
        <w:rPr>
          <w:b/>
        </w:rPr>
        <w:t>enactment of statutory provisions for contributory infringement</w:t>
      </w:r>
      <w:r>
        <w:t xml:space="preserve"> in s 60(2) of </w:t>
      </w:r>
      <w:r w:rsidR="007D7FA4">
        <w:t xml:space="preserve">the </w:t>
      </w:r>
      <w:r w:rsidR="005668A8">
        <w:rPr>
          <w:i/>
        </w:rPr>
        <w:t xml:space="preserve">Patents Act </w:t>
      </w:r>
      <w:r w:rsidRPr="009A1391">
        <w:rPr>
          <w:i/>
        </w:rPr>
        <w:t>1977</w:t>
      </w:r>
      <w:r>
        <w:t xml:space="preserve"> (UK) and </w:t>
      </w:r>
      <w:r w:rsidRPr="005D58A3">
        <w:rPr>
          <w:b/>
        </w:rPr>
        <w:t>s 117 of the Act</w:t>
      </w:r>
      <w:r w:rsidR="005D58A3">
        <w:t xml:space="preserve"> …</w:t>
      </w:r>
    </w:p>
    <w:p w:rsidR="005D58A3" w:rsidRDefault="005668A8" w:rsidP="005D58A3">
      <w:pPr>
        <w:pStyle w:val="Quote1"/>
      </w:pPr>
      <w:r>
        <w:t>…</w:t>
      </w:r>
    </w:p>
    <w:p w:rsidR="0005203C" w:rsidRDefault="009A1391" w:rsidP="0005203C">
      <w:pPr>
        <w:pStyle w:val="Quote1"/>
      </w:pPr>
      <w:r>
        <w:t>30</w:t>
      </w:r>
      <w:r>
        <w:tab/>
      </w:r>
      <w:r w:rsidR="0005203C">
        <w:t>The application of the joint tortfeasor or accessorial tortious liability doctrine</w:t>
      </w:r>
      <w:r>
        <w:t xml:space="preserve"> </w:t>
      </w:r>
      <w:r w:rsidR="0005203C">
        <w:t>to the statutory liability for infringement of a patent is referred to as background</w:t>
      </w:r>
      <w:r>
        <w:t xml:space="preserve"> </w:t>
      </w:r>
      <w:r w:rsidR="0005203C">
        <w:t>to the enactment of s 117 and for a better understanding of the mischief to</w:t>
      </w:r>
      <w:r>
        <w:t xml:space="preserve"> </w:t>
      </w:r>
      <w:r w:rsidR="0005203C">
        <w:t>which it was directed. Section 117 necessarily travels beyond the range of</w:t>
      </w:r>
      <w:r>
        <w:t xml:space="preserve"> </w:t>
      </w:r>
      <w:r w:rsidR="0005203C">
        <w:t>tortious accessorial liability for infringement.</w:t>
      </w:r>
    </w:p>
    <w:p w:rsidR="005D58A3" w:rsidRDefault="005D58A3" w:rsidP="0005203C">
      <w:pPr>
        <w:pStyle w:val="Quote1"/>
      </w:pPr>
      <w:r>
        <w:t>(emphasis added)</w:t>
      </w:r>
    </w:p>
    <w:p w:rsidR="0005203C" w:rsidRDefault="00B82798" w:rsidP="00B82798">
      <w:pPr>
        <w:pStyle w:val="ParaNumbering"/>
      </w:pPr>
      <w:r>
        <w:t>The respondents have made certain admissions, but they are quite limited</w:t>
      </w:r>
      <w:r w:rsidR="005668A8">
        <w:t>.  F</w:t>
      </w:r>
      <w:r>
        <w:t xml:space="preserve">or example, they have made limited admissions as to instructions being provided by Coretell for use of the </w:t>
      </w:r>
      <w:r w:rsidR="00FC24DD">
        <w:t>ORIshot Tool</w:t>
      </w:r>
      <w:r>
        <w:t xml:space="preserve">.  The respondents otherwise dispute the claimed authorisation or joint tortfeasance.  </w:t>
      </w:r>
    </w:p>
    <w:p w:rsidR="002350E7" w:rsidRDefault="002350E7" w:rsidP="00B82798">
      <w:pPr>
        <w:pStyle w:val="ParaNumbering"/>
      </w:pPr>
      <w:r>
        <w:lastRenderedPageBreak/>
        <w:t xml:space="preserve">The </w:t>
      </w:r>
      <w:r w:rsidR="00310B36">
        <w:t xml:space="preserve">applicant’s </w:t>
      </w:r>
      <w:r>
        <w:t xml:space="preserve">second further amended particulars of infringement </w:t>
      </w:r>
      <w:r w:rsidR="00310B36">
        <w:t>continue</w:t>
      </w:r>
      <w:r>
        <w:t xml:space="preserve"> (at [21]-[3</w:t>
      </w:r>
      <w:r w:rsidR="00B32130">
        <w:t>0</w:t>
      </w:r>
      <w:r>
        <w:t>]):</w:t>
      </w:r>
    </w:p>
    <w:p w:rsidR="00736ACA" w:rsidRPr="00736ACA" w:rsidRDefault="00736ACA" w:rsidP="00736ACA">
      <w:pPr>
        <w:pStyle w:val="Quote1"/>
        <w:rPr>
          <w:b/>
          <w:i/>
        </w:rPr>
      </w:pPr>
      <w:r w:rsidRPr="00736ACA">
        <w:rPr>
          <w:b/>
          <w:i/>
        </w:rPr>
        <w:t>Sale and supply of tools</w:t>
      </w:r>
    </w:p>
    <w:p w:rsidR="00736ACA" w:rsidRDefault="00736ACA" w:rsidP="00736ACA">
      <w:pPr>
        <w:pStyle w:val="Quote1"/>
      </w:pPr>
    </w:p>
    <w:p w:rsidR="00736ACA" w:rsidRDefault="00736ACA" w:rsidP="00736ACA">
      <w:pPr>
        <w:pStyle w:val="Quote1"/>
      </w:pPr>
      <w:r>
        <w:t>21.</w:t>
      </w:r>
      <w:r>
        <w:tab/>
      </w:r>
      <w:r w:rsidR="00A576E0">
        <w:t>T</w:t>
      </w:r>
      <w:r>
        <w:t>he applicants repeat the particulars in paragraphs 4 to 18 above.</w:t>
      </w:r>
    </w:p>
    <w:p w:rsidR="00736ACA" w:rsidRDefault="00736ACA" w:rsidP="00736ACA">
      <w:pPr>
        <w:pStyle w:val="Quote1"/>
      </w:pPr>
    </w:p>
    <w:p w:rsidR="00736ACA" w:rsidRPr="00736ACA" w:rsidRDefault="00736ACA" w:rsidP="00736ACA">
      <w:pPr>
        <w:pStyle w:val="Quote1"/>
        <w:rPr>
          <w:b/>
          <w:i/>
        </w:rPr>
      </w:pPr>
      <w:r w:rsidRPr="00736ACA">
        <w:rPr>
          <w:b/>
          <w:i/>
        </w:rPr>
        <w:t>Inducements and use of tools</w:t>
      </w:r>
    </w:p>
    <w:p w:rsidR="00736ACA" w:rsidRDefault="00736ACA" w:rsidP="00736ACA">
      <w:pPr>
        <w:pStyle w:val="Quote1"/>
      </w:pPr>
    </w:p>
    <w:p w:rsidR="00736ACA" w:rsidRDefault="00736ACA" w:rsidP="005668A8">
      <w:pPr>
        <w:pStyle w:val="Quote1"/>
        <w:ind w:left="1440" w:hanging="703"/>
      </w:pPr>
      <w:r>
        <w:t>22.</w:t>
      </w:r>
      <w:r>
        <w:tab/>
      </w:r>
      <w:r w:rsidR="00A576E0">
        <w:t xml:space="preserve">[Coretell] </w:t>
      </w:r>
      <w:r>
        <w:t xml:space="preserve">has since at least November 2006 promoted the </w:t>
      </w:r>
      <w:r w:rsidRPr="00736ACA">
        <w:rPr>
          <w:b/>
        </w:rPr>
        <w:t>Coretell Equipment</w:t>
      </w:r>
      <w:r>
        <w:t xml:space="preserve"> and given instructions and inducements for its use on </w:t>
      </w:r>
      <w:r w:rsidR="00A576E0">
        <w:t>[Coretell’s]</w:t>
      </w:r>
      <w:r>
        <w:t xml:space="preserve"> website http://www.coretell.com.au/products.htm and in kits of </w:t>
      </w:r>
      <w:r w:rsidRPr="00736ACA">
        <w:rPr>
          <w:b/>
        </w:rPr>
        <w:t>Coretell Equipment</w:t>
      </w:r>
      <w:r>
        <w:t xml:space="preserve"> supplied or offered to be supplied, including to the entities referred to in paragraphs 6, 7 and 12 above.</w:t>
      </w:r>
    </w:p>
    <w:p w:rsidR="00736ACA" w:rsidRDefault="00736ACA" w:rsidP="00736ACA">
      <w:pPr>
        <w:pStyle w:val="Quote1"/>
        <w:ind w:left="1440" w:hanging="703"/>
      </w:pPr>
    </w:p>
    <w:p w:rsidR="00736ACA" w:rsidRDefault="00736ACA" w:rsidP="00736ACA">
      <w:pPr>
        <w:pStyle w:val="Quote1"/>
        <w:ind w:left="1440" w:hanging="703"/>
      </w:pPr>
      <w:r>
        <w:t>23.</w:t>
      </w:r>
      <w:r>
        <w:tab/>
        <w:t xml:space="preserve">The entities referred to in paragraphs 6, 7 and 12 above have used, or caused others to whom they supplied the </w:t>
      </w:r>
      <w:r w:rsidRPr="00736ACA">
        <w:rPr>
          <w:b/>
        </w:rPr>
        <w:t>Coretell Equipment</w:t>
      </w:r>
      <w:r>
        <w:t xml:space="preserve"> to use, the </w:t>
      </w:r>
      <w:r w:rsidRPr="00736ACA">
        <w:rPr>
          <w:b/>
        </w:rPr>
        <w:t>Coretell Equipment</w:t>
      </w:r>
      <w:r>
        <w:t xml:space="preserve"> in accordance with the instructions and inducements referred to in paragraph 22 above.</w:t>
      </w:r>
    </w:p>
    <w:p w:rsidR="00736ACA" w:rsidRDefault="00736ACA" w:rsidP="00736ACA">
      <w:pPr>
        <w:pStyle w:val="Quote1"/>
        <w:ind w:left="1440" w:hanging="703"/>
      </w:pPr>
    </w:p>
    <w:p w:rsidR="00736ACA" w:rsidRDefault="00736ACA" w:rsidP="00736ACA">
      <w:pPr>
        <w:pStyle w:val="Quote1"/>
        <w:ind w:left="1440" w:hanging="703"/>
      </w:pPr>
      <w:r>
        <w:t>24.</w:t>
      </w:r>
      <w:r>
        <w:tab/>
      </w:r>
      <w:r w:rsidR="00A576E0">
        <w:t>[Coretell]</w:t>
      </w:r>
      <w:r>
        <w:t xml:space="preserve"> knew, or ought to have known, that the </w:t>
      </w:r>
      <w:r w:rsidRPr="00736ACA">
        <w:rPr>
          <w:b/>
        </w:rPr>
        <w:t>Coretell Equipment</w:t>
      </w:r>
      <w:r>
        <w:t xml:space="preserve"> would be used in the manner referred to in paragraph 23 above.</w:t>
      </w:r>
    </w:p>
    <w:p w:rsidR="00736ACA" w:rsidRDefault="00736ACA" w:rsidP="00736ACA">
      <w:pPr>
        <w:pStyle w:val="Quote1"/>
        <w:ind w:left="1440" w:hanging="703"/>
      </w:pPr>
    </w:p>
    <w:p w:rsidR="00736ACA" w:rsidRDefault="00736ACA" w:rsidP="00736ACA">
      <w:pPr>
        <w:pStyle w:val="Quote1"/>
        <w:ind w:left="1440" w:hanging="703"/>
      </w:pPr>
      <w:r>
        <w:t>25.</w:t>
      </w:r>
      <w:r>
        <w:tab/>
      </w:r>
      <w:r w:rsidR="00A576E0">
        <w:t xml:space="preserve">[Mincrest] </w:t>
      </w:r>
      <w:r>
        <w:t xml:space="preserve">has since before 5 September 2005 promoted the </w:t>
      </w:r>
      <w:r w:rsidRPr="00736ACA">
        <w:rPr>
          <w:b/>
        </w:rPr>
        <w:t>Coretell Equipment</w:t>
      </w:r>
      <w:r>
        <w:t xml:space="preserve"> and given instructions and inducements for its use, including to the entities referred to in paragraphs 8, 9 and 13 above, and including:</w:t>
      </w:r>
    </w:p>
    <w:p w:rsidR="00736ACA" w:rsidRDefault="00736ACA" w:rsidP="00736ACA">
      <w:pPr>
        <w:pStyle w:val="Quote2"/>
        <w:ind w:left="2160" w:hanging="720"/>
      </w:pPr>
      <w:r>
        <w:t>(i)</w:t>
      </w:r>
      <w:r>
        <w:tab/>
        <w:t xml:space="preserve">the instructions and inducements provided by </w:t>
      </w:r>
      <w:r w:rsidR="00A576E0">
        <w:t xml:space="preserve">[Mincrest] </w:t>
      </w:r>
      <w:r>
        <w:t xml:space="preserve">in respect of </w:t>
      </w:r>
      <w:r w:rsidRPr="00736ACA">
        <w:rPr>
          <w:b/>
        </w:rPr>
        <w:t>Version 1</w:t>
      </w:r>
      <w:r>
        <w:t xml:space="preserve"> from before 5 September 2005 to at least 3 March 2007 on the website http://www.camteq.com.au/products and in kits of </w:t>
      </w:r>
      <w:r w:rsidRPr="00736ACA">
        <w:rPr>
          <w:b/>
        </w:rPr>
        <w:t>Coretell Equipment</w:t>
      </w:r>
      <w:r>
        <w:t xml:space="preserve"> supplied or offered to be supplied;</w:t>
      </w:r>
    </w:p>
    <w:p w:rsidR="00736ACA" w:rsidRDefault="00736ACA" w:rsidP="00736ACA">
      <w:pPr>
        <w:pStyle w:val="Quote2"/>
        <w:ind w:left="2160" w:hanging="720"/>
      </w:pPr>
      <w:r>
        <w:t>(ii)</w:t>
      </w:r>
      <w:r>
        <w:tab/>
        <w:t xml:space="preserve">the instructions and inducements in respect of </w:t>
      </w:r>
      <w:r w:rsidRPr="00736ACA">
        <w:rPr>
          <w:b/>
        </w:rPr>
        <w:t>Versions 2 and 3</w:t>
      </w:r>
      <w:r>
        <w:t xml:space="preserve"> provided by </w:t>
      </w:r>
      <w:r w:rsidR="00A576E0">
        <w:t>[Mincrest]</w:t>
      </w:r>
      <w:r>
        <w:t xml:space="preserve"> to the entity referred to item 3 of the Confidential Schedule pursuant to its obligations under confidential agreement with that entity since November 2011.</w:t>
      </w:r>
    </w:p>
    <w:p w:rsidR="0094545B" w:rsidRDefault="0094545B" w:rsidP="00736ACA">
      <w:pPr>
        <w:pStyle w:val="Quote1"/>
      </w:pPr>
    </w:p>
    <w:p w:rsidR="00736ACA" w:rsidRDefault="0094545B" w:rsidP="0094545B">
      <w:pPr>
        <w:pStyle w:val="Quote1"/>
        <w:ind w:left="1440" w:hanging="703"/>
      </w:pPr>
      <w:r>
        <w:t>26.</w:t>
      </w:r>
      <w:r>
        <w:tab/>
      </w:r>
      <w:r w:rsidR="00736ACA">
        <w:t>The entities referred to in paragraphs 8, 9 and 13 above have used, or caused others</w:t>
      </w:r>
      <w:r>
        <w:t xml:space="preserve"> </w:t>
      </w:r>
      <w:r w:rsidR="00736ACA">
        <w:t xml:space="preserve">to whom they supplied the </w:t>
      </w:r>
      <w:r w:rsidR="00736ACA" w:rsidRPr="0094545B">
        <w:rPr>
          <w:b/>
        </w:rPr>
        <w:t>Coretell Equipment</w:t>
      </w:r>
      <w:r w:rsidR="00736ACA">
        <w:t xml:space="preserve"> to use, the </w:t>
      </w:r>
      <w:r w:rsidR="00736ACA" w:rsidRPr="0094545B">
        <w:rPr>
          <w:b/>
        </w:rPr>
        <w:t>Coretell Equipment</w:t>
      </w:r>
      <w:r w:rsidR="00736ACA">
        <w:t xml:space="preserve"> in</w:t>
      </w:r>
      <w:r>
        <w:t xml:space="preserve"> </w:t>
      </w:r>
      <w:r w:rsidR="00736ACA">
        <w:t>accordance with the instructions and inducements referred to in paragraph 25 above.</w:t>
      </w:r>
    </w:p>
    <w:p w:rsidR="0094545B" w:rsidRDefault="0094545B" w:rsidP="0094545B">
      <w:pPr>
        <w:pStyle w:val="Quote1"/>
        <w:ind w:left="1440" w:hanging="703"/>
      </w:pPr>
    </w:p>
    <w:p w:rsidR="00736ACA" w:rsidRDefault="0094545B" w:rsidP="0094545B">
      <w:pPr>
        <w:pStyle w:val="Quote1"/>
        <w:ind w:left="1440" w:hanging="703"/>
      </w:pPr>
      <w:r>
        <w:t>27.</w:t>
      </w:r>
      <w:r>
        <w:tab/>
      </w:r>
      <w:r w:rsidR="00A576E0">
        <w:t>[Mincrest]</w:t>
      </w:r>
      <w:r w:rsidR="00736ACA">
        <w:t xml:space="preserve"> knew, or ought to have known, that the </w:t>
      </w:r>
      <w:r w:rsidR="00736ACA" w:rsidRPr="0094545B">
        <w:rPr>
          <w:b/>
        </w:rPr>
        <w:t>Coretell Equipment</w:t>
      </w:r>
      <w:r>
        <w:t xml:space="preserve"> </w:t>
      </w:r>
      <w:r w:rsidR="00736ACA">
        <w:t>would be used in the manner referred to in paragraph 26 above.</w:t>
      </w:r>
    </w:p>
    <w:p w:rsidR="0094545B" w:rsidRDefault="0094545B" w:rsidP="0094545B">
      <w:pPr>
        <w:pStyle w:val="Quote1"/>
        <w:ind w:left="1440" w:hanging="703"/>
      </w:pPr>
    </w:p>
    <w:p w:rsidR="00736ACA" w:rsidRDefault="0094545B" w:rsidP="007B2111">
      <w:pPr>
        <w:pStyle w:val="Quote1"/>
        <w:ind w:left="1440" w:hanging="703"/>
      </w:pPr>
      <w:r>
        <w:t>28.</w:t>
      </w:r>
      <w:r>
        <w:tab/>
      </w:r>
      <w:r w:rsidR="00A576E0">
        <w:t>[</w:t>
      </w:r>
      <w:r w:rsidR="005668A8">
        <w:t>Kleyn Investments</w:t>
      </w:r>
      <w:r w:rsidR="00A576E0">
        <w:t>]</w:t>
      </w:r>
      <w:r w:rsidR="00736ACA">
        <w:t xml:space="preserve"> has promoted </w:t>
      </w:r>
      <w:r w:rsidR="00736ACA" w:rsidRPr="0094545B">
        <w:rPr>
          <w:b/>
        </w:rPr>
        <w:t>Coretell Equipment</w:t>
      </w:r>
      <w:r w:rsidR="00736ACA">
        <w:t xml:space="preserve"> and given instructions and</w:t>
      </w:r>
      <w:r>
        <w:t xml:space="preserve"> </w:t>
      </w:r>
      <w:r w:rsidR="00736ACA">
        <w:t>inducements for its use, including to the entities referred to in paragraphs 10, 14, 15</w:t>
      </w:r>
      <w:r>
        <w:t xml:space="preserve"> </w:t>
      </w:r>
      <w:r w:rsidR="00736ACA">
        <w:t>and 16 above, and including the instructions and inducements provided in kits of</w:t>
      </w:r>
      <w:r w:rsidR="007B2111">
        <w:t xml:space="preserve"> </w:t>
      </w:r>
      <w:r w:rsidR="00736ACA" w:rsidRPr="007B2111">
        <w:rPr>
          <w:b/>
        </w:rPr>
        <w:t>Coretell Equipment</w:t>
      </w:r>
      <w:r w:rsidR="00736ACA">
        <w:t xml:space="preserve"> supplied or offered to be supplied, including pursuant to the terms</w:t>
      </w:r>
      <w:r w:rsidR="007B2111">
        <w:t xml:space="preserve"> </w:t>
      </w:r>
      <w:r w:rsidR="00736ACA">
        <w:t>of the confidential agreements described in paragraphs 15 and 16 above.</w:t>
      </w:r>
    </w:p>
    <w:p w:rsidR="007B2111" w:rsidRDefault="007B2111" w:rsidP="007B2111">
      <w:pPr>
        <w:pStyle w:val="Quote1"/>
        <w:ind w:left="1440" w:hanging="703"/>
      </w:pPr>
    </w:p>
    <w:p w:rsidR="00736ACA" w:rsidRDefault="007B2111" w:rsidP="007B2111">
      <w:pPr>
        <w:pStyle w:val="Quote1"/>
        <w:ind w:left="1440" w:hanging="703"/>
      </w:pPr>
      <w:r>
        <w:t>29.</w:t>
      </w:r>
      <w:r>
        <w:tab/>
      </w:r>
      <w:r w:rsidR="00736ACA">
        <w:t>The entities referred to in paragraphs 10, 14, 15 and 16 above have used, or caused</w:t>
      </w:r>
      <w:r>
        <w:t xml:space="preserve"> </w:t>
      </w:r>
      <w:r w:rsidR="00736ACA">
        <w:t xml:space="preserve">others to whom they supplied the </w:t>
      </w:r>
      <w:r w:rsidR="00736ACA" w:rsidRPr="007B2111">
        <w:rPr>
          <w:b/>
        </w:rPr>
        <w:t>Coretell Equipment</w:t>
      </w:r>
      <w:r w:rsidR="00736ACA">
        <w:t xml:space="preserve"> to use, the </w:t>
      </w:r>
      <w:r w:rsidR="00736ACA" w:rsidRPr="007B2111">
        <w:rPr>
          <w:b/>
        </w:rPr>
        <w:t>Coretell Equipment</w:t>
      </w:r>
      <w:r>
        <w:t xml:space="preserve"> </w:t>
      </w:r>
      <w:r w:rsidR="00736ACA">
        <w:t>in accordance with the instructions and inducements referred to in paragraph 28</w:t>
      </w:r>
      <w:r>
        <w:t xml:space="preserve"> </w:t>
      </w:r>
      <w:r w:rsidR="00736ACA">
        <w:t>above.</w:t>
      </w:r>
    </w:p>
    <w:p w:rsidR="007B2111" w:rsidRDefault="007B2111" w:rsidP="00736ACA">
      <w:pPr>
        <w:pStyle w:val="Quote1"/>
      </w:pPr>
    </w:p>
    <w:p w:rsidR="00736ACA" w:rsidRDefault="007B2111" w:rsidP="007B2111">
      <w:pPr>
        <w:pStyle w:val="Quote1"/>
        <w:ind w:left="1440" w:hanging="703"/>
      </w:pPr>
      <w:r>
        <w:t>30.</w:t>
      </w:r>
      <w:r>
        <w:tab/>
      </w:r>
      <w:r w:rsidR="00A576E0">
        <w:t>[</w:t>
      </w:r>
      <w:r w:rsidR="005668A8">
        <w:t>Kleyn Investments</w:t>
      </w:r>
      <w:r w:rsidR="00A576E0">
        <w:t>]</w:t>
      </w:r>
      <w:r w:rsidR="00736ACA">
        <w:t xml:space="preserve"> knew, or ought to have known, that the </w:t>
      </w:r>
      <w:r w:rsidR="00736ACA" w:rsidRPr="007B2111">
        <w:rPr>
          <w:b/>
        </w:rPr>
        <w:t>Coretell Equipment</w:t>
      </w:r>
      <w:r>
        <w:t xml:space="preserve"> </w:t>
      </w:r>
      <w:r w:rsidR="00736ACA">
        <w:t>would be used in the manner referred to in paragraph 29 above.</w:t>
      </w:r>
    </w:p>
    <w:p w:rsidR="00BD7FB4" w:rsidRDefault="000602A0" w:rsidP="000602A0">
      <w:pPr>
        <w:pStyle w:val="ParaNumbering"/>
      </w:pPr>
      <w:r>
        <w:t xml:space="preserve">Again, in summary, the applicants say that the evidence shows that each of the three corporate respondents </w:t>
      </w:r>
      <w:r w:rsidR="00FC24DD">
        <w:t xml:space="preserve">have </w:t>
      </w:r>
      <w:r>
        <w:t xml:space="preserve">sold or supplied the </w:t>
      </w:r>
      <w:r w:rsidR="00FC24DD">
        <w:t>ORIshot Tool,</w:t>
      </w:r>
      <w:r>
        <w:t xml:space="preserve"> promoted and given instructions or inducements for the use of the </w:t>
      </w:r>
      <w:r w:rsidR="00FC24DD">
        <w:t xml:space="preserve">ORIshot Tool, </w:t>
      </w:r>
      <w:r>
        <w:t xml:space="preserve">and that in doing so each of them had reason to believe that the </w:t>
      </w:r>
      <w:r w:rsidR="00FC24DD">
        <w:t>ORIshot Tool</w:t>
      </w:r>
      <w:r>
        <w:t xml:space="preserve"> would be </w:t>
      </w:r>
      <w:r w:rsidR="005C4D0F">
        <w:t xml:space="preserve">used by customers or end users.  It follows, therefore, </w:t>
      </w:r>
      <w:r w:rsidR="00B32130">
        <w:t>that each is</w:t>
      </w:r>
      <w:r w:rsidR="005C4D0F">
        <w:t xml:space="preserve"> liable for the infringing use of the </w:t>
      </w:r>
      <w:r w:rsidR="00FC24DD">
        <w:t>ORIshot Tool</w:t>
      </w:r>
      <w:r w:rsidR="005C4D0F">
        <w:t xml:space="preserve"> by customers or end users on the principles set out above.  </w:t>
      </w:r>
    </w:p>
    <w:p w:rsidR="005C4D0F" w:rsidRDefault="00FC24DD" w:rsidP="000602A0">
      <w:pPr>
        <w:pStyle w:val="ParaNumbering"/>
      </w:pPr>
      <w:r>
        <w:t xml:space="preserve">Thirdly, </w:t>
      </w:r>
      <w:r w:rsidR="005C4D0F">
        <w:t xml:space="preserve">the </w:t>
      </w:r>
      <w:r w:rsidR="00377810">
        <w:t xml:space="preserve">corporate respondents are said to have infringed the Method Patent </w:t>
      </w:r>
      <w:r>
        <w:t xml:space="preserve">pursuant to s 117 of the Act </w:t>
      </w:r>
      <w:r w:rsidR="00377810">
        <w:t xml:space="preserve">by supplying the </w:t>
      </w:r>
      <w:r>
        <w:t>ORIshot Tool</w:t>
      </w:r>
      <w:r w:rsidR="007C7376">
        <w:t>.</w:t>
      </w:r>
    </w:p>
    <w:p w:rsidR="000A167B" w:rsidRDefault="002B1743" w:rsidP="000A167B">
      <w:pPr>
        <w:pStyle w:val="ParaNumbering"/>
      </w:pPr>
      <w:r>
        <w:t xml:space="preserve">In </w:t>
      </w:r>
      <w:r w:rsidR="00622092" w:rsidRPr="00423D7E">
        <w:rPr>
          <w:i/>
        </w:rPr>
        <w:t xml:space="preserve">Apotex Pty Ltd v Sanofi-Aventis Australia Pty Ltd </w:t>
      </w:r>
      <w:r w:rsidR="00622092">
        <w:t>(2013) 304 ALR 1</w:t>
      </w:r>
      <w:r w:rsidR="003A1248">
        <w:t>,</w:t>
      </w:r>
      <w:r w:rsidR="000A167B">
        <w:t xml:space="preserve"> </w:t>
      </w:r>
      <w:r w:rsidR="00423D7E">
        <w:t>after discussing s 117 of the Act</w:t>
      </w:r>
      <w:r w:rsidR="008E34F5">
        <w:t>, the High Court</w:t>
      </w:r>
      <w:r w:rsidR="00423D7E">
        <w:t xml:space="preserve"> addressed </w:t>
      </w:r>
      <w:r w:rsidR="0055774A">
        <w:t>(at [298</w:t>
      </w:r>
      <w:r w:rsidR="008E34F5">
        <w:t xml:space="preserve">]-[304]) </w:t>
      </w:r>
      <w:r w:rsidR="00423D7E">
        <w:t xml:space="preserve">an </w:t>
      </w:r>
      <w:r w:rsidR="000A167B">
        <w:t xml:space="preserve">approved product information document </w:t>
      </w:r>
      <w:r w:rsidR="00423D7E">
        <w:t>which contained</w:t>
      </w:r>
      <w:r w:rsidR="000A167B">
        <w:t xml:space="preserve"> the following statements:</w:t>
      </w:r>
    </w:p>
    <w:p w:rsidR="000A167B" w:rsidRDefault="000A167B" w:rsidP="00423D7E">
      <w:pPr>
        <w:pStyle w:val="Quote1"/>
      </w:pPr>
      <w:r>
        <w:t>INDICATIONS</w:t>
      </w:r>
    </w:p>
    <w:p w:rsidR="000A167B" w:rsidRDefault="008E34F5" w:rsidP="00423D7E">
      <w:pPr>
        <w:pStyle w:val="Quote1"/>
      </w:pPr>
      <w:r>
        <w:t>Apo-</w:t>
      </w:r>
      <w:r w:rsidR="000A167B">
        <w:t>Leflunomide is indicated for the treatment of:</w:t>
      </w:r>
    </w:p>
    <w:p w:rsidR="000A167B" w:rsidRDefault="000A167B" w:rsidP="00423D7E">
      <w:pPr>
        <w:pStyle w:val="Quote1"/>
      </w:pPr>
      <w:r>
        <w:t>.</w:t>
      </w:r>
      <w:r>
        <w:tab/>
        <w:t>Active Rheumatoid Arthritis.</w:t>
      </w:r>
    </w:p>
    <w:p w:rsidR="000A167B" w:rsidRDefault="000A167B" w:rsidP="00423D7E">
      <w:pPr>
        <w:pStyle w:val="Quote1"/>
        <w:ind w:left="1440" w:hanging="703"/>
      </w:pPr>
      <w:r>
        <w:t>.</w:t>
      </w:r>
      <w:r>
        <w:tab/>
        <w:t>A</w:t>
      </w:r>
      <w:r w:rsidR="0057107D">
        <w:t>ctive Psoriatic Arthritis.  Apo-</w:t>
      </w:r>
      <w:r>
        <w:t>Leflunomide is not indicated for the treatment of psoriasis that is not associated with manife</w:t>
      </w:r>
      <w:r w:rsidR="00143FA8">
        <w:t>stations of arthritic disease.</w:t>
      </w:r>
    </w:p>
    <w:p w:rsidR="000A167B" w:rsidRDefault="00100704" w:rsidP="000A167B">
      <w:pPr>
        <w:pStyle w:val="ParaNumbering"/>
      </w:pPr>
      <w:r>
        <w:t xml:space="preserve">The High Court held that </w:t>
      </w:r>
      <w:r w:rsidR="000A167B">
        <w:t xml:space="preserve">Apotex's approved product information document </w:t>
      </w:r>
      <w:r w:rsidR="00143FA8">
        <w:t>did</w:t>
      </w:r>
      <w:r w:rsidR="000A167B">
        <w:t xml:space="preserve"> not instruct recipients to use the unpatented pharmaceut</w:t>
      </w:r>
      <w:r w:rsidR="003A1248">
        <w:t>ical substance which it proposed</w:t>
      </w:r>
      <w:r w:rsidR="000A167B">
        <w:t xml:space="preserve"> to supply in accordance with the patented method, and therefore the product information document </w:t>
      </w:r>
      <w:r w:rsidR="003A1248">
        <w:t xml:space="preserve">did </w:t>
      </w:r>
      <w:r w:rsidR="000A167B">
        <w:t>not engage s 117(2)(c) of the Act.  For the purposes of the application of s 117(2)(b), it was not shown, nor could it be inferred, that Apotex had reason to believe that the unpatented pharmaceuti</w:t>
      </w:r>
      <w:r w:rsidR="00143FA8">
        <w:t>cal substance, which it proposed</w:t>
      </w:r>
      <w:r w:rsidR="000A167B">
        <w:t xml:space="preserve"> to supply, would be used by recipients in accordance with the patented method, contrary to the indications in Apotex's approved product information document.  </w:t>
      </w:r>
    </w:p>
    <w:p w:rsidR="00884256" w:rsidRDefault="00100704" w:rsidP="00884256">
      <w:pPr>
        <w:pStyle w:val="ParaNumbering"/>
      </w:pPr>
      <w:r>
        <w:t>In the present case</w:t>
      </w:r>
      <w:r w:rsidR="00143FA8">
        <w:t>,</w:t>
      </w:r>
      <w:r>
        <w:t xml:space="preserve"> the position</w:t>
      </w:r>
      <w:r w:rsidR="00143FA8">
        <w:t xml:space="preserve"> was different </w:t>
      </w:r>
      <w:r>
        <w:t xml:space="preserve">on the evidence.  </w:t>
      </w:r>
      <w:r w:rsidR="00884256">
        <w:t>Liability in this third way, the applicants say, is satisfied because the first requirement</w:t>
      </w:r>
      <w:r w:rsidR="00143FA8">
        <w:t xml:space="preserve">, s 117(1), </w:t>
      </w:r>
      <w:r w:rsidR="00884256">
        <w:t>is met</w:t>
      </w:r>
      <w:r w:rsidR="00143FA8">
        <w:t>.  N</w:t>
      </w:r>
      <w:r w:rsidR="00884256">
        <w:t>amely,</w:t>
      </w:r>
      <w:r w:rsidR="00143FA8">
        <w:t xml:space="preserve"> that </w:t>
      </w:r>
      <w:r w:rsidR="00884256">
        <w:t xml:space="preserve">the use of the </w:t>
      </w:r>
      <w:r w:rsidR="00FC24DD">
        <w:t>ORIshot Tool</w:t>
      </w:r>
      <w:r w:rsidR="00884256">
        <w:t xml:space="preserve"> would infringe the Method Patent.</w:t>
      </w:r>
    </w:p>
    <w:p w:rsidR="00884256" w:rsidRDefault="00701FAA" w:rsidP="00884256">
      <w:pPr>
        <w:pStyle w:val="ParaNumbering"/>
      </w:pPr>
      <w:r>
        <w:t>U</w:t>
      </w:r>
      <w:r w:rsidR="004101EE">
        <w:t xml:space="preserve">nder s 117(2) of </w:t>
      </w:r>
      <w:r w:rsidR="007D7FA4">
        <w:t>the Act</w:t>
      </w:r>
      <w:r w:rsidR="004101EE">
        <w:t>, there are three independent heads of infringement</w:t>
      </w:r>
      <w:r>
        <w:t xml:space="preserve"> through use</w:t>
      </w:r>
      <w:r w:rsidR="004101EE">
        <w:t>, each of which is relied upon by the applicants.</w:t>
      </w:r>
    </w:p>
    <w:p w:rsidR="004F73B8" w:rsidRDefault="00701FAA" w:rsidP="00884256">
      <w:pPr>
        <w:pStyle w:val="ParaNumbering"/>
      </w:pPr>
      <w:r>
        <w:lastRenderedPageBreak/>
        <w:t>The applicants</w:t>
      </w:r>
      <w:r w:rsidR="004F73B8">
        <w:t xml:space="preserve"> rely upon s 117(2)(a) of </w:t>
      </w:r>
      <w:r w:rsidR="007D7FA4">
        <w:t>the Act</w:t>
      </w:r>
      <w:r w:rsidR="004F73B8">
        <w:t xml:space="preserve"> and contend that the evidence establishes that the product has only one reasonable use, which is obviously to orient a core in the manner disclosed in the evidence.  </w:t>
      </w:r>
      <w:r w:rsidR="00707D66">
        <w:t xml:space="preserve">I accept that </w:t>
      </w:r>
      <w:r w:rsidR="004F73B8">
        <w:t xml:space="preserve">the tool is a </w:t>
      </w:r>
      <w:r>
        <w:t xml:space="preserve">special </w:t>
      </w:r>
      <w:r w:rsidR="004F73B8">
        <w:t xml:space="preserve">purpose piece of equipment which is designed to be put to a particular specific use.  </w:t>
      </w:r>
      <w:r w:rsidR="00707D66">
        <w:t xml:space="preserve">It </w:t>
      </w:r>
      <w:r w:rsidR="00F55E98">
        <w:t>is a ‘staple commercial product’</w:t>
      </w:r>
      <w:r w:rsidR="004B21F8">
        <w:t xml:space="preserve"> for the purposes of s 117(2)(b) of the Act</w:t>
      </w:r>
      <w:r w:rsidR="00F55E98">
        <w:t xml:space="preserve">, that is, it is not something supplied commercially for various uses as discussed in </w:t>
      </w:r>
      <w:r w:rsidR="005048E1" w:rsidRPr="00707D66">
        <w:rPr>
          <w:i/>
        </w:rPr>
        <w:t xml:space="preserve">Northern Territory v Collins </w:t>
      </w:r>
      <w:r w:rsidR="005048E1">
        <w:t xml:space="preserve">(2008) </w:t>
      </w:r>
      <w:r w:rsidR="005048E1" w:rsidRPr="00D9784E">
        <w:t>235 CLR 619</w:t>
      </w:r>
      <w:r w:rsidR="00F55E98">
        <w:t xml:space="preserve"> </w:t>
      </w:r>
      <w:r w:rsidR="004B21F8">
        <w:t>(High Court) (at [41]) per Hayne </w:t>
      </w:r>
      <w:r w:rsidR="00F55E98">
        <w:t xml:space="preserve">J and (at [145]) per Crennan J.  Additionally, the applicants contend that the respondents had reason to believe that the </w:t>
      </w:r>
      <w:r w:rsidR="00FC24DD">
        <w:t>ORIshot Tool</w:t>
      </w:r>
      <w:r w:rsidR="00F55E98">
        <w:t xml:space="preserve"> would be used in a manner that would infringe the Method Patent</w:t>
      </w:r>
      <w:r w:rsidR="004B21F8">
        <w:t>.  N</w:t>
      </w:r>
      <w:r w:rsidR="00F55E98">
        <w:t xml:space="preserve">amely, the use for which the tool is intended and for which </w:t>
      </w:r>
      <w:r w:rsidR="0047373C">
        <w:t xml:space="preserve">the respondents instruct it to be used.  </w:t>
      </w:r>
    </w:p>
    <w:p w:rsidR="0047373C" w:rsidRDefault="004B21F8" w:rsidP="00884256">
      <w:pPr>
        <w:pStyle w:val="ParaNumbering"/>
      </w:pPr>
      <w:r>
        <w:t>T</w:t>
      </w:r>
      <w:r w:rsidR="00064F0C">
        <w:t xml:space="preserve">he applicants </w:t>
      </w:r>
      <w:r>
        <w:t xml:space="preserve">also </w:t>
      </w:r>
      <w:r w:rsidR="00064F0C">
        <w:t>say</w:t>
      </w:r>
      <w:r>
        <w:t xml:space="preserve"> that </w:t>
      </w:r>
      <w:r w:rsidR="00064F0C">
        <w:t>the supply of the product infringes the Patents</w:t>
      </w:r>
      <w:r>
        <w:t xml:space="preserve">, contrary to s 117(2)(c) of the Act, </w:t>
      </w:r>
      <w:r w:rsidR="00064F0C">
        <w:t>because the supplier gave instructions or inducements for the infringing use. In this case</w:t>
      </w:r>
      <w:r>
        <w:t>,</w:t>
      </w:r>
      <w:r w:rsidR="00064F0C">
        <w:t xml:space="preserve"> the </w:t>
      </w:r>
      <w:r w:rsidR="00337C85">
        <w:t>ORIshot Tool</w:t>
      </w:r>
      <w:r w:rsidR="00064F0C">
        <w:t xml:space="preserve"> </w:t>
      </w:r>
      <w:r>
        <w:t>i</w:t>
      </w:r>
      <w:r w:rsidR="00064F0C">
        <w:t xml:space="preserve">nstruction </w:t>
      </w:r>
      <w:r>
        <w:t>m</w:t>
      </w:r>
      <w:r w:rsidR="00064F0C">
        <w:t>anual</w:t>
      </w:r>
      <w:r w:rsidR="00FB3365">
        <w:t>s</w:t>
      </w:r>
      <w:r w:rsidR="00064F0C">
        <w:t xml:space="preserve"> and ‘</w:t>
      </w:r>
      <w:r>
        <w:t>quick s</w:t>
      </w:r>
      <w:r w:rsidR="00064F0C">
        <w:t xml:space="preserve">tart </w:t>
      </w:r>
      <w:r>
        <w:t>g</w:t>
      </w:r>
      <w:r w:rsidR="00064F0C">
        <w:t>uides’ supplied</w:t>
      </w:r>
      <w:r>
        <w:t xml:space="preserve"> by the respondents </w:t>
      </w:r>
      <w:r w:rsidR="00064F0C">
        <w:t xml:space="preserve">instruct the use of the tools in accordance with the claims of the Method Patent.  </w:t>
      </w:r>
    </w:p>
    <w:p w:rsidR="00064F0C" w:rsidRDefault="004B21F8" w:rsidP="00884256">
      <w:pPr>
        <w:pStyle w:val="ParaNumbering"/>
      </w:pPr>
      <w:r>
        <w:t>Fourthly, the applicants contend that all of the corporate respondents are liable for indirectly infringing</w:t>
      </w:r>
      <w:r w:rsidR="009D38D5">
        <w:t xml:space="preserve"> the Method Patent through </w:t>
      </w:r>
      <w:r>
        <w:t xml:space="preserve">the </w:t>
      </w:r>
      <w:r w:rsidR="009D38D5">
        <w:t xml:space="preserve">authorisation of the customers of the corporate respondents and end users to use the </w:t>
      </w:r>
      <w:r w:rsidR="00FC24DD">
        <w:t>ORIshot Tool</w:t>
      </w:r>
      <w:r w:rsidR="009D38D5">
        <w:t xml:space="preserve"> in the method claimed in the Patent</w:t>
      </w:r>
      <w:r>
        <w:t>s</w:t>
      </w:r>
      <w:r w:rsidR="009D38D5">
        <w:t xml:space="preserve">.  The </w:t>
      </w:r>
      <w:r w:rsidR="00E60CE4">
        <w:t xml:space="preserve">evidence relied upon to support this basis of liability is similar to that </w:t>
      </w:r>
      <w:r>
        <w:t xml:space="preserve">which is </w:t>
      </w:r>
      <w:r w:rsidR="00E60CE4">
        <w:t xml:space="preserve">relied upon for </w:t>
      </w:r>
      <w:r>
        <w:t xml:space="preserve">the claims under </w:t>
      </w:r>
      <w:r w:rsidR="00E60CE4">
        <w:t xml:space="preserve">s 117 of </w:t>
      </w:r>
      <w:r w:rsidR="007D7FA4">
        <w:t>the Act</w:t>
      </w:r>
      <w:r w:rsidR="00E60CE4">
        <w:t>, but also relies on general principles of authorisation and joint tortfeasance</w:t>
      </w:r>
      <w:r>
        <w:t xml:space="preserve"> outlined above</w:t>
      </w:r>
      <w:r w:rsidR="00E60CE4">
        <w:t>.</w:t>
      </w:r>
    </w:p>
    <w:p w:rsidR="00E60CE4" w:rsidRDefault="00E60CE4" w:rsidP="00884256">
      <w:pPr>
        <w:pStyle w:val="ParaNumbering"/>
      </w:pPr>
      <w:r>
        <w:t>The fifth means of attaching liability is also indirect</w:t>
      </w:r>
      <w:r w:rsidR="00953C50">
        <w:t xml:space="preserve">.  The respondents dispute that Mincrest and Kleyn Investments were involved in the relevant conduct.  </w:t>
      </w:r>
      <w:r w:rsidR="00063E94">
        <w:t>T</w:t>
      </w:r>
      <w:r w:rsidR="00953C50">
        <w:t>he applicants contend in the alternative that, to the extent that Mincrest and Kleyn Investments did not themselves engage in the relevant conduct, they nevertheless infringed the Patents indirectly by authorising or as joint tor</w:t>
      </w:r>
      <w:r w:rsidR="00775466">
        <w:t>tf</w:t>
      </w:r>
      <w:r w:rsidR="00953C50">
        <w:t xml:space="preserve">easors with Coretell.  The applicants rely </w:t>
      </w:r>
      <w:r>
        <w:t xml:space="preserve">on the same evidence of the alleged direct infringement by </w:t>
      </w:r>
      <w:r w:rsidR="00775466">
        <w:t>Mincrest, trading as Camteq Instruments</w:t>
      </w:r>
      <w:r w:rsidR="00FB3365">
        <w:t>,</w:t>
      </w:r>
      <w:r w:rsidR="00775466">
        <w:t xml:space="preserve"> and Kleyn Investments, trading as </w:t>
      </w:r>
      <w:r>
        <w:t>Camteq International</w:t>
      </w:r>
      <w:r w:rsidR="00FB3365">
        <w:t xml:space="preserve"> Services</w:t>
      </w:r>
      <w:r>
        <w:t>, but based on the interdependence of the corporate entities in operating the Camteq businesses in the manner set out in the second further amended particulars of infringement (at [34]-[44]):</w:t>
      </w:r>
    </w:p>
    <w:p w:rsidR="004632BD" w:rsidRPr="004632BD" w:rsidRDefault="00370583" w:rsidP="004632BD">
      <w:pPr>
        <w:pStyle w:val="Quote1"/>
        <w:rPr>
          <w:b/>
          <w:i/>
        </w:rPr>
      </w:pPr>
      <w:r>
        <w:rPr>
          <w:b/>
          <w:i/>
        </w:rPr>
        <w:t>[Mincrest]</w:t>
      </w:r>
    </w:p>
    <w:p w:rsidR="004632BD" w:rsidRDefault="004632BD" w:rsidP="004632BD">
      <w:pPr>
        <w:pStyle w:val="Quote1"/>
      </w:pPr>
    </w:p>
    <w:p w:rsidR="004632BD" w:rsidRDefault="004632BD" w:rsidP="004632BD">
      <w:pPr>
        <w:pStyle w:val="Quote1"/>
        <w:ind w:left="1440" w:hanging="703"/>
      </w:pPr>
      <w:r>
        <w:t>34.</w:t>
      </w:r>
      <w:r>
        <w:tab/>
        <w:t xml:space="preserve">The applicants repeat the particulars in paragraphs 3, 5, 8, 9, 13, 19, 25 and </w:t>
      </w:r>
      <w:r>
        <w:lastRenderedPageBreak/>
        <w:t>27 above.</w:t>
      </w:r>
      <w:r w:rsidR="00370583">
        <w:t xml:space="preserve">  </w:t>
      </w:r>
    </w:p>
    <w:p w:rsidR="004632BD" w:rsidRDefault="004632BD" w:rsidP="004632BD">
      <w:pPr>
        <w:pStyle w:val="Quote1"/>
        <w:ind w:left="1440" w:hanging="703"/>
      </w:pPr>
    </w:p>
    <w:p w:rsidR="004632BD" w:rsidRDefault="004632BD" w:rsidP="004632BD">
      <w:pPr>
        <w:pStyle w:val="Quote1"/>
        <w:ind w:left="1440" w:hanging="703"/>
      </w:pPr>
      <w:r>
        <w:t>35.</w:t>
      </w:r>
      <w:r>
        <w:tab/>
      </w:r>
      <w:r w:rsidR="00370583">
        <w:t>[Mincrest]</w:t>
      </w:r>
      <w:r>
        <w:t>, by payment of monies to the person referred to in item 2 of the Confidential Schedule from before 5 September 2005 to about July</w:t>
      </w:r>
      <w:r w:rsidR="00EE7F8F">
        <w:t xml:space="preserve"> </w:t>
      </w:r>
      <w:r>
        <w:t xml:space="preserve">2007, has funded the development, manufacture and servicing of </w:t>
      </w:r>
      <w:r w:rsidRPr="00EE7F8F">
        <w:rPr>
          <w:b/>
        </w:rPr>
        <w:t>Version 1</w:t>
      </w:r>
      <w:r>
        <w:t>,</w:t>
      </w:r>
      <w:r w:rsidR="00EE7F8F">
        <w:t xml:space="preserve"> </w:t>
      </w:r>
      <w:r>
        <w:t xml:space="preserve">including on behalf of </w:t>
      </w:r>
      <w:r w:rsidR="00370583">
        <w:t>[Coretell]</w:t>
      </w:r>
      <w:r>
        <w:t xml:space="preserve"> since about November 2006.</w:t>
      </w:r>
    </w:p>
    <w:p w:rsidR="004632BD" w:rsidRDefault="00EE7F8F" w:rsidP="004632BD">
      <w:pPr>
        <w:pStyle w:val="Quote1"/>
        <w:ind w:left="1440" w:hanging="703"/>
      </w:pPr>
      <w:r>
        <w:t>36.</w:t>
      </w:r>
      <w:r>
        <w:tab/>
      </w:r>
      <w:r w:rsidR="00370583">
        <w:t>[Mincrest]</w:t>
      </w:r>
      <w:r w:rsidR="004632BD">
        <w:t xml:space="preserve"> has since about May 2006 provided financial and operational</w:t>
      </w:r>
      <w:r>
        <w:t xml:space="preserve"> </w:t>
      </w:r>
      <w:r w:rsidR="004632BD">
        <w:t xml:space="preserve">assistance to </w:t>
      </w:r>
      <w:r w:rsidR="00370583">
        <w:t>[Coretell]</w:t>
      </w:r>
      <w:r w:rsidR="004632BD">
        <w:t xml:space="preserve"> on the dates specified in the confidential financial</w:t>
      </w:r>
      <w:r>
        <w:t xml:space="preserve"> </w:t>
      </w:r>
      <w:r w:rsidR="004632BD">
        <w:t xml:space="preserve">statements for </w:t>
      </w:r>
      <w:r w:rsidR="00370583">
        <w:t>[Coretell]</w:t>
      </w:r>
      <w:r w:rsidR="004632BD">
        <w:t xml:space="preserve"> and </w:t>
      </w:r>
      <w:r w:rsidR="00370583">
        <w:t>[Mincrest]</w:t>
      </w:r>
      <w:r w:rsidR="004632BD">
        <w:t xml:space="preserve"> (2006 – 2011), including by way of:</w:t>
      </w:r>
    </w:p>
    <w:p w:rsidR="004632BD" w:rsidRDefault="00EE7F8F" w:rsidP="00EE7F8F">
      <w:pPr>
        <w:pStyle w:val="Quote2"/>
        <w:ind w:left="2160" w:hanging="720"/>
      </w:pPr>
      <w:r>
        <w:t>(i)</w:t>
      </w:r>
      <w:r>
        <w:tab/>
      </w:r>
      <w:r w:rsidR="004632BD">
        <w:t xml:space="preserve">transfer of monies to </w:t>
      </w:r>
      <w:r w:rsidR="00370583">
        <w:t>[Coretell]</w:t>
      </w:r>
      <w:r w:rsidR="004632BD">
        <w:t xml:space="preserve"> in 2007 and 2008 totalling the amount</w:t>
      </w:r>
      <w:r>
        <w:t xml:space="preserve"> </w:t>
      </w:r>
      <w:r w:rsidR="004632BD">
        <w:t>specified in item 16 of the Confidential Schedule;</w:t>
      </w:r>
    </w:p>
    <w:p w:rsidR="004632BD" w:rsidRDefault="00EE7F8F" w:rsidP="00EE7F8F">
      <w:pPr>
        <w:pStyle w:val="Quote2"/>
        <w:ind w:left="2160" w:hanging="720"/>
      </w:pPr>
      <w:r>
        <w:t>(ii)</w:t>
      </w:r>
      <w:r>
        <w:tab/>
      </w:r>
      <w:r w:rsidR="004632BD">
        <w:t xml:space="preserve">transfer of monies to </w:t>
      </w:r>
      <w:r w:rsidR="00370583">
        <w:t>[Coretell]</w:t>
      </w:r>
      <w:r w:rsidR="004632BD">
        <w:t xml:space="preserve"> in its capacity as trustee of the Kleyn</w:t>
      </w:r>
      <w:r>
        <w:t xml:space="preserve"> </w:t>
      </w:r>
      <w:r w:rsidR="004632BD">
        <w:t>Family Trust in the amount specified in item 17 of the Confidential Schedule;</w:t>
      </w:r>
    </w:p>
    <w:p w:rsidR="004632BD" w:rsidRDefault="00EE7F8F" w:rsidP="00EE7F8F">
      <w:pPr>
        <w:pStyle w:val="Quote2"/>
        <w:ind w:left="2160" w:hanging="720"/>
      </w:pPr>
      <w:r>
        <w:t>(iii)</w:t>
      </w:r>
      <w:r>
        <w:tab/>
      </w:r>
      <w:r w:rsidR="004632BD">
        <w:t>inter-company loan payments, including deposits made under the descriptions</w:t>
      </w:r>
      <w:r>
        <w:t xml:space="preserve"> </w:t>
      </w:r>
      <w:r w:rsidR="004632BD">
        <w:t>appearing “Mincrest Loan Account”; and</w:t>
      </w:r>
    </w:p>
    <w:p w:rsidR="004632BD" w:rsidRDefault="00EE7F8F" w:rsidP="00EE7F8F">
      <w:pPr>
        <w:pStyle w:val="Quote2"/>
        <w:ind w:left="2160" w:hanging="720"/>
      </w:pPr>
      <w:r>
        <w:t>(</w:t>
      </w:r>
      <w:r w:rsidR="00775466">
        <w:t>v</w:t>
      </w:r>
      <w:r>
        <w:t>)</w:t>
      </w:r>
      <w:r>
        <w:tab/>
      </w:r>
      <w:r w:rsidR="004632BD">
        <w:t>provision of operational assistance, including engagement of staff and</w:t>
      </w:r>
      <w:r>
        <w:t xml:space="preserve"> </w:t>
      </w:r>
      <w:r w:rsidR="004632BD">
        <w:t>payment of operational expenses such as wages, plant and equipment, office</w:t>
      </w:r>
      <w:r>
        <w:t xml:space="preserve"> </w:t>
      </w:r>
      <w:r w:rsidR="004632BD">
        <w:t>expenses and promotional expenses before February 2010,</w:t>
      </w:r>
    </w:p>
    <w:p w:rsidR="004632BD" w:rsidRDefault="004632BD" w:rsidP="00EE7F8F">
      <w:pPr>
        <w:pStyle w:val="Quote2"/>
      </w:pPr>
      <w:r>
        <w:t xml:space="preserve">which </w:t>
      </w:r>
      <w:r w:rsidR="00370583">
        <w:t>[Coretell]</w:t>
      </w:r>
      <w:r>
        <w:t xml:space="preserve"> has used to do the acts referred to in paragraphs 2, 6, 7, 12,</w:t>
      </w:r>
      <w:r w:rsidR="00EE7F8F">
        <w:t xml:space="preserve"> </w:t>
      </w:r>
      <w:r>
        <w:t>19 and 22 above.</w:t>
      </w:r>
    </w:p>
    <w:p w:rsidR="00EE7F8F" w:rsidRDefault="00EE7F8F" w:rsidP="004632BD">
      <w:pPr>
        <w:pStyle w:val="Quote1"/>
      </w:pPr>
    </w:p>
    <w:p w:rsidR="004632BD" w:rsidRDefault="00747776" w:rsidP="00EE7F8F">
      <w:pPr>
        <w:pStyle w:val="Quote1"/>
        <w:ind w:left="1440" w:hanging="703"/>
      </w:pPr>
      <w:r>
        <w:t>36A.</w:t>
      </w:r>
      <w:r w:rsidR="00EE7F8F">
        <w:tab/>
      </w:r>
      <w:r w:rsidR="004632BD">
        <w:t xml:space="preserve">Without the financial and operational assistance in paragraph 36 above, </w:t>
      </w:r>
      <w:r w:rsidR="00370583">
        <w:t>[Coretell]</w:t>
      </w:r>
      <w:r w:rsidR="004632BD">
        <w:t xml:space="preserve"> could not have carried out the acts referred to in paragraphs 2, 6, 7, 12, 19</w:t>
      </w:r>
      <w:r w:rsidR="00EE7F8F">
        <w:t xml:space="preserve"> </w:t>
      </w:r>
      <w:r w:rsidR="004632BD">
        <w:t>and 22 above.</w:t>
      </w:r>
    </w:p>
    <w:p w:rsidR="00EE7F8F" w:rsidRDefault="00EE7F8F" w:rsidP="004632BD">
      <w:pPr>
        <w:pStyle w:val="Quote1"/>
      </w:pPr>
    </w:p>
    <w:p w:rsidR="004632BD" w:rsidRDefault="004632BD" w:rsidP="00EE7F8F">
      <w:pPr>
        <w:pStyle w:val="Quote1"/>
        <w:ind w:left="1440" w:hanging="703"/>
      </w:pPr>
      <w:r>
        <w:t>37.</w:t>
      </w:r>
      <w:r w:rsidR="00EE7F8F">
        <w:tab/>
      </w:r>
      <w:r w:rsidR="00370583">
        <w:t>[Mincrest]</w:t>
      </w:r>
      <w:r>
        <w:t xml:space="preserve"> has requested and been supplied with products and services</w:t>
      </w:r>
      <w:r w:rsidR="00EE7F8F">
        <w:t xml:space="preserve"> </w:t>
      </w:r>
      <w:r>
        <w:t xml:space="preserve">for the repair or servicing of </w:t>
      </w:r>
      <w:r w:rsidRPr="00EE7F8F">
        <w:rPr>
          <w:b/>
        </w:rPr>
        <w:t>Coretell Equipment</w:t>
      </w:r>
      <w:r>
        <w:t xml:space="preserve"> by the entities referred to in items 10</w:t>
      </w:r>
      <w:r w:rsidR="00EE7F8F">
        <w:t xml:space="preserve"> </w:t>
      </w:r>
      <w:r>
        <w:t>and 11 of the Confidential Schedule, and such products and services have been used</w:t>
      </w:r>
      <w:r w:rsidR="00EE7F8F">
        <w:t xml:space="preserve"> </w:t>
      </w:r>
      <w:r>
        <w:t xml:space="preserve">by </w:t>
      </w:r>
      <w:r w:rsidR="00370583">
        <w:t>[Coretell]</w:t>
      </w:r>
      <w:r>
        <w:t xml:space="preserve"> to do the acts referred to in paragraphs 2, 6, 7 and 12 above.</w:t>
      </w:r>
    </w:p>
    <w:p w:rsidR="00EE7F8F" w:rsidRDefault="00EE7F8F" w:rsidP="004632BD">
      <w:pPr>
        <w:pStyle w:val="Quote1"/>
      </w:pPr>
    </w:p>
    <w:p w:rsidR="004632BD" w:rsidRDefault="00EE7F8F" w:rsidP="00EE7F8F">
      <w:pPr>
        <w:pStyle w:val="Quote1"/>
        <w:ind w:left="1440" w:hanging="703"/>
      </w:pPr>
      <w:r>
        <w:t>38.</w:t>
      </w:r>
      <w:r>
        <w:tab/>
      </w:r>
      <w:r w:rsidR="00370583">
        <w:t>[Mincrest]</w:t>
      </w:r>
      <w:r w:rsidR="004632BD">
        <w:t xml:space="preserve"> knew, or ought to have known that </w:t>
      </w:r>
      <w:r w:rsidR="00370583">
        <w:t>[Coretell]</w:t>
      </w:r>
      <w:r w:rsidR="004632BD">
        <w:t xml:space="preserve"> would</w:t>
      </w:r>
      <w:r>
        <w:t xml:space="preserve"> </w:t>
      </w:r>
      <w:r w:rsidR="004632BD">
        <w:t>use the financial and operational assistance and products and services referred to in</w:t>
      </w:r>
      <w:r>
        <w:t xml:space="preserve"> </w:t>
      </w:r>
      <w:r w:rsidR="004632BD">
        <w:t>paragraph 36 and 37 above in the manner referred to in paragraphs 36 and 37 above.</w:t>
      </w:r>
    </w:p>
    <w:p w:rsidR="00EE7F8F" w:rsidRDefault="00EE7F8F" w:rsidP="004632BD">
      <w:pPr>
        <w:pStyle w:val="Quote1"/>
      </w:pPr>
    </w:p>
    <w:p w:rsidR="004632BD" w:rsidRPr="00EE7F8F" w:rsidRDefault="004632BD" w:rsidP="004632BD">
      <w:pPr>
        <w:pStyle w:val="Quote1"/>
        <w:rPr>
          <w:b/>
          <w:i/>
        </w:rPr>
      </w:pPr>
      <w:r w:rsidRPr="00EE7F8F">
        <w:rPr>
          <w:b/>
          <w:i/>
        </w:rPr>
        <w:t xml:space="preserve">Paragraph 9 – </w:t>
      </w:r>
      <w:r w:rsidR="00775466">
        <w:rPr>
          <w:b/>
          <w:i/>
        </w:rPr>
        <w:t>[Kleyn Investments]</w:t>
      </w:r>
    </w:p>
    <w:p w:rsidR="00EE7F8F" w:rsidRDefault="00EE7F8F" w:rsidP="004632BD">
      <w:pPr>
        <w:pStyle w:val="Quote1"/>
      </w:pPr>
    </w:p>
    <w:p w:rsidR="00EE7F8F" w:rsidRDefault="00EE7F8F" w:rsidP="004632BD">
      <w:pPr>
        <w:pStyle w:val="Quote1"/>
      </w:pPr>
      <w:r>
        <w:t>39.</w:t>
      </w:r>
      <w:r>
        <w:tab/>
      </w:r>
      <w:r w:rsidR="004632BD">
        <w:t>The applicants repeat the particulars in paragraphs 10, 14 to 17 and 28 above.</w:t>
      </w:r>
      <w:r>
        <w:t xml:space="preserve"> </w:t>
      </w:r>
    </w:p>
    <w:p w:rsidR="00EE7F8F" w:rsidRDefault="00EE7F8F" w:rsidP="004632BD">
      <w:pPr>
        <w:pStyle w:val="Quote1"/>
      </w:pPr>
    </w:p>
    <w:p w:rsidR="004632BD" w:rsidRDefault="00EE7F8F" w:rsidP="00EE7F8F">
      <w:pPr>
        <w:pStyle w:val="Quote1"/>
        <w:ind w:left="1440" w:hanging="703"/>
      </w:pPr>
      <w:r>
        <w:t>40.</w:t>
      </w:r>
      <w:r>
        <w:tab/>
      </w:r>
      <w:r w:rsidR="00370583">
        <w:t>[Kleyn Investments]</w:t>
      </w:r>
      <w:r w:rsidR="004632BD">
        <w:t xml:space="preserve"> has since at least September 2010 prominently</w:t>
      </w:r>
      <w:r>
        <w:t xml:space="preserve"> </w:t>
      </w:r>
      <w:r w:rsidR="004632BD">
        <w:t>displayed its trading name on the Maddington Warehouse wherein the respondents</w:t>
      </w:r>
      <w:r>
        <w:t xml:space="preserve"> </w:t>
      </w:r>
      <w:r w:rsidR="004632BD">
        <w:t xml:space="preserve">have kept, sold and otherwise exploited the </w:t>
      </w:r>
      <w:r w:rsidR="004632BD" w:rsidRPr="00EE7F8F">
        <w:rPr>
          <w:b/>
        </w:rPr>
        <w:t>Coretell Equipment</w:t>
      </w:r>
      <w:r w:rsidR="004632BD">
        <w:t>.</w:t>
      </w:r>
    </w:p>
    <w:p w:rsidR="00EE7F8F" w:rsidRDefault="00EE7F8F" w:rsidP="004632BD">
      <w:pPr>
        <w:pStyle w:val="Quote1"/>
      </w:pPr>
    </w:p>
    <w:p w:rsidR="004632BD" w:rsidRDefault="00EE7F8F" w:rsidP="00EE7F8F">
      <w:pPr>
        <w:pStyle w:val="Quote1"/>
        <w:ind w:left="1440" w:hanging="703"/>
      </w:pPr>
      <w:r>
        <w:t>41.</w:t>
      </w:r>
      <w:r>
        <w:tab/>
      </w:r>
      <w:r w:rsidR="00370583">
        <w:t>[Kleyn Investments]</w:t>
      </w:r>
      <w:r w:rsidR="004632BD">
        <w:t xml:space="preserve"> has provided financial and operational assistance to </w:t>
      </w:r>
      <w:r w:rsidR="00370583">
        <w:t>[Coretell]</w:t>
      </w:r>
      <w:r w:rsidR="004632BD">
        <w:t xml:space="preserve"> on the dates specified in the respondents’ confidential financial statements</w:t>
      </w:r>
      <w:r>
        <w:t xml:space="preserve"> </w:t>
      </w:r>
      <w:r w:rsidR="004632BD">
        <w:t>(2006 – 2011), including by way of:</w:t>
      </w:r>
    </w:p>
    <w:p w:rsidR="004632BD" w:rsidRDefault="00EE7F8F" w:rsidP="00EE7F8F">
      <w:pPr>
        <w:pStyle w:val="Quote2"/>
        <w:ind w:left="2160" w:hanging="720"/>
      </w:pPr>
      <w:r>
        <w:t>(i)</w:t>
      </w:r>
      <w:r>
        <w:tab/>
      </w:r>
      <w:r w:rsidR="004632BD">
        <w:t xml:space="preserve">transfer of monies to </w:t>
      </w:r>
      <w:r w:rsidR="00370583">
        <w:t>[Coretell]</w:t>
      </w:r>
      <w:r w:rsidR="004632BD">
        <w:t xml:space="preserve"> in its capacity as trustee of the Kleyn</w:t>
      </w:r>
      <w:r>
        <w:t xml:space="preserve"> </w:t>
      </w:r>
      <w:r w:rsidR="004632BD">
        <w:t>Investment Trust in the amount specified in item 18 of the Confidential</w:t>
      </w:r>
      <w:r>
        <w:t xml:space="preserve"> </w:t>
      </w:r>
      <w:r w:rsidR="004632BD">
        <w:t>Schedule;</w:t>
      </w:r>
    </w:p>
    <w:p w:rsidR="004632BD" w:rsidRDefault="00EE7F8F" w:rsidP="00EE7F8F">
      <w:pPr>
        <w:pStyle w:val="Quote2"/>
        <w:ind w:left="2160" w:hanging="720"/>
      </w:pPr>
      <w:r>
        <w:t>(ii)</w:t>
      </w:r>
      <w:r>
        <w:tab/>
      </w:r>
      <w:r w:rsidR="004632BD">
        <w:t>inter-company loan deposits, including deposits made under the description</w:t>
      </w:r>
      <w:r>
        <w:t xml:space="preserve"> </w:t>
      </w:r>
      <w:r w:rsidR="004632BD">
        <w:t>appearing as “Camteq International Loan Account”; and</w:t>
      </w:r>
    </w:p>
    <w:p w:rsidR="004632BD" w:rsidRDefault="00EE7F8F" w:rsidP="00EE7F8F">
      <w:pPr>
        <w:pStyle w:val="Quote2"/>
        <w:ind w:left="2160" w:hanging="720"/>
      </w:pPr>
      <w:r>
        <w:t>(iii)</w:t>
      </w:r>
      <w:r>
        <w:tab/>
      </w:r>
      <w:r w:rsidR="004632BD">
        <w:t>provision of operational assistance, including engagement of</w:t>
      </w:r>
      <w:r>
        <w:t xml:space="preserve"> </w:t>
      </w:r>
      <w:r w:rsidR="004632BD">
        <w:t xml:space="preserve">staff </w:t>
      </w:r>
      <w:r w:rsidR="004632BD">
        <w:lastRenderedPageBreak/>
        <w:t>and payment of operational expenses such as wages, plant and</w:t>
      </w:r>
      <w:r>
        <w:t xml:space="preserve"> </w:t>
      </w:r>
      <w:r w:rsidR="004632BD">
        <w:t>equipment, office expenses and promotional expenses (including to the entity</w:t>
      </w:r>
      <w:r>
        <w:t xml:space="preserve"> </w:t>
      </w:r>
      <w:r w:rsidR="004632BD">
        <w:t>referred to in item 19 of the Confidential Schedule) after February</w:t>
      </w:r>
      <w:r>
        <w:t xml:space="preserve"> </w:t>
      </w:r>
      <w:r w:rsidR="004632BD">
        <w:t>2010,</w:t>
      </w:r>
    </w:p>
    <w:p w:rsidR="004632BD" w:rsidRDefault="004632BD" w:rsidP="00EE7F8F">
      <w:pPr>
        <w:pStyle w:val="Quote2"/>
      </w:pPr>
      <w:r>
        <w:t xml:space="preserve">which </w:t>
      </w:r>
      <w:r w:rsidR="00370583">
        <w:t>[Coretell]</w:t>
      </w:r>
      <w:r>
        <w:t xml:space="preserve"> has used to do the acts referred to in paragraphs 2, 6, 7,</w:t>
      </w:r>
      <w:r w:rsidR="00EE7F8F">
        <w:t xml:space="preserve"> </w:t>
      </w:r>
      <w:r>
        <w:t>12, 19 and 22 above.</w:t>
      </w:r>
    </w:p>
    <w:p w:rsidR="00EE7F8F" w:rsidRDefault="00EE7F8F" w:rsidP="004632BD">
      <w:pPr>
        <w:pStyle w:val="Quote1"/>
      </w:pPr>
    </w:p>
    <w:p w:rsidR="004632BD" w:rsidRDefault="00747776" w:rsidP="00EE7F8F">
      <w:pPr>
        <w:pStyle w:val="Quote1"/>
        <w:ind w:left="1440" w:hanging="703"/>
      </w:pPr>
      <w:r>
        <w:t>41A.</w:t>
      </w:r>
      <w:r w:rsidR="00EE7F8F">
        <w:tab/>
      </w:r>
      <w:r w:rsidR="004632BD">
        <w:t xml:space="preserve">Without the financial and operational assistance in paragraph 41 above, the </w:t>
      </w:r>
      <w:r w:rsidR="00EE7F8F">
        <w:t xml:space="preserve"> </w:t>
      </w:r>
      <w:r w:rsidR="000F6EA1">
        <w:t>first respondent</w:t>
      </w:r>
      <w:r w:rsidR="004632BD">
        <w:t xml:space="preserve"> could not have carried out the acts referred to in paragraphs 2, 6, 7, 12,</w:t>
      </w:r>
      <w:r w:rsidR="00EE7F8F">
        <w:t xml:space="preserve"> </w:t>
      </w:r>
      <w:r w:rsidR="004632BD">
        <w:t>19 and 22 above.</w:t>
      </w:r>
    </w:p>
    <w:p w:rsidR="00EE7F8F" w:rsidRDefault="00EE7F8F" w:rsidP="004632BD">
      <w:pPr>
        <w:pStyle w:val="Quote1"/>
      </w:pPr>
    </w:p>
    <w:p w:rsidR="004632BD" w:rsidRDefault="00EE7F8F" w:rsidP="00EE7F8F">
      <w:pPr>
        <w:pStyle w:val="Quote1"/>
        <w:ind w:left="1440" w:hanging="703"/>
      </w:pPr>
      <w:r>
        <w:t>42.</w:t>
      </w:r>
      <w:r>
        <w:tab/>
      </w:r>
      <w:r w:rsidR="00370583">
        <w:t>[Kleyn Investments]</w:t>
      </w:r>
      <w:r w:rsidR="004632BD">
        <w:t xml:space="preserve"> has requested and been supplied with products for the repair</w:t>
      </w:r>
      <w:r>
        <w:t xml:space="preserve"> </w:t>
      </w:r>
      <w:r w:rsidR="004632BD">
        <w:t xml:space="preserve">or servicing of the </w:t>
      </w:r>
      <w:r w:rsidR="004632BD" w:rsidRPr="00EE7F8F">
        <w:rPr>
          <w:b/>
        </w:rPr>
        <w:t>Coretell Equipment</w:t>
      </w:r>
      <w:r w:rsidR="004632BD">
        <w:t xml:space="preserve"> by the entity referred to in item 12 of the</w:t>
      </w:r>
      <w:r>
        <w:t xml:space="preserve"> </w:t>
      </w:r>
      <w:r w:rsidR="004632BD">
        <w:t>Confidential Schedule since about January 2011, and such products have been used</w:t>
      </w:r>
      <w:r>
        <w:t xml:space="preserve"> </w:t>
      </w:r>
      <w:r w:rsidR="004632BD">
        <w:t xml:space="preserve">by </w:t>
      </w:r>
      <w:r w:rsidR="00370583">
        <w:t>[Coretell]</w:t>
      </w:r>
      <w:r w:rsidR="004632BD">
        <w:t xml:space="preserve"> to do the acts referred to in paragraphs 2, 6, 7 and 12 above.</w:t>
      </w:r>
    </w:p>
    <w:p w:rsidR="00EE7F8F" w:rsidRDefault="00EE7F8F" w:rsidP="00EE7F8F">
      <w:pPr>
        <w:pStyle w:val="Quote1"/>
        <w:ind w:left="1440" w:hanging="703"/>
      </w:pPr>
    </w:p>
    <w:p w:rsidR="004632BD" w:rsidRDefault="00EE7F8F" w:rsidP="00EE7F8F">
      <w:pPr>
        <w:pStyle w:val="Quote1"/>
        <w:ind w:left="1440" w:hanging="703"/>
      </w:pPr>
      <w:r>
        <w:t>43.</w:t>
      </w:r>
      <w:r>
        <w:tab/>
      </w:r>
      <w:r w:rsidR="00370583">
        <w:t>[Kleyn Investments]</w:t>
      </w:r>
      <w:r w:rsidR="004632BD">
        <w:t xml:space="preserve"> knew, or ought to have known that </w:t>
      </w:r>
      <w:r w:rsidR="00370583">
        <w:t>[Coretell]</w:t>
      </w:r>
      <w:r w:rsidR="004632BD">
        <w:t xml:space="preserve"> would</w:t>
      </w:r>
      <w:r>
        <w:t xml:space="preserve"> </w:t>
      </w:r>
      <w:r w:rsidR="004632BD">
        <w:t>use the financial and operational assistance and products referred to in paragraphs 41</w:t>
      </w:r>
      <w:r>
        <w:t xml:space="preserve"> </w:t>
      </w:r>
      <w:r w:rsidR="004632BD">
        <w:t>and 42 above in the manner referred to in paragraphs 41 and 42 above.</w:t>
      </w:r>
    </w:p>
    <w:p w:rsidR="00EE7F8F" w:rsidRDefault="00EE7F8F" w:rsidP="00EE7F8F">
      <w:pPr>
        <w:pStyle w:val="Quote1"/>
        <w:ind w:left="1440" w:hanging="703"/>
      </w:pPr>
    </w:p>
    <w:p w:rsidR="004632BD" w:rsidRPr="00EE7F8F" w:rsidRDefault="004632BD" w:rsidP="004632BD">
      <w:pPr>
        <w:pStyle w:val="Quote1"/>
        <w:rPr>
          <w:b/>
          <w:i/>
        </w:rPr>
      </w:pPr>
      <w:r w:rsidRPr="00EE7F8F">
        <w:rPr>
          <w:b/>
          <w:i/>
        </w:rPr>
        <w:t>Documents relied upon</w:t>
      </w:r>
    </w:p>
    <w:p w:rsidR="00EE7F8F" w:rsidRDefault="00EE7F8F" w:rsidP="004632BD">
      <w:pPr>
        <w:pStyle w:val="Quote1"/>
      </w:pPr>
    </w:p>
    <w:p w:rsidR="004632BD" w:rsidRDefault="003705BE" w:rsidP="003705BE">
      <w:pPr>
        <w:pStyle w:val="Quote1"/>
        <w:ind w:left="1440" w:hanging="703"/>
      </w:pPr>
      <w:r>
        <w:t>44.</w:t>
      </w:r>
      <w:r>
        <w:tab/>
      </w:r>
      <w:r w:rsidR="004632BD">
        <w:t xml:space="preserve">Without limiting the foregoing, in respect of their allegations against </w:t>
      </w:r>
      <w:r w:rsidR="00DF7458">
        <w:t xml:space="preserve">[Mincrest] and </w:t>
      </w:r>
      <w:r w:rsidR="000E7AA7">
        <w:t>[Kleyn Investments]</w:t>
      </w:r>
      <w:r w:rsidR="004632BD">
        <w:t>, the applicants rely upon:</w:t>
      </w:r>
    </w:p>
    <w:p w:rsidR="004632BD" w:rsidRDefault="003705BE" w:rsidP="003705BE">
      <w:pPr>
        <w:pStyle w:val="Quote2"/>
        <w:ind w:left="2160" w:hanging="720"/>
      </w:pPr>
      <w:r>
        <w:t>(i)</w:t>
      </w:r>
      <w:r>
        <w:tab/>
      </w:r>
      <w:r w:rsidR="00370583">
        <w:t>[Coretell</w:t>
      </w:r>
      <w:r w:rsidR="000E7AA7">
        <w:t>’s</w:t>
      </w:r>
      <w:r w:rsidR="00370583">
        <w:t>]</w:t>
      </w:r>
      <w:r w:rsidR="004632BD">
        <w:t xml:space="preserve"> financial records set out in its confidential general ledgers</w:t>
      </w:r>
      <w:r>
        <w:t xml:space="preserve"> </w:t>
      </w:r>
      <w:r w:rsidR="004632BD">
        <w:t>(2007-2011) appearing at Annexures ZK-2 to ZK-6 of the Confidential Affidavit</w:t>
      </w:r>
      <w:r>
        <w:t xml:space="preserve"> </w:t>
      </w:r>
      <w:r w:rsidR="004632BD">
        <w:t>of Zane Kenny sworn 28 March 2013;</w:t>
      </w:r>
    </w:p>
    <w:p w:rsidR="004632BD" w:rsidRDefault="003705BE" w:rsidP="003705BE">
      <w:pPr>
        <w:pStyle w:val="Quote2"/>
        <w:ind w:left="2160" w:hanging="720"/>
      </w:pPr>
      <w:r>
        <w:t>(ii)</w:t>
      </w:r>
      <w:r>
        <w:tab/>
      </w:r>
      <w:r w:rsidR="004632BD">
        <w:t>the matters set out in paragraphs 25 to 43 of the Affidavit of Stephen David</w:t>
      </w:r>
      <w:r>
        <w:t xml:space="preserve"> </w:t>
      </w:r>
      <w:r w:rsidR="004632BD">
        <w:t>Budiselic sworn 30 November 2012;</w:t>
      </w:r>
    </w:p>
    <w:p w:rsidR="004632BD" w:rsidRDefault="003705BE" w:rsidP="003705BE">
      <w:pPr>
        <w:pStyle w:val="Quote2"/>
        <w:ind w:left="2160" w:hanging="720"/>
      </w:pPr>
      <w:r>
        <w:t>(iii)</w:t>
      </w:r>
      <w:r>
        <w:tab/>
      </w:r>
      <w:r w:rsidR="004632BD">
        <w:t>the Camteq / Coretell promotional video appearing as Exhibit SDB-4 of the</w:t>
      </w:r>
      <w:r>
        <w:t xml:space="preserve"> </w:t>
      </w:r>
      <w:r w:rsidR="004632BD">
        <w:t>Affidavit of Stephen David Budiselic sworn 30 November 2012;</w:t>
      </w:r>
    </w:p>
    <w:p w:rsidR="004632BD" w:rsidRDefault="003705BE" w:rsidP="003705BE">
      <w:pPr>
        <w:pStyle w:val="Quote2"/>
        <w:ind w:left="2160" w:hanging="720"/>
      </w:pPr>
      <w:r>
        <w:t>(iv)</w:t>
      </w:r>
      <w:r>
        <w:tab/>
      </w:r>
      <w:r w:rsidR="004632BD">
        <w:t>the matters set out in the Affidavit of Andrew Murray Ross sworn 30 November</w:t>
      </w:r>
      <w:r>
        <w:t xml:space="preserve"> </w:t>
      </w:r>
      <w:r w:rsidR="004632BD">
        <w:t>2012;</w:t>
      </w:r>
    </w:p>
    <w:p w:rsidR="004632BD" w:rsidRDefault="003705BE" w:rsidP="003705BE">
      <w:pPr>
        <w:pStyle w:val="Quote2"/>
        <w:ind w:left="2160" w:hanging="720"/>
      </w:pPr>
      <w:r>
        <w:t>(v)</w:t>
      </w:r>
      <w:r>
        <w:tab/>
      </w:r>
      <w:r w:rsidR="004632BD">
        <w:t>the matters set out in paragraphs 6 to 88 of the Affidavit of Nicky Kleyn sworn</w:t>
      </w:r>
      <w:r>
        <w:t xml:space="preserve"> </w:t>
      </w:r>
      <w:r w:rsidR="004632BD">
        <w:t>27 March 2013;</w:t>
      </w:r>
    </w:p>
    <w:p w:rsidR="004632BD" w:rsidRDefault="003705BE" w:rsidP="003705BE">
      <w:pPr>
        <w:pStyle w:val="Quote2"/>
        <w:ind w:left="2160" w:hanging="720"/>
      </w:pPr>
      <w:r>
        <w:t>(vi)</w:t>
      </w:r>
      <w:r>
        <w:tab/>
      </w:r>
      <w:r w:rsidR="004632BD">
        <w:t>the matters set out in paragraphs 4 to 14 of the Second Affidavit of Stephen</w:t>
      </w:r>
      <w:r>
        <w:t xml:space="preserve"> </w:t>
      </w:r>
      <w:r w:rsidR="004632BD">
        <w:t>David Budiselic sworn</w:t>
      </w:r>
      <w:r w:rsidR="00C46CB1">
        <w:t xml:space="preserve"> sworn</w:t>
      </w:r>
      <w:r w:rsidR="004632BD">
        <w:t xml:space="preserve"> </w:t>
      </w:r>
      <w:r w:rsidR="000E7AA7">
        <w:t xml:space="preserve">[sic] </w:t>
      </w:r>
      <w:r w:rsidR="004632BD">
        <w:t>13 June 2013;</w:t>
      </w:r>
    </w:p>
    <w:p w:rsidR="004632BD" w:rsidRDefault="003705BE" w:rsidP="003705BE">
      <w:pPr>
        <w:pStyle w:val="Quote2"/>
        <w:ind w:left="2160" w:hanging="720"/>
      </w:pPr>
      <w:r>
        <w:t>(vii)</w:t>
      </w:r>
      <w:r>
        <w:tab/>
      </w:r>
      <w:r w:rsidR="004632BD">
        <w:t>the matters set out in the Second Affidavit of Andrew Murray Ross sworn 13</w:t>
      </w:r>
      <w:r>
        <w:t xml:space="preserve"> </w:t>
      </w:r>
      <w:r w:rsidR="004632BD">
        <w:t>June 2013; and</w:t>
      </w:r>
    </w:p>
    <w:p w:rsidR="004632BD" w:rsidRDefault="003705BE" w:rsidP="003705BE">
      <w:pPr>
        <w:pStyle w:val="Quote2"/>
        <w:ind w:left="2160" w:hanging="720"/>
      </w:pPr>
      <w:r>
        <w:t>(viii)</w:t>
      </w:r>
      <w:r>
        <w:tab/>
      </w:r>
      <w:r w:rsidR="004632BD">
        <w:t>the matters set out in paragraphs 3 to 8 of the Affidavit of Sean Stanley</w:t>
      </w:r>
      <w:r>
        <w:t xml:space="preserve"> </w:t>
      </w:r>
      <w:r w:rsidR="004632BD">
        <w:t>Coleman sworn 2 May 2012; and</w:t>
      </w:r>
    </w:p>
    <w:p w:rsidR="004632BD" w:rsidRDefault="003705BE" w:rsidP="003705BE">
      <w:pPr>
        <w:pStyle w:val="Quote2"/>
        <w:ind w:left="2160" w:hanging="720"/>
      </w:pPr>
      <w:r>
        <w:t>(ix)</w:t>
      </w:r>
      <w:r>
        <w:tab/>
      </w:r>
      <w:r w:rsidR="004632BD">
        <w:t>the purchase orders for equipment used in the Coretell Equipment, including</w:t>
      </w:r>
      <w:r>
        <w:t xml:space="preserve"> </w:t>
      </w:r>
      <w:r w:rsidR="004632BD">
        <w:t>those appearing at pages 434, 438, 439, 446, 447 and 454 to 457 of the Fourth</w:t>
      </w:r>
      <w:r>
        <w:t xml:space="preserve"> </w:t>
      </w:r>
      <w:r w:rsidR="004632BD">
        <w:t>Affidavit of Christopher Edmund Duvall Williams sworn 30 November 2012; and</w:t>
      </w:r>
    </w:p>
    <w:p w:rsidR="004632BD" w:rsidRDefault="003705BE" w:rsidP="003705BE">
      <w:pPr>
        <w:pStyle w:val="Quote2"/>
        <w:ind w:left="2160" w:hanging="720"/>
      </w:pPr>
      <w:r>
        <w:t>(x)</w:t>
      </w:r>
      <w:r>
        <w:tab/>
      </w:r>
      <w:r w:rsidR="004632BD">
        <w:t>the business expenses appearing at pages 513 to 517 of the Fourth Affidavit of</w:t>
      </w:r>
      <w:r>
        <w:t xml:space="preserve"> </w:t>
      </w:r>
      <w:r w:rsidR="004632BD">
        <w:t xml:space="preserve">Christopher </w:t>
      </w:r>
      <w:r>
        <w:t>Edmund Duvall Williams sworn 30 </w:t>
      </w:r>
      <w:r w:rsidR="004632BD">
        <w:t>November 2012.</w:t>
      </w:r>
    </w:p>
    <w:p w:rsidR="000E7AA7" w:rsidRDefault="00EF6D8E" w:rsidP="00B825FE">
      <w:pPr>
        <w:pStyle w:val="ParaNumbering"/>
      </w:pPr>
      <w:r>
        <w:lastRenderedPageBreak/>
        <w:t>Finally, the liability in respect of Mr Kleyn is based on authorising, procuring, inducing or joining in a common design in the various infringing acts of the corporate respondents because of his effective total control of each of the corporate respondents.</w:t>
      </w:r>
      <w:r w:rsidR="00DB4FB6">
        <w:t xml:space="preserve">  </w:t>
      </w:r>
    </w:p>
    <w:p w:rsidR="00BB568A" w:rsidRDefault="000E7AA7" w:rsidP="00B825FE">
      <w:pPr>
        <w:pStyle w:val="ParaNumbering"/>
      </w:pPr>
      <w:r>
        <w:t xml:space="preserve">The applicants place reliance </w:t>
      </w:r>
      <w:r w:rsidR="00EF6D8E">
        <w:t>on s </w:t>
      </w:r>
      <w:r w:rsidR="00BB568A">
        <w:t xml:space="preserve">13 of </w:t>
      </w:r>
      <w:r w:rsidR="007D7FA4">
        <w:t>the Act</w:t>
      </w:r>
      <w:r w:rsidR="00BB568A">
        <w:t xml:space="preserve"> and on the principles in </w:t>
      </w:r>
      <w:r w:rsidR="00BB568A" w:rsidRPr="00DB4FB6">
        <w:rPr>
          <w:i/>
        </w:rPr>
        <w:t xml:space="preserve">Collins v Northern Territory </w:t>
      </w:r>
      <w:r>
        <w:t xml:space="preserve">(Full Court judgment) per French J (as his Honour then was) </w:t>
      </w:r>
      <w:r w:rsidR="00BB568A">
        <w:t xml:space="preserve">(at [24]-[30]) and particularly at [28]).  See also the discussion by the Full Court in </w:t>
      </w:r>
      <w:r w:rsidR="00BB568A" w:rsidRPr="00DB4FB6">
        <w:rPr>
          <w:i/>
        </w:rPr>
        <w:t>Keller v LED Technologies Pty Ltd</w:t>
      </w:r>
      <w:r w:rsidR="00BB568A">
        <w:t xml:space="preserve"> (2010) </w:t>
      </w:r>
      <w:r w:rsidR="00BB568A" w:rsidRPr="009F7CE1">
        <w:t>185 FCR 449</w:t>
      </w:r>
      <w:r w:rsidR="00BB568A">
        <w:t xml:space="preserve"> where emphasis was placed by Emmett J (at [83]-[88]), Besanko J (at [292]-[2</w:t>
      </w:r>
      <w:r>
        <w:t>93]) and Jessup J (at [404]-[408</w:t>
      </w:r>
      <w:r w:rsidR="00BB568A">
        <w:t xml:space="preserve">]) on the need for close personal involvement of the individual in the conduct in question as distinct from that of a person merely acting as an officer or servant of the company.  </w:t>
      </w:r>
      <w:r w:rsidR="00710FA7">
        <w:t>The applicants’ case</w:t>
      </w:r>
      <w:r w:rsidR="00DB4FB6">
        <w:t>, which I fully accept,</w:t>
      </w:r>
      <w:r w:rsidR="00710FA7">
        <w:t xml:space="preserve"> is that Mr Kleyn was totally </w:t>
      </w:r>
      <w:r w:rsidR="00DB4FB6">
        <w:t>‘</w:t>
      </w:r>
      <w:r w:rsidR="00710FA7">
        <w:t>hands on</w:t>
      </w:r>
      <w:r w:rsidR="00DB4FB6">
        <w:t>’</w:t>
      </w:r>
      <w:r w:rsidR="00710FA7">
        <w:t>.</w:t>
      </w:r>
    </w:p>
    <w:p w:rsidR="00710FA7" w:rsidRDefault="00710FA7" w:rsidP="00B825FE">
      <w:pPr>
        <w:pStyle w:val="ParaNumbering"/>
      </w:pPr>
      <w:r>
        <w:t>The applicants rely upon the following facts</w:t>
      </w:r>
      <w:r w:rsidR="000E7AA7">
        <w:t>,</w:t>
      </w:r>
      <w:r>
        <w:t xml:space="preserve"> which they </w:t>
      </w:r>
      <w:r w:rsidR="00EF78ED">
        <w:t>argue, and I accept,</w:t>
      </w:r>
      <w:r>
        <w:t xml:space="preserve"> have been established on the evidence</w:t>
      </w:r>
      <w:r w:rsidR="000E7AA7">
        <w:t>,</w:t>
      </w:r>
      <w:r>
        <w:t xml:space="preserve"> in support of the tests set out in </w:t>
      </w:r>
      <w:r>
        <w:rPr>
          <w:i/>
        </w:rPr>
        <w:t>Keller</w:t>
      </w:r>
      <w:r>
        <w:t xml:space="preserve"> as set out in the second further amended particulars of infringement (at [45]-[55]):</w:t>
      </w:r>
    </w:p>
    <w:p w:rsidR="00775DAC" w:rsidRDefault="00775DAC" w:rsidP="00775DAC">
      <w:pPr>
        <w:pStyle w:val="Quote1"/>
      </w:pPr>
      <w:r>
        <w:t>45.</w:t>
      </w:r>
      <w:r>
        <w:tab/>
      </w:r>
      <w:r w:rsidR="00370583">
        <w:t>[Mr Kleyn]</w:t>
      </w:r>
      <w:r>
        <w:t xml:space="preserve"> is and has been at all material times:</w:t>
      </w:r>
    </w:p>
    <w:p w:rsidR="00775DAC" w:rsidRDefault="00775DAC" w:rsidP="00775DAC">
      <w:pPr>
        <w:pStyle w:val="Quote2"/>
        <w:ind w:left="2160" w:hanging="720"/>
      </w:pPr>
      <w:r>
        <w:t>(i)</w:t>
      </w:r>
      <w:r>
        <w:tab/>
        <w:t xml:space="preserve">the sole director and secretary of each of </w:t>
      </w:r>
      <w:r w:rsidR="007755CC">
        <w:t>[Coretell], [Mincrest] and [Kleyn Investments]</w:t>
      </w:r>
      <w:r>
        <w:t>;</w:t>
      </w:r>
    </w:p>
    <w:p w:rsidR="00775DAC" w:rsidRDefault="00775DAC" w:rsidP="00775DAC">
      <w:pPr>
        <w:pStyle w:val="Quote2"/>
        <w:ind w:left="2160" w:hanging="720"/>
      </w:pPr>
      <w:r>
        <w:t>(ii)</w:t>
      </w:r>
      <w:r>
        <w:tab/>
        <w:t xml:space="preserve">a shareholder of each of </w:t>
      </w:r>
      <w:r w:rsidR="007755CC">
        <w:t>[Coretell], [Mincrest] and [Kleyn Investments]</w:t>
      </w:r>
      <w:r>
        <w:t>; and</w:t>
      </w:r>
    </w:p>
    <w:p w:rsidR="00775DAC" w:rsidRDefault="00775DAC" w:rsidP="00230E9A">
      <w:pPr>
        <w:pStyle w:val="Quote2"/>
        <w:ind w:left="2160" w:hanging="720"/>
      </w:pPr>
      <w:r>
        <w:t>(iii)</w:t>
      </w:r>
      <w:r>
        <w:tab/>
        <w:t xml:space="preserve">engaged in and responsible for directing the conduct, management, control and day-to-day operations of each of </w:t>
      </w:r>
      <w:r w:rsidR="00230E9A">
        <w:t>[Coretell], [Mincrest] and [Kleyn Investments]</w:t>
      </w:r>
      <w:r>
        <w:t>, including their activities particularised above.</w:t>
      </w:r>
    </w:p>
    <w:p w:rsidR="00775DAC" w:rsidRDefault="00775DAC" w:rsidP="00775DAC">
      <w:pPr>
        <w:pStyle w:val="Quote1"/>
      </w:pPr>
    </w:p>
    <w:p w:rsidR="00775DAC" w:rsidRDefault="00775DAC" w:rsidP="00775DAC">
      <w:pPr>
        <w:pStyle w:val="Quote1"/>
        <w:ind w:left="1440" w:hanging="703"/>
      </w:pPr>
      <w:r>
        <w:t>46.</w:t>
      </w:r>
      <w:r>
        <w:tab/>
      </w:r>
      <w:r w:rsidR="00370583">
        <w:t>[Mr Kleyn]</w:t>
      </w:r>
      <w:r>
        <w:t xml:space="preserve"> has been directly and personally involved in </w:t>
      </w:r>
      <w:r w:rsidR="007755CC">
        <w:t>[Coretell], [Mincrest] and [Kleyn Investments</w:t>
      </w:r>
      <w:r w:rsidR="00230E9A">
        <w:t>’</w:t>
      </w:r>
      <w:r w:rsidR="007755CC">
        <w:t>]</w:t>
      </w:r>
      <w:r>
        <w:t xml:space="preserve"> sale, supply and offering of the </w:t>
      </w:r>
      <w:r w:rsidRPr="00230E9A">
        <w:rPr>
          <w:b/>
        </w:rPr>
        <w:t>Coretell Equipment</w:t>
      </w:r>
      <w:r>
        <w:t xml:space="preserve"> to customers in Australia, including to the entities referred to in paragraphs 6 to 10 and 12 to 16 above.</w:t>
      </w:r>
    </w:p>
    <w:p w:rsidR="00775DAC" w:rsidRDefault="00775DAC" w:rsidP="00775DAC">
      <w:pPr>
        <w:pStyle w:val="Quote1"/>
      </w:pPr>
    </w:p>
    <w:p w:rsidR="00775DAC" w:rsidRDefault="00775DAC" w:rsidP="00775DAC">
      <w:pPr>
        <w:pStyle w:val="Quote1"/>
        <w:ind w:left="1440" w:hanging="703"/>
      </w:pPr>
      <w:r>
        <w:t>47.</w:t>
      </w:r>
      <w:r>
        <w:tab/>
      </w:r>
      <w:r w:rsidR="00370583">
        <w:t>[Mr Kleyn]</w:t>
      </w:r>
      <w:r>
        <w:t xml:space="preserve"> has been directly and personally involved in </w:t>
      </w:r>
      <w:r w:rsidR="007755CC">
        <w:t>[Coretell], [Mincrest] and [Kleyn Investments]</w:t>
      </w:r>
      <w:r>
        <w:t xml:space="preserve">’ provision of instructional information for the use of </w:t>
      </w:r>
      <w:r w:rsidRPr="00775DAC">
        <w:rPr>
          <w:b/>
        </w:rPr>
        <w:t>Coretell Equipment</w:t>
      </w:r>
      <w:r>
        <w:t>, including to the entities referred to in paragraphs 22, 25 and 28 above.</w:t>
      </w:r>
    </w:p>
    <w:p w:rsidR="00775DAC" w:rsidRDefault="00775DAC" w:rsidP="00775DAC">
      <w:pPr>
        <w:pStyle w:val="Quote1"/>
      </w:pPr>
    </w:p>
    <w:p w:rsidR="00775DAC" w:rsidRDefault="00775DAC" w:rsidP="00775DAC">
      <w:pPr>
        <w:pStyle w:val="Quote1"/>
        <w:ind w:left="1440" w:hanging="703"/>
      </w:pPr>
      <w:r>
        <w:t>48.</w:t>
      </w:r>
      <w:r>
        <w:tab/>
      </w:r>
      <w:r w:rsidR="00370583">
        <w:t>[Mr Kleyn]</w:t>
      </w:r>
      <w:r>
        <w:t xml:space="preserve"> has been directly and personally involved in </w:t>
      </w:r>
      <w:r w:rsidR="007755CC">
        <w:t>[Coretell], [Mincrest] and [Kleyn Investments]</w:t>
      </w:r>
      <w:r>
        <w:t>’ supply from Australia of advertising and demonstration models to customers and agents, including to the entities specified in items 3 to 9 of the Confidential Schedule.</w:t>
      </w:r>
    </w:p>
    <w:p w:rsidR="00775DAC" w:rsidRDefault="00775DAC" w:rsidP="00775DAC">
      <w:pPr>
        <w:pStyle w:val="Quote1"/>
      </w:pPr>
    </w:p>
    <w:p w:rsidR="00775DAC" w:rsidRDefault="00775DAC" w:rsidP="00775DAC">
      <w:pPr>
        <w:pStyle w:val="Quote1"/>
        <w:ind w:left="1440" w:hanging="703"/>
      </w:pPr>
      <w:r>
        <w:t>49.</w:t>
      </w:r>
      <w:r>
        <w:tab/>
      </w:r>
      <w:r w:rsidR="00370583">
        <w:t>[Mr Kleyn]</w:t>
      </w:r>
      <w:r>
        <w:t xml:space="preserve"> is and has been at all material times the owner as tenant in common of the Kleyn Family Residence wherein the respondents have kept, sold or otherwise exploited their </w:t>
      </w:r>
      <w:r w:rsidRPr="00775DAC">
        <w:rPr>
          <w:b/>
        </w:rPr>
        <w:t>Coretell Equipment</w:t>
      </w:r>
      <w:r>
        <w:t>.</w:t>
      </w:r>
    </w:p>
    <w:p w:rsidR="00775DAC" w:rsidRDefault="00775DAC" w:rsidP="00775DAC">
      <w:pPr>
        <w:pStyle w:val="Quote1"/>
      </w:pPr>
    </w:p>
    <w:p w:rsidR="00775DAC" w:rsidRDefault="00775DAC" w:rsidP="00775DAC">
      <w:pPr>
        <w:pStyle w:val="Quote1"/>
        <w:ind w:left="1440" w:hanging="703"/>
      </w:pPr>
      <w:r>
        <w:t>50.</w:t>
      </w:r>
      <w:r>
        <w:tab/>
      </w:r>
      <w:r w:rsidR="00370583">
        <w:t>[Mr Kleyn]</w:t>
      </w:r>
      <w:r>
        <w:t xml:space="preserve"> is and has at all material times been the sole director, secretary </w:t>
      </w:r>
      <w:r>
        <w:lastRenderedPageBreak/>
        <w:t xml:space="preserve">and shareholder of the company owner of the Maddington Warehouse wherein the respondents have kept, sold or otherwise exploited their </w:t>
      </w:r>
      <w:r w:rsidRPr="00775DAC">
        <w:rPr>
          <w:b/>
        </w:rPr>
        <w:t>Coretell Equipment</w:t>
      </w:r>
      <w:r>
        <w:t>, Goldview Asset Pty Ltd (ACN 078 643 428) since September 2010.</w:t>
      </w:r>
    </w:p>
    <w:p w:rsidR="00775DAC" w:rsidRDefault="00775DAC" w:rsidP="00775DAC">
      <w:pPr>
        <w:pStyle w:val="Quote1"/>
      </w:pPr>
    </w:p>
    <w:p w:rsidR="00775DAC" w:rsidRDefault="00775DAC" w:rsidP="00775DAC">
      <w:pPr>
        <w:pStyle w:val="Quote1"/>
        <w:ind w:left="1440" w:hanging="703"/>
      </w:pPr>
      <w:r>
        <w:t>51.</w:t>
      </w:r>
      <w:r>
        <w:tab/>
        <w:t xml:space="preserve">In particular, without limiting paragraphs 45 to 50 above, </w:t>
      </w:r>
      <w:r w:rsidR="00370583">
        <w:t>[Mr Kleyn]</w:t>
      </w:r>
      <w:r>
        <w:t xml:space="preserve"> has been directly and personally involved in:</w:t>
      </w:r>
    </w:p>
    <w:p w:rsidR="00775DAC" w:rsidRDefault="00775DAC" w:rsidP="00775DAC">
      <w:pPr>
        <w:pStyle w:val="Quote2"/>
        <w:ind w:left="2160" w:hanging="720"/>
      </w:pPr>
      <w:r>
        <w:t>(i)</w:t>
      </w:r>
      <w:r>
        <w:tab/>
        <w:t xml:space="preserve">commissioning the person referred to in item 2 of the Confidential Schedule to design and manufacture </w:t>
      </w:r>
      <w:r w:rsidRPr="00775DAC">
        <w:rPr>
          <w:b/>
        </w:rPr>
        <w:t>Version 1</w:t>
      </w:r>
      <w:r>
        <w:t xml:space="preserve"> of the </w:t>
      </w:r>
      <w:r w:rsidRPr="00775DAC">
        <w:rPr>
          <w:b/>
        </w:rPr>
        <w:t>Coretell Equipment</w:t>
      </w:r>
      <w:r>
        <w:t xml:space="preserve"> from before 5 September 2005;</w:t>
      </w:r>
    </w:p>
    <w:p w:rsidR="00775DAC" w:rsidRDefault="00775DAC" w:rsidP="00775DAC">
      <w:pPr>
        <w:pStyle w:val="Quote2"/>
        <w:ind w:left="2160" w:hanging="720"/>
      </w:pPr>
      <w:r>
        <w:t>(ii)</w:t>
      </w:r>
      <w:r>
        <w:tab/>
        <w:t>commissioning the person referred to in item 2 of the Confidential Schedule to develop user guides in respect of that tool including commissioning that person to develop revised versions of the user guides in about June 2007;</w:t>
      </w:r>
    </w:p>
    <w:p w:rsidR="00775DAC" w:rsidRDefault="00775DAC" w:rsidP="00775DAC">
      <w:pPr>
        <w:pStyle w:val="Quote2"/>
        <w:ind w:left="2160" w:hanging="720"/>
      </w:pPr>
      <w:r>
        <w:t>(iii)</w:t>
      </w:r>
      <w:r>
        <w:tab/>
        <w:t xml:space="preserve">correspondence with customers and agents regarding supply or potential supply of </w:t>
      </w:r>
      <w:r w:rsidRPr="00775DAC">
        <w:rPr>
          <w:b/>
        </w:rPr>
        <w:t>Version 1</w:t>
      </w:r>
      <w:r>
        <w:t xml:space="preserve"> of the </w:t>
      </w:r>
      <w:r w:rsidRPr="00775DAC">
        <w:rPr>
          <w:b/>
        </w:rPr>
        <w:t>Coretell Equipment</w:t>
      </w:r>
      <w:r>
        <w:t>, including for example correspondence with the entity referred to in item 7 of the Confidential Schedule on 11 April 2007;</w:t>
      </w:r>
    </w:p>
    <w:p w:rsidR="00775DAC" w:rsidRDefault="00775DAC" w:rsidP="00775DAC">
      <w:pPr>
        <w:pStyle w:val="Quote2"/>
        <w:ind w:left="2160" w:hanging="720"/>
      </w:pPr>
      <w:r>
        <w:t>(iv)</w:t>
      </w:r>
      <w:r>
        <w:tab/>
        <w:t xml:space="preserve">commissioning the entity identified in item 1 of the Confidentiality Schedule to design and manufacture </w:t>
      </w:r>
      <w:r w:rsidRPr="00775DAC">
        <w:rPr>
          <w:b/>
        </w:rPr>
        <w:t>Version 2</w:t>
      </w:r>
      <w:r>
        <w:t xml:space="preserve"> and </w:t>
      </w:r>
      <w:r w:rsidRPr="00775DAC">
        <w:rPr>
          <w:b/>
        </w:rPr>
        <w:t>Version 3</w:t>
      </w:r>
      <w:r>
        <w:t xml:space="preserve"> of the </w:t>
      </w:r>
      <w:r w:rsidRPr="00775DAC">
        <w:rPr>
          <w:b/>
        </w:rPr>
        <w:t>Coretell Equipment</w:t>
      </w:r>
      <w:r>
        <w:rPr>
          <w:b/>
        </w:rPr>
        <w:t xml:space="preserve"> </w:t>
      </w:r>
      <w:r>
        <w:t>from about October 2008;</w:t>
      </w:r>
    </w:p>
    <w:p w:rsidR="00775DAC" w:rsidRDefault="00775DAC" w:rsidP="00775DAC">
      <w:pPr>
        <w:pStyle w:val="Quote2"/>
        <w:ind w:left="2160" w:hanging="720"/>
      </w:pPr>
      <w:r>
        <w:t>(v)</w:t>
      </w:r>
      <w:r>
        <w:tab/>
        <w:t xml:space="preserve">commissioning the entity identified in item 1 of the Confidential Schedule to draft user guides for the </w:t>
      </w:r>
      <w:r w:rsidRPr="00775DAC">
        <w:rPr>
          <w:b/>
        </w:rPr>
        <w:t>Version 2</w:t>
      </w:r>
      <w:r>
        <w:t xml:space="preserve"> and </w:t>
      </w:r>
      <w:r w:rsidRPr="00775DAC">
        <w:rPr>
          <w:b/>
        </w:rPr>
        <w:t>Version 3</w:t>
      </w:r>
      <w:r>
        <w:t xml:space="preserve"> of the </w:t>
      </w:r>
      <w:r w:rsidRPr="00775DAC">
        <w:rPr>
          <w:b/>
        </w:rPr>
        <w:t>Coretell Equipment</w:t>
      </w:r>
      <w:r>
        <w:t xml:space="preserve"> from about October 2008;</w:t>
      </w:r>
    </w:p>
    <w:p w:rsidR="00775DAC" w:rsidRDefault="00775DAC" w:rsidP="00775DAC">
      <w:pPr>
        <w:pStyle w:val="Quote2"/>
        <w:ind w:left="2160" w:hanging="720"/>
      </w:pPr>
      <w:r>
        <w:t>(vi)</w:t>
      </w:r>
      <w:r>
        <w:tab/>
        <w:t xml:space="preserve">providing demonstration kits of </w:t>
      </w:r>
      <w:r w:rsidRPr="00775DAC">
        <w:rPr>
          <w:b/>
        </w:rPr>
        <w:t>Coretell Equipment</w:t>
      </w:r>
      <w:r>
        <w:t xml:space="preserve"> to the respondents’ customers and agents, including for example to the entities referred to in items 3, 4 and 5 of the Confidential Schedule from about November 2011;</w:t>
      </w:r>
    </w:p>
    <w:p w:rsidR="00775DAC" w:rsidRDefault="00775DAC" w:rsidP="00775DAC">
      <w:pPr>
        <w:pStyle w:val="Quote2"/>
        <w:ind w:left="2160" w:hanging="720"/>
      </w:pPr>
      <w:r>
        <w:t>(vii)</w:t>
      </w:r>
      <w:r>
        <w:tab/>
        <w:t>providing technical support to the respondents’ customers and agents, including for example technical support provided to the entity referred to in item 8 of the Confidential Schedule on about January 2012; and</w:t>
      </w:r>
    </w:p>
    <w:p w:rsidR="00775DAC" w:rsidRDefault="00775DAC" w:rsidP="00775DAC">
      <w:pPr>
        <w:pStyle w:val="Quote2"/>
        <w:ind w:left="2160" w:hanging="720"/>
      </w:pPr>
      <w:r>
        <w:t>(viii)</w:t>
      </w:r>
      <w:r>
        <w:tab/>
        <w:t xml:space="preserve">corresponding with the respondents’ customers and agents regarding supply or potential supply of versions 2 and 3 of the </w:t>
      </w:r>
      <w:r w:rsidRPr="00775DAC">
        <w:rPr>
          <w:b/>
        </w:rPr>
        <w:t>Coretell Equipment</w:t>
      </w:r>
      <w:r>
        <w:t>, including for example correspondence with the entity referred to in item 9 of the Confidential Schedule on about February 2012.</w:t>
      </w:r>
    </w:p>
    <w:p w:rsidR="00775DAC" w:rsidRDefault="00775DAC" w:rsidP="00775DAC">
      <w:pPr>
        <w:pStyle w:val="Quote1"/>
      </w:pPr>
    </w:p>
    <w:p w:rsidR="00775DAC" w:rsidRDefault="00775DAC" w:rsidP="00775DAC">
      <w:pPr>
        <w:pStyle w:val="Quote1"/>
        <w:ind w:left="1440" w:hanging="703"/>
      </w:pPr>
      <w:r>
        <w:t>52.</w:t>
      </w:r>
      <w:r>
        <w:tab/>
      </w:r>
      <w:r w:rsidR="00370583">
        <w:t>[Mr Kleyn]</w:t>
      </w:r>
      <w:r>
        <w:t xml:space="preserve"> has received dividends and drawings from the profits of </w:t>
      </w:r>
      <w:r w:rsidR="007B01AF">
        <w:t>[Coretell]</w:t>
      </w:r>
      <w:r>
        <w:t xml:space="preserve">, </w:t>
      </w:r>
      <w:r w:rsidR="007B01AF">
        <w:t>[Mincrest]</w:t>
      </w:r>
      <w:r>
        <w:t xml:space="preserve"> and </w:t>
      </w:r>
      <w:r w:rsidR="007B01AF">
        <w:t xml:space="preserve">[Kleyn Investments] </w:t>
      </w:r>
      <w:r>
        <w:t>arising out of their activities particularised above.</w:t>
      </w:r>
    </w:p>
    <w:p w:rsidR="00775DAC" w:rsidRDefault="00775DAC" w:rsidP="00775DAC">
      <w:pPr>
        <w:pStyle w:val="Quote1"/>
      </w:pPr>
    </w:p>
    <w:p w:rsidR="00775DAC" w:rsidRDefault="00775DAC" w:rsidP="00775DAC">
      <w:pPr>
        <w:pStyle w:val="Quote1"/>
        <w:ind w:left="1440" w:hanging="703"/>
      </w:pPr>
      <w:r>
        <w:t>53.</w:t>
      </w:r>
      <w:r>
        <w:tab/>
      </w:r>
      <w:r w:rsidR="00370583">
        <w:t>[Mr Kleyn]</w:t>
      </w:r>
      <w:r>
        <w:t xml:space="preserve"> has been the principal beneficiary of </w:t>
      </w:r>
      <w:r w:rsidR="007B01AF">
        <w:t>[Coretell], [Mi</w:t>
      </w:r>
      <w:r w:rsidR="00230E9A">
        <w:t>ncrest] and [Kleyn Investments’]</w:t>
      </w:r>
      <w:r>
        <w:t xml:space="preserve"> activities particularised above.</w:t>
      </w:r>
    </w:p>
    <w:p w:rsidR="00775DAC" w:rsidRDefault="00775DAC" w:rsidP="00775DAC">
      <w:pPr>
        <w:pStyle w:val="Quote1"/>
      </w:pPr>
    </w:p>
    <w:p w:rsidR="00775DAC" w:rsidRDefault="00775DAC" w:rsidP="00775DAC">
      <w:pPr>
        <w:pStyle w:val="Quote1"/>
      </w:pPr>
      <w:r>
        <w:t>54.</w:t>
      </w:r>
      <w:r>
        <w:tab/>
        <w:t xml:space="preserve">At all times </w:t>
      </w:r>
      <w:r w:rsidR="00370583">
        <w:t>[Mr Kleyn]</w:t>
      </w:r>
      <w:r>
        <w:t xml:space="preserve"> knew and intended that:</w:t>
      </w:r>
    </w:p>
    <w:p w:rsidR="00775DAC" w:rsidRDefault="00775DAC" w:rsidP="00775DAC">
      <w:pPr>
        <w:pStyle w:val="Quote2"/>
        <w:ind w:left="2160" w:hanging="720"/>
      </w:pPr>
      <w:r>
        <w:t>(a)</w:t>
      </w:r>
      <w:r>
        <w:tab/>
      </w:r>
      <w:r w:rsidR="007B01AF">
        <w:t xml:space="preserve">[Coretell], [Mincrest] and [Kleyn Investments] </w:t>
      </w:r>
      <w:r>
        <w:t>would carry out their activities particularised above; and</w:t>
      </w:r>
    </w:p>
    <w:p w:rsidR="00775DAC" w:rsidRDefault="00775DAC" w:rsidP="00775DAC">
      <w:pPr>
        <w:pStyle w:val="Quote2"/>
        <w:ind w:left="2160" w:hanging="720"/>
      </w:pPr>
      <w:r>
        <w:t>(b)</w:t>
      </w:r>
      <w:r>
        <w:tab/>
        <w:t>he would be the principal beneficiary of those activities.</w:t>
      </w:r>
    </w:p>
    <w:p w:rsidR="00BD7FB4" w:rsidRDefault="00113382" w:rsidP="00DB2308">
      <w:pPr>
        <w:pStyle w:val="ParaNumbering"/>
      </w:pPr>
      <w:r>
        <w:t xml:space="preserve">Shortly put, </w:t>
      </w:r>
      <w:r w:rsidR="00230E9A">
        <w:t xml:space="preserve">the applicants </w:t>
      </w:r>
      <w:r>
        <w:t>contend that Mr Kleyn is</w:t>
      </w:r>
      <w:r w:rsidR="00230E9A">
        <w:t>,</w:t>
      </w:r>
      <w:r>
        <w:t xml:space="preserve"> and has been</w:t>
      </w:r>
      <w:r w:rsidR="00230E9A">
        <w:t>,</w:t>
      </w:r>
      <w:r>
        <w:t xml:space="preserve"> directly and closely involved in the conduct of all three corporate respondents such as to make </w:t>
      </w:r>
      <w:r w:rsidR="00EF78ED">
        <w:t xml:space="preserve">his </w:t>
      </w:r>
      <w:r>
        <w:t xml:space="preserve">conduct effectively </w:t>
      </w:r>
      <w:r w:rsidR="00EF78ED">
        <w:t xml:space="preserve">their </w:t>
      </w:r>
      <w:r>
        <w:t>own conduct.  As already noted, the evidence indicates that he is:</w:t>
      </w:r>
      <w:r w:rsidR="007755CC">
        <w:t xml:space="preserve">  </w:t>
      </w:r>
    </w:p>
    <w:p w:rsidR="00113382" w:rsidRDefault="00113382" w:rsidP="001332BE">
      <w:pPr>
        <w:pStyle w:val="ListNo"/>
        <w:numPr>
          <w:ilvl w:val="0"/>
          <w:numId w:val="36"/>
        </w:numPr>
        <w:tabs>
          <w:tab w:val="clear" w:pos="720"/>
        </w:tabs>
      </w:pPr>
      <w:r>
        <w:lastRenderedPageBreak/>
        <w:t xml:space="preserve">the sole director and secretary of </w:t>
      </w:r>
      <w:r w:rsidR="00E45585">
        <w:t xml:space="preserve">two of the three </w:t>
      </w:r>
      <w:r>
        <w:t xml:space="preserve">corporate respondents; </w:t>
      </w:r>
    </w:p>
    <w:p w:rsidR="00113382" w:rsidRDefault="00113382" w:rsidP="001332BE">
      <w:pPr>
        <w:pStyle w:val="ListNo"/>
        <w:numPr>
          <w:ilvl w:val="0"/>
          <w:numId w:val="36"/>
        </w:numPr>
        <w:tabs>
          <w:tab w:val="clear" w:pos="720"/>
        </w:tabs>
      </w:pPr>
      <w:r>
        <w:t>a shareholder of each of the corporate respondents; and</w:t>
      </w:r>
    </w:p>
    <w:p w:rsidR="00113382" w:rsidRDefault="00113382" w:rsidP="001332BE">
      <w:pPr>
        <w:pStyle w:val="ListNo"/>
        <w:numPr>
          <w:ilvl w:val="0"/>
          <w:numId w:val="36"/>
        </w:numPr>
        <w:tabs>
          <w:tab w:val="clear" w:pos="720"/>
        </w:tabs>
      </w:pPr>
      <w:r>
        <w:t>engaged in</w:t>
      </w:r>
      <w:r w:rsidR="00230E9A">
        <w:t>,</w:t>
      </w:r>
      <w:r>
        <w:t xml:space="preserve"> and responsible for</w:t>
      </w:r>
      <w:r w:rsidR="00230E9A">
        <w:t>,</w:t>
      </w:r>
      <w:r>
        <w:t xml:space="preserve"> directing the conduct, management, control and day to day operations of each of the corporate respondents, including </w:t>
      </w:r>
      <w:r w:rsidR="00230E9A">
        <w:t xml:space="preserve">their </w:t>
      </w:r>
      <w:r>
        <w:t xml:space="preserve">activities outlined above.  </w:t>
      </w:r>
    </w:p>
    <w:p w:rsidR="00113382" w:rsidRDefault="00113382" w:rsidP="00DB2308">
      <w:pPr>
        <w:pStyle w:val="ParaNumbering"/>
      </w:pPr>
      <w:r>
        <w:t>Equally, the applicants argue</w:t>
      </w:r>
      <w:r w:rsidR="00230E9A">
        <w:t>,</w:t>
      </w:r>
      <w:r>
        <w:t xml:space="preserve"> </w:t>
      </w:r>
      <w:r w:rsidR="00247740">
        <w:t>and I accept</w:t>
      </w:r>
      <w:r w:rsidR="00230E9A">
        <w:t>,</w:t>
      </w:r>
      <w:r w:rsidR="00247740">
        <w:t xml:space="preserve"> </w:t>
      </w:r>
      <w:r>
        <w:t xml:space="preserve">that the evidence also indicates that Mr Kleyn had been directly and personally involved in the corporate respondents’ activities </w:t>
      </w:r>
      <w:r w:rsidR="000D0A3A">
        <w:t>in selling, supplying and offer</w:t>
      </w:r>
      <w:r>
        <w:t xml:space="preserve">ing the </w:t>
      </w:r>
      <w:r w:rsidR="00FC24DD">
        <w:t xml:space="preserve">ORIshot </w:t>
      </w:r>
      <w:r w:rsidR="00230E9A">
        <w:t>T</w:t>
      </w:r>
      <w:r w:rsidR="00FC24DD">
        <w:t>ool</w:t>
      </w:r>
      <w:r>
        <w:t xml:space="preserve"> to customers </w:t>
      </w:r>
      <w:r w:rsidR="000D0A3A">
        <w:t xml:space="preserve">in Australia, the provision of instructional information for the use of the </w:t>
      </w:r>
      <w:r w:rsidR="00FC24DD">
        <w:t>ORIshot Tool</w:t>
      </w:r>
      <w:r w:rsidR="00230E9A">
        <w:t>,</w:t>
      </w:r>
      <w:r w:rsidR="000D0A3A">
        <w:t xml:space="preserve"> and the advertising and demonstration of the </w:t>
      </w:r>
      <w:r w:rsidR="00FC24DD">
        <w:t xml:space="preserve">ORIshot </w:t>
      </w:r>
      <w:r w:rsidR="00230E9A">
        <w:t>T</w:t>
      </w:r>
      <w:r w:rsidR="00FC24DD">
        <w:t>ool</w:t>
      </w:r>
      <w:r w:rsidR="000D0A3A">
        <w:t xml:space="preserve"> to the customers and agents.  Samples of the </w:t>
      </w:r>
      <w:r w:rsidR="00FC24DD">
        <w:t>ORIshot Tool</w:t>
      </w:r>
      <w:r w:rsidR="000D0A3A">
        <w:t xml:space="preserve"> have been kept at Mr Kleyn’s residence and he is also the sole director, secretary and shareholder of the company that owns the warehouse used by the corporate respondents.  He </w:t>
      </w:r>
      <w:r w:rsidR="00230E9A">
        <w:t xml:space="preserve">has </w:t>
      </w:r>
      <w:r w:rsidR="000D0A3A">
        <w:t>receive</w:t>
      </w:r>
      <w:r w:rsidR="00230E9A">
        <w:t>d</w:t>
      </w:r>
      <w:r w:rsidR="000D0A3A">
        <w:t xml:space="preserve"> dividends and profits from the corporate respondents arising out of their allegedly infringing activities</w:t>
      </w:r>
      <w:r w:rsidR="00230E9A">
        <w:t>,</w:t>
      </w:r>
      <w:r w:rsidR="000D0A3A">
        <w:t xml:space="preserve"> and allegedly has been the principal beneficiary of those activities.</w:t>
      </w:r>
    </w:p>
    <w:p w:rsidR="00ED4F37" w:rsidRDefault="007965C1" w:rsidP="00DB2308">
      <w:pPr>
        <w:pStyle w:val="ParaNumbering"/>
      </w:pPr>
      <w:r>
        <w:t>T</w:t>
      </w:r>
      <w:r w:rsidR="001D6EE5">
        <w:t>here cannot be any doubt, on the evidence</w:t>
      </w:r>
      <w:r w:rsidR="00230E9A">
        <w:t>,</w:t>
      </w:r>
      <w:r w:rsidR="001D6EE5">
        <w:t xml:space="preserve"> that Mr Kleyn knew and intended that the corporate respondents would carry out their activities in relation to the </w:t>
      </w:r>
      <w:r w:rsidR="00337C85">
        <w:t>ORIshot Tool</w:t>
      </w:r>
      <w:r w:rsidR="008D4EC0">
        <w:t>s</w:t>
      </w:r>
      <w:r w:rsidR="001D6EE5">
        <w:t xml:space="preserve"> and that he would be the principal </w:t>
      </w:r>
      <w:r w:rsidR="00ED4F37">
        <w:t xml:space="preserve">beneficiary of those activities.  </w:t>
      </w:r>
      <w:r>
        <w:t>N</w:t>
      </w:r>
      <w:r w:rsidR="00ED4F37">
        <w:t xml:space="preserve">o other person has identified as controlling </w:t>
      </w:r>
      <w:r>
        <w:t xml:space="preserve">the </w:t>
      </w:r>
      <w:r w:rsidR="00ED4F37">
        <w:t>activities of the corporate respondents.</w:t>
      </w:r>
    </w:p>
    <w:p w:rsidR="00FD2977" w:rsidRDefault="00FD2977" w:rsidP="002054F9">
      <w:pPr>
        <w:pStyle w:val="ParaNumbering"/>
      </w:pPr>
      <w:r>
        <w:t xml:space="preserve">The respondents </w:t>
      </w:r>
      <w:r w:rsidR="007965C1">
        <w:t xml:space="preserve">also </w:t>
      </w:r>
      <w:r>
        <w:t xml:space="preserve">devoted a significant amount of energy </w:t>
      </w:r>
      <w:r w:rsidR="00230E9A">
        <w:t xml:space="preserve">in relation to this topic </w:t>
      </w:r>
      <w:r>
        <w:t xml:space="preserve">in many pages of submissions.  The respondents </w:t>
      </w:r>
      <w:r w:rsidR="00230E9A">
        <w:t xml:space="preserve">referred to </w:t>
      </w:r>
      <w:r w:rsidR="00DD4057">
        <w:t>the relevant law set out in [42]-[84] of the respondents’ opening submissions and supplementary note.  In summary</w:t>
      </w:r>
      <w:r w:rsidR="00FD1671">
        <w:t xml:space="preserve"> they argue that</w:t>
      </w:r>
      <w:r w:rsidR="00DD4057">
        <w:t>:</w:t>
      </w:r>
    </w:p>
    <w:p w:rsidR="00336035" w:rsidRDefault="00230E9A" w:rsidP="001332BE">
      <w:pPr>
        <w:pStyle w:val="ListNo"/>
        <w:numPr>
          <w:ilvl w:val="0"/>
          <w:numId w:val="37"/>
        </w:numPr>
        <w:tabs>
          <w:tab w:val="clear" w:pos="720"/>
        </w:tabs>
      </w:pPr>
      <w:r>
        <w:t>j</w:t>
      </w:r>
      <w:r w:rsidR="00DD4057">
        <w:t xml:space="preserve">oint tortfeasorship requires two or more persons or entities having a common design to engage in a course of action, which amounts to exploitation of a patent without the licence of the patentee:  </w:t>
      </w:r>
      <w:r w:rsidRPr="00720D5F">
        <w:rPr>
          <w:i/>
        </w:rPr>
        <w:t>Morton-Norwich Products Inc v lntercen Ltd</w:t>
      </w:r>
      <w:r>
        <w:t xml:space="preserve"> [1978] RPC 501 </w:t>
      </w:r>
      <w:r w:rsidR="00766556">
        <w:t>(at 514)</w:t>
      </w:r>
      <w:r w:rsidR="0016009D">
        <w:t xml:space="preserve"> where Graham J said</w:t>
      </w:r>
      <w:r w:rsidR="00336035">
        <w:t>: ‘two persons who agree on common action in the course of and to further which one of them commits a tort in thi</w:t>
      </w:r>
      <w:r w:rsidR="0016009D">
        <w:t>s country are joint tortfeasors</w:t>
      </w:r>
      <w:r w:rsidR="00336035">
        <w:t xml:space="preserve">.  There is </w:t>
      </w:r>
      <w:r w:rsidR="0016009D">
        <w:t xml:space="preserve">… </w:t>
      </w:r>
      <w:r w:rsidR="00336035">
        <w:t>one tort committed by one of them on behalf of and in concert with the other</w:t>
      </w:r>
      <w:r w:rsidR="0016009D">
        <w:t>’;</w:t>
      </w:r>
    </w:p>
    <w:p w:rsidR="00336035" w:rsidRDefault="0016009D" w:rsidP="001332BE">
      <w:pPr>
        <w:pStyle w:val="ListNo"/>
        <w:numPr>
          <w:ilvl w:val="0"/>
          <w:numId w:val="37"/>
        </w:numPr>
        <w:tabs>
          <w:tab w:val="clear" w:pos="720"/>
        </w:tabs>
      </w:pPr>
      <w:r>
        <w:lastRenderedPageBreak/>
        <w:t>t</w:t>
      </w:r>
      <w:r w:rsidR="00336035">
        <w:t>o establish joint tortfeasorship in patent infringement</w:t>
      </w:r>
      <w:r>
        <w:t xml:space="preserve"> according to Wilcox J in </w:t>
      </w:r>
      <w:r>
        <w:rPr>
          <w:i/>
        </w:rPr>
        <w:t xml:space="preserve">BEST Australia </w:t>
      </w:r>
      <w:r w:rsidRPr="00E7281B">
        <w:rPr>
          <w:i/>
        </w:rPr>
        <w:t xml:space="preserve">Ltd v Aquagas Marketing </w:t>
      </w:r>
      <w:r>
        <w:rPr>
          <w:i/>
        </w:rPr>
        <w:t xml:space="preserve">Pty </w:t>
      </w:r>
      <w:r w:rsidRPr="00E7281B">
        <w:rPr>
          <w:i/>
        </w:rPr>
        <w:t>Ltd</w:t>
      </w:r>
      <w:r>
        <w:t xml:space="preserve"> (1988) 12 IPR 143 (at 147): ‘w</w:t>
      </w:r>
      <w:r w:rsidR="00336035">
        <w:t>hat is necessary is that there be participation, rather than mere facilitation, by the alleged joint tortfeasor’</w:t>
      </w:r>
      <w:r>
        <w:t>;</w:t>
      </w:r>
    </w:p>
    <w:p w:rsidR="00336035" w:rsidRDefault="0016009D" w:rsidP="001332BE">
      <w:pPr>
        <w:pStyle w:val="ListNo"/>
        <w:numPr>
          <w:ilvl w:val="0"/>
          <w:numId w:val="37"/>
        </w:numPr>
        <w:tabs>
          <w:tab w:val="clear" w:pos="720"/>
        </w:tabs>
      </w:pPr>
      <w:r>
        <w:t>c</w:t>
      </w:r>
      <w:r w:rsidR="00336035">
        <w:t>ommon directorship, which the applicants have emphasised in this case, is not sufficient</w:t>
      </w:r>
      <w:r>
        <w:t>, as w</w:t>
      </w:r>
      <w:r w:rsidR="00336035">
        <w:t>ithout more, this gives sufficient weight to the fact that two companies are separate legal entities;</w:t>
      </w:r>
    </w:p>
    <w:p w:rsidR="00336035" w:rsidRDefault="0016009D" w:rsidP="001332BE">
      <w:pPr>
        <w:pStyle w:val="ListNo"/>
        <w:numPr>
          <w:ilvl w:val="0"/>
          <w:numId w:val="37"/>
        </w:numPr>
        <w:tabs>
          <w:tab w:val="clear" w:pos="720"/>
        </w:tabs>
      </w:pPr>
      <w:r>
        <w:t>t</w:t>
      </w:r>
      <w:r w:rsidR="00336035">
        <w:t>o establish joint tortfeasorship</w:t>
      </w:r>
      <w:r>
        <w:t xml:space="preserve"> in patent infringement</w:t>
      </w:r>
      <w:r w:rsidR="00336035">
        <w:t xml:space="preserve">, it is necessary that there be proved active participation by either of the corporate respondents in the activities of Coretell:  </w:t>
      </w:r>
      <w:r w:rsidR="003F3338" w:rsidRPr="00E7281B">
        <w:rPr>
          <w:i/>
        </w:rPr>
        <w:t>Apotex Pty Ltd v Les Laboratoires Servier (No 2)</w:t>
      </w:r>
      <w:r w:rsidR="003F3338">
        <w:t xml:space="preserve"> </w:t>
      </w:r>
      <w:r>
        <w:t>(2012) 293 ALR 272</w:t>
      </w:r>
      <w:r w:rsidR="003F3338">
        <w:t xml:space="preserve"> per Bennett J (at [23]);</w:t>
      </w:r>
    </w:p>
    <w:p w:rsidR="00336035" w:rsidRDefault="00060105" w:rsidP="001332BE">
      <w:pPr>
        <w:pStyle w:val="ListNo"/>
        <w:numPr>
          <w:ilvl w:val="0"/>
          <w:numId w:val="37"/>
        </w:numPr>
        <w:tabs>
          <w:tab w:val="clear" w:pos="720"/>
        </w:tabs>
      </w:pPr>
      <w:r>
        <w:t>i</w:t>
      </w:r>
      <w:r w:rsidR="007F5DEB">
        <w:t>n relation to personal liability of a director, such as Mr Kleyn, for joint tortfeasorship with companies which he directs, the authorities establish that ‘a finding that a director who held an honest belief that the acts which he or she directed or procured were not unlawful is a significant consideration telling against the director’s liability’</w:t>
      </w:r>
      <w:r>
        <w:t>,</w:t>
      </w:r>
      <w:r w:rsidR="007F5DEB">
        <w:t xml:space="preserve"> and </w:t>
      </w:r>
      <w:r>
        <w:t xml:space="preserve">such a finding </w:t>
      </w:r>
      <w:r w:rsidR="007F5DEB">
        <w:t xml:space="preserve">may be decisive: </w:t>
      </w:r>
      <w:r w:rsidR="007F5DEB">
        <w:rPr>
          <w:i/>
        </w:rPr>
        <w:t xml:space="preserve">Sporte Leisure </w:t>
      </w:r>
      <w:r w:rsidR="007F5DEB" w:rsidRPr="00385998">
        <w:rPr>
          <w:i/>
        </w:rPr>
        <w:t>Pty Ltd v Paul’s International Pty Ltd (No 3)</w:t>
      </w:r>
      <w:r w:rsidR="007F5DEB">
        <w:t xml:space="preserve"> (2010) </w:t>
      </w:r>
      <w:r w:rsidR="007F5DEB" w:rsidRPr="00385998">
        <w:t>88 IPR 242</w:t>
      </w:r>
      <w:r>
        <w:t xml:space="preserve"> per</w:t>
      </w:r>
      <w:r w:rsidR="007F5DEB">
        <w:t xml:space="preserve"> Nicholas J (at [118])</w:t>
      </w:r>
      <w:r w:rsidR="006E6B9B">
        <w:t>; s</w:t>
      </w:r>
      <w:r w:rsidR="007F5DEB">
        <w:t xml:space="preserve">ee also the decision of the majority of the Full Court in </w:t>
      </w:r>
      <w:r w:rsidR="007F5DEB">
        <w:rPr>
          <w:i/>
        </w:rPr>
        <w:t xml:space="preserve">Keller </w:t>
      </w:r>
      <w:r w:rsidR="007F5DEB">
        <w:t xml:space="preserve">and, particularly, to the judgment of Jessup J (at [354] to [408]) </w:t>
      </w:r>
      <w:r>
        <w:t>and Emmett J (at [83] and [88])</w:t>
      </w:r>
      <w:r w:rsidR="007F5DEB">
        <w:t>;</w:t>
      </w:r>
    </w:p>
    <w:p w:rsidR="007F5DEB" w:rsidRDefault="00060105" w:rsidP="001332BE">
      <w:pPr>
        <w:pStyle w:val="ListNo"/>
        <w:numPr>
          <w:ilvl w:val="0"/>
          <w:numId w:val="37"/>
        </w:numPr>
        <w:tabs>
          <w:tab w:val="clear" w:pos="720"/>
        </w:tabs>
      </w:pPr>
      <w:r>
        <w:t>t</w:t>
      </w:r>
      <w:r w:rsidR="00A22E70">
        <w:t>he primary support provided by the corporate respondents to Coretell was in the form of tax-effective assistance to cover the respondents’ large legal expenses as a result of the applicants’ threats and commencement of proceeding WAD 132 of 2007 against Coretell and Mincrest</w:t>
      </w:r>
      <w:r>
        <w:t>; i</w:t>
      </w:r>
      <w:r w:rsidR="00A22E70">
        <w:t>t does not establish some joint engagement in the venture of supplying core orientation tools or some common design to do so</w:t>
      </w:r>
      <w:r>
        <w:t>;</w:t>
      </w:r>
      <w:r w:rsidR="00A22E70">
        <w:t xml:space="preserve">  </w:t>
      </w:r>
    </w:p>
    <w:p w:rsidR="007B2F16" w:rsidRDefault="00A22E70" w:rsidP="001332BE">
      <w:pPr>
        <w:pStyle w:val="ListNo"/>
        <w:numPr>
          <w:ilvl w:val="0"/>
          <w:numId w:val="37"/>
        </w:numPr>
        <w:tabs>
          <w:tab w:val="clear" w:pos="720"/>
        </w:tabs>
      </w:pPr>
      <w:r>
        <w:t xml:space="preserve">Mr Ross’ evidence should be reviewed in light of the comments of Bennet J </w:t>
      </w:r>
      <w:r w:rsidR="007B2F16">
        <w:t xml:space="preserve">in </w:t>
      </w:r>
      <w:r w:rsidR="007B2F16" w:rsidRPr="00E7281B">
        <w:rPr>
          <w:i/>
        </w:rPr>
        <w:t>Les Laboratoires Servier</w:t>
      </w:r>
      <w:r w:rsidR="007B2F16">
        <w:rPr>
          <w:i/>
        </w:rPr>
        <w:t xml:space="preserve"> </w:t>
      </w:r>
      <w:r w:rsidR="007B2F16">
        <w:t>(at [23]) that, although it is relevant, ‘a close relationship between the companies is not, of itself sufficient, even if there were overall control, both financial and voting and the companies regarded themselves as a single economic unit’;</w:t>
      </w:r>
      <w:r w:rsidR="00060105">
        <w:t xml:space="preserve"> and</w:t>
      </w:r>
    </w:p>
    <w:p w:rsidR="007B2F16" w:rsidRDefault="00060105" w:rsidP="001332BE">
      <w:pPr>
        <w:pStyle w:val="ListNo"/>
        <w:numPr>
          <w:ilvl w:val="0"/>
          <w:numId w:val="37"/>
        </w:numPr>
        <w:tabs>
          <w:tab w:val="clear" w:pos="720"/>
        </w:tabs>
      </w:pPr>
      <w:r>
        <w:t>t</w:t>
      </w:r>
      <w:r w:rsidR="007B2F16">
        <w:t xml:space="preserve">he applicants’ further allegations concerned with authorising, procuring and inducing cannot succeed.  </w:t>
      </w:r>
    </w:p>
    <w:p w:rsidR="00D32F17" w:rsidRDefault="00D32F17" w:rsidP="002054F9">
      <w:pPr>
        <w:pStyle w:val="ParaNumbering"/>
      </w:pPr>
      <w:r>
        <w:lastRenderedPageBreak/>
        <w:t>The case for the respondents is that the corporate respondents have been engaged in two distinct businesses over time in the circumstances</w:t>
      </w:r>
      <w:r w:rsidR="00060105">
        <w:t xml:space="preserve"> which are detailed by the respondents as follows</w:t>
      </w:r>
      <w:r>
        <w:t>.</w:t>
      </w:r>
    </w:p>
    <w:p w:rsidR="00D32F17" w:rsidRDefault="00D32F17" w:rsidP="00D32F17">
      <w:pPr>
        <w:pStyle w:val="ParaNumbering"/>
      </w:pPr>
      <w:r>
        <w:t xml:space="preserve">The respondents argue that the Camteq </w:t>
      </w:r>
      <w:r w:rsidR="00686AE3">
        <w:t>c</w:t>
      </w:r>
      <w:r>
        <w:t xml:space="preserve">amera business has been the </w:t>
      </w:r>
      <w:r w:rsidR="00686AE3">
        <w:t>‘</w:t>
      </w:r>
      <w:r>
        <w:t>mainstay</w:t>
      </w:r>
      <w:r w:rsidR="00686AE3">
        <w:t>’</w:t>
      </w:r>
      <w:r>
        <w:t xml:space="preserve"> of </w:t>
      </w:r>
      <w:r w:rsidR="00233F66">
        <w:t>the</w:t>
      </w:r>
      <w:r>
        <w:t xml:space="preserve"> separate business </w:t>
      </w:r>
      <w:r w:rsidR="00686AE3">
        <w:t xml:space="preserve">which has been </w:t>
      </w:r>
      <w:r>
        <w:t xml:space="preserve">successfully run by Mr Kleyn.  That business was originally conducted under the name </w:t>
      </w:r>
      <w:r w:rsidR="00686AE3">
        <w:t>‘</w:t>
      </w:r>
      <w:r>
        <w:t>Camteq Instruments</w:t>
      </w:r>
      <w:r w:rsidR="00686AE3">
        <w:t>’</w:t>
      </w:r>
      <w:r>
        <w:t xml:space="preserve">, a business name owned by Mincrest.  It was very successful as evidenced by corporate accounts produced in discovery.  Nevertheless, for internal management reasons, in about February 2010, the Camteq </w:t>
      </w:r>
      <w:r w:rsidR="00686AE3">
        <w:t>c</w:t>
      </w:r>
      <w:r>
        <w:t xml:space="preserve">amera business was assigned or transferred </w:t>
      </w:r>
      <w:r w:rsidR="00F12A44">
        <w:t xml:space="preserve">to </w:t>
      </w:r>
      <w:r>
        <w:t>Kleyn Investments</w:t>
      </w:r>
      <w:r w:rsidR="009017D7">
        <w:t>,</w:t>
      </w:r>
      <w:r>
        <w:t xml:space="preserve"> under the </w:t>
      </w:r>
      <w:r w:rsidR="00F12A44">
        <w:t xml:space="preserve">new trading name </w:t>
      </w:r>
      <w:r w:rsidR="00686AE3">
        <w:t>‘</w:t>
      </w:r>
      <w:r w:rsidR="00F12A44">
        <w:t>Camteq International Services</w:t>
      </w:r>
      <w:r w:rsidR="00686AE3">
        <w:t>’</w:t>
      </w:r>
      <w:r w:rsidR="00F12A44">
        <w:t xml:space="preserve">.  </w:t>
      </w:r>
      <w:r w:rsidR="009017D7">
        <w:t>The respondents say that, thereafter, the business activities of Mincrest were run down and had ceased by the time of completion of the trial</w:t>
      </w:r>
      <w:r w:rsidR="00686AE3">
        <w:t>,</w:t>
      </w:r>
      <w:r w:rsidR="009017D7">
        <w:t xml:space="preserve"> and the </w:t>
      </w:r>
      <w:r w:rsidR="00686AE3">
        <w:t>‘</w:t>
      </w:r>
      <w:r w:rsidR="009017D7">
        <w:t>Camteq Instruments</w:t>
      </w:r>
      <w:r w:rsidR="00686AE3">
        <w:t>’</w:t>
      </w:r>
      <w:r w:rsidR="009017D7">
        <w:t xml:space="preserve"> business name was kept viable, but had recently expired </w:t>
      </w:r>
      <w:r w:rsidR="00686AE3">
        <w:t xml:space="preserve">at the time of the </w:t>
      </w:r>
      <w:r w:rsidR="009017D7">
        <w:t xml:space="preserve">completion of the trial.  Accordingly, the respondents argue that the Camteq </w:t>
      </w:r>
      <w:r w:rsidR="00686AE3">
        <w:t>c</w:t>
      </w:r>
      <w:r w:rsidR="009017D7">
        <w:t xml:space="preserve">amera business has been conducted by Kleyn Investments under the name </w:t>
      </w:r>
      <w:r w:rsidR="00686AE3">
        <w:t>‘</w:t>
      </w:r>
      <w:r w:rsidR="009017D7">
        <w:t>Camteq International</w:t>
      </w:r>
      <w:r w:rsidR="00F755C0">
        <w:t xml:space="preserve"> Services</w:t>
      </w:r>
      <w:r w:rsidR="00686AE3">
        <w:t>’</w:t>
      </w:r>
      <w:r w:rsidR="009017D7">
        <w:t xml:space="preserve"> and continues to be very successful.  </w:t>
      </w:r>
      <w:r w:rsidR="00686AE3">
        <w:t xml:space="preserve">They submit that it </w:t>
      </w:r>
      <w:r w:rsidR="009017D7">
        <w:t xml:space="preserve">is a corporate entity, independent of Coretell.  </w:t>
      </w:r>
    </w:p>
    <w:p w:rsidR="00B24491" w:rsidRDefault="00B24491" w:rsidP="00B24491">
      <w:pPr>
        <w:pStyle w:val="ParaNumbering"/>
      </w:pPr>
      <w:r>
        <w:t xml:space="preserve">The respondents </w:t>
      </w:r>
      <w:r w:rsidR="00D15195">
        <w:t>contend</w:t>
      </w:r>
      <w:r>
        <w:t xml:space="preserve"> that, on the evidence</w:t>
      </w:r>
      <w:r w:rsidR="00686AE3">
        <w:t xml:space="preserve">, commencing in about late 2004 </w:t>
      </w:r>
      <w:r>
        <w:t xml:space="preserve">Mr Kleyn began to take steps to develop a core orientation tool of the nature the subject of </w:t>
      </w:r>
      <w:r w:rsidR="00686AE3">
        <w:t>proceeding</w:t>
      </w:r>
      <w:r>
        <w:t xml:space="preserve"> before Barker J</w:t>
      </w:r>
      <w:r w:rsidR="00686AE3">
        <w:t>,</w:t>
      </w:r>
      <w:r>
        <w:t xml:space="preserve"> and now the subject of this proceeding.  That work was initially commissioned by Mincrest and that position remained until early 2006.  In May 2006, Mr Kleyn </w:t>
      </w:r>
      <w:r w:rsidR="006809AC">
        <w:t xml:space="preserve">caused Coretell to be </w:t>
      </w:r>
      <w:r>
        <w:t xml:space="preserve">incorporated </w:t>
      </w:r>
      <w:r w:rsidR="006809AC">
        <w:t xml:space="preserve">as the vehicle by which the core orientation tool business was to be conducted.  </w:t>
      </w:r>
      <w:r w:rsidR="00163258">
        <w:t xml:space="preserve">There was a period during 2006 during which </w:t>
      </w:r>
      <w:r w:rsidR="006809AC">
        <w:t xml:space="preserve">Mincrest continued to conduct some activities in relation to the core orientation tool, </w:t>
      </w:r>
      <w:r w:rsidR="00163258">
        <w:t xml:space="preserve">but </w:t>
      </w:r>
      <w:r w:rsidR="006809AC">
        <w:t xml:space="preserve">those activities ceased by about November 2006.  After this time, </w:t>
      </w:r>
      <w:r w:rsidR="00163258">
        <w:t xml:space="preserve">the respondents contend that </w:t>
      </w:r>
      <w:r w:rsidR="006809AC">
        <w:t xml:space="preserve">Coretell was the sole corporate entity responsible for </w:t>
      </w:r>
      <w:r w:rsidR="00163258">
        <w:t xml:space="preserve">all of the </w:t>
      </w:r>
      <w:r w:rsidR="006809AC">
        <w:t xml:space="preserve">business activities concerning the core orientation tool the subject of the present proceeding.  Like Mincrest, the business was very successful and would have been more so but for a period of some two years when Coretell </w:t>
      </w:r>
      <w:r w:rsidR="00163258">
        <w:t>(</w:t>
      </w:r>
      <w:r w:rsidR="006809AC">
        <w:t>with limited exception</w:t>
      </w:r>
      <w:r w:rsidR="00163258">
        <w:t>)</w:t>
      </w:r>
      <w:r w:rsidR="006809AC">
        <w:t xml:space="preserve"> was out of the market by reason of its cessation of business consequent on threats of the patent infringement received from the applicants in November 2006.</w:t>
      </w:r>
    </w:p>
    <w:p w:rsidR="006809AC" w:rsidRDefault="00D5566B" w:rsidP="00B24491">
      <w:pPr>
        <w:pStyle w:val="ParaNumbering"/>
      </w:pPr>
      <w:r>
        <w:lastRenderedPageBreak/>
        <w:t>Mr Kleyn, the respondents argue</w:t>
      </w:r>
      <w:r w:rsidR="00163258">
        <w:t xml:space="preserve">, </w:t>
      </w:r>
      <w:r w:rsidR="00DB4041">
        <w:t>but I reject</w:t>
      </w:r>
      <w:r>
        <w:t xml:space="preserve">, gave convincing evidence of the reason for the separate incorporation of Coretell and, particularly, his desire to have a separate viable entity to sell as a going concern.  </w:t>
      </w:r>
    </w:p>
    <w:p w:rsidR="00D5566B" w:rsidRDefault="00D5566B" w:rsidP="00B24491">
      <w:pPr>
        <w:pStyle w:val="ParaNumbering"/>
      </w:pPr>
      <w:r>
        <w:t xml:space="preserve">As against that, </w:t>
      </w:r>
      <w:r w:rsidR="001C5901">
        <w:t xml:space="preserve">the applicants continued to assert that the sole reason for the separate incorporation of Coretell by Mr Kleyn was to protect his other business enterprises and assets from any adverse liability finding on patent infringement.  Nothing adduced in the cross-examination, the respondents argue, supported the contention raised by the applicants.  </w:t>
      </w:r>
    </w:p>
    <w:p w:rsidR="001C5901" w:rsidRDefault="00B10AF4" w:rsidP="00B24491">
      <w:pPr>
        <w:pStyle w:val="ParaNumbering"/>
      </w:pPr>
      <w:r>
        <w:t xml:space="preserve">The respondents submit that Mr Kleyn’s explanation for the separate incorporation of Coretell is entirely sensible, particularly having regard to its considerable financial success in the years since its incorporation.  </w:t>
      </w:r>
    </w:p>
    <w:p w:rsidR="00D32F17" w:rsidRDefault="00D63A4F" w:rsidP="00D32F17">
      <w:pPr>
        <w:pStyle w:val="ParaNumbering"/>
      </w:pPr>
      <w:r>
        <w:t xml:space="preserve">The respondents also argue that the involvement by Mincrest in Coretell’s core orientation business was already determined in </w:t>
      </w:r>
      <w:r w:rsidR="0005252C" w:rsidRPr="00F612AF">
        <w:t>AMC No 1</w:t>
      </w:r>
      <w:r>
        <w:t>.  At least</w:t>
      </w:r>
      <w:r w:rsidR="00163258">
        <w:t>,</w:t>
      </w:r>
      <w:r>
        <w:t xml:space="preserve"> the greater portion of the conduct in 2006 and 2007 by Mincrest and Coretell was canvassed in detail in that proceeding and dealt with in his Honour’s judgment.  The respondents argue that those findings are incapable of being disturbed.  </w:t>
      </w:r>
      <w:r w:rsidR="00166623">
        <w:t xml:space="preserve">Without this argument being fully developed I am not in a position to accept it.  </w:t>
      </w:r>
      <w:r w:rsidR="00917532">
        <w:t xml:space="preserve">The respondents contend that </w:t>
      </w:r>
      <w:r w:rsidR="00163258">
        <w:t xml:space="preserve">the applicants are seeking </w:t>
      </w:r>
      <w:r w:rsidR="00917532">
        <w:t xml:space="preserve">to </w:t>
      </w:r>
      <w:r w:rsidR="0005252C">
        <w:t xml:space="preserve">challenge the conclusions reached by Barker J in </w:t>
      </w:r>
      <w:r w:rsidR="0005252C" w:rsidRPr="00F612AF">
        <w:t>AMC No 1</w:t>
      </w:r>
      <w:r w:rsidR="0005252C">
        <w:t xml:space="preserve"> by pursing a collateral attack which turns essentially on joint tortfeasorship.</w:t>
      </w:r>
      <w:r w:rsidR="005C1319">
        <w:t xml:space="preserve">  As indicated, I do not accept </w:t>
      </w:r>
      <w:r w:rsidR="00A119DD">
        <w:t>t</w:t>
      </w:r>
      <w:r w:rsidR="005C1319">
        <w:t xml:space="preserve">his </w:t>
      </w:r>
      <w:r w:rsidR="00A119DD">
        <w:t>contention</w:t>
      </w:r>
      <w:r w:rsidR="005C1319">
        <w:t xml:space="preserve">.  The issues in their current form were not the subject of argument before his Honour.  Nor has that brief submission been pleaded or raised in the parties’ statement of issues.  </w:t>
      </w:r>
    </w:p>
    <w:p w:rsidR="0005252C" w:rsidRDefault="00D842C5" w:rsidP="00D32F17">
      <w:pPr>
        <w:pStyle w:val="ParaNumbering"/>
      </w:pPr>
      <w:r>
        <w:t xml:space="preserve">The respondents </w:t>
      </w:r>
      <w:r w:rsidR="00505E56">
        <w:t>submit</w:t>
      </w:r>
      <w:r>
        <w:t xml:space="preserve"> that, on the evidence established at trial, as has always been the case, the applicants cannot establish that:</w:t>
      </w:r>
    </w:p>
    <w:p w:rsidR="00D842C5" w:rsidRDefault="00D842C5" w:rsidP="001332BE">
      <w:pPr>
        <w:pStyle w:val="ListNo"/>
        <w:numPr>
          <w:ilvl w:val="0"/>
          <w:numId w:val="38"/>
        </w:numPr>
        <w:tabs>
          <w:tab w:val="clear" w:pos="720"/>
        </w:tabs>
      </w:pPr>
      <w:r>
        <w:t>either Mincrest or Kleyn Investments were involved in any direct infringement of the System Patent by making, selling or otherwise exploiting the orientation tools;</w:t>
      </w:r>
    </w:p>
    <w:p w:rsidR="00D842C5" w:rsidRDefault="00D842C5" w:rsidP="001332BE">
      <w:pPr>
        <w:pStyle w:val="ListNo"/>
        <w:numPr>
          <w:ilvl w:val="0"/>
          <w:numId w:val="38"/>
        </w:numPr>
        <w:tabs>
          <w:tab w:val="clear" w:pos="720"/>
        </w:tabs>
      </w:pPr>
      <w:r>
        <w:t xml:space="preserve">either Mincrest or Kleyn Investments </w:t>
      </w:r>
      <w:r w:rsidR="005D6B2A">
        <w:t xml:space="preserve">were </w:t>
      </w:r>
      <w:r>
        <w:t>involved in any indirect infringement of the System Patent by authorising, procuring, inducing or joining in a common design with its customers or end users;</w:t>
      </w:r>
    </w:p>
    <w:p w:rsidR="00D842C5" w:rsidRDefault="00D842C5" w:rsidP="001332BE">
      <w:pPr>
        <w:pStyle w:val="ListNo"/>
        <w:numPr>
          <w:ilvl w:val="0"/>
          <w:numId w:val="38"/>
        </w:numPr>
        <w:tabs>
          <w:tab w:val="clear" w:pos="720"/>
        </w:tabs>
      </w:pPr>
      <w:r>
        <w:t>either Mincrest or Kleyn Investments was involved in any direct infringement of the Method Patent by supplying the orientation tools or instructions for the use thereof;</w:t>
      </w:r>
    </w:p>
    <w:p w:rsidR="00D842C5" w:rsidRDefault="00D842C5" w:rsidP="001332BE">
      <w:pPr>
        <w:pStyle w:val="ListNo"/>
        <w:numPr>
          <w:ilvl w:val="0"/>
          <w:numId w:val="38"/>
        </w:numPr>
        <w:tabs>
          <w:tab w:val="clear" w:pos="720"/>
        </w:tabs>
      </w:pPr>
      <w:r>
        <w:lastRenderedPageBreak/>
        <w:t>either Mincrest or Kleyn Investments were involved in any direct infringement of the Method Patent by authorising, procuring, inducing or engaging in a common design with customers or end users to use the relevant core orientation methods;</w:t>
      </w:r>
    </w:p>
    <w:p w:rsidR="00D842C5" w:rsidRDefault="00D842C5" w:rsidP="001332BE">
      <w:pPr>
        <w:pStyle w:val="ListNo"/>
        <w:numPr>
          <w:ilvl w:val="0"/>
          <w:numId w:val="38"/>
        </w:numPr>
        <w:tabs>
          <w:tab w:val="clear" w:pos="720"/>
        </w:tabs>
      </w:pPr>
      <w:r>
        <w:t>either Mincrest or Kleyn Investments authorised, procured or induced or joined in a common design with Coretell to do any of the conduct above;</w:t>
      </w:r>
    </w:p>
    <w:p w:rsidR="00D842C5" w:rsidRDefault="00D842C5" w:rsidP="001332BE">
      <w:pPr>
        <w:pStyle w:val="ListNo"/>
        <w:numPr>
          <w:ilvl w:val="0"/>
          <w:numId w:val="38"/>
        </w:numPr>
        <w:tabs>
          <w:tab w:val="clear" w:pos="720"/>
        </w:tabs>
      </w:pPr>
      <w:r>
        <w:t>Mr Kleyn was a director of the corporate entities, Mincrest or Kleyn Investments, authorised, procured or induced or joined in the common design with either of those entities to cause or reflect the conduct alleged above; or</w:t>
      </w:r>
    </w:p>
    <w:p w:rsidR="00D842C5" w:rsidRDefault="005D6B2A" w:rsidP="001332BE">
      <w:pPr>
        <w:pStyle w:val="ListNo"/>
        <w:numPr>
          <w:ilvl w:val="0"/>
          <w:numId w:val="38"/>
        </w:numPr>
        <w:tabs>
          <w:tab w:val="clear" w:pos="720"/>
        </w:tabs>
      </w:pPr>
      <w:r>
        <w:t>f</w:t>
      </w:r>
      <w:r w:rsidR="006B58A6">
        <w:t xml:space="preserve">or Mr Kleyn, any activities by him amounted to any authorisation, procurement, inducement, or common design by him other than in his capacity as a director of Coretell.  </w:t>
      </w:r>
    </w:p>
    <w:p w:rsidR="006B58A6" w:rsidRDefault="0011193E" w:rsidP="006B58A6">
      <w:pPr>
        <w:pStyle w:val="ParaNumbering"/>
      </w:pPr>
      <w:r>
        <w:t xml:space="preserve">The respondents make the point that vast quantities of financial information had been provided to the applicants to enable them to be satisfied as to the correctness of the position as advanced by the respondents.  The respondents argue that it is plain on any view of the financial statements that the corporate entities have maintained comprehensive </w:t>
      </w:r>
      <w:r w:rsidR="00AC7310">
        <w:t>and separate general ledgers on a ‘</w:t>
      </w:r>
      <w:r w:rsidR="000F6EA1">
        <w:t>QuickBooks</w:t>
      </w:r>
      <w:r w:rsidR="00AC7310">
        <w:t xml:space="preserve">’ accounting basis, which have then formed the foundation for comprehensive annual accounts to be prepared by the responsible accounting firm, more specifically, by Mr Kenny, who gave evidence.  The respondents refer to trading statements, profit and loss accounts and balance sheets which </w:t>
      </w:r>
      <w:r w:rsidR="005D6B2A">
        <w:t xml:space="preserve">it says </w:t>
      </w:r>
      <w:r w:rsidR="00AC7310">
        <w:t>make clear that the financial position of each entity has been diligently, accurately recorded and reported, such that there can be no possible suggestion of any sham or cover up.  Indeed, the respondents assert</w:t>
      </w:r>
      <w:r w:rsidR="005D6B2A">
        <w:t xml:space="preserve"> that none appears to be suggested</w:t>
      </w:r>
      <w:r w:rsidR="00AC7310">
        <w:t xml:space="preserve"> in the expert evidence of Mr Ross.  The financial statements provide compelling evidence, it is said, that at all material times relevant to any liability issues in the proceeding, Coretell is</w:t>
      </w:r>
      <w:r w:rsidR="0021035B">
        <w:t>,</w:t>
      </w:r>
      <w:r w:rsidR="00AC7310">
        <w:t xml:space="preserve"> and always has been</w:t>
      </w:r>
      <w:r w:rsidR="0021035B">
        <w:t>,</w:t>
      </w:r>
      <w:r w:rsidR="00AC7310">
        <w:t xml:space="preserve"> an independent successful trading entity in its own right.  The respondents contend that the viability of Coretell as an independent trading entity, relevant to issues of liability in this proceeding, is clearly established from the respective trading statements over the years since 2009, from which it is evident that Coretell’s gross revenue in 2009 was $21,556, in 2010 $</w:t>
      </w:r>
      <w:r w:rsidR="0021035B">
        <w:t>3</w:t>
      </w:r>
      <w:r w:rsidR="00AC7310">
        <w:t xml:space="preserve">58,498, in 2011 $989,900, in 2012 $2,022,540, and in 2013 $1,083,560.  </w:t>
      </w:r>
    </w:p>
    <w:p w:rsidR="00AC7310" w:rsidRDefault="00F80826" w:rsidP="006B58A6">
      <w:pPr>
        <w:pStyle w:val="ParaNumbering"/>
      </w:pPr>
      <w:r>
        <w:t>One of the main drains on that revenue, however, were the legal expenses and the fact that Coretell was out of the market for approximately two years between November 2006 and January 2009</w:t>
      </w:r>
      <w:r w:rsidR="00503333">
        <w:t xml:space="preserve"> </w:t>
      </w:r>
      <w:r w:rsidR="0021035B">
        <w:t xml:space="preserve">as a result of </w:t>
      </w:r>
      <w:r>
        <w:t xml:space="preserve">threats of legal proceedings </w:t>
      </w:r>
      <w:r w:rsidR="0021035B">
        <w:t xml:space="preserve">concerning </w:t>
      </w:r>
      <w:r>
        <w:t xml:space="preserve">patent infringement made </w:t>
      </w:r>
      <w:r>
        <w:lastRenderedPageBreak/>
        <w:t xml:space="preserve">by the applicants.  Coretell, it is said, has incurred massive legal expenses in successfully defending </w:t>
      </w:r>
      <w:r w:rsidR="00167593">
        <w:t xml:space="preserve">the previous legal proceedings, but </w:t>
      </w:r>
      <w:r w:rsidR="0021035B">
        <w:t xml:space="preserve">also </w:t>
      </w:r>
      <w:r w:rsidR="00167593">
        <w:t xml:space="preserve">in defending the present proceedings.  </w:t>
      </w:r>
    </w:p>
    <w:p w:rsidR="00167593" w:rsidRDefault="0021035B" w:rsidP="006B58A6">
      <w:pPr>
        <w:pStyle w:val="ParaNumbering"/>
      </w:pPr>
      <w:r>
        <w:t>The respondents claim that in order</w:t>
      </w:r>
      <w:r w:rsidR="00951CC5">
        <w:t xml:space="preserve"> to maintain its viability, Coretell has received financial support from the other two corporate respondents by way of received discretiona</w:t>
      </w:r>
      <w:r w:rsidR="00437DB3">
        <w:t>ry trust distributions.  Absent</w:t>
      </w:r>
      <w:r w:rsidR="00951CC5">
        <w:t xml:space="preserve"> such distributions, Coretell would have ceased to exist and the applicants would have gained a </w:t>
      </w:r>
      <w:r w:rsidR="00951CC5" w:rsidRPr="00951CC5">
        <w:rPr>
          <w:i/>
        </w:rPr>
        <w:t>de facto</w:t>
      </w:r>
      <w:r w:rsidR="00951CC5">
        <w:t xml:space="preserve"> victory from the previous proceeding to which they had no entitlement.  The legal ex</w:t>
      </w:r>
      <w:r>
        <w:t>penses for each relevant financial</w:t>
      </w:r>
      <w:r w:rsidR="00951CC5">
        <w:t xml:space="preserve"> year are indeed considerable</w:t>
      </w:r>
      <w:r>
        <w:t>,</w:t>
      </w:r>
      <w:r w:rsidR="00951CC5">
        <w:t xml:space="preserve"> </w:t>
      </w:r>
      <w:r>
        <w:t xml:space="preserve">particularly, </w:t>
      </w:r>
      <w:r w:rsidR="00951CC5">
        <w:t>in 2009 $228,090; in 2010 $501,920; in 2011 $71,408; in 2012 $646,3</w:t>
      </w:r>
      <w:r>
        <w:t>8</w:t>
      </w:r>
      <w:r w:rsidR="00951CC5">
        <w:t xml:space="preserve">7; and in 2013 $594,219.  </w:t>
      </w:r>
    </w:p>
    <w:p w:rsidR="00BE0E6E" w:rsidRDefault="00BE0E6E" w:rsidP="006B58A6">
      <w:pPr>
        <w:pStyle w:val="ParaNumbering"/>
      </w:pPr>
      <w:r>
        <w:t>Moreover, the respondents stress, on any objective and rational review it is abundantly clear that Coretell trades as a stand-alone or single purpose corporate entity</w:t>
      </w:r>
      <w:r w:rsidR="0021035B">
        <w:t xml:space="preserve">. </w:t>
      </w:r>
      <w:r>
        <w:t xml:space="preserve"> </w:t>
      </w:r>
      <w:r w:rsidR="0021035B">
        <w:t xml:space="preserve">It says that this is evidenced by the </w:t>
      </w:r>
      <w:r>
        <w:t xml:space="preserve">following </w:t>
      </w:r>
      <w:r w:rsidR="00437DB3">
        <w:rPr>
          <w:i/>
        </w:rPr>
        <w:t>indicia</w:t>
      </w:r>
      <w:r>
        <w:t>:</w:t>
      </w:r>
    </w:p>
    <w:p w:rsidR="00951CC5" w:rsidRDefault="00BE0E6E" w:rsidP="001332BE">
      <w:pPr>
        <w:pStyle w:val="ListNo"/>
        <w:numPr>
          <w:ilvl w:val="0"/>
          <w:numId w:val="39"/>
        </w:numPr>
        <w:tabs>
          <w:tab w:val="clear" w:pos="720"/>
        </w:tabs>
      </w:pPr>
      <w:r>
        <w:t>its separate incorporation;</w:t>
      </w:r>
    </w:p>
    <w:p w:rsidR="00BE0E6E" w:rsidRDefault="00BE0E6E" w:rsidP="001332BE">
      <w:pPr>
        <w:pStyle w:val="ListNo"/>
        <w:numPr>
          <w:ilvl w:val="0"/>
          <w:numId w:val="39"/>
        </w:numPr>
        <w:tabs>
          <w:tab w:val="clear" w:pos="720"/>
        </w:tabs>
      </w:pPr>
      <w:r>
        <w:t>different products, namely, core orientation tool and ancillary products unrelated to cameras and ancillary products;</w:t>
      </w:r>
    </w:p>
    <w:p w:rsidR="00BE0E6E" w:rsidRDefault="00BE0E6E" w:rsidP="001332BE">
      <w:pPr>
        <w:pStyle w:val="ListNo"/>
        <w:numPr>
          <w:ilvl w:val="0"/>
          <w:numId w:val="39"/>
        </w:numPr>
        <w:tabs>
          <w:tab w:val="clear" w:pos="720"/>
        </w:tabs>
      </w:pPr>
      <w:r>
        <w:t>a separate business name and no use by Coretell of the Camteq name or any derivation thereof;</w:t>
      </w:r>
    </w:p>
    <w:p w:rsidR="00BE0E6E" w:rsidRDefault="00BE0E6E" w:rsidP="001332BE">
      <w:pPr>
        <w:pStyle w:val="ListNo"/>
        <w:numPr>
          <w:ilvl w:val="0"/>
          <w:numId w:val="39"/>
        </w:numPr>
        <w:tabs>
          <w:tab w:val="clear" w:pos="720"/>
        </w:tabs>
      </w:pPr>
      <w:r>
        <w:t>its own separate corporate Coretell bank account and associated records;</w:t>
      </w:r>
    </w:p>
    <w:p w:rsidR="00BE0E6E" w:rsidRDefault="00BE0E6E" w:rsidP="001332BE">
      <w:pPr>
        <w:pStyle w:val="ListNo"/>
        <w:numPr>
          <w:ilvl w:val="0"/>
          <w:numId w:val="39"/>
        </w:numPr>
        <w:tabs>
          <w:tab w:val="clear" w:pos="720"/>
        </w:tabs>
      </w:pPr>
      <w:r>
        <w:t>its own separate Coretell accounting/ledger database and financial statements;</w:t>
      </w:r>
    </w:p>
    <w:p w:rsidR="00BE0E6E" w:rsidRDefault="00BE0E6E" w:rsidP="001332BE">
      <w:pPr>
        <w:pStyle w:val="ListNo"/>
        <w:numPr>
          <w:ilvl w:val="0"/>
          <w:numId w:val="39"/>
        </w:numPr>
        <w:tabs>
          <w:tab w:val="clear" w:pos="720"/>
        </w:tabs>
      </w:pPr>
      <w:r>
        <w:t xml:space="preserve">separate Coretell </w:t>
      </w:r>
      <w:r w:rsidR="0008675B">
        <w:t>invoices for suppliers and hire</w:t>
      </w:r>
      <w:r>
        <w:t>s and thousands of invoices all in the name of Coretell;</w:t>
      </w:r>
    </w:p>
    <w:p w:rsidR="00BE0E6E" w:rsidRDefault="00BE0E6E" w:rsidP="001332BE">
      <w:pPr>
        <w:pStyle w:val="ListNo"/>
        <w:numPr>
          <w:ilvl w:val="0"/>
          <w:numId w:val="39"/>
        </w:numPr>
        <w:tabs>
          <w:tab w:val="clear" w:pos="720"/>
        </w:tabs>
      </w:pPr>
      <w:r>
        <w:t xml:space="preserve">as a general rule, separate invoices to Coretell from suppliers, for example from </w:t>
      </w:r>
      <w:r w:rsidR="00371DC0">
        <w:t>H</w:t>
      </w:r>
      <w:r>
        <w:t xml:space="preserve">igh </w:t>
      </w:r>
      <w:r w:rsidR="00371DC0">
        <w:t>T</w:t>
      </w:r>
      <w:r>
        <w:t xml:space="preserve">ech </w:t>
      </w:r>
      <w:r w:rsidR="00371DC0">
        <w:t>Laboratories and</w:t>
      </w:r>
      <w:r>
        <w:t xml:space="preserve"> Precept </w:t>
      </w:r>
      <w:r w:rsidR="00371DC0">
        <w:t>Pty Ltd;</w:t>
      </w:r>
    </w:p>
    <w:p w:rsidR="00BE0E6E" w:rsidRDefault="00371DC0" w:rsidP="001332BE">
      <w:pPr>
        <w:pStyle w:val="ListNo"/>
        <w:numPr>
          <w:ilvl w:val="0"/>
          <w:numId w:val="39"/>
        </w:numPr>
        <w:tabs>
          <w:tab w:val="clear" w:pos="720"/>
        </w:tabs>
      </w:pPr>
      <w:r>
        <w:t>as shown in separat</w:t>
      </w:r>
      <w:r w:rsidR="00437DB3">
        <w:t>e Coretell outwards invoices</w:t>
      </w:r>
      <w:r>
        <w:t>:</w:t>
      </w:r>
    </w:p>
    <w:p w:rsidR="00371DC0" w:rsidRDefault="00371DC0" w:rsidP="001332BE">
      <w:pPr>
        <w:pStyle w:val="ListNo"/>
        <w:numPr>
          <w:ilvl w:val="4"/>
          <w:numId w:val="39"/>
        </w:numPr>
        <w:tabs>
          <w:tab w:val="clear" w:pos="3600"/>
        </w:tabs>
        <w:ind w:left="1418" w:hanging="709"/>
      </w:pPr>
      <w:r>
        <w:t>separate Coretell stationary/printable headers;</w:t>
      </w:r>
    </w:p>
    <w:p w:rsidR="00371DC0" w:rsidRDefault="00371DC0" w:rsidP="001332BE">
      <w:pPr>
        <w:pStyle w:val="ListNo"/>
        <w:numPr>
          <w:ilvl w:val="4"/>
          <w:numId w:val="39"/>
        </w:numPr>
        <w:tabs>
          <w:tab w:val="clear" w:pos="3600"/>
        </w:tabs>
        <w:ind w:left="1418" w:hanging="709"/>
      </w:pPr>
      <w:r>
        <w:t>separate ABNs and ACNs;</w:t>
      </w:r>
    </w:p>
    <w:p w:rsidR="00371DC0" w:rsidRDefault="00371DC0" w:rsidP="001332BE">
      <w:pPr>
        <w:pStyle w:val="ListNo"/>
        <w:numPr>
          <w:ilvl w:val="4"/>
          <w:numId w:val="39"/>
        </w:numPr>
        <w:tabs>
          <w:tab w:val="clear" w:pos="3600"/>
        </w:tabs>
        <w:ind w:left="1418" w:hanging="709"/>
      </w:pPr>
      <w:r>
        <w:t>separate contract emails for invoice queries;</w:t>
      </w:r>
    </w:p>
    <w:p w:rsidR="00371DC0" w:rsidRDefault="00371DC0" w:rsidP="001332BE">
      <w:pPr>
        <w:pStyle w:val="ListNo"/>
        <w:numPr>
          <w:ilvl w:val="4"/>
          <w:numId w:val="39"/>
        </w:numPr>
        <w:tabs>
          <w:tab w:val="clear" w:pos="3600"/>
        </w:tabs>
        <w:ind w:left="1418" w:hanging="709"/>
      </w:pPr>
      <w:r>
        <w:t>separate bank accounts for accounts payable;</w:t>
      </w:r>
    </w:p>
    <w:p w:rsidR="00371DC0" w:rsidRDefault="00371DC0" w:rsidP="001332BE">
      <w:pPr>
        <w:pStyle w:val="ListNo"/>
        <w:numPr>
          <w:ilvl w:val="4"/>
          <w:numId w:val="39"/>
        </w:numPr>
        <w:tabs>
          <w:tab w:val="clear" w:pos="3600"/>
        </w:tabs>
        <w:ind w:left="1418" w:hanging="709"/>
      </w:pPr>
      <w:r>
        <w:t>separate phone lines as indicated in Coretell and Camteq invoices;</w:t>
      </w:r>
    </w:p>
    <w:p w:rsidR="00371DC0" w:rsidRDefault="00371DC0" w:rsidP="001332BE">
      <w:pPr>
        <w:pStyle w:val="ListNo"/>
        <w:numPr>
          <w:ilvl w:val="4"/>
          <w:numId w:val="39"/>
        </w:numPr>
        <w:tabs>
          <w:tab w:val="clear" w:pos="3600"/>
        </w:tabs>
        <w:ind w:left="1418" w:hanging="709"/>
      </w:pPr>
      <w:r>
        <w:t>separate hire contracts with customers;</w:t>
      </w:r>
    </w:p>
    <w:p w:rsidR="00371DC0" w:rsidRDefault="00371DC0" w:rsidP="001332BE">
      <w:pPr>
        <w:pStyle w:val="ListNo"/>
        <w:numPr>
          <w:ilvl w:val="4"/>
          <w:numId w:val="39"/>
        </w:numPr>
        <w:tabs>
          <w:tab w:val="clear" w:pos="3600"/>
        </w:tabs>
        <w:ind w:left="1418" w:hanging="709"/>
      </w:pPr>
      <w:r>
        <w:lastRenderedPageBreak/>
        <w:t xml:space="preserve">separate Coretell </w:t>
      </w:r>
      <w:r w:rsidR="00EE7727">
        <w:t>ORIshot</w:t>
      </w:r>
      <w:r>
        <w:t xml:space="preserve"> instruction book;</w:t>
      </w:r>
    </w:p>
    <w:p w:rsidR="00371DC0" w:rsidRDefault="00371DC0" w:rsidP="001332BE">
      <w:pPr>
        <w:pStyle w:val="ListNo"/>
        <w:numPr>
          <w:ilvl w:val="4"/>
          <w:numId w:val="39"/>
        </w:numPr>
        <w:tabs>
          <w:tab w:val="clear" w:pos="3600"/>
        </w:tabs>
        <w:ind w:left="1418" w:hanging="709"/>
      </w:pPr>
      <w:r>
        <w:t>separate websites;</w:t>
      </w:r>
    </w:p>
    <w:p w:rsidR="00371DC0" w:rsidRDefault="00371DC0" w:rsidP="001332BE">
      <w:pPr>
        <w:pStyle w:val="ListNo"/>
        <w:numPr>
          <w:ilvl w:val="4"/>
          <w:numId w:val="39"/>
        </w:numPr>
        <w:tabs>
          <w:tab w:val="clear" w:pos="3600"/>
        </w:tabs>
        <w:ind w:left="1418" w:hanging="709"/>
      </w:pPr>
      <w:r>
        <w:t>separate tenancies and rent payments;</w:t>
      </w:r>
    </w:p>
    <w:p w:rsidR="00371DC0" w:rsidRDefault="00371DC0" w:rsidP="001332BE">
      <w:pPr>
        <w:pStyle w:val="ListNo"/>
        <w:numPr>
          <w:ilvl w:val="4"/>
          <w:numId w:val="39"/>
        </w:numPr>
        <w:tabs>
          <w:tab w:val="clear" w:pos="3600"/>
        </w:tabs>
        <w:ind w:left="1418" w:hanging="709"/>
      </w:pPr>
      <w:r>
        <w:t>separate logos for Coretell and Camteq International Services and promotional material; and</w:t>
      </w:r>
    </w:p>
    <w:p w:rsidR="00371DC0" w:rsidRDefault="00371DC0" w:rsidP="001332BE">
      <w:pPr>
        <w:pStyle w:val="ListNo"/>
        <w:numPr>
          <w:ilvl w:val="4"/>
          <w:numId w:val="39"/>
        </w:numPr>
        <w:tabs>
          <w:tab w:val="clear" w:pos="3600"/>
        </w:tabs>
        <w:ind w:left="1418" w:hanging="709"/>
      </w:pPr>
      <w:r>
        <w:t xml:space="preserve">separate and promptly displayed external signage at the Maddington Warehouse.  </w:t>
      </w:r>
    </w:p>
    <w:p w:rsidR="00C074E4" w:rsidRDefault="00D83660" w:rsidP="00F343EC">
      <w:pPr>
        <w:pStyle w:val="ParaNumbering"/>
      </w:pPr>
      <w:r>
        <w:t xml:space="preserve">The common directorship of Mr Kleyn is obviously accepted.  That renders the corporations as being associated within the meaning of the </w:t>
      </w:r>
      <w:r w:rsidR="0008675B">
        <w:t>CA</w:t>
      </w:r>
      <w:r>
        <w:t>, bu</w:t>
      </w:r>
      <w:r w:rsidR="00C074E4">
        <w:t xml:space="preserve">t </w:t>
      </w:r>
      <w:r w:rsidR="0008675B">
        <w:t xml:space="preserve">such </w:t>
      </w:r>
      <w:r w:rsidR="00C074E4">
        <w:t xml:space="preserve">common directorship alone, the respondents submit, </w:t>
      </w:r>
      <w:r>
        <w:t xml:space="preserve">is insufficient to establish joint </w:t>
      </w:r>
      <w:r w:rsidR="0008675B">
        <w:t>tortfeasorship</w:t>
      </w:r>
      <w:r>
        <w:t>.  The respondents stress that it is not to the point that Mr Kleyn might attend to the business of both companies from the same office or on the same site visits, or that Mr Kleyn or Mr Scott had business cards with separate corporate logos on the same card.  All that</w:t>
      </w:r>
      <w:r w:rsidR="00D76686">
        <w:t xml:space="preserve"> establishes the respondents contend </w:t>
      </w:r>
      <w:r>
        <w:t xml:space="preserve">is the fact is that there were two separate enterprises conducted by separate companies, each </w:t>
      </w:r>
      <w:r w:rsidR="00D76686">
        <w:t xml:space="preserve">of which was </w:t>
      </w:r>
      <w:r>
        <w:t xml:space="preserve">controlled by Mr Kleyn.  </w:t>
      </w:r>
    </w:p>
    <w:p w:rsidR="00F343EC" w:rsidRDefault="00D83660" w:rsidP="00F343EC">
      <w:pPr>
        <w:pStyle w:val="ParaNumbering"/>
      </w:pPr>
      <w:r>
        <w:t xml:space="preserve">The respondents argue that the weakness of the applicants’ </w:t>
      </w:r>
      <w:r w:rsidR="00FD55B5">
        <w:t xml:space="preserve">position is demonstrated by the emphasis on Mr Kleyn’s </w:t>
      </w:r>
      <w:r w:rsidR="00611B7F">
        <w:t>‘</w:t>
      </w:r>
      <w:r w:rsidR="00FD55B5">
        <w:t>two hats</w:t>
      </w:r>
      <w:r w:rsidR="00611B7F">
        <w:t>’</w:t>
      </w:r>
      <w:r w:rsidR="00FD1CD4">
        <w:t>,</w:t>
      </w:r>
      <w:r w:rsidR="00FD55B5">
        <w:t xml:space="preserve"> </w:t>
      </w:r>
      <w:r w:rsidR="00611B7F">
        <w:t xml:space="preserve">which the respondents say recognises </w:t>
      </w:r>
      <w:r w:rsidR="00FD55B5">
        <w:t>the very point that the respondents make, namely, that there were two entities.  However, to be liable for joint liability in the manner asserted by the applicants, the respondents argue that the evidence must establish that the director has caused or directed a company concerned deliberately, knowingly and willingly to adopt a course of conduct likely to constitute infringement of the patent</w:t>
      </w:r>
      <w:r w:rsidR="00611B7F">
        <w:t>,</w:t>
      </w:r>
      <w:r w:rsidR="00FD55B5">
        <w:t xml:space="preserve"> or that the director was indifferent to the risk of that infringement. </w:t>
      </w:r>
    </w:p>
    <w:p w:rsidR="00FD55B5" w:rsidRDefault="00AE550C" w:rsidP="00F343EC">
      <w:pPr>
        <w:pStyle w:val="ParaNumbering"/>
      </w:pPr>
      <w:r>
        <w:t>There is no basis on the facts in this case, it is argued</w:t>
      </w:r>
      <w:r w:rsidR="00611B7F">
        <w:t xml:space="preserve"> by the respondents</w:t>
      </w:r>
      <w:r>
        <w:t xml:space="preserve">, for a finding that there was any dimension to Mr Kleyn’s role with the corporate respondents which was separate from the good faith discharge of his duties as a director in the service of those companies.  Accepting that Mr Kleyn </w:t>
      </w:r>
      <w:r w:rsidR="00F61C62">
        <w:t xml:space="preserve">is the sole director alone is not sufficient to make him liable with the companies in any way.  There is no evidence, the respondents say, that Mr Kleyn intended and procured that infringement would take place or was indifferent to such matters in the manner described by Jessup J in </w:t>
      </w:r>
      <w:r w:rsidR="00F61C62">
        <w:rPr>
          <w:i/>
        </w:rPr>
        <w:t>Keller</w:t>
      </w:r>
      <w:r w:rsidR="00611B7F">
        <w:t xml:space="preserve"> </w:t>
      </w:r>
      <w:r w:rsidR="00F61C62">
        <w:t xml:space="preserve">and as noted by Nicholas J in </w:t>
      </w:r>
      <w:r w:rsidR="00F61C62">
        <w:rPr>
          <w:i/>
        </w:rPr>
        <w:t>Sporte Leisure</w:t>
      </w:r>
      <w:r w:rsidR="004006E7">
        <w:t xml:space="preserve">. </w:t>
      </w:r>
      <w:r w:rsidR="00F61C62">
        <w:t xml:space="preserve"> </w:t>
      </w:r>
    </w:p>
    <w:p w:rsidR="00F61C62" w:rsidRDefault="00C577C6" w:rsidP="00F343EC">
      <w:pPr>
        <w:pStyle w:val="ParaNumbering"/>
      </w:pPr>
      <w:r>
        <w:lastRenderedPageBreak/>
        <w:t>The respondents argue that Mr Kleyn was</w:t>
      </w:r>
      <w:r w:rsidR="004006E7">
        <w:t>,</w:t>
      </w:r>
      <w:r>
        <w:t xml:space="preserve"> and is</w:t>
      </w:r>
      <w:r w:rsidR="004006E7">
        <w:t>,</w:t>
      </w:r>
      <w:r>
        <w:t xml:space="preserve"> entitled to hold the reasonable view that the applicants </w:t>
      </w:r>
      <w:r w:rsidR="004006E7">
        <w:t xml:space="preserve">had </w:t>
      </w:r>
      <w:r>
        <w:t xml:space="preserve">put forward their best case of patent infringement against the corporate respondents in the earlier </w:t>
      </w:r>
      <w:r w:rsidR="004006E7">
        <w:t>proceeding AMC No 1</w:t>
      </w:r>
      <w:r w:rsidR="00757434">
        <w:t>,</w:t>
      </w:r>
      <w:r w:rsidR="004006E7">
        <w:t xml:space="preserve"> </w:t>
      </w:r>
      <w:r>
        <w:t xml:space="preserve">and </w:t>
      </w:r>
      <w:r w:rsidR="00757434">
        <w:t xml:space="preserve">a single judge and subsequently three </w:t>
      </w:r>
      <w:r>
        <w:t xml:space="preserve">judges of the </w:t>
      </w:r>
      <w:r w:rsidR="00757434">
        <w:t xml:space="preserve">Full </w:t>
      </w:r>
      <w:r>
        <w:t xml:space="preserve">Court </w:t>
      </w:r>
      <w:r w:rsidR="004006E7">
        <w:t xml:space="preserve">in AMC Full Court </w:t>
      </w:r>
      <w:r w:rsidR="00757434">
        <w:t xml:space="preserve">found </w:t>
      </w:r>
      <w:r>
        <w:t xml:space="preserve">that there was no basis </w:t>
      </w:r>
      <w:r w:rsidR="004006E7">
        <w:t xml:space="preserve">to </w:t>
      </w:r>
      <w:r>
        <w:t>those allegation</w:t>
      </w:r>
      <w:r w:rsidR="004006E7">
        <w:t>s.  In fact, on the evidence Mr </w:t>
      </w:r>
      <w:r>
        <w:t xml:space="preserve">Kleyn was only </w:t>
      </w:r>
      <w:r w:rsidR="004006E7">
        <w:t xml:space="preserve">aware </w:t>
      </w:r>
      <w:r>
        <w:t xml:space="preserve">of the existence of the Patents, the subject of these proceedings </w:t>
      </w:r>
      <w:r w:rsidR="004006E7">
        <w:t xml:space="preserve">after 20 October 2011 </w:t>
      </w:r>
      <w:r>
        <w:t xml:space="preserve">and only received correspondence in this matter through his solicitors on 2 November 2011.  As a consequence, Mr Kleyn was properly entitled to continue with the business activities of these companies, notwithstanding any allegations by the applicants of patent infringement.  </w:t>
      </w:r>
      <w:r w:rsidR="004006E7">
        <w:t xml:space="preserve">The respondents say that Mr Kleyn’s </w:t>
      </w:r>
      <w:r>
        <w:t xml:space="preserve">position as a director of the corporate respondents and his position as to ‘non-infringement’ having been upheld by four judges of the Court, means that the Court ‘could not now find’ that Mr Kleyn ‘intended’ and/or procured patent infringement through the corporate respondents or was indifferent to that position.  </w:t>
      </w:r>
    </w:p>
    <w:p w:rsidR="0065106E" w:rsidRDefault="00C074E4" w:rsidP="0065106E">
      <w:pPr>
        <w:pStyle w:val="ParaNumbering"/>
      </w:pPr>
      <w:r>
        <w:t xml:space="preserve">As to </w:t>
      </w:r>
      <w:r w:rsidR="00CD0EBE">
        <w:t>Mr Ross</w:t>
      </w:r>
      <w:r>
        <w:t>’</w:t>
      </w:r>
      <w:r w:rsidR="00CD0EBE">
        <w:t xml:space="preserve"> evidence on financial support provided to Coretell by Mincrest and Kleyn Investments from 2006 onwards, </w:t>
      </w:r>
      <w:r>
        <w:t xml:space="preserve">the respondents say that </w:t>
      </w:r>
      <w:r w:rsidR="00CD0EBE">
        <w:t xml:space="preserve">on the evidence all such support was to keep Coretell viable through a period of significant legal costs caused by the applicants’ past and present legal proceedings.  </w:t>
      </w:r>
      <w:r w:rsidR="004006E7">
        <w:t>The respondents contend that n</w:t>
      </w:r>
      <w:r w:rsidR="00CD0EBE">
        <w:t xml:space="preserve">one of the support was demonstrated by the applicants to be for any operational matters concerning any alleged </w:t>
      </w:r>
      <w:r w:rsidR="007533CF">
        <w:t xml:space="preserve">infringing conduct.  The mere provision of the financial support could rise no higher than </w:t>
      </w:r>
      <w:r w:rsidR="004006E7">
        <w:t>‘</w:t>
      </w:r>
      <w:r w:rsidR="007533CF">
        <w:t>facilitation</w:t>
      </w:r>
      <w:r w:rsidR="004006E7">
        <w:t>’,</w:t>
      </w:r>
      <w:r w:rsidR="007533CF">
        <w:t xml:space="preserve"> which is insufficient to establish the applicants’ case.</w:t>
      </w:r>
    </w:p>
    <w:p w:rsidR="00D50D6B" w:rsidRDefault="00D50D6B" w:rsidP="00D50D6B">
      <w:pPr>
        <w:pStyle w:val="ParaNumbering"/>
      </w:pPr>
      <w:r>
        <w:t xml:space="preserve">The respondents argue that although it is clear that the trust distributions kept Coretell alive by the payment of accruing legal expenses, it is not established on the evidence that the trust distributions </w:t>
      </w:r>
      <w:r w:rsidR="004006E7">
        <w:t xml:space="preserve">assisted </w:t>
      </w:r>
      <w:r>
        <w:t>Coretell’s business activities.  Specifically, it is not established that the asserted infringing conduct was supported by this funding.  The evidence simply supports the conclusion, the respondents argue, that the trust distributions were largely used to fund the past and present legal battle commenced by the applicants and their parent company against Coretell and Mincrest and now also Kleyn Investments.  The distributions to the companies were at times when the companies were being sued</w:t>
      </w:r>
      <w:r w:rsidR="004006E7">
        <w:t>,</w:t>
      </w:r>
      <w:r>
        <w:t xml:space="preserve"> or being threatened with suit</w:t>
      </w:r>
      <w:r w:rsidR="004006E7">
        <w:t>,</w:t>
      </w:r>
      <w:r>
        <w:t xml:space="preserve"> as infringers of the applicants’ Patents and, accordingly, each had an interest in defending its own position as well as the collective position.  The respondents argue that, moreover, Coretell had a direct interest in preserving its core orientation tool business, but </w:t>
      </w:r>
      <w:r w:rsidR="004006E7">
        <w:t xml:space="preserve">as a </w:t>
      </w:r>
      <w:r>
        <w:t xml:space="preserve">consequence </w:t>
      </w:r>
      <w:r w:rsidR="004006E7">
        <w:t xml:space="preserve">of </w:t>
      </w:r>
      <w:r>
        <w:t>the applicants’ demands, Coretell was out of the market for some two years</w:t>
      </w:r>
      <w:r w:rsidR="004006E7">
        <w:t>, during which time it could not</w:t>
      </w:r>
      <w:r>
        <w:t xml:space="preserve"> </w:t>
      </w:r>
      <w:r w:rsidR="004006E7">
        <w:t xml:space="preserve">derive any </w:t>
      </w:r>
      <w:r>
        <w:t xml:space="preserve">revenue by which to defend itself.  </w:t>
      </w:r>
    </w:p>
    <w:p w:rsidR="00D50D6B" w:rsidRDefault="00B81611" w:rsidP="00D50D6B">
      <w:pPr>
        <w:pStyle w:val="ParaNumbering"/>
      </w:pPr>
      <w:r>
        <w:lastRenderedPageBreak/>
        <w:t xml:space="preserve">The respondents rely on the contentions that Mr Ross accepted under cross-examination, </w:t>
      </w:r>
      <w:r w:rsidR="004006E7">
        <w:t xml:space="preserve">namely, </w:t>
      </w:r>
      <w:r>
        <w:t xml:space="preserve">that the trust distributions were essentially tax effective, that is, if the trust distributions </w:t>
      </w:r>
      <w:r w:rsidR="004006E7">
        <w:t xml:space="preserve">had </w:t>
      </w:r>
      <w:r>
        <w:t xml:space="preserve">not </w:t>
      </w:r>
      <w:r w:rsidR="004006E7">
        <w:t xml:space="preserve">been </w:t>
      </w:r>
      <w:r>
        <w:t xml:space="preserve">made, the trust would </w:t>
      </w:r>
      <w:r w:rsidR="004006E7">
        <w:t xml:space="preserve">have been </w:t>
      </w:r>
      <w:r>
        <w:t xml:space="preserve">required to pay tax penalties.  Although his response was guarded on these points, </w:t>
      </w:r>
      <w:r w:rsidR="002727FA">
        <w:t>it is clear that a trading trust, such as Mincrest or Kleyn Investmen</w:t>
      </w:r>
      <w:r w:rsidR="004006E7">
        <w:t xml:space="preserve">ts, would be taxed at the highest </w:t>
      </w:r>
      <w:r w:rsidR="002727FA">
        <w:t xml:space="preserve">rate on any undistributed retained earnings and also the distributions from a trading trust would be liable to tax as income in the hands of the beneficiary, whereas the tax impact could be lessened or negated by allocating expenses and losses.  It was therefore tax affective for Coretell to receive the distributions rather than </w:t>
      </w:r>
      <w:r w:rsidR="004006E7">
        <w:t xml:space="preserve">for </w:t>
      </w:r>
      <w:r w:rsidR="002727FA">
        <w:t>Mr Kleyn to receive them.  Secondly, the respondents contend that Mr Ross conceded that</w:t>
      </w:r>
      <w:r w:rsidR="00095CC5">
        <w:t xml:space="preserve"> the</w:t>
      </w:r>
      <w:r w:rsidR="002727FA">
        <w:t xml:space="preserve"> distributions received largely matched the legal expenses incurred by Coretell</w:t>
      </w:r>
      <w:r w:rsidR="00095CC5">
        <w:t xml:space="preserve">. </w:t>
      </w:r>
      <w:r w:rsidR="002727FA">
        <w:t xml:space="preserve"> </w:t>
      </w:r>
      <w:r w:rsidR="00095CC5">
        <w:t xml:space="preserve">Thirdly, the respondents submit that </w:t>
      </w:r>
      <w:r w:rsidR="002727FA">
        <w:t xml:space="preserve">Coretell would have had some difficulty obtaining </w:t>
      </w:r>
      <w:r w:rsidR="00095CC5">
        <w:t xml:space="preserve">independent </w:t>
      </w:r>
      <w:r w:rsidR="002727FA">
        <w:t xml:space="preserve">financing given </w:t>
      </w:r>
      <w:r w:rsidR="00BA1924">
        <w:t>its financial position</w:t>
      </w:r>
      <w:r w:rsidR="00095CC5">
        <w:t xml:space="preserve">. </w:t>
      </w:r>
      <w:r w:rsidR="00BA1924">
        <w:t xml:space="preserve"> </w:t>
      </w:r>
      <w:r w:rsidR="00095CC5">
        <w:t xml:space="preserve">Fourthly, it is submitted for the respondents that, as </w:t>
      </w:r>
      <w:r w:rsidR="00BA1924">
        <w:t xml:space="preserve">consistent with </w:t>
      </w:r>
      <w:r w:rsidR="00095CC5">
        <w:t xml:space="preserve">Mr Ross’ </w:t>
      </w:r>
      <w:r w:rsidR="00BA1924">
        <w:t>written evidence</w:t>
      </w:r>
      <w:r w:rsidR="00095CC5">
        <w:t>,</w:t>
      </w:r>
      <w:r w:rsidR="00BA1924">
        <w:t xml:space="preserve"> the distributions made commercial sense between a group of related entities.  </w:t>
      </w:r>
    </w:p>
    <w:p w:rsidR="00D071FC" w:rsidRDefault="00D071FC" w:rsidP="00D071FC">
      <w:pPr>
        <w:pStyle w:val="ParaNumbering"/>
      </w:pPr>
      <w:r>
        <w:t>On this topic</w:t>
      </w:r>
      <w:r w:rsidR="00095CC5">
        <w:t>,</w:t>
      </w:r>
      <w:r>
        <w:t xml:space="preserve"> the respondents contend that it is plain from the general ledgers and the financial statements of Coretell that in the financial years 2007 and 2008 Mincrest had made funds available or had paid invoices for services provided by others to Coretell.  These were booked to the Coretell accounts as loans made by Mincrest and over those years had an accumulated carry forward value of $185,000.  </w:t>
      </w:r>
      <w:r w:rsidR="00C0490F">
        <w:t xml:space="preserve">The respondents say that Mr Ross advanced this matter as a separate item of financial support provided by Mincrest to Coretell and further confirmed this position in evidence in chief.  The inference from this evidence, </w:t>
      </w:r>
      <w:r w:rsidR="00095CC5">
        <w:t xml:space="preserve">it is </w:t>
      </w:r>
      <w:r w:rsidR="00C0490F">
        <w:t>argue</w:t>
      </w:r>
      <w:r w:rsidR="00095CC5">
        <w:t>d</w:t>
      </w:r>
      <w:r w:rsidR="00C0490F">
        <w:t xml:space="preserve">, is that the funding was then in two parts, </w:t>
      </w:r>
      <w:r w:rsidR="00095CC5">
        <w:t xml:space="preserve">namely, </w:t>
      </w:r>
      <w:r w:rsidR="00C0490F">
        <w:t>loans in the initial period and</w:t>
      </w:r>
      <w:r w:rsidR="00095CC5">
        <w:t>,</w:t>
      </w:r>
      <w:r w:rsidR="00C0490F">
        <w:t xml:space="preserve"> after that time, trust distributions.  But this evidence was incorrect because Mr Ross properly conceded </w:t>
      </w:r>
      <w:r w:rsidR="00095CC5">
        <w:t xml:space="preserve">in cross-examination </w:t>
      </w:r>
      <w:r w:rsidR="00C0490F">
        <w:t>that the carry forward/accrued loan amounts booked in the Coretell accounts were acquitted by the trust distribution received from Mincrest in the 2008 year</w:t>
      </w:r>
      <w:r w:rsidR="00095CC5">
        <w:t>.  T</w:t>
      </w:r>
      <w:r w:rsidR="00C0490F">
        <w:t xml:space="preserve">herefore the payments initially treated in the ledgers as loans to Coretell were later acquitted by reason of </w:t>
      </w:r>
      <w:r w:rsidR="00095CC5">
        <w:t xml:space="preserve">the </w:t>
      </w:r>
      <w:r w:rsidR="00C0490F">
        <w:t>trust distribution</w:t>
      </w:r>
      <w:r w:rsidR="00095CC5">
        <w:t>s</w:t>
      </w:r>
      <w:r w:rsidR="00C0490F">
        <w:t xml:space="preserve">.  The only funding falling for consideration, therefore, are the trust distributions themselves.  </w:t>
      </w:r>
    </w:p>
    <w:p w:rsidR="00C0490F" w:rsidRDefault="00C0490F" w:rsidP="00C0490F">
      <w:pPr>
        <w:pStyle w:val="ParaNumbering"/>
      </w:pPr>
      <w:r>
        <w:t>Mr Ross’ evidence suggested that Camteq</w:t>
      </w:r>
      <w:r w:rsidR="00095CC5">
        <w:t xml:space="preserve">, that is, Kleyn Investments, </w:t>
      </w:r>
      <w:r>
        <w:t xml:space="preserve">paid Coretell’s expenses in addition to paying trust distributions to Coretell.  That was a theme raised in the cross-examination of Mr Kenny and, in particular, in relation to the 2008/2009 financial years.  The cross-examination was not in accordance with the facts </w:t>
      </w:r>
      <w:r w:rsidR="00095CC5">
        <w:t xml:space="preserve">in the </w:t>
      </w:r>
      <w:r>
        <w:t>accounts and, to that extent, was mischievous according to the respondents.</w:t>
      </w:r>
      <w:r w:rsidR="00095CC5">
        <w:t xml:space="preserve">  </w:t>
      </w:r>
      <w:r w:rsidR="00FF5C4E">
        <w:t xml:space="preserve">The respondents argue that the </w:t>
      </w:r>
      <w:r w:rsidR="00FF5C4E">
        <w:lastRenderedPageBreak/>
        <w:t>asserted entries to which the cross-examination was directed were plainly</w:t>
      </w:r>
      <w:r w:rsidR="00095CC5">
        <w:t xml:space="preserve"> recorded in the general ledger</w:t>
      </w:r>
      <w:r w:rsidR="00FF5C4E">
        <w:t xml:space="preserve"> as accruing loans and were acquitted at the end of the financial year by the associated trust distribution as recorded in financial statements.  </w:t>
      </w:r>
    </w:p>
    <w:p w:rsidR="00FF5C4E" w:rsidRDefault="00330D44" w:rsidP="00C0490F">
      <w:pPr>
        <w:pStyle w:val="ParaNumbering"/>
      </w:pPr>
      <w:r>
        <w:t>The respondents argue that Mr Kenny’s evidence is wholly supported by the financial records which show that:</w:t>
      </w:r>
    </w:p>
    <w:p w:rsidR="00330D44" w:rsidRDefault="00095CC5" w:rsidP="001332BE">
      <w:pPr>
        <w:pStyle w:val="ListNo"/>
        <w:numPr>
          <w:ilvl w:val="0"/>
          <w:numId w:val="40"/>
        </w:numPr>
        <w:tabs>
          <w:tab w:val="clear" w:pos="720"/>
        </w:tabs>
      </w:pPr>
      <w:r>
        <w:t>i</w:t>
      </w:r>
      <w:r w:rsidR="00330D44">
        <w:t>ncremental payments were made as necessary to Coretell on its behalf and were accrued and recorded in the relevant loan account in the general ledger</w:t>
      </w:r>
      <w:r>
        <w:t xml:space="preserve"> (s</w:t>
      </w:r>
      <w:r w:rsidR="00330D44">
        <w:t xml:space="preserve">ee accruals to the </w:t>
      </w:r>
      <w:r>
        <w:t>‘</w:t>
      </w:r>
      <w:r w:rsidR="00330D44">
        <w:t>Camteq loan account</w:t>
      </w:r>
      <w:r>
        <w:t>’</w:t>
      </w:r>
      <w:r w:rsidR="00330D44">
        <w:t xml:space="preserve"> in the 2009 general ledger</w:t>
      </w:r>
      <w:r>
        <w:t>); t</w:t>
      </w:r>
      <w:r w:rsidR="00330D44">
        <w:t>hese accruals record payments to third parties as described, notably a substantial number of payments were stated as being for legal expenses;</w:t>
      </w:r>
    </w:p>
    <w:p w:rsidR="00330D44" w:rsidRDefault="00095CC5" w:rsidP="001332BE">
      <w:pPr>
        <w:pStyle w:val="ListNo"/>
        <w:numPr>
          <w:ilvl w:val="0"/>
          <w:numId w:val="40"/>
        </w:numPr>
        <w:tabs>
          <w:tab w:val="clear" w:pos="720"/>
        </w:tabs>
      </w:pPr>
      <w:r>
        <w:t>t</w:t>
      </w:r>
      <w:r w:rsidR="00330D44">
        <w:t>he loan amount accrued throughout the course of the year as at 30 June 2009 totalled an amount owed to Camteq of $158,507.42</w:t>
      </w:r>
      <w:r>
        <w:t>; t</w:t>
      </w:r>
      <w:r w:rsidR="00330D44">
        <w:t xml:space="preserve">hese amounts </w:t>
      </w:r>
      <w:r>
        <w:t xml:space="preserve">are </w:t>
      </w:r>
      <w:r w:rsidR="00330D44">
        <w:t>plainly recorded as owing from Coretell to Camteq;</w:t>
      </w:r>
    </w:p>
    <w:p w:rsidR="00330D44" w:rsidRDefault="00095CC5" w:rsidP="001332BE">
      <w:pPr>
        <w:pStyle w:val="ListNo"/>
        <w:numPr>
          <w:ilvl w:val="0"/>
          <w:numId w:val="40"/>
        </w:numPr>
        <w:tabs>
          <w:tab w:val="clear" w:pos="720"/>
        </w:tabs>
      </w:pPr>
      <w:r>
        <w:t>a</w:t>
      </w:r>
      <w:r w:rsidR="00330D44">
        <w:t>t the end of the financial year</w:t>
      </w:r>
      <w:r>
        <w:t>,</w:t>
      </w:r>
      <w:r w:rsidR="00330D44">
        <w:t xml:space="preserve"> as recorded in the financial statements, Coretell received as income a trust distribution of $242,127 from the Kleyn Family Trust, according to the 2009 financial statement; and</w:t>
      </w:r>
    </w:p>
    <w:p w:rsidR="00330D44" w:rsidRDefault="00095CC5" w:rsidP="001332BE">
      <w:pPr>
        <w:pStyle w:val="ListNo"/>
        <w:numPr>
          <w:ilvl w:val="0"/>
          <w:numId w:val="40"/>
        </w:numPr>
        <w:tabs>
          <w:tab w:val="clear" w:pos="720"/>
        </w:tabs>
      </w:pPr>
      <w:r>
        <w:t>a</w:t>
      </w:r>
      <w:r w:rsidR="00330D44">
        <w:t xml:space="preserve">s a result of that trust distribution and reconciliation, the Camteq loan account for that year was recorded in the Coretell balance sheet as an asset of $83,357, thereby recording an obligation on Camteq to pay Coretell the further balance of that amount.  </w:t>
      </w:r>
    </w:p>
    <w:p w:rsidR="00330D44" w:rsidRDefault="00944867" w:rsidP="00330D44">
      <w:pPr>
        <w:pStyle w:val="ParaNumbering"/>
      </w:pPr>
      <w:r>
        <w:t xml:space="preserve">The respondents say that Mr Ross should have been aware from the financial statements that the asserted non-cash benefits </w:t>
      </w:r>
      <w:r w:rsidR="00095CC5">
        <w:t xml:space="preserve">where he referred to </w:t>
      </w:r>
      <w:r>
        <w:t>were not amount</w:t>
      </w:r>
      <w:r w:rsidR="00095CC5">
        <w:t>s</w:t>
      </w:r>
      <w:r>
        <w:t xml:space="preserve"> independent of the trust distributions, but were the same amounts separately referred to by him.  The financial statements do not reveal payment of expenses </w:t>
      </w:r>
      <w:r w:rsidRPr="00095CC5">
        <w:rPr>
          <w:b/>
        </w:rPr>
        <w:t>and</w:t>
      </w:r>
      <w:r>
        <w:t xml:space="preserve"> trust distributions, but trust distributions received to </w:t>
      </w:r>
      <w:r w:rsidR="00095CC5">
        <w:t xml:space="preserve">acquit </w:t>
      </w:r>
      <w:r>
        <w:t>a</w:t>
      </w:r>
      <w:r w:rsidR="00095CC5">
        <w:t>c</w:t>
      </w:r>
      <w:r>
        <w:t>cumulating loan a</w:t>
      </w:r>
      <w:r w:rsidR="00095CC5">
        <w:t>m</w:t>
      </w:r>
      <w:r>
        <w:t xml:space="preserve">ounts caused by the earlier payment of cash to Coretell and at times, expenses paid on behalf of Coretell.  The </w:t>
      </w:r>
      <w:r w:rsidR="00095CC5">
        <w:t xml:space="preserve">respondents submit that the </w:t>
      </w:r>
      <w:r>
        <w:t xml:space="preserve">amounts are not cumulative, </w:t>
      </w:r>
      <w:r w:rsidR="00095CC5">
        <w:t xml:space="preserve">rather, they </w:t>
      </w:r>
      <w:r>
        <w:t xml:space="preserve">are individual aspects of the same transactional activities.  </w:t>
      </w:r>
    </w:p>
    <w:p w:rsidR="00A842FC" w:rsidRDefault="001A6C13" w:rsidP="00A842FC">
      <w:pPr>
        <w:pStyle w:val="ParaNumbering"/>
      </w:pPr>
      <w:r>
        <w:t>I will discuss this further below, but there was cro</w:t>
      </w:r>
      <w:r w:rsidR="008B752D">
        <w:t>ss-examination of Mr Kenny on this topic</w:t>
      </w:r>
      <w:r w:rsidR="00B630D0">
        <w:t>.  T</w:t>
      </w:r>
      <w:r w:rsidR="008B752D">
        <w:t xml:space="preserve">he respondents submit </w:t>
      </w:r>
      <w:r w:rsidR="00B630D0">
        <w:t xml:space="preserve">that </w:t>
      </w:r>
      <w:r w:rsidR="008B752D">
        <w:t>it was based on either a mistake</w:t>
      </w:r>
      <w:r w:rsidR="00B630D0">
        <w:t>n</w:t>
      </w:r>
      <w:r w:rsidR="008B752D">
        <w:t xml:space="preserve"> or misrepresented position.  This was </w:t>
      </w:r>
      <w:r w:rsidR="002467BA">
        <w:t>said to arise from the snap shot</w:t>
      </w:r>
      <w:r w:rsidR="008B752D">
        <w:t xml:space="preserve"> financial statements of Coretell and Kleyn </w:t>
      </w:r>
      <w:r w:rsidR="008B752D">
        <w:lastRenderedPageBreak/>
        <w:t xml:space="preserve">Investments put to </w:t>
      </w:r>
      <w:r w:rsidR="00B630D0">
        <w:t>Mr Kenny during cross-examination</w:t>
      </w:r>
      <w:r w:rsidR="008B752D">
        <w:t>.  The cross-examination proceeded on the basis that:</w:t>
      </w:r>
    </w:p>
    <w:p w:rsidR="008B752D" w:rsidRDefault="00B630D0" w:rsidP="001332BE">
      <w:pPr>
        <w:pStyle w:val="ListNo"/>
        <w:numPr>
          <w:ilvl w:val="0"/>
          <w:numId w:val="41"/>
        </w:numPr>
        <w:tabs>
          <w:tab w:val="clear" w:pos="720"/>
        </w:tabs>
      </w:pPr>
      <w:r>
        <w:t>i</w:t>
      </w:r>
      <w:r w:rsidR="008B752D">
        <w:t>n 2011, Coretell had a turnover of $989,800;</w:t>
      </w:r>
    </w:p>
    <w:p w:rsidR="008B752D" w:rsidRDefault="00B630D0" w:rsidP="001332BE">
      <w:pPr>
        <w:pStyle w:val="ListNo"/>
        <w:numPr>
          <w:ilvl w:val="0"/>
          <w:numId w:val="41"/>
        </w:numPr>
        <w:tabs>
          <w:tab w:val="clear" w:pos="720"/>
        </w:tabs>
      </w:pPr>
      <w:r>
        <w:t>i</w:t>
      </w:r>
      <w:r w:rsidR="008B752D">
        <w:t xml:space="preserve">n the same year, minimal operating expenses of around $15,000 </w:t>
      </w:r>
      <w:r>
        <w:t xml:space="preserve">were </w:t>
      </w:r>
      <w:r w:rsidR="008B752D">
        <w:t>incurred by Coretell by excluding legal expenses of about $70,000 and rent of about $24,000;</w:t>
      </w:r>
    </w:p>
    <w:p w:rsidR="008B752D" w:rsidRDefault="00B630D0" w:rsidP="001332BE">
      <w:pPr>
        <w:pStyle w:val="ListNo"/>
        <w:numPr>
          <w:ilvl w:val="0"/>
          <w:numId w:val="41"/>
        </w:numPr>
        <w:tabs>
          <w:tab w:val="clear" w:pos="720"/>
        </w:tabs>
      </w:pPr>
      <w:r>
        <w:t>i</w:t>
      </w:r>
      <w:r w:rsidR="008B752D">
        <w:t>n that year, Kleyn Investments had a turnover of $1,457,911;</w:t>
      </w:r>
    </w:p>
    <w:p w:rsidR="008B752D" w:rsidRDefault="00B630D0" w:rsidP="001332BE">
      <w:pPr>
        <w:pStyle w:val="ListNo"/>
        <w:numPr>
          <w:ilvl w:val="0"/>
          <w:numId w:val="41"/>
        </w:numPr>
        <w:tabs>
          <w:tab w:val="clear" w:pos="720"/>
        </w:tabs>
      </w:pPr>
      <w:r>
        <w:t>i</w:t>
      </w:r>
      <w:r w:rsidR="008B752D">
        <w:t>n that year, substantial expenses of around $1 million were incurred by Kleyn Investments, which included rent; and</w:t>
      </w:r>
    </w:p>
    <w:p w:rsidR="008B752D" w:rsidRDefault="00B630D0" w:rsidP="001332BE">
      <w:pPr>
        <w:pStyle w:val="ListNo"/>
        <w:numPr>
          <w:ilvl w:val="0"/>
          <w:numId w:val="41"/>
        </w:numPr>
        <w:tabs>
          <w:tab w:val="clear" w:pos="720"/>
        </w:tabs>
      </w:pPr>
      <w:r>
        <w:t>a</w:t>
      </w:r>
      <w:r w:rsidR="008B752D">
        <w:t>ccordingly, Coretell had a ‘</w:t>
      </w:r>
      <w:r w:rsidR="00747776">
        <w:t>stellar</w:t>
      </w:r>
      <w:r w:rsidR="008B752D">
        <w:t>’ performance compared to Kleyn Investments.</w:t>
      </w:r>
    </w:p>
    <w:p w:rsidR="008B752D" w:rsidRDefault="005439D5" w:rsidP="008B752D">
      <w:pPr>
        <w:pStyle w:val="ParaNumbering"/>
      </w:pPr>
      <w:r>
        <w:t>The respondents argue that this was a false basis on which to proceed because those assumptions in the cross-examination did not compare like with like, in that:</w:t>
      </w:r>
    </w:p>
    <w:p w:rsidR="005439D5" w:rsidRDefault="005439D5" w:rsidP="001332BE">
      <w:pPr>
        <w:pStyle w:val="ListNo"/>
        <w:numPr>
          <w:ilvl w:val="0"/>
          <w:numId w:val="42"/>
        </w:numPr>
        <w:tabs>
          <w:tab w:val="clear" w:pos="720"/>
        </w:tabs>
      </w:pPr>
      <w:r>
        <w:t xml:space="preserve">raw materials and consumables for Kleyn Investments of $536,384 </w:t>
      </w:r>
      <w:r w:rsidR="00B630D0">
        <w:t xml:space="preserve">were included </w:t>
      </w:r>
      <w:r>
        <w:t>as part of the expenses for Kleyn Investments; and</w:t>
      </w:r>
    </w:p>
    <w:p w:rsidR="005439D5" w:rsidRDefault="005439D5" w:rsidP="001332BE">
      <w:pPr>
        <w:pStyle w:val="ListNo"/>
        <w:numPr>
          <w:ilvl w:val="0"/>
          <w:numId w:val="42"/>
        </w:numPr>
        <w:tabs>
          <w:tab w:val="clear" w:pos="720"/>
        </w:tabs>
      </w:pPr>
      <w:r>
        <w:t xml:space="preserve">costs of sales purchases of $408,812 </w:t>
      </w:r>
      <w:r w:rsidR="00B630D0">
        <w:t xml:space="preserve">were wrongly excluded </w:t>
      </w:r>
      <w:r>
        <w:t xml:space="preserve">from the operating expenses of Coretell.  </w:t>
      </w:r>
    </w:p>
    <w:p w:rsidR="005439D5" w:rsidRDefault="00FD66B5" w:rsidP="005439D5">
      <w:pPr>
        <w:pStyle w:val="ParaNumbering"/>
      </w:pPr>
      <w:r>
        <w:t xml:space="preserve">Thus, </w:t>
      </w:r>
      <w:r w:rsidR="006301E8">
        <w:t xml:space="preserve">the respondents argue, </w:t>
      </w:r>
      <w:r>
        <w:t>the propositions put to Mr Kenny excluded a substantial part of Coretell’s business costs but did not exclude any equivalent substantial part of the Kleyn Investments’ business costs.  With a proper comparison, the respondents argue</w:t>
      </w:r>
      <w:r w:rsidR="006301E8">
        <w:t>,</w:t>
      </w:r>
      <w:r>
        <w:t xml:space="preserve"> the higher turnover business, Kleyn Investments, had</w:t>
      </w:r>
      <w:r w:rsidR="006301E8">
        <w:t xml:space="preserve"> the higher expenses.  Nonethe</w:t>
      </w:r>
      <w:r>
        <w:t xml:space="preserve">less, both businesses had substantial expenses.  </w:t>
      </w:r>
    </w:p>
    <w:p w:rsidR="006301E8" w:rsidRDefault="00036F6A" w:rsidP="005439D5">
      <w:pPr>
        <w:pStyle w:val="ParaNumbering"/>
      </w:pPr>
      <w:r>
        <w:t>The respondents say that</w:t>
      </w:r>
      <w:r w:rsidR="00BA4241">
        <w:t>,</w:t>
      </w:r>
      <w:r>
        <w:t xml:space="preserve"> properly understood, both companies reflected similar profits of about $400,000, but the major difference in the cost base between them was the lack of employment expenditure for 2011 by Coretell.  </w:t>
      </w:r>
      <w:r w:rsidR="00AB08F0">
        <w:t xml:space="preserve">The reason for that lack of employment expenditure was to do with the different operating bases of the businesses.  In essence, a large difference was due to the fact that Coretell was a much simpler business.  Unlike Kleyn Investments, it does not manufacture the component parts of the products, which it hires.  Consequently, its cost of goods sold incorporates a great deal of </w:t>
      </w:r>
      <w:r w:rsidR="006301E8">
        <w:t xml:space="preserve">the </w:t>
      </w:r>
      <w:r w:rsidR="00AB08F0">
        <w:t>labour component for the product</w:t>
      </w:r>
      <w:r w:rsidR="006301E8">
        <w:t>s</w:t>
      </w:r>
      <w:r w:rsidR="00AB08F0">
        <w:t xml:space="preserve"> dealt with by Coretell.  </w:t>
      </w:r>
    </w:p>
    <w:p w:rsidR="00FD66B5" w:rsidRDefault="00AB08F0" w:rsidP="005439D5">
      <w:pPr>
        <w:pStyle w:val="ParaNumbering"/>
      </w:pPr>
      <w:r>
        <w:t xml:space="preserve">Further, in his cross-examination, Mr Kleyn noted that Mincrest had provided start-up financial support in the early development of the core orientation tool.  </w:t>
      </w:r>
      <w:r w:rsidR="006301E8">
        <w:t xml:space="preserve">This </w:t>
      </w:r>
      <w:r>
        <w:t xml:space="preserve">was prior to the </w:t>
      </w:r>
      <w:r>
        <w:lastRenderedPageBreak/>
        <w:t xml:space="preserve">commencement of the subsequent Coretell business activities and occurred at a time when the proprietary rights </w:t>
      </w:r>
      <w:r w:rsidR="006301E8">
        <w:t xml:space="preserve">in </w:t>
      </w:r>
      <w:r>
        <w:t xml:space="preserve">the core orientation tool remained with Mincrest.  </w:t>
      </w:r>
      <w:r w:rsidR="006301E8">
        <w:t xml:space="preserve">The respondents submit that this </w:t>
      </w:r>
      <w:r>
        <w:t xml:space="preserve">has no bearing upon the evidence by Mr Ross as to the claims of financial support between the entities or of any joint tortfeasorship.  </w:t>
      </w:r>
    </w:p>
    <w:p w:rsidR="00AB08F0" w:rsidRDefault="00D83E81" w:rsidP="005439D5">
      <w:pPr>
        <w:pStyle w:val="ParaNumbering"/>
      </w:pPr>
      <w:r>
        <w:t xml:space="preserve">The respondents argue that any claim of financial support is weak.  The primary support provided by </w:t>
      </w:r>
      <w:r w:rsidR="006301E8">
        <w:t xml:space="preserve">the </w:t>
      </w:r>
      <w:r>
        <w:t>other corporate respondents to Coretell was simply in the form of financial assistance on a tax effective basis to both entities in each instance to cover the large legal expenses being paid by Coretell as a result of</w:t>
      </w:r>
      <w:r w:rsidR="006301E8">
        <w:t xml:space="preserve"> the applicants’ commencement of</w:t>
      </w:r>
      <w:r>
        <w:t xml:space="preserve"> proceedings.  </w:t>
      </w:r>
      <w:r w:rsidR="006301E8">
        <w:t xml:space="preserve">According to the respondents, that </w:t>
      </w:r>
      <w:r>
        <w:t xml:space="preserve">sort of support cannot be relied upon to establish some joint engagement in the venture of supplying core orientation tools or some common design to do so.  </w:t>
      </w:r>
    </w:p>
    <w:p w:rsidR="00966511" w:rsidRDefault="00C44E7B" w:rsidP="00966511">
      <w:pPr>
        <w:pStyle w:val="ParaNumbering"/>
      </w:pPr>
      <w:r>
        <w:t>While t</w:t>
      </w:r>
      <w:r w:rsidR="00966511">
        <w:t xml:space="preserve">he applicants contend that employment support </w:t>
      </w:r>
      <w:r w:rsidR="006301E8">
        <w:t xml:space="preserve">has been </w:t>
      </w:r>
      <w:r w:rsidR="00966511">
        <w:t xml:space="preserve">provided to Coretell, noting that Coretell did not incur wage expenses for the period considered </w:t>
      </w:r>
      <w:r w:rsidR="006301E8">
        <w:t xml:space="preserve">in Mr </w:t>
      </w:r>
      <w:r w:rsidR="00966511">
        <w:t>Ross</w:t>
      </w:r>
      <w:r w:rsidR="006301E8">
        <w:t>’</w:t>
      </w:r>
      <w:r w:rsidR="00966511">
        <w:t xml:space="preserve"> </w:t>
      </w:r>
      <w:r w:rsidR="006301E8">
        <w:t>evidence</w:t>
      </w:r>
      <w:r w:rsidR="00555903">
        <w:t>,</w:t>
      </w:r>
      <w:r w:rsidR="00C379DF">
        <w:t xml:space="preserve"> t</w:t>
      </w:r>
      <w:r w:rsidR="00966511">
        <w:t xml:space="preserve">he respondents say that the 2013 accounts make it clear that that is not the current position.  Again, they stress that Coretell is a much simpler business operation than the Camteq </w:t>
      </w:r>
      <w:r w:rsidR="006301E8">
        <w:t>c</w:t>
      </w:r>
      <w:r w:rsidR="00966511">
        <w:t>amera business</w:t>
      </w:r>
      <w:r w:rsidR="006301E8">
        <w:t>, that is, Kleyn Investments,</w:t>
      </w:r>
      <w:r w:rsidR="00966511">
        <w:t xml:space="preserve"> and does not require significant permanent wage costs.  Much of Coretell’s work </w:t>
      </w:r>
      <w:r w:rsidR="006301E8">
        <w:t xml:space="preserve">has been </w:t>
      </w:r>
      <w:r w:rsidR="00966511">
        <w:t>performed by Mr</w:t>
      </w:r>
      <w:r w:rsidR="006301E8">
        <w:t xml:space="preserve"> Kleyn or his family.  Over time,</w:t>
      </w:r>
      <w:r w:rsidR="00966511">
        <w:t xml:space="preserve"> intermittent paid labour has been provided as required from available employees of either Mincrest or Kleyn Investments.  There </w:t>
      </w:r>
      <w:r w:rsidR="00436E02">
        <w:t>are</w:t>
      </w:r>
      <w:r w:rsidR="00966511">
        <w:t xml:space="preserve"> no ongoing permanent staff in Coretell.  </w:t>
      </w:r>
    </w:p>
    <w:p w:rsidR="00966511" w:rsidRDefault="00436E02" w:rsidP="00966511">
      <w:pPr>
        <w:pStyle w:val="ParaNumbering"/>
      </w:pPr>
      <w:r>
        <w:t>Consistent with this, the respondents say:</w:t>
      </w:r>
    </w:p>
    <w:p w:rsidR="00436E02" w:rsidRDefault="00436E02" w:rsidP="001332BE">
      <w:pPr>
        <w:pStyle w:val="ListNo"/>
        <w:numPr>
          <w:ilvl w:val="0"/>
          <w:numId w:val="43"/>
        </w:numPr>
        <w:tabs>
          <w:tab w:val="clear" w:pos="720"/>
        </w:tabs>
      </w:pPr>
      <w:r>
        <w:t>Coretell had limited business from the period in late-2006 to mid-2007 and was dormant</w:t>
      </w:r>
      <w:r w:rsidR="006301E8">
        <w:t xml:space="preserve">, </w:t>
      </w:r>
      <w:r>
        <w:t>as far as business dealings were concerned</w:t>
      </w:r>
      <w:r w:rsidR="006301E8">
        <w:t>,</w:t>
      </w:r>
      <w:r>
        <w:t xml:space="preserve"> from mid-2007 to early-2009</w:t>
      </w:r>
      <w:r w:rsidR="006301E8">
        <w:t>;</w:t>
      </w:r>
      <w:r>
        <w:t xml:space="preserve">  Mr Kleyn ran the business and did what work was required;</w:t>
      </w:r>
    </w:p>
    <w:p w:rsidR="00436E02" w:rsidRDefault="00436E02" w:rsidP="001332BE">
      <w:pPr>
        <w:pStyle w:val="ListNo"/>
        <w:numPr>
          <w:ilvl w:val="0"/>
          <w:numId w:val="43"/>
        </w:numPr>
        <w:tabs>
          <w:tab w:val="clear" w:pos="720"/>
        </w:tabs>
      </w:pPr>
      <w:r>
        <w:t xml:space="preserve">Coretell’s business was extremely simple, mostly </w:t>
      </w:r>
      <w:r w:rsidR="006301E8">
        <w:t xml:space="preserve">relying </w:t>
      </w:r>
      <w:r>
        <w:t xml:space="preserve">on purchasing, sub-contracted components, rather than manufacturing the </w:t>
      </w:r>
      <w:r w:rsidR="006301E8">
        <w:t>core orientation tools directly;</w:t>
      </w:r>
      <w:r>
        <w:t xml:space="preserve"> </w:t>
      </w:r>
      <w:r w:rsidR="006301E8">
        <w:t>i</w:t>
      </w:r>
      <w:r>
        <w:t xml:space="preserve">t was a much simpler business than the Camteq </w:t>
      </w:r>
      <w:r w:rsidR="006301E8">
        <w:t>c</w:t>
      </w:r>
      <w:r>
        <w:t>ameral business;</w:t>
      </w:r>
    </w:p>
    <w:p w:rsidR="00436E02" w:rsidRDefault="006301E8" w:rsidP="001332BE">
      <w:pPr>
        <w:pStyle w:val="ListNo"/>
        <w:numPr>
          <w:ilvl w:val="0"/>
          <w:numId w:val="43"/>
        </w:numPr>
        <w:tabs>
          <w:tab w:val="clear" w:pos="720"/>
        </w:tabs>
      </w:pPr>
      <w:r>
        <w:t>b</w:t>
      </w:r>
      <w:r w:rsidR="006B67FE">
        <w:t>roken core orientation tools are disposed of</w:t>
      </w:r>
      <w:r>
        <w:t>,</w:t>
      </w:r>
      <w:r w:rsidR="006B67FE">
        <w:t xml:space="preserve"> </w:t>
      </w:r>
      <w:r>
        <w:t xml:space="preserve">whereas </w:t>
      </w:r>
      <w:r w:rsidR="006B67FE">
        <w:t>cameras are repaired;</w:t>
      </w:r>
    </w:p>
    <w:p w:rsidR="006B67FE" w:rsidRDefault="006301E8" w:rsidP="001332BE">
      <w:pPr>
        <w:pStyle w:val="ListNo"/>
        <w:numPr>
          <w:ilvl w:val="0"/>
          <w:numId w:val="43"/>
        </w:numPr>
        <w:tabs>
          <w:tab w:val="clear" w:pos="720"/>
        </w:tabs>
      </w:pPr>
      <w:r>
        <w:t>t</w:t>
      </w:r>
      <w:r w:rsidR="006B67FE">
        <w:t xml:space="preserve">he Camteq </w:t>
      </w:r>
      <w:r>
        <w:t>camera business charged</w:t>
      </w:r>
      <w:r w:rsidR="006B67FE">
        <w:t xml:space="preserve"> management fees to Coretell for work by employees</w:t>
      </w:r>
      <w:r>
        <w:t xml:space="preserve"> of Kleyn Investments</w:t>
      </w:r>
      <w:r w:rsidR="006B67FE">
        <w:t>; and</w:t>
      </w:r>
    </w:p>
    <w:p w:rsidR="006B67FE" w:rsidRDefault="006301E8" w:rsidP="001332BE">
      <w:pPr>
        <w:pStyle w:val="ListNo"/>
        <w:numPr>
          <w:ilvl w:val="0"/>
          <w:numId w:val="43"/>
        </w:numPr>
        <w:tabs>
          <w:tab w:val="clear" w:pos="720"/>
        </w:tabs>
      </w:pPr>
      <w:r>
        <w:lastRenderedPageBreak/>
        <w:t>n</w:t>
      </w:r>
      <w:r w:rsidR="006B67FE">
        <w:t>otwithstanding that no management fees were charged in 2010-2011 and 2011-2012, there was a charge during 2012-2013</w:t>
      </w:r>
      <w:r>
        <w:t>,</w:t>
      </w:r>
      <w:r w:rsidR="006B67FE">
        <w:t xml:space="preserve"> in addition to Coretell paying its own wages for the period of Mr Scott’s employment.</w:t>
      </w:r>
    </w:p>
    <w:p w:rsidR="00FD66B5" w:rsidRDefault="00EA63C9" w:rsidP="005439D5">
      <w:pPr>
        <w:pStyle w:val="ParaNumbering"/>
      </w:pPr>
      <w:r>
        <w:t xml:space="preserve">The respondents contend </w:t>
      </w:r>
      <w:r w:rsidR="006301E8">
        <w:t xml:space="preserve">that </w:t>
      </w:r>
      <w:r>
        <w:t xml:space="preserve">there is no evidence to suggest </w:t>
      </w:r>
      <w:r w:rsidR="006301E8">
        <w:t xml:space="preserve">that </w:t>
      </w:r>
      <w:r>
        <w:t>the management fees as paid to date do not accurately reflect the value of the intermittent paid labour provided in this manner</w:t>
      </w:r>
      <w:r w:rsidR="006301E8">
        <w:t>,</w:t>
      </w:r>
      <w:r>
        <w:t xml:space="preserve"> and that the attack by the applicants is artificial.  </w:t>
      </w:r>
    </w:p>
    <w:p w:rsidR="00EA63C9" w:rsidRDefault="00E51E2A" w:rsidP="005439D5">
      <w:pPr>
        <w:pStyle w:val="ParaNumbering"/>
      </w:pPr>
      <w:r>
        <w:t>In any event, the respondents submit that the provision of intermittent paid labour from Camteq</w:t>
      </w:r>
      <w:r w:rsidR="006301E8">
        <w:t>,</w:t>
      </w:r>
      <w:r>
        <w:t xml:space="preserve"> rather than some independent third party</w:t>
      </w:r>
      <w:r w:rsidR="006301E8">
        <w:t>,</w:t>
      </w:r>
      <w:r>
        <w:t xml:space="preserve"> does not provide factual support for </w:t>
      </w:r>
      <w:r w:rsidR="006301E8">
        <w:t>the</w:t>
      </w:r>
      <w:r>
        <w:t xml:space="preserve"> allegation that the provider of the labour, whether it be Camteq or such a third party, is relevantly complicit in the activities of Coretell</w:t>
      </w:r>
      <w:r w:rsidR="00496BFE">
        <w:t xml:space="preserve">.  At the most basic level, issues of vicarious liability must arise.  </w:t>
      </w:r>
      <w:r w:rsidR="006301E8">
        <w:t xml:space="preserve">The respondents allege that the </w:t>
      </w:r>
      <w:r w:rsidR="00496BFE">
        <w:t xml:space="preserve">position is a long way removed from any probative material supporting any joint tortfeasorship finding against the corporate respondents or Mr Kleyn.  </w:t>
      </w:r>
    </w:p>
    <w:p w:rsidR="00496BFE" w:rsidRDefault="00C0363C" w:rsidP="005439D5">
      <w:pPr>
        <w:pStyle w:val="ParaNumbering"/>
      </w:pPr>
      <w:r>
        <w:t xml:space="preserve">Other activity and support to which Mr Ross points include rent and sundry expenses.  In relation to rent, Coretell was engaged in limited or no business activity for a substantial period between </w:t>
      </w:r>
      <w:r w:rsidR="003877C3">
        <w:t xml:space="preserve">the </w:t>
      </w:r>
      <w:r>
        <w:t>receipt of the threats by the applicants in early 2009</w:t>
      </w:r>
      <w:r w:rsidR="003877C3">
        <w:t xml:space="preserve">. </w:t>
      </w:r>
      <w:r>
        <w:t xml:space="preserve"> </w:t>
      </w:r>
      <w:r w:rsidR="003877C3">
        <w:t xml:space="preserve">The respondents argue that accordingly Coretell </w:t>
      </w:r>
      <w:r>
        <w:t xml:space="preserve">can be expected </w:t>
      </w:r>
      <w:r w:rsidR="003877C3">
        <w:t xml:space="preserve">to have taken </w:t>
      </w:r>
      <w:r>
        <w:t xml:space="preserve">up minimal space and to </w:t>
      </w:r>
      <w:r w:rsidR="003877C3">
        <w:t xml:space="preserve">have been required to </w:t>
      </w:r>
      <w:r>
        <w:t>pay minimal rent in that period.</w:t>
      </w:r>
    </w:p>
    <w:p w:rsidR="00C0363C" w:rsidRDefault="008C465B" w:rsidP="005439D5">
      <w:pPr>
        <w:pStyle w:val="ParaNumbering"/>
      </w:pPr>
      <w:r>
        <w:t xml:space="preserve">During the period from early-2009 until September 2010, both </w:t>
      </w:r>
      <w:r w:rsidR="003877C3">
        <w:t xml:space="preserve">of </w:t>
      </w:r>
      <w:r>
        <w:t xml:space="preserve">the Coretell and Camteq businesses operated from Mr Kleyn’s domestic premises.  </w:t>
      </w:r>
      <w:r w:rsidR="00C42A07">
        <w:t>The respondents say that the n</w:t>
      </w:r>
      <w:r>
        <w:t xml:space="preserve">on-payment of rent by either entity would simply </w:t>
      </w:r>
      <w:r w:rsidR="00C42A07">
        <w:t xml:space="preserve">have been </w:t>
      </w:r>
      <w:r>
        <w:t xml:space="preserve">commercially prudent, </w:t>
      </w:r>
      <w:r w:rsidR="00C42A07">
        <w:t xml:space="preserve">and </w:t>
      </w:r>
      <w:r>
        <w:t xml:space="preserve">does not establish any financial support being provided one way or </w:t>
      </w:r>
      <w:r w:rsidR="00C42A07">
        <w:t>the other</w:t>
      </w:r>
      <w:r>
        <w:t>.</w:t>
      </w:r>
    </w:p>
    <w:p w:rsidR="008C465B" w:rsidRDefault="00C42A07" w:rsidP="005439D5">
      <w:pPr>
        <w:pStyle w:val="ParaNumbering"/>
      </w:pPr>
      <w:r>
        <w:t xml:space="preserve">With respect to </w:t>
      </w:r>
      <w:r w:rsidR="008C465B">
        <w:t xml:space="preserve">Coretell and the Camteq business moving to the Maddington Warehouse, each shared the liability for </w:t>
      </w:r>
      <w:r>
        <w:t xml:space="preserve">a </w:t>
      </w:r>
      <w:r w:rsidR="008C465B">
        <w:t>half share of the rent.  The rent liability for Coretell was plainly recognised in the accounts</w:t>
      </w:r>
      <w:r>
        <w:t>,</w:t>
      </w:r>
      <w:r w:rsidR="008C465B">
        <w:t xml:space="preserve"> and as at the date of the </w:t>
      </w:r>
      <w:r>
        <w:t xml:space="preserve">evidence given by </w:t>
      </w:r>
      <w:r w:rsidR="008C465B">
        <w:t>Mr Ross, Coretell had made payments for 21 out of the 24 month</w:t>
      </w:r>
      <w:r>
        <w:t xml:space="preserve">s, </w:t>
      </w:r>
      <w:r w:rsidR="008C465B">
        <w:t>and had booked a continued and acc</w:t>
      </w:r>
      <w:r>
        <w:t>rued liability for three months of</w:t>
      </w:r>
      <w:r w:rsidR="008C465B">
        <w:t xml:space="preserve"> rent.</w:t>
      </w:r>
    </w:p>
    <w:p w:rsidR="008C465B" w:rsidRDefault="008C465B" w:rsidP="005439D5">
      <w:pPr>
        <w:pStyle w:val="ParaNumbering"/>
      </w:pPr>
      <w:r>
        <w:t xml:space="preserve">In relation to sundry expenses referred to by Mr Ross, they are </w:t>
      </w:r>
      <w:r w:rsidR="00C42A07">
        <w:t xml:space="preserve">argued to be </w:t>
      </w:r>
      <w:r>
        <w:t xml:space="preserve">trifling </w:t>
      </w:r>
      <w:r w:rsidR="00C42A07">
        <w:t xml:space="preserve">in the context, </w:t>
      </w:r>
      <w:r>
        <w:t xml:space="preserve">and in no way could support </w:t>
      </w:r>
      <w:r w:rsidR="00C42A07">
        <w:t xml:space="preserve">the alleged </w:t>
      </w:r>
      <w:r>
        <w:t>joint tortfeasorship</w:t>
      </w:r>
      <w:r w:rsidR="00C42A07">
        <w:t xml:space="preserve"> claim</w:t>
      </w:r>
      <w:r>
        <w:t>.</w:t>
      </w:r>
    </w:p>
    <w:p w:rsidR="00817668" w:rsidRDefault="00817668" w:rsidP="008C465B">
      <w:pPr>
        <w:pStyle w:val="ParaNumbering"/>
      </w:pPr>
      <w:r>
        <w:t xml:space="preserve">The applicants refer to the sharing of premises at the Maddington Warehouse by the Coretell and Camteq businesses.  </w:t>
      </w:r>
      <w:r w:rsidR="00C42A07">
        <w:t>T</w:t>
      </w:r>
      <w:r w:rsidR="00E24D21">
        <w:t xml:space="preserve">he existence of the two separate businesses within the </w:t>
      </w:r>
      <w:r w:rsidR="00E24D21">
        <w:lastRenderedPageBreak/>
        <w:t xml:space="preserve">space is plainly stated on the external signage and the existence of the two separate businesses has been well recognised for a long time, including by the applicants’ principal witness on the topic, Mr Budiselic, </w:t>
      </w:r>
      <w:r w:rsidR="00523A43">
        <w:t xml:space="preserve">during cross-examination.  This was </w:t>
      </w:r>
      <w:r w:rsidR="00E24D21">
        <w:t xml:space="preserve">contrary to his original evidence.  </w:t>
      </w:r>
    </w:p>
    <w:p w:rsidR="00AA679F" w:rsidRDefault="00AA679F" w:rsidP="008C465B">
      <w:pPr>
        <w:pStyle w:val="ParaNumbering"/>
      </w:pPr>
      <w:r>
        <w:t>The applicants also appear to rely upon the evidence from a ‘trap’ telephone call</w:t>
      </w:r>
      <w:r w:rsidR="00523A43">
        <w:t xml:space="preserve">. </w:t>
      </w:r>
      <w:r>
        <w:t xml:space="preserve"> </w:t>
      </w:r>
      <w:r w:rsidR="00523A43">
        <w:t>Mr </w:t>
      </w:r>
      <w:r>
        <w:t xml:space="preserve">Coleman, </w:t>
      </w:r>
      <w:r w:rsidR="00523A43">
        <w:t xml:space="preserve">a </w:t>
      </w:r>
      <w:r>
        <w:t xml:space="preserve">solicitor, deposed to calling </w:t>
      </w:r>
      <w:r w:rsidR="00523A43">
        <w:t xml:space="preserve">the </w:t>
      </w:r>
      <w:r>
        <w:t>Camteq business number and asking a number of questions about the business structure and core orientation tools</w:t>
      </w:r>
      <w:r w:rsidR="00523A43">
        <w:t>.  H</w:t>
      </w:r>
      <w:r>
        <w:t xml:space="preserve">e was </w:t>
      </w:r>
      <w:r w:rsidR="00523A43">
        <w:t xml:space="preserve">informed, correctly according to the respondents, </w:t>
      </w:r>
      <w:r>
        <w:t>that he had called the Camteq line, rather than the Coretell lin</w:t>
      </w:r>
      <w:r w:rsidR="00051A97">
        <w:t>e and that ‘Camteq does the Pro</w:t>
      </w:r>
      <w:r>
        <w:t>Shot Survey Camera and Coretel</w:t>
      </w:r>
      <w:r w:rsidR="00051A97">
        <w:t>l does the orientation stuff … b</w:t>
      </w:r>
      <w:r>
        <w:t xml:space="preserve">ut we are the same people’.  </w:t>
      </w:r>
      <w:r w:rsidR="007B75CA">
        <w:t xml:space="preserve">The respondents say the information </w:t>
      </w:r>
      <w:r w:rsidR="00051A97">
        <w:t xml:space="preserve">that Mr Coleman said that </w:t>
      </w:r>
      <w:r w:rsidR="007B75CA">
        <w:t>he received was entirely consistent with the operation of the two separate businesses from the Maddington Warehouse premises</w:t>
      </w:r>
      <w:r w:rsidR="00051A97">
        <w:t>,</w:t>
      </w:r>
      <w:r w:rsidR="007B75CA">
        <w:t xml:space="preserve"> and the entirety of the evidence given by th</w:t>
      </w:r>
      <w:r w:rsidR="007E4AE4">
        <w:t xml:space="preserve">e respondents.  It has always been the respondents’ position that Mr Kleyn manages both businesses and his wife and daughter assist in the administration of both businesses.  The </w:t>
      </w:r>
      <w:r w:rsidR="00051A97">
        <w:t xml:space="preserve">respondents assert that </w:t>
      </w:r>
      <w:r w:rsidR="007E4AE4">
        <w:t xml:space="preserve">answers given to Mr Coleman were entirely against the applicants’ case. </w:t>
      </w:r>
      <w:r w:rsidR="00051A97">
        <w:t xml:space="preserve"> </w:t>
      </w:r>
    </w:p>
    <w:p w:rsidR="00051A97" w:rsidRDefault="00811AEA" w:rsidP="00811AEA">
      <w:pPr>
        <w:pStyle w:val="ParaNumbering"/>
      </w:pPr>
      <w:r w:rsidRPr="00811AEA">
        <w:t xml:space="preserve">The respondents also contend that the business cards of Messrs Kleyn and Scott each sensibly show that, despite having one business card for both businesses with one telephone number to ‘capture’ incoming business before it is thereafter directed to the appropriate entity, the cards show the cardholder as representing the two separate businesses identified by the individual corporate logos on the card. </w:t>
      </w:r>
      <w:r>
        <w:t xml:space="preserve"> </w:t>
      </w:r>
      <w:r w:rsidRPr="00811AEA">
        <w:t>The respondents submit that using one business card makes commercial sense, and saves expense and that the Court must accept that the purpose of business cards is simplicity of message.</w:t>
      </w:r>
    </w:p>
    <w:p w:rsidR="00FE47B3" w:rsidRDefault="004E60FB" w:rsidP="008C465B">
      <w:pPr>
        <w:pStyle w:val="ParaNumbering"/>
      </w:pPr>
      <w:r>
        <w:t xml:space="preserve">The </w:t>
      </w:r>
      <w:r w:rsidR="005E476A">
        <w:t xml:space="preserve">applicants also rely upon the conduct of third parties.  Evidence </w:t>
      </w:r>
      <w:r w:rsidR="00A61F64">
        <w:t>wa</w:t>
      </w:r>
      <w:r w:rsidR="005E476A">
        <w:t xml:space="preserve">s given </w:t>
      </w:r>
      <w:r w:rsidR="006A6C7F">
        <w:t xml:space="preserve">concerning </w:t>
      </w:r>
      <w:r w:rsidR="005E476A">
        <w:t>the attendance by Messrs Budiselic and Brown at separate trade exhibitions and conferences.  The respondents argue that this evidence is very weak and non-probative</w:t>
      </w:r>
      <w:r w:rsidR="00FE47B3">
        <w:t xml:space="preserve">, and that it </w:t>
      </w:r>
      <w:r w:rsidR="005E476A">
        <w:t xml:space="preserve">cannot possibly support any inference against either Mincrest or Kleyn Investments </w:t>
      </w:r>
      <w:r w:rsidR="00EA227B">
        <w:t xml:space="preserve">insofar as </w:t>
      </w:r>
      <w:r w:rsidR="00FE47B3">
        <w:t xml:space="preserve">it </w:t>
      </w:r>
      <w:r w:rsidR="00EA227B">
        <w:t xml:space="preserve">concerns business activities concerned with a core orientation tool.  </w:t>
      </w:r>
    </w:p>
    <w:p w:rsidR="004E60FB" w:rsidRDefault="00FE47B3" w:rsidP="008C465B">
      <w:pPr>
        <w:pStyle w:val="ParaNumbering"/>
      </w:pPr>
      <w:r>
        <w:t xml:space="preserve">They rely upon </w:t>
      </w:r>
      <w:r w:rsidR="00EA227B">
        <w:t xml:space="preserve">the Australian Drilling Fluids </w:t>
      </w:r>
      <w:r w:rsidR="004911BD">
        <w:t>(</w:t>
      </w:r>
      <w:r w:rsidR="004911BD" w:rsidRPr="004911BD">
        <w:rPr>
          <w:b/>
        </w:rPr>
        <w:t>ADF</w:t>
      </w:r>
      <w:r w:rsidR="004911BD">
        <w:t xml:space="preserve">) </w:t>
      </w:r>
      <w:r w:rsidR="00EA227B">
        <w:t>pricelist</w:t>
      </w:r>
      <w:r>
        <w:t>,</w:t>
      </w:r>
      <w:r w:rsidR="00EA227B">
        <w:t xml:space="preserve"> which described </w:t>
      </w:r>
      <w:r>
        <w:t xml:space="preserve">both </w:t>
      </w:r>
      <w:r w:rsidR="00EA227B">
        <w:t>Coretell and Kleyn Investments’ equipment as Camteq equipment.  On the other hand, there is evidence that Coretell and Kleyn Investments render</w:t>
      </w:r>
      <w:r w:rsidR="006A6C7F">
        <w:t>ed</w:t>
      </w:r>
      <w:r w:rsidR="00EA227B">
        <w:t xml:space="preserve"> separate invoices to ADF.  </w:t>
      </w:r>
    </w:p>
    <w:p w:rsidR="00FD1CD4" w:rsidRDefault="00EA227B" w:rsidP="008C465B">
      <w:pPr>
        <w:pStyle w:val="ParaNumbering"/>
      </w:pPr>
      <w:r>
        <w:lastRenderedPageBreak/>
        <w:t xml:space="preserve">Another third party document </w:t>
      </w:r>
      <w:r w:rsidR="00FE47B3">
        <w:t xml:space="preserve">is </w:t>
      </w:r>
      <w:r>
        <w:t xml:space="preserve">a </w:t>
      </w:r>
      <w:r w:rsidR="00BB58BB">
        <w:t xml:space="preserve">pricelist which purports to have the Pro-Shot equipment and the </w:t>
      </w:r>
      <w:r w:rsidR="00FC24DD">
        <w:t>ORIshot Tool</w:t>
      </w:r>
      <w:r w:rsidR="00BB58BB">
        <w:t xml:space="preserve"> equipment in the one listing.  This document was of no assistance to the applicants, the respondents contend.  </w:t>
      </w:r>
    </w:p>
    <w:p w:rsidR="004911BD" w:rsidRDefault="00BB58BB" w:rsidP="008C465B">
      <w:pPr>
        <w:pStyle w:val="ParaNumbering"/>
      </w:pPr>
      <w:r>
        <w:t>There was a quotation from ‘Down Hole Surveys’ (</w:t>
      </w:r>
      <w:r w:rsidRPr="00BB58BB">
        <w:rPr>
          <w:b/>
        </w:rPr>
        <w:t>DHS</w:t>
      </w:r>
      <w:r w:rsidR="004911BD">
        <w:t>) relied upon by Mr </w:t>
      </w:r>
      <w:r>
        <w:t xml:space="preserve">Budiselic.  This document records no more, the respondents say, that, at </w:t>
      </w:r>
      <w:r w:rsidR="004911BD">
        <w:t xml:space="preserve">the </w:t>
      </w:r>
      <w:r>
        <w:t>date</w:t>
      </w:r>
      <w:r w:rsidR="004911BD">
        <w:t xml:space="preserve"> of the document</w:t>
      </w:r>
      <w:r>
        <w:t>, DHS offered equipment from the Camteq business and the Coretell business and other sources including, apparently</w:t>
      </w:r>
      <w:r w:rsidR="004911BD">
        <w:t>, one of the applicant companies</w:t>
      </w:r>
      <w:r>
        <w:t xml:space="preserve"> on the one document.  </w:t>
      </w:r>
    </w:p>
    <w:p w:rsidR="00EA227B" w:rsidRDefault="00BB58BB" w:rsidP="008C465B">
      <w:pPr>
        <w:pStyle w:val="ParaNumbering"/>
      </w:pPr>
      <w:r>
        <w:t xml:space="preserve">There are various other documents which the respondents argue </w:t>
      </w:r>
      <w:r w:rsidR="004911BD">
        <w:t xml:space="preserve">did not improve </w:t>
      </w:r>
      <w:r>
        <w:t xml:space="preserve">the applicants’ case, including occasional invoices to the incorrect company from suppliers, an agency agreement with DHS and purchase orders from the same company, freight documents or packing lists, occasional purchase orders or inquiries by third parties, a listing on the website </w:t>
      </w:r>
      <w:r w:rsidR="004911BD">
        <w:t xml:space="preserve">of </w:t>
      </w:r>
      <w:r>
        <w:t>the Australian Drilling Association referring to Camteq I</w:t>
      </w:r>
      <w:r w:rsidR="00621420">
        <w:t>nter</w:t>
      </w:r>
      <w:r>
        <w:t>national Services dealing in orientation equipment.</w:t>
      </w:r>
    </w:p>
    <w:p w:rsidR="004B68B6" w:rsidRDefault="004911BD" w:rsidP="00B81758">
      <w:pPr>
        <w:pStyle w:val="ParaNumbering"/>
      </w:pPr>
      <w:r>
        <w:t>T</w:t>
      </w:r>
      <w:r w:rsidR="004B68B6">
        <w:t xml:space="preserve">he </w:t>
      </w:r>
      <w:r w:rsidR="005A3AE3">
        <w:t xml:space="preserve">respondents argue that the </w:t>
      </w:r>
      <w:r w:rsidR="004B68B6">
        <w:t>applicants</w:t>
      </w:r>
      <w:r w:rsidR="005A3AE3">
        <w:t>’</w:t>
      </w:r>
      <w:r w:rsidR="004B68B6">
        <w:t xml:space="preserve"> </w:t>
      </w:r>
      <w:r w:rsidR="005A3AE3">
        <w:t xml:space="preserve">reliance </w:t>
      </w:r>
      <w:r w:rsidR="004B68B6">
        <w:t xml:space="preserve">upon an </w:t>
      </w:r>
      <w:r>
        <w:t>‘</w:t>
      </w:r>
      <w:r w:rsidR="004B68B6">
        <w:t>obviously incomplete</w:t>
      </w:r>
      <w:r>
        <w:t>’</w:t>
      </w:r>
      <w:r w:rsidR="004B68B6">
        <w:t xml:space="preserve"> LinkedIn profile which contains obvious mistakes, referring to Mr Kleyn as representing Camteq International Services from 1995 until the present, but with no reference to Coretell</w:t>
      </w:r>
      <w:r w:rsidR="005A3AE3">
        <w:t xml:space="preserve"> is misplaced</w:t>
      </w:r>
      <w:r w:rsidR="004B68B6">
        <w:t>.  The applicants rely on website registration details which suggest that Mr Kleyn is the licensee for the websites for both Camteq and Coretell and the applicants rely upon freight packing slips from Coretell which include Pro-Shots.</w:t>
      </w:r>
    </w:p>
    <w:p w:rsidR="004B68B6" w:rsidRDefault="004B68B6" w:rsidP="000A0BC0">
      <w:pPr>
        <w:pStyle w:val="ParaNumbering"/>
      </w:pPr>
      <w:r>
        <w:t xml:space="preserve">The respondents say </w:t>
      </w:r>
      <w:r w:rsidR="00614E22">
        <w:t xml:space="preserve">that all </w:t>
      </w:r>
      <w:r w:rsidR="00BA44F4">
        <w:t xml:space="preserve">of the above </w:t>
      </w:r>
      <w:r w:rsidR="00614E22">
        <w:t xml:space="preserve">evidence is trivial, peripheral and cannot support the serious claims asserted by the applicants.  </w:t>
      </w:r>
      <w:r w:rsidR="000A0BC0">
        <w:t>The respondents also referred to numerous additional documents which were raised by the applicants in the course of the proceeding, and which they say cannot support the applicants’ claim of joint tortfeasorship. The documents to which I have not specifically made reference do not in any way alter the conclusion that I have reached on th</w:t>
      </w:r>
      <w:r w:rsidR="00F27E73">
        <w:t xml:space="preserve">e issue of joint tortfeasorship.  </w:t>
      </w:r>
    </w:p>
    <w:p w:rsidR="00BA44F4" w:rsidRDefault="00097E4A" w:rsidP="00B81758">
      <w:pPr>
        <w:pStyle w:val="ParaNumbering"/>
      </w:pPr>
      <w:r>
        <w:t xml:space="preserve">As to the </w:t>
      </w:r>
      <w:r w:rsidR="00BB113B">
        <w:t>agencies and agency agreements</w:t>
      </w:r>
      <w:r>
        <w:t>, th</w:t>
      </w:r>
      <w:r w:rsidR="00BB113B">
        <w:t xml:space="preserve">e </w:t>
      </w:r>
      <w:r>
        <w:t xml:space="preserve">respondents say that the </w:t>
      </w:r>
      <w:r w:rsidR="00BB113B">
        <w:t xml:space="preserve">historical accounting records for the years since 2009 </w:t>
      </w:r>
      <w:r w:rsidR="00BA44F4">
        <w:t xml:space="preserve">plainly </w:t>
      </w:r>
      <w:r w:rsidR="00BB113B">
        <w:t xml:space="preserve">show that each of Coretell and </w:t>
      </w:r>
      <w:r w:rsidR="00BA44F4">
        <w:t xml:space="preserve">the </w:t>
      </w:r>
      <w:r w:rsidR="00BB113B">
        <w:t xml:space="preserve">Camteq </w:t>
      </w:r>
      <w:r w:rsidR="00BA44F4">
        <w:t xml:space="preserve">camera business </w:t>
      </w:r>
      <w:r w:rsidR="00BB113B">
        <w:t xml:space="preserve">have had extensive and successful business activities involving the hiring of multiple core orientation tools and ancillary equipment and Camteq </w:t>
      </w:r>
      <w:r w:rsidR="00BA44F4">
        <w:t>c</w:t>
      </w:r>
      <w:r w:rsidR="00BB113B">
        <w:t>amera products and ancillary equipment</w:t>
      </w:r>
      <w:r w:rsidR="00BA44F4">
        <w:t>,</w:t>
      </w:r>
      <w:r w:rsidR="00BB113B">
        <w:t xml:space="preserve"> respectively</w:t>
      </w:r>
      <w:r w:rsidR="00BA44F4">
        <w:t>,</w:t>
      </w:r>
      <w:r w:rsidR="00BB113B">
        <w:t xml:space="preserve"> to a great range of persons and entities, both within Australia and internationally.  </w:t>
      </w:r>
      <w:r w:rsidR="00BA44F4">
        <w:t xml:space="preserve">According to the respondents, there can be no dispute that </w:t>
      </w:r>
      <w:r w:rsidR="00BB113B">
        <w:t xml:space="preserve">as a </w:t>
      </w:r>
      <w:r w:rsidR="00BB113B">
        <w:lastRenderedPageBreak/>
        <w:t xml:space="preserve">matter </w:t>
      </w:r>
      <w:r w:rsidR="00725091">
        <w:t>of common sense business practic</w:t>
      </w:r>
      <w:r w:rsidR="00BB113B">
        <w:t xml:space="preserve">e, where practical, common agents would be used to represent the separate business enterprise.  </w:t>
      </w:r>
    </w:p>
    <w:p w:rsidR="00611436" w:rsidRDefault="00BB113B" w:rsidP="00B81758">
      <w:pPr>
        <w:pStyle w:val="ParaNumbering"/>
      </w:pPr>
      <w:r>
        <w:t xml:space="preserve">There </w:t>
      </w:r>
      <w:r w:rsidR="00BA44F4">
        <w:t>wa</w:t>
      </w:r>
      <w:r>
        <w:t xml:space="preserve">s an agency agreement with DHS, prepared by Ms Karen Gibbons of DHS apparently </w:t>
      </w:r>
      <w:r w:rsidR="00BA44F4">
        <w:t>at the instruction</w:t>
      </w:r>
      <w:r>
        <w:t xml:space="preserve"> of Mr Scott, who was then an employee of DHS and </w:t>
      </w:r>
      <w:r w:rsidR="00BA44F4">
        <w:t>did</w:t>
      </w:r>
      <w:r>
        <w:t xml:space="preserve"> not </w:t>
      </w:r>
      <w:r w:rsidR="00BA44F4">
        <w:t xml:space="preserve">then have an </w:t>
      </w:r>
      <w:r>
        <w:t xml:space="preserve">employment relationship with any of the corporate respondents.  The </w:t>
      </w:r>
      <w:r w:rsidR="00BA44F4">
        <w:t xml:space="preserve">respondents say that the </w:t>
      </w:r>
      <w:r>
        <w:t xml:space="preserve">document represents a </w:t>
      </w:r>
      <w:r w:rsidR="00BA44F4">
        <w:t xml:space="preserve">mistaken </w:t>
      </w:r>
      <w:r>
        <w:t>view of the factual position by DHS</w:t>
      </w:r>
      <w:r w:rsidR="00BA44F4">
        <w:t>,</w:t>
      </w:r>
      <w:r>
        <w:t xml:space="preserve"> and although accepted by Mr Kleyn as it was signed by him, </w:t>
      </w:r>
      <w:r w:rsidR="00BA44F4">
        <w:t xml:space="preserve">it </w:t>
      </w:r>
      <w:r>
        <w:t xml:space="preserve">was </w:t>
      </w:r>
      <w:r w:rsidR="0081295C">
        <w:t xml:space="preserve">obviously </w:t>
      </w:r>
      <w:r>
        <w:t>simply a slip due to lack of care in checking its content.   This document</w:t>
      </w:r>
      <w:r w:rsidR="00BE75A1">
        <w:t xml:space="preserve"> </w:t>
      </w:r>
      <w:r w:rsidR="00611436">
        <w:t>refers to the disused business name of Camteq Instrument Services</w:t>
      </w:r>
      <w:r w:rsidR="00BA44F4">
        <w:t xml:space="preserve"> t</w:t>
      </w:r>
      <w:r w:rsidR="00611436">
        <w:t xml:space="preserve">hat had not been in use since Mr Kleyn performed instrument service and repair work as director of Mincrest.  Mr Kleyn says </w:t>
      </w:r>
      <w:r w:rsidR="00BA44F4">
        <w:t xml:space="preserve">that </w:t>
      </w:r>
      <w:r w:rsidR="00611436">
        <w:t>he did not notice the reference to this business name and that the compelling factual position is that Camteq International Services and Coretell respectively</w:t>
      </w:r>
      <w:r w:rsidR="00BA44F4">
        <w:t>,</w:t>
      </w:r>
      <w:r w:rsidR="00611436">
        <w:t xml:space="preserve"> and separately</w:t>
      </w:r>
      <w:r w:rsidR="00BA44F4">
        <w:t>,</w:t>
      </w:r>
      <w:r w:rsidR="00611436">
        <w:t xml:space="preserve"> invoiced DHS for their respective products</w:t>
      </w:r>
      <w:r w:rsidR="00BA44F4">
        <w:t xml:space="preserve">, and </w:t>
      </w:r>
      <w:r w:rsidR="00611436">
        <w:t xml:space="preserve">DHS has consistently paid the different companies for the different products.  </w:t>
      </w:r>
    </w:p>
    <w:p w:rsidR="00BA44F4" w:rsidRDefault="00097E4A" w:rsidP="00B81758">
      <w:pPr>
        <w:pStyle w:val="ParaNumbering"/>
      </w:pPr>
      <w:r>
        <w:t xml:space="preserve">The </w:t>
      </w:r>
      <w:r w:rsidR="005E6BB8">
        <w:t xml:space="preserve">respondents say that the </w:t>
      </w:r>
      <w:r>
        <w:t xml:space="preserve">applicants’ reliance </w:t>
      </w:r>
      <w:r w:rsidR="00611436">
        <w:t>on one executed and one unexecuted agency agreement between Coretell and different agents in Africa</w:t>
      </w:r>
      <w:r w:rsidR="0081295C">
        <w:t>,</w:t>
      </w:r>
      <w:r w:rsidR="00611436">
        <w:t xml:space="preserve"> where Coretell was to provide core orientation tools and also Camteq </w:t>
      </w:r>
      <w:r w:rsidR="00BA44F4">
        <w:t>c</w:t>
      </w:r>
      <w:r w:rsidR="00611436">
        <w:t>ameras</w:t>
      </w:r>
      <w:r w:rsidR="005E6BB8">
        <w:t>,</w:t>
      </w:r>
      <w:r w:rsidR="00BA44F4">
        <w:t xml:space="preserve"> is also wea</w:t>
      </w:r>
      <w:r>
        <w:t>k</w:t>
      </w:r>
      <w:r w:rsidR="00611436">
        <w:t xml:space="preserve">.  The respondents submit that no reliance should be placed on the unexecuted draft agreement.  As to the second document prepared by Mr Scott on behalf of Coretell, it was simply selected for business reasons as the principal entity and </w:t>
      </w:r>
      <w:r w:rsidR="00BA44F4">
        <w:t>it had its own hiring arrangements</w:t>
      </w:r>
      <w:r w:rsidR="005E6BB8">
        <w:t xml:space="preserve"> with Camteq</w:t>
      </w:r>
      <w:r w:rsidR="00BA44F4">
        <w:t xml:space="preserve"> for </w:t>
      </w:r>
      <w:r w:rsidR="00611436">
        <w:t xml:space="preserve">the supply of any required cameras </w:t>
      </w:r>
      <w:r w:rsidR="005E6BB8">
        <w:t xml:space="preserve">and </w:t>
      </w:r>
      <w:r w:rsidR="00611436">
        <w:t>for onward supply to the South African agent.  This</w:t>
      </w:r>
      <w:r w:rsidR="00BA44F4">
        <w:t xml:space="preserve">, again, is said by the respondents to be </w:t>
      </w:r>
      <w:r w:rsidR="00611436">
        <w:t xml:space="preserve">a sensible commercial arrangement, </w:t>
      </w:r>
      <w:r w:rsidR="00BA44F4">
        <w:t xml:space="preserve">and </w:t>
      </w:r>
      <w:r w:rsidR="00611436">
        <w:t xml:space="preserve">non-probative in support of any inference of joint tortfeasorship in relation to the core orientation tool business.  </w:t>
      </w:r>
    </w:p>
    <w:p w:rsidR="005E6BB8" w:rsidRDefault="00611436" w:rsidP="00B81758">
      <w:pPr>
        <w:pStyle w:val="ParaNumbering"/>
      </w:pPr>
      <w:r>
        <w:t xml:space="preserve">The applicants also rely upon a further draft unexecuted agency agreement prepared by Mr Scott </w:t>
      </w:r>
      <w:r w:rsidR="001062DA">
        <w:t xml:space="preserve">pursuant to which </w:t>
      </w:r>
      <w:r>
        <w:t xml:space="preserve">Coretell and Kleyn Investments were to enter into </w:t>
      </w:r>
      <w:r w:rsidR="001062DA">
        <w:t>a common agency agreement</w:t>
      </w:r>
      <w:r>
        <w:t xml:space="preserve"> with </w:t>
      </w:r>
      <w:r w:rsidR="001062DA">
        <w:t xml:space="preserve">a particular </w:t>
      </w:r>
      <w:r>
        <w:t>agent.  Mr Kleyn’s evidence was that the unexecuted document was never put into</w:t>
      </w:r>
      <w:r w:rsidR="00422325">
        <w:t xml:space="preserve"> effect and never adopted by Mr Kleyn</w:t>
      </w:r>
      <w:r w:rsidR="001062DA">
        <w:t xml:space="preserve"> and can </w:t>
      </w:r>
      <w:r w:rsidR="00422325">
        <w:t xml:space="preserve">have no probative value in support of any inference of joint tortfeasorship, say the respondents.  </w:t>
      </w:r>
    </w:p>
    <w:p w:rsidR="00611436" w:rsidRDefault="00245AC5" w:rsidP="00B81758">
      <w:pPr>
        <w:pStyle w:val="ParaNumbering"/>
      </w:pPr>
      <w:r>
        <w:t>There were</w:t>
      </w:r>
      <w:r w:rsidR="00F54178">
        <w:t xml:space="preserve"> some remaining allegations in the evidence adduced by </w:t>
      </w:r>
      <w:r w:rsidR="00072F9F">
        <w:t>Mr</w:t>
      </w:r>
      <w:r w:rsidR="00F54178">
        <w:t xml:space="preserve"> Budiselic and </w:t>
      </w:r>
      <w:r w:rsidR="00072F9F">
        <w:t xml:space="preserve">Mr Robert </w:t>
      </w:r>
      <w:r w:rsidR="00F54178">
        <w:t xml:space="preserve">Kleyn.  The applicants’ case appeared to be that Coretell was incorporated solely to avoid liability for patent infringement.  That position is </w:t>
      </w:r>
      <w:r w:rsidR="00072F9F">
        <w:t xml:space="preserve">directly </w:t>
      </w:r>
      <w:r w:rsidR="00F54178">
        <w:t>answered, the respondents say, by the evidence of Mr Kleyn</w:t>
      </w:r>
      <w:r w:rsidR="00072F9F">
        <w:t>,</w:t>
      </w:r>
      <w:r w:rsidR="00F54178">
        <w:t xml:space="preserve"> who comprehensively stated that the reasons for Coretell’s </w:t>
      </w:r>
      <w:r w:rsidR="00F54178">
        <w:lastRenderedPageBreak/>
        <w:t xml:space="preserve">incorporation were not to avoid liability for any patent infringement.  I have already </w:t>
      </w:r>
      <w:r>
        <w:t xml:space="preserve">recorded </w:t>
      </w:r>
      <w:r w:rsidR="00F54178">
        <w:t xml:space="preserve">my views as to Mr Kleyn’s </w:t>
      </w:r>
      <w:r>
        <w:t xml:space="preserve">credit.  I have rejected most of his </w:t>
      </w:r>
      <w:r w:rsidR="00072F9F">
        <w:t xml:space="preserve">uncorroborated </w:t>
      </w:r>
      <w:r>
        <w:t>evidence</w:t>
      </w:r>
      <w:r w:rsidR="00F54178">
        <w:t xml:space="preserve">.  Insofar as the evidence on this topic in the applicants’ case is dependent upon the evidence of Messrs Brown, Budiselic and Robert Kleyn, the respondents submit </w:t>
      </w:r>
      <w:r w:rsidR="00072F9F">
        <w:t xml:space="preserve">that </w:t>
      </w:r>
      <w:r w:rsidR="00F54178">
        <w:t>those witnesses should be disbelieved.</w:t>
      </w:r>
    </w:p>
    <w:p w:rsidR="003A10F8" w:rsidRDefault="00F54178" w:rsidP="00B81758">
      <w:pPr>
        <w:pStyle w:val="ParaNumbering"/>
      </w:pPr>
      <w:r>
        <w:t xml:space="preserve">Mr Budiselic, as noted, is an employee of the applicants’ group.  I have already indicated the reservations </w:t>
      </w:r>
      <w:r w:rsidR="00611B6A">
        <w:t xml:space="preserve">that </w:t>
      </w:r>
      <w:r>
        <w:t>I have about Mr Budiselic’s independence and impartiality.  The respondents say that his written evidence was unconvincing and did not survive cross-examination.  Generally</w:t>
      </w:r>
      <w:r w:rsidR="00611B6A">
        <w:t xml:space="preserve"> </w:t>
      </w:r>
      <w:r>
        <w:t>speaking</w:t>
      </w:r>
      <w:r w:rsidR="00611B6A">
        <w:t>,</w:t>
      </w:r>
      <w:r>
        <w:t xml:space="preserve"> I do not consider </w:t>
      </w:r>
      <w:r w:rsidR="00611B6A">
        <w:t xml:space="preserve">that </w:t>
      </w:r>
      <w:r>
        <w:t>it is appropriate that I should rely upon oral evidence of conversations by Mr Budiselic, who is clearly a partial and involved witness</w:t>
      </w:r>
      <w:r w:rsidR="009A180E">
        <w:t>, for such a serious allegation</w:t>
      </w:r>
      <w:r>
        <w:t xml:space="preserve">.  </w:t>
      </w:r>
    </w:p>
    <w:p w:rsidR="00F54178" w:rsidRDefault="00F54178" w:rsidP="00B81758">
      <w:pPr>
        <w:pStyle w:val="ParaNumbering"/>
      </w:pPr>
      <w:r>
        <w:t>As to Mr Robert Kleyn, the position is much the same.  The two brothers are estranged.  While I have serious reservations about any evidence of Mr Nicky Kleyn that is not corroborated, I would not rely upon Mr Robert Kleyn’s evidence</w:t>
      </w:r>
      <w:r w:rsidR="003A10F8">
        <w:t>,</w:t>
      </w:r>
      <w:r>
        <w:t xml:space="preserve"> taken alone</w:t>
      </w:r>
      <w:r w:rsidR="003A10F8">
        <w:t>,</w:t>
      </w:r>
      <w:r>
        <w:t xml:space="preserve"> to support the applicants’ case.  The conversations on which he relies occurred many years ago and he was not present for cross-examination and was not cross-examined.  </w:t>
      </w:r>
    </w:p>
    <w:p w:rsidR="003A10F8" w:rsidRDefault="003A10F8" w:rsidP="003A10F8">
      <w:pPr>
        <w:pStyle w:val="ParaNumbering"/>
      </w:pPr>
      <w:r>
        <w:t xml:space="preserve">It is necessary, in my view, to look for objective indicators and clear inferences to support the applicants’ serious assertions.  The objective indicators I look for are the actual dealings of the businesses and the actual treatment of their finances.  If the applicants’ case </w:t>
      </w:r>
      <w:r w:rsidR="00A46C74">
        <w:t xml:space="preserve">relied </w:t>
      </w:r>
      <w:r>
        <w:t xml:space="preserve">upon the oral evidence of Mr Budiselic or Mr Robert Kleyn only, I would not conclude that the applicants had discharged their case on the balance of probabilities.  </w:t>
      </w:r>
    </w:p>
    <w:p w:rsidR="00D35F13" w:rsidRDefault="00231F85" w:rsidP="00B81758">
      <w:pPr>
        <w:pStyle w:val="ParaNumbering"/>
      </w:pPr>
      <w:r>
        <w:t xml:space="preserve">A significant factor, in my view, </w:t>
      </w:r>
      <w:r w:rsidR="00E46B12">
        <w:t xml:space="preserve">is the applicants’ </w:t>
      </w:r>
      <w:r w:rsidR="00A46C74">
        <w:t xml:space="preserve">contention </w:t>
      </w:r>
      <w:r w:rsidR="00E46B12">
        <w:t xml:space="preserve">that it is unbelievable that Mr Kleyn could hand over rights in a device by way of an oral </w:t>
      </w:r>
      <w:r w:rsidR="005E6BB8">
        <w:t xml:space="preserve">or mental </w:t>
      </w:r>
      <w:r w:rsidR="00E46B12">
        <w:t xml:space="preserve">assignment, although there is no </w:t>
      </w:r>
      <w:r w:rsidR="00FC04AB">
        <w:t>evidence about any words being spoken from one company to another.  As to this, the respondents say the contention is without merit and that even the applicants rely upon an oral assignment of the</w:t>
      </w:r>
      <w:r w:rsidR="00637758">
        <w:t xml:space="preserve"> </w:t>
      </w:r>
      <w:r w:rsidR="00BF240F">
        <w:t>ACT Tool</w:t>
      </w:r>
      <w:r w:rsidR="00637758">
        <w:t xml:space="preserve"> </w:t>
      </w:r>
      <w:r w:rsidR="00FC04AB">
        <w:t>rights from Mr Parfitt to Chardec.  The respondents say that such an ‘oral’ assignment is perfected by the fact</w:t>
      </w:r>
      <w:r w:rsidR="00A46C74">
        <w:t>,</w:t>
      </w:r>
      <w:r w:rsidR="00FC04AB">
        <w:t xml:space="preserve"> as equity would well recognise.  One of the many difficulties the respondents face was that there is no evidence of any ‘oral’ assignment at all.  </w:t>
      </w:r>
      <w:r w:rsidR="00A46C74">
        <w:t>At best, i</w:t>
      </w:r>
      <w:r w:rsidR="00FC04AB">
        <w:t>t apparently took place in Mr Kleyn’s head.  There is no evidence that he said anything to anyone</w:t>
      </w:r>
      <w:r w:rsidR="004327D8">
        <w:t xml:space="preserve"> – even </w:t>
      </w:r>
      <w:r w:rsidR="005E6BB8">
        <w:t xml:space="preserve">to </w:t>
      </w:r>
      <w:r w:rsidR="004327D8">
        <w:t>himself</w:t>
      </w:r>
      <w:r w:rsidR="00FC04AB">
        <w:t xml:space="preserve">.  </w:t>
      </w:r>
    </w:p>
    <w:p w:rsidR="00FC04AB" w:rsidRDefault="009A117F" w:rsidP="00B81758">
      <w:pPr>
        <w:pStyle w:val="ParaNumbering"/>
      </w:pPr>
      <w:r>
        <w:lastRenderedPageBreak/>
        <w:t xml:space="preserve">In relation to </w:t>
      </w:r>
      <w:r w:rsidR="00A46C74">
        <w:t xml:space="preserve">the applicants’ allegation of </w:t>
      </w:r>
      <w:r>
        <w:t>authorisation of infringement</w:t>
      </w:r>
      <w:r w:rsidR="00A46C74">
        <w:t>,</w:t>
      </w:r>
      <w:r>
        <w:t xml:space="preserve"> by which it is pleaded that the respondents have </w:t>
      </w:r>
      <w:r w:rsidR="00A46C74">
        <w:t>authorised, procured or induced</w:t>
      </w:r>
      <w:r>
        <w:t xml:space="preserve"> the infringing conduct of various persons or entities, the respondents have advanced the following additional submissions on these topics.  </w:t>
      </w:r>
    </w:p>
    <w:p w:rsidR="00C0357D" w:rsidRDefault="00C0357D" w:rsidP="00EA24D9">
      <w:pPr>
        <w:pStyle w:val="ParaNumbering"/>
      </w:pPr>
      <w:r>
        <w:t>In relation to authorisation of infringement</w:t>
      </w:r>
      <w:r w:rsidR="00EA24D9">
        <w:t>, the respondents</w:t>
      </w:r>
      <w:r w:rsidR="00733C03">
        <w:t>’</w:t>
      </w:r>
      <w:r w:rsidR="00EA24D9">
        <w:t xml:space="preserve"> note that ‘authorise’ in s 13(1) of </w:t>
      </w:r>
      <w:r w:rsidR="007D7FA4">
        <w:t>the Act</w:t>
      </w:r>
      <w:r w:rsidR="00EA24D9">
        <w:t xml:space="preserve"> has a comparable meaning as in the </w:t>
      </w:r>
      <w:r w:rsidR="00EA24D9" w:rsidRPr="00A46C74">
        <w:rPr>
          <w:b/>
          <w:i/>
        </w:rPr>
        <w:t>Copyright Act</w:t>
      </w:r>
      <w:r w:rsidR="00A46C74">
        <w:rPr>
          <w:b/>
        </w:rPr>
        <w:t xml:space="preserve"> </w:t>
      </w:r>
      <w:r w:rsidR="00A46C74" w:rsidRPr="00A46C74">
        <w:rPr>
          <w:i/>
        </w:rPr>
        <w:t>1968</w:t>
      </w:r>
      <w:r w:rsidR="00A46C74" w:rsidRPr="00A46C74">
        <w:t xml:space="preserve"> (Cth)</w:t>
      </w:r>
      <w:r w:rsidR="00EA24D9">
        <w:t>:</w:t>
      </w:r>
      <w:r w:rsidR="00EA24D9" w:rsidRPr="00EA24D9">
        <w:t xml:space="preserve"> </w:t>
      </w:r>
      <w:r w:rsidR="00EA24D9" w:rsidRPr="00EA24D9">
        <w:rPr>
          <w:i/>
        </w:rPr>
        <w:t>Bristol-Myers Squibb Company v F H Faulding &amp; Co Ltd</w:t>
      </w:r>
      <w:r w:rsidR="00EA24D9" w:rsidRPr="00EA24D9">
        <w:t xml:space="preserve"> (2000) 97 FCR 524 </w:t>
      </w:r>
      <w:r w:rsidR="00A46C74">
        <w:t xml:space="preserve">per Black CJ and Lehane J </w:t>
      </w:r>
      <w:r w:rsidR="00EA24D9">
        <w:t>(</w:t>
      </w:r>
      <w:r w:rsidR="00EA24D9" w:rsidRPr="00EA24D9">
        <w:t>at [97]</w:t>
      </w:r>
      <w:r w:rsidR="00EA24D9">
        <w:t xml:space="preserve">).  In </w:t>
      </w:r>
      <w:r w:rsidR="00EA24D9" w:rsidRPr="00EA24D9">
        <w:rPr>
          <w:i/>
        </w:rPr>
        <w:t xml:space="preserve">WEA </w:t>
      </w:r>
      <w:r w:rsidR="00EA24D9">
        <w:rPr>
          <w:i/>
        </w:rPr>
        <w:t>International Inc v Hanimex Corporation</w:t>
      </w:r>
      <w:r w:rsidR="00EA24D9" w:rsidRPr="00EA24D9">
        <w:rPr>
          <w:i/>
        </w:rPr>
        <w:t xml:space="preserve"> Ltd</w:t>
      </w:r>
      <w:r w:rsidR="00EA24D9" w:rsidRPr="00EA24D9">
        <w:t xml:space="preserve"> (1987) 17 FCR 274 </w:t>
      </w:r>
      <w:r w:rsidR="00AF58FF">
        <w:t xml:space="preserve">per Gummow J </w:t>
      </w:r>
      <w:r w:rsidR="00EA24D9">
        <w:t>(at 286) it was held that ‘authorise</w:t>
      </w:r>
      <w:r w:rsidR="00AF58FF">
        <w:t>d</w:t>
      </w:r>
      <w:r w:rsidR="00EA24D9">
        <w:t>’ under the Copyright Act means ‘sanction, approve, countenance’</w:t>
      </w:r>
      <w:r w:rsidR="00AF58FF">
        <w:t>.</w:t>
      </w:r>
      <w:r w:rsidR="00EA24D9">
        <w:t xml:space="preserve">  </w:t>
      </w:r>
      <w:r w:rsidR="00AF58FF" w:rsidRPr="00AF58FF">
        <w:t>S</w:t>
      </w:r>
      <w:r w:rsidR="00EA24D9">
        <w:t xml:space="preserve">ee also </w:t>
      </w:r>
      <w:r w:rsidR="00EA24D9">
        <w:rPr>
          <w:i/>
        </w:rPr>
        <w:t xml:space="preserve">Inverness Medical Switzerland GmbH </w:t>
      </w:r>
      <w:r w:rsidR="00EA24D9">
        <w:t xml:space="preserve">per Bennett J (at [199]).  </w:t>
      </w:r>
    </w:p>
    <w:p w:rsidR="00084FFD" w:rsidRDefault="00084FFD" w:rsidP="00084FFD">
      <w:pPr>
        <w:pStyle w:val="ParaNumbering"/>
      </w:pPr>
      <w:r>
        <w:t xml:space="preserve">The High Court in </w:t>
      </w:r>
      <w:r w:rsidRPr="00084FFD">
        <w:rPr>
          <w:i/>
        </w:rPr>
        <w:t>Roadshow Films Pty Ltd v iiNet Limited</w:t>
      </w:r>
      <w:r w:rsidRPr="00084FFD">
        <w:t xml:space="preserve"> </w:t>
      </w:r>
      <w:r>
        <w:t xml:space="preserve">(2012) </w:t>
      </w:r>
      <w:r w:rsidRPr="00084FFD">
        <w:t>248 CLR 42</w:t>
      </w:r>
      <w:r w:rsidR="004E0372">
        <w:t xml:space="preserve">, dealt with the issue of authorisation of infringement.  Although the decision involved copyright law, </w:t>
      </w:r>
      <w:r w:rsidR="00AF58FF">
        <w:t xml:space="preserve">there is little reason to think </w:t>
      </w:r>
      <w:r w:rsidR="004E0372">
        <w:t>that the principles applicable in pate</w:t>
      </w:r>
      <w:r w:rsidR="00AF58FF">
        <w:t xml:space="preserve">nt law would be very different, </w:t>
      </w:r>
      <w:r w:rsidR="004E0372">
        <w:t>although it should be noted that under the Copyright Act</w:t>
      </w:r>
      <w:r w:rsidR="00AF58FF">
        <w:t xml:space="preserve"> there is a separate provision (</w:t>
      </w:r>
      <w:r w:rsidR="004E0372">
        <w:t>s 101(1A)</w:t>
      </w:r>
      <w:r w:rsidR="005E6BB8">
        <w:t>)</w:t>
      </w:r>
      <w:r w:rsidR="00AF58FF">
        <w:t>, which provides</w:t>
      </w:r>
      <w:r w:rsidR="004E0372">
        <w:t xml:space="preserve"> guidance as to the m</w:t>
      </w:r>
      <w:r w:rsidR="00913B95">
        <w:t>e</w:t>
      </w:r>
      <w:r w:rsidR="004E0372">
        <w:t xml:space="preserve">aning of authorisation under </w:t>
      </w:r>
      <w:r w:rsidR="007D7FA4">
        <w:t>the Act</w:t>
      </w:r>
      <w:r w:rsidR="004E0372">
        <w:t xml:space="preserve">.  </w:t>
      </w:r>
    </w:p>
    <w:p w:rsidR="004E0372" w:rsidRDefault="00913B95" w:rsidP="00084FFD">
      <w:pPr>
        <w:pStyle w:val="ParaNumbering"/>
      </w:pPr>
      <w:r>
        <w:t xml:space="preserve">In the </w:t>
      </w:r>
      <w:r>
        <w:rPr>
          <w:i/>
        </w:rPr>
        <w:t xml:space="preserve">iiNet </w:t>
      </w:r>
      <w:r>
        <w:t>case, the High Court found there was no authorisation by iiNet of the acts of primary infringement.  In particular, the High Court looked at the power that iiNet did or did not have to prevent the acts of primary infringement.  French CJ, Crennan and Kiefel JJ said (at [69]-[70])</w:t>
      </w:r>
      <w:r w:rsidR="00D40F4D">
        <w:t xml:space="preserve"> (footnotes omitted)</w:t>
      </w:r>
      <w:r>
        <w:t>:</w:t>
      </w:r>
    </w:p>
    <w:p w:rsidR="00D40F4D" w:rsidRDefault="00D40F4D" w:rsidP="00AF58FF">
      <w:pPr>
        <w:pStyle w:val="Quote1"/>
        <w:ind w:left="1440" w:hanging="703"/>
      </w:pPr>
      <w:r>
        <w:t>69</w:t>
      </w:r>
      <w:r>
        <w:tab/>
        <w:t xml:space="preserve">Even it if were possible to be satisfied that iiNet's inactivity after receipt of the AFACT notices, and its subsequent media releases, "supported" or "encouraged" its customers to continue to make certain films available online, s 101(1A) (construed with both s 22(6) and s 112E) makes it plain that that would not be enough to make iiNet a secondary infringer.  An alleged authoriser must have a power to prevent the primary infringements.  </w:t>
      </w:r>
      <w:r w:rsidRPr="00D40F4D">
        <w:rPr>
          <w:i/>
        </w:rPr>
        <w:t>Australasian Performing Right Association Ltd v Jain</w:t>
      </w:r>
      <w:r>
        <w:t xml:space="preserve">, </w:t>
      </w:r>
      <w:r w:rsidRPr="00D40F4D">
        <w:rPr>
          <w:i/>
        </w:rPr>
        <w:t>Tape Manufacturers</w:t>
      </w:r>
      <w:r>
        <w:t xml:space="preserve">, </w:t>
      </w:r>
      <w:r w:rsidRPr="00D40F4D">
        <w:rPr>
          <w:i/>
        </w:rPr>
        <w:t>Kazaa</w:t>
      </w:r>
      <w:r>
        <w:t xml:space="preserve"> and </w:t>
      </w:r>
      <w:r w:rsidRPr="00D40F4D">
        <w:rPr>
          <w:i/>
        </w:rPr>
        <w:t>Cooper</w:t>
      </w:r>
      <w:r>
        <w:t xml:space="preserve"> all confirm that there must be such a power to prevent.  So much had been recognised earlier, in any event, in </w:t>
      </w:r>
      <w:r w:rsidRPr="00D40F4D">
        <w:rPr>
          <w:i/>
        </w:rPr>
        <w:t>Adelaide Corporation</w:t>
      </w:r>
      <w:r>
        <w:t xml:space="preserve"> and </w:t>
      </w:r>
      <w:r w:rsidRPr="00D40F4D">
        <w:rPr>
          <w:i/>
        </w:rPr>
        <w:t>Moorhouse</w:t>
      </w:r>
      <w:r>
        <w:t>.</w:t>
      </w:r>
    </w:p>
    <w:p w:rsidR="00D40F4D" w:rsidRDefault="00D40F4D" w:rsidP="00D40F4D">
      <w:pPr>
        <w:pStyle w:val="Quote1"/>
      </w:pPr>
    </w:p>
    <w:p w:rsidR="00913B95" w:rsidRDefault="00D40F4D" w:rsidP="00AF58FF">
      <w:pPr>
        <w:pStyle w:val="Quote1"/>
        <w:ind w:left="1440" w:hanging="703"/>
      </w:pPr>
      <w:r>
        <w:t>70</w:t>
      </w:r>
      <w:r>
        <w:tab/>
        <w:t xml:space="preserve">As explained, the extent of iiNet's power was limited.  It had no direct power to prevent the primary infringements and could only ensure that result indirectly by terminating the contractual relationship it had with its customers.  </w:t>
      </w:r>
    </w:p>
    <w:p w:rsidR="00B76564" w:rsidRDefault="004A1648" w:rsidP="00B81758">
      <w:pPr>
        <w:pStyle w:val="ParaNumbering"/>
      </w:pPr>
      <w:r>
        <w:lastRenderedPageBreak/>
        <w:t>On the respondents’ submission, it is clear that relevant ‘authorisation’ only occurs when the secondary infringer has some kind of residual power over the primary infringer, so as to be able to control the activities of the primary infringer.</w:t>
      </w:r>
    </w:p>
    <w:p w:rsidR="00520598" w:rsidRDefault="001E5E9D" w:rsidP="00B81758">
      <w:pPr>
        <w:pStyle w:val="ParaNumbering"/>
      </w:pPr>
      <w:r>
        <w:t>The respondents argue that i</w:t>
      </w:r>
      <w:r w:rsidR="004A1648">
        <w:t xml:space="preserve">t cannot be said that </w:t>
      </w:r>
      <w:r w:rsidR="00520598">
        <w:t>Mincrest</w:t>
      </w:r>
      <w:r w:rsidR="00BA1335">
        <w:t>,</w:t>
      </w:r>
      <w:r w:rsidR="00520598">
        <w:t xml:space="preserve"> or Mr</w:t>
      </w:r>
      <w:r w:rsidR="00BA1335">
        <w:t xml:space="preserve"> Kleyn or Kleyn Investments had</w:t>
      </w:r>
      <w:r w:rsidR="00520598">
        <w:t xml:space="preserve"> power over Coretell</w:t>
      </w:r>
      <w:r w:rsidR="00BA1335">
        <w:t>,</w:t>
      </w:r>
      <w:r w:rsidR="00520598">
        <w:t xml:space="preserve"> or customers of Coretell</w:t>
      </w:r>
      <w:r w:rsidR="00BA1335">
        <w:t>,</w:t>
      </w:r>
      <w:r w:rsidR="00520598">
        <w:t xml:space="preserve"> in the sense of dictating to Coretell or its customers what they </w:t>
      </w:r>
      <w:r w:rsidR="00BA1335">
        <w:t>could</w:t>
      </w:r>
      <w:r w:rsidR="00520598">
        <w:t xml:space="preserve"> or </w:t>
      </w:r>
      <w:r w:rsidR="00BA1335">
        <w:t xml:space="preserve">could not </w:t>
      </w:r>
      <w:r w:rsidR="00520598">
        <w:t xml:space="preserve">do with respect to the relevant asserted infringing acts.  The corporate respondents are run as distinct businesses and the customers of Coretell are independent persons and entities carrying out activities.  Similarly, it </w:t>
      </w:r>
      <w:r w:rsidR="00BA1335">
        <w:t xml:space="preserve">is argued that it </w:t>
      </w:r>
      <w:r w:rsidR="00520598">
        <w:t xml:space="preserve">cannot be established that Coretell has power over its customers in the sense of dictating to customers what they </w:t>
      </w:r>
      <w:r w:rsidR="00BA1335">
        <w:t xml:space="preserve">could </w:t>
      </w:r>
      <w:r w:rsidR="00520598">
        <w:t xml:space="preserve">or </w:t>
      </w:r>
      <w:r w:rsidR="00BA1335">
        <w:t xml:space="preserve">could not </w:t>
      </w:r>
      <w:r w:rsidR="00520598">
        <w:t xml:space="preserve">do with respect to the relevant alleged infringing acts.  </w:t>
      </w:r>
    </w:p>
    <w:p w:rsidR="005A3D21" w:rsidRDefault="00B02FB7" w:rsidP="003E3A08">
      <w:pPr>
        <w:pStyle w:val="ParaNumbering"/>
      </w:pPr>
      <w:r>
        <w:t>In relation to procurement and inducement, t</w:t>
      </w:r>
      <w:r w:rsidR="001E5E9D">
        <w:t xml:space="preserve">he respondents submit that </w:t>
      </w:r>
      <w:r>
        <w:t xml:space="preserve">these are </w:t>
      </w:r>
      <w:r w:rsidR="008C354E">
        <w:t>not the same as facili</w:t>
      </w:r>
      <w:r>
        <w:t>tation (or supply), but require</w:t>
      </w:r>
      <w:r w:rsidR="008C354E">
        <w:t xml:space="preserve"> further conduct such as ‘persuading’ a person to do a particular infringing act:  </w:t>
      </w:r>
      <w:r w:rsidR="008C354E" w:rsidRPr="00B02FB7">
        <w:rPr>
          <w:i/>
        </w:rPr>
        <w:t xml:space="preserve">Dow Chemical AG v Spence Bryson &amp; Company Ltd </w:t>
      </w:r>
      <w:r w:rsidR="008C354E">
        <w:t xml:space="preserve">[1984] RPC 359 (at 389-391); </w:t>
      </w:r>
      <w:r w:rsidR="00E67D05" w:rsidRPr="00B02FB7">
        <w:rPr>
          <w:i/>
        </w:rPr>
        <w:t>Belegging-en Exploitatiemaatschappij Lavender BV v W</w:t>
      </w:r>
      <w:r w:rsidR="00D43130">
        <w:rPr>
          <w:i/>
        </w:rPr>
        <w:t>hitten Industrial Diamonds Limite</w:t>
      </w:r>
      <w:r w:rsidR="00E67D05" w:rsidRPr="00B02FB7">
        <w:rPr>
          <w:i/>
        </w:rPr>
        <w:t>d</w:t>
      </w:r>
      <w:r w:rsidR="00E67D05">
        <w:t xml:space="preserve"> [1979] FSR 59 (at 66); </w:t>
      </w:r>
      <w:r w:rsidR="00E67D05" w:rsidRPr="00B02FB7">
        <w:rPr>
          <w:i/>
        </w:rPr>
        <w:t>Ramset Fasteners (Aust) Pty Ltd v Advanced Building Systems Pty Ltd</w:t>
      </w:r>
      <w:r w:rsidR="00E67D05">
        <w:t xml:space="preserve"> (1999) </w:t>
      </w:r>
      <w:r w:rsidR="00F42188">
        <w:t>164 ALR 239</w:t>
      </w:r>
      <w:r w:rsidR="004E1C0D">
        <w:t xml:space="preserve"> per</w:t>
      </w:r>
      <w:r w:rsidR="00DD7C81">
        <w:t xml:space="preserve"> Burchett, Sackville and Lehane JJ</w:t>
      </w:r>
      <w:r w:rsidR="00E67D05">
        <w:t xml:space="preserve"> (at </w:t>
      </w:r>
      <w:r w:rsidR="00DD7C81">
        <w:t>[91]</w:t>
      </w:r>
      <w:r w:rsidR="00E67D05">
        <w:t xml:space="preserve">).  </w:t>
      </w:r>
      <w:r>
        <w:t xml:space="preserve">The respondents argue that it </w:t>
      </w:r>
      <w:r w:rsidR="005A3D21">
        <w:t>cannot be said that Mincrest</w:t>
      </w:r>
      <w:r>
        <w:t>,</w:t>
      </w:r>
      <w:r w:rsidR="005A3D21">
        <w:t xml:space="preserve"> Mr Kleyn or Kleyn Investments ‘procure</w:t>
      </w:r>
      <w:r>
        <w:t>d</w:t>
      </w:r>
      <w:r w:rsidR="005A3D21">
        <w:t>’ acts of infringement by Coretell</w:t>
      </w:r>
      <w:r>
        <w:t>,</w:t>
      </w:r>
      <w:r w:rsidR="005A3D21">
        <w:t xml:space="preserve"> or customers of Coretell</w:t>
      </w:r>
      <w:r>
        <w:t>,</w:t>
      </w:r>
      <w:r w:rsidR="005A3D21">
        <w:t xml:space="preserve"> in the sense of persuading Coretell or its customers to carry out the said alleged infringing acts.</w:t>
      </w:r>
      <w:r>
        <w:t xml:space="preserve">  </w:t>
      </w:r>
      <w:r w:rsidR="00352F5F">
        <w:t xml:space="preserve">Similarly, it </w:t>
      </w:r>
      <w:r>
        <w:t xml:space="preserve">is said that it </w:t>
      </w:r>
      <w:r w:rsidR="00352F5F">
        <w:t xml:space="preserve">cannot be established that Coretell has power over its customers in the sense of persuading them to carry out the alleged infringing acts.  </w:t>
      </w:r>
    </w:p>
    <w:p w:rsidR="00352F5F" w:rsidRDefault="00173E29" w:rsidP="003E3A08">
      <w:pPr>
        <w:pStyle w:val="ParaNumbering"/>
      </w:pPr>
      <w:r>
        <w:t>The corporate respondents are run as distinct businesses and the customers of Coretell are independent persons and entities carrying out activities.</w:t>
      </w:r>
    </w:p>
    <w:p w:rsidR="00173E29" w:rsidRDefault="00173E29" w:rsidP="003E3A08">
      <w:pPr>
        <w:pStyle w:val="ParaNumbering"/>
      </w:pPr>
      <w:r>
        <w:t xml:space="preserve">In the respondents’ submission, the allegations of authorising, procuring or inducing infringement, or engaging in a common design, are not made out on the evidence.  </w:t>
      </w:r>
    </w:p>
    <w:p w:rsidR="009441C0" w:rsidRDefault="009441C0" w:rsidP="009441C0">
      <w:pPr>
        <w:pStyle w:val="Heading6"/>
      </w:pPr>
      <w:bookmarkStart w:id="68" w:name="_Ref410393875"/>
      <w:bookmarkStart w:id="69" w:name="_Ref410890368"/>
      <w:bookmarkStart w:id="70" w:name="_Ref436665439"/>
      <w:r>
        <w:t xml:space="preserve">Consideration of </w:t>
      </w:r>
      <w:bookmarkEnd w:id="68"/>
      <w:bookmarkEnd w:id="69"/>
      <w:r w:rsidR="006C20B7">
        <w:t>the liability of each of the respondents</w:t>
      </w:r>
      <w:bookmarkEnd w:id="70"/>
      <w:r w:rsidR="006C20B7">
        <w:t xml:space="preserve"> </w:t>
      </w:r>
    </w:p>
    <w:p w:rsidR="003E0FE1" w:rsidRDefault="00E25B7E" w:rsidP="003E0FE1">
      <w:pPr>
        <w:pStyle w:val="ParaNumbering"/>
      </w:pPr>
      <w:r>
        <w:t xml:space="preserve">The case for the applicants is that without any </w:t>
      </w:r>
      <w:r w:rsidR="00B02FB7">
        <w:t xml:space="preserve">independent </w:t>
      </w:r>
      <w:r>
        <w:t xml:space="preserve">corroboration whatsoever, Mr Kleyn </w:t>
      </w:r>
      <w:r w:rsidR="00B02FB7">
        <w:t xml:space="preserve">contends </w:t>
      </w:r>
      <w:r>
        <w:t>that the company</w:t>
      </w:r>
      <w:r w:rsidR="00B02FB7">
        <w:t>,</w:t>
      </w:r>
      <w:r>
        <w:t xml:space="preserve"> which has both assets and liability, if any, for patent infringement</w:t>
      </w:r>
      <w:r w:rsidR="00B02FB7">
        <w:t>,</w:t>
      </w:r>
      <w:r>
        <w:t xml:space="preserve"> will not be susceptible to asset execution as the assets, particularly the very </w:t>
      </w:r>
      <w:r>
        <w:lastRenderedPageBreak/>
        <w:t>assets which infringed the Patents, have been somehow assigned out to another company under his control (</w:t>
      </w:r>
      <w:r w:rsidRPr="00E25B7E">
        <w:rPr>
          <w:b/>
        </w:rPr>
        <w:t>Notional Assignment</w:t>
      </w:r>
      <w:r>
        <w:t xml:space="preserve">). </w:t>
      </w:r>
    </w:p>
    <w:p w:rsidR="00E25B7E" w:rsidRDefault="00E25B7E" w:rsidP="003E0FE1">
      <w:pPr>
        <w:pStyle w:val="ParaNumbering"/>
      </w:pPr>
      <w:r>
        <w:t xml:space="preserve">It is for that reason that the applicants have taken the precaution of joining all of the corporate respondents.  I have outlined above the basic assertions advanced for the applicants in support of their case in relation to the </w:t>
      </w:r>
      <w:r w:rsidR="00910726">
        <w:t>Notional A</w:t>
      </w:r>
      <w:r>
        <w:t xml:space="preserve">ssignment.  </w:t>
      </w:r>
    </w:p>
    <w:p w:rsidR="00E25B7E" w:rsidRDefault="00B61013" w:rsidP="003E0FE1">
      <w:pPr>
        <w:pStyle w:val="ParaNumbering"/>
      </w:pPr>
      <w:r>
        <w:t xml:space="preserve">I am left with the strong impression that the Notional Assignments were totally defective and that they were indeed simply concepts thought up </w:t>
      </w:r>
      <w:r w:rsidR="00910726">
        <w:t xml:space="preserve">after the event </w:t>
      </w:r>
      <w:r>
        <w:t>in order to minimise exposure if patent liability was established.  I reach that conclusion</w:t>
      </w:r>
      <w:r w:rsidR="00B02FB7">
        <w:t>,</w:t>
      </w:r>
      <w:r>
        <w:t xml:space="preserve"> notwithstanding the respondents’ arguments that I have listed in detail above, for the reasons expressed below and the findings of fact that I make below in connection with this aspect of the applicants’ case.</w:t>
      </w:r>
    </w:p>
    <w:p w:rsidR="00D46AF2" w:rsidRDefault="00D46AF2" w:rsidP="00197893">
      <w:pPr>
        <w:pStyle w:val="ParaNumbering"/>
      </w:pPr>
      <w:r>
        <w:t xml:space="preserve">As a general observation, some </w:t>
      </w:r>
      <w:r w:rsidR="00AF1D5A">
        <w:t xml:space="preserve">of the evidence advanced in this case by the applicants, taken alone, </w:t>
      </w:r>
      <w:r>
        <w:t xml:space="preserve">is not probative evidence </w:t>
      </w:r>
      <w:r w:rsidR="00AF1D5A">
        <w:t xml:space="preserve">of the shifting of assets point, but </w:t>
      </w:r>
      <w:r>
        <w:t xml:space="preserve">when added </w:t>
      </w:r>
      <w:r w:rsidR="00AF1D5A">
        <w:t>to the collection of much of the other evidence</w:t>
      </w:r>
      <w:r>
        <w:t>,</w:t>
      </w:r>
      <w:r w:rsidR="00AF1D5A">
        <w:t xml:space="preserve"> can be considered as part of the totality of actions.  So, for example, while I would ordinarily place little weight on oral admissions relied upon in evidence, given that the admissions accord with much of the paperwork and other practical evidence, the admissions hold more weight than they otherwise </w:t>
      </w:r>
      <w:r>
        <w:t>might</w:t>
      </w:r>
      <w:r w:rsidR="00AF1D5A">
        <w:t>.  Some of the evidence advanced for the applicants is not of assistance in either the shifting of assets’ case or the collective involvement case, using non-technical expression</w:t>
      </w:r>
      <w:r w:rsidR="00B10CE5">
        <w:t>s</w:t>
      </w:r>
      <w:r w:rsidR="00AF1D5A">
        <w:t xml:space="preserve">.  However, much of the evidence is capable of supporting both of those inferences.  </w:t>
      </w:r>
    </w:p>
    <w:p w:rsidR="00105619" w:rsidRDefault="00D46AF2" w:rsidP="00197893">
      <w:pPr>
        <w:pStyle w:val="ParaNumbering"/>
      </w:pPr>
      <w:r>
        <w:t xml:space="preserve">I will now discuss the more detailed evidence.  </w:t>
      </w:r>
    </w:p>
    <w:p w:rsidR="00AF1D5A" w:rsidRDefault="00983484" w:rsidP="00197893">
      <w:pPr>
        <w:pStyle w:val="ParaNumbering"/>
      </w:pPr>
      <w:r>
        <w:t xml:space="preserve">Traditionally, the respondents have always traded as the </w:t>
      </w:r>
      <w:r w:rsidR="00553833">
        <w:t>‘</w:t>
      </w:r>
      <w:r>
        <w:t>Camteq</w:t>
      </w:r>
      <w:r w:rsidR="00553833">
        <w:t>’</w:t>
      </w:r>
      <w:r>
        <w:t xml:space="preserve"> business.  </w:t>
      </w:r>
      <w:r w:rsidR="00900A2B">
        <w:t>T</w:t>
      </w:r>
      <w:r>
        <w:t xml:space="preserve">hey have participated operationally and financially in the conduct of the one Camteq business.  That business offers different products to the drilling industry.  The </w:t>
      </w:r>
      <w:r w:rsidR="00FC24DD">
        <w:t>ORIshot Tool</w:t>
      </w:r>
      <w:r>
        <w:t xml:space="preserve"> and the Pro-Shot are two </w:t>
      </w:r>
      <w:r w:rsidR="00D46AF2">
        <w:t xml:space="preserve">of the </w:t>
      </w:r>
      <w:r>
        <w:t>key products.</w:t>
      </w:r>
    </w:p>
    <w:p w:rsidR="00983484" w:rsidRDefault="00250A47" w:rsidP="00197893">
      <w:pPr>
        <w:pStyle w:val="ParaNumbering"/>
      </w:pPr>
      <w:r>
        <w:t xml:space="preserve">The </w:t>
      </w:r>
      <w:r w:rsidR="00983484">
        <w:t>Camteq business commenced in 1994, having been established by Mr Kleyn, then as a sole trader.  The business commenced as a business of repairing and maintaini</w:t>
      </w:r>
      <w:r w:rsidR="00EC5B05">
        <w:t>ng Ace</w:t>
      </w:r>
      <w:r w:rsidR="00983484">
        <w:t xml:space="preserve"> </w:t>
      </w:r>
      <w:r w:rsidR="003A268E">
        <w:t>Drilling’s c</w:t>
      </w:r>
      <w:r w:rsidR="00983484">
        <w:t>ameras.  In 1995, it began operating through Mincrest, according to Mr Kleyn.  He also made it clear that the products offered by the business expanded over time</w:t>
      </w:r>
      <w:r>
        <w:t xml:space="preserve">. </w:t>
      </w:r>
      <w:r w:rsidR="00983484">
        <w:t xml:space="preserve"> </w:t>
      </w:r>
      <w:r>
        <w:t>W</w:t>
      </w:r>
      <w:r w:rsidR="00983484">
        <w:t xml:space="preserve">ith the release of the </w:t>
      </w:r>
      <w:r w:rsidR="00FC24DD">
        <w:t>ORIshot Tool</w:t>
      </w:r>
      <w:r w:rsidR="00983484">
        <w:t xml:space="preserve">, </w:t>
      </w:r>
      <w:r w:rsidR="008719E2">
        <w:t xml:space="preserve">I conclude that </w:t>
      </w:r>
      <w:r w:rsidR="00983484">
        <w:t>considerations associate</w:t>
      </w:r>
      <w:r w:rsidR="008719E2">
        <w:t>d with patent litigation led Mr </w:t>
      </w:r>
      <w:r w:rsidR="00983484">
        <w:t>Kleyn to procure Coretell and Kleyn Investments</w:t>
      </w:r>
      <w:r w:rsidR="00756049">
        <w:t xml:space="preserve">, trading as </w:t>
      </w:r>
      <w:r w:rsidR="00983484">
        <w:t>Camteq International</w:t>
      </w:r>
      <w:r w:rsidR="00FB3365">
        <w:t xml:space="preserve"> </w:t>
      </w:r>
      <w:r w:rsidR="00FB3365">
        <w:lastRenderedPageBreak/>
        <w:t>Services</w:t>
      </w:r>
      <w:r w:rsidR="00756049">
        <w:t xml:space="preserve">, </w:t>
      </w:r>
      <w:r w:rsidR="00983484">
        <w:t>to act as additional trading vehicles for the business</w:t>
      </w:r>
      <w:r w:rsidR="008719E2">
        <w:t xml:space="preserve"> </w:t>
      </w:r>
      <w:r w:rsidR="00983484">
        <w:t>in an attempt to quarantine any liability arising out of making</w:t>
      </w:r>
      <w:r w:rsidR="00756049">
        <w:t>,</w:t>
      </w:r>
      <w:r w:rsidR="00983484">
        <w:t xml:space="preserve"> and dealing in</w:t>
      </w:r>
      <w:r w:rsidR="00756049">
        <w:t>,</w:t>
      </w:r>
      <w:r w:rsidR="00983484">
        <w:t xml:space="preserve"> the </w:t>
      </w:r>
      <w:r w:rsidR="00FC24DD">
        <w:t>ORIshot Tool</w:t>
      </w:r>
      <w:r w:rsidR="00983484">
        <w:t xml:space="preserve">.  </w:t>
      </w:r>
    </w:p>
    <w:p w:rsidR="00EC5B05" w:rsidRDefault="00257261" w:rsidP="00197893">
      <w:pPr>
        <w:pStyle w:val="ParaNumbering"/>
      </w:pPr>
      <w:r>
        <w:t>The applicants point out</w:t>
      </w:r>
      <w:r w:rsidR="00756049">
        <w:t>,</w:t>
      </w:r>
      <w:r>
        <w:t xml:space="preserve"> and I accept</w:t>
      </w:r>
      <w:r w:rsidR="00756049">
        <w:t>,</w:t>
      </w:r>
      <w:r>
        <w:t xml:space="preserve"> that </w:t>
      </w:r>
      <w:r w:rsidR="00E60B60">
        <w:t xml:space="preserve">Mr Kleyn made clear in the previous proceedings before Justice Barker that although Camteq </w:t>
      </w:r>
      <w:r w:rsidR="000F6EA1">
        <w:t>Instruments</w:t>
      </w:r>
      <w:r w:rsidR="00E60B60">
        <w:t xml:space="preserve"> was the original business name under which Mincrest traded, it became known as </w:t>
      </w:r>
      <w:r w:rsidR="00756049">
        <w:t>‘</w:t>
      </w:r>
      <w:r w:rsidR="00E60B60">
        <w:t>Camteq</w:t>
      </w:r>
      <w:r w:rsidR="00756049">
        <w:t>’</w:t>
      </w:r>
      <w:r w:rsidR="00E60B60">
        <w:t xml:space="preserve"> after a period of time.  He also made it clear that it became known in the marketplace under the name Camteq.  Mr Kleyn confirmed that some people still referred to the business conducted by the respondents as being Camteq.  </w:t>
      </w:r>
    </w:p>
    <w:p w:rsidR="00756049" w:rsidRDefault="00C87FF6" w:rsidP="00197893">
      <w:pPr>
        <w:pStyle w:val="ParaNumbering"/>
      </w:pPr>
      <w:r>
        <w:t xml:space="preserve">There was other </w:t>
      </w:r>
      <w:r w:rsidR="00257261">
        <w:t xml:space="preserve">evidentiary </w:t>
      </w:r>
      <w:r>
        <w:t xml:space="preserve">support for </w:t>
      </w:r>
      <w:r w:rsidR="00257261">
        <w:t xml:space="preserve">‘Camteq’ being the known business name.  </w:t>
      </w:r>
      <w:r w:rsidR="00756049">
        <w:t>For example, i</w:t>
      </w:r>
      <w:r>
        <w:t xml:space="preserve">n the documents used </w:t>
      </w:r>
      <w:r w:rsidR="00257261">
        <w:t xml:space="preserve">by </w:t>
      </w:r>
      <w:r>
        <w:t xml:space="preserve">DHS, an authorised distributor, referred to </w:t>
      </w:r>
      <w:r w:rsidR="00756049">
        <w:t>in its published product offering list</w:t>
      </w:r>
      <w:r>
        <w:t xml:space="preserve"> to </w:t>
      </w:r>
      <w:r w:rsidR="00756049">
        <w:t>‘</w:t>
      </w:r>
      <w:r>
        <w:t>Camteq products</w:t>
      </w:r>
      <w:r w:rsidR="00756049">
        <w:t>’</w:t>
      </w:r>
      <w:r>
        <w:t xml:space="preserve">, including the </w:t>
      </w:r>
      <w:r w:rsidR="00FC24DD">
        <w:t>ORIshot Tool</w:t>
      </w:r>
      <w:r>
        <w:t>.  Another distributor</w:t>
      </w:r>
      <w:r w:rsidR="00756049">
        <w:t>,</w:t>
      </w:r>
      <w:r>
        <w:t xml:space="preserve"> ADF also set out its pricelist by reference to ‘Camteq Equipment’, including the </w:t>
      </w:r>
      <w:r w:rsidR="00FC24DD">
        <w:t>ORIshot Tool</w:t>
      </w:r>
      <w:r w:rsidR="00756049">
        <w:t>.  I</w:t>
      </w:r>
      <w:r>
        <w:t xml:space="preserve">ndustry association </w:t>
      </w:r>
      <w:r w:rsidR="00756049">
        <w:t>also recorded</w:t>
      </w:r>
      <w:r>
        <w:t xml:space="preserve"> Camteq International </w:t>
      </w:r>
      <w:r w:rsidR="00C113D5">
        <w:t xml:space="preserve">Services </w:t>
      </w:r>
      <w:r>
        <w:t xml:space="preserve">as being the supplier of, amongst other things, the </w:t>
      </w:r>
      <w:r w:rsidR="00FC24DD">
        <w:t>ORIshot Tool</w:t>
      </w:r>
      <w:r>
        <w:t xml:space="preserve">.  </w:t>
      </w:r>
    </w:p>
    <w:p w:rsidR="00756049" w:rsidRDefault="00C87FF6" w:rsidP="00197893">
      <w:pPr>
        <w:pStyle w:val="ParaNumbering"/>
      </w:pPr>
      <w:r>
        <w:t xml:space="preserve">Taken alone, these third party records would be of little assistance in ascertaining whether the applicants’ case </w:t>
      </w:r>
      <w:r w:rsidR="00756049">
        <w:t xml:space="preserve">has been </w:t>
      </w:r>
      <w:r>
        <w:t>made</w:t>
      </w:r>
      <w:r w:rsidR="00756049">
        <w:t xml:space="preserve"> out</w:t>
      </w:r>
      <w:r>
        <w:t xml:space="preserve">, but given that the information they record, at least ostensibly, comes from the respondents, </w:t>
      </w:r>
      <w:r w:rsidR="005E5C07">
        <w:t xml:space="preserve">it </w:t>
      </w:r>
      <w:r>
        <w:t>is not inconsistent with Mr Kleyn’s observation that some people do refer to ‘us as Camteq’</w:t>
      </w:r>
      <w:r w:rsidR="00756049">
        <w:t>.  T</w:t>
      </w:r>
      <w:r>
        <w:t xml:space="preserve">aken with other evidence, </w:t>
      </w:r>
      <w:r w:rsidR="00756049">
        <w:t xml:space="preserve">such evidence </w:t>
      </w:r>
      <w:r>
        <w:t xml:space="preserve">capable of </w:t>
      </w:r>
      <w:r w:rsidR="00756049">
        <w:t xml:space="preserve">contributing </w:t>
      </w:r>
      <w:r>
        <w:t xml:space="preserve">to the material on which an inference might be drawn that the business run by the respondents is, for all practical purposes, still the </w:t>
      </w:r>
      <w:r w:rsidR="00257261">
        <w:t xml:space="preserve">one </w:t>
      </w:r>
      <w:r>
        <w:t xml:space="preserve">original Camteq business.  </w:t>
      </w:r>
    </w:p>
    <w:p w:rsidR="00E60B60" w:rsidRDefault="00C87FF6" w:rsidP="00197893">
      <w:pPr>
        <w:pStyle w:val="ParaNumbering"/>
      </w:pPr>
      <w:r>
        <w:t xml:space="preserve">There is support for this from other materials.  For example, Mr Kleyn’s </w:t>
      </w:r>
      <w:r w:rsidR="00C22792">
        <w:t xml:space="preserve">professional </w:t>
      </w:r>
      <w:r>
        <w:t xml:space="preserve">record </w:t>
      </w:r>
      <w:r w:rsidR="00C22792">
        <w:t xml:space="preserve">in a </w:t>
      </w:r>
      <w:r>
        <w:t>Link</w:t>
      </w:r>
      <w:r w:rsidR="000F6EA1">
        <w:t>ed</w:t>
      </w:r>
      <w:r>
        <w:t xml:space="preserve">In profile on the internet records </w:t>
      </w:r>
      <w:r w:rsidR="00C22792">
        <w:t xml:space="preserve">his role </w:t>
      </w:r>
      <w:r>
        <w:t xml:space="preserve">as being </w:t>
      </w:r>
      <w:r w:rsidR="00C22792">
        <w:t>m</w:t>
      </w:r>
      <w:r>
        <w:t xml:space="preserve">anaging </w:t>
      </w:r>
      <w:r w:rsidR="00C22792">
        <w:t>d</w:t>
      </w:r>
      <w:r>
        <w:t xml:space="preserve">irector of Camteq International </w:t>
      </w:r>
      <w:r w:rsidR="00C113D5">
        <w:t xml:space="preserve">Services </w:t>
      </w:r>
      <w:r>
        <w:t>since 1995 (although Mr Kleyn tried to avoid this by describing it as an error</w:t>
      </w:r>
      <w:r w:rsidR="00C22792">
        <w:t xml:space="preserve"> in cross-examination</w:t>
      </w:r>
      <w:r w:rsidR="005E5C07">
        <w:t>)</w:t>
      </w:r>
      <w:r>
        <w:t xml:space="preserve">.  </w:t>
      </w:r>
    </w:p>
    <w:p w:rsidR="00F16AA9" w:rsidRDefault="00F16AA9" w:rsidP="00197893">
      <w:pPr>
        <w:pStyle w:val="ParaNumbering"/>
      </w:pPr>
      <w:r>
        <w:t xml:space="preserve">As noted, Ace </w:t>
      </w:r>
      <w:r w:rsidR="00F80C1E">
        <w:t xml:space="preserve">Drilling </w:t>
      </w:r>
      <w:r>
        <w:t>released the</w:t>
      </w:r>
      <w:r w:rsidR="00637758">
        <w:t xml:space="preserve"> </w:t>
      </w:r>
      <w:r w:rsidR="00BF240F">
        <w:t>ACT Tool</w:t>
      </w:r>
      <w:r w:rsidR="00637758">
        <w:t xml:space="preserve"> </w:t>
      </w:r>
      <w:r>
        <w:t>onto the market in late September 2004.  The evidence is that Mincrest found out about the</w:t>
      </w:r>
      <w:r w:rsidR="00637758">
        <w:t xml:space="preserve"> </w:t>
      </w:r>
      <w:r w:rsidR="00BF240F">
        <w:t>ACT Tool</w:t>
      </w:r>
      <w:r w:rsidR="00637758">
        <w:t xml:space="preserve"> </w:t>
      </w:r>
      <w:r>
        <w:t>in late November 2004.</w:t>
      </w:r>
      <w:r w:rsidR="00F80C1E">
        <w:t xml:space="preserve">  </w:t>
      </w:r>
      <w:r w:rsidR="00A77023">
        <w:t xml:space="preserve">There was evidence that Mr Kleyn responded to this without delay by engaging </w:t>
      </w:r>
      <w:r w:rsidR="00F86E73">
        <w:t xml:space="preserve">the inventor, </w:t>
      </w:r>
      <w:r w:rsidR="00A77023">
        <w:t xml:space="preserve">Mr Barker, who traded under the business name Hightech.  He was </w:t>
      </w:r>
      <w:r w:rsidR="00DB02E1">
        <w:t xml:space="preserve">retained in December 2004 to design and develop the </w:t>
      </w:r>
      <w:r w:rsidR="00FC24DD">
        <w:t>ORIshot Tool</w:t>
      </w:r>
      <w:r w:rsidR="00DB02E1">
        <w:t>.  In the course of doing so he considered the ACT</w:t>
      </w:r>
      <w:r w:rsidR="00F80C1E">
        <w:t xml:space="preserve"> Tool</w:t>
      </w:r>
      <w:r w:rsidR="00DB02E1">
        <w:t>, which was the only electronic core orientation tool on the market</w:t>
      </w:r>
      <w:r w:rsidR="00F80C1E">
        <w:t xml:space="preserve"> at that time</w:t>
      </w:r>
      <w:r w:rsidR="00DB02E1">
        <w:t xml:space="preserve">.  In </w:t>
      </w:r>
      <w:r w:rsidR="00DB02E1">
        <w:lastRenderedPageBreak/>
        <w:t>September 2006, Mr Kleyn explained</w:t>
      </w:r>
      <w:r w:rsidR="00DB659A">
        <w:t xml:space="preserve"> that</w:t>
      </w:r>
      <w:r w:rsidR="00DB02E1">
        <w:t xml:space="preserve"> </w:t>
      </w:r>
      <w:r w:rsidR="00F80C1E">
        <w:t xml:space="preserve">Version 1 of the </w:t>
      </w:r>
      <w:r w:rsidR="00337C85">
        <w:t>ORIshot Tool</w:t>
      </w:r>
      <w:r w:rsidR="00DB02E1">
        <w:t xml:space="preserve"> was duly released onto the market.  The applicants make much of the naming of the </w:t>
      </w:r>
      <w:r w:rsidR="00FC24DD">
        <w:t>ORIshot Tool</w:t>
      </w:r>
      <w:r w:rsidR="00DB02E1">
        <w:t>, but I c</w:t>
      </w:r>
      <w:r w:rsidR="00CB2F6B">
        <w:t>onsider that this adds little or</w:t>
      </w:r>
      <w:r w:rsidR="00DB02E1">
        <w:t xml:space="preserve"> nothing to the applicants’ case.</w:t>
      </w:r>
    </w:p>
    <w:p w:rsidR="007566F0" w:rsidRDefault="00CB2F6B" w:rsidP="00197893">
      <w:pPr>
        <w:pStyle w:val="ParaNumbering"/>
      </w:pPr>
      <w:r>
        <w:t>As the applicants note, t</w:t>
      </w:r>
      <w:r w:rsidR="007566F0">
        <w:t xml:space="preserve">he </w:t>
      </w:r>
      <w:r w:rsidR="00FC24DD">
        <w:t>ORIshot Tool</w:t>
      </w:r>
      <w:r w:rsidR="007566F0">
        <w:t xml:space="preserve"> was marketed by Mr Kleyn to Camteq’s existing Pro-Shot users.  Although Mr Kleyn originally denied this, he accepted </w:t>
      </w:r>
      <w:r w:rsidR="00FB5CAE">
        <w:t xml:space="preserve">this </w:t>
      </w:r>
      <w:r w:rsidR="007566F0">
        <w:t xml:space="preserve">when </w:t>
      </w:r>
      <w:r w:rsidR="00FB5CAE">
        <w:t xml:space="preserve">he was </w:t>
      </w:r>
      <w:r w:rsidR="007566F0">
        <w:t>taken to his affidavit in the previous proceeding</w:t>
      </w:r>
      <w:r w:rsidR="00FB5CAE">
        <w:t xml:space="preserve"> where </w:t>
      </w:r>
      <w:r w:rsidR="007566F0">
        <w:t xml:space="preserve">he had given that evidence.  When </w:t>
      </w:r>
      <w:r w:rsidR="00F612AF">
        <w:t>Version</w:t>
      </w:r>
      <w:r w:rsidR="007566F0">
        <w:t xml:space="preserve"> 2 of the </w:t>
      </w:r>
      <w:r w:rsidR="00337C85">
        <w:t>ORIshot Tool</w:t>
      </w:r>
      <w:r w:rsidR="007566F0">
        <w:t xml:space="preserve"> was released in April 2009, </w:t>
      </w:r>
      <w:r w:rsidR="00FB5CAE">
        <w:t>Mr Kleyn explained in cross-examination</w:t>
      </w:r>
      <w:r w:rsidR="005D05F5">
        <w:t xml:space="preserve"> that </w:t>
      </w:r>
      <w:r w:rsidR="007566F0">
        <w:t xml:space="preserve">it was also promoted to </w:t>
      </w:r>
      <w:r w:rsidR="005D05F5">
        <w:t xml:space="preserve">existing </w:t>
      </w:r>
      <w:r w:rsidR="007566F0">
        <w:t>Pro-Shot users.</w:t>
      </w:r>
      <w:r>
        <w:t xml:space="preserve">  </w:t>
      </w:r>
      <w:r w:rsidR="007F035E">
        <w:t>In the meantime, shortly after its release</w:t>
      </w:r>
      <w:r w:rsidR="005D05F5">
        <w:t xml:space="preserve">, </w:t>
      </w:r>
      <w:r w:rsidR="007F035E">
        <w:t>Mr Kleyn gave evidence that he received a letter of demand addressed to Mincrest</w:t>
      </w:r>
      <w:r w:rsidR="005D05F5">
        <w:t xml:space="preserve"> on about 16 November 2006</w:t>
      </w:r>
      <w:r w:rsidR="007F035E">
        <w:t xml:space="preserve">.  This demand alleged that Mincrest was infringing the Patents by making and dealing in the </w:t>
      </w:r>
      <w:r w:rsidR="00FC24DD">
        <w:t>ORIshot Tool</w:t>
      </w:r>
      <w:r w:rsidR="007F035E">
        <w:t>.  Mr Kleyn’s evidence was that he was concerned about the allegations and did not wish to risk the prospect of Mincrest</w:t>
      </w:r>
      <w:r w:rsidR="005D05F5">
        <w:t>,</w:t>
      </w:r>
      <w:r w:rsidR="007F035E">
        <w:t xml:space="preserve"> or Coretell</w:t>
      </w:r>
      <w:r w:rsidR="005D05F5">
        <w:t>,</w:t>
      </w:r>
      <w:r w:rsidR="007F035E">
        <w:t xml:space="preserve"> having to pay damages if found liable.  He agreed that he began ostensibly trading through Coretell after having received the letter</w:t>
      </w:r>
      <w:r w:rsidR="005D05F5">
        <w:t>,</w:t>
      </w:r>
      <w:r w:rsidR="007F035E">
        <w:t xml:space="preserve"> and that doing so was no coincidence.  </w:t>
      </w:r>
      <w:r w:rsidR="004A3327">
        <w:t xml:space="preserve">Coretell was introduced, therefore, as an additional trading vehicle operating within the business after the letter of demand was received.  </w:t>
      </w:r>
    </w:p>
    <w:p w:rsidR="005D05F5" w:rsidRDefault="00E73701" w:rsidP="00197893">
      <w:pPr>
        <w:pStyle w:val="ParaNumbering"/>
      </w:pPr>
      <w:r>
        <w:t xml:space="preserve">I accept the applicants’ </w:t>
      </w:r>
      <w:r w:rsidR="00DB659A">
        <w:t>submission</w:t>
      </w:r>
      <w:r>
        <w:t xml:space="preserve">, not just on this evidence but on other evidence to which I will refer, that Mr Kleyn was attempting to confine liability to Coretell.  Mr Kleyn made remarks to a number of people which confirmed this.  Any one of those remarks taken alone would be </w:t>
      </w:r>
      <w:r w:rsidR="00D06C55">
        <w:t xml:space="preserve">a relatively </w:t>
      </w:r>
      <w:r w:rsidR="005D05F5">
        <w:t>insignificant</w:t>
      </w:r>
      <w:r w:rsidR="00D06C55">
        <w:t xml:space="preserve"> piece</w:t>
      </w:r>
      <w:r>
        <w:t xml:space="preserve"> of information, but when it is all put together it is difficult to </w:t>
      </w:r>
      <w:r w:rsidR="00D06C55">
        <w:t>resist the conclusion</w:t>
      </w:r>
      <w:r>
        <w:t xml:space="preserve"> that Mr Kleyn’s intentions were to protect the assets then held by Mincrest while, at the same time, benefitting from trading in the </w:t>
      </w:r>
      <w:r w:rsidR="00FC24DD">
        <w:t>ORIshot Tool</w:t>
      </w:r>
      <w:r>
        <w:t xml:space="preserve">.  The attempt to confine liability to Coretell accorded with remarks </w:t>
      </w:r>
      <w:r w:rsidR="005D05F5">
        <w:t xml:space="preserve">which </w:t>
      </w:r>
      <w:r>
        <w:t xml:space="preserve">Mr Kleyn </w:t>
      </w:r>
      <w:r w:rsidR="005D05F5">
        <w:t xml:space="preserve">had </w:t>
      </w:r>
      <w:r>
        <w:t xml:space="preserve">made to several witnesses and other people.  </w:t>
      </w:r>
    </w:p>
    <w:p w:rsidR="00A33CE0" w:rsidRDefault="00E73701" w:rsidP="00197893">
      <w:pPr>
        <w:pStyle w:val="ParaNumbering"/>
      </w:pPr>
      <w:r>
        <w:t xml:space="preserve">Mr Barker recalled having a conversation with Mr Kleyn and deposed to it in an affidavit drafted, settled and filed by the respondents’ legal representatives in the prior proceeding.  Although Mr Kleyn denied making </w:t>
      </w:r>
      <w:r w:rsidR="00A33CE0">
        <w:t xml:space="preserve">such </w:t>
      </w:r>
      <w:r>
        <w:t xml:space="preserve">remarks to Mr Barker, I accept Mr Barker’s evidence.  </w:t>
      </w:r>
    </w:p>
    <w:p w:rsidR="004A3327" w:rsidRDefault="00D06C55" w:rsidP="00197893">
      <w:pPr>
        <w:pStyle w:val="ParaNumbering"/>
      </w:pPr>
      <w:r>
        <w:t>Th</w:t>
      </w:r>
      <w:r w:rsidR="00E73701">
        <w:t xml:space="preserve">ere is also evidence from Mr </w:t>
      </w:r>
      <w:r w:rsidR="000F6EA1">
        <w:t>Weston</w:t>
      </w:r>
      <w:r w:rsidR="00E73701">
        <w:t xml:space="preserve"> </w:t>
      </w:r>
      <w:r w:rsidR="00B14E8F">
        <w:t>in particular, who said he was told by Mr </w:t>
      </w:r>
      <w:r w:rsidR="00E73701">
        <w:t xml:space="preserve">Kleyn that he had transferred assets into other companies to avoid the consequences of any adverse judgment in the previous </w:t>
      </w:r>
      <w:r w:rsidR="00A33CE0">
        <w:t>proceeding</w:t>
      </w:r>
      <w:r w:rsidR="00E73701">
        <w:t xml:space="preserve">.  </w:t>
      </w:r>
      <w:r w:rsidR="00B14E8F">
        <w:t xml:space="preserve">Mr Budiselic also gave evidence of a conversation with Mr Kleyn to the same effect.  </w:t>
      </w:r>
    </w:p>
    <w:p w:rsidR="00BD5E68" w:rsidRDefault="00D06C55" w:rsidP="00197893">
      <w:pPr>
        <w:pStyle w:val="ParaNumbering"/>
      </w:pPr>
      <w:r>
        <w:lastRenderedPageBreak/>
        <w:t>Mr Kleyn</w:t>
      </w:r>
      <w:r w:rsidR="00304650">
        <w:t xml:space="preserve"> has suggested in his evidence in chief that he actually transferred the ‘proprietary rights’ in the </w:t>
      </w:r>
      <w:r w:rsidR="00FC24DD">
        <w:t>ORIshot Tool</w:t>
      </w:r>
      <w:r w:rsidR="00304650">
        <w:t xml:space="preserve"> from Mincrest to Coretell in November 2006.  I do not accept this evidence.  There is no document, contemporaneous or otherwise, to record this supposed transaction.  It was not an allegation that was proved by the respondents in the previous </w:t>
      </w:r>
      <w:r w:rsidR="00A33CE0">
        <w:t>proceeding</w:t>
      </w:r>
      <w:r w:rsidR="00304650">
        <w:t xml:space="preserve">.  It is not apparent that any good will was transferred, as might be expected.  </w:t>
      </w:r>
      <w:r w:rsidR="007C27CA">
        <w:t xml:space="preserve">There was no suggestion that the transfer was </w:t>
      </w:r>
      <w:r w:rsidR="00BD5E68">
        <w:t>supported by any consideration whatsoever.</w:t>
      </w:r>
      <w:r w:rsidR="00A33CE0">
        <w:t xml:space="preserve">  </w:t>
      </w:r>
      <w:r w:rsidR="00BD5E68">
        <w:t>It is completely uncorroborated, inherently unlikely and dependent only upo</w:t>
      </w:r>
      <w:r>
        <w:t xml:space="preserve">n the evidence of a witness whom </w:t>
      </w:r>
      <w:r w:rsidR="00BD5E68">
        <w:t xml:space="preserve">I have found to be unreliable.  </w:t>
      </w:r>
    </w:p>
    <w:p w:rsidR="00BD5E68" w:rsidRDefault="00362432" w:rsidP="00197893">
      <w:pPr>
        <w:pStyle w:val="ParaNumbering"/>
      </w:pPr>
      <w:r>
        <w:t xml:space="preserve">As indicated above, I accept the evidence of Mr Weston and consider him to be a reliable and credible witness.  As also noted above, I consider Mr Budiselic’s evidence on this topic to not be particularly helpful.  I am satisfied on the basis of Mr Kleyn’s evidence and the evidence of Mr Barker and Mr Weston that the transfer was a sham.  </w:t>
      </w:r>
      <w:r w:rsidR="008B277A">
        <w:t xml:space="preserve">I accept the submission from the applicants that the </w:t>
      </w:r>
      <w:r w:rsidR="00C01E38">
        <w:t>Notional A</w:t>
      </w:r>
      <w:r w:rsidR="008B277A">
        <w:t xml:space="preserve">ssignment is a recent invention, </w:t>
      </w:r>
      <w:r w:rsidR="008821BC">
        <w:t xml:space="preserve">which has been </w:t>
      </w:r>
      <w:r w:rsidR="008B277A">
        <w:t xml:space="preserve">tailored for the purposes of this litigation.  </w:t>
      </w:r>
    </w:p>
    <w:p w:rsidR="008B277A" w:rsidRDefault="008D57AB" w:rsidP="00197893">
      <w:pPr>
        <w:pStyle w:val="ParaNumbering"/>
      </w:pPr>
      <w:r>
        <w:t>It was plain from the cross-examination of Mr Kleyn</w:t>
      </w:r>
      <w:r w:rsidR="008821BC">
        <w:t>,</w:t>
      </w:r>
      <w:r>
        <w:t xml:space="preserve"> and equally correspondingly opaque from the content of his own statement</w:t>
      </w:r>
      <w:r w:rsidR="008821BC">
        <w:t>,</w:t>
      </w:r>
      <w:r>
        <w:t xml:space="preserve"> that there was </w:t>
      </w:r>
      <w:r w:rsidR="008821BC">
        <w:t xml:space="preserve">a </w:t>
      </w:r>
      <w:r>
        <w:t xml:space="preserve">significant lack of specificity or clarity about precisely what was conveyed and when and how.  It appears that </w:t>
      </w:r>
      <w:r w:rsidR="008821BC">
        <w:t xml:space="preserve">at </w:t>
      </w:r>
      <w:r>
        <w:t xml:space="preserve">best Mr Kleyn can </w:t>
      </w:r>
      <w:r w:rsidR="008821BC">
        <w:t xml:space="preserve">try to prove </w:t>
      </w:r>
      <w:r>
        <w:t xml:space="preserve">that he </w:t>
      </w:r>
      <w:r w:rsidR="00C01E38">
        <w:t xml:space="preserve">may have </w:t>
      </w:r>
      <w:r>
        <w:t>had some conversation with himself which resulted in the effective transfer of at least part of a business.  Mr Kleyn’s version was that, on behalf of Mincrest, he handed the product to Coretell and he received it</w:t>
      </w:r>
      <w:r w:rsidR="008821BC" w:rsidRPr="008821BC">
        <w:t xml:space="preserve"> </w:t>
      </w:r>
      <w:r w:rsidR="008821BC">
        <w:t>on behalf of Coretell</w:t>
      </w:r>
      <w:r>
        <w:t xml:space="preserve">.  </w:t>
      </w:r>
    </w:p>
    <w:p w:rsidR="008D57AB" w:rsidRDefault="00600D68" w:rsidP="00197893">
      <w:pPr>
        <w:pStyle w:val="ParaNumbering"/>
      </w:pPr>
      <w:r>
        <w:t xml:space="preserve">In any event, it is clear on the evidence that Mincrest did continue to be involved in dealing with the </w:t>
      </w:r>
      <w:r w:rsidR="00FC24DD">
        <w:t>ORIshot Tool</w:t>
      </w:r>
      <w:r>
        <w:t xml:space="preserve">.  It sent invoices on 31 January 2007 to Silver City.  Manufacturing invoices from Hightech Laboratories were </w:t>
      </w:r>
      <w:r w:rsidR="00712595">
        <w:t xml:space="preserve">also </w:t>
      </w:r>
      <w:r>
        <w:t>sent to Camteq I</w:t>
      </w:r>
      <w:r w:rsidR="000919D3">
        <w:t>nstruments</w:t>
      </w:r>
      <w:r w:rsidR="00712595">
        <w:t>, that is, Mincrest</w:t>
      </w:r>
      <w:r w:rsidR="000919D3">
        <w:t xml:space="preserve">.  Web extracts </w:t>
      </w:r>
      <w:r w:rsidR="00712595">
        <w:t xml:space="preserve">from </w:t>
      </w:r>
      <w:r w:rsidR="000919D3">
        <w:t xml:space="preserve">Camteq’s webpage </w:t>
      </w:r>
      <w:r w:rsidR="00712595">
        <w:t xml:space="preserve">at www.camteq.com.au </w:t>
      </w:r>
      <w:r w:rsidR="000919D3">
        <w:t xml:space="preserve">on 2 March 2007 showed dealings with Oritech.  The agreement between </w:t>
      </w:r>
      <w:r w:rsidR="00712595">
        <w:t>Mincrest and DHS on 11 </w:t>
      </w:r>
      <w:r w:rsidR="000919D3">
        <w:t xml:space="preserve">November 2011 included reference to </w:t>
      </w:r>
      <w:r w:rsidR="0082505E">
        <w:t>Oritech</w:t>
      </w:r>
      <w:r w:rsidR="000919D3">
        <w:t xml:space="preserve">.  Purchase orders from DHS to </w:t>
      </w:r>
      <w:r w:rsidR="00712595">
        <w:t xml:space="preserve">Mincrest, trading as Camteq Instruments, </w:t>
      </w:r>
      <w:r w:rsidR="000919D3">
        <w:t xml:space="preserve">from November 2011, include </w:t>
      </w:r>
      <w:r w:rsidR="0082505E">
        <w:t>Oritech</w:t>
      </w:r>
      <w:r w:rsidR="000919D3">
        <w:t>.</w:t>
      </w:r>
    </w:p>
    <w:p w:rsidR="00380691" w:rsidRDefault="00D06C55" w:rsidP="00197893">
      <w:pPr>
        <w:pStyle w:val="ParaNumbering"/>
      </w:pPr>
      <w:r>
        <w:t xml:space="preserve">I </w:t>
      </w:r>
      <w:r w:rsidR="002840A3">
        <w:t xml:space="preserve">also </w:t>
      </w:r>
      <w:r>
        <w:t xml:space="preserve">conclude that there was </w:t>
      </w:r>
      <w:r w:rsidR="00380691">
        <w:t xml:space="preserve">financial and operational inter-dependence between Mincrest and Coretell in various ways, for example, prior to moving into the Maddington Warehouse, Coretell did not employ any of the numerous staff working for the Coretell business; did not incur operational expenses, such as wages, plant and equipment, office </w:t>
      </w:r>
      <w:r w:rsidR="00380691">
        <w:lastRenderedPageBreak/>
        <w:t xml:space="preserve">expenses; and, apart from a motor vehicle, did not own any plant or equipment.  It was Camteq that bore all </w:t>
      </w:r>
      <w:r w:rsidR="00712595">
        <w:t xml:space="preserve">of </w:t>
      </w:r>
      <w:r w:rsidR="00380691">
        <w:t>those expenses.  Coretell was not operating as an independent company during any of the periods for which the accounting records were provided</w:t>
      </w:r>
      <w:r w:rsidR="00712595">
        <w:t xml:space="preserve">.  </w:t>
      </w:r>
      <w:r w:rsidR="00B66650">
        <w:t>Without t</w:t>
      </w:r>
      <w:r w:rsidR="00712595">
        <w:t xml:space="preserve">he </w:t>
      </w:r>
      <w:r w:rsidR="00380691">
        <w:t>trust distributions</w:t>
      </w:r>
      <w:r w:rsidR="00B66650">
        <w:t>,</w:t>
      </w:r>
      <w:r w:rsidR="00380691">
        <w:t xml:space="preserve"> Coretell would have reported significant cumulative losses</w:t>
      </w:r>
      <w:r w:rsidR="00ED141C">
        <w:t xml:space="preserve">.  This was confirmed by the </w:t>
      </w:r>
      <w:r w:rsidR="00380691">
        <w:t xml:space="preserve">evidence of Mr Ross.  </w:t>
      </w:r>
    </w:p>
    <w:p w:rsidR="00380691" w:rsidRDefault="00533DFA" w:rsidP="00197893">
      <w:pPr>
        <w:pStyle w:val="ParaNumbering"/>
      </w:pPr>
      <w:r>
        <w:t xml:space="preserve">The evidence of Mr Kleyn was that, following the assignment of the </w:t>
      </w:r>
      <w:r w:rsidR="00FC24DD">
        <w:t>ORIshot Tool</w:t>
      </w:r>
      <w:r>
        <w:t xml:space="preserve"> and all </w:t>
      </w:r>
      <w:r w:rsidR="00712595">
        <w:t xml:space="preserve">of the </w:t>
      </w:r>
      <w:r>
        <w:t>intellectual property rights in it to Coretell</w:t>
      </w:r>
      <w:r w:rsidR="00712595">
        <w:t xml:space="preserve">, that is, </w:t>
      </w:r>
      <w:r>
        <w:t>mentally, while sitting in his office</w:t>
      </w:r>
      <w:r w:rsidR="00712595">
        <w:t>,</w:t>
      </w:r>
      <w:r>
        <w:t xml:space="preserve"> the intellectual property rights remain</w:t>
      </w:r>
      <w:r w:rsidR="00712595">
        <w:t>ed</w:t>
      </w:r>
      <w:r>
        <w:t xml:space="preserve"> and continue to remain with Coretell.  This does not accord with reality as another group member, Reservoir Nominees, registered the trade mark </w:t>
      </w:r>
      <w:r w:rsidR="00712595">
        <w:t>‘</w:t>
      </w:r>
      <w:r w:rsidR="00EE7727">
        <w:t>ORIshot</w:t>
      </w:r>
      <w:r w:rsidR="00712595">
        <w:t>’</w:t>
      </w:r>
      <w:r>
        <w:t>.   It was quite unclear as to how Reservoir Nominees came to register a trade mark which Mr Kleyn said was held by Coretell.  Mr Kleyn said that he was able</w:t>
      </w:r>
      <w:r w:rsidR="002840A3">
        <w:t>,</w:t>
      </w:r>
      <w:r>
        <w:t xml:space="preserve"> to the extent </w:t>
      </w:r>
      <w:r w:rsidR="00712595">
        <w:t xml:space="preserve">that </w:t>
      </w:r>
      <w:r>
        <w:t>he wanted something done within the group</w:t>
      </w:r>
      <w:r w:rsidR="002840A3">
        <w:t>,</w:t>
      </w:r>
      <w:r>
        <w:t xml:space="preserve"> to arrange it by letter or </w:t>
      </w:r>
      <w:r w:rsidR="00712595">
        <w:t>‘</w:t>
      </w:r>
      <w:r>
        <w:t>verbally as well</w:t>
      </w:r>
      <w:r w:rsidR="00712595">
        <w:t>’,</w:t>
      </w:r>
      <w:r>
        <w:t xml:space="preserve"> </w:t>
      </w:r>
      <w:r w:rsidR="00712595">
        <w:t xml:space="preserve">that is, by </w:t>
      </w:r>
      <w:r>
        <w:t xml:space="preserve">having a conversation with himself.  </w:t>
      </w:r>
    </w:p>
    <w:p w:rsidR="00C87FF6" w:rsidRDefault="00712595" w:rsidP="00197893">
      <w:pPr>
        <w:pStyle w:val="ParaNumbering"/>
      </w:pPr>
      <w:r>
        <w:t xml:space="preserve">Mr Kleyn </w:t>
      </w:r>
      <w:r w:rsidR="00916D12">
        <w:t xml:space="preserve">explained that Reservoir Nominees holds the intellectual property rights, such as the registered trade mark for ‘ORIshot’ and the various patents that would cover the </w:t>
      </w:r>
      <w:r w:rsidR="00FC24DD">
        <w:t>ORIshot Tool</w:t>
      </w:r>
      <w:r w:rsidR="00916D12">
        <w:t xml:space="preserve"> ‘because I’ve told [Reservoir Nominees] to hold it’.  </w:t>
      </w:r>
    </w:p>
    <w:p w:rsidR="00916D12" w:rsidRDefault="00637A3B" w:rsidP="00197893">
      <w:pPr>
        <w:pStyle w:val="ParaNumbering"/>
      </w:pPr>
      <w:r>
        <w:t xml:space="preserve">It is clear that all </w:t>
      </w:r>
      <w:r w:rsidR="00712595">
        <w:t xml:space="preserve">of </w:t>
      </w:r>
      <w:r>
        <w:t xml:space="preserve">these arrangements are entirely fanciful and are no more than an idea constructed after the event.  There is no effective assignment and Mincrest continues to own the intellectual property in the </w:t>
      </w:r>
      <w:r w:rsidR="00FC24DD">
        <w:t>ORIshot Tool</w:t>
      </w:r>
      <w:r>
        <w:t xml:space="preserve"> and any associated assets, even though Coretell deals with the </w:t>
      </w:r>
      <w:r w:rsidR="00FC24DD">
        <w:t>ORIshot Tool</w:t>
      </w:r>
      <w:r>
        <w:t xml:space="preserve"> </w:t>
      </w:r>
      <w:r w:rsidR="00712595">
        <w:t>(</w:t>
      </w:r>
      <w:r>
        <w:t>as though it were licensed to do so</w:t>
      </w:r>
      <w:r w:rsidR="00712595">
        <w:t>)</w:t>
      </w:r>
      <w:r>
        <w:t xml:space="preserve"> as well as the books and the associated revenue.  The Camteq business continues to operate, albeit that there are different trading and corporate entities within the respondents’ business.  </w:t>
      </w:r>
    </w:p>
    <w:p w:rsidR="00712595" w:rsidRDefault="005A25D8" w:rsidP="00197893">
      <w:pPr>
        <w:pStyle w:val="ParaNumbering"/>
      </w:pPr>
      <w:r>
        <w:t xml:space="preserve">In February 2010, as the trial in the previous proceeding before Justice Barker was about to commence on 19 April 2010, Mr Kleyn took the additional step of arranging for Kleyn Investments to become another trading vehicle in </w:t>
      </w:r>
      <w:r w:rsidR="00712595">
        <w:t xml:space="preserve">the </w:t>
      </w:r>
      <w:r>
        <w:t xml:space="preserve">business.  His evidence was that he did so for the purpose of having it deal solely </w:t>
      </w:r>
      <w:r w:rsidR="00712595">
        <w:t xml:space="preserve">with </w:t>
      </w:r>
      <w:r>
        <w:t xml:space="preserve">the Pro-Shot.  I </w:t>
      </w:r>
      <w:r w:rsidR="00015988">
        <w:t xml:space="preserve">draw the </w:t>
      </w:r>
      <w:r>
        <w:t>infer</w:t>
      </w:r>
      <w:r w:rsidR="00015988">
        <w:t>ence, as invited to do so by the applicants,</w:t>
      </w:r>
      <w:r>
        <w:t xml:space="preserve"> that his logic was to leave Mincrest with nothing, given its exposure to patent infringement liability for making and dealing in the </w:t>
      </w:r>
      <w:r w:rsidR="00FC24DD">
        <w:t>ORIshot Tool</w:t>
      </w:r>
      <w:r>
        <w:t xml:space="preserve">.  </w:t>
      </w:r>
    </w:p>
    <w:p w:rsidR="00712595" w:rsidRDefault="00B66650" w:rsidP="00197893">
      <w:pPr>
        <w:pStyle w:val="ParaNumbering"/>
      </w:pPr>
      <w:r>
        <w:t xml:space="preserve">This </w:t>
      </w:r>
      <w:r w:rsidR="005C6ACA">
        <w:t>n</w:t>
      </w:r>
      <w:r w:rsidR="00015988">
        <w:t xml:space="preserve">otional </w:t>
      </w:r>
      <w:r w:rsidR="005C6ACA">
        <w:t>a</w:t>
      </w:r>
      <w:r w:rsidR="00015988">
        <w:t xml:space="preserve">ssignment </w:t>
      </w:r>
      <w:r>
        <w:t xml:space="preserve">from Mincrest to </w:t>
      </w:r>
      <w:r w:rsidR="00015988">
        <w:t xml:space="preserve">Kleyn Investments </w:t>
      </w:r>
      <w:r>
        <w:t xml:space="preserve">in respect of the Pro-Shot </w:t>
      </w:r>
      <w:r w:rsidR="00015988">
        <w:t xml:space="preserve">was as ineffective and fanciful as the assignment </w:t>
      </w:r>
      <w:r>
        <w:t xml:space="preserve">from Mincrest </w:t>
      </w:r>
      <w:r w:rsidR="00015988">
        <w:t>to Coretell</w:t>
      </w:r>
      <w:r>
        <w:t xml:space="preserve"> in respect of the ORIshot</w:t>
      </w:r>
      <w:r w:rsidR="00015988">
        <w:t>.  I</w:t>
      </w:r>
      <w:r w:rsidR="00D06C55">
        <w:t xml:space="preserve"> find that i</w:t>
      </w:r>
      <w:r w:rsidR="00015988">
        <w:t xml:space="preserve">t did not take place.  </w:t>
      </w:r>
    </w:p>
    <w:p w:rsidR="00C22C91" w:rsidRDefault="00015988" w:rsidP="00197893">
      <w:pPr>
        <w:pStyle w:val="ParaNumbering"/>
      </w:pPr>
      <w:r>
        <w:lastRenderedPageBreak/>
        <w:t xml:space="preserve">Alternatively, if it did take place very informally somehow in the same </w:t>
      </w:r>
      <w:r w:rsidR="00C22C91">
        <w:t xml:space="preserve">mental </w:t>
      </w:r>
      <w:r>
        <w:t xml:space="preserve">manner described as above in respect of the notional Coretell </w:t>
      </w:r>
      <w:r w:rsidR="007E2FBB">
        <w:t>assignment</w:t>
      </w:r>
      <w:r>
        <w:t xml:space="preserve">, it was entirely ineffective.  </w:t>
      </w:r>
    </w:p>
    <w:p w:rsidR="00C22C91" w:rsidRDefault="00C22C91" w:rsidP="00197893">
      <w:pPr>
        <w:pStyle w:val="ParaNumbering"/>
      </w:pPr>
      <w:r>
        <w:t>T</w:t>
      </w:r>
      <w:r w:rsidR="00015988">
        <w:t xml:space="preserve">he fact that Reservoir Nominees has registered the trade mark </w:t>
      </w:r>
      <w:r>
        <w:t>‘</w:t>
      </w:r>
      <w:r w:rsidR="00015988">
        <w:t>PROSHOT</w:t>
      </w:r>
      <w:r>
        <w:t>’ contradicts Mr Kleyn’s suggestion that all of the intellectual property in the Pro-Shot was assigned to Kleyn Investments</w:t>
      </w:r>
      <w:r w:rsidR="00015988">
        <w:t xml:space="preserve">.  </w:t>
      </w:r>
    </w:p>
    <w:p w:rsidR="00637A3B" w:rsidRDefault="00015988" w:rsidP="00197893">
      <w:pPr>
        <w:pStyle w:val="ParaNumbering"/>
      </w:pPr>
      <w:r>
        <w:t xml:space="preserve">It follows then that </w:t>
      </w:r>
      <w:r w:rsidR="00C22C91">
        <w:t xml:space="preserve">in </w:t>
      </w:r>
      <w:r>
        <w:t>the abse</w:t>
      </w:r>
      <w:r w:rsidR="00C22C91">
        <w:t>nce of any effective assignment</w:t>
      </w:r>
      <w:r>
        <w:t xml:space="preserve">, all of the intellectual property rights and other assets continue to be held by Mincrest.  Although Kleyn Investments continues to deal with the </w:t>
      </w:r>
      <w:r w:rsidR="00C22C91">
        <w:t>Pro-Shot,</w:t>
      </w:r>
      <w:r>
        <w:t xml:space="preserve"> as though under </w:t>
      </w:r>
      <w:r w:rsidR="00C22C91">
        <w:t xml:space="preserve">a </w:t>
      </w:r>
      <w:r>
        <w:t>licence</w:t>
      </w:r>
      <w:r w:rsidR="00C22C91">
        <w:t xml:space="preserve"> to do so</w:t>
      </w:r>
      <w:r>
        <w:t xml:space="preserve">, deriving associated sales revenue and incurring operational costs, the assets of the business remain with Mincrest.  </w:t>
      </w:r>
    </w:p>
    <w:p w:rsidR="00015988" w:rsidRDefault="00B4789D" w:rsidP="00197893">
      <w:pPr>
        <w:pStyle w:val="ParaNumbering"/>
      </w:pPr>
      <w:r>
        <w:t>Although Mr Kleyn gave evidence that Mincrest ceased to trade in February 2010, he renewed Mincrest</w:t>
      </w:r>
      <w:r w:rsidR="00C22C91">
        <w:t>’s</w:t>
      </w:r>
      <w:r>
        <w:t xml:space="preserve"> business name on 18 March 2010.  There is no documentary corroboration of Mincrest having ceased trading on the date suggested</w:t>
      </w:r>
      <w:r w:rsidR="00C22C91">
        <w:t>.  I</w:t>
      </w:r>
      <w:r>
        <w:t>ndeed, it continued to be involved in the operation of the business. Mincrest continued to bear expenses for both Coretell and Kleyn Investments in the 2010 financial year, at a time after it is said to have ceased trading.  Those statements reveal that neither Coretell</w:t>
      </w:r>
      <w:r w:rsidR="00C22C91">
        <w:t>,</w:t>
      </w:r>
      <w:r>
        <w:t xml:space="preserve"> nor Kleyn Investments</w:t>
      </w:r>
      <w:r w:rsidR="00C22C91">
        <w:t>,</w:t>
      </w:r>
      <w:r>
        <w:t xml:space="preserve"> paid wages in that year.  </w:t>
      </w:r>
    </w:p>
    <w:p w:rsidR="00807D39" w:rsidRDefault="00141BB7" w:rsidP="00197893">
      <w:pPr>
        <w:pStyle w:val="ParaNumbering"/>
      </w:pPr>
      <w:r>
        <w:t xml:space="preserve">The respondents’ suggestion that a management fee compensates Kleyn Investments </w:t>
      </w:r>
      <w:r w:rsidR="0017746C">
        <w:t>is not plausible</w:t>
      </w:r>
      <w:r w:rsidR="00C22C91">
        <w:t xml:space="preserve">.  </w:t>
      </w:r>
      <w:r>
        <w:t xml:space="preserve">2009 was the only relevant year in which a fee </w:t>
      </w:r>
      <w:r w:rsidR="00D333C9">
        <w:t>was charged.  The fee itself wa</w:t>
      </w:r>
      <w:r w:rsidR="005C788E">
        <w:t>s determined arbitrarily by Mr Kley</w:t>
      </w:r>
      <w:r w:rsidR="00C22C91">
        <w:t>n depending on what he considered</w:t>
      </w:r>
      <w:r w:rsidR="005C788E">
        <w:t xml:space="preserve"> to be ‘fair’ and the state of Coretell’s finances, because</w:t>
      </w:r>
      <w:r w:rsidR="00C22C91">
        <w:t xml:space="preserve"> according to Mr Kleyn,</w:t>
      </w:r>
      <w:r w:rsidR="005C788E">
        <w:t xml:space="preserve"> he can decide what he wants to do.  </w:t>
      </w:r>
      <w:r w:rsidR="00C22C91">
        <w:t>T</w:t>
      </w:r>
      <w:r w:rsidR="00D333C9">
        <w:t xml:space="preserve">he rent for occupation of the Maddington Warehouse </w:t>
      </w:r>
      <w:r w:rsidR="00B117FE">
        <w:t xml:space="preserve">is also </w:t>
      </w:r>
      <w:r w:rsidR="00D333C9">
        <w:t>arbitrary</w:t>
      </w:r>
      <w:r w:rsidR="00B117FE">
        <w:t xml:space="preserve">.  </w:t>
      </w:r>
      <w:r w:rsidR="00D333C9">
        <w:t xml:space="preserve">Mr Kleyn determines rent payments for Coretell and Kleyn Investments </w:t>
      </w:r>
      <w:r w:rsidR="00B117FE">
        <w:t xml:space="preserve">as </w:t>
      </w:r>
      <w:r w:rsidR="00D333C9">
        <w:t>he sees fit.  He does so because, in his own words, he ‘can’.  Coretell has often not paid rent</w:t>
      </w:r>
      <w:r w:rsidR="0014408F">
        <w:t>.  (I</w:t>
      </w:r>
      <w:r w:rsidR="00D333C9">
        <w:t>t is sa</w:t>
      </w:r>
      <w:r w:rsidR="0014408F">
        <w:t>id by Mr Kenny to have accrued.)</w:t>
      </w:r>
      <w:r w:rsidR="00D333C9">
        <w:t xml:space="preserve">  </w:t>
      </w:r>
      <w:r w:rsidR="00D95E32">
        <w:t xml:space="preserve">These are not commercially based payments, but strategic creations.  </w:t>
      </w:r>
    </w:p>
    <w:p w:rsidR="00120778" w:rsidRDefault="0087466D" w:rsidP="00197893">
      <w:pPr>
        <w:pStyle w:val="ParaNumbering"/>
      </w:pPr>
      <w:r>
        <w:t xml:space="preserve">Calls made to the same office at the Maddington Warehouse on one or other of the phone lines are dealt with by the one person.  For instance, as Mr Kleyn accepted in responding to Mr Coleman’s evidence of having called the office, a call </w:t>
      </w:r>
      <w:r w:rsidR="00B117FE">
        <w:t xml:space="preserve">to </w:t>
      </w:r>
      <w:r>
        <w:t>the Kleyn Investments line to deal with Coretell is dealt with by the same person,</w:t>
      </w:r>
      <w:r w:rsidR="00B117FE">
        <w:t xml:space="preserve"> namely,</w:t>
      </w:r>
      <w:r>
        <w:t xml:space="preserve"> a Kleyn Investments employee or </w:t>
      </w:r>
      <w:r w:rsidR="00B117FE">
        <w:t xml:space="preserve">a </w:t>
      </w:r>
      <w:r>
        <w:t>Kleyn family member</w:t>
      </w:r>
      <w:r w:rsidR="00B117FE">
        <w:t>,</w:t>
      </w:r>
      <w:r>
        <w:t xml:space="preserve"> because Coretell has no staff.</w:t>
      </w:r>
    </w:p>
    <w:p w:rsidR="00B44DF0" w:rsidRDefault="00B44DF0" w:rsidP="00197893">
      <w:pPr>
        <w:pStyle w:val="ParaNumbering"/>
      </w:pPr>
      <w:r>
        <w:lastRenderedPageBreak/>
        <w:t xml:space="preserve">At the accounting level, Mr Ross’ opinion, in the context of the respondents’ claim that Coretell operates alone in dealing with the </w:t>
      </w:r>
      <w:r w:rsidR="00FC24DD">
        <w:t>ORIshot Tool</w:t>
      </w:r>
      <w:r w:rsidR="00B117FE">
        <w:t>,</w:t>
      </w:r>
      <w:r>
        <w:t xml:space="preserve"> is that:</w:t>
      </w:r>
    </w:p>
    <w:p w:rsidR="00B44DF0" w:rsidRDefault="00B44DF0" w:rsidP="00B44DF0">
      <w:pPr>
        <w:pStyle w:val="ListNo"/>
        <w:ind w:left="720" w:hanging="720"/>
      </w:pPr>
      <w:r>
        <w:t>(a)</w:t>
      </w:r>
      <w:r>
        <w:tab/>
        <w:t>Coretell does not operate as an independent entity;</w:t>
      </w:r>
    </w:p>
    <w:p w:rsidR="00B44DF0" w:rsidRDefault="00B44DF0" w:rsidP="00B44DF0">
      <w:pPr>
        <w:pStyle w:val="ListNo"/>
        <w:ind w:left="720" w:hanging="720"/>
      </w:pPr>
      <w:r>
        <w:t>(b)</w:t>
      </w:r>
      <w:r>
        <w:tab/>
        <w:t>Mincrest and Kleyn Investments provide Coretell with significant financial assistance</w:t>
      </w:r>
      <w:r w:rsidR="00B117FE">
        <w:t>,</w:t>
      </w:r>
      <w:r>
        <w:t xml:space="preserve"> for example, $185,000 from Mincrest, $433,000 from Mincrest as trustee for the Kleyn Family Trust, and $437,000 form Kleyn Investments as trustee for the Kleyn Investment Trust</w:t>
      </w:r>
      <w:r w:rsidR="00B117FE">
        <w:t xml:space="preserve">; </w:t>
      </w:r>
      <w:r>
        <w:t xml:space="preserve">without those contributions Coretell would have incurred significant cumulative losses </w:t>
      </w:r>
      <w:r w:rsidR="00B117FE">
        <w:t xml:space="preserve">from </w:t>
      </w:r>
      <w:r>
        <w:t>2007 to 2011.</w:t>
      </w:r>
    </w:p>
    <w:p w:rsidR="00BE11FC" w:rsidRDefault="00FA062B" w:rsidP="00197893">
      <w:pPr>
        <w:pStyle w:val="ParaNumbering"/>
      </w:pPr>
      <w:r>
        <w:t>The</w:t>
      </w:r>
      <w:r w:rsidR="00E94FCC">
        <w:t xml:space="preserve">re is further </w:t>
      </w:r>
      <w:r>
        <w:t xml:space="preserve">evidence in support of this </w:t>
      </w:r>
      <w:r w:rsidR="00E94FCC">
        <w:t>conclusion.  I</w:t>
      </w:r>
      <w:r>
        <w:t>n relation to Coretell, there are admissions as to the primary facts set out in [8] of the third further amended defence in the following terms:</w:t>
      </w:r>
    </w:p>
    <w:p w:rsidR="00FA062B" w:rsidRDefault="009D3879" w:rsidP="0096398D">
      <w:pPr>
        <w:pStyle w:val="Quote1"/>
        <w:tabs>
          <w:tab w:val="left" w:pos="1418"/>
        </w:tabs>
        <w:ind w:left="2160" w:hanging="1423"/>
      </w:pPr>
      <w:r>
        <w:t>8</w:t>
      </w:r>
      <w:r w:rsidR="007370D5">
        <w:tab/>
        <w:t>(a)</w:t>
      </w:r>
      <w:r w:rsidR="00000086">
        <w:tab/>
      </w:r>
      <w:r>
        <w:t>They admit that since 16 December 2010, [Coretell] has, in Australia, made, supplied, hired and offered for supply and hire and kept for the purposes of supply and hire, core sample orientation tools comprising probe Part Number CNPS100 and handset Part Number CNH100.</w:t>
      </w:r>
    </w:p>
    <w:p w:rsidR="009D3879" w:rsidRDefault="009D3879" w:rsidP="009D3879">
      <w:pPr>
        <w:pStyle w:val="Quote1"/>
        <w:ind w:left="1440" w:hanging="703"/>
      </w:pPr>
    </w:p>
    <w:p w:rsidR="009D3879" w:rsidRDefault="0096398D" w:rsidP="0096398D">
      <w:pPr>
        <w:pStyle w:val="Quote2"/>
        <w:ind w:left="2160" w:hanging="720"/>
      </w:pPr>
      <w:r>
        <w:t>(b)</w:t>
      </w:r>
      <w:r>
        <w:tab/>
      </w:r>
      <w:r w:rsidR="009D3879">
        <w:t>They further admit that since 16 December 2010, [Coretell] has rented a section of warehouse premises at 6 Davison Street, Maddington, Western Australia wherein</w:t>
      </w:r>
      <w:r>
        <w:t xml:space="preserve"> only</w:t>
      </w:r>
      <w:r w:rsidR="009D3879">
        <w:t xml:space="preserve"> [Coretell] has from time to time kept for the purposes of supply and hire, core sample orientation tools comprising probe Part Number CNPS100 and handset Part Number CNH100.</w:t>
      </w:r>
    </w:p>
    <w:p w:rsidR="009D3879" w:rsidRDefault="009D3879" w:rsidP="009D3879">
      <w:pPr>
        <w:pStyle w:val="Quote1"/>
        <w:ind w:left="1440" w:hanging="703"/>
      </w:pPr>
    </w:p>
    <w:p w:rsidR="009D3879" w:rsidRDefault="0096398D" w:rsidP="0096398D">
      <w:pPr>
        <w:pStyle w:val="Quote2"/>
        <w:ind w:left="2160" w:hanging="720"/>
      </w:pPr>
      <w:r>
        <w:t>(c)</w:t>
      </w:r>
      <w:r>
        <w:tab/>
      </w:r>
      <w:r w:rsidR="009D3879">
        <w:t xml:space="preserve">They otherwise deny the allegations made in paragraph 8 thereof and say further that he said System Patent and said Method Patent have at all times been invalid and liable to be revoked on the grounds appearing in the Further Amended Particulars of Invalidity filed and served with the Further Amended Statement of Cross-Claim herein.  </w:t>
      </w:r>
    </w:p>
    <w:p w:rsidR="009D3879" w:rsidRDefault="009D3879" w:rsidP="009D3879">
      <w:pPr>
        <w:pStyle w:val="Quote1"/>
        <w:ind w:left="1440"/>
      </w:pPr>
    </w:p>
    <w:p w:rsidR="009D3879" w:rsidRDefault="0096398D" w:rsidP="0096398D">
      <w:pPr>
        <w:pStyle w:val="Quote2"/>
        <w:ind w:left="2160" w:hanging="720"/>
      </w:pPr>
      <w:r>
        <w:t>(d)</w:t>
      </w:r>
      <w:r>
        <w:tab/>
      </w:r>
      <w:r w:rsidR="009D3879">
        <w:t xml:space="preserve">They say further that the System Patent and the Method Patent expired on 5 September 2013.  </w:t>
      </w:r>
    </w:p>
    <w:p w:rsidR="009B68A2" w:rsidRDefault="00BB737E" w:rsidP="007370D5">
      <w:pPr>
        <w:pStyle w:val="ParaNumbering"/>
      </w:pPr>
      <w:r>
        <w:t xml:space="preserve">The respondents accept that Coretell </w:t>
      </w:r>
      <w:r w:rsidR="00BA36E8">
        <w:t xml:space="preserve">have </w:t>
      </w:r>
      <w:r>
        <w:t xml:space="preserve">made and supplied </w:t>
      </w:r>
      <w:r w:rsidR="00F612AF">
        <w:t>Version</w:t>
      </w:r>
      <w:r>
        <w:t xml:space="preserve"> 2 and </w:t>
      </w:r>
      <w:r w:rsidR="00F612AF">
        <w:t>Version</w:t>
      </w:r>
      <w:r>
        <w:t xml:space="preserve"> 3 of the </w:t>
      </w:r>
      <w:r w:rsidR="00FC24DD">
        <w:t>ORIshot Tool</w:t>
      </w:r>
      <w:r>
        <w:t xml:space="preserve"> since 16 December 2010 and that Mincrest dealt with the </w:t>
      </w:r>
      <w:r w:rsidR="00FC24DD">
        <w:t>ORIshot Tool</w:t>
      </w:r>
      <w:r>
        <w:t xml:space="preserve">.  Mr Kleyn accepted that Mincrest marketed </w:t>
      </w:r>
      <w:r w:rsidR="00C8004E">
        <w:t xml:space="preserve">and sold </w:t>
      </w:r>
      <w:r>
        <w:t xml:space="preserve">the </w:t>
      </w:r>
      <w:r w:rsidR="00FC24DD">
        <w:t>ORIshot Tool</w:t>
      </w:r>
      <w:r>
        <w:t xml:space="preserve"> as well.</w:t>
      </w:r>
      <w:r w:rsidR="00E97306">
        <w:t xml:space="preserve">  </w:t>
      </w:r>
      <w:r w:rsidR="009B68A2">
        <w:t xml:space="preserve">There is evidence that Mincrest sold the </w:t>
      </w:r>
      <w:r w:rsidR="00FC24DD">
        <w:t>ORIshot Tool</w:t>
      </w:r>
      <w:r w:rsidR="009B68A2">
        <w:t xml:space="preserve"> to overseas customers, for example, on 31 October 2006.  Mincrest traded in the </w:t>
      </w:r>
      <w:r w:rsidR="00FC24DD">
        <w:t>ORIshot Tool</w:t>
      </w:r>
      <w:r w:rsidR="009B68A2">
        <w:t xml:space="preserve"> with customer</w:t>
      </w:r>
      <w:r w:rsidR="00C8004E">
        <w:t>s</w:t>
      </w:r>
      <w:r w:rsidR="009B68A2">
        <w:t xml:space="preserve">, </w:t>
      </w:r>
      <w:r w:rsidR="00C8004E">
        <w:t xml:space="preserve">including </w:t>
      </w:r>
      <w:r w:rsidR="009B68A2">
        <w:t>Silver City and GOS Drilling.</w:t>
      </w:r>
      <w:r w:rsidR="00E97306">
        <w:t xml:space="preserve">  </w:t>
      </w:r>
      <w:r w:rsidR="009B68A2">
        <w:t xml:space="preserve">Mincrest was </w:t>
      </w:r>
      <w:r w:rsidR="00F031CD">
        <w:t xml:space="preserve">still promoting the </w:t>
      </w:r>
      <w:r w:rsidR="00FC24DD">
        <w:t>ORIshot Tool</w:t>
      </w:r>
      <w:r w:rsidR="00F031CD">
        <w:t xml:space="preserve"> on its website in March 2007 and financed Coretell’s commencement as a trading vehicle.  </w:t>
      </w:r>
      <w:r w:rsidR="00C8004E">
        <w:t xml:space="preserve">Mincrest </w:t>
      </w:r>
      <w:r w:rsidR="00F031CD">
        <w:t xml:space="preserve">entered into a distributorship agreement with DHS in November 2011.  </w:t>
      </w:r>
    </w:p>
    <w:p w:rsidR="00C8004E" w:rsidRDefault="00F9058E" w:rsidP="007370D5">
      <w:pPr>
        <w:pStyle w:val="ParaNumbering"/>
      </w:pPr>
      <w:r>
        <w:lastRenderedPageBreak/>
        <w:t xml:space="preserve">Similar evidence supports the infringement </w:t>
      </w:r>
      <w:r w:rsidR="00C8004E">
        <w:t xml:space="preserve">by the respondents </w:t>
      </w:r>
      <w:r>
        <w:t xml:space="preserve">of the System Patent by authorising the use and other activities of the </w:t>
      </w:r>
      <w:r w:rsidR="00FC24DD">
        <w:t>ORIshot Tool</w:t>
      </w:r>
      <w:r w:rsidR="00E94FCC">
        <w:t>.  Th</w:t>
      </w:r>
      <w:r>
        <w:t>e corporate respondents have authorised, procured</w:t>
      </w:r>
      <w:r w:rsidR="00C8004E">
        <w:t xml:space="preserve">, induced </w:t>
      </w:r>
      <w:r>
        <w:t xml:space="preserve">and used or engaged in a common design with customers or end users to whom the </w:t>
      </w:r>
      <w:r w:rsidR="00FC24DD">
        <w:t>ORIshot Tool</w:t>
      </w:r>
      <w:r>
        <w:t xml:space="preserve"> has been supplied to use the </w:t>
      </w:r>
      <w:r w:rsidR="00C8004E">
        <w:t>ORIshot T</w:t>
      </w:r>
      <w:r>
        <w:t>ool as a core orientation tool</w:t>
      </w:r>
      <w:r w:rsidR="00C8004E">
        <w:t>,</w:t>
      </w:r>
      <w:r>
        <w:t xml:space="preserve"> thereby </w:t>
      </w:r>
      <w:r w:rsidR="00C8004E">
        <w:t xml:space="preserve">indirectly </w:t>
      </w:r>
      <w:r>
        <w:t xml:space="preserve">infringing the System Patent.  </w:t>
      </w:r>
    </w:p>
    <w:p w:rsidR="00F9058E" w:rsidRDefault="00F9058E" w:rsidP="007370D5">
      <w:pPr>
        <w:pStyle w:val="ParaNumbering"/>
      </w:pPr>
      <w:r>
        <w:t>They have authorised</w:t>
      </w:r>
      <w:r w:rsidR="00C8004E">
        <w:t xml:space="preserve"> the acts of customers and users</w:t>
      </w:r>
      <w:r>
        <w:t xml:space="preserve">, in the sense spelled out in s 13(1) of </w:t>
      </w:r>
      <w:r w:rsidR="007D7FA4">
        <w:t>the Act</w:t>
      </w:r>
      <w:r>
        <w:t>, which provides that a patent give</w:t>
      </w:r>
      <w:r w:rsidR="00C8004E">
        <w:t>s</w:t>
      </w:r>
      <w:r>
        <w:t xml:space="preserve"> the patentee </w:t>
      </w:r>
      <w:r w:rsidR="00C8004E">
        <w:t xml:space="preserve">the </w:t>
      </w:r>
      <w:r>
        <w:t xml:space="preserve">exclusive entitlement to ‘exploit the invention and to authorise another person to exploit the invention’.  I have previously referred to </w:t>
      </w:r>
      <w:r w:rsidRPr="00E94FCC">
        <w:rPr>
          <w:i/>
        </w:rPr>
        <w:t xml:space="preserve">Inverness Medical </w:t>
      </w:r>
      <w:r w:rsidR="00C8004E">
        <w:t xml:space="preserve">where </w:t>
      </w:r>
      <w:r>
        <w:t>Bennett J</w:t>
      </w:r>
      <w:r w:rsidR="00C8004E">
        <w:t xml:space="preserve"> summarised the relevant principles.</w:t>
      </w:r>
      <w:r w:rsidR="00E94FCC">
        <w:t xml:space="preserve">  </w:t>
      </w:r>
      <w:r w:rsidR="00F071BF">
        <w:t xml:space="preserve">I have also previously referred to the decision of French J (as his Honour then was) in </w:t>
      </w:r>
      <w:r w:rsidR="00F071BF" w:rsidRPr="00E94FCC">
        <w:rPr>
          <w:i/>
        </w:rPr>
        <w:t>Collins</w:t>
      </w:r>
      <w:r w:rsidR="00C8004E">
        <w:t xml:space="preserve"> in the Full Court decision</w:t>
      </w:r>
      <w:r w:rsidR="00F071BF">
        <w:t>, where his Honour set out the applicable principles in relation to the common law principles of joint tortfeasance.</w:t>
      </w:r>
    </w:p>
    <w:p w:rsidR="000D2CF8" w:rsidRDefault="00300FA2" w:rsidP="007370D5">
      <w:pPr>
        <w:pStyle w:val="ParaNumbering"/>
      </w:pPr>
      <w:r>
        <w:t xml:space="preserve">To support </w:t>
      </w:r>
      <w:r w:rsidR="00C8004E">
        <w:t>this contention</w:t>
      </w:r>
      <w:r>
        <w:t xml:space="preserve">, there were various submissions made by the </w:t>
      </w:r>
      <w:r w:rsidR="00C8004E">
        <w:t>applicants</w:t>
      </w:r>
      <w:r>
        <w:t xml:space="preserve">, but there was also </w:t>
      </w:r>
      <w:r w:rsidR="00C8004E">
        <w:t xml:space="preserve">a deal of </w:t>
      </w:r>
      <w:r>
        <w:t xml:space="preserve">evidence alluded to </w:t>
      </w:r>
      <w:r w:rsidR="00C8004E">
        <w:t xml:space="preserve">in relation to this topic </w:t>
      </w:r>
      <w:r>
        <w:t>generally</w:t>
      </w:r>
      <w:r w:rsidR="00C8004E">
        <w:t xml:space="preserve">.  For example, </w:t>
      </w:r>
      <w:r>
        <w:t>the fact that the respondents have all been involved in supplying instructions to customers and end users</w:t>
      </w:r>
      <w:r w:rsidR="00C8004E">
        <w:t>,</w:t>
      </w:r>
      <w:r>
        <w:t xml:space="preserve"> principally in the written form of the </w:t>
      </w:r>
      <w:r w:rsidR="00C8004E">
        <w:t xml:space="preserve">Camteq User Manual, the ORIshot User Manual </w:t>
      </w:r>
      <w:r>
        <w:t>and the Quick Start Guide</w:t>
      </w:r>
      <w:r w:rsidR="00C8004E">
        <w:t xml:space="preserve">s, which </w:t>
      </w:r>
      <w:r w:rsidR="000D2CF8">
        <w:t>were made available for download by Coretell from its website and by Mincrest or Kleyn Investments from the Camteq website.</w:t>
      </w:r>
      <w:r w:rsidR="00406F0C">
        <w:t xml:space="preserve">  T</w:t>
      </w:r>
      <w:r w:rsidR="000C4B06">
        <w:t>he authorised distributors and customers possessed the documents, for example, they were produced by DHS and ADF, who are distributors and a customer, Drill Shot</w:t>
      </w:r>
      <w:r w:rsidR="005C42E2">
        <w:t>,</w:t>
      </w:r>
      <w:r w:rsidR="00C8004E" w:rsidRPr="00C8004E">
        <w:t xml:space="preserve"> </w:t>
      </w:r>
      <w:r w:rsidR="00C8004E">
        <w:t>in response to subpoenas</w:t>
      </w:r>
      <w:r w:rsidR="000C4B06">
        <w:t xml:space="preserve">.  </w:t>
      </w:r>
    </w:p>
    <w:p w:rsidR="007B16C5" w:rsidRDefault="00406F0C" w:rsidP="007B16C5">
      <w:pPr>
        <w:pStyle w:val="ParaNumbering"/>
      </w:pPr>
      <w:r>
        <w:t>E</w:t>
      </w:r>
      <w:r w:rsidR="00700596">
        <w:t xml:space="preserve">ach of the </w:t>
      </w:r>
      <w:r w:rsidR="005C42E2">
        <w:t xml:space="preserve">corporate respondents </w:t>
      </w:r>
      <w:r w:rsidR="00700596">
        <w:t>has been involved in selling and</w:t>
      </w:r>
      <w:r w:rsidR="005C42E2">
        <w:t>/or</w:t>
      </w:r>
      <w:r w:rsidR="00700596">
        <w:t xml:space="preserve"> supplying the </w:t>
      </w:r>
      <w:r w:rsidR="00FC24DD">
        <w:t>ORIshot Tool</w:t>
      </w:r>
      <w:r w:rsidR="005C42E2">
        <w:t>’,</w:t>
      </w:r>
      <w:r w:rsidR="00700596">
        <w:t xml:space="preserve"> in promoting, giving instructions or inducements for the use of the </w:t>
      </w:r>
      <w:r w:rsidR="00FC24DD">
        <w:t>ORIshot Tool</w:t>
      </w:r>
      <w:r w:rsidR="005C42E2">
        <w:t>,</w:t>
      </w:r>
      <w:r w:rsidR="00700596">
        <w:t xml:space="preserve"> </w:t>
      </w:r>
      <w:r w:rsidR="005C42E2">
        <w:t xml:space="preserve">and in doing so </w:t>
      </w:r>
      <w:r w:rsidR="00700596">
        <w:t xml:space="preserve">each of them had reason to believe that the </w:t>
      </w:r>
      <w:r w:rsidR="00FC24DD">
        <w:t>ORIshot Tool</w:t>
      </w:r>
      <w:r w:rsidR="00700596">
        <w:t xml:space="preserve"> would be used by customers or end users and, indeed, had that intention.  </w:t>
      </w:r>
      <w:r w:rsidR="005C42E2">
        <w:t>T</w:t>
      </w:r>
      <w:r w:rsidR="00B107E1">
        <w:t xml:space="preserve">herefore, </w:t>
      </w:r>
      <w:r w:rsidR="005C42E2">
        <w:t xml:space="preserve">they are liable </w:t>
      </w:r>
      <w:r w:rsidR="00B107E1">
        <w:t xml:space="preserve">for </w:t>
      </w:r>
      <w:r>
        <w:t xml:space="preserve">the </w:t>
      </w:r>
      <w:r w:rsidR="00B107E1">
        <w:t xml:space="preserve">infringing use of </w:t>
      </w:r>
      <w:r w:rsidR="00983C91">
        <w:t xml:space="preserve">the </w:t>
      </w:r>
      <w:r w:rsidR="00FC24DD">
        <w:t>ORIshot Tool</w:t>
      </w:r>
      <w:r w:rsidR="00983C91">
        <w:t xml:space="preserve"> by customers or end users.</w:t>
      </w:r>
    </w:p>
    <w:p w:rsidR="00270DC5" w:rsidRDefault="00270DC5" w:rsidP="00270DC5">
      <w:pPr>
        <w:pStyle w:val="ParaNumbering"/>
      </w:pPr>
      <w:r>
        <w:t xml:space="preserve">I accept the applicants’ submission that the corporate respondents have directly infringed the System Patent by making, selling and otherwise exploiting the ORIshot Tool as pleaded.  </w:t>
      </w:r>
    </w:p>
    <w:p w:rsidR="00DE5A78" w:rsidRDefault="006F4CE8" w:rsidP="007B16C5">
      <w:pPr>
        <w:pStyle w:val="ParaNumbering"/>
      </w:pPr>
      <w:r>
        <w:t xml:space="preserve">In relation to the Method Patent, I am satisfied the applicants have </w:t>
      </w:r>
      <w:r w:rsidR="00406F0C">
        <w:t xml:space="preserve">proven </w:t>
      </w:r>
      <w:r>
        <w:t xml:space="preserve">that the corporate respondents have infringed the Method Patent by supplying the </w:t>
      </w:r>
      <w:r w:rsidR="00FC24DD">
        <w:t>ORIshot Tool</w:t>
      </w:r>
      <w:r>
        <w:t xml:space="preserve"> </w:t>
      </w:r>
      <w:r>
        <w:lastRenderedPageBreak/>
        <w:t xml:space="preserve">pursuant to s 117 of </w:t>
      </w:r>
      <w:r w:rsidR="007D7FA4">
        <w:t>the Act</w:t>
      </w:r>
      <w:r>
        <w:t>.</w:t>
      </w:r>
      <w:r w:rsidR="00776F72">
        <w:t xml:space="preserve">  </w:t>
      </w:r>
      <w:r w:rsidR="006B650D">
        <w:t xml:space="preserve">There is no doubt as to the satisfaction of the first requirement of s 117 of </w:t>
      </w:r>
      <w:r w:rsidR="007D7FA4">
        <w:t>the Act</w:t>
      </w:r>
      <w:r w:rsidR="006B650D">
        <w:t xml:space="preserve">, namely, that the </w:t>
      </w:r>
      <w:r w:rsidR="00FC24DD">
        <w:t>ORIshot Tool</w:t>
      </w:r>
      <w:r w:rsidR="006B650D">
        <w:t xml:space="preserve"> would infringe the Method Patent.  Section 117(2) provides three independent heads of infringement.  The applicants rely on each of them.  I have previously referred to these heads under s 117(2)(a) and s 117(2)(b) and s 117(2)(c)</w:t>
      </w:r>
      <w:r w:rsidR="005C42E2">
        <w:t>,</w:t>
      </w:r>
      <w:r w:rsidR="006B650D">
        <w:t xml:space="preserve"> and I am satisfied that infringement under each paragraph is established.  </w:t>
      </w:r>
    </w:p>
    <w:p w:rsidR="008206E0" w:rsidRDefault="00B57958" w:rsidP="007B16C5">
      <w:pPr>
        <w:pStyle w:val="ParaNumbering"/>
      </w:pPr>
      <w:r>
        <w:t xml:space="preserve">As to infringement of the Method Patent by authorising the use of the </w:t>
      </w:r>
      <w:r w:rsidR="00FC24DD">
        <w:t>ORIshot Tool</w:t>
      </w:r>
      <w:r>
        <w:t xml:space="preserve">, there is no doubt that the corporate respondents have also indirectly infringed </w:t>
      </w:r>
      <w:r w:rsidR="008206E0">
        <w:t xml:space="preserve">the Method Patent by authorising their customers and end users to use the </w:t>
      </w:r>
      <w:r w:rsidR="00FC24DD">
        <w:t>ORIshot Tool</w:t>
      </w:r>
      <w:r w:rsidR="008206E0">
        <w:t xml:space="preserve"> in the method claimed in the Patents</w:t>
      </w:r>
      <w:r w:rsidR="005C42E2">
        <w:t>.  I</w:t>
      </w:r>
      <w:r w:rsidR="008206E0">
        <w:t xml:space="preserve">ndeed, they have encouraged this use.  </w:t>
      </w:r>
      <w:r w:rsidR="00D510F4">
        <w:t>The evidence in support of that has already been outlined and the approach to the construction of the statute is similar to the preceding comme</w:t>
      </w:r>
      <w:r w:rsidR="007804F0">
        <w:t>ntary on the approach under s 11</w:t>
      </w:r>
      <w:r w:rsidR="00D510F4">
        <w:t xml:space="preserve">7 of </w:t>
      </w:r>
      <w:r w:rsidR="007D7FA4">
        <w:t>the Act</w:t>
      </w:r>
      <w:r w:rsidR="00D510F4">
        <w:t>, albeit that it involves the application of general principles of authorisation and joint tortfeasance, also discussed above.</w:t>
      </w:r>
    </w:p>
    <w:p w:rsidR="00D510F4" w:rsidRDefault="00A924BA" w:rsidP="007B16C5">
      <w:pPr>
        <w:pStyle w:val="ParaNumbering"/>
      </w:pPr>
      <w:r>
        <w:t>T</w:t>
      </w:r>
      <w:r w:rsidR="000A15AD">
        <w:t xml:space="preserve">he applicants argue in the alternative, that to the extent that Mincrest and Kleyn Investments did not actually engage in the relevant conduct, they nevertheless infringed the Patents indirectly by authorising or as joint tortfeasors with Coretell.  This assertion relies on the same evidence that supports the claims that Mincrest and Kleyn Investments have directly infringed in the manner set out above.  </w:t>
      </w:r>
      <w:r w:rsidR="005C42E2">
        <w:t xml:space="preserve">I have already found that Mincrest and Kleyn Investments are involved in the infringement, however, in the alternative, </w:t>
      </w:r>
      <w:r w:rsidR="00ED5E52">
        <w:t xml:space="preserve">I </w:t>
      </w:r>
      <w:r w:rsidR="005C42E2">
        <w:t xml:space="preserve">also </w:t>
      </w:r>
      <w:r w:rsidR="00ED5E52">
        <w:t>find that t</w:t>
      </w:r>
      <w:r w:rsidR="000A15AD">
        <w:t>his claim</w:t>
      </w:r>
      <w:r w:rsidR="00ED5E52">
        <w:t xml:space="preserve"> </w:t>
      </w:r>
      <w:r w:rsidR="000A15AD">
        <w:t xml:space="preserve">has been established.  </w:t>
      </w:r>
    </w:p>
    <w:p w:rsidR="005C42E2" w:rsidRDefault="00F62E4A" w:rsidP="005C42E2">
      <w:pPr>
        <w:pStyle w:val="ParaNumbering"/>
      </w:pPr>
      <w:r>
        <w:t xml:space="preserve">The liability of Mr Kleyn for infringement depends on the applicants proving that he </w:t>
      </w:r>
      <w:r w:rsidR="005C42E2">
        <w:t xml:space="preserve">has </w:t>
      </w:r>
      <w:r>
        <w:t>authorised, procured, induced or joined in a common design in the various infringing acts of the corporate respondents and has thereby infringed each of the Patents.</w:t>
      </w:r>
      <w:r w:rsidR="00ED5E52">
        <w:t xml:space="preserve">  </w:t>
      </w:r>
    </w:p>
    <w:p w:rsidR="005C42E2" w:rsidRDefault="000B2A61" w:rsidP="00572ABB">
      <w:pPr>
        <w:pStyle w:val="ParaNumbering"/>
      </w:pPr>
      <w:r>
        <w:t>The evidence in support of this claim is replete.</w:t>
      </w:r>
      <w:r w:rsidR="007804F0">
        <w:t xml:space="preserve">  </w:t>
      </w:r>
      <w:r>
        <w:t>There is no doubt that Mr Kleyn is</w:t>
      </w:r>
      <w:r w:rsidR="005C42E2">
        <w:t>,</w:t>
      </w:r>
      <w:r>
        <w:t xml:space="preserve"> and has been</w:t>
      </w:r>
      <w:r w:rsidR="005C42E2">
        <w:t>,</w:t>
      </w:r>
      <w:r>
        <w:t xml:space="preserve"> directly and closely involved in the conduct of all three </w:t>
      </w:r>
      <w:r w:rsidR="005C42E2">
        <w:t xml:space="preserve">of the </w:t>
      </w:r>
      <w:r>
        <w:t xml:space="preserve">corporate respondents, such as to make their conduct his own.  </w:t>
      </w:r>
    </w:p>
    <w:p w:rsidR="00572ABB" w:rsidRDefault="005C17D4" w:rsidP="005C42E2">
      <w:pPr>
        <w:pStyle w:val="ParaNumbering"/>
      </w:pPr>
      <w:r>
        <w:t xml:space="preserve">There is </w:t>
      </w:r>
      <w:r w:rsidR="00572ABB">
        <w:t xml:space="preserve">also </w:t>
      </w:r>
      <w:r>
        <w:t xml:space="preserve">no doubt that Mr Kleyn has also been directly and personally involved in the corporate respondents’ activities in selling, supplying and offering the </w:t>
      </w:r>
      <w:r w:rsidR="00FC24DD">
        <w:t>ORIshot Tool</w:t>
      </w:r>
      <w:r>
        <w:t xml:space="preserve"> to customers in Australia</w:t>
      </w:r>
      <w:r w:rsidR="00572ABB">
        <w:t>,</w:t>
      </w:r>
      <w:r>
        <w:t xml:space="preserve"> in the provision of instructional information for the use of the </w:t>
      </w:r>
      <w:r w:rsidR="00FC24DD">
        <w:t>ORIshot Tool</w:t>
      </w:r>
      <w:r w:rsidR="00572ABB">
        <w:t>,</w:t>
      </w:r>
      <w:r>
        <w:t xml:space="preserve"> and in the </w:t>
      </w:r>
      <w:r w:rsidR="000F6EA1">
        <w:t>advertising</w:t>
      </w:r>
      <w:r>
        <w:t xml:space="preserve"> and demonstration of the </w:t>
      </w:r>
      <w:r w:rsidR="00FC24DD">
        <w:t>ORIshot Tool</w:t>
      </w:r>
      <w:r>
        <w:t xml:space="preserve"> to customers and agents.  </w:t>
      </w:r>
    </w:p>
    <w:p w:rsidR="000B2A61" w:rsidRDefault="008A7392" w:rsidP="005C42E2">
      <w:pPr>
        <w:pStyle w:val="ParaNumbering"/>
      </w:pPr>
      <w:r>
        <w:lastRenderedPageBreak/>
        <w:t>He is also the sole director</w:t>
      </w:r>
      <w:r w:rsidR="00572ABB">
        <w:t xml:space="preserve"> and </w:t>
      </w:r>
      <w:r>
        <w:t>secretary</w:t>
      </w:r>
      <w:r w:rsidR="00016E9F">
        <w:t>,</w:t>
      </w:r>
      <w:r>
        <w:t xml:space="preserve"> and </w:t>
      </w:r>
      <w:r w:rsidR="00572ABB">
        <w:t xml:space="preserve">a </w:t>
      </w:r>
      <w:r>
        <w:t xml:space="preserve">shareholder </w:t>
      </w:r>
      <w:r w:rsidR="00572ABB">
        <w:t>in</w:t>
      </w:r>
      <w:r w:rsidR="00016E9F">
        <w:t>,</w:t>
      </w:r>
      <w:r w:rsidR="00572ABB">
        <w:t xml:space="preserve"> each of the corporate respondents and </w:t>
      </w:r>
      <w:r>
        <w:t>the company that owns the Maddington Warehouse used by the corporate respondents.  He has received dividends and profits from the corporate respondents arising out</w:t>
      </w:r>
      <w:r w:rsidR="00572ABB">
        <w:t xml:space="preserve"> of their infringing activities, and</w:t>
      </w:r>
      <w:r>
        <w:t xml:space="preserve"> has been the principal beneficiary of those activities.  </w:t>
      </w:r>
    </w:p>
    <w:p w:rsidR="008A7392" w:rsidRDefault="00A80131" w:rsidP="000B2A61">
      <w:pPr>
        <w:pStyle w:val="ParaNumbering"/>
      </w:pPr>
      <w:r>
        <w:t xml:space="preserve">Mr Kleyn at all times knew and intended that the corporate respondents would pursue the activities discussed in these reasons in relation to the </w:t>
      </w:r>
      <w:r w:rsidR="00FC24DD">
        <w:t>ORIshot Tool</w:t>
      </w:r>
      <w:r>
        <w:t xml:space="preserve"> with a view to his being the principal beneficiary of those activities.  Further, it was Mr Kleyn’s idea to create the </w:t>
      </w:r>
      <w:r w:rsidR="00FC24DD">
        <w:t>ORIshot Tool</w:t>
      </w:r>
      <w:r>
        <w:t xml:space="preserve"> and the </w:t>
      </w:r>
      <w:r w:rsidR="00572ABB">
        <w:t xml:space="preserve">Pro-Shot. </w:t>
      </w:r>
      <w:r>
        <w:t xml:space="preserve"> </w:t>
      </w:r>
      <w:r w:rsidR="00572ABB">
        <w:t>H</w:t>
      </w:r>
      <w:r>
        <w:t>e brought about the design and development, including by procuring the services of High</w:t>
      </w:r>
      <w:r w:rsidR="00572ABB">
        <w:t xml:space="preserve"> T</w:t>
      </w:r>
      <w:r>
        <w:t>ech Labor</w:t>
      </w:r>
      <w:r w:rsidR="00C87156">
        <w:t>a</w:t>
      </w:r>
      <w:r>
        <w:t>tories and then Procept.  He then arranged for the manufacture of them</w:t>
      </w:r>
      <w:r w:rsidR="00572ABB">
        <w:t>,</w:t>
      </w:r>
      <w:r>
        <w:t xml:space="preserve"> and arranged for the necessary financing of the project through the corporate members of the group.  </w:t>
      </w:r>
    </w:p>
    <w:p w:rsidR="00A80131" w:rsidRDefault="00C87156" w:rsidP="000B2A61">
      <w:pPr>
        <w:pStyle w:val="ParaNumbering"/>
      </w:pPr>
      <w:r>
        <w:t xml:space="preserve">It follows that Mr Kleyn should be personally liable for the infringements committed by the corporate respondents.  </w:t>
      </w:r>
      <w:r w:rsidR="00902959">
        <w:t xml:space="preserve">He had a close personal involvement in the infringing conduct in question in the sense discussed in </w:t>
      </w:r>
      <w:r w:rsidR="00902959" w:rsidRPr="00902959">
        <w:rPr>
          <w:i/>
        </w:rPr>
        <w:t>Keller</w:t>
      </w:r>
      <w:r w:rsidR="00902959">
        <w:t>.  Mr Kleyn was not merely acting as an officer or servant of the company.  I find that he had effective total control of each of the corporate respondents.</w:t>
      </w:r>
    </w:p>
    <w:p w:rsidR="00B26969" w:rsidRDefault="00B26969" w:rsidP="000B2A61">
      <w:pPr>
        <w:pStyle w:val="ParaNumbering"/>
      </w:pPr>
      <w:r>
        <w:t xml:space="preserve">In </w:t>
      </w:r>
      <w:r w:rsidR="00747776">
        <w:t>conclusion</w:t>
      </w:r>
      <w:r>
        <w:t xml:space="preserve"> on this topic, I am satisfied that the applicants have established their case on liability in respect of infringement against each of the respondents on each of the pleaded bases.  </w:t>
      </w:r>
    </w:p>
    <w:p w:rsidR="00545E78" w:rsidRDefault="00545E78" w:rsidP="00932DF8">
      <w:pPr>
        <w:pStyle w:val="Heading6"/>
      </w:pPr>
      <w:bookmarkStart w:id="71" w:name="_Ref403035699"/>
      <w:r>
        <w:t xml:space="preserve">Defence of </w:t>
      </w:r>
      <w:r w:rsidR="00A64202">
        <w:t>i</w:t>
      </w:r>
      <w:r>
        <w:t xml:space="preserve">nnocent </w:t>
      </w:r>
      <w:r w:rsidR="00A64202">
        <w:t>i</w:t>
      </w:r>
      <w:r>
        <w:t>nfringement</w:t>
      </w:r>
      <w:bookmarkEnd w:id="71"/>
    </w:p>
    <w:p w:rsidR="0046785D" w:rsidRDefault="0046785D" w:rsidP="0046785D">
      <w:pPr>
        <w:pStyle w:val="ParaNumbering"/>
      </w:pPr>
      <w:r>
        <w:t>There is a defence raised</w:t>
      </w:r>
      <w:r w:rsidR="00A64202">
        <w:t xml:space="preserve"> by the respondents</w:t>
      </w:r>
      <w:r>
        <w:t>, but barely developed, of innocent infringement under s 123 of the Act.  That provision in these terms:</w:t>
      </w:r>
    </w:p>
    <w:p w:rsidR="0046785D" w:rsidRPr="00615380" w:rsidRDefault="0046785D" w:rsidP="0046785D">
      <w:pPr>
        <w:pStyle w:val="Quote1"/>
        <w:rPr>
          <w:b/>
        </w:rPr>
      </w:pPr>
      <w:r w:rsidRPr="00615380">
        <w:rPr>
          <w:b/>
        </w:rPr>
        <w:t>123</w:t>
      </w:r>
      <w:r w:rsidRPr="00615380">
        <w:rPr>
          <w:b/>
        </w:rPr>
        <w:tab/>
        <w:t>Innocent infringement</w:t>
      </w:r>
    </w:p>
    <w:p w:rsidR="0046785D" w:rsidRDefault="0046785D" w:rsidP="0046785D">
      <w:pPr>
        <w:pStyle w:val="Quote1"/>
      </w:pPr>
    </w:p>
    <w:p w:rsidR="0046785D" w:rsidRDefault="0046785D" w:rsidP="0046785D">
      <w:pPr>
        <w:pStyle w:val="Quote1"/>
        <w:ind w:left="1440" w:hanging="703"/>
      </w:pPr>
      <w:r>
        <w:t>(1)</w:t>
      </w:r>
      <w:r>
        <w:tab/>
        <w:t>A court may refuse to award damages, or to make an order for an account of profits, in respect of an infringement of a patent if the defendant satisfies the court that, at the date of the infringement, the defendant was not aware, and had no reason to believe, that a patent for the invention existed.</w:t>
      </w:r>
    </w:p>
    <w:p w:rsidR="0046785D" w:rsidRDefault="0046785D" w:rsidP="0046785D">
      <w:pPr>
        <w:pStyle w:val="Quote1"/>
        <w:ind w:left="1440" w:hanging="703"/>
      </w:pPr>
    </w:p>
    <w:p w:rsidR="0046785D" w:rsidRDefault="0046785D" w:rsidP="0046785D">
      <w:pPr>
        <w:pStyle w:val="Quote1"/>
        <w:ind w:left="1440" w:hanging="703"/>
      </w:pPr>
      <w:r>
        <w:t>(2)</w:t>
      </w:r>
      <w:r>
        <w:tab/>
        <w:t>If patented products, marked so as to indicate that they are patented in Australia, were sold or used in the patent area to a substantial extent before the date of the infringement, the defendant is to be taken to have been aware of the existence of the patent unless the contrary is established.</w:t>
      </w:r>
    </w:p>
    <w:p w:rsidR="0046785D" w:rsidRDefault="0046785D" w:rsidP="0046785D">
      <w:pPr>
        <w:pStyle w:val="Quote1"/>
        <w:ind w:left="1440" w:hanging="703"/>
      </w:pPr>
    </w:p>
    <w:p w:rsidR="0046785D" w:rsidRDefault="0046785D" w:rsidP="0046785D">
      <w:pPr>
        <w:pStyle w:val="Quote1"/>
        <w:ind w:left="1440" w:hanging="703"/>
      </w:pPr>
      <w:r>
        <w:t>(3)</w:t>
      </w:r>
      <w:r>
        <w:tab/>
        <w:t>Nothing in this section affects a court’s power to grant relief by way of an injunction.</w:t>
      </w:r>
    </w:p>
    <w:p w:rsidR="002C5E85" w:rsidRDefault="00956E9C" w:rsidP="002C5E85">
      <w:pPr>
        <w:pStyle w:val="NoNum"/>
      </w:pPr>
      <w:r>
        <w:lastRenderedPageBreak/>
        <w:t xml:space="preserve">The respondents refer to the decision of Allsop J (as his Honour then was) in </w:t>
      </w:r>
      <w:r>
        <w:rPr>
          <w:i/>
        </w:rPr>
        <w:t xml:space="preserve">Unilin Beeher </w:t>
      </w:r>
      <w:r w:rsidRPr="00E0450A">
        <w:rPr>
          <w:i/>
        </w:rPr>
        <w:t xml:space="preserve">BV v Huili Building Materials Pty Ltd (No 2) </w:t>
      </w:r>
      <w:r>
        <w:t xml:space="preserve">[2007] FCA 1615 (at [70]-[83]) regarding the Court’s discretion under this section.  </w:t>
      </w:r>
    </w:p>
    <w:p w:rsidR="0046785D" w:rsidRDefault="0046785D" w:rsidP="0046785D">
      <w:pPr>
        <w:pStyle w:val="ParaNumbering"/>
      </w:pPr>
      <w:r>
        <w:t xml:space="preserve">In relation to innocent infringement, the onus is on the </w:t>
      </w:r>
      <w:r w:rsidR="005D7A39">
        <w:t>respondent</w:t>
      </w:r>
      <w:r>
        <w:t>s to show that</w:t>
      </w:r>
      <w:r w:rsidR="005D7A39">
        <w:t>, at the date of infringement,</w:t>
      </w:r>
      <w:r>
        <w:t xml:space="preserve"> they were not aware and </w:t>
      </w:r>
      <w:r w:rsidR="005D7A39">
        <w:t xml:space="preserve">did not have </w:t>
      </w:r>
      <w:r>
        <w:t>reason to believe that a patent for the inventio</w:t>
      </w:r>
      <w:r w:rsidR="005D7A39">
        <w:t xml:space="preserve">n existed.  This defence has no prospect </w:t>
      </w:r>
      <w:r>
        <w:t xml:space="preserve">of success.  The respondents were informed promptly of the existence of the Patents </w:t>
      </w:r>
      <w:r w:rsidR="005D7A39">
        <w:t xml:space="preserve">at the time that </w:t>
      </w:r>
      <w:r>
        <w:t>those Patents were granted and</w:t>
      </w:r>
      <w:r w:rsidR="005D7A39">
        <w:t>,</w:t>
      </w:r>
      <w:r>
        <w:t xml:space="preserve"> in respect of the period prior to grant, they were aware of the existence of the earlier patent applications on which the applicants’ claim for the relief depends.  </w:t>
      </w:r>
    </w:p>
    <w:p w:rsidR="0046785D" w:rsidRDefault="0046785D" w:rsidP="0046785D">
      <w:pPr>
        <w:pStyle w:val="ParaNumbering"/>
      </w:pPr>
      <w:r>
        <w:t xml:space="preserve">The defence of innocent infringement cannot be made out.  </w:t>
      </w:r>
    </w:p>
    <w:p w:rsidR="00545E78" w:rsidRDefault="00A1188F" w:rsidP="00932DF8">
      <w:pPr>
        <w:pStyle w:val="Heading6"/>
      </w:pPr>
      <w:bookmarkStart w:id="72" w:name="_Ref403035700"/>
      <w:r>
        <w:t>Activities o</w:t>
      </w:r>
      <w:r w:rsidR="00545E78">
        <w:t>utside Australia</w:t>
      </w:r>
      <w:bookmarkEnd w:id="72"/>
    </w:p>
    <w:p w:rsidR="000F5232" w:rsidRDefault="00545E78" w:rsidP="00545E78">
      <w:pPr>
        <w:pStyle w:val="ParaNumbering"/>
      </w:pPr>
      <w:r>
        <w:t xml:space="preserve">As already stated, the respondents deny any liability to the applicants for any activities carried out in countries outside Australia.  The patent grant extends only to Australia and the applicants’ monopoly therefore extends only to Australia.  Conduct by the respondents in foreign jurisdictions is </w:t>
      </w:r>
      <w:r w:rsidR="00912B41">
        <w:t xml:space="preserve">said </w:t>
      </w:r>
      <w:r w:rsidR="00B71D5F">
        <w:t xml:space="preserve">by the respondents </w:t>
      </w:r>
      <w:r w:rsidR="00912B41">
        <w:t xml:space="preserve">to be </w:t>
      </w:r>
      <w:r>
        <w:t xml:space="preserve">irrelevant to these proceedings.  </w:t>
      </w:r>
    </w:p>
    <w:p w:rsidR="00912B41" w:rsidRDefault="000F5232" w:rsidP="00545E78">
      <w:pPr>
        <w:pStyle w:val="ParaNumbering"/>
      </w:pPr>
      <w:r>
        <w:t xml:space="preserve">In my view, it is clear </w:t>
      </w:r>
      <w:r w:rsidR="007070EF">
        <w:t>on the evidence</w:t>
      </w:r>
      <w:r w:rsidR="00287B22">
        <w:t>,</w:t>
      </w:r>
      <w:r w:rsidR="004E0C43">
        <w:t xml:space="preserve"> and I find</w:t>
      </w:r>
      <w:r w:rsidR="00287B22">
        <w:t>,</w:t>
      </w:r>
      <w:r w:rsidR="004E0C43">
        <w:t xml:space="preserve"> </w:t>
      </w:r>
      <w:r>
        <w:t xml:space="preserve">that the activities of the respondents did extend to conduct in promoting and selling the contravening tool outside of Australia.  I have set out the particulars and referred briefly to some of the evidence on this claim.  </w:t>
      </w:r>
    </w:p>
    <w:p w:rsidR="002F3172" w:rsidRPr="00426654" w:rsidRDefault="002F3172" w:rsidP="00545E78">
      <w:pPr>
        <w:pStyle w:val="ParaNumbering"/>
      </w:pPr>
      <w:r>
        <w:t xml:space="preserve">It is unclear whether this would give rise to any particular relief because the nature of that activity was only briefly described.  </w:t>
      </w:r>
      <w:r w:rsidR="004E0C43">
        <w:t xml:space="preserve">If there is to be a hearing on quantum, it would be necessary to consider this issue further.  </w:t>
      </w:r>
    </w:p>
    <w:p w:rsidR="00932DF8" w:rsidRDefault="00A1188F" w:rsidP="00932DF8">
      <w:pPr>
        <w:pStyle w:val="Heading6"/>
      </w:pPr>
      <w:bookmarkStart w:id="73" w:name="_Ref403035686"/>
      <w:bookmarkStart w:id="74" w:name="_Ref403035702"/>
      <w:bookmarkStart w:id="75" w:name="_Ref409424809"/>
      <w:r>
        <w:t>A claim for a</w:t>
      </w:r>
      <w:r w:rsidR="00932DF8">
        <w:t xml:space="preserve">dditional </w:t>
      </w:r>
      <w:r>
        <w:t>d</w:t>
      </w:r>
      <w:r w:rsidR="00932DF8">
        <w:t>amages</w:t>
      </w:r>
      <w:bookmarkEnd w:id="73"/>
    </w:p>
    <w:p w:rsidR="00932DF8" w:rsidRDefault="00932DF8" w:rsidP="00932DF8">
      <w:pPr>
        <w:pStyle w:val="ParaNumbering"/>
      </w:pPr>
      <w:r>
        <w:t>The applicants have also claimed additional damages</w:t>
      </w:r>
      <w:r w:rsidR="00E15DE1">
        <w:t xml:space="preserve"> </w:t>
      </w:r>
      <w:r>
        <w:t xml:space="preserve">based on s 122(1A) of the Act, which was introduced </w:t>
      </w:r>
      <w:r w:rsidR="00E15DE1">
        <w:t xml:space="preserve">with </w:t>
      </w:r>
      <w:r>
        <w:t>effect from 28 September 2006</w:t>
      </w:r>
      <w:r w:rsidR="00E15DE1">
        <w:t>,</w:t>
      </w:r>
      <w:r>
        <w:t xml:space="preserve"> and has application to infringements occurring on or after that date.  That subsection provides as follows:</w:t>
      </w:r>
    </w:p>
    <w:p w:rsidR="00932DF8" w:rsidRPr="00CA1C4A" w:rsidRDefault="00932DF8" w:rsidP="00932DF8">
      <w:pPr>
        <w:pStyle w:val="Quote1"/>
        <w:rPr>
          <w:b/>
        </w:rPr>
      </w:pPr>
      <w:r w:rsidRPr="00CA1C4A">
        <w:rPr>
          <w:b/>
        </w:rPr>
        <w:t>122</w:t>
      </w:r>
      <w:r w:rsidRPr="00CA1C4A">
        <w:rPr>
          <w:b/>
        </w:rPr>
        <w:tab/>
        <w:t>Relief for infringement of patent</w:t>
      </w:r>
    </w:p>
    <w:p w:rsidR="00932DF8" w:rsidRDefault="00932DF8" w:rsidP="00932DF8">
      <w:pPr>
        <w:pStyle w:val="Quote1"/>
      </w:pPr>
      <w:r>
        <w:t>…</w:t>
      </w:r>
    </w:p>
    <w:p w:rsidR="00932DF8" w:rsidRDefault="00932DF8" w:rsidP="00932DF8">
      <w:pPr>
        <w:pStyle w:val="Quote1"/>
        <w:ind w:left="1440" w:hanging="703"/>
      </w:pPr>
      <w:r>
        <w:t>(1A)</w:t>
      </w:r>
      <w:r>
        <w:tab/>
        <w:t xml:space="preserve">A </w:t>
      </w:r>
      <w:r w:rsidRPr="00D35C45">
        <w:rPr>
          <w:b/>
        </w:rPr>
        <w:t>court may include an additional amount</w:t>
      </w:r>
      <w:r>
        <w:t xml:space="preserve"> in an assessment of damages for an infringement of a patent, </w:t>
      </w:r>
      <w:r w:rsidRPr="00D35C45">
        <w:rPr>
          <w:b/>
        </w:rPr>
        <w:t>if the court considers it appropriate to do so</w:t>
      </w:r>
      <w:r>
        <w:t xml:space="preserve"> having regard to:</w:t>
      </w:r>
    </w:p>
    <w:p w:rsidR="00932DF8" w:rsidRDefault="00932DF8" w:rsidP="00932DF8">
      <w:pPr>
        <w:pStyle w:val="Quote2"/>
        <w:ind w:left="2160" w:hanging="720"/>
      </w:pPr>
      <w:r>
        <w:t>(a)</w:t>
      </w:r>
      <w:r>
        <w:tab/>
        <w:t>the flagrancy of the infringement; and</w:t>
      </w:r>
    </w:p>
    <w:p w:rsidR="00932DF8" w:rsidRDefault="00932DF8" w:rsidP="00932DF8">
      <w:pPr>
        <w:pStyle w:val="Quote2"/>
        <w:ind w:left="2160" w:hanging="720"/>
      </w:pPr>
      <w:r>
        <w:lastRenderedPageBreak/>
        <w:t>(b)</w:t>
      </w:r>
      <w:r>
        <w:tab/>
        <w:t>the need to deter similar infringements of patents; and</w:t>
      </w:r>
    </w:p>
    <w:p w:rsidR="00932DF8" w:rsidRDefault="00932DF8" w:rsidP="00932DF8">
      <w:pPr>
        <w:pStyle w:val="Quote2"/>
        <w:ind w:left="2160" w:hanging="720"/>
      </w:pPr>
      <w:r>
        <w:t>(c)</w:t>
      </w:r>
      <w:r>
        <w:tab/>
        <w:t>the conduct of the party that infringed the patent that occurred:</w:t>
      </w:r>
    </w:p>
    <w:p w:rsidR="00932DF8" w:rsidRDefault="00932DF8" w:rsidP="00932DF8">
      <w:pPr>
        <w:pStyle w:val="Quote3"/>
        <w:ind w:left="2880" w:hanging="720"/>
      </w:pPr>
      <w:r>
        <w:t>(i)</w:t>
      </w:r>
      <w:r>
        <w:tab/>
        <w:t>after the act constituting the infringement; or</w:t>
      </w:r>
    </w:p>
    <w:p w:rsidR="00932DF8" w:rsidRDefault="00932DF8" w:rsidP="00932DF8">
      <w:pPr>
        <w:pStyle w:val="Quote3"/>
        <w:ind w:left="2880" w:hanging="720"/>
      </w:pPr>
      <w:r>
        <w:t>(ii)</w:t>
      </w:r>
      <w:r>
        <w:tab/>
        <w:t>after that party was informed that it had allegedly infringed the patent; and</w:t>
      </w:r>
    </w:p>
    <w:p w:rsidR="00932DF8" w:rsidRDefault="00932DF8" w:rsidP="00932DF8">
      <w:pPr>
        <w:pStyle w:val="Quote2"/>
        <w:ind w:left="2160" w:hanging="720"/>
      </w:pPr>
      <w:r>
        <w:t>(d)</w:t>
      </w:r>
      <w:r>
        <w:tab/>
        <w:t>any benefit shown to have accrued to that party because of the infringement; and</w:t>
      </w:r>
    </w:p>
    <w:p w:rsidR="00932DF8" w:rsidRDefault="00932DF8" w:rsidP="00932DF8">
      <w:pPr>
        <w:pStyle w:val="Quote2"/>
        <w:ind w:left="2160" w:hanging="720"/>
      </w:pPr>
      <w:r>
        <w:t>(e)</w:t>
      </w:r>
      <w:r>
        <w:tab/>
        <w:t>all other relevant matters.</w:t>
      </w:r>
    </w:p>
    <w:p w:rsidR="00784309" w:rsidRDefault="00932DF8" w:rsidP="00932DF8">
      <w:pPr>
        <w:pStyle w:val="Quote1"/>
      </w:pPr>
      <w:r>
        <w:t>…</w:t>
      </w:r>
    </w:p>
    <w:p w:rsidR="00932DF8" w:rsidRDefault="00784309" w:rsidP="00932DF8">
      <w:pPr>
        <w:pStyle w:val="Quote1"/>
      </w:pPr>
      <w:r>
        <w:t>(emphasis added)</w:t>
      </w:r>
    </w:p>
    <w:p w:rsidR="00E15DE1" w:rsidRDefault="00D77682" w:rsidP="00D77682">
      <w:pPr>
        <w:pStyle w:val="ParaNumbering"/>
      </w:pPr>
      <w:r w:rsidRPr="00D77682">
        <w:t>The factors listed in this subsection mirror those provided under s</w:t>
      </w:r>
      <w:r>
        <w:t> </w:t>
      </w:r>
      <w:r w:rsidRPr="00D77682">
        <w:t>115(4) of the Copyright Act</w:t>
      </w:r>
      <w:r>
        <w:t xml:space="preserve">.  </w:t>
      </w:r>
      <w:r w:rsidRPr="00D77682">
        <w:t xml:space="preserve">The applicants argue that the case law relevant to that equivalent provision is capable of being used analogously in patent cases: </w:t>
      </w:r>
      <w:r w:rsidRPr="00D77682">
        <w:rPr>
          <w:i/>
        </w:rPr>
        <w:t>Zetco Pty Ltd v Austworld Commodities Pty Ltd (No 2)</w:t>
      </w:r>
      <w:r w:rsidRPr="00D77682">
        <w:t xml:space="preserve"> [2011] FCA 848 per Justice Bennett citing </w:t>
      </w:r>
      <w:r w:rsidRPr="00D77682">
        <w:rPr>
          <w:i/>
        </w:rPr>
        <w:t>Raben Footwear Pty Ltd v Polygram Records Inc</w:t>
      </w:r>
      <w:r w:rsidRPr="00D77682">
        <w:t xml:space="preserve"> (1997) 5 FCR 88 per Burchett J (at 93) and Tamberlin J (at 103-</w:t>
      </w:r>
      <w:r>
        <w:t>10</w:t>
      </w:r>
      <w:r w:rsidRPr="00D77682">
        <w:t>4).</w:t>
      </w:r>
    </w:p>
    <w:p w:rsidR="00932DF8" w:rsidRDefault="00932DF8" w:rsidP="00932DF8">
      <w:pPr>
        <w:pStyle w:val="ParaNumbering"/>
      </w:pPr>
      <w:r>
        <w:t xml:space="preserve">The applicants argue that this case strongly supports an award of additional damages when </w:t>
      </w:r>
      <w:r w:rsidR="00E15DE1">
        <w:t>the factors listed in s 122(1A) are taken into account</w:t>
      </w:r>
      <w:r w:rsidR="00784309">
        <w:t>.  T</w:t>
      </w:r>
      <w:r>
        <w:t xml:space="preserve">his hearing is not concerned with quantum, but the applicants pressed for findings relevant to </w:t>
      </w:r>
      <w:r w:rsidR="00784309">
        <w:t>s 122</w:t>
      </w:r>
      <w:r>
        <w:t xml:space="preserve">(1A) of the Act.  </w:t>
      </w:r>
    </w:p>
    <w:p w:rsidR="00784309" w:rsidRDefault="001D7AE3" w:rsidP="00932DF8">
      <w:pPr>
        <w:pStyle w:val="ParaNumbering"/>
      </w:pPr>
      <w:r>
        <w:t xml:space="preserve">I consider that the </w:t>
      </w:r>
      <w:r w:rsidR="0041698D">
        <w:t>infringement was flagrant</w:t>
      </w:r>
      <w:r>
        <w:t xml:space="preserve">.  </w:t>
      </w:r>
      <w:r w:rsidR="003317A3">
        <w:t>I accept that t</w:t>
      </w:r>
      <w:r w:rsidR="0041698D">
        <w:t>he conduct after becoming aware of the allegation of infringement</w:t>
      </w:r>
      <w:r>
        <w:t xml:space="preserve">, which has been outlined above, </w:t>
      </w:r>
      <w:r w:rsidR="0041698D">
        <w:t>was an artificial contrivance perpetuated through the course of the trial at considerable length</w:t>
      </w:r>
      <w:r>
        <w:t>.  T</w:t>
      </w:r>
      <w:r w:rsidR="0041698D">
        <w:t xml:space="preserve">he benefit of the infringement in the sales of the </w:t>
      </w:r>
      <w:r w:rsidR="0082505E">
        <w:t>ORIshot</w:t>
      </w:r>
      <w:r w:rsidR="0041698D">
        <w:t xml:space="preserve"> </w:t>
      </w:r>
      <w:r>
        <w:t xml:space="preserve">Tool have </w:t>
      </w:r>
      <w:r w:rsidR="0041698D">
        <w:t>been significant</w:t>
      </w:r>
      <w:r>
        <w:t xml:space="preserve">. </w:t>
      </w:r>
      <w:r w:rsidR="0041698D">
        <w:t xml:space="preserve"> </w:t>
      </w:r>
      <w:r>
        <w:t>T</w:t>
      </w:r>
      <w:r w:rsidR="0041698D">
        <w:t>he credibility and conduct of Mr Kleyn and, therefore, the respondents generally</w:t>
      </w:r>
      <w:r>
        <w:t>,</w:t>
      </w:r>
      <w:r w:rsidR="0041698D">
        <w:t xml:space="preserve"> on the topics in issue would certainly not assist the respondents in resisting an award of additional damages.  </w:t>
      </w:r>
    </w:p>
    <w:p w:rsidR="0041698D" w:rsidRDefault="0041698D" w:rsidP="00932DF8">
      <w:pPr>
        <w:pStyle w:val="ParaNumbering"/>
      </w:pPr>
      <w:r>
        <w:t xml:space="preserve">Beyond reiterating </w:t>
      </w:r>
      <w:r w:rsidR="001D7AE3">
        <w:t>those observations, which do no</w:t>
      </w:r>
      <w:r>
        <w:t xml:space="preserve"> more than restate conclusions and findings </w:t>
      </w:r>
      <w:r w:rsidR="001D7AE3">
        <w:t>that I have already made</w:t>
      </w:r>
      <w:r w:rsidR="00C73915">
        <w:t xml:space="preserve">, </w:t>
      </w:r>
      <w:r w:rsidR="001D7AE3">
        <w:t>the applicants would be entitled to an award for additional damages</w:t>
      </w:r>
      <w:r w:rsidR="00BE139A">
        <w:t>, but, again, the resolution of this would be deferred to any hearing of quantum</w:t>
      </w:r>
      <w:r w:rsidR="001D7AE3">
        <w:t xml:space="preserve">.  </w:t>
      </w:r>
    </w:p>
    <w:p w:rsidR="00DB2308" w:rsidRDefault="009A6C93" w:rsidP="0065685D">
      <w:pPr>
        <w:pStyle w:val="Heading5"/>
      </w:pPr>
      <w:bookmarkStart w:id="76" w:name="_Ref410127195"/>
      <w:r>
        <w:t>CORETELL’S CROSS-CLAIM</w:t>
      </w:r>
      <w:bookmarkEnd w:id="74"/>
      <w:r>
        <w:t xml:space="preserve"> </w:t>
      </w:r>
      <w:r w:rsidR="00BB3E2F">
        <w:t>–</w:t>
      </w:r>
      <w:r>
        <w:t xml:space="preserve"> INVALIDITY</w:t>
      </w:r>
      <w:bookmarkEnd w:id="75"/>
      <w:bookmarkEnd w:id="76"/>
    </w:p>
    <w:p w:rsidR="00BE0B2C" w:rsidRDefault="00BE0B2C" w:rsidP="00BE0B2C">
      <w:pPr>
        <w:pStyle w:val="ParaNumbering"/>
      </w:pPr>
      <w:r>
        <w:t xml:space="preserve">Coretell advances numerous bases upon which it asserts that the Patents are invalid.  It focusses particular attention on its prior use claim, but there are numerous aspects to its cross-claim.  The cross-claim was brought by Coretell alone.  </w:t>
      </w:r>
    </w:p>
    <w:p w:rsidR="00BE0B2C" w:rsidRDefault="00BE0B2C" w:rsidP="00BE0B2C">
      <w:pPr>
        <w:pStyle w:val="ParaNumbering"/>
      </w:pPr>
      <w:r>
        <w:t xml:space="preserve">In its closing submissions, Coretell followed a different order to that in its statement of cross-claim.  First, Coretell dealt with some general invalidity grounds, then novelty with regard to the evidence of Dr Skopec on prior art, followed by further invalidity claims, and </w:t>
      </w:r>
      <w:r>
        <w:lastRenderedPageBreak/>
        <w:t>finally separate submissions concerning novelty with regard to prior use of the ACT Tool.  I have largely adopted the structure of Coretell’s closing submissions.</w:t>
      </w:r>
    </w:p>
    <w:p w:rsidR="00BE0B2C" w:rsidRDefault="00BE0B2C" w:rsidP="00BE0B2C">
      <w:pPr>
        <w:pStyle w:val="ParaNumbering"/>
      </w:pPr>
      <w:r>
        <w:t>It is helpful to reiterate the pleaded elements of the cross-claim, at least initially in skeletal form, so that further discussion can be appreciated in total context.  Coretell relies upon the following contentions in support of its cross-claim that the Patents are invalid and liable to be revoked:</w:t>
      </w:r>
    </w:p>
    <w:p w:rsidR="00BE0B2C" w:rsidRDefault="00BE0B2C" w:rsidP="001332BE">
      <w:pPr>
        <w:pStyle w:val="ListNo"/>
        <w:numPr>
          <w:ilvl w:val="3"/>
          <w:numId w:val="59"/>
        </w:numPr>
        <w:tabs>
          <w:tab w:val="clear" w:pos="2880"/>
        </w:tabs>
        <w:ind w:left="709"/>
      </w:pPr>
      <w:r>
        <w:t>the priority date is not earlier than the dates of filing the applications for the Patents, or alternatively, is not 3 September 2004, being the date of filing of the Provisional Application if on a proper construction of the claims the claims of the System Patent and/or Method Patent are so construed as to comprehend the OriShot Tool;</w:t>
      </w:r>
    </w:p>
    <w:p w:rsidR="00BE0B2C" w:rsidRDefault="00BE0B2C" w:rsidP="001332BE">
      <w:pPr>
        <w:pStyle w:val="ListNo"/>
        <w:numPr>
          <w:ilvl w:val="3"/>
          <w:numId w:val="59"/>
        </w:numPr>
        <w:tabs>
          <w:tab w:val="clear" w:pos="2880"/>
        </w:tabs>
        <w:ind w:left="709"/>
      </w:pPr>
      <w:r>
        <w:t>lack of novelty – prior art;</w:t>
      </w:r>
    </w:p>
    <w:p w:rsidR="00BE0B2C" w:rsidRDefault="00BE0B2C" w:rsidP="001332BE">
      <w:pPr>
        <w:pStyle w:val="ListNo"/>
        <w:numPr>
          <w:ilvl w:val="3"/>
          <w:numId w:val="59"/>
        </w:numPr>
        <w:tabs>
          <w:tab w:val="clear" w:pos="2880"/>
        </w:tabs>
        <w:ind w:left="709"/>
      </w:pPr>
      <w:r>
        <w:t>lack of novelty – prior use;</w:t>
      </w:r>
    </w:p>
    <w:p w:rsidR="00BE0B2C" w:rsidRDefault="00BE0B2C" w:rsidP="001332BE">
      <w:pPr>
        <w:pStyle w:val="ListNo"/>
        <w:numPr>
          <w:ilvl w:val="3"/>
          <w:numId w:val="59"/>
        </w:numPr>
        <w:tabs>
          <w:tab w:val="clear" w:pos="2880"/>
        </w:tabs>
        <w:ind w:left="709"/>
      </w:pPr>
      <w:r>
        <w:t>lack of innovative step;</w:t>
      </w:r>
    </w:p>
    <w:p w:rsidR="00BE0B2C" w:rsidRDefault="00BE0B2C" w:rsidP="001332BE">
      <w:pPr>
        <w:pStyle w:val="ListNo"/>
        <w:numPr>
          <w:ilvl w:val="3"/>
          <w:numId w:val="59"/>
        </w:numPr>
        <w:tabs>
          <w:tab w:val="clear" w:pos="2880"/>
        </w:tabs>
        <w:ind w:left="709"/>
      </w:pPr>
      <w:r>
        <w:t>lack of fair basis;</w:t>
      </w:r>
    </w:p>
    <w:p w:rsidR="00BE0B2C" w:rsidRDefault="00BE0B2C" w:rsidP="001332BE">
      <w:pPr>
        <w:pStyle w:val="ListNo"/>
        <w:numPr>
          <w:ilvl w:val="3"/>
          <w:numId w:val="59"/>
        </w:numPr>
        <w:tabs>
          <w:tab w:val="clear" w:pos="2880"/>
        </w:tabs>
        <w:ind w:left="709"/>
      </w:pPr>
      <w:r>
        <w:t>the patents were obtained by false suggestion or misrepresentation;</w:t>
      </w:r>
    </w:p>
    <w:p w:rsidR="00BE0B2C" w:rsidRDefault="00BE0B2C" w:rsidP="001332BE">
      <w:pPr>
        <w:pStyle w:val="ListNo"/>
        <w:numPr>
          <w:ilvl w:val="3"/>
          <w:numId w:val="59"/>
        </w:numPr>
        <w:tabs>
          <w:tab w:val="clear" w:pos="2880"/>
        </w:tabs>
        <w:ind w:left="709"/>
      </w:pPr>
      <w:r>
        <w:t>lack of utility;</w:t>
      </w:r>
    </w:p>
    <w:p w:rsidR="00BE0B2C" w:rsidRDefault="00BE0B2C" w:rsidP="001332BE">
      <w:pPr>
        <w:pStyle w:val="ListNo"/>
        <w:numPr>
          <w:ilvl w:val="3"/>
          <w:numId w:val="59"/>
        </w:numPr>
        <w:tabs>
          <w:tab w:val="clear" w:pos="2880"/>
        </w:tabs>
        <w:ind w:left="709"/>
      </w:pPr>
      <w:r>
        <w:t>insufficient description of the invention;</w:t>
      </w:r>
    </w:p>
    <w:p w:rsidR="00BE0B2C" w:rsidRDefault="00BE0B2C" w:rsidP="001332BE">
      <w:pPr>
        <w:pStyle w:val="ListNo"/>
        <w:numPr>
          <w:ilvl w:val="3"/>
          <w:numId w:val="59"/>
        </w:numPr>
        <w:tabs>
          <w:tab w:val="clear" w:pos="2880"/>
        </w:tabs>
        <w:ind w:left="709"/>
      </w:pPr>
      <w:r>
        <w:t>failure to define the invention;</w:t>
      </w:r>
    </w:p>
    <w:p w:rsidR="00BE0B2C" w:rsidRDefault="00BE0B2C" w:rsidP="001332BE">
      <w:pPr>
        <w:pStyle w:val="ListNo"/>
        <w:numPr>
          <w:ilvl w:val="3"/>
          <w:numId w:val="59"/>
        </w:numPr>
        <w:tabs>
          <w:tab w:val="clear" w:pos="2880"/>
        </w:tabs>
        <w:ind w:left="709"/>
      </w:pPr>
      <w:r>
        <w:t>lack of clarity;</w:t>
      </w:r>
    </w:p>
    <w:p w:rsidR="00BE0B2C" w:rsidRDefault="00BE0B2C" w:rsidP="001332BE">
      <w:pPr>
        <w:pStyle w:val="ListNo"/>
        <w:numPr>
          <w:ilvl w:val="3"/>
          <w:numId w:val="59"/>
        </w:numPr>
        <w:tabs>
          <w:tab w:val="clear" w:pos="2880"/>
        </w:tabs>
        <w:ind w:left="709"/>
      </w:pPr>
      <w:r>
        <w:t>prior secret use; and</w:t>
      </w:r>
    </w:p>
    <w:p w:rsidR="00BE0B2C" w:rsidRDefault="00BE0B2C" w:rsidP="001332BE">
      <w:pPr>
        <w:pStyle w:val="ListNo"/>
        <w:numPr>
          <w:ilvl w:val="3"/>
          <w:numId w:val="59"/>
        </w:numPr>
        <w:tabs>
          <w:tab w:val="clear" w:pos="2880"/>
        </w:tabs>
        <w:ind w:left="709"/>
      </w:pPr>
      <w:r>
        <w:t>no manner of manufacture.</w:t>
      </w:r>
    </w:p>
    <w:p w:rsidR="00BE0B2C" w:rsidRDefault="00BE0B2C" w:rsidP="00BE0B2C">
      <w:pPr>
        <w:pStyle w:val="ParaNumbering"/>
      </w:pPr>
      <w:r>
        <w:t xml:space="preserve">Coretell also claims that the applicants made unjustified threats and/or breaches of the Australian Consumer Law contained in Sch 2 </w:t>
      </w:r>
      <w:r w:rsidR="00E23B60">
        <w:t xml:space="preserve">of the </w:t>
      </w:r>
      <w:r w:rsidRPr="00E23B60">
        <w:t>ACL</w:t>
      </w:r>
      <w:r>
        <w:t>.</w:t>
      </w:r>
    </w:p>
    <w:p w:rsidR="000E4F05" w:rsidRDefault="00BE0B2C" w:rsidP="00BE0B2C">
      <w:pPr>
        <w:pStyle w:val="ParaNumbering"/>
      </w:pPr>
      <w:r>
        <w:t>The applicants join issue with all the above and further allege in response to the contentions in (a), (b) and (c) above that the ‘grace period’ under s 24(1) of the Act applies.</w:t>
      </w:r>
      <w:r w:rsidR="000E4F05">
        <w:t xml:space="preserve">  </w:t>
      </w:r>
    </w:p>
    <w:p w:rsidR="000F7FC0" w:rsidRDefault="00C475D8" w:rsidP="00BE0B2C">
      <w:pPr>
        <w:pStyle w:val="ParaNumbering"/>
      </w:pPr>
      <w:r>
        <w:t xml:space="preserve">Behind </w:t>
      </w:r>
      <w:r w:rsidR="00846D53">
        <w:t xml:space="preserve">a number of Coretell’s </w:t>
      </w:r>
      <w:r>
        <w:t>argument</w:t>
      </w:r>
      <w:r w:rsidR="00846D53">
        <w:t>s is the assertion</w:t>
      </w:r>
      <w:r>
        <w:t xml:space="preserve"> </w:t>
      </w:r>
      <w:r w:rsidR="000F7FC0">
        <w:t xml:space="preserve">that if the Court rejects its position and accepts the applicants’ argument </w:t>
      </w:r>
      <w:r w:rsidR="009B4E2E">
        <w:t xml:space="preserve">on </w:t>
      </w:r>
      <w:r w:rsidR="001A28A7">
        <w:t xml:space="preserve">what it describes as </w:t>
      </w:r>
      <w:r w:rsidR="000F7FC0">
        <w:t xml:space="preserve">the </w:t>
      </w:r>
      <w:r>
        <w:t>‘</w:t>
      </w:r>
      <w:r w:rsidR="000F7FC0">
        <w:t>broad claim construction</w:t>
      </w:r>
      <w:r>
        <w:t>’</w:t>
      </w:r>
      <w:r w:rsidR="000F7FC0">
        <w:t xml:space="preserve"> which would embrace a unitary device and a device comprising more than one piece, then invalidity consequences must necessarily follow due to ambiguity</w:t>
      </w:r>
      <w:r w:rsidR="009E6CF0">
        <w:t xml:space="preserve">, </w:t>
      </w:r>
      <w:r w:rsidR="000F7FC0">
        <w:t>la</w:t>
      </w:r>
      <w:r>
        <w:t>ck of internal and external fair</w:t>
      </w:r>
      <w:r w:rsidR="000F7FC0">
        <w:t xml:space="preserve"> basis</w:t>
      </w:r>
      <w:r w:rsidR="009E6CF0">
        <w:t xml:space="preserve">, </w:t>
      </w:r>
      <w:r w:rsidR="000F7FC0">
        <w:t xml:space="preserve">and lack of novelty and any innovative step over the Skopec prior art </w:t>
      </w:r>
      <w:r w:rsidR="000F7FC0">
        <w:lastRenderedPageBreak/>
        <w:t xml:space="preserve">and practices.  </w:t>
      </w:r>
      <w:r w:rsidR="004D2819">
        <w:t xml:space="preserve">Coretell argues that </w:t>
      </w:r>
      <w:r w:rsidR="00A8146B">
        <w:t xml:space="preserve">if </w:t>
      </w:r>
      <w:r w:rsidR="004D2819">
        <w:t>its construction of the claims is rejected, then the limit of the claim</w:t>
      </w:r>
      <w:r>
        <w:t>ed</w:t>
      </w:r>
      <w:r w:rsidR="004D2819">
        <w:t xml:space="preserve"> monopoly would become uncertain in scope and subject matter, thereby making it impossible to say with confidence what is or is not covered by the claims.  On that basis, the lack of clarity in the claims would render the Patents invalid.</w:t>
      </w:r>
    </w:p>
    <w:p w:rsidR="000F3AD9" w:rsidRDefault="00A64861" w:rsidP="00D7548B">
      <w:pPr>
        <w:pStyle w:val="ParaNumbering"/>
      </w:pPr>
      <w:r>
        <w:t xml:space="preserve">Coretell says that if the claims are </w:t>
      </w:r>
      <w:r w:rsidR="00725091">
        <w:t xml:space="preserve">to be so broadly construed without limitation to any form </w:t>
      </w:r>
      <w:r w:rsidR="005205BB">
        <w:t xml:space="preserve">of </w:t>
      </w:r>
      <w:r w:rsidR="00725091">
        <w:t>core orientation device or the limitation aspect of the preferred embodiment description to such a device, then the claims must be invalid because they lack any innovative step:</w:t>
      </w:r>
    </w:p>
    <w:p w:rsidR="00725091" w:rsidRDefault="009E6CF0" w:rsidP="001332BE">
      <w:pPr>
        <w:pStyle w:val="ListNo"/>
        <w:numPr>
          <w:ilvl w:val="0"/>
          <w:numId w:val="44"/>
        </w:numPr>
        <w:tabs>
          <w:tab w:val="clear" w:pos="720"/>
        </w:tabs>
      </w:pPr>
      <w:r>
        <w:t>o</w:t>
      </w:r>
      <w:r w:rsidR="00725091">
        <w:t>ver and above the prior art practised and described by Dr Skopec; and</w:t>
      </w:r>
    </w:p>
    <w:p w:rsidR="00725091" w:rsidRDefault="009E6CF0" w:rsidP="001332BE">
      <w:pPr>
        <w:pStyle w:val="ListNo"/>
        <w:numPr>
          <w:ilvl w:val="0"/>
          <w:numId w:val="44"/>
        </w:numPr>
        <w:tabs>
          <w:tab w:val="clear" w:pos="720"/>
        </w:tabs>
      </w:pPr>
      <w:r>
        <w:t>a</w:t>
      </w:r>
      <w:r w:rsidR="00725091">
        <w:t>s being no more than the logical and necessary steps that would be practised by a person such as Dr Kepic if asked to design an electronic core orientation device at the Priority Date of 3 September 2004.</w:t>
      </w:r>
    </w:p>
    <w:p w:rsidR="00A04FC6" w:rsidRDefault="00A04FC6" w:rsidP="00A04FC6">
      <w:pPr>
        <w:pStyle w:val="Heading6"/>
      </w:pPr>
      <w:bookmarkStart w:id="77" w:name="_Ref404090362"/>
      <w:r>
        <w:t>Priority Date</w:t>
      </w:r>
      <w:bookmarkEnd w:id="77"/>
    </w:p>
    <w:p w:rsidR="00A04FC6" w:rsidRDefault="00A04FC6" w:rsidP="00A04FC6">
      <w:pPr>
        <w:pStyle w:val="ParaNumbering"/>
      </w:pPr>
      <w:r>
        <w:t xml:space="preserve">The Patents claim priority from the filing of the Provisional Application on 3 September 2004.  </w:t>
      </w:r>
      <w:r w:rsidR="001A28A7">
        <w:t xml:space="preserve">Coretell </w:t>
      </w:r>
      <w:r>
        <w:t>attack</w:t>
      </w:r>
      <w:r w:rsidR="001A28A7">
        <w:t>s</w:t>
      </w:r>
      <w:r>
        <w:t xml:space="preserve"> the validity of the Patents by </w:t>
      </w:r>
      <w:r w:rsidR="009E6CF0">
        <w:t xml:space="preserve">challenging </w:t>
      </w:r>
      <w:r>
        <w:t xml:space="preserve">the Priority Date.  It is common ground that if the Priority Date is later than 3 September 2004, the Patents are invalid in view of the publication of the </w:t>
      </w:r>
      <w:r w:rsidR="00BF240F">
        <w:t>ACT Tool</w:t>
      </w:r>
      <w:r>
        <w:t xml:space="preserve"> after that date.  </w:t>
      </w:r>
    </w:p>
    <w:p w:rsidR="00227D2D" w:rsidRDefault="00A04FC6" w:rsidP="00A04FC6">
      <w:pPr>
        <w:pStyle w:val="ParaNumbering"/>
      </w:pPr>
      <w:r>
        <w:t>There is debate between the parties as to who bears the onus</w:t>
      </w:r>
      <w:r w:rsidR="009E6CF0">
        <w:t xml:space="preserve"> of establishing the Priority Date</w:t>
      </w:r>
      <w:r>
        <w:t>.  Coretell asserts that it is for the applicants to establish an entitlement to the Priority Date.  The applicants reject this</w:t>
      </w:r>
      <w:r w:rsidR="00227D2D">
        <w:t xml:space="preserve">. </w:t>
      </w:r>
      <w:r>
        <w:t xml:space="preserve"> </w:t>
      </w:r>
      <w:r w:rsidR="00227D2D">
        <w:t xml:space="preserve">They say </w:t>
      </w:r>
      <w:r>
        <w:t xml:space="preserve">that the issue arises only on </w:t>
      </w:r>
      <w:r w:rsidR="001A28A7">
        <w:t xml:space="preserve">Coretell’s </w:t>
      </w:r>
      <w:r>
        <w:t xml:space="preserve">attack on the validity of the Patents, so they bear the onus of establishing that the Priority Date is that for which they contend:  </w:t>
      </w:r>
      <w:r w:rsidRPr="0003693E">
        <w:rPr>
          <w:i/>
        </w:rPr>
        <w:t xml:space="preserve">Sigma Pharmaceuticals (Australia) Pty Ltd v Wyeth </w:t>
      </w:r>
      <w:r>
        <w:t xml:space="preserve">(2009) 81 IPR 339 (at [21]) per Sundberg J; and </w:t>
      </w:r>
      <w:r w:rsidRPr="0003693E">
        <w:rPr>
          <w:i/>
        </w:rPr>
        <w:t xml:space="preserve">Aspirating IP Ltd v Vision Systems Ltd </w:t>
      </w:r>
      <w:r>
        <w:t xml:space="preserve">(2010) 88 IPR 52 (at [83]) per Besanko J.  Moreover, this is consistent with the wording of the Act and </w:t>
      </w:r>
      <w:r w:rsidR="00FC46A6">
        <w:t xml:space="preserve">the </w:t>
      </w:r>
      <w:r w:rsidR="00FC46A6" w:rsidRPr="00413927">
        <w:rPr>
          <w:i/>
        </w:rPr>
        <w:t xml:space="preserve">Patents </w:t>
      </w:r>
      <w:r w:rsidR="00FC46A6" w:rsidRPr="00FC46A6">
        <w:rPr>
          <w:b/>
          <w:i/>
        </w:rPr>
        <w:t>Regulations</w:t>
      </w:r>
      <w:r w:rsidR="00FC46A6" w:rsidRPr="00413927">
        <w:rPr>
          <w:i/>
        </w:rPr>
        <w:t xml:space="preserve"> 1991 </w:t>
      </w:r>
      <w:r w:rsidR="00FC46A6">
        <w:t>(Cth)</w:t>
      </w:r>
      <w:r>
        <w:t xml:space="preserve">.  </w:t>
      </w:r>
    </w:p>
    <w:p w:rsidR="00A04FC6" w:rsidRDefault="00A04FC6" w:rsidP="00A04FC6">
      <w:pPr>
        <w:pStyle w:val="ParaNumbering"/>
      </w:pPr>
      <w:r>
        <w:t xml:space="preserve">In my view, </w:t>
      </w:r>
      <w:r w:rsidR="001A28A7">
        <w:t xml:space="preserve">Coretell </w:t>
      </w:r>
      <w:r>
        <w:t>bear</w:t>
      </w:r>
      <w:r w:rsidR="001A28A7">
        <w:t>s</w:t>
      </w:r>
      <w:r>
        <w:t xml:space="preserve"> the onus, but whether </w:t>
      </w:r>
      <w:r w:rsidR="00D46706">
        <w:t xml:space="preserve">or not this is so, in this case, </w:t>
      </w:r>
      <w:r>
        <w:t xml:space="preserve">is academic. The arguments advanced </w:t>
      </w:r>
      <w:r w:rsidR="00D46706">
        <w:t xml:space="preserve">by </w:t>
      </w:r>
      <w:r w:rsidR="001A28A7">
        <w:t xml:space="preserve">Coretell </w:t>
      </w:r>
      <w:r w:rsidR="00D46706">
        <w:t xml:space="preserve">in </w:t>
      </w:r>
      <w:r>
        <w:t xml:space="preserve">support </w:t>
      </w:r>
      <w:r w:rsidR="001A28A7">
        <w:t xml:space="preserve">of </w:t>
      </w:r>
      <w:r>
        <w:t>the Priority Date contention depend upon other arguments on which I have ruled in favour of the applicants</w:t>
      </w:r>
      <w:r w:rsidR="00D46706">
        <w:t>,</w:t>
      </w:r>
      <w:r>
        <w:t xml:space="preserve"> and against the respondents.  </w:t>
      </w:r>
    </w:p>
    <w:p w:rsidR="00A04FC6" w:rsidRDefault="00A04FC6" w:rsidP="00A04FC6">
      <w:pPr>
        <w:pStyle w:val="ParaNumbering"/>
      </w:pPr>
      <w:r>
        <w:t xml:space="preserve">The provisions governing the Priority Date of the Patents are to be found in s 43 and s 79B of the Patents and reg 3.12 of the Regulations.  </w:t>
      </w:r>
    </w:p>
    <w:p w:rsidR="00A04FC6" w:rsidRDefault="009A1FC7" w:rsidP="00A04FC6">
      <w:pPr>
        <w:pStyle w:val="ParaNumbering"/>
      </w:pPr>
      <w:r>
        <w:lastRenderedPageBreak/>
        <w:t xml:space="preserve">Respectively, s 43and s 79B </w:t>
      </w:r>
      <w:r w:rsidR="00A04FC6">
        <w:t>provide as follows:</w:t>
      </w:r>
    </w:p>
    <w:p w:rsidR="00D02978" w:rsidRPr="00D02978" w:rsidRDefault="00D02978" w:rsidP="00D02978">
      <w:pPr>
        <w:pStyle w:val="Quote1"/>
        <w:rPr>
          <w:b/>
        </w:rPr>
      </w:pPr>
      <w:r w:rsidRPr="00D02978">
        <w:rPr>
          <w:b/>
        </w:rPr>
        <w:t>43</w:t>
      </w:r>
      <w:r w:rsidRPr="00D02978">
        <w:rPr>
          <w:b/>
        </w:rPr>
        <w:tab/>
        <w:t>Priority dates</w:t>
      </w:r>
    </w:p>
    <w:p w:rsidR="00D02978" w:rsidRDefault="00D02978" w:rsidP="00D02978">
      <w:pPr>
        <w:pStyle w:val="Quote1"/>
      </w:pPr>
    </w:p>
    <w:p w:rsidR="00D02978" w:rsidRDefault="00D02978" w:rsidP="00D02978">
      <w:pPr>
        <w:pStyle w:val="Quote1"/>
        <w:ind w:left="1440" w:hanging="703"/>
      </w:pPr>
      <w:r>
        <w:t>(1)</w:t>
      </w:r>
      <w:r>
        <w:tab/>
        <w:t>Each claim of a specification must have a priority date.</w:t>
      </w:r>
    </w:p>
    <w:p w:rsidR="00D02978" w:rsidRDefault="00D02978" w:rsidP="00D02978">
      <w:pPr>
        <w:pStyle w:val="Quote1"/>
        <w:ind w:left="1440" w:hanging="703"/>
      </w:pPr>
    </w:p>
    <w:p w:rsidR="00D02978" w:rsidRDefault="00D02978" w:rsidP="00D02978">
      <w:pPr>
        <w:pStyle w:val="Quote1"/>
        <w:ind w:left="1440" w:hanging="703"/>
      </w:pPr>
      <w:r>
        <w:t>(2)</w:t>
      </w:r>
      <w:r>
        <w:tab/>
        <w:t>The priority date of a claim is:</w:t>
      </w:r>
    </w:p>
    <w:p w:rsidR="00D02978" w:rsidRDefault="00D02978" w:rsidP="00D02978">
      <w:pPr>
        <w:pStyle w:val="Quote2"/>
        <w:ind w:left="2160" w:hanging="720"/>
      </w:pPr>
      <w:r>
        <w:t>(a)</w:t>
      </w:r>
      <w:r>
        <w:tab/>
        <w:t>the date of filing of the specification; or</w:t>
      </w:r>
    </w:p>
    <w:p w:rsidR="00D02978" w:rsidRDefault="00D02978" w:rsidP="00D02978">
      <w:pPr>
        <w:pStyle w:val="Quote2"/>
        <w:ind w:left="2160" w:hanging="720"/>
      </w:pPr>
      <w:r>
        <w:t>(b)</w:t>
      </w:r>
      <w:r>
        <w:tab/>
        <w:t>where the regulations provide for the determination of a different date as the priority date—the date determined under the regulations.</w:t>
      </w:r>
    </w:p>
    <w:p w:rsidR="00D02978" w:rsidRDefault="00D02978" w:rsidP="00D02978">
      <w:pPr>
        <w:pStyle w:val="Quote2"/>
        <w:ind w:left="2160" w:hanging="720"/>
      </w:pPr>
    </w:p>
    <w:p w:rsidR="00D02978" w:rsidRDefault="00D02978" w:rsidP="00D02978">
      <w:pPr>
        <w:pStyle w:val="Quote1"/>
        <w:ind w:left="1440" w:hanging="703"/>
      </w:pPr>
      <w:r>
        <w:t>(3)</w:t>
      </w:r>
      <w:r>
        <w:tab/>
        <w:t>Where a claim defines more than one form of an invention, then, for the purposes of determining the priority date of the claim, it must be treated as if it were a separate claim for each form of the invention that is defined.</w:t>
      </w:r>
    </w:p>
    <w:p w:rsidR="00D02978" w:rsidRDefault="00D02978" w:rsidP="00D02978">
      <w:pPr>
        <w:pStyle w:val="Quote1"/>
        <w:ind w:left="1440" w:hanging="703"/>
      </w:pPr>
    </w:p>
    <w:p w:rsidR="00D02978" w:rsidRDefault="00D02978" w:rsidP="00D02978">
      <w:pPr>
        <w:pStyle w:val="Quote1"/>
        <w:ind w:left="1440" w:hanging="703"/>
      </w:pPr>
      <w:r>
        <w:t>(4)</w:t>
      </w:r>
      <w:r>
        <w:tab/>
        <w:t>The priority date of a claim of a specification may be different from the priority date of any other claim of the specification.</w:t>
      </w:r>
    </w:p>
    <w:p w:rsidR="00D02978" w:rsidRDefault="00D02978" w:rsidP="00D02978">
      <w:pPr>
        <w:pStyle w:val="Quote1"/>
      </w:pPr>
    </w:p>
    <w:p w:rsidR="00D02978" w:rsidRPr="00D02978" w:rsidRDefault="00D02978" w:rsidP="00D02978">
      <w:pPr>
        <w:pStyle w:val="Quote2"/>
        <w:rPr>
          <w:i/>
        </w:rPr>
      </w:pPr>
      <w:r w:rsidRPr="00D02978">
        <w:rPr>
          <w:i/>
        </w:rPr>
        <w:t>Priority date if claim arises from further application for an innovation patent provided for in section 79C</w:t>
      </w:r>
    </w:p>
    <w:p w:rsidR="00D02978" w:rsidRDefault="00D02978" w:rsidP="00D02978">
      <w:pPr>
        <w:pStyle w:val="Quote1"/>
      </w:pPr>
    </w:p>
    <w:p w:rsidR="00D02978" w:rsidRDefault="00D02978" w:rsidP="00D02978">
      <w:pPr>
        <w:pStyle w:val="Quote1"/>
      </w:pPr>
      <w:r>
        <w:t>(5)</w:t>
      </w:r>
      <w:r>
        <w:tab/>
        <w:t>If:</w:t>
      </w:r>
    </w:p>
    <w:p w:rsidR="00D02978" w:rsidRDefault="00D02978" w:rsidP="00D02978">
      <w:pPr>
        <w:pStyle w:val="Quote2"/>
        <w:ind w:left="2160" w:hanging="720"/>
      </w:pPr>
      <w:r>
        <w:t>(a)</w:t>
      </w:r>
      <w:r>
        <w:tab/>
        <w:t>an innovation patent has been granted following an application provided for in section 79C; and</w:t>
      </w:r>
    </w:p>
    <w:p w:rsidR="00D02978" w:rsidRDefault="00D02978" w:rsidP="00D02978">
      <w:pPr>
        <w:pStyle w:val="Quote2"/>
        <w:ind w:left="2160" w:hanging="720"/>
      </w:pPr>
      <w:r>
        <w:t>(b)</w:t>
      </w:r>
      <w:r>
        <w:tab/>
        <w:t>a request for the examination of the patent has been made within the period prescribed in the regulations;</w:t>
      </w:r>
    </w:p>
    <w:p w:rsidR="00D02978" w:rsidRDefault="00D02978" w:rsidP="00D02978">
      <w:pPr>
        <w:pStyle w:val="Quote2"/>
      </w:pPr>
      <w:r>
        <w:t>the priority date of each claim in the specification is the date determined under the regulations.</w:t>
      </w:r>
    </w:p>
    <w:p w:rsidR="00D02978" w:rsidRDefault="00D02978" w:rsidP="00D02978">
      <w:pPr>
        <w:pStyle w:val="Quote1"/>
      </w:pPr>
    </w:p>
    <w:p w:rsidR="00D02978" w:rsidRDefault="00D02978" w:rsidP="00D02978">
      <w:pPr>
        <w:pStyle w:val="Quote1"/>
      </w:pPr>
      <w:r>
        <w:t>(6)</w:t>
      </w:r>
      <w:r>
        <w:tab/>
        <w:t>If:</w:t>
      </w:r>
    </w:p>
    <w:p w:rsidR="00D02978" w:rsidRDefault="00D02978" w:rsidP="00D02978">
      <w:pPr>
        <w:pStyle w:val="Quote2"/>
        <w:ind w:left="2160" w:hanging="720"/>
      </w:pPr>
      <w:r>
        <w:t>(a)</w:t>
      </w:r>
      <w:r>
        <w:tab/>
        <w:t>an innovation patent has been granted following an application provided for in section 79C; and</w:t>
      </w:r>
    </w:p>
    <w:p w:rsidR="00D02978" w:rsidRDefault="00D02978" w:rsidP="00D02978">
      <w:pPr>
        <w:pStyle w:val="Quote2"/>
        <w:ind w:left="2160" w:hanging="720"/>
      </w:pPr>
      <w:r>
        <w:t>(b)</w:t>
      </w:r>
      <w:r>
        <w:tab/>
        <w:t>a request for the examination of the patent has not been made within the period prescribed in the regulations;</w:t>
      </w:r>
    </w:p>
    <w:p w:rsidR="00A04FC6" w:rsidRDefault="00D02978" w:rsidP="00D02978">
      <w:pPr>
        <w:pStyle w:val="Quote2"/>
      </w:pPr>
      <w:r>
        <w:t>the priority date of each claim in the specification must not be a date earlier than the date of filing of the application provided for in section 79C.</w:t>
      </w:r>
    </w:p>
    <w:p w:rsidR="00A04FC6" w:rsidRDefault="00A04FC6" w:rsidP="00A04FC6">
      <w:pPr>
        <w:pStyle w:val="Quote1"/>
      </w:pPr>
    </w:p>
    <w:p w:rsidR="00B919AB" w:rsidRPr="00B919AB" w:rsidRDefault="00B919AB" w:rsidP="00B919AB">
      <w:pPr>
        <w:pStyle w:val="Quote1"/>
        <w:rPr>
          <w:b/>
        </w:rPr>
      </w:pPr>
      <w:r w:rsidRPr="00B919AB">
        <w:rPr>
          <w:b/>
        </w:rPr>
        <w:t>79B</w:t>
      </w:r>
      <w:r w:rsidRPr="00B919AB">
        <w:rPr>
          <w:b/>
        </w:rPr>
        <w:tab/>
        <w:t>Divisional applications prior to grant of patent</w:t>
      </w:r>
    </w:p>
    <w:p w:rsidR="00B919AB" w:rsidRDefault="00B919AB" w:rsidP="00B919AB">
      <w:pPr>
        <w:pStyle w:val="Quote1"/>
      </w:pPr>
    </w:p>
    <w:p w:rsidR="00B919AB" w:rsidRDefault="00B919AB" w:rsidP="00B919AB">
      <w:pPr>
        <w:pStyle w:val="Quote1"/>
        <w:ind w:left="1440" w:hanging="703"/>
      </w:pPr>
      <w:r>
        <w:t>(1)</w:t>
      </w:r>
      <w:r>
        <w:tab/>
        <w:t>If a complete patent application for a patent is made (but has not lapsed or been refused or withdrawn), the applicant may, in accordance with the regulations, make a further complete application for a patent for an invention:</w:t>
      </w:r>
    </w:p>
    <w:p w:rsidR="00B919AB" w:rsidRDefault="00B919AB" w:rsidP="00B919AB">
      <w:pPr>
        <w:pStyle w:val="Quote2"/>
        <w:ind w:left="2160" w:hanging="720"/>
      </w:pPr>
      <w:r>
        <w:t>(a)</w:t>
      </w:r>
      <w:r>
        <w:tab/>
        <w:t>disclosed in the specification filed in respect of the first mentioned application; and</w:t>
      </w:r>
    </w:p>
    <w:p w:rsidR="00B919AB" w:rsidRDefault="00B919AB" w:rsidP="00B919AB">
      <w:pPr>
        <w:pStyle w:val="Quote2"/>
        <w:ind w:left="2160" w:hanging="720"/>
      </w:pPr>
      <w:r>
        <w:t>(b)</w:t>
      </w:r>
      <w:r>
        <w:tab/>
        <w:t>where the first mentioned application is for a standard patent and at least 3 months have elapsed since the publication of a notice of acceptance of the relevant patent request and specification in the Official Journal-falling within the scope of the claims of the accepted specification.</w:t>
      </w:r>
    </w:p>
    <w:p w:rsidR="00B919AB" w:rsidRDefault="00B919AB" w:rsidP="00B919AB">
      <w:pPr>
        <w:pStyle w:val="Quote1"/>
      </w:pPr>
    </w:p>
    <w:p w:rsidR="00B919AB" w:rsidRDefault="00B919AB" w:rsidP="00B919AB">
      <w:pPr>
        <w:pStyle w:val="Quote1"/>
        <w:ind w:left="1440" w:hanging="703"/>
      </w:pPr>
      <w:r>
        <w:t>(1A)</w:t>
      </w:r>
      <w:r>
        <w:tab/>
        <w:t>The reference to a complete patent applicatio</w:t>
      </w:r>
      <w:r w:rsidR="00665C2F">
        <w:t>n first mentioned in subsection </w:t>
      </w:r>
      <w:r>
        <w:t>(1) does not include a reference to a divisional application for an innovation patent provided for in section 79C.</w:t>
      </w:r>
    </w:p>
    <w:p w:rsidR="00B919AB" w:rsidRDefault="00B919AB" w:rsidP="00B919AB">
      <w:pPr>
        <w:pStyle w:val="Quote1"/>
      </w:pPr>
    </w:p>
    <w:p w:rsidR="00B919AB" w:rsidRDefault="00B919AB" w:rsidP="00B919AB">
      <w:pPr>
        <w:pStyle w:val="Quote1"/>
        <w:ind w:left="1440" w:hanging="703"/>
      </w:pPr>
      <w:r>
        <w:lastRenderedPageBreak/>
        <w:t>(2)</w:t>
      </w:r>
      <w:r>
        <w:tab/>
        <w:t>In this section:</w:t>
      </w:r>
    </w:p>
    <w:p w:rsidR="00B919AB" w:rsidRDefault="00B919AB" w:rsidP="00B919AB">
      <w:pPr>
        <w:pStyle w:val="Quote1"/>
        <w:ind w:left="1440" w:hanging="703"/>
      </w:pPr>
    </w:p>
    <w:p w:rsidR="009A1FC7" w:rsidRDefault="00B919AB" w:rsidP="00B919AB">
      <w:pPr>
        <w:pStyle w:val="Quote2"/>
      </w:pPr>
      <w:r w:rsidRPr="00B919AB">
        <w:rPr>
          <w:b/>
          <w:i/>
        </w:rPr>
        <w:t>applicant</w:t>
      </w:r>
      <w:r>
        <w:t xml:space="preserve"> has the same meaning as in section 38.</w:t>
      </w:r>
    </w:p>
    <w:p w:rsidR="00A04FC6" w:rsidRDefault="00A04FC6" w:rsidP="00A04FC6">
      <w:pPr>
        <w:pStyle w:val="ParaNumbering"/>
      </w:pPr>
      <w:r>
        <w:t>In summary s 79B of the Act permits a divisional application to be made for an invention disclosed in one or more earlier patent applications.  Thus, the effect of s 43 and reg 3.12 in such circumstances will be that claims in the later divisional application take priority through those earlier applications, including any provisional application with which they are associated, if those claims are fairly based on matters disclosed in the earlier applications, including any such provisional application.  The priority date of each claim will be independent of the others.</w:t>
      </w:r>
    </w:p>
    <w:p w:rsidR="00A04FC6" w:rsidRDefault="00A04FC6" w:rsidP="00A04FC6">
      <w:pPr>
        <w:pStyle w:val="ParaNumbering"/>
      </w:pPr>
      <w:r>
        <w:t xml:space="preserve">The question is whether the claims of the Patents </w:t>
      </w:r>
      <w:r w:rsidR="00A11A68">
        <w:t xml:space="preserve">in suit </w:t>
      </w:r>
      <w:r>
        <w:t xml:space="preserve">are fairly based on matters disclosed in the </w:t>
      </w:r>
      <w:r w:rsidR="00A11A68">
        <w:t>P</w:t>
      </w:r>
      <w:r>
        <w:t xml:space="preserve">rovisional </w:t>
      </w:r>
      <w:r w:rsidR="00A11A68">
        <w:t>A</w:t>
      </w:r>
      <w:r>
        <w:t xml:space="preserve">pplication.  If they are, then it will follow that they are also </w:t>
      </w:r>
      <w:r w:rsidR="00A11A68">
        <w:t>fairly based on matter</w:t>
      </w:r>
      <w:r>
        <w:t xml:space="preserve"> disclosed in the later patent applications through which priority is claimed.  This will mean </w:t>
      </w:r>
      <w:r w:rsidR="00A11A68">
        <w:t xml:space="preserve">that </w:t>
      </w:r>
      <w:r>
        <w:t xml:space="preserve">the requirements of s 43 and s 79B of the Act and reg 3.12 will be satisfied.  </w:t>
      </w:r>
    </w:p>
    <w:p w:rsidR="00A04FC6" w:rsidRDefault="0021611F" w:rsidP="00A04FC6">
      <w:pPr>
        <w:pStyle w:val="ParaNumbering"/>
      </w:pPr>
      <w:r>
        <w:t xml:space="preserve">This </w:t>
      </w:r>
      <w:r w:rsidR="00A04FC6">
        <w:t>appears to be common ground.</w:t>
      </w:r>
    </w:p>
    <w:p w:rsidR="00A04FC6" w:rsidRDefault="00A04FC6" w:rsidP="00A04FC6">
      <w:pPr>
        <w:pStyle w:val="ParaNumbering"/>
      </w:pPr>
      <w:r>
        <w:t xml:space="preserve">As to the principles to be applied, ‘fair basis’ for this purpose will be assessed according to the principles set out in </w:t>
      </w:r>
      <w:r w:rsidR="0021611F">
        <w:rPr>
          <w:i/>
        </w:rPr>
        <w:t xml:space="preserve">Lockwood Security Products Pty Ltd v Doric Products Pty Ltd </w:t>
      </w:r>
      <w:r w:rsidR="0021611F">
        <w:t>(2004) 217 CLR 274 (</w:t>
      </w:r>
      <w:r w:rsidRPr="0021611F">
        <w:rPr>
          <w:b/>
          <w:i/>
        </w:rPr>
        <w:t>Lockwood No 1</w:t>
      </w:r>
      <w:r w:rsidR="0021611F">
        <w:rPr>
          <w:b/>
        </w:rPr>
        <w:t>)</w:t>
      </w:r>
      <w:r>
        <w:t>:</w:t>
      </w:r>
    </w:p>
    <w:p w:rsidR="00A04FC6" w:rsidRDefault="00F005BA" w:rsidP="001332BE">
      <w:pPr>
        <w:pStyle w:val="ListNo"/>
        <w:numPr>
          <w:ilvl w:val="0"/>
          <w:numId w:val="51"/>
        </w:numPr>
        <w:tabs>
          <w:tab w:val="clear" w:pos="720"/>
        </w:tabs>
      </w:pPr>
      <w:r>
        <w:t>f</w:t>
      </w:r>
      <w:r w:rsidR="00A04FC6">
        <w:t xml:space="preserve">air basis may be provided by a so-called ‘consistory statement’, read in light of </w:t>
      </w:r>
      <w:r>
        <w:t>the specifications as a whole</w:t>
      </w:r>
      <w:r w:rsidR="00A04FC6">
        <w:t xml:space="preserve"> (at [38], [91]-[93]);</w:t>
      </w:r>
    </w:p>
    <w:p w:rsidR="00A04FC6" w:rsidRDefault="00F005BA" w:rsidP="001332BE">
      <w:pPr>
        <w:pStyle w:val="ListNo"/>
        <w:numPr>
          <w:ilvl w:val="0"/>
          <w:numId w:val="51"/>
        </w:numPr>
        <w:tabs>
          <w:tab w:val="clear" w:pos="720"/>
        </w:tabs>
      </w:pPr>
      <w:r>
        <w:t>w</w:t>
      </w:r>
      <w:r w:rsidR="00A04FC6">
        <w:t xml:space="preserve">hat is required for fair basis is simply a ‘real and reasonably clear disclosure’ in the description of what is claimed (at [69]); </w:t>
      </w:r>
    </w:p>
    <w:p w:rsidR="00A04FC6" w:rsidRDefault="00F005BA" w:rsidP="001332BE">
      <w:pPr>
        <w:pStyle w:val="ListNo"/>
        <w:numPr>
          <w:ilvl w:val="0"/>
          <w:numId w:val="51"/>
        </w:numPr>
        <w:tabs>
          <w:tab w:val="clear" w:pos="720"/>
        </w:tabs>
      </w:pPr>
      <w:r>
        <w:t>t</w:t>
      </w:r>
      <w:r w:rsidR="00A04FC6">
        <w:t>he question is one of breadth and whether the claims as expressed ‘</w:t>
      </w:r>
      <w:r>
        <w:t>travel beyond’ the matter</w:t>
      </w:r>
      <w:r w:rsidR="00A04FC6">
        <w:t xml:space="preserve"> </w:t>
      </w:r>
      <w:r>
        <w:t>described in the specification</w:t>
      </w:r>
      <w:r w:rsidR="00A04FC6">
        <w:t xml:space="preserve"> (at [</w:t>
      </w:r>
      <w:r w:rsidR="009B4E2E">
        <w:t>8</w:t>
      </w:r>
      <w:r>
        <w:t>3</w:t>
      </w:r>
      <w:r w:rsidR="00A04FC6">
        <w:t>]);</w:t>
      </w:r>
    </w:p>
    <w:p w:rsidR="00A04FC6" w:rsidRDefault="00F005BA" w:rsidP="001332BE">
      <w:pPr>
        <w:pStyle w:val="ListNo"/>
        <w:numPr>
          <w:ilvl w:val="0"/>
          <w:numId w:val="51"/>
        </w:numPr>
        <w:tabs>
          <w:tab w:val="clear" w:pos="720"/>
        </w:tabs>
      </w:pPr>
      <w:r>
        <w:t>i</w:t>
      </w:r>
      <w:r w:rsidR="00A04FC6">
        <w:t>t is wrong for this purpose to seek to isolate in the description ‘essential integers</w:t>
      </w:r>
      <w:r>
        <w:t>’</w:t>
      </w:r>
      <w:r w:rsidR="00A04FC6">
        <w:t xml:space="preserve"> or </w:t>
      </w:r>
      <w:r>
        <w:t>‘</w:t>
      </w:r>
      <w:r w:rsidR="00A04FC6">
        <w:t xml:space="preserve">essential features’ of the invention and to ask whether they correspond with the integers of the claims (at [68]); and </w:t>
      </w:r>
    </w:p>
    <w:p w:rsidR="00A04FC6" w:rsidRDefault="00F005BA" w:rsidP="001332BE">
      <w:pPr>
        <w:pStyle w:val="ListNo"/>
        <w:numPr>
          <w:ilvl w:val="0"/>
          <w:numId w:val="51"/>
        </w:numPr>
        <w:tabs>
          <w:tab w:val="clear" w:pos="720"/>
        </w:tabs>
      </w:pPr>
      <w:r>
        <w:t>it is wrong to employ ‘a</w:t>
      </w:r>
      <w:r w:rsidR="00A04FC6">
        <w:t>n over meticulous verbal analysis</w:t>
      </w:r>
      <w:r>
        <w:t>’ (at [68])</w:t>
      </w:r>
      <w:r w:rsidR="00A04FC6">
        <w:t>.</w:t>
      </w:r>
    </w:p>
    <w:p w:rsidR="00A04FC6" w:rsidRDefault="00A04FC6" w:rsidP="00A04FC6">
      <w:pPr>
        <w:pStyle w:val="ParaNumbering"/>
      </w:pPr>
      <w:r>
        <w:t>When the principles are applied in this case, it is clear that the claims of the Pat</w:t>
      </w:r>
      <w:r w:rsidR="00F005BA">
        <w:t>ents are fairly based on matter</w:t>
      </w:r>
      <w:r>
        <w:t xml:space="preserve"> disclosed in the Provisional Application.  The analysis by the respondents of the Provisional Application, much like </w:t>
      </w:r>
      <w:r w:rsidR="00F005BA">
        <w:t xml:space="preserve">their </w:t>
      </w:r>
      <w:r>
        <w:t xml:space="preserve">analysis of the Patents, focusses </w:t>
      </w:r>
      <w:r>
        <w:lastRenderedPageBreak/>
        <w:t>on particular words and phrases without due regard to the de</w:t>
      </w:r>
      <w:r w:rsidR="00F005BA">
        <w:t xml:space="preserve">scription as a whole, including </w:t>
      </w:r>
      <w:r>
        <w:t>in particular, the parts of it that describe the invention in its broad form.</w:t>
      </w:r>
    </w:p>
    <w:p w:rsidR="00A04FC6" w:rsidRDefault="00A04FC6" w:rsidP="00A04FC6">
      <w:pPr>
        <w:pStyle w:val="ParaNumbering"/>
      </w:pPr>
      <w:r>
        <w:t xml:space="preserve">In my view the two part device argument reflects this flaw.  </w:t>
      </w:r>
      <w:r w:rsidR="001A28A7">
        <w:t xml:space="preserve">Coretell’s </w:t>
      </w:r>
      <w:r>
        <w:t xml:space="preserve">primary argument is that the Provisional Application is limited to the use of a so-called ‘unitary device’ on the </w:t>
      </w:r>
      <w:r w:rsidR="00F005BA">
        <w:t xml:space="preserve">grounds </w:t>
      </w:r>
      <w:r>
        <w:t xml:space="preserve">that the description does not encompass the use of a ‘two part device’.  As I have noted, this mirrors the respondents’ arguments on the construction of the claims, which I have rejected.  When the </w:t>
      </w:r>
      <w:r w:rsidR="00F005BA">
        <w:t>P</w:t>
      </w:r>
      <w:r>
        <w:t xml:space="preserve">rovisional </w:t>
      </w:r>
      <w:r w:rsidR="00F005BA">
        <w:t>Application</w:t>
      </w:r>
      <w:r>
        <w:t xml:space="preserve"> </w:t>
      </w:r>
      <w:r w:rsidR="00F005BA">
        <w:t xml:space="preserve">is </w:t>
      </w:r>
      <w:r>
        <w:t>viewed as a whole, it is true that a particular device is described as one aspect of the invention</w:t>
      </w:r>
      <w:r w:rsidR="00F005BA">
        <w:t xml:space="preserve">. </w:t>
      </w:r>
      <w:r>
        <w:t xml:space="preserve"> </w:t>
      </w:r>
      <w:r w:rsidR="00F005BA">
        <w:t xml:space="preserve">Importantly, </w:t>
      </w:r>
      <w:r>
        <w:t xml:space="preserve">the invention described </w:t>
      </w:r>
      <w:r w:rsidR="00F005BA">
        <w:t xml:space="preserve">in the Provisional Application </w:t>
      </w:r>
      <w:r>
        <w:t>is not limited to that device</w:t>
      </w:r>
      <w:r w:rsidR="00F005BA">
        <w:t xml:space="preserve">, and, </w:t>
      </w:r>
      <w:r>
        <w:t xml:space="preserve">in particular, is not limited to the use of a so-called ‘unitary device’.  </w:t>
      </w:r>
    </w:p>
    <w:p w:rsidR="00A04FC6" w:rsidRDefault="00F005BA" w:rsidP="00A04FC6">
      <w:pPr>
        <w:pStyle w:val="ParaNumbering"/>
      </w:pPr>
      <w:r>
        <w:t>‘</w:t>
      </w:r>
      <w:r w:rsidR="00A04FC6">
        <w:t xml:space="preserve">Core </w:t>
      </w:r>
      <w:r>
        <w:t>S</w:t>
      </w:r>
      <w:r w:rsidR="00A04FC6">
        <w:t xml:space="preserve">ample </w:t>
      </w:r>
      <w:r>
        <w:t>O</w:t>
      </w:r>
      <w:r w:rsidR="00A04FC6">
        <w:t>rientation</w:t>
      </w:r>
      <w:r>
        <w:t>’</w:t>
      </w:r>
      <w:r w:rsidR="00A04FC6">
        <w:t xml:space="preserve"> is the title of the Provisional Application</w:t>
      </w:r>
      <w:r>
        <w:t xml:space="preserve">.  The invention is directed generally to the orientation of core samples, and is </w:t>
      </w:r>
      <w:r w:rsidR="00A04FC6">
        <w:t xml:space="preserve">not limited </w:t>
      </w:r>
      <w:r>
        <w:t xml:space="preserve">to </w:t>
      </w:r>
      <w:r w:rsidR="00A04FC6">
        <w:t xml:space="preserve">any particular device.  The ‘Field of the Invention’ introduces the invention in general terms which pertain to identification of core sample orientation and a method </w:t>
      </w:r>
      <w:r>
        <w:t xml:space="preserve">which indicates the orientation of a core sample relative to a body of </w:t>
      </w:r>
      <w:r w:rsidR="009711D5">
        <w:t>material</w:t>
      </w:r>
      <w:r w:rsidR="00A04FC6">
        <w:t>.  While what is being described is a device and a method, there is nothing which limits the method to the use of a device referred to</w:t>
      </w:r>
      <w:r w:rsidR="00426BC9">
        <w:t>,</w:t>
      </w:r>
      <w:r w:rsidR="00A04FC6">
        <w:t xml:space="preserve"> or any particular device.  The method is expressed in general terms.  </w:t>
      </w:r>
      <w:r w:rsidR="009711D5">
        <w:t xml:space="preserve">There is nothing </w:t>
      </w:r>
      <w:r w:rsidR="00A04FC6">
        <w:t>in the discussion of the ‘</w:t>
      </w:r>
      <w:r w:rsidR="009711D5">
        <w:t>B</w:t>
      </w:r>
      <w:r w:rsidR="00A04FC6">
        <w:t xml:space="preserve">ackground </w:t>
      </w:r>
      <w:r w:rsidR="009711D5">
        <w:t>A</w:t>
      </w:r>
      <w:r w:rsidR="00A04FC6">
        <w:t xml:space="preserve">rt’ in the Provisional Application </w:t>
      </w:r>
      <w:r w:rsidR="009711D5">
        <w:t xml:space="preserve">which </w:t>
      </w:r>
      <w:r w:rsidR="00A04FC6">
        <w:t xml:space="preserve">limits the invention to the use of any particular device.  </w:t>
      </w:r>
    </w:p>
    <w:p w:rsidR="00A04FC6" w:rsidRDefault="00A04FC6" w:rsidP="00A04FC6">
      <w:pPr>
        <w:pStyle w:val="ParaNumbering"/>
      </w:pPr>
      <w:r>
        <w:t>Under ‘Disclosure of the Invention’</w:t>
      </w:r>
      <w:r w:rsidR="00DF6C15">
        <w:t>,</w:t>
      </w:r>
      <w:r>
        <w:t xml:space="preserve"> five aspects of it are identified.  The first two are core orientation devices</w:t>
      </w:r>
      <w:r w:rsidR="009711D5">
        <w:t xml:space="preserve">. </w:t>
      </w:r>
      <w:r>
        <w:t xml:space="preserve"> </w:t>
      </w:r>
      <w:r w:rsidR="009711D5">
        <w:t xml:space="preserve">The following </w:t>
      </w:r>
      <w:r>
        <w:t xml:space="preserve">two are core drills incorporating such devices.  The fifth aspect is a method, </w:t>
      </w:r>
      <w:r w:rsidR="009711D5">
        <w:t>which is expressed in functional terms, by reference to the steps to be carri</w:t>
      </w:r>
      <w:r w:rsidR="00DF6C15">
        <w:t>ed out in order to achieve core</w:t>
      </w:r>
      <w:r w:rsidR="009711D5">
        <w:t xml:space="preserve"> sample orientation, </w:t>
      </w:r>
      <w:r>
        <w:t xml:space="preserve">but </w:t>
      </w:r>
      <w:r w:rsidR="009711D5">
        <w:t xml:space="preserve">it </w:t>
      </w:r>
      <w:r>
        <w:t>is not defined by reference to the use of any particular device</w:t>
      </w:r>
      <w:r w:rsidR="009711D5">
        <w:t xml:space="preserve"> to perform those steps</w:t>
      </w:r>
      <w:r>
        <w:t>, including that just described.  It is in these terms:</w:t>
      </w:r>
    </w:p>
    <w:p w:rsidR="00A04FC6" w:rsidRDefault="00A04FC6" w:rsidP="00A04FC6">
      <w:pPr>
        <w:pStyle w:val="Quote1"/>
      </w:pPr>
      <w:r>
        <w:t xml:space="preserve">According to a fifth aspect of the invention there is provided a method of providing an indication of the orientation of a core sample relative to a body of material from which the core sample has been extracted, the method comprising:  drilling a core sample from a body of material with a core drill having an inner tube assembly; recorded the orientation of the inner tube at predetermined time intervals with reference to an initial reference time during said drilling:  recording the specific time interval beyond the reference time at which the core sample was separated from the body of material; removing the inner tube assembly and core sample contained therein from the body of material; and relating the recorded specific time to the recorded time intervals to obtain an indication of the orientation of the inner tube and consequently the core contained therein at the specific time </w:t>
      </w:r>
      <w:r w:rsidR="005835D2">
        <w:t>interval</w:t>
      </w:r>
      <w:r>
        <w:t xml:space="preserve">.  </w:t>
      </w:r>
    </w:p>
    <w:p w:rsidR="00642CC1" w:rsidRDefault="00A04FC6" w:rsidP="00A04FC6">
      <w:pPr>
        <w:pStyle w:val="ParaNumbering"/>
      </w:pPr>
      <w:r>
        <w:lastRenderedPageBreak/>
        <w:t xml:space="preserve">There is no reference to the use of any particular device, be it unitary or otherwise.  Rather, it is defined as a series of steps.  These are expressed in terms of function.  </w:t>
      </w:r>
    </w:p>
    <w:p w:rsidR="00A04FC6" w:rsidRDefault="00A04FC6" w:rsidP="00A04FC6">
      <w:pPr>
        <w:pStyle w:val="ParaNumbering"/>
      </w:pPr>
      <w:r>
        <w:t xml:space="preserve">The next passage in the Provisional Application </w:t>
      </w:r>
      <w:r w:rsidR="00642CC1">
        <w:t xml:space="preserve">also </w:t>
      </w:r>
      <w:r>
        <w:t xml:space="preserve">makes </w:t>
      </w:r>
      <w:r w:rsidR="00642CC1">
        <w:t xml:space="preserve">it </w:t>
      </w:r>
      <w:r>
        <w:t>clear that the invention is not limited to any particular device</w:t>
      </w:r>
      <w:r w:rsidR="00386272">
        <w:t xml:space="preserve">.  It refers </w:t>
      </w:r>
      <w:r>
        <w:t xml:space="preserve">to a method that may ‘preferably’ be performed using </w:t>
      </w:r>
      <w:r w:rsidR="00386272">
        <w:t xml:space="preserve">an orientation </w:t>
      </w:r>
      <w:r>
        <w:t xml:space="preserve">device </w:t>
      </w:r>
      <w:r w:rsidR="00386272">
        <w:t xml:space="preserve">in accordance with either </w:t>
      </w:r>
      <w:r>
        <w:t xml:space="preserve">the first or second aspects of the invention.  This </w:t>
      </w:r>
      <w:r w:rsidR="00386272">
        <w:t xml:space="preserve">is confirmation that while the </w:t>
      </w:r>
      <w:r>
        <w:t xml:space="preserve">use of a particular device </w:t>
      </w:r>
      <w:r w:rsidR="00386272">
        <w:t xml:space="preserve">is </w:t>
      </w:r>
      <w:r>
        <w:t>preferred in one way, it is</w:t>
      </w:r>
      <w:r w:rsidR="00386272">
        <w:t xml:space="preserve"> it is expressed to </w:t>
      </w:r>
      <w:r>
        <w:t xml:space="preserve">not </w:t>
      </w:r>
      <w:r w:rsidR="00386272">
        <w:t xml:space="preserve">be </w:t>
      </w:r>
      <w:r>
        <w:t xml:space="preserve">the only way of carrying out the invention.  </w:t>
      </w:r>
    </w:p>
    <w:p w:rsidR="00A04FC6" w:rsidRDefault="00A04FC6" w:rsidP="00A04FC6">
      <w:pPr>
        <w:pStyle w:val="ParaNumbering"/>
      </w:pPr>
      <w:r>
        <w:t>There is no claim to only one particular way of achieving the invention.  The inv</w:t>
      </w:r>
      <w:r w:rsidR="008A7CBD">
        <w:t xml:space="preserve">entor has obtained, and disclosed as </w:t>
      </w:r>
      <w:r>
        <w:t xml:space="preserve">the fifth aspect of the invention in the Provisional Application, </w:t>
      </w:r>
      <w:r w:rsidR="008A7CBD">
        <w:t xml:space="preserve">namely, </w:t>
      </w:r>
      <w:r>
        <w:t xml:space="preserve">a </w:t>
      </w:r>
      <w:r w:rsidR="008A7CBD">
        <w:t xml:space="preserve">new </w:t>
      </w:r>
      <w:r>
        <w:t xml:space="preserve">method of providing core sample orientation.  It is not defined by reference to the use of any particular device.  </w:t>
      </w:r>
      <w:r w:rsidR="008A7CBD">
        <w:t xml:space="preserve">The </w:t>
      </w:r>
      <w:r>
        <w:t xml:space="preserve">claim to a monopoly is not so limited.  </w:t>
      </w:r>
    </w:p>
    <w:p w:rsidR="00A04FC6" w:rsidRDefault="008A7CBD" w:rsidP="00A04FC6">
      <w:pPr>
        <w:pStyle w:val="ParaNumbering"/>
      </w:pPr>
      <w:r>
        <w:t xml:space="preserve">Coretell relies </w:t>
      </w:r>
      <w:r w:rsidR="00A04FC6">
        <w:t xml:space="preserve">on evidence </w:t>
      </w:r>
      <w:r>
        <w:t xml:space="preserve">of </w:t>
      </w:r>
      <w:r w:rsidR="00A04FC6">
        <w:t xml:space="preserve">Dr Skopec, but his evidence was not directed to the ‘two part device’ argument.  His evidence, at least in cross-examination, was that the disclosure in the Provisional Application was no narrower, and was actually ‘a bit broader’, than that of the Patents.  On this feature, </w:t>
      </w:r>
      <w:r>
        <w:t xml:space="preserve">Coretell’s </w:t>
      </w:r>
      <w:r w:rsidR="00A04FC6">
        <w:t xml:space="preserve">argument is rejected.  </w:t>
      </w:r>
    </w:p>
    <w:p w:rsidR="00A04FC6" w:rsidRDefault="008A7CBD" w:rsidP="00A04FC6">
      <w:pPr>
        <w:pStyle w:val="ParaNumbering"/>
      </w:pPr>
      <w:r>
        <w:t xml:space="preserve">Coretell’s second argument in support of </w:t>
      </w:r>
      <w:r w:rsidR="00A57E7D">
        <w:t>its</w:t>
      </w:r>
      <w:r>
        <w:t xml:space="preserve"> attack on the Priority Date of the Patents.  Coretell </w:t>
      </w:r>
      <w:r w:rsidR="00A04FC6">
        <w:t>argues that the Provisional Application does not provide support for the ‘</w:t>
      </w:r>
      <w:r w:rsidR="00DE4F1F">
        <w:t>h</w:t>
      </w:r>
      <w:r w:rsidR="00A04FC6">
        <w:t xml:space="preserve">eld in </w:t>
      </w:r>
      <w:r w:rsidR="00DE4F1F">
        <w:t>f</w:t>
      </w:r>
      <w:r w:rsidR="00A04FC6">
        <w:t xml:space="preserve">ixed </w:t>
      </w:r>
      <w:r w:rsidR="00DE4F1F">
        <w:t>r</w:t>
      </w:r>
      <w:r w:rsidR="00A04FC6">
        <w:t xml:space="preserve">elation’ </w:t>
      </w:r>
      <w:r>
        <w:t>requirement</w:t>
      </w:r>
      <w:r w:rsidR="00A04FC6">
        <w:t xml:space="preserve">.  </w:t>
      </w:r>
    </w:p>
    <w:p w:rsidR="002467A8" w:rsidRDefault="00A04FC6" w:rsidP="00A04FC6">
      <w:pPr>
        <w:pStyle w:val="ParaNumbering"/>
      </w:pPr>
      <w:r>
        <w:t xml:space="preserve">As the applicants submit, </w:t>
      </w:r>
      <w:r w:rsidR="002467A8">
        <w:t xml:space="preserve">and I accept, </w:t>
      </w:r>
      <w:r>
        <w:t xml:space="preserve">the very basis on which the invention works is by the core sample being held in fixed relation to the inner tube </w:t>
      </w:r>
      <w:r w:rsidR="002467A8">
        <w:t xml:space="preserve">at the time of its detachment from the rock from which it is extracted </w:t>
      </w:r>
      <w:r>
        <w:t xml:space="preserve">as claimed in the Patents.  The means of indicating the orientation of the core sample is obtained by relating the time measurement to the time interval at which the sample was detached.  This is indicated by the reference to ‘removing the inner tube assembly and core sample contained therein from the body of material’.  </w:t>
      </w:r>
    </w:p>
    <w:p w:rsidR="00A04FC6" w:rsidRDefault="00A04FC6" w:rsidP="00A04FC6">
      <w:pPr>
        <w:pStyle w:val="ParaNumbering"/>
      </w:pPr>
      <w:r>
        <w:t>The evidence indicates that the standard inner tube assemblies used in coring operations in mineral exploration as at the Priority Date incorporated a core lifter for fixedly holding the sample.  Mr Brown, Dr Kepic, Mr Ballantyne and Dr Skopec all gave evidence confirming that was so.  In t</w:t>
      </w:r>
      <w:r w:rsidR="006971CA">
        <w:t>he absence of any specification</w:t>
      </w:r>
      <w:r>
        <w:t xml:space="preserve"> to the contrary, the drilling equipment disclosed in the Provisional Application, taken in context, would necessarily include such a component.  </w:t>
      </w:r>
    </w:p>
    <w:p w:rsidR="00A04FC6" w:rsidRDefault="00A04FC6" w:rsidP="00A04FC6">
      <w:pPr>
        <w:pStyle w:val="ParaNumbering"/>
      </w:pPr>
      <w:r>
        <w:lastRenderedPageBreak/>
        <w:t>Dr Skopec was the only one to initially raise a challenge to this aspect, but on cross</w:t>
      </w:r>
      <w:r>
        <w:noBreakHyphen/>
        <w:t xml:space="preserve">examination he accepted that the ‘held in fixed relation to’ </w:t>
      </w:r>
      <w:r w:rsidR="006971CA">
        <w:t xml:space="preserve">feature </w:t>
      </w:r>
      <w:r>
        <w:t xml:space="preserve">was disclosed.  </w:t>
      </w:r>
      <w:r w:rsidR="006971CA">
        <w:t xml:space="preserve">The following </w:t>
      </w:r>
      <w:r>
        <w:t xml:space="preserve">exchange </w:t>
      </w:r>
      <w:r w:rsidR="006971CA">
        <w:t xml:space="preserve">occurred </w:t>
      </w:r>
      <w:r>
        <w:t>in cross-examination of Dr Skopec:</w:t>
      </w:r>
    </w:p>
    <w:p w:rsidR="00A04FC6" w:rsidRDefault="00A04FC6" w:rsidP="00A04FC6">
      <w:pPr>
        <w:pStyle w:val="Quote1"/>
      </w:pPr>
      <w:r>
        <w:t>Can I ask you to look at the next ph</w:t>
      </w:r>
      <w:r w:rsidR="006971CA">
        <w:t>r</w:t>
      </w:r>
      <w:r>
        <w:t>ase in that passage which says:</w:t>
      </w:r>
    </w:p>
    <w:p w:rsidR="00A04FC6" w:rsidRDefault="00A04FC6" w:rsidP="00A04FC6">
      <w:pPr>
        <w:pStyle w:val="Quote1"/>
      </w:pPr>
    </w:p>
    <w:p w:rsidR="00A04FC6" w:rsidRDefault="00A04FC6" w:rsidP="00A04FC6">
      <w:pPr>
        <w:pStyle w:val="Quote2"/>
      </w:pPr>
      <w:r>
        <w:t>And relating the recorded specific time to the recorded time intervals to obtain an indication of the orientation of the inner tube and, consequently, the core contained therein at the specific time interval.</w:t>
      </w:r>
    </w:p>
    <w:p w:rsidR="00A04FC6" w:rsidRDefault="00A04FC6" w:rsidP="00A04FC6">
      <w:pPr>
        <w:pStyle w:val="Quote2"/>
      </w:pPr>
    </w:p>
    <w:p w:rsidR="00A04FC6" w:rsidRDefault="00A04FC6" w:rsidP="00A04FC6">
      <w:pPr>
        <w:pStyle w:val="Quote1"/>
      </w:pPr>
      <w:r>
        <w:t>Do you see that? --- Yes</w:t>
      </w:r>
      <w:r w:rsidR="006971CA">
        <w:t>.</w:t>
      </w:r>
    </w:p>
    <w:p w:rsidR="00A04FC6" w:rsidRDefault="00A04FC6" w:rsidP="00A04FC6">
      <w:pPr>
        <w:pStyle w:val="Quote1"/>
      </w:pPr>
    </w:p>
    <w:p w:rsidR="00A04FC6" w:rsidRDefault="00A04FC6" w:rsidP="00A04FC6">
      <w:pPr>
        <w:pStyle w:val="Quote1"/>
      </w:pPr>
      <w:r>
        <w:t>That’s telling you, isn’t it, that the indication of the orientation of the inner tube is intended to give an indication of the orientation of the core contained therein at the time of detachment.  That’s right, isn’t it ---</w:t>
      </w:r>
      <w:r w:rsidR="006971CA">
        <w:t xml:space="preserve"> </w:t>
      </w:r>
      <w:r>
        <w:t>Right, assuming that the core and the inner tube are one and the same and there has been no rotation or movement and it’s one continuous homogeneous piece of rock.</w:t>
      </w:r>
    </w:p>
    <w:p w:rsidR="00A04FC6" w:rsidRDefault="00A04FC6" w:rsidP="00A04FC6">
      <w:pPr>
        <w:pStyle w:val="Quote1"/>
      </w:pPr>
    </w:p>
    <w:p w:rsidR="00A04FC6" w:rsidRDefault="00A04FC6" w:rsidP="00A04FC6">
      <w:pPr>
        <w:pStyle w:val="Quote1"/>
      </w:pPr>
      <w:r>
        <w:t>In order for that to happen, that is, in order for the indication of the orientation of the inner tube to give you an indication of the orientation of the core contained in the inner tube, you have to have the core held in fixed relation to the inner tube since the time of detachment, don’t you? --- You do.</w:t>
      </w:r>
    </w:p>
    <w:p w:rsidR="00A04FC6" w:rsidRDefault="00A04FC6" w:rsidP="00A04FC6">
      <w:pPr>
        <w:pStyle w:val="Quote1"/>
      </w:pPr>
    </w:p>
    <w:p w:rsidR="00A04FC6" w:rsidRDefault="00A04FC6" w:rsidP="00A04FC6">
      <w:pPr>
        <w:pStyle w:val="Quote1"/>
      </w:pPr>
      <w:r>
        <w:t>You understand that from reading this passage, don’t you? --- Yes.</w:t>
      </w:r>
    </w:p>
    <w:p w:rsidR="00A04FC6" w:rsidRDefault="00A04FC6" w:rsidP="00A04FC6">
      <w:pPr>
        <w:pStyle w:val="Quote1"/>
      </w:pPr>
    </w:p>
    <w:p w:rsidR="00A04FC6" w:rsidRDefault="00A04FC6" w:rsidP="00A04FC6">
      <w:pPr>
        <w:pStyle w:val="Quote1"/>
      </w:pPr>
      <w:r>
        <w:t>I suggest then that that subsequent phrase is indicating to you that in order for this fifth aspect of the invention to work as is set out the core must have been held in fixed relation to the inner tube since the time of detachment. That’s right, isn’t it? --- If we work on that assumption.</w:t>
      </w:r>
    </w:p>
    <w:p w:rsidR="00A04FC6" w:rsidRDefault="00A04FC6" w:rsidP="00A04FC6">
      <w:pPr>
        <w:pStyle w:val="Quote1"/>
      </w:pPr>
    </w:p>
    <w:p w:rsidR="00A04FC6" w:rsidRDefault="00A04FC6" w:rsidP="00A04FC6">
      <w:pPr>
        <w:pStyle w:val="Quote1"/>
      </w:pPr>
      <w:r>
        <w:t xml:space="preserve">Well that’s what it’s telling you as to how it’s intended to work, isn’t it --- Right.  </w:t>
      </w:r>
      <w:r w:rsidRPr="00421ACA">
        <w:rPr>
          <w:b/>
        </w:rPr>
        <w:t>Yes.  I – not that I accept it but I agreed that that’s what they’re trying to explain</w:t>
      </w:r>
      <w:r>
        <w:t xml:space="preserve">.  </w:t>
      </w:r>
    </w:p>
    <w:p w:rsidR="00A04FC6" w:rsidRDefault="00A04FC6" w:rsidP="00A04FC6">
      <w:pPr>
        <w:pStyle w:val="Quote1"/>
      </w:pPr>
    </w:p>
    <w:p w:rsidR="00A04FC6" w:rsidRDefault="00A04FC6" w:rsidP="00A04FC6">
      <w:pPr>
        <w:pStyle w:val="Quote1"/>
      </w:pPr>
      <w:r w:rsidRPr="00421ACA">
        <w:rPr>
          <w:b/>
        </w:rPr>
        <w:t>That’s what it’s disclosing to you; correct? --- Right</w:t>
      </w:r>
      <w:r>
        <w:t xml:space="preserve">.  </w:t>
      </w:r>
    </w:p>
    <w:p w:rsidR="00A04FC6" w:rsidRDefault="00A04FC6" w:rsidP="00A04FC6">
      <w:pPr>
        <w:pStyle w:val="Quote1"/>
      </w:pPr>
    </w:p>
    <w:p w:rsidR="00A04FC6" w:rsidRDefault="00A04FC6" w:rsidP="00A04FC6">
      <w:pPr>
        <w:pStyle w:val="Quote1"/>
      </w:pPr>
      <w:r>
        <w:t>You have an issue with whether or not it would actu</w:t>
      </w:r>
      <w:r w:rsidR="006971CA">
        <w:t>ally work that way in practice?</w:t>
      </w:r>
      <w:r>
        <w:t>--</w:t>
      </w:r>
      <w:r w:rsidR="006971CA">
        <w:t xml:space="preserve">- </w:t>
      </w:r>
      <w:r>
        <w:t xml:space="preserve">Correct.  </w:t>
      </w:r>
    </w:p>
    <w:p w:rsidR="00A04FC6" w:rsidRDefault="00A04FC6" w:rsidP="00A04FC6">
      <w:pPr>
        <w:pStyle w:val="Quote1"/>
      </w:pPr>
      <w:r>
        <w:t>(emphasis added)</w:t>
      </w:r>
    </w:p>
    <w:p w:rsidR="00A04FC6" w:rsidRDefault="00A04FC6" w:rsidP="00A04FC6">
      <w:pPr>
        <w:pStyle w:val="ParaNumbering"/>
      </w:pPr>
      <w:r>
        <w:t>This cross-examination was directly on point.</w:t>
      </w:r>
    </w:p>
    <w:p w:rsidR="00A04FC6" w:rsidRDefault="00A04FC6" w:rsidP="00A04FC6">
      <w:pPr>
        <w:pStyle w:val="ParaNumbering"/>
      </w:pPr>
      <w:r>
        <w:t>The respondents</w:t>
      </w:r>
      <w:r w:rsidR="006971CA">
        <w:t>’</w:t>
      </w:r>
      <w:r>
        <w:t xml:space="preserve"> challenge to the </w:t>
      </w:r>
      <w:r w:rsidR="006971CA">
        <w:t xml:space="preserve">validity of the Patents on the basis of the </w:t>
      </w:r>
      <w:r>
        <w:t>Priority Date fails.</w:t>
      </w:r>
    </w:p>
    <w:p w:rsidR="00237F56" w:rsidRDefault="005B31E7" w:rsidP="000C31D6">
      <w:pPr>
        <w:pStyle w:val="Heading6"/>
      </w:pPr>
      <w:bookmarkStart w:id="78" w:name="_Ref410393881"/>
      <w:r>
        <w:t>Novelty - p</w:t>
      </w:r>
      <w:r w:rsidR="00237F56">
        <w:t xml:space="preserve">rior </w:t>
      </w:r>
      <w:r>
        <w:t>a</w:t>
      </w:r>
      <w:r w:rsidR="00237F56">
        <w:t>rt</w:t>
      </w:r>
      <w:bookmarkEnd w:id="78"/>
    </w:p>
    <w:p w:rsidR="002017C8" w:rsidRDefault="002017C8" w:rsidP="002017C8">
      <w:pPr>
        <w:pStyle w:val="ParaNumbering"/>
      </w:pPr>
      <w:r>
        <w:t xml:space="preserve">Coretell relies on the contention that the Patents are invalid due to lack of novelty as required by s 18(1A)(b)(i) of the Act, which requires that a patentable invention, so far as </w:t>
      </w:r>
      <w:r>
        <w:lastRenderedPageBreak/>
        <w:t xml:space="preserve">claimed in any claim, must be novel when compared with the prior art base as it existed before the priority date of the claim. </w:t>
      </w:r>
    </w:p>
    <w:p w:rsidR="002017C8" w:rsidRDefault="002017C8" w:rsidP="002017C8">
      <w:pPr>
        <w:pStyle w:val="ParaNumbering"/>
      </w:pPr>
      <w:r>
        <w:t xml:space="preserve">Coretell’s novelty challenge is based on invalidity arising from both the publication of prior art documents and from acts of prior use of the system and method claimed in the Patents before the Priority Date.  I will first consider Coretell’s prior </w:t>
      </w:r>
      <w:r w:rsidR="00547A9A">
        <w:t>act</w:t>
      </w:r>
      <w:r>
        <w:t xml:space="preserve"> claim.</w:t>
      </w:r>
    </w:p>
    <w:p w:rsidR="007101C9" w:rsidRDefault="002017C8" w:rsidP="002017C8">
      <w:pPr>
        <w:pStyle w:val="ParaNumbering"/>
      </w:pPr>
      <w:r>
        <w:t xml:space="preserve">As noted in s 7(1) of the Act, an invention is taken to be novel when compared with the prior art base unless it is not novel in the light of information made publicly available.  </w:t>
      </w:r>
    </w:p>
    <w:p w:rsidR="00100F35" w:rsidRDefault="00237F56" w:rsidP="00237F56">
      <w:pPr>
        <w:pStyle w:val="ParaNumbering"/>
      </w:pPr>
      <w:r>
        <w:t xml:space="preserve">For documentary prior art to </w:t>
      </w:r>
      <w:r w:rsidR="00100F35">
        <w:t>anticipate the patentee’s claim, the prior publication</w:t>
      </w:r>
      <w:r>
        <w:t xml:space="preserve"> must satisfy the legal requirements as to a novelty challenge.  </w:t>
      </w:r>
    </w:p>
    <w:p w:rsidR="00100F35" w:rsidRDefault="00237F56" w:rsidP="00237F56">
      <w:pPr>
        <w:pStyle w:val="ParaNumbering"/>
      </w:pPr>
      <w:r>
        <w:t xml:space="preserve">Each of the documents relied on for a novelty challenge must be read by a person skilled in the art and also taking into account the matters of common general knowledge known to that person.  Each alleged anticipation must be individually considered and the alleged anticipation must be read at its own publication date.  To be relevantly anticipatory, the alleged </w:t>
      </w:r>
      <w:r w:rsidR="00100F35">
        <w:t xml:space="preserve">prior disclosure </w:t>
      </w:r>
      <w:r>
        <w:t xml:space="preserve">must disclose all of the essential </w:t>
      </w:r>
      <w:r w:rsidR="00100F35">
        <w:t xml:space="preserve">integers </w:t>
      </w:r>
      <w:r>
        <w:t>of the invention as claime</w:t>
      </w:r>
      <w:r w:rsidR="00100F35">
        <w:t xml:space="preserve">d in each and all of the claims:  </w:t>
      </w:r>
      <w:r w:rsidR="00100F35" w:rsidRPr="008210C4">
        <w:rPr>
          <w:i/>
        </w:rPr>
        <w:t xml:space="preserve">Nicaro Holdings Pty Ltd v Martin Engineering Co </w:t>
      </w:r>
      <w:r w:rsidR="00100F35" w:rsidRPr="00CD34CD">
        <w:t>(1990)</w:t>
      </w:r>
      <w:r w:rsidR="00100F35">
        <w:t xml:space="preserve"> 16 IPR 545 per </w:t>
      </w:r>
      <w:r w:rsidR="00100F35" w:rsidRPr="00D56B76">
        <w:t>Gummow JJ</w:t>
      </w:r>
      <w:r w:rsidR="00100F35">
        <w:t xml:space="preserve"> (at 559-560) . </w:t>
      </w:r>
    </w:p>
    <w:p w:rsidR="00237F56" w:rsidRDefault="005E4B83" w:rsidP="00237F56">
      <w:pPr>
        <w:pStyle w:val="ParaNumbering"/>
      </w:pPr>
      <w:r>
        <w:t xml:space="preserve">This is assessed </w:t>
      </w:r>
      <w:r w:rsidR="00237F56">
        <w:t xml:space="preserve">by way of </w:t>
      </w:r>
      <w:r>
        <w:t>the ‘</w:t>
      </w:r>
      <w:r w:rsidR="00237F56">
        <w:t>reverse infringement</w:t>
      </w:r>
      <w:r>
        <w:t>’</w:t>
      </w:r>
      <w:r w:rsidR="00237F56">
        <w:t xml:space="preserve"> test</w:t>
      </w:r>
      <w:r>
        <w:t xml:space="preserve">, which stems </w:t>
      </w:r>
      <w:r w:rsidR="00237F56">
        <w:t xml:space="preserve">from the Court of Appeal decision in </w:t>
      </w:r>
      <w:r w:rsidR="00237F56">
        <w:rPr>
          <w:i/>
        </w:rPr>
        <w:t xml:space="preserve">General Tire &amp; Rubber Co v </w:t>
      </w:r>
      <w:r w:rsidR="00237F56" w:rsidRPr="008210C4">
        <w:rPr>
          <w:i/>
        </w:rPr>
        <w:t xml:space="preserve">Firestone Tyre </w:t>
      </w:r>
      <w:r>
        <w:rPr>
          <w:i/>
        </w:rPr>
        <w:t xml:space="preserve">&amp; Rubber </w:t>
      </w:r>
      <w:r w:rsidR="00237F56" w:rsidRPr="008210C4">
        <w:rPr>
          <w:i/>
        </w:rPr>
        <w:t xml:space="preserve">Co Limited </w:t>
      </w:r>
      <w:r w:rsidR="00237F56">
        <w:t>[1972] RPC 457 (at 485-486).  The anticipation require</w:t>
      </w:r>
      <w:r w:rsidR="00C72302">
        <w:t>s</w:t>
      </w:r>
      <w:r w:rsidR="00237F56">
        <w:t xml:space="preserve"> prior disclosure of subject matter which, when performed, would necessarily infringe a patented invention</w:t>
      </w:r>
      <w:r w:rsidR="00C72302">
        <w:t xml:space="preserve">:  </w:t>
      </w:r>
      <w:r w:rsidR="00C72302">
        <w:rPr>
          <w:i/>
        </w:rPr>
        <w:t xml:space="preserve">Synthon BV v SmithKline Beecham plc </w:t>
      </w:r>
      <w:r w:rsidR="00C72302">
        <w:t>(2006) RPC 333</w:t>
      </w:r>
      <w:r w:rsidR="00237F56">
        <w:t xml:space="preserve">.  This is reflected in the observations of Gyles J in </w:t>
      </w:r>
      <w:r w:rsidR="00237F56" w:rsidRPr="00775EFE">
        <w:rPr>
          <w:i/>
        </w:rPr>
        <w:t>Apotex Pty Ltd v Sanofi-Aventis</w:t>
      </w:r>
      <w:r w:rsidR="00237F56">
        <w:rPr>
          <w:i/>
        </w:rPr>
        <w:t xml:space="preserve"> </w:t>
      </w:r>
      <w:r w:rsidR="00531F2B">
        <w:t xml:space="preserve">(2008) </w:t>
      </w:r>
      <w:r w:rsidR="00237F56">
        <w:t>78 IPR 485</w:t>
      </w:r>
      <w:r w:rsidR="00A77B05">
        <w:t>,</w:t>
      </w:r>
      <w:r w:rsidR="00237F56">
        <w:t xml:space="preserve"> where his Honour said</w:t>
      </w:r>
      <w:r w:rsidR="00531F2B">
        <w:t xml:space="preserve"> (at [54])</w:t>
      </w:r>
      <w:r w:rsidR="00237F56">
        <w:t>:</w:t>
      </w:r>
    </w:p>
    <w:p w:rsidR="00237F56" w:rsidRDefault="00237F56" w:rsidP="00237F56">
      <w:pPr>
        <w:pStyle w:val="Quote1"/>
      </w:pPr>
      <w:r w:rsidRPr="00E97979">
        <w:t xml:space="preserve">The patent in suit in </w:t>
      </w:r>
      <w:r w:rsidRPr="00531F2B">
        <w:rPr>
          <w:i/>
        </w:rPr>
        <w:t>General Tire &amp; Rubber Co</w:t>
      </w:r>
      <w:r w:rsidRPr="00E97979">
        <w:t xml:space="preserve"> was for a process for making a compound suitable for tyre treads by mixing synthetic rubber with oil and carbon black and for the compound thus made </w:t>
      </w:r>
      <w:r w:rsidR="00A77B05">
        <w:t xml:space="preserve">at </w:t>
      </w:r>
      <w:r w:rsidR="00531F2B">
        <w:t>IPR 125; RPC 470</w:t>
      </w:r>
      <w:r w:rsidRPr="00E97979">
        <w:t xml:space="preserve">.  The issue in </w:t>
      </w:r>
      <w:r w:rsidRPr="00531F2B">
        <w:rPr>
          <w:i/>
        </w:rPr>
        <w:t>General Tire &amp; Rubber Co</w:t>
      </w:r>
      <w:r w:rsidRPr="00E97979">
        <w:t xml:space="preserve">, as appears from the general treatment of anticipation from </w:t>
      </w:r>
      <w:r w:rsidR="00531F2B">
        <w:t xml:space="preserve"> at IPR 137; RPC </w:t>
      </w:r>
      <w:r w:rsidRPr="00E97979">
        <w:t xml:space="preserve">486–497, focussed upon the method or process.  The references to a signpost and a flag, which have excited later imaginations, deal with a situation in which the language and the directions given as to process or method were equivocal.  The main principle is that, if the prior inventor’s publication contains a </w:t>
      </w:r>
      <w:r w:rsidRPr="00E97979">
        <w:rPr>
          <w:b/>
        </w:rPr>
        <w:t>clear description of something</w:t>
      </w:r>
      <w:r w:rsidRPr="00E97979">
        <w:t xml:space="preserve"> that would infringe the patentee’s claim if carried out after the grant of the patentee’s patent, the patentee’s claim will have been shown to lack the necessary novelty.  Alternatively, if the prior inventor’s publication contains </w:t>
      </w:r>
      <w:r w:rsidRPr="00512FA6">
        <w:rPr>
          <w:b/>
        </w:rPr>
        <w:t>clear instructions to do or make something</w:t>
      </w:r>
      <w:r w:rsidRPr="00E97979">
        <w:t xml:space="preserve"> that would infringe the patentee’s claim if carried out after the grant of the patentee’s patent, the patentee’s claim will have been shown to lack the necessary novelty.  </w:t>
      </w:r>
    </w:p>
    <w:p w:rsidR="00237F56" w:rsidRPr="006416E2" w:rsidRDefault="00237F56" w:rsidP="00237F56">
      <w:pPr>
        <w:pStyle w:val="Quote1"/>
      </w:pPr>
      <w:r>
        <w:lastRenderedPageBreak/>
        <w:t>(original emphasis)</w:t>
      </w:r>
    </w:p>
    <w:p w:rsidR="00237F56" w:rsidRDefault="00237F56" w:rsidP="00237F56">
      <w:pPr>
        <w:pStyle w:val="ParaNumbering"/>
      </w:pPr>
      <w:r>
        <w:t xml:space="preserve">In </w:t>
      </w:r>
      <w:r w:rsidRPr="00D922BC">
        <w:rPr>
          <w:i/>
        </w:rPr>
        <w:t xml:space="preserve">Eli Lilly </w:t>
      </w:r>
      <w:r w:rsidR="008B5AE9">
        <w:rPr>
          <w:i/>
        </w:rPr>
        <w:t>&amp;</w:t>
      </w:r>
      <w:r w:rsidR="00A77B05">
        <w:rPr>
          <w:i/>
        </w:rPr>
        <w:t xml:space="preserve"> </w:t>
      </w:r>
      <w:r w:rsidR="008B5AE9">
        <w:rPr>
          <w:i/>
        </w:rPr>
        <w:t xml:space="preserve">Co Ltd </w:t>
      </w:r>
      <w:r w:rsidRPr="00D922BC">
        <w:rPr>
          <w:i/>
        </w:rPr>
        <w:t xml:space="preserve">v Apotex Pty Ltd </w:t>
      </w:r>
      <w:r w:rsidRPr="00D922BC">
        <w:t>(</w:t>
      </w:r>
      <w:r>
        <w:t xml:space="preserve">2013) </w:t>
      </w:r>
      <w:r w:rsidRPr="00D922BC">
        <w:t>100 IPR 451</w:t>
      </w:r>
      <w:r>
        <w:t>, Middleton J observed (at [272]-[273]) that everything will depend upon the extent of disclosure in the prior art document</w:t>
      </w:r>
      <w:r w:rsidR="0053571E">
        <w:t>,</w:t>
      </w:r>
      <w:r>
        <w:t xml:space="preserve"> and the context in which that disclosure appears.  His Honour emphasised that a prior disclosure must provide </w:t>
      </w:r>
      <w:r w:rsidR="0053571E">
        <w:t>‘</w:t>
      </w:r>
      <w:r>
        <w:t>clear and unmistakeable directions</w:t>
      </w:r>
      <w:r w:rsidR="0053571E">
        <w:t>’</w:t>
      </w:r>
      <w:r>
        <w:t xml:space="preserve"> </w:t>
      </w:r>
      <w:r w:rsidR="0053571E">
        <w:t xml:space="preserve">to the claimed invention, as was emphasised in </w:t>
      </w:r>
      <w:r w:rsidR="0053571E" w:rsidRPr="0053571E">
        <w:rPr>
          <w:i/>
        </w:rPr>
        <w:t>General Tire</w:t>
      </w:r>
      <w:r w:rsidR="0053571E">
        <w:t xml:space="preserve"> (at 485-486).  </w:t>
      </w:r>
    </w:p>
    <w:p w:rsidR="00616856" w:rsidRDefault="00F72C95" w:rsidP="00F72C95">
      <w:pPr>
        <w:pStyle w:val="ParaNumbering"/>
      </w:pPr>
      <w:r>
        <w:t xml:space="preserve">As each of the parties has pointed out, </w:t>
      </w:r>
      <w:r w:rsidR="00616856">
        <w:t>‘</w:t>
      </w:r>
      <w:r>
        <w:t xml:space="preserve">anticipation is deadly but requires the accuracy of a sniper, not the firing of a </w:t>
      </w:r>
      <w:r w:rsidR="00616856">
        <w:t xml:space="preserve">12 </w:t>
      </w:r>
      <w:r>
        <w:t xml:space="preserve">gauge shotgun’, citing the often referred to passage by Justice Gyles in </w:t>
      </w:r>
      <w:r w:rsidRPr="00775EFE">
        <w:rPr>
          <w:i/>
        </w:rPr>
        <w:t xml:space="preserve">Apotex Pty Ltd v Sanofi-Aventis </w:t>
      </w:r>
      <w:r>
        <w:t xml:space="preserve">(at [91]).  It is not sufficient that a prior publication </w:t>
      </w:r>
      <w:r w:rsidR="00616856">
        <w:t xml:space="preserve">merely includes or </w:t>
      </w:r>
      <w:r>
        <w:t xml:space="preserve">encompasses the claimed invention.  A broad disclosure will not necessarily anticipate a later more specific claim.  The applicants rely upon the expression in </w:t>
      </w:r>
      <w:r>
        <w:rPr>
          <w:i/>
        </w:rPr>
        <w:t xml:space="preserve">General Tire </w:t>
      </w:r>
      <w:r w:rsidR="00616856">
        <w:t xml:space="preserve">(at 485-486) </w:t>
      </w:r>
      <w:r>
        <w:t xml:space="preserve">that ‘the prior inventor must clearly be shown to have planted his flag at the precise destination before the patentee’.  </w:t>
      </w:r>
    </w:p>
    <w:p w:rsidR="00F72C95" w:rsidRDefault="00F72C95" w:rsidP="00F72C95">
      <w:pPr>
        <w:pStyle w:val="ParaNumbering"/>
      </w:pPr>
      <w:r>
        <w:t xml:space="preserve">Further, </w:t>
      </w:r>
      <w:r w:rsidR="00ED41CD">
        <w:t xml:space="preserve">to be </w:t>
      </w:r>
      <w:r>
        <w:t>public</w:t>
      </w:r>
      <w:r w:rsidR="00ED41CD">
        <w:t>ly available</w:t>
      </w:r>
      <w:r>
        <w:t xml:space="preserve"> within the </w:t>
      </w:r>
      <w:r w:rsidR="00ED41CD">
        <w:t xml:space="preserve">meaning </w:t>
      </w:r>
      <w:r>
        <w:t xml:space="preserve">of s 7(1) of the Act requires a prior disclosure in circumstances in which the persons whom the relevant disclosure was made were free to use information disclosed and were not subject to any duty of confidence restricting disclosure.  </w:t>
      </w:r>
      <w:r w:rsidR="00ED41CD">
        <w:t xml:space="preserve">As noted </w:t>
      </w:r>
      <w:r w:rsidR="007B24CB">
        <w:t xml:space="preserve">further </w:t>
      </w:r>
      <w:r w:rsidR="00ED41CD">
        <w:t xml:space="preserve">by </w:t>
      </w:r>
      <w:r w:rsidR="00944A37">
        <w:t>Gyles</w:t>
      </w:r>
      <w:r w:rsidR="00ED41CD">
        <w:t xml:space="preserve"> </w:t>
      </w:r>
      <w:r w:rsidR="00CF3C7E">
        <w:t xml:space="preserve">J </w:t>
      </w:r>
      <w:r w:rsidR="00ED41CD">
        <w:t xml:space="preserve">in </w:t>
      </w:r>
      <w:r w:rsidR="00ED41CD" w:rsidRPr="00ED41CD">
        <w:rPr>
          <w:i/>
        </w:rPr>
        <w:t xml:space="preserve">Delnorth Pty Ltd v Dura-Post (Aust) Pty Ltd </w:t>
      </w:r>
      <w:r w:rsidR="00ED41CD" w:rsidRPr="0051705F">
        <w:t>(2008) 78 IPR 463</w:t>
      </w:r>
      <w:r w:rsidR="00ED41CD">
        <w:t xml:space="preserve"> (at [73]), where </w:t>
      </w:r>
      <w:r w:rsidRPr="00627CF4">
        <w:t>his</w:t>
      </w:r>
      <w:r>
        <w:t xml:space="preserve"> Honour contrasted the circumstances in </w:t>
      </w:r>
      <w:r w:rsidR="00FE5276" w:rsidRPr="00D76108">
        <w:rPr>
          <w:i/>
        </w:rPr>
        <w:t>Jupiters Ltd v Neurizon Pty Ltd</w:t>
      </w:r>
      <w:r w:rsidRPr="00ED41CD">
        <w:rPr>
          <w:i/>
        </w:rPr>
        <w:t xml:space="preserve"> </w:t>
      </w:r>
      <w:r w:rsidR="00FE5276">
        <w:t xml:space="preserve">(2005) 222 ALR 155 </w:t>
      </w:r>
      <w:r>
        <w:t>where a system was operating in what amount</w:t>
      </w:r>
      <w:r w:rsidR="00FE5276">
        <w:t>ed</w:t>
      </w:r>
      <w:r>
        <w:t xml:space="preserve"> to a public place</w:t>
      </w:r>
      <w:r w:rsidR="00FE5276">
        <w:t xml:space="preserve"> and </w:t>
      </w:r>
      <w:r>
        <w:t>it could be observed</w:t>
      </w:r>
      <w:r w:rsidR="00CF3C7E">
        <w:t>, confidentiality may be inferred</w:t>
      </w:r>
      <w:r>
        <w:t xml:space="preserve">.  </w:t>
      </w:r>
    </w:p>
    <w:p w:rsidR="00627CF4" w:rsidRDefault="00627CF4" w:rsidP="00627CF4">
      <w:pPr>
        <w:pStyle w:val="ParaNumbering"/>
      </w:pPr>
      <w:r>
        <w:t>Against these principles, it is necessary to consider the various alleged instances of anticipation relied upon by Coretell in support of this ground:</w:t>
      </w:r>
    </w:p>
    <w:p w:rsidR="00627CF4" w:rsidRDefault="00627CF4" w:rsidP="001332BE">
      <w:pPr>
        <w:pStyle w:val="ListNo"/>
        <w:numPr>
          <w:ilvl w:val="0"/>
          <w:numId w:val="57"/>
        </w:numPr>
        <w:tabs>
          <w:tab w:val="clear" w:pos="720"/>
        </w:tabs>
      </w:pPr>
      <w:r>
        <w:t>the Skopec Paper;</w:t>
      </w:r>
    </w:p>
    <w:p w:rsidR="00627CF4" w:rsidRDefault="00627CF4" w:rsidP="001332BE">
      <w:pPr>
        <w:pStyle w:val="ListNo"/>
        <w:numPr>
          <w:ilvl w:val="0"/>
          <w:numId w:val="57"/>
        </w:numPr>
        <w:tabs>
          <w:tab w:val="clear" w:pos="720"/>
        </w:tabs>
      </w:pPr>
      <w:r>
        <w:t>the Sperry Sun and Baker Hughes Manuals referred to by Dr Skopec; and</w:t>
      </w:r>
    </w:p>
    <w:p w:rsidR="00627CF4" w:rsidRDefault="00627CF4" w:rsidP="001332BE">
      <w:pPr>
        <w:pStyle w:val="ListNo"/>
        <w:numPr>
          <w:ilvl w:val="0"/>
          <w:numId w:val="57"/>
        </w:numPr>
        <w:tabs>
          <w:tab w:val="clear" w:pos="720"/>
        </w:tabs>
      </w:pPr>
      <w:r>
        <w:t xml:space="preserve">the alleged publication of the ACT Tool operating instructions. </w:t>
      </w:r>
    </w:p>
    <w:p w:rsidR="00627CF4" w:rsidRDefault="00627CF4" w:rsidP="00627CF4">
      <w:pPr>
        <w:pStyle w:val="ParaNumbering"/>
      </w:pPr>
      <w:r>
        <w:t xml:space="preserve">The novelty destroying disclosures which allegedly occurred prior to 3 September 2004 arise from the use of systems and methods in the Skopec Paper, related publications of Dr Skopec and core orientation workers concerned with exploration and drilling activities in the </w:t>
      </w:r>
      <w:r w:rsidR="00B1665E">
        <w:t xml:space="preserve">United States of America </w:t>
      </w:r>
      <w:r>
        <w:t xml:space="preserve">in 1990. </w:t>
      </w:r>
      <w:r w:rsidR="00815F80">
        <w:t xml:space="preserve"> </w:t>
      </w:r>
      <w:r>
        <w:t>The Skopec Paper appeared to be the major example upon which reliance was placed.</w:t>
      </w:r>
      <w:r w:rsidR="00815F80">
        <w:t xml:space="preserve">  </w:t>
      </w:r>
    </w:p>
    <w:p w:rsidR="00F72C95" w:rsidRDefault="00F72C95" w:rsidP="00F72C95">
      <w:pPr>
        <w:pStyle w:val="ParaNumbering"/>
      </w:pPr>
      <w:r>
        <w:lastRenderedPageBreak/>
        <w:t>The applicants’ repeated theme, which I think is justi</w:t>
      </w:r>
      <w:r w:rsidR="00E77564">
        <w:t>fied, is that the context of the Skopec</w:t>
      </w:r>
      <w:r>
        <w:t xml:space="preserve"> Paper makes it clear that it was directed to core orientation in the context of petroleum exploration</w:t>
      </w:r>
      <w:r w:rsidR="00E77564">
        <w:t>,</w:t>
      </w:r>
      <w:r>
        <w:t xml:space="preserve"> in which the rock formation from which the core is </w:t>
      </w:r>
      <w:r w:rsidR="00E77564">
        <w:t xml:space="preserve">being </w:t>
      </w:r>
      <w:r>
        <w:t xml:space="preserve">taken </w:t>
      </w:r>
      <w:r w:rsidR="00E77564">
        <w:t xml:space="preserve">is highly </w:t>
      </w:r>
      <w:r>
        <w:t xml:space="preserve">fractured.  As Dr Skopec accepted, the </w:t>
      </w:r>
      <w:r w:rsidR="00E77564">
        <w:t xml:space="preserve">Skopec </w:t>
      </w:r>
      <w:r>
        <w:t xml:space="preserve">Paper seeks to deal with overcoming the problem of achieving core orientation in formations of fractured rock.  The features of the system described in the paper were directed to </w:t>
      </w:r>
      <w:r w:rsidR="00E77564">
        <w:t xml:space="preserve">orientating core </w:t>
      </w:r>
      <w:r>
        <w:t xml:space="preserve">in </w:t>
      </w:r>
      <w:r w:rsidR="00E77564">
        <w:t xml:space="preserve">fractured </w:t>
      </w:r>
      <w:r>
        <w:t xml:space="preserve">rock </w:t>
      </w:r>
      <w:r w:rsidR="00E77564">
        <w:t xml:space="preserve">by </w:t>
      </w:r>
      <w:r>
        <w:t>adopting very specific features</w:t>
      </w:r>
      <w:r w:rsidR="00E77564">
        <w:t xml:space="preserve">.  These included </w:t>
      </w:r>
      <w:r>
        <w:t>a fibre glass inner core tube with a low coefficient of friction</w:t>
      </w:r>
      <w:r w:rsidR="005D7ED5">
        <w:t xml:space="preserve"> (f</w:t>
      </w:r>
      <w:r>
        <w:t>rictional engagement was not a feature of this system</w:t>
      </w:r>
      <w:r w:rsidR="00E77564">
        <w:t xml:space="preserve">), </w:t>
      </w:r>
      <w:r>
        <w:t xml:space="preserve">scribe knives </w:t>
      </w:r>
      <w:r w:rsidR="005D7ED5">
        <w:t xml:space="preserve">to </w:t>
      </w:r>
      <w:r>
        <w:t>mark the core sample along its length as an essential component of the system</w:t>
      </w:r>
      <w:r w:rsidR="0084317E">
        <w:t>,</w:t>
      </w:r>
      <w:r>
        <w:t xml:space="preserve"> and there was to be rotation of the core sample relative to th</w:t>
      </w:r>
      <w:r w:rsidR="0084317E">
        <w:t>e inner tube during drilling.  In contrast, n</w:t>
      </w:r>
      <w:r>
        <w:t>o scribe knives are involved with the Patents</w:t>
      </w:r>
      <w:r w:rsidR="0084317E">
        <w:t xml:space="preserve">. </w:t>
      </w:r>
      <w:r>
        <w:t xml:space="preserve"> </w:t>
      </w:r>
      <w:r w:rsidR="0084317E">
        <w:t xml:space="preserve">The </w:t>
      </w:r>
      <w:r>
        <w:t>Patents rely upon friction between the core sampl</w:t>
      </w:r>
      <w:r w:rsidR="0084317E">
        <w:t>e and the inner tube to actual</w:t>
      </w:r>
      <w:r>
        <w:t xml:space="preserve"> resist rotation of the core sample comparative to the inner tube.  The functions were quite different in highly fractured rock.  </w:t>
      </w:r>
    </w:p>
    <w:p w:rsidR="00F72C95" w:rsidRDefault="00237F56" w:rsidP="00237F56">
      <w:pPr>
        <w:pStyle w:val="ParaNumbering"/>
      </w:pPr>
      <w:r>
        <w:t xml:space="preserve">It is common ground that the publications of Dr Skopec </w:t>
      </w:r>
      <w:r w:rsidR="0084317E">
        <w:t>and the other described  publications took place</w:t>
      </w:r>
      <w:r>
        <w:t xml:space="preserve">.  The debate </w:t>
      </w:r>
      <w:r w:rsidR="00F72C95">
        <w:t xml:space="preserve">lies in </w:t>
      </w:r>
      <w:r>
        <w:t>whether the disclosures were relevantly anticipatory</w:t>
      </w:r>
      <w:r w:rsidR="0084317E">
        <w:t xml:space="preserve"> for the purposes of the Act</w:t>
      </w:r>
      <w:r>
        <w:t xml:space="preserve">.  </w:t>
      </w:r>
    </w:p>
    <w:p w:rsidR="00C85213" w:rsidRDefault="00C85213" w:rsidP="00C85213">
      <w:pPr>
        <w:pStyle w:val="Heading6"/>
      </w:pPr>
      <w:bookmarkStart w:id="79" w:name="_Ref410393882"/>
      <w:bookmarkStart w:id="80" w:name="_Ref410632056"/>
      <w:bookmarkStart w:id="81" w:name="_Ref436660793"/>
      <w:r>
        <w:t xml:space="preserve">Consideration of </w:t>
      </w:r>
      <w:bookmarkEnd w:id="79"/>
      <w:bookmarkEnd w:id="80"/>
      <w:r w:rsidR="00AB34CF">
        <w:t>novelty – prior art</w:t>
      </w:r>
      <w:bookmarkEnd w:id="81"/>
    </w:p>
    <w:p w:rsidR="00C85213" w:rsidRDefault="00C85213" w:rsidP="00C85213">
      <w:pPr>
        <w:pStyle w:val="ParaNumbering"/>
      </w:pPr>
      <w:r>
        <w:t xml:space="preserve">The prior art argument requires examination of the agreed integers of the Patents’ claims to see whether those integers are disclosed in the </w:t>
      </w:r>
      <w:r w:rsidR="00AB34CF">
        <w:t xml:space="preserve">Skopec </w:t>
      </w:r>
      <w:r>
        <w:t xml:space="preserve">Paper or otherwise. </w:t>
      </w:r>
    </w:p>
    <w:p w:rsidR="00AB34CF" w:rsidRDefault="00AB34CF" w:rsidP="00AB34CF">
      <w:pPr>
        <w:pStyle w:val="ParaNumbering"/>
      </w:pPr>
      <w:r>
        <w:t xml:space="preserve">In support of the case on prior art, Coretell relies upon two integer tables to which the applicants have also responded </w:t>
      </w:r>
      <w:r w:rsidRPr="00AB34CF">
        <w:rPr>
          <w:i/>
        </w:rPr>
        <w:t>seriatim</w:t>
      </w:r>
      <w:r>
        <w:t xml:space="preserve">.  </w:t>
      </w:r>
    </w:p>
    <w:p w:rsidR="009F1A1F" w:rsidRDefault="00A4781B" w:rsidP="009F1A1F">
      <w:pPr>
        <w:pStyle w:val="Heading7"/>
      </w:pPr>
      <w:bookmarkStart w:id="82" w:name="_Ref436660794"/>
      <w:r>
        <w:t>Skopec P</w:t>
      </w:r>
      <w:r w:rsidR="005D7ED5">
        <w:t>aper and i</w:t>
      </w:r>
      <w:r w:rsidR="009F1A1F">
        <w:t>ntegers of the System Patent</w:t>
      </w:r>
      <w:bookmarkEnd w:id="82"/>
    </w:p>
    <w:p w:rsidR="00237F56" w:rsidRDefault="00237F56" w:rsidP="0035772D">
      <w:pPr>
        <w:pStyle w:val="Heading8"/>
      </w:pPr>
      <w:bookmarkStart w:id="83" w:name="_Ref410393883"/>
      <w:r>
        <w:t>Integers S1 – S3</w:t>
      </w:r>
      <w:bookmarkEnd w:id="83"/>
    </w:p>
    <w:p w:rsidR="00237F56" w:rsidRDefault="00866266" w:rsidP="00237F56">
      <w:pPr>
        <w:pStyle w:val="ParaNumbering"/>
      </w:pPr>
      <w:r>
        <w:t>Dealing first with the System Patent, it</w:t>
      </w:r>
      <w:r w:rsidR="00237F56">
        <w:t xml:space="preserve"> is common ground that the first three integers are disclosed</w:t>
      </w:r>
      <w:r w:rsidR="00D212CA">
        <w:t xml:space="preserve"> in the </w:t>
      </w:r>
      <w:r>
        <w:t xml:space="preserve">Skopec </w:t>
      </w:r>
      <w:r w:rsidR="00D212CA">
        <w:t>Paper</w:t>
      </w:r>
      <w:r w:rsidR="00237F56">
        <w:t>.  Integer S1 is ‘</w:t>
      </w:r>
      <w:r>
        <w:t>[a]</w:t>
      </w:r>
      <w:r w:rsidR="00237F56" w:rsidRPr="00866266">
        <w:t xml:space="preserve"> core orientation system for use with a core drill</w:t>
      </w:r>
      <w:r w:rsidR="00237F56">
        <w:t>’.  Integer S2 is ‘</w:t>
      </w:r>
      <w:r w:rsidRPr="00866266">
        <w:t>[the]</w:t>
      </w:r>
      <w:r w:rsidR="00237F56" w:rsidRPr="00866266">
        <w:t xml:space="preserve"> core drilling having an inner tube</w:t>
      </w:r>
      <w:r w:rsidR="00237F56">
        <w:t>’.  Integer S3 is ‘</w:t>
      </w:r>
      <w:r w:rsidRPr="00866266">
        <w:t xml:space="preserve">[a] </w:t>
      </w:r>
      <w:r w:rsidR="00237F56" w:rsidRPr="00866266">
        <w:t>means for providing signals associated with the physical orientation of the inner tube of the core drill during drilling’</w:t>
      </w:r>
      <w:r w:rsidR="00237F56">
        <w:t xml:space="preserve">.  </w:t>
      </w:r>
    </w:p>
    <w:p w:rsidR="00237F56" w:rsidRDefault="00237F56" w:rsidP="0035772D">
      <w:pPr>
        <w:pStyle w:val="Heading8"/>
      </w:pPr>
      <w:bookmarkStart w:id="84" w:name="_Ref404090365"/>
      <w:r>
        <w:t>Integer S4</w:t>
      </w:r>
      <w:bookmarkEnd w:id="84"/>
    </w:p>
    <w:p w:rsidR="003D77FF" w:rsidRDefault="003D77FF" w:rsidP="00237F56">
      <w:pPr>
        <w:pStyle w:val="ParaNumbering"/>
      </w:pPr>
      <w:r>
        <w:t>I</w:t>
      </w:r>
      <w:r w:rsidR="00237F56">
        <w:t>nteger S4</w:t>
      </w:r>
      <w:r>
        <w:t xml:space="preserve"> requires:</w:t>
      </w:r>
    </w:p>
    <w:p w:rsidR="00237F56" w:rsidRDefault="00237F56" w:rsidP="003D77FF">
      <w:pPr>
        <w:pStyle w:val="Quote1"/>
      </w:pPr>
      <w:r w:rsidRPr="003D77FF">
        <w:lastRenderedPageBreak/>
        <w:t xml:space="preserve">means for measuring a time measurement indicative of the time during drilling when the core sample is detached from the body of material from which it is taken </w:t>
      </w:r>
      <w:r w:rsidR="003D77FF">
        <w:t xml:space="preserve">… </w:t>
      </w:r>
      <w:r w:rsidRPr="003D77FF">
        <w:t>and held in fixed relation to the inner tube’</w:t>
      </w:r>
      <w:r>
        <w:t>.</w:t>
      </w:r>
    </w:p>
    <w:p w:rsidR="00237F56" w:rsidRDefault="00237F56" w:rsidP="00237F56">
      <w:pPr>
        <w:pStyle w:val="ParaNumbering"/>
      </w:pPr>
      <w:r>
        <w:t xml:space="preserve">Dr Skopec’s evidence was that the requirements of the first part of this integer, that is, the ‘means for measuring </w:t>
      </w:r>
      <w:r w:rsidR="003D77FF">
        <w:t xml:space="preserve">a </w:t>
      </w:r>
      <w:r>
        <w:t xml:space="preserve">time measurement’ is met by a stopwatch synchronised with the </w:t>
      </w:r>
      <w:r w:rsidR="00E05593" w:rsidRPr="000A32C2">
        <w:rPr>
          <w:b/>
        </w:rPr>
        <w:t>CHAMP EMI Tool</w:t>
      </w:r>
      <w:r w:rsidR="00D212CA">
        <w:t xml:space="preserve"> as disclosed in </w:t>
      </w:r>
      <w:r w:rsidR="003D77FF">
        <w:t xml:space="preserve">the Skopec </w:t>
      </w:r>
      <w:r w:rsidR="00D212CA">
        <w:t>Paper</w:t>
      </w:r>
      <w:r>
        <w:t xml:space="preserve">.  </w:t>
      </w:r>
    </w:p>
    <w:p w:rsidR="00237F56" w:rsidRDefault="00237F56" w:rsidP="00237F56">
      <w:pPr>
        <w:pStyle w:val="ParaNumbering"/>
      </w:pPr>
      <w:r>
        <w:t>In relation to the second part of integer</w:t>
      </w:r>
      <w:r w:rsidR="000A32C2">
        <w:t> S4</w:t>
      </w:r>
      <w:r>
        <w:t xml:space="preserve">, that is, ‘held in fixed relation to </w:t>
      </w:r>
      <w:r w:rsidR="000A32C2">
        <w:t>the inner tube</w:t>
      </w:r>
      <w:r>
        <w:t xml:space="preserve">’ Dr Skopec </w:t>
      </w:r>
      <w:r w:rsidR="000A32C2">
        <w:t xml:space="preserve">did not agree </w:t>
      </w:r>
      <w:r>
        <w:t xml:space="preserve">that this integer required explicit means to hold the core sample, but, in any event, opined that there was a use of </w:t>
      </w:r>
      <w:r w:rsidR="00BF4DEB">
        <w:t>‘</w:t>
      </w:r>
      <w:r>
        <w:t>shims</w:t>
      </w:r>
      <w:r w:rsidR="00BF4DEB">
        <w:t>’ and a ‘hard</w:t>
      </w:r>
      <w:r>
        <w:t xml:space="preserve"> rock core catcher</w:t>
      </w:r>
      <w:r w:rsidR="00BF4DEB">
        <w:t>’</w:t>
      </w:r>
      <w:r>
        <w:t xml:space="preserve"> that frictionally engaged the core sample.  </w:t>
      </w:r>
      <w:r w:rsidR="00BF4DEB">
        <w:t xml:space="preserve">Coretell says that </w:t>
      </w:r>
      <w:r>
        <w:t xml:space="preserve">Dr Skopec agreed </w:t>
      </w:r>
      <w:r w:rsidR="00154539">
        <w:t xml:space="preserve">in cross-examination </w:t>
      </w:r>
      <w:r>
        <w:t>that neither the shims no</w:t>
      </w:r>
      <w:r w:rsidR="00BF31ED">
        <w:t>r the hard rock core catcher were</w:t>
      </w:r>
      <w:r>
        <w:t xml:space="preserve"> described in </w:t>
      </w:r>
      <w:r w:rsidR="00BF4DEB">
        <w:t xml:space="preserve">Skopec </w:t>
      </w:r>
      <w:r>
        <w:t xml:space="preserve">Paper and that this was not unexpected as they were ‘not a necessary step in this operation’ and the </w:t>
      </w:r>
      <w:r w:rsidR="00BF4DEB">
        <w:t>p</w:t>
      </w:r>
      <w:r>
        <w:t xml:space="preserve">aper was not an ‘operation manual’.  Mr Brown did not initially identify this integer as being undisclosed in the </w:t>
      </w:r>
      <w:r w:rsidR="00BF4DEB">
        <w:t xml:space="preserve">Skopec </w:t>
      </w:r>
      <w:r>
        <w:t>Paper.</w:t>
      </w:r>
    </w:p>
    <w:p w:rsidR="00237F56" w:rsidRDefault="001020E7" w:rsidP="00237F56">
      <w:pPr>
        <w:pStyle w:val="ParaNumbering"/>
      </w:pPr>
      <w:r>
        <w:t xml:space="preserve">I prefer the evidence of </w:t>
      </w:r>
      <w:r w:rsidR="00EE7756">
        <w:t>Professor Tapson</w:t>
      </w:r>
      <w:r>
        <w:t xml:space="preserve">.  </w:t>
      </w:r>
      <w:r w:rsidR="00237F56">
        <w:t xml:space="preserve">In my view, there is no disclosure of this feature in the </w:t>
      </w:r>
      <w:r w:rsidR="0006055F">
        <w:t xml:space="preserve">Skopec </w:t>
      </w:r>
      <w:r w:rsidR="00237F56">
        <w:t xml:space="preserve">Paper.  </w:t>
      </w:r>
      <w:r w:rsidR="0006055F">
        <w:t>In particular, t</w:t>
      </w:r>
      <w:r w:rsidR="00237F56">
        <w:t xml:space="preserve">here is no disclosure of any means for measuring the particular time </w:t>
      </w:r>
      <w:r w:rsidR="0006055F">
        <w:t xml:space="preserve">at </w:t>
      </w:r>
      <w:r w:rsidR="00237F56">
        <w:t>which the core sample is ‘detached from the body of material’</w:t>
      </w:r>
      <w:r w:rsidR="0006055F">
        <w:t>,</w:t>
      </w:r>
      <w:r w:rsidR="00237F56">
        <w:t xml:space="preserve"> or of the core sample being ‘held in fixed relation to the inner tube’.  There is reference to a stopwatch in the </w:t>
      </w:r>
      <w:r w:rsidR="0006055F">
        <w:t xml:space="preserve">Skopec </w:t>
      </w:r>
      <w:r w:rsidR="00237F56">
        <w:t xml:space="preserve">Paper, but as explained by </w:t>
      </w:r>
      <w:r w:rsidR="00EE7756">
        <w:t>Professor Tapson</w:t>
      </w:r>
      <w:r w:rsidR="00237F56">
        <w:t>, this is directed to</w:t>
      </w:r>
      <w:r w:rsidR="00B7648B">
        <w:t xml:space="preserve"> </w:t>
      </w:r>
      <w:r w:rsidR="00237F56">
        <w:t xml:space="preserve">measuring depth and penetration levels, </w:t>
      </w:r>
      <w:r w:rsidR="00B7648B">
        <w:t xml:space="preserve">and </w:t>
      </w:r>
      <w:r w:rsidR="00237F56">
        <w:t>not the time when drill rotation ceases and the core sample is broken from its surrounding rock</w:t>
      </w:r>
      <w:r w:rsidR="00B7648B">
        <w:t xml:space="preserve"> as required by integer S4</w:t>
      </w:r>
      <w:r w:rsidR="00237F56">
        <w:t>.</w:t>
      </w:r>
    </w:p>
    <w:p w:rsidR="00237F56" w:rsidRDefault="00B7648B" w:rsidP="00237F56">
      <w:pPr>
        <w:pStyle w:val="ParaNumbering"/>
      </w:pPr>
      <w:r>
        <w:t xml:space="preserve">In cross-examination, </w:t>
      </w:r>
      <w:r w:rsidR="00237F56">
        <w:t>Dr Skopec agreed that the final element of integer S4</w:t>
      </w:r>
      <w:r>
        <w:t xml:space="preserve">, </w:t>
      </w:r>
      <w:r w:rsidR="00CC5F53">
        <w:t>‘</w:t>
      </w:r>
      <w:r w:rsidR="00237F56">
        <w:t>held in fixed relation to the inner tube</w:t>
      </w:r>
      <w:r w:rsidR="00CC5F53">
        <w:t>’</w:t>
      </w:r>
      <w:r>
        <w:t>,</w:t>
      </w:r>
      <w:r w:rsidR="00237F56">
        <w:t xml:space="preserve"> was not disclosed in the </w:t>
      </w:r>
      <w:r>
        <w:t xml:space="preserve">Skopec </w:t>
      </w:r>
      <w:r w:rsidR="00237F56">
        <w:t xml:space="preserve">Paper as it simply was not a necessary step in the operation described in that paper.  </w:t>
      </w:r>
    </w:p>
    <w:p w:rsidR="00237F56" w:rsidRDefault="00237F56" w:rsidP="00237F56">
      <w:pPr>
        <w:pStyle w:val="ParaNumbering"/>
      </w:pPr>
      <w:r>
        <w:t xml:space="preserve">This integer is not anticipated in the </w:t>
      </w:r>
      <w:r w:rsidR="00B7648B">
        <w:t xml:space="preserve">Skopec </w:t>
      </w:r>
      <w:r>
        <w:t xml:space="preserve">Paper.  </w:t>
      </w:r>
    </w:p>
    <w:p w:rsidR="00237F56" w:rsidRDefault="00237F56" w:rsidP="0035772D">
      <w:pPr>
        <w:pStyle w:val="Heading8"/>
      </w:pPr>
      <w:bookmarkStart w:id="85" w:name="_Ref404090366"/>
      <w:r>
        <w:t>Integer S5</w:t>
      </w:r>
      <w:bookmarkEnd w:id="85"/>
    </w:p>
    <w:p w:rsidR="00237F56" w:rsidRDefault="00237F56" w:rsidP="00237F56">
      <w:pPr>
        <w:pStyle w:val="ParaNumbering"/>
      </w:pPr>
      <w:r>
        <w:t>This integer requires an ‘</w:t>
      </w:r>
      <w:r w:rsidRPr="00B7648B">
        <w:t>input means for i</w:t>
      </w:r>
      <w:r w:rsidR="00B7648B" w:rsidRPr="00B7648B">
        <w:t>n</w:t>
      </w:r>
      <w:r w:rsidRPr="00B7648B">
        <w:t>pu</w:t>
      </w:r>
      <w:r w:rsidR="00B7648B" w:rsidRPr="00B7648B">
        <w:t>t</w:t>
      </w:r>
      <w:r w:rsidRPr="00B7648B">
        <w:t>ting the time measurement into the system</w:t>
      </w:r>
      <w:r w:rsidR="00B7648B">
        <w:t>’</w:t>
      </w:r>
      <w:r>
        <w:t xml:space="preserve">.  The </w:t>
      </w:r>
      <w:r w:rsidR="00B7648B">
        <w:t xml:space="preserve">Skopec </w:t>
      </w:r>
      <w:r>
        <w:t xml:space="preserve">Paper explains that the time reference was measured by the stopwatch and would also be used to maintain a core log where, at set intervals, the operator would record the time and various drilling parameters, such as the rate of penetration of the drilling tool, drilling torque, weight on </w:t>
      </w:r>
      <w:r w:rsidR="00D06FB7">
        <w:t xml:space="preserve">the </w:t>
      </w:r>
      <w:r>
        <w:t xml:space="preserve">drilling bit and drilling fluid flow rate.  The operator would also record on this core log the time that coring started and the time when the core </w:t>
      </w:r>
      <w:r>
        <w:lastRenderedPageBreak/>
        <w:t>sample was detached.  Dr Skopec points out that this feature is not limited to ‘electronic’ input</w:t>
      </w:r>
      <w:r w:rsidR="00D06FB7">
        <w:t>,</w:t>
      </w:r>
      <w:r>
        <w:t xml:space="preserve"> or that the core log is external to the system</w:t>
      </w:r>
      <w:r w:rsidR="00D06FB7">
        <w:t>,</w:t>
      </w:r>
      <w:r>
        <w:t xml:space="preserve"> or that there be a requirement for automatic processing</w:t>
      </w:r>
      <w:r w:rsidR="00D06FB7">
        <w:t>,</w:t>
      </w:r>
      <w:r>
        <w:t xml:space="preserve"> or any sensible distinction between inputting and recording.  </w:t>
      </w:r>
    </w:p>
    <w:p w:rsidR="00237F56" w:rsidRDefault="00237F56" w:rsidP="00237F56">
      <w:pPr>
        <w:pStyle w:val="ParaNumbering"/>
      </w:pPr>
      <w:r>
        <w:t xml:space="preserve">It was put to Dr Skopec in cross-examination that the </w:t>
      </w:r>
      <w:r w:rsidR="00731EC4">
        <w:t xml:space="preserve">Skopec </w:t>
      </w:r>
      <w:r>
        <w:t xml:space="preserve">Paper does not describe any input feature, such as a push button on a keypad for entering the required time measurement into any system for subsequent processing.  Dr Skopec agreed that this was correct, but, of course, there was no input keypad </w:t>
      </w:r>
      <w:r w:rsidR="00731EC4">
        <w:t xml:space="preserve">included </w:t>
      </w:r>
      <w:r>
        <w:t xml:space="preserve">with the </w:t>
      </w:r>
      <w:r w:rsidR="00E05593">
        <w:t>CHAMP EMI Tool</w:t>
      </w:r>
      <w:r w:rsidR="00731EC4">
        <w:t>,</w:t>
      </w:r>
      <w:r>
        <w:t xml:space="preserve"> and he emphasised that there </w:t>
      </w:r>
      <w:r w:rsidR="00731EC4">
        <w:t xml:space="preserve">were </w:t>
      </w:r>
      <w:r>
        <w:t>multiple inputs of the time of detachment</w:t>
      </w:r>
      <w:r w:rsidR="00731EC4">
        <w:t xml:space="preserve">. </w:t>
      </w:r>
      <w:r>
        <w:t xml:space="preserve"> He did agree that </w:t>
      </w:r>
      <w:r w:rsidR="00731EC4">
        <w:t xml:space="preserve">there was no input means </w:t>
      </w:r>
      <w:r>
        <w:t>when the time of detachment was written into a core log</w:t>
      </w:r>
      <w:r w:rsidR="00731EC4">
        <w:t xml:space="preserve">, </w:t>
      </w:r>
      <w:r>
        <w:t>but</w:t>
      </w:r>
      <w:r w:rsidR="00731EC4">
        <w:t>,</w:t>
      </w:r>
      <w:r>
        <w:t xml:space="preserve"> in any event, stated </w:t>
      </w:r>
      <w:r w:rsidR="00731EC4">
        <w:t xml:space="preserve">that </w:t>
      </w:r>
      <w:r>
        <w:t>this came later.</w:t>
      </w:r>
    </w:p>
    <w:p w:rsidR="00237F56" w:rsidRDefault="00AA67EF" w:rsidP="00237F56">
      <w:pPr>
        <w:pStyle w:val="ParaNumbering"/>
      </w:pPr>
      <w:r>
        <w:t xml:space="preserve">Coretell </w:t>
      </w:r>
      <w:r w:rsidR="00237F56">
        <w:t>submit</w:t>
      </w:r>
      <w:r>
        <w:t>s</w:t>
      </w:r>
      <w:r w:rsidR="00237F56">
        <w:t xml:space="preserve"> that Mr Brown’s evidence in chief was that the integer required an </w:t>
      </w:r>
      <w:r>
        <w:t>‘</w:t>
      </w:r>
      <w:r w:rsidR="00237F56">
        <w:t>electronic</w:t>
      </w:r>
      <w:r>
        <w:t>’</w:t>
      </w:r>
      <w:r w:rsidR="00237F56">
        <w:t xml:space="preserve"> input means and </w:t>
      </w:r>
      <w:r>
        <w:t xml:space="preserve">that </w:t>
      </w:r>
      <w:r w:rsidR="00237F56">
        <w:t xml:space="preserve">the driller’s task of maintaining a core log as described in the </w:t>
      </w:r>
      <w:r>
        <w:t xml:space="preserve">Skopec </w:t>
      </w:r>
      <w:r w:rsidR="00237F56">
        <w:t xml:space="preserve">Paper was external to the claimed system.  He disagreed that writing in a core log was an input means.  Mr Brown interpreted this integer as requiring </w:t>
      </w:r>
      <w:r>
        <w:t>‘</w:t>
      </w:r>
      <w:r w:rsidR="00237F56">
        <w:t>inputting</w:t>
      </w:r>
      <w:r>
        <w:t>’</w:t>
      </w:r>
      <w:r w:rsidR="00237F56">
        <w:t xml:space="preserve"> into the device.</w:t>
      </w:r>
    </w:p>
    <w:p w:rsidR="00AA67EF" w:rsidRDefault="00AA67EF" w:rsidP="00237F56">
      <w:pPr>
        <w:pStyle w:val="ParaNumbering"/>
      </w:pPr>
      <w:r>
        <w:t>In my view, t</w:t>
      </w:r>
      <w:r w:rsidR="00237F56">
        <w:t xml:space="preserve">he </w:t>
      </w:r>
      <w:r>
        <w:t xml:space="preserve">Skopec </w:t>
      </w:r>
      <w:r w:rsidR="00237F56">
        <w:t xml:space="preserve">Paper did not expressly disclose this integer.  Dr Skopec contended that a skilled reader would ‘inherently’ appreciate that an operator of the CHAMP </w:t>
      </w:r>
      <w:r>
        <w:t xml:space="preserve">EMI Tool </w:t>
      </w:r>
      <w:r w:rsidR="00237F56">
        <w:t xml:space="preserve">should write down the time of detachment in a core log.  In my view, this is not sufficient to satisfy integer S5.  </w:t>
      </w:r>
    </w:p>
    <w:p w:rsidR="00237F56" w:rsidRDefault="00237F56" w:rsidP="00237F56">
      <w:pPr>
        <w:pStyle w:val="ParaNumbering"/>
      </w:pPr>
      <w:r>
        <w:t>In context, ‘input means’ and ‘i</w:t>
      </w:r>
      <w:r w:rsidR="00B16F2B">
        <w:t>n</w:t>
      </w:r>
      <w:r>
        <w:t>pu</w:t>
      </w:r>
      <w:r w:rsidR="00B16F2B">
        <w:t>t</w:t>
      </w:r>
      <w:r>
        <w:t>ting’ relate to a computational input feature for entering data electronically into the system</w:t>
      </w:r>
      <w:r w:rsidR="00B16F2B">
        <w:t>,</w:t>
      </w:r>
      <w:r>
        <w:t xml:space="preserve"> as indicated by </w:t>
      </w:r>
      <w:r w:rsidR="00EE7756">
        <w:t>Professor Tapson</w:t>
      </w:r>
      <w:r>
        <w:t xml:space="preserve"> and Mr Brown</w:t>
      </w:r>
      <w:r w:rsidR="00B16F2B">
        <w:t>,</w:t>
      </w:r>
      <w:r>
        <w:t xml:space="preserve"> and accepted by Dr Kepic in cross-examination.  Professor Tapson explained that the specification of the System Patent itself distinguished between the acts of ‘noting’, that is, recording </w:t>
      </w:r>
      <w:r w:rsidR="00B16F2B">
        <w:t>i</w:t>
      </w:r>
      <w:r>
        <w:t>n a core log</w:t>
      </w:r>
      <w:r w:rsidR="00B16F2B">
        <w:t>,</w:t>
      </w:r>
      <w:r>
        <w:t xml:space="preserve"> and ‘</w:t>
      </w:r>
      <w:r w:rsidR="00B16F2B">
        <w:t>inputting</w:t>
      </w:r>
      <w:r>
        <w:t xml:space="preserve">’ a time measurement into the system.  Dr Skopec accepted that human correlating was not ‘processing’ in this context.  </w:t>
      </w:r>
    </w:p>
    <w:p w:rsidR="00237F56" w:rsidRDefault="00237F56" w:rsidP="00237F56">
      <w:pPr>
        <w:pStyle w:val="ParaNumbering"/>
      </w:pPr>
      <w:r>
        <w:t xml:space="preserve">This integer is not disclosed in the </w:t>
      </w:r>
      <w:r w:rsidR="00B16F2B">
        <w:t xml:space="preserve">Skopec </w:t>
      </w:r>
      <w:r>
        <w:t xml:space="preserve">Paper.  </w:t>
      </w:r>
    </w:p>
    <w:p w:rsidR="00B16F2B" w:rsidRDefault="00B16F2B" w:rsidP="0035772D">
      <w:pPr>
        <w:pStyle w:val="Heading8"/>
      </w:pPr>
      <w:bookmarkStart w:id="86" w:name="_Ref436660795"/>
      <w:r>
        <w:t>Integer 6</w:t>
      </w:r>
      <w:bookmarkEnd w:id="86"/>
    </w:p>
    <w:p w:rsidR="00B16F2B" w:rsidRPr="00B16F2B" w:rsidRDefault="007B24CB" w:rsidP="00B16F2B">
      <w:pPr>
        <w:pStyle w:val="ParaNumbering"/>
      </w:pPr>
      <w:r>
        <w:t xml:space="preserve">As I understand it, </w:t>
      </w:r>
      <w:r w:rsidR="00B16F2B">
        <w:t xml:space="preserve">integer S6 was not contested as being disclosed.  Integer 6 is ‘one or more processing means for processing the signals to produce dated indicative of the orientation of the inner tube’.  </w:t>
      </w:r>
    </w:p>
    <w:p w:rsidR="00237F56" w:rsidRDefault="00237F56" w:rsidP="0035772D">
      <w:pPr>
        <w:pStyle w:val="Heading8"/>
      </w:pPr>
      <w:bookmarkStart w:id="87" w:name="_Ref404090367"/>
      <w:r>
        <w:lastRenderedPageBreak/>
        <w:t>Integer S7</w:t>
      </w:r>
      <w:bookmarkEnd w:id="87"/>
    </w:p>
    <w:p w:rsidR="00BA7F64" w:rsidRDefault="00237F56" w:rsidP="00237F56">
      <w:pPr>
        <w:pStyle w:val="ParaNumbering"/>
      </w:pPr>
      <w:r>
        <w:t>Once again, refer</w:t>
      </w:r>
      <w:r w:rsidR="00BA7F64">
        <w:t>ence is made in this integer to:</w:t>
      </w:r>
    </w:p>
    <w:p w:rsidR="00BA7F64" w:rsidRDefault="00237F56" w:rsidP="00BA7F64">
      <w:pPr>
        <w:pStyle w:val="Quote1"/>
      </w:pPr>
      <w:r w:rsidRPr="0005174F">
        <w:t>one or more processing means for processing the data produced and the inputted time measurement to produce an indication of the orientation of the core sample relative to the material from which it is detached</w:t>
      </w:r>
      <w:r>
        <w:t xml:space="preserve">.  </w:t>
      </w:r>
    </w:p>
    <w:p w:rsidR="00237F56" w:rsidRDefault="00274F3E" w:rsidP="00237F56">
      <w:pPr>
        <w:pStyle w:val="ParaNumbering"/>
      </w:pPr>
      <w:r>
        <w:t>In t</w:t>
      </w:r>
      <w:r w:rsidR="00237F56">
        <w:t xml:space="preserve">he </w:t>
      </w:r>
      <w:r>
        <w:t xml:space="preserve">Skopec Paper, the </w:t>
      </w:r>
      <w:r w:rsidR="00E05593">
        <w:t>CHAMP EMI Tool</w:t>
      </w:r>
      <w:r w:rsidR="00237F56">
        <w:t xml:space="preserve"> was retrieved and the timing and core orientation data subsequently downloaded from the non-volatile memory to a personal computer where it could be displayed or printed out as required to orient the core.  The displayed orientation data was in tabular form, showing at least the shot number, that is, the number of the data record, the time of the </w:t>
      </w:r>
      <w:r w:rsidR="00426594">
        <w:t>‘</w:t>
      </w:r>
      <w:r w:rsidR="00237F56">
        <w:t>shot</w:t>
      </w:r>
      <w:r w:rsidR="00426594">
        <w:t>’</w:t>
      </w:r>
      <w:r w:rsidR="00237F56">
        <w:t>, referenced back to the synchronised stopwatch</w:t>
      </w:r>
      <w:r w:rsidR="00426594">
        <w:t>,</w:t>
      </w:r>
      <w:r w:rsidR="00237F56">
        <w:t xml:space="preserve"> and the orientation data for each tine interval.  To obtain an indication of the orientation of the core sample at the time the sample was detached, the detachment time as recorded was correlated against the tabulated timing and orientation data from the </w:t>
      </w:r>
      <w:r w:rsidR="00426594">
        <w:t xml:space="preserve">CHAMP </w:t>
      </w:r>
      <w:r w:rsidR="00237F56">
        <w:t xml:space="preserve">EMI </w:t>
      </w:r>
      <w:r w:rsidR="00426594">
        <w:t>T</w:t>
      </w:r>
      <w:r w:rsidR="00237F56">
        <w:t>ool to determine the orientation data at the recorded detachment time to indicate the orientation of the core sample which would be read from the table or a personal computer display.</w:t>
      </w:r>
    </w:p>
    <w:p w:rsidR="00237F56" w:rsidRDefault="00237F56" w:rsidP="00237F56">
      <w:pPr>
        <w:pStyle w:val="ParaNumbering"/>
      </w:pPr>
      <w:r>
        <w:t xml:space="preserve">Dr Skopec explained that the requirements of the integer are met by correlating the timing data with the orientation data using a personal computer.  </w:t>
      </w:r>
      <w:r w:rsidR="00262740">
        <w:t xml:space="preserve">According to Dr Skopec, </w:t>
      </w:r>
      <w:r>
        <w:t>‘</w:t>
      </w:r>
      <w:r w:rsidR="003A7232">
        <w:t>o</w:t>
      </w:r>
      <w:r>
        <w:t xml:space="preserve">ne or more processing means’ is not limited to automatic processing.  The personal computer of the </w:t>
      </w:r>
      <w:r w:rsidR="003A7232">
        <w:t xml:space="preserve">Skopec </w:t>
      </w:r>
      <w:r>
        <w:t xml:space="preserve">Paper was not limited to retrieval of data.  Dr Skopec’s evidence was that the </w:t>
      </w:r>
      <w:r w:rsidR="003A7232">
        <w:t>‘</w:t>
      </w:r>
      <w:r>
        <w:t>indication of the orientation</w:t>
      </w:r>
      <w:r w:rsidR="003A7232">
        <w:t>’</w:t>
      </w:r>
      <w:r>
        <w:t xml:space="preserve"> was the orientation data produced by the </w:t>
      </w:r>
      <w:r w:rsidR="00E05593">
        <w:t>CHAMP EMI Tool</w:t>
      </w:r>
      <w:r>
        <w:t xml:space="preserve">, either in printed form or displayed on the personal computer.  </w:t>
      </w:r>
      <w:r w:rsidR="003A7232">
        <w:t xml:space="preserve">He said that an </w:t>
      </w:r>
      <w:r>
        <w:t xml:space="preserve">indication does not need to show the drill operator how to rotate the core and an </w:t>
      </w:r>
      <w:r w:rsidR="003A7232">
        <w:t>‘</w:t>
      </w:r>
      <w:r>
        <w:t>indication</w:t>
      </w:r>
      <w:r w:rsidR="003A7232">
        <w:t>’</w:t>
      </w:r>
      <w:r>
        <w:t xml:space="preserve"> has no special technical meaning in coring operations.  Dr Skopec did agree in cross-examination that the data </w:t>
      </w:r>
      <w:r w:rsidR="003A7232">
        <w:t xml:space="preserve">was distilled </w:t>
      </w:r>
      <w:r>
        <w:t xml:space="preserve">from a much larger data </w:t>
      </w:r>
      <w:r w:rsidR="003A7232">
        <w:t>set</w:t>
      </w:r>
      <w:r>
        <w:t xml:space="preserve">, which, when printed out could vary from a page to several pages, but 30 pages would be highly unusual.  He accepted that the data set itself </w:t>
      </w:r>
      <w:r w:rsidR="003A7232">
        <w:t xml:space="preserve">did </w:t>
      </w:r>
      <w:r>
        <w:t>not provide an indication of orientation, but that it was one variable in the equation and that the data would need to be applied to the core.</w:t>
      </w:r>
    </w:p>
    <w:p w:rsidR="00237F56" w:rsidRDefault="003A7232" w:rsidP="00237F56">
      <w:pPr>
        <w:pStyle w:val="ParaNumbering"/>
      </w:pPr>
      <w:r>
        <w:t xml:space="preserve">In cross-examination, Dr Skopec agreed that </w:t>
      </w:r>
      <w:r w:rsidR="00237F56">
        <w:t xml:space="preserve">the data set produced by the taking of one core sample in the process described </w:t>
      </w:r>
      <w:r>
        <w:t xml:space="preserve">in the paper </w:t>
      </w:r>
      <w:r w:rsidR="00237F56">
        <w:t xml:space="preserve">did not of itself provide an indication of the orientation of the core sample relative to the material from which it was detached.  </w:t>
      </w:r>
    </w:p>
    <w:p w:rsidR="00237F56" w:rsidRDefault="00237F56" w:rsidP="00237F56">
      <w:pPr>
        <w:pStyle w:val="ParaNumbering"/>
      </w:pPr>
      <w:r>
        <w:lastRenderedPageBreak/>
        <w:t xml:space="preserve">It follows, in my view, that in the </w:t>
      </w:r>
      <w:r w:rsidR="000A1F75">
        <w:t xml:space="preserve">Skopec </w:t>
      </w:r>
      <w:r>
        <w:t xml:space="preserve">Paper, the data set produced by the taking of one core sample in the process </w:t>
      </w:r>
      <w:r w:rsidR="000A1F75">
        <w:t xml:space="preserve">described there </w:t>
      </w:r>
      <w:r>
        <w:t>did not itself provide an indication of the orientation of the core sample relative to the material from which it was detached.  This integer</w:t>
      </w:r>
      <w:r w:rsidR="000A1F75">
        <w:t>, therefore,</w:t>
      </w:r>
      <w:r>
        <w:t xml:space="preserve"> is not anticipated by the </w:t>
      </w:r>
      <w:r w:rsidR="000A1F75">
        <w:t xml:space="preserve">Skopec </w:t>
      </w:r>
      <w:r>
        <w:t>Paper.</w:t>
      </w:r>
    </w:p>
    <w:p w:rsidR="00237F56" w:rsidRDefault="00237F56" w:rsidP="0035772D">
      <w:pPr>
        <w:pStyle w:val="Heading8"/>
      </w:pPr>
      <w:bookmarkStart w:id="88" w:name="_Ref404090368"/>
      <w:r>
        <w:t>Integer S8</w:t>
      </w:r>
      <w:bookmarkEnd w:id="88"/>
    </w:p>
    <w:p w:rsidR="00237F56" w:rsidRDefault="00237F56" w:rsidP="00237F56">
      <w:pPr>
        <w:pStyle w:val="ParaNumbering"/>
      </w:pPr>
      <w:r>
        <w:t xml:space="preserve">The requirement under this integer is for a </w:t>
      </w:r>
      <w:r w:rsidRPr="00380122">
        <w:t>‘display means for the indication of the orientation of the core sample relative to the material from which it is detached’</w:t>
      </w:r>
      <w:r>
        <w:t xml:space="preserve">.  </w:t>
      </w:r>
    </w:p>
    <w:p w:rsidR="00237F56" w:rsidRDefault="00237F56" w:rsidP="00237F56">
      <w:pPr>
        <w:pStyle w:val="ParaNumbering"/>
      </w:pPr>
      <w:r>
        <w:t xml:space="preserve">As noted in relation to integer S7, the orientation data was either displayed on a personal computer display or on a printout including the orientation data at the time of detachment.  The data could also be saved onto a </w:t>
      </w:r>
      <w:r w:rsidR="00380122">
        <w:t>‘</w:t>
      </w:r>
      <w:r>
        <w:t>floppy disc</w:t>
      </w:r>
      <w:r w:rsidR="00380122">
        <w:t>’</w:t>
      </w:r>
      <w:r>
        <w:t xml:space="preserve"> and then displayed on another computer or further printed if required.  Dr Skopec maintained that the requirements of this integer were met by either a printout or the personal computer display, displaying the orientation data of integer S7.  He </w:t>
      </w:r>
      <w:r w:rsidR="00DF275B">
        <w:t xml:space="preserve">expressed the view </w:t>
      </w:r>
      <w:r>
        <w:t xml:space="preserve">that it was not necessary to provide a visual indication of the direction on which the orientation device should be rotated, nor </w:t>
      </w:r>
      <w:r w:rsidR="00830B55">
        <w:t>wa</w:t>
      </w:r>
      <w:r>
        <w:t xml:space="preserve">s the data limited to a number of records, nor </w:t>
      </w:r>
      <w:r w:rsidR="00830B55">
        <w:t xml:space="preserve">did </w:t>
      </w:r>
      <w:r>
        <w:t xml:space="preserve">it matter that there </w:t>
      </w:r>
      <w:r w:rsidR="00830B55">
        <w:t xml:space="preserve">was </w:t>
      </w:r>
      <w:r>
        <w:t xml:space="preserve">additional information included in the table.  Dr Skopec accepted in cross-examination that the </w:t>
      </w:r>
      <w:r w:rsidR="00830B55">
        <w:t xml:space="preserve">Skopec </w:t>
      </w:r>
      <w:r>
        <w:t xml:space="preserve">Paper did not disclose </w:t>
      </w:r>
      <w:r w:rsidR="00830B55">
        <w:t xml:space="preserve">a </w:t>
      </w:r>
      <w:r>
        <w:t>display means for the indication of the orientation directly from the tool.</w:t>
      </w:r>
    </w:p>
    <w:p w:rsidR="00237F56" w:rsidRDefault="00237F56" w:rsidP="00237F56">
      <w:pPr>
        <w:pStyle w:val="ParaNumbering"/>
      </w:pPr>
      <w:r>
        <w:t xml:space="preserve">Although Mr Brown did not initially identify the integer as </w:t>
      </w:r>
      <w:r w:rsidR="00830B55">
        <w:t>being un</w:t>
      </w:r>
      <w:r>
        <w:t xml:space="preserve">disclosed in the </w:t>
      </w:r>
      <w:r w:rsidR="00830B55">
        <w:t xml:space="preserve">Skopec Paper, </w:t>
      </w:r>
      <w:r w:rsidR="00470CCE">
        <w:t>Coretell</w:t>
      </w:r>
      <w:r w:rsidR="00830B55">
        <w:t xml:space="preserve"> says that </w:t>
      </w:r>
      <w:r>
        <w:t xml:space="preserve">his cross-examination did appear to suggest that the system described in the </w:t>
      </w:r>
      <w:r w:rsidR="00830B55">
        <w:t xml:space="preserve">Skopec </w:t>
      </w:r>
      <w:r>
        <w:t xml:space="preserve">Paper </w:t>
      </w:r>
      <w:r w:rsidR="00830B55">
        <w:t xml:space="preserve">gave </w:t>
      </w:r>
      <w:r>
        <w:t xml:space="preserve">an indication of orientation.  </w:t>
      </w:r>
    </w:p>
    <w:p w:rsidR="00237F56" w:rsidRDefault="00237F56" w:rsidP="00237F56">
      <w:pPr>
        <w:pStyle w:val="ParaNumbering"/>
      </w:pPr>
      <w:r>
        <w:t xml:space="preserve">I do not consider this integer is disclosed in the </w:t>
      </w:r>
      <w:r w:rsidR="00830B55">
        <w:t xml:space="preserve">Skopec </w:t>
      </w:r>
      <w:r>
        <w:t xml:space="preserve">Paper.  The data values in the table referred to by Dr Skopec related more to the position of the inner tube, rather than </w:t>
      </w:r>
      <w:r w:rsidR="00830B55">
        <w:t xml:space="preserve">to </w:t>
      </w:r>
      <w:r>
        <w:t>the orient</w:t>
      </w:r>
      <w:r w:rsidR="00830B55">
        <w:t>ation of the core sample</w:t>
      </w:r>
      <w:r>
        <w:t xml:space="preserve">.  In any event, as I perceive the evidence, Dr Skopec effectively accepted that the data did not disclose a display means for the indication of the orientation.  This was an appropriate concession.  </w:t>
      </w:r>
    </w:p>
    <w:p w:rsidR="00237F56" w:rsidRDefault="00237F56" w:rsidP="0035772D">
      <w:pPr>
        <w:pStyle w:val="Heading8"/>
      </w:pPr>
      <w:bookmarkStart w:id="89" w:name="_Ref404090369"/>
      <w:r>
        <w:t>Integer S9</w:t>
      </w:r>
      <w:bookmarkEnd w:id="89"/>
    </w:p>
    <w:p w:rsidR="00237F56" w:rsidRDefault="00237F56" w:rsidP="00237F56">
      <w:pPr>
        <w:pStyle w:val="ParaNumbering"/>
      </w:pPr>
      <w:r>
        <w:t>Under this integer</w:t>
      </w:r>
      <w:r w:rsidR="00830B55">
        <w:t>,</w:t>
      </w:r>
      <w:r>
        <w:t xml:space="preserve"> it is necessary for there to be ‘</w:t>
      </w:r>
      <w:r w:rsidRPr="00830B55">
        <w:t>one or more means for storing the data produced and the indication of the orientation of the core sample’</w:t>
      </w:r>
      <w:r>
        <w:t>.</w:t>
      </w:r>
    </w:p>
    <w:p w:rsidR="00237F56" w:rsidRDefault="00830B55" w:rsidP="00237F56">
      <w:pPr>
        <w:pStyle w:val="ParaNumbering"/>
      </w:pPr>
      <w:r>
        <w:t>T</w:t>
      </w:r>
      <w:r w:rsidR="00237F56">
        <w:t xml:space="preserve">he </w:t>
      </w:r>
      <w:r>
        <w:t xml:space="preserve">Skopec Paper described that the </w:t>
      </w:r>
      <w:r w:rsidR="00E05593">
        <w:t>CHAMP EMI Tool</w:t>
      </w:r>
      <w:r w:rsidR="00237F56">
        <w:t xml:space="preserve"> included non-volatile memory that stored the timing and orientation information of up to a maximum of 1,023 data </w:t>
      </w:r>
      <w:r w:rsidR="00237F56">
        <w:lastRenderedPageBreak/>
        <w:t xml:space="preserve">shots.  Dr Skopec expressed the view that the data produced was stored in the </w:t>
      </w:r>
      <w:r w:rsidR="00E05593">
        <w:t>CHAMP EMI Tool</w:t>
      </w:r>
      <w:r w:rsidR="00D62397">
        <w:t xml:space="preserve">, </w:t>
      </w:r>
      <w:r w:rsidR="00CC5F53">
        <w:t xml:space="preserve">and </w:t>
      </w:r>
      <w:r w:rsidR="00D62397">
        <w:t>that t</w:t>
      </w:r>
      <w:r w:rsidR="00237F56">
        <w:t xml:space="preserve">here was an indication of the orientation stored in the memory of the personal computer.  Mr Brown appeared to </w:t>
      </w:r>
      <w:r w:rsidR="00D62397">
        <w:t xml:space="preserve">accept </w:t>
      </w:r>
      <w:r w:rsidR="00237F56">
        <w:t>in cross-examination that the integer was disclosed.</w:t>
      </w:r>
    </w:p>
    <w:p w:rsidR="00D62397" w:rsidRDefault="00D62397" w:rsidP="00237F56">
      <w:pPr>
        <w:pStyle w:val="ParaNumbering"/>
      </w:pPr>
      <w:r>
        <w:t>Again, Dr Skopec agreed in cross-examination that there was no indication of orientation stored.  While the CHAMP EMI Tool includes memory which stores some data, he agreed that that relevant memory did not store the indication of the orientation of the core sample.</w:t>
      </w:r>
    </w:p>
    <w:p w:rsidR="00237F56" w:rsidRDefault="00237F56" w:rsidP="00237F56">
      <w:pPr>
        <w:pStyle w:val="ParaNumbering"/>
      </w:pPr>
      <w:r>
        <w:t>I</w:t>
      </w:r>
      <w:r w:rsidR="0089682A">
        <w:t xml:space="preserve"> consider </w:t>
      </w:r>
      <w:r w:rsidR="00CC5F53">
        <w:t xml:space="preserve">that </w:t>
      </w:r>
      <w:r>
        <w:t xml:space="preserve">there was a blurring of the issues in relation to this integer.  In my view, there is no indication in the </w:t>
      </w:r>
      <w:r w:rsidR="00D62397">
        <w:t xml:space="preserve">Skopec </w:t>
      </w:r>
      <w:r>
        <w:t>Paper of orientation stored</w:t>
      </w:r>
      <w:r w:rsidR="00D62397">
        <w:t>,</w:t>
      </w:r>
      <w:r>
        <w:t xml:space="preserve"> although the CHAMP EMI </w:t>
      </w:r>
      <w:r w:rsidR="00D62397">
        <w:t xml:space="preserve">Tool </w:t>
      </w:r>
      <w:r>
        <w:t xml:space="preserve">did include memory which stores some data.  That memory itself did not store the indication or the orientation of the core sample.  This integer was not disclosed.  </w:t>
      </w:r>
    </w:p>
    <w:p w:rsidR="00237F56" w:rsidRDefault="00237F56" w:rsidP="0035772D">
      <w:pPr>
        <w:pStyle w:val="Heading8"/>
      </w:pPr>
      <w:bookmarkStart w:id="90" w:name="_Ref410393884"/>
      <w:r>
        <w:t>Integer</w:t>
      </w:r>
      <w:r w:rsidR="00605643">
        <w:t>s</w:t>
      </w:r>
      <w:r>
        <w:t xml:space="preserve"> S10 and S11</w:t>
      </w:r>
      <w:bookmarkEnd w:id="90"/>
    </w:p>
    <w:p w:rsidR="00237F56" w:rsidRDefault="00605643" w:rsidP="00237F56">
      <w:pPr>
        <w:pStyle w:val="ParaNumbering"/>
      </w:pPr>
      <w:r>
        <w:t xml:space="preserve">Both these integers were disclosed in the Skopec Paper.  </w:t>
      </w:r>
      <w:r w:rsidR="00AA726C">
        <w:t>Integer S10 i</w:t>
      </w:r>
      <w:r w:rsidR="00237F56">
        <w:t>s ‘</w:t>
      </w:r>
      <w:r w:rsidRPr="00605643">
        <w:t>where</w:t>
      </w:r>
      <w:r w:rsidR="00237F56" w:rsidRPr="00605643">
        <w:t>in the means for storing the data comprise memory’</w:t>
      </w:r>
      <w:r w:rsidR="00237F56">
        <w:t xml:space="preserve">.  Integer S11 </w:t>
      </w:r>
      <w:r>
        <w:t xml:space="preserve">is </w:t>
      </w:r>
      <w:r w:rsidR="00237F56">
        <w:t>‘</w:t>
      </w:r>
      <w:r w:rsidR="00237F56" w:rsidRPr="00605643">
        <w:t>the system comprising interface means having first means for storing the data in the memory’</w:t>
      </w:r>
      <w:r w:rsidR="00237F56">
        <w:t xml:space="preserve">.  </w:t>
      </w:r>
    </w:p>
    <w:p w:rsidR="00237F56" w:rsidRDefault="00237F56" w:rsidP="0035772D">
      <w:pPr>
        <w:pStyle w:val="Heading8"/>
      </w:pPr>
      <w:bookmarkStart w:id="91" w:name="_Ref404090370"/>
      <w:r>
        <w:t>Integer S12</w:t>
      </w:r>
      <w:bookmarkEnd w:id="91"/>
    </w:p>
    <w:p w:rsidR="00237F56" w:rsidRDefault="00E24AE1" w:rsidP="00237F56">
      <w:pPr>
        <w:pStyle w:val="ParaNumbering"/>
      </w:pPr>
      <w:r>
        <w:t>Integer S12 required a</w:t>
      </w:r>
      <w:r w:rsidR="00237F56">
        <w:t xml:space="preserve"> ‘</w:t>
      </w:r>
      <w:r w:rsidR="00237F56" w:rsidRPr="00E24AE1">
        <w:t>second means for accessing the memory to produce the indication of the orientation of the core sample when detached when required’</w:t>
      </w:r>
      <w:r w:rsidR="00237F56">
        <w:t xml:space="preserve">.  </w:t>
      </w:r>
    </w:p>
    <w:p w:rsidR="00237F56" w:rsidRDefault="00E24AE1" w:rsidP="00237F56">
      <w:pPr>
        <w:pStyle w:val="ParaNumbering"/>
      </w:pPr>
      <w:r>
        <w:t xml:space="preserve">The Skopec Paper provided that that </w:t>
      </w:r>
      <w:r w:rsidR="00237F56">
        <w:t xml:space="preserve">timing and orientation data was accessed and retrieved from the </w:t>
      </w:r>
      <w:r w:rsidR="00E05593">
        <w:t>CHAMP EMI Tool</w:t>
      </w:r>
      <w:r w:rsidR="00237F56">
        <w:t xml:space="preserve"> using a personal computer, including the orientation data corresponding to when the sample was detached.  Dr Skopec accepted </w:t>
      </w:r>
      <w:r>
        <w:t xml:space="preserve">in cross-examination </w:t>
      </w:r>
      <w:r w:rsidR="00237F56">
        <w:t xml:space="preserve">that the act of downloading itself did not produce the indication of orientation, but was ‘one variable in the equation of applying the data </w:t>
      </w:r>
      <w:r>
        <w:t xml:space="preserve">to </w:t>
      </w:r>
      <w:r w:rsidR="00237F56">
        <w:t xml:space="preserve">the core sample’.  The requirement that the downloading in </w:t>
      </w:r>
      <w:r>
        <w:t>and of itself produce</w:t>
      </w:r>
      <w:r w:rsidR="00237F56">
        <w:t xml:space="preserve"> the indication was never viewed as a requirement of this integer by Dr Skopec.  </w:t>
      </w:r>
    </w:p>
    <w:p w:rsidR="00237F56" w:rsidRDefault="00237F56" w:rsidP="00237F56">
      <w:pPr>
        <w:pStyle w:val="ParaNumbering"/>
      </w:pPr>
      <w:r>
        <w:t xml:space="preserve">The position, acknowledged by Mr Brown, </w:t>
      </w:r>
      <w:r w:rsidR="00E24AE1">
        <w:t>wa</w:t>
      </w:r>
      <w:r>
        <w:t xml:space="preserve">s that the indication of orientation could be produced, but only after more processes and steps were taken.  The evidence of </w:t>
      </w:r>
      <w:r w:rsidR="00EE7756">
        <w:t>Professor Tapson</w:t>
      </w:r>
      <w:r>
        <w:t xml:space="preserve"> and Mr Brown, which I accepted, is that this integer was not disclosed in the </w:t>
      </w:r>
      <w:r w:rsidR="00E24AE1">
        <w:t xml:space="preserve">Skopec </w:t>
      </w:r>
      <w:r>
        <w:t xml:space="preserve">Paper.  </w:t>
      </w:r>
    </w:p>
    <w:p w:rsidR="00237F56" w:rsidRDefault="00237F56" w:rsidP="0035772D">
      <w:pPr>
        <w:pStyle w:val="Heading8"/>
      </w:pPr>
      <w:bookmarkStart w:id="92" w:name="_Ref410393885"/>
      <w:r>
        <w:lastRenderedPageBreak/>
        <w:t>Integers S13-S16</w:t>
      </w:r>
      <w:bookmarkEnd w:id="92"/>
    </w:p>
    <w:p w:rsidR="00CE206C" w:rsidRDefault="00237F56" w:rsidP="00237F56">
      <w:pPr>
        <w:pStyle w:val="ParaNumbering"/>
      </w:pPr>
      <w:r>
        <w:t xml:space="preserve">It </w:t>
      </w:r>
      <w:r w:rsidR="00AD6DAE">
        <w:t xml:space="preserve">is not </w:t>
      </w:r>
      <w:r>
        <w:t xml:space="preserve">contested that integers </w:t>
      </w:r>
      <w:r w:rsidR="00C13065">
        <w:t xml:space="preserve">S13 to S16 </w:t>
      </w:r>
      <w:r>
        <w:t xml:space="preserve">were disclosed in the </w:t>
      </w:r>
      <w:r w:rsidR="00C13065">
        <w:t xml:space="preserve">Skopec </w:t>
      </w:r>
      <w:r>
        <w:t xml:space="preserve">Paper.  </w:t>
      </w:r>
    </w:p>
    <w:p w:rsidR="00CE206C" w:rsidRDefault="00237F56" w:rsidP="00237F56">
      <w:pPr>
        <w:pStyle w:val="ParaNumbering"/>
      </w:pPr>
      <w:r>
        <w:t xml:space="preserve">Integer 13 </w:t>
      </w:r>
      <w:r w:rsidR="00CE206C">
        <w:t>i</w:t>
      </w:r>
      <w:r>
        <w:t xml:space="preserve">s </w:t>
      </w:r>
      <w:r w:rsidRPr="00C13065">
        <w:t>‘the system comprising a timer for determining predetermined time intervals re</w:t>
      </w:r>
      <w:r w:rsidR="00C13065" w:rsidRPr="00C13065">
        <w:t xml:space="preserve">lative to a reference </w:t>
      </w:r>
      <w:r w:rsidRPr="00C13065">
        <w:t>time</w:t>
      </w:r>
      <w:r>
        <w:t xml:space="preserve">’.  </w:t>
      </w:r>
    </w:p>
    <w:p w:rsidR="00CE206C" w:rsidRDefault="00237F56" w:rsidP="00237F56">
      <w:pPr>
        <w:pStyle w:val="ParaNumbering"/>
      </w:pPr>
      <w:r>
        <w:t xml:space="preserve">Integer S14 </w:t>
      </w:r>
      <w:r w:rsidR="00C13065">
        <w:t xml:space="preserve">requires </w:t>
      </w:r>
      <w:r w:rsidRPr="00CD7B5B">
        <w:t>a</w:t>
      </w:r>
      <w:r w:rsidRPr="00BB04C1">
        <w:rPr>
          <w:i/>
        </w:rPr>
        <w:t xml:space="preserve"> </w:t>
      </w:r>
      <w:r w:rsidR="00C13065" w:rsidRPr="00C13065">
        <w:t>‘</w:t>
      </w:r>
      <w:r w:rsidRPr="00C13065">
        <w:t xml:space="preserve">means for storing the data in the memory upon each of the predetermined time intervals terminating’. </w:t>
      </w:r>
      <w:r>
        <w:t xml:space="preserve"> </w:t>
      </w:r>
    </w:p>
    <w:p w:rsidR="00CE206C" w:rsidRDefault="00237F56" w:rsidP="00237F56">
      <w:pPr>
        <w:pStyle w:val="ParaNumbering"/>
      </w:pPr>
      <w:r>
        <w:t xml:space="preserve">Integer S15 </w:t>
      </w:r>
      <w:r w:rsidR="00CE206C">
        <w:t>i</w:t>
      </w:r>
      <w:r>
        <w:t xml:space="preserve">s </w:t>
      </w:r>
      <w:r w:rsidRPr="007B0479">
        <w:t>‘</w:t>
      </w:r>
      <w:r w:rsidR="007B0479" w:rsidRPr="007B0479">
        <w:t>where</w:t>
      </w:r>
      <w:r w:rsidRPr="007B0479">
        <w:t>in the physical orientation of the core sample comprises:  a rotational orientation about a longitudinal axis of the core orientation sample’</w:t>
      </w:r>
      <w:r w:rsidR="007B0479">
        <w:t>.</w:t>
      </w:r>
    </w:p>
    <w:p w:rsidR="00237F56" w:rsidRDefault="00237F56" w:rsidP="00237F56">
      <w:pPr>
        <w:pStyle w:val="ParaNumbering"/>
      </w:pPr>
      <w:r>
        <w:t>Integer </w:t>
      </w:r>
      <w:r w:rsidR="007B0479">
        <w:t>S</w:t>
      </w:r>
      <w:r>
        <w:t xml:space="preserve">16 </w:t>
      </w:r>
      <w:r w:rsidR="00CE206C">
        <w:t>is</w:t>
      </w:r>
      <w:r>
        <w:t xml:space="preserve"> </w:t>
      </w:r>
      <w:r w:rsidRPr="007B0479">
        <w:t>‘an angular orientation of a longitudinal access of the core sample above or below a horizontal plane’</w:t>
      </w:r>
      <w:r>
        <w:t>.</w:t>
      </w:r>
    </w:p>
    <w:p w:rsidR="00237F56" w:rsidRDefault="00237F56" w:rsidP="00237F56">
      <w:pPr>
        <w:pStyle w:val="ParaNumbering"/>
      </w:pPr>
      <w:r>
        <w:t xml:space="preserve">It follows from the foregoing that not all </w:t>
      </w:r>
      <w:r w:rsidR="007B0479">
        <w:t xml:space="preserve">of </w:t>
      </w:r>
      <w:r>
        <w:t xml:space="preserve">the integers of the System Patent were disclosed in the </w:t>
      </w:r>
      <w:r w:rsidR="007B0479">
        <w:t xml:space="preserve">Skopec </w:t>
      </w:r>
      <w:r>
        <w:t>Paper.</w:t>
      </w:r>
    </w:p>
    <w:p w:rsidR="007B0479" w:rsidRDefault="00A4781B" w:rsidP="0035772D">
      <w:pPr>
        <w:pStyle w:val="Heading7"/>
      </w:pPr>
      <w:bookmarkStart w:id="93" w:name="_Ref436660796"/>
      <w:r>
        <w:t>Skopec Paper and I</w:t>
      </w:r>
      <w:r w:rsidR="007B0479">
        <w:t>ntegers of the Method Patent</w:t>
      </w:r>
      <w:bookmarkEnd w:id="93"/>
      <w:r w:rsidR="007B0479">
        <w:t xml:space="preserve"> </w:t>
      </w:r>
    </w:p>
    <w:p w:rsidR="00EE4A86" w:rsidRDefault="00CE206C" w:rsidP="00237F56">
      <w:pPr>
        <w:pStyle w:val="ParaNumbering"/>
      </w:pPr>
      <w:r>
        <w:t>As to the Method Patent, i</w:t>
      </w:r>
      <w:r w:rsidR="00237F56">
        <w:t xml:space="preserve">t is unnecessary to consider </w:t>
      </w:r>
      <w:r>
        <w:t xml:space="preserve">the integers </w:t>
      </w:r>
      <w:r w:rsidR="00237F56">
        <w:t xml:space="preserve">in the same detail as the evidence is very similar.  </w:t>
      </w:r>
      <w:r w:rsidR="007B0479">
        <w:t xml:space="preserve">Dr Skopec confirmed that his answers in relation to </w:t>
      </w:r>
      <w:r w:rsidR="00EE4A86">
        <w:t xml:space="preserve">the System Patent integers applied generally to the corresponding Method Patent integers.  Accordingly, integers that were similar to those previously disclosed were moved past in cross-examination.  I have reduced discussion on the Method Patent integers accordingly.  </w:t>
      </w:r>
    </w:p>
    <w:p w:rsidR="00CE206C" w:rsidRDefault="00EE4A86" w:rsidP="0035772D">
      <w:pPr>
        <w:pStyle w:val="Heading8"/>
      </w:pPr>
      <w:bookmarkStart w:id="94" w:name="_Ref436660797"/>
      <w:r>
        <w:t>I</w:t>
      </w:r>
      <w:r w:rsidR="007B0479">
        <w:t xml:space="preserve">ntegers M4, M13, </w:t>
      </w:r>
      <w:r w:rsidR="00387E1A">
        <w:t xml:space="preserve">M20, </w:t>
      </w:r>
      <w:r w:rsidR="007B0479">
        <w:t>M</w:t>
      </w:r>
      <w:r>
        <w:t>25</w:t>
      </w:r>
      <w:bookmarkEnd w:id="94"/>
      <w:r>
        <w:t xml:space="preserve"> </w:t>
      </w:r>
    </w:p>
    <w:p w:rsidR="00237F56" w:rsidRDefault="00237F56" w:rsidP="00237F56">
      <w:pPr>
        <w:pStyle w:val="ParaNumbering"/>
      </w:pPr>
      <w:r>
        <w:t xml:space="preserve">Integer </w:t>
      </w:r>
      <w:r w:rsidR="006D738B">
        <w:t>M4, which requires</w:t>
      </w:r>
      <w:r>
        <w:t xml:space="preserve"> </w:t>
      </w:r>
      <w:r w:rsidR="006D738B">
        <w:t>‘</w:t>
      </w:r>
      <w:r>
        <w:t>inputting the specific time beyond the reference time representative of when the core sample was separated from the body of material</w:t>
      </w:r>
      <w:r w:rsidR="006D738B">
        <w:t>’</w:t>
      </w:r>
      <w:r>
        <w:t xml:space="preserve">, once again, is not satisfied by ‘noting’ a time measurement in a core log.  That did not, on the evidence of </w:t>
      </w:r>
      <w:r w:rsidR="00EE7756">
        <w:t>Professor Tapson</w:t>
      </w:r>
      <w:r w:rsidR="006D738B">
        <w:t>,</w:t>
      </w:r>
      <w:r>
        <w:t xml:space="preserve"> whose evidence I accept, constitute ‘inputt</w:t>
      </w:r>
      <w:r w:rsidR="006D738B">
        <w:t>ing’ for the purpose of integer </w:t>
      </w:r>
      <w:r>
        <w:t xml:space="preserve">M4.  </w:t>
      </w:r>
      <w:r w:rsidR="006D738B">
        <w:t>He gave evidence that ‘i</w:t>
      </w:r>
      <w:r>
        <w:t>nputting</w:t>
      </w:r>
      <w:r w:rsidR="006D738B">
        <w:t>’,</w:t>
      </w:r>
      <w:r>
        <w:t xml:space="preserve"> where used in relation to this integer</w:t>
      </w:r>
      <w:r w:rsidR="006D738B">
        <w:t>,</w:t>
      </w:r>
      <w:r>
        <w:t xml:space="preserve"> mean</w:t>
      </w:r>
      <w:r w:rsidR="006D738B">
        <w:t>s</w:t>
      </w:r>
      <w:r>
        <w:t xml:space="preserve"> the entry of data into a computer or equipment, not the manual writing of information on a core log.  </w:t>
      </w:r>
    </w:p>
    <w:p w:rsidR="00237F56" w:rsidRDefault="00237F56" w:rsidP="00237F56">
      <w:pPr>
        <w:pStyle w:val="ParaNumbering"/>
      </w:pPr>
      <w:r>
        <w:t xml:space="preserve">Not only was </w:t>
      </w:r>
      <w:r w:rsidR="006D738B">
        <w:t xml:space="preserve">Professor Tapson’s </w:t>
      </w:r>
      <w:r>
        <w:t xml:space="preserve">evidence supported by Mr Brown, but ultimately, Dr Skopec accepted this position.  Dr Skopec accepted there was no disclosure in the </w:t>
      </w:r>
      <w:r w:rsidR="006D738B">
        <w:t xml:space="preserve">Skopec </w:t>
      </w:r>
      <w:r>
        <w:lastRenderedPageBreak/>
        <w:t xml:space="preserve">Paper of inputting </w:t>
      </w:r>
      <w:r w:rsidR="006D738B">
        <w:t xml:space="preserve">the </w:t>
      </w:r>
      <w:r>
        <w:t xml:space="preserve">specific time of detachment. Once again, he made the point that the </w:t>
      </w:r>
      <w:r w:rsidR="006D738B">
        <w:t xml:space="preserve">Skopec </w:t>
      </w:r>
      <w:r>
        <w:t xml:space="preserve">Paper was not meant to be an operation manual.  </w:t>
      </w:r>
    </w:p>
    <w:p w:rsidR="00CE2CA6" w:rsidRDefault="00237F56" w:rsidP="00237F56">
      <w:pPr>
        <w:pStyle w:val="ParaNumbering"/>
      </w:pPr>
      <w:r>
        <w:t xml:space="preserve">As </w:t>
      </w:r>
      <w:r w:rsidR="00CE2CA6">
        <w:t>the applicants point</w:t>
      </w:r>
      <w:r>
        <w:t xml:space="preserve"> out, the absence of integer M4 precludes the </w:t>
      </w:r>
      <w:r w:rsidR="006D738B">
        <w:t xml:space="preserve">disclosure </w:t>
      </w:r>
      <w:r>
        <w:t>of various other integers which depend upon it, such as</w:t>
      </w:r>
      <w:r w:rsidR="00CE2CA6">
        <w:t>:</w:t>
      </w:r>
    </w:p>
    <w:p w:rsidR="00CE2CA6" w:rsidRDefault="006D738B" w:rsidP="00CE2CA6">
      <w:pPr>
        <w:pStyle w:val="FCBullets"/>
      </w:pPr>
      <w:r>
        <w:t xml:space="preserve">M13, which requires </w:t>
      </w:r>
      <w:r w:rsidR="00237F56">
        <w:t>‘</w:t>
      </w:r>
      <w:r w:rsidR="00AB3799">
        <w:t>inputting the time measurement</w:t>
      </w:r>
      <w:r w:rsidR="00237F56" w:rsidRPr="006D738B">
        <w:t>’</w:t>
      </w:r>
      <w:r w:rsidR="00237F56">
        <w:t xml:space="preserve">; </w:t>
      </w:r>
    </w:p>
    <w:p w:rsidR="00CE2CA6" w:rsidRDefault="006D738B" w:rsidP="00CE2CA6">
      <w:pPr>
        <w:pStyle w:val="FCBullets"/>
      </w:pPr>
      <w:r>
        <w:t xml:space="preserve">M20, which requires </w:t>
      </w:r>
      <w:r w:rsidR="00237F56">
        <w:t>‘</w:t>
      </w:r>
      <w:r w:rsidR="00237F56" w:rsidRPr="006D738B">
        <w:t>inputting the time instant during drilling of the core sample when the core sample is detached from a body of material at the drilling location’</w:t>
      </w:r>
      <w:r w:rsidR="00237F56">
        <w:t xml:space="preserve">; and </w:t>
      </w:r>
    </w:p>
    <w:p w:rsidR="00CE2CA6" w:rsidRDefault="00237F56" w:rsidP="00CE2CA6">
      <w:pPr>
        <w:pStyle w:val="FCBullets"/>
      </w:pPr>
      <w:r>
        <w:t>M25</w:t>
      </w:r>
      <w:r w:rsidR="006D738B">
        <w:t xml:space="preserve">, which requires </w:t>
      </w:r>
      <w:r>
        <w:t>‘</w:t>
      </w:r>
      <w:r w:rsidRPr="006D738B">
        <w:t>inputting the selected time interval</w:t>
      </w:r>
      <w:r>
        <w:t xml:space="preserve">’.  </w:t>
      </w:r>
    </w:p>
    <w:p w:rsidR="00AB3799" w:rsidRDefault="00AB3799" w:rsidP="00AB3799">
      <w:pPr>
        <w:pStyle w:val="Heading8"/>
      </w:pPr>
      <w:bookmarkStart w:id="95" w:name="_Ref436891535"/>
      <w:r>
        <w:t>Integer M5</w:t>
      </w:r>
      <w:bookmarkEnd w:id="95"/>
    </w:p>
    <w:p w:rsidR="006D738B" w:rsidRDefault="006D738B" w:rsidP="006D738B">
      <w:pPr>
        <w:pStyle w:val="ParaNumbering"/>
      </w:pPr>
      <w:r>
        <w:t xml:space="preserve">Integer M5 requires ‘removing the inner tube, with the core sample held therein in fixed relation to it, from the body of material.’  This integer is similar to the final part of integer S4 (‘held in fixed relation to the inner tube’), which has been discussed above.  Dr Skopec agreed in cross examination that the final element of S4 was not disclosed in the Skopec Paper as it was not a necessary step in the operation described.  He agreed that his answers in relation to integer S4 would apply to integer M5. </w:t>
      </w:r>
    </w:p>
    <w:p w:rsidR="006D738B" w:rsidRDefault="006D738B" w:rsidP="006D738B">
      <w:pPr>
        <w:pStyle w:val="ParaNumbering"/>
      </w:pPr>
      <w:r>
        <w:t xml:space="preserve">Professor Tapson also gave evidence that the Skopec Paper did not disclose integer M5 because the instrument described in the paper did not depend on establishing a fixed relationship at the time of detachment.  He explained that, the CHAMP EMI Tool used scribe knives to mark the core as it entered the inner tube, and, along with other data, those marks were used to establish orientation. </w:t>
      </w:r>
    </w:p>
    <w:p w:rsidR="00237F56" w:rsidRDefault="006D738B" w:rsidP="006D738B">
      <w:pPr>
        <w:pStyle w:val="ParaNumbering"/>
      </w:pPr>
      <w:r>
        <w:t xml:space="preserve">In my view, integer M5 was not disclosed in the Skopec Paper.  </w:t>
      </w:r>
    </w:p>
    <w:p w:rsidR="00237F56" w:rsidRDefault="00237F56" w:rsidP="0035772D">
      <w:pPr>
        <w:pStyle w:val="Heading8"/>
      </w:pPr>
      <w:bookmarkStart w:id="96" w:name="_Ref404090372"/>
      <w:r>
        <w:t>Integer M6</w:t>
      </w:r>
      <w:bookmarkEnd w:id="96"/>
    </w:p>
    <w:p w:rsidR="00B44E23" w:rsidRDefault="00237F56" w:rsidP="00237F56">
      <w:pPr>
        <w:pStyle w:val="ParaNumbering"/>
      </w:pPr>
      <w:r>
        <w:t xml:space="preserve">Integer M6 </w:t>
      </w:r>
      <w:r w:rsidR="001961E6">
        <w:t xml:space="preserve">requires </w:t>
      </w:r>
      <w:r w:rsidRPr="0065684A">
        <w:t xml:space="preserve">‘relating </w:t>
      </w:r>
      <w:r w:rsidR="00F3461A">
        <w:t>the</w:t>
      </w:r>
      <w:r w:rsidR="001961E6" w:rsidRPr="0065684A">
        <w:t xml:space="preserve"> inputted </w:t>
      </w:r>
      <w:r w:rsidRPr="0065684A">
        <w:t xml:space="preserve">specific time </w:t>
      </w:r>
      <w:r w:rsidR="0065684A" w:rsidRPr="0065684A">
        <w:t xml:space="preserve">to </w:t>
      </w:r>
      <w:r w:rsidRPr="0065684A">
        <w:t xml:space="preserve">the recorded time </w:t>
      </w:r>
      <w:r w:rsidR="0065684A" w:rsidRPr="0065684A">
        <w:t xml:space="preserve">intervals </w:t>
      </w:r>
      <w:r w:rsidRPr="0065684A">
        <w:t>to obtain an indication of the orientation of the inner tube an</w:t>
      </w:r>
      <w:r w:rsidR="0065684A" w:rsidRPr="0065684A">
        <w:t>d consequently the core contained</w:t>
      </w:r>
      <w:r w:rsidRPr="0065684A">
        <w:t xml:space="preserve"> therein at the specific time’</w:t>
      </w:r>
      <w:r>
        <w:t xml:space="preserve">.  Once again, Dr Skopec explained that the requirements of this integer were satisfied by downloading orientation data from the </w:t>
      </w:r>
      <w:r w:rsidR="00E05593">
        <w:t>CHAMP EMI Tool</w:t>
      </w:r>
      <w:r>
        <w:t xml:space="preserve"> and correlating the inputted time against the timing and orientation data from the tool as shown by a table which he produced.  </w:t>
      </w:r>
    </w:p>
    <w:p w:rsidR="00237F56" w:rsidRDefault="00237F56" w:rsidP="00237F56">
      <w:pPr>
        <w:pStyle w:val="ParaNumbering"/>
      </w:pPr>
      <w:r>
        <w:t xml:space="preserve">I accept the evidence of Mr Brown that integer M6 was </w:t>
      </w:r>
      <w:r w:rsidR="0065684A">
        <w:t xml:space="preserve">also </w:t>
      </w:r>
      <w:r>
        <w:t xml:space="preserve">not disclosed in the </w:t>
      </w:r>
      <w:r w:rsidR="004250E1">
        <w:t xml:space="preserve">Skopec </w:t>
      </w:r>
      <w:r>
        <w:t xml:space="preserve">Paper.  </w:t>
      </w:r>
    </w:p>
    <w:p w:rsidR="0065684A" w:rsidRDefault="0065684A" w:rsidP="00237F56">
      <w:pPr>
        <w:pStyle w:val="ParaNumbering"/>
      </w:pPr>
      <w:r>
        <w:lastRenderedPageBreak/>
        <w:t xml:space="preserve">As a result of the non-disclosure of integer M6, it follows that integers M14 and M26 were also not disclosed.  </w:t>
      </w:r>
    </w:p>
    <w:p w:rsidR="00237F56" w:rsidRDefault="00237F56" w:rsidP="0035772D">
      <w:pPr>
        <w:pStyle w:val="Heading8"/>
      </w:pPr>
      <w:bookmarkStart w:id="97" w:name="_Ref404090373"/>
      <w:bookmarkStart w:id="98" w:name="_Ref410393886"/>
      <w:r>
        <w:t>Integer M</w:t>
      </w:r>
      <w:bookmarkEnd w:id="97"/>
      <w:r>
        <w:t>7</w:t>
      </w:r>
      <w:bookmarkEnd w:id="98"/>
    </w:p>
    <w:p w:rsidR="00237F56" w:rsidRDefault="00237F56" w:rsidP="00237F56">
      <w:pPr>
        <w:pStyle w:val="ParaNumbering"/>
      </w:pPr>
      <w:r>
        <w:t xml:space="preserve">Integer M7 requires </w:t>
      </w:r>
      <w:r w:rsidRPr="00B25810">
        <w:t>‘providing the indication’</w:t>
      </w:r>
      <w:r>
        <w:t xml:space="preserve">.  </w:t>
      </w:r>
      <w:r w:rsidR="00B25810">
        <w:t>T</w:t>
      </w:r>
      <w:r>
        <w:t>he displayed orientation data was set out either on a computer scr</w:t>
      </w:r>
      <w:r w:rsidR="00B25810">
        <w:t xml:space="preserve">een or printed out in hard copy, as shown in the table produced by Dr Skopec.  </w:t>
      </w:r>
    </w:p>
    <w:p w:rsidR="00237F56" w:rsidRDefault="008B16D4" w:rsidP="00237F56">
      <w:pPr>
        <w:pStyle w:val="ParaNumbering"/>
      </w:pPr>
      <w:r>
        <w:t xml:space="preserve">This integer </w:t>
      </w:r>
      <w:r w:rsidR="00A100E1">
        <w:t xml:space="preserve">was </w:t>
      </w:r>
      <w:r w:rsidR="00237F56">
        <w:t xml:space="preserve">not disclosed in the </w:t>
      </w:r>
      <w:r>
        <w:t xml:space="preserve">Skopec </w:t>
      </w:r>
      <w:r w:rsidR="00237F56">
        <w:t>Paper because t</w:t>
      </w:r>
      <w:r>
        <w:t>he paper contained</w:t>
      </w:r>
      <w:r w:rsidR="00237F56">
        <w:t xml:space="preserve"> no disclosure of an indication of the orientation of the core sample being provided.  Again, Dr Skopec accepted that integer M7 was not reflected in the </w:t>
      </w:r>
      <w:r>
        <w:t xml:space="preserve">Skopec </w:t>
      </w:r>
      <w:r w:rsidR="00237F56">
        <w:t>Paper, explaining that the indication which was to be provided was not u</w:t>
      </w:r>
      <w:r>
        <w:t>ntil ‘we get to the later stage.</w:t>
      </w:r>
      <w:r w:rsidR="00237F56">
        <w:t xml:space="preserve"> </w:t>
      </w:r>
      <w:r>
        <w:t xml:space="preserve"> I</w:t>
      </w:r>
      <w:r w:rsidR="00237F56">
        <w:t xml:space="preserve">t’s very much a multi-step process’.  </w:t>
      </w:r>
    </w:p>
    <w:p w:rsidR="008B16D4" w:rsidRDefault="008B16D4" w:rsidP="00237F56">
      <w:pPr>
        <w:pStyle w:val="ParaNumbering"/>
      </w:pPr>
      <w:r>
        <w:t>The same finding applies to integers M21 and M27.</w:t>
      </w:r>
    </w:p>
    <w:p w:rsidR="00237F56" w:rsidRDefault="00237F56" w:rsidP="0035772D">
      <w:pPr>
        <w:pStyle w:val="Heading8"/>
      </w:pPr>
      <w:bookmarkStart w:id="99" w:name="_Ref404090374"/>
      <w:bookmarkStart w:id="100" w:name="_Ref409424810"/>
      <w:r>
        <w:t>Integer M23</w:t>
      </w:r>
      <w:bookmarkEnd w:id="99"/>
      <w:bookmarkEnd w:id="100"/>
    </w:p>
    <w:p w:rsidR="00237F56" w:rsidRDefault="00237F56" w:rsidP="00237F56">
      <w:pPr>
        <w:pStyle w:val="ParaNumbering"/>
      </w:pPr>
      <w:r>
        <w:t xml:space="preserve">This integer refers to </w:t>
      </w:r>
      <w:r w:rsidRPr="00C06F5B">
        <w:t>‘determining and storing orientation of the core sample at predetermined time intervals relative to a referenced time’</w:t>
      </w:r>
      <w:r>
        <w:t xml:space="preserve">.  Dr Skopec, himself, agreed that there is no such step disclosed in the </w:t>
      </w:r>
      <w:r w:rsidR="00C06F5B">
        <w:t xml:space="preserve">Skopec </w:t>
      </w:r>
      <w:r>
        <w:t xml:space="preserve">Paper.  I accept that this is so.  </w:t>
      </w:r>
    </w:p>
    <w:p w:rsidR="00237F56" w:rsidRDefault="00237F56" w:rsidP="0035772D">
      <w:pPr>
        <w:pStyle w:val="Heading8"/>
      </w:pPr>
      <w:bookmarkStart w:id="101" w:name="_Ref404090375"/>
      <w:r>
        <w:t>Integers M28 and M29</w:t>
      </w:r>
      <w:bookmarkEnd w:id="101"/>
    </w:p>
    <w:p w:rsidR="004B019B" w:rsidRDefault="00C06F5B" w:rsidP="00C06F5B">
      <w:pPr>
        <w:pStyle w:val="ParaNumbering"/>
      </w:pPr>
      <w:r>
        <w:t xml:space="preserve">Integers M28 and M29 </w:t>
      </w:r>
      <w:r w:rsidR="00237F56">
        <w:t xml:space="preserve">require </w:t>
      </w:r>
      <w:r>
        <w:t>respectively</w:t>
      </w:r>
      <w:r w:rsidR="004250E1">
        <w:t xml:space="preserve"> ‘</w:t>
      </w:r>
      <w:r w:rsidR="00237F56" w:rsidRPr="00D463E5">
        <w:t>comparing the orientation of the core sample at the selected time interval to the orientation of the core sample at any subsequent time</w:t>
      </w:r>
      <w:r w:rsidR="00237F56">
        <w:t>’ and ‘</w:t>
      </w:r>
      <w:r w:rsidR="00237F56" w:rsidRPr="00D463E5">
        <w:t>providing an indication of the direction in which the core sample should be rotated in order to bring it into an orientation corresponding to the orientation of the core sample and the selected time</w:t>
      </w:r>
      <w:r w:rsidR="004250E1">
        <w:t>’</w:t>
      </w:r>
      <w:r>
        <w:t xml:space="preserve">.  </w:t>
      </w:r>
    </w:p>
    <w:p w:rsidR="00237F56" w:rsidRDefault="00237F56" w:rsidP="00237F56">
      <w:pPr>
        <w:pStyle w:val="ParaNumbering"/>
      </w:pPr>
      <w:r>
        <w:t xml:space="preserve">Professor Tapson and Mr Brown gave evidence, which I accept, that these </w:t>
      </w:r>
      <w:r w:rsidR="00731056">
        <w:t xml:space="preserve">integers </w:t>
      </w:r>
      <w:r>
        <w:t xml:space="preserve">were not disclosed in the </w:t>
      </w:r>
      <w:r w:rsidR="00731056">
        <w:t xml:space="preserve">Skopec </w:t>
      </w:r>
      <w:r>
        <w:t>Paper.  Dr Skopec also agreed</w:t>
      </w:r>
      <w:r w:rsidR="00731056">
        <w:t xml:space="preserve">, and </w:t>
      </w:r>
      <w:r>
        <w:t>pointed out</w:t>
      </w:r>
      <w:r w:rsidR="0021444C">
        <w:t xml:space="preserve"> that</w:t>
      </w:r>
      <w:r>
        <w:t xml:space="preserve"> </w:t>
      </w:r>
      <w:r w:rsidR="00731056">
        <w:t>‘[i]</w:t>
      </w:r>
      <w:r>
        <w:t>t</w:t>
      </w:r>
      <w:r w:rsidR="00731056">
        <w:t>’s</w:t>
      </w:r>
      <w:r>
        <w:t xml:space="preserve"> not until we get to th</w:t>
      </w:r>
      <w:r w:rsidR="00731056">
        <w:t>e laboratory</w:t>
      </w:r>
      <w:r>
        <w:t xml:space="preserve"> that we apply the data and </w:t>
      </w:r>
      <w:r w:rsidR="00731056">
        <w:t xml:space="preserve">we </w:t>
      </w:r>
      <w:r>
        <w:t xml:space="preserve">have the true orientation’.  </w:t>
      </w:r>
    </w:p>
    <w:p w:rsidR="00237F56" w:rsidRDefault="00237F56" w:rsidP="00237F56">
      <w:pPr>
        <w:pStyle w:val="ParaNumbering"/>
      </w:pPr>
      <w:r>
        <w:t xml:space="preserve">It follows then that multiple integers of the claims in the Method Patent are also not disclosed by the </w:t>
      </w:r>
      <w:r w:rsidR="00731056">
        <w:t>Skopec Paper.  T</w:t>
      </w:r>
      <w:r>
        <w:t xml:space="preserve">o the extent </w:t>
      </w:r>
      <w:r w:rsidR="00384E54">
        <w:t>Coretell</w:t>
      </w:r>
      <w:r w:rsidR="00731056">
        <w:t xml:space="preserve">’s </w:t>
      </w:r>
      <w:r>
        <w:t>case relies on that paper</w:t>
      </w:r>
      <w:r w:rsidR="00731056">
        <w:t>,</w:t>
      </w:r>
      <w:r>
        <w:t xml:space="preserve"> it fails.</w:t>
      </w:r>
    </w:p>
    <w:p w:rsidR="00237F56" w:rsidRDefault="00237F56" w:rsidP="00731056">
      <w:pPr>
        <w:pStyle w:val="Heading7"/>
      </w:pPr>
      <w:bookmarkStart w:id="102" w:name="_Ref404090376"/>
      <w:r>
        <w:lastRenderedPageBreak/>
        <w:t>T</w:t>
      </w:r>
      <w:r w:rsidR="0035772D">
        <w:t>he Sperry-Sun and Baker Hughes m</w:t>
      </w:r>
      <w:r>
        <w:t>anuals</w:t>
      </w:r>
      <w:bookmarkEnd w:id="102"/>
    </w:p>
    <w:p w:rsidR="00237F56" w:rsidRDefault="00237F56" w:rsidP="00237F56">
      <w:pPr>
        <w:pStyle w:val="ParaNumbering"/>
      </w:pPr>
      <w:r>
        <w:t xml:space="preserve">It is not clear that reliance is still based on these </w:t>
      </w:r>
      <w:r w:rsidR="00731056">
        <w:t>documents</w:t>
      </w:r>
      <w:r>
        <w:t xml:space="preserve">.  If the case based on the </w:t>
      </w:r>
      <w:r w:rsidR="00731056">
        <w:t xml:space="preserve">Skopec </w:t>
      </w:r>
      <w:r>
        <w:t xml:space="preserve">Paper fails, then </w:t>
      </w:r>
      <w:r w:rsidR="00731056">
        <w:t xml:space="preserve">reliance on </w:t>
      </w:r>
      <w:r>
        <w:t xml:space="preserve">these documents must also fail.  I accept the evidence of </w:t>
      </w:r>
      <w:r w:rsidR="00EE7756">
        <w:t>Professor Tapson</w:t>
      </w:r>
      <w:r>
        <w:t xml:space="preserve"> in relation to each of these </w:t>
      </w:r>
      <w:r w:rsidR="00731056">
        <w:t xml:space="preserve">documents.  In particular, </w:t>
      </w:r>
      <w:r>
        <w:t xml:space="preserve">his explanation that they did not disclose various features of the claims of the </w:t>
      </w:r>
      <w:r w:rsidR="00731056">
        <w:t>P</w:t>
      </w:r>
      <w:r>
        <w:t>atents.</w:t>
      </w:r>
    </w:p>
    <w:p w:rsidR="00237F56" w:rsidRDefault="00237F56" w:rsidP="00237F56">
      <w:pPr>
        <w:pStyle w:val="ParaNumbering"/>
      </w:pPr>
      <w:r>
        <w:t xml:space="preserve">To the extent that the lack of novelty contention is based on these papers, I reject it. </w:t>
      </w:r>
    </w:p>
    <w:p w:rsidR="00237F56" w:rsidRDefault="0035772D" w:rsidP="003358EE">
      <w:pPr>
        <w:pStyle w:val="Heading7"/>
      </w:pPr>
      <w:bookmarkStart w:id="103" w:name="_Ref404090377"/>
      <w:bookmarkStart w:id="104" w:name="_Ref409424811"/>
      <w:r>
        <w:t>Dr Skopec’s o</w:t>
      </w:r>
      <w:r w:rsidR="00237F56">
        <w:t xml:space="preserve">wn </w:t>
      </w:r>
      <w:r>
        <w:t>a</w:t>
      </w:r>
      <w:r w:rsidR="00237F56">
        <w:t xml:space="preserve">lleged </w:t>
      </w:r>
      <w:r>
        <w:t>p</w:t>
      </w:r>
      <w:r w:rsidR="00237F56">
        <w:t>rior ‘</w:t>
      </w:r>
      <w:r>
        <w:t>u</w:t>
      </w:r>
      <w:r w:rsidR="00237F56">
        <w:t>se</w:t>
      </w:r>
      <w:bookmarkEnd w:id="103"/>
      <w:r w:rsidR="00237F56">
        <w:t>’</w:t>
      </w:r>
      <w:bookmarkEnd w:id="104"/>
    </w:p>
    <w:p w:rsidR="00A766B5" w:rsidRDefault="00A766B5" w:rsidP="00237F56">
      <w:pPr>
        <w:pStyle w:val="ParaNumbering"/>
      </w:pPr>
      <w:r>
        <w:t>Whil</w:t>
      </w:r>
      <w:r w:rsidR="00731056">
        <w:t>e this</w:t>
      </w:r>
      <w:r>
        <w:t xml:space="preserve"> topic relates to prior use rather than prior art, it is convenient to consider it at this point while discussing the evidence of Dr Skopec.  </w:t>
      </w:r>
    </w:p>
    <w:p w:rsidR="00A766B5" w:rsidRDefault="00A766B5" w:rsidP="00237F56">
      <w:pPr>
        <w:pStyle w:val="ParaNumbering"/>
      </w:pPr>
      <w:r>
        <w:t xml:space="preserve">The respondents contend that the actual activities as disclosed in the </w:t>
      </w:r>
      <w:r w:rsidR="00731056">
        <w:t xml:space="preserve">Skopec </w:t>
      </w:r>
      <w:r>
        <w:t>Paper</w:t>
      </w:r>
      <w:r w:rsidR="00731056">
        <w:t>,</w:t>
      </w:r>
      <w:r>
        <w:t xml:space="preserve"> and as practised by Dr Skopec</w:t>
      </w:r>
      <w:r w:rsidR="00731056">
        <w:t>,</w:t>
      </w:r>
      <w:r>
        <w:t xml:space="preserve"> fully anticipated the invention.  </w:t>
      </w:r>
    </w:p>
    <w:p w:rsidR="00237F56" w:rsidRDefault="00237F56" w:rsidP="00237F56">
      <w:pPr>
        <w:pStyle w:val="ParaNumbering"/>
      </w:pPr>
      <w:r>
        <w:t>I note</w:t>
      </w:r>
      <w:r w:rsidR="00731056">
        <w:t>,</w:t>
      </w:r>
      <w:r>
        <w:t xml:space="preserve"> </w:t>
      </w:r>
      <w:r w:rsidR="00726427">
        <w:t>and accept</w:t>
      </w:r>
      <w:r w:rsidR="00731056">
        <w:t>,</w:t>
      </w:r>
      <w:r w:rsidR="00726427">
        <w:t xml:space="preserve"> </w:t>
      </w:r>
      <w:r>
        <w:t xml:space="preserve">the submission for the applicants both during trial and in written submissions that evidence of prior use in this context should be closely scrutinised and requires a ‘relatively high standard of proof’:  </w:t>
      </w:r>
      <w:r w:rsidRPr="002B5FEC">
        <w:rPr>
          <w:i/>
        </w:rPr>
        <w:t xml:space="preserve">Myall Australia Pty Ltd v RPL Central Pty Ltd </w:t>
      </w:r>
      <w:r>
        <w:t xml:space="preserve">(2011) 93 IPR 1 per </w:t>
      </w:r>
      <w:r w:rsidR="00512132">
        <w:t xml:space="preserve">Aggarwal, </w:t>
      </w:r>
      <w:r w:rsidRPr="005B7F9B">
        <w:t>Delegate of the Commissioner of Patents</w:t>
      </w:r>
      <w:r>
        <w:t xml:space="preserve"> (at [23])</w:t>
      </w:r>
      <w:r w:rsidR="00512132">
        <w:t>.  I</w:t>
      </w:r>
      <w:r w:rsidR="00731056">
        <w:t xml:space="preserve">t has </w:t>
      </w:r>
      <w:r>
        <w:t xml:space="preserve">also </w:t>
      </w:r>
      <w:r w:rsidR="00731056">
        <w:t xml:space="preserve">been </w:t>
      </w:r>
      <w:r>
        <w:t xml:space="preserve">observed in </w:t>
      </w:r>
      <w:r w:rsidRPr="009B6429">
        <w:rPr>
          <w:i/>
        </w:rPr>
        <w:t xml:space="preserve">Windsurfing International Inc v Petit </w:t>
      </w:r>
      <w:r>
        <w:t xml:space="preserve">(1984) </w:t>
      </w:r>
      <w:r w:rsidRPr="009B6429">
        <w:t>3 IPR 449</w:t>
      </w:r>
      <w:r>
        <w:t xml:space="preserve"> that uncorroborated evidence should be </w:t>
      </w:r>
      <w:r w:rsidR="00731056">
        <w:t>‘</w:t>
      </w:r>
      <w:r>
        <w:t>scrutinised with particular care</w:t>
      </w:r>
      <w:r w:rsidR="00731056">
        <w:t>’</w:t>
      </w:r>
      <w:r>
        <w:t>.</w:t>
      </w:r>
    </w:p>
    <w:p w:rsidR="00237F56" w:rsidRDefault="00237F56" w:rsidP="00237F56">
      <w:pPr>
        <w:pStyle w:val="ParaNumbering"/>
      </w:pPr>
      <w:r>
        <w:t xml:space="preserve">In any event, at a technical level, reliance upon this particular form of prior use fails because it was clear on the evidence that the activities in question were not conducted in public.  The only persons present while </w:t>
      </w:r>
      <w:r w:rsidR="00274E58">
        <w:t xml:space="preserve">the activities in question </w:t>
      </w:r>
      <w:r>
        <w:t>were being conducted were representatives of the four organisations participating in the research.  Aside from those representatives, the site was not open to the general public and, as Dr Skopec explained, it was all ‘proprietary work’.  These activities did not, therefore, make ‘publicly available’ any information that could anticipate the claimed inventions.  These activities were all private and internal.  There is no information that persons received the relevant information and were free to use it, not being subject to any duty of confidence restricting its disclosure</w:t>
      </w:r>
      <w:r w:rsidR="008110EF">
        <w:t>.  I</w:t>
      </w:r>
      <w:r w:rsidR="00274E58">
        <w:t>ndeed, the evidence is to the contrary</w:t>
      </w:r>
      <w:r>
        <w:t xml:space="preserve">.  It was not until the </w:t>
      </w:r>
      <w:r w:rsidR="00274E58">
        <w:t xml:space="preserve">Skopec </w:t>
      </w:r>
      <w:r>
        <w:t>Paper itself was subsequently prepared and published by Dr Skopec and his colleague</w:t>
      </w:r>
      <w:r w:rsidR="00274E58">
        <w:t>s</w:t>
      </w:r>
      <w:r>
        <w:t xml:space="preserve"> that the details of the work was made available to the public.  As </w:t>
      </w:r>
      <w:r w:rsidR="00274E58">
        <w:t>I have found that the Skopec P</w:t>
      </w:r>
      <w:r>
        <w:t>aper</w:t>
      </w:r>
      <w:r w:rsidR="00274E58">
        <w:t xml:space="preserve"> </w:t>
      </w:r>
      <w:r>
        <w:t xml:space="preserve">does not anticipate the claims of the inventions, the preceding work relied upon in the </w:t>
      </w:r>
      <w:r w:rsidR="00274E58">
        <w:t xml:space="preserve">Skopec </w:t>
      </w:r>
      <w:r>
        <w:t xml:space="preserve">Paper certainly did not do so.  </w:t>
      </w:r>
    </w:p>
    <w:p w:rsidR="00237F56" w:rsidRDefault="00274E58" w:rsidP="00237F56">
      <w:pPr>
        <w:pStyle w:val="ParaNumbering"/>
      </w:pPr>
      <w:r>
        <w:lastRenderedPageBreak/>
        <w:t xml:space="preserve">Coretell </w:t>
      </w:r>
      <w:r w:rsidR="00237F56">
        <w:t xml:space="preserve">attempted to suggest that there was a difference between the </w:t>
      </w:r>
      <w:r>
        <w:t xml:space="preserve">activities </w:t>
      </w:r>
      <w:r w:rsidR="00237F56">
        <w:t>and what was published in the paper</w:t>
      </w:r>
      <w:r>
        <w:t>,</w:t>
      </w:r>
      <w:r w:rsidR="00237F56">
        <w:t xml:space="preserve"> </w:t>
      </w:r>
      <w:r>
        <w:t xml:space="preserve">because, for example, </w:t>
      </w:r>
      <w:r w:rsidR="00237F56">
        <w:t xml:space="preserve">Dr Skopec used a split ring core lifter of the kind that wold hold the bottom piece of core ‘in fixed relation to’ the inner tube when the core sample was being extracted.  Such a feature was not clearly and unmistakeably disclosed.  As </w:t>
      </w:r>
      <w:r w:rsidR="00EE7756">
        <w:t>Professor Tapson</w:t>
      </w:r>
      <w:r w:rsidR="00237F56">
        <w:t xml:space="preserve"> said, it is inconceivable that </w:t>
      </w:r>
      <w:r w:rsidR="00BC032B">
        <w:t xml:space="preserve">Dr Skopec </w:t>
      </w:r>
      <w:r w:rsidR="00237F56">
        <w:t xml:space="preserve">would have written the entire paper and left out that information.  </w:t>
      </w:r>
      <w:r w:rsidR="00BC032B">
        <w:t xml:space="preserve">He said in cross-examination:  </w:t>
      </w:r>
      <w:r w:rsidR="00237F56">
        <w:t>‘</w:t>
      </w:r>
      <w:r w:rsidR="00212EBE">
        <w:t>[</w:t>
      </w:r>
      <w:r w:rsidR="00BC032B">
        <w:t>t</w:t>
      </w:r>
      <w:r w:rsidR="00212EBE">
        <w:t>]</w:t>
      </w:r>
      <w:r w:rsidR="00237F56">
        <w:t xml:space="preserve">herefore, it is clearly obvious to me that he was not operating that way at the time he wrote the – the system paper’.  In any event, </w:t>
      </w:r>
      <w:r w:rsidR="00336AF3">
        <w:t xml:space="preserve">Professor Tapson’s </w:t>
      </w:r>
      <w:r w:rsidR="00237F56">
        <w:t xml:space="preserve">view </w:t>
      </w:r>
      <w:r w:rsidR="00336AF3">
        <w:t xml:space="preserve">was </w:t>
      </w:r>
      <w:r w:rsidR="00237F56">
        <w:t>that</w:t>
      </w:r>
      <w:r w:rsidR="00336AF3">
        <w:t>,</w:t>
      </w:r>
      <w:r w:rsidR="00237F56">
        <w:t xml:space="preserve"> whilst the technology was analogous, the method was different.  I accept the submission that if the process of using the split ring core lifter had been of utility to Dr Skopec, he would have put that into </w:t>
      </w:r>
      <w:r w:rsidR="00336AF3">
        <w:t>his p</w:t>
      </w:r>
      <w:r w:rsidR="00237F56">
        <w:t>aper and would not be recalling a different method</w:t>
      </w:r>
      <w:r w:rsidR="00336AF3">
        <w:t xml:space="preserve"> at 24 years removed</w:t>
      </w:r>
      <w:r w:rsidR="00237F56">
        <w:t>.</w:t>
      </w:r>
    </w:p>
    <w:p w:rsidR="006E5A04" w:rsidRDefault="006E5A04" w:rsidP="006E5A04">
      <w:pPr>
        <w:pStyle w:val="Heading7"/>
      </w:pPr>
      <w:bookmarkStart w:id="105" w:name="_Ref404090361"/>
      <w:r>
        <w:t>Publication of the</w:t>
      </w:r>
      <w:r w:rsidR="003208ED">
        <w:t xml:space="preserve"> </w:t>
      </w:r>
      <w:r w:rsidR="00BF240F">
        <w:t>ACT Tool</w:t>
      </w:r>
      <w:r>
        <w:t xml:space="preserve"> </w:t>
      </w:r>
      <w:r w:rsidR="005C6779">
        <w:t>o</w:t>
      </w:r>
      <w:r>
        <w:t xml:space="preserve">perating </w:t>
      </w:r>
      <w:r w:rsidR="005C6779">
        <w:t>i</w:t>
      </w:r>
      <w:r>
        <w:t>nstructions</w:t>
      </w:r>
      <w:bookmarkEnd w:id="105"/>
    </w:p>
    <w:p w:rsidR="006E5A04" w:rsidRDefault="005C6779" w:rsidP="006E5A04">
      <w:pPr>
        <w:pStyle w:val="ParaNumbering"/>
      </w:pPr>
      <w:r>
        <w:t xml:space="preserve">Coretell </w:t>
      </w:r>
      <w:r w:rsidR="006E5A04">
        <w:t>also argue</w:t>
      </w:r>
      <w:r>
        <w:t>s</w:t>
      </w:r>
      <w:r w:rsidR="006E5A04">
        <w:t xml:space="preserve"> that </w:t>
      </w:r>
      <w:r>
        <w:t xml:space="preserve">the Patents </w:t>
      </w:r>
      <w:r w:rsidR="006E5A04">
        <w:t xml:space="preserve">lack of novelty </w:t>
      </w:r>
      <w:r>
        <w:t xml:space="preserve">is </w:t>
      </w:r>
      <w:r w:rsidR="006E5A04">
        <w:t xml:space="preserve">due to the publication prior to </w:t>
      </w:r>
      <w:r>
        <w:t xml:space="preserve">the Priority Date </w:t>
      </w:r>
      <w:r w:rsidR="006E5A04">
        <w:t>of the operating instructions for the ACT</w:t>
      </w:r>
      <w:r>
        <w:t xml:space="preserve"> Tool</w:t>
      </w:r>
      <w:r w:rsidR="006E5A04">
        <w:t xml:space="preserve">.  </w:t>
      </w:r>
      <w:r>
        <w:t xml:space="preserve">Coretell relied upon </w:t>
      </w:r>
      <w:r w:rsidR="006E5A04">
        <w:t xml:space="preserve">two versions of operating instructions.  They have been introduced into evidence by Mr Ballantyne and have been referred to as the </w:t>
      </w:r>
      <w:r>
        <w:t>‘</w:t>
      </w:r>
      <w:r w:rsidR="006E5A04">
        <w:t>July</w:t>
      </w:r>
      <w:r w:rsidR="00212EBE">
        <w:t xml:space="preserve"> 2004 ACT Operating Instruction</w:t>
      </w:r>
      <w:r>
        <w:t>’</w:t>
      </w:r>
      <w:r w:rsidR="006E5A04">
        <w:t xml:space="preserve"> and the </w:t>
      </w:r>
      <w:r>
        <w:t>‘</w:t>
      </w:r>
      <w:r w:rsidR="00212EBE">
        <w:t>November 2004 ACT Operating Instruction</w:t>
      </w:r>
      <w:r w:rsidR="00475E14">
        <w:t>’</w:t>
      </w:r>
      <w:r>
        <w:t xml:space="preserve">. </w:t>
      </w:r>
    </w:p>
    <w:p w:rsidR="006E5A04" w:rsidRDefault="00475E14" w:rsidP="006E5A04">
      <w:pPr>
        <w:pStyle w:val="ParaNumbering"/>
      </w:pPr>
      <w:r>
        <w:t>T</w:t>
      </w:r>
      <w:r w:rsidR="006E5A04">
        <w:t>he evidence of publication of these documents on the dates asserted is not established</w:t>
      </w:r>
      <w:r>
        <w:t xml:space="preserve">.  Importantly, </w:t>
      </w:r>
      <w:r w:rsidR="006E5A04">
        <w:t xml:space="preserve">in any event, the documents do not disclose all of the features of the claims of the Patents.  </w:t>
      </w:r>
    </w:p>
    <w:p w:rsidR="006E5A04" w:rsidRDefault="006E5A04" w:rsidP="006E5A04">
      <w:pPr>
        <w:pStyle w:val="ParaNumbering"/>
      </w:pPr>
      <w:r>
        <w:t xml:space="preserve">The dates of publication are advanced by Mr Bradford in his evidence.  I reject this evidence to the extent that it is inconsistent with the evidence of Mr Weston as to the actual date of publication of operating instructions.  On this topic, Mr Weston </w:t>
      </w:r>
      <w:r w:rsidR="00475E14">
        <w:t xml:space="preserve">gave affidavit evidence </w:t>
      </w:r>
      <w:r>
        <w:t>that electronic and print mail-outs were not sent to customers of Imdex until approximately mid to late September 2004</w:t>
      </w:r>
      <w:r w:rsidR="00475E14">
        <w:t xml:space="preserve">, </w:t>
      </w:r>
      <w:r>
        <w:t xml:space="preserve">not June 2004 as suggested by Mr Bradford.  </w:t>
      </w:r>
      <w:r w:rsidR="00475E14">
        <w:t>According to Mr Weston, e</w:t>
      </w:r>
      <w:r>
        <w:t>mails were sent first</w:t>
      </w:r>
      <w:r w:rsidR="00475E14">
        <w:t xml:space="preserve"> </w:t>
      </w:r>
      <w:r>
        <w:t xml:space="preserve">to a total of 11 customers between 27 September 2004 and 10 October 2004, together with examples of the attached copies of the </w:t>
      </w:r>
      <w:r w:rsidR="00483FDB">
        <w:t>‘</w:t>
      </w:r>
      <w:r>
        <w:t>ACT Flyer and Operating Instructions</w:t>
      </w:r>
      <w:r w:rsidR="00483FDB">
        <w:t>’</w:t>
      </w:r>
      <w:r>
        <w:t xml:space="preserve"> that were sent.  He said </w:t>
      </w:r>
      <w:r w:rsidR="00483FDB">
        <w:t xml:space="preserve">that </w:t>
      </w:r>
      <w:r>
        <w:t xml:space="preserve">there </w:t>
      </w:r>
      <w:r w:rsidR="00483FDB">
        <w:t xml:space="preserve">were </w:t>
      </w:r>
      <w:r>
        <w:t xml:space="preserve">no earlier emails of </w:t>
      </w:r>
      <w:r w:rsidR="00483FDB">
        <w:t xml:space="preserve">that </w:t>
      </w:r>
      <w:r>
        <w:t xml:space="preserve">kind or otherwise or copies of other correspondence </w:t>
      </w:r>
      <w:r w:rsidR="00483FDB">
        <w:t xml:space="preserve">which sent </w:t>
      </w:r>
      <w:r>
        <w:t xml:space="preserve">material to customers within the applicants’ records.  The same evidence was given for the first electronic distribution of the ‘Ace Core Tool Brochure’ and ‘Ace Core Tool Instructions’ to potential customers. </w:t>
      </w:r>
    </w:p>
    <w:p w:rsidR="002B6262" w:rsidRPr="000A0EA8" w:rsidRDefault="00A318ED" w:rsidP="00A318ED">
      <w:pPr>
        <w:pStyle w:val="ParaNumbering"/>
      </w:pPr>
      <w:r w:rsidRPr="00A318ED">
        <w:lastRenderedPageBreak/>
        <w:t>In my view, the documents do not disclose all of the features of the claims of the Patents. It is apparent from the documents that they contain no express disclosure of all of the features of any of the claims of the Patents. Various features are absent.</w:t>
      </w:r>
    </w:p>
    <w:p w:rsidR="00237F56" w:rsidRDefault="002B6262" w:rsidP="000C31D6">
      <w:pPr>
        <w:pStyle w:val="Heading6"/>
      </w:pPr>
      <w:bookmarkStart w:id="106" w:name="_Ref436660798"/>
      <w:r>
        <w:t>Novelty – prior use</w:t>
      </w:r>
      <w:bookmarkEnd w:id="106"/>
    </w:p>
    <w:p w:rsidR="009E511D" w:rsidRDefault="009E511D" w:rsidP="009E511D">
      <w:pPr>
        <w:pStyle w:val="ParaNumbering"/>
      </w:pPr>
      <w:r>
        <w:t xml:space="preserve">The second </w:t>
      </w:r>
      <w:r w:rsidR="005019CC">
        <w:t xml:space="preserve">and major </w:t>
      </w:r>
      <w:r>
        <w:t>challenge to novelty is said by Coretell to arise from the extensive prior use and related publications</w:t>
      </w:r>
      <w:r w:rsidR="0070155A">
        <w:t xml:space="preserve"> that </w:t>
      </w:r>
      <w:r>
        <w:t xml:space="preserve">took place both in the United Kingdom and Australia before 3 September 2004 by or on behalf of Chardec or by or on behalf of AMC or its parent Imdex.  </w:t>
      </w:r>
    </w:p>
    <w:p w:rsidR="00AA59A5" w:rsidRDefault="00AA59A5" w:rsidP="00AA59A5">
      <w:pPr>
        <w:pStyle w:val="ParaNumbering"/>
      </w:pPr>
      <w:r>
        <w:t xml:space="preserve">Prior use will only be anticipatory if it discloses information that renders the invention as claimed not novel.  As noted by Justice Jagot in </w:t>
      </w:r>
      <w:r w:rsidRPr="00BE3E81">
        <w:rPr>
          <w:i/>
        </w:rPr>
        <w:t xml:space="preserve">Beadcrete Pty Ltd v Fei Yu </w:t>
      </w:r>
      <w:r>
        <w:rPr>
          <w:i/>
        </w:rPr>
        <w:t xml:space="preserve">(t/as Jewels 4 Pools) </w:t>
      </w:r>
      <w:r w:rsidRPr="00BE3E81">
        <w:rPr>
          <w:i/>
        </w:rPr>
        <w:t xml:space="preserve">(No </w:t>
      </w:r>
      <w:r>
        <w:rPr>
          <w:i/>
        </w:rPr>
        <w:t>2</w:t>
      </w:r>
      <w:r w:rsidRPr="00BE3E81">
        <w:rPr>
          <w:i/>
        </w:rPr>
        <w:t xml:space="preserve">) </w:t>
      </w:r>
      <w:r>
        <w:t xml:space="preserve">(2013) 100 IPR 188 </w:t>
      </w:r>
      <w:r w:rsidRPr="00BE3E81">
        <w:t>(at [100]) (citations omitted):</w:t>
      </w:r>
    </w:p>
    <w:p w:rsidR="00AA59A5" w:rsidRDefault="00AA59A5" w:rsidP="00AA59A5">
      <w:pPr>
        <w:pStyle w:val="Quote1"/>
      </w:pPr>
      <w:r>
        <w:t>The test for anticipation by use is no less stringent than in the test for anticipation in a published document ...</w:t>
      </w:r>
    </w:p>
    <w:p w:rsidR="00AA59A5" w:rsidRDefault="00AA59A5" w:rsidP="00AA59A5">
      <w:pPr>
        <w:pStyle w:val="Quote1"/>
      </w:pPr>
    </w:p>
    <w:p w:rsidR="00AA59A5" w:rsidRDefault="00AA59A5" w:rsidP="00AA59A5">
      <w:pPr>
        <w:pStyle w:val="Quote1"/>
      </w:pPr>
      <w:r>
        <w:t xml:space="preserve">Importantly, information made publicly available by the doing of an act must be such as to enable a person skilled in the relevant art to put the claimed invention into practice if it is to amount to an anticipation of a patent claim for the purposes of English law… A full court … referred to </w:t>
      </w:r>
      <w:r w:rsidRPr="001A6262">
        <w:rPr>
          <w:i/>
        </w:rPr>
        <w:t>Quantel</w:t>
      </w:r>
      <w:r>
        <w:t xml:space="preserve"> and held that to be novelty destroying the prior public use had to be such as enable disclosure of the essential features of the use which were said to anticipate the claimed invention … The effect of that requirement is that any alleged prior use of a Beadcrete product must have been such as to enable the observation of the essential features of that product being features reflected in the claims in the Patent.  </w:t>
      </w:r>
    </w:p>
    <w:p w:rsidR="00237F56" w:rsidRDefault="00236410" w:rsidP="00237F56">
      <w:pPr>
        <w:pStyle w:val="ParaNumbering"/>
      </w:pPr>
      <w:r>
        <w:t xml:space="preserve">Coretell </w:t>
      </w:r>
      <w:r w:rsidR="00237F56">
        <w:t>focussed vigorously and predominantly on this line of attack</w:t>
      </w:r>
      <w:r w:rsidR="00660456">
        <w:t>,</w:t>
      </w:r>
      <w:r w:rsidR="00237F56">
        <w:t xml:space="preserve"> both in interlocutory applications and throughout the trial.  </w:t>
      </w:r>
      <w:r w:rsidR="00D03368">
        <w:t>Coretell’s w</w:t>
      </w:r>
      <w:r w:rsidR="00237F56">
        <w:t xml:space="preserve">ritten submissions in support of this line of attack </w:t>
      </w:r>
      <w:r>
        <w:t xml:space="preserve">alone </w:t>
      </w:r>
      <w:r w:rsidR="00237F56">
        <w:t xml:space="preserve">were in </w:t>
      </w:r>
      <w:r w:rsidR="00D03368">
        <w:t xml:space="preserve">the order </w:t>
      </w:r>
      <w:r w:rsidR="00237F56">
        <w:t xml:space="preserve">of 100 pages. </w:t>
      </w:r>
      <w:r w:rsidR="00D03368">
        <w:t xml:space="preserve"> I have addressed Coretell’s submissions in the order in which they were advanced by Coretell in its separate closing submissions on prior use.  </w:t>
      </w:r>
    </w:p>
    <w:p w:rsidR="00236410" w:rsidRDefault="00237F56" w:rsidP="00237F56">
      <w:pPr>
        <w:pStyle w:val="ParaNumbering"/>
      </w:pPr>
      <w:r>
        <w:t xml:space="preserve">The argument starts with the role of Chardec, which as at </w:t>
      </w:r>
      <w:r w:rsidR="00236410">
        <w:t>the Priority Date, 3 </w:t>
      </w:r>
      <w:r>
        <w:t>September 2004</w:t>
      </w:r>
      <w:r w:rsidR="00236410">
        <w:t>,</w:t>
      </w:r>
      <w:r>
        <w:t xml:space="preserve"> was the owner of the intellectual property rights in </w:t>
      </w:r>
      <w:r w:rsidR="00236410">
        <w:t xml:space="preserve">respect of </w:t>
      </w:r>
      <w:r>
        <w:t xml:space="preserve">the </w:t>
      </w:r>
      <w:r w:rsidR="00BF240F">
        <w:t>ACT Tool</w:t>
      </w:r>
      <w:r>
        <w:t xml:space="preserve">.  It was on 16 September 2004 that Chardec reached agreement with AMC as to the terms of a </w:t>
      </w:r>
      <w:r w:rsidR="00236410">
        <w:t>d</w:t>
      </w:r>
      <w:r>
        <w:t xml:space="preserve">istribution </w:t>
      </w:r>
      <w:r w:rsidR="00236410">
        <w:t>a</w:t>
      </w:r>
      <w:r>
        <w:t xml:space="preserve">greement by which AMC obtained the right to apply for a patent in respect of the </w:t>
      </w:r>
      <w:r w:rsidR="00660456">
        <w:t>ACT T</w:t>
      </w:r>
      <w:r>
        <w:t>ool.  Coretell makes a passing remark in brackets</w:t>
      </w:r>
      <w:r w:rsidR="00236410">
        <w:t>,</w:t>
      </w:r>
      <w:r>
        <w:t xml:space="preserve"> amongst hundreds of pages of submissions</w:t>
      </w:r>
      <w:r w:rsidR="00236410">
        <w:t>,</w:t>
      </w:r>
      <w:r>
        <w:t xml:space="preserve"> that it appears </w:t>
      </w:r>
      <w:r w:rsidR="00236410">
        <w:t xml:space="preserve">that </w:t>
      </w:r>
      <w:r>
        <w:t xml:space="preserve">the rights in the invention were never formally assigned to AMC.  In any event, that passing remark is not developed in any form of a submission.  </w:t>
      </w:r>
    </w:p>
    <w:p w:rsidR="00237F56" w:rsidRDefault="00237F56" w:rsidP="00237F56">
      <w:pPr>
        <w:pStyle w:val="ParaNumbering"/>
      </w:pPr>
      <w:r>
        <w:lastRenderedPageBreak/>
        <w:t xml:space="preserve">The difference between </w:t>
      </w:r>
      <w:r w:rsidR="00653CAA">
        <w:t xml:space="preserve">this </w:t>
      </w:r>
      <w:r>
        <w:t xml:space="preserve">circumstance and Mr Kleyn’s Notional Assignment is that this was at arm’s length, commercially logical and supported by ample contemporaneous documentation.  Under cl 2.4 of the </w:t>
      </w:r>
      <w:r w:rsidR="00653CAA">
        <w:t>‘</w:t>
      </w:r>
      <w:r>
        <w:t>Heads of Agreement</w:t>
      </w:r>
      <w:r w:rsidR="00653CAA">
        <w:t>’</w:t>
      </w:r>
      <w:r>
        <w:t xml:space="preserve"> r</w:t>
      </w:r>
      <w:r w:rsidR="00653CAA">
        <w:t>eached between the parties on 7 </w:t>
      </w:r>
      <w:r>
        <w:t>June 2004, it was provided that ‘</w:t>
      </w:r>
      <w:r w:rsidR="00653CAA">
        <w:t>[a]ll patents, design</w:t>
      </w:r>
      <w:r>
        <w:t xml:space="preserve"> rights, copyright and all other intellectual property rights in or related to the Prototype and the Product shall be </w:t>
      </w:r>
      <w:r w:rsidR="00653CAA">
        <w:t xml:space="preserve">the ACT Tool </w:t>
      </w:r>
      <w:r>
        <w:t xml:space="preserve">exclusive property of </w:t>
      </w:r>
      <w:r w:rsidR="00653CAA">
        <w:t>[Chardec]</w:t>
      </w:r>
      <w:r>
        <w:t xml:space="preserve">’.  </w:t>
      </w:r>
    </w:p>
    <w:p w:rsidR="00237F56" w:rsidRDefault="00660456" w:rsidP="00237F56">
      <w:pPr>
        <w:pStyle w:val="ParaNumbering"/>
      </w:pPr>
      <w:r>
        <w:t xml:space="preserve">The applicants deny </w:t>
      </w:r>
      <w:r w:rsidR="00237F56">
        <w:t xml:space="preserve">that any assignment of the intellectual property rights in the </w:t>
      </w:r>
      <w:r w:rsidR="006973D6">
        <w:t>ACT T</w:t>
      </w:r>
      <w:r w:rsidR="00237F56">
        <w:t xml:space="preserve">ool from Chardec to </w:t>
      </w:r>
      <w:r w:rsidR="006973D6">
        <w:t xml:space="preserve">AMC </w:t>
      </w:r>
      <w:r w:rsidR="00237F56">
        <w:t xml:space="preserve">took place on 20 July 2004 because, even by virtue of cl 12.1 of the </w:t>
      </w:r>
      <w:r w:rsidR="006973D6">
        <w:t>d</w:t>
      </w:r>
      <w:r w:rsidR="00237F56">
        <w:t xml:space="preserve">istribution </w:t>
      </w:r>
      <w:r w:rsidR="006973D6">
        <w:t>a</w:t>
      </w:r>
      <w:r w:rsidR="00237F56">
        <w:t xml:space="preserve">greement between Chardec and AMC </w:t>
      </w:r>
      <w:r w:rsidR="006973D6">
        <w:t>of</w:t>
      </w:r>
      <w:r w:rsidR="00237F56">
        <w:t xml:space="preserve"> 16 September 2004, Chardec remained possessed of ‘Chardec </w:t>
      </w:r>
      <w:r w:rsidR="006973D6">
        <w:t>Intellectual Property Rights</w:t>
      </w:r>
      <w:r w:rsidR="00237F56">
        <w:t xml:space="preserve">’ in respect of the </w:t>
      </w:r>
      <w:r w:rsidR="006973D6">
        <w:t>ACT T</w:t>
      </w:r>
      <w:r w:rsidR="00237F56">
        <w:t xml:space="preserve">ool and nothing in the agreement was to transfer to AMC any right or interest in the Chardec </w:t>
      </w:r>
      <w:r w:rsidR="006973D6">
        <w:t>Intellectual Property Rights</w:t>
      </w:r>
      <w:r w:rsidR="00237F56">
        <w:t>.  Therefore, prior to 3 September 2004, Chardec was the owner of the intellectual property rights in the ACT</w:t>
      </w:r>
      <w:r w:rsidR="00A94226">
        <w:t xml:space="preserve"> Tool</w:t>
      </w:r>
      <w:r w:rsidR="00237F56">
        <w:t xml:space="preserve">.  </w:t>
      </w:r>
    </w:p>
    <w:p w:rsidR="00237F56" w:rsidRDefault="00237F56" w:rsidP="00237F56">
      <w:pPr>
        <w:pStyle w:val="ParaNumbering"/>
      </w:pPr>
      <w:r>
        <w:t xml:space="preserve">Coretell submits </w:t>
      </w:r>
      <w:r w:rsidR="001C1765">
        <w:t xml:space="preserve">that </w:t>
      </w:r>
      <w:r>
        <w:t>there is no basis for any case that Chardec was merely acting as a contract manufacturer for AMC</w:t>
      </w:r>
      <w:r w:rsidR="001C1765">
        <w:t>,</w:t>
      </w:r>
      <w:r>
        <w:t xml:space="preserve"> or that Chardec never had any relevant rights in the </w:t>
      </w:r>
      <w:r w:rsidR="001C1765">
        <w:t>ACT T</w:t>
      </w:r>
      <w:r>
        <w:t>ool.  The evidence of Mr Parfitt was that he ‘conceived of and developed the tool and its method of operation’.  (Previously Coretell had denied that Mr Parfitt was the inventor, but abandoned this contention</w:t>
      </w:r>
      <w:r w:rsidR="001C1765">
        <w:t xml:space="preserve"> prior to the commencement of the trial</w:t>
      </w:r>
      <w:r>
        <w:t xml:space="preserve">).  Mr Parfitt agreed that the demonstration of the tools to Mr Bradford in the United Kingdom in January 2004 was in the nature of a demonstration to a </w:t>
      </w:r>
      <w:r w:rsidRPr="00D47D0A">
        <w:t>customer</w:t>
      </w:r>
      <w:r>
        <w:t xml:space="preserve"> and that Imdex, at that stage, had the potential to be a </w:t>
      </w:r>
      <w:r w:rsidRPr="00D47D0A">
        <w:t>customer</w:t>
      </w:r>
      <w:r>
        <w:t xml:space="preserve"> if </w:t>
      </w:r>
      <w:r w:rsidR="00D47D0A">
        <w:t xml:space="preserve">the </w:t>
      </w:r>
      <w:r>
        <w:t xml:space="preserve">tools worked well.  </w:t>
      </w:r>
    </w:p>
    <w:p w:rsidR="00237F56" w:rsidRDefault="00237F56" w:rsidP="00237F56">
      <w:pPr>
        <w:pStyle w:val="ParaNumbering"/>
      </w:pPr>
      <w:r>
        <w:t xml:space="preserve">On this topic, Coretell relies very heavily on the evidence of Mr Bradford.  I have already indicated that I did not find Mr Bradford’s evidence at all persuasive and, in many respects, firmly reject it.  Nevertheless, it is necessary to outline the manner in which his evidence is relied upon in the course of considering this topic.  </w:t>
      </w:r>
    </w:p>
    <w:p w:rsidR="00237F56" w:rsidRDefault="00237F56" w:rsidP="00237F56">
      <w:pPr>
        <w:pStyle w:val="ParaNumbering"/>
      </w:pPr>
      <w:r>
        <w:t>Mr Bradford said that during the whole of the period of his employment with Ace Drilling, Mr Parfitt and a Mr</w:t>
      </w:r>
      <w:r w:rsidR="00D47D0A">
        <w:t> </w:t>
      </w:r>
      <w:r>
        <w:t xml:space="preserve">Trant, </w:t>
      </w:r>
      <w:r w:rsidR="00D47D0A">
        <w:t xml:space="preserve">who were both employed by </w:t>
      </w:r>
      <w:r>
        <w:t>Chardec in the United Kingdom, never had any direct employment or consultancy arrangements with Imdex or Ace Drilling or any other subsidiary of Imdex</w:t>
      </w:r>
      <w:r w:rsidR="00D47D0A">
        <w:t>,</w:t>
      </w:r>
      <w:r>
        <w:t xml:space="preserve"> such as AMC.  Coretell argues that the evidence of Mr Bradford was that Mr Parfitt refused to ship any </w:t>
      </w:r>
      <w:r w:rsidR="00D47D0A">
        <w:t xml:space="preserve">ACT Tools </w:t>
      </w:r>
      <w:r>
        <w:t xml:space="preserve">to Ace Drilling/Imdex or AMC prior to September 2004 and demanded that a formal </w:t>
      </w:r>
      <w:r w:rsidR="00D47D0A">
        <w:t>d</w:t>
      </w:r>
      <w:r>
        <w:t xml:space="preserve">istribution </w:t>
      </w:r>
      <w:r w:rsidR="00D47D0A">
        <w:t>a</w:t>
      </w:r>
      <w:r>
        <w:t>greement be put in place before any such shipment</w:t>
      </w:r>
      <w:r w:rsidR="00D47D0A">
        <w:t xml:space="preserve">. </w:t>
      </w:r>
      <w:r>
        <w:t xml:space="preserve"> </w:t>
      </w:r>
      <w:r w:rsidR="00D47D0A">
        <w:t xml:space="preserve">This supports the inference </w:t>
      </w:r>
      <w:r>
        <w:t xml:space="preserve">that Mr Parfitt/Chardec was </w:t>
      </w:r>
      <w:r>
        <w:lastRenderedPageBreak/>
        <w:t xml:space="preserve">dealing at </w:t>
      </w:r>
      <w:r w:rsidR="00D47D0A">
        <w:t xml:space="preserve">an </w:t>
      </w:r>
      <w:r>
        <w:t>arms</w:t>
      </w:r>
      <w:r w:rsidR="00D47D0A">
        <w:t xml:space="preserve"> </w:t>
      </w:r>
      <w:r>
        <w:t xml:space="preserve">length in a normal supplier/customer relationship with Ace Drilling/Imdex and AMC in relation to the supply of </w:t>
      </w:r>
      <w:r w:rsidR="00D47D0A">
        <w:t>the ACT Tools</w:t>
      </w:r>
      <w:r>
        <w:t xml:space="preserve">.  Coretell contends </w:t>
      </w:r>
      <w:r w:rsidR="00D47D0A">
        <w:t xml:space="preserve">that </w:t>
      </w:r>
      <w:r>
        <w:t>the issue of prior use is to be considered against the activities of Chardec and its employee, Mr Parfitt</w:t>
      </w:r>
      <w:r w:rsidR="00D47D0A">
        <w:t>,</w:t>
      </w:r>
      <w:r>
        <w:t xml:space="preserve"> in the United Kingdom before 3 September 2004.  The Court must also consider, Coretell says, the activities of Imdex through Ace Drilling and </w:t>
      </w:r>
      <w:r w:rsidRPr="00F5433D">
        <w:rPr>
          <w:b/>
        </w:rPr>
        <w:t>Surtron</w:t>
      </w:r>
      <w:r>
        <w:t xml:space="preserve"> Technologies Australia P</w:t>
      </w:r>
      <w:r w:rsidR="00D47D0A">
        <w:t>ty Ltd (a</w:t>
      </w:r>
      <w:r>
        <w:t xml:space="preserve"> subsidiary</w:t>
      </w:r>
      <w:r w:rsidR="00D47D0A">
        <w:t xml:space="preserve"> of Imdex</w:t>
      </w:r>
      <w:r>
        <w:t xml:space="preserve">) and, separately, the </w:t>
      </w:r>
      <w:r w:rsidRPr="005F5440">
        <w:t>activities</w:t>
      </w:r>
      <w:r>
        <w:t xml:space="preserve"> of Imdex’s wholly owned subsidiary, AMC, in respect of the </w:t>
      </w:r>
      <w:r w:rsidR="00D47D0A">
        <w:t>ACT Tool</w:t>
      </w:r>
      <w:r>
        <w:t xml:space="preserve">.  </w:t>
      </w:r>
    </w:p>
    <w:p w:rsidR="00237F56" w:rsidRDefault="00237F56" w:rsidP="00237F56">
      <w:pPr>
        <w:pStyle w:val="ParaNumbering"/>
      </w:pPr>
      <w:r>
        <w:t>The case put by Coretell through its particulars of invalidity was that the Patents in suit were invalid by a multitude of prior acts</w:t>
      </w:r>
      <w:r w:rsidR="00E4452E">
        <w:t xml:space="preserve"> and/or </w:t>
      </w:r>
      <w:r>
        <w:t>disclosures of Chardec and Ace Drilling/Imdex before the Priority Date.  It groups those acts and discloses into various categories, which it says are:</w:t>
      </w:r>
    </w:p>
    <w:p w:rsidR="00237F56" w:rsidRDefault="00E4452E" w:rsidP="001332BE">
      <w:pPr>
        <w:pStyle w:val="ListNo"/>
        <w:numPr>
          <w:ilvl w:val="0"/>
          <w:numId w:val="46"/>
        </w:numPr>
        <w:tabs>
          <w:tab w:val="clear" w:pos="720"/>
        </w:tabs>
      </w:pPr>
      <w:r>
        <w:t>d</w:t>
      </w:r>
      <w:r w:rsidR="00237F56">
        <w:t xml:space="preserve">isclosure of the </w:t>
      </w:r>
      <w:r>
        <w:t>ACT T</w:t>
      </w:r>
      <w:r w:rsidR="00237F56">
        <w:t>ool by Chardec (</w:t>
      </w:r>
      <w:r>
        <w:t xml:space="preserve">the </w:t>
      </w:r>
      <w:r w:rsidR="00237F56">
        <w:t xml:space="preserve">owner of the relevant rights) to a representative third party </w:t>
      </w:r>
      <w:r>
        <w:t>(</w:t>
      </w:r>
      <w:r w:rsidR="00237F56">
        <w:t>Ace Drilling/Imdex</w:t>
      </w:r>
      <w:r>
        <w:t>)</w:t>
      </w:r>
      <w:r w:rsidR="00237F56">
        <w:t xml:space="preserve"> </w:t>
      </w:r>
      <w:r>
        <w:t>via</w:t>
      </w:r>
      <w:r w:rsidR="00237F56">
        <w:t xml:space="preserve"> Mr Bradford in January 2004;</w:t>
      </w:r>
    </w:p>
    <w:p w:rsidR="00237F56" w:rsidRDefault="00E4452E" w:rsidP="001332BE">
      <w:pPr>
        <w:pStyle w:val="ListNo"/>
        <w:numPr>
          <w:ilvl w:val="0"/>
          <w:numId w:val="46"/>
        </w:numPr>
        <w:tabs>
          <w:tab w:val="clear" w:pos="720"/>
        </w:tabs>
      </w:pPr>
      <w:r>
        <w:t>d</w:t>
      </w:r>
      <w:r w:rsidR="00237F56">
        <w:t xml:space="preserve">isclosure of the </w:t>
      </w:r>
      <w:r>
        <w:t>ACT T</w:t>
      </w:r>
      <w:r w:rsidR="00237F56">
        <w:t xml:space="preserve">ool by the third party (Ace Drilling/Imdex) to its customers in Australia between March 2004 and 2 September 2004, including Mosslake, </w:t>
      </w:r>
      <w:r w:rsidR="009353A6">
        <w:t>Drill Corp</w:t>
      </w:r>
      <w:r w:rsidR="00237F56">
        <w:t xml:space="preserve"> and Barminco;</w:t>
      </w:r>
    </w:p>
    <w:p w:rsidR="00237F56" w:rsidRDefault="00E4452E" w:rsidP="001332BE">
      <w:pPr>
        <w:pStyle w:val="ListNo"/>
        <w:numPr>
          <w:ilvl w:val="0"/>
          <w:numId w:val="46"/>
        </w:numPr>
        <w:tabs>
          <w:tab w:val="clear" w:pos="720"/>
        </w:tabs>
      </w:pPr>
      <w:r>
        <w:t>t</w:t>
      </w:r>
      <w:r w:rsidR="00237F56">
        <w:t xml:space="preserve">he use in turn by those customers of the </w:t>
      </w:r>
      <w:r>
        <w:t>ACT T</w:t>
      </w:r>
      <w:r w:rsidR="00237F56">
        <w:t>ool in a largely unsupervised fashion and for commercial purposes on working dril</w:t>
      </w:r>
      <w:r>
        <w:t>l rigs between March 2004 and 3 </w:t>
      </w:r>
      <w:r w:rsidR="00237F56">
        <w:t>September 2004 at various sites in Western Australia;</w:t>
      </w:r>
    </w:p>
    <w:p w:rsidR="00237F56" w:rsidRDefault="00237F56" w:rsidP="001332BE">
      <w:pPr>
        <w:pStyle w:val="ListNo"/>
        <w:numPr>
          <w:ilvl w:val="0"/>
          <w:numId w:val="46"/>
        </w:numPr>
        <w:tabs>
          <w:tab w:val="clear" w:pos="720"/>
        </w:tabs>
      </w:pPr>
      <w:r>
        <w:t>Chardec</w:t>
      </w:r>
      <w:r w:rsidR="00E4452E">
        <w:t>’s</w:t>
      </w:r>
      <w:r>
        <w:t xml:space="preserve"> holding itself ready to supply</w:t>
      </w:r>
      <w:r w:rsidR="00E4452E">
        <w:t>,</w:t>
      </w:r>
      <w:r>
        <w:t xml:space="preserve"> and then receive</w:t>
      </w:r>
      <w:r w:rsidR="00E4452E">
        <w:t>,</w:t>
      </w:r>
      <w:r>
        <w:t xml:space="preserve"> an order of 50 units of the </w:t>
      </w:r>
      <w:r w:rsidR="00E4452E">
        <w:t>ACT T</w:t>
      </w:r>
      <w:r>
        <w:t>ools from Ace Drilling/Imdex in June 2004</w:t>
      </w:r>
      <w:r w:rsidR="00E4452E">
        <w:t>,</w:t>
      </w:r>
      <w:r>
        <w:t xml:space="preserve"> being invalidating commercial dealings in the </w:t>
      </w:r>
      <w:r w:rsidR="00E4452E">
        <w:t>ACT T</w:t>
      </w:r>
      <w:r>
        <w:t>ool preceded by a period in which:</w:t>
      </w:r>
    </w:p>
    <w:p w:rsidR="00237F56" w:rsidRDefault="00237F56" w:rsidP="001332BE">
      <w:pPr>
        <w:pStyle w:val="ListNo"/>
        <w:numPr>
          <w:ilvl w:val="1"/>
          <w:numId w:val="46"/>
        </w:numPr>
      </w:pPr>
      <w:r>
        <w:t xml:space="preserve">Chardec entered into a ‘Letter of Intent’ and/or a ‘Heads of Agreement’ with AMC in late May and early June 2004 in respect of the proposed commercial dealings with the </w:t>
      </w:r>
      <w:r w:rsidR="00B77DC2">
        <w:t>ACT T</w:t>
      </w:r>
      <w:r>
        <w:t>ool; and</w:t>
      </w:r>
    </w:p>
    <w:p w:rsidR="00237F56" w:rsidRDefault="00237F56" w:rsidP="001332BE">
      <w:pPr>
        <w:pStyle w:val="ListNo"/>
        <w:numPr>
          <w:ilvl w:val="1"/>
          <w:numId w:val="46"/>
        </w:numPr>
      </w:pPr>
      <w:r>
        <w:t>Chardec commenced the manufacturing of core orientation tools in June 2004, consequent upon commercial negotiations with Ace Drilling/Imdex.</w:t>
      </w:r>
    </w:p>
    <w:p w:rsidR="00237F56" w:rsidRDefault="00237F56" w:rsidP="00237F56">
      <w:pPr>
        <w:pStyle w:val="ParaNumbering"/>
      </w:pPr>
      <w:r>
        <w:t xml:space="preserve">I pause to </w:t>
      </w:r>
      <w:r w:rsidR="00B77DC2">
        <w:t xml:space="preserve">stress </w:t>
      </w:r>
      <w:r w:rsidR="00997A18">
        <w:t xml:space="preserve">by way of clarification </w:t>
      </w:r>
      <w:r>
        <w:t>that these</w:t>
      </w:r>
      <w:r w:rsidR="00B77DC2">
        <w:t xml:space="preserve"> </w:t>
      </w:r>
      <w:r>
        <w:t xml:space="preserve">are Coretell’s pleaded allegations. In my view, the evidence falls well short of the allegations being established.  </w:t>
      </w:r>
    </w:p>
    <w:p w:rsidR="00237F56" w:rsidRDefault="00237F56" w:rsidP="00237F56">
      <w:pPr>
        <w:pStyle w:val="ParaNumbering"/>
      </w:pPr>
      <w:r>
        <w:t xml:space="preserve">In respect of category (b), </w:t>
      </w:r>
      <w:r w:rsidR="00B77DC2">
        <w:t xml:space="preserve">the applicants </w:t>
      </w:r>
      <w:r>
        <w:t xml:space="preserve">assert that the three confined instances of disclosure during </w:t>
      </w:r>
      <w:r w:rsidR="005167F0">
        <w:t xml:space="preserve">the </w:t>
      </w:r>
      <w:r>
        <w:t xml:space="preserve">three specific periods were not novelty destroying disclosures.  </w:t>
      </w:r>
      <w:r w:rsidR="005167F0">
        <w:t xml:space="preserve">The </w:t>
      </w:r>
      <w:r w:rsidR="005167F0">
        <w:lastRenderedPageBreak/>
        <w:t>applicants rely</w:t>
      </w:r>
      <w:r>
        <w:t xml:space="preserve"> upon </w:t>
      </w:r>
      <w:r w:rsidR="005167F0">
        <w:t>s 24(1)(a)</w:t>
      </w:r>
      <w:r w:rsidR="00F404E5">
        <w:t xml:space="preserve">, </w:t>
      </w:r>
      <w:r>
        <w:t>s 24(1)(b) of the Act</w:t>
      </w:r>
      <w:r w:rsidR="00F404E5">
        <w:t xml:space="preserve"> and reg 2.2(</w:t>
      </w:r>
      <w:r w:rsidR="00E675F1">
        <w:t>2</w:t>
      </w:r>
      <w:r w:rsidR="00F404E5">
        <w:t>)(</w:t>
      </w:r>
      <w:r w:rsidR="00E675F1">
        <w:t>d</w:t>
      </w:r>
      <w:r w:rsidR="00F404E5">
        <w:t>)</w:t>
      </w:r>
      <w:r>
        <w:t xml:space="preserve">.  </w:t>
      </w:r>
      <w:r w:rsidR="005167F0">
        <w:t xml:space="preserve">The applicants assert </w:t>
      </w:r>
      <w:r>
        <w:t>that the three activities were comprehende</w:t>
      </w:r>
      <w:r w:rsidR="005167F0">
        <w:t xml:space="preserve">d by those sections, </w:t>
      </w:r>
      <w:r>
        <w:t xml:space="preserve">and </w:t>
      </w:r>
      <w:r w:rsidR="005167F0">
        <w:t xml:space="preserve">the relevant </w:t>
      </w:r>
      <w:r>
        <w:t>regulations</w:t>
      </w:r>
      <w:r w:rsidR="005167F0">
        <w:t>,</w:t>
      </w:r>
      <w:r>
        <w:t xml:space="preserve"> to thereby exclude the prior use claim.  Alternatively, </w:t>
      </w:r>
      <w:r w:rsidR="00F404E5">
        <w:t xml:space="preserve">Coretell says, </w:t>
      </w:r>
      <w:r>
        <w:t xml:space="preserve">they assert that if there were activities which </w:t>
      </w:r>
      <w:r w:rsidR="00F404E5">
        <w:t xml:space="preserve">were </w:t>
      </w:r>
      <w:r>
        <w:t xml:space="preserve">otherwise </w:t>
      </w:r>
      <w:r w:rsidR="005167F0">
        <w:t>invalidating uses of the ACT Tool</w:t>
      </w:r>
      <w:r>
        <w:t>, they were done without consent.</w:t>
      </w:r>
    </w:p>
    <w:p w:rsidR="00237F56" w:rsidRDefault="00237F56" w:rsidP="00237F56">
      <w:pPr>
        <w:pStyle w:val="ParaNumbering"/>
      </w:pPr>
      <w:r>
        <w:t xml:space="preserve">Besides those three confined instances in which the reasonable trial is pleaded, Coretell says </w:t>
      </w:r>
      <w:r w:rsidR="001C1F1D">
        <w:t xml:space="preserve">the applicants have </w:t>
      </w:r>
      <w:r>
        <w:t>made no answer to other prior use activities</w:t>
      </w:r>
      <w:r w:rsidR="001C1F1D">
        <w:t xml:space="preserve">, which it says </w:t>
      </w:r>
      <w:r>
        <w:t xml:space="preserve">disclose commercial dealings.  </w:t>
      </w:r>
      <w:r w:rsidR="001C1F1D">
        <w:t xml:space="preserve">Coretell seeks to rely upon other </w:t>
      </w:r>
      <w:r>
        <w:t xml:space="preserve">contemporaneous documents in relation to this aspect of </w:t>
      </w:r>
      <w:r w:rsidR="001C1F1D">
        <w:t xml:space="preserve">its </w:t>
      </w:r>
      <w:r>
        <w:t xml:space="preserve">case.  </w:t>
      </w:r>
    </w:p>
    <w:p w:rsidR="00237F56" w:rsidRDefault="00237F56" w:rsidP="00237F56">
      <w:pPr>
        <w:pStyle w:val="ParaNumbering"/>
      </w:pPr>
      <w:r>
        <w:t xml:space="preserve">Coretell stresses that novelty is to be assessed against a worldwide prior art base of prior publications and activities.  </w:t>
      </w:r>
      <w:r w:rsidR="004852E3">
        <w:t xml:space="preserve">It says that only </w:t>
      </w:r>
      <w:r>
        <w:t xml:space="preserve">one instance of prior use is enough to deprive the patents of novelty.  Here, it relies on ‘a host of prior uses, including more extensive prior use revealed for the first time after the April/May hearing session when further business records of the applicants and Imdex Limited were belatedly produced’.  </w:t>
      </w:r>
    </w:p>
    <w:p w:rsidR="00237F56" w:rsidRDefault="00237F56" w:rsidP="00237F56">
      <w:pPr>
        <w:pStyle w:val="ParaNumbering"/>
      </w:pPr>
      <w:r>
        <w:t xml:space="preserve">Coretell says </w:t>
      </w:r>
      <w:r w:rsidR="004852E3">
        <w:t xml:space="preserve">that </w:t>
      </w:r>
      <w:r>
        <w:t xml:space="preserve">it is unclear why </w:t>
      </w:r>
      <w:r w:rsidR="004852E3">
        <w:t xml:space="preserve">the applicants </w:t>
      </w:r>
      <w:r>
        <w:t>continue to pursue their claims when the Patents are so obviously invalid by way of multiple instances of prior use before the Priority Date</w:t>
      </w:r>
      <w:r w:rsidR="004852E3">
        <w:t>,</w:t>
      </w:r>
      <w:r>
        <w:t xml:space="preserve"> all </w:t>
      </w:r>
      <w:r w:rsidR="004852E3">
        <w:t xml:space="preserve">of which it says, are </w:t>
      </w:r>
      <w:r>
        <w:t xml:space="preserve">known to the applicants.  </w:t>
      </w:r>
    </w:p>
    <w:p w:rsidR="00237F56" w:rsidRDefault="00237F56" w:rsidP="00237F56">
      <w:pPr>
        <w:pStyle w:val="ParaNumbering"/>
      </w:pPr>
      <w:r>
        <w:t xml:space="preserve">Coretell points to the fact that the applicants were silent about prior use in the proceedings before Justice Barker and, thus, it remained unknown to Coretell during the entire course of that proceeding.  </w:t>
      </w:r>
      <w:r w:rsidR="001622FD">
        <w:t xml:space="preserve">Coretell says that there </w:t>
      </w:r>
      <w:r>
        <w:t>was no discovery about the prior use, which only came to light subsequently in the course of this proceeding when Mr Kleyn became aware of the relevant information from Mr Bradford about the prior use activity.  Coretell also makes the point that it was disclosed for the first time in this proceeding when there was reference to the field testing on a confidential basis.</w:t>
      </w:r>
    </w:p>
    <w:p w:rsidR="00237F56" w:rsidRDefault="00237F56" w:rsidP="00237F56">
      <w:pPr>
        <w:pStyle w:val="ParaNumbering"/>
      </w:pPr>
      <w:r>
        <w:t xml:space="preserve">In support of the prior use argument, Coretell argues that the evidence shows that the first time AMC or Imdex ever considered obtaining patent protection for the </w:t>
      </w:r>
      <w:r w:rsidR="001622FD">
        <w:t>ACT T</w:t>
      </w:r>
      <w:r>
        <w:t xml:space="preserve">ool was at a meeting with </w:t>
      </w:r>
      <w:r w:rsidRPr="00A41A4B">
        <w:t>Surtron</w:t>
      </w:r>
      <w:r>
        <w:t xml:space="preserve"> on 29 April 2004, which was after the Mosslake test at Manjimup and on the same day as a </w:t>
      </w:r>
      <w:r w:rsidR="009353A6">
        <w:t>Drill Corp</w:t>
      </w:r>
      <w:r>
        <w:t xml:space="preserve"> test in Kalgoorlie.  The whole ‘test’ program at Ace Drilling/Imdex was, it is said, commenced and substantially carried out without any thought of obtaining patent protection for the </w:t>
      </w:r>
      <w:r w:rsidR="001622FD">
        <w:t>ACT Tool</w:t>
      </w:r>
      <w:r>
        <w:t xml:space="preserve"> or describing the testing activities in a patent.  </w:t>
      </w:r>
    </w:p>
    <w:p w:rsidR="00237F56" w:rsidRDefault="00237F56" w:rsidP="00237F56">
      <w:pPr>
        <w:pStyle w:val="ParaNumbering"/>
      </w:pPr>
      <w:r>
        <w:lastRenderedPageBreak/>
        <w:t xml:space="preserve">Coretell contends </w:t>
      </w:r>
      <w:r w:rsidR="00A31146">
        <w:t xml:space="preserve">that </w:t>
      </w:r>
      <w:r>
        <w:t xml:space="preserve">this is fundamentally at variance with authority in relation to reasonable trial and experiment, </w:t>
      </w:r>
      <w:r w:rsidR="00A31146">
        <w:t xml:space="preserve">for example, </w:t>
      </w:r>
      <w:r>
        <w:t xml:space="preserve">in </w:t>
      </w:r>
      <w:r w:rsidRPr="0096133A">
        <w:rPr>
          <w:i/>
        </w:rPr>
        <w:t xml:space="preserve">Longworth v Emerton </w:t>
      </w:r>
      <w:r>
        <w:t>(1951) 83 CLR 539, where, the High Court said (at </w:t>
      </w:r>
      <w:r w:rsidR="003D3A0B">
        <w:t>549</w:t>
      </w:r>
      <w:r w:rsidR="005F7BF1">
        <w:t>-551</w:t>
      </w:r>
      <w:r>
        <w:t>)</w:t>
      </w:r>
      <w:r w:rsidR="005F7BF1">
        <w:t xml:space="preserve"> (citations omitted)</w:t>
      </w:r>
      <w:r>
        <w:t>:</w:t>
      </w:r>
    </w:p>
    <w:p w:rsidR="00237F56" w:rsidRDefault="00237F56" w:rsidP="00237F56">
      <w:pPr>
        <w:pStyle w:val="Quote1"/>
      </w:pPr>
      <w:r w:rsidRPr="00E42A7E">
        <w:t xml:space="preserve">With reference to these facts, Roper C.J. in Eq. said that on the face of the evidence he thought that it had established a prior user, but that the plaintiff, the appellant, contended that all he did was experimental. After discussing s. 124 of the </w:t>
      </w:r>
      <w:r w:rsidRPr="00AD4D4A">
        <w:rPr>
          <w:i/>
        </w:rPr>
        <w:t>Patents Act</w:t>
      </w:r>
      <w:r w:rsidRPr="00E42A7E">
        <w:t xml:space="preserve"> his Honour said "I find it impossible in this case to regard the 1935 user as experimental or as a test. It seems to me to go far beyond that and to be a user of a machine the utility of which had already been established, at all events in 1934, and in my opinion it is a user which invalidates the patent". His Honour said the plaintiff impressed him as a frank and reasonably reliable witness. </w:t>
      </w:r>
    </w:p>
    <w:p w:rsidR="00237F56" w:rsidRDefault="00237F56" w:rsidP="00237F56">
      <w:pPr>
        <w:pStyle w:val="Quote1"/>
      </w:pPr>
      <w:r>
        <w:t>…</w:t>
      </w:r>
    </w:p>
    <w:p w:rsidR="00237F56" w:rsidRDefault="00237F56" w:rsidP="00237F56">
      <w:pPr>
        <w:pStyle w:val="Quote1"/>
      </w:pPr>
      <w:r>
        <w:t xml:space="preserve">The character of the invention itself may be important in considering what degree of disclosure is inevitable in the course of developing the invention. An example is provided by the case of </w:t>
      </w:r>
      <w:r w:rsidRPr="002675C7">
        <w:rPr>
          <w:i/>
        </w:rPr>
        <w:t>Honiball v. Bloomer</w:t>
      </w:r>
      <w:r>
        <w:t>, where the invention in question related to an anchor, a thing not easily made the subject of secret experiment or testing. Martin B. there said that he thought that if the inventor had put the anchor on board a steam boat for the purpose of trying whether it would answer and it did not answer and then it was returned, so that the user was really an experiment, that would not inter</w:t>
      </w:r>
      <w:r w:rsidR="00AD4D4A">
        <w:t>fere with the patent.</w:t>
      </w:r>
    </w:p>
    <w:p w:rsidR="00237F56" w:rsidRDefault="00237F56" w:rsidP="00237F56">
      <w:pPr>
        <w:pStyle w:val="Quote1"/>
      </w:pPr>
    </w:p>
    <w:p w:rsidR="00237F56" w:rsidRDefault="00AD4D4A" w:rsidP="00237F56">
      <w:pPr>
        <w:pStyle w:val="Quote1"/>
      </w:pPr>
      <w:r>
        <w:t>T</w:t>
      </w:r>
      <w:r w:rsidR="00237F56">
        <w:t xml:space="preserve">here is perhaps no stronger decision that a disclosure in the course of testing an invention or employing it experimentally does not amount to prior public user than </w:t>
      </w:r>
      <w:r w:rsidR="00237F56" w:rsidRPr="002675C7">
        <w:rPr>
          <w:i/>
        </w:rPr>
        <w:t>In re Newall and Elliot</w:t>
      </w:r>
      <w:r w:rsidR="00237F56">
        <w:t xml:space="preserve">, and upon that authority the appellant greatly relied. The invention in that case related to a device for use in laying submarine telegraph cables. As the cable was uncoiled it was passed round a cone or several cones for the purpose of preventing it kinking. Thence it passed through a pulley and so to the break wheel before going over the stern of the ship. Experiments made on land to test the invention were not found satisfactory. The plaintiff who became the patentee had a contract to lay a cable in the Black Sea. He determined to employ the invention in carrying out the work and so to test it. This involved fitting the device upon the cable-laying vessel. The first ship to sail with it met with an accident owing to bad weather and was forced to put into the Thames where the cable was transferred to another ship. Precautions were taken to prevent what was going on being known, but persons neither employed by the plaintiff nor by the Government visited the ships and had an opportunity of becoming acquainted with the apparatus, and when the second ship reached the Black Sea and the apparatus was set up for use its nature was necessarily seen by those aboard or connected with the work. An arbitrator decided that the patent was not invalid by reason of the publication of the invention during the operations of the ships or of the use by the plaintiff prior to the date of the letters patent of the apparatus in executing a contract for profit. But the arbitrator stated a case. Upon the case stated the Court of Common Pleas upheld the award. Byles J., who delivered the judgment, said: " . . . a necessary and unavoidable disclosure to others, such as here appears, if it be only made in the course of mere experiments, is no publication; although the same disclosure, if made in the course of a profitable use of an invention previously ascertained to be useful, would be a publication". And later in the reasons the learned judge said:- "The true question, therefore - looking at the decision of the arbitrator - seems to be this: is an experiment performed in the presence of others, which not only turns out to be successful, but actually beneficial in the particular instance, necessarily a gift of the invention to the world? We think it is not. In the case under consideration, experiments on dry land are found to be indecisive. The decisive experiment still remains to be made on a large scale, and in </w:t>
      </w:r>
      <w:r w:rsidR="00237F56">
        <w:lastRenderedPageBreak/>
        <w:t>deep water. An opportunity presents itself, in the course of a government contract, - not a contract for the use of this particular apparatus, but a contract for laying down the cable by any means the contractor may select. The experimentor is obliged either to experiment in a way that may turn out to be useful in the particular instance, or else not to make any efficient and decisive experiment at all. The coincidence of an experiment with actual immediate profit or advantage from it,</w:t>
      </w:r>
      <w:r>
        <w:t xml:space="preserve"> if successful, is unavoidable".</w:t>
      </w:r>
    </w:p>
    <w:p w:rsidR="00237F56" w:rsidRDefault="00237F56" w:rsidP="00237F56">
      <w:pPr>
        <w:pStyle w:val="Quote1"/>
      </w:pPr>
    </w:p>
    <w:p w:rsidR="00237F56" w:rsidRDefault="00237F56" w:rsidP="00237F56">
      <w:pPr>
        <w:pStyle w:val="Quote1"/>
      </w:pPr>
      <w:r>
        <w:t xml:space="preserve">It will be seen that the essential conditions of fact upon which this decision is based are </w:t>
      </w:r>
      <w:r w:rsidR="00A629AF">
        <w:t xml:space="preserve">(1) </w:t>
      </w:r>
      <w:r>
        <w:t>that an experiment at sea was necessary to determine the sufficiency or utility of the invention; (2) that to perform it the disclosure was unavoidable; (3) that the profit or advantage was an accidental though necessary concomitant; and (4) the use was in fact experimental. The decision cannot be pressed further and it is not in our opinion applicable to the fact</w:t>
      </w:r>
      <w:r w:rsidR="00A629AF">
        <w:t>s of the present case.</w:t>
      </w:r>
      <w:r>
        <w:t xml:space="preserve"> </w:t>
      </w:r>
    </w:p>
    <w:p w:rsidR="00237F56" w:rsidRDefault="00237F56" w:rsidP="00237F56">
      <w:pPr>
        <w:pStyle w:val="Quote1"/>
      </w:pPr>
    </w:p>
    <w:p w:rsidR="00237F56" w:rsidRPr="00A629AF" w:rsidRDefault="00237F56" w:rsidP="00237F56">
      <w:pPr>
        <w:pStyle w:val="Quote1"/>
      </w:pPr>
      <w:r w:rsidRPr="00A629AF">
        <w:rPr>
          <w:b/>
        </w:rPr>
        <w:t>On the facts of the present case it appears to be reasonably plain that the appellant used his invention freely in the district in which he and his brother and brother-in-law lived, taking no precautions to keep its character secret or to confine its use to those who were in confidential relations with him, and that he did so without any view to definite improvements or experiment of a specific character and not for the purpose of developing the actual invention applied for</w:t>
      </w:r>
      <w:r>
        <w:t>. The use was not experimental except in the possible but vague sense that the appellant might not have been quite satisfied that the qualities of the machine had been fully tested and might have remained uncertain whether some further improvements might not be effected to make it more efficient. This, in our opinion, was not enough to protect the disclosure which he made in the course of the use of the machine. The use seems to have been wide and unguarded and it could not be considered as reasonably necessary in order to bring the invention to such a condition that he might apply for a patent and describe his invention in a specification, whether complete or provisional. We cannot agree in the contention that it is for an inventor to judge what experimentation is required or how far it should be carried. The criticism made of the conclusion of Roper C.J. in Eq. that he substituted his view of what was necessary for that of the patentee has therefore no basis. Nor do we agree with the contention that his Honour concerned himself rather with commercial than with public user. Apart from the possible effect of s. 124 of the Act</w:t>
      </w:r>
      <w:r w:rsidRPr="00AE18A7">
        <w:rPr>
          <w:i/>
        </w:rPr>
        <w:t xml:space="preserve"> 1903-1946</w:t>
      </w:r>
      <w:r>
        <w:t xml:space="preserve">, we think that there was public user which would invalidate the patent. </w:t>
      </w:r>
    </w:p>
    <w:p w:rsidR="00A629AF" w:rsidRPr="00A629AF" w:rsidRDefault="00A629AF" w:rsidP="00237F56">
      <w:pPr>
        <w:pStyle w:val="Quote1"/>
      </w:pPr>
      <w:r w:rsidRPr="00A629AF">
        <w:t>(emphasis added)</w:t>
      </w:r>
    </w:p>
    <w:p w:rsidR="00237F56" w:rsidRDefault="00237F56" w:rsidP="00237F56">
      <w:pPr>
        <w:pStyle w:val="ParaNumbering"/>
      </w:pPr>
      <w:r>
        <w:t xml:space="preserve">Coretell stresses that ‘reasonable trial’ is use </w:t>
      </w:r>
      <w:r w:rsidR="00555A43">
        <w:t xml:space="preserve">that is </w:t>
      </w:r>
      <w:r>
        <w:t>reasonably necessary in order to bring the invention to such a condition that the inventor might apply for a patent and describe his invention in a specification</w:t>
      </w:r>
      <w:r w:rsidR="00555A43">
        <w:t>,</w:t>
      </w:r>
      <w:r>
        <w:t xml:space="preserve"> whether complete or provisional.  On the chronology of events in this instance, however, </w:t>
      </w:r>
      <w:r w:rsidR="00555A43">
        <w:t xml:space="preserve">Coretell says that </w:t>
      </w:r>
      <w:r>
        <w:t xml:space="preserve">there was no such purpose to the Mosslake and the </w:t>
      </w:r>
      <w:r w:rsidR="009353A6">
        <w:t>Drill Corp</w:t>
      </w:r>
      <w:r>
        <w:t xml:space="preserve"> test.  </w:t>
      </w:r>
      <w:r w:rsidR="00555A43">
        <w:t>Coretell claims that patenting the ACT Tool</w:t>
      </w:r>
      <w:r>
        <w:t xml:space="preserve"> had not even been thought of by AMC/Imdex</w:t>
      </w:r>
      <w:r w:rsidR="00555A43">
        <w:t xml:space="preserve"> </w:t>
      </w:r>
      <w:r>
        <w:t xml:space="preserve">at that stage.  Even after what was said to be the first discussion of the possibility of patenting at the Surtron meeting on 29 April 2004, </w:t>
      </w:r>
      <w:r w:rsidR="00555A43">
        <w:t xml:space="preserve">Coretell says that </w:t>
      </w:r>
      <w:r>
        <w:t xml:space="preserve">there was nothing in the contemporaneous records to suggest that </w:t>
      </w:r>
      <w:r w:rsidR="00555A43">
        <w:t xml:space="preserve">the ACT Tool </w:t>
      </w:r>
      <w:r>
        <w:t>was given to Barminco in May 2004 with any intention of ‘reasonable tria</w:t>
      </w:r>
      <w:r w:rsidR="00555A43">
        <w:t xml:space="preserve">l’ for patenting purposes.  Nor, Coretell says, </w:t>
      </w:r>
      <w:r>
        <w:t>were there any records to support any other of the extensive prior uses before 3 September 2004 as being testing or trialling for patenting purposes.</w:t>
      </w:r>
    </w:p>
    <w:p w:rsidR="00237F56" w:rsidRDefault="00237F56" w:rsidP="00237F56">
      <w:pPr>
        <w:pStyle w:val="ParaNumbering"/>
      </w:pPr>
      <w:r>
        <w:lastRenderedPageBreak/>
        <w:t xml:space="preserve">At the time of the asserted reasonable trials in April and May 2004 in Western Australia, the relevant owner of the intellectual property rights was not AMC or Imdex, but rather, Chardec.  Mr Parfitt, as the director and most senior employee of Chardec, said that he had given no thought or intention at all to obtaining patent protection for the </w:t>
      </w:r>
      <w:r w:rsidR="00555A43">
        <w:t>ACT T</w:t>
      </w:r>
      <w:r>
        <w:t xml:space="preserve">ool and that such an application would be too expensive.  </w:t>
      </w:r>
      <w:r w:rsidR="00E21A97">
        <w:t>Coretell point</w:t>
      </w:r>
      <w:r w:rsidR="00960DA0">
        <w:t>s to the cross-examination of Mr</w:t>
      </w:r>
      <w:r w:rsidR="00E21A97">
        <w:t xml:space="preserve"> Parfitt.  Mr Parfitt </w:t>
      </w:r>
      <w:r>
        <w:t xml:space="preserve">said that Chardec was not interested in filing a patent application.  He had had previous experience of applying for a patent in the United Kingdom.  He knew about the system in that country and acknowledged that he could have applied for a patent by January 2004, prior to or at the time of handing the </w:t>
      </w:r>
      <w:r w:rsidR="00E21A97">
        <w:t>ACT T</w:t>
      </w:r>
      <w:r>
        <w:t xml:space="preserve">ool to Mr Bradford of Ace Drilling/Imdex, had he wanted to do so with Chardec being recorded as the patent holder and Mr Parfitt as the named inventor.  He agreed that as at January 2004, he would have been in a position to describe the invention to a patent agent for the purpose of preparing a patent specification and the description would have been generally similar to what is shown in the </w:t>
      </w:r>
      <w:r w:rsidR="00E21A97">
        <w:t>P</w:t>
      </w:r>
      <w:r>
        <w:t xml:space="preserve">rovisional </w:t>
      </w:r>
      <w:r w:rsidR="00E21A97">
        <w:t>A</w:t>
      </w:r>
      <w:r>
        <w:t xml:space="preserve">pplication.  </w:t>
      </w:r>
      <w:r w:rsidR="00E21A97">
        <w:t xml:space="preserve">Mr Parfitt </w:t>
      </w:r>
      <w:r>
        <w:t xml:space="preserve">also acknowledged that </w:t>
      </w:r>
      <w:r w:rsidR="00E21A97">
        <w:t xml:space="preserve">the </w:t>
      </w:r>
      <w:r>
        <w:t xml:space="preserve">drawings that appear in the </w:t>
      </w:r>
      <w:r w:rsidR="00E21A97">
        <w:t>P</w:t>
      </w:r>
      <w:r>
        <w:t xml:space="preserve">rovisional </w:t>
      </w:r>
      <w:r w:rsidR="00E21A97">
        <w:t>A</w:t>
      </w:r>
      <w:r>
        <w:t xml:space="preserve">pplication had been done by him almost in July, August and December 2003.  </w:t>
      </w:r>
    </w:p>
    <w:p w:rsidR="00237F56" w:rsidRDefault="00237F56" w:rsidP="00237F56">
      <w:pPr>
        <w:pStyle w:val="ParaNumbering"/>
      </w:pPr>
      <w:r>
        <w:t xml:space="preserve">Coretell relies on the fact that Mr Parfitt acknowledged that he could have applied for a patent in the United Kingdom well prior to handing the first two </w:t>
      </w:r>
      <w:r w:rsidR="00E21A97">
        <w:t>ACT T</w:t>
      </w:r>
      <w:r>
        <w:t>ools to Mr Bradford in January 2004, but had chosen not to do so.  He further accepted that his patent agent, alternatively, could have prepared an application to be made in Australia.</w:t>
      </w:r>
    </w:p>
    <w:p w:rsidR="00237F56" w:rsidRDefault="00237F56" w:rsidP="00237F56">
      <w:pPr>
        <w:pStyle w:val="ParaNumbering"/>
      </w:pPr>
      <w:r>
        <w:t xml:space="preserve">This </w:t>
      </w:r>
      <w:r w:rsidR="00E21A97">
        <w:t xml:space="preserve">was </w:t>
      </w:r>
      <w:r>
        <w:t>prior to th</w:t>
      </w:r>
      <w:r w:rsidR="006D2BFE">
        <w:t xml:space="preserve">e three instances of prior use </w:t>
      </w:r>
      <w:r>
        <w:t xml:space="preserve">by Mosslake, </w:t>
      </w:r>
      <w:r w:rsidR="009353A6">
        <w:t>Drill Corp</w:t>
      </w:r>
      <w:r>
        <w:t xml:space="preserve"> and Barminco.  It is obvious, Coretell says, that they were not intended by Chardec or even AMC or Imdex to be reasonable trial for patenting purposes.  Therefore</w:t>
      </w:r>
      <w:r w:rsidR="00E21A97">
        <w:t>,</w:t>
      </w:r>
      <w:r>
        <w:t xml:space="preserve"> reasonable trial could not fall within s 24 as reasonable trial for patenting purposes because there was no </w:t>
      </w:r>
      <w:r w:rsidR="00E21A97">
        <w:t>‘</w:t>
      </w:r>
      <w:r>
        <w:t>patenting purpose</w:t>
      </w:r>
      <w:r w:rsidR="00E21A97">
        <w:t>’</w:t>
      </w:r>
      <w:r>
        <w:t xml:space="preserve"> or intention of </w:t>
      </w:r>
      <w:r w:rsidR="00E21A97">
        <w:t xml:space="preserve">Chardec at the time as a matter of both fact and law. </w:t>
      </w:r>
      <w:r>
        <w:t xml:space="preserve"> </w:t>
      </w:r>
    </w:p>
    <w:p w:rsidR="00237F56" w:rsidRDefault="00237F56" w:rsidP="00237F56">
      <w:pPr>
        <w:pStyle w:val="ParaNumbering"/>
      </w:pPr>
      <w:r>
        <w:t xml:space="preserve">While </w:t>
      </w:r>
      <w:r w:rsidR="008B6162">
        <w:t xml:space="preserve">outlining </w:t>
      </w:r>
      <w:r>
        <w:t>Coretell’s contentions</w:t>
      </w:r>
      <w:r w:rsidR="003D3A0B">
        <w:t>,</w:t>
      </w:r>
      <w:r>
        <w:t xml:space="preserve"> I must observe in passing that, in my view, this submission </w:t>
      </w:r>
      <w:r w:rsidR="003D3A0B">
        <w:t xml:space="preserve">for Coretell </w:t>
      </w:r>
      <w:r w:rsidR="00552680">
        <w:t xml:space="preserve">misapprehends </w:t>
      </w:r>
      <w:r>
        <w:t xml:space="preserve">the effect of </w:t>
      </w:r>
      <w:r>
        <w:rPr>
          <w:i/>
        </w:rPr>
        <w:t xml:space="preserve">Longworth v Emerton </w:t>
      </w:r>
      <w:r>
        <w:t xml:space="preserve">which is focussed upon the nature of the testing, not </w:t>
      </w:r>
      <w:r w:rsidR="008B6162">
        <w:t xml:space="preserve">only </w:t>
      </w:r>
      <w:r>
        <w:t xml:space="preserve">the subjective intention of the tester.  Indeed, the testing conducted in remote rural areas was much more akin to the testing of the </w:t>
      </w:r>
      <w:r w:rsidR="0026130E">
        <w:t xml:space="preserve">device for use in laying submarine telegraph cable </w:t>
      </w:r>
      <w:r>
        <w:t xml:space="preserve">in </w:t>
      </w:r>
      <w:r w:rsidRPr="002C4F32">
        <w:rPr>
          <w:i/>
        </w:rPr>
        <w:t xml:space="preserve">Re Newall &amp; Elliot &amp; Glass </w:t>
      </w:r>
      <w:r w:rsidRPr="002C4F32">
        <w:t xml:space="preserve">(1858) </w:t>
      </w:r>
      <w:r w:rsidR="0026130E">
        <w:t>140 ER 1087</w:t>
      </w:r>
      <w:r>
        <w:t xml:space="preserve">.  </w:t>
      </w:r>
      <w:r w:rsidR="002E1631">
        <w:t>As t</w:t>
      </w:r>
      <w:r>
        <w:t xml:space="preserve">he testing </w:t>
      </w:r>
      <w:r w:rsidR="002E1631">
        <w:t xml:space="preserve">was </w:t>
      </w:r>
      <w:r>
        <w:t>necessary on site</w:t>
      </w:r>
      <w:r w:rsidR="002E1631">
        <w:t xml:space="preserve">, </w:t>
      </w:r>
      <w:r>
        <w:t xml:space="preserve">the testing in the current case satisfies the summary of </w:t>
      </w:r>
      <w:r>
        <w:rPr>
          <w:i/>
        </w:rPr>
        <w:t xml:space="preserve">Newall </w:t>
      </w:r>
      <w:r w:rsidR="00894195">
        <w:t>in</w:t>
      </w:r>
      <w:r>
        <w:t xml:space="preserve"> </w:t>
      </w:r>
      <w:r>
        <w:rPr>
          <w:i/>
        </w:rPr>
        <w:t xml:space="preserve">Longworth v Emerton </w:t>
      </w:r>
      <w:r>
        <w:t xml:space="preserve">(at [8]).  </w:t>
      </w:r>
    </w:p>
    <w:p w:rsidR="00237F56" w:rsidRDefault="00237F56" w:rsidP="00237F56">
      <w:pPr>
        <w:pStyle w:val="ParaNumbering"/>
      </w:pPr>
      <w:r>
        <w:lastRenderedPageBreak/>
        <w:t xml:space="preserve">Coretell contends that AMC’s decision to file </w:t>
      </w:r>
      <w:r w:rsidR="008B6162">
        <w:t>the</w:t>
      </w:r>
      <w:r>
        <w:t xml:space="preserve"> </w:t>
      </w:r>
      <w:r w:rsidR="008B6162">
        <w:t>P</w:t>
      </w:r>
      <w:r>
        <w:t xml:space="preserve">rovisional </w:t>
      </w:r>
      <w:r w:rsidR="008B6162">
        <w:t>A</w:t>
      </w:r>
      <w:r>
        <w:t xml:space="preserve">pplication for the </w:t>
      </w:r>
      <w:r w:rsidR="008B6162">
        <w:t>ACT T</w:t>
      </w:r>
      <w:r>
        <w:t>ool, rather than a</w:t>
      </w:r>
      <w:r w:rsidR="008B6162">
        <w:t xml:space="preserve"> complete application, precludes</w:t>
      </w:r>
      <w:r>
        <w:t xml:space="preserve"> any rel</w:t>
      </w:r>
      <w:r w:rsidR="000F175D">
        <w:t>iance on the grace period of 12 </w:t>
      </w:r>
      <w:r>
        <w:t>months</w:t>
      </w:r>
      <w:r w:rsidR="002E1631">
        <w:t xml:space="preserve"> for the purposes of s 24 of the Act</w:t>
      </w:r>
      <w:r>
        <w:t xml:space="preserve">.  </w:t>
      </w:r>
      <w:r w:rsidR="008B6162">
        <w:t>A</w:t>
      </w:r>
      <w:r>
        <w:t xml:space="preserve">mendments to the </w:t>
      </w:r>
      <w:r w:rsidR="008B6162">
        <w:t xml:space="preserve">Act </w:t>
      </w:r>
      <w:r>
        <w:t xml:space="preserve">effected by the </w:t>
      </w:r>
      <w:r w:rsidRPr="008D1786">
        <w:rPr>
          <w:i/>
        </w:rPr>
        <w:t>Patents Amendment Act 2001</w:t>
      </w:r>
      <w:r>
        <w:t xml:space="preserve"> (Cth), which came into operation on 1 April 2002 in respect of complete applications filed after that</w:t>
      </w:r>
      <w:r w:rsidR="002E1631">
        <w:t xml:space="preserve"> date, provide</w:t>
      </w:r>
      <w:r>
        <w:t xml:space="preserve"> that a patent application may publicly disclose the invention</w:t>
      </w:r>
      <w:r w:rsidR="008B6162">
        <w:t>,</w:t>
      </w:r>
      <w:r>
        <w:t xml:space="preserve"> but will not destroy its novelty or inventiveness provided that the patent applicant files a complete application within 12 months after the date of publication</w:t>
      </w:r>
      <w:r w:rsidR="008B6162">
        <w:t xml:space="preserve">:  s 24(1) and reg 2.2. </w:t>
      </w:r>
      <w:r>
        <w:t xml:space="preserve"> </w:t>
      </w:r>
    </w:p>
    <w:p w:rsidR="00237F56" w:rsidRDefault="003B5073" w:rsidP="00237F56">
      <w:pPr>
        <w:pStyle w:val="ParaNumbering"/>
      </w:pPr>
      <w:r>
        <w:t xml:space="preserve">Coretell </w:t>
      </w:r>
      <w:r w:rsidR="00237F56">
        <w:t>make</w:t>
      </w:r>
      <w:r>
        <w:t>s</w:t>
      </w:r>
      <w:r w:rsidR="00237F56">
        <w:t xml:space="preserve"> the point that Mr Weston was provided with patent attorney advice from </w:t>
      </w:r>
      <w:r>
        <w:t>Wray</w:t>
      </w:r>
      <w:r w:rsidR="002E1631">
        <w:t>s</w:t>
      </w:r>
      <w:r w:rsidR="00237F56">
        <w:t xml:space="preserve"> &amp; Associates from around mid-2003, </w:t>
      </w:r>
      <w:r>
        <w:t xml:space="preserve">which it says is a reasonably early date, </w:t>
      </w:r>
      <w:r w:rsidR="00237F56">
        <w:t>so should have had advice as to the possibility of filing either a provisional or a complete application</w:t>
      </w:r>
      <w:r>
        <w:t>, but</w:t>
      </w:r>
      <w:r w:rsidR="00237F56">
        <w:t xml:space="preserve"> AMC chose to file a provisional application despite knowing of the ‘extensive prior public use and disclosure’ of the </w:t>
      </w:r>
      <w:r>
        <w:t>ACT T</w:t>
      </w:r>
      <w:r w:rsidR="00237F56">
        <w:t>ool</w:t>
      </w:r>
      <w:r>
        <w:t xml:space="preserve"> </w:t>
      </w:r>
      <w:r w:rsidR="00237F56">
        <w:t xml:space="preserve">to various customers. </w:t>
      </w:r>
    </w:p>
    <w:p w:rsidR="00237F56" w:rsidRDefault="003B5073" w:rsidP="00237F56">
      <w:pPr>
        <w:pStyle w:val="ParaNumbering"/>
      </w:pPr>
      <w:r>
        <w:t>Coretell says that t</w:t>
      </w:r>
      <w:r w:rsidR="00237F56">
        <w:t>he filing of a provisional application lead</w:t>
      </w:r>
      <w:r w:rsidR="002E1631">
        <w:t>s</w:t>
      </w:r>
      <w:r w:rsidR="00237F56">
        <w:t xml:space="preserve"> to a longer period of monopoly.  </w:t>
      </w:r>
      <w:r w:rsidR="002E1631">
        <w:t xml:space="preserve">Accordingly, by </w:t>
      </w:r>
      <w:r w:rsidR="00237F56">
        <w:t xml:space="preserve">filing a provisional application on 3 September 2004 and a complete application </w:t>
      </w:r>
      <w:r>
        <w:t xml:space="preserve">approximately </w:t>
      </w:r>
      <w:r w:rsidR="00237F56">
        <w:t>12 months later, on 5 September</w:t>
      </w:r>
      <w:r>
        <w:t xml:space="preserve"> 2005, AMC obtained an extra 12 </w:t>
      </w:r>
      <w:r w:rsidR="00237F56">
        <w:t>months of monopoly protection</w:t>
      </w:r>
      <w:r w:rsidR="002E1631">
        <w:t>.  T</w:t>
      </w:r>
      <w:r>
        <w:t xml:space="preserve">hat is, </w:t>
      </w:r>
      <w:r w:rsidR="00237F56">
        <w:t xml:space="preserve">eight years from 5 September 2005, rather than </w:t>
      </w:r>
      <w:r w:rsidR="002E1631">
        <w:t xml:space="preserve">from </w:t>
      </w:r>
      <w:r w:rsidR="00237F56">
        <w:t xml:space="preserve">3 September 2004.  Coretell says that AMC chose to file a provisional application to gain an extended monopoly, but the consequence is that the benefit of grace period </w:t>
      </w:r>
      <w:r w:rsidR="002E1631">
        <w:t>‘</w:t>
      </w:r>
      <w:r w:rsidR="00237F56">
        <w:t>is lost</w:t>
      </w:r>
      <w:r w:rsidR="002E1631">
        <w:t>’</w:t>
      </w:r>
      <w:r w:rsidR="00237F56">
        <w:t xml:space="preserve"> so that the risk always existed that if the prior uses </w:t>
      </w:r>
      <w:r w:rsidR="002E1631">
        <w:t xml:space="preserve">prior to 3 September 2004 </w:t>
      </w:r>
      <w:r w:rsidR="00237F56">
        <w:t xml:space="preserve">came to light at a subsequent time, the Patents in suit </w:t>
      </w:r>
      <w:r>
        <w:t>(</w:t>
      </w:r>
      <w:r w:rsidR="00237F56">
        <w:t>and any other patent based on a provisional application</w:t>
      </w:r>
      <w:r>
        <w:t>)</w:t>
      </w:r>
      <w:r w:rsidR="00237F56">
        <w:t xml:space="preserve"> would be invalid for lack of novelty.  AMC and Imdex chose to take that risk, according to Coretell, and cannot now complain if the </w:t>
      </w:r>
      <w:r>
        <w:t>P</w:t>
      </w:r>
      <w:r w:rsidR="00237F56">
        <w:t xml:space="preserve">atents </w:t>
      </w:r>
      <w:r>
        <w:t xml:space="preserve">are </w:t>
      </w:r>
      <w:r w:rsidR="00237F56">
        <w:t xml:space="preserve">invalid because the previously suppressed prior uses have finally come to light.  </w:t>
      </w:r>
    </w:p>
    <w:p w:rsidR="00237F56" w:rsidRDefault="00237F56" w:rsidP="00237F56">
      <w:pPr>
        <w:pStyle w:val="ParaNumbering"/>
      </w:pPr>
      <w:r>
        <w:t xml:space="preserve">Coretell relies on the five ‘principles’ or </w:t>
      </w:r>
      <w:r w:rsidR="00510AC9">
        <w:t>tests enunciated by the Full Court</w:t>
      </w:r>
      <w:r>
        <w:t xml:space="preserve"> in </w:t>
      </w:r>
      <w:r w:rsidRPr="00FC2F0F">
        <w:rPr>
          <w:i/>
        </w:rPr>
        <w:t xml:space="preserve">Insta Image Pty Ltd v KD Kanopy Australasia Pty Ltd </w:t>
      </w:r>
      <w:r>
        <w:t xml:space="preserve">[2008] FCAFC 139 per </w:t>
      </w:r>
      <w:r w:rsidRPr="00DC269E">
        <w:t xml:space="preserve">Lindgren, Bennett </w:t>
      </w:r>
      <w:r>
        <w:t>A</w:t>
      </w:r>
      <w:r w:rsidRPr="00DC269E">
        <w:t>nd Logan JJ</w:t>
      </w:r>
      <w:r w:rsidR="00510AC9">
        <w:t xml:space="preserve"> (at [124</w:t>
      </w:r>
      <w:r w:rsidR="002E1631">
        <w:t>]</w:t>
      </w:r>
      <w:r w:rsidR="00510AC9">
        <w:t>)</w:t>
      </w:r>
      <w:r>
        <w:t>, where the tests were described as follows:</w:t>
      </w:r>
    </w:p>
    <w:p w:rsidR="00237F56" w:rsidRDefault="00237F56" w:rsidP="00237F56">
      <w:pPr>
        <w:pStyle w:val="Quote1"/>
        <w:ind w:left="1440" w:hanging="703"/>
      </w:pPr>
      <w:r>
        <w:t>124</w:t>
      </w:r>
      <w:r>
        <w:tab/>
        <w:t>In respect of the issue whether information was “publicly available” before the priority date, the following principles emerge from the cases:</w:t>
      </w:r>
    </w:p>
    <w:p w:rsidR="00237F56" w:rsidRDefault="00237F56" w:rsidP="00237F56">
      <w:pPr>
        <w:pStyle w:val="Quote1"/>
      </w:pPr>
    </w:p>
    <w:p w:rsidR="00237F56" w:rsidRDefault="00237F56" w:rsidP="001332BE">
      <w:pPr>
        <w:pStyle w:val="Quote1"/>
        <w:numPr>
          <w:ilvl w:val="0"/>
          <w:numId w:val="47"/>
        </w:numPr>
        <w:ind w:left="1985" w:hanging="567"/>
      </w:pPr>
      <w:r>
        <w:t>The information must have been made available to at least one member of the public who, in that capacity, was free, in law and equity, to make use of it (</w:t>
      </w:r>
      <w:r w:rsidRPr="00825ADE">
        <w:rPr>
          <w:i/>
        </w:rPr>
        <w:t>PLG Research Ltd v Ardon International Ltd</w:t>
      </w:r>
      <w:r>
        <w:t xml:space="preserve"> [1993] FSR 197 at 226 per Aldous J cited in </w:t>
      </w:r>
      <w:r w:rsidRPr="00825ADE">
        <w:rPr>
          <w:i/>
        </w:rPr>
        <w:t>Jupiters</w:t>
      </w:r>
      <w:r>
        <w:t xml:space="preserve"> at [141]).  (This test of communication to a member of the public who is free in law or equity </w:t>
      </w:r>
      <w:r>
        <w:lastRenderedPageBreak/>
        <w:t xml:space="preserve">to use the information as he or she pleases had been enunciated by the English Court of Appeal as early as 1887 in </w:t>
      </w:r>
      <w:r w:rsidRPr="00825ADE">
        <w:rPr>
          <w:i/>
        </w:rPr>
        <w:t xml:space="preserve">Humpherson v Syer </w:t>
      </w:r>
      <w:r>
        <w:t>(1887) 4 RPC 407 at 413 per Bowen LJ.)</w:t>
      </w:r>
    </w:p>
    <w:p w:rsidR="00237F56" w:rsidRDefault="00237F56" w:rsidP="00237F56">
      <w:pPr>
        <w:pStyle w:val="Quote1"/>
      </w:pPr>
    </w:p>
    <w:p w:rsidR="00237F56" w:rsidRDefault="00237F56" w:rsidP="001332BE">
      <w:pPr>
        <w:pStyle w:val="Quote1"/>
        <w:numPr>
          <w:ilvl w:val="0"/>
          <w:numId w:val="47"/>
        </w:numPr>
        <w:ind w:left="1985" w:hanging="567"/>
      </w:pPr>
      <w:r>
        <w:t>It is immaterial whether or not the invention has become known to many people or a few people (</w:t>
      </w:r>
      <w:r w:rsidRPr="00825ADE">
        <w:rPr>
          <w:i/>
        </w:rPr>
        <w:t>Sunbeam Corporation v Morphy-Richards (Aust) Pty Ltd</w:t>
      </w:r>
      <w:r>
        <w:t xml:space="preserve"> (1961) 180 CLR 98 at 111 per Windeyer J).  As long as it was made available to persons as members of the public, the number of those persons is not relevant.  Availability to one or two people as members of the public is sufficient in the absence of any associated obligation of confidentiality (</w:t>
      </w:r>
      <w:r w:rsidRPr="00825ADE">
        <w:rPr>
          <w:i/>
        </w:rPr>
        <w:t>Fomento Industrial S.A. v Mentmore Manufacturing Co Ltd</w:t>
      </w:r>
      <w:r>
        <w:t xml:space="preserve"> [1956] RPC 87 at 99–100; </w:t>
      </w:r>
      <w:r w:rsidRPr="00825ADE">
        <w:rPr>
          <w:i/>
        </w:rPr>
        <w:t>Re Bristol-Myers Co’s Application</w:t>
      </w:r>
      <w:r>
        <w:t xml:space="preserve"> [1969] RPC 146 at 155 per Parker LJ).</w:t>
      </w:r>
    </w:p>
    <w:p w:rsidR="00237F56" w:rsidRDefault="00237F56" w:rsidP="00237F56">
      <w:pPr>
        <w:pStyle w:val="Quote1"/>
      </w:pPr>
    </w:p>
    <w:p w:rsidR="00237F56" w:rsidRDefault="00237F56" w:rsidP="001332BE">
      <w:pPr>
        <w:pStyle w:val="Quote1"/>
        <w:numPr>
          <w:ilvl w:val="0"/>
          <w:numId w:val="47"/>
        </w:numPr>
        <w:ind w:left="1985" w:hanging="567"/>
      </w:pPr>
      <w:r>
        <w:t>The question is not whether access to an invented product was actually availed of but whether the product was made available to the public without restraint at law or in equity (</w:t>
      </w:r>
      <w:r w:rsidRPr="00825ADE">
        <w:rPr>
          <w:i/>
        </w:rPr>
        <w:t>Merck &amp; Co Inc v Arrow Pharmaceuticals Ltd</w:t>
      </w:r>
      <w:r>
        <w:t xml:space="preserve"> (2006) 154 FCR 31 (</w:t>
      </w:r>
      <w:r w:rsidRPr="00825ADE">
        <w:rPr>
          <w:i/>
        </w:rPr>
        <w:t>Merck</w:t>
      </w:r>
      <w:r>
        <w:t xml:space="preserve">) at [98]–[103]). </w:t>
      </w:r>
    </w:p>
    <w:p w:rsidR="00237F56" w:rsidRDefault="00237F56" w:rsidP="00237F56">
      <w:pPr>
        <w:pStyle w:val="Quote1"/>
      </w:pPr>
    </w:p>
    <w:p w:rsidR="00237F56" w:rsidRDefault="00237F56" w:rsidP="001332BE">
      <w:pPr>
        <w:pStyle w:val="Quote1"/>
        <w:numPr>
          <w:ilvl w:val="0"/>
          <w:numId w:val="47"/>
        </w:numPr>
        <w:ind w:left="1985" w:hanging="567"/>
      </w:pPr>
      <w:r>
        <w:t xml:space="preserve">In order to be “available”, information said to destroy novelty must be of a kind that would disclose to a person skilled in the relevant art all of the essential features or integers of the invention (cf </w:t>
      </w:r>
      <w:r w:rsidRPr="00825ADE">
        <w:rPr>
          <w:i/>
        </w:rPr>
        <w:t>RD Werner &amp; Co Inc v Bailey Aluminium Products Pty Ltd</w:t>
      </w:r>
      <w:r>
        <w:t xml:space="preserve"> (1989) 25 FCR 565 at 593–594).</w:t>
      </w:r>
    </w:p>
    <w:p w:rsidR="00237F56" w:rsidRDefault="00237F56" w:rsidP="00237F56">
      <w:pPr>
        <w:pStyle w:val="Quote1"/>
      </w:pPr>
    </w:p>
    <w:p w:rsidR="00237F56" w:rsidRDefault="00237F56" w:rsidP="001332BE">
      <w:pPr>
        <w:pStyle w:val="Quote1"/>
        <w:numPr>
          <w:ilvl w:val="0"/>
          <w:numId w:val="47"/>
        </w:numPr>
        <w:ind w:left="1985" w:hanging="567"/>
      </w:pPr>
      <w:r>
        <w:t>In order to be “available”, information said to destroy novelty must “enable” the notional person skilled in the art at once to perceive, to understand, and to be able practically to apply the discovery, without the need to carry out further experiments in order to arrive at that point (</w:t>
      </w:r>
      <w:r w:rsidRPr="00825ADE">
        <w:rPr>
          <w:i/>
        </w:rPr>
        <w:t>Stanway Oyster</w:t>
      </w:r>
      <w:r>
        <w:t xml:space="preserve"> at 581–582).</w:t>
      </w:r>
    </w:p>
    <w:p w:rsidR="00237F56" w:rsidRDefault="00237F56" w:rsidP="00237F56">
      <w:pPr>
        <w:pStyle w:val="ParaNumbering"/>
      </w:pPr>
      <w:r>
        <w:t xml:space="preserve">Coretell says that the two </w:t>
      </w:r>
      <w:r w:rsidR="00510AC9">
        <w:t>ACT T</w:t>
      </w:r>
      <w:r>
        <w:t xml:space="preserve">ools delivered to Mr Bradford had all </w:t>
      </w:r>
      <w:r w:rsidR="00510AC9">
        <w:t xml:space="preserve">of </w:t>
      </w:r>
      <w:r>
        <w:t>the features of the claims of the Patents in suit.  Mr Bradford’s evidence was that Mr Parfitt told him that he had tested the tools and was satisfied with the results</w:t>
      </w:r>
      <w:r w:rsidR="00510AC9">
        <w:t xml:space="preserve">, </w:t>
      </w:r>
      <w:r>
        <w:t>that the tools function in a laboratory setting</w:t>
      </w:r>
      <w:r w:rsidR="00510AC9">
        <w:t>,</w:t>
      </w:r>
      <w:r>
        <w:t xml:space="preserve"> and </w:t>
      </w:r>
      <w:r w:rsidR="00510AC9">
        <w:t xml:space="preserve">that </w:t>
      </w:r>
      <w:r>
        <w:t>they both appeared to be doin</w:t>
      </w:r>
      <w:r w:rsidR="00510AC9">
        <w:t xml:space="preserve">g what they were designed to do. </w:t>
      </w:r>
      <w:r>
        <w:t xml:space="preserve"> Mr Bradford</w:t>
      </w:r>
      <w:r w:rsidR="00510AC9">
        <w:t xml:space="preserve"> </w:t>
      </w:r>
      <w:r>
        <w:t xml:space="preserve">said that he had never heard of the term ‘prototypes’ used </w:t>
      </w:r>
      <w:r w:rsidR="00510AC9">
        <w:t xml:space="preserve">by Mr Parfitt </w:t>
      </w:r>
      <w:r>
        <w:t>in relation to the tools</w:t>
      </w:r>
      <w:r w:rsidR="00510AC9">
        <w:t xml:space="preserve">, and that </w:t>
      </w:r>
      <w:r>
        <w:t xml:space="preserve">he would not have gone to the trouble of taking delivery of the tools and bringing such heavy objects back to Australia in his hand luggage if they did not work.  </w:t>
      </w:r>
    </w:p>
    <w:p w:rsidR="00237F56" w:rsidRDefault="00CC7299" w:rsidP="00237F56">
      <w:pPr>
        <w:pStyle w:val="ParaNumbering"/>
      </w:pPr>
      <w:r>
        <w:t xml:space="preserve">Mr Bradford’s evidence was also that </w:t>
      </w:r>
      <w:r w:rsidR="00237F56">
        <w:t xml:space="preserve">Mr Parfitt told </w:t>
      </w:r>
      <w:r>
        <w:t xml:space="preserve">him </w:t>
      </w:r>
      <w:r w:rsidR="00237F56">
        <w:t>that he had completed the two working tools and had tested them in his workshop as far as that was possible.  Mr Parfitt said in cross-examination that the two tools were working and he demonstrated them to Mr Bradford on the bench.</w:t>
      </w:r>
    </w:p>
    <w:p w:rsidR="00237F56" w:rsidRDefault="00237F56" w:rsidP="00237F56">
      <w:pPr>
        <w:pStyle w:val="ParaNumbering"/>
      </w:pPr>
      <w:r>
        <w:t xml:space="preserve">There is an important dispute between the parties as to the existence of an order to Chardec from Ace Drilling for the supply by Chardec of 50 </w:t>
      </w:r>
      <w:r w:rsidR="00CC7299">
        <w:t xml:space="preserve">ACT Tools </w:t>
      </w:r>
      <w:r>
        <w:t xml:space="preserve">to Ace Drilling </w:t>
      </w:r>
      <w:r>
        <w:lastRenderedPageBreak/>
        <w:t xml:space="preserve">before the Priority Date.  </w:t>
      </w:r>
      <w:r w:rsidR="00CC7299">
        <w:t xml:space="preserve">Coretell </w:t>
      </w:r>
      <w:r>
        <w:t>still contend</w:t>
      </w:r>
      <w:r w:rsidR="00CC7299">
        <w:t>s</w:t>
      </w:r>
      <w:r>
        <w:t xml:space="preserve"> that such an order existed.  I am not satisfied that it did.  The evidence falls well short of establishing this.  </w:t>
      </w:r>
    </w:p>
    <w:p w:rsidR="00CC7299" w:rsidRDefault="00CC7299" w:rsidP="00237F56">
      <w:pPr>
        <w:pStyle w:val="ParaNumbering"/>
      </w:pPr>
      <w:r>
        <w:t xml:space="preserve">Coretell relies </w:t>
      </w:r>
      <w:r w:rsidR="00237F56">
        <w:t xml:space="preserve">upon negotiations between Chardec and Ace Drilling/Imdex and AMC.  The negotiations gave rise to execution of a </w:t>
      </w:r>
      <w:r>
        <w:t>‘</w:t>
      </w:r>
      <w:r w:rsidR="00237F56">
        <w:t>letter of intent</w:t>
      </w:r>
      <w:r>
        <w:t>’</w:t>
      </w:r>
      <w:r w:rsidR="00237F56">
        <w:t xml:space="preserve"> in May 2004</w:t>
      </w:r>
      <w:r w:rsidR="00174BCD">
        <w:t xml:space="preserve"> and</w:t>
      </w:r>
      <w:r w:rsidR="00237F56">
        <w:t xml:space="preserve"> the signing of the </w:t>
      </w:r>
      <w:r>
        <w:t>‘</w:t>
      </w:r>
      <w:r w:rsidR="00237F56">
        <w:t>Heads of Agreement</w:t>
      </w:r>
      <w:r>
        <w:t>’</w:t>
      </w:r>
      <w:r w:rsidR="00237F56">
        <w:t xml:space="preserve"> on 7 June 2004.  </w:t>
      </w:r>
    </w:p>
    <w:p w:rsidR="00237F56" w:rsidRDefault="00CC7299" w:rsidP="00237F56">
      <w:pPr>
        <w:pStyle w:val="ParaNumbering"/>
      </w:pPr>
      <w:r>
        <w:t>Coretell also relies on b</w:t>
      </w:r>
      <w:r w:rsidR="00237F56">
        <w:t>usiness records comprising contemporaneous emails</w:t>
      </w:r>
      <w:r w:rsidR="002A519A">
        <w:t>,</w:t>
      </w:r>
      <w:r w:rsidR="00237F56">
        <w:t xml:space="preserve"> and other documentary records refer to an order of 50 </w:t>
      </w:r>
      <w:r>
        <w:t>ACT T</w:t>
      </w:r>
      <w:r w:rsidR="00237F56">
        <w:t>ools by Ace Drilling/Imdex upon Chardec in June 2004.  Mr Bradford gave evidence as to the existence of the order.  On this topic, I reject the evidence of Mr Bradford as to the existence of an order.  The documents are entirely equivocal.  The witnesses</w:t>
      </w:r>
      <w:r>
        <w:t>, whose testimony I prefer, denied</w:t>
      </w:r>
      <w:r w:rsidR="00237F56">
        <w:t xml:space="preserve"> the actual existence of such an order.  I am firmly satisfied that</w:t>
      </w:r>
      <w:r w:rsidR="002A519A">
        <w:t>,</w:t>
      </w:r>
      <w:r w:rsidR="00237F56">
        <w:t xml:space="preserve"> on the evidence</w:t>
      </w:r>
      <w:r w:rsidR="002A519A">
        <w:t>,</w:t>
      </w:r>
      <w:r w:rsidR="00237F56">
        <w:t xml:space="preserve"> there was no such order.  </w:t>
      </w:r>
    </w:p>
    <w:p w:rsidR="00A60A02" w:rsidRDefault="00CC7299" w:rsidP="00237F56">
      <w:pPr>
        <w:pStyle w:val="ParaNumbering"/>
      </w:pPr>
      <w:r>
        <w:t>Coretell says that t</w:t>
      </w:r>
      <w:r w:rsidR="00237F56">
        <w:t xml:space="preserve">he applicants have produced no formal written purchase order document, </w:t>
      </w:r>
      <w:r>
        <w:t xml:space="preserve">but that </w:t>
      </w:r>
      <w:r w:rsidR="00237F56">
        <w:t>this is not probative as they have produced no written purchase orders at any stage during the proceeding</w:t>
      </w:r>
      <w:r>
        <w:t xml:space="preserve">.  For example, </w:t>
      </w:r>
      <w:r w:rsidR="0097126A">
        <w:t xml:space="preserve">this is the case in respect of </w:t>
      </w:r>
      <w:r w:rsidR="00237F56">
        <w:t xml:space="preserve">the 50 </w:t>
      </w:r>
      <w:r>
        <w:t>ACT Tools delivered after 3 </w:t>
      </w:r>
      <w:r w:rsidR="00237F56">
        <w:t>September 2004</w:t>
      </w:r>
      <w:r>
        <w:t>,</w:t>
      </w:r>
      <w:r w:rsidR="00237F56">
        <w:t xml:space="preserve"> and other orders made </w:t>
      </w:r>
      <w:r w:rsidR="0097126A">
        <w:t>up</w:t>
      </w:r>
      <w:r w:rsidR="00237F56">
        <w:t xml:space="preserve">on Chardec after the Priority Date.  The only documents produced evidencing commercial dealings between Chardec and Ace Drilling/Imdex or AMC have been Chardec documents in the nature of </w:t>
      </w:r>
      <w:r>
        <w:t xml:space="preserve">way </w:t>
      </w:r>
      <w:r w:rsidR="00237F56">
        <w:t xml:space="preserve">bills, commercial invoices and sales invoices for the supply of goods and Imdex records of international banking transfers for payments of invoices.  The applicants did not discover or produce any further documents giving indications that an order was placed before the Priority Date.  The only evidence </w:t>
      </w:r>
      <w:r>
        <w:t xml:space="preserve">Coretell said that it possessed was </w:t>
      </w:r>
      <w:r w:rsidR="00237F56">
        <w:t>Mr Bradford’s ‘clear recollection’ of placing the order to Chardec by telephone in June 2004.</w:t>
      </w:r>
      <w:r>
        <w:t xml:space="preserve">  </w:t>
      </w:r>
      <w:r w:rsidR="00237F56">
        <w:t>Mr Parfitt’s written evidence was that he did not recall receiving or accepting</w:t>
      </w:r>
      <w:r w:rsidR="0097126A">
        <w:t xml:space="preserve"> a telephone call order from Mr </w:t>
      </w:r>
      <w:r w:rsidR="00237F56">
        <w:t xml:space="preserve">Bradford for </w:t>
      </w:r>
      <w:r w:rsidR="00E90575">
        <w:t>ACT T</w:t>
      </w:r>
      <w:r w:rsidR="00237F56">
        <w:t xml:space="preserve">ools in June 2004.  Coretell submits Mr Parfitt cannot be believed on this aspect.  I reject this submission.  Rather, I reject the evidence of Mr Bradford.  I do not accept that he made the order by telephone or any other </w:t>
      </w:r>
      <w:r w:rsidR="00A60A02">
        <w:t>means</w:t>
      </w:r>
      <w:r w:rsidR="00237F56">
        <w:t xml:space="preserve">.  </w:t>
      </w:r>
    </w:p>
    <w:p w:rsidR="00237F56" w:rsidRDefault="006E68D9" w:rsidP="00237F56">
      <w:pPr>
        <w:pStyle w:val="ParaNumbering"/>
      </w:pPr>
      <w:r>
        <w:t xml:space="preserve">Coretell says that </w:t>
      </w:r>
      <w:r w:rsidR="00237F56">
        <w:t xml:space="preserve">there is evidence in the Imdex </w:t>
      </w:r>
      <w:r w:rsidR="0097126A">
        <w:t>‘</w:t>
      </w:r>
      <w:r w:rsidR="00237F56">
        <w:t>managing director’s report</w:t>
      </w:r>
      <w:r w:rsidR="0097126A">
        <w:t>’</w:t>
      </w:r>
      <w:r w:rsidR="00237F56">
        <w:t xml:space="preserve"> of May 2004, reporting that an initial order of 50 units of the </w:t>
      </w:r>
      <w:r>
        <w:t>ACT T</w:t>
      </w:r>
      <w:r w:rsidR="00237F56">
        <w:t>ool had been ordered from the United Kingdom manufacturer</w:t>
      </w:r>
      <w:r w:rsidR="0097126A">
        <w:t xml:space="preserve">.  It also relies upon </w:t>
      </w:r>
      <w:r w:rsidR="00237F56">
        <w:t xml:space="preserve">a report </w:t>
      </w:r>
      <w:r>
        <w:t xml:space="preserve">in June 2004 </w:t>
      </w:r>
      <w:r w:rsidR="00237F56">
        <w:t xml:space="preserve">that the purchase orders were placed for the first 40 units of the </w:t>
      </w:r>
      <w:r>
        <w:t>ACT T</w:t>
      </w:r>
      <w:r w:rsidR="00237F56">
        <w:t>ool</w:t>
      </w:r>
      <w:r w:rsidR="0097126A">
        <w:t xml:space="preserve"> and that it </w:t>
      </w:r>
      <w:r w:rsidR="00237F56">
        <w:t xml:space="preserve">was anticipated the first </w:t>
      </w:r>
      <w:r>
        <w:t xml:space="preserve">order </w:t>
      </w:r>
      <w:r w:rsidR="00237F56">
        <w:t xml:space="preserve">would be introduced to the market in August.  In the following month, July 2004, </w:t>
      </w:r>
      <w:r>
        <w:t xml:space="preserve">Coretell says that the </w:t>
      </w:r>
      <w:r w:rsidR="00BB1C43">
        <w:t>m</w:t>
      </w:r>
      <w:r>
        <w:t xml:space="preserve">anaging </w:t>
      </w:r>
      <w:r w:rsidR="00BB1C43">
        <w:t>d</w:t>
      </w:r>
      <w:r>
        <w:t xml:space="preserve">irectors report </w:t>
      </w:r>
      <w:r w:rsidR="00237F56">
        <w:t xml:space="preserve">noted that the distribution </w:t>
      </w:r>
      <w:r>
        <w:t xml:space="preserve">agreement </w:t>
      </w:r>
      <w:r w:rsidR="00237F56">
        <w:t xml:space="preserve">and the </w:t>
      </w:r>
      <w:r w:rsidR="00237F56">
        <w:lastRenderedPageBreak/>
        <w:t xml:space="preserve">application for a provisional patent were delaying the marketing of the units, but it was anticipated that these matters would be resolved in the short term.  </w:t>
      </w:r>
    </w:p>
    <w:p w:rsidR="00237F56" w:rsidRDefault="00237F56" w:rsidP="00237F56">
      <w:pPr>
        <w:pStyle w:val="ParaNumbering"/>
      </w:pPr>
      <w:r>
        <w:t xml:space="preserve">Further, on 17 June 2004, at a Surtron management meeting, </w:t>
      </w:r>
      <w:r w:rsidR="006E68D9">
        <w:t xml:space="preserve">Coretell says that the minutes provide that </w:t>
      </w:r>
      <w:r>
        <w:t xml:space="preserve">Mr Bradford advised that all criteria had been met with Mr Parfitt and 50 units of the </w:t>
      </w:r>
      <w:r w:rsidR="006E68D9">
        <w:t>ACT T</w:t>
      </w:r>
      <w:r>
        <w:t xml:space="preserve">ool </w:t>
      </w:r>
      <w:r w:rsidR="006E68D9">
        <w:t xml:space="preserve">were </w:t>
      </w:r>
      <w:r>
        <w:t xml:space="preserve">‘now in production’ with the final price of €1800, ten units being expected in four to five weeks.  He </w:t>
      </w:r>
      <w:r w:rsidR="006E68D9">
        <w:t xml:space="preserve">said that he </w:t>
      </w:r>
      <w:r>
        <w:t xml:space="preserve">advised that the back ends were being machined and the cases organised.  </w:t>
      </w:r>
    </w:p>
    <w:p w:rsidR="00237F56" w:rsidRDefault="00237F56" w:rsidP="00237F56">
      <w:pPr>
        <w:pStyle w:val="ParaNumbering"/>
      </w:pPr>
      <w:r>
        <w:t xml:space="preserve">In the Ace Drilling monthly report for June 2004, </w:t>
      </w:r>
      <w:r w:rsidR="006E68D9">
        <w:t xml:space="preserve">Coretell says that </w:t>
      </w:r>
      <w:r>
        <w:t xml:space="preserve">there were reports that a total effort had been placed on organising manufacturing of the first </w:t>
      </w:r>
      <w:r w:rsidR="006E68D9">
        <w:t>five ACT T</w:t>
      </w:r>
      <w:r>
        <w:t>ools and all associated equipment</w:t>
      </w:r>
      <w:r w:rsidR="006E68D9">
        <w:t xml:space="preserve">, and that the </w:t>
      </w:r>
      <w:r>
        <w:t xml:space="preserve">first units were expected for hire into the market in early August 2004.  In the minutes of the </w:t>
      </w:r>
      <w:r w:rsidR="006E68D9">
        <w:t>‘</w:t>
      </w:r>
      <w:r>
        <w:t xml:space="preserve">Ace </w:t>
      </w:r>
      <w:r w:rsidR="006E68D9">
        <w:t>C</w:t>
      </w:r>
      <w:r>
        <w:t xml:space="preserve">ore </w:t>
      </w:r>
      <w:r w:rsidR="006E68D9">
        <w:t>O</w:t>
      </w:r>
      <w:r>
        <w:t xml:space="preserve">rientation </w:t>
      </w:r>
      <w:r w:rsidR="006E68D9">
        <w:t>T</w:t>
      </w:r>
      <w:r>
        <w:t>ool</w:t>
      </w:r>
      <w:r w:rsidR="006E68D9">
        <w:t>’</w:t>
      </w:r>
      <w:r>
        <w:t xml:space="preserve"> meeting</w:t>
      </w:r>
      <w:r w:rsidR="006E68D9">
        <w:t xml:space="preserve"> on 2 July 2004</w:t>
      </w:r>
      <w:r w:rsidR="006272F8">
        <w:t>,</w:t>
      </w:r>
      <w:r>
        <w:t xml:space="preserve"> Mr Bradford advised that 50 units of the </w:t>
      </w:r>
      <w:r w:rsidR="00BF240F">
        <w:t>ACT Tool</w:t>
      </w:r>
      <w:r>
        <w:t xml:space="preserve"> </w:t>
      </w:r>
      <w:r w:rsidR="006E68D9">
        <w:t xml:space="preserve">were </w:t>
      </w:r>
      <w:r>
        <w:t>on order from Chardec and the design was accepted</w:t>
      </w:r>
      <w:r w:rsidR="006E68D9">
        <w:t>, and c</w:t>
      </w:r>
      <w:r>
        <w:t>arry cases were also on order from a local manufacturer.  It is recorded that Ms </w:t>
      </w:r>
      <w:r w:rsidRPr="00AD4238">
        <w:t>Gregg</w:t>
      </w:r>
      <w:r>
        <w:t xml:space="preserve"> had spoken to Chardec regarding further units awaiting the go ahead for manufacturing and was under control.  </w:t>
      </w:r>
    </w:p>
    <w:p w:rsidR="00237F56" w:rsidRDefault="00237F56" w:rsidP="00237F56">
      <w:pPr>
        <w:pStyle w:val="ParaNumbering"/>
      </w:pPr>
      <w:r>
        <w:t xml:space="preserve">From the minutes of the Surtron management meeting of 15 July 2004, Mr Bradford advised that the back ends of the </w:t>
      </w:r>
      <w:r w:rsidR="00BF240F">
        <w:t>ACT Tool</w:t>
      </w:r>
      <w:r>
        <w:t xml:space="preserve"> were being machined and the cases manufactured and would be in stock by the end of the next week.  He said </w:t>
      </w:r>
      <w:r w:rsidR="008A7069">
        <w:t xml:space="preserve">that </w:t>
      </w:r>
      <w:r>
        <w:t xml:space="preserve">‘the kits should be ready by 1 August 2004’ and that he had pre-rented two units which were at </w:t>
      </w:r>
      <w:r w:rsidR="008A7069">
        <w:t>‘</w:t>
      </w:r>
      <w:r>
        <w:t>Wallis Drilling</w:t>
      </w:r>
      <w:r w:rsidR="008A7069">
        <w:t>’</w:t>
      </w:r>
      <w:r>
        <w:t xml:space="preserve"> and at </w:t>
      </w:r>
      <w:r w:rsidR="008A7069">
        <w:t>‘</w:t>
      </w:r>
      <w:r>
        <w:t>Aust</w:t>
      </w:r>
      <w:r w:rsidR="008A7069">
        <w:t>ralian</w:t>
      </w:r>
      <w:r>
        <w:t xml:space="preserve"> Diamond Drillers</w:t>
      </w:r>
      <w:r w:rsidR="008A7069">
        <w:t>’</w:t>
      </w:r>
      <w:r>
        <w:t xml:space="preserve">.  From the 29 July 2004 Surtron management meeting, it was reported that the orientation tools were waiting on finalisation of the patent and contract agreement before Chardec </w:t>
      </w:r>
      <w:r w:rsidR="008A7069">
        <w:t>would send any units</w:t>
      </w:r>
      <w:r>
        <w:t xml:space="preserve">.  At the 5 August 2004 </w:t>
      </w:r>
      <w:r w:rsidR="006272F8">
        <w:t>Surtron management meeting, it wa</w:t>
      </w:r>
      <w:r>
        <w:t xml:space="preserve">s reported that the </w:t>
      </w:r>
      <w:r w:rsidR="008A7069">
        <w:t>ACT T</w:t>
      </w:r>
      <w:r>
        <w:t>ools were still waiting on finalisation of the patent and contract agreement</w:t>
      </w:r>
      <w:r w:rsidR="008A7069">
        <w:t xml:space="preserve">, but that </w:t>
      </w:r>
      <w:r>
        <w:t xml:space="preserve">Chardec were ready to send the units as soon as the contract was signed.  </w:t>
      </w:r>
    </w:p>
    <w:p w:rsidR="00237F56" w:rsidRDefault="00237F56" w:rsidP="00237F56">
      <w:pPr>
        <w:pStyle w:val="ParaNumbering"/>
      </w:pPr>
      <w:r>
        <w:t xml:space="preserve">While </w:t>
      </w:r>
      <w:r w:rsidR="008A7069">
        <w:t xml:space="preserve">Coretell </w:t>
      </w:r>
      <w:r>
        <w:t>suggest</w:t>
      </w:r>
      <w:r w:rsidR="008A7069">
        <w:t>s</w:t>
      </w:r>
      <w:r>
        <w:t xml:space="preserve"> </w:t>
      </w:r>
      <w:r w:rsidR="008A7069">
        <w:t xml:space="preserve">that </w:t>
      </w:r>
      <w:r>
        <w:t xml:space="preserve">there is, therefore, ample support for prior commercial dealings, </w:t>
      </w:r>
      <w:r w:rsidR="008A7069">
        <w:t xml:space="preserve">in my view, </w:t>
      </w:r>
      <w:r>
        <w:t xml:space="preserve">all </w:t>
      </w:r>
      <w:r w:rsidR="008A7069">
        <w:t xml:space="preserve">that </w:t>
      </w:r>
      <w:r>
        <w:t xml:space="preserve">these meeting minutes suggest is that, although arrangements had been discussed and tentatively put in place, no one was making any commitment until after the patent application was lodged.  </w:t>
      </w:r>
    </w:p>
    <w:p w:rsidR="00237F56" w:rsidRDefault="00237F56" w:rsidP="00237F56">
      <w:pPr>
        <w:pStyle w:val="ParaNumbering"/>
      </w:pPr>
      <w:r>
        <w:t>There are other miscellaneous emails which are neutral in terms of timing of availability of commercial units</w:t>
      </w:r>
      <w:r w:rsidR="008A7069">
        <w:t xml:space="preserve">.  While </w:t>
      </w:r>
      <w:r>
        <w:t xml:space="preserve">they may speak about present manufacture being </w:t>
      </w:r>
      <w:r>
        <w:lastRenderedPageBreak/>
        <w:t xml:space="preserve">undertaken or future intentions, none of them reflects the delivery of any units prior to September 2004.  There may well have been aspirations or intentions on the part of Mr Bradford in earlier months, but that does not reflect actual ordering, actual purchase or actual delivery.  </w:t>
      </w:r>
    </w:p>
    <w:p w:rsidR="00237F56" w:rsidRDefault="00237F56" w:rsidP="00237F56">
      <w:pPr>
        <w:pStyle w:val="ParaNumbering"/>
      </w:pPr>
      <w:r>
        <w:t xml:space="preserve">Nevertheless, the question is whether Chardec’s receipt of an order for </w:t>
      </w:r>
      <w:r w:rsidR="008A7069">
        <w:t>the ACT Tool</w:t>
      </w:r>
      <w:r>
        <w:t xml:space="preserve"> before the Priority Date</w:t>
      </w:r>
      <w:r w:rsidR="008A7069">
        <w:t xml:space="preserve"> and manufacturing of the ACT Tool (</w:t>
      </w:r>
      <w:r>
        <w:t>if that occurred</w:t>
      </w:r>
      <w:r w:rsidR="008A7069">
        <w:t>),</w:t>
      </w:r>
      <w:r w:rsidR="00862815">
        <w:t xml:space="preserve"> </w:t>
      </w:r>
      <w:r>
        <w:t xml:space="preserve">before the Priority Date, constituted commercial exploitation in the invention so as to invalidate the Patents.  Coretell stresses that it does not matter that the </w:t>
      </w:r>
      <w:r w:rsidR="008A7069">
        <w:t xml:space="preserve">ACT Tool was </w:t>
      </w:r>
      <w:r>
        <w:t>not delivered to the purchaser, AMC, until after the Priority Date</w:t>
      </w:r>
      <w:r w:rsidR="008A7069">
        <w:t>.  I</w:t>
      </w:r>
      <w:r>
        <w:t xml:space="preserve">n </w:t>
      </w:r>
      <w:r w:rsidR="008A7069">
        <w:rPr>
          <w:i/>
        </w:rPr>
        <w:t xml:space="preserve">Re </w:t>
      </w:r>
      <w:r w:rsidRPr="00B772EE">
        <w:rPr>
          <w:i/>
        </w:rPr>
        <w:t>Wheatley's Patent Application</w:t>
      </w:r>
      <w:r w:rsidRPr="00B772EE">
        <w:t xml:space="preserve"> (1984) 2 IPR 450</w:t>
      </w:r>
      <w:r w:rsidR="00862815">
        <w:t>,</w:t>
      </w:r>
      <w:r>
        <w:t xml:space="preserve"> Lawton LJ </w:t>
      </w:r>
      <w:r w:rsidR="0080501A">
        <w:t xml:space="preserve">said </w:t>
      </w:r>
      <w:r>
        <w:t xml:space="preserve">(at 453) </w:t>
      </w:r>
      <w:r w:rsidR="0080501A">
        <w:t>that</w:t>
      </w:r>
      <w:r>
        <w:t>:</w:t>
      </w:r>
    </w:p>
    <w:p w:rsidR="00237F56" w:rsidRDefault="00862815" w:rsidP="00237F56">
      <w:pPr>
        <w:pStyle w:val="Quote1"/>
      </w:pPr>
      <w:r>
        <w:t>… By a</w:t>
      </w:r>
      <w:r w:rsidR="00237F56">
        <w:t xml:space="preserve">greeing to sell, the applicant had used his invention to achieve </w:t>
      </w:r>
      <w:r>
        <w:t xml:space="preserve">his </w:t>
      </w:r>
      <w:r w:rsidR="00237F56">
        <w:t>commercial object.  He had dealt in the product</w:t>
      </w:r>
      <w:r>
        <w:t>s</w:t>
      </w:r>
      <w:r w:rsidR="00237F56">
        <w:t xml:space="preserve"> of invention before he had obtained any patent rights.  This </w:t>
      </w:r>
      <w:r>
        <w:t>wa</w:t>
      </w:r>
      <w:r w:rsidR="00237F56">
        <w:t xml:space="preserve">s doing one of the things which the </w:t>
      </w:r>
      <w:r>
        <w:t xml:space="preserve">Statute of Monopolies </w:t>
      </w:r>
      <w:r w:rsidR="00237F56">
        <w:t>1623 was intended to prevent, namely getting a monopoly after having already dealt co</w:t>
      </w:r>
      <w:r>
        <w:t>mmercially with the invention…</w:t>
      </w:r>
    </w:p>
    <w:p w:rsidR="00237F56" w:rsidRDefault="00237F56" w:rsidP="00237F56">
      <w:pPr>
        <w:pStyle w:val="ParaNumbering"/>
      </w:pPr>
      <w:r>
        <w:t xml:space="preserve">The focus, of course, </w:t>
      </w:r>
      <w:r w:rsidR="00D9315F">
        <w:t xml:space="preserve">of </w:t>
      </w:r>
      <w:r>
        <w:t>Coretell’s argument is on Chardec</w:t>
      </w:r>
      <w:r w:rsidR="00D9315F" w:rsidRPr="00D9315F">
        <w:t xml:space="preserve"> </w:t>
      </w:r>
      <w:r w:rsidR="00D9315F">
        <w:t>at this stage</w:t>
      </w:r>
      <w:r>
        <w:t>.  In effect, Coretell says</w:t>
      </w:r>
      <w:r w:rsidR="00743BB2">
        <w:t xml:space="preserve"> that</w:t>
      </w:r>
      <w:r>
        <w:t xml:space="preserve">, by entering into the commercial dealings with AMC before the Priority Date, the owner of the rights, Chardec, exploited the invention and gained the benefit of a de facto extension of the patent term.  </w:t>
      </w:r>
      <w:r w:rsidR="00AC0388">
        <w:t>Coretell says that</w:t>
      </w:r>
      <w:r>
        <w:t xml:space="preserve"> such an act </w:t>
      </w:r>
      <w:r w:rsidR="00AC0388">
        <w:t xml:space="preserve">is </w:t>
      </w:r>
      <w:r>
        <w:t>unacceptable and invalidate</w:t>
      </w:r>
      <w:r w:rsidR="00AC0388">
        <w:t>s</w:t>
      </w:r>
      <w:r>
        <w:t xml:space="preserve"> the patent on the ground of prior use:  see </w:t>
      </w:r>
      <w:r w:rsidRPr="0062212F">
        <w:rPr>
          <w:i/>
        </w:rPr>
        <w:t>Azuko</w:t>
      </w:r>
      <w:r w:rsidR="001C30AA">
        <w:t xml:space="preserve"> </w:t>
      </w:r>
      <w:r w:rsidR="001C30AA" w:rsidRPr="00B446F1">
        <w:rPr>
          <w:i/>
        </w:rPr>
        <w:t>Pty Ltd v Old Digger Pty Ltd</w:t>
      </w:r>
      <w:r w:rsidR="001C30AA" w:rsidRPr="00387FE2">
        <w:t xml:space="preserve"> </w:t>
      </w:r>
      <w:r w:rsidR="001C30AA">
        <w:t xml:space="preserve">(2001) </w:t>
      </w:r>
      <w:r w:rsidR="001C30AA" w:rsidRPr="00B446F1">
        <w:t>52 IPR 75</w:t>
      </w:r>
      <w:r w:rsidR="007F4DB3">
        <w:t xml:space="preserve">, </w:t>
      </w:r>
      <w:r w:rsidR="00AC0388">
        <w:t xml:space="preserve">where the decision of the Full Court </w:t>
      </w:r>
      <w:r>
        <w:t>suggests that merely manufacturing for the purpose of warehousing without any particular client in mind would not be invalidating of prior secret use</w:t>
      </w:r>
      <w:r w:rsidR="00AC0388">
        <w:t>,</w:t>
      </w:r>
      <w:r>
        <w:t xml:space="preserve"> but manufacturing in fulfilment of an order before the Priority Date would be an invalidating prior or secret use under the Act.  </w:t>
      </w:r>
    </w:p>
    <w:p w:rsidR="00237F56" w:rsidRPr="00494E55" w:rsidRDefault="00237F56" w:rsidP="00237F56">
      <w:pPr>
        <w:pStyle w:val="ParaNumbering"/>
      </w:pPr>
      <w:r>
        <w:t xml:space="preserve">Coretell points out that </w:t>
      </w:r>
      <w:r w:rsidR="00F82008">
        <w:t xml:space="preserve">the applicants </w:t>
      </w:r>
      <w:r>
        <w:t xml:space="preserve">have not pleaded that the act of Chardec contracting with a third party, AMC, for the sale of 50 </w:t>
      </w:r>
      <w:r w:rsidR="00AC0388">
        <w:t>ACT T</w:t>
      </w:r>
      <w:r>
        <w:t xml:space="preserve">ools constitutes reasonable trial under s 24(1) of the Act.  Clearly, there is no reasonable trial aspect to such a commercial dealing.  The act was authorised by the owner of the relevant rights, Chardec.  The novelty of the Patents, Coretell says, was, therefore, lost.  However, I expressly find that no such contract has been proven.  It did not exist.  </w:t>
      </w:r>
    </w:p>
    <w:p w:rsidR="00237F56" w:rsidRDefault="00237F56" w:rsidP="00237F56">
      <w:pPr>
        <w:pStyle w:val="ParaNumbering"/>
      </w:pPr>
      <w:r>
        <w:t xml:space="preserve">Coretell </w:t>
      </w:r>
      <w:r w:rsidR="00AC0388">
        <w:t xml:space="preserve">also </w:t>
      </w:r>
      <w:r>
        <w:t xml:space="preserve">asserts that the relevant pleaded prior use by Ace Drilling/Imdex must be considered against the fact that the ultimate patent applicant was AMC as a separate </w:t>
      </w:r>
      <w:r>
        <w:lastRenderedPageBreak/>
        <w:t xml:space="preserve">corporate entity to Ace Drilling/Imdex.  It argues that those uses </w:t>
      </w:r>
      <w:r w:rsidR="00AC0388">
        <w:t>between January and July 2004 were as follows</w:t>
      </w:r>
      <w:r>
        <w:t>:</w:t>
      </w:r>
    </w:p>
    <w:p w:rsidR="00237F56" w:rsidRDefault="00237F56" w:rsidP="001332BE">
      <w:pPr>
        <w:pStyle w:val="ListNo"/>
        <w:numPr>
          <w:ilvl w:val="0"/>
          <w:numId w:val="48"/>
        </w:numPr>
        <w:tabs>
          <w:tab w:val="clear" w:pos="720"/>
        </w:tabs>
      </w:pPr>
      <w:r>
        <w:t xml:space="preserve">by display, inspection, demonstration and testing the </w:t>
      </w:r>
      <w:r w:rsidR="00EB5868">
        <w:t>ACT T</w:t>
      </w:r>
      <w:r>
        <w:t xml:space="preserve">ools, including by </w:t>
      </w:r>
      <w:r w:rsidR="00EB5868">
        <w:t xml:space="preserve">‘fitment’ </w:t>
      </w:r>
      <w:r>
        <w:t>to modified back</w:t>
      </w:r>
      <w:r w:rsidR="00ED79AF">
        <w:t xml:space="preserve"> </w:t>
      </w:r>
      <w:r>
        <w:t xml:space="preserve">end componentry of </w:t>
      </w:r>
      <w:r w:rsidR="00EB5868">
        <w:t xml:space="preserve">a </w:t>
      </w:r>
      <w:r>
        <w:t>down</w:t>
      </w:r>
      <w:r w:rsidR="00EB5868">
        <w:t>-hole</w:t>
      </w:r>
      <w:r>
        <w:t xml:space="preserve"> core tube assembly;</w:t>
      </w:r>
    </w:p>
    <w:p w:rsidR="00237F56" w:rsidRDefault="00237F56" w:rsidP="001332BE">
      <w:pPr>
        <w:pStyle w:val="ListNo"/>
        <w:numPr>
          <w:ilvl w:val="0"/>
          <w:numId w:val="48"/>
        </w:numPr>
        <w:tabs>
          <w:tab w:val="clear" w:pos="720"/>
        </w:tabs>
      </w:pPr>
      <w:r>
        <w:t xml:space="preserve">prior use by Ace Drilling/Imdex </w:t>
      </w:r>
      <w:r w:rsidR="00EB5868">
        <w:t xml:space="preserve">to </w:t>
      </w:r>
      <w:r>
        <w:t>Mosslake in Perth on 11 or 12 March;</w:t>
      </w:r>
    </w:p>
    <w:p w:rsidR="00237F56" w:rsidRDefault="00237F56" w:rsidP="001332BE">
      <w:pPr>
        <w:pStyle w:val="ListNo"/>
        <w:numPr>
          <w:ilvl w:val="0"/>
          <w:numId w:val="48"/>
        </w:numPr>
        <w:tabs>
          <w:tab w:val="clear" w:pos="720"/>
        </w:tabs>
      </w:pPr>
      <w:r>
        <w:t xml:space="preserve">prior use by Ace Drilling/Imdex </w:t>
      </w:r>
      <w:r w:rsidR="00EB5868">
        <w:t xml:space="preserve">to </w:t>
      </w:r>
      <w:r w:rsidR="009353A6">
        <w:t>Drill Corp</w:t>
      </w:r>
      <w:r>
        <w:t xml:space="preserve"> at </w:t>
      </w:r>
      <w:r w:rsidR="009353A6">
        <w:t>Drill Corp</w:t>
      </w:r>
      <w:r>
        <w:t xml:space="preserve">’s offices at </w:t>
      </w:r>
      <w:r w:rsidR="00EB5868">
        <w:t xml:space="preserve">Wangara </w:t>
      </w:r>
      <w:r>
        <w:t xml:space="preserve">in Perth in April 2004; </w:t>
      </w:r>
    </w:p>
    <w:p w:rsidR="00237F56" w:rsidRDefault="00237F56" w:rsidP="001332BE">
      <w:pPr>
        <w:pStyle w:val="ListNo"/>
        <w:numPr>
          <w:ilvl w:val="0"/>
          <w:numId w:val="48"/>
        </w:numPr>
        <w:tabs>
          <w:tab w:val="clear" w:pos="720"/>
        </w:tabs>
      </w:pPr>
      <w:r>
        <w:t>prior use by Ace Drilling</w:t>
      </w:r>
      <w:r w:rsidR="00EB5868">
        <w:t>/Imdex</w:t>
      </w:r>
      <w:r>
        <w:t xml:space="preserve"> and/or Mosslake at Manjimup</w:t>
      </w:r>
      <w:r w:rsidR="00EB5868">
        <w:t xml:space="preserve"> to Mosslake</w:t>
      </w:r>
      <w:r>
        <w:t>;</w:t>
      </w:r>
    </w:p>
    <w:p w:rsidR="00237F56" w:rsidRDefault="00237F56" w:rsidP="001332BE">
      <w:pPr>
        <w:pStyle w:val="ListNo"/>
        <w:numPr>
          <w:ilvl w:val="0"/>
          <w:numId w:val="48"/>
        </w:numPr>
        <w:tabs>
          <w:tab w:val="clear" w:pos="720"/>
        </w:tabs>
      </w:pPr>
      <w:r>
        <w:t xml:space="preserve">prior use by </w:t>
      </w:r>
      <w:r w:rsidR="00EB5868">
        <w:t xml:space="preserve">Ace Drilling/Imdex and/or </w:t>
      </w:r>
      <w:r w:rsidR="009353A6">
        <w:t>Drill Corp</w:t>
      </w:r>
      <w:r>
        <w:t xml:space="preserve"> near Kalgoorlie in Western Australia on 29 and 30 April 2004;</w:t>
      </w:r>
    </w:p>
    <w:p w:rsidR="00237F56" w:rsidRDefault="00237F56" w:rsidP="001332BE">
      <w:pPr>
        <w:pStyle w:val="ListNo"/>
        <w:numPr>
          <w:ilvl w:val="0"/>
          <w:numId w:val="48"/>
        </w:numPr>
        <w:tabs>
          <w:tab w:val="clear" w:pos="720"/>
        </w:tabs>
      </w:pPr>
      <w:r>
        <w:t>prior use by Ace Drilling</w:t>
      </w:r>
      <w:r w:rsidR="000063DE">
        <w:t>/Imdex</w:t>
      </w:r>
      <w:r>
        <w:t xml:space="preserve"> and/or Barminco at Kalgoorlie during 19 and 26 May; and</w:t>
      </w:r>
    </w:p>
    <w:p w:rsidR="00237F56" w:rsidRDefault="00237F56" w:rsidP="001332BE">
      <w:pPr>
        <w:pStyle w:val="ListNo"/>
        <w:numPr>
          <w:ilvl w:val="0"/>
          <w:numId w:val="48"/>
        </w:numPr>
        <w:tabs>
          <w:tab w:val="clear" w:pos="720"/>
        </w:tabs>
      </w:pPr>
      <w:r>
        <w:t xml:space="preserve">prior use by Ace Drilling by offers for supply to the public in Australia of </w:t>
      </w:r>
      <w:r w:rsidR="000063DE">
        <w:t>ACT T</w:t>
      </w:r>
      <w:r>
        <w:t>ools before 3 September 2004, including offers made in June/July 2004.</w:t>
      </w:r>
    </w:p>
    <w:p w:rsidR="00237F56" w:rsidRPr="000F4A06" w:rsidRDefault="00237F56" w:rsidP="00237F56">
      <w:pPr>
        <w:pStyle w:val="ParaNumbering"/>
      </w:pPr>
      <w:r>
        <w:t>Dealing with these in turn, Coretell relies on the fact that Mr Parfitt had no intention of patenting the tool, he was indifferent as to how many people saw the tool, where the tool went</w:t>
      </w:r>
      <w:r w:rsidR="0089745F">
        <w:t>,</w:t>
      </w:r>
      <w:r>
        <w:t xml:space="preserve"> or the way in which the trialling was conducted.  </w:t>
      </w:r>
      <w:r w:rsidR="0089745F">
        <w:t xml:space="preserve">Coretell says that he </w:t>
      </w:r>
      <w:r>
        <w:t xml:space="preserve">had no thought or intention at all of obtaining patent protection for the </w:t>
      </w:r>
      <w:r w:rsidR="0089745F">
        <w:t>ACT T</w:t>
      </w:r>
      <w:r>
        <w:t xml:space="preserve">ool as such an application would be too expensive.  </w:t>
      </w:r>
      <w:r w:rsidR="0089745F">
        <w:t>According to Coretell, n</w:t>
      </w:r>
      <w:r>
        <w:t>o confidentiality attaches to these tests</w:t>
      </w:r>
      <w:r w:rsidR="0089745F">
        <w:t>,</w:t>
      </w:r>
      <w:r>
        <w:t xml:space="preserve"> nor is it pleaded that they were </w:t>
      </w:r>
      <w:r w:rsidR="0089745F">
        <w:t>‘</w:t>
      </w:r>
      <w:r>
        <w:t>reasonable trial</w:t>
      </w:r>
      <w:r w:rsidR="0089745F">
        <w:t>’</w:t>
      </w:r>
      <w:r>
        <w:t xml:space="preserve">.  So treating Imdex as a member of the public, </w:t>
      </w:r>
      <w:r w:rsidR="0080457E">
        <w:t xml:space="preserve">Coretell says that </w:t>
      </w:r>
      <w:r>
        <w:t xml:space="preserve">Chardec’s release of the </w:t>
      </w:r>
      <w:r w:rsidR="0080457E">
        <w:t>ACT T</w:t>
      </w:r>
      <w:r>
        <w:t>ool to Imdex in this way was prior use for the purpose of item (a).</w:t>
      </w:r>
    </w:p>
    <w:p w:rsidR="00237F56" w:rsidRDefault="00237F56" w:rsidP="00237F56">
      <w:pPr>
        <w:pStyle w:val="ParaNumbering"/>
      </w:pPr>
      <w:r>
        <w:t xml:space="preserve">In relation to item (b), there was a demonstration by Mr Bradford to Mr Miitel of Mosslake in Perth, according to Coretell.  I </w:t>
      </w:r>
      <w:r w:rsidR="0080457E">
        <w:t xml:space="preserve">found </w:t>
      </w:r>
      <w:r>
        <w:t xml:space="preserve">this evidence </w:t>
      </w:r>
      <w:r w:rsidR="0080457E">
        <w:t xml:space="preserve">to be </w:t>
      </w:r>
      <w:r>
        <w:t xml:space="preserve">very unsatisfactory.  I would not be prepared to conclude that these activities constituted prior use.  </w:t>
      </w:r>
    </w:p>
    <w:p w:rsidR="0080457E" w:rsidRDefault="00237F56" w:rsidP="00237F56">
      <w:pPr>
        <w:pStyle w:val="ParaNumbering"/>
      </w:pPr>
      <w:r>
        <w:t xml:space="preserve">As to item (c) </w:t>
      </w:r>
      <w:r w:rsidR="007A5900">
        <w:t>(</w:t>
      </w:r>
      <w:r>
        <w:t xml:space="preserve">the display, demonstration and description of the </w:t>
      </w:r>
      <w:r w:rsidR="0080457E">
        <w:t>ACT T</w:t>
      </w:r>
      <w:r>
        <w:t xml:space="preserve">ool by Ace Drilling/Imdex to </w:t>
      </w:r>
      <w:r w:rsidR="009353A6">
        <w:t>Drill Corp</w:t>
      </w:r>
      <w:r>
        <w:t xml:space="preserve"> representatives at </w:t>
      </w:r>
      <w:r w:rsidR="0080457E">
        <w:t>Wangara</w:t>
      </w:r>
      <w:r>
        <w:t>, Perth in April 2004</w:t>
      </w:r>
      <w:r w:rsidR="007A5900">
        <w:t>)</w:t>
      </w:r>
      <w:r>
        <w:t xml:space="preserve">, Coretell says that the applicants have not pleaded </w:t>
      </w:r>
      <w:r w:rsidR="0080457E">
        <w:t xml:space="preserve">that </w:t>
      </w:r>
      <w:r>
        <w:t>this act constituted reasonable trial</w:t>
      </w:r>
      <w:r w:rsidR="0080457E">
        <w:t>, and that t</w:t>
      </w:r>
      <w:r>
        <w:t xml:space="preserve">he demonstration of the </w:t>
      </w:r>
      <w:r w:rsidR="0080457E">
        <w:t>ACT T</w:t>
      </w:r>
      <w:r>
        <w:t xml:space="preserve">ool and its method of working could not have been reasonable trial because Mr Parfitt had no intention of patenting it.  </w:t>
      </w:r>
    </w:p>
    <w:p w:rsidR="00237F56" w:rsidRDefault="00237F56" w:rsidP="00237F56">
      <w:pPr>
        <w:pStyle w:val="ParaNumbering"/>
      </w:pPr>
      <w:r>
        <w:lastRenderedPageBreak/>
        <w:t xml:space="preserve">Items (d), (e) and (f), are the </w:t>
      </w:r>
      <w:r w:rsidR="0080457E">
        <w:t xml:space="preserve">activities alleged to be </w:t>
      </w:r>
      <w:r>
        <w:t>reasonable trial</w:t>
      </w:r>
      <w:r w:rsidR="0080457E">
        <w:t xml:space="preserve"> by the applicants</w:t>
      </w:r>
      <w:r>
        <w:t>.  In relation to reasonable trial, Coretell stress</w:t>
      </w:r>
      <w:r w:rsidR="0080457E">
        <w:t>es</w:t>
      </w:r>
      <w:r>
        <w:t xml:space="preserve"> </w:t>
      </w:r>
      <w:r w:rsidR="00BF1888">
        <w:t>that</w:t>
      </w:r>
      <w:r w:rsidR="003E7B39">
        <w:t>,</w:t>
      </w:r>
      <w:r w:rsidR="00BF1888">
        <w:t xml:space="preserve"> </w:t>
      </w:r>
      <w:r w:rsidR="0080457E">
        <w:t xml:space="preserve">pursuant to </w:t>
      </w:r>
      <w:r>
        <w:t xml:space="preserve">reg 2.2B </w:t>
      </w:r>
      <w:r w:rsidR="00D34B91">
        <w:t xml:space="preserve">(which I take to mean reg 2.2(2)(d)) </w:t>
      </w:r>
      <w:r>
        <w:t>and s 24(1) of the Act</w:t>
      </w:r>
      <w:r w:rsidR="00BF1888">
        <w:t>,</w:t>
      </w:r>
      <w:r>
        <w:t xml:space="preserve"> </w:t>
      </w:r>
      <w:r w:rsidR="0080457E">
        <w:t xml:space="preserve">for </w:t>
      </w:r>
      <w:r>
        <w:t>the purpose of deciding whether an invention is novel or involves an inventive step or innovative step, the decision-mak</w:t>
      </w:r>
      <w:r w:rsidR="0080457E">
        <w:t xml:space="preserve">er must </w:t>
      </w:r>
      <w:r w:rsidR="00BF1888">
        <w:t xml:space="preserve">disregard </w:t>
      </w:r>
      <w:r w:rsidR="0080457E">
        <w:t>the circumstance</w:t>
      </w:r>
      <w:r>
        <w:t xml:space="preserve"> of the working of the invention by or with the consent of the nominated person or patentee or the predecessor in title of the nominated person or patentee for the purposes of reasonable trial.  The defined ‘circumstance’ under reg</w:t>
      </w:r>
      <w:r w:rsidR="003E7B39">
        <w:t xml:space="preserve"> 2.2(2)(d) </w:t>
      </w:r>
      <w:r>
        <w:t>is that:</w:t>
      </w:r>
    </w:p>
    <w:p w:rsidR="00237F56" w:rsidRDefault="0080457E" w:rsidP="001332BE">
      <w:pPr>
        <w:pStyle w:val="ListNo"/>
        <w:numPr>
          <w:ilvl w:val="0"/>
          <w:numId w:val="49"/>
        </w:numPr>
        <w:tabs>
          <w:tab w:val="clear" w:pos="720"/>
        </w:tabs>
      </w:pPr>
      <w:r>
        <w:t>t</w:t>
      </w:r>
      <w:r w:rsidR="00237F56">
        <w:t>he information has been made by public because the invention was worked in public; and</w:t>
      </w:r>
    </w:p>
    <w:p w:rsidR="00237F56" w:rsidRDefault="0080457E" w:rsidP="001332BE">
      <w:pPr>
        <w:pStyle w:val="ListNo"/>
        <w:numPr>
          <w:ilvl w:val="0"/>
          <w:numId w:val="49"/>
        </w:numPr>
        <w:tabs>
          <w:tab w:val="clear" w:pos="720"/>
        </w:tabs>
      </w:pPr>
      <w:r>
        <w:t>t</w:t>
      </w:r>
      <w:r w:rsidR="00237F56">
        <w:t>he working of the invention was for the purposes of a reasonable trial of the invention; and</w:t>
      </w:r>
    </w:p>
    <w:p w:rsidR="00237F56" w:rsidRDefault="0080457E" w:rsidP="001332BE">
      <w:pPr>
        <w:pStyle w:val="ListNo"/>
        <w:numPr>
          <w:ilvl w:val="0"/>
          <w:numId w:val="49"/>
        </w:numPr>
        <w:tabs>
          <w:tab w:val="clear" w:pos="720"/>
        </w:tabs>
      </w:pPr>
      <w:r>
        <w:t>b</w:t>
      </w:r>
      <w:r w:rsidR="00237F56">
        <w:t xml:space="preserve">ecause of the nature of the invention, it was reasonably necessary for the working to be in public.  </w:t>
      </w:r>
    </w:p>
    <w:p w:rsidR="0080457E" w:rsidRDefault="00237F56" w:rsidP="00237F56">
      <w:pPr>
        <w:pStyle w:val="ParaNumbering"/>
      </w:pPr>
      <w:r>
        <w:t xml:space="preserve">Coretell argues that the limits of asserted trial were set down in </w:t>
      </w:r>
      <w:r w:rsidRPr="00552EB3">
        <w:rPr>
          <w:i/>
        </w:rPr>
        <w:t>Longworth</w:t>
      </w:r>
      <w:r w:rsidR="0080457E">
        <w:rPr>
          <w:i/>
        </w:rPr>
        <w:t xml:space="preserve"> v Emerton</w:t>
      </w:r>
      <w:r>
        <w:t xml:space="preserve">, including the requirement that the use or working in public must be reasonably necessary in order to bring the invention to such a condition that the inventor may apply for a patent to describe his or her invention in a specification, whether complete or provisional.  </w:t>
      </w:r>
    </w:p>
    <w:p w:rsidR="0080457E" w:rsidRDefault="0080457E" w:rsidP="00237F56">
      <w:pPr>
        <w:pStyle w:val="ParaNumbering"/>
      </w:pPr>
      <w:r>
        <w:t>According to Coretell, t</w:t>
      </w:r>
      <w:r w:rsidR="00237F56">
        <w:t xml:space="preserve">he evidence is that such a description could easily have been given prior to this date.  As to the necessity for the working to be in public, </w:t>
      </w:r>
      <w:r>
        <w:t xml:space="preserve">Coretell says that the </w:t>
      </w:r>
      <w:r w:rsidR="00237F56">
        <w:t xml:space="preserve">evidence in this case is against the need for any public trials, let alone multiple public trials with multiple </w:t>
      </w:r>
      <w:r>
        <w:t>‘</w:t>
      </w:r>
      <w:r w:rsidR="00237F56">
        <w:t>trial</w:t>
      </w:r>
      <w:r>
        <w:t xml:space="preserve"> l</w:t>
      </w:r>
      <w:r w:rsidR="00237F56">
        <w:t>ists</w:t>
      </w:r>
      <w:r>
        <w:t>’</w:t>
      </w:r>
      <w:r w:rsidR="00237F56">
        <w:t>.  Coretell says the applicants have failed to establish any reason why obligations of confidence could not have been imp</w:t>
      </w:r>
      <w:r>
        <w:t xml:space="preserve">osed on those third parties who were </w:t>
      </w:r>
      <w:r w:rsidR="00237F56">
        <w:t xml:space="preserve">involved in the working of the applicants’ </w:t>
      </w:r>
      <w:r>
        <w:t>ACT Tool</w:t>
      </w:r>
      <w:r w:rsidR="00237F56">
        <w:t xml:space="preserve"> </w:t>
      </w:r>
      <w:r>
        <w:t xml:space="preserve">prior to the </w:t>
      </w:r>
      <w:r w:rsidR="00237F56">
        <w:t xml:space="preserve">Priority Date.  The evidence of Mr Hill, </w:t>
      </w:r>
      <w:r>
        <w:t xml:space="preserve">a </w:t>
      </w:r>
      <w:r w:rsidR="00237F56">
        <w:t xml:space="preserve">mechanical engineer specialising in product development in the mining industry, formerly of Sandvik, was that if there was any possibility that the circumstance of testing could lead to the disclosure of the invention it would invariably be the case that those involved in the testing would be required to enter into specific confidentiality agreements.  Sandvik was an altogether different company.  </w:t>
      </w:r>
    </w:p>
    <w:p w:rsidR="00237F56" w:rsidRDefault="00237F56" w:rsidP="00237F56">
      <w:pPr>
        <w:pStyle w:val="ParaNumbering"/>
      </w:pPr>
      <w:r>
        <w:t>I do not consider Mr Hill’s evidence to be of great moment in relation to the circumstances of this case, where the trialling was on a very small scale</w:t>
      </w:r>
      <w:r w:rsidR="00AF18B3">
        <w:t>,</w:t>
      </w:r>
      <w:r>
        <w:t xml:space="preserve"> </w:t>
      </w:r>
      <w:r w:rsidR="00AF18B3">
        <w:t xml:space="preserve">and involved </w:t>
      </w:r>
      <w:r>
        <w:t xml:space="preserve">a very small number of people in remote locations.  It is true that there are no confidentiality agreements in place.  This does not mean the inventions were </w:t>
      </w:r>
      <w:r w:rsidR="00AF18B3">
        <w:t xml:space="preserve">made </w:t>
      </w:r>
      <w:r>
        <w:t xml:space="preserve">public.  They were not.  </w:t>
      </w:r>
    </w:p>
    <w:p w:rsidR="00237F56" w:rsidRDefault="00237F56" w:rsidP="00237F56">
      <w:pPr>
        <w:pStyle w:val="ParaNumbering"/>
      </w:pPr>
      <w:r>
        <w:lastRenderedPageBreak/>
        <w:t>Coretell also emphasise that:</w:t>
      </w:r>
    </w:p>
    <w:p w:rsidR="00237F56" w:rsidRDefault="00392982" w:rsidP="001332BE">
      <w:pPr>
        <w:pStyle w:val="ListNo"/>
        <w:numPr>
          <w:ilvl w:val="0"/>
          <w:numId w:val="50"/>
        </w:numPr>
        <w:tabs>
          <w:tab w:val="clear" w:pos="720"/>
        </w:tabs>
      </w:pPr>
      <w:r>
        <w:t>t</w:t>
      </w:r>
      <w:r w:rsidR="00237F56">
        <w:t xml:space="preserve">here was no need for any working of the </w:t>
      </w:r>
      <w:r>
        <w:t>ACT T</w:t>
      </w:r>
      <w:r w:rsidR="00237F56">
        <w:t>ool</w:t>
      </w:r>
      <w:r>
        <w:t xml:space="preserve"> before the </w:t>
      </w:r>
      <w:r w:rsidR="00237F56">
        <w:t xml:space="preserve">Priority Date by Mosslake, </w:t>
      </w:r>
      <w:r w:rsidR="009353A6">
        <w:t>Drill Corp</w:t>
      </w:r>
      <w:r w:rsidR="00237F56">
        <w:t xml:space="preserve"> or Barminco as the invention was in patentable condition and a provisional patent application could have been filed prior to the prototypes being handed over by Chardec/Mr Parfitt to Ace Drilling/Mr Bradford in January 2004;</w:t>
      </w:r>
    </w:p>
    <w:p w:rsidR="00237F56" w:rsidRDefault="00392982" w:rsidP="001332BE">
      <w:pPr>
        <w:pStyle w:val="ListNo"/>
        <w:numPr>
          <w:ilvl w:val="0"/>
          <w:numId w:val="50"/>
        </w:numPr>
        <w:tabs>
          <w:tab w:val="clear" w:pos="720"/>
        </w:tabs>
      </w:pPr>
      <w:r>
        <w:t>a</w:t>
      </w:r>
      <w:r w:rsidR="00237F56">
        <w:t>ny working that did occur could readily have been accomplished under obligations of confidence and supervision by representatives of the inventor or the patentee, this was not done;</w:t>
      </w:r>
    </w:p>
    <w:p w:rsidR="00237F56" w:rsidRDefault="00392982" w:rsidP="001332BE">
      <w:pPr>
        <w:pStyle w:val="ListNo"/>
        <w:numPr>
          <w:ilvl w:val="0"/>
          <w:numId w:val="50"/>
        </w:numPr>
        <w:tabs>
          <w:tab w:val="clear" w:pos="720"/>
        </w:tabs>
      </w:pPr>
      <w:r>
        <w:t>i</w:t>
      </w:r>
      <w:r w:rsidR="00237F56">
        <w:t>n any event, as noted above, the owner of any intellectual property rights in the invention at the time of the asserted ‘trialling’ in April and May 2004 was Chardec</w:t>
      </w:r>
      <w:r>
        <w:t>,</w:t>
      </w:r>
      <w:r w:rsidR="00237F56">
        <w:t xml:space="preserve"> and Mr Parfitt gave evidence that Chardec had no interest of obtaining any </w:t>
      </w:r>
      <w:r>
        <w:t xml:space="preserve">patent </w:t>
      </w:r>
      <w:r w:rsidR="00237F56">
        <w:t xml:space="preserve">rights in relation to the </w:t>
      </w:r>
      <w:r>
        <w:t>ACT T</w:t>
      </w:r>
      <w:r w:rsidR="00237F56">
        <w:t>ool;</w:t>
      </w:r>
    </w:p>
    <w:p w:rsidR="00237F56" w:rsidRDefault="00392982" w:rsidP="001332BE">
      <w:pPr>
        <w:pStyle w:val="ListNo"/>
        <w:numPr>
          <w:ilvl w:val="0"/>
          <w:numId w:val="50"/>
        </w:numPr>
        <w:tabs>
          <w:tab w:val="clear" w:pos="720"/>
        </w:tabs>
      </w:pPr>
      <w:r>
        <w:t>t</w:t>
      </w:r>
      <w:r w:rsidR="00237F56">
        <w:t>he applicant for the patent, AMC, had no involvement in the asserted testing or trialling</w:t>
      </w:r>
      <w:r>
        <w:t>; t</w:t>
      </w:r>
      <w:r w:rsidR="00237F56">
        <w:t>he prior use by Ace Drilling</w:t>
      </w:r>
      <w:r>
        <w:t>/</w:t>
      </w:r>
      <w:r w:rsidR="00237F56">
        <w:t xml:space="preserve">Imdex, Mosslake, </w:t>
      </w:r>
      <w:r w:rsidR="009353A6">
        <w:t>Drill Corp</w:t>
      </w:r>
      <w:r w:rsidR="00237F56">
        <w:t xml:space="preserve"> and Barminco falls outside the statutory provision in that there is no evidence that three pleaded instances of prior use were done by or with consent of the nominated person or patentee, AMC</w:t>
      </w:r>
      <w:r>
        <w:t>,</w:t>
      </w:r>
      <w:r w:rsidR="00237F56">
        <w:t xml:space="preserve"> or the predecessor in title of the nominated</w:t>
      </w:r>
      <w:r>
        <w:t xml:space="preserve"> person or patentee, Chardec; o</w:t>
      </w:r>
      <w:r w:rsidR="00237F56">
        <w:t>n the evidence, AMC had no role in authorising o</w:t>
      </w:r>
      <w:r>
        <w:t xml:space="preserve">r arranging new set of trials; </w:t>
      </w:r>
      <w:r w:rsidR="00237F56">
        <w:t>Chardec gave no consent to specific trials an</w:t>
      </w:r>
      <w:r>
        <w:t>d merely handed the tools to Mr </w:t>
      </w:r>
      <w:r w:rsidR="00237F56">
        <w:t>Bradford of Ace Drilling</w:t>
      </w:r>
      <w:r>
        <w:t xml:space="preserve">; </w:t>
      </w:r>
      <w:r w:rsidR="00237F56">
        <w:t xml:space="preserve">Chardec had no interest in patenting and wanted to ensure that the </w:t>
      </w:r>
      <w:r>
        <w:t>ACT T</w:t>
      </w:r>
      <w:r w:rsidR="00237F56">
        <w:t>ool was shown to as many people as possible;</w:t>
      </w:r>
    </w:p>
    <w:p w:rsidR="003C3C7A" w:rsidRDefault="00392982" w:rsidP="001332BE">
      <w:pPr>
        <w:pStyle w:val="ListNo"/>
        <w:numPr>
          <w:ilvl w:val="0"/>
          <w:numId w:val="50"/>
        </w:numPr>
        <w:tabs>
          <w:tab w:val="clear" w:pos="720"/>
        </w:tabs>
      </w:pPr>
      <w:r>
        <w:t>e</w:t>
      </w:r>
      <w:r w:rsidR="00237F56">
        <w:t xml:space="preserve">ven if, which Coretell denies, there was a need for trial or a test for the </w:t>
      </w:r>
      <w:r w:rsidR="003C3C7A">
        <w:t>ACT T</w:t>
      </w:r>
      <w:r w:rsidR="00237F56">
        <w:t xml:space="preserve">ool before filing a patent specification, this could readily </w:t>
      </w:r>
      <w:r w:rsidR="003C3C7A">
        <w:t xml:space="preserve">have </w:t>
      </w:r>
      <w:r w:rsidR="00237F56">
        <w:t>been accomplished by one test with one customer and on a confined basis</w:t>
      </w:r>
      <w:r w:rsidR="003C3C7A">
        <w:t>; h</w:t>
      </w:r>
      <w:r w:rsidR="00237F56">
        <w:t xml:space="preserve">ere, however, the </w:t>
      </w:r>
      <w:r w:rsidR="003C3C7A">
        <w:t>ACT T</w:t>
      </w:r>
      <w:r w:rsidR="00237F56">
        <w:t>ool was disclosed to multiple customers of the applicants over an extended period of time</w:t>
      </w:r>
      <w:r w:rsidR="003C3C7A">
        <w:t>; s</w:t>
      </w:r>
      <w:r w:rsidR="00237F56">
        <w:t>uch actions were not reasonably necessary for trial purposes</w:t>
      </w:r>
      <w:r w:rsidR="003C3C7A">
        <w:t>; e</w:t>
      </w:r>
      <w:r w:rsidR="00237F56">
        <w:t>viden</w:t>
      </w:r>
      <w:r w:rsidR="003C3C7A">
        <w:t>ce of Mr </w:t>
      </w:r>
      <w:r w:rsidR="00237F56">
        <w:t>Bradford showed the extent of the trialling</w:t>
      </w:r>
      <w:r w:rsidR="003C3C7A">
        <w:t xml:space="preserve"> (</w:t>
      </w:r>
      <w:r w:rsidR="00237F56">
        <w:t>but I have previously commented on my views about Mr Bradford’s evidence</w:t>
      </w:r>
      <w:r w:rsidR="003C3C7A">
        <w:t>);</w:t>
      </w:r>
    </w:p>
    <w:p w:rsidR="00237F56" w:rsidRDefault="00237F56" w:rsidP="001332BE">
      <w:pPr>
        <w:pStyle w:val="ListNo"/>
        <w:numPr>
          <w:ilvl w:val="0"/>
          <w:numId w:val="50"/>
        </w:numPr>
        <w:tabs>
          <w:tab w:val="clear" w:pos="720"/>
        </w:tabs>
      </w:pPr>
      <w:r>
        <w:t xml:space="preserve">the only former employees of Ace Drilling/Imdex who have come forward to give evidence about participation in the asserted ‘trials’, Mr Bradford and Mr Munro, stated </w:t>
      </w:r>
      <w:r w:rsidR="00C101A6">
        <w:t xml:space="preserve">that </w:t>
      </w:r>
      <w:r>
        <w:t xml:space="preserve">they were not ‘trials’ for research and testing purposes, but rather, were of a promotional character designed to obtain customer feedback in relation to the </w:t>
      </w:r>
      <w:r w:rsidR="00C101A6">
        <w:t xml:space="preserve">ACT </w:t>
      </w:r>
      <w:r w:rsidR="00C101A6">
        <w:lastRenderedPageBreak/>
        <w:t>Tool</w:t>
      </w:r>
      <w:r>
        <w:t xml:space="preserve"> and to ascertain whether a market could exist for the </w:t>
      </w:r>
      <w:r w:rsidR="00C101A6">
        <w:t xml:space="preserve">ACT Tool; the </w:t>
      </w:r>
      <w:r>
        <w:t xml:space="preserve">applicants chose to call no witnesses from their organisations to give evidence about the testing and the ‘ACT Project’ other than </w:t>
      </w:r>
      <w:r w:rsidRPr="009B1A30">
        <w:t>Mr</w:t>
      </w:r>
      <w:r>
        <w:t> </w:t>
      </w:r>
      <w:r w:rsidRPr="009B1A30">
        <w:t>Weston</w:t>
      </w:r>
      <w:r w:rsidR="00C101A6">
        <w:t>,</w:t>
      </w:r>
      <w:r>
        <w:t xml:space="preserve"> and he never attended any of the asserted field trials</w:t>
      </w:r>
      <w:r w:rsidR="001C48BE">
        <w:t>;</w:t>
      </w:r>
      <w:r w:rsidR="00C101A6">
        <w:t xml:space="preserve"> t</w:t>
      </w:r>
      <w:r>
        <w:t>he evidence of Ms Gregg, Mr Reed and Mr Munyard, as witnesses for the applicants was telling</w:t>
      </w:r>
      <w:r w:rsidR="00C101A6">
        <w:t xml:space="preserve">; </w:t>
      </w:r>
      <w:r>
        <w:t>Mr Weston gave evidence that Ms Gregg is still in Perth and one of Imdex’s clients;</w:t>
      </w:r>
    </w:p>
    <w:p w:rsidR="00237F56" w:rsidRDefault="00C101A6" w:rsidP="001332BE">
      <w:pPr>
        <w:pStyle w:val="ListNo"/>
        <w:numPr>
          <w:ilvl w:val="0"/>
          <w:numId w:val="50"/>
        </w:numPr>
        <w:tabs>
          <w:tab w:val="clear" w:pos="720"/>
        </w:tabs>
      </w:pPr>
      <w:r>
        <w:t>a</w:t>
      </w:r>
      <w:r w:rsidR="00237F56">
        <w:t xml:space="preserve">ccording to Mr Weston, managing director of Imdex, Mr Ridgeway was also heavily involved in the </w:t>
      </w:r>
      <w:r>
        <w:t>ACT T</w:t>
      </w:r>
      <w:r w:rsidR="00237F56">
        <w:t xml:space="preserve">ool project and was ‘fully aware of everything associated with the </w:t>
      </w:r>
      <w:r>
        <w:t>[ACT Tool]</w:t>
      </w:r>
      <w:r w:rsidR="00237F56">
        <w:t>’</w:t>
      </w:r>
      <w:r w:rsidR="00665E4C">
        <w:t>; he</w:t>
      </w:r>
      <w:r w:rsidR="00237F56">
        <w:t xml:space="preserve"> also failed to appear to give </w:t>
      </w:r>
      <w:r w:rsidR="00665E4C">
        <w:t xml:space="preserve">evidence; </w:t>
      </w:r>
      <w:r w:rsidR="00237F56">
        <w:t xml:space="preserve">Mr Ridgeway had a </w:t>
      </w:r>
      <w:r w:rsidR="00665E4C">
        <w:t>‘</w:t>
      </w:r>
      <w:r w:rsidR="00237F56">
        <w:t>daily knowledge of what was going on</w:t>
      </w:r>
      <w:r w:rsidR="00665E4C">
        <w:t>’</w:t>
      </w:r>
      <w:r w:rsidR="00237F56">
        <w:t xml:space="preserve"> and was </w:t>
      </w:r>
      <w:r w:rsidR="00665E4C">
        <w:t>‘</w:t>
      </w:r>
      <w:r w:rsidR="00237F56">
        <w:t>fully informed</w:t>
      </w:r>
      <w:r w:rsidR="00665E4C">
        <w:t>’</w:t>
      </w:r>
      <w:r w:rsidR="00237F56">
        <w:t>, attended weekly meetings and would advise the board through his monthly report as to the progress of the project, given that it was a really important part of the business and the company was ‘under a lot of pressure from Mr Kleyn’ with the camera business</w:t>
      </w:r>
      <w:r w:rsidR="00665E4C">
        <w:t xml:space="preserve">; </w:t>
      </w:r>
      <w:r w:rsidR="00237F56">
        <w:t xml:space="preserve">Mr Weston’s evidence can leave no doubt, Coretell says, that Mr Ridgeway had accurate knowledge of the progress of the </w:t>
      </w:r>
      <w:r w:rsidR="00665E4C">
        <w:t>ACT T</w:t>
      </w:r>
      <w:r w:rsidR="00237F56">
        <w:t>ool project and his reports to the board on the subject would have been accurate</w:t>
      </w:r>
      <w:r w:rsidR="00665E4C">
        <w:t xml:space="preserve">; </w:t>
      </w:r>
      <w:r w:rsidR="00237F56">
        <w:t xml:space="preserve">Mr Weston also said that the order </w:t>
      </w:r>
      <w:r w:rsidR="00665E4C">
        <w:t>up</w:t>
      </w:r>
      <w:r w:rsidR="00237F56">
        <w:t>on Chardec was ‘collectively placed’ by himself and Mr Ridgeway</w:t>
      </w:r>
      <w:r w:rsidR="00665E4C">
        <w:t>; given that Mr Weston and Mr </w:t>
      </w:r>
      <w:r w:rsidR="00237F56">
        <w:t>Ridgeway had the necessary authority to enter into the contract of higher value, Mr Weston $500,000, Mr Ridgeway, $1 million</w:t>
      </w:r>
      <w:r w:rsidR="00665E4C">
        <w:t>; a</w:t>
      </w:r>
      <w:r w:rsidR="00237F56">
        <w:t xml:space="preserve">gain, there can be no doubt that Mr Ridgeway was fully involved in the decision to make the first commercial order of </w:t>
      </w:r>
      <w:r w:rsidR="00665E4C">
        <w:t>ACT T</w:t>
      </w:r>
      <w:r w:rsidR="00237F56">
        <w:t>ools on Chardec and would not normally have made a mistake about such matters in his reports to the board</w:t>
      </w:r>
      <w:r w:rsidR="00665E4C">
        <w:t>; Coretell submits that t</w:t>
      </w:r>
      <w:r w:rsidR="00237F56">
        <w:t>he applicants appear to have made no efforts to bring Mr Ridgeway or any of the other employees referred to above to Court to give evidence</w:t>
      </w:r>
      <w:r w:rsidR="00665E4C">
        <w:t xml:space="preserve">; an </w:t>
      </w:r>
      <w:r w:rsidR="00237F56">
        <w:t>inference should be drawn that their evidence would not assist the applicants’ case;</w:t>
      </w:r>
    </w:p>
    <w:p w:rsidR="00237F56" w:rsidRDefault="00237F56" w:rsidP="001332BE">
      <w:pPr>
        <w:pStyle w:val="ListNo"/>
        <w:numPr>
          <w:ilvl w:val="0"/>
          <w:numId w:val="50"/>
        </w:numPr>
        <w:tabs>
          <w:tab w:val="clear" w:pos="720"/>
        </w:tabs>
      </w:pPr>
      <w:r>
        <w:t xml:space="preserve">Coretell contends that as Mr Bradford states, immediately after bringing the </w:t>
      </w:r>
      <w:r w:rsidR="00665E4C">
        <w:t>ACT Tool</w:t>
      </w:r>
      <w:r>
        <w:t xml:space="preserve"> back to Australia in January 2004, Mr Weston told him to show the tool around to potential users in the industry and to promote and market the</w:t>
      </w:r>
      <w:r w:rsidR="00665E4C">
        <w:t xml:space="preserve"> tools to the drilling industry; h</w:t>
      </w:r>
      <w:r>
        <w:t xml:space="preserve">e took steps to follow these instructions and his actions thereafter and, particularly, in respect to demonstrate the tool to Mosslake and </w:t>
      </w:r>
      <w:r w:rsidR="009353A6">
        <w:t>Drill Corp</w:t>
      </w:r>
      <w:r>
        <w:t xml:space="preserve"> must be seen in </w:t>
      </w:r>
      <w:r w:rsidR="00665E4C">
        <w:t xml:space="preserve">that </w:t>
      </w:r>
      <w:r>
        <w:t>context</w:t>
      </w:r>
      <w:r w:rsidR="00665E4C">
        <w:t>; h</w:t>
      </w:r>
      <w:r>
        <w:t xml:space="preserve">e insisted that he was promoting and marketing the tools </w:t>
      </w:r>
      <w:r w:rsidR="00665E4C">
        <w:t xml:space="preserve">to potential customers </w:t>
      </w:r>
      <w:r>
        <w:t xml:space="preserve">and </w:t>
      </w:r>
      <w:r w:rsidR="00665E4C">
        <w:t xml:space="preserve">that no effort was taken to ‘keep personnel away … </w:t>
      </w:r>
      <w:r>
        <w:t xml:space="preserve">it was done in front of everyone. </w:t>
      </w:r>
    </w:p>
    <w:p w:rsidR="00237F56" w:rsidRDefault="00237F56" w:rsidP="00237F56">
      <w:pPr>
        <w:pStyle w:val="ParaNumbering"/>
      </w:pPr>
      <w:r>
        <w:lastRenderedPageBreak/>
        <w:t xml:space="preserve">Coretell submits that it is clear that there was a demand in the mining industry for the </w:t>
      </w:r>
      <w:r w:rsidR="00665E4C">
        <w:t>ACT T</w:t>
      </w:r>
      <w:r>
        <w:t xml:space="preserve">ool.  Mr Bradford’s instructions from Mr Weston and Ms Gregg </w:t>
      </w:r>
      <w:r w:rsidR="00665E4C">
        <w:t xml:space="preserve">were to </w:t>
      </w:r>
      <w:r>
        <w:t xml:space="preserve">get the </w:t>
      </w:r>
      <w:r w:rsidR="00665E4C">
        <w:t>ACT T</w:t>
      </w:r>
      <w:r>
        <w:t xml:space="preserve">ool out to customers to demonstrate </w:t>
      </w:r>
      <w:r w:rsidR="00665E4C">
        <w:t xml:space="preserve">it </w:t>
      </w:r>
      <w:r>
        <w:t>as soon as possible and to try</w:t>
      </w:r>
      <w:r w:rsidR="00665E4C">
        <w:t xml:space="preserve"> to harness some of that demand</w:t>
      </w:r>
      <w:r>
        <w:t xml:space="preserve">.  All of Mosslake, </w:t>
      </w:r>
      <w:r w:rsidR="009353A6">
        <w:t>Drill Corp</w:t>
      </w:r>
      <w:r>
        <w:t xml:space="preserve"> and Barminco were customers of Ace Drilling/Imdex.  </w:t>
      </w:r>
      <w:r w:rsidR="00665E4C">
        <w:t xml:space="preserve">Coretell submits that it </w:t>
      </w:r>
      <w:r>
        <w:t xml:space="preserve">would have been commercially sensible to show the new </w:t>
      </w:r>
      <w:r w:rsidR="00665E4C">
        <w:t>ACT T</w:t>
      </w:r>
      <w:r>
        <w:t xml:space="preserve">ool to those customers as soon as possible in order to </w:t>
      </w:r>
      <w:r w:rsidR="00665E4C">
        <w:t>gauge</w:t>
      </w:r>
      <w:r>
        <w:t xml:space="preserve"> their interest in the </w:t>
      </w:r>
      <w:r w:rsidR="00665E4C">
        <w:t>ACT T</w:t>
      </w:r>
      <w:r>
        <w:t xml:space="preserve">ool and to determine if there was sufficient basis to go forward with the commercial order on Chardec for the product.  </w:t>
      </w:r>
      <w:r w:rsidR="00665E4C">
        <w:t xml:space="preserve">Coretell says that </w:t>
      </w:r>
      <w:r>
        <w:t xml:space="preserve">Mr Weston agreed that all of the three entities were close trusted customers of Ace Drilling/Imdex for products such as the </w:t>
      </w:r>
      <w:r w:rsidR="00B30427">
        <w:t>down-hole</w:t>
      </w:r>
      <w:r>
        <w:t xml:space="preserve"> motors, drilling fluid and cameras and good potential customers for the </w:t>
      </w:r>
      <w:r w:rsidR="00665E4C">
        <w:t>ACT T</w:t>
      </w:r>
      <w:r>
        <w:t xml:space="preserve">ool.  </w:t>
      </w:r>
      <w:r w:rsidR="00665E4C">
        <w:t>Coretell says that Mr </w:t>
      </w:r>
      <w:r>
        <w:t xml:space="preserve">Weston further noted that when he said that trials of the </w:t>
      </w:r>
      <w:r w:rsidR="00665E4C">
        <w:t>ACT T</w:t>
      </w:r>
      <w:r>
        <w:t xml:space="preserve">ool took place at the working drilling sites, this drilling was taking place on a commercial basis, done on behalf of the drilling company’s client.  </w:t>
      </w:r>
      <w:r w:rsidR="00665E4C">
        <w:t xml:space="preserve">Coretell says that </w:t>
      </w:r>
      <w:r w:rsidR="009353A6">
        <w:t>Drill Corp</w:t>
      </w:r>
      <w:r>
        <w:t xml:space="preserve"> would want to use a new tool for their clients provided that they knew it worked.  </w:t>
      </w:r>
    </w:p>
    <w:p w:rsidR="00237F56" w:rsidRDefault="00237F56" w:rsidP="005D10C0">
      <w:pPr>
        <w:pStyle w:val="ParaNumbering"/>
      </w:pPr>
      <w:r>
        <w:t>Coretell submits that</w:t>
      </w:r>
      <w:r w:rsidR="00665E4C">
        <w:t>,</w:t>
      </w:r>
      <w:r>
        <w:t xml:space="preserve"> properly considered, reasonable trial within the meaning of the statutory provision must relate only to the circumstance where the invention has been developed beyond a mere experimental stage by requires some </w:t>
      </w:r>
      <w:r w:rsidRPr="002B400F">
        <w:t>final testing</w:t>
      </w:r>
      <w:r>
        <w:t xml:space="preserve"> in order to achieve a patentable result to be described in a patent specification.  </w:t>
      </w:r>
      <w:r w:rsidR="00302F11">
        <w:t xml:space="preserve">According to </w:t>
      </w:r>
      <w:r w:rsidR="00470CCE">
        <w:t>Coretell</w:t>
      </w:r>
      <w:r w:rsidR="00302F11">
        <w:t xml:space="preserve">, the </w:t>
      </w:r>
      <w:r>
        <w:t xml:space="preserve">Court must look to what is reasonable in the circumstances of each case.  The questions essentially become what trials are, and what period is, reasonably necessary for the inventor to have identified and understood all the elements of the invention  ‘so that he might apply for a patent and describe his invention in a specification’: </w:t>
      </w:r>
      <w:r>
        <w:rPr>
          <w:i/>
        </w:rPr>
        <w:t>Longworth</w:t>
      </w:r>
      <w:r w:rsidR="001F5203">
        <w:rPr>
          <w:i/>
        </w:rPr>
        <w:t xml:space="preserve"> v Emerton</w:t>
      </w:r>
      <w:r>
        <w:rPr>
          <w:i/>
        </w:rPr>
        <w:t xml:space="preserve"> </w:t>
      </w:r>
      <w:r w:rsidR="005D10C0">
        <w:t xml:space="preserve"> per Dixon, McT</w:t>
      </w:r>
      <w:r w:rsidR="005D10C0" w:rsidRPr="005D10C0">
        <w:t>iernan</w:t>
      </w:r>
      <w:r w:rsidR="005D10C0">
        <w:t xml:space="preserve"> and Kitto JJ </w:t>
      </w:r>
      <w:r>
        <w:t xml:space="preserve">(at 548 and 550); </w:t>
      </w:r>
      <w:r>
        <w:rPr>
          <w:i/>
        </w:rPr>
        <w:t xml:space="preserve">Perard Engineering Ltd (Hubbard’s) Application </w:t>
      </w:r>
      <w:r>
        <w:t xml:space="preserve">(1976) RPC 363; </w:t>
      </w:r>
      <w:r>
        <w:rPr>
          <w:i/>
        </w:rPr>
        <w:t xml:space="preserve">Harrison v Project &amp; Design Co (Redcar) Ltd </w:t>
      </w:r>
      <w:r>
        <w:t xml:space="preserve">(1978) FSR 81; </w:t>
      </w:r>
      <w:r>
        <w:rPr>
          <w:i/>
        </w:rPr>
        <w:t>Bradken</w:t>
      </w:r>
      <w:r w:rsidR="007F4DB3">
        <w:rPr>
          <w:i/>
        </w:rPr>
        <w:t xml:space="preserve"> </w:t>
      </w:r>
      <w:r w:rsidR="007F4DB3" w:rsidRPr="00DF670F">
        <w:rPr>
          <w:i/>
        </w:rPr>
        <w:t>Resources Pty Ltd v Lynx Engineering Consultants Pty Ltd</w:t>
      </w:r>
      <w:r w:rsidR="007F4DB3" w:rsidRPr="00387FE2">
        <w:t xml:space="preserve"> </w:t>
      </w:r>
      <w:r w:rsidR="007F4DB3">
        <w:t xml:space="preserve">(2012) </w:t>
      </w:r>
      <w:r w:rsidR="001556D6">
        <w:t>210 FLR 21</w:t>
      </w:r>
      <w:r>
        <w:rPr>
          <w:i/>
        </w:rPr>
        <w:t xml:space="preserve"> </w:t>
      </w:r>
      <w:r>
        <w:t xml:space="preserve">(at [356]).  </w:t>
      </w:r>
      <w:r w:rsidR="00F15B1B">
        <w:t>According to Coretell, t</w:t>
      </w:r>
      <w:r>
        <w:t xml:space="preserve">he test is objective and all the objective evidence is against the applicants.  </w:t>
      </w:r>
    </w:p>
    <w:p w:rsidR="00237F56" w:rsidRDefault="00237F56" w:rsidP="00237F56">
      <w:pPr>
        <w:pStyle w:val="ParaNumbering"/>
      </w:pPr>
      <w:r>
        <w:t xml:space="preserve">Coretell also refers to United States law on the issue of prior use and the doctrine of readiness to patent derived from the US Supreme Court decision of </w:t>
      </w:r>
      <w:r>
        <w:rPr>
          <w:i/>
        </w:rPr>
        <w:t xml:space="preserve">Pfaff v Wells Electronics Inc </w:t>
      </w:r>
      <w:r>
        <w:t xml:space="preserve">525 U.S. 55 (1998).  Pursuant to the </w:t>
      </w:r>
      <w:r>
        <w:rPr>
          <w:i/>
        </w:rPr>
        <w:t>Pfaff</w:t>
      </w:r>
      <w:r>
        <w:t xml:space="preserve"> decision, </w:t>
      </w:r>
      <w:r w:rsidR="00F15B1B">
        <w:t xml:space="preserve">Coretell says that </w:t>
      </w:r>
      <w:r>
        <w:t xml:space="preserve">the crucial question is whether prior to the critical date the claimed invention was (a) the subject of a commercial offer for sale </w:t>
      </w:r>
      <w:r w:rsidR="00453F1F">
        <w:t xml:space="preserve">or </w:t>
      </w:r>
      <w:r>
        <w:t xml:space="preserve">was used by a person other than the inventor who is under no confidentiality obligation; and </w:t>
      </w:r>
      <w:r w:rsidR="0025091C">
        <w:t xml:space="preserve">(b) was ready for patenting.  According to the Supreme Court (at 67) </w:t>
      </w:r>
      <w:r w:rsidR="0025091C">
        <w:lastRenderedPageBreak/>
        <w:t>‘r</w:t>
      </w:r>
      <w:r>
        <w:t>eadiness for patenting’ may be established by proof of reduction to practice before the critical date</w:t>
      </w:r>
      <w:r w:rsidR="0025091C">
        <w:t>,</w:t>
      </w:r>
      <w:r>
        <w:t xml:space="preserve"> or by proof that prior to the critical date, the inventor had prepared drawings or other descriptions of the invention that were sufficiently specific to enable a person skilled in the art to practise the invention.  Once an invention is ‘ready for patenting’ no activities thereafter can be ‘reasonable trial’.  </w:t>
      </w:r>
    </w:p>
    <w:p w:rsidR="00237F56" w:rsidRDefault="00F15B1B" w:rsidP="00237F56">
      <w:pPr>
        <w:pStyle w:val="ParaNumbering"/>
      </w:pPr>
      <w:r>
        <w:t xml:space="preserve">In this case </w:t>
      </w:r>
      <w:r w:rsidR="00237F56">
        <w:t xml:space="preserve">there is abundant evidence, Coretell says, that the </w:t>
      </w:r>
      <w:r>
        <w:t>ACT T</w:t>
      </w:r>
      <w:r w:rsidR="00237F56">
        <w:t xml:space="preserve">ool was ready for patenting and was capable of being described in a patent specification by at least January 2004, being the date when Mr Parfitt of Chardec handed over two fully working examples of the product to its customer, Ace Drilling/Imdex and described their method and system of operation to Mr Bradford.  </w:t>
      </w:r>
      <w:r>
        <w:t xml:space="preserve">Coretell says that this </w:t>
      </w:r>
      <w:r w:rsidR="00237F56">
        <w:t xml:space="preserve">is clear from the drawings in Mr Parfitt’s notes and the fact of the product of two working examples of the product.  Further, </w:t>
      </w:r>
      <w:r>
        <w:t xml:space="preserve">according to Coretell, </w:t>
      </w:r>
      <w:r w:rsidR="00237F56">
        <w:t xml:space="preserve">the evidence establishes that there was no need for the extensive working of the invention to be in public, or at the least without steps being taken to maintain confidentiality.  </w:t>
      </w:r>
      <w:r w:rsidR="001F5203">
        <w:t xml:space="preserve">Coretell submits that the </w:t>
      </w:r>
      <w:r w:rsidR="00237F56">
        <w:t xml:space="preserve">subjective view of Mr Parfitt and Mr Weston put by the applicants as to the purpose of the prior use is essentially irrelevant.  Their belief as stated in their written evidence appears to be that trialling could continue so long as there was no definite commercial intention in respect of the product.  Coretell says this is contrary to the High Court authority to </w:t>
      </w:r>
      <w:r w:rsidR="00237F56" w:rsidRPr="00D32AE4">
        <w:rPr>
          <w:i/>
        </w:rPr>
        <w:t>Longworth</w:t>
      </w:r>
      <w:r w:rsidR="001F5203">
        <w:t xml:space="preserve"> </w:t>
      </w:r>
      <w:r w:rsidR="001F5203" w:rsidRPr="001F5203">
        <w:rPr>
          <w:i/>
        </w:rPr>
        <w:t>v Emerton</w:t>
      </w:r>
      <w:r w:rsidR="00237F56">
        <w:t xml:space="preserve">.  Particularly, once patentable subject matter is achieved, </w:t>
      </w:r>
      <w:r w:rsidR="005B42FE">
        <w:t xml:space="preserve">Coretell says that </w:t>
      </w:r>
      <w:r w:rsidR="00237F56">
        <w:t xml:space="preserve">it cannot be for the inventor to defer making the requisite patent application under the guise of prolonged public trialling to thereby extend the term of the patent monopoly.  The test must be objective and must be referable to patentable subject matter.  It cannot be whether a working embodiment of the invention is suitable </w:t>
      </w:r>
      <w:r w:rsidR="00E227DF">
        <w:t>for</w:t>
      </w:r>
      <w:r w:rsidR="00237F56">
        <w:t xml:space="preserve"> commercial exploitation.  This wrongly confuses and conflates the invention with the commercial product.  </w:t>
      </w:r>
      <w:r w:rsidR="00E227DF">
        <w:t xml:space="preserve">Coretell says that the </w:t>
      </w:r>
      <w:r w:rsidR="00237F56">
        <w:t>evidence of Mr Miitel about the length of the back</w:t>
      </w:r>
      <w:r w:rsidR="00ED79AF">
        <w:t xml:space="preserve"> </w:t>
      </w:r>
      <w:r w:rsidR="00237F56">
        <w:t xml:space="preserve">end assembly was similarly irrelevant.  </w:t>
      </w:r>
    </w:p>
    <w:p w:rsidR="00E227DF" w:rsidRDefault="00237F56" w:rsidP="00237F56">
      <w:pPr>
        <w:pStyle w:val="ParaNumbering"/>
      </w:pPr>
      <w:r>
        <w:t xml:space="preserve">Coretell argues that Mr Weston’s oral evidence as to the motivations behind the ‘testing’ was telling.  </w:t>
      </w:r>
      <w:r w:rsidR="00E227DF">
        <w:t xml:space="preserve">Mr Weston </w:t>
      </w:r>
      <w:r>
        <w:t xml:space="preserve">said that the first priority was to have a tool that worked ‘and would satisfy the customers’ requirements.  The second priority was to commercialise the tool’.  He added </w:t>
      </w:r>
      <w:r w:rsidR="00E227DF">
        <w:t xml:space="preserve">that </w:t>
      </w:r>
      <w:r>
        <w:t>‘our focus prior to that [September 2004] was to get a tool that worked so that we could commercialise the tool’</w:t>
      </w:r>
      <w:r w:rsidR="00E227DF">
        <w:t xml:space="preserve">. </w:t>
      </w:r>
      <w:r>
        <w:t xml:space="preserve"> </w:t>
      </w:r>
      <w:r w:rsidR="00E227DF">
        <w:t>Further, ‘w</w:t>
      </w:r>
      <w:r>
        <w:t xml:space="preserve">e were working towards commercialisation which worked hand in hand in trying to get a position where the customer was satisfied with the tool and that was the purpose of the trials’.  Mr Weston said he ‘wanted to ensure that – that the – the future customers were completely, you know – would be </w:t>
      </w:r>
      <w:r>
        <w:lastRenderedPageBreak/>
        <w:t xml:space="preserve">completely satisfied’.  When presented with contemporaneous emails of December 2003 and January 2004 indicating customer demand for the tool, Mr Weston stated that Ace Drilling was ‘trying to hurry Mr Parfitt up so that we could have some tools that we could demonstrate’.  </w:t>
      </w:r>
    </w:p>
    <w:p w:rsidR="00237F56" w:rsidRDefault="00470CCE" w:rsidP="00237F56">
      <w:pPr>
        <w:pStyle w:val="ParaNumbering"/>
      </w:pPr>
      <w:r>
        <w:t>Coretell</w:t>
      </w:r>
      <w:r w:rsidR="00FA6374">
        <w:t xml:space="preserve"> says that it is notable that </w:t>
      </w:r>
      <w:r w:rsidR="00237F56">
        <w:t xml:space="preserve">Mr Parfitt said that testing was necessary to ensure ‘robustness’ of the prototypes and ‘evaluate their concept more generally before the core tool’s commercial release to the market’.  From such statements </w:t>
      </w:r>
      <w:r w:rsidR="00FA6374">
        <w:t xml:space="preserve">Coretell submits that </w:t>
      </w:r>
      <w:r w:rsidR="00237F56">
        <w:t xml:space="preserve">it is plain that the focus by Mr Parfitt was upon the physical form of the device he had constructed (its ‘robustness’) rather than the invention as later claimed in the patents in suit.  Further, the reference to ‘commercial release’ reinforces his preoccupation with obtaining a working embodiment suitable for commercial release, which, as noted, is not relevant for patenting considerations.  This is particularly so since the patent claims </w:t>
      </w:r>
      <w:r w:rsidR="00FA6374">
        <w:t>we</w:t>
      </w:r>
      <w:r w:rsidR="00237F56">
        <w:t xml:space="preserve">re directed to methods and systems rather than to a ‘device’ or ‘product’.  Further references to ‘commercial release’ are scattered through Mr Parfitt’s evidence.  </w:t>
      </w:r>
    </w:p>
    <w:p w:rsidR="00FA6374" w:rsidRDefault="00237F56" w:rsidP="00237F56">
      <w:pPr>
        <w:pStyle w:val="ParaNumbering"/>
      </w:pPr>
      <w:r>
        <w:t xml:space="preserve">Coretell contends that Mr Parfitt’s reference to the working of the tool in ‘real world conditions’ and his re-examination to this effect also confuses the patentable invention and the commercial embodiment/device.  As noted by the patent attorney, Mr Thomas, and the former Sandvik engineer, Mr Hill, patents are readily and frequently obtained for inventions in respect of products as early as the conceptual stage.  To obtain patent protection, it is unnecessary to have resolved all minor technical issues.  As noted above, in cross-examination Mr Parfitt conceded this point, noting that it would have been possible for him to obtain patent protection for the invention as early as January 2004, but that he had chosen not to do so, and, in fact, had no interest whatsoever in obtaining any patent rights in respect of the </w:t>
      </w:r>
      <w:r w:rsidR="00FA6374">
        <w:t>ACT T</w:t>
      </w:r>
      <w:r>
        <w:t xml:space="preserve">ool.  His evidence was that he had no thought or intention at all to obtaining patent protection for the </w:t>
      </w:r>
      <w:r w:rsidR="00FA6374">
        <w:t>ACT T</w:t>
      </w:r>
      <w:r>
        <w:t xml:space="preserve">ool and that such an application would be too expensive.  Mr Parfitt said he (and Chardec) </w:t>
      </w:r>
      <w:r w:rsidR="00FA6374">
        <w:t xml:space="preserve">were </w:t>
      </w:r>
      <w:r>
        <w:t xml:space="preserve">not interested in filing a patent application.  </w:t>
      </w:r>
    </w:p>
    <w:p w:rsidR="00237F56" w:rsidRDefault="00FA6374" w:rsidP="00237F56">
      <w:pPr>
        <w:pStyle w:val="ParaNumbering"/>
      </w:pPr>
      <w:r>
        <w:t xml:space="preserve">According to Coretell, </w:t>
      </w:r>
      <w:r w:rsidR="00237F56">
        <w:t xml:space="preserve">Mr Weston’s evidence appears to advance a subjective position which was that in 2004 Ace Drilling/Imdex had no significant research and development capabilities and had never been involved in patenting in Australia or elsewhere.  However, </w:t>
      </w:r>
      <w:r>
        <w:t xml:space="preserve">Coretell says that </w:t>
      </w:r>
      <w:r w:rsidR="00237F56">
        <w:t xml:space="preserve">this misses the point that up until the Priority Date and beyond (until at least the date of the </w:t>
      </w:r>
      <w:r w:rsidR="0058440A">
        <w:t>distribution agreement</w:t>
      </w:r>
      <w:r w:rsidR="00237F56">
        <w:t xml:space="preserve"> between Chardec and Coretell on 16 September 2004) the relevant intellectual property rights in the </w:t>
      </w:r>
      <w:r>
        <w:t>ACT T</w:t>
      </w:r>
      <w:r w:rsidR="00237F56">
        <w:t xml:space="preserve">ool continued to reside in </w:t>
      </w:r>
      <w:r w:rsidR="00237F56">
        <w:lastRenderedPageBreak/>
        <w:t xml:space="preserve">Chardec, and Chardec </w:t>
      </w:r>
      <w:r>
        <w:t xml:space="preserve">had </w:t>
      </w:r>
      <w:r w:rsidR="00237F56">
        <w:t xml:space="preserve">experience of patenting, but had deliberately chosen not to apply for any patent in respect of the </w:t>
      </w:r>
      <w:r>
        <w:t>ACT T</w:t>
      </w:r>
      <w:r w:rsidR="00237F56">
        <w:t xml:space="preserve">ool.  Further, Mr Weston’s written evidence was changed by his oral evidence that he did have patent attorney advice during the development period of the </w:t>
      </w:r>
      <w:r>
        <w:t>ACT T</w:t>
      </w:r>
      <w:r w:rsidR="00237F56">
        <w:t>ool, from around mid-2003</w:t>
      </w:r>
      <w:r w:rsidR="00F468A4">
        <w:t>,</w:t>
      </w:r>
      <w:r w:rsidR="00237F56">
        <w:t xml:space="preserve"> and </w:t>
      </w:r>
      <w:r w:rsidR="00F468A4">
        <w:t xml:space="preserve">that </w:t>
      </w:r>
      <w:r w:rsidR="00237F56">
        <w:t>this advice continued during the period in which the asserted ‘trialling’ took place in 2004.</w:t>
      </w:r>
    </w:p>
    <w:p w:rsidR="00237F56" w:rsidRDefault="00237F56" w:rsidP="00237F56">
      <w:pPr>
        <w:pStyle w:val="ParaNumbering"/>
      </w:pPr>
      <w:r>
        <w:t xml:space="preserve">Coretell argues that Mr </w:t>
      </w:r>
      <w:r w:rsidR="00F468A4">
        <w:t>Weston failed</w:t>
      </w:r>
      <w:r>
        <w:t xml:space="preserve"> to deal adequately with Mr Hill’s evidence of the importance of confidentiality agreements and timely provisional patent applications when conducting testing of new technology.  Neither Sandvik nor Ace Drilling/Imdex had its own test rigs, and </w:t>
      </w:r>
      <w:r w:rsidR="00F468A4">
        <w:t xml:space="preserve">Coretell says that </w:t>
      </w:r>
      <w:r>
        <w:t xml:space="preserve">it is appropriate to compare the reasonable steps taken by Sandvik to protect its intellectual property (confidentiality agreements, provisional patent applications and sometimes shrouding of products) against the actions taken by Ace Drilling/Imdex (no confidentiality agreements, ‘testing’ with multiple customers, delayed provision patent application and no shrouding of products).  Indeed, Mr Bradford stated that it would not have been necessary to field test the </w:t>
      </w:r>
      <w:r w:rsidR="00F468A4">
        <w:t>ACT T</w:t>
      </w:r>
      <w:r>
        <w:t xml:space="preserve">ool with multiple customers of Ace Drilling </w:t>
      </w:r>
      <w:r w:rsidR="00F468A4">
        <w:t>as ‘c</w:t>
      </w:r>
      <w:r>
        <w:t xml:space="preserve">onfidential testing of the tool and its method of operation could easily have been arranged with one drilling contractor engaged by Ace Drilling for the purpose of such testing, even if multiple runs were required’.  </w:t>
      </w:r>
      <w:r w:rsidR="00F468A4">
        <w:t xml:space="preserve">Coretell says that </w:t>
      </w:r>
      <w:r>
        <w:t xml:space="preserve">Mr Brown largely agreed with this in cross-examination.  He said that each of Mosslake, Barminco and </w:t>
      </w:r>
      <w:r w:rsidR="009353A6">
        <w:t>Drill Corp</w:t>
      </w:r>
      <w:r>
        <w:t xml:space="preserve"> had multiple rigs operating in various parts of Australia </w:t>
      </w:r>
      <w:r w:rsidR="00F468A4">
        <w:t xml:space="preserve">and </w:t>
      </w:r>
      <w:r>
        <w:t xml:space="preserve">a range of experimental testing could have been done with one company.  Mr Weston agreed that all of Mosslake, Barminco and </w:t>
      </w:r>
      <w:r w:rsidR="009353A6">
        <w:t>Drill Corp</w:t>
      </w:r>
      <w:r>
        <w:t xml:space="preserve"> had multiple rigs spread all over Australia </w:t>
      </w:r>
      <w:r w:rsidR="00F468A4">
        <w:t xml:space="preserve">which operated </w:t>
      </w:r>
      <w:r>
        <w:t xml:space="preserve">in different conditions.  </w:t>
      </w:r>
    </w:p>
    <w:p w:rsidR="00237F56" w:rsidRDefault="00237F56" w:rsidP="00237F56">
      <w:pPr>
        <w:pStyle w:val="ParaNumbering"/>
      </w:pPr>
      <w:r>
        <w:t xml:space="preserve">Moreover, Coretell asserts, as the intellectual property rights in the </w:t>
      </w:r>
      <w:r w:rsidR="00FB0E71">
        <w:t>ACT T</w:t>
      </w:r>
      <w:r>
        <w:t xml:space="preserve">ool remained in Chardec until at least 16 September 2004, it is particularly relevant to consider the reasonableness or otherwise of Chardec’s conduct.  Mr Parfitt had no concern about patenting and merely handed the two </w:t>
      </w:r>
      <w:r w:rsidR="00FB0E71">
        <w:t>ACT T</w:t>
      </w:r>
      <w:r>
        <w:t xml:space="preserve">ools to Mr Bradford in January 2004 with the intent the </w:t>
      </w:r>
      <w:r w:rsidR="00FB0E71">
        <w:t>ACT T</w:t>
      </w:r>
      <w:r>
        <w:t>ools should be put out to as many people</w:t>
      </w:r>
      <w:r w:rsidR="00FB0E71">
        <w:t xml:space="preserve"> and </w:t>
      </w:r>
      <w:r>
        <w:t xml:space="preserve">customers as possible.  </w:t>
      </w:r>
      <w:r w:rsidR="00FB0E71">
        <w:t xml:space="preserve">Coretell submits that he </w:t>
      </w:r>
      <w:r>
        <w:t xml:space="preserve">was indifferent as to how many people saw the </w:t>
      </w:r>
      <w:r w:rsidR="00FB0E71">
        <w:t>ACT T</w:t>
      </w:r>
      <w:r>
        <w:t xml:space="preserve">ool, where the </w:t>
      </w:r>
      <w:r w:rsidR="00FB0E71">
        <w:t>ACT T</w:t>
      </w:r>
      <w:r>
        <w:t xml:space="preserve">ool went, or the way in which the ‘trialling’ was conducted.  </w:t>
      </w:r>
      <w:r w:rsidR="00FB0E71">
        <w:t xml:space="preserve">According to Coretell, </w:t>
      </w:r>
      <w:r>
        <w:t xml:space="preserve">Ace Drilling in turn got the </w:t>
      </w:r>
      <w:r w:rsidR="00FB0E71">
        <w:t xml:space="preserve">ACT Tool </w:t>
      </w:r>
      <w:r>
        <w:t xml:space="preserve">out to as many people as possible, taking no real precautions at all to protect any inherent intellectual property rights in the product.  Mr Brown agreed that all of </w:t>
      </w:r>
      <w:r w:rsidR="009353A6">
        <w:t>Drill Corp</w:t>
      </w:r>
      <w:r>
        <w:t xml:space="preserve">, Barminco and Mosslake were good potential customers for the </w:t>
      </w:r>
      <w:r w:rsidR="00FB0E71">
        <w:t>ACT T</w:t>
      </w:r>
      <w:r>
        <w:t xml:space="preserve">ool if it worked and that </w:t>
      </w:r>
      <w:r w:rsidR="00FB0E71">
        <w:t xml:space="preserve">it </w:t>
      </w:r>
      <w:r>
        <w:t xml:space="preserve">would be expected that when the </w:t>
      </w:r>
      <w:r w:rsidR="00FB0E71">
        <w:t xml:space="preserve">ACT Tool was </w:t>
      </w:r>
      <w:r>
        <w:t xml:space="preserve">tested, information about </w:t>
      </w:r>
      <w:r w:rsidR="00FB0E71">
        <w:t xml:space="preserve">it </w:t>
      </w:r>
      <w:r>
        <w:t xml:space="preserve">would leak into the industry generally, as everyone </w:t>
      </w:r>
      <w:r>
        <w:lastRenderedPageBreak/>
        <w:t xml:space="preserve">would ‘talk’ and ‘gossip’, leading to widespread knowledge about the </w:t>
      </w:r>
      <w:r w:rsidR="00FB0E71">
        <w:t>ACT T</w:t>
      </w:r>
      <w:r>
        <w:t xml:space="preserve">ool.  </w:t>
      </w:r>
      <w:r w:rsidR="00FB0E71">
        <w:t>Coretell says that t</w:t>
      </w:r>
      <w:r>
        <w:t>his ‘leakage’ was objectively confirmed by Mr Kleyn’s evidence</w:t>
      </w:r>
      <w:r w:rsidR="00FB0E71">
        <w:t>, where h</w:t>
      </w:r>
      <w:r>
        <w:t>e state</w:t>
      </w:r>
      <w:r w:rsidR="00FB0E71">
        <w:t>d</w:t>
      </w:r>
      <w:r>
        <w:t xml:space="preserve"> that in May 2004, Barminco had told him about the applicants’ </w:t>
      </w:r>
      <w:r w:rsidR="00FB0E71">
        <w:t>ACT T</w:t>
      </w:r>
      <w:r>
        <w:t xml:space="preserve">ool when he received a call from Mr Koushappi of Barminco who described the </w:t>
      </w:r>
      <w:r w:rsidR="00FB0E71">
        <w:t>ACT Tool and how it worked.  Mr </w:t>
      </w:r>
      <w:r>
        <w:t xml:space="preserve">Weston agreed that it as a fact that ‘news travels very fast in the mining industry’.  </w:t>
      </w:r>
    </w:p>
    <w:p w:rsidR="00237F56" w:rsidRDefault="00237F56" w:rsidP="00237F56">
      <w:pPr>
        <w:pStyle w:val="ParaNumbering"/>
      </w:pPr>
      <w:r>
        <w:t xml:space="preserve">Coretell submits that Ace Drilling had no concern about protection of intellectual property rights because, as noted, until 29 April 2004 no-one at Ace Drilling/Imdex had turned their minds to whether or not the </w:t>
      </w:r>
      <w:r w:rsidR="00FB0E71">
        <w:t>ACT T</w:t>
      </w:r>
      <w:r>
        <w:t xml:space="preserve">ool included patentable subject matter.  Minutes of the Surtron management meeting, 29 April 2004, </w:t>
      </w:r>
      <w:r w:rsidR="00FB0E71">
        <w:t xml:space="preserve">noted </w:t>
      </w:r>
      <w:r>
        <w:t xml:space="preserve">that </w:t>
      </w:r>
      <w:r w:rsidR="00FB0E71">
        <w:t>Mr </w:t>
      </w:r>
      <w:r>
        <w:t xml:space="preserve">Munyard considered that the </w:t>
      </w:r>
      <w:r w:rsidR="00FB0E71">
        <w:t>ACT T</w:t>
      </w:r>
      <w:r>
        <w:t xml:space="preserve">ool was not an original idea.  </w:t>
      </w:r>
    </w:p>
    <w:p w:rsidR="00237F56" w:rsidRDefault="00237F56" w:rsidP="00237F56">
      <w:pPr>
        <w:pStyle w:val="ParaNumbering"/>
      </w:pPr>
      <w:r>
        <w:t>Coretell points to the fact that no reports of any research activities by any of the entities or any of the applicants have been discovered</w:t>
      </w:r>
      <w:r w:rsidR="00104E9C">
        <w:t>,</w:t>
      </w:r>
      <w:r>
        <w:t xml:space="preserve"> and contends that it is reasonable to conclude that no </w:t>
      </w:r>
      <w:r w:rsidR="00104E9C">
        <w:t>such research reports were ever</w:t>
      </w:r>
      <w:r>
        <w:t xml:space="preserve"> prepared.  Although a number of photographs were taken by Mr Bradford of the drilling operations at Manjimup, they were no more than a photographic record of the visit to client’s operations and not a research report.  I accept this submission.</w:t>
      </w:r>
    </w:p>
    <w:p w:rsidR="00237F56" w:rsidRDefault="00237F56" w:rsidP="00237F56">
      <w:pPr>
        <w:pStyle w:val="ParaNumbering"/>
      </w:pPr>
      <w:r>
        <w:t xml:space="preserve">For the </w:t>
      </w:r>
      <w:r w:rsidR="009353A6">
        <w:t>Drill Corp</w:t>
      </w:r>
      <w:r>
        <w:t xml:space="preserve"> demonstration, </w:t>
      </w:r>
      <w:r w:rsidR="00104E9C">
        <w:t xml:space="preserve">Coretell points out that </w:t>
      </w:r>
      <w:r>
        <w:t xml:space="preserve">no witness from </w:t>
      </w:r>
      <w:r w:rsidR="009353A6">
        <w:t>Drill Corp</w:t>
      </w:r>
      <w:r>
        <w:t xml:space="preserve"> who was present at the demonstration was called to give evidence. </w:t>
      </w:r>
    </w:p>
    <w:p w:rsidR="00AA3D29" w:rsidRDefault="00AA3D29" w:rsidP="0023011A">
      <w:pPr>
        <w:pStyle w:val="Heading6"/>
      </w:pPr>
      <w:bookmarkStart w:id="107" w:name="_Ref410393880"/>
      <w:bookmarkStart w:id="108" w:name="_Ref410890370"/>
      <w:r>
        <w:t xml:space="preserve">Consideration of the </w:t>
      </w:r>
      <w:r w:rsidR="00104E9C">
        <w:t>p</w:t>
      </w:r>
      <w:r>
        <w:t xml:space="preserve">rior </w:t>
      </w:r>
      <w:r w:rsidR="00104E9C">
        <w:t>u</w:t>
      </w:r>
      <w:r>
        <w:t xml:space="preserve">se </w:t>
      </w:r>
      <w:r w:rsidR="00104E9C">
        <w:t>a</w:t>
      </w:r>
      <w:r>
        <w:t>rgument</w:t>
      </w:r>
      <w:bookmarkEnd w:id="107"/>
      <w:r>
        <w:t>s</w:t>
      </w:r>
      <w:bookmarkEnd w:id="108"/>
    </w:p>
    <w:p w:rsidR="00237F56" w:rsidRDefault="007207F4" w:rsidP="00237F56">
      <w:pPr>
        <w:pStyle w:val="ParaNumbering"/>
      </w:pPr>
      <w:r>
        <w:t xml:space="preserve">Coretell has </w:t>
      </w:r>
      <w:r w:rsidR="00237F56">
        <w:t xml:space="preserve">repeatedly submitted that there was ‘extensive prior use’ </w:t>
      </w:r>
      <w:r>
        <w:t xml:space="preserve">of the ACT  Tool </w:t>
      </w:r>
      <w:r w:rsidR="00237F56">
        <w:t xml:space="preserve">before </w:t>
      </w:r>
      <w:r>
        <w:t xml:space="preserve">the Priority Date of </w:t>
      </w:r>
      <w:r w:rsidR="00237F56">
        <w:t xml:space="preserve">3 September 2004.  As indicated in addressing </w:t>
      </w:r>
      <w:r>
        <w:t xml:space="preserve">Coretell’s </w:t>
      </w:r>
      <w:r w:rsidR="00237F56">
        <w:t>submissions, the contention is that either the applicants or their predecessor in title, Chardec, made the inventions publicly available</w:t>
      </w:r>
      <w:r w:rsidR="004533B9">
        <w:t xml:space="preserve"> before 3 September 2004 by use</w:t>
      </w:r>
      <w:r w:rsidR="00237F56">
        <w:t>, promotion, demonstration and public exposure of the ACT</w:t>
      </w:r>
      <w:r w:rsidR="004533B9">
        <w:t xml:space="preserve"> Tool</w:t>
      </w:r>
      <w:r w:rsidR="00237F56">
        <w:t xml:space="preserve">.  </w:t>
      </w:r>
    </w:p>
    <w:p w:rsidR="0023011A" w:rsidRDefault="00237F56" w:rsidP="00237F56">
      <w:pPr>
        <w:pStyle w:val="ParaNumbering"/>
      </w:pPr>
      <w:r>
        <w:t xml:space="preserve">The applicants contend that this argument should be rejected for two separate reasons.  First, they argue that </w:t>
      </w:r>
      <w:r w:rsidR="004533B9">
        <w:t xml:space="preserve">Coretell has </w:t>
      </w:r>
      <w:r>
        <w:t xml:space="preserve">not established that there was any public disclosure of the </w:t>
      </w:r>
      <w:r w:rsidR="00BF240F">
        <w:t>ACT Tool</w:t>
      </w:r>
      <w:r>
        <w:t xml:space="preserve"> before 3 September 2004 </w:t>
      </w:r>
      <w:r w:rsidR="004533B9">
        <w:t>such</w:t>
      </w:r>
      <w:r>
        <w:t xml:space="preserve"> as to render the inventions as claimed not novel at that date.</w:t>
      </w:r>
      <w:r w:rsidR="004533B9">
        <w:t xml:space="preserve">  </w:t>
      </w:r>
    </w:p>
    <w:p w:rsidR="00237F56" w:rsidRDefault="00237F56" w:rsidP="00237F56">
      <w:pPr>
        <w:pStyle w:val="ParaNumbering"/>
      </w:pPr>
      <w:r>
        <w:t xml:space="preserve">Secondly, in any event, if there was such disclosure, the grace period pursuant to s 24(1) of the Act applies such that any information made publicly available was not available for consideration </w:t>
      </w:r>
      <w:r w:rsidR="004533B9">
        <w:t xml:space="preserve">as to </w:t>
      </w:r>
      <w:r>
        <w:t xml:space="preserve">novelty or innovative step.  </w:t>
      </w:r>
    </w:p>
    <w:p w:rsidR="00237F56" w:rsidRDefault="00237F56" w:rsidP="00237F56">
      <w:pPr>
        <w:pStyle w:val="ParaNumbering"/>
      </w:pPr>
      <w:r>
        <w:lastRenderedPageBreak/>
        <w:t xml:space="preserve">Broadly speaking, the argument for the applicants is that the </w:t>
      </w:r>
      <w:r w:rsidR="00BF240F">
        <w:t>ACT Tool</w:t>
      </w:r>
      <w:r>
        <w:t xml:space="preserve"> was not supplied and used commercially until after 3 September 2004</w:t>
      </w:r>
      <w:r w:rsidR="004533B9">
        <w:t>,</w:t>
      </w:r>
      <w:r>
        <w:t xml:space="preserve"> and that all of the activities associated with its development and testing before that date were confidential</w:t>
      </w:r>
      <w:r w:rsidR="004533B9">
        <w:t>,</w:t>
      </w:r>
      <w:r>
        <w:t xml:space="preserve"> and did not </w:t>
      </w:r>
      <w:r w:rsidR="004533B9">
        <w:t xml:space="preserve">render </w:t>
      </w:r>
      <w:r>
        <w:t xml:space="preserve">the claimed inventions publicly available.  </w:t>
      </w:r>
    </w:p>
    <w:p w:rsidR="00237F56" w:rsidRDefault="004533B9" w:rsidP="00237F56">
      <w:pPr>
        <w:pStyle w:val="ParaNumbering"/>
      </w:pPr>
      <w:r>
        <w:t xml:space="preserve">On the topic generally, and in particular in relation to Coretell’s assertions that the applicants failed to call various persons, the applicants stress, and I accept, </w:t>
      </w:r>
      <w:r w:rsidR="00237F56">
        <w:t xml:space="preserve">that the onus is on </w:t>
      </w:r>
      <w:r>
        <w:t xml:space="preserve">Coretell </w:t>
      </w:r>
      <w:r w:rsidR="00237F56">
        <w:t xml:space="preserve">to establish public availability.  It is not for the applicants to prove that the persons involved in the development and testing of the </w:t>
      </w:r>
      <w:r w:rsidR="00BF240F">
        <w:t>ACT Tool</w:t>
      </w:r>
      <w:r w:rsidR="00237F56">
        <w:t xml:space="preserve"> were subject </w:t>
      </w:r>
      <w:r>
        <w:t>to an obligation of confidence.  Rather</w:t>
      </w:r>
      <w:r w:rsidR="00237F56">
        <w:t xml:space="preserve">, </w:t>
      </w:r>
      <w:r>
        <w:t xml:space="preserve">it is </w:t>
      </w:r>
      <w:r w:rsidR="00237F56">
        <w:t xml:space="preserve">for </w:t>
      </w:r>
      <w:r>
        <w:t xml:space="preserve">Coretell </w:t>
      </w:r>
      <w:r w:rsidR="00237F56">
        <w:t xml:space="preserve">to prove the contrary.  Additionally, the applicants argue that confidentiality may be implied in the circumstances without the need for proof of </w:t>
      </w:r>
      <w:r>
        <w:t xml:space="preserve">any </w:t>
      </w:r>
      <w:r w:rsidR="00237F56">
        <w:t xml:space="preserve">written or unwritten confidentiality arrangements.  </w:t>
      </w:r>
    </w:p>
    <w:p w:rsidR="00237F56" w:rsidRDefault="00237F56" w:rsidP="00237F56">
      <w:pPr>
        <w:pStyle w:val="ParaNumbering"/>
      </w:pPr>
      <w:r>
        <w:t xml:space="preserve">In </w:t>
      </w:r>
      <w:r>
        <w:rPr>
          <w:i/>
        </w:rPr>
        <w:t>Delnorth</w:t>
      </w:r>
      <w:r>
        <w:t xml:space="preserve">, </w:t>
      </w:r>
      <w:r w:rsidR="004533B9">
        <w:t xml:space="preserve">where </w:t>
      </w:r>
      <w:r w:rsidR="009A46D3">
        <w:t xml:space="preserve">Justice </w:t>
      </w:r>
      <w:r w:rsidR="004533B9">
        <w:t xml:space="preserve">Gyles </w:t>
      </w:r>
      <w:r w:rsidR="00116883">
        <w:t>considered</w:t>
      </w:r>
      <w:r w:rsidR="004533B9">
        <w:t xml:space="preserve"> circumstances </w:t>
      </w:r>
      <w:r>
        <w:t xml:space="preserve">involving </w:t>
      </w:r>
      <w:r w:rsidR="004533B9">
        <w:t xml:space="preserve">a discussion between parties about the </w:t>
      </w:r>
      <w:r>
        <w:t xml:space="preserve">potential manufacture of posts according to the prototype, </w:t>
      </w:r>
      <w:r w:rsidR="004533B9">
        <w:t xml:space="preserve">his Honour </w:t>
      </w:r>
      <w:r>
        <w:t>concluded</w:t>
      </w:r>
      <w:r w:rsidR="004533B9">
        <w:t xml:space="preserve"> (at [71]-[76])</w:t>
      </w:r>
      <w:r>
        <w:t xml:space="preserve"> that it was not shown that the proposed manufacturer was free in law and equity to use the information conveyed for any purpose.  In those paragraphs, his Honour said:</w:t>
      </w:r>
    </w:p>
    <w:p w:rsidR="00237F56" w:rsidRDefault="00237F56" w:rsidP="00237F56">
      <w:pPr>
        <w:pStyle w:val="Quote1"/>
      </w:pPr>
      <w:r>
        <w:t>71</w:t>
      </w:r>
      <w:r>
        <w:tab/>
        <w:t xml:space="preserve">The second aspect of this matter is – whether, and, if so, what, information was made publicly available by the doing of an act.  The “act” pleaded was “the development and design of a post formed of spring steel by Mr Peter Turner … which act was made publicly available when disclosed at least to Mr Michael Turner in approximately 1999”.  The somewhat awkward statutory phrase is “information made publicly available … through doing [an] act”.  Construed liberally, this could encompass giving the prototype to Mr Michael Turner.  </w:t>
      </w:r>
    </w:p>
    <w:p w:rsidR="00237F56" w:rsidRDefault="00237F56" w:rsidP="00237F56">
      <w:pPr>
        <w:pStyle w:val="Quote1"/>
      </w:pPr>
    </w:p>
    <w:p w:rsidR="00237F56" w:rsidRDefault="00237F56" w:rsidP="00237F56">
      <w:pPr>
        <w:pStyle w:val="Quote1"/>
      </w:pPr>
      <w:r>
        <w:t>72</w:t>
      </w:r>
      <w:r>
        <w:tab/>
        <w:t xml:space="preserve">This topic was discussed by the Full Court recently in </w:t>
      </w:r>
      <w:r w:rsidRPr="00D76108">
        <w:rPr>
          <w:i/>
        </w:rPr>
        <w:t>Insta Image Pty Ltd v KD Kanopy Australasia Pty Ltd</w:t>
      </w:r>
      <w:r>
        <w:t xml:space="preserve"> [2008] FCAFC 139, the principle being discussed at [121]–[125].  Reference was made to the earlier discussion of the topic by the Full Court in </w:t>
      </w:r>
      <w:r w:rsidRPr="00D76108">
        <w:rPr>
          <w:i/>
        </w:rPr>
        <w:t>Jupiters Ltd v Neurizon Pty Ltd</w:t>
      </w:r>
      <w:r>
        <w:t xml:space="preserve"> [2005] FCAFC 90, (2005) 222 ALR 155, (2005) 65 IPR 86 and </w:t>
      </w:r>
      <w:r w:rsidRPr="00D76108">
        <w:rPr>
          <w:i/>
        </w:rPr>
        <w:t>Merck &amp; Co Inc v Arrow Pharmaceuticals Ltd</w:t>
      </w:r>
      <w:r>
        <w:t xml:space="preserve"> (2006) 154 FCR 31, particularly at [98]–[103].</w:t>
      </w:r>
    </w:p>
    <w:p w:rsidR="00237F56" w:rsidRDefault="00237F56" w:rsidP="00237F56">
      <w:pPr>
        <w:pStyle w:val="Quote1"/>
      </w:pPr>
    </w:p>
    <w:p w:rsidR="00237F56" w:rsidRDefault="00237F56" w:rsidP="00237F56">
      <w:pPr>
        <w:pStyle w:val="Quote1"/>
      </w:pPr>
      <w:r>
        <w:t>73</w:t>
      </w:r>
      <w:r>
        <w:tab/>
      </w:r>
      <w:r w:rsidRPr="004F42D9">
        <w:rPr>
          <w:b/>
        </w:rPr>
        <w:t xml:space="preserve">The present case is not like </w:t>
      </w:r>
      <w:r w:rsidRPr="004F42D9">
        <w:rPr>
          <w:b/>
          <w:i/>
        </w:rPr>
        <w:t>Jupiters</w:t>
      </w:r>
      <w:r w:rsidRPr="004F42D9">
        <w:rPr>
          <w:b/>
        </w:rPr>
        <w:t>, where the system was operating in what amounted to a public place and could be observed</w:t>
      </w:r>
      <w:r>
        <w:t xml:space="preserve">.  In my view, the evidence does not enable any such finding to be made here.  Even if it was left around the factory, nobody was invited to look at it and nobody would have had any occasion to take any notice of it.  In any event, the matter was not pleaded in that way.  Rather, the case turns on the principle that, if a product is made available to a member of the public without restraint at law or in equity as to the use of that product that is regarded as public disclosure.  That principle has been applied for a very long time when various formulations of the statutory test have applied.  In the present context, that would be the equivalent of making the information publicly available by an act.  It is well-recognised that a duty of confidence in the recipient would negate </w:t>
      </w:r>
      <w:r>
        <w:lastRenderedPageBreak/>
        <w:t xml:space="preserve">the public nature of the act.  </w:t>
      </w:r>
    </w:p>
    <w:p w:rsidR="00237F56" w:rsidRDefault="00237F56" w:rsidP="00237F56">
      <w:pPr>
        <w:pStyle w:val="Quote1"/>
      </w:pPr>
    </w:p>
    <w:p w:rsidR="00237F56" w:rsidRDefault="00237F56" w:rsidP="00237F56">
      <w:pPr>
        <w:pStyle w:val="Quote1"/>
      </w:pPr>
      <w:r>
        <w:t>74</w:t>
      </w:r>
      <w:r>
        <w:tab/>
      </w:r>
      <w:r w:rsidRPr="00D76108">
        <w:rPr>
          <w:i/>
        </w:rPr>
        <w:t>Insta Image</w:t>
      </w:r>
      <w:r>
        <w:t xml:space="preserve"> illustrates both branches.  It was held that there was public disclosure at motocross and jet-ski races open to the public where the article was present.  On the other hand, the inventor went to a metal fabricator to have parts welded and that fabricator and his employee were involved and observed the articles.  The trial judge had held that the circumstances strongly suggested that the information contained was confidential and could not be imparted by the fabricator to others or used by himself.  The Full Court said the following (</w:t>
      </w:r>
      <w:r w:rsidRPr="00D76108">
        <w:rPr>
          <w:i/>
        </w:rPr>
        <w:t>Insta Image</w:t>
      </w:r>
      <w:r>
        <w:t xml:space="preserve"> at [153]–[156]):</w:t>
      </w:r>
    </w:p>
    <w:p w:rsidR="00237F56" w:rsidRDefault="00237F56" w:rsidP="00237F56">
      <w:pPr>
        <w:pStyle w:val="Quote1"/>
      </w:pPr>
    </w:p>
    <w:p w:rsidR="00237F56" w:rsidRDefault="00237F56" w:rsidP="00237F56">
      <w:pPr>
        <w:pStyle w:val="Quote2"/>
      </w:pPr>
      <w:r>
        <w:t>The primary Judge recorded that Mr McKinnon showed the Original to Mr Forster and Mr Soward for the purposes of their assisting in the design and manufacture of the structure (at [65]). Mr Soward was the “owner” of Tom Soward Steel Fabrication Pty Ltd which was to undertake the manufacture of the brackets. Mr Forster was an employee. The primary Judge concluded that the circumstances of the collaboration were such that it could not be inferred that they were at liberty to make use of the Original. The circumstances, she said, strongly suggested that the information available from an inspection of the Original was confidential and could not be imparted to others or utilised by Mr Soward or Mr Forster (at [72]).</w:t>
      </w:r>
    </w:p>
    <w:p w:rsidR="00237F56" w:rsidRDefault="00237F56" w:rsidP="00237F56">
      <w:pPr>
        <w:pStyle w:val="Quote2"/>
      </w:pPr>
    </w:p>
    <w:p w:rsidR="00237F56" w:rsidRDefault="00237F56" w:rsidP="00237F56">
      <w:pPr>
        <w:pStyle w:val="Quote2"/>
      </w:pPr>
      <w:r>
        <w:t>The appellants maintain that they did not rely on Mr Soward and Mr Forster seeing the structure in the course of design and manufacture as an instance of public use. They rely upon evidence not adverted to by the primary Judge concerning the showing of the Original to Mr Soward after his company had fabricated the brackets and Mr McKinnon had taken them away to assemble his canopy. This, the appellants submit, constituted an open disclosure, unaffected by any confidentiality, and a demonstration to Mr Soward of the way in which the canopy worked.</w:t>
      </w:r>
    </w:p>
    <w:p w:rsidR="00237F56" w:rsidRDefault="00237F56" w:rsidP="00237F56">
      <w:pPr>
        <w:pStyle w:val="Quote2"/>
      </w:pPr>
    </w:p>
    <w:p w:rsidR="00237F56" w:rsidRDefault="00237F56" w:rsidP="00237F56">
      <w:pPr>
        <w:pStyle w:val="Quote2"/>
      </w:pPr>
      <w:r>
        <w:t>We are not satisfied that the evidence establishes that the confidential relationship between Mr McKinnon and Mr Soward, as found by her Honour, did not still exist when Mr McKinnon showed Mr Soward the finished product. We are not satisfied that her Honour was in error in finding that the showing of the canopy to Mr Soward did not constitute a prior use for novelty purposes within the meaning of the Act, whether the demonstration was of the finished product before or after parts were manufactured by Mr Soward.</w:t>
      </w:r>
    </w:p>
    <w:p w:rsidR="00237F56" w:rsidRDefault="00237F56" w:rsidP="00237F56">
      <w:pPr>
        <w:pStyle w:val="Quote2"/>
      </w:pPr>
    </w:p>
    <w:p w:rsidR="00237F56" w:rsidRDefault="00237F56" w:rsidP="00237F56">
      <w:pPr>
        <w:pStyle w:val="Quote2"/>
      </w:pPr>
      <w:r>
        <w:t xml:space="preserve">Her Honour </w:t>
      </w:r>
      <w:r w:rsidRPr="004F42D9">
        <w:rPr>
          <w:b/>
        </w:rPr>
        <w:t>specifically concluded that the circumstances of the relationship</w:t>
      </w:r>
      <w:r>
        <w:t xml:space="preserve"> with Mr McKinnon “</w:t>
      </w:r>
      <w:r w:rsidRPr="004F42D9">
        <w:rPr>
          <w:b/>
        </w:rPr>
        <w:t>suggest strongly that the information … was confidential and could not be imparted to others” (at [72])</w:t>
      </w:r>
      <w:r>
        <w:t>. No error is shown in this conclusion or in her Honour’s resolution of the issue of disclosure to Mr Soward and Mr Forster.</w:t>
      </w:r>
    </w:p>
    <w:p w:rsidR="00237F56" w:rsidRDefault="00237F56" w:rsidP="00237F56">
      <w:pPr>
        <w:pStyle w:val="Quote1"/>
      </w:pPr>
    </w:p>
    <w:p w:rsidR="00237F56" w:rsidRDefault="00237F56" w:rsidP="00237F56">
      <w:pPr>
        <w:pStyle w:val="Quote1"/>
      </w:pPr>
      <w:r>
        <w:t>75</w:t>
      </w:r>
      <w:r>
        <w:tab/>
        <w:t xml:space="preserve">To like effect is the judgment of Kiefel J in </w:t>
      </w:r>
      <w:r w:rsidRPr="00D76108">
        <w:rPr>
          <w:i/>
        </w:rPr>
        <w:t>Richsell Pty Ltd v Khoury</w:t>
      </w:r>
      <w:r>
        <w:t xml:space="preserve"> (1994) 30 IPR 129 at 135–136 dealing with designs in a similar context.  See also Lloyd-Jacob J in </w:t>
      </w:r>
      <w:r w:rsidRPr="00D76108">
        <w:rPr>
          <w:i/>
        </w:rPr>
        <w:t>Re Gallay Ltd’s Application</w:t>
      </w:r>
      <w:r>
        <w:t xml:space="preserve"> [1959] RPC 141, particularly at 144–145, in circumstances more complex than the present, but similar in substance.</w:t>
      </w:r>
    </w:p>
    <w:p w:rsidR="00237F56" w:rsidRDefault="00237F56" w:rsidP="00237F56">
      <w:pPr>
        <w:pStyle w:val="Quote1"/>
      </w:pPr>
    </w:p>
    <w:p w:rsidR="00237F56" w:rsidRDefault="00237F56" w:rsidP="00237F56">
      <w:pPr>
        <w:pStyle w:val="Quote1"/>
      </w:pPr>
      <w:r>
        <w:t>76</w:t>
      </w:r>
      <w:r>
        <w:tab/>
      </w:r>
      <w:r w:rsidRPr="004E59D5">
        <w:t>In my opinion, Mr Michael Turner was not given or shown the prototype in order that he could use it as he sought fit without restraint.  In my opinion, he was under a duty not to use it or disclose it without the consent of Mr Peter Turner</w:t>
      </w:r>
      <w:r>
        <w:t xml:space="preserve">.  It is also clear enough that there was a duty of confidence between Mr Turner and Mr </w:t>
      </w:r>
      <w:r>
        <w:lastRenderedPageBreak/>
        <w:t xml:space="preserve">Denison.  Indeed, that case was not made.  </w:t>
      </w:r>
      <w:r w:rsidRPr="004E59D5">
        <w:t>Thus, in my view, the information represented by the prototype was not made publicly available through doing an act as alleged</w:t>
      </w:r>
      <w:r>
        <w:t>.</w:t>
      </w:r>
    </w:p>
    <w:p w:rsidR="00237F56" w:rsidRDefault="00237F56" w:rsidP="00237F56">
      <w:pPr>
        <w:pStyle w:val="Quote1"/>
      </w:pPr>
      <w:r>
        <w:t>(emphasis added)</w:t>
      </w:r>
    </w:p>
    <w:p w:rsidR="00237F56" w:rsidRDefault="00237F56" w:rsidP="00237F56">
      <w:pPr>
        <w:pStyle w:val="ParaNumbering"/>
      </w:pPr>
      <w:r>
        <w:t xml:space="preserve">The applicants argue, and I accept, that if the facts in </w:t>
      </w:r>
      <w:r>
        <w:rPr>
          <w:i/>
        </w:rPr>
        <w:t xml:space="preserve">Delnorth </w:t>
      </w:r>
      <w:r>
        <w:t>support a finding of absence of any public disclosure, then the facts of the present case are well within that ambit.</w:t>
      </w:r>
    </w:p>
    <w:p w:rsidR="00237F56" w:rsidRDefault="00237F56" w:rsidP="00237F56">
      <w:pPr>
        <w:pStyle w:val="ParaNumbering"/>
      </w:pPr>
      <w:r>
        <w:t xml:space="preserve">I consider that the activities that took place in relation to the </w:t>
      </w:r>
      <w:r w:rsidR="00BF240F">
        <w:t>ACT Tool</w:t>
      </w:r>
      <w:r w:rsidR="00CF0178">
        <w:t xml:space="preserve"> prior to 3 </w:t>
      </w:r>
      <w:r>
        <w:t>September 2004 involved the testing of prototypes</w:t>
      </w:r>
      <w:r w:rsidR="001D4904">
        <w:t xml:space="preserve">, and that </w:t>
      </w:r>
      <w:r>
        <w:t xml:space="preserve">testing was for the purpose of reasonable trial.  </w:t>
      </w:r>
    </w:p>
    <w:p w:rsidR="00237F56" w:rsidRDefault="00237F56" w:rsidP="00237F56">
      <w:pPr>
        <w:pStyle w:val="ParaNumbering"/>
      </w:pPr>
      <w:r>
        <w:t>It is common ground that in early 2002</w:t>
      </w:r>
      <w:r w:rsidR="007360F3">
        <w:t>,</w:t>
      </w:r>
      <w:r>
        <w:t xml:space="preserve"> Mr Parfitt visited Ace Drilling at Osborne Park in Western Australia.  He was at that time, in effect, the owner of Chardec.  Chardec were the manufacturers and designers of the Reflex and </w:t>
      </w:r>
      <w:r w:rsidR="007360F3">
        <w:t>‘</w:t>
      </w:r>
      <w:r>
        <w:t>Flexit</w:t>
      </w:r>
      <w:r w:rsidR="007360F3">
        <w:t>’</w:t>
      </w:r>
      <w:r>
        <w:t xml:space="preserve"> </w:t>
      </w:r>
      <w:r w:rsidR="00B30427">
        <w:t>down-hole</w:t>
      </w:r>
      <w:r>
        <w:t xml:space="preserve"> cameras.  While visiting, Mr Parfitt discussed with Mr Munyard of Ace Drilling the possibility of developing an electronic core orientation tool.  </w:t>
      </w:r>
    </w:p>
    <w:p w:rsidR="00237F56" w:rsidRDefault="00237F56" w:rsidP="00237F56">
      <w:pPr>
        <w:pStyle w:val="ParaNumbering"/>
      </w:pPr>
      <w:r>
        <w:t>Almost two years later in late 2003, Mr Parfitt informed Ace Drilling that he had prepared two prototype tools.  He requested that field testing be conducted to determine, amongst other things, how the tool would perform</w:t>
      </w:r>
      <w:r w:rsidR="007360F3">
        <w:t>, ‘in the field’</w:t>
      </w:r>
      <w:r>
        <w:t xml:space="preserve">.  </w:t>
      </w:r>
    </w:p>
    <w:p w:rsidR="00237F56" w:rsidRDefault="00237F56" w:rsidP="00237F56">
      <w:pPr>
        <w:pStyle w:val="ParaNumbering"/>
      </w:pPr>
      <w:r>
        <w:t>After Mr Bradford attended Chardec’s workshop in the United Kingdom</w:t>
      </w:r>
      <w:r w:rsidR="008B08BD">
        <w:t xml:space="preserve"> in mid-January 2004</w:t>
      </w:r>
      <w:r>
        <w:t xml:space="preserve">, and took delivery of the two units of the </w:t>
      </w:r>
      <w:r w:rsidR="00BF240F">
        <w:t>ACT Tool</w:t>
      </w:r>
      <w:r>
        <w:t xml:space="preserve"> prototype for field testing at drilling rigs, those tests were conducted on the three key occasions.  No remuneration was received for any of the trials, </w:t>
      </w:r>
      <w:r w:rsidR="008B08BD">
        <w:t xml:space="preserve">which is standard for </w:t>
      </w:r>
      <w:r>
        <w:t xml:space="preserve">commercial demonstrations.  They were supervised by Imdex employees and feedback from the tests was provided to Chardec on the prototypes’ performance.  As a result, subsequent changes </w:t>
      </w:r>
      <w:r w:rsidR="008B08BD">
        <w:t xml:space="preserve">were </w:t>
      </w:r>
      <w:r>
        <w:t xml:space="preserve">made to the </w:t>
      </w:r>
      <w:r w:rsidR="00BF240F">
        <w:t>ACT Tool</w:t>
      </w:r>
      <w:r>
        <w:t xml:space="preserve"> prototype.  Mr Parfitt gave evidence </w:t>
      </w:r>
      <w:r w:rsidR="008B08BD">
        <w:t>to this effect</w:t>
      </w:r>
      <w:r>
        <w:t xml:space="preserve">.  A number of modifications were made as a result of recommendations and observations, including, as explained </w:t>
      </w:r>
      <w:r w:rsidR="008B08BD">
        <w:t>in detail by Mr </w:t>
      </w:r>
      <w:r>
        <w:t>Parfitt:</w:t>
      </w:r>
    </w:p>
    <w:p w:rsidR="00237F56" w:rsidRDefault="008B08BD" w:rsidP="001332BE">
      <w:pPr>
        <w:pStyle w:val="ListNo"/>
        <w:numPr>
          <w:ilvl w:val="0"/>
          <w:numId w:val="52"/>
        </w:numPr>
        <w:tabs>
          <w:tab w:val="clear" w:pos="720"/>
        </w:tabs>
      </w:pPr>
      <w:r>
        <w:t>s</w:t>
      </w:r>
      <w:r w:rsidR="00237F56">
        <w:t>hortening the top coupling as a result of the operational time delays revealed during the Mosslake trial;</w:t>
      </w:r>
    </w:p>
    <w:p w:rsidR="00237F56" w:rsidRDefault="008B08BD" w:rsidP="001332BE">
      <w:pPr>
        <w:pStyle w:val="ListNo"/>
        <w:numPr>
          <w:ilvl w:val="0"/>
          <w:numId w:val="52"/>
        </w:numPr>
        <w:tabs>
          <w:tab w:val="clear" w:pos="720"/>
        </w:tabs>
      </w:pPr>
      <w:r>
        <w:t>r</w:t>
      </w:r>
      <w:r w:rsidR="00237F56">
        <w:t>e</w:t>
      </w:r>
      <w:r>
        <w:t>-</w:t>
      </w:r>
      <w:r w:rsidR="00237F56">
        <w:t xml:space="preserve">design of the connector wires, which had dislodged during the </w:t>
      </w:r>
      <w:r w:rsidR="009353A6">
        <w:t>Drill Corp</w:t>
      </w:r>
      <w:r w:rsidR="00237F56">
        <w:t xml:space="preserve"> test, causing the tool to lock up;</w:t>
      </w:r>
    </w:p>
    <w:p w:rsidR="00237F56" w:rsidRDefault="008B08BD" w:rsidP="001332BE">
      <w:pPr>
        <w:pStyle w:val="ListNo"/>
        <w:numPr>
          <w:ilvl w:val="0"/>
          <w:numId w:val="52"/>
        </w:numPr>
        <w:tabs>
          <w:tab w:val="clear" w:pos="720"/>
        </w:tabs>
      </w:pPr>
      <w:r>
        <w:t>m</w:t>
      </w:r>
      <w:r w:rsidR="00237F56">
        <w:t>odification of the display case, resulting from water ingress and corrosion encountered during the Barminco trial; and</w:t>
      </w:r>
    </w:p>
    <w:p w:rsidR="00237F56" w:rsidRDefault="008B08BD" w:rsidP="001332BE">
      <w:pPr>
        <w:pStyle w:val="ListNo"/>
        <w:numPr>
          <w:ilvl w:val="0"/>
          <w:numId w:val="52"/>
        </w:numPr>
        <w:tabs>
          <w:tab w:val="clear" w:pos="720"/>
        </w:tabs>
      </w:pPr>
      <w:r>
        <w:t>r</w:t>
      </w:r>
      <w:r w:rsidR="00237F56">
        <w:t>eprogramming of the microprocessor to enable an 999 minute coring operation.</w:t>
      </w:r>
    </w:p>
    <w:p w:rsidR="00237F56" w:rsidRDefault="00237F56" w:rsidP="00237F56">
      <w:pPr>
        <w:pStyle w:val="ParaNumbering"/>
      </w:pPr>
      <w:r>
        <w:lastRenderedPageBreak/>
        <w:t xml:space="preserve">There was some debate, following evidence from Mr Bradford, as to who had control over the </w:t>
      </w:r>
      <w:r w:rsidR="00BF240F">
        <w:t>ACT Tool</w:t>
      </w:r>
      <w:r>
        <w:t xml:space="preserve"> equipment, but specifically in the case of the Manjimup and </w:t>
      </w:r>
      <w:r w:rsidR="009353A6">
        <w:t>Drill Corp</w:t>
      </w:r>
      <w:r>
        <w:t xml:space="preserve"> tests</w:t>
      </w:r>
      <w:r w:rsidR="008B08BD">
        <w:t xml:space="preserve">.  </w:t>
      </w:r>
      <w:r>
        <w:t xml:space="preserve">I have found that the Ace Drilling employees operated the prototype equipment and took it away with them </w:t>
      </w:r>
      <w:r w:rsidR="00116883">
        <w:t>after</w:t>
      </w:r>
      <w:r>
        <w:t xml:space="preserve"> the testing.  </w:t>
      </w:r>
    </w:p>
    <w:p w:rsidR="00237F56" w:rsidRDefault="00237F56" w:rsidP="00237F56">
      <w:pPr>
        <w:pStyle w:val="ParaNumbering"/>
      </w:pPr>
      <w:r>
        <w:t>It is clear that the field testing involve</w:t>
      </w:r>
      <w:r w:rsidR="008B08BD">
        <w:t>d</w:t>
      </w:r>
      <w:r>
        <w:t xml:space="preserve"> different types of locations.  The Mosslake test involved a small portable surface rig at shallow depths.  The </w:t>
      </w:r>
      <w:r w:rsidR="009353A6">
        <w:t>Drill Corp</w:t>
      </w:r>
      <w:r>
        <w:t xml:space="preserve"> tests, on the other hand, involved a high powered rig with large hydraulic pumps in deep clawing operations.  The test with Barminco involved testing the prototype in an underground rig environment.  Feedback was obtained from the drilling rig operators in each of the trials in relation to the accuracy of the </w:t>
      </w:r>
      <w:r w:rsidR="00116883">
        <w:t>ACT T</w:t>
      </w:r>
      <w:r>
        <w:t xml:space="preserve">ool and with suggestions as to potential design changes.  </w:t>
      </w:r>
    </w:p>
    <w:p w:rsidR="00237F56" w:rsidRDefault="00237F56" w:rsidP="00237F56">
      <w:pPr>
        <w:pStyle w:val="ParaNumbering"/>
      </w:pPr>
      <w:r>
        <w:t xml:space="preserve">Although the technical team </w:t>
      </w:r>
      <w:r w:rsidR="008B08BD">
        <w:t xml:space="preserve">gave consideration to </w:t>
      </w:r>
      <w:r>
        <w:t xml:space="preserve">conducting laboratory testing, it was decided that field testing would be the most appropriate test because of the harsh and onerous environment </w:t>
      </w:r>
      <w:r w:rsidR="00744FB7">
        <w:t xml:space="preserve">that </w:t>
      </w:r>
      <w:r>
        <w:t xml:space="preserve">such a tool would encounter.  The view was taken that, in the absence of specimen data about conditions encountered underground, vibration testing would be difficult to replicate in a laboratory and would not, in any event, measure all of the forces encountered during drilling.  </w:t>
      </w:r>
    </w:p>
    <w:p w:rsidR="00237F56" w:rsidRDefault="00237F56" w:rsidP="00237F56">
      <w:pPr>
        <w:pStyle w:val="ParaNumbering"/>
      </w:pPr>
      <w:r>
        <w:t xml:space="preserve">It is true that following </w:t>
      </w:r>
      <w:r w:rsidR="008B08BD">
        <w:t xml:space="preserve">the </w:t>
      </w:r>
      <w:r>
        <w:t xml:space="preserve">field testing of the prototype </w:t>
      </w:r>
      <w:r w:rsidR="008B08BD">
        <w:t xml:space="preserve">ACT Tool </w:t>
      </w:r>
      <w:r>
        <w:t>in April and May 2004, Chardec and AMC discussed terms for the supply and manufacture of the ACT</w:t>
      </w:r>
      <w:r w:rsidR="008B08BD">
        <w:t xml:space="preserve"> Tool</w:t>
      </w:r>
      <w:r>
        <w:t xml:space="preserve">.  There were a number of emails on this topic and in June 2004, the negotiation of the </w:t>
      </w:r>
      <w:r w:rsidR="0058440A">
        <w:t>distribution agreement</w:t>
      </w:r>
      <w:r w:rsidR="008B08BD">
        <w:t xml:space="preserve"> commenced</w:t>
      </w:r>
      <w:r>
        <w:t>.  It concluded during Mr Weston’s visit to the United Kingdom in September 2004.</w:t>
      </w:r>
    </w:p>
    <w:p w:rsidR="00237F56" w:rsidRDefault="00237F56" w:rsidP="00237F56">
      <w:pPr>
        <w:pStyle w:val="ParaNumbering"/>
      </w:pPr>
      <w:r>
        <w:t xml:space="preserve">I find that the delivery of the first units of the </w:t>
      </w:r>
      <w:r w:rsidR="00BF240F">
        <w:t>ACT Tool</w:t>
      </w:r>
      <w:r>
        <w:t xml:space="preserve"> for commercial usage did not take place until after signing of the </w:t>
      </w:r>
      <w:r w:rsidR="0058440A">
        <w:t>distribution agreement</w:t>
      </w:r>
      <w:r>
        <w:t xml:space="preserve">.  Chardec finalised the first ten units of the </w:t>
      </w:r>
      <w:r w:rsidR="00BF240F">
        <w:t>ACT Tool</w:t>
      </w:r>
      <w:r>
        <w:t xml:space="preserve"> and arranged for them to be shipped from the United Kingdom to AMC on 17 September 2004.  I find that the first shipment of tools was not received by AMC until 24 September 2004 and from that date onwards, AMC commenced commercialising the tool.</w:t>
      </w:r>
    </w:p>
    <w:p w:rsidR="00237F56" w:rsidRDefault="00237F56" w:rsidP="00237F56">
      <w:pPr>
        <w:pStyle w:val="ParaNumbering"/>
      </w:pPr>
      <w:r>
        <w:t xml:space="preserve">I </w:t>
      </w:r>
      <w:r w:rsidR="008B08BD">
        <w:t xml:space="preserve">find </w:t>
      </w:r>
      <w:r>
        <w:t xml:space="preserve">that </w:t>
      </w:r>
      <w:r w:rsidR="00384E54">
        <w:t>Coretell</w:t>
      </w:r>
      <w:r w:rsidR="008B08BD">
        <w:t xml:space="preserve">’s </w:t>
      </w:r>
      <w:r>
        <w:t xml:space="preserve">case about earlier deliveries </w:t>
      </w:r>
      <w:r w:rsidR="00351AF5">
        <w:t xml:space="preserve">(as distinct from discussion about deliveries) </w:t>
      </w:r>
      <w:r>
        <w:t xml:space="preserve">is entirely speculative.  It is true that reference was made to forthcoming deliveries at earlier dates, but there is no evidence that any of these came about.  All indications are </w:t>
      </w:r>
      <w:r>
        <w:lastRenderedPageBreak/>
        <w:t xml:space="preserve">quite to the contrary.  Actual commercialisation </w:t>
      </w:r>
      <w:r w:rsidR="00351AF5">
        <w:t xml:space="preserve">itself </w:t>
      </w:r>
      <w:r>
        <w:t xml:space="preserve">was </w:t>
      </w:r>
      <w:r w:rsidR="00351AF5">
        <w:t xml:space="preserve">certainly </w:t>
      </w:r>
      <w:r>
        <w:t xml:space="preserve">not implemented until late September 2004.  </w:t>
      </w:r>
    </w:p>
    <w:p w:rsidR="00237F56" w:rsidRDefault="00237F56" w:rsidP="00237F56">
      <w:pPr>
        <w:pStyle w:val="ParaNumbering"/>
      </w:pPr>
      <w:r>
        <w:t xml:space="preserve">Consistent with this finding of fact was the acute awareness on the part of key AMC witnesses that commercialisation could not be effected until the application for the patent had been lodged.  While </w:t>
      </w:r>
      <w:r w:rsidR="008B08BD">
        <w:t xml:space="preserve">Coretell </w:t>
      </w:r>
      <w:r>
        <w:t>seize</w:t>
      </w:r>
      <w:r w:rsidR="008B08BD">
        <w:t>s</w:t>
      </w:r>
      <w:r>
        <w:t xml:space="preserve"> on the fact that Mr Parfitt was keen for there to be as much testing as possible, his evidence, which I accept, was that he most likely informed Mr Bradford that field testing should be carried out ‘as confidentially as possible … with as little fanfare as possible’.  Nevertheless, </w:t>
      </w:r>
      <w:r w:rsidR="008B08BD">
        <w:t xml:space="preserve">Mr Parfitt </w:t>
      </w:r>
      <w:r>
        <w:t xml:space="preserve">knew from the outset of the project that the prototype </w:t>
      </w:r>
      <w:r w:rsidR="008B08BD">
        <w:t>ACT T</w:t>
      </w:r>
      <w:r>
        <w:t>ool and its operational sequence would require testing on actual drilling rigs in different locations.  Mr Parfitt considered that this was e</w:t>
      </w:r>
      <w:r w:rsidR="008B08BD">
        <w:t>ssential to determine</w:t>
      </w:r>
      <w:r>
        <w:t xml:space="preserve"> whether the concept and design for an electronic core tool would work in real world conditions.  </w:t>
      </w:r>
    </w:p>
    <w:p w:rsidR="00237F56" w:rsidRDefault="008B08BD" w:rsidP="00237F56">
      <w:pPr>
        <w:pStyle w:val="ParaNumbering"/>
      </w:pPr>
      <w:r>
        <w:t xml:space="preserve">Coretell </w:t>
      </w:r>
      <w:r w:rsidR="00237F56">
        <w:t>emphasise</w:t>
      </w:r>
      <w:r>
        <w:t>s</w:t>
      </w:r>
      <w:r w:rsidR="00237F56">
        <w:t xml:space="preserve"> that Mr Parfitt wanted the prototypes to be tested in the widest number of holes possible and </w:t>
      </w:r>
      <w:r>
        <w:t xml:space="preserve">also for </w:t>
      </w:r>
      <w:r w:rsidR="00237F56">
        <w:t xml:space="preserve">a broad range of people </w:t>
      </w:r>
      <w:r>
        <w:t>to operate the tools</w:t>
      </w:r>
      <w:r w:rsidR="00237F56">
        <w:t>.  It is clear from the records</w:t>
      </w:r>
      <w:r>
        <w:t>,</w:t>
      </w:r>
      <w:r w:rsidR="00237F56">
        <w:t xml:space="preserve"> as well as the evidence of Mr Parfitt, which I accept, that in view of the fact that the orientation sensors sat behind the bottom </w:t>
      </w:r>
      <w:r>
        <w:t xml:space="preserve">of </w:t>
      </w:r>
      <w:r w:rsidR="00237F56">
        <w:t xml:space="preserve">hole assembly engaging with the native rock, </w:t>
      </w:r>
      <w:r>
        <w:t xml:space="preserve">it was clear </w:t>
      </w:r>
      <w:r w:rsidR="00237F56">
        <w:t>the tool needed to be run in a variety of holes to see whether it was sufficiently reliant to withstand the drilling process.</w:t>
      </w:r>
      <w:r>
        <w:t xml:space="preserve">  In cross-examination, he agreed that he knew that they would need deep holes, as well as shallow holes, to get different pressure depths, different hydrostatic pressure and different temperatures.</w:t>
      </w:r>
    </w:p>
    <w:p w:rsidR="00237F56" w:rsidRDefault="00237F56" w:rsidP="00237F56">
      <w:pPr>
        <w:pStyle w:val="ParaNumbering"/>
      </w:pPr>
      <w:r>
        <w:t xml:space="preserve">Mr Parfitt was strenuously pressed on the proposition that Chardec would not have ordered component parts </w:t>
      </w:r>
      <w:r w:rsidR="00F544A8">
        <w:t xml:space="preserve">of the ACT Tool </w:t>
      </w:r>
      <w:r>
        <w:t xml:space="preserve">without having already </w:t>
      </w:r>
      <w:r w:rsidR="00F544A8">
        <w:t xml:space="preserve">received </w:t>
      </w:r>
      <w:r>
        <w:t xml:space="preserve">a purchase order from AMC for the </w:t>
      </w:r>
      <w:r w:rsidR="00BF240F">
        <w:t>ACT Tool</w:t>
      </w:r>
      <w:r>
        <w:t xml:space="preserve">s.  Mr Parfitt consistently rejected this proposition.  By placing confidence in the testing of the tool and the modification of it resulting in an effective product, he took a gamble ordering long lead time parts in the hope that a </w:t>
      </w:r>
      <w:r w:rsidR="0058440A">
        <w:t>distribution agreement</w:t>
      </w:r>
      <w:r>
        <w:t xml:space="preserve"> would eventually be finalised.  There is no evidence, however, that he received any order for </w:t>
      </w:r>
      <w:r w:rsidR="00BF240F">
        <w:t>ACT Tool</w:t>
      </w:r>
      <w:r>
        <w:t xml:space="preserve">s until after the </w:t>
      </w:r>
      <w:r w:rsidR="0058440A">
        <w:t>distribution agreement</w:t>
      </w:r>
      <w:r>
        <w:t xml:space="preserve"> was signed.  There is no evidence that anyone confirmed unequivocally that such </w:t>
      </w:r>
      <w:r w:rsidR="00F544A8">
        <w:t xml:space="preserve">an </w:t>
      </w:r>
      <w:r>
        <w:t xml:space="preserve">order would be placed.  </w:t>
      </w:r>
    </w:p>
    <w:p w:rsidR="00237F56" w:rsidRDefault="00237F56" w:rsidP="00237F56">
      <w:pPr>
        <w:pStyle w:val="ParaNumbering"/>
      </w:pPr>
      <w:r>
        <w:t>I accept Mr Parfitt’s evidence in the following passage from the transcript:</w:t>
      </w:r>
    </w:p>
    <w:p w:rsidR="00237F56" w:rsidRDefault="00237F56" w:rsidP="00237F56">
      <w:pPr>
        <w:pStyle w:val="Quote1"/>
      </w:pPr>
      <w:r>
        <w:t>Right?</w:t>
      </w:r>
      <w:r w:rsidR="00F544A8">
        <w:t xml:space="preserve"> --- </w:t>
      </w:r>
      <w:r>
        <w:t>And July time, we were talking about the distribution agreement already then, and terms of that, so we started to feel some confidence that we could start to order stock, I guess.</w:t>
      </w:r>
    </w:p>
    <w:p w:rsidR="00237F56" w:rsidRDefault="00237F56" w:rsidP="00237F56">
      <w:pPr>
        <w:pStyle w:val="Quote1"/>
      </w:pPr>
    </w:p>
    <w:p w:rsidR="00237F56" w:rsidRDefault="00237F56" w:rsidP="00237F56">
      <w:pPr>
        <w:pStyle w:val="Quote1"/>
      </w:pPr>
      <w:r>
        <w:t xml:space="preserve">Well, the position was, though, was it not, that you had previously, I think, accepted </w:t>
      </w:r>
      <w:r>
        <w:lastRenderedPageBreak/>
        <w:t>the position that you weren’t prepared to have Chardec enter into large component purchase obligations, payment obligations, unless you had some assurance from Imdex that you were going to be paid.  Really, that’s the broad position, isn’t</w:t>
      </w:r>
      <w:r w:rsidR="00F544A8">
        <w:t xml:space="preserve"> it? ---</w:t>
      </w:r>
      <w:r>
        <w:t xml:space="preserve"> I can imagine that later on we got some comfort that we could potentially sell the product elsewhere if Imdex weren’t interested, so it was at that point we could start to, you know – to take a gamble and invest some money into stock.  At least long lead time components.</w:t>
      </w:r>
    </w:p>
    <w:p w:rsidR="00237F56" w:rsidRDefault="00237F56" w:rsidP="00237F56">
      <w:pPr>
        <w:pStyle w:val="Quote1"/>
      </w:pPr>
    </w:p>
    <w:p w:rsidR="00237F56" w:rsidRDefault="00237F56" w:rsidP="00237F56">
      <w:pPr>
        <w:pStyle w:val="Quote1"/>
      </w:pPr>
      <w:r>
        <w:t>Well, surely you’re not telling his Honour that you’re doing this on spec witho</w:t>
      </w:r>
      <w:r w:rsidR="00F544A8">
        <w:t>ut some commitment from Imdex? ---</w:t>
      </w:r>
      <w:r>
        <w:t xml:space="preserve"> No.  That’s what we were doing.</w:t>
      </w:r>
    </w:p>
    <w:p w:rsidR="00237F56" w:rsidRDefault="00237F56" w:rsidP="00237F56">
      <w:pPr>
        <w:pStyle w:val="Quote1"/>
      </w:pPr>
    </w:p>
    <w:p w:rsidR="00237F56" w:rsidRDefault="00237F56" w:rsidP="00237F56">
      <w:pPr>
        <w:pStyle w:val="Quote1"/>
      </w:pPr>
      <w:r>
        <w:t>Is it?   We were taking – yes, I guess that we were taking a gamble at that point.</w:t>
      </w:r>
    </w:p>
    <w:p w:rsidR="00237F56" w:rsidRDefault="00237F56" w:rsidP="00237F56">
      <w:pPr>
        <w:pStyle w:val="ParaNumbering"/>
      </w:pPr>
      <w:r>
        <w:t>Mr Parfitt also made it clear that while he had built up certain stock for the ACT</w:t>
      </w:r>
      <w:r w:rsidR="00F544A8">
        <w:t xml:space="preserve"> Tool</w:t>
      </w:r>
      <w:r>
        <w:t xml:space="preserve">, it did not follow that he was actually assembling them because his practice was to carry out the assembly </w:t>
      </w:r>
      <w:r w:rsidR="00F544A8">
        <w:t>in</w:t>
      </w:r>
      <w:r>
        <w:t xml:space="preserve"> the last few days before shipment.  </w:t>
      </w:r>
    </w:p>
    <w:p w:rsidR="00237F56" w:rsidRDefault="00237F56" w:rsidP="00237F56">
      <w:pPr>
        <w:pStyle w:val="ParaNumbering"/>
      </w:pPr>
      <w:r>
        <w:t xml:space="preserve">In my assessment, this accorded with the documents as objectively viewed.  Undoubtedly, each party was hoping that there would be business opportunity.  </w:t>
      </w:r>
      <w:r w:rsidR="00F544A8">
        <w:t>I find that each</w:t>
      </w:r>
      <w:r>
        <w:t xml:space="preserve"> party was equally cautious to ensure that it would be safe to make a commitment.  This was confirmed by Mr Weston, who gave evidence that the prototype equipment for the </w:t>
      </w:r>
      <w:r w:rsidR="00BF240F">
        <w:t>ACT Tool</w:t>
      </w:r>
      <w:r>
        <w:t xml:space="preserve"> was wholly developed by Mr Parfitt in his laboratory.  </w:t>
      </w:r>
      <w:r w:rsidR="00F544A8">
        <w:t xml:space="preserve">He said that its </w:t>
      </w:r>
      <w:r>
        <w:t>design consisted of custom-built components</w:t>
      </w:r>
      <w:r w:rsidR="00F544A8">
        <w:t>, for example,</w:t>
      </w:r>
      <w:r>
        <w:t xml:space="preserve"> a new assembly, unique command codes, a novel sensory arrangement along the inner tube, bespoke circuit boards, connecting wires, key-pad, display, processor etc) designed to interact with each other and the human operator in a manner that had never been tested in a core drilling environment.  Mr Weston said that, amongst other things, the underground conditions in which the equipment was required to operate involved extreme rotational forces, vibration, fluid submersion and extreme heat conditions.  These forces </w:t>
      </w:r>
      <w:r w:rsidR="00F544A8">
        <w:t xml:space="preserve">were </w:t>
      </w:r>
      <w:r>
        <w:t xml:space="preserve">especially acute given that the </w:t>
      </w:r>
      <w:r w:rsidR="00BF240F">
        <w:t>ACT Tool</w:t>
      </w:r>
      <w:r>
        <w:t xml:space="preserve"> is located in the back end assembly behind the spinning drill bit engaging with the native hard rock which, in diamond exploration drilling, can be as hard as the drill bit itself.  He explained that these forces cannot be replicated in a laboratory.  At the time, he considered that testing in the fiel</w:t>
      </w:r>
      <w:r w:rsidR="00F544A8">
        <w:t>d was necessary to demonstrate</w:t>
      </w:r>
      <w:r>
        <w:t xml:space="preserve"> that the features of the prototype design and their method of operation in fact worked in the drilling environments </w:t>
      </w:r>
      <w:r w:rsidR="00F544A8">
        <w:t xml:space="preserve">that </w:t>
      </w:r>
      <w:r>
        <w:t xml:space="preserve">the tool was required to operate in.  </w:t>
      </w:r>
    </w:p>
    <w:p w:rsidR="00237F56" w:rsidRDefault="00237F56" w:rsidP="00237F56">
      <w:pPr>
        <w:pStyle w:val="ParaNumbering"/>
      </w:pPr>
      <w:r>
        <w:t xml:space="preserve">Mr Weston noted that the tasks the </w:t>
      </w:r>
      <w:r w:rsidR="00BF240F">
        <w:t>ACT Tool</w:t>
      </w:r>
      <w:r>
        <w:t xml:space="preserve"> would be required to carry out involved extraction, retrieval and re-orientation of physical drill matter</w:t>
      </w:r>
      <w:r w:rsidR="006A3592">
        <w:t xml:space="preserve">, </w:t>
      </w:r>
      <w:r w:rsidR="0015701D">
        <w:t xml:space="preserve">which </w:t>
      </w:r>
      <w:r w:rsidR="006A3592">
        <w:t xml:space="preserve">could not </w:t>
      </w:r>
      <w:r>
        <w:t xml:space="preserve">be reliably assessed in a laboratory.  Amongst other things, </w:t>
      </w:r>
      <w:r w:rsidR="006A3592">
        <w:t xml:space="preserve">Mr Weston said that </w:t>
      </w:r>
      <w:r>
        <w:t>laboratory tests are not capable of accounting for</w:t>
      </w:r>
      <w:r w:rsidR="006A3592">
        <w:t>,</w:t>
      </w:r>
      <w:r>
        <w:t xml:space="preserve"> or revealing</w:t>
      </w:r>
      <w:r w:rsidR="006A3592">
        <w:t>,</w:t>
      </w:r>
      <w:r>
        <w:t xml:space="preserve"> the range </w:t>
      </w:r>
      <w:r w:rsidR="006A3592">
        <w:t xml:space="preserve">of </w:t>
      </w:r>
      <w:r>
        <w:t xml:space="preserve">operational and human issues that, in practice, dramatically affect the performance or utility of an operational sequence devised </w:t>
      </w:r>
      <w:r>
        <w:lastRenderedPageBreak/>
        <w:t xml:space="preserve">solely by an electrical engineer in a laboratory.  He </w:t>
      </w:r>
      <w:r w:rsidR="006A3592">
        <w:t xml:space="preserve">gave evidence that he </w:t>
      </w:r>
      <w:r>
        <w:t xml:space="preserve">approved the field testing in 2004 as he considered that the tasks the </w:t>
      </w:r>
      <w:r w:rsidR="00BF240F">
        <w:t>ACT Tool</w:t>
      </w:r>
      <w:r>
        <w:t xml:space="preserve"> was designed to carry out</w:t>
      </w:r>
      <w:r w:rsidR="006A3592">
        <w:t xml:space="preserve">, </w:t>
      </w:r>
      <w:r>
        <w:t>namely</w:t>
      </w:r>
      <w:r w:rsidR="006A3592">
        <w:t>,</w:t>
      </w:r>
      <w:r>
        <w:t xml:space="preserve"> the extraction, retrieval and re-orien</w:t>
      </w:r>
      <w:r w:rsidR="006A3592">
        <w:t>tation of physical drill matter,</w:t>
      </w:r>
      <w:r>
        <w:t xml:space="preserve"> were better assessed in the field involving physical drill </w:t>
      </w:r>
      <w:r w:rsidR="006A3592">
        <w:t xml:space="preserve">matters </w:t>
      </w:r>
      <w:r>
        <w:t xml:space="preserve">than in the laboratory.  This goes directly to the </w:t>
      </w:r>
      <w:r>
        <w:rPr>
          <w:i/>
        </w:rPr>
        <w:t xml:space="preserve">Longworth v Emerton </w:t>
      </w:r>
      <w:r>
        <w:t xml:space="preserve">point.  </w:t>
      </w:r>
    </w:p>
    <w:p w:rsidR="00237F56" w:rsidRDefault="00237F56" w:rsidP="00237F56">
      <w:pPr>
        <w:pStyle w:val="ParaNumbering"/>
      </w:pPr>
      <w:r>
        <w:t>Mr Weston also stressed that the testing included practical measures to put be in place in order to limit the information provided to drillers to mitigate the risk of unauthorised disclosure.  Those measures he described as being as follows:</w:t>
      </w:r>
    </w:p>
    <w:p w:rsidR="00237F56" w:rsidRDefault="00237F56" w:rsidP="00237F56">
      <w:pPr>
        <w:pStyle w:val="Quote1"/>
        <w:ind w:left="1440" w:hanging="703"/>
      </w:pPr>
      <w:r>
        <w:t>(a)</w:t>
      </w:r>
      <w:r>
        <w:tab/>
        <w:t xml:space="preserve">Drillers were not provided with, or permitted to inspect, the configuration or assembly of the tool’s internal components or the manner in which those internal components operated.  </w:t>
      </w:r>
    </w:p>
    <w:p w:rsidR="00237F56" w:rsidRDefault="00237F56" w:rsidP="00237F56">
      <w:pPr>
        <w:pStyle w:val="Quote1"/>
        <w:ind w:left="1440" w:hanging="703"/>
      </w:pPr>
      <w:r>
        <w:t>(b)</w:t>
      </w:r>
      <w:r>
        <w:tab/>
        <w:t xml:space="preserve">Drillers were not provided with any document outlining the technical features or operational steps carried out by the test equipment.  As far as I am aware, they were simply told, to the extent required, what buttons to press on the tool, when to press those buttons and how to lay out the core.  Ace </w:t>
      </w:r>
      <w:r w:rsidR="006A3592">
        <w:t xml:space="preserve">[Drilling] </w:t>
      </w:r>
      <w:r>
        <w:t xml:space="preserve">did not prepare a technical document or manual for the ACT </w:t>
      </w:r>
      <w:r w:rsidR="006A3592">
        <w:t xml:space="preserve">[Tool] </w:t>
      </w:r>
      <w:r>
        <w:t xml:space="preserve">until after the testing phase had concluded.  </w:t>
      </w:r>
    </w:p>
    <w:p w:rsidR="00237F56" w:rsidRDefault="00237F56" w:rsidP="00237F56">
      <w:pPr>
        <w:pStyle w:val="Quote1"/>
        <w:ind w:left="1440" w:hanging="703"/>
      </w:pPr>
      <w:r>
        <w:t>(c)</w:t>
      </w:r>
      <w:r>
        <w:tab/>
        <w:t xml:space="preserve">Ace Drilling representatives were on hand to supervise and provide assistance during the testing.  According to Mr Bradford, he carried out many of the operational steps during the Mosslake test in Manjimup and the </w:t>
      </w:r>
      <w:r w:rsidR="009353A6">
        <w:t>Drill Corp</w:t>
      </w:r>
      <w:r>
        <w:t xml:space="preserve"> test in Kalgoorlie.</w:t>
      </w:r>
    </w:p>
    <w:p w:rsidR="00237F56" w:rsidRPr="00160937" w:rsidRDefault="00237F56" w:rsidP="00237F56">
      <w:pPr>
        <w:pStyle w:val="Quote1"/>
        <w:ind w:left="1440" w:hanging="703"/>
        <w:rPr>
          <w:b/>
        </w:rPr>
      </w:pPr>
      <w:r w:rsidRPr="00160937">
        <w:rPr>
          <w:b/>
        </w:rPr>
        <w:t>(d)</w:t>
      </w:r>
      <w:r w:rsidRPr="00160937">
        <w:rPr>
          <w:b/>
        </w:rPr>
        <w:tab/>
        <w:t>The testing took place with trusted rig operators in remote locations that are not publically accessible.  No one from the public is permitted to enter a rig site who is not authorised to be there.</w:t>
      </w:r>
    </w:p>
    <w:p w:rsidR="00237F56" w:rsidRPr="00160937" w:rsidRDefault="00237F56" w:rsidP="00237F56">
      <w:pPr>
        <w:pStyle w:val="Quote1"/>
        <w:ind w:left="1440" w:hanging="703"/>
        <w:rPr>
          <w:b/>
        </w:rPr>
      </w:pPr>
      <w:r w:rsidRPr="00160937">
        <w:rPr>
          <w:b/>
        </w:rPr>
        <w:t>(e)</w:t>
      </w:r>
      <w:r w:rsidRPr="00160937">
        <w:rPr>
          <w:b/>
        </w:rPr>
        <w:tab/>
        <w:t xml:space="preserve">The field testing involved, in total, what I regard to be a relatively short duration of time for equipment of this sort (ie about 10 days in total; as compared with the many months for which a core tool is required to operate in practice).  </w:t>
      </w:r>
    </w:p>
    <w:p w:rsidR="00237F56" w:rsidRDefault="00237F56" w:rsidP="00237F56">
      <w:pPr>
        <w:pStyle w:val="Quote1"/>
        <w:ind w:left="1440" w:hanging="703"/>
      </w:pPr>
      <w:r w:rsidRPr="00160937">
        <w:rPr>
          <w:b/>
        </w:rPr>
        <w:t>(f)</w:t>
      </w:r>
      <w:r w:rsidRPr="00160937">
        <w:rPr>
          <w:b/>
        </w:rPr>
        <w:tab/>
        <w:t xml:space="preserve">Ace </w:t>
      </w:r>
      <w:r w:rsidR="006A3592">
        <w:rPr>
          <w:b/>
        </w:rPr>
        <w:t xml:space="preserve">[Drilling] </w:t>
      </w:r>
      <w:r w:rsidRPr="00160937">
        <w:rPr>
          <w:b/>
        </w:rPr>
        <w:t xml:space="preserve">employees dispatched and removed all test equipment from site following the field tests.  </w:t>
      </w:r>
    </w:p>
    <w:p w:rsidR="00237F56" w:rsidRPr="00160937" w:rsidRDefault="00237F56" w:rsidP="00237F56">
      <w:pPr>
        <w:pStyle w:val="Quote1"/>
        <w:ind w:left="1440" w:hanging="703"/>
      </w:pPr>
      <w:r>
        <w:tab/>
        <w:t>(emphasis added)</w:t>
      </w:r>
    </w:p>
    <w:p w:rsidR="00237F56" w:rsidRDefault="00237F56" w:rsidP="00237F56">
      <w:pPr>
        <w:pStyle w:val="ParaNumbering"/>
      </w:pPr>
      <w:r>
        <w:t>Mr Weston was emphatic that this was not a commercial trial or demonstration.  No remuneration was received by Ace Drilling for the field tests.  No invoices were raised or rental order forms sent or requested, which would be standard practice, according to Mr Weston, for a commercial trial or</w:t>
      </w:r>
      <w:r w:rsidR="006A3592">
        <w:t xml:space="preserve"> demonstration.  He was adamant, and I accept, </w:t>
      </w:r>
      <w:r>
        <w:t xml:space="preserve">that this was not a marketing exercise.  </w:t>
      </w:r>
      <w:r w:rsidR="006A3592">
        <w:t xml:space="preserve">Similar to </w:t>
      </w:r>
      <w:r>
        <w:t xml:space="preserve">Mr Parfitt, he spoke of the cross-section of different rigs set ups, core depth levels, rock formations and various measures taken to restrict access to Ace Drilling’s prototype technology.  </w:t>
      </w:r>
    </w:p>
    <w:p w:rsidR="00237F56" w:rsidRDefault="00237F56" w:rsidP="00237F56">
      <w:pPr>
        <w:pStyle w:val="ParaNumbering"/>
      </w:pPr>
      <w:r>
        <w:t xml:space="preserve">The contemporaneous documentation accords with the prototypes being purely field trialled.  There were occasional slips in documents on which </w:t>
      </w:r>
      <w:r w:rsidR="006A3592">
        <w:t xml:space="preserve">Coretell </w:t>
      </w:r>
      <w:r>
        <w:t>quite fairly pounced</w:t>
      </w:r>
      <w:r w:rsidR="006A3592">
        <w:t xml:space="preserve">.  </w:t>
      </w:r>
      <w:r w:rsidR="006A3592">
        <w:lastRenderedPageBreak/>
        <w:t>F</w:t>
      </w:r>
      <w:r>
        <w:t>or example, the following exchange examined in cross-examination where the word ‘hire’ was, I find, mistakenly used in an email:</w:t>
      </w:r>
    </w:p>
    <w:p w:rsidR="00237F56" w:rsidRDefault="00237F56" w:rsidP="00237F56">
      <w:pPr>
        <w:pStyle w:val="Quote1"/>
      </w:pPr>
      <w:r>
        <w:t>Now, this is an email to Bradford, and the words that she uses are:</w:t>
      </w:r>
    </w:p>
    <w:p w:rsidR="00237F56" w:rsidRDefault="00343A24" w:rsidP="00237F56">
      <w:pPr>
        <w:pStyle w:val="Quote2"/>
      </w:pPr>
      <w:r>
        <w:rPr>
          <w:i/>
        </w:rPr>
        <w:t>‘</w:t>
      </w:r>
      <w:r w:rsidR="00237F56" w:rsidRPr="00AB7E74">
        <w:rPr>
          <w:i/>
        </w:rPr>
        <w:t>Could you make mention to Richard that the unit we had on hire to Mosslake had a glitch</w:t>
      </w:r>
      <w:r w:rsidR="00237F56">
        <w:t>.</w:t>
      </w:r>
      <w:r>
        <w:t>’</w:t>
      </w:r>
    </w:p>
    <w:p w:rsidR="00237F56" w:rsidRDefault="00237F56" w:rsidP="00237F56">
      <w:pPr>
        <w:pStyle w:val="Quote1"/>
      </w:pPr>
    </w:p>
    <w:p w:rsidR="00237F56" w:rsidRDefault="00343A24" w:rsidP="00237F56">
      <w:pPr>
        <w:pStyle w:val="Quote1"/>
      </w:pPr>
      <w:r>
        <w:t>Do you see those words? ---</w:t>
      </w:r>
      <w:r w:rsidR="00237F56">
        <w:t xml:space="preserve"> I see those words.</w:t>
      </w:r>
    </w:p>
    <w:p w:rsidR="00237F56" w:rsidRDefault="00237F56" w:rsidP="00237F56">
      <w:pPr>
        <w:pStyle w:val="Quote1"/>
      </w:pPr>
    </w:p>
    <w:p w:rsidR="00237F56" w:rsidRDefault="00237F56" w:rsidP="00237F56">
      <w:pPr>
        <w:pStyle w:val="Quote1"/>
      </w:pPr>
      <w:r>
        <w:t>Now, she doesn’t, for instance, sa</w:t>
      </w:r>
      <w:r w:rsidR="00343A24">
        <w:t>y, “the unit we had on trial”? ---</w:t>
      </w:r>
      <w:r>
        <w:t xml:space="preserve"> Yes.</w:t>
      </w:r>
    </w:p>
    <w:p w:rsidR="00237F56" w:rsidRDefault="00237F56" w:rsidP="00237F56">
      <w:pPr>
        <w:pStyle w:val="Quote1"/>
      </w:pPr>
    </w:p>
    <w:p w:rsidR="00237F56" w:rsidRDefault="00237F56" w:rsidP="00237F56">
      <w:pPr>
        <w:pStyle w:val="Quote1"/>
      </w:pPr>
      <w:r>
        <w:t xml:space="preserve">Do you see that? </w:t>
      </w:r>
      <w:r w:rsidR="00343A24">
        <w:t>---</w:t>
      </w:r>
      <w:r>
        <w:t xml:space="preserve"> Purely just a – there certainly was no hire, and that – that was certainly just a mistake in terminology.  So       </w:t>
      </w:r>
    </w:p>
    <w:p w:rsidR="00237F56" w:rsidRDefault="00237F56" w:rsidP="00237F56">
      <w:pPr>
        <w:pStyle w:val="Quote1"/>
      </w:pPr>
    </w:p>
    <w:p w:rsidR="00237F56" w:rsidRDefault="00237F56" w:rsidP="00237F56">
      <w:pPr>
        <w:pStyle w:val="Quote1"/>
      </w:pPr>
      <w:r>
        <w:t>Well, again, I will put to y</w:t>
      </w:r>
      <w:r w:rsidR="00343A24">
        <w:t>ou that it’s entirely correct? --- I disagree with that, Mr </w:t>
      </w:r>
      <w:r>
        <w:t>Hess.</w:t>
      </w:r>
    </w:p>
    <w:p w:rsidR="00237F56" w:rsidRDefault="00237F56" w:rsidP="00237F56">
      <w:pPr>
        <w:pStyle w:val="Quote1"/>
      </w:pPr>
    </w:p>
    <w:p w:rsidR="00237F56" w:rsidRPr="00AB7E74" w:rsidRDefault="00237F56" w:rsidP="00237F56">
      <w:pPr>
        <w:pStyle w:val="Quote1"/>
      </w:pPr>
      <w:r>
        <w:t>All right.  That, in fact, the proposition was that the tool was on hire to Mosslake and t</w:t>
      </w:r>
      <w:r w:rsidR="00343A24">
        <w:t>he place was Australian Mines? ---</w:t>
      </w:r>
      <w:r>
        <w:t xml:space="preserve"> No.  That is totally incorrect.</w:t>
      </w:r>
    </w:p>
    <w:p w:rsidR="00237F56" w:rsidRDefault="00237F56" w:rsidP="00237F56">
      <w:pPr>
        <w:pStyle w:val="ParaNumbering"/>
      </w:pPr>
      <w:r>
        <w:t xml:space="preserve">The applicants rely on the Ace Drilling </w:t>
      </w:r>
      <w:r w:rsidR="00164131">
        <w:t>‘m</w:t>
      </w:r>
      <w:r>
        <w:t xml:space="preserve">anagement </w:t>
      </w:r>
      <w:r w:rsidR="00164131">
        <w:t>r</w:t>
      </w:r>
      <w:r>
        <w:t>eports</w:t>
      </w:r>
      <w:r w:rsidR="00343A24">
        <w:t>’</w:t>
      </w:r>
      <w:r>
        <w:t xml:space="preserve"> which also accord with the demonstration being field testing and trialling.  Those reports </w:t>
      </w:r>
      <w:r w:rsidR="00343A24">
        <w:t xml:space="preserve">are </w:t>
      </w:r>
      <w:r>
        <w:t>in the following terms:</w:t>
      </w:r>
    </w:p>
    <w:tbl>
      <w:tblPr>
        <w:tblStyle w:val="TableGrid"/>
        <w:tblW w:w="0" w:type="auto"/>
        <w:tblInd w:w="675" w:type="dxa"/>
        <w:tblLook w:val="04A0" w:firstRow="1" w:lastRow="0" w:firstColumn="1" w:lastColumn="0" w:noHBand="0" w:noVBand="1"/>
      </w:tblPr>
      <w:tblGrid>
        <w:gridCol w:w="1701"/>
        <w:gridCol w:w="6105"/>
      </w:tblGrid>
      <w:tr w:rsidR="00237F56" w:rsidRPr="00C5164D" w:rsidTr="00453F9A">
        <w:tc>
          <w:tcPr>
            <w:tcW w:w="1701" w:type="dxa"/>
          </w:tcPr>
          <w:p w:rsidR="00237F56" w:rsidRPr="00C5164D" w:rsidRDefault="00237F56" w:rsidP="00453F9A">
            <w:pPr>
              <w:pStyle w:val="Quote1"/>
              <w:ind w:left="34" w:right="175"/>
              <w:jc w:val="left"/>
              <w:rPr>
                <w:b/>
              </w:rPr>
            </w:pPr>
            <w:r w:rsidRPr="00C5164D">
              <w:rPr>
                <w:b/>
              </w:rPr>
              <w:t>Date</w:t>
            </w:r>
          </w:p>
        </w:tc>
        <w:tc>
          <w:tcPr>
            <w:tcW w:w="6105" w:type="dxa"/>
          </w:tcPr>
          <w:p w:rsidR="00237F56" w:rsidRPr="00C5164D" w:rsidRDefault="00237F56" w:rsidP="00453F9A">
            <w:pPr>
              <w:pStyle w:val="Quote1"/>
              <w:ind w:left="113"/>
              <w:jc w:val="left"/>
              <w:rPr>
                <w:b/>
              </w:rPr>
            </w:pPr>
            <w:r w:rsidRPr="00C5164D">
              <w:rPr>
                <w:b/>
              </w:rPr>
              <w:t>Ace Drilling Management Report(s)</w:t>
            </w:r>
          </w:p>
        </w:tc>
      </w:tr>
      <w:tr w:rsidR="00237F56" w:rsidTr="00453F9A">
        <w:tc>
          <w:tcPr>
            <w:tcW w:w="1701" w:type="dxa"/>
          </w:tcPr>
          <w:p w:rsidR="00237F56" w:rsidRDefault="00237F56" w:rsidP="00453F9A">
            <w:pPr>
              <w:pStyle w:val="Quote1"/>
              <w:ind w:left="34" w:right="175"/>
              <w:jc w:val="left"/>
            </w:pPr>
            <w:r>
              <w:t>Jan-Mar 04</w:t>
            </w:r>
          </w:p>
        </w:tc>
        <w:tc>
          <w:tcPr>
            <w:tcW w:w="6105" w:type="dxa"/>
          </w:tcPr>
          <w:p w:rsidR="00237F56" w:rsidRPr="00C5164D" w:rsidRDefault="00237F56" w:rsidP="00453F9A">
            <w:pPr>
              <w:pStyle w:val="Quote1"/>
              <w:ind w:left="113" w:right="0"/>
              <w:jc w:val="left"/>
              <w:rPr>
                <w:i/>
              </w:rPr>
            </w:pPr>
            <w:r>
              <w:rPr>
                <w:i/>
              </w:rPr>
              <w:t>N/A</w:t>
            </w:r>
          </w:p>
        </w:tc>
      </w:tr>
      <w:tr w:rsidR="00237F56" w:rsidTr="00453F9A">
        <w:tc>
          <w:tcPr>
            <w:tcW w:w="1701" w:type="dxa"/>
          </w:tcPr>
          <w:p w:rsidR="00237F56" w:rsidRDefault="00237F56" w:rsidP="00453F9A">
            <w:pPr>
              <w:pStyle w:val="Quote1"/>
              <w:ind w:left="34" w:right="175"/>
              <w:jc w:val="left"/>
            </w:pPr>
            <w:r>
              <w:t>April 04</w:t>
            </w:r>
          </w:p>
        </w:tc>
        <w:tc>
          <w:tcPr>
            <w:tcW w:w="6105" w:type="dxa"/>
          </w:tcPr>
          <w:p w:rsidR="00237F56" w:rsidRDefault="00237F56" w:rsidP="00453F9A">
            <w:pPr>
              <w:pStyle w:val="Quote1"/>
              <w:ind w:left="113" w:right="0"/>
              <w:jc w:val="left"/>
              <w:rPr>
                <w:i/>
              </w:rPr>
            </w:pPr>
            <w:r>
              <w:rPr>
                <w:i/>
              </w:rPr>
              <w:t xml:space="preserve">During the month of April 2004 both Mosslake Drilling and </w:t>
            </w:r>
            <w:r w:rsidR="009353A6">
              <w:rPr>
                <w:i/>
              </w:rPr>
              <w:t>Drill Corp</w:t>
            </w:r>
            <w:r>
              <w:rPr>
                <w:i/>
              </w:rPr>
              <w:t xml:space="preserve"> field tested the core orientator.</w:t>
            </w:r>
          </w:p>
          <w:p w:rsidR="00237F56" w:rsidRDefault="00237F56" w:rsidP="00453F9A">
            <w:pPr>
              <w:pStyle w:val="Quote1"/>
              <w:ind w:left="113" w:right="0"/>
              <w:jc w:val="left"/>
              <w:rPr>
                <w:i/>
              </w:rPr>
            </w:pPr>
            <w:r>
              <w:rPr>
                <w:i/>
              </w:rPr>
              <w:t>Mosslake trialled this unit for two days at Manjimup and test results were very encouraging.  Comment received was that the unit was fast and accurate in its operation.  It should be stated that this unit was lowered on wireline, therefore, experiencing lit</w:t>
            </w:r>
            <w:r w:rsidR="002B2309">
              <w:rPr>
                <w:i/>
              </w:rPr>
              <w:t>tle terminal shock or vibration</w:t>
            </w:r>
          </w:p>
          <w:p w:rsidR="00237F56" w:rsidRDefault="009353A6" w:rsidP="002B2309">
            <w:pPr>
              <w:pStyle w:val="Quote1"/>
              <w:ind w:left="113" w:right="0"/>
              <w:jc w:val="left"/>
              <w:rPr>
                <w:i/>
              </w:rPr>
            </w:pPr>
            <w:r>
              <w:rPr>
                <w:i/>
              </w:rPr>
              <w:t>Drill Corp</w:t>
            </w:r>
            <w:r w:rsidR="00237F56">
              <w:rPr>
                <w:i/>
              </w:rPr>
              <w:t xml:space="preserve"> WDHD trialled this unit for a week just out of Kalgoorlie.  The drilling parametres of this test allowed for the tool to be pumped into position rather than lowered by wireline.  By using this system it exerts more stress on the tool, as it locates against the landing ring – this drilling method is more common and gives a better indication of the robustness of the tool.  Again the results were very encouraging.  This unit will be trialle</w:t>
            </w:r>
            <w:r w:rsidR="002B2309">
              <w:rPr>
                <w:i/>
              </w:rPr>
              <w:t>d during May 2004 with Barminco</w:t>
            </w:r>
          </w:p>
        </w:tc>
      </w:tr>
      <w:tr w:rsidR="00237F56" w:rsidTr="00453F9A">
        <w:tc>
          <w:tcPr>
            <w:tcW w:w="1701" w:type="dxa"/>
          </w:tcPr>
          <w:p w:rsidR="00237F56" w:rsidRDefault="00237F56" w:rsidP="00453F9A">
            <w:pPr>
              <w:pStyle w:val="Quote1"/>
              <w:ind w:left="34" w:right="175"/>
              <w:jc w:val="left"/>
            </w:pPr>
            <w:r>
              <w:t>May 04</w:t>
            </w:r>
          </w:p>
        </w:tc>
        <w:tc>
          <w:tcPr>
            <w:tcW w:w="6105" w:type="dxa"/>
          </w:tcPr>
          <w:p w:rsidR="00237F56" w:rsidRDefault="00237F56" w:rsidP="002B2309">
            <w:pPr>
              <w:pStyle w:val="Quote1"/>
              <w:ind w:left="113" w:right="0"/>
              <w:jc w:val="left"/>
              <w:rPr>
                <w:i/>
              </w:rPr>
            </w:pPr>
            <w:r>
              <w:rPr>
                <w:i/>
              </w:rPr>
              <w:t xml:space="preserve">During the month of May 2004 Harry Koushappi, Barminco’s Drilling Manager and Darby Munro, Ace Drilling’s Kalgoorlie Sales Manager visited Southern Cross Underground Mine site to </w:t>
            </w:r>
            <w:r>
              <w:rPr>
                <w:i/>
              </w:rPr>
              <w:lastRenderedPageBreak/>
              <w:t>trial the Core Orientation Tool.</w:t>
            </w:r>
          </w:p>
        </w:tc>
      </w:tr>
      <w:tr w:rsidR="00237F56" w:rsidTr="00453F9A">
        <w:tc>
          <w:tcPr>
            <w:tcW w:w="1701" w:type="dxa"/>
          </w:tcPr>
          <w:p w:rsidR="00237F56" w:rsidRDefault="00237F56" w:rsidP="00453F9A">
            <w:pPr>
              <w:pStyle w:val="Quote1"/>
              <w:ind w:left="34" w:right="175"/>
              <w:jc w:val="left"/>
            </w:pPr>
            <w:r>
              <w:lastRenderedPageBreak/>
              <w:t>June 04</w:t>
            </w:r>
          </w:p>
        </w:tc>
        <w:tc>
          <w:tcPr>
            <w:tcW w:w="6105" w:type="dxa"/>
          </w:tcPr>
          <w:p w:rsidR="00237F56" w:rsidRDefault="00237F56" w:rsidP="00453F9A">
            <w:pPr>
              <w:pStyle w:val="Quote1"/>
              <w:ind w:left="113" w:right="0"/>
              <w:jc w:val="left"/>
              <w:rPr>
                <w:i/>
              </w:rPr>
            </w:pPr>
            <w:r>
              <w:rPr>
                <w:i/>
              </w:rPr>
              <w:t>No more field tests were undertaken with the Prototype Core Orientation Tool during the month of June 2004.  The Orientation Tool was returned to Chardec for internal inspection …</w:t>
            </w:r>
          </w:p>
        </w:tc>
      </w:tr>
      <w:tr w:rsidR="00237F56" w:rsidTr="00453F9A">
        <w:tc>
          <w:tcPr>
            <w:tcW w:w="1701" w:type="dxa"/>
          </w:tcPr>
          <w:p w:rsidR="00237F56" w:rsidRDefault="00237F56" w:rsidP="00453F9A">
            <w:pPr>
              <w:pStyle w:val="Quote1"/>
              <w:ind w:left="34" w:right="175"/>
              <w:jc w:val="left"/>
            </w:pPr>
            <w:r>
              <w:t>July–Sept 04</w:t>
            </w:r>
          </w:p>
        </w:tc>
        <w:tc>
          <w:tcPr>
            <w:tcW w:w="6105" w:type="dxa"/>
          </w:tcPr>
          <w:p w:rsidR="00237F56" w:rsidRDefault="00237F56" w:rsidP="00453F9A">
            <w:pPr>
              <w:pStyle w:val="Quote1"/>
              <w:ind w:left="113" w:right="0"/>
              <w:jc w:val="left"/>
              <w:rPr>
                <w:i/>
              </w:rPr>
            </w:pPr>
            <w:r>
              <w:rPr>
                <w:i/>
              </w:rPr>
              <w:t>N/A</w:t>
            </w:r>
          </w:p>
        </w:tc>
      </w:tr>
    </w:tbl>
    <w:p w:rsidR="00237F56" w:rsidRDefault="00237F56" w:rsidP="00237F56">
      <w:pPr>
        <w:pStyle w:val="ParaNumbering"/>
      </w:pPr>
      <w:r>
        <w:t xml:space="preserve">As to Mr Bradford’s evidence that he </w:t>
      </w:r>
      <w:r w:rsidR="002B2309">
        <w:t xml:space="preserve">had </w:t>
      </w:r>
      <w:r>
        <w:t xml:space="preserve">placed an order with Chardec for 50 </w:t>
      </w:r>
      <w:r w:rsidR="00BF240F">
        <w:t>ACT Tool</w:t>
      </w:r>
      <w:r>
        <w:t xml:space="preserve">s in June 2004, Mr Weston explained that Mr Bradford did not have the authority to place a purchase order to Chardec in June 2004 for 50 units.  Further, Mr Weston gave evidence that there </w:t>
      </w:r>
      <w:r w:rsidR="002B2309">
        <w:t>wa</w:t>
      </w:r>
      <w:r>
        <w:t xml:space="preserve">s no way that Mr Parfitt from Chardec was going to release any tools until an agreement was signed.  There was definitely no agreement in place until September 2004.  There was no purchase order and the only agreement, Mr Weston said, was an agreement to try </w:t>
      </w:r>
      <w:r w:rsidR="002B2309">
        <w:t>to</w:t>
      </w:r>
      <w:r>
        <w:t xml:space="preserve"> produce a product which was going to be commercially acceptable to the market place.  </w:t>
      </w:r>
    </w:p>
    <w:p w:rsidR="00237F56" w:rsidRDefault="00237F56" w:rsidP="00237F56">
      <w:pPr>
        <w:pStyle w:val="ParaNumbering"/>
      </w:pPr>
      <w:r>
        <w:t>One of the reasons this account by Mr Weston is consistent with the evidence of Mr Parfitt</w:t>
      </w:r>
      <w:r w:rsidR="002B2309">
        <w:t xml:space="preserve">, and also </w:t>
      </w:r>
      <w:r>
        <w:t>entirely plausible</w:t>
      </w:r>
      <w:r w:rsidR="002B2309">
        <w:t>,</w:t>
      </w:r>
      <w:r>
        <w:t xml:space="preserve"> was that Mr Weston was acutely aware of the dangers of commercialising the invention prior to the lodging of the provisional patent.  His evidence was that:</w:t>
      </w:r>
    </w:p>
    <w:p w:rsidR="00237F56" w:rsidRDefault="002B2309" w:rsidP="00237F56">
      <w:pPr>
        <w:pStyle w:val="Quote1"/>
      </w:pPr>
      <w:r>
        <w:t>[o]</w:t>
      </w:r>
      <w:r w:rsidR="00237F56">
        <w:t>nce the provisional patent was in place then</w:t>
      </w:r>
      <w:r>
        <w:t>,</w:t>
      </w:r>
      <w:r w:rsidR="00237F56">
        <w:t xml:space="preserve"> you know, we were advised that we could commercialise the tool and so we didn’t do anything, your Honour, until – on a marketing or on a distribution of the product basis until that was available and then the other problem for us was that we had to negotiate a final agreement with Mr Parfitt on the </w:t>
      </w:r>
      <w:r>
        <w:t>d</w:t>
      </w:r>
      <w:r w:rsidR="00237F56">
        <w:t xml:space="preserve">istribution </w:t>
      </w:r>
      <w:r>
        <w:t>a</w:t>
      </w:r>
      <w:r w:rsidR="00237F56">
        <w:t xml:space="preserve">greement.  So that was a second point.  The first point was the provisional patent.  </w:t>
      </w:r>
    </w:p>
    <w:p w:rsidR="00237F56" w:rsidRDefault="00237F56" w:rsidP="00237F56">
      <w:pPr>
        <w:pStyle w:val="ParaNumbering"/>
      </w:pPr>
      <w:r>
        <w:t xml:space="preserve">Although </w:t>
      </w:r>
      <w:r w:rsidR="002B2309">
        <w:t xml:space="preserve">Coretell </w:t>
      </w:r>
      <w:r>
        <w:t xml:space="preserve">consistently pressed this issue very hard with the applicants’ witnesses, I am entirely satisfied that the answers given by Mr Weston and Mr Parfitt were truthful accounts.  I expressly find, lest there be any doubt about it, that on the evidence, no purchase order was ever placed or accepted before 3 September 2004.  Further, as to the commercialisation generally, I reject Mr Bradford’s evidence that 50 </w:t>
      </w:r>
      <w:r w:rsidR="00BF240F">
        <w:t>ACT Tool</w:t>
      </w:r>
      <w:r>
        <w:t xml:space="preserve">s arrived in July 2004.  I reject his evidence that the tools were hired to </w:t>
      </w:r>
      <w:r w:rsidR="009353A6">
        <w:t>Drill Corp</w:t>
      </w:r>
      <w:r>
        <w:t xml:space="preserve">, Mosslake, Barminco and </w:t>
      </w:r>
      <w:r w:rsidRPr="00391B7B">
        <w:t>Kluck Drilling</w:t>
      </w:r>
      <w:r>
        <w:t xml:space="preserve"> in August 2004.  </w:t>
      </w:r>
    </w:p>
    <w:p w:rsidR="00237F56" w:rsidRDefault="00237F56" w:rsidP="00237F56">
      <w:pPr>
        <w:pStyle w:val="ParaNumbering"/>
      </w:pPr>
      <w:r>
        <w:t xml:space="preserve">The documentary evidence produced by Mr Weston, </w:t>
      </w:r>
      <w:r w:rsidR="002B2309">
        <w:t xml:space="preserve">subsequent to Coretell grasping </w:t>
      </w:r>
      <w:r>
        <w:t xml:space="preserve">Mr Bradford’s evidence in support of their defence, showed no commercial dealings prior to 3 September 2004.  There were no promotional and marketing campaigns in July 2004, as Mr </w:t>
      </w:r>
      <w:r>
        <w:lastRenderedPageBreak/>
        <w:t xml:space="preserve">Bradford had alleged.  What the documents do show are internal marketing discussions, but with particular care being taken to comply with the patent attorney advice that Mr Weston had received that no marketing or promotional activities were to be conducted until after the Provisional Application had been filed.  </w:t>
      </w:r>
    </w:p>
    <w:p w:rsidR="00237F56" w:rsidRDefault="00237F56" w:rsidP="00237F56">
      <w:pPr>
        <w:pStyle w:val="ParaNumbering"/>
      </w:pPr>
      <w:r>
        <w:t xml:space="preserve">The internal Imdex </w:t>
      </w:r>
      <w:r w:rsidR="002B2309">
        <w:t>‘M</w:t>
      </w:r>
      <w:r>
        <w:t xml:space="preserve">anaging </w:t>
      </w:r>
      <w:r w:rsidR="002B2309">
        <w:t>D</w:t>
      </w:r>
      <w:r>
        <w:t xml:space="preserve">irector </w:t>
      </w:r>
      <w:r w:rsidR="002B2309">
        <w:t>R</w:t>
      </w:r>
      <w:r>
        <w:t>eports</w:t>
      </w:r>
      <w:r w:rsidR="002B2309">
        <w:t>’</w:t>
      </w:r>
      <w:r>
        <w:t xml:space="preserve"> accord with this position</w:t>
      </w:r>
      <w:r w:rsidR="000A4632">
        <w:t>.  T</w:t>
      </w:r>
      <w:r w:rsidR="002B2309">
        <w:t>hey reveal</w:t>
      </w:r>
      <w:r>
        <w:t xml:space="preserve"> that in June 2004 a distribution agreement was being negotiated and the possibility to take out patent protection was being investigated.  The </w:t>
      </w:r>
      <w:r w:rsidR="002B2309">
        <w:t xml:space="preserve">report said that the </w:t>
      </w:r>
      <w:r>
        <w:t xml:space="preserve">units would not be hired into the market until the patent investigations </w:t>
      </w:r>
      <w:r w:rsidR="002B2309">
        <w:t>we</w:t>
      </w:r>
      <w:r>
        <w:t xml:space="preserve">re completed, including the application of a provisional patent, if possible.  By July 2004, the managing director reported that the </w:t>
      </w:r>
      <w:r w:rsidR="002B2309">
        <w:t>d</w:t>
      </w:r>
      <w:r>
        <w:t xml:space="preserve">istribution </w:t>
      </w:r>
      <w:r w:rsidR="002B2309">
        <w:t>a</w:t>
      </w:r>
      <w:r>
        <w:t xml:space="preserve">greement and the application of a provision patent were delaying the marketing of the units.  In August 2004, the managing director reported that it was anticipated that the </w:t>
      </w:r>
      <w:r w:rsidR="002B2309">
        <w:t>d</w:t>
      </w:r>
      <w:r>
        <w:t xml:space="preserve">istribution </w:t>
      </w:r>
      <w:r w:rsidR="002B2309">
        <w:t>a</w:t>
      </w:r>
      <w:r>
        <w:t xml:space="preserve">greement would be finalised and signed in the week ending 17 September 2004 and that the units should be introduced to the market in late September 2004.  By September 2004, the managing director reported that a patent was lodged on 4 September 2004 on the core orientation tool and the </w:t>
      </w:r>
      <w:r w:rsidR="002B2309">
        <w:t>d</w:t>
      </w:r>
      <w:r>
        <w:t xml:space="preserve">istribution </w:t>
      </w:r>
      <w:r w:rsidR="002B2309">
        <w:t>a</w:t>
      </w:r>
      <w:r>
        <w:t>greement with Chardec was also finalised and signed.  The report also reveals the true position on actual delivery:</w:t>
      </w:r>
    </w:p>
    <w:p w:rsidR="00237F56" w:rsidRPr="002B2309" w:rsidRDefault="00237F56" w:rsidP="00237F56">
      <w:pPr>
        <w:pStyle w:val="Quote1"/>
      </w:pPr>
      <w:r w:rsidRPr="002B2309">
        <w:t xml:space="preserve">The delays experienced in finalising the </w:t>
      </w:r>
      <w:r w:rsidR="002B2309" w:rsidRPr="002B2309">
        <w:t xml:space="preserve">agreement with the manufacture [sic] </w:t>
      </w:r>
      <w:r w:rsidRPr="002B2309">
        <w:t>caused delays in the manufacture of the core tools.  Only 10 units (5 packs) were received prior to the end of the month, however, they were received too late to have any impact in September.  Additional units are being received in early October and the first units will be introduced to the market in early to mid-October.</w:t>
      </w:r>
    </w:p>
    <w:p w:rsidR="00237F56" w:rsidRDefault="00237F56" w:rsidP="00237F56">
      <w:pPr>
        <w:pStyle w:val="ParaNumbering"/>
      </w:pPr>
      <w:r>
        <w:t xml:space="preserve">This evidence displaces </w:t>
      </w:r>
      <w:r w:rsidR="008601FE">
        <w:t xml:space="preserve">Coretell’s </w:t>
      </w:r>
      <w:r>
        <w:t xml:space="preserve">speculation about earlier orders of </w:t>
      </w:r>
      <w:r w:rsidR="00BF240F">
        <w:t>ACT Tool</w:t>
      </w:r>
      <w:r>
        <w:t>, which relied almost entirely on Mr Bradford’s evidence.  Objectively viewed, Mr Bradford is a disaffected and unhappy ex-employee whose account was</w:t>
      </w:r>
      <w:r w:rsidR="008601FE">
        <w:t>,</w:t>
      </w:r>
      <w:r>
        <w:t xml:space="preserve"> and should have been</w:t>
      </w:r>
      <w:r w:rsidR="008601FE">
        <w:t>,</w:t>
      </w:r>
      <w:r>
        <w:t xml:space="preserve"> more seriously examined by </w:t>
      </w:r>
      <w:r w:rsidR="008601FE">
        <w:t xml:space="preserve">Coretell </w:t>
      </w:r>
      <w:r>
        <w:t xml:space="preserve">before resting such heavy reliance upon it.  </w:t>
      </w:r>
    </w:p>
    <w:p w:rsidR="00317AE0" w:rsidRDefault="008601FE" w:rsidP="00237F56">
      <w:pPr>
        <w:pStyle w:val="ParaNumbering"/>
      </w:pPr>
      <w:r>
        <w:t xml:space="preserve">Coretell </w:t>
      </w:r>
      <w:r w:rsidR="00237F56">
        <w:t xml:space="preserve">have placed </w:t>
      </w:r>
      <w:r w:rsidR="00317AE0">
        <w:t xml:space="preserve">less </w:t>
      </w:r>
      <w:r w:rsidR="00237F56">
        <w:t>emphasis on the evidenc</w:t>
      </w:r>
      <w:r w:rsidR="00317AE0">
        <w:t>e given by Mr Bradford about Mr </w:t>
      </w:r>
      <w:r w:rsidR="00237F56">
        <w:t xml:space="preserve">Wallace of Kluck Drilling.  The evidence of Mr Bradford on this topic had been that the first ‘step to promote and market the tool to the drilling industry’ was taken by him in early 2004, when he showed one of the prototypes to Mr Wallace of Kluck Drilling, </w:t>
      </w:r>
      <w:r w:rsidR="00317AE0">
        <w:t xml:space="preserve">while </w:t>
      </w:r>
      <w:r w:rsidR="00237F56">
        <w:t>Mr</w:t>
      </w:r>
      <w:r w:rsidR="00317AE0">
        <w:t> </w:t>
      </w:r>
      <w:r w:rsidR="00237F56">
        <w:t>Wallace was visiting Ace Drilling’s premises.  Mr Bradf</w:t>
      </w:r>
      <w:r w:rsidR="00317AE0">
        <w:t xml:space="preserve">ord said that he summarised the </w:t>
      </w:r>
      <w:r w:rsidR="00237F56">
        <w:t xml:space="preserve">operation of the prototype by describing it in a similar way to the instruction document.  In fact, at that stage there were no operating instruction documents.  </w:t>
      </w:r>
    </w:p>
    <w:p w:rsidR="00237F56" w:rsidRDefault="00237F56" w:rsidP="00237F56">
      <w:pPr>
        <w:pStyle w:val="ParaNumbering"/>
      </w:pPr>
      <w:r>
        <w:lastRenderedPageBreak/>
        <w:t xml:space="preserve">Mr Wallace, however, </w:t>
      </w:r>
      <w:r w:rsidR="00CF0178">
        <w:t xml:space="preserve">by an affidavit put to Mr Bradford </w:t>
      </w:r>
      <w:r w:rsidR="00CE4560">
        <w:t xml:space="preserve">in cross-examination, </w:t>
      </w:r>
      <w:r>
        <w:t xml:space="preserve">had an entirely different recollection of the occasion.  Mr Wallace said that Mr Bradford actually identified the tool as a prototype and that it needed to be field tested.  </w:t>
      </w:r>
      <w:r w:rsidR="005838BC">
        <w:t>According to Mr </w:t>
      </w:r>
      <w:r w:rsidR="00317AE0">
        <w:t xml:space="preserve">Wallace, the </w:t>
      </w:r>
      <w:r>
        <w:t>discussion was of five minutes duration and there was no explanation of the kind identified in the operation instruction document</w:t>
      </w:r>
      <w:r w:rsidR="00317AE0">
        <w:t xml:space="preserve">.  </w:t>
      </w:r>
      <w:r>
        <w:t>Mr Bradford</w:t>
      </w:r>
      <w:r w:rsidR="00317AE0">
        <w:t xml:space="preserve"> </w:t>
      </w:r>
      <w:r>
        <w:t xml:space="preserve">conceded </w:t>
      </w:r>
      <w:r w:rsidR="00317AE0">
        <w:t xml:space="preserve">this </w:t>
      </w:r>
      <w:r>
        <w:t xml:space="preserve">in cross-examination.  It was clear that Mr Bradford could not have shown </w:t>
      </w:r>
      <w:r w:rsidR="006150E7">
        <w:t xml:space="preserve">the tool’s method </w:t>
      </w:r>
      <w:r>
        <w:t>of operation to Mr Wallace in the way described in the operating instructions as the version shown to him was not a working prototype.  It was simply</w:t>
      </w:r>
      <w:r w:rsidR="006150E7">
        <w:t>, in effect,</w:t>
      </w:r>
      <w:r>
        <w:t xml:space="preserve"> a ‘dummy’.  </w:t>
      </w:r>
      <w:r w:rsidR="00317AE0">
        <w:t xml:space="preserve">Mr Wallace said that </w:t>
      </w:r>
      <w:r>
        <w:t xml:space="preserve">Mr Bradford did not invite </w:t>
      </w:r>
      <w:r w:rsidR="00317AE0">
        <w:t xml:space="preserve">him </w:t>
      </w:r>
      <w:r>
        <w:t xml:space="preserve">to submit an order and </w:t>
      </w:r>
      <w:r w:rsidR="00317AE0">
        <w:t xml:space="preserve">he </w:t>
      </w:r>
      <w:r>
        <w:t xml:space="preserve">had no further communications with Ace Drilling about the </w:t>
      </w:r>
      <w:r w:rsidR="00BF240F">
        <w:t>ACT Tool</w:t>
      </w:r>
      <w:r>
        <w:t xml:space="preserve"> until </w:t>
      </w:r>
      <w:r w:rsidR="001D4D3F">
        <w:t xml:space="preserve">about </w:t>
      </w:r>
      <w:r>
        <w:t xml:space="preserve">October 2004.  It might, nevertheless, be thought that this dealing, very brief though it was, had none of the testing </w:t>
      </w:r>
      <w:r w:rsidR="00317AE0">
        <w:t xml:space="preserve">characteristics </w:t>
      </w:r>
      <w:r>
        <w:t xml:space="preserve">of the three main field tests.  On the other hand, it took place well before any commercialisation was remotely possible in </w:t>
      </w:r>
      <w:r w:rsidR="00317AE0">
        <w:t xml:space="preserve">either </w:t>
      </w:r>
      <w:r>
        <w:t>a practical</w:t>
      </w:r>
      <w:r w:rsidR="00317AE0">
        <w:t>,</w:t>
      </w:r>
      <w:r>
        <w:t xml:space="preserve"> or </w:t>
      </w:r>
      <w:r w:rsidR="00317AE0">
        <w:t xml:space="preserve">a </w:t>
      </w:r>
      <w:r>
        <w:t>legal</w:t>
      </w:r>
      <w:r w:rsidR="00317AE0">
        <w:t>,</w:t>
      </w:r>
      <w:r>
        <w:t xml:space="preserve"> sense.  There was apparently no follow up by either party until October.  No commercial benefit of any description prior to September is apparent.  The only item shown was a dummy tool.  I do not consider that exercise was invalidating.  </w:t>
      </w:r>
      <w:r w:rsidR="00163E21">
        <w:t xml:space="preserve">As I </w:t>
      </w:r>
      <w:r w:rsidR="00077DAD">
        <w:t>understand it</w:t>
      </w:r>
      <w:r w:rsidR="00E31118">
        <w:t>,</w:t>
      </w:r>
      <w:r w:rsidR="00077DAD">
        <w:t xml:space="preserve"> Coretell no longer relies on this event as being invalidating, but in any event, it was not.  </w:t>
      </w:r>
    </w:p>
    <w:p w:rsidR="00237F56" w:rsidRDefault="00237F56" w:rsidP="00237F56">
      <w:pPr>
        <w:pStyle w:val="ParaNumbering"/>
      </w:pPr>
      <w:r>
        <w:t xml:space="preserve">Other witnesses were called </w:t>
      </w:r>
      <w:r w:rsidR="00317AE0">
        <w:t xml:space="preserve">by the applicants </w:t>
      </w:r>
      <w:r>
        <w:t>to deal with Mr Bradford’s evidence concerning the demonstrations</w:t>
      </w:r>
      <w:r w:rsidR="00317AE0">
        <w:t xml:space="preserve">.  In </w:t>
      </w:r>
      <w:r>
        <w:t>relation to Mosslake at Manjimup</w:t>
      </w:r>
      <w:r w:rsidR="00317AE0">
        <w:t xml:space="preserve">, </w:t>
      </w:r>
      <w:r>
        <w:t>Mr Bradford’s evidence was that in April 2004 he organised with Mr Miitel of Mosslake to demonstrate the prototype at Manjimup</w:t>
      </w:r>
      <w:r w:rsidR="00317AE0">
        <w:t>,</w:t>
      </w:r>
      <w:r>
        <w:t xml:space="preserve"> and that he then did so in the presence of two drillers.  More accurately, </w:t>
      </w:r>
      <w:r w:rsidR="00317AE0">
        <w:t xml:space="preserve">Mr Weston explained that </w:t>
      </w:r>
      <w:r>
        <w:t>it was Ms Gregg, manager of Ace Drilling, who organised the ‘field test’.  It was not a promotion or even a</w:t>
      </w:r>
      <w:r w:rsidR="00317AE0">
        <w:t xml:space="preserve"> demonstration.  Ultimately, Mr </w:t>
      </w:r>
      <w:r>
        <w:t xml:space="preserve">Bradford accepted that what he meant by demonstration was trialling how the prototype was working.  Consistently with </w:t>
      </w:r>
      <w:r w:rsidR="00317AE0">
        <w:t>the trial not being for marketing and promotional purposes</w:t>
      </w:r>
      <w:r>
        <w:t xml:space="preserve">, the operation of the prototypes was conducted only in the presence of drillers.  Their presence was necessary.  There were no </w:t>
      </w:r>
      <w:r w:rsidR="009353A6">
        <w:t>Drill Corp</w:t>
      </w:r>
      <w:r>
        <w:t xml:space="preserve"> decision-makers who </w:t>
      </w:r>
      <w:r w:rsidR="00317AE0">
        <w:t xml:space="preserve">possessed </w:t>
      </w:r>
      <w:r>
        <w:t xml:space="preserve">the ability to influence the placing of an order.  </w:t>
      </w:r>
    </w:p>
    <w:p w:rsidR="00237F56" w:rsidRDefault="00237F56" w:rsidP="00237F56">
      <w:pPr>
        <w:pStyle w:val="ParaNumbering"/>
      </w:pPr>
      <w:r>
        <w:t xml:space="preserve">In the case of </w:t>
      </w:r>
      <w:r w:rsidR="00317AE0">
        <w:t xml:space="preserve">the demonstration to </w:t>
      </w:r>
      <w:r w:rsidR="009353A6">
        <w:t>Drill Corp</w:t>
      </w:r>
      <w:r>
        <w:t xml:space="preserve"> in</w:t>
      </w:r>
      <w:r w:rsidR="00D96938">
        <w:t xml:space="preserve"> Kalgoorlie, the evidence of Mr </w:t>
      </w:r>
      <w:r>
        <w:t xml:space="preserve">Bradford was that in April 2004 he demonstrated the prototype to several </w:t>
      </w:r>
      <w:r w:rsidR="009353A6">
        <w:t>Drill Corp</w:t>
      </w:r>
      <w:r>
        <w:t xml:space="preserve"> officers at their corporate headquarters.  He said </w:t>
      </w:r>
      <w:r w:rsidR="00D96938">
        <w:t>those persons were Mr Forde, Mr </w:t>
      </w:r>
      <w:r>
        <w:t>McConachy, Mr Shin</w:t>
      </w:r>
      <w:r w:rsidR="00D96938">
        <w:t>e</w:t>
      </w:r>
      <w:r>
        <w:t xml:space="preserve"> and someone called ‘Lyndon’.  This evidence was </w:t>
      </w:r>
      <w:r w:rsidR="00D96938">
        <w:t xml:space="preserve">also </w:t>
      </w:r>
      <w:r>
        <w:t xml:space="preserve">incorrect.  Mr Forde said that he alone amongst those identified by Mr Bradford was present at the </w:t>
      </w:r>
      <w:r>
        <w:lastRenderedPageBreak/>
        <w:t xml:space="preserve">meeting and that its purpose was to organise field testing and to identify any technical improvements.  He could not recall Mr Bradford giving any detailed instructions as to the operation of the prototype.  He </w:t>
      </w:r>
      <w:r w:rsidR="00D96938">
        <w:t xml:space="preserve">himself </w:t>
      </w:r>
      <w:r>
        <w:t xml:space="preserve">was not a driller and </w:t>
      </w:r>
      <w:r w:rsidR="00D96938">
        <w:t xml:space="preserve">was </w:t>
      </w:r>
      <w:r>
        <w:t xml:space="preserve">not </w:t>
      </w:r>
      <w:r w:rsidR="00D96938">
        <w:t>to assist</w:t>
      </w:r>
      <w:r>
        <w:t xml:space="preserve"> in the operation of the prototype on site.  He did meet with Mr Bradford again after the field test to discuss possible alterations to the ACT</w:t>
      </w:r>
      <w:r w:rsidR="00D96938">
        <w:t xml:space="preserve"> Tool</w:t>
      </w:r>
      <w:r>
        <w:t>.  Mr McConach</w:t>
      </w:r>
      <w:r w:rsidR="00D96938">
        <w:t>y’s evidence was that he had</w:t>
      </w:r>
      <w:r>
        <w:t xml:space="preserve"> no recollection of ever being at such a me</w:t>
      </w:r>
      <w:r w:rsidR="00D96938">
        <w:t>eting.  The position of Mr Shine</w:t>
      </w:r>
      <w:r>
        <w:t xml:space="preserve"> was the same.  </w:t>
      </w:r>
      <w:r w:rsidR="007F5550">
        <w:t>Mr </w:t>
      </w:r>
      <w:r>
        <w:t>Bradford was not apparently made aware of the responses of Mr Forde, Mr Shin</w:t>
      </w:r>
      <w:r w:rsidR="00D96938">
        <w:t>e</w:t>
      </w:r>
      <w:r>
        <w:t xml:space="preserve"> and Mr McConachy, who quite plainly contradicted his evidence.  He had no opportunity to reconsider the correctness of his evidence before committing to it once again in the witness box.  </w:t>
      </w:r>
    </w:p>
    <w:p w:rsidR="00237F56" w:rsidRDefault="00237F56" w:rsidP="00237F56">
      <w:pPr>
        <w:pStyle w:val="ParaNumbering"/>
      </w:pPr>
      <w:r>
        <w:t>Again, there were problems with Mr Bradford’s account</w:t>
      </w:r>
      <w:r w:rsidR="00D96938" w:rsidRPr="00D96938">
        <w:t xml:space="preserve"> </w:t>
      </w:r>
      <w:r w:rsidR="00D96938">
        <w:t>of th</w:t>
      </w:r>
      <w:r w:rsidR="00331A9F">
        <w:t>e testing conducted in Manjimup</w:t>
      </w:r>
      <w:r>
        <w:t xml:space="preserve">.  It was not until cross-examination that Mr Bradford conceded that he was not present at Manjimup to try </w:t>
      </w:r>
      <w:r w:rsidR="00463EA7">
        <w:t xml:space="preserve">to </w:t>
      </w:r>
      <w:r>
        <w:t xml:space="preserve">sell, market or even promote the prototype.  </w:t>
      </w:r>
    </w:p>
    <w:p w:rsidR="00237F56" w:rsidRDefault="00896B37" w:rsidP="00237F56">
      <w:pPr>
        <w:pStyle w:val="ParaNumbering"/>
      </w:pPr>
      <w:r>
        <w:t xml:space="preserve">Although </w:t>
      </w:r>
      <w:r w:rsidR="00463EA7">
        <w:t xml:space="preserve">Coretell </w:t>
      </w:r>
      <w:r w:rsidR="00237F56">
        <w:t xml:space="preserve">persisted with the submission as to the date of first ordering of </w:t>
      </w:r>
      <w:r w:rsidR="00463EA7">
        <w:t xml:space="preserve">the </w:t>
      </w:r>
      <w:r w:rsidR="00BF240F">
        <w:t>ACT Tool</w:t>
      </w:r>
      <w:r>
        <w:t xml:space="preserve">, </w:t>
      </w:r>
      <w:r w:rsidR="00237F56">
        <w:t>the contemporaneous business records in the form of Mr Parfitt’s email</w:t>
      </w:r>
      <w:r w:rsidR="00463EA7">
        <w:t>,</w:t>
      </w:r>
      <w:r w:rsidR="00237F56">
        <w:t xml:space="preserve"> the invoice</w:t>
      </w:r>
      <w:r w:rsidR="00463EA7">
        <w:t xml:space="preserve">, </w:t>
      </w:r>
      <w:r w:rsidR="00237F56">
        <w:t>air weigh bills issued by Chardec</w:t>
      </w:r>
      <w:r w:rsidR="00463EA7">
        <w:t xml:space="preserve">, </w:t>
      </w:r>
      <w:r w:rsidR="00237F56">
        <w:t>email from Ms Gregg to Mr Parfitt of 23 September 2004 and Imdex’s subse</w:t>
      </w:r>
      <w:r w:rsidR="00463EA7">
        <w:t>quent payments to Chardec on 15 </w:t>
      </w:r>
      <w:r w:rsidR="00237F56">
        <w:t xml:space="preserve">November 2004 and 7 January 2005 reflected in Imdex’s bank statements (consistent with Imdex’s obligation to pay for the </w:t>
      </w:r>
      <w:r w:rsidR="00BF240F">
        <w:t>ACT Tool</w:t>
      </w:r>
      <w:r w:rsidR="00237F56">
        <w:t xml:space="preserve"> within 30 days) all made it quite clear that the first commercial orders were well after filing the Provisional Patent.  Notwithstanding </w:t>
      </w:r>
      <w:r>
        <w:t>this</w:t>
      </w:r>
      <w:r w:rsidR="00237F56">
        <w:t xml:space="preserve">, </w:t>
      </w:r>
      <w:r w:rsidR="00463EA7">
        <w:t xml:space="preserve">Coretell </w:t>
      </w:r>
      <w:r w:rsidR="00237F56">
        <w:t xml:space="preserve">proceeded to subpoena the Australian Customs and Border Protection for documents generated by the arrival of any goods sent by Chardec for the period July to September 2004.  The production of this material confirmed the same facts as the contemporaneous documents referred to above.  Notwithstanding this, </w:t>
      </w:r>
      <w:r w:rsidR="00463EA7">
        <w:t xml:space="preserve">Coretell </w:t>
      </w:r>
      <w:r w:rsidR="00237F56">
        <w:t xml:space="preserve">persisted with </w:t>
      </w:r>
      <w:r w:rsidR="00A46DEE">
        <w:t xml:space="preserve">its </w:t>
      </w:r>
      <w:r>
        <w:t>contention based only on Mr </w:t>
      </w:r>
      <w:r w:rsidR="00237F56">
        <w:t xml:space="preserve">Bradford’s memory, unassisted with other documents and unsupported by the accounts of other persons.  </w:t>
      </w:r>
    </w:p>
    <w:p w:rsidR="00237F56" w:rsidRDefault="00237F56" w:rsidP="00237F56">
      <w:pPr>
        <w:pStyle w:val="ParaNumbering"/>
      </w:pPr>
      <w:r>
        <w:t xml:space="preserve">Significantly, even Mr Bradford’s own email of 8 September 2004 announcing the first shipment of the </w:t>
      </w:r>
      <w:r w:rsidR="00BF240F">
        <w:t>ACT Tool</w:t>
      </w:r>
      <w:r>
        <w:t xml:space="preserve"> in Australia contradicted his version of events.  Mr Bradford </w:t>
      </w:r>
      <w:r w:rsidR="00896B37">
        <w:t xml:space="preserve">had not been </w:t>
      </w:r>
      <w:r>
        <w:t xml:space="preserve">shown this email when committing to his account that the first delivery took place in July 2004.  </w:t>
      </w:r>
    </w:p>
    <w:p w:rsidR="00237F56" w:rsidRDefault="00237F56" w:rsidP="00237F56">
      <w:pPr>
        <w:pStyle w:val="ParaNumbering"/>
      </w:pPr>
      <w:r>
        <w:lastRenderedPageBreak/>
        <w:t xml:space="preserve">The correct account is </w:t>
      </w:r>
      <w:r w:rsidR="00463EA7">
        <w:t xml:space="preserve">also </w:t>
      </w:r>
      <w:r>
        <w:t>reflected in Imdex’s news bulletin in October 2004</w:t>
      </w:r>
      <w:r w:rsidR="00463EA7">
        <w:t>,</w:t>
      </w:r>
      <w:r>
        <w:t xml:space="preserve"> </w:t>
      </w:r>
      <w:r w:rsidR="00463EA7">
        <w:t xml:space="preserve">which confirmed </w:t>
      </w:r>
      <w:r>
        <w:t xml:space="preserve">the first </w:t>
      </w:r>
      <w:r w:rsidR="00BF240F">
        <w:t>ACT Tool</w:t>
      </w:r>
      <w:r>
        <w:t xml:space="preserve"> had been received in late September 2004 and would be placed on hire in October 2004.  </w:t>
      </w:r>
    </w:p>
    <w:p w:rsidR="00237F56" w:rsidRDefault="00237F56" w:rsidP="00237F56">
      <w:pPr>
        <w:pStyle w:val="ParaNumbering"/>
      </w:pPr>
      <w:r>
        <w:t xml:space="preserve">Documents from the </w:t>
      </w:r>
      <w:r w:rsidR="00463EA7">
        <w:t>‘</w:t>
      </w:r>
      <w:r>
        <w:t>Aluminium Road Case Company</w:t>
      </w:r>
      <w:r w:rsidR="00463EA7">
        <w:t xml:space="preserve">’ </w:t>
      </w:r>
      <w:r>
        <w:t xml:space="preserve">were also consistent with the applicants’ account and negated </w:t>
      </w:r>
      <w:r w:rsidR="00463EA7">
        <w:t xml:space="preserve">Coretell’s </w:t>
      </w:r>
      <w:r>
        <w:t xml:space="preserve">case on the date of delivery of the </w:t>
      </w:r>
      <w:r w:rsidR="00BF240F">
        <w:t>ACT Tool</w:t>
      </w:r>
      <w:r w:rsidR="00463EA7">
        <w:t xml:space="preserve"> </w:t>
      </w:r>
      <w:r>
        <w:t xml:space="preserve">(in contrast to Reflex camera cases).  </w:t>
      </w:r>
    </w:p>
    <w:p w:rsidR="00237F56" w:rsidRDefault="00237F56" w:rsidP="00237F56">
      <w:pPr>
        <w:pStyle w:val="ParaNumbering"/>
      </w:pPr>
      <w:r>
        <w:t xml:space="preserve">Mr Munro, </w:t>
      </w:r>
      <w:r w:rsidR="00A46DEE">
        <w:t xml:space="preserve">who was, in my view, </w:t>
      </w:r>
      <w:r>
        <w:t xml:space="preserve">an honest witness, was again not assisted by </w:t>
      </w:r>
      <w:r w:rsidR="00463EA7">
        <w:t>Coretell</w:t>
      </w:r>
      <w:r>
        <w:t xml:space="preserve"> with contemporaneous documents.  He was called to support </w:t>
      </w:r>
      <w:r w:rsidR="00463EA7">
        <w:t xml:space="preserve">Coretell’s </w:t>
      </w:r>
      <w:r>
        <w:t xml:space="preserve">account by giving evidence of orders being placed after demonstration of the </w:t>
      </w:r>
      <w:r w:rsidR="00BF240F">
        <w:t>ACT Tool</w:t>
      </w:r>
      <w:r>
        <w:t xml:space="preserve"> at the Barminco site at Sunrise Dam.  His evidence was that this took place in May 2004.  It was quite evident</w:t>
      </w:r>
      <w:r w:rsidR="00463EA7">
        <w:t>,</w:t>
      </w:r>
      <w:r>
        <w:t xml:space="preserve"> and Mr Munro readily accepted</w:t>
      </w:r>
      <w:r w:rsidR="00FF2B1D">
        <w:t>,</w:t>
      </w:r>
      <w:r>
        <w:t xml:space="preserve"> that he was mistaken in his recollection as to the timing.  The ultimate effect of Mr Munro’s evidence was that correspondence in October and December 2004, including a purchase order and an invoice dated 7 December 2004 to AusDrill</w:t>
      </w:r>
      <w:r w:rsidR="00FF2B1D">
        <w:t>,</w:t>
      </w:r>
      <w:r>
        <w:t xml:space="preserve"> made it clear that the first demonstration of the </w:t>
      </w:r>
      <w:r w:rsidR="00BF240F">
        <w:t>ACT Tool</w:t>
      </w:r>
      <w:r>
        <w:t xml:space="preserve"> to AusDrill occurred in October 2004.  </w:t>
      </w:r>
    </w:p>
    <w:p w:rsidR="00237F56" w:rsidRDefault="00237F56" w:rsidP="00237F56">
      <w:pPr>
        <w:pStyle w:val="ParaNumbering"/>
      </w:pPr>
      <w:r>
        <w:t xml:space="preserve">Mr Scott was in a similar position.  He was called to say that he first saw the </w:t>
      </w:r>
      <w:r w:rsidR="00BF240F">
        <w:t>ACT Tool</w:t>
      </w:r>
      <w:r>
        <w:t xml:space="preserve"> in use in July 2004.  Ultimately he accepted that his estimate </w:t>
      </w:r>
      <w:r w:rsidR="00FF2B1D">
        <w:t xml:space="preserve">was incorrect, </w:t>
      </w:r>
      <w:r>
        <w:t xml:space="preserve">and it was more likely that he saw the </w:t>
      </w:r>
      <w:r w:rsidR="00BF240F">
        <w:t>ACT Tool</w:t>
      </w:r>
      <w:r>
        <w:t xml:space="preserve"> in operation in December 2004 or January 2005.</w:t>
      </w:r>
    </w:p>
    <w:p w:rsidR="00237F56" w:rsidRDefault="00237F56" w:rsidP="00237F56">
      <w:pPr>
        <w:pStyle w:val="ParaNumbering"/>
      </w:pPr>
      <w:r>
        <w:t>As to public disclosure, Mr Ballantyne of Sandvik</w:t>
      </w:r>
      <w:r w:rsidR="00FF2B1D">
        <w:t xml:space="preserve">, </w:t>
      </w:r>
      <w:r>
        <w:t xml:space="preserve">the independent expert called by </w:t>
      </w:r>
      <w:r w:rsidR="00FF2B1D">
        <w:t>Coretell,</w:t>
      </w:r>
      <w:r>
        <w:t xml:space="preserve"> also gave evidence that it would not have been possible for members of the public to perceive the </w:t>
      </w:r>
      <w:r w:rsidR="00BF240F">
        <w:t>ACT Tool</w:t>
      </w:r>
      <w:r>
        <w:t xml:space="preserve"> or its features on site where it was trialled before September 2004.  </w:t>
      </w:r>
      <w:r w:rsidR="00FF2B1D">
        <w:t xml:space="preserve">This was for several reasons.  First, </w:t>
      </w:r>
      <w:r>
        <w:t>permission was needed to enter the mine site from either</w:t>
      </w:r>
      <w:r w:rsidR="00FF2B1D">
        <w:t>,</w:t>
      </w:r>
      <w:r>
        <w:t xml:space="preserve"> or both</w:t>
      </w:r>
      <w:r w:rsidR="00FF2B1D">
        <w:t>,</w:t>
      </w:r>
      <w:r>
        <w:t xml:space="preserve"> the mine site operator and the drilling contractor.  Secondly, where a person is permitted to enter the site, an induction would take place in most cases involving instruction about the site, safety issues and the like.  Thirdly, there is a further layer of restrictions on access to the particular site of the mine where drilling was taking place</w:t>
      </w:r>
      <w:r w:rsidR="00044F8E">
        <w:t>.  This involved</w:t>
      </w:r>
      <w:r>
        <w:t xml:space="preserve"> further limits on access and required permission.  Fourthly</w:t>
      </w:r>
      <w:r w:rsidR="00044F8E">
        <w:t>,</w:t>
      </w:r>
      <w:r>
        <w:t xml:space="preserve"> and significantly, there is an exclusion zone around a drilling site where only authorised persons involved in the drilling operation will be allowed inside.  This limits the ability of anyone present who was not involved in the drilling operation itself to see the detail of what is happening.  Mr Ballantyne accepted that</w:t>
      </w:r>
      <w:r w:rsidR="00044F8E">
        <w:t>,</w:t>
      </w:r>
      <w:r>
        <w:t xml:space="preserve"> as a result, a person unfamiliar with core orientation tools who manage</w:t>
      </w:r>
      <w:r w:rsidR="00044F8E">
        <w:t>d</w:t>
      </w:r>
      <w:r>
        <w:t xml:space="preserve"> to </w:t>
      </w:r>
      <w:r>
        <w:lastRenderedPageBreak/>
        <w:t xml:space="preserve">obtain access would still not be able to appreciate the detail of what was happening in such an operation.  </w:t>
      </w:r>
    </w:p>
    <w:p w:rsidR="00044F8E" w:rsidRDefault="00237F56" w:rsidP="00237F56">
      <w:pPr>
        <w:pStyle w:val="ParaNumbering"/>
      </w:pPr>
      <w:r>
        <w:t xml:space="preserve">As noted earlier, </w:t>
      </w:r>
      <w:r w:rsidR="00044F8E">
        <w:t>Coretell</w:t>
      </w:r>
      <w:r>
        <w:t xml:space="preserve"> also called Mr Thomas, a patent attorney, to criticise the approach taken by the applicants.  </w:t>
      </w:r>
      <w:r w:rsidR="00044F8E">
        <w:t xml:space="preserve">Coretell </w:t>
      </w:r>
      <w:r>
        <w:t>sought to establish the difference between an invention</w:t>
      </w:r>
      <w:r w:rsidR="00044F8E">
        <w:t>,</w:t>
      </w:r>
      <w:r>
        <w:t xml:space="preserve"> on the one hand</w:t>
      </w:r>
      <w:r w:rsidR="00044F8E">
        <w:t>,</w:t>
      </w:r>
      <w:r>
        <w:t xml:space="preserve"> and an embodiment of the invention</w:t>
      </w:r>
      <w:r w:rsidR="00044F8E">
        <w:t>,</w:t>
      </w:r>
      <w:r>
        <w:t xml:space="preserve"> on the other.  This was designed to support a submission that although field trials </w:t>
      </w:r>
      <w:r w:rsidR="00044F8E">
        <w:t xml:space="preserve">which </w:t>
      </w:r>
      <w:r>
        <w:t xml:space="preserve">took place </w:t>
      </w:r>
      <w:r w:rsidR="00044F8E">
        <w:t xml:space="preserve">for </w:t>
      </w:r>
      <w:r>
        <w:t xml:space="preserve">the prototype </w:t>
      </w:r>
      <w:r w:rsidR="00BF240F">
        <w:t>ACT Tool</w:t>
      </w:r>
      <w:r>
        <w:t xml:space="preserve"> may have been reasonable in the circumstance, field trials of the actual inventions claimed in the Patents were not.  </w:t>
      </w:r>
    </w:p>
    <w:p w:rsidR="00044F8E" w:rsidRDefault="00237F56" w:rsidP="00237F56">
      <w:pPr>
        <w:pStyle w:val="ParaNumbering"/>
      </w:pPr>
      <w:r>
        <w:t xml:space="preserve">This </w:t>
      </w:r>
      <w:r w:rsidR="00044F8E">
        <w:t xml:space="preserve">submission </w:t>
      </w:r>
      <w:r>
        <w:t xml:space="preserve">is difficult to understand in the context of the facts </w:t>
      </w:r>
      <w:r w:rsidR="00044F8E">
        <w:t xml:space="preserve">of </w:t>
      </w:r>
      <w:r>
        <w:t xml:space="preserve">this case.  It is clear that the </w:t>
      </w:r>
      <w:r w:rsidR="00BF240F">
        <w:t>ACT Tool</w:t>
      </w:r>
      <w:r>
        <w:t xml:space="preserve"> was an embodiment of the invention claimed in the System Patent</w:t>
      </w:r>
      <w:r w:rsidR="00044F8E">
        <w:t xml:space="preserve">, and its </w:t>
      </w:r>
      <w:r>
        <w:t xml:space="preserve">method of use was an embodiment of the invention claimed in the Method Patent.  The trialling of the </w:t>
      </w:r>
      <w:r w:rsidR="00BF240F">
        <w:t>ACT Tool</w:t>
      </w:r>
      <w:r>
        <w:t xml:space="preserve"> enabled </w:t>
      </w:r>
      <w:r w:rsidR="00044F8E">
        <w:t xml:space="preserve">the </w:t>
      </w:r>
      <w:r>
        <w:t xml:space="preserve">trialling of those inventions.  It </w:t>
      </w:r>
      <w:r w:rsidR="00044F8E">
        <w:t xml:space="preserve">was </w:t>
      </w:r>
      <w:r>
        <w:t xml:space="preserve">not possible to conduct a trial in relation to the invention without a physical model of it.  </w:t>
      </w:r>
      <w:r w:rsidR="00FC5F69">
        <w:t>On the evidence, i</w:t>
      </w:r>
      <w:r>
        <w:t xml:space="preserve">t is not something that </w:t>
      </w:r>
      <w:r w:rsidR="00044F8E">
        <w:t xml:space="preserve">could </w:t>
      </w:r>
      <w:r>
        <w:t xml:space="preserve">be tested in the abstract.  </w:t>
      </w:r>
    </w:p>
    <w:p w:rsidR="00237F56" w:rsidRDefault="00237F56" w:rsidP="00237F56">
      <w:pPr>
        <w:pStyle w:val="ParaNumbering"/>
      </w:pPr>
      <w:r>
        <w:t xml:space="preserve">The other argument advanced for </w:t>
      </w:r>
      <w:r w:rsidR="00044F8E">
        <w:t>Coretell</w:t>
      </w:r>
      <w:r>
        <w:t>, relying on expert evidence</w:t>
      </w:r>
      <w:r w:rsidR="00044F8E">
        <w:t xml:space="preserve"> from Mr </w:t>
      </w:r>
      <w:r>
        <w:t xml:space="preserve">Thomas, is that the applicants failed to take the necessary precautions to ensure that the trialling of the </w:t>
      </w:r>
      <w:r w:rsidR="00BF240F">
        <w:t>ACT Tool</w:t>
      </w:r>
      <w:r>
        <w:t xml:space="preserve"> was conducted confidentially and not in public.  The evidence showed that the trialling was not conducted in public.  The drilling sites and, in particular, the location at which the prototypes were tested were very much </w:t>
      </w:r>
      <w:r w:rsidR="00044F8E">
        <w:t>private.  That was all Mr </w:t>
      </w:r>
      <w:r>
        <w:t>Thomas meant when speaking about restricted access</w:t>
      </w:r>
      <w:r w:rsidR="00044F8E">
        <w:t xml:space="preserve">.  He </w:t>
      </w:r>
      <w:r>
        <w:t xml:space="preserve">was describing a location where the public generally </w:t>
      </w:r>
      <w:r w:rsidR="00044F8E">
        <w:t xml:space="preserve">did </w:t>
      </w:r>
      <w:r>
        <w:t xml:space="preserve">not have access where the invention </w:t>
      </w:r>
      <w:r w:rsidR="00044F8E">
        <w:t xml:space="preserve">was </w:t>
      </w:r>
      <w:r>
        <w:t>being tested.  That certainly adequately describes the locations at which the drilling occurred</w:t>
      </w:r>
      <w:r w:rsidR="00044F8E">
        <w:t xml:space="preserve">. </w:t>
      </w:r>
      <w:r>
        <w:t xml:space="preserve"> </w:t>
      </w:r>
      <w:r w:rsidR="00044F8E">
        <w:t>T</w:t>
      </w:r>
      <w:r>
        <w:t xml:space="preserve">hey </w:t>
      </w:r>
      <w:r w:rsidR="00044F8E">
        <w:t xml:space="preserve">were </w:t>
      </w:r>
      <w:r>
        <w:t xml:space="preserve">not open to the public, </w:t>
      </w:r>
      <w:r w:rsidR="00044F8E">
        <w:t xml:space="preserve">and </w:t>
      </w:r>
      <w:r>
        <w:t xml:space="preserve">they were </w:t>
      </w:r>
      <w:r w:rsidR="00044F8E">
        <w:t xml:space="preserve">also </w:t>
      </w:r>
      <w:r>
        <w:t xml:space="preserve">subject to significant access restrictions.  </w:t>
      </w:r>
    </w:p>
    <w:p w:rsidR="00237F56" w:rsidRDefault="00237F56" w:rsidP="00237F56">
      <w:pPr>
        <w:pStyle w:val="ParaNumbering"/>
      </w:pPr>
      <w:r>
        <w:t xml:space="preserve">Although Mr Thomas spoke about confidentiality agreements, it is also clear that, as he accepted, informal arrangements may be adopted and in this case there was evidence as to confidentiality surrounding the testing.  Mr Weston gave evidence as to that in his statement, as did Mr Brown.  I accept those accounts.  </w:t>
      </w:r>
    </w:p>
    <w:p w:rsidR="00237F56" w:rsidRDefault="00237F56" w:rsidP="00237F56">
      <w:pPr>
        <w:pStyle w:val="ParaNumbering"/>
      </w:pPr>
      <w:r>
        <w:t xml:space="preserve">In addition, </w:t>
      </w:r>
      <w:r w:rsidR="00044F8E">
        <w:t xml:space="preserve">Coretell </w:t>
      </w:r>
      <w:r>
        <w:t xml:space="preserve">called Mr Hill to discuss the adequacy of the approach of the applicants.  The account given in his evidence in chief was largely compromised in cross-examination.  The effect of his evidence in cross-examination was that it would not have been practical to test the </w:t>
      </w:r>
      <w:r w:rsidR="00BF240F">
        <w:t>ACT Tool</w:t>
      </w:r>
      <w:r>
        <w:t xml:space="preserve"> without the drill crew involved becoming aware of what was </w:t>
      </w:r>
      <w:r>
        <w:lastRenderedPageBreak/>
        <w:t xml:space="preserve">being tested.  </w:t>
      </w:r>
      <w:r w:rsidR="00044F8E">
        <w:t>I have already indicated that, in my view, his evidence should</w:t>
      </w:r>
      <w:r w:rsidR="00C77803">
        <w:t xml:space="preserve"> be given little or no weight in the circumstances of this case.</w:t>
      </w:r>
    </w:p>
    <w:p w:rsidR="0046704B" w:rsidRDefault="00237F56" w:rsidP="00237F56">
      <w:pPr>
        <w:pStyle w:val="ParaNumbering"/>
      </w:pPr>
      <w:r>
        <w:t xml:space="preserve">Finally, on this topic it is necessary to say something about the </w:t>
      </w:r>
      <w:r w:rsidR="0006727A">
        <w:t xml:space="preserve">applicants’ argument, </w:t>
      </w:r>
      <w:r w:rsidR="003271CF">
        <w:t xml:space="preserve">which is brought </w:t>
      </w:r>
      <w:r w:rsidR="0006727A">
        <w:t xml:space="preserve">in the alternative, that if I am against them and find that there was public disclosure of the invention, the grace period provisions apply such that the information made publicly available must be disregarded for the purpose of deciding whether the invention is novel.  </w:t>
      </w:r>
    </w:p>
    <w:p w:rsidR="0046704B" w:rsidRDefault="00CF23A8" w:rsidP="0046704B">
      <w:pPr>
        <w:pStyle w:val="ParaNumbering"/>
      </w:pPr>
      <w:r>
        <w:t>Section</w:t>
      </w:r>
      <w:r w:rsidR="0046704B">
        <w:t> 24 of the Act provides as follows:</w:t>
      </w:r>
    </w:p>
    <w:p w:rsidR="009345BB" w:rsidRPr="009345BB" w:rsidRDefault="009345BB" w:rsidP="009345BB">
      <w:pPr>
        <w:pStyle w:val="Quote1"/>
        <w:rPr>
          <w:b/>
        </w:rPr>
      </w:pPr>
      <w:r w:rsidRPr="009345BB">
        <w:rPr>
          <w:b/>
        </w:rPr>
        <w:t>24</w:t>
      </w:r>
      <w:r w:rsidRPr="009345BB">
        <w:rPr>
          <w:b/>
        </w:rPr>
        <w:tab/>
        <w:t>Validity not affected by certain publication or use</w:t>
      </w:r>
    </w:p>
    <w:p w:rsidR="009345BB" w:rsidRDefault="009345BB" w:rsidP="009345BB">
      <w:pPr>
        <w:pStyle w:val="Quote1"/>
        <w:ind w:left="1440" w:hanging="703"/>
      </w:pPr>
      <w:r>
        <w:t>(1)</w:t>
      </w:r>
      <w:r>
        <w:tab/>
        <w:t>For the purpose of deciding whether an invention is novel or involves an inventive step or an innovative step, the person making the decision must disregard:</w:t>
      </w:r>
    </w:p>
    <w:p w:rsidR="009345BB" w:rsidRDefault="009345BB" w:rsidP="009345BB">
      <w:pPr>
        <w:pStyle w:val="Quote2"/>
        <w:ind w:left="2160" w:hanging="720"/>
      </w:pPr>
      <w:r>
        <w:t>(a)</w:t>
      </w:r>
      <w:r>
        <w:tab/>
        <w:t>any information made publicly available, through any publication or use of the invention in the prescribed circumstances, by or with the consent of the nominated person or patentee, or the predecessor in title of the nominated person or patentee; and</w:t>
      </w:r>
    </w:p>
    <w:p w:rsidR="009345BB" w:rsidRDefault="009345BB" w:rsidP="009345BB">
      <w:pPr>
        <w:pStyle w:val="Quote2"/>
        <w:ind w:left="2160" w:hanging="720"/>
      </w:pPr>
      <w:r>
        <w:t>(b)</w:t>
      </w:r>
      <w:r>
        <w:tab/>
        <w:t>any information made publicly available without the consent of the nominated person or patentee, through any publication or use of the invention by another person who derived the information from the nominated person or patentee or from the predecessor in title of the nominated person or patentee;</w:t>
      </w:r>
    </w:p>
    <w:p w:rsidR="009345BB" w:rsidRDefault="009345BB" w:rsidP="00CF23A8">
      <w:pPr>
        <w:pStyle w:val="Quote2"/>
      </w:pPr>
      <w:r>
        <w:t>but only if a patent application for the invention is made within the prescribed period.</w:t>
      </w:r>
    </w:p>
    <w:p w:rsidR="009345BB" w:rsidRDefault="009345BB" w:rsidP="009345BB">
      <w:pPr>
        <w:pStyle w:val="Quote1"/>
      </w:pPr>
    </w:p>
    <w:p w:rsidR="009345BB" w:rsidRDefault="009345BB" w:rsidP="009345BB">
      <w:pPr>
        <w:pStyle w:val="Quote1"/>
        <w:ind w:left="1440" w:hanging="703"/>
      </w:pPr>
      <w:r>
        <w:t>(2)</w:t>
      </w:r>
      <w:r>
        <w:tab/>
        <w:t>For the purpose of deciding whether an invention is novel or involves an inventive step or an innovative step, the person making the decision must disregard:</w:t>
      </w:r>
    </w:p>
    <w:p w:rsidR="009345BB" w:rsidRDefault="009345BB" w:rsidP="009345BB">
      <w:pPr>
        <w:pStyle w:val="Quote2"/>
        <w:ind w:left="2160" w:hanging="720"/>
      </w:pPr>
      <w:r>
        <w:t>(a)</w:t>
      </w:r>
      <w:r>
        <w:tab/>
        <w:t>any information given by, or with the consent of, the nominated person or the patentee, or his or her predecessor in title, to any of the following, but to no other person or organisation:</w:t>
      </w:r>
    </w:p>
    <w:p w:rsidR="009345BB" w:rsidRDefault="009345BB" w:rsidP="009345BB">
      <w:pPr>
        <w:pStyle w:val="Quote3"/>
        <w:ind w:left="2880" w:hanging="720"/>
      </w:pPr>
      <w:r>
        <w:t>(i)</w:t>
      </w:r>
      <w:r>
        <w:tab/>
        <w:t>the Commonwealth or a State or Territory, or an authority of the Commonwealth of a State or Territory;</w:t>
      </w:r>
    </w:p>
    <w:p w:rsidR="009345BB" w:rsidRDefault="009345BB" w:rsidP="009345BB">
      <w:pPr>
        <w:pStyle w:val="Quote3"/>
        <w:ind w:left="2880" w:hanging="720"/>
      </w:pPr>
      <w:r>
        <w:t>(ii)</w:t>
      </w:r>
      <w:r>
        <w:tab/>
        <w:t>a person authorised by the Commonwealth or a State or Territory to investigate the invention; and</w:t>
      </w:r>
    </w:p>
    <w:p w:rsidR="009345BB" w:rsidRDefault="009345BB" w:rsidP="009345BB">
      <w:pPr>
        <w:pStyle w:val="Quote3"/>
        <w:ind w:left="2880" w:hanging="720"/>
      </w:pPr>
      <w:r>
        <w:t>(b)</w:t>
      </w:r>
      <w:r>
        <w:tab/>
        <w:t>anything done for the purpose of an investigation mentioned in subparagraph (a)(ii).</w:t>
      </w:r>
    </w:p>
    <w:p w:rsidR="00237F56" w:rsidRDefault="00237F56" w:rsidP="00237F56">
      <w:pPr>
        <w:pStyle w:val="ParaNumbering"/>
      </w:pPr>
      <w:r>
        <w:t xml:space="preserve">The applicants primarily </w:t>
      </w:r>
      <w:r w:rsidR="0095748C">
        <w:t xml:space="preserve">rely </w:t>
      </w:r>
      <w:r>
        <w:t>on s 24(1)(a) rea</w:t>
      </w:r>
      <w:r w:rsidR="00AE29F8">
        <w:t>d with reg 2.2</w:t>
      </w:r>
      <w:r w:rsidR="003D7288">
        <w:t>(2)</w:t>
      </w:r>
      <w:r w:rsidR="00AE29F8">
        <w:t>(d) and reg 2.3(1)(</w:t>
      </w:r>
      <w:r>
        <w:t>c)</w:t>
      </w:r>
      <w:r w:rsidR="0095748C">
        <w:t xml:space="preserve">, which together provide </w:t>
      </w:r>
      <w:r>
        <w:t>that any working in public of the inventions claimed in the Patents by or with the consent of the applicants or Chardec before 3 September 2004 must be disregarded if:</w:t>
      </w:r>
    </w:p>
    <w:p w:rsidR="00237F56" w:rsidRDefault="0095748C" w:rsidP="001332BE">
      <w:pPr>
        <w:pStyle w:val="ListNo"/>
        <w:numPr>
          <w:ilvl w:val="0"/>
          <w:numId w:val="53"/>
        </w:numPr>
        <w:tabs>
          <w:tab w:val="clear" w:pos="720"/>
        </w:tabs>
      </w:pPr>
      <w:r>
        <w:t>i</w:t>
      </w:r>
      <w:r w:rsidR="00237F56">
        <w:t>t was for the purposes of reasonable trial</w:t>
      </w:r>
      <w:r>
        <w:t>:  reg 2.2(2)(d)(i)</w:t>
      </w:r>
      <w:r w:rsidR="00237F56">
        <w:t>;</w:t>
      </w:r>
    </w:p>
    <w:p w:rsidR="00237F56" w:rsidRDefault="0095748C" w:rsidP="001332BE">
      <w:pPr>
        <w:pStyle w:val="ListNo"/>
        <w:numPr>
          <w:ilvl w:val="0"/>
          <w:numId w:val="53"/>
        </w:numPr>
        <w:tabs>
          <w:tab w:val="clear" w:pos="720"/>
        </w:tabs>
      </w:pPr>
      <w:r>
        <w:lastRenderedPageBreak/>
        <w:t>b</w:t>
      </w:r>
      <w:r w:rsidR="00237F56">
        <w:t>ecause of the nature of the invention, it was reasonably necessary for the working to be in public</w:t>
      </w:r>
      <w:r w:rsidR="00AE29F8">
        <w:t>:  reg 2.2(2)(d</w:t>
      </w:r>
      <w:r>
        <w:t>)(ii);</w:t>
      </w:r>
      <w:r w:rsidR="00237F56">
        <w:t xml:space="preserve"> </w:t>
      </w:r>
      <w:r>
        <w:t>and</w:t>
      </w:r>
    </w:p>
    <w:p w:rsidR="00237F56" w:rsidRDefault="0095748C" w:rsidP="001332BE">
      <w:pPr>
        <w:pStyle w:val="ListNo"/>
        <w:numPr>
          <w:ilvl w:val="0"/>
          <w:numId w:val="53"/>
        </w:numPr>
        <w:tabs>
          <w:tab w:val="clear" w:pos="720"/>
        </w:tabs>
      </w:pPr>
      <w:r>
        <w:t>i</w:t>
      </w:r>
      <w:r w:rsidR="00237F56">
        <w:t>t took place within 12 months before 3 September 2004</w:t>
      </w:r>
      <w:r>
        <w:t>,</w:t>
      </w:r>
      <w:r w:rsidR="00237F56">
        <w:t xml:space="preserve"> </w:t>
      </w:r>
      <w:r>
        <w:t xml:space="preserve">the </w:t>
      </w:r>
      <w:r w:rsidR="00237F56">
        <w:t>Priority Date</w:t>
      </w:r>
      <w:r>
        <w:t>,</w:t>
      </w:r>
      <w:r w:rsidR="00237F56">
        <w:t xml:space="preserve"> </w:t>
      </w:r>
      <w:r>
        <w:t xml:space="preserve">being </w:t>
      </w:r>
      <w:r w:rsidR="00237F56">
        <w:t>the date on which the first patent application for the invention (the Provisional Application) was made</w:t>
      </w:r>
      <w:r>
        <w:t>: reg 2</w:t>
      </w:r>
      <w:r w:rsidR="00AE29F8">
        <w:t>.</w:t>
      </w:r>
      <w:r>
        <w:t>3(1)(c).</w:t>
      </w:r>
      <w:r w:rsidR="00237F56">
        <w:t xml:space="preserve">  </w:t>
      </w:r>
    </w:p>
    <w:p w:rsidR="00237F56" w:rsidRDefault="00237F56" w:rsidP="00237F56">
      <w:pPr>
        <w:pStyle w:val="ParaNumbering"/>
      </w:pPr>
      <w:r>
        <w:t xml:space="preserve">I have previously referred to the authorities </w:t>
      </w:r>
      <w:r w:rsidR="00B653CA">
        <w:t xml:space="preserve">concerning prior use and reasonable trial.  </w:t>
      </w:r>
      <w:r>
        <w:t xml:space="preserve">I accept the submissions for the applicants that </w:t>
      </w:r>
      <w:r w:rsidRPr="00FB2D8A">
        <w:t>the activities conducted by Chardec and th</w:t>
      </w:r>
      <w:r>
        <w:t>e applicants before 3 </w:t>
      </w:r>
      <w:r w:rsidRPr="00FB2D8A">
        <w:t xml:space="preserve">September 2004, as detailed in the above evidence, comfortably </w:t>
      </w:r>
      <w:r w:rsidR="00B653CA">
        <w:t>satisfy</w:t>
      </w:r>
      <w:r>
        <w:t xml:space="preserve"> the reasonable trial </w:t>
      </w:r>
      <w:r w:rsidRPr="00FB2D8A">
        <w:t xml:space="preserve">description. </w:t>
      </w:r>
      <w:r>
        <w:t xml:space="preserve"> </w:t>
      </w:r>
      <w:r w:rsidR="00B653CA">
        <w:t>I</w:t>
      </w:r>
      <w:r w:rsidRPr="00FB2D8A">
        <w:t xml:space="preserve">n </w:t>
      </w:r>
      <w:r w:rsidR="00BA2AFC" w:rsidRPr="00B02FB7">
        <w:rPr>
          <w:i/>
        </w:rPr>
        <w:t xml:space="preserve">Grove Hill Pty Ltd v Great Western Corporation Pty Ltd </w:t>
      </w:r>
      <w:r w:rsidR="00BA2AFC">
        <w:t>(2002) 55 IPR 257</w:t>
      </w:r>
      <w:r w:rsidRPr="00FB2D8A">
        <w:t xml:space="preserve">, Dowsett J commented </w:t>
      </w:r>
      <w:r>
        <w:t xml:space="preserve">(at [231]-[232]) </w:t>
      </w:r>
      <w:r w:rsidRPr="00FB2D8A">
        <w:t xml:space="preserve">as follows on the nature of </w:t>
      </w:r>
      <w:r>
        <w:t>‘</w:t>
      </w:r>
      <w:r w:rsidRPr="00FB2D8A">
        <w:t>reasonable trial</w:t>
      </w:r>
      <w:r>
        <w:t>’:</w:t>
      </w:r>
    </w:p>
    <w:p w:rsidR="00237F56" w:rsidRDefault="00237F56" w:rsidP="00237F56">
      <w:pPr>
        <w:pStyle w:val="Quote1"/>
      </w:pPr>
      <w:r>
        <w:t>... The structured and specific research processes often adopted in experimentation will not necessarily be relevant in trials. The latter process may simply involve “seeing how it goes”, when the invention is employed in the field. In such a situation adjustment and fine tuning may not be recorded as would be the results of laboratory experiments.</w:t>
      </w:r>
    </w:p>
    <w:p w:rsidR="00237F56" w:rsidRDefault="00237F56" w:rsidP="00237F56">
      <w:pPr>
        <w:pStyle w:val="Quote1"/>
      </w:pPr>
    </w:p>
    <w:p w:rsidR="00237F56" w:rsidRDefault="00237F56" w:rsidP="00237F56">
      <w:pPr>
        <w:pStyle w:val="Quote1"/>
      </w:pPr>
      <w:r>
        <w:t>In assessing what might be reasonable for present purposes, it is necessary to keep in mind the nature of the equipment in question, the tasks for which it was designed, and the conditions under which it is to be used. Clearly, a row cultivator or a tool for a row cultivator will have to be very robust to enable it to resist the rough nature of its likely employment. It will be expected to perform in a wide variety of conditions, both of weather and terrain. It is easy to accept that such a piece of equipment could not be subjected to reasonable trials in anything less than a year, particularly given the seasonal nature of its employment.</w:t>
      </w:r>
    </w:p>
    <w:p w:rsidR="00237F56" w:rsidRDefault="00237F56" w:rsidP="00237F56">
      <w:pPr>
        <w:pStyle w:val="ParaNumbering"/>
      </w:pPr>
      <w:r w:rsidRPr="00DF670F">
        <w:t>These comments were made in the context of an allegation of secret use</w:t>
      </w:r>
      <w:r>
        <w:t xml:space="preserve">, </w:t>
      </w:r>
      <w:r w:rsidRPr="00DF670F">
        <w:t>but are equally applica</w:t>
      </w:r>
      <w:r>
        <w:t>ble to the grace period under s </w:t>
      </w:r>
      <w:r w:rsidRPr="00DF670F">
        <w:t xml:space="preserve">24(1)(a) </w:t>
      </w:r>
      <w:r>
        <w:t xml:space="preserve">of the Act </w:t>
      </w:r>
      <w:r w:rsidRPr="00DF670F">
        <w:t xml:space="preserve">and </w:t>
      </w:r>
      <w:r>
        <w:t>reg </w:t>
      </w:r>
      <w:r w:rsidRPr="00DF670F">
        <w:t xml:space="preserve">2.2(2)(d) and </w:t>
      </w:r>
      <w:r>
        <w:t>reg </w:t>
      </w:r>
      <w:r w:rsidRPr="00DF670F">
        <w:t xml:space="preserve">2.3(1)(c). </w:t>
      </w:r>
      <w:r>
        <w:t xml:space="preserve"> I referred to his Honour’</w:t>
      </w:r>
      <w:r w:rsidRPr="00DF670F">
        <w:t>s com</w:t>
      </w:r>
      <w:r>
        <w:t xml:space="preserve">ments in </w:t>
      </w:r>
      <w:r w:rsidRPr="00DF670F">
        <w:rPr>
          <w:i/>
        </w:rPr>
        <w:t>Bradken</w:t>
      </w:r>
      <w:r w:rsidRPr="00DF670F">
        <w:t xml:space="preserve"> at [347]</w:t>
      </w:r>
      <w:r w:rsidR="004C2B21">
        <w:t xml:space="preserve">.  </w:t>
      </w:r>
      <w:r w:rsidRPr="00DF670F">
        <w:t xml:space="preserve">As is apparent from </w:t>
      </w:r>
      <w:r w:rsidR="004C2B21">
        <w:rPr>
          <w:i/>
        </w:rPr>
        <w:t>Bradken</w:t>
      </w:r>
      <w:r w:rsidRPr="00DF670F">
        <w:t>:</w:t>
      </w:r>
    </w:p>
    <w:p w:rsidR="00237F56" w:rsidRDefault="00237F56" w:rsidP="001332BE">
      <w:pPr>
        <w:pStyle w:val="ListNo"/>
        <w:numPr>
          <w:ilvl w:val="3"/>
          <w:numId w:val="54"/>
        </w:numPr>
        <w:tabs>
          <w:tab w:val="clear" w:pos="2880"/>
        </w:tabs>
        <w:ind w:left="709"/>
      </w:pPr>
      <w:r>
        <w:t xml:space="preserve">even if the use in question involves a commercial context, that does not preclude it from being regarded as reasonable trial:  </w:t>
      </w:r>
      <w:r>
        <w:rPr>
          <w:i/>
        </w:rPr>
        <w:t xml:space="preserve">Bradken </w:t>
      </w:r>
      <w:r>
        <w:t>(at [351] and [361]); and</w:t>
      </w:r>
    </w:p>
    <w:p w:rsidR="00237F56" w:rsidRDefault="00237F56" w:rsidP="001332BE">
      <w:pPr>
        <w:pStyle w:val="ListNo"/>
        <w:numPr>
          <w:ilvl w:val="3"/>
          <w:numId w:val="54"/>
        </w:numPr>
        <w:tabs>
          <w:tab w:val="clear" w:pos="2880"/>
        </w:tabs>
        <w:ind w:left="709"/>
      </w:pPr>
      <w:r>
        <w:t>it is not necessary that changes be made in testing that find expression in the claims of the patent: (</w:t>
      </w:r>
      <w:r>
        <w:rPr>
          <w:i/>
        </w:rPr>
        <w:t xml:space="preserve">Bradken </w:t>
      </w:r>
      <w:r>
        <w:t>(at [335])</w:t>
      </w:r>
      <w:r w:rsidR="00711712">
        <w:t>;</w:t>
      </w:r>
      <w:r w:rsidR="004C2B21">
        <w:t xml:space="preserve"> i</w:t>
      </w:r>
      <w:r>
        <w:t>t is enough that testing is reasonable for the purpose of assessing or evaluating performance of the invention.</w:t>
      </w:r>
    </w:p>
    <w:p w:rsidR="00237F56" w:rsidRDefault="00237F56" w:rsidP="00237F56">
      <w:pPr>
        <w:pStyle w:val="ParaNumbering"/>
      </w:pPr>
      <w:r>
        <w:t xml:space="preserve">Moreover, what is ‘reasonable’ in this context will extend beyond merely confirming that the product is functional.  It includes trials to learn whether a product needs improvement or to learn how it may be improved:  </w:t>
      </w:r>
      <w:r>
        <w:rPr>
          <w:i/>
        </w:rPr>
        <w:t xml:space="preserve">Melbourne </w:t>
      </w:r>
      <w:r w:rsidR="004C2B21">
        <w:rPr>
          <w:i/>
        </w:rPr>
        <w:t xml:space="preserve">J.S. </w:t>
      </w:r>
      <w:r>
        <w:rPr>
          <w:i/>
        </w:rPr>
        <w:t xml:space="preserve">v Terry Fluid Controls Pty Ltd </w:t>
      </w:r>
      <w:r w:rsidRPr="00572B8F">
        <w:t>(1993)</w:t>
      </w:r>
      <w:r>
        <w:rPr>
          <w:i/>
        </w:rPr>
        <w:t xml:space="preserve"> </w:t>
      </w:r>
      <w:r w:rsidR="00711712">
        <w:lastRenderedPageBreak/>
        <w:t xml:space="preserve">26 IPR 292 </w:t>
      </w:r>
      <w:r>
        <w:t xml:space="preserve">per </w:t>
      </w:r>
      <w:r w:rsidRPr="00845E5D">
        <w:t>Jenkinson J</w:t>
      </w:r>
      <w:r>
        <w:t xml:space="preserve"> (at 302).  It will also include trials aiming to perfect the product</w:t>
      </w:r>
      <w:r w:rsidR="004C2B21">
        <w:t>,</w:t>
      </w:r>
      <w:r>
        <w:t xml:space="preserve"> or to test its suitability for commercial use:  </w:t>
      </w:r>
      <w:r>
        <w:rPr>
          <w:i/>
        </w:rPr>
        <w:t xml:space="preserve">Bristol-Myers Co v Beecham Group Ltd </w:t>
      </w:r>
      <w:r>
        <w:t xml:space="preserve">[1974] AC 646 </w:t>
      </w:r>
      <w:r w:rsidR="004C2B21">
        <w:t>(at 680-681)</w:t>
      </w:r>
      <w:r>
        <w:t>.</w:t>
      </w:r>
      <w:r w:rsidR="004C2B21">
        <w:t xml:space="preserve">  </w:t>
      </w:r>
    </w:p>
    <w:p w:rsidR="00237F56" w:rsidRDefault="00237F56" w:rsidP="00237F56">
      <w:pPr>
        <w:pStyle w:val="ParaNumbering"/>
      </w:pPr>
      <w:r>
        <w:t xml:space="preserve">The applicants refer to a Canadian Federal Court case, </w:t>
      </w:r>
      <w:r w:rsidRPr="00FF23E4">
        <w:rPr>
          <w:i/>
        </w:rPr>
        <w:t>Varco Canada Limited v Pason Systems Corp</w:t>
      </w:r>
      <w:r>
        <w:t xml:space="preserve"> 2013 FC 750, where prototype drilling equipment </w:t>
      </w:r>
      <w:r w:rsidR="001B5EB2">
        <w:t xml:space="preserve">was found (at [53]) to be </w:t>
      </w:r>
      <w:r>
        <w:t>‘pretty well perfected’</w:t>
      </w:r>
      <w:r w:rsidR="001B5EB2">
        <w:t xml:space="preserve">, but the </w:t>
      </w:r>
      <w:r>
        <w:t>inventor ‘felt that he had to do further testing to ensure his device would work as intended’ on a working drill rig.  The absence of a confidentiality agreement with the drilling company was not fatal</w:t>
      </w:r>
      <w:r w:rsidR="001B5EB2">
        <w:t xml:space="preserve"> as there was ‘</w:t>
      </w:r>
      <w:r>
        <w:t xml:space="preserve">no suggestion that </w:t>
      </w:r>
      <w:r w:rsidR="001B5EB2">
        <w:t xml:space="preserve">[it was] </w:t>
      </w:r>
      <w:r>
        <w:t>thought that the testing was not confidential nor is there evidence of enabling disc</w:t>
      </w:r>
      <w:r w:rsidR="001B5EB2">
        <w:t xml:space="preserve">losure during the test period </w:t>
      </w:r>
      <w:r>
        <w:t xml:space="preserve">(at [304]).  </w:t>
      </w:r>
    </w:p>
    <w:p w:rsidR="00237F56" w:rsidRDefault="009F5AFB" w:rsidP="00237F56">
      <w:pPr>
        <w:pStyle w:val="ParaNumbering"/>
      </w:pPr>
      <w:r>
        <w:t xml:space="preserve">Coretell </w:t>
      </w:r>
      <w:r w:rsidR="00237F56">
        <w:t>contend</w:t>
      </w:r>
      <w:r>
        <w:t>s</w:t>
      </w:r>
      <w:r w:rsidR="00237F56">
        <w:t xml:space="preserve"> that the opportunity for ‘reasonable trial’ ceases once a working prototype of the invention is available that would be capable of being described in a patent application.  I disagree.  The wording of the legislation itself indicates the contrary</w:t>
      </w:r>
      <w:r>
        <w:t xml:space="preserve">.  The statute </w:t>
      </w:r>
      <w:r w:rsidR="00237F56">
        <w:t>expressly contemplates that ‘the working in public of the invention within the period of 12 months before the priority date’ may be conducted ‘for the purposes of reasonable trial’: reg 2.2(2)(d)</w:t>
      </w:r>
      <w:r>
        <w:t>(i)</w:t>
      </w:r>
      <w:r w:rsidR="00237F56">
        <w:t xml:space="preserve">.  </w:t>
      </w:r>
    </w:p>
    <w:p w:rsidR="00CA221E" w:rsidRDefault="00CA221E" w:rsidP="00237F56">
      <w:pPr>
        <w:pStyle w:val="ParaNumbering"/>
      </w:pPr>
      <w:r>
        <w:t xml:space="preserve">Coretell also argues that the grace period provisions are not applicable to a provisional application, which the applicants’ application is, as opposed to </w:t>
      </w:r>
      <w:r w:rsidR="003E090A">
        <w:t>a complete application</w:t>
      </w:r>
      <w:r>
        <w:t xml:space="preserve">, and accordingly the Patents are invalid for lack of novelty.  </w:t>
      </w:r>
    </w:p>
    <w:p w:rsidR="00237F56" w:rsidRDefault="00D308A5" w:rsidP="00237F56">
      <w:pPr>
        <w:pStyle w:val="ParaNumbering"/>
      </w:pPr>
      <w:r>
        <w:t>A</w:t>
      </w:r>
      <w:r w:rsidR="009F5AFB">
        <w:t>s I have found that there was no relevant public use or disclosure of the invention prior to the Priority Date</w:t>
      </w:r>
      <w:r>
        <w:t>, it is unnecessary to resolve the grace period argument</w:t>
      </w:r>
      <w:r w:rsidR="009F5AFB">
        <w:t xml:space="preserve">.  </w:t>
      </w:r>
    </w:p>
    <w:p w:rsidR="00237F56" w:rsidRDefault="00237F56" w:rsidP="00237F56">
      <w:pPr>
        <w:pStyle w:val="ParaNumbering"/>
      </w:pPr>
      <w:r>
        <w:t>The applicants also rely on the other aspect of the grace period under s 24(1), being that under s 24(1)(b) of the Act.  Section 24(1)(b) deals with unauthorised use or disclosure of the invention.  When read with reg 2.3(2) of the Regulations it provides that such information is to be disregarded if:</w:t>
      </w:r>
    </w:p>
    <w:p w:rsidR="00237F56" w:rsidRDefault="00237F56" w:rsidP="001332BE">
      <w:pPr>
        <w:pStyle w:val="ListNo"/>
        <w:numPr>
          <w:ilvl w:val="3"/>
          <w:numId w:val="55"/>
        </w:numPr>
        <w:tabs>
          <w:tab w:val="clear" w:pos="2880"/>
        </w:tabs>
        <w:ind w:left="709"/>
      </w:pPr>
      <w:r>
        <w:t xml:space="preserve">it was made publicly available without the consent of the applicants or Chardec; </w:t>
      </w:r>
    </w:p>
    <w:p w:rsidR="00237F56" w:rsidRDefault="00237F56" w:rsidP="001332BE">
      <w:pPr>
        <w:pStyle w:val="ListNo"/>
        <w:numPr>
          <w:ilvl w:val="3"/>
          <w:numId w:val="55"/>
        </w:numPr>
        <w:tabs>
          <w:tab w:val="clear" w:pos="2880"/>
        </w:tabs>
        <w:ind w:left="709"/>
      </w:pPr>
      <w:r>
        <w:t xml:space="preserve">it was made publicly available by a person who derived the information from them; and </w:t>
      </w:r>
    </w:p>
    <w:p w:rsidR="00237F56" w:rsidRDefault="00237F56" w:rsidP="001332BE">
      <w:pPr>
        <w:pStyle w:val="ListNo"/>
        <w:numPr>
          <w:ilvl w:val="3"/>
          <w:numId w:val="55"/>
        </w:numPr>
        <w:tabs>
          <w:tab w:val="clear" w:pos="2880"/>
        </w:tabs>
        <w:ind w:left="709"/>
      </w:pPr>
      <w:r>
        <w:t>it took place within 12 months before 3 September 2004, being the date on which the Provisional Application was made</w:t>
      </w:r>
      <w:r w:rsidR="009F5AFB">
        <w:t>: reg 2.3(2)</w:t>
      </w:r>
      <w:r>
        <w:t>.</w:t>
      </w:r>
    </w:p>
    <w:p w:rsidR="00237F56" w:rsidRDefault="004F2DBB" w:rsidP="00237F56">
      <w:pPr>
        <w:pStyle w:val="ParaNumbering"/>
      </w:pPr>
      <w:r>
        <w:lastRenderedPageBreak/>
        <w:t>Again, it</w:t>
      </w:r>
      <w:r w:rsidR="009F5AFB">
        <w:t xml:space="preserve"> </w:t>
      </w:r>
      <w:r w:rsidR="001D3750">
        <w:t>is not necessary to consider s 2</w:t>
      </w:r>
      <w:r w:rsidR="009F5AFB">
        <w:t xml:space="preserve">4(1)(b) for </w:t>
      </w:r>
      <w:r w:rsidR="00237F56">
        <w:t xml:space="preserve">the reason </w:t>
      </w:r>
      <w:r w:rsidR="009F5AFB">
        <w:t xml:space="preserve">indicated above in respect of </w:t>
      </w:r>
      <w:r w:rsidR="00237F56">
        <w:t>s 24(1)(a) of the Act</w:t>
      </w:r>
      <w:r w:rsidR="009F5AFB">
        <w:t xml:space="preserve">, namely, </w:t>
      </w:r>
      <w:r w:rsidR="00F25140">
        <w:t xml:space="preserve">because I have found </w:t>
      </w:r>
      <w:r w:rsidR="00912F2A">
        <w:t>t</w:t>
      </w:r>
      <w:r w:rsidR="00F25140">
        <w:t>hat on the evidence there was no public use or disclosure of the invention prior to the Priority Date</w:t>
      </w:r>
      <w:r w:rsidR="00237F56">
        <w:t xml:space="preserve">. </w:t>
      </w:r>
    </w:p>
    <w:p w:rsidR="00237F56" w:rsidRDefault="00AD2BFE" w:rsidP="00237F56">
      <w:pPr>
        <w:pStyle w:val="ParaNumbering"/>
      </w:pPr>
      <w:r>
        <w:t>In conclusion on the prior use claim, i</w:t>
      </w:r>
      <w:r w:rsidR="00237F56">
        <w:t>t is unnecessary to address every piece of evidence relied upon by the parties for and against their positions</w:t>
      </w:r>
      <w:r w:rsidR="00912F2A">
        <w:t xml:space="preserve"> in relation to </w:t>
      </w:r>
      <w:r w:rsidR="00384E54">
        <w:t>Coretell</w:t>
      </w:r>
      <w:r w:rsidR="00912F2A">
        <w:t>’s prior use claim</w:t>
      </w:r>
      <w:r w:rsidR="00237F56">
        <w:t xml:space="preserve">.  </w:t>
      </w:r>
      <w:r w:rsidR="00912F2A">
        <w:t xml:space="preserve">As indicated above, </w:t>
      </w:r>
      <w:r w:rsidR="00237F56">
        <w:t xml:space="preserve">I have found </w:t>
      </w:r>
      <w:r w:rsidR="00912F2A">
        <w:t xml:space="preserve">the evidence of </w:t>
      </w:r>
      <w:r w:rsidR="00237F56">
        <w:t xml:space="preserve">Mr Bradford to be wholly unreliable, other than when his account is supported by contemporaneous documents or other plausible witnesses.  </w:t>
      </w:r>
      <w:r w:rsidR="00912F2A">
        <w:t xml:space="preserve">Coretell’s </w:t>
      </w:r>
      <w:r w:rsidR="00237F56">
        <w:t xml:space="preserve">case on prior use of the </w:t>
      </w:r>
      <w:r w:rsidR="00BF240F">
        <w:t>ACT Tool</w:t>
      </w:r>
      <w:r w:rsidR="00912F2A">
        <w:t xml:space="preserve"> must</w:t>
      </w:r>
      <w:r w:rsidR="00237F56">
        <w:t xml:space="preserve"> fail.  </w:t>
      </w:r>
    </w:p>
    <w:p w:rsidR="009E2440" w:rsidRDefault="0035772D" w:rsidP="009E2440">
      <w:pPr>
        <w:pStyle w:val="Heading6"/>
      </w:pPr>
      <w:bookmarkStart w:id="109" w:name="_Ref404090378"/>
      <w:bookmarkStart w:id="110" w:name="_Ref436891536"/>
      <w:bookmarkStart w:id="111" w:name="_Ref403035713"/>
      <w:r>
        <w:t>Innovative s</w:t>
      </w:r>
      <w:r w:rsidR="009E2440">
        <w:t>tep</w:t>
      </w:r>
      <w:bookmarkEnd w:id="109"/>
      <w:r w:rsidR="00AA4D5A">
        <w:t xml:space="preserve"> – s 18(1A)(b)(ii)</w:t>
      </w:r>
      <w:bookmarkEnd w:id="110"/>
    </w:p>
    <w:p w:rsidR="000B3334" w:rsidRDefault="009E2440" w:rsidP="009E2440">
      <w:pPr>
        <w:pStyle w:val="ParaNumbering"/>
      </w:pPr>
      <w:r>
        <w:t xml:space="preserve">The respondents also contend </w:t>
      </w:r>
      <w:r w:rsidR="003179B4">
        <w:t xml:space="preserve">that the inventions claimed in the Patents </w:t>
      </w:r>
      <w:r w:rsidR="00AA4D5A">
        <w:t xml:space="preserve">do </w:t>
      </w:r>
      <w:r w:rsidR="003179B4">
        <w:t xml:space="preserve">not involve </w:t>
      </w:r>
      <w:r w:rsidR="00AA4D5A">
        <w:t xml:space="preserve">an </w:t>
      </w:r>
      <w:r>
        <w:t>innovative step</w:t>
      </w:r>
      <w:r w:rsidR="00AA4D5A">
        <w:t xml:space="preserve"> under s 18(1A)(b</w:t>
      </w:r>
      <w:r w:rsidR="003179B4">
        <w:t>)(ii)</w:t>
      </w:r>
      <w:r w:rsidR="00AA4D5A">
        <w:t xml:space="preserve"> and</w:t>
      </w:r>
      <w:r w:rsidR="0087748A">
        <w:t>,</w:t>
      </w:r>
      <w:r w:rsidR="00AA4D5A">
        <w:t xml:space="preserve"> accordingly, the invention is not a patentable invention under s 138(3)(b) of the Act</w:t>
      </w:r>
      <w:r>
        <w:t>.  A significant innovative step issue arises, they say, if the Court rejects the respondents’ constructions of the claims as being limited to performance of the claim</w:t>
      </w:r>
      <w:r w:rsidR="003179B4">
        <w:t>ed</w:t>
      </w:r>
      <w:r>
        <w:t xml:space="preserve"> system or claim</w:t>
      </w:r>
      <w:r w:rsidR="003179B4">
        <w:t>ed</w:t>
      </w:r>
      <w:r>
        <w:t xml:space="preserve"> method by a unitary electronic core orientation device, but instead, finds in favour of the applicants’ broader construction of the claims of the System Patent and the Method Patent without any limitation to embodiment in a unitary electronic core orientation device.  </w:t>
      </w:r>
    </w:p>
    <w:p w:rsidR="000B3334" w:rsidRDefault="009E2440" w:rsidP="009E2440">
      <w:pPr>
        <w:pStyle w:val="ParaNumbering"/>
      </w:pPr>
      <w:r>
        <w:t xml:space="preserve">Having regard to the broad scope of the claims asserted by the </w:t>
      </w:r>
      <w:r w:rsidR="000B3334">
        <w:t>applicants</w:t>
      </w:r>
      <w:r>
        <w:t xml:space="preserve">, </w:t>
      </w:r>
      <w:r w:rsidR="000B3334">
        <w:t xml:space="preserve">Coretell </w:t>
      </w:r>
      <w:r>
        <w:t>submit</w:t>
      </w:r>
      <w:r w:rsidR="000B3334">
        <w:t>s that</w:t>
      </w:r>
      <w:r>
        <w:t xml:space="preserve"> the absence of an innovative step is established by the evidence of Dr Skopec as ‘a person skilled in the art’ armed with the common general knowledge.  Such evidence is, they say, well supported by the evidence of Dr Kepic.  </w:t>
      </w:r>
    </w:p>
    <w:p w:rsidR="009E2440" w:rsidRDefault="009E2440" w:rsidP="009E2440">
      <w:pPr>
        <w:pStyle w:val="ParaNumbering"/>
      </w:pPr>
      <w:r>
        <w:t>Coretell relies on the evidence of Dr Skopec</w:t>
      </w:r>
      <w:r w:rsidR="000B3334">
        <w:t>,</w:t>
      </w:r>
      <w:r>
        <w:t xml:space="preserve"> whose view is that the claims of the System Patent related to nothing more than the minimum components in any operational electronic core orientation system.  He considered the claims of the Method Patent as merely setting out the minimal steps that would be practised in any operational core orientation system.  Dr Skopec referred to the </w:t>
      </w:r>
      <w:r w:rsidR="00E05593">
        <w:t>CHAMP EMI Tool</w:t>
      </w:r>
      <w:r>
        <w:t xml:space="preserve"> as described in his </w:t>
      </w:r>
      <w:r w:rsidR="000B3334">
        <w:t>paper which was</w:t>
      </w:r>
      <w:r>
        <w:t xml:space="preserve"> published prior to the Patents, </w:t>
      </w:r>
      <w:r w:rsidR="000B3334">
        <w:t xml:space="preserve">and contended that </w:t>
      </w:r>
      <w:r>
        <w:t xml:space="preserve">it practised each and every feature of the System Patent.  He identified three </w:t>
      </w:r>
      <w:r w:rsidR="000B3334">
        <w:t xml:space="preserve">other </w:t>
      </w:r>
      <w:r>
        <w:t xml:space="preserve">core orientation devices in use before the Priority </w:t>
      </w:r>
      <w:r w:rsidR="000B3334">
        <w:t>D</w:t>
      </w:r>
      <w:r>
        <w:t xml:space="preserve">ate, being the </w:t>
      </w:r>
      <w:r w:rsidR="000B3334">
        <w:t>‘</w:t>
      </w:r>
      <w:r>
        <w:t>Sperry Sun Electronic Survey System</w:t>
      </w:r>
      <w:r w:rsidR="000B3334">
        <w:t>’</w:t>
      </w:r>
      <w:r>
        <w:t xml:space="preserve"> tool</w:t>
      </w:r>
      <w:r w:rsidR="000B3334">
        <w:t xml:space="preserve">, </w:t>
      </w:r>
      <w:r>
        <w:t xml:space="preserve">the </w:t>
      </w:r>
      <w:r w:rsidR="000B3334">
        <w:t>‘</w:t>
      </w:r>
      <w:r>
        <w:t>Baker Hughes INTEQ Electronic Magnetic Surveyor</w:t>
      </w:r>
      <w:r w:rsidR="000B3334">
        <w:t xml:space="preserve">’ </w:t>
      </w:r>
      <w:r>
        <w:t>tool</w:t>
      </w:r>
      <w:r w:rsidR="0087748A">
        <w:t>,</w:t>
      </w:r>
      <w:r w:rsidR="000B3334">
        <w:t xml:space="preserve"> and</w:t>
      </w:r>
      <w:r>
        <w:t xml:space="preserve"> </w:t>
      </w:r>
      <w:r w:rsidR="000B3334">
        <w:t>the ‘</w:t>
      </w:r>
      <w:r>
        <w:t>Baker Hughes INTEQ Modular Magnetic</w:t>
      </w:r>
      <w:r w:rsidR="000B3334">
        <w:t>’</w:t>
      </w:r>
      <w:r>
        <w:t xml:space="preserve"> tool. Dr Skopec said that any one of the above tools were of equivalent capability to the </w:t>
      </w:r>
      <w:r w:rsidR="00E05593">
        <w:t>CHAMP EMI Tool</w:t>
      </w:r>
      <w:r>
        <w:t xml:space="preserve"> and that their use in the core orientating activities equivalent to those described in </w:t>
      </w:r>
      <w:r>
        <w:lastRenderedPageBreak/>
        <w:t xml:space="preserve">the </w:t>
      </w:r>
      <w:r w:rsidR="00464826">
        <w:t xml:space="preserve">Skopec </w:t>
      </w:r>
      <w:r>
        <w:t xml:space="preserve">Paper would also result in the claims </w:t>
      </w:r>
      <w:r w:rsidR="00464826">
        <w:t xml:space="preserve">of </w:t>
      </w:r>
      <w:r>
        <w:t xml:space="preserve">the Method Patent and System Patent being practised.  </w:t>
      </w:r>
    </w:p>
    <w:p w:rsidR="000578EB" w:rsidRDefault="009E2440" w:rsidP="009E2440">
      <w:pPr>
        <w:pStyle w:val="ParaNumbering"/>
      </w:pPr>
      <w:r>
        <w:t xml:space="preserve">This case for </w:t>
      </w:r>
      <w:r w:rsidR="00093D0D">
        <w:t xml:space="preserve">Coretell </w:t>
      </w:r>
      <w:r>
        <w:t xml:space="preserve">is difficult to advance because, as I perceive it, they adduced no evidence to support the case.  Additionally, although there was evidence led by </w:t>
      </w:r>
      <w:r w:rsidR="00EE7756">
        <w:t>Professor Tapson</w:t>
      </w:r>
      <w:r>
        <w:t xml:space="preserve"> on this topic, he was not cross-examined on this</w:t>
      </w:r>
      <w:r w:rsidR="003214EF">
        <w:t xml:space="preserve"> issue.  In those circumstances, while it could be dispensed with altogether,</w:t>
      </w:r>
      <w:r>
        <w:t xml:space="preserve"> </w:t>
      </w:r>
      <w:r w:rsidR="00093D0D">
        <w:t>I propose to examine</w:t>
      </w:r>
      <w:r>
        <w:t xml:space="preserve"> the issue</w:t>
      </w:r>
      <w:r w:rsidR="0098467F">
        <w:t xml:space="preserve">, but </w:t>
      </w:r>
      <w:r>
        <w:t xml:space="preserve">not </w:t>
      </w:r>
      <w:r w:rsidR="00093D0D">
        <w:t>at great length</w:t>
      </w:r>
      <w:r>
        <w:t xml:space="preserve">. </w:t>
      </w:r>
      <w:r w:rsidR="00093D0D">
        <w:t xml:space="preserve"> </w:t>
      </w:r>
    </w:p>
    <w:p w:rsidR="009E2440" w:rsidRDefault="00093D0D" w:rsidP="009E2440">
      <w:pPr>
        <w:pStyle w:val="ParaNumbering"/>
      </w:pPr>
      <w:r>
        <w:t xml:space="preserve">It is common ground that Coretell’s invalidity challenge on the basis of innovative step arises under s 138(3)(b) and s 18(1A)(b)(ii) of the Act, which together provide that an invention claimed in an innovation patent, which the Patents are, must involve an innovative step.  The assessment of innovative step is to be conducted in accordance with of s 7(4) and s 7(5) of the Act.  </w:t>
      </w:r>
      <w:r w:rsidR="009E2440">
        <w:t xml:space="preserve">As already noted, by s 7(4) of the Act, </w:t>
      </w:r>
      <w:r>
        <w:t xml:space="preserve">the </w:t>
      </w:r>
      <w:r w:rsidR="009E2440">
        <w:t xml:space="preserve">invention is taken to meet the requirement of an innovative step unless it </w:t>
      </w:r>
      <w:r>
        <w:t xml:space="preserve">would, </w:t>
      </w:r>
      <w:r w:rsidR="009E2440">
        <w:t>to a person skilled in the relevant art</w:t>
      </w:r>
      <w:r>
        <w:t>,</w:t>
      </w:r>
      <w:r w:rsidR="009E2440">
        <w:t xml:space="preserve"> in the light of the common general knowledge </w:t>
      </w:r>
      <w:r w:rsidR="00D37F67">
        <w:t xml:space="preserve">as it existed in the patent area prior to </w:t>
      </w:r>
      <w:r w:rsidR="009E2440">
        <w:t>the Priority Date</w:t>
      </w:r>
      <w:r>
        <w:t>,</w:t>
      </w:r>
      <w:r w:rsidR="009E2440">
        <w:t xml:space="preserve"> only </w:t>
      </w:r>
      <w:r>
        <w:t xml:space="preserve">vary </w:t>
      </w:r>
      <w:r w:rsidR="009E2440">
        <w:t xml:space="preserve">from the </w:t>
      </w:r>
      <w:r w:rsidR="00B91697">
        <w:t>kind</w:t>
      </w:r>
      <w:r w:rsidR="0049143B">
        <w:t>s</w:t>
      </w:r>
      <w:r w:rsidR="00B91697">
        <w:t xml:space="preserve"> of </w:t>
      </w:r>
      <w:r w:rsidR="009E2440">
        <w:t xml:space="preserve">information in the </w:t>
      </w:r>
      <w:r>
        <w:t xml:space="preserve">cited </w:t>
      </w:r>
      <w:r w:rsidR="009E2440">
        <w:t xml:space="preserve">prior art ‘in ways that make no substantial contribution to the working of the invention’.  Such an assessment is to be made by reference to the particular disclosures, </w:t>
      </w:r>
      <w:r>
        <w:t xml:space="preserve">which </w:t>
      </w:r>
      <w:r w:rsidR="009E2440">
        <w:t>can be in the form of documen</w:t>
      </w:r>
      <w:r w:rsidR="00B91697">
        <w:t xml:space="preserve">ts or acts: s 7(5). </w:t>
      </w:r>
    </w:p>
    <w:p w:rsidR="009E2440" w:rsidRDefault="009E2440" w:rsidP="009E2440">
      <w:pPr>
        <w:pStyle w:val="ParaNumbering"/>
      </w:pPr>
      <w:r>
        <w:t xml:space="preserve">As noted recently in </w:t>
      </w:r>
      <w:r w:rsidRPr="00512BAA">
        <w:rPr>
          <w:i/>
        </w:rPr>
        <w:t xml:space="preserve">Garford Pty Ltd v </w:t>
      </w:r>
      <w:r w:rsidR="00185085">
        <w:rPr>
          <w:i/>
        </w:rPr>
        <w:t>DYWIDAG</w:t>
      </w:r>
      <w:r w:rsidRPr="00512BAA">
        <w:rPr>
          <w:i/>
        </w:rPr>
        <w:t xml:space="preserve"> Systems International Pty Ltd </w:t>
      </w:r>
      <w:r w:rsidR="00185085">
        <w:t>(</w:t>
      </w:r>
      <w:r w:rsidRPr="00512BAA">
        <w:t>2015</w:t>
      </w:r>
      <w:r w:rsidR="00185085">
        <w:t>)</w:t>
      </w:r>
      <w:r w:rsidRPr="00512BAA">
        <w:t xml:space="preserve"> </w:t>
      </w:r>
      <w:r w:rsidR="00185085">
        <w:t>110 IPR 30</w:t>
      </w:r>
      <w:r>
        <w:t xml:space="preserve"> by the Full Court (Dowsett, McKerracher and Nicholas JJ) (at [44]):</w:t>
      </w:r>
    </w:p>
    <w:p w:rsidR="009E2440" w:rsidRDefault="009E2440" w:rsidP="009E2440">
      <w:pPr>
        <w:pStyle w:val="Quote1"/>
      </w:pPr>
      <w:r>
        <w:t>44</w:t>
      </w:r>
      <w:r>
        <w:tab/>
        <w:t>There are three other matters of importance in relation to the question of obviousness:</w:t>
      </w:r>
    </w:p>
    <w:p w:rsidR="009E2440" w:rsidRDefault="009E2440" w:rsidP="009E2440">
      <w:pPr>
        <w:pStyle w:val="Quote1"/>
      </w:pPr>
    </w:p>
    <w:p w:rsidR="009E2440" w:rsidRDefault="009E2440" w:rsidP="009E2440">
      <w:pPr>
        <w:pStyle w:val="Quote1"/>
        <w:ind w:left="1440" w:hanging="703"/>
      </w:pPr>
      <w:r>
        <w:t>•</w:t>
      </w:r>
      <w:r>
        <w:tab/>
      </w:r>
      <w:r w:rsidRPr="00185085">
        <w:rPr>
          <w:b/>
        </w:rPr>
        <w:t>The Court must be wary of the misuse of hindsight or ex post facto analysis in deciding whether a claimed invention lacks an inventive step</w:t>
      </w:r>
      <w:r>
        <w:t xml:space="preserve">. There are many authoritative warnings to this effect including those of Aickin J in </w:t>
      </w:r>
      <w:r w:rsidRPr="00C14EC2">
        <w:rPr>
          <w:i/>
        </w:rPr>
        <w:t>Minnesota Mining and Manufacturing Company v Beiersdorf (Australia) Limited</w:t>
      </w:r>
      <w:r>
        <w:t xml:space="preserve"> (1980) 144 CLR 253 (</w:t>
      </w:r>
      <w:r w:rsidRPr="00080A87">
        <w:rPr>
          <w:b/>
          <w:i/>
        </w:rPr>
        <w:t>3M</w:t>
      </w:r>
      <w:r>
        <w:t xml:space="preserve">) at 293-294 and </w:t>
      </w:r>
      <w:r w:rsidRPr="00C14EC2">
        <w:rPr>
          <w:i/>
        </w:rPr>
        <w:t>Wellcome</w:t>
      </w:r>
      <w:r>
        <w:t xml:space="preserve"> at 286. In </w:t>
      </w:r>
      <w:r w:rsidRPr="00080A87">
        <w:rPr>
          <w:i/>
        </w:rPr>
        <w:t>Alphapharm</w:t>
      </w:r>
      <w:r>
        <w:t xml:space="preserve"> the plurality said at [21]:</w:t>
      </w:r>
    </w:p>
    <w:p w:rsidR="009E2440" w:rsidRDefault="009E2440" w:rsidP="009E2440">
      <w:pPr>
        <w:pStyle w:val="Quote1"/>
      </w:pPr>
    </w:p>
    <w:p w:rsidR="009E2440" w:rsidRDefault="009E2440" w:rsidP="00185085">
      <w:pPr>
        <w:pStyle w:val="Quote3"/>
      </w:pPr>
      <w:r>
        <w:t xml:space="preserve">The defendant to an infringement action who cross-claims for revocation on the ground of obviousness bears the onus of establishing that case. This obliges the defendant to lead evidence looking back to the priority date, sometimes, as here, many years before trial. In those circumstances, the warnings in the authorities against the misuse of hindsight are not to be repeated as but prefatory averments and statements of trite law. The danger of such misuse will be particularly acute where what is claimed is a new and inventive combination for the interaction of integers, some or all of which are known. It is worth repeating what was said by Lord Diplock in </w:t>
      </w:r>
      <w:r w:rsidRPr="00080A87">
        <w:rPr>
          <w:i/>
        </w:rPr>
        <w:t xml:space="preserve">Technograph Printed Circuits Ltd v Mills &amp; Rockley </w:t>
      </w:r>
      <w:r w:rsidRPr="00080A87">
        <w:rPr>
          <w:i/>
        </w:rPr>
        <w:lastRenderedPageBreak/>
        <w:t>(Electronics) Ltd</w:t>
      </w:r>
      <w:r>
        <w:t xml:space="preserve"> [[1972] RPC 346 at 362]:</w:t>
      </w:r>
    </w:p>
    <w:p w:rsidR="009E2440" w:rsidRDefault="009E2440" w:rsidP="009E2440">
      <w:pPr>
        <w:pStyle w:val="Quote1"/>
      </w:pPr>
    </w:p>
    <w:p w:rsidR="009E2440" w:rsidRDefault="009E2440" w:rsidP="009E2440">
      <w:pPr>
        <w:pStyle w:val="Quote3"/>
      </w:pPr>
      <w:r>
        <w:t>Once an invention has been made it is generally possible to postulate a combination of steps by which the inventor might have arrived at the invention that he claims in his specification if he started from something that was already known. But it is only because the invention has been made and has proved successful that it is possible to postulate from what starting point and by what particular combination of steps the inventor could have arrived at his invention. It may be that taken in isolation none of the steps which it is now possible to postulate, if taken in isolation, appears to call for any inventive ingenuity. It is improbable that this reconstruction a posteriori represents the mental process by which the inventor in fact arrived at his invention, but, even if it were, inventive ingenuity lay in perceiving that the final result which it was the object of the inventor to achieve was attainable from the particular starting point and in his selection of the particular combination of steps which would lead to that result.</w:t>
      </w:r>
    </w:p>
    <w:p w:rsidR="009E2440" w:rsidRDefault="009E2440" w:rsidP="009E2440">
      <w:pPr>
        <w:pStyle w:val="Quote1"/>
      </w:pPr>
    </w:p>
    <w:p w:rsidR="009E2440" w:rsidRDefault="009E2440" w:rsidP="009E2440">
      <w:pPr>
        <w:pStyle w:val="Quote1"/>
        <w:ind w:left="1440" w:hanging="703"/>
      </w:pPr>
      <w:r>
        <w:t>•</w:t>
      </w:r>
      <w:r>
        <w:tab/>
        <w:t xml:space="preserve">Whether an invention is obvious is a question of fact or, as it is sometimes described, “a kind of jury question”. However, </w:t>
      </w:r>
      <w:r w:rsidRPr="00185085">
        <w:rPr>
          <w:b/>
        </w:rPr>
        <w:t>the question is not whether the claimed invention is obvious to the Court, but whether it would be obvious to the hypothetical person skilled in the relevant art</w:t>
      </w:r>
      <w:r>
        <w:t xml:space="preserve">: </w:t>
      </w:r>
      <w:r w:rsidRPr="00080A87">
        <w:rPr>
          <w:i/>
        </w:rPr>
        <w:t>Doric No 2</w:t>
      </w:r>
      <w:r>
        <w:t xml:space="preserve"> at [51]. </w:t>
      </w:r>
    </w:p>
    <w:p w:rsidR="009E2440" w:rsidRDefault="009E2440" w:rsidP="009E2440">
      <w:pPr>
        <w:pStyle w:val="Quote1"/>
        <w:ind w:left="1440" w:hanging="703"/>
      </w:pPr>
    </w:p>
    <w:p w:rsidR="009E2440" w:rsidRDefault="009E2440" w:rsidP="009E2440">
      <w:pPr>
        <w:pStyle w:val="Quote1"/>
        <w:ind w:left="1440" w:hanging="703"/>
      </w:pPr>
      <w:r>
        <w:t>•</w:t>
      </w:r>
      <w:r>
        <w:tab/>
      </w:r>
      <w:r w:rsidRPr="00185085">
        <w:rPr>
          <w:b/>
        </w:rPr>
        <w:t>The inventiveness required to sustain a patent for a claimed invention is quite small. A “scintilla” of inventiveness is all that is required</w:t>
      </w:r>
      <w:r>
        <w:t xml:space="preserve">: </w:t>
      </w:r>
      <w:r w:rsidRPr="00080A87">
        <w:rPr>
          <w:i/>
        </w:rPr>
        <w:t>Alphapharm</w:t>
      </w:r>
      <w:r>
        <w:t xml:space="preserve"> at [195]. </w:t>
      </w:r>
      <w:r w:rsidRPr="00185085">
        <w:rPr>
          <w:b/>
        </w:rPr>
        <w:t>However, there must still be “some difficulty overcome, some barrier crossed</w:t>
      </w:r>
      <w:r>
        <w:t xml:space="preserve">” (per Lockhart J in </w:t>
      </w:r>
      <w:r w:rsidRPr="00080A87">
        <w:rPr>
          <w:i/>
        </w:rPr>
        <w:t>RD Werner &amp; Co Inc v Bailey Aluminium Products Pty Ltd</w:t>
      </w:r>
      <w:r>
        <w:t xml:space="preserve"> (1989) 25 FCR 565 at 574) </w:t>
      </w:r>
      <w:r w:rsidRPr="00185085">
        <w:rPr>
          <w:b/>
        </w:rPr>
        <w:t>or some contribution to the art “beyond the skill of the calling”</w:t>
      </w:r>
      <w:r>
        <w:t xml:space="preserve"> (</w:t>
      </w:r>
      <w:r w:rsidRPr="00080A87">
        <w:rPr>
          <w:i/>
        </w:rPr>
        <w:t>Allsop Inc v Bintang Ltd</w:t>
      </w:r>
      <w:r>
        <w:t xml:space="preserve"> (1989) 15 IPR 686 at 701).</w:t>
      </w:r>
    </w:p>
    <w:p w:rsidR="00185085" w:rsidRDefault="00185085" w:rsidP="00185085">
      <w:pPr>
        <w:pStyle w:val="Quote2"/>
      </w:pPr>
      <w:r>
        <w:t>(emphasis added)</w:t>
      </w:r>
    </w:p>
    <w:p w:rsidR="009E2440" w:rsidRDefault="009E2440" w:rsidP="009E2440">
      <w:pPr>
        <w:pStyle w:val="ParaNumbering"/>
      </w:pPr>
      <w:r>
        <w:t>In 2009</w:t>
      </w:r>
      <w:r w:rsidR="00170EF2">
        <w:t>,</w:t>
      </w:r>
      <w:r>
        <w:t xml:space="preserve"> the Full Court considered s 7(4) in </w:t>
      </w:r>
      <w:r w:rsidRPr="00534C1E">
        <w:rPr>
          <w:i/>
        </w:rPr>
        <w:t xml:space="preserve">Dura-Post (Aust) Pty Ltd v Delnorth Pty Ltd </w:t>
      </w:r>
      <w:r>
        <w:t>(2009) 177 FCR 239</w:t>
      </w:r>
      <w:r w:rsidR="00F331E5">
        <w:t xml:space="preserve">. </w:t>
      </w:r>
      <w:r>
        <w:t xml:space="preserve"> </w:t>
      </w:r>
      <w:r w:rsidR="00F331E5">
        <w:t xml:space="preserve">Justices Kenny and Stone </w:t>
      </w:r>
      <w:r>
        <w:t xml:space="preserve">confirmed </w:t>
      </w:r>
      <w:r w:rsidR="00F331E5">
        <w:t xml:space="preserve">(at [33]) </w:t>
      </w:r>
      <w:r>
        <w:t>that ‘invention’ in s 7(4) of the Act means the invention ‘so far as claimed in any claim’</w:t>
      </w:r>
      <w:r w:rsidR="00170EF2">
        <w:t xml:space="preserve"> from readi</w:t>
      </w:r>
      <w:r w:rsidR="00F331E5">
        <w:t>ng s 7(4) and s 18(1A) together</w:t>
      </w:r>
      <w:r w:rsidR="00170EF2">
        <w:t>.  T</w:t>
      </w:r>
      <w:r>
        <w:t xml:space="preserve">herefore, the </w:t>
      </w:r>
      <w:r w:rsidR="0047455C">
        <w:t xml:space="preserve">phrase ‘the </w:t>
      </w:r>
      <w:r>
        <w:t>working of the invention</w:t>
      </w:r>
      <w:r w:rsidR="0047455C">
        <w:t>’</w:t>
      </w:r>
      <w:r>
        <w:t xml:space="preserve"> refers to the </w:t>
      </w:r>
      <w:r w:rsidR="0047455C">
        <w:t>‘</w:t>
      </w:r>
      <w:r>
        <w:t>working of the invention so far as claimed in any claim</w:t>
      </w:r>
      <w:r w:rsidR="0047455C">
        <w:t>’</w:t>
      </w:r>
      <w:r>
        <w:t>.  Thus</w:t>
      </w:r>
      <w:r w:rsidR="0047455C">
        <w:t>,</w:t>
      </w:r>
      <w:r>
        <w:t xml:space="preserve"> the provision requires a claim by claim analysis, having regard to the features of each claim.  This is </w:t>
      </w:r>
      <w:r w:rsidR="0047455C">
        <w:t xml:space="preserve">confirmed </w:t>
      </w:r>
      <w:r>
        <w:t xml:space="preserve">by the reference in s 7(4) to ‘the priority date of the relevant claim’.  </w:t>
      </w:r>
    </w:p>
    <w:p w:rsidR="009E2440" w:rsidRDefault="009E2440" w:rsidP="009E2440">
      <w:pPr>
        <w:pStyle w:val="ParaNumbering"/>
      </w:pPr>
      <w:r>
        <w:t xml:space="preserve">The Full Court also confirmed </w:t>
      </w:r>
      <w:r w:rsidR="0047455C">
        <w:t xml:space="preserve">(at [83]-[84], [95]-[96]) </w:t>
      </w:r>
      <w:r>
        <w:t>that it is impermissible to disregard features of the claims on the basis that they are ‘</w:t>
      </w:r>
      <w:r w:rsidRPr="0047455C">
        <w:rPr>
          <w:i/>
        </w:rPr>
        <w:t>desiderata</w:t>
      </w:r>
      <w:r>
        <w:t xml:space="preserve">’ or not relevant to the ‘advance’ provided by the invention.  </w:t>
      </w:r>
      <w:r w:rsidR="0047455C">
        <w:t>This is apparent from the fact that s</w:t>
      </w:r>
      <w:r>
        <w:t xml:space="preserve"> 7(4) requires </w:t>
      </w:r>
      <w:r w:rsidR="0047455C">
        <w:t xml:space="preserve">a </w:t>
      </w:r>
      <w:r>
        <w:t xml:space="preserve">comparison with the invention claimed, not the inventive idea or concept. </w:t>
      </w:r>
    </w:p>
    <w:p w:rsidR="009E2440" w:rsidRDefault="009E2440" w:rsidP="009E2440">
      <w:pPr>
        <w:pStyle w:val="ParaNumbering"/>
      </w:pPr>
      <w:r>
        <w:lastRenderedPageBreak/>
        <w:t xml:space="preserve">In discussing the role of the common general knowledge, </w:t>
      </w:r>
      <w:r w:rsidR="0047455C">
        <w:t xml:space="preserve">the Full Court in </w:t>
      </w:r>
      <w:r w:rsidR="0047455C">
        <w:rPr>
          <w:i/>
        </w:rPr>
        <w:t>Dura</w:t>
      </w:r>
      <w:r w:rsidR="0047455C" w:rsidRPr="0047455C">
        <w:t>-</w:t>
      </w:r>
      <w:r w:rsidR="0047455C" w:rsidRPr="0047455C">
        <w:rPr>
          <w:i/>
        </w:rPr>
        <w:t>Post</w:t>
      </w:r>
      <w:r w:rsidR="0047455C">
        <w:t xml:space="preserve"> </w:t>
      </w:r>
      <w:r w:rsidR="00B0697D">
        <w:t xml:space="preserve">said (at [74]) </w:t>
      </w:r>
      <w:r w:rsidR="0047455C">
        <w:t xml:space="preserve">that </w:t>
      </w:r>
      <w:r w:rsidRPr="0047455C">
        <w:t>it</w:t>
      </w:r>
      <w:r>
        <w:t xml:space="preserve"> is the background </w:t>
      </w:r>
      <w:r w:rsidR="0047455C">
        <w:t>knowledge with which the person</w:t>
      </w:r>
      <w:r>
        <w:t xml:space="preserve"> skilled in the relevant art is equipped in identifying and assessing the significance of the variations between the invention as claimed and the prior disclosure.  The prior disclosure under consideration cannot be supplemented with additional features drawn from common general knowledge.  </w:t>
      </w:r>
    </w:p>
    <w:p w:rsidR="009E2440" w:rsidRDefault="009E2440" w:rsidP="009E2440">
      <w:pPr>
        <w:pStyle w:val="ParaNumbering"/>
      </w:pPr>
      <w:r>
        <w:t xml:space="preserve">The Full Court </w:t>
      </w:r>
      <w:r w:rsidR="00A579C8">
        <w:t xml:space="preserve">(at [85]) </w:t>
      </w:r>
      <w:r>
        <w:t xml:space="preserve">also indicated that </w:t>
      </w:r>
      <w:r w:rsidR="0047455C">
        <w:t xml:space="preserve">the word </w:t>
      </w:r>
      <w:r>
        <w:t xml:space="preserve">‘substantial’ </w:t>
      </w:r>
      <w:r w:rsidR="0047455C">
        <w:t xml:space="preserve">in s 7(4) </w:t>
      </w:r>
      <w:r>
        <w:t xml:space="preserve">does not mean ‘great’ or ‘weighty’, but </w:t>
      </w:r>
      <w:r w:rsidR="0047455C">
        <w:t>‘</w:t>
      </w:r>
      <w:r>
        <w:t xml:space="preserve">rather </w:t>
      </w:r>
      <w:r w:rsidR="0047455C">
        <w:t>“real”</w:t>
      </w:r>
      <w:r>
        <w:t xml:space="preserve"> or </w:t>
      </w:r>
      <w:r w:rsidR="0047455C">
        <w:t>“of substance”’ a</w:t>
      </w:r>
      <w:r>
        <w:t xml:space="preserve">s contrasted with distinctions without a difference.  </w:t>
      </w:r>
    </w:p>
    <w:p w:rsidR="009E2440" w:rsidRDefault="009E2440" w:rsidP="009E2440">
      <w:pPr>
        <w:pStyle w:val="ParaNumbering"/>
      </w:pPr>
      <w:r>
        <w:t xml:space="preserve">For reasons which adopt previous analyses on prior art, it cannot be said that the publications by the </w:t>
      </w:r>
      <w:r w:rsidR="0047455C">
        <w:t xml:space="preserve">Skopec </w:t>
      </w:r>
      <w:r>
        <w:t xml:space="preserve">Paper, the </w:t>
      </w:r>
      <w:r w:rsidR="0047455C">
        <w:t>‘</w:t>
      </w:r>
      <w:r>
        <w:t>Sperry-Sun Manual</w:t>
      </w:r>
      <w:r w:rsidR="0047455C">
        <w:t>’</w:t>
      </w:r>
      <w:r>
        <w:t xml:space="preserve"> and the </w:t>
      </w:r>
      <w:r w:rsidR="0047455C">
        <w:t>‘</w:t>
      </w:r>
      <w:r>
        <w:t>Baker Hughes Manual</w:t>
      </w:r>
      <w:r w:rsidR="0047455C">
        <w:t>’ and the alleged acts of prior use by Dr Skopec support</w:t>
      </w:r>
      <w:r>
        <w:t xml:space="preserve"> a case for lack of innovative step because, as previously discussed, the invention claimed in each of the Patents differs from the contents of the alleged prior disclosures in ways that make a substantial contribution to the working of the invention.  </w:t>
      </w:r>
    </w:p>
    <w:p w:rsidR="009E2440" w:rsidRDefault="009E2440" w:rsidP="009E2440">
      <w:pPr>
        <w:pStyle w:val="ParaNumbering"/>
      </w:pPr>
      <w:r>
        <w:t xml:space="preserve">The Patents include significant differences </w:t>
      </w:r>
      <w:r w:rsidR="0047455C">
        <w:t xml:space="preserve">from, and advantages </w:t>
      </w:r>
      <w:r>
        <w:t>over</w:t>
      </w:r>
      <w:r w:rsidR="0047455C">
        <w:t>,</w:t>
      </w:r>
      <w:r>
        <w:t xml:space="preserve"> the procedures described in the prior art.  Those </w:t>
      </w:r>
      <w:r w:rsidR="0047455C">
        <w:t>we</w:t>
      </w:r>
      <w:r>
        <w:t xml:space="preserve">re discussed by </w:t>
      </w:r>
      <w:r w:rsidR="00EE7756">
        <w:t>Professor Tapson</w:t>
      </w:r>
      <w:r w:rsidR="00F02040">
        <w:t xml:space="preserve">.  He </w:t>
      </w:r>
      <w:r>
        <w:t xml:space="preserve">was not cross-examined on this topic.  </w:t>
      </w:r>
    </w:p>
    <w:p w:rsidR="009E2440" w:rsidRDefault="009E2440" w:rsidP="009E2440">
      <w:pPr>
        <w:pStyle w:val="ParaNumbering"/>
      </w:pPr>
      <w:r>
        <w:t xml:space="preserve">Dr Skopec </w:t>
      </w:r>
      <w:r w:rsidR="0047455C">
        <w:t xml:space="preserve">also </w:t>
      </w:r>
      <w:r>
        <w:t xml:space="preserve">agreed that the </w:t>
      </w:r>
      <w:r w:rsidR="00BF240F">
        <w:t>ACT Tool</w:t>
      </w:r>
      <w:r>
        <w:t xml:space="preserve"> and the </w:t>
      </w:r>
      <w:r w:rsidR="00FC24DD">
        <w:t>ORIshot Tool</w:t>
      </w:r>
      <w:r>
        <w:t xml:space="preserve"> were simpler than the technology discussed in the </w:t>
      </w:r>
      <w:r w:rsidR="0047455C">
        <w:t xml:space="preserve">Skopec </w:t>
      </w:r>
      <w:r>
        <w:t xml:space="preserve">Paper, </w:t>
      </w:r>
      <w:r w:rsidR="0047455C">
        <w:t xml:space="preserve">as </w:t>
      </w:r>
      <w:r>
        <w:t xml:space="preserve">they </w:t>
      </w:r>
      <w:r w:rsidR="0047455C">
        <w:t xml:space="preserve">did </w:t>
      </w:r>
      <w:r>
        <w:t>not include scribe knives or any other similar marker</w:t>
      </w:r>
      <w:r w:rsidR="0047455C">
        <w:t xml:space="preserve">, </w:t>
      </w:r>
      <w:r>
        <w:t>the use of which he had accepted was a critical step in core orientation</w:t>
      </w:r>
      <w:r w:rsidR="0047455C">
        <w:t xml:space="preserve"> surveys</w:t>
      </w:r>
      <w:r>
        <w:t xml:space="preserve">.  He accepted that, assuming the </w:t>
      </w:r>
      <w:r w:rsidR="00BF240F">
        <w:t>ACT Tool</w:t>
      </w:r>
      <w:r w:rsidR="0047455C">
        <w:t xml:space="preserve"> and ORIshot Tool had </w:t>
      </w:r>
      <w:r>
        <w:t xml:space="preserve">been proven to be usable and reliable in hard rock drilling in Australia, the ability to do so without scribe knives was a radical departure from the design of the systems on which he had given evidence in </w:t>
      </w:r>
      <w:r w:rsidR="00D1629E">
        <w:t xml:space="preserve">the Skopec </w:t>
      </w:r>
      <w:r>
        <w:t xml:space="preserve">Paper system and elsewhere.  </w:t>
      </w:r>
    </w:p>
    <w:p w:rsidR="009E2440" w:rsidRDefault="009E2440" w:rsidP="009E2440">
      <w:pPr>
        <w:pStyle w:val="ParaNumbering"/>
      </w:pPr>
      <w:r>
        <w:t>The requirement in the Patents that the core sample not move relative to the inner tube</w:t>
      </w:r>
      <w:r w:rsidR="00D1629E">
        <w:t>,</w:t>
      </w:r>
      <w:r>
        <w:t xml:space="preserve"> and that it be held in fixed relation to the inner tube</w:t>
      </w:r>
      <w:r w:rsidR="00D1629E">
        <w:t>,</w:t>
      </w:r>
      <w:r>
        <w:t xml:space="preserve"> did not apply to the system in the </w:t>
      </w:r>
      <w:r w:rsidR="00D1629E">
        <w:t xml:space="preserve">Skopec </w:t>
      </w:r>
      <w:r>
        <w:t xml:space="preserve">Paper, which allowed instead </w:t>
      </w:r>
      <w:r w:rsidR="00D1629E">
        <w:t xml:space="preserve">the </w:t>
      </w:r>
      <w:r>
        <w:t xml:space="preserve">use of scribe knives to mark the core.  These differences were also true of the systems described in the Sperry-Sun Manual and the Baker Hughes Manual.  </w:t>
      </w:r>
    </w:p>
    <w:p w:rsidR="009E2440" w:rsidRDefault="009E2440" w:rsidP="009E2440">
      <w:pPr>
        <w:pStyle w:val="ParaNumbering"/>
      </w:pPr>
      <w:r>
        <w:t xml:space="preserve">On this topic on which </w:t>
      </w:r>
      <w:r w:rsidR="00D1629E">
        <w:t xml:space="preserve">Coretell </w:t>
      </w:r>
      <w:r>
        <w:t>bear</w:t>
      </w:r>
      <w:r w:rsidR="00D1629E">
        <w:t>s</w:t>
      </w:r>
      <w:r>
        <w:t xml:space="preserve"> the onus</w:t>
      </w:r>
      <w:r w:rsidR="00D1629E">
        <w:t>,</w:t>
      </w:r>
      <w:r>
        <w:t xml:space="preserve"> the evidence falls well short of establishing </w:t>
      </w:r>
      <w:r w:rsidR="00D1629E">
        <w:t xml:space="preserve">a </w:t>
      </w:r>
      <w:r>
        <w:t xml:space="preserve">lack of innovative step.  </w:t>
      </w:r>
    </w:p>
    <w:p w:rsidR="00D42EDA" w:rsidRDefault="00D42EDA" w:rsidP="00D42EDA">
      <w:pPr>
        <w:pStyle w:val="Heading6"/>
      </w:pPr>
      <w:bookmarkStart w:id="112" w:name="_Ref410393878"/>
      <w:bookmarkStart w:id="113" w:name="_Ref436891537"/>
      <w:bookmarkStart w:id="114" w:name="_Ref403035705"/>
      <w:bookmarkEnd w:id="111"/>
      <w:r>
        <w:lastRenderedPageBreak/>
        <w:t xml:space="preserve">Lack of </w:t>
      </w:r>
      <w:r w:rsidR="00D1629E">
        <w:t>f</w:t>
      </w:r>
      <w:r>
        <w:t xml:space="preserve">air </w:t>
      </w:r>
      <w:r w:rsidR="00D1629E">
        <w:t>b</w:t>
      </w:r>
      <w:r>
        <w:t>asis</w:t>
      </w:r>
      <w:bookmarkEnd w:id="112"/>
      <w:r>
        <w:t xml:space="preserve"> </w:t>
      </w:r>
      <w:r w:rsidR="00F63A77">
        <w:t>– s 40(3)</w:t>
      </w:r>
      <w:bookmarkEnd w:id="113"/>
    </w:p>
    <w:p w:rsidR="0049143B" w:rsidRDefault="0049143B" w:rsidP="0049143B">
      <w:pPr>
        <w:pStyle w:val="ParaNumbering"/>
      </w:pPr>
      <w:r>
        <w:t xml:space="preserve">The parties have drawn the Court’s attention to the fact that the version of s 40 of the Act which is applicable to this case is not that which is in force following the passing of the </w:t>
      </w:r>
      <w:r w:rsidRPr="00B7751D">
        <w:rPr>
          <w:i/>
        </w:rPr>
        <w:t>Intellectual Property Laws Amendment (Raising the Bar) Act</w:t>
      </w:r>
      <w:r>
        <w:t xml:space="preserve"> 2012 (Cth).  Rather, it is the version as it existed prior to those amendments, which came into effect on 15 April 2013.  </w:t>
      </w:r>
    </w:p>
    <w:p w:rsidR="0049143B" w:rsidRDefault="0049143B" w:rsidP="0049143B">
      <w:pPr>
        <w:pStyle w:val="ParaNumbering"/>
      </w:pPr>
      <w:r>
        <w:t>Section 40, prior to the amendments mentioned above, read as follows:</w:t>
      </w:r>
    </w:p>
    <w:p w:rsidR="0049143B" w:rsidRPr="001332BE" w:rsidRDefault="0049143B" w:rsidP="0049143B">
      <w:pPr>
        <w:pStyle w:val="Quote1"/>
        <w:rPr>
          <w:b/>
        </w:rPr>
      </w:pPr>
      <w:r w:rsidRPr="001332BE">
        <w:rPr>
          <w:b/>
        </w:rPr>
        <w:t>40</w:t>
      </w:r>
      <w:r w:rsidRPr="001332BE">
        <w:rPr>
          <w:b/>
        </w:rPr>
        <w:tab/>
        <w:t>Specifications</w:t>
      </w:r>
    </w:p>
    <w:p w:rsidR="0049143B" w:rsidRDefault="0049143B" w:rsidP="0049143B">
      <w:pPr>
        <w:pStyle w:val="Quote2"/>
        <w:ind w:left="2160" w:hanging="720"/>
      </w:pPr>
    </w:p>
    <w:p w:rsidR="0049143B" w:rsidRDefault="0049143B" w:rsidP="0049143B">
      <w:pPr>
        <w:pStyle w:val="Quote1"/>
      </w:pPr>
      <w:r>
        <w:t>(1)</w:t>
      </w:r>
      <w:r>
        <w:tab/>
        <w:t>A provisional specification must describe the invention.</w:t>
      </w:r>
    </w:p>
    <w:p w:rsidR="0049143B" w:rsidRDefault="0049143B" w:rsidP="0049143B">
      <w:pPr>
        <w:pStyle w:val="Quote1"/>
      </w:pPr>
    </w:p>
    <w:p w:rsidR="0049143B" w:rsidRDefault="0049143B" w:rsidP="0049143B">
      <w:pPr>
        <w:pStyle w:val="Quote1"/>
      </w:pPr>
      <w:r>
        <w:t>(2)</w:t>
      </w:r>
      <w:r>
        <w:tab/>
        <w:t>A complete specification must:</w:t>
      </w:r>
    </w:p>
    <w:p w:rsidR="0049143B" w:rsidRDefault="0049143B" w:rsidP="0049143B">
      <w:pPr>
        <w:pStyle w:val="Quote2"/>
        <w:ind w:left="2160" w:hanging="720"/>
      </w:pPr>
      <w:r>
        <w:t>(a)</w:t>
      </w:r>
      <w:r>
        <w:tab/>
        <w:t>describe the invention fully, including the best method known to the applicant of performing the invention; and</w:t>
      </w:r>
    </w:p>
    <w:p w:rsidR="0049143B" w:rsidRDefault="0049143B" w:rsidP="0049143B">
      <w:pPr>
        <w:pStyle w:val="Quote2"/>
        <w:ind w:left="2160" w:hanging="720"/>
      </w:pPr>
      <w:r>
        <w:t>(b)</w:t>
      </w:r>
      <w:r>
        <w:tab/>
        <w:t>where it relates to an application for a standard patent—end with a claim or claims defining the invention; and</w:t>
      </w:r>
    </w:p>
    <w:p w:rsidR="0049143B" w:rsidRDefault="0049143B" w:rsidP="0049143B">
      <w:pPr>
        <w:pStyle w:val="Quote2"/>
        <w:ind w:left="2160" w:hanging="720"/>
      </w:pPr>
      <w:r>
        <w:t>(c)</w:t>
      </w:r>
      <w:r>
        <w:tab/>
        <w:t>where it relates to an application for an innovation patent—end with at least one and no more than 5 claims.</w:t>
      </w:r>
    </w:p>
    <w:p w:rsidR="0049143B" w:rsidRDefault="0049143B" w:rsidP="0049143B">
      <w:pPr>
        <w:pStyle w:val="Quote1"/>
        <w:ind w:left="1440" w:hanging="703"/>
      </w:pPr>
    </w:p>
    <w:p w:rsidR="0049143B" w:rsidRDefault="0049143B" w:rsidP="0049143B">
      <w:pPr>
        <w:pStyle w:val="Quote1"/>
        <w:ind w:left="1440" w:hanging="703"/>
      </w:pPr>
      <w:r>
        <w:t>(3)</w:t>
      </w:r>
      <w:r>
        <w:tab/>
        <w:t>The claim or claims must be clear and succinct and fairly based on the matter described in the specification.</w:t>
      </w:r>
    </w:p>
    <w:p w:rsidR="0049143B" w:rsidRDefault="0049143B" w:rsidP="0049143B">
      <w:pPr>
        <w:pStyle w:val="Quote1"/>
        <w:ind w:left="1440" w:hanging="703"/>
      </w:pPr>
    </w:p>
    <w:p w:rsidR="0049143B" w:rsidRDefault="0049143B" w:rsidP="0049143B">
      <w:pPr>
        <w:pStyle w:val="Quote1"/>
      </w:pPr>
      <w:r>
        <w:t>(4)</w:t>
      </w:r>
      <w:r>
        <w:tab/>
        <w:t xml:space="preserve">The claim or claims must relate to one invention only. </w:t>
      </w:r>
    </w:p>
    <w:p w:rsidR="00D42EDA" w:rsidRDefault="00D42EDA" w:rsidP="00D42EDA">
      <w:pPr>
        <w:pStyle w:val="ParaNumbering"/>
      </w:pPr>
      <w:r>
        <w:t>In relation to fair basis, also described by s 40(3) of the Act</w:t>
      </w:r>
      <w:r w:rsidR="00D1629E">
        <w:t xml:space="preserve"> as a requirement that the claims be fairly based on the matter described in the specification</w:t>
      </w:r>
      <w:r>
        <w:t xml:space="preserve">, the principles are as indicated </w:t>
      </w:r>
      <w:r w:rsidR="00D1629E">
        <w:t xml:space="preserve">above </w:t>
      </w:r>
      <w:r>
        <w:t xml:space="preserve">in </w:t>
      </w:r>
      <w:r w:rsidRPr="0028041F">
        <w:rPr>
          <w:i/>
        </w:rPr>
        <w:t>Lockwood</w:t>
      </w:r>
      <w:r w:rsidR="00D1629E">
        <w:rPr>
          <w:i/>
        </w:rPr>
        <w:t xml:space="preserve"> No 2</w:t>
      </w:r>
      <w:r>
        <w:t xml:space="preserve">.  </w:t>
      </w:r>
      <w:r w:rsidR="00D1629E">
        <w:t>To reiterate some of the principles, f</w:t>
      </w:r>
      <w:r>
        <w:t>air basis may be provided by a so-called ‘consistory statement’ read in light of the specifications as a whole</w:t>
      </w:r>
      <w:r w:rsidR="00D1629E">
        <w:t>,</w:t>
      </w:r>
      <w:r>
        <w:t xml:space="preserve"> </w:t>
      </w:r>
      <w:r w:rsidR="00D1629E">
        <w:t>and real and reasonably</w:t>
      </w:r>
      <w:r>
        <w:t xml:space="preserve"> clear disclosure in the description of what is claimed is required.  The question, therefore, is whether the claims as expressed </w:t>
      </w:r>
      <w:r w:rsidR="00D1629E">
        <w:t>‘</w:t>
      </w:r>
      <w:r>
        <w:t>travel beyond</w:t>
      </w:r>
      <w:r w:rsidR="00D1629E">
        <w:t>’</w:t>
      </w:r>
      <w:r>
        <w:t xml:space="preserve"> the matter</w:t>
      </w:r>
      <w:r w:rsidR="00D1629E">
        <w:t>s</w:t>
      </w:r>
      <w:r>
        <w:t xml:space="preserve"> disclosed in the specification.  These are all practical questions and the Court has stressed the need to avoid an ‘over-meticulous verbal analysis’.  </w:t>
      </w:r>
    </w:p>
    <w:p w:rsidR="00D42EDA" w:rsidRDefault="00D42EDA" w:rsidP="00D42EDA">
      <w:pPr>
        <w:pStyle w:val="ParaNumbering"/>
      </w:pPr>
      <w:r>
        <w:t>The respondents rely</w:t>
      </w:r>
      <w:r w:rsidR="00D1629E">
        <w:t>,</w:t>
      </w:r>
      <w:r>
        <w:t xml:space="preserve"> again</w:t>
      </w:r>
      <w:r w:rsidR="00D1629E">
        <w:t>,</w:t>
      </w:r>
      <w:r>
        <w:t xml:space="preserve"> on the argument that if the claims </w:t>
      </w:r>
      <w:r w:rsidR="00D1629E">
        <w:t xml:space="preserve">are construed as encompassing </w:t>
      </w:r>
      <w:r>
        <w:t xml:space="preserve">a two part device, they cannot be fairly based since there is no description of such a device.  I disagree.  This is not, in my view, consistent with the practical approach required in considering this section:  see the Full Court’s analysis in </w:t>
      </w:r>
      <w:r w:rsidRPr="0028041F">
        <w:rPr>
          <w:i/>
        </w:rPr>
        <w:t xml:space="preserve">Bitech Engineering v Garth Living Pty Ltd </w:t>
      </w:r>
      <w:r>
        <w:t xml:space="preserve">(2010) 86 IPR 468 </w:t>
      </w:r>
      <w:r w:rsidR="00D1629E">
        <w:t xml:space="preserve">per Sundberg, Bennett and Yates JJ </w:t>
      </w:r>
      <w:r>
        <w:t>(at [39]-[48]).</w:t>
      </w:r>
    </w:p>
    <w:p w:rsidR="001833BF" w:rsidRDefault="001833BF" w:rsidP="00182226">
      <w:pPr>
        <w:pStyle w:val="Heading6"/>
      </w:pPr>
      <w:bookmarkStart w:id="115" w:name="_Ref410890371"/>
      <w:bookmarkStart w:id="116" w:name="_Ref436891538"/>
      <w:r>
        <w:lastRenderedPageBreak/>
        <w:t xml:space="preserve">False </w:t>
      </w:r>
      <w:r w:rsidR="00D1629E">
        <w:t>s</w:t>
      </w:r>
      <w:r>
        <w:t xml:space="preserve">uggestion or </w:t>
      </w:r>
      <w:r w:rsidR="00D1629E">
        <w:t>m</w:t>
      </w:r>
      <w:r>
        <w:t>isrepresentation</w:t>
      </w:r>
      <w:bookmarkEnd w:id="114"/>
      <w:bookmarkEnd w:id="115"/>
      <w:r w:rsidR="0038273B">
        <w:t xml:space="preserve"> – s 138(3)(d)</w:t>
      </w:r>
      <w:bookmarkEnd w:id="116"/>
    </w:p>
    <w:p w:rsidR="00BE4B28" w:rsidRDefault="00BE4B28" w:rsidP="00BE4B28">
      <w:pPr>
        <w:pStyle w:val="ParaNumbering"/>
      </w:pPr>
      <w:r>
        <w:t xml:space="preserve">Coretell contends that the Patents were obtained by false suggestion or misrepresentation </w:t>
      </w:r>
      <w:r w:rsidR="00D1629E">
        <w:t xml:space="preserve">contrary to s 138(3)(d) of the Act.  It claims that </w:t>
      </w:r>
      <w:r w:rsidR="000E79BF">
        <w:t>t</w:t>
      </w:r>
      <w:r w:rsidR="00ED6A39">
        <w:t>he applicants</w:t>
      </w:r>
      <w:r>
        <w:t xml:space="preserve"> omitted to give an accurate description of the prior art at the earliest claimed priority date</w:t>
      </w:r>
      <w:r w:rsidR="00D1629E">
        <w:t>,</w:t>
      </w:r>
      <w:r>
        <w:t xml:space="preserve"> or </w:t>
      </w:r>
      <w:r w:rsidR="00D1629E">
        <w:t xml:space="preserve">the </w:t>
      </w:r>
      <w:r>
        <w:t>‘problem’ faced by the inventor.  If such a description had been given, Coretell contends that the Commissioner of Patents would not have allowed the Patents to proceed to grant.  AMC disputes this contention.</w:t>
      </w:r>
    </w:p>
    <w:p w:rsidR="001833BF" w:rsidRDefault="00D1629E" w:rsidP="001833BF">
      <w:pPr>
        <w:pStyle w:val="ParaNumbering"/>
      </w:pPr>
      <w:r>
        <w:t xml:space="preserve">Coretell </w:t>
      </w:r>
      <w:r w:rsidR="001833BF">
        <w:t>argue</w:t>
      </w:r>
      <w:r>
        <w:t>s</w:t>
      </w:r>
      <w:r w:rsidR="001833BF">
        <w:t xml:space="preserve"> that ‘</w:t>
      </w:r>
      <w:r>
        <w:t>[</w:t>
      </w:r>
      <w:r w:rsidR="001833BF">
        <w:t>s</w:t>
      </w:r>
      <w:r>
        <w:t>]</w:t>
      </w:r>
      <w:r w:rsidR="001833BF">
        <w:t>ignificant false suggestion or misrepresentation invalidity issues arise here in two different respects</w:t>
      </w:r>
      <w:r>
        <w:t xml:space="preserve"> …</w:t>
      </w:r>
      <w:r w:rsidR="001833BF">
        <w:t xml:space="preserve">’.  The first issue arises on the broad construction of the claims </w:t>
      </w:r>
      <w:r>
        <w:t xml:space="preserve">contended for by the applicants, </w:t>
      </w:r>
      <w:r w:rsidR="008B4D68">
        <w:t>and</w:t>
      </w:r>
      <w:r w:rsidR="001833BF">
        <w:t xml:space="preserve"> the second from the activities of Chardec and Ace Drilling</w:t>
      </w:r>
      <w:r w:rsidR="000E79BF">
        <w:t>/Imdex</w:t>
      </w:r>
      <w:r w:rsidR="001833BF">
        <w:t xml:space="preserve"> in the months of 2004 prior to the </w:t>
      </w:r>
      <w:r w:rsidR="000E79BF">
        <w:t xml:space="preserve">filing of the </w:t>
      </w:r>
      <w:r w:rsidR="001833BF">
        <w:t xml:space="preserve">Provisional Application on 3 September 2004.  </w:t>
      </w:r>
    </w:p>
    <w:p w:rsidR="009A5D6F" w:rsidRDefault="00D1629E" w:rsidP="001833BF">
      <w:pPr>
        <w:pStyle w:val="ParaNumbering"/>
      </w:pPr>
      <w:r>
        <w:t xml:space="preserve">According to </w:t>
      </w:r>
      <w:r w:rsidR="00470CCE">
        <w:t>Coretell</w:t>
      </w:r>
      <w:r>
        <w:t>, t</w:t>
      </w:r>
      <w:r w:rsidR="00451648">
        <w:t>he first misrepresentation is that there was no disclosure of the Skopec prior art.</w:t>
      </w:r>
      <w:r w:rsidR="000E79BF">
        <w:t xml:space="preserve">  </w:t>
      </w:r>
      <w:r w:rsidR="000926C5">
        <w:t xml:space="preserve">Coretell </w:t>
      </w:r>
      <w:r w:rsidR="009A5D6F">
        <w:t>argue</w:t>
      </w:r>
      <w:r w:rsidR="000926C5">
        <w:t>s</w:t>
      </w:r>
      <w:r w:rsidR="009A5D6F">
        <w:t xml:space="preserve"> that if the Court finds favour </w:t>
      </w:r>
      <w:r w:rsidR="00B2797F">
        <w:t>with</w:t>
      </w:r>
      <w:r w:rsidR="009A5D6F">
        <w:t xml:space="preserve"> the applicants’ contended broad construction of the claims of the Patents ‘without any limitation to any form of core orientation device or to any limitations arising by resort to aspects of the preferred embodiment’, it is clear that those claims were properly considered by Dr Skopec to comprehend the technology that he had practised since the 1990s in the field</w:t>
      </w:r>
      <w:r w:rsidR="000926C5">
        <w:t>s</w:t>
      </w:r>
      <w:r w:rsidR="009A5D6F">
        <w:t xml:space="preserve"> of oil and gas exploration </w:t>
      </w:r>
      <w:r w:rsidR="000926C5">
        <w:t>drilling</w:t>
      </w:r>
      <w:r w:rsidR="009A5D6F">
        <w:t xml:space="preserve">.  </w:t>
      </w:r>
      <w:r w:rsidR="00E47D33">
        <w:t xml:space="preserve">Coretell specifically argues that claims of such broad scope would </w:t>
      </w:r>
      <w:r w:rsidR="000926C5">
        <w:t>not</w:t>
      </w:r>
      <w:r w:rsidR="00E47D33">
        <w:t xml:space="preserve"> have been allowed by the Commissioner of Patents had there been disclosure of the Skopec prior art</w:t>
      </w:r>
      <w:r w:rsidR="005B64C2">
        <w:t xml:space="preserve"> to the Commissioner</w:t>
      </w:r>
      <w:r w:rsidR="00E47D33">
        <w:t xml:space="preserve">.  </w:t>
      </w:r>
    </w:p>
    <w:p w:rsidR="00966B56" w:rsidRDefault="004A14C6" w:rsidP="001833BF">
      <w:pPr>
        <w:pStyle w:val="ParaNumbering"/>
      </w:pPr>
      <w:r>
        <w:t xml:space="preserve">The second misrepresentation is said </w:t>
      </w:r>
      <w:r w:rsidR="00966B56">
        <w:t xml:space="preserve">by Coretell </w:t>
      </w:r>
      <w:r>
        <w:t>to be that</w:t>
      </w:r>
      <w:r w:rsidR="00966B56">
        <w:t>:</w:t>
      </w:r>
    </w:p>
    <w:p w:rsidR="00966B56" w:rsidRDefault="004A14C6" w:rsidP="00966B56">
      <w:pPr>
        <w:pStyle w:val="Quote1"/>
      </w:pPr>
      <w:r>
        <w:t xml:space="preserve">for many months prior to the </w:t>
      </w:r>
      <w:r w:rsidR="00966B56">
        <w:t>[</w:t>
      </w:r>
      <w:r>
        <w:t>Provisional Applicat</w:t>
      </w:r>
      <w:r w:rsidR="00235C76">
        <w:t>ion</w:t>
      </w:r>
      <w:r w:rsidR="00966B56">
        <w:t xml:space="preserve">] on 3 September 2004, </w:t>
      </w:r>
      <w:r w:rsidR="00235C76">
        <w:t xml:space="preserve">there had been widespread </w:t>
      </w:r>
      <w:r w:rsidR="00966B56">
        <w:t>public and open demonstrations</w:t>
      </w:r>
      <w:r>
        <w:t xml:space="preserve"> of the working tools that became the subject of the </w:t>
      </w:r>
      <w:r w:rsidR="00966B56">
        <w:t>[</w:t>
      </w:r>
      <w:r>
        <w:t>Provisional Application</w:t>
      </w:r>
      <w:r w:rsidR="00966B56">
        <w:t>]</w:t>
      </w:r>
      <w:r>
        <w:t xml:space="preserve">.  </w:t>
      </w:r>
    </w:p>
    <w:p w:rsidR="004A3217" w:rsidRDefault="004A3217" w:rsidP="001833BF">
      <w:pPr>
        <w:pStyle w:val="ParaNumbering"/>
      </w:pPr>
      <w:r>
        <w:t xml:space="preserve">Coretell argues that the narrative of each of the Patents are </w:t>
      </w:r>
      <w:r w:rsidR="00966B56">
        <w:t>‘</w:t>
      </w:r>
      <w:r>
        <w:t xml:space="preserve">entirely </w:t>
      </w:r>
      <w:r w:rsidR="00966B56">
        <w:t xml:space="preserve">silent about these </w:t>
      </w:r>
      <w:r>
        <w:t>demonstrations’</w:t>
      </w:r>
      <w:r w:rsidR="000E79BF">
        <w:t>,</w:t>
      </w:r>
      <w:r>
        <w:t xml:space="preserve"> </w:t>
      </w:r>
      <w:r w:rsidR="00966B56">
        <w:t xml:space="preserve">which it says </w:t>
      </w:r>
      <w:r w:rsidR="00235C76">
        <w:t xml:space="preserve">went </w:t>
      </w:r>
      <w:r w:rsidR="00966B56">
        <w:t>‘</w:t>
      </w:r>
      <w:r>
        <w:t>well beyond any reasonable trial or experiment and could not be</w:t>
      </w:r>
      <w:r w:rsidR="00235C76">
        <w:t xml:space="preserve"> within any statutory exception</w:t>
      </w:r>
      <w:r w:rsidR="00966B56">
        <w:t>’</w:t>
      </w:r>
      <w:r>
        <w:t>.</w:t>
      </w:r>
      <w:r w:rsidR="00B2797F">
        <w:t xml:space="preserve">  </w:t>
      </w:r>
      <w:r w:rsidR="00982873">
        <w:t xml:space="preserve">Coretell contends that had disclosure </w:t>
      </w:r>
      <w:r w:rsidR="00635146">
        <w:t xml:space="preserve">of these activities </w:t>
      </w:r>
      <w:r w:rsidR="00982873">
        <w:t>been made to the Commissioner of Patents</w:t>
      </w:r>
      <w:r w:rsidR="00635146">
        <w:t xml:space="preserve">, </w:t>
      </w:r>
      <w:r w:rsidR="00982873">
        <w:t>no patent could have been allowed by the Commissioner.</w:t>
      </w:r>
    </w:p>
    <w:p w:rsidR="003C067D" w:rsidRDefault="00635146" w:rsidP="003C067D">
      <w:pPr>
        <w:pStyle w:val="ParaNumbering"/>
      </w:pPr>
      <w:bookmarkStart w:id="117" w:name="_Ref410393876"/>
      <w:r>
        <w:t xml:space="preserve">Coretell has </w:t>
      </w:r>
      <w:r w:rsidR="003C067D">
        <w:t xml:space="preserve">not established that there is a statutory requirement that a patent specification include a full description of all prior art relevant to the invention or the problem </w:t>
      </w:r>
      <w:r w:rsidR="003C067D">
        <w:lastRenderedPageBreak/>
        <w:t>the inventor was seeking to address.  There is no such requirement.  Neither the Act nor the authorities suggest this is so.  The important requirement is to provide a full description of the invention</w:t>
      </w:r>
      <w:r w:rsidR="000E79BF">
        <w:t xml:space="preserve"> in accordance with s 40(2)(a)</w:t>
      </w:r>
      <w:r w:rsidR="00C4296E">
        <w:t>,</w:t>
      </w:r>
      <w:r w:rsidR="003C067D">
        <w:t xml:space="preserve"> not an entire history of prior art.  </w:t>
      </w:r>
    </w:p>
    <w:p w:rsidR="003C067D" w:rsidRDefault="003C067D" w:rsidP="003C067D">
      <w:pPr>
        <w:pStyle w:val="ParaNumbering"/>
      </w:pPr>
      <w:r>
        <w:t xml:space="preserve">More importantly, there is nothing in the specifications that is false or misleading.  They provide in the section headed ‘Background Art’ a fair account of the background </w:t>
      </w:r>
      <w:r w:rsidR="00635146">
        <w:t xml:space="preserve">to </w:t>
      </w:r>
      <w:r>
        <w:t xml:space="preserve">core samples and core sample orientation, particularly in the context of hard rock mineral exploration in Australia </w:t>
      </w:r>
      <w:r w:rsidR="00A25FD2">
        <w:t>as at</w:t>
      </w:r>
      <w:r>
        <w:t xml:space="preserve"> 3 September 2004.  There is abundant evidence that the prior art orientation method included the </w:t>
      </w:r>
      <w:r w:rsidR="00C02E54">
        <w:t>S</w:t>
      </w:r>
      <w:r>
        <w:t xml:space="preserve">pear </w:t>
      </w:r>
      <w:r w:rsidR="00C02E54">
        <w:t>M</w:t>
      </w:r>
      <w:r>
        <w:t xml:space="preserve">ethod.  Messrs Brown and Ballantyne referred to this in their evidence.  That method is, on the evidence, fairly and accurately described in the </w:t>
      </w:r>
      <w:r w:rsidR="00C02E54">
        <w:t>‘</w:t>
      </w:r>
      <w:r>
        <w:t>Background Art</w:t>
      </w:r>
      <w:r w:rsidR="00C02E54">
        <w:t>’</w:t>
      </w:r>
      <w:r>
        <w:t xml:space="preserve"> section</w:t>
      </w:r>
      <w:r w:rsidR="00C02E54">
        <w:t xml:space="preserve"> of the specifications</w:t>
      </w:r>
      <w:r>
        <w:t xml:space="preserve">.  Although Dr Skopec was not aware of these methods, that is because his expertise is in petroleum </w:t>
      </w:r>
      <w:r w:rsidR="00C02E54">
        <w:t>exploration</w:t>
      </w:r>
      <w:r>
        <w:t xml:space="preserve">, rather than in mineral exploration.  </w:t>
      </w:r>
      <w:r w:rsidR="00C02E54">
        <w:t>T</w:t>
      </w:r>
      <w:r>
        <w:t xml:space="preserve">he methods of electronic core orientation described by Dr Skopec in </w:t>
      </w:r>
      <w:r w:rsidR="006B4B22">
        <w:t xml:space="preserve">the </w:t>
      </w:r>
      <w:r w:rsidR="00C02E54">
        <w:t xml:space="preserve">Skopec </w:t>
      </w:r>
      <w:r>
        <w:t>Paper were not used in the context of mineral ex</w:t>
      </w:r>
      <w:r w:rsidR="006B4B22">
        <w:t>ploration in Australia before 3 </w:t>
      </w:r>
      <w:r>
        <w:t xml:space="preserve">September 2004.  The discussion of those techniques makes it obvious that hard rock is the relevant </w:t>
      </w:r>
      <w:r w:rsidR="00BE179B">
        <w:t>context</w:t>
      </w:r>
      <w:r>
        <w:t>, not fractured rock.  There is no misrepresentation by omitting reference to irrelevant usages and, importantly, as a matter of principle, there is no obligation</w:t>
      </w:r>
      <w:r w:rsidR="00BE179B">
        <w:t xml:space="preserve"> </w:t>
      </w:r>
      <w:r>
        <w:t xml:space="preserve">to provide a comprehensive description of all </w:t>
      </w:r>
      <w:r w:rsidR="00BE179B">
        <w:t xml:space="preserve">of </w:t>
      </w:r>
      <w:r>
        <w:t>the prior art.</w:t>
      </w:r>
    </w:p>
    <w:p w:rsidR="00F84EA3" w:rsidRDefault="00F84EA3" w:rsidP="003C067D">
      <w:pPr>
        <w:pStyle w:val="ParaNumbering"/>
      </w:pPr>
      <w:r>
        <w:t xml:space="preserve">Coretell </w:t>
      </w:r>
      <w:r w:rsidR="003C067D">
        <w:t>also advance</w:t>
      </w:r>
      <w:r>
        <w:t>s</w:t>
      </w:r>
      <w:r w:rsidR="003C067D">
        <w:t xml:space="preserve"> the argument that a description of the applicants’ </w:t>
      </w:r>
      <w:r w:rsidR="00BF240F">
        <w:t>ACT Tool</w:t>
      </w:r>
      <w:r w:rsidR="003C067D">
        <w:t xml:space="preserve"> ought to have been included in the specifications</w:t>
      </w:r>
      <w:r>
        <w:t xml:space="preserve">.  </w:t>
      </w:r>
      <w:r w:rsidR="003C067D">
        <w:t xml:space="preserve">I reject this submission.  The </w:t>
      </w:r>
      <w:r w:rsidR="00BF240F">
        <w:t>ACT Tool</w:t>
      </w:r>
      <w:r w:rsidR="003C067D">
        <w:t xml:space="preserve"> does not constitute prior art in relation to the Patents.  The recent trialling and testing of a prototype is not prior art.  </w:t>
      </w:r>
    </w:p>
    <w:p w:rsidR="003C067D" w:rsidRDefault="003C067D" w:rsidP="003C067D">
      <w:pPr>
        <w:pStyle w:val="ParaNumbering"/>
      </w:pPr>
      <w:r>
        <w:t>There is no support, no evidence</w:t>
      </w:r>
      <w:r w:rsidR="006B4B22">
        <w:t>,</w:t>
      </w:r>
      <w:r>
        <w:t xml:space="preserve"> and no validity in the contention that the alleged misrepresentation </w:t>
      </w:r>
      <w:r w:rsidR="00F84EA3">
        <w:t xml:space="preserve">of </w:t>
      </w:r>
      <w:r>
        <w:t xml:space="preserve">omitting information from the specifications </w:t>
      </w:r>
      <w:r w:rsidR="006B4B22">
        <w:t xml:space="preserve">of the Patents </w:t>
      </w:r>
      <w:r>
        <w:t xml:space="preserve">was material to their grant.  There is, unsurprisingly, no evidence from the Commissioner to support such </w:t>
      </w:r>
      <w:r w:rsidR="00F84EA3">
        <w:t xml:space="preserve">a </w:t>
      </w:r>
      <w:r>
        <w:t>contention.</w:t>
      </w:r>
    </w:p>
    <w:p w:rsidR="003952C3" w:rsidRDefault="003952C3" w:rsidP="003952C3">
      <w:pPr>
        <w:pStyle w:val="Heading6"/>
      </w:pPr>
      <w:bookmarkStart w:id="118" w:name="_Ref410890372"/>
      <w:bookmarkStart w:id="119" w:name="_Ref436891539"/>
      <w:r>
        <w:t xml:space="preserve">Lack of </w:t>
      </w:r>
      <w:r w:rsidR="001B7D3B">
        <w:t>u</w:t>
      </w:r>
      <w:r>
        <w:t>tility</w:t>
      </w:r>
      <w:bookmarkEnd w:id="117"/>
      <w:bookmarkEnd w:id="118"/>
      <w:r w:rsidR="006B4B22">
        <w:t xml:space="preserve"> – s 18(1A)(c)</w:t>
      </w:r>
      <w:bookmarkEnd w:id="119"/>
    </w:p>
    <w:p w:rsidR="001B7D3B" w:rsidRDefault="002F6E67" w:rsidP="001B7D3B">
      <w:pPr>
        <w:pStyle w:val="ParaNumbering"/>
      </w:pPr>
      <w:r>
        <w:t xml:space="preserve">Coretell contends that the invention as claimed in the Patents is not </w:t>
      </w:r>
      <w:r w:rsidR="006B4B22">
        <w:t xml:space="preserve">a patentable invention </w:t>
      </w:r>
      <w:r w:rsidR="001B7D3B">
        <w:t xml:space="preserve">pursuant to s 138(3)(b) </w:t>
      </w:r>
      <w:r w:rsidR="006B4B22">
        <w:t xml:space="preserve">as the invention is not useful, contrary to s 18(1A)(c) of the Act, </w:t>
      </w:r>
      <w:r w:rsidR="001B7D3B">
        <w:t>and therefore the Patents are invalid as the invention as claimed in the Patents does not achieve the promises set out in the specifications, which are as follows:</w:t>
      </w:r>
    </w:p>
    <w:p w:rsidR="002F6E67" w:rsidRDefault="002F6E67" w:rsidP="001332BE">
      <w:pPr>
        <w:pStyle w:val="ListNo"/>
        <w:numPr>
          <w:ilvl w:val="0"/>
          <w:numId w:val="30"/>
        </w:numPr>
        <w:tabs>
          <w:tab w:val="clear" w:pos="720"/>
        </w:tabs>
      </w:pPr>
      <w:r>
        <w:lastRenderedPageBreak/>
        <w:t>the inner tube assembly includes a bearing, the upper portion of which is rotatable with the outer tube assembly and the lower proportion is restrained because of frictional engagement with the core, such that the device rotates relative to the outer tube assembly but not relative to the core sample when the core is received</w:t>
      </w:r>
      <w:r w:rsidR="00D71F75">
        <w:t xml:space="preserve">; and </w:t>
      </w:r>
    </w:p>
    <w:p w:rsidR="002F6E67" w:rsidRDefault="002F6E67" w:rsidP="001332BE">
      <w:pPr>
        <w:pStyle w:val="ListNo"/>
        <w:numPr>
          <w:ilvl w:val="0"/>
          <w:numId w:val="30"/>
        </w:numPr>
        <w:tabs>
          <w:tab w:val="clear" w:pos="720"/>
        </w:tabs>
      </w:pPr>
      <w:r>
        <w:t>the device does not require physical marking of a core sample prior to extraction from the ground.</w:t>
      </w:r>
    </w:p>
    <w:p w:rsidR="00967DD7" w:rsidRDefault="00D71F75" w:rsidP="00967DD7">
      <w:pPr>
        <w:pStyle w:val="ParaNumbering"/>
      </w:pPr>
      <w:r>
        <w:t xml:space="preserve">Coretell relies upon the following </w:t>
      </w:r>
      <w:r w:rsidR="00864695">
        <w:t xml:space="preserve">promises in the specifications </w:t>
      </w:r>
      <w:r>
        <w:t>which it has extracted as follows</w:t>
      </w:r>
      <w:r w:rsidR="00864695">
        <w:t>:</w:t>
      </w:r>
    </w:p>
    <w:p w:rsidR="00864695" w:rsidRDefault="00864695" w:rsidP="00627C61">
      <w:pPr>
        <w:pStyle w:val="Quote1"/>
        <w:ind w:left="1440" w:hanging="703"/>
      </w:pPr>
      <w:r w:rsidRPr="00627C61">
        <w:t>(a)</w:t>
      </w:r>
      <w:r w:rsidRPr="00627C61">
        <w:tab/>
      </w:r>
      <w:r>
        <w:t xml:space="preserve">The upper part 36a includes a bearing 40, with the portion above the bearing 40 being rotatable with the outer tube assembly 34 and the portion below the bearing 40 being restrained against rotation because of frictional engagement with the core being generated.  Thus, in this manner the bearing 40 allows </w:t>
      </w:r>
      <w:r>
        <w:rPr>
          <w:u w:val="single"/>
        </w:rPr>
        <w:t>the core orientation device 10 to rotate relative to the outer tube assembly 34 but not relative to the core sample when the core sample is being received</w:t>
      </w:r>
      <w:r>
        <w:t xml:space="preserve">.  </w:t>
      </w:r>
    </w:p>
    <w:p w:rsidR="00864695" w:rsidRDefault="00864695" w:rsidP="00864695">
      <w:pPr>
        <w:pStyle w:val="Quote2"/>
      </w:pPr>
    </w:p>
    <w:p w:rsidR="00864695" w:rsidRDefault="00864695" w:rsidP="00627C61">
      <w:pPr>
        <w:pStyle w:val="Quote1"/>
        <w:ind w:left="1440" w:hanging="703"/>
      </w:pPr>
      <w:r w:rsidRPr="00627C61">
        <w:t>(b)</w:t>
      </w:r>
      <w:r w:rsidRPr="00627C61">
        <w:tab/>
      </w:r>
      <w:r>
        <w:rPr>
          <w:u w:val="single"/>
        </w:rPr>
        <w:t>The orientation of the orientation device 10 of course corresponds to the orientation of the lower part 36b of the inner tube assembly 36 which in turn corresponds to the orientation of a core sample progressively entering the inner tube assembly 36, as lower part 36b does not rotate to the core sample.</w:t>
      </w:r>
      <w:r>
        <w:t xml:space="preserve">  … rotating the device and lower part 36b … causes the core contained within the inner tube </w:t>
      </w:r>
      <w:r w:rsidR="00987EE3">
        <w:t>assembly 36b to move into an orientation corresponding to its orientation at the time it was in the ground before extraction.</w:t>
      </w:r>
    </w:p>
    <w:p w:rsidR="00987EE3" w:rsidRDefault="00987EE3" w:rsidP="00864695">
      <w:pPr>
        <w:pStyle w:val="Quote2"/>
      </w:pPr>
      <w:r>
        <w:t>(Coretell’s original emphasis)</w:t>
      </w:r>
    </w:p>
    <w:p w:rsidR="00627C61" w:rsidRDefault="00C82936" w:rsidP="00987EE3">
      <w:pPr>
        <w:pStyle w:val="ParaNumbering"/>
      </w:pPr>
      <w:r>
        <w:t>Coretell argues that</w:t>
      </w:r>
      <w:r w:rsidR="00B31A32">
        <w:t xml:space="preserve"> </w:t>
      </w:r>
      <w:r>
        <w:t xml:space="preserve">these statements promise an orientation system or method as an improvement over the prior art.  It promises to achieve accurate ‘bottom of the hole’ core orientation corresponding to the core orientation before extraction without having to mark the core sample prior to extraction from the ground as, for example, in the </w:t>
      </w:r>
      <w:r w:rsidR="006B4B22">
        <w:t xml:space="preserve">Spear Method </w:t>
      </w:r>
      <w:r w:rsidR="009B398E">
        <w:t xml:space="preserve">and ‘Ezi-Mark’ </w:t>
      </w:r>
      <w:r w:rsidR="006B4B22">
        <w:t xml:space="preserve">method </w:t>
      </w:r>
      <w:r w:rsidR="00627C61">
        <w:t>described in the ‘Background Art’ section of the Patents</w:t>
      </w:r>
      <w:r>
        <w:t xml:space="preserve">.  </w:t>
      </w:r>
    </w:p>
    <w:p w:rsidR="00987EE3" w:rsidRDefault="009B398E" w:rsidP="00987EE3">
      <w:pPr>
        <w:pStyle w:val="ParaNumbering"/>
      </w:pPr>
      <w:r>
        <w:t xml:space="preserve">I cannot agree </w:t>
      </w:r>
      <w:r w:rsidR="00C82936">
        <w:t xml:space="preserve">that that is what the underlined portions promise at all, but it is true that what is promised is orientation which does not require the physical marking of the core sample prior to extraction from the ground.  </w:t>
      </w:r>
    </w:p>
    <w:p w:rsidR="00C82936" w:rsidRDefault="00315E59" w:rsidP="00987EE3">
      <w:pPr>
        <w:pStyle w:val="ParaNumbering"/>
      </w:pPr>
      <w:r>
        <w:t xml:space="preserve">Coretell argues </w:t>
      </w:r>
      <w:r w:rsidR="009B398E">
        <w:t xml:space="preserve">that </w:t>
      </w:r>
      <w:r>
        <w:t xml:space="preserve">the described </w:t>
      </w:r>
      <w:r w:rsidR="009B398E">
        <w:t xml:space="preserve">orientation system and method of the Patents </w:t>
      </w:r>
      <w:r>
        <w:t>rely on an orientation device that can on</w:t>
      </w:r>
      <w:r w:rsidR="009B398E">
        <w:t xml:space="preserve">ly measure its own orientation </w:t>
      </w:r>
      <w:r>
        <w:t xml:space="preserve">and that of the core tube to which it is fixedly coupled.   It relies on determining the orientation of the inner tube that progressively receives the core sample during drilling.  This is </w:t>
      </w:r>
      <w:r w:rsidR="009B398E">
        <w:t xml:space="preserve">also </w:t>
      </w:r>
      <w:r>
        <w:t xml:space="preserve">the case with </w:t>
      </w:r>
      <w:r w:rsidR="00E05593">
        <w:t>CHAMP EMI Tool</w:t>
      </w:r>
      <w:r>
        <w:t xml:space="preserve"> based system of the </w:t>
      </w:r>
      <w:r w:rsidR="009B398E">
        <w:t xml:space="preserve">Skopec </w:t>
      </w:r>
      <w:r>
        <w:t xml:space="preserve">Paper.  </w:t>
      </w:r>
      <w:r w:rsidR="00B2797F">
        <w:t xml:space="preserve">The </w:t>
      </w:r>
      <w:r w:rsidR="003576F7">
        <w:t xml:space="preserve">Patents </w:t>
      </w:r>
      <w:r w:rsidR="009B398E">
        <w:t xml:space="preserve">entirely </w:t>
      </w:r>
      <w:r w:rsidR="00B2797F">
        <w:t xml:space="preserve">ignore, Coretell says, </w:t>
      </w:r>
      <w:r w:rsidR="003576F7">
        <w:t xml:space="preserve">the possible rotation of the inner tube assembly and orientation device coupled to it because the </w:t>
      </w:r>
      <w:r w:rsidR="003576F7">
        <w:lastRenderedPageBreak/>
        <w:t xml:space="preserve">bearing 40 is not ‘frictionless’ or for other reasons where the rotational torque applied to the outer barrel is transferred to the inner tube.  During drilling, </w:t>
      </w:r>
      <w:r w:rsidR="009B398E">
        <w:t xml:space="preserve">Coretell says that </w:t>
      </w:r>
      <w:r w:rsidR="003576F7">
        <w:t>this will result in some of the rotational torque applied to the outer tube being transferred through the bearing or outer barrel to the inner tube causing relative rotation of the latter with respect to the core sample as drilling progresses.</w:t>
      </w:r>
    </w:p>
    <w:p w:rsidR="003576F7" w:rsidRDefault="0094787A" w:rsidP="00987EE3">
      <w:pPr>
        <w:pStyle w:val="ParaNumbering"/>
      </w:pPr>
      <w:r>
        <w:t>Coretell argues that</w:t>
      </w:r>
      <w:r w:rsidR="00262992">
        <w:t xml:space="preserve"> the system described in the </w:t>
      </w:r>
      <w:r>
        <w:t xml:space="preserve">Skopec </w:t>
      </w:r>
      <w:r w:rsidR="00262992">
        <w:t xml:space="preserve">Paper and as practised by Dr Skopec, </w:t>
      </w:r>
      <w:r>
        <w:t xml:space="preserve">however, </w:t>
      </w:r>
      <w:r w:rsidR="00262992">
        <w:t xml:space="preserve">realistically recognises that the orientation of the orientation device/inner tube combination can become decoupled from the orientation of the core sample during drilling.  </w:t>
      </w:r>
      <w:r w:rsidR="007F5704">
        <w:t xml:space="preserve">In </w:t>
      </w:r>
      <w:r w:rsidR="00262992">
        <w:t xml:space="preserve">contrast, </w:t>
      </w:r>
      <w:r>
        <w:t xml:space="preserve">Coretell says that </w:t>
      </w:r>
      <w:r w:rsidR="00262992">
        <w:t xml:space="preserve">the </w:t>
      </w:r>
      <w:r>
        <w:t xml:space="preserve">Patents </w:t>
      </w:r>
      <w:r w:rsidR="00262992">
        <w:t xml:space="preserve">assert that the </w:t>
      </w:r>
      <w:r w:rsidR="00BD7D30">
        <w:t>ACT Tool</w:t>
      </w:r>
      <w:r>
        <w:t>,</w:t>
      </w:r>
      <w:r w:rsidR="00262992">
        <w:t xml:space="preserve"> and core tube </w:t>
      </w:r>
      <w:r>
        <w:t xml:space="preserve">do </w:t>
      </w:r>
      <w:r w:rsidR="00262992">
        <w:t>not rotate with respect to the core sample during drilling due to an asserted frictional engagement between the inner tube assembly and the core sample being generated.  As a result, the asserted and promised indication of core orientation is said to be achieved</w:t>
      </w:r>
      <w:r>
        <w:t xml:space="preserve"> in the Patents</w:t>
      </w:r>
      <w:r w:rsidR="00262992">
        <w:t>.</w:t>
      </w:r>
    </w:p>
    <w:p w:rsidR="00DB6121" w:rsidRDefault="007F5704" w:rsidP="00987EE3">
      <w:pPr>
        <w:pStyle w:val="ParaNumbering"/>
      </w:pPr>
      <w:r>
        <w:t xml:space="preserve">Coretell says, </w:t>
      </w:r>
      <w:r w:rsidR="00707EA9">
        <w:t xml:space="preserve">however, </w:t>
      </w:r>
      <w:r w:rsidR="00AD776C">
        <w:t xml:space="preserve">it is </w:t>
      </w:r>
      <w:r w:rsidR="00470CCE">
        <w:t>significant</w:t>
      </w:r>
      <w:r w:rsidR="00AD776C">
        <w:t xml:space="preserve"> </w:t>
      </w:r>
      <w:r>
        <w:t xml:space="preserve">that </w:t>
      </w:r>
      <w:r w:rsidR="00707EA9">
        <w:t xml:space="preserve">the evidence reveals that the asserted ‘frictional engagement between inner tube and core sample asserted by the two </w:t>
      </w:r>
      <w:r w:rsidR="00AD776C">
        <w:t>[P</w:t>
      </w:r>
      <w:r w:rsidR="00707EA9">
        <w:t>atents</w:t>
      </w:r>
      <w:r w:rsidR="00AD776C">
        <w:t>]</w:t>
      </w:r>
      <w:r w:rsidR="00707EA9">
        <w:t xml:space="preserve">’ to prevent rotation could not occur because there then would be jamming of the core sample in the inner tube and the core orientation activities could not continue.  </w:t>
      </w:r>
    </w:p>
    <w:p w:rsidR="00E60DBC" w:rsidRDefault="00E60DBC" w:rsidP="00987EE3">
      <w:pPr>
        <w:pStyle w:val="ParaNumbering"/>
      </w:pPr>
      <w:r>
        <w:t>Coretell says</w:t>
      </w:r>
      <w:r w:rsidR="00AD776C">
        <w:t xml:space="preserve">, in summary, that the </w:t>
      </w:r>
      <w:r>
        <w:t xml:space="preserve">key points arising from the evidence of Dr Skopec are </w:t>
      </w:r>
      <w:r w:rsidR="00AD776C">
        <w:t>as follows</w:t>
      </w:r>
      <w:r>
        <w:t>:</w:t>
      </w:r>
      <w:r w:rsidR="00C25851">
        <w:t xml:space="preserve">  </w:t>
      </w:r>
    </w:p>
    <w:p w:rsidR="00E60DBC" w:rsidRDefault="007C662D" w:rsidP="00C25851">
      <w:pPr>
        <w:pStyle w:val="NoNum"/>
        <w:ind w:left="720" w:hanging="720"/>
      </w:pPr>
      <w:r>
        <w:t>(a)</w:t>
      </w:r>
      <w:r>
        <w:tab/>
      </w:r>
      <w:r w:rsidR="0082775A">
        <w:t>t</w:t>
      </w:r>
      <w:r w:rsidR="00E60DBC">
        <w:t>he above extracted parts of the description of the Patents are unambiguous statements about the performance/accuracy of the orientation results achieved by the described and</w:t>
      </w:r>
      <w:r w:rsidR="00C25851">
        <w:t xml:space="preserve"> claimed system (method);</w:t>
      </w:r>
    </w:p>
    <w:p w:rsidR="00E60DBC" w:rsidRDefault="007C662D" w:rsidP="00C25851">
      <w:pPr>
        <w:pStyle w:val="NoNum"/>
        <w:ind w:left="720" w:hanging="720"/>
      </w:pPr>
      <w:r>
        <w:t>(b)</w:t>
      </w:r>
      <w:r>
        <w:tab/>
      </w:r>
      <w:r w:rsidR="0082775A">
        <w:t>t</w:t>
      </w:r>
      <w:r w:rsidR="00E60DBC">
        <w:t>here is no reference or statement in the Patents that the described and illustrated process is directed either to one particular area of exploration drilling (mining not petroleum) or to exploration drilling involving ign</w:t>
      </w:r>
      <w:r w:rsidR="00C25851">
        <w:t>eous or metamorphic rock;</w:t>
      </w:r>
    </w:p>
    <w:p w:rsidR="00E60DBC" w:rsidRDefault="007C662D" w:rsidP="00C25851">
      <w:pPr>
        <w:pStyle w:val="NoNum"/>
        <w:ind w:left="720" w:hanging="720"/>
      </w:pPr>
      <w:r>
        <w:t>(c)</w:t>
      </w:r>
      <w:r>
        <w:tab/>
      </w:r>
      <w:r w:rsidR="0082775A">
        <w:t>t</w:t>
      </w:r>
      <w:r w:rsidR="00E60DBC">
        <w:t>here is no reference or statement in the Patents that the described and illustrated process is limited to core samples that are continuous and integral to the exclusion of core samples that may be fractured or otherwise non-continuous</w:t>
      </w:r>
      <w:r w:rsidR="00C25851">
        <w:t>;</w:t>
      </w:r>
    </w:p>
    <w:p w:rsidR="00E60DBC" w:rsidRDefault="007C662D" w:rsidP="00C25851">
      <w:pPr>
        <w:pStyle w:val="NoNum"/>
        <w:ind w:left="720" w:hanging="720"/>
      </w:pPr>
      <w:r>
        <w:t>(d)</w:t>
      </w:r>
      <w:r>
        <w:tab/>
      </w:r>
      <w:r w:rsidR="0082775A">
        <w:t>t</w:t>
      </w:r>
      <w:r w:rsidR="00E60DBC">
        <w:t>he Patents are extremely rudimentary in their description (making it unreliable/unusable in the field) because the system (method) has no features for:</w:t>
      </w:r>
    </w:p>
    <w:p w:rsidR="00E60DBC" w:rsidRDefault="007C662D" w:rsidP="00C25851">
      <w:pPr>
        <w:pStyle w:val="NoNum"/>
        <w:ind w:left="1440" w:hanging="720"/>
      </w:pPr>
      <w:r>
        <w:lastRenderedPageBreak/>
        <w:t>(i)</w:t>
      </w:r>
      <w:r>
        <w:tab/>
      </w:r>
      <w:r w:rsidR="0082775A">
        <w:t>determining whether there has been relative rotation between the inner tube and core sample;</w:t>
      </w:r>
    </w:p>
    <w:p w:rsidR="0082775A" w:rsidRDefault="007C662D" w:rsidP="00C25851">
      <w:pPr>
        <w:pStyle w:val="NoNum"/>
        <w:ind w:left="1440" w:hanging="720"/>
      </w:pPr>
      <w:r>
        <w:t>(ii)</w:t>
      </w:r>
      <w:r>
        <w:tab/>
      </w:r>
      <w:r w:rsidR="0082775A">
        <w:t>determining the initial alignment of the core orientation device with a means to mark the core sample as a critical step and thereafter marking the core sample as it prog</w:t>
      </w:r>
      <w:r w:rsidR="00C25851">
        <w:t>ressively enters the inner tube;</w:t>
      </w:r>
    </w:p>
    <w:p w:rsidR="0082775A" w:rsidRDefault="007C662D" w:rsidP="00C25851">
      <w:pPr>
        <w:pStyle w:val="NoNum"/>
        <w:ind w:left="720" w:hanging="720"/>
      </w:pPr>
      <w:r>
        <w:t>(e)</w:t>
      </w:r>
      <w:r>
        <w:tab/>
      </w:r>
      <w:r w:rsidR="006A6E17">
        <w:t>reliance on the asserted but incorrect and misleading statements in the Patents relating to frictional engagement between the core sample and the inner tube would mean that the claims would include systems or methods which would fail to achieve useable, reliable or accurate core orientation results.  Furthermore, and importantly, operators in these circumstances would be unaware that the claimed core orientation method and system of the Patent had failed to provide a useable, reliab</w:t>
      </w:r>
      <w:r w:rsidR="00C25851">
        <w:t>le or accurate core orientation;</w:t>
      </w:r>
    </w:p>
    <w:p w:rsidR="006A6E17" w:rsidRDefault="007C662D" w:rsidP="00C25851">
      <w:pPr>
        <w:pStyle w:val="NoNum"/>
        <w:ind w:left="720" w:hanging="720"/>
      </w:pPr>
      <w:r>
        <w:t>(f)</w:t>
      </w:r>
      <w:r>
        <w:tab/>
      </w:r>
      <w:r w:rsidR="006A6E17">
        <w:t>the asserted frictional engagement between the core sample and the inner tube would not occur and if it did, there would be ‘jamming’ of the core sample and drilling could not continue</w:t>
      </w:r>
      <w:r w:rsidR="00C25851">
        <w:t>;</w:t>
      </w:r>
    </w:p>
    <w:p w:rsidR="006A6E17" w:rsidRDefault="007C662D" w:rsidP="00C25851">
      <w:pPr>
        <w:pStyle w:val="NoNum"/>
        <w:ind w:left="720" w:hanging="720"/>
      </w:pPr>
      <w:r>
        <w:t>(g)</w:t>
      </w:r>
      <w:r>
        <w:tab/>
      </w:r>
      <w:r w:rsidR="006A6E17">
        <w:t xml:space="preserve">measurement of orientation when drill rotation ceased (as the asserted </w:t>
      </w:r>
      <w:r w:rsidR="00B03C82">
        <w:t>onl</w:t>
      </w:r>
      <w:r w:rsidR="00C25851">
        <w:t xml:space="preserve">y measurement of interest by </w:t>
      </w:r>
      <w:r w:rsidR="00EE7756">
        <w:t>Professor Tapson</w:t>
      </w:r>
      <w:r w:rsidR="00B03C82">
        <w:t>) misses the point because it fails to allow for any relative rotation of the core sample and the inner tube in the case of fractures or breaks in the core as the core sample progressively enters the inner tube and the measured orientation of the inner tube by the orientation device can become progressively decoupled from true orientation</w:t>
      </w:r>
      <w:r w:rsidR="00C25851">
        <w:t xml:space="preserve"> of sections of the core sample;</w:t>
      </w:r>
    </w:p>
    <w:p w:rsidR="00B03C82" w:rsidRDefault="007C662D" w:rsidP="00C25851">
      <w:pPr>
        <w:pStyle w:val="NoNum"/>
        <w:ind w:left="720" w:hanging="720"/>
      </w:pPr>
      <w:r>
        <w:t>(h)</w:t>
      </w:r>
      <w:r>
        <w:tab/>
      </w:r>
      <w:r w:rsidR="00B03C82">
        <w:t>the described and claimed process may work if:</w:t>
      </w:r>
    </w:p>
    <w:p w:rsidR="00B03C82" w:rsidRDefault="007C662D" w:rsidP="00C25851">
      <w:pPr>
        <w:pStyle w:val="NoNum"/>
        <w:ind w:left="1440" w:hanging="720"/>
      </w:pPr>
      <w:r>
        <w:t>(i)</w:t>
      </w:r>
      <w:r>
        <w:tab/>
      </w:r>
      <w:r w:rsidR="00B03C82">
        <w:t>the retrieved core sample is continuous without fractures or breaks;</w:t>
      </w:r>
    </w:p>
    <w:p w:rsidR="00B03C82" w:rsidRDefault="007C662D" w:rsidP="00C25851">
      <w:pPr>
        <w:pStyle w:val="NoNum"/>
        <w:ind w:left="1440" w:hanging="720"/>
      </w:pPr>
      <w:r>
        <w:t>(ii)</w:t>
      </w:r>
      <w:r>
        <w:tab/>
      </w:r>
      <w:r w:rsidR="00B03C82">
        <w:t>there is no rotation of the core sample in the inner tube as the core sample is being brought to the surface and through any subsequent reorientation of the inner tube (see claim 5 of the Method Patent).</w:t>
      </w:r>
    </w:p>
    <w:p w:rsidR="00B03C82" w:rsidRDefault="00C25851" w:rsidP="00C25851">
      <w:pPr>
        <w:pStyle w:val="ParaNumbering"/>
      </w:pPr>
      <w:r>
        <w:t>Coretell says that n</w:t>
      </w:r>
      <w:r w:rsidR="00B03C82">
        <w:t>one of the above can be assumed and the Patents are not so confined.</w:t>
      </w:r>
    </w:p>
    <w:p w:rsidR="00B03C82" w:rsidRDefault="00E63C85" w:rsidP="00B03C82">
      <w:pPr>
        <w:pStyle w:val="ParaNumbering"/>
      </w:pPr>
      <w:r>
        <w:t xml:space="preserve">Coretell </w:t>
      </w:r>
      <w:r w:rsidR="00C25851">
        <w:t xml:space="preserve">says </w:t>
      </w:r>
      <w:r w:rsidR="001B23CE">
        <w:t>that</w:t>
      </w:r>
      <w:r>
        <w:t xml:space="preserve"> the key points of </w:t>
      </w:r>
      <w:r w:rsidR="00EE7756">
        <w:t>Professor Tapson</w:t>
      </w:r>
      <w:r>
        <w:t xml:space="preserve"> and Mr Brown’s evidence are</w:t>
      </w:r>
      <w:r w:rsidR="00C25851">
        <w:t xml:space="preserve"> as follows</w:t>
      </w:r>
      <w:r>
        <w:t>:</w:t>
      </w:r>
    </w:p>
    <w:p w:rsidR="00E63C85" w:rsidRDefault="002B3ECF" w:rsidP="002B3ECF">
      <w:pPr>
        <w:pStyle w:val="Quote1"/>
        <w:ind w:left="1440" w:hanging="703"/>
      </w:pPr>
      <w:r>
        <w:lastRenderedPageBreak/>
        <w:t>(a)</w:t>
      </w:r>
      <w:r>
        <w:tab/>
      </w:r>
      <w:r w:rsidR="000C0820">
        <w:t>There are no promises in the patent specification(s) of the nature asserted by Dr Skopec;</w:t>
      </w:r>
    </w:p>
    <w:p w:rsidR="000C0820" w:rsidRDefault="002B3ECF" w:rsidP="002B3ECF">
      <w:pPr>
        <w:pStyle w:val="Quote1"/>
        <w:ind w:left="1440" w:hanging="703"/>
      </w:pPr>
      <w:r>
        <w:t>(b)</w:t>
      </w:r>
      <w:r>
        <w:tab/>
      </w:r>
      <w:r w:rsidR="000C0820">
        <w:t xml:space="preserve">The </w:t>
      </w:r>
      <w:r>
        <w:t>[</w:t>
      </w:r>
      <w:r w:rsidR="000C0820">
        <w:t>Patents</w:t>
      </w:r>
      <w:r>
        <w:t>]</w:t>
      </w:r>
      <w:r w:rsidR="000C0820">
        <w:t xml:space="preserve"> are concerned with hard rock exploration drilling (and igneous/metamorphic rock) exploration drilling by contrast to the activity in petroleum (oil </w:t>
      </w:r>
      <w:r w:rsidR="00323056">
        <w:t xml:space="preserve">and gas) as practised by Dr Skopec.  The commercial success of the </w:t>
      </w:r>
      <w:r>
        <w:t>[</w:t>
      </w:r>
      <w:r w:rsidR="00323056">
        <w:t>applicants’</w:t>
      </w:r>
      <w:r w:rsidR="00637758">
        <w:t xml:space="preserve"> </w:t>
      </w:r>
      <w:r w:rsidR="00BF240F">
        <w:t>ACT Tool</w:t>
      </w:r>
      <w:r>
        <w:t>]</w:t>
      </w:r>
      <w:r w:rsidR="00637758">
        <w:t xml:space="preserve"> </w:t>
      </w:r>
      <w:r w:rsidR="00323056">
        <w:t>shows that the tools work in practice in the field (in Western Australia)</w:t>
      </w:r>
      <w:r>
        <w:t>?) [sic]</w:t>
      </w:r>
      <w:r w:rsidR="00323056">
        <w:t xml:space="preserve">.  </w:t>
      </w:r>
    </w:p>
    <w:p w:rsidR="00323056" w:rsidRDefault="002B3ECF" w:rsidP="002B3ECF">
      <w:pPr>
        <w:pStyle w:val="Quote1"/>
        <w:ind w:left="1440" w:hanging="703"/>
      </w:pPr>
      <w:r>
        <w:t>(c)</w:t>
      </w:r>
      <w:r>
        <w:tab/>
      </w:r>
      <w:r w:rsidR="00323056">
        <w:t>For hard rock drilling, scribe knives are unnecessary.</w:t>
      </w:r>
    </w:p>
    <w:p w:rsidR="00323056" w:rsidRDefault="002B3ECF" w:rsidP="002B3ECF">
      <w:pPr>
        <w:pStyle w:val="Quote1"/>
        <w:ind w:left="1440" w:hanging="703"/>
      </w:pPr>
      <w:r>
        <w:t>(d)</w:t>
      </w:r>
      <w:r>
        <w:tab/>
      </w:r>
      <w:r w:rsidR="00323056">
        <w:t xml:space="preserve">For Mr Brown, the promised result is achieved by the asserted </w:t>
      </w:r>
      <w:r w:rsidR="00D7651C">
        <w:t>“</w:t>
      </w:r>
      <w:r w:rsidR="00323056">
        <w:t>frictional engagement</w:t>
      </w:r>
      <w:r w:rsidR="00D7651C">
        <w:t>”</w:t>
      </w:r>
      <w:r w:rsidR="00323056">
        <w:t xml:space="preserve"> between the core sample and the core lifter.</w:t>
      </w:r>
    </w:p>
    <w:p w:rsidR="00D7651C" w:rsidRDefault="002B3ECF" w:rsidP="002B3ECF">
      <w:pPr>
        <w:pStyle w:val="Quote1"/>
        <w:ind w:left="1440" w:hanging="703"/>
      </w:pPr>
      <w:r>
        <w:t>(e)</w:t>
      </w:r>
      <w:r>
        <w:tab/>
      </w:r>
      <w:r w:rsidR="00323056">
        <w:t xml:space="preserve">For </w:t>
      </w:r>
      <w:r w:rsidR="00D7651C">
        <w:t>[</w:t>
      </w:r>
      <w:r w:rsidR="00EE7756">
        <w:t>Professor</w:t>
      </w:r>
      <w:r w:rsidR="00D7651C">
        <w:t>]</w:t>
      </w:r>
      <w:r w:rsidR="00EE7756">
        <w:t xml:space="preserve"> Tapson</w:t>
      </w:r>
      <w:r w:rsidR="00323056">
        <w:t xml:space="preserve"> (but not Mr Brown) the history of relative motion prior to detachment of the core sample is irrelevant and has no effect on accuracy of the core orientation described and claimed in the </w:t>
      </w:r>
      <w:r w:rsidR="00D7651C">
        <w:t>[</w:t>
      </w:r>
      <w:r w:rsidR="00323056">
        <w:t>Patents</w:t>
      </w:r>
      <w:r w:rsidR="00D7651C">
        <w:t>]</w:t>
      </w:r>
      <w:r w:rsidR="00323056">
        <w:t xml:space="preserve">.  </w:t>
      </w:r>
    </w:p>
    <w:p w:rsidR="00323056" w:rsidRDefault="00D7651C" w:rsidP="00D7651C">
      <w:pPr>
        <w:pStyle w:val="Quote1"/>
        <w:ind w:left="1440"/>
      </w:pPr>
      <w:r>
        <w:t>F</w:t>
      </w:r>
      <w:r w:rsidR="00323056">
        <w:t xml:space="preserve">or </w:t>
      </w:r>
      <w:r>
        <w:t>[</w:t>
      </w:r>
      <w:r w:rsidR="00EE7756">
        <w:t>Professor</w:t>
      </w:r>
      <w:r>
        <w:t>]</w:t>
      </w:r>
      <w:r w:rsidR="00EE7756">
        <w:t xml:space="preserve"> Tapson</w:t>
      </w:r>
      <w:r w:rsidR="00323056">
        <w:t xml:space="preserve"> (but not </w:t>
      </w:r>
      <w:r w:rsidR="00056ACF">
        <w:t>Mr Brown),</w:t>
      </w:r>
      <w:r w:rsidR="00323056">
        <w:t xml:space="preserve"> </w:t>
      </w:r>
      <w:r>
        <w:t xml:space="preserve">in </w:t>
      </w:r>
      <w:r w:rsidR="00323056">
        <w:t xml:space="preserve">the system described and claimed by the </w:t>
      </w:r>
      <w:r>
        <w:t>[</w:t>
      </w:r>
      <w:r w:rsidR="00323056">
        <w:t>Patents</w:t>
      </w:r>
      <w:r>
        <w:t>]</w:t>
      </w:r>
      <w:r w:rsidR="00323056">
        <w:t xml:space="preserve">, any scribe knife feature is unnecessary as the only measurement of interest is the measurement taken at the time when drilling rotation has ceased and before the core is detached.  The absence of torque then means that orientation of the core sample at the time of detachment accurately reflects the in situ orientation of the core at the time of the detachment and thereafter when the core sample is brought to the surface.  </w:t>
      </w:r>
    </w:p>
    <w:p w:rsidR="005D5A3C" w:rsidRDefault="003961AD" w:rsidP="003961AD">
      <w:pPr>
        <w:pStyle w:val="ParaNumbering"/>
      </w:pPr>
      <w:r>
        <w:t>In summary, Coretell argues that the claims must be invalid as they include</w:t>
      </w:r>
      <w:r w:rsidR="00BD7D30">
        <w:t>,</w:t>
      </w:r>
      <w:r>
        <w:t xml:space="preserve"> within their scope</w:t>
      </w:r>
      <w:r w:rsidR="00BD7D30">
        <w:t>,</w:t>
      </w:r>
      <w:r>
        <w:t xml:space="preserve"> reasonable or practical processes or orientation activities which will not achieve the promise</w:t>
      </w:r>
      <w:r w:rsidR="00364E4F">
        <w:t>d</w:t>
      </w:r>
      <w:r>
        <w:t xml:space="preserve"> results of accurate</w:t>
      </w:r>
      <w:r w:rsidR="00322757">
        <w:t>,</w:t>
      </w:r>
      <w:r>
        <w:t xml:space="preserve"> reliable core orientation.  On that basis, </w:t>
      </w:r>
      <w:r w:rsidR="00322757">
        <w:t xml:space="preserve">Coretell says that </w:t>
      </w:r>
      <w:r>
        <w:t xml:space="preserve">the Patents lack utility and must be invalid.  </w:t>
      </w:r>
    </w:p>
    <w:p w:rsidR="00364E4F" w:rsidRDefault="00322757" w:rsidP="00364E4F">
      <w:pPr>
        <w:pStyle w:val="ParaNumbering"/>
      </w:pPr>
      <w:r>
        <w:t xml:space="preserve">The applicants point to the fact that </w:t>
      </w:r>
      <w:r w:rsidR="00364E4F">
        <w:t xml:space="preserve">Dr Skopec was the chief source of evidence in </w:t>
      </w:r>
      <w:r>
        <w:t xml:space="preserve">Coretell’s </w:t>
      </w:r>
      <w:r w:rsidR="00364E4F">
        <w:t xml:space="preserve">case on this topic.  </w:t>
      </w:r>
      <w:r>
        <w:t xml:space="preserve">Coretell seeks </w:t>
      </w:r>
      <w:r w:rsidR="00364E4F">
        <w:t xml:space="preserve">to prove that the Patents do not achieve the results promised in the specifications.  From the applicants’ perspective, they contend that </w:t>
      </w:r>
      <w:r>
        <w:t xml:space="preserve">Coretell </w:t>
      </w:r>
      <w:r w:rsidR="00364E4F">
        <w:t xml:space="preserve">cannot </w:t>
      </w:r>
      <w:r>
        <w:t xml:space="preserve">successfully establish this </w:t>
      </w:r>
      <w:r w:rsidR="00364E4F">
        <w:t xml:space="preserve">for </w:t>
      </w:r>
      <w:r w:rsidR="00904127">
        <w:t xml:space="preserve">the following </w:t>
      </w:r>
      <w:r w:rsidR="00364E4F">
        <w:t>two re</w:t>
      </w:r>
      <w:r w:rsidR="00904127">
        <w:t>asons</w:t>
      </w:r>
      <w:r w:rsidR="00364E4F">
        <w:t>:</w:t>
      </w:r>
    </w:p>
    <w:p w:rsidR="00364E4F" w:rsidRDefault="00904127" w:rsidP="001332BE">
      <w:pPr>
        <w:pStyle w:val="ListNo"/>
        <w:numPr>
          <w:ilvl w:val="0"/>
          <w:numId w:val="56"/>
        </w:numPr>
        <w:tabs>
          <w:tab w:val="clear" w:pos="720"/>
        </w:tabs>
      </w:pPr>
      <w:r>
        <w:t>t</w:t>
      </w:r>
      <w:r w:rsidR="00364E4F">
        <w:t xml:space="preserve">he specifications </w:t>
      </w:r>
      <w:r>
        <w:t xml:space="preserve">of the Patents </w:t>
      </w:r>
      <w:r w:rsidR="00364E4F">
        <w:t xml:space="preserve">do not contain promises of the kind alleged </w:t>
      </w:r>
      <w:r>
        <w:t xml:space="preserve">by Coretell </w:t>
      </w:r>
      <w:r w:rsidR="00364E4F">
        <w:t>or any other relevant promise; and</w:t>
      </w:r>
    </w:p>
    <w:p w:rsidR="00364E4F" w:rsidRDefault="00904127" w:rsidP="001332BE">
      <w:pPr>
        <w:pStyle w:val="ListNo"/>
        <w:numPr>
          <w:ilvl w:val="0"/>
          <w:numId w:val="56"/>
        </w:numPr>
        <w:tabs>
          <w:tab w:val="clear" w:pos="720"/>
        </w:tabs>
      </w:pPr>
      <w:r>
        <w:t>t</w:t>
      </w:r>
      <w:r w:rsidR="00364E4F">
        <w:t>he evidence does not establish</w:t>
      </w:r>
      <w:r>
        <w:t xml:space="preserve">, in any event, </w:t>
      </w:r>
      <w:r w:rsidR="00364E4F">
        <w:t>that the inventions failed to meet such promises</w:t>
      </w:r>
      <w:r>
        <w:t>,</w:t>
      </w:r>
      <w:r w:rsidR="00364E4F">
        <w:t xml:space="preserve"> or that they are unreliable or unusable in practice.  </w:t>
      </w:r>
    </w:p>
    <w:p w:rsidR="00364E4F" w:rsidRDefault="00411DD5" w:rsidP="00364E4F">
      <w:pPr>
        <w:pStyle w:val="ParaNumbering"/>
      </w:pPr>
      <w:r>
        <w:t>In fact</w:t>
      </w:r>
      <w:r w:rsidR="00904127">
        <w:t>,</w:t>
      </w:r>
      <w:r w:rsidR="00364E4F">
        <w:t xml:space="preserve"> all indications are that the inventions claimed in the Patents do succeed as promised in hard rock environments.  </w:t>
      </w:r>
      <w:r w:rsidR="00904127">
        <w:t xml:space="preserve">Coretell </w:t>
      </w:r>
      <w:r w:rsidR="00364E4F">
        <w:t>assert</w:t>
      </w:r>
      <w:r w:rsidR="00904127">
        <w:t>s</w:t>
      </w:r>
      <w:r w:rsidR="00364E4F">
        <w:t xml:space="preserve"> that the specifications to the Patents fail to meet the promises that the inventions will work in soft or fractured rock environments</w:t>
      </w:r>
      <w:r w:rsidR="00904127">
        <w:t xml:space="preserve">, and that the Patents are not restricted to hard rock environments.  I have already indicated above that I consider that the relevant context is hard rock.  In any case, the applicants </w:t>
      </w:r>
      <w:r w:rsidR="00BD7D30">
        <w:t>submit</w:t>
      </w:r>
      <w:r w:rsidR="00904127">
        <w:t xml:space="preserve"> that Coretell contends for an inappropriate means of testing utility, as is demonstrated by the case law.  </w:t>
      </w:r>
    </w:p>
    <w:p w:rsidR="00364E4F" w:rsidRDefault="00364E4F" w:rsidP="00364E4F">
      <w:pPr>
        <w:pStyle w:val="ParaNumbering"/>
      </w:pPr>
      <w:r>
        <w:lastRenderedPageBreak/>
        <w:t xml:space="preserve">Justice Jagot in </w:t>
      </w:r>
      <w:r w:rsidRPr="00FC1D4D">
        <w:rPr>
          <w:i/>
        </w:rPr>
        <w:t xml:space="preserve">Apotex Pty Ltd v AstraZeneca AB (No 4) </w:t>
      </w:r>
      <w:r>
        <w:t>(2013) 100 IPR 285 (at [352])</w:t>
      </w:r>
      <w:r w:rsidR="00411DD5">
        <w:t xml:space="preserve"> noted</w:t>
      </w:r>
      <w:r>
        <w:t>:</w:t>
      </w:r>
    </w:p>
    <w:p w:rsidR="00364E4F" w:rsidRDefault="00364E4F" w:rsidP="00364E4F">
      <w:pPr>
        <w:pStyle w:val="Quote1"/>
      </w:pPr>
      <w:r>
        <w:t>To the extent that Watson and Ascent pressed the issue, AZ conveniently identified the applicable principles:</w:t>
      </w:r>
    </w:p>
    <w:p w:rsidR="00364E4F" w:rsidRDefault="00364E4F" w:rsidP="00364E4F">
      <w:pPr>
        <w:pStyle w:val="Quote1"/>
      </w:pPr>
    </w:p>
    <w:p w:rsidR="00364E4F" w:rsidRDefault="00364E4F" w:rsidP="00364E4F">
      <w:pPr>
        <w:pStyle w:val="Quote2"/>
      </w:pPr>
      <w:r w:rsidRPr="00590FCC">
        <w:rPr>
          <w:b/>
        </w:rPr>
        <w:t>Section 18(1)(c) requires that an invention be “useful”.  This will be the case if the claimed invention does what it is intended by the patentee to do, in the sense of meeting the object or promise in the specification, and the end result obtained is itself useful</w:t>
      </w:r>
      <w:r>
        <w:t xml:space="preserve"> [</w:t>
      </w:r>
      <w:r w:rsidRPr="00910DE3">
        <w:rPr>
          <w:i/>
        </w:rPr>
        <w:t>Ranbaxy Australia Pty Ltd v Warner-Lambert Co LLC</w:t>
      </w:r>
      <w:r>
        <w:t xml:space="preserve"> (2008) 77 IPR 449; [2008] FCAFC 82 at [141]].  </w:t>
      </w:r>
      <w:r w:rsidRPr="00590FCC">
        <w:rPr>
          <w:b/>
        </w:rPr>
        <w:t>For this purpose, the claims must be construed from the perspective of a skilled person in a commonsense way, and not in a way that any such addressee would appreciate would lead to an unworkable result</w:t>
      </w:r>
      <w:r>
        <w:t xml:space="preserve"> [</w:t>
      </w:r>
      <w:r w:rsidRPr="00910DE3">
        <w:rPr>
          <w:i/>
        </w:rPr>
        <w:t>SNF (Australia) Pty Ltd v Ciba Specialty Chemicals Water Treatments Ltd</w:t>
      </w:r>
      <w:r>
        <w:t xml:space="preserve"> (2011) 92 IPR 46; [2011] FCA 452  at [293]]. </w:t>
      </w:r>
    </w:p>
    <w:p w:rsidR="00364E4F" w:rsidRDefault="00364E4F" w:rsidP="00364E4F">
      <w:pPr>
        <w:pStyle w:val="Quote1"/>
      </w:pPr>
    </w:p>
    <w:p w:rsidR="00364E4F" w:rsidRDefault="00364E4F" w:rsidP="00364E4F">
      <w:pPr>
        <w:pStyle w:val="Quote2"/>
      </w:pPr>
      <w:r>
        <w:t xml:space="preserve">It is not necessary for the description in the specification to spell out matters which the skilled person could supply without the exercise of any inventive faculty in order to achieve the promise of the invention.  </w:t>
      </w:r>
      <w:r w:rsidRPr="00590FCC">
        <w:rPr>
          <w:b/>
        </w:rPr>
        <w:t>The patentee is entitled to assume that the reader has a reasonably competent knowledge of what was known before and reasonably competent skill in the practical mode of doing what was then known</w:t>
      </w:r>
      <w:r>
        <w:t xml:space="preserve">.  A purposeful adoption of an embodiment that would obviously lead to an unworkable or inferior result is not an appropriate way of testing utility.   It is also relevant to pay attention to the nature of the alleged “promise” in the specification.  See, by way of analogy, </w:t>
      </w:r>
      <w:r w:rsidRPr="00910DE3">
        <w:rPr>
          <w:i/>
        </w:rPr>
        <w:t>Austal Ships Pty Ltd v Stena Rederi Aktiebolag</w:t>
      </w:r>
      <w:r>
        <w:t xml:space="preserve"> (2005) 66 IPR 420; [2005] FCA 805] at [254]-[255]. </w:t>
      </w:r>
      <w:r w:rsidRPr="00590FCC">
        <w:rPr>
          <w:b/>
        </w:rPr>
        <w:t>Ultimately, an asserted lack of utility must be established by appropriate evidence, not by mere speculation that the invention will not work or meet the promise set out in the specification</w:t>
      </w:r>
      <w:r>
        <w:t>.</w:t>
      </w:r>
    </w:p>
    <w:p w:rsidR="00590FCC" w:rsidRDefault="00590FCC" w:rsidP="00364E4F">
      <w:pPr>
        <w:pStyle w:val="Quote2"/>
      </w:pPr>
      <w:r>
        <w:t>(emphasis added)</w:t>
      </w:r>
    </w:p>
    <w:p w:rsidR="00364E4F" w:rsidRDefault="00364E4F" w:rsidP="00364E4F">
      <w:pPr>
        <w:pStyle w:val="ParaNumbering"/>
      </w:pPr>
      <w:r>
        <w:t xml:space="preserve">The predominant attack by </w:t>
      </w:r>
      <w:r w:rsidR="00A73B2F">
        <w:t xml:space="preserve">Coretell </w:t>
      </w:r>
      <w:r>
        <w:t xml:space="preserve">in relation to inutility arises from three passages in the specifications of the Patents.  These passages are said to convey promises as to the utility of the inventions.  By their particulars of invalidity, the respondents </w:t>
      </w:r>
      <w:r w:rsidR="00A73B2F">
        <w:t>(now only Coretell) particularise the</w:t>
      </w:r>
      <w:r>
        <w:t xml:space="preserve"> claim as follows:</w:t>
      </w:r>
    </w:p>
    <w:p w:rsidR="00364E4F" w:rsidRDefault="00364E4F" w:rsidP="00364E4F">
      <w:pPr>
        <w:pStyle w:val="Quote1"/>
        <w:ind w:left="1440" w:hanging="703"/>
      </w:pPr>
      <w:r>
        <w:t>19</w:t>
      </w:r>
      <w:r>
        <w:tab/>
        <w:t>The System Patent is liable to be revoked pursuant to s138(3)(b) of the</w:t>
      </w:r>
      <w:r w:rsidR="00A73B2F">
        <w:t xml:space="preserve"> </w:t>
      </w:r>
      <w:r w:rsidR="00A73B2F" w:rsidRPr="00A73B2F">
        <w:t>[Act]</w:t>
      </w:r>
      <w:r w:rsidR="00A73B2F">
        <w:rPr>
          <w:i/>
        </w:rPr>
        <w:t xml:space="preserve"> </w:t>
      </w:r>
      <w:r>
        <w:t xml:space="preserve">because the alleged invention, so far as claimed in each and all claims of the complete specification of the System Patent is not a patentable invention in that </w:t>
      </w:r>
      <w:r w:rsidRPr="00E10A21">
        <w:rPr>
          <w:b/>
        </w:rPr>
        <w:t>it is not useful</w:t>
      </w:r>
      <w:r>
        <w:t xml:space="preserve">.  </w:t>
      </w:r>
    </w:p>
    <w:p w:rsidR="00364E4F" w:rsidRDefault="00364E4F" w:rsidP="00364E4F">
      <w:pPr>
        <w:pStyle w:val="Quote1"/>
        <w:ind w:left="1440" w:hanging="703"/>
      </w:pPr>
    </w:p>
    <w:p w:rsidR="00364E4F" w:rsidRPr="00A73B2F" w:rsidRDefault="00364E4F" w:rsidP="00364E4F">
      <w:pPr>
        <w:pStyle w:val="Quote2"/>
        <w:jc w:val="center"/>
        <w:rPr>
          <w:u w:val="single"/>
        </w:rPr>
      </w:pPr>
      <w:r w:rsidRPr="00A73B2F">
        <w:rPr>
          <w:b/>
          <w:u w:val="single"/>
        </w:rPr>
        <w:t>Particulars</w:t>
      </w:r>
    </w:p>
    <w:p w:rsidR="00364E4F" w:rsidRDefault="00364E4F" w:rsidP="00364E4F">
      <w:pPr>
        <w:pStyle w:val="Quote2"/>
        <w:jc w:val="center"/>
      </w:pPr>
    </w:p>
    <w:p w:rsidR="00364E4F" w:rsidRDefault="00364E4F" w:rsidP="00364E4F">
      <w:pPr>
        <w:pStyle w:val="Quote2"/>
        <w:ind w:left="2160" w:hanging="720"/>
      </w:pPr>
      <w:r>
        <w:t>(a)</w:t>
      </w:r>
      <w:r>
        <w:tab/>
      </w:r>
      <w:r w:rsidRPr="00BD466F">
        <w:t>It is promised by statement in the specification of the System Patent, page 6, lines 1</w:t>
      </w:r>
      <w:r>
        <w:t xml:space="preserve"> </w:t>
      </w:r>
      <w:r w:rsidRPr="00BD466F">
        <w:t>to 8 that the upper part of the inner tube</w:t>
      </w:r>
      <w:r>
        <w:t xml:space="preserve"> assembly includes a bearing such that the portion above the bearing is rotatable with the outer tube assembly and the portion below the bearing is restrained against rotation because of frictional engagement with the core being generated. It is further promised that in this manner, the bearing allows the core orientation device to rotate relative to the </w:t>
      </w:r>
      <w:r>
        <w:lastRenderedPageBreak/>
        <w:t>outer tube assembly but not relative to the core sample when the core is received.</w:t>
      </w:r>
    </w:p>
    <w:p w:rsidR="00364E4F" w:rsidRDefault="00364E4F" w:rsidP="00364E4F">
      <w:pPr>
        <w:pStyle w:val="Quote2"/>
        <w:ind w:left="2160" w:hanging="720"/>
      </w:pPr>
    </w:p>
    <w:p w:rsidR="00364E4F" w:rsidRDefault="00364E4F" w:rsidP="00364E4F">
      <w:pPr>
        <w:pStyle w:val="Quote2"/>
        <w:ind w:left="2160" w:hanging="720"/>
      </w:pPr>
      <w:r>
        <w:t>(b)</w:t>
      </w:r>
      <w:r>
        <w:tab/>
        <w:t>It is further promised by statement at page 10, lines 1 to 3 of the specification of the System Patent that the frictional engagement of the core and the inner tube assembly along with the bearing allows the lower part to rotate relative to the outer tube assembly but not relative to the core sample.</w:t>
      </w:r>
    </w:p>
    <w:p w:rsidR="00364E4F" w:rsidRDefault="00364E4F" w:rsidP="00364E4F">
      <w:pPr>
        <w:pStyle w:val="Quote2"/>
        <w:ind w:left="2160" w:hanging="720"/>
      </w:pPr>
    </w:p>
    <w:p w:rsidR="00364E4F" w:rsidRDefault="00364E4F" w:rsidP="00364E4F">
      <w:pPr>
        <w:pStyle w:val="Quote2"/>
        <w:ind w:left="2160" w:hanging="720"/>
      </w:pPr>
      <w:r>
        <w:t>(c)</w:t>
      </w:r>
      <w:r>
        <w:tab/>
        <w:t>Another promise by statement at page 11, paragraph 4 of the specification of the System Patent is that “ ...</w:t>
      </w:r>
      <w:r w:rsidRPr="00BD466F">
        <w:rPr>
          <w:i/>
        </w:rPr>
        <w:t>it is evident that the present invention provides an orientation device which does not require physical marking of a core sample prior to extraction thereof from the ground. Indeed, the orientation device according to the embodiment is particularly convenient for an operator to use</w:t>
      </w:r>
      <w:r>
        <w:t>.”</w:t>
      </w:r>
    </w:p>
    <w:p w:rsidR="00364E4F" w:rsidRDefault="00364E4F" w:rsidP="00364E4F">
      <w:pPr>
        <w:pStyle w:val="Quote2"/>
        <w:ind w:left="2160" w:hanging="720"/>
      </w:pPr>
    </w:p>
    <w:p w:rsidR="00364E4F" w:rsidRDefault="00364E4F" w:rsidP="00364E4F">
      <w:pPr>
        <w:pStyle w:val="Quote2"/>
        <w:ind w:left="2160" w:hanging="720"/>
      </w:pPr>
      <w:r>
        <w:t>(d)</w:t>
      </w:r>
      <w:r>
        <w:tab/>
        <w:t>The invention claimed in each claim of the System Patent does not achieve the above-described promises because in actual operation the core sample or parts thereof can rotate relative to the core tube so that an accurate core orientation of the received core sample will not be provided.</w:t>
      </w:r>
    </w:p>
    <w:p w:rsidR="00364E4F" w:rsidRDefault="00364E4F" w:rsidP="00364E4F">
      <w:pPr>
        <w:pStyle w:val="Quote2"/>
        <w:ind w:left="2160" w:hanging="720"/>
      </w:pPr>
    </w:p>
    <w:p w:rsidR="00364E4F" w:rsidRDefault="00364E4F" w:rsidP="00364E4F">
      <w:pPr>
        <w:pStyle w:val="Quote2"/>
        <w:ind w:left="2160" w:hanging="720"/>
      </w:pPr>
      <w:r>
        <w:t>(e)</w:t>
      </w:r>
      <w:r>
        <w:tab/>
        <w:t xml:space="preserve">The Cross-Claimant will refer to and rely upon the Applicants ' own </w:t>
      </w:r>
      <w:r w:rsidR="00A73B2F">
        <w:t xml:space="preserve">[ACT Tool] </w:t>
      </w:r>
      <w:r>
        <w:t>as failing to fulfil the promise of the specification in that the core sample or parts thereof can rotate relative to the core tube so that an accurate core orientation of the received core sample will not be provided.</w:t>
      </w:r>
    </w:p>
    <w:p w:rsidR="00364E4F" w:rsidRDefault="00364E4F" w:rsidP="00364E4F">
      <w:pPr>
        <w:pStyle w:val="Quote2"/>
        <w:ind w:left="2160" w:hanging="720"/>
      </w:pPr>
    </w:p>
    <w:p w:rsidR="00364E4F" w:rsidRDefault="00364E4F" w:rsidP="00364E4F">
      <w:pPr>
        <w:pStyle w:val="Quote2"/>
        <w:ind w:left="2160" w:hanging="720"/>
      </w:pPr>
      <w:r>
        <w:t>(f)</w:t>
      </w:r>
      <w:r>
        <w:tab/>
        <w:t xml:space="preserve">The Cross-Claimants may provide further particulars after full discovery from the Applicants and </w:t>
      </w:r>
      <w:r w:rsidR="00A73B2F">
        <w:t>[</w:t>
      </w:r>
      <w:r>
        <w:t>lmdex</w:t>
      </w:r>
      <w:r w:rsidR="00A73B2F">
        <w:t>]</w:t>
      </w:r>
      <w:r>
        <w:t>.</w:t>
      </w:r>
    </w:p>
    <w:p w:rsidR="00364E4F" w:rsidRDefault="00364E4F" w:rsidP="00364E4F">
      <w:pPr>
        <w:pStyle w:val="Quote2"/>
        <w:ind w:left="2160" w:hanging="720"/>
      </w:pPr>
    </w:p>
    <w:p w:rsidR="00364E4F" w:rsidRDefault="00364E4F" w:rsidP="00364E4F">
      <w:pPr>
        <w:pStyle w:val="Quote1"/>
        <w:ind w:left="1440" w:hanging="703"/>
      </w:pPr>
      <w:r>
        <w:t>20</w:t>
      </w:r>
      <w:r>
        <w:tab/>
      </w:r>
      <w:r w:rsidRPr="005010AA">
        <w:t xml:space="preserve">The Method Patent is liable to be revoked pursuant to s138(3)(b) of the </w:t>
      </w:r>
      <w:r w:rsidR="00A73B2F">
        <w:t xml:space="preserve">[Act] </w:t>
      </w:r>
      <w:r w:rsidRPr="005010AA">
        <w:t>because the alleged invention, so far as claimed in each and all claims of the complete specification of the Method Patent is not a patentable in</w:t>
      </w:r>
      <w:r>
        <w:t>vention in that it is not useful.</w:t>
      </w:r>
    </w:p>
    <w:p w:rsidR="00364E4F" w:rsidRDefault="00364E4F" w:rsidP="00364E4F">
      <w:pPr>
        <w:pStyle w:val="Quote1"/>
        <w:ind w:left="1440" w:hanging="703"/>
      </w:pPr>
    </w:p>
    <w:p w:rsidR="00364E4F" w:rsidRPr="00A73B2F" w:rsidRDefault="00364E4F" w:rsidP="00364E4F">
      <w:pPr>
        <w:pStyle w:val="Quote2"/>
        <w:jc w:val="center"/>
        <w:rPr>
          <w:u w:val="single"/>
        </w:rPr>
      </w:pPr>
      <w:r w:rsidRPr="00A73B2F">
        <w:rPr>
          <w:b/>
          <w:u w:val="single"/>
        </w:rPr>
        <w:t>Particulars</w:t>
      </w:r>
    </w:p>
    <w:p w:rsidR="00364E4F" w:rsidRDefault="00364E4F" w:rsidP="00364E4F">
      <w:pPr>
        <w:pStyle w:val="Quote2"/>
        <w:jc w:val="center"/>
      </w:pPr>
    </w:p>
    <w:p w:rsidR="00364E4F" w:rsidRDefault="00364E4F" w:rsidP="00364E4F">
      <w:pPr>
        <w:pStyle w:val="Quote2"/>
        <w:ind w:left="2160" w:hanging="720"/>
      </w:pPr>
      <w:r>
        <w:t>(a)</w:t>
      </w:r>
      <w:r>
        <w:tab/>
        <w:t>It is promised in the specification of the Method Patent, page 8, lines 1 to 7 that the upper part of the inner tube assembly includes a bearing such that the portion above the bearing is rotatable with the outer tube assembly and the portion below the bearing is restrained against rotation because of frictional engagement with the core being generated.  It is further promised that in this manner, the bearing allows the core orientation device to rotate relative to the outer tube assembly but not relative to the core sample when the core is received.</w:t>
      </w:r>
    </w:p>
    <w:p w:rsidR="00364E4F" w:rsidRDefault="00364E4F" w:rsidP="00364E4F">
      <w:pPr>
        <w:pStyle w:val="Quote2"/>
      </w:pPr>
    </w:p>
    <w:p w:rsidR="00364E4F" w:rsidRDefault="00364E4F" w:rsidP="00364E4F">
      <w:pPr>
        <w:pStyle w:val="Quote2"/>
        <w:ind w:left="2160" w:hanging="720"/>
      </w:pPr>
      <w:r>
        <w:t>(b)</w:t>
      </w:r>
      <w:r>
        <w:tab/>
        <w:t>It is further promised by statement at page 12, lines 12 to 15 of the specification of the Method Patent that the frictional engagement of the core and the inner tube assembly along with the bearing allows the lower part to rotate relative to the outer tube assembly but not relative to the core sample.</w:t>
      </w:r>
    </w:p>
    <w:p w:rsidR="00364E4F" w:rsidRDefault="00364E4F" w:rsidP="00364E4F">
      <w:pPr>
        <w:pStyle w:val="Quote2"/>
      </w:pPr>
    </w:p>
    <w:p w:rsidR="00364E4F" w:rsidRDefault="00364E4F" w:rsidP="00364E4F">
      <w:pPr>
        <w:pStyle w:val="Quote2"/>
        <w:ind w:left="2160" w:hanging="720"/>
      </w:pPr>
      <w:r>
        <w:t>(c)</w:t>
      </w:r>
      <w:r>
        <w:tab/>
        <w:t xml:space="preserve">Another promise by statement at page 14, lines 10-13 of the </w:t>
      </w:r>
      <w:r>
        <w:lastRenderedPageBreak/>
        <w:t>specification of the Method Patent is that “</w:t>
      </w:r>
      <w:r w:rsidRPr="005010AA">
        <w:rPr>
          <w:i/>
        </w:rPr>
        <w:t>...it is evident that the present invention provides an orientation device which does not require physical marking of a core sample prior to extraction thereof from the ground. Indeed, the orientation device according to the embodiment is particularly convenient for an operator to use</w:t>
      </w:r>
      <w:r>
        <w:t>."</w:t>
      </w:r>
    </w:p>
    <w:p w:rsidR="00364E4F" w:rsidRDefault="00364E4F" w:rsidP="00364E4F">
      <w:pPr>
        <w:pStyle w:val="Quote2"/>
      </w:pPr>
    </w:p>
    <w:p w:rsidR="00364E4F" w:rsidRDefault="00364E4F" w:rsidP="00364E4F">
      <w:pPr>
        <w:pStyle w:val="Quote2"/>
        <w:ind w:left="2160" w:hanging="720"/>
      </w:pPr>
      <w:r>
        <w:t>(d)</w:t>
      </w:r>
      <w:r>
        <w:tab/>
        <w:t>The invention claimed in each claim of the Method Patent does not achieve the above-described promises because in actual operation the core sample or parts thereof can rotate relative to the core tube so that an accurate core orientation of the received core sample will not be provided.</w:t>
      </w:r>
    </w:p>
    <w:p w:rsidR="00364E4F" w:rsidRDefault="00364E4F" w:rsidP="00364E4F">
      <w:pPr>
        <w:pStyle w:val="Quote2"/>
        <w:ind w:left="2160" w:hanging="720"/>
      </w:pPr>
    </w:p>
    <w:p w:rsidR="00364E4F" w:rsidRDefault="00364E4F" w:rsidP="00364E4F">
      <w:pPr>
        <w:pStyle w:val="Quote2"/>
        <w:ind w:left="2160" w:hanging="720"/>
      </w:pPr>
      <w:r>
        <w:t>(e)</w:t>
      </w:r>
      <w:r>
        <w:tab/>
        <w:t xml:space="preserve">The Cross-Claimant will refer to and rely upon use of the Applicants' own </w:t>
      </w:r>
      <w:r w:rsidR="00A73B2F">
        <w:t xml:space="preserve">[ACT Tool] </w:t>
      </w:r>
      <w:r>
        <w:t>as failing to fulfil the promise of the specification in that when the device is used in accordance with the claimed method, the core sample or parts thereof can rotate relative to the core tube so that an accurate core orientation of the received core sample will not be provided.</w:t>
      </w:r>
    </w:p>
    <w:p w:rsidR="00364E4F" w:rsidRDefault="00364E4F" w:rsidP="00364E4F">
      <w:pPr>
        <w:pStyle w:val="Quote2"/>
        <w:ind w:left="2160" w:hanging="720"/>
      </w:pPr>
    </w:p>
    <w:p w:rsidR="00364E4F" w:rsidRDefault="00364E4F" w:rsidP="00364E4F">
      <w:pPr>
        <w:pStyle w:val="Quote2"/>
        <w:ind w:left="2160" w:hanging="720"/>
      </w:pPr>
      <w:r>
        <w:t>(f)</w:t>
      </w:r>
      <w:r>
        <w:tab/>
        <w:t xml:space="preserve">The Cross-Claimants may provide further particulars after full discovery from the Applicants and </w:t>
      </w:r>
      <w:r w:rsidR="00A73B2F">
        <w:t>[</w:t>
      </w:r>
      <w:r>
        <w:t>lmdex</w:t>
      </w:r>
      <w:r w:rsidR="00A73B2F">
        <w:t>]</w:t>
      </w:r>
      <w:r>
        <w:t>.</w:t>
      </w:r>
    </w:p>
    <w:p w:rsidR="00E10A21" w:rsidRDefault="00E10A21" w:rsidP="00364E4F">
      <w:pPr>
        <w:pStyle w:val="Quote2"/>
        <w:ind w:left="2160" w:hanging="720"/>
      </w:pPr>
      <w:r>
        <w:tab/>
        <w:t>(emphasis added)</w:t>
      </w:r>
    </w:p>
    <w:p w:rsidR="007E01C6" w:rsidRDefault="00364E4F" w:rsidP="00364E4F">
      <w:pPr>
        <w:pStyle w:val="ParaNumbering"/>
      </w:pPr>
      <w:r>
        <w:t>In addition to those particulars</w:t>
      </w:r>
      <w:r w:rsidR="006E10D7">
        <w:t xml:space="preserve">, reference was also made by Coretell to </w:t>
      </w:r>
      <w:r>
        <w:t>a further statement contained in the System Patent at p 8, lines 12-16</w:t>
      </w:r>
      <w:r w:rsidR="006418F2">
        <w:t>,</w:t>
      </w:r>
      <w:r>
        <w:t xml:space="preserve"> and the Method Patent at p 10, lines 15-19</w:t>
      </w:r>
      <w:r w:rsidR="006418F2">
        <w:t xml:space="preserve">.  These words are </w:t>
      </w:r>
      <w:r>
        <w:t xml:space="preserve">similar in substance to the </w:t>
      </w:r>
      <w:r w:rsidR="006418F2">
        <w:t xml:space="preserve">three passages mentioned above, which concern </w:t>
      </w:r>
      <w:r>
        <w:t>the inner tube assembly being restrained against rotation relative to the core sample because of frictional engagement with th</w:t>
      </w:r>
      <w:r w:rsidR="000867EC">
        <w:t>e core sample and, thus, there being</w:t>
      </w:r>
      <w:r>
        <w:t xml:space="preserve"> no physical marking required.  </w:t>
      </w:r>
    </w:p>
    <w:p w:rsidR="00364A89" w:rsidRDefault="007E01C6" w:rsidP="00364E4F">
      <w:pPr>
        <w:pStyle w:val="ParaNumbering"/>
      </w:pPr>
      <w:r>
        <w:t>In my view</w:t>
      </w:r>
      <w:r w:rsidR="00364E4F">
        <w:t xml:space="preserve">, there is nothing in these passages </w:t>
      </w:r>
      <w:r w:rsidR="00685EEF">
        <w:t xml:space="preserve">which constitutes </w:t>
      </w:r>
      <w:r w:rsidR="00364E4F">
        <w:t xml:space="preserve">promises or representations </w:t>
      </w:r>
      <w:r w:rsidR="00685EEF">
        <w:t xml:space="preserve">of general application </w:t>
      </w:r>
      <w:r w:rsidR="00364E4F">
        <w:t>to the effect that the invention as claimed will always work in a particular way</w:t>
      </w:r>
      <w:r w:rsidR="00685EEF">
        <w:t>,</w:t>
      </w:r>
      <w:r w:rsidR="00364E4F">
        <w:t xml:space="preserve"> or that the processes described will be effective in all environments.  They are merely part of the detailed description </w:t>
      </w:r>
      <w:r w:rsidR="00AC0E0E">
        <w:t xml:space="preserve">of </w:t>
      </w:r>
      <w:r w:rsidR="00364E4F">
        <w:t xml:space="preserve">the best mode for carrying out the invention is intended to work.  </w:t>
      </w:r>
    </w:p>
    <w:p w:rsidR="00364A89" w:rsidRDefault="00364E4F" w:rsidP="00364E4F">
      <w:pPr>
        <w:pStyle w:val="ParaNumbering"/>
      </w:pPr>
      <w:r>
        <w:t xml:space="preserve">Within the actual specifications, there are no </w:t>
      </w:r>
      <w:r w:rsidR="0065444B">
        <w:t xml:space="preserve">such </w:t>
      </w:r>
      <w:r>
        <w:t>statements of similar nature</w:t>
      </w:r>
      <w:r w:rsidR="0065444B">
        <w:t>,</w:t>
      </w:r>
      <w:r>
        <w:t xml:space="preserve"> </w:t>
      </w:r>
      <w:r w:rsidR="0065444B">
        <w:t xml:space="preserve">in particular, </w:t>
      </w:r>
      <w:r>
        <w:t xml:space="preserve">in the ‘Background Art’ section of the specifications or in the </w:t>
      </w:r>
      <w:r w:rsidR="0065444B">
        <w:t xml:space="preserve">section headed </w:t>
      </w:r>
      <w:r>
        <w:t>‘</w:t>
      </w:r>
      <w:r w:rsidR="0065444B">
        <w:t>D</w:t>
      </w:r>
      <w:r>
        <w:t xml:space="preserve">isclosure of the </w:t>
      </w:r>
      <w:r w:rsidR="0065444B">
        <w:t>Invention’</w:t>
      </w:r>
      <w:r>
        <w:t xml:space="preserve">.  </w:t>
      </w:r>
    </w:p>
    <w:p w:rsidR="00364A89" w:rsidRDefault="00364A89" w:rsidP="00364E4F">
      <w:pPr>
        <w:pStyle w:val="ParaNumbering"/>
      </w:pPr>
      <w:r>
        <w:t xml:space="preserve">I have already found that it is </w:t>
      </w:r>
      <w:r w:rsidR="00364E4F">
        <w:t xml:space="preserve">clear that the statements concerned must be construed in the context </w:t>
      </w:r>
      <w:r w:rsidR="0065444B">
        <w:t xml:space="preserve">in which they appear, and from the perspective </w:t>
      </w:r>
      <w:r w:rsidR="00364E4F">
        <w:t>of a person ski</w:t>
      </w:r>
      <w:r w:rsidR="0065444B">
        <w:t>lled in the relevant art who has</w:t>
      </w:r>
      <w:r w:rsidR="00364E4F">
        <w:t xml:space="preserve"> knowledge of how such things work.  Such a person would know that it is clear that the inventions are directed to core sampling in hard rock formations where th</w:t>
      </w:r>
      <w:r w:rsidR="0065444B">
        <w:t xml:space="preserve">ere is </w:t>
      </w:r>
      <w:r w:rsidR="0065444B">
        <w:lastRenderedPageBreak/>
        <w:t xml:space="preserve">unlikely to be fractured </w:t>
      </w:r>
      <w:r w:rsidR="00364E4F">
        <w:t xml:space="preserve">rock.  They are not directed to petroleum exploration in </w:t>
      </w:r>
      <w:r w:rsidR="0065444B">
        <w:t xml:space="preserve">soft, </w:t>
      </w:r>
      <w:r w:rsidR="00364E4F">
        <w:t xml:space="preserve">fractured or brittle rock.  There has been much discussion </w:t>
      </w:r>
      <w:r w:rsidR="001D7E75">
        <w:t xml:space="preserve">of this topic </w:t>
      </w:r>
      <w:r w:rsidR="00364E4F">
        <w:t xml:space="preserve">in these reasons.  </w:t>
      </w:r>
    </w:p>
    <w:p w:rsidR="00364E4F" w:rsidRDefault="00364E4F" w:rsidP="00364E4F">
      <w:pPr>
        <w:pStyle w:val="ParaNumbering"/>
      </w:pPr>
      <w:r>
        <w:t>I accept the applicants’ submissions</w:t>
      </w:r>
      <w:r w:rsidR="0065444B">
        <w:t>,</w:t>
      </w:r>
      <w:r>
        <w:t xml:space="preserve"> and the</w:t>
      </w:r>
      <w:r w:rsidR="00364A89">
        <w:t xml:space="preserve"> evidence upon which they rely</w:t>
      </w:r>
      <w:r w:rsidR="0065444B">
        <w:t>,</w:t>
      </w:r>
      <w:r>
        <w:t xml:space="preserve"> that a skilled person with knowledge of core orientation systems would simply not expect or understand that equipment of this kind would </w:t>
      </w:r>
      <w:r w:rsidR="0065444B">
        <w:t xml:space="preserve">be able to </w:t>
      </w:r>
      <w:r>
        <w:t>successfully orient core in all types of rock formations</w:t>
      </w:r>
      <w:r w:rsidR="0065444B">
        <w:t>, or in all cases in which it is used</w:t>
      </w:r>
      <w:r>
        <w:t>.</w:t>
      </w:r>
    </w:p>
    <w:p w:rsidR="00364E4F" w:rsidRDefault="00364E4F" w:rsidP="00364E4F">
      <w:pPr>
        <w:pStyle w:val="ParaNumbering"/>
      </w:pPr>
      <w:r>
        <w:t xml:space="preserve">Dr Skopec accepted </w:t>
      </w:r>
      <w:r w:rsidR="00D35A3F">
        <w:t xml:space="preserve">that </w:t>
      </w:r>
      <w:r>
        <w:t xml:space="preserve">there was no promise or statement in the </w:t>
      </w:r>
      <w:r w:rsidR="00D35A3F">
        <w:t>‘</w:t>
      </w:r>
      <w:r>
        <w:t>Background Art</w:t>
      </w:r>
      <w:r w:rsidR="00D35A3F">
        <w:t>’</w:t>
      </w:r>
      <w:r>
        <w:t xml:space="preserve"> section that the system would be useful in petroleum exploration.  He also accepted, as a reader of each of the Patents, that the statements </w:t>
      </w:r>
      <w:r w:rsidR="00D35A3F">
        <w:t xml:space="preserve">discussed above which Coretell refer to in support of the inutility argument </w:t>
      </w:r>
      <w:r>
        <w:t xml:space="preserve">were statements simply contained in the description of the </w:t>
      </w:r>
      <w:r w:rsidR="00D35A3F">
        <w:t>‘B</w:t>
      </w:r>
      <w:r>
        <w:t xml:space="preserve">est </w:t>
      </w:r>
      <w:r w:rsidR="00D35A3F">
        <w:t>M</w:t>
      </w:r>
      <w:r>
        <w:t xml:space="preserve">ode for </w:t>
      </w:r>
      <w:r w:rsidR="00D35A3F">
        <w:t>C</w:t>
      </w:r>
      <w:r>
        <w:t xml:space="preserve">arrying </w:t>
      </w:r>
      <w:r w:rsidR="00D35A3F">
        <w:t>O</w:t>
      </w:r>
      <w:r>
        <w:t xml:space="preserve">ut the </w:t>
      </w:r>
      <w:r w:rsidR="00D35A3F">
        <w:t>I</w:t>
      </w:r>
      <w:r>
        <w:t>nvention</w:t>
      </w:r>
      <w:r w:rsidR="00D35A3F">
        <w:t>’</w:t>
      </w:r>
      <w:r>
        <w:t xml:space="preserve">.  They did not constitute promises that every system having the features of the claims would work in that particular way.  </w:t>
      </w:r>
    </w:p>
    <w:p w:rsidR="00364E4F" w:rsidRDefault="00364E4F" w:rsidP="00364E4F">
      <w:pPr>
        <w:pStyle w:val="ParaNumbering"/>
      </w:pPr>
      <w:r>
        <w:t xml:space="preserve">I accept the evidence </w:t>
      </w:r>
      <w:r w:rsidR="004F4979">
        <w:t xml:space="preserve">of </w:t>
      </w:r>
      <w:r w:rsidR="00EE7756">
        <w:t>Professor Tapson</w:t>
      </w:r>
      <w:r>
        <w:t xml:space="preserve"> that he did not understand the Patents to make the ‘promises’ which were suggested by </w:t>
      </w:r>
      <w:r w:rsidR="00470CCE">
        <w:t>Coretell</w:t>
      </w:r>
      <w:r w:rsidR="004F4979">
        <w:t xml:space="preserve"> in reliance </w:t>
      </w:r>
      <w:r>
        <w:t xml:space="preserve">upon the initial evidence of Dr Skopec.  </w:t>
      </w:r>
      <w:r w:rsidR="004F4979">
        <w:t xml:space="preserve">Professor Tapson’s </w:t>
      </w:r>
      <w:r>
        <w:t xml:space="preserve">observation was that the passage concerning rotation </w:t>
      </w:r>
      <w:r w:rsidR="004F4979">
        <w:t xml:space="preserve">during drilling </w:t>
      </w:r>
      <w:r>
        <w:t xml:space="preserve">did not suggest or promise that there </w:t>
      </w:r>
      <w:r w:rsidR="004F4979">
        <w:t xml:space="preserve">would </w:t>
      </w:r>
      <w:r>
        <w:t>be no relative motion between the inner tube and the core sample during drilling</w:t>
      </w:r>
      <w:r w:rsidR="004F4979">
        <w:t xml:space="preserve">. </w:t>
      </w:r>
      <w:r>
        <w:t xml:space="preserve"> </w:t>
      </w:r>
      <w:r w:rsidR="004F4979">
        <w:t xml:space="preserve">Rather, the passage </w:t>
      </w:r>
      <w:r>
        <w:t>simply describe</w:t>
      </w:r>
      <w:r w:rsidR="004F4979">
        <w:t>d</w:t>
      </w:r>
      <w:r>
        <w:t xml:space="preserve"> the function and configuration of the bearing arrangement.  </w:t>
      </w:r>
    </w:p>
    <w:p w:rsidR="00364E4F" w:rsidRDefault="00364E4F" w:rsidP="00364E4F">
      <w:pPr>
        <w:pStyle w:val="ParaNumbering"/>
      </w:pPr>
      <w:r>
        <w:t xml:space="preserve">As noted by </w:t>
      </w:r>
      <w:r w:rsidR="00EE7756">
        <w:t>Professor Tapson</w:t>
      </w:r>
      <w:r>
        <w:t xml:space="preserve">, the Patents made no promises about the accuracy or reliability of the inventions, nor did </w:t>
      </w:r>
      <w:r w:rsidR="004F4979">
        <w:t xml:space="preserve">Coretell </w:t>
      </w:r>
      <w:r>
        <w:t>identify any</w:t>
      </w:r>
      <w:r w:rsidR="004F4979">
        <w:t xml:space="preserve"> such promises in the specification</w:t>
      </w:r>
      <w:r>
        <w:t xml:space="preserve">.  Professor Tapson </w:t>
      </w:r>
      <w:r w:rsidR="004F4979">
        <w:t xml:space="preserve">is </w:t>
      </w:r>
      <w:r>
        <w:t xml:space="preserve">an example of a person skilled in the art who </w:t>
      </w:r>
      <w:r w:rsidR="004F4979">
        <w:t xml:space="preserve">gave evidence </w:t>
      </w:r>
      <w:r>
        <w:t xml:space="preserve">that the claimed inventions </w:t>
      </w:r>
      <w:r w:rsidR="004F4979">
        <w:t xml:space="preserve">made it clear that they </w:t>
      </w:r>
      <w:r>
        <w:t>were intended for use in mineral exploration and hard rock formation</w:t>
      </w:r>
      <w:r w:rsidR="004F4979">
        <w:t>s</w:t>
      </w:r>
      <w:r>
        <w:t xml:space="preserve"> in which fracture is unlikely to occur.  He </w:t>
      </w:r>
      <w:r w:rsidR="004F4979">
        <w:t>gave evidence that no reasonable</w:t>
      </w:r>
      <w:r w:rsidR="00DD5603">
        <w:t>,</w:t>
      </w:r>
      <w:r>
        <w:t xml:space="preserve"> skilled engineer would understand the claims to be directed to geology or drilling applications that are inherently unsuitable to the working of the invention claimed by the Patents.  Similar evidence was also advanced by Mr Brown </w:t>
      </w:r>
      <w:r w:rsidR="00FE2164">
        <w:t>which confirmed this at a practical level.</w:t>
      </w:r>
    </w:p>
    <w:p w:rsidR="00364E4F" w:rsidRDefault="00FE2164" w:rsidP="00364E4F">
      <w:pPr>
        <w:pStyle w:val="ParaNumbering"/>
      </w:pPr>
      <w:r>
        <w:t xml:space="preserve">In conclusion, in my opinion, Coretell has not established the </w:t>
      </w:r>
      <w:r w:rsidR="00364E4F">
        <w:t xml:space="preserve">relevant promises, </w:t>
      </w:r>
      <w:r>
        <w:t xml:space="preserve">and, crucially, </w:t>
      </w:r>
      <w:r w:rsidR="00364E4F">
        <w:t>no evidence has been advance</w:t>
      </w:r>
      <w:r>
        <w:t>d</w:t>
      </w:r>
      <w:r w:rsidR="00364E4F">
        <w:t xml:space="preserve"> to demonstrate that the alleged promises were not satisfied or met.  Indeed, all the evidence is to the contrary.  </w:t>
      </w:r>
    </w:p>
    <w:p w:rsidR="00264ABA" w:rsidRDefault="00264ABA" w:rsidP="00264ABA">
      <w:pPr>
        <w:pStyle w:val="Heading6"/>
      </w:pPr>
      <w:bookmarkStart w:id="120" w:name="_Ref410393877"/>
      <w:bookmarkStart w:id="121" w:name="_Ref436660799"/>
      <w:r>
        <w:lastRenderedPageBreak/>
        <w:t xml:space="preserve">Insufficiency of </w:t>
      </w:r>
      <w:r w:rsidR="006B1CC3">
        <w:t>d</w:t>
      </w:r>
      <w:r>
        <w:t>escription</w:t>
      </w:r>
      <w:bookmarkEnd w:id="120"/>
      <w:r w:rsidR="006B1CC3">
        <w:t xml:space="preserve"> – s 4</w:t>
      </w:r>
      <w:r w:rsidR="00C616FF">
        <w:t>0</w:t>
      </w:r>
      <w:r w:rsidR="006B1CC3">
        <w:t>(2)(a)</w:t>
      </w:r>
      <w:bookmarkEnd w:id="121"/>
    </w:p>
    <w:p w:rsidR="006467BF" w:rsidRDefault="006B1CC3" w:rsidP="006467BF">
      <w:pPr>
        <w:pStyle w:val="ParaNumbering"/>
      </w:pPr>
      <w:r>
        <w:t xml:space="preserve">Coretell </w:t>
      </w:r>
      <w:r w:rsidR="00364E4F">
        <w:t>appear</w:t>
      </w:r>
      <w:r>
        <w:t>s</w:t>
      </w:r>
      <w:r w:rsidR="00364E4F">
        <w:t xml:space="preserve"> to still contend that </w:t>
      </w:r>
      <w:r w:rsidR="006467BF">
        <w:t>the Patents are invalid pursuant to s 40(2)(a) in that the specifications do not describe the inventions fully and are insufficient, including the best method known to the applicants in that:</w:t>
      </w:r>
    </w:p>
    <w:p w:rsidR="006467BF" w:rsidRDefault="006467BF" w:rsidP="001332BE">
      <w:pPr>
        <w:pStyle w:val="ListNo"/>
        <w:numPr>
          <w:ilvl w:val="0"/>
          <w:numId w:val="31"/>
        </w:numPr>
        <w:tabs>
          <w:tab w:val="clear" w:pos="720"/>
        </w:tabs>
      </w:pPr>
      <w:r>
        <w:t xml:space="preserve">in actual operation of the invention as described and claimed. the invention does not achieve the promises described above in relation to a lack of utility; and </w:t>
      </w:r>
    </w:p>
    <w:p w:rsidR="006467BF" w:rsidRDefault="006467BF" w:rsidP="001332BE">
      <w:pPr>
        <w:pStyle w:val="ListNo"/>
        <w:numPr>
          <w:ilvl w:val="0"/>
          <w:numId w:val="31"/>
        </w:numPr>
        <w:tabs>
          <w:tab w:val="clear" w:pos="720"/>
        </w:tabs>
      </w:pPr>
      <w:r>
        <w:t>there is no sufficient description in the Patents for the skilled addressee to achieve an unfractured core sample or the feature to the effect of ‘removing the inner tube, with the core sample held therein in fixed relation to it, from the body of material’ or the feature to the effect of ‘means for measuring a time measurement indicative of the time during drilling when the core sample is detached from the body of material from which it is taken and held in fixed relation to the inner tube</w:t>
      </w:r>
      <w:r w:rsidR="00C616FF">
        <w:t>.</w:t>
      </w:r>
      <w:r>
        <w:t>’</w:t>
      </w:r>
    </w:p>
    <w:p w:rsidR="006467BF" w:rsidRDefault="006467BF" w:rsidP="00364E4F">
      <w:pPr>
        <w:pStyle w:val="ParaNumbering"/>
      </w:pPr>
      <w:r>
        <w:t xml:space="preserve">Section 40 requires that ‘a complete specification must … describe the invention fully, including the best method known to the applicant of performing the invention’.  </w:t>
      </w:r>
    </w:p>
    <w:p w:rsidR="00E4406F" w:rsidRDefault="00364E4F" w:rsidP="00364E4F">
      <w:pPr>
        <w:pStyle w:val="ParaNumbering"/>
      </w:pPr>
      <w:r>
        <w:t xml:space="preserve">It is common ground on the case law that that </w:t>
      </w:r>
      <w:r w:rsidR="0066188D">
        <w:t xml:space="preserve">the specification </w:t>
      </w:r>
      <w:r>
        <w:t xml:space="preserve">must enable a person skilled in the relevant art to produce something within each claim without new inventions or additions or prolonged study of matters presenting additional difficulty:  </w:t>
      </w:r>
      <w:r w:rsidRPr="00B05370">
        <w:rPr>
          <w:i/>
        </w:rPr>
        <w:t xml:space="preserve">Lockwood </w:t>
      </w:r>
      <w:r w:rsidR="0066188D" w:rsidRPr="00B05370">
        <w:rPr>
          <w:i/>
        </w:rPr>
        <w:t>(No 2)</w:t>
      </w:r>
      <w:r w:rsidR="0066188D">
        <w:t xml:space="preserve"> </w:t>
      </w:r>
      <w:r>
        <w:t xml:space="preserve">(at [60]).  It is only necessary for the description to enable a single embodiment within each claim.  The question is whether these requirements are satisfied in the present instance.  </w:t>
      </w:r>
    </w:p>
    <w:p w:rsidR="00987EE3" w:rsidRDefault="00F07856" w:rsidP="00987EE3">
      <w:pPr>
        <w:pStyle w:val="ParaNumbering"/>
      </w:pPr>
      <w:r>
        <w:t>Coretell contends that it is an agreed fact that the pleaded aspect of ‘</w:t>
      </w:r>
      <w:r w:rsidRPr="00B05370">
        <w:t>the core sample being held in fixed relation to the inner tube’</w:t>
      </w:r>
      <w:r>
        <w:t xml:space="preserve"> must be considered as an essential feature expressly</w:t>
      </w:r>
      <w:r w:rsidR="00EA2539">
        <w:t>,</w:t>
      </w:r>
      <w:r>
        <w:t xml:space="preserve"> or by implication</w:t>
      </w:r>
      <w:r w:rsidR="00EA2539">
        <w:t>,</w:t>
      </w:r>
      <w:r>
        <w:t xml:space="preserve"> </w:t>
      </w:r>
      <w:r w:rsidR="0050737D">
        <w:t>in</w:t>
      </w:r>
      <w:r>
        <w:t xml:space="preserve"> all the claims being:</w:t>
      </w:r>
    </w:p>
    <w:p w:rsidR="00F07856" w:rsidRDefault="00F07856" w:rsidP="001332BE">
      <w:pPr>
        <w:pStyle w:val="ListNo"/>
        <w:numPr>
          <w:ilvl w:val="0"/>
          <w:numId w:val="45"/>
        </w:numPr>
      </w:pPr>
      <w:r>
        <w:t xml:space="preserve">System Patent </w:t>
      </w:r>
      <w:r w:rsidR="00EA2539">
        <w:t>(</w:t>
      </w:r>
      <w:r>
        <w:t>claim 1</w:t>
      </w:r>
      <w:r w:rsidR="00EA2539">
        <w:t>)</w:t>
      </w:r>
      <w:r w:rsidR="00B05370">
        <w:t>,</w:t>
      </w:r>
      <w:r>
        <w:t xml:space="preserve"> expressly;</w:t>
      </w:r>
    </w:p>
    <w:p w:rsidR="00F07856" w:rsidRDefault="00F07856" w:rsidP="001332BE">
      <w:pPr>
        <w:pStyle w:val="ListNo"/>
        <w:numPr>
          <w:ilvl w:val="0"/>
          <w:numId w:val="45"/>
        </w:numPr>
      </w:pPr>
      <w:r>
        <w:t xml:space="preserve">Method Patent </w:t>
      </w:r>
      <w:r w:rsidR="00EA2539">
        <w:t>(</w:t>
      </w:r>
      <w:r>
        <w:t>claim 1 and claim 2</w:t>
      </w:r>
      <w:r w:rsidR="00EA2539">
        <w:t xml:space="preserve">), </w:t>
      </w:r>
      <w:r>
        <w:t>expressly;</w:t>
      </w:r>
      <w:r w:rsidR="00EA2539">
        <w:t xml:space="preserve"> and </w:t>
      </w:r>
    </w:p>
    <w:p w:rsidR="00F07856" w:rsidRPr="00987EE3" w:rsidRDefault="00F07856" w:rsidP="001332BE">
      <w:pPr>
        <w:pStyle w:val="ListNo"/>
        <w:numPr>
          <w:ilvl w:val="0"/>
          <w:numId w:val="45"/>
        </w:numPr>
      </w:pPr>
      <w:r>
        <w:t xml:space="preserve">Method Patent </w:t>
      </w:r>
      <w:r w:rsidR="00EA2539">
        <w:t>(</w:t>
      </w:r>
      <w:r>
        <w:t>claim</w:t>
      </w:r>
      <w:r w:rsidR="00EA2539">
        <w:t>s</w:t>
      </w:r>
      <w:r w:rsidR="00B05370">
        <w:t> 3-5</w:t>
      </w:r>
      <w:r w:rsidR="00EA2539">
        <w:t>)</w:t>
      </w:r>
      <w:r w:rsidR="00B05370">
        <w:t>, by</w:t>
      </w:r>
      <w:r>
        <w:t xml:space="preserve"> implication.</w:t>
      </w:r>
    </w:p>
    <w:p w:rsidR="00F07856" w:rsidRDefault="00F07856" w:rsidP="0050737D">
      <w:pPr>
        <w:pStyle w:val="ParaNumbering"/>
      </w:pPr>
      <w:r>
        <w:t xml:space="preserve">Coretell notes that </w:t>
      </w:r>
      <w:r w:rsidR="00EE7756">
        <w:t>Professor Tapson</w:t>
      </w:r>
      <w:r>
        <w:t xml:space="preserve"> in his written evidence advanced the following</w:t>
      </w:r>
      <w:r w:rsidR="00EA2539">
        <w:t xml:space="preserve"> as being e</w:t>
      </w:r>
      <w:r>
        <w:t>ssential requirements for the working of the claimed invention:</w:t>
      </w:r>
    </w:p>
    <w:p w:rsidR="00F07856" w:rsidRDefault="00F07856" w:rsidP="001332BE">
      <w:pPr>
        <w:pStyle w:val="ListNo"/>
        <w:numPr>
          <w:ilvl w:val="0"/>
          <w:numId w:val="58"/>
        </w:numPr>
        <w:tabs>
          <w:tab w:val="clear" w:pos="720"/>
        </w:tabs>
      </w:pPr>
      <w:r>
        <w:t>the core sample must be unitary and unfractured as would occur with ‘hard rock exploration activity’</w:t>
      </w:r>
      <w:r w:rsidR="009F74CD">
        <w:t>,</w:t>
      </w:r>
      <w:r>
        <w:t xml:space="preserve"> by contrast to the Skopec technology application; and</w:t>
      </w:r>
    </w:p>
    <w:p w:rsidR="00F07856" w:rsidRDefault="00F07856" w:rsidP="001332BE">
      <w:pPr>
        <w:pStyle w:val="ListNo"/>
        <w:numPr>
          <w:ilvl w:val="0"/>
          <w:numId w:val="58"/>
        </w:numPr>
        <w:tabs>
          <w:tab w:val="clear" w:pos="720"/>
        </w:tabs>
      </w:pPr>
      <w:r>
        <w:lastRenderedPageBreak/>
        <w:t>following detachment</w:t>
      </w:r>
      <w:r w:rsidR="009F74CD">
        <w:t>,</w:t>
      </w:r>
      <w:r>
        <w:t xml:space="preserve"> the core sample must be held in fixed relation to the inner tube at the time of detachment and this was achieved by the core lifter.  </w:t>
      </w:r>
    </w:p>
    <w:p w:rsidR="003952C3" w:rsidRDefault="00F07856" w:rsidP="007C6EBF">
      <w:pPr>
        <w:pStyle w:val="ParaNumbering"/>
      </w:pPr>
      <w:r>
        <w:t xml:space="preserve">However, Coretell </w:t>
      </w:r>
      <w:r w:rsidR="009F74CD">
        <w:t xml:space="preserve">suggests </w:t>
      </w:r>
      <w:r>
        <w:t xml:space="preserve">that </w:t>
      </w:r>
      <w:r w:rsidR="00EE7756">
        <w:t>Professor Tapson</w:t>
      </w:r>
      <w:r>
        <w:t xml:space="preserve"> subsequently qualified</w:t>
      </w:r>
      <w:r w:rsidR="009F74CD">
        <w:t xml:space="preserve"> </w:t>
      </w:r>
      <w:r>
        <w:t>this evidence</w:t>
      </w:r>
      <w:r w:rsidR="009F74CD">
        <w:t xml:space="preserve"> in what it says was an ‘unconvincing’ manner.</w:t>
      </w:r>
    </w:p>
    <w:p w:rsidR="00F07856" w:rsidRDefault="00F07856" w:rsidP="007C6EBF">
      <w:pPr>
        <w:pStyle w:val="ParaNumbering"/>
      </w:pPr>
      <w:r>
        <w:t>Coretell says</w:t>
      </w:r>
      <w:r w:rsidR="0050737D">
        <w:t xml:space="preserve"> that </w:t>
      </w:r>
      <w:r>
        <w:t xml:space="preserve">Dr Skopec </w:t>
      </w:r>
      <w:r w:rsidR="009F74CD">
        <w:t>noted</w:t>
      </w:r>
      <w:r w:rsidR="00964833">
        <w:t xml:space="preserve"> that</w:t>
      </w:r>
      <w:r w:rsidR="009F74CD">
        <w:t xml:space="preserve"> </w:t>
      </w:r>
      <w:r>
        <w:t>there is no description in the Patents to provide support for this claimed essential feature.</w:t>
      </w:r>
      <w:r w:rsidR="0050737D">
        <w:t xml:space="preserve">  In summary, </w:t>
      </w:r>
      <w:r w:rsidR="009F74CD">
        <w:t xml:space="preserve">according to Coretell, </w:t>
      </w:r>
      <w:r w:rsidR="0050737D">
        <w:t>Dr Skopec</w:t>
      </w:r>
      <w:r>
        <w:t xml:space="preserve"> states that the oblique reference to a core lifter does not provide any information as to the function that that core lifter is to perform, including particularly as to the holding of any core sample in the claimed fixed relation to the inner tube and maintaining </w:t>
      </w:r>
      <w:r w:rsidR="009F74CD">
        <w:t xml:space="preserve">this </w:t>
      </w:r>
      <w:r>
        <w:t>throughout the orientation process.</w:t>
      </w:r>
    </w:p>
    <w:p w:rsidR="0014254C" w:rsidRDefault="007C6EBF" w:rsidP="00F07856">
      <w:pPr>
        <w:pStyle w:val="ParaNumbering"/>
      </w:pPr>
      <w:r>
        <w:t xml:space="preserve">In consequence, </w:t>
      </w:r>
      <w:r w:rsidR="0021292D">
        <w:t xml:space="preserve">Coretell argues, </w:t>
      </w:r>
      <w:r>
        <w:t xml:space="preserve">the specification description is insufficient in its instructions as to the working of the invention as claimed in order to ensure that fulfilment of the </w:t>
      </w:r>
      <w:r w:rsidR="00CA5E28">
        <w:t xml:space="preserve">claimed </w:t>
      </w:r>
      <w:r>
        <w:t xml:space="preserve">essential feature.  In particular, without continuing experimentation in </w:t>
      </w:r>
      <w:r w:rsidR="006A3495">
        <w:t xml:space="preserve">an operation context, </w:t>
      </w:r>
      <w:r w:rsidR="00CA5E28">
        <w:t xml:space="preserve">Coretell says that </w:t>
      </w:r>
      <w:r w:rsidR="006A3495">
        <w:t xml:space="preserve">it could never be clear whether or not the core sample is held within the requisite fixed relation with the tube and there is no description as to how this would </w:t>
      </w:r>
      <w:r w:rsidR="00CA5E28">
        <w:t>be achieved.  Dr Skopec commented</w:t>
      </w:r>
      <w:r w:rsidR="006A3495">
        <w:t xml:space="preserve"> that various types of core lifters or core catchers could be applicable</w:t>
      </w:r>
      <w:r w:rsidR="00CA5E28">
        <w:t>, and t</w:t>
      </w:r>
      <w:r w:rsidR="006A3495">
        <w:t xml:space="preserve">here is no delineation of any particular type of core catcher that meets the claimed requirement.  </w:t>
      </w:r>
      <w:r w:rsidR="00CA5E28">
        <w:t xml:space="preserve">Coretell says that it </w:t>
      </w:r>
      <w:r w:rsidR="006A3495">
        <w:t xml:space="preserve">follows that both Patents must be invalid because of the insufficiency of description.  </w:t>
      </w:r>
    </w:p>
    <w:p w:rsidR="0014254C" w:rsidRDefault="0014254C" w:rsidP="0014254C">
      <w:pPr>
        <w:pStyle w:val="ParaNumbering"/>
      </w:pPr>
      <w:r>
        <w:t xml:space="preserve">The applicants argue that the requirements are satisfied by the detailed description of the preferred embodiment in the section of the Patents headed ‘Best Mode(s) for Carrying Out the Invention’ by reference to the accompanying drawings.  The applicants say that to succeed </w:t>
      </w:r>
      <w:r w:rsidR="00470CCE">
        <w:t>Coretell</w:t>
      </w:r>
      <w:r>
        <w:t xml:space="preserve"> would have to adduce evidence which establishes that a skilled person would not be capable of applying that description to produce something within each claim.  </w:t>
      </w:r>
    </w:p>
    <w:p w:rsidR="00F07856" w:rsidRDefault="0014254C" w:rsidP="0014254C">
      <w:pPr>
        <w:pStyle w:val="ParaNumbering"/>
      </w:pPr>
      <w:r>
        <w:t>The applicants contend</w:t>
      </w:r>
      <w:r w:rsidR="00522656">
        <w:t>, and I accept,</w:t>
      </w:r>
      <w:r>
        <w:t xml:space="preserve"> that Coretell has not adduced evidence from any such person to that effect, nor is there any evidence to support the contention that a skilled person would be incapable of achieving the required result that the core sample would be held in fixed relation to the inner tube as claimed by following the description.  The applicants contend, and I accept, that the sufficiency grounds fails on this basis.  </w:t>
      </w:r>
    </w:p>
    <w:p w:rsidR="0062171C" w:rsidRDefault="00213900" w:rsidP="0062171C">
      <w:pPr>
        <w:pStyle w:val="Heading6"/>
      </w:pPr>
      <w:bookmarkStart w:id="122" w:name="_Ref436660800"/>
      <w:r>
        <w:lastRenderedPageBreak/>
        <w:t>Definition</w:t>
      </w:r>
      <w:r w:rsidR="0062171C">
        <w:t xml:space="preserve"> of the invention – s 40(2)(c)</w:t>
      </w:r>
      <w:bookmarkEnd w:id="122"/>
    </w:p>
    <w:p w:rsidR="0062171C" w:rsidRDefault="0062171C" w:rsidP="0062171C">
      <w:pPr>
        <w:pStyle w:val="ParaNumbering"/>
      </w:pPr>
      <w:r>
        <w:t>Coretell contends that if the Court construes the claims of the Pat</w:t>
      </w:r>
      <w:r w:rsidR="003D73C9">
        <w:t xml:space="preserve">ents as encompassing a two part </w:t>
      </w:r>
      <w:r>
        <w:t>device</w:t>
      </w:r>
      <w:r w:rsidR="003D73C9">
        <w:t xml:space="preserve">, </w:t>
      </w:r>
      <w:r>
        <w:t xml:space="preserve">the claims would not define the invention as required by s 40(2)(c) of the Act, that is, </w:t>
      </w:r>
      <w:r w:rsidR="003D73C9">
        <w:t xml:space="preserve">that the </w:t>
      </w:r>
      <w:r>
        <w:t xml:space="preserve">specification does not ‘end with at least one and no more than </w:t>
      </w:r>
      <w:r w:rsidR="003D73C9">
        <w:t xml:space="preserve">5 </w:t>
      </w:r>
      <w:r>
        <w:t>claims</w:t>
      </w:r>
      <w:r w:rsidR="003D73C9">
        <w:t>’</w:t>
      </w:r>
      <w:r>
        <w:t xml:space="preserve"> defi</w:t>
      </w:r>
      <w:r w:rsidR="003D73C9">
        <w:t>ning the invention.</w:t>
      </w:r>
    </w:p>
    <w:p w:rsidR="0062171C" w:rsidRDefault="0062171C" w:rsidP="0062171C">
      <w:pPr>
        <w:pStyle w:val="ParaNumbering"/>
      </w:pPr>
      <w:r>
        <w:t xml:space="preserve">I have already found that the description and claims of the Patents are not limited to the use of </w:t>
      </w:r>
      <w:r w:rsidR="0099790E">
        <w:t>a unitary</w:t>
      </w:r>
      <w:r>
        <w:t xml:space="preserve"> device.</w:t>
      </w:r>
    </w:p>
    <w:p w:rsidR="0062171C" w:rsidRPr="0062171C" w:rsidRDefault="0062171C" w:rsidP="0062171C">
      <w:pPr>
        <w:pStyle w:val="ParaNumbering"/>
      </w:pPr>
      <w:r>
        <w:t>To the extent that Coretell relies on the assertion that the claims are ambiguous to support this ground, the case</w:t>
      </w:r>
      <w:r w:rsidR="0099790E">
        <w:t xml:space="preserve"> law</w:t>
      </w:r>
      <w:r>
        <w:t xml:space="preserve"> indicate</w:t>
      </w:r>
      <w:r w:rsidR="0099790E">
        <w:t>s</w:t>
      </w:r>
      <w:r>
        <w:t xml:space="preserve"> that invalidity will only arise under s 40(2)(c) of the Act if the claim is ambiguous to the extent that it is ‘incapable of r</w:t>
      </w:r>
      <w:r w:rsidR="00B3758E">
        <w:t>esolution by a skilled addressed</w:t>
      </w:r>
      <w:r>
        <w:t xml:space="preserve"> by the application of common sense and common knowledge</w:t>
      </w:r>
      <w:r w:rsidR="00DF676A">
        <w:t>’</w:t>
      </w:r>
      <w:r>
        <w:t xml:space="preserve">:  </w:t>
      </w:r>
      <w:r w:rsidRPr="0013333A">
        <w:rPr>
          <w:i/>
        </w:rPr>
        <w:t xml:space="preserve">PhotoCure ASA v Queen's University at Kingston </w:t>
      </w:r>
      <w:r>
        <w:t xml:space="preserve">(2005) </w:t>
      </w:r>
      <w:r w:rsidR="00DF676A">
        <w:t>216 ALR 41 per Merkel J</w:t>
      </w:r>
      <w:r>
        <w:t xml:space="preserve"> (at [117]).  </w:t>
      </w:r>
    </w:p>
    <w:p w:rsidR="00FD5776" w:rsidRDefault="00B12102" w:rsidP="00FD5776">
      <w:pPr>
        <w:pStyle w:val="ParaNumbering"/>
      </w:pPr>
      <w:r>
        <w:t xml:space="preserve">In my view, this argument cannot succeed.  </w:t>
      </w:r>
      <w:r w:rsidR="00FD5776">
        <w:t xml:space="preserve">It cannot be said, and there is no evidence </w:t>
      </w:r>
      <w:r>
        <w:t xml:space="preserve">to support </w:t>
      </w:r>
      <w:r w:rsidR="00384E54">
        <w:t>Coretell</w:t>
      </w:r>
      <w:r>
        <w:t xml:space="preserve">’s </w:t>
      </w:r>
      <w:r w:rsidR="00FD5776">
        <w:t>argument</w:t>
      </w:r>
      <w:r w:rsidR="0099790E">
        <w:t>,</w:t>
      </w:r>
      <w:r w:rsidR="00FD5776">
        <w:t xml:space="preserve"> that the claims are ambiguous to </w:t>
      </w:r>
      <w:r>
        <w:t xml:space="preserve">such an </w:t>
      </w:r>
      <w:r w:rsidR="00FD5776">
        <w:t>extent</w:t>
      </w:r>
      <w:r>
        <w:t xml:space="preserve">. </w:t>
      </w:r>
      <w:r w:rsidR="00FD5776">
        <w:t xml:space="preserve"> </w:t>
      </w:r>
    </w:p>
    <w:p w:rsidR="002E5610" w:rsidRDefault="002E5610" w:rsidP="002E5610">
      <w:pPr>
        <w:pStyle w:val="Heading6"/>
      </w:pPr>
      <w:bookmarkStart w:id="123" w:name="_Ref436660801"/>
      <w:r>
        <w:t>Clarity – s 40(3)</w:t>
      </w:r>
      <w:bookmarkEnd w:id="123"/>
    </w:p>
    <w:p w:rsidR="002078B7" w:rsidRDefault="00FD5776" w:rsidP="00FD5776">
      <w:pPr>
        <w:pStyle w:val="ParaNumbering"/>
      </w:pPr>
      <w:r>
        <w:t>In relation to clarity</w:t>
      </w:r>
      <w:r w:rsidR="00D51A01">
        <w:t xml:space="preserve">, </w:t>
      </w:r>
      <w:r>
        <w:t xml:space="preserve">the same theme continues for </w:t>
      </w:r>
      <w:r w:rsidR="00D51A01">
        <w:t>Coretell</w:t>
      </w:r>
      <w:r w:rsidR="0099790E">
        <w:t>,</w:t>
      </w:r>
      <w:r w:rsidR="00D51A01">
        <w:t xml:space="preserve"> who contends that the claims are not clear as required by s 40(3) of the Act, given the finding that </w:t>
      </w:r>
      <w:r w:rsidR="0099790E">
        <w:t xml:space="preserve">the claims encompass a two part </w:t>
      </w:r>
      <w:r w:rsidR="00D51A01">
        <w:t>device.</w:t>
      </w:r>
      <w:r>
        <w:t xml:space="preserve">  </w:t>
      </w:r>
    </w:p>
    <w:p w:rsidR="00FD5776" w:rsidRDefault="002078B7" w:rsidP="002078B7">
      <w:pPr>
        <w:pStyle w:val="ParaNumbering"/>
      </w:pPr>
      <w:r>
        <w:t xml:space="preserve">Section 40(3) requires that the claims must be ‘clear and succinct’.  </w:t>
      </w:r>
      <w:r w:rsidR="00FD5776">
        <w:t>The appropriate test is whether the claim is drafted to a workable standard suitable to the intended use</w:t>
      </w:r>
      <w:r>
        <w:t xml:space="preserve">:  </w:t>
      </w:r>
      <w:r w:rsidRPr="002078B7">
        <w:rPr>
          <w:i/>
        </w:rPr>
        <w:t xml:space="preserve">Minnesota Mining &amp; Manufacturing Co </w:t>
      </w:r>
      <w:r w:rsidRPr="002078B7">
        <w:t>per Aickin J</w:t>
      </w:r>
      <w:r>
        <w:t xml:space="preserve"> (at 274)</w:t>
      </w:r>
      <w:r w:rsidR="00FD5776">
        <w:t xml:space="preserve">.  Thus, the High Court observed in </w:t>
      </w:r>
      <w:r w:rsidR="00FD5776" w:rsidRPr="00606011">
        <w:rPr>
          <w:i/>
        </w:rPr>
        <w:t>Welch Perrin</w:t>
      </w:r>
      <w:r w:rsidR="00FD5776">
        <w:t xml:space="preserve"> (at [610]) </w:t>
      </w:r>
      <w:r>
        <w:t xml:space="preserve">that </w:t>
      </w:r>
      <w:r w:rsidR="00FD5776">
        <w:t xml:space="preserve">‘any purely verbal or grammatical question that can be resolved according to ordinary rules for the construction of written documents, does not, once it has been resolved, leave uncertain the ambit of the monopoly claimed’.  </w:t>
      </w:r>
    </w:p>
    <w:p w:rsidR="00FD5776" w:rsidRDefault="0099790E" w:rsidP="00FD5776">
      <w:pPr>
        <w:pStyle w:val="ParaNumbering"/>
      </w:pPr>
      <w:r>
        <w:t>In my view,</w:t>
      </w:r>
      <w:r w:rsidR="00FD5776">
        <w:t xml:space="preserve"> fact that the applicants did not invent or describe a two part device, in contrast to a </w:t>
      </w:r>
      <w:r w:rsidR="003953BF">
        <w:t>‘</w:t>
      </w:r>
      <w:r w:rsidR="00FD5776">
        <w:t>unitary</w:t>
      </w:r>
      <w:r w:rsidR="003953BF">
        <w:t>’</w:t>
      </w:r>
      <w:r w:rsidR="00FD5776">
        <w:t xml:space="preserve"> device, does not lead to a lack of clarity within the statutory meaning.  The claimed system and method, as has b</w:t>
      </w:r>
      <w:r w:rsidR="003953BF">
        <w:t>een previously held, encompass</w:t>
      </w:r>
      <w:r w:rsidR="00FD5776">
        <w:t xml:space="preserve"> the use of a ‘two part device’.  There is no evidence in support of the assertion that a skilled person could not readily understand what is claimed for lack of clarity as to whether </w:t>
      </w:r>
      <w:r w:rsidR="003953BF">
        <w:t xml:space="preserve">the claim concerned </w:t>
      </w:r>
      <w:r w:rsidR="00FD5776">
        <w:t>a unitary or two part device.  There is no support for the lack of clarity ground.</w:t>
      </w:r>
      <w:r w:rsidR="003953BF">
        <w:t xml:space="preserve">  This ground is rejected.  </w:t>
      </w:r>
    </w:p>
    <w:p w:rsidR="00F33D4A" w:rsidRDefault="00F33D4A" w:rsidP="00182226">
      <w:pPr>
        <w:pStyle w:val="Heading6"/>
      </w:pPr>
      <w:bookmarkStart w:id="124" w:name="_Ref403035708"/>
      <w:bookmarkStart w:id="125" w:name="_Ref436891540"/>
      <w:r>
        <w:lastRenderedPageBreak/>
        <w:t xml:space="preserve">Prior </w:t>
      </w:r>
      <w:r w:rsidR="003953BF">
        <w:t>s</w:t>
      </w:r>
      <w:r>
        <w:t>e</w:t>
      </w:r>
      <w:r w:rsidR="003953BF">
        <w:t>c</w:t>
      </w:r>
      <w:r>
        <w:t xml:space="preserve">ret </w:t>
      </w:r>
      <w:r w:rsidR="003953BF">
        <w:t>u</w:t>
      </w:r>
      <w:r>
        <w:t>se</w:t>
      </w:r>
      <w:bookmarkEnd w:id="124"/>
      <w:r w:rsidR="0099790E">
        <w:t xml:space="preserve"> – s 18(1A)(d)</w:t>
      </w:r>
      <w:bookmarkEnd w:id="125"/>
    </w:p>
    <w:p w:rsidR="00CC5559" w:rsidRDefault="00CC5559" w:rsidP="00CC5559">
      <w:pPr>
        <w:pStyle w:val="ParaNumbering"/>
      </w:pPr>
      <w:r>
        <w:t xml:space="preserve">Coretell contends that </w:t>
      </w:r>
      <w:r w:rsidR="003953BF">
        <w:t xml:space="preserve">the Patents are liable to be revoked pursuant to s 138(3)(b) because </w:t>
      </w:r>
      <w:r>
        <w:t xml:space="preserve">invention as claimed in the Patents was secretly used in Australia within the meaning of </w:t>
      </w:r>
      <w:r w:rsidR="003953BF">
        <w:t>s 18(1A)</w:t>
      </w:r>
      <w:r w:rsidR="0099790E">
        <w:t>(d)</w:t>
      </w:r>
      <w:r w:rsidR="003953BF">
        <w:t xml:space="preserve"> of the Act.  </w:t>
      </w:r>
      <w:r w:rsidR="00384E54">
        <w:t>Coretell</w:t>
      </w:r>
      <w:r w:rsidR="003953BF">
        <w:t xml:space="preserve">’s claim is that it is not </w:t>
      </w:r>
      <w:r>
        <w:t xml:space="preserve">a patentable invention </w:t>
      </w:r>
      <w:r w:rsidR="003953BF">
        <w:t xml:space="preserve">because </w:t>
      </w:r>
      <w:r>
        <w:t xml:space="preserve">there have been acts of secret use before </w:t>
      </w:r>
      <w:r w:rsidR="003953BF">
        <w:t xml:space="preserve">the Priority Date, </w:t>
      </w:r>
      <w:r>
        <w:t>3 September 2004</w:t>
      </w:r>
      <w:r w:rsidR="003953BF">
        <w:t>,</w:t>
      </w:r>
      <w:r>
        <w:t xml:space="preserve"> by</w:t>
      </w:r>
      <w:r w:rsidR="003953BF">
        <w:t xml:space="preserve">, or on behalf of Chardec, AMC or </w:t>
      </w:r>
      <w:r>
        <w:t xml:space="preserve">Imdex (Ace Drilling).  </w:t>
      </w:r>
    </w:p>
    <w:p w:rsidR="00F33D4A" w:rsidRDefault="00F33D4A" w:rsidP="00F33D4A">
      <w:pPr>
        <w:pStyle w:val="ParaNumbering"/>
      </w:pPr>
      <w:r>
        <w:t xml:space="preserve">This ground is an alternative to </w:t>
      </w:r>
      <w:r w:rsidR="00384E54">
        <w:t>Coretell</w:t>
      </w:r>
      <w:r w:rsidR="005D3D44">
        <w:t xml:space="preserve">’s </w:t>
      </w:r>
      <w:r>
        <w:t>primary attack of prior use</w:t>
      </w:r>
      <w:r w:rsidR="005D3D44">
        <w:t>, which is the second part of the novelty challenge considered above</w:t>
      </w:r>
      <w:r w:rsidR="00A104F8">
        <w:t xml:space="preserve">. </w:t>
      </w:r>
      <w:r>
        <w:t xml:space="preserve"> </w:t>
      </w:r>
      <w:r w:rsidR="00B51CE9">
        <w:t xml:space="preserve">Coretell says </w:t>
      </w:r>
      <w:r w:rsidR="0099790E">
        <w:t xml:space="preserve">that </w:t>
      </w:r>
      <w:r w:rsidR="00B51CE9">
        <w:t xml:space="preserve">it is clear from the evidence that the admitted prior uses were not confidential or secret, </w:t>
      </w:r>
      <w:r w:rsidR="004A319A">
        <w:t>and</w:t>
      </w:r>
      <w:r w:rsidR="00B51CE9">
        <w:t xml:space="preserve">, in fact, were public.  </w:t>
      </w:r>
      <w:r w:rsidR="004A319A">
        <w:t xml:space="preserve">If it is found that </w:t>
      </w:r>
      <w:r w:rsidR="00B51CE9">
        <w:t xml:space="preserve">they were private, </w:t>
      </w:r>
      <w:r w:rsidR="004A319A">
        <w:t>Coretell argues that there has been</w:t>
      </w:r>
      <w:r w:rsidR="0099790E">
        <w:t xml:space="preserve"> prior secret use</w:t>
      </w:r>
      <w:r w:rsidR="00B51CE9">
        <w:t xml:space="preserve">.  </w:t>
      </w:r>
    </w:p>
    <w:p w:rsidR="0023343D" w:rsidRDefault="009A5149" w:rsidP="0023343D">
      <w:pPr>
        <w:pStyle w:val="ParaNumbering"/>
      </w:pPr>
      <w:r>
        <w:t>The challenge under either head, including the secret use challenge, arise from the ‘extensive activities’, Coretell says, caused to take place before 3 September 2004 by</w:t>
      </w:r>
      <w:r w:rsidR="00497D0B">
        <w:t>,</w:t>
      </w:r>
      <w:r>
        <w:t xml:space="preserve"> or on behalf of</w:t>
      </w:r>
      <w:r w:rsidR="00946BAD">
        <w:t xml:space="preserve"> </w:t>
      </w:r>
      <w:r>
        <w:t>Chardec, and by</w:t>
      </w:r>
      <w:r w:rsidR="00497D0B">
        <w:t>,</w:t>
      </w:r>
      <w:r>
        <w:t xml:space="preserve"> or on behalf of</w:t>
      </w:r>
      <w:r w:rsidR="00497D0B">
        <w:t>,</w:t>
      </w:r>
      <w:r>
        <w:t xml:space="preserve"> Imdex/Ace Drilling.  Coretell submits these activities included commercial dealings and use on multiple occasions for commercial promotions at various drilling sites of the orientation device described in the Patents</w:t>
      </w:r>
      <w:r w:rsidR="00497D0B">
        <w:t>, and t</w:t>
      </w:r>
      <w:r>
        <w:t>he method and system were disclosed.</w:t>
      </w:r>
    </w:p>
    <w:p w:rsidR="00924035" w:rsidRDefault="009A5149" w:rsidP="0023343D">
      <w:pPr>
        <w:pStyle w:val="ParaNumbering"/>
      </w:pPr>
      <w:r>
        <w:t>By s </w:t>
      </w:r>
      <w:r w:rsidR="00924035">
        <w:t xml:space="preserve">9 of </w:t>
      </w:r>
      <w:r w:rsidR="007D7FA4">
        <w:t>the Act</w:t>
      </w:r>
      <w:r w:rsidR="00924035">
        <w:t>, certain matters are ‘not to be taken as secret use’, including:</w:t>
      </w:r>
    </w:p>
    <w:p w:rsidR="009A5149" w:rsidRDefault="003577AD" w:rsidP="003577AD">
      <w:pPr>
        <w:pStyle w:val="Quote1"/>
        <w:ind w:left="1440" w:hanging="703"/>
      </w:pPr>
      <w:r>
        <w:t>(a)</w:t>
      </w:r>
      <w:r>
        <w:tab/>
      </w:r>
      <w:r w:rsidR="00924035">
        <w:t xml:space="preserve">any use of the invention by or on behalf of, or with the authority of, the patentee or nominated person, or his or her predecessor </w:t>
      </w:r>
      <w:r>
        <w:t xml:space="preserve">in title </w:t>
      </w:r>
      <w:r w:rsidR="00924035">
        <w:t xml:space="preserve">to the invention, </w:t>
      </w:r>
      <w:r w:rsidR="00924035" w:rsidRPr="003577AD">
        <w:rPr>
          <w:b/>
        </w:rPr>
        <w:t>for the</w:t>
      </w:r>
      <w:r w:rsidR="00924035">
        <w:t xml:space="preserve"> </w:t>
      </w:r>
      <w:r w:rsidR="00924035" w:rsidRPr="00924035">
        <w:rPr>
          <w:b/>
        </w:rPr>
        <w:t>purpose of reasonable trial or experiment only</w:t>
      </w:r>
      <w:r w:rsidR="00924035">
        <w:t xml:space="preserve">.  </w:t>
      </w:r>
    </w:p>
    <w:p w:rsidR="00924035" w:rsidRDefault="00924035" w:rsidP="003577AD">
      <w:pPr>
        <w:pStyle w:val="Quote2"/>
      </w:pPr>
      <w:r>
        <w:t>(emphasis added)</w:t>
      </w:r>
    </w:p>
    <w:p w:rsidR="00012259" w:rsidRDefault="00387FE2" w:rsidP="00B446F1">
      <w:pPr>
        <w:pStyle w:val="ParaNumbering"/>
      </w:pPr>
      <w:r>
        <w:t xml:space="preserve">Secret use was considered in some detail in </w:t>
      </w:r>
      <w:r w:rsidR="00D03C49" w:rsidRPr="00B446F1">
        <w:rPr>
          <w:i/>
        </w:rPr>
        <w:t>Grove Hill</w:t>
      </w:r>
      <w:r w:rsidR="003577AD">
        <w:t>,</w:t>
      </w:r>
      <w:r w:rsidR="00D03C49">
        <w:t xml:space="preserve"> and </w:t>
      </w:r>
      <w:r w:rsidR="00D03C49" w:rsidRPr="00B446F1">
        <w:rPr>
          <w:i/>
        </w:rPr>
        <w:t xml:space="preserve">Azuko </w:t>
      </w:r>
      <w:r w:rsidR="00D03C49">
        <w:t xml:space="preserve">and </w:t>
      </w:r>
      <w:r w:rsidRPr="00DF670F">
        <w:rPr>
          <w:i/>
        </w:rPr>
        <w:t>Bradken</w:t>
      </w:r>
      <w:r w:rsidR="00B446F1">
        <w:t xml:space="preserve">.  In </w:t>
      </w:r>
      <w:r w:rsidR="00B446F1">
        <w:rPr>
          <w:i/>
        </w:rPr>
        <w:t>Azuko</w:t>
      </w:r>
      <w:r w:rsidR="00F17848">
        <w:t>, Gyles J</w:t>
      </w:r>
      <w:r w:rsidR="00B446F1">
        <w:t xml:space="preserve"> </w:t>
      </w:r>
      <w:r w:rsidR="00946BAD">
        <w:t>(</w:t>
      </w:r>
      <w:r w:rsidR="00B446F1">
        <w:t>with whom Beaumont J agreed</w:t>
      </w:r>
      <w:r w:rsidR="00946BAD">
        <w:t>)</w:t>
      </w:r>
      <w:r w:rsidR="00B446F1">
        <w:t xml:space="preserve"> </w:t>
      </w:r>
      <w:r w:rsidR="00384DE0">
        <w:t xml:space="preserve">dismissed (at [180]-[183]) </w:t>
      </w:r>
      <w:r w:rsidR="00B446F1">
        <w:t xml:space="preserve">the mischief </w:t>
      </w:r>
      <w:r w:rsidR="00384DE0">
        <w:t xml:space="preserve">to </w:t>
      </w:r>
      <w:r w:rsidR="00B446F1">
        <w:t xml:space="preserve">which the invalidating ground of secret use is directed.  </w:t>
      </w:r>
      <w:r w:rsidR="00384DE0">
        <w:t>According to Gyles J (at [181]),</w:t>
      </w:r>
      <w:r w:rsidR="00B446F1">
        <w:t xml:space="preserve"> </w:t>
      </w:r>
      <w:r w:rsidR="00384DE0">
        <w:t xml:space="preserve">a </w:t>
      </w:r>
      <w:r w:rsidR="00B446F1">
        <w:t xml:space="preserve">patent will be </w:t>
      </w:r>
      <w:r w:rsidR="00384DE0">
        <w:t xml:space="preserve">invalid </w:t>
      </w:r>
      <w:r w:rsidR="00B446F1">
        <w:t xml:space="preserve">if the patentee has engaged in conduct before the priority date  which results in ‘a </w:t>
      </w:r>
      <w:r w:rsidR="00B446F1" w:rsidRPr="00384DE0">
        <w:rPr>
          <w:i/>
        </w:rPr>
        <w:t>de facto</w:t>
      </w:r>
      <w:r w:rsidR="00B446F1">
        <w:t xml:space="preserve"> extension of the patent term’.  </w:t>
      </w:r>
    </w:p>
    <w:p w:rsidR="00387FE2" w:rsidRDefault="00387FE2" w:rsidP="00F86958">
      <w:pPr>
        <w:pStyle w:val="ParaNumbering"/>
      </w:pPr>
      <w:r>
        <w:t>Coretell argue</w:t>
      </w:r>
      <w:r w:rsidR="00435373">
        <w:t>s</w:t>
      </w:r>
      <w:r w:rsidR="00AF2D3C">
        <w:t xml:space="preserve"> </w:t>
      </w:r>
      <w:r w:rsidR="00B446F1">
        <w:t xml:space="preserve">there was extensive secret use of the invention in the Patents with customers or potential customers when the </w:t>
      </w:r>
      <w:r w:rsidR="00331D08">
        <w:t>ACT T</w:t>
      </w:r>
      <w:r w:rsidR="00B446F1">
        <w:t xml:space="preserve">ool was demonstrated to customers for purposes including to evaluate its commercial acceptability.  Particularly, </w:t>
      </w:r>
      <w:r w:rsidR="0043323D">
        <w:t xml:space="preserve">Coretell says that </w:t>
      </w:r>
      <w:r w:rsidR="00B446F1">
        <w:t>the inventor, Mr Parfitt, on behalf of Chardec, disclosed full working examples of the invention to its customer</w:t>
      </w:r>
      <w:r w:rsidR="0043323D">
        <w:t xml:space="preserve">, </w:t>
      </w:r>
      <w:r w:rsidR="00B446F1">
        <w:t>Ace Drilling/Imdex, who in turn disclosed those working examples of the invention to other customers</w:t>
      </w:r>
      <w:r w:rsidR="0043323D">
        <w:t>, or potential customers</w:t>
      </w:r>
      <w:r w:rsidR="00331D08">
        <w:t xml:space="preserve">. </w:t>
      </w:r>
      <w:r w:rsidR="00B446F1">
        <w:t xml:space="preserve"> </w:t>
      </w:r>
      <w:r w:rsidR="00760B86">
        <w:t>Coretell submits that Mr Parfitt</w:t>
      </w:r>
      <w:r w:rsidR="00331D08">
        <w:t xml:space="preserve"> </w:t>
      </w:r>
      <w:r w:rsidR="00B446F1">
        <w:lastRenderedPageBreak/>
        <w:t xml:space="preserve">allowed </w:t>
      </w:r>
      <w:r w:rsidR="0043323D">
        <w:t>‘</w:t>
      </w:r>
      <w:r w:rsidR="00B446F1">
        <w:t>wide and unguarded use of the invention in Australia</w:t>
      </w:r>
      <w:r w:rsidR="0043323D">
        <w:t>’</w:t>
      </w:r>
      <w:r w:rsidR="00B446F1">
        <w:t xml:space="preserve"> before any application for a patent was made.  </w:t>
      </w:r>
      <w:r w:rsidR="00D3100E">
        <w:t xml:space="preserve">Coretell says that the </w:t>
      </w:r>
      <w:r w:rsidR="00B446F1">
        <w:t>evidence is against such d</w:t>
      </w:r>
      <w:r w:rsidR="00D3100E">
        <w:t xml:space="preserve">isclosures being in confidence, however, </w:t>
      </w:r>
      <w:r w:rsidR="00B446F1">
        <w:t xml:space="preserve">it is clear on the evidence that the purpose of the disclosures included assessing commercial acceptability of the invention prior to determination of whether to proceed with a full-scale marketing and production programme.  </w:t>
      </w:r>
      <w:r w:rsidR="00D3100E">
        <w:t>Coretell contends that, d</w:t>
      </w:r>
      <w:r w:rsidR="00B446F1">
        <w:t xml:space="preserve">espite the proven working readiness of the </w:t>
      </w:r>
      <w:r w:rsidR="00331D08">
        <w:t>ACT T</w:t>
      </w:r>
      <w:r w:rsidR="00B446F1">
        <w:t xml:space="preserve">ool, the filing </w:t>
      </w:r>
      <w:r w:rsidR="00331D08">
        <w:t>o</w:t>
      </w:r>
      <w:r w:rsidR="00B446F1">
        <w:t>f any patent application was unrea</w:t>
      </w:r>
      <w:r w:rsidR="00D3100E">
        <w:t>sonably delayed for many months,</w:t>
      </w:r>
      <w:r w:rsidR="00B446F1">
        <w:t xml:space="preserve"> </w:t>
      </w:r>
      <w:r w:rsidR="00D3100E">
        <w:t xml:space="preserve">and as a </w:t>
      </w:r>
      <w:r w:rsidR="00B446F1">
        <w:t xml:space="preserve">consequence </w:t>
      </w:r>
      <w:r w:rsidR="00D3100E">
        <w:t xml:space="preserve">the </w:t>
      </w:r>
      <w:r w:rsidR="00B446F1">
        <w:t>duration of the monopoly obtained</w:t>
      </w:r>
      <w:r w:rsidR="00D3100E">
        <w:t xml:space="preserve"> was extended</w:t>
      </w:r>
      <w:r w:rsidR="00B446F1">
        <w:t xml:space="preserve">.  </w:t>
      </w:r>
    </w:p>
    <w:p w:rsidR="00527E42" w:rsidRDefault="00EF15C5" w:rsidP="00F86958">
      <w:pPr>
        <w:pStyle w:val="ParaNumbering"/>
      </w:pPr>
      <w:r>
        <w:t xml:space="preserve">Coretell refers to and repeats its submissions </w:t>
      </w:r>
      <w:r w:rsidR="009B4969">
        <w:t xml:space="preserve">made with respect to </w:t>
      </w:r>
      <w:r w:rsidRPr="009B4969">
        <w:t>novelty</w:t>
      </w:r>
      <w:r>
        <w:t xml:space="preserve"> and the failure of the applicants to establish the defence of reasonable trial under s 24(1) of the Act.  </w:t>
      </w:r>
    </w:p>
    <w:p w:rsidR="007063A9" w:rsidRDefault="007063A9" w:rsidP="00182226">
      <w:pPr>
        <w:pStyle w:val="ParaNumbering"/>
      </w:pPr>
      <w:r>
        <w:t xml:space="preserve">Coretell </w:t>
      </w:r>
      <w:r w:rsidR="00182226">
        <w:t>argue</w:t>
      </w:r>
      <w:r>
        <w:t>s</w:t>
      </w:r>
      <w:r w:rsidR="00182226">
        <w:t xml:space="preserve"> that the applicants bear the onus of proof in establishing that the use </w:t>
      </w:r>
      <w:r>
        <w:t>of</w:t>
      </w:r>
      <w:r w:rsidR="00182226">
        <w:t xml:space="preserve"> the </w:t>
      </w:r>
      <w:r w:rsidR="00BF240F">
        <w:t>ACT Tool</w:t>
      </w:r>
      <w:r w:rsidR="00182226">
        <w:t xml:space="preserve"> was </w:t>
      </w:r>
      <w:r w:rsidR="00182226" w:rsidRPr="007063A9">
        <w:rPr>
          <w:b/>
        </w:rPr>
        <w:t>not</w:t>
      </w:r>
      <w:r w:rsidR="00182226">
        <w:t xml:space="preserve"> secret use.  It is important to deal with this onus argument</w:t>
      </w:r>
      <w:r>
        <w:t xml:space="preserve"> at the outset</w:t>
      </w:r>
      <w:r w:rsidR="00182226">
        <w:t xml:space="preserve">.  </w:t>
      </w:r>
    </w:p>
    <w:p w:rsidR="00331D08" w:rsidRDefault="00182226" w:rsidP="00182226">
      <w:pPr>
        <w:pStyle w:val="ParaNumbering"/>
      </w:pPr>
      <w:r>
        <w:t xml:space="preserve">The </w:t>
      </w:r>
      <w:r w:rsidR="001D4727">
        <w:t xml:space="preserve">starting </w:t>
      </w:r>
      <w:r>
        <w:t xml:space="preserve">point is that </w:t>
      </w:r>
      <w:r w:rsidR="001D4727">
        <w:t>Coretell</w:t>
      </w:r>
      <w:r>
        <w:t>, as the party seeking to establish</w:t>
      </w:r>
      <w:r w:rsidR="001D4727">
        <w:t xml:space="preserve"> invalidity of the Patents, has</w:t>
      </w:r>
      <w:r>
        <w:t xml:space="preserve"> the onus of establishing this ground of revocation pursuant to s 138(3)(b) of the Act by non-compliance with s 18(1A)(d).  The onus is on </w:t>
      </w:r>
      <w:r w:rsidR="001D4727">
        <w:t xml:space="preserve">Coretell </w:t>
      </w:r>
      <w:r>
        <w:t xml:space="preserve">to prove a ‘secret use’ of the invention </w:t>
      </w:r>
      <w:r w:rsidR="001D4727">
        <w:t xml:space="preserve">occurred </w:t>
      </w:r>
      <w:r>
        <w:t xml:space="preserve">in a manner contrary to s 18(1A)(d) of the Act.  </w:t>
      </w:r>
    </w:p>
    <w:p w:rsidR="00182226" w:rsidRDefault="00182226" w:rsidP="00182226">
      <w:pPr>
        <w:pStyle w:val="ParaNumbering"/>
      </w:pPr>
      <w:r>
        <w:t xml:space="preserve">In my view, it is clear that the onus </w:t>
      </w:r>
      <w:r w:rsidR="001D4727">
        <w:t xml:space="preserve">borne by Coretell includes the onus of establishing </w:t>
      </w:r>
      <w:r>
        <w:t xml:space="preserve">that the use does not fall within any of the categories of use listed in s 9(a) to s 9(d) of the Act, </w:t>
      </w:r>
      <w:r w:rsidR="001D4727">
        <w:t xml:space="preserve">which are </w:t>
      </w:r>
      <w:r>
        <w:t xml:space="preserve">excluded from the definition of ‘secret use’.  It is not apparent to me that s 9 of the Act sets up a positive defence which must be </w:t>
      </w:r>
      <w:r w:rsidR="001D4727">
        <w:t xml:space="preserve">proved </w:t>
      </w:r>
      <w:r>
        <w:t xml:space="preserve">by the party against whom the assertion of secret use is advanced.  Rather, it is necessary for the party on whom the general onus of </w:t>
      </w:r>
      <w:r w:rsidR="001D4727">
        <w:t xml:space="preserve">establishing that </w:t>
      </w:r>
      <w:r>
        <w:t xml:space="preserve">secret use </w:t>
      </w:r>
      <w:r w:rsidR="001D4727">
        <w:t xml:space="preserve">occurred </w:t>
      </w:r>
      <w:r>
        <w:t>to eliminate the uses in s 9(a) to s 9(d) of the Act.</w:t>
      </w:r>
    </w:p>
    <w:p w:rsidR="008D58D7" w:rsidRDefault="00182226" w:rsidP="00182226">
      <w:pPr>
        <w:pStyle w:val="ParaNumbering"/>
      </w:pPr>
      <w:r>
        <w:t>In this particular case very little turns on whose onus it is, but the better view</w:t>
      </w:r>
      <w:r w:rsidR="001D4727">
        <w:t>,</w:t>
      </w:r>
      <w:r>
        <w:t xml:space="preserve"> in my opinion</w:t>
      </w:r>
      <w:r w:rsidR="001D4727">
        <w:t>,</w:t>
      </w:r>
      <w:r>
        <w:t xml:space="preserve"> is that the onus remains on the party asserting secret use</w:t>
      </w:r>
      <w:r w:rsidR="001D4727">
        <w:t xml:space="preserve"> t</w:t>
      </w:r>
      <w:r w:rsidR="00AF5B25">
        <w:t xml:space="preserve">hroughout in proving secret use. </w:t>
      </w:r>
      <w:r w:rsidR="001D4727">
        <w:t xml:space="preserve"> </w:t>
      </w:r>
      <w:r w:rsidR="00AF5B25">
        <w:t>I</w:t>
      </w:r>
      <w:r w:rsidR="001D4727">
        <w:t xml:space="preserve">n this case, </w:t>
      </w:r>
      <w:r w:rsidR="00AF5B25">
        <w:t xml:space="preserve">that party is </w:t>
      </w:r>
      <w:r w:rsidR="001D4727">
        <w:t>Coretell</w:t>
      </w:r>
      <w:r>
        <w:t xml:space="preserve">.  </w:t>
      </w:r>
    </w:p>
    <w:p w:rsidR="00182226" w:rsidRDefault="00182226" w:rsidP="00182226">
      <w:pPr>
        <w:pStyle w:val="ParaNumbering"/>
      </w:pPr>
      <w:r>
        <w:t xml:space="preserve">I note that this approach appears to be consistent with the views expressed by Dowsett J in </w:t>
      </w:r>
      <w:r>
        <w:rPr>
          <w:i/>
        </w:rPr>
        <w:t xml:space="preserve">Grove Hill </w:t>
      </w:r>
      <w:r>
        <w:t xml:space="preserve">when considering authorities relevant to the </w:t>
      </w:r>
      <w:r w:rsidR="008D58D7">
        <w:t>onus of establishing secret use (at [214]-[220]).  His Honour concluded</w:t>
      </w:r>
      <w:r>
        <w:t xml:space="preserve"> in the following terms (at [221]):</w:t>
      </w:r>
    </w:p>
    <w:p w:rsidR="00182226" w:rsidRDefault="008330E2" w:rsidP="00182226">
      <w:pPr>
        <w:pStyle w:val="Quote1"/>
      </w:pPr>
      <w:r>
        <w:t xml:space="preserve">… </w:t>
      </w:r>
      <w:r w:rsidR="00182226">
        <w:t xml:space="preserve">Whilst there may have been an evidential onus upon the </w:t>
      </w:r>
      <w:r w:rsidR="008D58D7">
        <w:t>[patentee]</w:t>
      </w:r>
      <w:r w:rsidR="00182226">
        <w:t xml:space="preserve"> to raise the </w:t>
      </w:r>
      <w:r w:rsidR="00182226">
        <w:lastRenderedPageBreak/>
        <w:t xml:space="preserve">issue of reasonable trial or experiment, and perhaps even to address that issue in so far as it lay within its knowledge, it did so by calling Mr Mansur to give relevant evidence.  </w:t>
      </w:r>
      <w:r w:rsidR="00182226" w:rsidRPr="00C1061E">
        <w:rPr>
          <w:b/>
        </w:rPr>
        <w:t xml:space="preserve">In the end, however, the onus remained upon the </w:t>
      </w:r>
      <w:r w:rsidR="007D0E3A">
        <w:rPr>
          <w:b/>
        </w:rPr>
        <w:t xml:space="preserve">[party alleging secret use] </w:t>
      </w:r>
      <w:r w:rsidR="00182226" w:rsidRPr="00C1061E">
        <w:rPr>
          <w:b/>
        </w:rPr>
        <w:t>to satisfy the Court that there had been a disqualifying secret use, having regard to the combined operation of ss 9 and 18</w:t>
      </w:r>
      <w:r w:rsidR="00182226">
        <w:t>.  Proof of use which may have been for the purpose of trial or experiment only would not have discharged that onus.  It is worth observing that in virtually all cases, the invention in question will have been secretly used for necessary experimental and/or trial purposes.  It cannot have been intended that in proceedings for revocation, the inventor should be put to proof of the reasonableness of such use simply because the applicant for revocation alleges disqualifying secret use.  Such an outcome, if intended, would surely have been directly addressed.</w:t>
      </w:r>
    </w:p>
    <w:p w:rsidR="00182226" w:rsidRDefault="00182226" w:rsidP="00182226">
      <w:pPr>
        <w:pStyle w:val="Quote1"/>
      </w:pPr>
      <w:r>
        <w:t>(emphasis added)</w:t>
      </w:r>
    </w:p>
    <w:p w:rsidR="00182226" w:rsidRDefault="00AE13F1" w:rsidP="00182226">
      <w:pPr>
        <w:pStyle w:val="ParaNumbering"/>
      </w:pPr>
      <w:r>
        <w:t xml:space="preserve">Importantly, his Honour observed in that passage </w:t>
      </w:r>
      <w:r w:rsidR="00182226">
        <w:t xml:space="preserve">that proof of use </w:t>
      </w:r>
      <w:r>
        <w:t xml:space="preserve">which </w:t>
      </w:r>
      <w:r w:rsidR="00182226">
        <w:t xml:space="preserve">may have been for the purpose of trial or experiment only </w:t>
      </w:r>
      <w:r>
        <w:t xml:space="preserve">by the party alleging secret use </w:t>
      </w:r>
      <w:r w:rsidR="00182226">
        <w:t xml:space="preserve">would not have discharged the onus of proving secret use.  I </w:t>
      </w:r>
      <w:r w:rsidR="0060332B">
        <w:t xml:space="preserve">followed that approach </w:t>
      </w:r>
      <w:r w:rsidR="00182226">
        <w:t xml:space="preserve">in </w:t>
      </w:r>
      <w:r w:rsidR="00182226" w:rsidRPr="006A0DA2">
        <w:rPr>
          <w:i/>
        </w:rPr>
        <w:t xml:space="preserve">Bradken </w:t>
      </w:r>
      <w:r>
        <w:t>(at [366]</w:t>
      </w:r>
      <w:r w:rsidR="00182226">
        <w:t>).</w:t>
      </w:r>
    </w:p>
    <w:p w:rsidR="00182226" w:rsidRDefault="00182226" w:rsidP="00182226">
      <w:pPr>
        <w:pStyle w:val="ParaNumbering"/>
      </w:pPr>
      <w:r>
        <w:t xml:space="preserve">It is necessary then to consider the meaning of </w:t>
      </w:r>
      <w:r w:rsidR="00161DC5">
        <w:t>the matters which are ‘not to be taken as secret us</w:t>
      </w:r>
      <w:r w:rsidR="008330E2">
        <w:t>e’, including s 9(a) of the Act</w:t>
      </w:r>
      <w:r w:rsidR="00161DC5">
        <w:t xml:space="preserve"> which is extracted above.  In particular, the meaning of the expression ‘… </w:t>
      </w:r>
      <w:r>
        <w:t>for the purpose of reasonable trial or experiment only</w:t>
      </w:r>
      <w:r w:rsidR="00161DC5">
        <w:t>’</w:t>
      </w:r>
      <w:r w:rsidR="008330E2">
        <w:t>.</w:t>
      </w:r>
      <w:r>
        <w:t xml:space="preserve">  </w:t>
      </w:r>
    </w:p>
    <w:p w:rsidR="00182226" w:rsidRDefault="00E97F49" w:rsidP="00182226">
      <w:pPr>
        <w:pStyle w:val="ParaNumbering"/>
      </w:pPr>
      <w:r>
        <w:t>The principles relevant to what constitutes ‘reasonable tri</w:t>
      </w:r>
      <w:r w:rsidR="008330E2">
        <w:t>al or experiment</w:t>
      </w:r>
      <w:r>
        <w:t xml:space="preserve"> only’ were considered in </w:t>
      </w:r>
      <w:r w:rsidRPr="00E97F49">
        <w:rPr>
          <w:i/>
        </w:rPr>
        <w:t>Grove Hill</w:t>
      </w:r>
      <w:r>
        <w:t xml:space="preserve"> and </w:t>
      </w:r>
      <w:r w:rsidRPr="00E97F49">
        <w:rPr>
          <w:i/>
        </w:rPr>
        <w:t>Bradken</w:t>
      </w:r>
      <w:r>
        <w:t xml:space="preserve">.  </w:t>
      </w:r>
      <w:r w:rsidR="00182226">
        <w:t xml:space="preserve">The view taken by </w:t>
      </w:r>
      <w:r w:rsidR="008330E2">
        <w:t xml:space="preserve">Justice </w:t>
      </w:r>
      <w:r w:rsidR="00182226">
        <w:t xml:space="preserve">Dowsett </w:t>
      </w:r>
      <w:r>
        <w:t xml:space="preserve">in </w:t>
      </w:r>
      <w:r w:rsidRPr="003F1674">
        <w:rPr>
          <w:i/>
        </w:rPr>
        <w:t>Grove Hill</w:t>
      </w:r>
      <w:r>
        <w:t xml:space="preserve"> (at [</w:t>
      </w:r>
      <w:r w:rsidR="008330E2">
        <w:t>2</w:t>
      </w:r>
      <w:r>
        <w:t xml:space="preserve">29]) </w:t>
      </w:r>
      <w:r w:rsidR="00182226">
        <w:t>was that any collateral commercial advantage from ‘field trials’ was irrelevant if the true purpose of the use was for trial</w:t>
      </w:r>
      <w:r>
        <w:t>,</w:t>
      </w:r>
      <w:r w:rsidR="00182226">
        <w:t xml:space="preserve"> and the trial was necessary.  In </w:t>
      </w:r>
      <w:r w:rsidR="00182226">
        <w:rPr>
          <w:i/>
        </w:rPr>
        <w:t>Bradken</w:t>
      </w:r>
      <w:r>
        <w:t>,</w:t>
      </w:r>
      <w:r w:rsidR="00182226">
        <w:rPr>
          <w:i/>
        </w:rPr>
        <w:t xml:space="preserve"> </w:t>
      </w:r>
      <w:r w:rsidR="00182226">
        <w:t xml:space="preserve">I took the view </w:t>
      </w:r>
      <w:r>
        <w:t xml:space="preserve">(at [359]-[360]) </w:t>
      </w:r>
      <w:r w:rsidR="00182226">
        <w:t xml:space="preserve">that the word ‘only’ in s 9(a) of the Act did not exclude the anticipation of </w:t>
      </w:r>
      <w:r w:rsidR="00182226" w:rsidRPr="003F1674">
        <w:rPr>
          <w:b/>
        </w:rPr>
        <w:t>any</w:t>
      </w:r>
      <w:r w:rsidR="00182226">
        <w:t xml:space="preserve"> ultimate commercial benefit </w:t>
      </w:r>
      <w:r>
        <w:t xml:space="preserve">through </w:t>
      </w:r>
      <w:r w:rsidR="00182226">
        <w:t>the use in question</w:t>
      </w:r>
      <w:r>
        <w:t>,</w:t>
      </w:r>
      <w:r w:rsidR="00182226">
        <w:t xml:space="preserve"> as that could be expected to be theoretically present in any case.  </w:t>
      </w:r>
      <w:r>
        <w:t>T</w:t>
      </w:r>
      <w:r w:rsidR="00182226">
        <w:t xml:space="preserve">he approach taken in </w:t>
      </w:r>
      <w:r w:rsidR="00182226">
        <w:rPr>
          <w:i/>
        </w:rPr>
        <w:t xml:space="preserve">Bradken </w:t>
      </w:r>
      <w:r>
        <w:t xml:space="preserve">was intended to accord </w:t>
      </w:r>
      <w:r w:rsidR="00182226">
        <w:t xml:space="preserve">with the approach of Dowsett J in </w:t>
      </w:r>
      <w:r w:rsidR="00182226">
        <w:rPr>
          <w:i/>
        </w:rPr>
        <w:t>Grove Hill</w:t>
      </w:r>
      <w:r w:rsidR="00182226">
        <w:t xml:space="preserve">.  </w:t>
      </w:r>
    </w:p>
    <w:p w:rsidR="00DF5589" w:rsidRDefault="00182226" w:rsidP="00182226">
      <w:pPr>
        <w:pStyle w:val="ParaNumbering"/>
      </w:pPr>
      <w:r>
        <w:t>In my view</w:t>
      </w:r>
      <w:r w:rsidR="00DF5589">
        <w:t>,</w:t>
      </w:r>
      <w:r>
        <w:t xml:space="preserve"> the state of the law is that the concept of ‘reasonable trial and experiment’ itself does not preclude that such trial and experiment be conducted in a circumstance which has in mind an ultimate commercial benefit.  The word ‘only’ must be read in this light, otherwise almost all trial and experiment would be excluded.  To the contrary, it is not intended under the Act that any and all commercial considerations be remove</w:t>
      </w:r>
      <w:r w:rsidR="00DF5589">
        <w:t>d</w:t>
      </w:r>
      <w:r>
        <w:t xml:space="preserve"> from ‘reasonable trial and experiment’.  This would be quite unrealistic and unworkable.  </w:t>
      </w:r>
    </w:p>
    <w:p w:rsidR="00182226" w:rsidRDefault="00182226" w:rsidP="00182226">
      <w:pPr>
        <w:pStyle w:val="ParaNumbering"/>
      </w:pPr>
      <w:r>
        <w:lastRenderedPageBreak/>
        <w:t xml:space="preserve">The question then is whether </w:t>
      </w:r>
      <w:r w:rsidR="00961488">
        <w:t xml:space="preserve">Coretell has </w:t>
      </w:r>
      <w:r>
        <w:t xml:space="preserve">established that the authorised use of the prototype </w:t>
      </w:r>
      <w:r w:rsidR="00BF240F">
        <w:t>ACT Tool</w:t>
      </w:r>
      <w:r>
        <w:t xml:space="preserve"> before the Priority Date was not for the purpose of </w:t>
      </w:r>
      <w:r w:rsidR="00961488">
        <w:t>‘</w:t>
      </w:r>
      <w:r>
        <w:t>reasonable trial and experiment only</w:t>
      </w:r>
      <w:r w:rsidR="00961488">
        <w:t>’</w:t>
      </w:r>
      <w:r>
        <w:t xml:space="preserve"> within the meaning of s 9(a) of the Act.  As </w:t>
      </w:r>
      <w:r w:rsidR="00961488">
        <w:t xml:space="preserve">I have </w:t>
      </w:r>
      <w:r>
        <w:t>already found, the prototype had to be trialled in real world conditions and it was reasonable to do so in different locations</w:t>
      </w:r>
      <w:r w:rsidR="00961488">
        <w:t>, having regard to the different</w:t>
      </w:r>
      <w:r>
        <w:t xml:space="preserve"> conditions experienced in those locations which could affect the nature of the apparatus and the claimed invention.  This </w:t>
      </w:r>
      <w:r w:rsidR="00BF0805">
        <w:t xml:space="preserve">was </w:t>
      </w:r>
      <w:r>
        <w:t xml:space="preserve">discussed in detail in dealing with the prior use case, but </w:t>
      </w:r>
      <w:r w:rsidR="00961488">
        <w:t xml:space="preserve">I reiterate that </w:t>
      </w:r>
      <w:r>
        <w:t>my conclusion</w:t>
      </w:r>
      <w:r w:rsidR="008330E2">
        <w:t>,</w:t>
      </w:r>
      <w:r>
        <w:t xml:space="preserve"> for the reasons already given</w:t>
      </w:r>
      <w:r w:rsidR="00442E34">
        <w:t>,</w:t>
      </w:r>
      <w:r>
        <w:t xml:space="preserve"> is that activities which took place in Australia prior to 3 September 2004 involved the reasonable trial of the </w:t>
      </w:r>
      <w:r w:rsidR="00BF240F">
        <w:t>ACT Tool</w:t>
      </w:r>
      <w:r>
        <w:t xml:space="preserve"> and did not involve any commercial exploitation.  There were no orders for the </w:t>
      </w:r>
      <w:r w:rsidR="00BF240F">
        <w:t>ACT Tool</w:t>
      </w:r>
      <w:r w:rsidR="00961488">
        <w:t xml:space="preserve"> submitted or received before 3 </w:t>
      </w:r>
      <w:r>
        <w:t>September 2004, indeed, there was not a distributorship agreement which would have permitted such commercial dealing until after that date.  While that would not in itself be determinative, the parties made it clear that until the agreement was formally reached, there would be no orders submitted and delivered, either between the applicants and Chardec or from third parties.</w:t>
      </w:r>
    </w:p>
    <w:p w:rsidR="00182226" w:rsidRDefault="00961488" w:rsidP="00182226">
      <w:pPr>
        <w:pStyle w:val="ParaNumbering"/>
      </w:pPr>
      <w:r>
        <w:t xml:space="preserve">Coretell also argues </w:t>
      </w:r>
      <w:r w:rsidR="00182226">
        <w:t xml:space="preserve">that steps undertaken by Mr Parfitt to order parts for the </w:t>
      </w:r>
      <w:r w:rsidR="00BF240F">
        <w:t>ACT Tool</w:t>
      </w:r>
      <w:r w:rsidR="00182226">
        <w:t xml:space="preserve"> involve</w:t>
      </w:r>
      <w:r>
        <w:t>d</w:t>
      </w:r>
      <w:r w:rsidR="00182226">
        <w:t xml:space="preserve"> a use that was not for the purposes of reasonable trial or experiment.  However, such activities did not involve any use of the claimed inventions, namely, the system and the method in the Patents.</w:t>
      </w:r>
    </w:p>
    <w:p w:rsidR="00182226" w:rsidRDefault="00182226" w:rsidP="00182226">
      <w:pPr>
        <w:pStyle w:val="ParaNumbering"/>
      </w:pPr>
      <w:r>
        <w:t xml:space="preserve">To the extent that </w:t>
      </w:r>
      <w:r w:rsidR="00961488">
        <w:t>Coretell relies</w:t>
      </w:r>
      <w:r>
        <w:t xml:space="preserve"> upon the argument that Mr Parfitt himself had no intention of patenting the invention, in my view, this does not assist </w:t>
      </w:r>
      <w:r w:rsidR="00961488">
        <w:t xml:space="preserve">Coretell </w:t>
      </w:r>
      <w:r>
        <w:t xml:space="preserve">as the real question is not </w:t>
      </w:r>
      <w:r w:rsidR="00961488">
        <w:t xml:space="preserve">only </w:t>
      </w:r>
      <w:r>
        <w:t xml:space="preserve">the subjective intention of the inventor was, but what actually occurred in the trial processes.  It was abundantly clear that those who were to file a provisional patent intended to do so.  The whole exercise of trialling the </w:t>
      </w:r>
      <w:r w:rsidR="00BF240F">
        <w:t>ACT Tool</w:t>
      </w:r>
      <w:r>
        <w:t xml:space="preserve"> prototype was occurring in conjunction with preparations for filing a provisional patent and in conjunction with negotiating and arriving at terms on the distributorship agreement.  All </w:t>
      </w:r>
      <w:r w:rsidR="00961488">
        <w:t xml:space="preserve">of </w:t>
      </w:r>
      <w:r>
        <w:t>these things had to come together.  Unless the tool worked in the trials, either modified or unmodified (and the evidence is clear that modifications were made following the trials), clearly the parties would not have reached the ultimate distributorship agreement</w:t>
      </w:r>
      <w:r w:rsidR="00961488">
        <w:t>,</w:t>
      </w:r>
      <w:r>
        <w:t xml:space="preserve"> nor would there have been any purpose in filing a provisional patent.  </w:t>
      </w:r>
    </w:p>
    <w:p w:rsidR="00182226" w:rsidRDefault="00182226" w:rsidP="00182226">
      <w:pPr>
        <w:pStyle w:val="ParaNumbering"/>
      </w:pPr>
      <w:r>
        <w:lastRenderedPageBreak/>
        <w:t xml:space="preserve">In any event, to the extent that the respondents rely upon activity of Mr Parfitt outside of Australia, and it may be that they do not, that activity </w:t>
      </w:r>
      <w:r w:rsidR="00BF0805">
        <w:t xml:space="preserve">could not </w:t>
      </w:r>
      <w:r>
        <w:t>be sec</w:t>
      </w:r>
      <w:r w:rsidR="00961488">
        <w:t>ret use ‘within the patent area</w:t>
      </w:r>
      <w:r>
        <w:t xml:space="preserve">’ </w:t>
      </w:r>
      <w:r w:rsidR="00961488">
        <w:t xml:space="preserve">as required </w:t>
      </w:r>
      <w:r>
        <w:t xml:space="preserve">by s 18(1A)(d) of the Act.  The secret use argument must be rejected.  </w:t>
      </w:r>
    </w:p>
    <w:p w:rsidR="0041690F" w:rsidRDefault="00A20B04" w:rsidP="00EC440C">
      <w:pPr>
        <w:pStyle w:val="ParaNumbering"/>
      </w:pPr>
      <w:r>
        <w:t xml:space="preserve">My assessment of the evidence on the disclosure prior to 3 September 2004 </w:t>
      </w:r>
      <w:r w:rsidR="00961488">
        <w:t xml:space="preserve">was </w:t>
      </w:r>
      <w:r>
        <w:t xml:space="preserve">set out </w:t>
      </w:r>
      <w:r w:rsidR="00961488">
        <w:t xml:space="preserve">above </w:t>
      </w:r>
      <w:r w:rsidR="00442E34">
        <w:t xml:space="preserve">in considerable detail </w:t>
      </w:r>
      <w:r w:rsidR="00961488">
        <w:t xml:space="preserve">in relation to Coretell’s claim of invalidity for lack of novelty due to </w:t>
      </w:r>
      <w:r>
        <w:t xml:space="preserve">prior use.  </w:t>
      </w:r>
    </w:p>
    <w:p w:rsidR="0095420C" w:rsidRDefault="0095420C" w:rsidP="0095420C">
      <w:pPr>
        <w:pStyle w:val="Heading6"/>
      </w:pPr>
      <w:bookmarkStart w:id="126" w:name="_Ref410393879"/>
      <w:bookmarkStart w:id="127" w:name="_Ref436891541"/>
      <w:r>
        <w:t xml:space="preserve">No </w:t>
      </w:r>
      <w:r w:rsidR="006A7B6A">
        <w:t>m</w:t>
      </w:r>
      <w:r>
        <w:t xml:space="preserve">anner of </w:t>
      </w:r>
      <w:r w:rsidR="006A7B6A">
        <w:t>m</w:t>
      </w:r>
      <w:r>
        <w:t>anufacture</w:t>
      </w:r>
      <w:bookmarkEnd w:id="126"/>
      <w:r w:rsidR="00E52B76">
        <w:t xml:space="preserve"> – s 18(1A)(a)</w:t>
      </w:r>
      <w:bookmarkEnd w:id="127"/>
    </w:p>
    <w:p w:rsidR="0095420C" w:rsidRDefault="0095420C" w:rsidP="0095420C">
      <w:pPr>
        <w:pStyle w:val="ParaNumbering"/>
      </w:pPr>
      <w:r>
        <w:t xml:space="preserve">Coretell further contends that each of the Patents is liable to be revoked pursuant to s 138(3)(b) of the Act </w:t>
      </w:r>
      <w:r w:rsidR="00DE78C7">
        <w:t xml:space="preserve">as </w:t>
      </w:r>
      <w:r>
        <w:t xml:space="preserve">there is no subject matter in </w:t>
      </w:r>
      <w:r w:rsidR="00DE78C7">
        <w:t>the P</w:t>
      </w:r>
      <w:r>
        <w:t>atent</w:t>
      </w:r>
      <w:r w:rsidR="00DE78C7">
        <w:t>s</w:t>
      </w:r>
      <w:r>
        <w:t xml:space="preserve"> and no manner of manufacture within the meaning of s 18(1A)(a) of the Act and s 6 of the </w:t>
      </w:r>
      <w:r w:rsidRPr="00C846EF">
        <w:rPr>
          <w:i/>
        </w:rPr>
        <w:t>Statute of Monopolies 1623</w:t>
      </w:r>
      <w:r w:rsidR="00DE78C7">
        <w:t xml:space="preserve"> (UK)</w:t>
      </w:r>
      <w:r>
        <w:t xml:space="preserve">.  </w:t>
      </w:r>
      <w:r w:rsidR="00DE78C7">
        <w:t>Coretell claims that, b</w:t>
      </w:r>
      <w:r>
        <w:t xml:space="preserve">y reason of disclosure to the public of </w:t>
      </w:r>
      <w:r w:rsidR="00DE78C7">
        <w:t xml:space="preserve">the ACT Tool </w:t>
      </w:r>
      <w:r>
        <w:t xml:space="preserve">prior to 3 September 2004, the claims </w:t>
      </w:r>
      <w:r w:rsidR="00DE78C7">
        <w:t xml:space="preserve">of the Patents </w:t>
      </w:r>
      <w:r>
        <w:t xml:space="preserve">are merely to a working direction as a </w:t>
      </w:r>
      <w:r w:rsidR="00DE78C7">
        <w:t>method</w:t>
      </w:r>
      <w:r>
        <w:t xml:space="preserve"> or a </w:t>
      </w:r>
      <w:r w:rsidR="00DE78C7">
        <w:t>system</w:t>
      </w:r>
      <w:r>
        <w:t xml:space="preserve"> for the use </w:t>
      </w:r>
      <w:r w:rsidR="00DE78C7">
        <w:t xml:space="preserve">or performance </w:t>
      </w:r>
      <w:r>
        <w:t>of</w:t>
      </w:r>
      <w:r w:rsidR="00DE78C7">
        <w:t>,</w:t>
      </w:r>
      <w:r>
        <w:t xml:space="preserve"> by then</w:t>
      </w:r>
      <w:r w:rsidR="00DE78C7">
        <w:t>, a</w:t>
      </w:r>
      <w:r>
        <w:t xml:space="preserve"> known and published apparatus in the form of a core orientation tool as described in the Patents in a manner inherently appropriate to the working </w:t>
      </w:r>
      <w:r w:rsidR="00DE78C7">
        <w:t xml:space="preserve">performance </w:t>
      </w:r>
      <w:r>
        <w:t>of the co</w:t>
      </w:r>
      <w:r w:rsidR="006B59A2">
        <w:t>re orientation tool as designed.</w:t>
      </w:r>
    </w:p>
    <w:p w:rsidR="0095420C" w:rsidRDefault="0095420C" w:rsidP="0095420C">
      <w:pPr>
        <w:pStyle w:val="ParaNumbering"/>
      </w:pPr>
      <w:r>
        <w:t>Coretell, in referring to these extensive disclosures, says that they were ‘to the many members of the exploration drilling community to whom the tools were published in the months prior to 3 September 2004’.</w:t>
      </w:r>
      <w:r w:rsidR="00DE78C7">
        <w:t xml:space="preserve">  </w:t>
      </w:r>
      <w:r>
        <w:t>I reject this submission</w:t>
      </w:r>
      <w:r w:rsidR="00DE78C7">
        <w:t xml:space="preserve">. </w:t>
      </w:r>
      <w:r>
        <w:t xml:space="preserve"> </w:t>
      </w:r>
      <w:r w:rsidR="00DE78C7">
        <w:t>I</w:t>
      </w:r>
      <w:r>
        <w:t xml:space="preserve">n my view, the evidence falls dramatically short of the submissions advanced for Coretell.  </w:t>
      </w:r>
    </w:p>
    <w:p w:rsidR="0095420C" w:rsidRDefault="0095420C" w:rsidP="0095420C">
      <w:pPr>
        <w:pStyle w:val="ParaNumbering"/>
      </w:pPr>
      <w:r>
        <w:t xml:space="preserve">On the other hand, I accept that Mr Brown agreed that </w:t>
      </w:r>
      <w:r w:rsidR="009353A6">
        <w:t>Drill Corp</w:t>
      </w:r>
      <w:r>
        <w:t>, Barminco and Mosslake were good potential customers for the new too</w:t>
      </w:r>
      <w:r w:rsidR="00D538B8">
        <w:t>l</w:t>
      </w:r>
      <w:r>
        <w:t xml:space="preserve"> if it worked</w:t>
      </w:r>
      <w:r w:rsidR="00831856">
        <w:t>,</w:t>
      </w:r>
      <w:r>
        <w:t xml:space="preserve"> and I accept that there is some evidence that when the tools were so tested with those entities, information about the tools may leak into the industry generally.  </w:t>
      </w:r>
    </w:p>
    <w:p w:rsidR="0095420C" w:rsidRDefault="0095420C" w:rsidP="0095420C">
      <w:pPr>
        <w:pStyle w:val="ParaNumbering"/>
      </w:pPr>
      <w:r>
        <w:t xml:space="preserve">I do not accept Mr Kleyn’s evidence on this topic.  I do not accept that there </w:t>
      </w:r>
      <w:r w:rsidR="00D538B8">
        <w:t xml:space="preserve">were </w:t>
      </w:r>
      <w:r>
        <w:t>widespread disclosures to the public</w:t>
      </w:r>
      <w:r w:rsidR="00831856">
        <w:t>,</w:t>
      </w:r>
      <w:r>
        <w:t xml:space="preserve"> or even </w:t>
      </w:r>
      <w:r w:rsidR="00D538B8">
        <w:t xml:space="preserve">to </w:t>
      </w:r>
      <w:r>
        <w:t>a relevant section of the public concerned with the tools.  The evidence fell well short of this</w:t>
      </w:r>
      <w:r w:rsidR="00D538B8">
        <w:t>,</w:t>
      </w:r>
      <w:r>
        <w:t xml:space="preserve"> as I </w:t>
      </w:r>
      <w:r w:rsidR="00D538B8">
        <w:t xml:space="preserve">indicated </w:t>
      </w:r>
      <w:r>
        <w:t xml:space="preserve">in detail in </w:t>
      </w:r>
      <w:r w:rsidR="00831856">
        <w:t xml:space="preserve">relation to </w:t>
      </w:r>
      <w:r>
        <w:t>prior use</w:t>
      </w:r>
      <w:r w:rsidR="00D538B8">
        <w:t>.</w:t>
      </w:r>
      <w:r>
        <w:t xml:space="preserve">  I do not accept the factual submission that on or before 3 September 2004 the </w:t>
      </w:r>
      <w:r w:rsidR="00D538B8">
        <w:t>ACT Tool</w:t>
      </w:r>
      <w:r>
        <w:t xml:space="preserve"> was well known and its manner of operation was well understood</w:t>
      </w:r>
      <w:r w:rsidR="00D538B8">
        <w:t xml:space="preserve">, contrary to the sense discussed </w:t>
      </w:r>
      <w:r>
        <w:t xml:space="preserve">by the Full Court in </w:t>
      </w:r>
      <w:r w:rsidRPr="00EC440C">
        <w:rPr>
          <w:i/>
        </w:rPr>
        <w:t xml:space="preserve">Merck &amp; Co Inc v Arrow Pharmaceuticals Limited </w:t>
      </w:r>
      <w:r>
        <w:t xml:space="preserve">(2006) </w:t>
      </w:r>
      <w:r w:rsidRPr="00EC440C">
        <w:t>154</w:t>
      </w:r>
      <w:r>
        <w:t xml:space="preserve"> </w:t>
      </w:r>
      <w:r w:rsidRPr="00EC440C">
        <w:lastRenderedPageBreak/>
        <w:t>FCR</w:t>
      </w:r>
      <w:r>
        <w:t xml:space="preserve"> </w:t>
      </w:r>
      <w:r w:rsidRPr="00EC440C">
        <w:t>31</w:t>
      </w:r>
      <w:r w:rsidR="00D538B8">
        <w:t>, where it was found (at [75]) that the relevant patent specification disclosed ‘no new substance, no new characteristic …, no new use and no new method’</w:t>
      </w:r>
      <w:r>
        <w:t>.</w:t>
      </w:r>
    </w:p>
    <w:p w:rsidR="0054077D" w:rsidRDefault="0095420C" w:rsidP="0095420C">
      <w:pPr>
        <w:pStyle w:val="ParaNumbering"/>
      </w:pPr>
      <w:r>
        <w:t>Coretell argues that ‘</w:t>
      </w:r>
      <w:r w:rsidR="0054077D">
        <w:t>[g]</w:t>
      </w:r>
      <w:r>
        <w:t xml:space="preserve">iven the wide and unguarded disclosures of the </w:t>
      </w:r>
      <w:r w:rsidR="0054077D">
        <w:t>[ACT Tool]</w:t>
      </w:r>
      <w:r>
        <w:t xml:space="preserve">, how it works </w:t>
      </w:r>
      <w:r w:rsidR="0054077D">
        <w:t xml:space="preserve">or </w:t>
      </w:r>
      <w:r>
        <w:t xml:space="preserve">performs </w:t>
      </w:r>
      <w:r w:rsidR="0054077D">
        <w:t xml:space="preserve">as a system or method, </w:t>
      </w:r>
      <w:r>
        <w:t>was already known to interested persons in the field</w:t>
      </w:r>
      <w:r w:rsidR="0054077D">
        <w:t xml:space="preserve"> of exploration drilling’</w:t>
      </w:r>
      <w:r>
        <w:t xml:space="preserve">.  I reject the description of </w:t>
      </w:r>
      <w:r w:rsidR="0054077D">
        <w:t xml:space="preserve">the </w:t>
      </w:r>
      <w:r>
        <w:t>disclosure</w:t>
      </w:r>
      <w:r w:rsidR="0054077D">
        <w:t xml:space="preserve">s as being ‘wide and unguarded’, </w:t>
      </w:r>
      <w:r>
        <w:t xml:space="preserve">and also reject that the evidence establishes the </w:t>
      </w:r>
      <w:r w:rsidR="0054077D">
        <w:t xml:space="preserve">degree of </w:t>
      </w:r>
      <w:r>
        <w:t xml:space="preserve">knowledge for which Coretell contends.  </w:t>
      </w:r>
    </w:p>
    <w:p w:rsidR="0095420C" w:rsidRDefault="0095420C" w:rsidP="0095420C">
      <w:pPr>
        <w:pStyle w:val="ParaNumbering"/>
      </w:pPr>
      <w:r>
        <w:t xml:space="preserve">In addition, it is argued by Coretell that the system of the </w:t>
      </w:r>
      <w:r w:rsidR="003D25A4">
        <w:t>ACT T</w:t>
      </w:r>
      <w:r>
        <w:t>ool and its method of working was so simple and straightforward that the tool was simply left with experienced drillers without the need for any detailed instruction or supervision</w:t>
      </w:r>
      <w:r w:rsidR="003D25A4">
        <w:t xml:space="preserve"> before the Priority Date</w:t>
      </w:r>
      <w:r>
        <w:t xml:space="preserve">.  I reject this submission as to </w:t>
      </w:r>
      <w:r w:rsidR="00D73381">
        <w:t xml:space="preserve">the state of </w:t>
      </w:r>
      <w:r>
        <w:t>the evidence.  I reject entirely this ground of invalidity.</w:t>
      </w:r>
    </w:p>
    <w:p w:rsidR="0095420C" w:rsidRDefault="0095420C" w:rsidP="0095420C">
      <w:pPr>
        <w:pStyle w:val="ParaNumbering"/>
      </w:pPr>
      <w:r>
        <w:t xml:space="preserve">There is nothing on the face of the Patents to suggest that what is claimed is not new or otherwise </w:t>
      </w:r>
      <w:r w:rsidR="00916CA4">
        <w:t xml:space="preserve">lacks </w:t>
      </w:r>
      <w:r>
        <w:t xml:space="preserve">the necessary quality of inventiveness.  There is no admission to </w:t>
      </w:r>
      <w:r w:rsidR="00916CA4">
        <w:t xml:space="preserve">that </w:t>
      </w:r>
      <w:r>
        <w:t xml:space="preserve">effect, nor is any inference open.  </w:t>
      </w:r>
      <w:r w:rsidR="00916CA4">
        <w:t>Both of the Patents claim</w:t>
      </w:r>
      <w:r>
        <w:t xml:space="preserve"> a manne</w:t>
      </w:r>
      <w:r w:rsidR="00916CA4">
        <w:t>r of manufacture which satisfy</w:t>
      </w:r>
      <w:r>
        <w:t xml:space="preserve"> the requirements </w:t>
      </w:r>
      <w:r w:rsidR="00916CA4">
        <w:t xml:space="preserve">outlined in </w:t>
      </w:r>
      <w:r w:rsidRPr="006275F1">
        <w:rPr>
          <w:i/>
        </w:rPr>
        <w:t>Commissioner of Patents v Microcell Ltd</w:t>
      </w:r>
      <w:r w:rsidRPr="006275F1">
        <w:t xml:space="preserve"> (1959) 102 CLR 232</w:t>
      </w:r>
      <w:r>
        <w:t xml:space="preserve">.  </w:t>
      </w:r>
    </w:p>
    <w:p w:rsidR="00C15F05" w:rsidRDefault="002A437B" w:rsidP="00C15F05">
      <w:pPr>
        <w:pStyle w:val="Heading6"/>
      </w:pPr>
      <w:bookmarkStart w:id="128" w:name="_Ref410890373"/>
      <w:bookmarkStart w:id="129" w:name="_Ref436730553"/>
      <w:bookmarkStart w:id="130" w:name="_Ref403035714"/>
      <w:r>
        <w:t>Unjustified t</w:t>
      </w:r>
      <w:r w:rsidR="00C15F05">
        <w:t>hreats</w:t>
      </w:r>
      <w:bookmarkEnd w:id="128"/>
      <w:r w:rsidR="00D9706C">
        <w:t xml:space="preserve"> and the ACL claims</w:t>
      </w:r>
      <w:bookmarkEnd w:id="129"/>
    </w:p>
    <w:p w:rsidR="00C15F05" w:rsidRDefault="00C15F05" w:rsidP="00D867F4">
      <w:pPr>
        <w:pStyle w:val="ParaNumbering"/>
      </w:pPr>
      <w:r>
        <w:t>Coretell contends that threats were made</w:t>
      </w:r>
      <w:r w:rsidR="00571E5B">
        <w:t xml:space="preserve"> within the meaning of s 128 of the Act,</w:t>
      </w:r>
      <w:r>
        <w:t xml:space="preserve"> against</w:t>
      </w:r>
      <w:r w:rsidR="00571E5B">
        <w:t xml:space="preserve"> </w:t>
      </w:r>
      <w:r>
        <w:t>Coretell because the applicants alleged and maintained that Coretell was infringing the Patent</w:t>
      </w:r>
      <w:r w:rsidR="00D867F4">
        <w:t xml:space="preserve">s, </w:t>
      </w:r>
      <w:r>
        <w:t>and</w:t>
      </w:r>
      <w:r w:rsidR="00D867F4">
        <w:t xml:space="preserve"> also DHS</w:t>
      </w:r>
      <w:r>
        <w:t>, as a customer or</w:t>
      </w:r>
      <w:r w:rsidR="00D867F4">
        <w:t xml:space="preserve"> potential customer of Coretell,</w:t>
      </w:r>
      <w:r>
        <w:t xml:space="preserve"> because the applicants notified it that it had commenced this proceeding and recommended </w:t>
      </w:r>
      <w:r w:rsidR="00D867F4">
        <w:t xml:space="preserve">that </w:t>
      </w:r>
      <w:r>
        <w:t>it seek independent legal advice.</w:t>
      </w:r>
    </w:p>
    <w:p w:rsidR="00C15F05" w:rsidRDefault="00C15F05" w:rsidP="00C15F05">
      <w:pPr>
        <w:pStyle w:val="ParaNumbering"/>
      </w:pPr>
      <w:r>
        <w:t>Coretell further alleges that:</w:t>
      </w:r>
    </w:p>
    <w:p w:rsidR="00C15F05" w:rsidRDefault="00C15F05" w:rsidP="001332BE">
      <w:pPr>
        <w:pStyle w:val="ListNo"/>
        <w:numPr>
          <w:ilvl w:val="0"/>
          <w:numId w:val="32"/>
        </w:numPr>
        <w:tabs>
          <w:tab w:val="clear" w:pos="720"/>
        </w:tabs>
      </w:pPr>
      <w:r>
        <w:t xml:space="preserve">the unjustified threats to </w:t>
      </w:r>
      <w:r w:rsidR="00D867F4">
        <w:t xml:space="preserve">DHS </w:t>
      </w:r>
      <w:r>
        <w:t>would also be understood to mean that the Patents would be found to be valid and enforceable, the respondents would be found to have infringed the Patents and the applicants would succeed in the proceeding;</w:t>
      </w:r>
    </w:p>
    <w:p w:rsidR="00C15F05" w:rsidRDefault="00C15F05" w:rsidP="001332BE">
      <w:pPr>
        <w:pStyle w:val="ListNo"/>
        <w:numPr>
          <w:ilvl w:val="0"/>
          <w:numId w:val="32"/>
        </w:numPr>
        <w:tabs>
          <w:tab w:val="clear" w:pos="720"/>
        </w:tabs>
      </w:pPr>
      <w:r>
        <w:t>those statements were false and published maliciously;</w:t>
      </w:r>
    </w:p>
    <w:p w:rsidR="00C15F05" w:rsidRDefault="00C15F05" w:rsidP="001332BE">
      <w:pPr>
        <w:pStyle w:val="ListNo"/>
        <w:numPr>
          <w:ilvl w:val="0"/>
          <w:numId w:val="32"/>
        </w:numPr>
        <w:tabs>
          <w:tab w:val="clear" w:pos="720"/>
        </w:tabs>
      </w:pPr>
      <w:r>
        <w:lastRenderedPageBreak/>
        <w:t>those statements were calculated to cause Coretell’s customers or potential customers to avoid or cease business dealings with Coretell and to cause pecuniary damage to Coretell; and</w:t>
      </w:r>
    </w:p>
    <w:p w:rsidR="00C15F05" w:rsidRDefault="00C15F05" w:rsidP="001332BE">
      <w:pPr>
        <w:pStyle w:val="ListNo"/>
        <w:numPr>
          <w:ilvl w:val="0"/>
          <w:numId w:val="32"/>
        </w:numPr>
        <w:tabs>
          <w:tab w:val="clear" w:pos="720"/>
        </w:tabs>
      </w:pPr>
      <w:r>
        <w:t>Coretell has been injured and suffered general loss in its business and loss and damage.</w:t>
      </w:r>
    </w:p>
    <w:p w:rsidR="00C15F05" w:rsidRDefault="00C15F05" w:rsidP="00C15F05">
      <w:pPr>
        <w:pStyle w:val="ParaNumbering"/>
      </w:pPr>
      <w:r>
        <w:t xml:space="preserve">Coretell further alleges that the unjustified threat to </w:t>
      </w:r>
      <w:r w:rsidR="00D867F4">
        <w:t xml:space="preserve">DHS </w:t>
      </w:r>
      <w:r>
        <w:t xml:space="preserve">also amounted to a future representation that the Patents would be found to be valid and enforceable, the respondents would be found to have infringed the Patents and the applicant would succeed in the proceeding, which representations were false or alternatively misleading or deceptive, in contravention of s 18(1) of the </w:t>
      </w:r>
      <w:r w:rsidR="00A46AC8">
        <w:t>ACL.</w:t>
      </w:r>
    </w:p>
    <w:p w:rsidR="008630A3" w:rsidRDefault="00C15F05" w:rsidP="00C15F05">
      <w:pPr>
        <w:pStyle w:val="ParaNumbering"/>
      </w:pPr>
      <w:r>
        <w:t xml:space="preserve">The applicants admit sending the letter dated 6 December 2011 to </w:t>
      </w:r>
      <w:r w:rsidR="00F027DC">
        <w:t>DHS</w:t>
      </w:r>
      <w:r w:rsidR="006D4095">
        <w:t>,</w:t>
      </w:r>
      <w:r w:rsidR="00F027DC">
        <w:t xml:space="preserve"> </w:t>
      </w:r>
      <w:r w:rsidR="006D4095">
        <w:t>but deny it gives</w:t>
      </w:r>
      <w:r>
        <w:t xml:space="preserve"> rise to an entitlement to pecuniary relief arising out of the threats</w:t>
      </w:r>
      <w:r w:rsidR="008630A3">
        <w:t xml:space="preserve"> or representations</w:t>
      </w:r>
      <w:r>
        <w:t xml:space="preserve">. </w:t>
      </w:r>
      <w:r w:rsidR="00F027DC">
        <w:t xml:space="preserve"> </w:t>
      </w:r>
    </w:p>
    <w:p w:rsidR="00C15F05" w:rsidRDefault="008630A3" w:rsidP="00C15F05">
      <w:pPr>
        <w:pStyle w:val="ParaNumbering"/>
      </w:pPr>
      <w:r>
        <w:t xml:space="preserve">These claims by </w:t>
      </w:r>
      <w:r w:rsidR="006D4095">
        <w:t xml:space="preserve">Coretell </w:t>
      </w:r>
      <w:r w:rsidR="002A167F">
        <w:t xml:space="preserve">cannot succeed in light of the conclusion that I have reached in favour of the applicants on infringement.  </w:t>
      </w:r>
    </w:p>
    <w:p w:rsidR="00DB2308" w:rsidRDefault="00DB2308" w:rsidP="00DB2308">
      <w:pPr>
        <w:pStyle w:val="Heading5"/>
      </w:pPr>
      <w:bookmarkStart w:id="131" w:name="_Ref410890374"/>
      <w:r>
        <w:t>CONCLUSION</w:t>
      </w:r>
      <w:bookmarkEnd w:id="130"/>
      <w:bookmarkEnd w:id="131"/>
    </w:p>
    <w:p w:rsidR="004F0147" w:rsidRDefault="00F45AD5" w:rsidP="00DB2308">
      <w:pPr>
        <w:pStyle w:val="ParaNumbering"/>
      </w:pPr>
      <w:r>
        <w:t xml:space="preserve">It has been agreed </w:t>
      </w:r>
      <w:r w:rsidR="00164C33">
        <w:t xml:space="preserve">that the granting of any relief, and it will </w:t>
      </w:r>
      <w:r>
        <w:t xml:space="preserve">be in favour of the applicants only, should be </w:t>
      </w:r>
      <w:r w:rsidR="00386EB4">
        <w:t>deferred until after delivery of these reasons.  It should be apparent from the foregoing, however, that I</w:t>
      </w:r>
      <w:r w:rsidR="006D4095">
        <w:t xml:space="preserve"> have</w:t>
      </w:r>
      <w:r w:rsidR="00386EB4">
        <w:t xml:space="preserve"> found that the Patents are valid and that they have been infringed.  </w:t>
      </w:r>
      <w:r w:rsidR="001C17AC">
        <w:t xml:space="preserve">Obviously, the consequences of </w:t>
      </w:r>
      <w:r w:rsidR="004F0147">
        <w:t xml:space="preserve">those conclusions </w:t>
      </w:r>
      <w:r w:rsidR="001C17AC">
        <w:t xml:space="preserve">will require </w:t>
      </w:r>
      <w:r w:rsidR="004F0147">
        <w:t>consideration</w:t>
      </w:r>
      <w:r w:rsidR="001C17AC">
        <w:t xml:space="preserve">.  </w:t>
      </w:r>
    </w:p>
    <w:p w:rsidR="00DB2308" w:rsidRPr="00DB2308" w:rsidRDefault="001C17AC" w:rsidP="00DB2308">
      <w:pPr>
        <w:pStyle w:val="ParaNumbering"/>
      </w:pPr>
      <w:r>
        <w:t xml:space="preserve">The cross-claim will be dismissed.  Other questions, such as post-expiry injunctions can be the subject of specific submissions.  </w:t>
      </w:r>
    </w:p>
    <w:p w:rsidR="00DC70D7" w:rsidRDefault="00DC70D7" w:rsidP="00DC70D7">
      <w:pPr>
        <w:pStyle w:val="ParaNumbering"/>
      </w:pPr>
      <w:r>
        <w:t>On the basis for the foregoi</w:t>
      </w:r>
      <w:r w:rsidR="006D4095">
        <w:t>ng, I make the following orders:</w:t>
      </w:r>
    </w:p>
    <w:p w:rsidR="00FE1696" w:rsidRDefault="003520E7" w:rsidP="001332BE">
      <w:pPr>
        <w:pStyle w:val="ListNo"/>
        <w:numPr>
          <w:ilvl w:val="0"/>
          <w:numId w:val="61"/>
        </w:numPr>
        <w:tabs>
          <w:tab w:val="clear" w:pos="720"/>
        </w:tabs>
      </w:pPr>
      <w:r>
        <w:t>The A</w:t>
      </w:r>
      <w:r w:rsidR="00FE1696">
        <w:t>pplicants file and serve a minute of orders reflecting these reasons within 30 days.</w:t>
      </w:r>
    </w:p>
    <w:p w:rsidR="00FE1696" w:rsidRDefault="003520E7" w:rsidP="001332BE">
      <w:pPr>
        <w:pStyle w:val="ListNo"/>
        <w:numPr>
          <w:ilvl w:val="0"/>
          <w:numId w:val="61"/>
        </w:numPr>
        <w:tabs>
          <w:tab w:val="clear" w:pos="720"/>
        </w:tabs>
      </w:pPr>
      <w:r>
        <w:t>The R</w:t>
      </w:r>
      <w:r w:rsidR="00FE1696">
        <w:t>espondents file any responsive material within a further 21 days.</w:t>
      </w:r>
    </w:p>
    <w:p w:rsidR="00FE1696" w:rsidRDefault="00FE1696" w:rsidP="001332BE">
      <w:pPr>
        <w:pStyle w:val="ListNo"/>
        <w:numPr>
          <w:ilvl w:val="0"/>
          <w:numId w:val="61"/>
        </w:numPr>
        <w:tabs>
          <w:tab w:val="clear" w:pos="720"/>
        </w:tabs>
      </w:pPr>
      <w:r>
        <w:t>A further directions hearing be scheduled in late February 2016 to make and/or program the making of orders consequent upon these reasons and directions as to the future conduct of the proceeding.</w:t>
      </w:r>
    </w:p>
    <w:p w:rsidR="00195F72" w:rsidRDefault="00195F72" w:rsidP="00195F72">
      <w:pPr>
        <w:pStyle w:val="ListNo"/>
      </w:pPr>
    </w:p>
    <w:tbl>
      <w:tblPr>
        <w:tblW w:w="0" w:type="auto"/>
        <w:tblLook w:val="04A0" w:firstRow="1" w:lastRow="0" w:firstColumn="1" w:lastColumn="0" w:noHBand="0" w:noVBand="1"/>
      </w:tblPr>
      <w:tblGrid>
        <w:gridCol w:w="3794"/>
      </w:tblGrid>
      <w:tr w:rsidR="00C508B9" w:rsidRPr="00AA6AFE" w:rsidTr="000F175D">
        <w:tc>
          <w:tcPr>
            <w:tcW w:w="3794" w:type="dxa"/>
            <w:shd w:val="clear" w:color="auto" w:fill="auto"/>
          </w:tcPr>
          <w:p w:rsidR="00C508B9" w:rsidRPr="00AA6AFE" w:rsidRDefault="00C508B9" w:rsidP="00C508B9">
            <w:pPr>
              <w:pStyle w:val="Normal1linespace"/>
            </w:pPr>
            <w:r w:rsidRPr="00AA6AFE">
              <w:t xml:space="preserve">I certify that the preceding </w:t>
            </w:r>
            <w:bookmarkStart w:id="132" w:name="NumberWord"/>
            <w:r>
              <w:t xml:space="preserve">seven </w:t>
            </w:r>
            <w:r>
              <w:lastRenderedPageBreak/>
              <w:t xml:space="preserve">hundred and </w:t>
            </w:r>
            <w:bookmarkEnd w:id="132"/>
            <w:r w:rsidR="006A6DB4">
              <w:t>seventy-two</w:t>
            </w:r>
            <w:r w:rsidRPr="00AA6AFE">
              <w:t xml:space="preserve"> (</w:t>
            </w:r>
            <w:bookmarkStart w:id="133" w:name="NumberNumeral"/>
            <w:r>
              <w:t>7</w:t>
            </w:r>
            <w:bookmarkEnd w:id="133"/>
            <w:r w:rsidR="006A6DB4">
              <w:t>72</w:t>
            </w:r>
            <w:r w:rsidRPr="00AA6AFE">
              <w:t xml:space="preserve">) numbered </w:t>
            </w:r>
            <w:bookmarkStart w:id="134" w:name="CertPara"/>
            <w:r>
              <w:t>paragraphs are</w:t>
            </w:r>
            <w:bookmarkEnd w:id="134"/>
            <w:r w:rsidRPr="00AA6AFE">
              <w:t xml:space="preserve"> a true copy of the Reasons for Judgment herein of the Honourable </w:t>
            </w:r>
            <w:bookmarkStart w:id="135" w:name="Justice"/>
            <w:r>
              <w:t>Justice McKerracher</w:t>
            </w:r>
            <w:bookmarkEnd w:id="135"/>
            <w:r w:rsidRPr="00AA6AFE">
              <w:t>.</w:t>
            </w:r>
          </w:p>
        </w:tc>
      </w:tr>
    </w:tbl>
    <w:p w:rsidR="00C508B9" w:rsidRDefault="00C508B9" w:rsidP="00C508B9"/>
    <w:p w:rsidR="00C508B9" w:rsidRDefault="00C508B9" w:rsidP="00C508B9">
      <w:bookmarkStart w:id="136" w:name="_GoBack"/>
      <w:bookmarkEnd w:id="136"/>
    </w:p>
    <w:p w:rsidR="00C508B9" w:rsidRDefault="00C508B9" w:rsidP="00C508B9"/>
    <w:p w:rsidR="00C508B9" w:rsidRDefault="00C508B9" w:rsidP="00C508B9">
      <w:pPr>
        <w:suppressAutoHyphens/>
      </w:pPr>
      <w:r>
        <w:t>Associate:</w:t>
      </w:r>
      <w:r w:rsidR="00312998">
        <w:t xml:space="preserve">  </w:t>
      </w:r>
    </w:p>
    <w:p w:rsidR="00C508B9" w:rsidRDefault="00C508B9" w:rsidP="00C508B9">
      <w:pPr>
        <w:suppressAutoHyphens/>
      </w:pPr>
    </w:p>
    <w:p w:rsidR="00C508B9" w:rsidRDefault="00C508B9" w:rsidP="00C508B9">
      <w:pPr>
        <w:tabs>
          <w:tab w:val="left" w:pos="1134"/>
        </w:tabs>
        <w:suppressAutoHyphens/>
      </w:pPr>
      <w:r>
        <w:t>Dated:</w:t>
      </w:r>
      <w:r>
        <w:tab/>
      </w:r>
      <w:bookmarkStart w:id="137" w:name="CertifyDated"/>
      <w:r>
        <w:t>4 December 201</w:t>
      </w:r>
      <w:bookmarkEnd w:id="137"/>
      <w:r>
        <w:t>5</w:t>
      </w:r>
    </w:p>
    <w:p w:rsidR="00146F6C" w:rsidRDefault="00146F6C" w:rsidP="00146F6C">
      <w:pPr>
        <w:pStyle w:val="ListNo"/>
      </w:pPr>
    </w:p>
    <w:p w:rsidR="00146F6C" w:rsidRDefault="00146F6C" w:rsidP="00146F6C">
      <w:pPr>
        <w:pStyle w:val="ListNo"/>
      </w:pPr>
    </w:p>
    <w:p w:rsidR="008D4DCF" w:rsidRDefault="00146F6C" w:rsidP="00F86BC2">
      <w:pPr>
        <w:pStyle w:val="Heading1"/>
      </w:pPr>
      <w:r>
        <w:br w:type="page"/>
      </w:r>
      <w:bookmarkStart w:id="138" w:name="_Ref436891542"/>
      <w:r w:rsidR="001C0A77">
        <w:lastRenderedPageBreak/>
        <w:t xml:space="preserve">APPENDIX </w:t>
      </w:r>
      <w:r w:rsidR="008D4DCF" w:rsidRPr="008D4DCF">
        <w:t>A</w:t>
      </w:r>
      <w:bookmarkEnd w:id="138"/>
    </w:p>
    <w:p w:rsidR="00325355" w:rsidRPr="00325355" w:rsidRDefault="00325355" w:rsidP="00345001">
      <w:pPr>
        <w:pStyle w:val="NoNum"/>
      </w:pPr>
      <w:r>
        <w:t>The figures are as follows:</w:t>
      </w:r>
    </w:p>
    <w:p w:rsidR="00CA33CA" w:rsidRPr="00AA6AFE" w:rsidRDefault="0038403B" w:rsidP="00196D76">
      <w:pPr>
        <w:rPr>
          <w:highlight w:val="yellow"/>
        </w:rPr>
      </w:pPr>
      <w:r>
        <w:rPr>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84.25pt">
            <v:imagedata r:id="rId12" o:title="image2015-01-13-145530-16"/>
          </v:shape>
        </w:pict>
      </w:r>
    </w:p>
    <w:p w:rsidR="00772C28" w:rsidRDefault="0038403B" w:rsidP="00BD081A">
      <w:r>
        <w:lastRenderedPageBreak/>
        <w:pict>
          <v:shape id="_x0000_i1026" type="#_x0000_t75" style="width:451.5pt;height:638.25pt">
            <v:imagedata r:id="rId13" o:title="image2015-01-13-145530-17"/>
          </v:shape>
        </w:pict>
      </w:r>
      <w:r>
        <w:lastRenderedPageBreak/>
        <w:pict>
          <v:shape id="_x0000_i1027" type="#_x0000_t75" style="width:451.5pt;height:638.25pt">
            <v:imagedata r:id="rId14" o:title="image2015-01-13-145530-18"/>
          </v:shape>
        </w:pict>
      </w:r>
      <w:r>
        <w:lastRenderedPageBreak/>
        <w:pict>
          <v:shape id="_x0000_i1028" type="#_x0000_t75" style="width:451.5pt;height:638.25pt">
            <v:imagedata r:id="rId15" o:title="image2015-01-13-145530-19"/>
          </v:shape>
        </w:pict>
      </w:r>
      <w:r>
        <w:lastRenderedPageBreak/>
        <w:pict>
          <v:shape id="_x0000_i1029" type="#_x0000_t75" style="width:451.5pt;height:638.25pt">
            <v:imagedata r:id="rId16" o:title="image2015-01-13-145530-20"/>
          </v:shape>
        </w:pict>
      </w:r>
      <w:r>
        <w:lastRenderedPageBreak/>
        <w:pict>
          <v:shape id="_x0000_i1030" type="#_x0000_t75" style="width:451.5pt;height:638.25pt">
            <v:imagedata r:id="rId17" o:title="image2015-01-13-145530-21"/>
          </v:shape>
        </w:pict>
      </w:r>
    </w:p>
    <w:p w:rsidR="00CC3EC3" w:rsidRDefault="00CC3EC3" w:rsidP="00630735">
      <w:pPr>
        <w:pStyle w:val="Heading1"/>
      </w:pPr>
      <w:r>
        <w:br w:type="page"/>
      </w:r>
      <w:bookmarkStart w:id="139" w:name="_Ref409424813"/>
      <w:bookmarkStart w:id="140" w:name="_Ref437347546"/>
      <w:r>
        <w:lastRenderedPageBreak/>
        <w:t>APPENDIX B</w:t>
      </w:r>
      <w:bookmarkEnd w:id="139"/>
      <w:r w:rsidR="008C6362">
        <w:t xml:space="preserve"> - RULINGS</w:t>
      </w:r>
      <w:bookmarkEnd w:id="140"/>
    </w:p>
    <w:p w:rsidR="00CC3EC3" w:rsidRDefault="00B624F9" w:rsidP="00345001">
      <w:pPr>
        <w:pStyle w:val="ListNo"/>
        <w:numPr>
          <w:ilvl w:val="0"/>
          <w:numId w:val="63"/>
        </w:numPr>
        <w:tabs>
          <w:tab w:val="clear" w:pos="720"/>
        </w:tabs>
      </w:pPr>
      <w:r>
        <w:t xml:space="preserve">I have annexed evidentiary reasons for two rulings given in the course of the trial.  </w:t>
      </w:r>
    </w:p>
    <w:p w:rsidR="00345001" w:rsidRPr="00345001" w:rsidRDefault="00345001" w:rsidP="00345001">
      <w:pPr>
        <w:rPr>
          <w:b/>
        </w:rPr>
      </w:pPr>
      <w:bookmarkStart w:id="141" w:name="_Ref409425056"/>
      <w:r w:rsidRPr="00345001">
        <w:rPr>
          <w:b/>
        </w:rPr>
        <w:t>RULING MADE ON 30 APRIL 2014 (Day 10 of the trial):</w:t>
      </w:r>
      <w:bookmarkEnd w:id="141"/>
    </w:p>
    <w:p w:rsidR="00245959" w:rsidRDefault="00CC3EC3" w:rsidP="00345001">
      <w:pPr>
        <w:pStyle w:val="ListNo"/>
        <w:numPr>
          <w:ilvl w:val="0"/>
          <w:numId w:val="63"/>
        </w:numPr>
        <w:tabs>
          <w:tab w:val="clear" w:pos="720"/>
        </w:tabs>
      </w:pPr>
      <w:r>
        <w:t>In his second affidavit, sworn on 30 October 2013</w:t>
      </w:r>
      <w:r w:rsidR="00575247">
        <w:t>.</w:t>
      </w:r>
      <w:r>
        <w:t xml:space="preserve"> with the benefit of some discovery and some affidavits </w:t>
      </w:r>
      <w:r w:rsidR="009372E5">
        <w:t xml:space="preserve">sworn in response </w:t>
      </w:r>
      <w:r>
        <w:t xml:space="preserve">to his first affidavit, Mr </w:t>
      </w:r>
      <w:r w:rsidR="009372E5">
        <w:t>Bradford</w:t>
      </w:r>
      <w:r>
        <w:t xml:space="preserve"> swore a 4</w:t>
      </w:r>
      <w:r w:rsidR="009372E5">
        <w:t>8</w:t>
      </w:r>
      <w:r>
        <w:t xml:space="preserve"> page affidavit in reply to the affidavits for the applicants which take substantial issue with the conten</w:t>
      </w:r>
      <w:r w:rsidR="00245959">
        <w:t>ts of his first affidavit.  It wa</w:t>
      </w:r>
      <w:r>
        <w:t xml:space="preserve">s clear that there </w:t>
      </w:r>
      <w:r w:rsidR="00245959">
        <w:t>wa</w:t>
      </w:r>
      <w:r>
        <w:t xml:space="preserve">s a very stark distinction between the evidence to be adduced by the applicants and the respondents about events </w:t>
      </w:r>
      <w:r w:rsidR="009372E5">
        <w:t>that took place in 2003 and 2004</w:t>
      </w:r>
      <w:r>
        <w:t xml:space="preserve">.  </w:t>
      </w:r>
    </w:p>
    <w:p w:rsidR="00CC3EC3" w:rsidRDefault="00CC3EC3" w:rsidP="00345001">
      <w:pPr>
        <w:pStyle w:val="ListNo"/>
        <w:numPr>
          <w:ilvl w:val="0"/>
          <w:numId w:val="63"/>
        </w:numPr>
        <w:tabs>
          <w:tab w:val="clear" w:pos="720"/>
        </w:tabs>
      </w:pPr>
      <w:r>
        <w:t xml:space="preserve">The objection </w:t>
      </w:r>
      <w:r w:rsidR="005961E6">
        <w:t xml:space="preserve">in issue </w:t>
      </w:r>
      <w:r w:rsidR="00245959">
        <w:t xml:space="preserve">arose </w:t>
      </w:r>
      <w:r>
        <w:t xml:space="preserve">in respect of a paragraph of the second affidavit </w:t>
      </w:r>
      <w:r w:rsidR="005961E6">
        <w:t xml:space="preserve">which deals </w:t>
      </w:r>
      <w:r>
        <w:t xml:space="preserve">with the use of the </w:t>
      </w:r>
      <w:r w:rsidR="005961E6">
        <w:t>ACT Tool</w:t>
      </w:r>
      <w:r>
        <w:t xml:space="preserve"> subsequent to May 2004</w:t>
      </w:r>
      <w:r w:rsidR="005961E6">
        <w:t xml:space="preserve">. </w:t>
      </w:r>
      <w:r>
        <w:t xml:space="preserve"> </w:t>
      </w:r>
      <w:r w:rsidR="005961E6">
        <w:t xml:space="preserve">The </w:t>
      </w:r>
      <w:r>
        <w:t xml:space="preserve">evidence </w:t>
      </w:r>
      <w:r w:rsidR="00245959">
        <w:t xml:space="preserve">was sought to be </w:t>
      </w:r>
      <w:r>
        <w:t>adduced (at [109]) as follows:</w:t>
      </w:r>
    </w:p>
    <w:p w:rsidR="00CC3EC3" w:rsidRDefault="005961E6" w:rsidP="00345001">
      <w:pPr>
        <w:pStyle w:val="Quote1"/>
        <w:ind w:left="1440"/>
      </w:pPr>
      <w:r>
        <w:t xml:space="preserve">… </w:t>
      </w:r>
      <w:r w:rsidR="00CC3EC3">
        <w:t xml:space="preserve">As noted above, the core orientation tool with </w:t>
      </w:r>
      <w:r>
        <w:t>serial</w:t>
      </w:r>
      <w:r w:rsidR="00CC3EC3">
        <w:t xml:space="preserve"> number 0001 was sent back to Mr Parfitt in the United Kingdom for inspection on or about 24 June 2004 and was returned to Ace Drilling not long afterwards. I refer to confidential exhibit CB-20, being the email from Ms </w:t>
      </w:r>
      <w:r>
        <w:t>Gregg</w:t>
      </w:r>
      <w:r w:rsidR="00CC3EC3">
        <w:t xml:space="preserve"> to myself and Mr Reid dated 23 June 2004</w:t>
      </w:r>
      <w:r>
        <w:t>,</w:t>
      </w:r>
      <w:r w:rsidR="00CC3EC3">
        <w:t xml:space="preserve"> and an email from me to Mr Parfitt dated 24 June 2004.  Between 26 May 2004 and 2</w:t>
      </w:r>
      <w:r>
        <w:t>4</w:t>
      </w:r>
      <w:r w:rsidR="00CC3EC3">
        <w:t xml:space="preserve"> June 2004, core orientation tool 0001 continued to be used in the field in Australia.  The tools were given to clients who were considered good customers of </w:t>
      </w:r>
      <w:r w:rsidR="00CC3EC3" w:rsidRPr="005961E6">
        <w:t>Ace Drilling</w:t>
      </w:r>
      <w:r w:rsidR="00575247">
        <w:t>…</w:t>
      </w:r>
      <w:r w:rsidR="00CC3EC3">
        <w:t xml:space="preserve">  </w:t>
      </w:r>
    </w:p>
    <w:p w:rsidR="00345001" w:rsidRDefault="00345001" w:rsidP="00CC3EC3">
      <w:pPr>
        <w:pStyle w:val="Quote1"/>
      </w:pPr>
    </w:p>
    <w:p w:rsidR="00CC3EC3" w:rsidRDefault="00CC3EC3" w:rsidP="00345001">
      <w:pPr>
        <w:pStyle w:val="ListNo"/>
        <w:numPr>
          <w:ilvl w:val="0"/>
          <w:numId w:val="64"/>
        </w:numPr>
        <w:tabs>
          <w:tab w:val="clear" w:pos="720"/>
        </w:tabs>
      </w:pPr>
      <w:r>
        <w:t xml:space="preserve">Objection was taken and upheld to a passage which followed the </w:t>
      </w:r>
      <w:r w:rsidR="005961E6">
        <w:t xml:space="preserve">passage extracted above </w:t>
      </w:r>
      <w:r>
        <w:t xml:space="preserve">and read in the following terms ‘… and showed some interest in hiring the tools’.  </w:t>
      </w:r>
    </w:p>
    <w:p w:rsidR="00CC3EC3" w:rsidRDefault="00CC3EC3" w:rsidP="00345001">
      <w:pPr>
        <w:pStyle w:val="ListNo"/>
        <w:numPr>
          <w:ilvl w:val="0"/>
          <w:numId w:val="64"/>
        </w:numPr>
        <w:tabs>
          <w:tab w:val="clear" w:pos="720"/>
        </w:tabs>
      </w:pPr>
      <w:r>
        <w:t xml:space="preserve">I </w:t>
      </w:r>
      <w:r w:rsidR="00C32382">
        <w:t>granted</w:t>
      </w:r>
      <w:r>
        <w:t xml:space="preserve"> </w:t>
      </w:r>
      <w:r w:rsidR="005961E6">
        <w:t xml:space="preserve">senior counsel for the respondents </w:t>
      </w:r>
      <w:r w:rsidR="00C32382">
        <w:t xml:space="preserve">leave </w:t>
      </w:r>
      <w:r>
        <w:t>to develop that point in examination in chief.  In examination in chief the following exchanges occurred:</w:t>
      </w:r>
    </w:p>
    <w:p w:rsidR="00CC3EC3" w:rsidRDefault="00CC3EC3" w:rsidP="00345001">
      <w:pPr>
        <w:pStyle w:val="Quote1"/>
        <w:ind w:left="1440"/>
      </w:pPr>
      <w:r>
        <w:t xml:space="preserve">And you might remember – and you’ve given evidence about these tools going out to various drilling sites and demonstrations with various customers, or being shown to various customers, to use the word neutrally.  </w:t>
      </w:r>
      <w:r w:rsidR="005961E6">
        <w:t>Do you remember that?---</w:t>
      </w:r>
      <w:r>
        <w:t>Yes.</w:t>
      </w:r>
    </w:p>
    <w:p w:rsidR="00CC3EC3" w:rsidRDefault="00CC3EC3" w:rsidP="00345001">
      <w:pPr>
        <w:pStyle w:val="Quote1"/>
        <w:ind w:left="1440"/>
      </w:pPr>
    </w:p>
    <w:p w:rsidR="00CC3EC3" w:rsidRDefault="00CC3EC3" w:rsidP="00345001">
      <w:pPr>
        <w:pStyle w:val="Quote1"/>
        <w:ind w:left="1440"/>
      </w:pPr>
      <w:r>
        <w:t>And that</w:t>
      </w:r>
      <w:r w:rsidR="005961E6">
        <w:t xml:space="preserve"> had finished about May 2004?---</w:t>
      </w:r>
      <w:r>
        <w:t>Yes.</w:t>
      </w:r>
    </w:p>
    <w:p w:rsidR="00CC3EC3" w:rsidRDefault="00CC3EC3" w:rsidP="00345001">
      <w:pPr>
        <w:pStyle w:val="Quote1"/>
        <w:ind w:left="1440"/>
      </w:pPr>
    </w:p>
    <w:p w:rsidR="00CC3EC3" w:rsidRDefault="00CC3EC3" w:rsidP="00345001">
      <w:pPr>
        <w:pStyle w:val="Quote1"/>
        <w:ind w:left="1440"/>
      </w:pPr>
      <w:r>
        <w:t>Speak up a bit, Mr Bradford, if you?</w:t>
      </w:r>
      <w:r w:rsidR="005961E6">
        <w:t>---</w:t>
      </w:r>
      <w:r>
        <w:t>Yes, it was.  Yes.</w:t>
      </w:r>
    </w:p>
    <w:p w:rsidR="00CC3EC3" w:rsidRDefault="00CC3EC3" w:rsidP="00345001">
      <w:pPr>
        <w:pStyle w:val="Quote1"/>
        <w:ind w:left="1440"/>
      </w:pPr>
    </w:p>
    <w:p w:rsidR="00CC3EC3" w:rsidRDefault="00CC3EC3" w:rsidP="00345001">
      <w:pPr>
        <w:pStyle w:val="Quote1"/>
        <w:ind w:left="1440"/>
      </w:pPr>
      <w:r>
        <w:t>Thank you.  After May 2004.  Thereafter, what, in your knowledg</w:t>
      </w:r>
      <w:r w:rsidR="005961E6">
        <w:t>e, happened with those tools?---</w:t>
      </w:r>
      <w:r>
        <w:t>Once I had completed demonstrating those tools to clients. I believe those tools were sent to Kalgoorlie for our Kalgoorlie manager to show another client.</w:t>
      </w:r>
    </w:p>
    <w:p w:rsidR="00CC3EC3" w:rsidRDefault="00CC3EC3" w:rsidP="00345001">
      <w:pPr>
        <w:pStyle w:val="Quote1"/>
        <w:ind w:left="1440"/>
      </w:pPr>
    </w:p>
    <w:p w:rsidR="00CC3EC3" w:rsidRDefault="00CC3EC3" w:rsidP="00345001">
      <w:pPr>
        <w:pStyle w:val="Quote1"/>
        <w:ind w:left="1440"/>
      </w:pPr>
      <w:r>
        <w:t>Yes.  And after that date – after the Kalgoorlie showing, what then happened to the tools?  Do you have any</w:t>
      </w:r>
      <w:r w:rsidR="005961E6">
        <w:t>?---</w:t>
      </w:r>
      <w:r>
        <w:t>I believe the tools went on hire.</w:t>
      </w:r>
    </w:p>
    <w:p w:rsidR="00CC3EC3" w:rsidRDefault="00CC3EC3" w:rsidP="00345001">
      <w:pPr>
        <w:pStyle w:val="Quote1"/>
        <w:ind w:left="1440"/>
      </w:pPr>
    </w:p>
    <w:p w:rsidR="00CC3EC3" w:rsidRDefault="005961E6" w:rsidP="00345001">
      <w:pPr>
        <w:pStyle w:val="Quote1"/>
        <w:ind w:left="1440"/>
      </w:pPr>
      <w:r>
        <w:t>Yes.  On hire?---</w:t>
      </w:r>
      <w:r w:rsidR="00CC3EC3">
        <w:t>Yes.</w:t>
      </w:r>
    </w:p>
    <w:p w:rsidR="00CC3EC3" w:rsidRDefault="00CC3EC3" w:rsidP="00345001">
      <w:pPr>
        <w:pStyle w:val="Quote1"/>
        <w:ind w:left="1440"/>
      </w:pPr>
    </w:p>
    <w:p w:rsidR="00CC3EC3" w:rsidRDefault="005961E6" w:rsidP="00345001">
      <w:pPr>
        <w:pStyle w:val="Quote1"/>
        <w:ind w:left="1440"/>
      </w:pPr>
      <w:r>
        <w:t>To whom?---</w:t>
      </w:r>
      <w:r w:rsidR="00CC3EC3">
        <w:t>It would be one of four companies that .....  dealt with.</w:t>
      </w:r>
    </w:p>
    <w:p w:rsidR="00CC3EC3" w:rsidRDefault="00CC3EC3" w:rsidP="00345001">
      <w:pPr>
        <w:pStyle w:val="Quote1"/>
        <w:ind w:left="1440"/>
      </w:pPr>
    </w:p>
    <w:p w:rsidR="00CC3EC3" w:rsidRDefault="00CC3EC3" w:rsidP="00345001">
      <w:pPr>
        <w:pStyle w:val="Quote1"/>
        <w:ind w:left="1440"/>
      </w:pPr>
      <w:r>
        <w:t>And who were they?</w:t>
      </w:r>
    </w:p>
    <w:p w:rsidR="00CC3EC3" w:rsidRDefault="00CC3EC3" w:rsidP="00345001">
      <w:pPr>
        <w:pStyle w:val="Quote1"/>
        <w:ind w:left="1440"/>
      </w:pPr>
    </w:p>
    <w:p w:rsidR="00CC3EC3" w:rsidRDefault="00CC3EC3" w:rsidP="00345001">
      <w:pPr>
        <w:pStyle w:val="Quote1"/>
        <w:ind w:left="1440"/>
      </w:pPr>
      <w:r>
        <w:t>MR HENNESSY:   I object, your Honour.  Well, just by virtue of the last sentence, it’s plain that the witness is now just going to speculate.  It’s not sufficient foundation for</w:t>
      </w:r>
      <w:r w:rsidR="005961E6">
        <w:t>---</w:t>
      </w:r>
    </w:p>
    <w:p w:rsidR="00CC3EC3" w:rsidRDefault="00CC3EC3" w:rsidP="00345001">
      <w:pPr>
        <w:pStyle w:val="Quote1"/>
        <w:ind w:left="1440"/>
      </w:pPr>
    </w:p>
    <w:p w:rsidR="00CC3EC3" w:rsidRDefault="00CC3EC3" w:rsidP="00345001">
      <w:pPr>
        <w:pStyle w:val="Quote1"/>
        <w:ind w:left="1440"/>
      </w:pPr>
      <w:r>
        <w:t>MR HESS:   Well, perhaps I will go back a step.  You say one of four companies.  Can you identify the four companies?</w:t>
      </w:r>
    </w:p>
    <w:p w:rsidR="00CC3EC3" w:rsidRDefault="00CC3EC3" w:rsidP="00345001">
      <w:pPr>
        <w:pStyle w:val="Quote1"/>
        <w:ind w:left="1440"/>
      </w:pPr>
    </w:p>
    <w:p w:rsidR="00CC3EC3" w:rsidRDefault="00CC3EC3" w:rsidP="00345001">
      <w:pPr>
        <w:pStyle w:val="Quote1"/>
        <w:ind w:left="1440"/>
      </w:pPr>
      <w:r>
        <w:t>MR HENNESSY:   No.  I object.  We – just getting at it another way.  All he has done – the last question</w:t>
      </w:r>
      <w:r w:rsidR="005961E6">
        <w:t>---</w:t>
      </w:r>
    </w:p>
    <w:p w:rsidR="00CC3EC3" w:rsidRDefault="00CC3EC3" w:rsidP="00345001">
      <w:pPr>
        <w:pStyle w:val="Quote1"/>
        <w:ind w:left="1440"/>
      </w:pPr>
    </w:p>
    <w:p w:rsidR="00CC3EC3" w:rsidRDefault="00CC3EC3" w:rsidP="00345001">
      <w:pPr>
        <w:pStyle w:val="Quote1"/>
        <w:ind w:left="1440"/>
      </w:pPr>
      <w:r>
        <w:t>HIS HONOUR:   Mr Bradford, would you mind just stepping outside the court for a short moment.  We will just discuss this.  We won’t be a moment.</w:t>
      </w:r>
    </w:p>
    <w:p w:rsidR="00345001" w:rsidRDefault="005961E6" w:rsidP="00CC3EC3">
      <w:pPr>
        <w:pStyle w:val="ListNo"/>
        <w:numPr>
          <w:ilvl w:val="0"/>
          <w:numId w:val="65"/>
        </w:numPr>
        <w:tabs>
          <w:tab w:val="clear" w:pos="720"/>
        </w:tabs>
      </w:pPr>
      <w:r>
        <w:t xml:space="preserve">I allowed the objection on the basis that the very general nature of the description of the clients and the interest that they showed was inadmissible hearsay and summary. </w:t>
      </w:r>
    </w:p>
    <w:p w:rsidR="00345001" w:rsidRDefault="00CC3EC3" w:rsidP="00CC3EC3">
      <w:pPr>
        <w:pStyle w:val="ListNo"/>
        <w:numPr>
          <w:ilvl w:val="0"/>
          <w:numId w:val="65"/>
        </w:numPr>
        <w:tabs>
          <w:tab w:val="clear" w:pos="720"/>
        </w:tabs>
      </w:pPr>
      <w:r>
        <w:t xml:space="preserve">In my view, in light of the importance of this evidence, the proper way to adduce it would be to call evidence from anyone who actually took and used the machine as suggested.  It is clear and taken in context, that this evidence is hearsay, speculative and imprecise.  I do not consider it is appropriate that such important evidence should be led in that fashion.  Given its importance, it should be given on a first hand basis from an actual user.  Alternatively, if the witness is able to identify </w:t>
      </w:r>
      <w:r w:rsidR="00245959">
        <w:t xml:space="preserve">(admissibly) </w:t>
      </w:r>
      <w:r>
        <w:t>with precision exactly who received a tool from whom within the company, then that evidence could be given</w:t>
      </w:r>
      <w:r w:rsidR="007063B6">
        <w:t>,</w:t>
      </w:r>
      <w:r>
        <w:t xml:space="preserve"> but beyond that, it is not admissible.  </w:t>
      </w:r>
    </w:p>
    <w:p w:rsidR="00CC3EC3" w:rsidRDefault="00CC3EC3" w:rsidP="00CC3EC3">
      <w:pPr>
        <w:pStyle w:val="ListNo"/>
        <w:numPr>
          <w:ilvl w:val="0"/>
          <w:numId w:val="65"/>
        </w:numPr>
        <w:tabs>
          <w:tab w:val="clear" w:pos="720"/>
        </w:tabs>
      </w:pPr>
      <w:r>
        <w:t xml:space="preserve">I disallowed any further questioning </w:t>
      </w:r>
      <w:r w:rsidR="007063B6">
        <w:t xml:space="preserve">of Mr Bradford </w:t>
      </w:r>
      <w:r>
        <w:t>on this topic.</w:t>
      </w:r>
    </w:p>
    <w:p w:rsidR="00CC3EC3" w:rsidRPr="008C6362" w:rsidRDefault="00245959" w:rsidP="008C6362">
      <w:pPr>
        <w:pStyle w:val="NoNum"/>
        <w:rPr>
          <w:b/>
        </w:rPr>
      </w:pPr>
      <w:bookmarkStart w:id="142" w:name="_Ref409425057"/>
      <w:r w:rsidRPr="008C6362">
        <w:rPr>
          <w:b/>
        </w:rPr>
        <w:t xml:space="preserve">A CALL FOR DOCUMENTS </w:t>
      </w:r>
      <w:r w:rsidR="00CC3EC3" w:rsidRPr="008C6362">
        <w:rPr>
          <w:b/>
        </w:rPr>
        <w:t>– THURSDAY, 1 MAY 2014 (Day 11 of the trial)</w:t>
      </w:r>
      <w:bookmarkEnd w:id="142"/>
    </w:p>
    <w:p w:rsidR="00345001" w:rsidRDefault="00CC3EC3" w:rsidP="00CC3EC3">
      <w:pPr>
        <w:pStyle w:val="ListNo"/>
        <w:numPr>
          <w:ilvl w:val="0"/>
          <w:numId w:val="66"/>
        </w:numPr>
        <w:tabs>
          <w:tab w:val="clear" w:pos="720"/>
        </w:tabs>
      </w:pPr>
      <w:r>
        <w:t xml:space="preserve">At the end of day 10 of the trial senior counsel for the respondents produced a subpoena </w:t>
      </w:r>
      <w:r w:rsidR="00AE16F0">
        <w:t xml:space="preserve">dated 20 </w:t>
      </w:r>
      <w:r>
        <w:t>December 2013 for production of documents by Imdex, a non-party company which is related to the applicants.</w:t>
      </w:r>
    </w:p>
    <w:p w:rsidR="00345001" w:rsidRDefault="00CC3EC3" w:rsidP="00CC3EC3">
      <w:pPr>
        <w:pStyle w:val="ListNo"/>
        <w:numPr>
          <w:ilvl w:val="0"/>
          <w:numId w:val="66"/>
        </w:numPr>
        <w:tabs>
          <w:tab w:val="clear" w:pos="720"/>
        </w:tabs>
      </w:pPr>
      <w:r>
        <w:t xml:space="preserve">The schedule of documents in the subpoena </w:t>
      </w:r>
      <w:r w:rsidR="00245959">
        <w:t>wa</w:t>
      </w:r>
      <w:r>
        <w:t>s extensive.</w:t>
      </w:r>
    </w:p>
    <w:p w:rsidR="00345001" w:rsidRDefault="00CC3EC3" w:rsidP="00CC3EC3">
      <w:pPr>
        <w:pStyle w:val="ListNo"/>
        <w:numPr>
          <w:ilvl w:val="0"/>
          <w:numId w:val="66"/>
        </w:numPr>
        <w:tabs>
          <w:tab w:val="clear" w:pos="720"/>
        </w:tabs>
      </w:pPr>
      <w:r>
        <w:t xml:space="preserve">It is common ground that documents were produced under the subpoena but senior counsel for the respondents contends that </w:t>
      </w:r>
      <w:r w:rsidR="00245959">
        <w:t xml:space="preserve">other </w:t>
      </w:r>
      <w:r>
        <w:t xml:space="preserve">documents referred to in cross-examination were not produced.  </w:t>
      </w:r>
      <w:r w:rsidR="00AE16F0">
        <w:t xml:space="preserve">The respondents </w:t>
      </w:r>
      <w:r w:rsidR="00245959">
        <w:t xml:space="preserve">sought </w:t>
      </w:r>
      <w:r>
        <w:t xml:space="preserve">orders that those documents be produced by Imdex.  </w:t>
      </w:r>
      <w:r w:rsidR="00245959">
        <w:t xml:space="preserve">Production was </w:t>
      </w:r>
      <w:r>
        <w:t xml:space="preserve">opposed.  No notice </w:t>
      </w:r>
      <w:r w:rsidR="00245959">
        <w:t xml:space="preserve">had been </w:t>
      </w:r>
      <w:r>
        <w:t xml:space="preserve">given to the </w:t>
      </w:r>
      <w:r>
        <w:lastRenderedPageBreak/>
        <w:t>applicants of any such application but the respondents answer</w:t>
      </w:r>
      <w:r w:rsidR="00245959">
        <w:t>ed</w:t>
      </w:r>
      <w:r>
        <w:t xml:space="preserve"> this complaint by indicating that they were not in a position to understand the internal workings of the applicants and Imdex until cross-examination.  Senior counsel for the applicants complained that these matters should have been pursued by interlocutory applications for compliance in December 2013 rather than by way of ambush, effectively, at trial.  There was no response to that complaint other than the fact that the respondents did not know </w:t>
      </w:r>
      <w:r w:rsidR="00AE16F0">
        <w:t xml:space="preserve">of </w:t>
      </w:r>
      <w:r>
        <w:t>the internal workings of Imdex</w:t>
      </w:r>
      <w:r w:rsidR="007E4552">
        <w:t xml:space="preserve"> in December 2013</w:t>
      </w:r>
      <w:r>
        <w:t xml:space="preserve">. </w:t>
      </w:r>
    </w:p>
    <w:p w:rsidR="00345001" w:rsidRDefault="00245959" w:rsidP="00C16F36">
      <w:pPr>
        <w:pStyle w:val="ListNo"/>
        <w:numPr>
          <w:ilvl w:val="0"/>
          <w:numId w:val="66"/>
        </w:numPr>
        <w:tabs>
          <w:tab w:val="clear" w:pos="720"/>
        </w:tabs>
      </w:pPr>
      <w:r>
        <w:t>T</w:t>
      </w:r>
      <w:r w:rsidR="00CC3EC3">
        <w:t>he documentation sought, if it exists</w:t>
      </w:r>
      <w:r w:rsidR="00AE16F0">
        <w:t>,</w:t>
      </w:r>
      <w:r w:rsidR="00CC3EC3">
        <w:t xml:space="preserve"> </w:t>
      </w:r>
      <w:r w:rsidR="00AE16F0">
        <w:t>is</w:t>
      </w:r>
      <w:r w:rsidR="007E4552">
        <w:t>,</w:t>
      </w:r>
      <w:r w:rsidR="00AE16F0">
        <w:t xml:space="preserve"> at least </w:t>
      </w:r>
      <w:r w:rsidR="00CC3EC3">
        <w:t>arguably</w:t>
      </w:r>
      <w:r w:rsidR="007E4552">
        <w:t>,</w:t>
      </w:r>
      <w:r w:rsidR="00AE16F0">
        <w:t xml:space="preserve"> </w:t>
      </w:r>
      <w:r w:rsidR="00CC3EC3">
        <w:t>relevant to the cross-claim advanced by the respondents in relation to commercialisation of the invention.</w:t>
      </w:r>
    </w:p>
    <w:p w:rsidR="00345001" w:rsidRDefault="00CC3EC3" w:rsidP="007A20C1">
      <w:pPr>
        <w:pStyle w:val="ListNo"/>
        <w:numPr>
          <w:ilvl w:val="0"/>
          <w:numId w:val="66"/>
        </w:numPr>
        <w:tabs>
          <w:tab w:val="clear" w:pos="720"/>
        </w:tabs>
      </w:pPr>
      <w:r>
        <w:t>Ultimately, reliance on the submission was abandoned.  Nevertheless, I did indicate that I would expect that the question of whether such reports exist or not to be clarified by Imdex or the applicants and</w:t>
      </w:r>
      <w:r w:rsidR="00AE16F0">
        <w:t>,</w:t>
      </w:r>
      <w:r>
        <w:t xml:space="preserve"> if they exist</w:t>
      </w:r>
      <w:r w:rsidR="00245959">
        <w:t>ed</w:t>
      </w:r>
      <w:r>
        <w:t>, I would expect them to be produced.  If they no longer exist</w:t>
      </w:r>
      <w:r w:rsidR="00245959">
        <w:t>ed</w:t>
      </w:r>
      <w:r>
        <w:t>, having been created over 10 years ago and search for them reveal</w:t>
      </w:r>
      <w:r w:rsidR="007E4552">
        <w:t>ed</w:t>
      </w:r>
      <w:r>
        <w:t xml:space="preserve"> </w:t>
      </w:r>
      <w:r w:rsidR="007E4552">
        <w:t xml:space="preserve">that </w:t>
      </w:r>
      <w:r>
        <w:t>they no longer exist</w:t>
      </w:r>
      <w:r w:rsidR="00AE16F0">
        <w:t>ed</w:t>
      </w:r>
      <w:r>
        <w:t xml:space="preserve">, evidence to that effect should be adduced, failing which I </w:t>
      </w:r>
      <w:r w:rsidR="00AE16F0">
        <w:t xml:space="preserve">indicated that I may </w:t>
      </w:r>
      <w:r>
        <w:t xml:space="preserve">entertain </w:t>
      </w:r>
      <w:r w:rsidR="00AE16F0">
        <w:t xml:space="preserve">a </w:t>
      </w:r>
      <w:r w:rsidR="007A20C1">
        <w:t>further application</w:t>
      </w:r>
      <w:r w:rsidR="00245959">
        <w:t>.</w:t>
      </w:r>
    </w:p>
    <w:p w:rsidR="00AA6AFE" w:rsidRDefault="00CC3EC3" w:rsidP="007A20C1">
      <w:pPr>
        <w:pStyle w:val="ListNo"/>
        <w:numPr>
          <w:ilvl w:val="0"/>
          <w:numId w:val="66"/>
        </w:numPr>
        <w:tabs>
          <w:tab w:val="clear" w:pos="720"/>
        </w:tabs>
      </w:pPr>
      <w:r>
        <w:t xml:space="preserve">During a break in the trial, </w:t>
      </w:r>
      <w:r w:rsidR="00245959">
        <w:t xml:space="preserve">counsel informed me that </w:t>
      </w:r>
      <w:r>
        <w:t xml:space="preserve">such documentation was pursued </w:t>
      </w:r>
      <w:r w:rsidR="00245959">
        <w:t>and produced by the applicants.</w:t>
      </w:r>
      <w:bookmarkStart w:id="143" w:name="Certification"/>
    </w:p>
    <w:bookmarkEnd w:id="143"/>
    <w:p w:rsidR="00AA6AFE" w:rsidRDefault="00AA6AFE">
      <w:pPr>
        <w:suppressAutoHyphens/>
      </w:pPr>
    </w:p>
    <w:sectPr w:rsidR="00AA6AFE">
      <w:headerReference w:type="even" r:id="rId18"/>
      <w:headerReference w:type="default"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23" w:rsidRDefault="00A25823">
      <w:pPr>
        <w:spacing w:line="20" w:lineRule="exact"/>
      </w:pPr>
    </w:p>
    <w:p w:rsidR="00A25823" w:rsidRDefault="00A25823"/>
    <w:p w:rsidR="00A25823" w:rsidRDefault="00A25823"/>
  </w:endnote>
  <w:endnote w:type="continuationSeparator" w:id="0">
    <w:p w:rsidR="00A25823" w:rsidRDefault="00A25823">
      <w:r>
        <w:t xml:space="preserve"> </w:t>
      </w:r>
    </w:p>
    <w:p w:rsidR="00A25823" w:rsidRDefault="00A25823"/>
    <w:p w:rsidR="00A25823" w:rsidRDefault="00A25823"/>
  </w:endnote>
  <w:endnote w:type="continuationNotice" w:id="1">
    <w:p w:rsidR="00A25823" w:rsidRDefault="00A25823">
      <w:r>
        <w:t xml:space="preserve"> </w:t>
      </w:r>
    </w:p>
    <w:p w:rsidR="00A25823" w:rsidRDefault="00A25823"/>
    <w:p w:rsidR="00A25823" w:rsidRDefault="00A25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27" w:rsidRPr="00F40264" w:rsidRDefault="001E6127" w:rsidP="00F40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27" w:rsidRPr="00F40264" w:rsidRDefault="001E6127" w:rsidP="00F40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23" w:rsidRDefault="00A25823"/>
    <w:p w:rsidR="00A25823" w:rsidRDefault="00A25823"/>
    <w:p w:rsidR="00A25823" w:rsidRDefault="00A25823"/>
  </w:footnote>
  <w:footnote w:type="continuationSeparator" w:id="0">
    <w:p w:rsidR="00A25823" w:rsidRDefault="00A25823">
      <w:r>
        <w:continuationSeparator/>
      </w:r>
    </w:p>
    <w:p w:rsidR="00A25823" w:rsidRDefault="00A25823"/>
    <w:p w:rsidR="00A25823" w:rsidRDefault="00A258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27" w:rsidRDefault="001E6127">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38403B">
      <w:rPr>
        <w:noProof/>
        <w:spacing w:val="-3"/>
      </w:rPr>
      <w:t>6</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27" w:rsidRDefault="001E6127">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27" w:rsidRDefault="001E6127">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27" w:rsidRDefault="001E612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27" w:rsidRDefault="001E6127">
    <w:pPr>
      <w:tabs>
        <w:tab w:val="center" w:pos="4512"/>
      </w:tabs>
      <w:suppressAutoHyphens/>
    </w:pPr>
    <w:r>
      <w:tab/>
      <w:t xml:space="preserve">- </w:t>
    </w:r>
    <w:r>
      <w:fldChar w:fldCharType="begin"/>
    </w:r>
    <w:r>
      <w:instrText>page \* arabic</w:instrText>
    </w:r>
    <w:r>
      <w:fldChar w:fldCharType="separate"/>
    </w:r>
    <w:r w:rsidR="0038403B">
      <w:rPr>
        <w:noProof/>
      </w:rPr>
      <w:t>188</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27" w:rsidRDefault="001E6127">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C60"/>
    <w:multiLevelType w:val="multilevel"/>
    <w:tmpl w:val="40741108"/>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1">
    <w:nsid w:val="108F7C0E"/>
    <w:multiLevelType w:val="multilevel"/>
    <w:tmpl w:val="1FA8CC10"/>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2">
    <w:nsid w:val="10B35B4E"/>
    <w:multiLevelType w:val="multilevel"/>
    <w:tmpl w:val="E3E42288"/>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3">
    <w:nsid w:val="118831E8"/>
    <w:multiLevelType w:val="hybridMultilevel"/>
    <w:tmpl w:val="D1425794"/>
    <w:lvl w:ilvl="0" w:tplc="E5929DCA">
      <w:start w:val="1"/>
      <w:numFmt w:val="decimal"/>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121A14B6"/>
    <w:multiLevelType w:val="multilevel"/>
    <w:tmpl w:val="F7424E9A"/>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5">
    <w:nsid w:val="129C1BC8"/>
    <w:multiLevelType w:val="multilevel"/>
    <w:tmpl w:val="972AA638"/>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6">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nsid w:val="18524A68"/>
    <w:multiLevelType w:val="multilevel"/>
    <w:tmpl w:val="53A0ABF4"/>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8">
    <w:nsid w:val="1D9041D4"/>
    <w:multiLevelType w:val="multilevel"/>
    <w:tmpl w:val="1CCAE7F6"/>
    <w:lvl w:ilvl="0">
      <w:start w:val="9"/>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nsid w:val="1DE75D31"/>
    <w:multiLevelType w:val="hybridMultilevel"/>
    <w:tmpl w:val="E7983F5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0">
    <w:nsid w:val="1F2877D3"/>
    <w:multiLevelType w:val="multilevel"/>
    <w:tmpl w:val="DCB00112"/>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1">
    <w:nsid w:val="2350771D"/>
    <w:multiLevelType w:val="multilevel"/>
    <w:tmpl w:val="1EF88204"/>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2">
    <w:nsid w:val="24365BD0"/>
    <w:multiLevelType w:val="multilevel"/>
    <w:tmpl w:val="54AA5976"/>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3">
    <w:nsid w:val="286A2EE2"/>
    <w:multiLevelType w:val="multilevel"/>
    <w:tmpl w:val="64A81456"/>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4">
    <w:nsid w:val="29AE3DD1"/>
    <w:multiLevelType w:val="singleLevel"/>
    <w:tmpl w:val="1644713A"/>
    <w:lvl w:ilvl="0">
      <w:start w:val="1"/>
      <w:numFmt w:val="decimal"/>
      <w:lvlRestart w:val="0"/>
      <w:pStyle w:val="ParaNumbering"/>
      <w:lvlText w:val="%1"/>
      <w:lvlJc w:val="left"/>
      <w:pPr>
        <w:tabs>
          <w:tab w:val="num" w:pos="720"/>
        </w:tabs>
        <w:ind w:left="0" w:hanging="720"/>
      </w:pPr>
      <w:rPr>
        <w:rFonts w:hint="default"/>
        <w:sz w:val="20"/>
      </w:rPr>
    </w:lvl>
  </w:abstractNum>
  <w:abstractNum w:abstractNumId="25">
    <w:nsid w:val="2A6232E6"/>
    <w:multiLevelType w:val="multilevel"/>
    <w:tmpl w:val="1E423AAE"/>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6">
    <w:nsid w:val="2C4B74F9"/>
    <w:multiLevelType w:val="multilevel"/>
    <w:tmpl w:val="5010C616"/>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7">
    <w:nsid w:val="2D124E29"/>
    <w:multiLevelType w:val="multilevel"/>
    <w:tmpl w:val="1C3CA3D8"/>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8">
    <w:nsid w:val="2EDF5A76"/>
    <w:multiLevelType w:val="multilevel"/>
    <w:tmpl w:val="333C0150"/>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9">
    <w:nsid w:val="2FF86B7D"/>
    <w:multiLevelType w:val="multilevel"/>
    <w:tmpl w:val="8C08BB0E"/>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0">
    <w:nsid w:val="394971FE"/>
    <w:multiLevelType w:val="multilevel"/>
    <w:tmpl w:val="2AE06266"/>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1">
    <w:nsid w:val="3A947210"/>
    <w:multiLevelType w:val="multilevel"/>
    <w:tmpl w:val="3848AF1C"/>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2">
    <w:nsid w:val="3B416237"/>
    <w:multiLevelType w:val="multilevel"/>
    <w:tmpl w:val="80C21566"/>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3">
    <w:nsid w:val="3D3606E5"/>
    <w:multiLevelType w:val="multilevel"/>
    <w:tmpl w:val="50040E76"/>
    <w:lvl w:ilvl="0">
      <w:start w:val="4"/>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4">
    <w:nsid w:val="3EE1709B"/>
    <w:multiLevelType w:val="multilevel"/>
    <w:tmpl w:val="B29EFFC8"/>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5">
    <w:nsid w:val="44C871A1"/>
    <w:multiLevelType w:val="multilevel"/>
    <w:tmpl w:val="1AE4F716"/>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6">
    <w:nsid w:val="47AC520D"/>
    <w:multiLevelType w:val="multilevel"/>
    <w:tmpl w:val="E88C0708"/>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ABB2221"/>
    <w:multiLevelType w:val="multilevel"/>
    <w:tmpl w:val="70587E8E"/>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40">
    <w:nsid w:val="4B180FFC"/>
    <w:multiLevelType w:val="multilevel"/>
    <w:tmpl w:val="AF56009A"/>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41">
    <w:nsid w:val="4F04161E"/>
    <w:multiLevelType w:val="multilevel"/>
    <w:tmpl w:val="ADFC5112"/>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42">
    <w:nsid w:val="4FB818BC"/>
    <w:multiLevelType w:val="multilevel"/>
    <w:tmpl w:val="8A3494F2"/>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43">
    <w:nsid w:val="50046E87"/>
    <w:multiLevelType w:val="multilevel"/>
    <w:tmpl w:val="4A1EDF64"/>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44">
    <w:nsid w:val="517E12DB"/>
    <w:multiLevelType w:val="multilevel"/>
    <w:tmpl w:val="5CE660A8"/>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45">
    <w:nsid w:val="51C413EE"/>
    <w:multiLevelType w:val="multilevel"/>
    <w:tmpl w:val="9D94CA4E"/>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46">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7">
    <w:nsid w:val="565B2CD0"/>
    <w:multiLevelType w:val="multilevel"/>
    <w:tmpl w:val="BEE25686"/>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48">
    <w:nsid w:val="58243108"/>
    <w:multiLevelType w:val="multilevel"/>
    <w:tmpl w:val="15DE29B8"/>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49">
    <w:nsid w:val="5C255346"/>
    <w:multiLevelType w:val="multilevel"/>
    <w:tmpl w:val="5DC6062E"/>
    <w:lvl w:ilvl="0">
      <w:start w:val="6"/>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0">
    <w:nsid w:val="60B41D4B"/>
    <w:multiLevelType w:val="multilevel"/>
    <w:tmpl w:val="DB76D4D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51">
    <w:nsid w:val="61374132"/>
    <w:multiLevelType w:val="multilevel"/>
    <w:tmpl w:val="D0DAB03E"/>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52">
    <w:nsid w:val="61A65694"/>
    <w:multiLevelType w:val="multilevel"/>
    <w:tmpl w:val="F8A6AE14"/>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53">
    <w:nsid w:val="62063ACA"/>
    <w:multiLevelType w:val="multilevel"/>
    <w:tmpl w:val="F3C2EF1E"/>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54">
    <w:nsid w:val="6524591F"/>
    <w:multiLevelType w:val="multilevel"/>
    <w:tmpl w:val="02B40B9E"/>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55">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6">
    <w:nsid w:val="66E36DF1"/>
    <w:multiLevelType w:val="multilevel"/>
    <w:tmpl w:val="060089EA"/>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57">
    <w:nsid w:val="6911766D"/>
    <w:multiLevelType w:val="multilevel"/>
    <w:tmpl w:val="D9F66CD8"/>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58">
    <w:nsid w:val="6AC6716A"/>
    <w:multiLevelType w:val="multilevel"/>
    <w:tmpl w:val="DB502850"/>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59">
    <w:nsid w:val="6C862005"/>
    <w:multiLevelType w:val="multilevel"/>
    <w:tmpl w:val="03286886"/>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60">
    <w:nsid w:val="6D872F19"/>
    <w:multiLevelType w:val="multilevel"/>
    <w:tmpl w:val="43F45876"/>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ascii="Times New Roman" w:eastAsia="Batang" w:hAnsi="Times New Roman" w:cs="Times New Roman"/>
      </w:r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61">
    <w:nsid w:val="724C2A56"/>
    <w:multiLevelType w:val="multilevel"/>
    <w:tmpl w:val="7748A2BC"/>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62">
    <w:nsid w:val="73A312B3"/>
    <w:multiLevelType w:val="multilevel"/>
    <w:tmpl w:val="1994A784"/>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63">
    <w:nsid w:val="746758D5"/>
    <w:multiLevelType w:val="multilevel"/>
    <w:tmpl w:val="A2866D3A"/>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64">
    <w:nsid w:val="7B2219EE"/>
    <w:multiLevelType w:val="multilevel"/>
    <w:tmpl w:val="EB1C5376"/>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65">
    <w:nsid w:val="7D0861FF"/>
    <w:multiLevelType w:val="multilevel"/>
    <w:tmpl w:val="F8464262"/>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24"/>
  </w:num>
  <w:num w:numId="2">
    <w:abstractNumId w:val="46"/>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5"/>
  </w:num>
  <w:num w:numId="15">
    <w:abstractNumId w:val="37"/>
  </w:num>
  <w:num w:numId="16">
    <w:abstractNumId w:val="38"/>
  </w:num>
  <w:num w:numId="17">
    <w:abstractNumId w:val="65"/>
  </w:num>
  <w:num w:numId="18">
    <w:abstractNumId w:val="40"/>
  </w:num>
  <w:num w:numId="19">
    <w:abstractNumId w:val="28"/>
  </w:num>
  <w:num w:numId="20">
    <w:abstractNumId w:val="45"/>
  </w:num>
  <w:num w:numId="21">
    <w:abstractNumId w:val="62"/>
  </w:num>
  <w:num w:numId="22">
    <w:abstractNumId w:val="22"/>
  </w:num>
  <w:num w:numId="23">
    <w:abstractNumId w:val="48"/>
  </w:num>
  <w:num w:numId="24">
    <w:abstractNumId w:val="51"/>
  </w:num>
  <w:num w:numId="25">
    <w:abstractNumId w:val="58"/>
  </w:num>
  <w:num w:numId="26">
    <w:abstractNumId w:val="25"/>
  </w:num>
  <w:num w:numId="27">
    <w:abstractNumId w:val="32"/>
  </w:num>
  <w:num w:numId="28">
    <w:abstractNumId w:val="36"/>
  </w:num>
  <w:num w:numId="29">
    <w:abstractNumId w:val="53"/>
  </w:num>
  <w:num w:numId="30">
    <w:abstractNumId w:val="64"/>
  </w:num>
  <w:num w:numId="31">
    <w:abstractNumId w:val="54"/>
  </w:num>
  <w:num w:numId="32">
    <w:abstractNumId w:val="23"/>
  </w:num>
  <w:num w:numId="33">
    <w:abstractNumId w:val="10"/>
  </w:num>
  <w:num w:numId="34">
    <w:abstractNumId w:val="52"/>
  </w:num>
  <w:num w:numId="35">
    <w:abstractNumId w:val="59"/>
  </w:num>
  <w:num w:numId="36">
    <w:abstractNumId w:val="57"/>
  </w:num>
  <w:num w:numId="37">
    <w:abstractNumId w:val="34"/>
  </w:num>
  <w:num w:numId="38">
    <w:abstractNumId w:val="43"/>
  </w:num>
  <w:num w:numId="39">
    <w:abstractNumId w:val="42"/>
  </w:num>
  <w:num w:numId="40">
    <w:abstractNumId w:val="44"/>
  </w:num>
  <w:num w:numId="41">
    <w:abstractNumId w:val="17"/>
  </w:num>
  <w:num w:numId="42">
    <w:abstractNumId w:val="15"/>
  </w:num>
  <w:num w:numId="43">
    <w:abstractNumId w:val="12"/>
  </w:num>
  <w:num w:numId="44">
    <w:abstractNumId w:val="26"/>
  </w:num>
  <w:num w:numId="45">
    <w:abstractNumId w:val="27"/>
  </w:num>
  <w:num w:numId="46">
    <w:abstractNumId w:val="60"/>
  </w:num>
  <w:num w:numId="47">
    <w:abstractNumId w:val="19"/>
  </w:num>
  <w:num w:numId="48">
    <w:abstractNumId w:val="30"/>
  </w:num>
  <w:num w:numId="49">
    <w:abstractNumId w:val="56"/>
  </w:num>
  <w:num w:numId="50">
    <w:abstractNumId w:val="20"/>
  </w:num>
  <w:num w:numId="51">
    <w:abstractNumId w:val="61"/>
  </w:num>
  <w:num w:numId="52">
    <w:abstractNumId w:val="14"/>
  </w:num>
  <w:num w:numId="53">
    <w:abstractNumId w:val="29"/>
  </w:num>
  <w:num w:numId="54">
    <w:abstractNumId w:val="39"/>
  </w:num>
  <w:num w:numId="55">
    <w:abstractNumId w:val="63"/>
  </w:num>
  <w:num w:numId="56">
    <w:abstractNumId w:val="35"/>
  </w:num>
  <w:num w:numId="57">
    <w:abstractNumId w:val="41"/>
  </w:num>
  <w:num w:numId="58">
    <w:abstractNumId w:val="50"/>
  </w:num>
  <w:num w:numId="59">
    <w:abstractNumId w:val="11"/>
  </w:num>
  <w:num w:numId="60">
    <w:abstractNumId w:val="21"/>
  </w:num>
  <w:num w:numId="61">
    <w:abstractNumId w:val="31"/>
  </w:num>
  <w:num w:numId="62">
    <w:abstractNumId w:val="13"/>
  </w:num>
  <w:num w:numId="63">
    <w:abstractNumId w:val="47"/>
  </w:num>
  <w:num w:numId="64">
    <w:abstractNumId w:val="33"/>
  </w:num>
  <w:num w:numId="65">
    <w:abstractNumId w:val="49"/>
  </w:num>
  <w:num w:numId="66">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Not an Appeal"/>
    <w:docVar w:name="Applicant" w:val="AUSTRALIAN MUD COMPNAY PTY LTD ACN 009 283 416|REFLEX INSTRUMENTS ASIA PACIFIC PTY LTD ACN 124 204 191"/>
    <w:docVar w:name="CounselParties" w:val="Respondent"/>
    <w:docVar w:name="CounselType" w:val="Solicitor for the "/>
    <w:docVar w:name="Division" w:val="GENERAL DIVISION"/>
    <w:docVar w:name="DocCreated" w:val="True"/>
    <w:docVar w:name="FileNumbers" w:val="NSD 2082 of 2011"/>
    <w:docVar w:name="FullCourt" w:val="False"/>
    <w:docVar w:name="HearingDate" w:val="14-17 April 2014, 22-24 April 2014, 28-30 April 2014, 1-2 May 2014, 14-15 July 2014, 21 July 2014 and 23-24 July 2014"/>
    <w:docVar w:name="Judgdate" w:val="[  ] 2014"/>
    <w:docVar w:name="Judge" w:val="MCKERRACHER"/>
    <w:docVar w:name="JudgePlace" w:val="PERTH"/>
    <w:docVar w:name="lstEntryList" w:val="-1"/>
    <w:docVar w:name="myEntryList" w:val="Counsel for the Applicants=Mr JM Hennessey SC with Mr  Dimitriadis|Solicitor for the Applicants=Gilbert + Tobin|Counsel for the Respondents=Mr B Hess QC and Dr L Duncan|Solicitor for the Respondents=Arns &amp; Associates"/>
    <w:docVar w:name="NSD" w:val="NSD NSD 2082 of 2011"/>
    <w:docVar w:name="NumApps" w:val="4"/>
    <w:docVar w:name="NumApps_" w:val="4"/>
    <w:docVar w:name="NumJudges" w:val="Single Judge"/>
    <w:docVar w:name="Parties" w:val="Respondent"/>
    <w:docVar w:name="Place_SentenceCase" w:val="Perth"/>
    <w:docVar w:name="Respondent" w:val="CORETELL PTY LTD ACN 119 188 493|MINCREST HOLDINGS PTY LTD ACN 068 672 471 (TRADING AS CAMTEQ INVESTMENTS)|NICKY KLEYN|KLEYN INVESTMENTS PTY LTD ACN 118 967 687 (TRADING AS CAMTEQ INTERNATIONAL SERVICES)"/>
    <w:docVar w:name="ResState" w:val="WESTERN AUSTRALIA"/>
    <w:docVar w:name="Single" w:val="True"/>
  </w:docVars>
  <w:rsids>
    <w:rsidRoot w:val="00A666E2"/>
    <w:rsid w:val="00000086"/>
    <w:rsid w:val="00000601"/>
    <w:rsid w:val="0000218F"/>
    <w:rsid w:val="00003C9E"/>
    <w:rsid w:val="000053D3"/>
    <w:rsid w:val="0000583D"/>
    <w:rsid w:val="000063DE"/>
    <w:rsid w:val="0000653E"/>
    <w:rsid w:val="00007DE4"/>
    <w:rsid w:val="000102B3"/>
    <w:rsid w:val="000106D9"/>
    <w:rsid w:val="0001221C"/>
    <w:rsid w:val="00012259"/>
    <w:rsid w:val="00014B55"/>
    <w:rsid w:val="00015415"/>
    <w:rsid w:val="00015988"/>
    <w:rsid w:val="00015ECF"/>
    <w:rsid w:val="00015FA1"/>
    <w:rsid w:val="000167B9"/>
    <w:rsid w:val="00016E9F"/>
    <w:rsid w:val="00017B83"/>
    <w:rsid w:val="00017DDC"/>
    <w:rsid w:val="000227B5"/>
    <w:rsid w:val="00022F62"/>
    <w:rsid w:val="00023D0C"/>
    <w:rsid w:val="00023F6F"/>
    <w:rsid w:val="00024664"/>
    <w:rsid w:val="00024C7A"/>
    <w:rsid w:val="00026CDE"/>
    <w:rsid w:val="00027F29"/>
    <w:rsid w:val="00030CBD"/>
    <w:rsid w:val="00032AC6"/>
    <w:rsid w:val="00033467"/>
    <w:rsid w:val="00034070"/>
    <w:rsid w:val="000347CF"/>
    <w:rsid w:val="000357B1"/>
    <w:rsid w:val="000358AF"/>
    <w:rsid w:val="000365A8"/>
    <w:rsid w:val="0003666D"/>
    <w:rsid w:val="0003693E"/>
    <w:rsid w:val="00036F6A"/>
    <w:rsid w:val="00037BF1"/>
    <w:rsid w:val="00037D91"/>
    <w:rsid w:val="00040BDA"/>
    <w:rsid w:val="00040F27"/>
    <w:rsid w:val="0004159D"/>
    <w:rsid w:val="00042ACD"/>
    <w:rsid w:val="000433E3"/>
    <w:rsid w:val="00043869"/>
    <w:rsid w:val="00043EFA"/>
    <w:rsid w:val="00044F8E"/>
    <w:rsid w:val="000452BE"/>
    <w:rsid w:val="0004727F"/>
    <w:rsid w:val="00047D77"/>
    <w:rsid w:val="00047F66"/>
    <w:rsid w:val="0005107E"/>
    <w:rsid w:val="0005174F"/>
    <w:rsid w:val="00051819"/>
    <w:rsid w:val="00051A97"/>
    <w:rsid w:val="0005203C"/>
    <w:rsid w:val="0005252C"/>
    <w:rsid w:val="00053447"/>
    <w:rsid w:val="0005488A"/>
    <w:rsid w:val="000555FC"/>
    <w:rsid w:val="00056ACF"/>
    <w:rsid w:val="000578EB"/>
    <w:rsid w:val="00060105"/>
    <w:rsid w:val="000602A0"/>
    <w:rsid w:val="0006055F"/>
    <w:rsid w:val="000637AB"/>
    <w:rsid w:val="00063A95"/>
    <w:rsid w:val="00063E94"/>
    <w:rsid w:val="0006439C"/>
    <w:rsid w:val="00064F0C"/>
    <w:rsid w:val="000665C9"/>
    <w:rsid w:val="00066738"/>
    <w:rsid w:val="0006727A"/>
    <w:rsid w:val="0007018A"/>
    <w:rsid w:val="00071FD0"/>
    <w:rsid w:val="00072280"/>
    <w:rsid w:val="00072A06"/>
    <w:rsid w:val="00072F9F"/>
    <w:rsid w:val="000732E0"/>
    <w:rsid w:val="00073B2E"/>
    <w:rsid w:val="0007484D"/>
    <w:rsid w:val="000752F7"/>
    <w:rsid w:val="000755A6"/>
    <w:rsid w:val="00075B21"/>
    <w:rsid w:val="00076A6C"/>
    <w:rsid w:val="000770FF"/>
    <w:rsid w:val="000774B0"/>
    <w:rsid w:val="00077DAD"/>
    <w:rsid w:val="00080A87"/>
    <w:rsid w:val="00080CD6"/>
    <w:rsid w:val="000815AC"/>
    <w:rsid w:val="0008172C"/>
    <w:rsid w:val="0008199B"/>
    <w:rsid w:val="00082043"/>
    <w:rsid w:val="00082B70"/>
    <w:rsid w:val="00082FB6"/>
    <w:rsid w:val="000844B7"/>
    <w:rsid w:val="00084DCA"/>
    <w:rsid w:val="00084FFD"/>
    <w:rsid w:val="00085B98"/>
    <w:rsid w:val="0008675B"/>
    <w:rsid w:val="000867EC"/>
    <w:rsid w:val="0009061D"/>
    <w:rsid w:val="000919D3"/>
    <w:rsid w:val="000926C5"/>
    <w:rsid w:val="00092D78"/>
    <w:rsid w:val="000939F4"/>
    <w:rsid w:val="00093D0D"/>
    <w:rsid w:val="00095CC5"/>
    <w:rsid w:val="00096496"/>
    <w:rsid w:val="00096A3E"/>
    <w:rsid w:val="000974B1"/>
    <w:rsid w:val="00097E4A"/>
    <w:rsid w:val="000A0165"/>
    <w:rsid w:val="000A0BC0"/>
    <w:rsid w:val="000A0C44"/>
    <w:rsid w:val="000A0EA8"/>
    <w:rsid w:val="000A15AD"/>
    <w:rsid w:val="000A167B"/>
    <w:rsid w:val="000A1C53"/>
    <w:rsid w:val="000A1E77"/>
    <w:rsid w:val="000A1F75"/>
    <w:rsid w:val="000A307F"/>
    <w:rsid w:val="000A32C2"/>
    <w:rsid w:val="000A380D"/>
    <w:rsid w:val="000A4632"/>
    <w:rsid w:val="000A4A04"/>
    <w:rsid w:val="000A5CEF"/>
    <w:rsid w:val="000A6448"/>
    <w:rsid w:val="000A6F0F"/>
    <w:rsid w:val="000A7006"/>
    <w:rsid w:val="000A7046"/>
    <w:rsid w:val="000B0360"/>
    <w:rsid w:val="000B11A8"/>
    <w:rsid w:val="000B1DDF"/>
    <w:rsid w:val="000B2A00"/>
    <w:rsid w:val="000B2A61"/>
    <w:rsid w:val="000B3334"/>
    <w:rsid w:val="000B3525"/>
    <w:rsid w:val="000B44FF"/>
    <w:rsid w:val="000B4D05"/>
    <w:rsid w:val="000B560C"/>
    <w:rsid w:val="000B574D"/>
    <w:rsid w:val="000B6C3E"/>
    <w:rsid w:val="000C0820"/>
    <w:rsid w:val="000C1B6F"/>
    <w:rsid w:val="000C1D48"/>
    <w:rsid w:val="000C23FC"/>
    <w:rsid w:val="000C27B1"/>
    <w:rsid w:val="000C31D6"/>
    <w:rsid w:val="000C350B"/>
    <w:rsid w:val="000C3521"/>
    <w:rsid w:val="000C385A"/>
    <w:rsid w:val="000C4B06"/>
    <w:rsid w:val="000C6632"/>
    <w:rsid w:val="000C68F6"/>
    <w:rsid w:val="000D0A3A"/>
    <w:rsid w:val="000D169D"/>
    <w:rsid w:val="000D1D59"/>
    <w:rsid w:val="000D2CF8"/>
    <w:rsid w:val="000D32E7"/>
    <w:rsid w:val="000D4550"/>
    <w:rsid w:val="000D46BC"/>
    <w:rsid w:val="000D5E25"/>
    <w:rsid w:val="000D71A9"/>
    <w:rsid w:val="000E1854"/>
    <w:rsid w:val="000E1885"/>
    <w:rsid w:val="000E27D5"/>
    <w:rsid w:val="000E2A5D"/>
    <w:rsid w:val="000E2DE4"/>
    <w:rsid w:val="000E31DF"/>
    <w:rsid w:val="000E3AEB"/>
    <w:rsid w:val="000E4F05"/>
    <w:rsid w:val="000E5568"/>
    <w:rsid w:val="000E5EEA"/>
    <w:rsid w:val="000E660F"/>
    <w:rsid w:val="000E79BF"/>
    <w:rsid w:val="000E7AA7"/>
    <w:rsid w:val="000F10C9"/>
    <w:rsid w:val="000F12EB"/>
    <w:rsid w:val="000F175D"/>
    <w:rsid w:val="000F1E7C"/>
    <w:rsid w:val="000F3AD9"/>
    <w:rsid w:val="000F3C43"/>
    <w:rsid w:val="000F4A06"/>
    <w:rsid w:val="000F4E9A"/>
    <w:rsid w:val="000F4EE3"/>
    <w:rsid w:val="000F5232"/>
    <w:rsid w:val="000F5592"/>
    <w:rsid w:val="000F6543"/>
    <w:rsid w:val="000F6EA1"/>
    <w:rsid w:val="000F7138"/>
    <w:rsid w:val="000F7BD7"/>
    <w:rsid w:val="000F7FC0"/>
    <w:rsid w:val="00100704"/>
    <w:rsid w:val="00100DEE"/>
    <w:rsid w:val="00100F35"/>
    <w:rsid w:val="00101BE1"/>
    <w:rsid w:val="00101C11"/>
    <w:rsid w:val="00101C73"/>
    <w:rsid w:val="00101E15"/>
    <w:rsid w:val="001020E7"/>
    <w:rsid w:val="00102DE4"/>
    <w:rsid w:val="00102FBF"/>
    <w:rsid w:val="00103FE8"/>
    <w:rsid w:val="0010486F"/>
    <w:rsid w:val="00104CAF"/>
    <w:rsid w:val="00104E9C"/>
    <w:rsid w:val="00105619"/>
    <w:rsid w:val="001062DA"/>
    <w:rsid w:val="00107B79"/>
    <w:rsid w:val="0011089E"/>
    <w:rsid w:val="00110ACC"/>
    <w:rsid w:val="0011193E"/>
    <w:rsid w:val="00112163"/>
    <w:rsid w:val="00113382"/>
    <w:rsid w:val="00113BCA"/>
    <w:rsid w:val="0011456A"/>
    <w:rsid w:val="00115CAA"/>
    <w:rsid w:val="00116883"/>
    <w:rsid w:val="0011755C"/>
    <w:rsid w:val="0011776B"/>
    <w:rsid w:val="00120125"/>
    <w:rsid w:val="001204EC"/>
    <w:rsid w:val="00120778"/>
    <w:rsid w:val="00120C79"/>
    <w:rsid w:val="0012125F"/>
    <w:rsid w:val="00121E08"/>
    <w:rsid w:val="00121FAE"/>
    <w:rsid w:val="00122D35"/>
    <w:rsid w:val="00123051"/>
    <w:rsid w:val="00123812"/>
    <w:rsid w:val="00124FB5"/>
    <w:rsid w:val="00125FE7"/>
    <w:rsid w:val="001301D0"/>
    <w:rsid w:val="00131417"/>
    <w:rsid w:val="00131572"/>
    <w:rsid w:val="00131ADD"/>
    <w:rsid w:val="00131D2D"/>
    <w:rsid w:val="001325A1"/>
    <w:rsid w:val="001332BE"/>
    <w:rsid w:val="0013333A"/>
    <w:rsid w:val="001356EE"/>
    <w:rsid w:val="001358DC"/>
    <w:rsid w:val="0013713C"/>
    <w:rsid w:val="00137AFB"/>
    <w:rsid w:val="0014051F"/>
    <w:rsid w:val="001409AC"/>
    <w:rsid w:val="0014184B"/>
    <w:rsid w:val="00141BB7"/>
    <w:rsid w:val="0014254C"/>
    <w:rsid w:val="001426EC"/>
    <w:rsid w:val="00143438"/>
    <w:rsid w:val="00143B6B"/>
    <w:rsid w:val="00143FA8"/>
    <w:rsid w:val="0014408F"/>
    <w:rsid w:val="00144ACF"/>
    <w:rsid w:val="001452EA"/>
    <w:rsid w:val="00145AC1"/>
    <w:rsid w:val="00145CCE"/>
    <w:rsid w:val="00146B62"/>
    <w:rsid w:val="00146F6C"/>
    <w:rsid w:val="00147328"/>
    <w:rsid w:val="00147469"/>
    <w:rsid w:val="00147FA3"/>
    <w:rsid w:val="00150251"/>
    <w:rsid w:val="00151136"/>
    <w:rsid w:val="00151241"/>
    <w:rsid w:val="00152452"/>
    <w:rsid w:val="0015385C"/>
    <w:rsid w:val="00153E58"/>
    <w:rsid w:val="00154187"/>
    <w:rsid w:val="00154539"/>
    <w:rsid w:val="001545B8"/>
    <w:rsid w:val="00155131"/>
    <w:rsid w:val="001556D6"/>
    <w:rsid w:val="001566CD"/>
    <w:rsid w:val="00156FB2"/>
    <w:rsid w:val="0015701D"/>
    <w:rsid w:val="0015783B"/>
    <w:rsid w:val="0016009D"/>
    <w:rsid w:val="00160937"/>
    <w:rsid w:val="00160E66"/>
    <w:rsid w:val="00161DC5"/>
    <w:rsid w:val="001622FD"/>
    <w:rsid w:val="00163258"/>
    <w:rsid w:val="001638F4"/>
    <w:rsid w:val="00163E21"/>
    <w:rsid w:val="00164131"/>
    <w:rsid w:val="00164C33"/>
    <w:rsid w:val="00165402"/>
    <w:rsid w:val="00165658"/>
    <w:rsid w:val="0016602B"/>
    <w:rsid w:val="00166623"/>
    <w:rsid w:val="00167102"/>
    <w:rsid w:val="00167593"/>
    <w:rsid w:val="00170B34"/>
    <w:rsid w:val="00170EF2"/>
    <w:rsid w:val="00171899"/>
    <w:rsid w:val="001718A0"/>
    <w:rsid w:val="00171969"/>
    <w:rsid w:val="00171C03"/>
    <w:rsid w:val="0017306F"/>
    <w:rsid w:val="00173685"/>
    <w:rsid w:val="00173E29"/>
    <w:rsid w:val="00174571"/>
    <w:rsid w:val="00174BCD"/>
    <w:rsid w:val="00175894"/>
    <w:rsid w:val="001759E5"/>
    <w:rsid w:val="001762C4"/>
    <w:rsid w:val="00176898"/>
    <w:rsid w:val="00176DF0"/>
    <w:rsid w:val="0017746C"/>
    <w:rsid w:val="00181434"/>
    <w:rsid w:val="00182226"/>
    <w:rsid w:val="00182CDF"/>
    <w:rsid w:val="001833BF"/>
    <w:rsid w:val="00184B2C"/>
    <w:rsid w:val="00184B6E"/>
    <w:rsid w:val="00185085"/>
    <w:rsid w:val="0018518D"/>
    <w:rsid w:val="00185ED3"/>
    <w:rsid w:val="001902B4"/>
    <w:rsid w:val="00190A27"/>
    <w:rsid w:val="00190F3D"/>
    <w:rsid w:val="00191169"/>
    <w:rsid w:val="001918C2"/>
    <w:rsid w:val="001922F7"/>
    <w:rsid w:val="0019250B"/>
    <w:rsid w:val="001932B2"/>
    <w:rsid w:val="001933A4"/>
    <w:rsid w:val="00195496"/>
    <w:rsid w:val="00195CC4"/>
    <w:rsid w:val="00195EB2"/>
    <w:rsid w:val="00195F72"/>
    <w:rsid w:val="001961E6"/>
    <w:rsid w:val="00196D76"/>
    <w:rsid w:val="00196E73"/>
    <w:rsid w:val="00197893"/>
    <w:rsid w:val="001A1073"/>
    <w:rsid w:val="001A28A7"/>
    <w:rsid w:val="001A5689"/>
    <w:rsid w:val="001A56CD"/>
    <w:rsid w:val="001A6262"/>
    <w:rsid w:val="001A62AC"/>
    <w:rsid w:val="001A6C13"/>
    <w:rsid w:val="001A6DD8"/>
    <w:rsid w:val="001A721B"/>
    <w:rsid w:val="001B01C3"/>
    <w:rsid w:val="001B1E87"/>
    <w:rsid w:val="001B23CE"/>
    <w:rsid w:val="001B28AF"/>
    <w:rsid w:val="001B2BEF"/>
    <w:rsid w:val="001B3FF0"/>
    <w:rsid w:val="001B41B0"/>
    <w:rsid w:val="001B4FB0"/>
    <w:rsid w:val="001B5EB2"/>
    <w:rsid w:val="001B64E8"/>
    <w:rsid w:val="001B7D3B"/>
    <w:rsid w:val="001C0A77"/>
    <w:rsid w:val="001C1765"/>
    <w:rsid w:val="001C17AC"/>
    <w:rsid w:val="001C1E7F"/>
    <w:rsid w:val="001C1F1D"/>
    <w:rsid w:val="001C30AA"/>
    <w:rsid w:val="001C4706"/>
    <w:rsid w:val="001C48BE"/>
    <w:rsid w:val="001C4C5F"/>
    <w:rsid w:val="001C4F53"/>
    <w:rsid w:val="001C5901"/>
    <w:rsid w:val="001C665A"/>
    <w:rsid w:val="001C6A6E"/>
    <w:rsid w:val="001C6F51"/>
    <w:rsid w:val="001C723D"/>
    <w:rsid w:val="001D0069"/>
    <w:rsid w:val="001D1895"/>
    <w:rsid w:val="001D317A"/>
    <w:rsid w:val="001D3750"/>
    <w:rsid w:val="001D4727"/>
    <w:rsid w:val="001D4904"/>
    <w:rsid w:val="001D4B67"/>
    <w:rsid w:val="001D4D3F"/>
    <w:rsid w:val="001D4FE3"/>
    <w:rsid w:val="001D5DA0"/>
    <w:rsid w:val="001D692B"/>
    <w:rsid w:val="001D6EE5"/>
    <w:rsid w:val="001D7AE3"/>
    <w:rsid w:val="001D7E75"/>
    <w:rsid w:val="001E01D4"/>
    <w:rsid w:val="001E168E"/>
    <w:rsid w:val="001E1D0F"/>
    <w:rsid w:val="001E5E9D"/>
    <w:rsid w:val="001E5EA5"/>
    <w:rsid w:val="001E6127"/>
    <w:rsid w:val="001E63E1"/>
    <w:rsid w:val="001F1FE6"/>
    <w:rsid w:val="001F23C5"/>
    <w:rsid w:val="001F2E94"/>
    <w:rsid w:val="001F31B9"/>
    <w:rsid w:val="001F3DB4"/>
    <w:rsid w:val="001F5203"/>
    <w:rsid w:val="001F6151"/>
    <w:rsid w:val="001F7CDB"/>
    <w:rsid w:val="00200539"/>
    <w:rsid w:val="002007ED"/>
    <w:rsid w:val="00200986"/>
    <w:rsid w:val="00200D9A"/>
    <w:rsid w:val="002017C8"/>
    <w:rsid w:val="00201859"/>
    <w:rsid w:val="002039F1"/>
    <w:rsid w:val="00204745"/>
    <w:rsid w:val="002051E6"/>
    <w:rsid w:val="002054F9"/>
    <w:rsid w:val="002078B7"/>
    <w:rsid w:val="00207C45"/>
    <w:rsid w:val="00207F86"/>
    <w:rsid w:val="0021035B"/>
    <w:rsid w:val="00210E7A"/>
    <w:rsid w:val="0021176D"/>
    <w:rsid w:val="0021292D"/>
    <w:rsid w:val="00212EBE"/>
    <w:rsid w:val="00213680"/>
    <w:rsid w:val="00213900"/>
    <w:rsid w:val="002143BA"/>
    <w:rsid w:val="0021444C"/>
    <w:rsid w:val="00214BC0"/>
    <w:rsid w:val="002156B3"/>
    <w:rsid w:val="00215A04"/>
    <w:rsid w:val="00215A36"/>
    <w:rsid w:val="0021611F"/>
    <w:rsid w:val="00217BF0"/>
    <w:rsid w:val="002223BE"/>
    <w:rsid w:val="00222EF4"/>
    <w:rsid w:val="00223933"/>
    <w:rsid w:val="002258B6"/>
    <w:rsid w:val="002268F0"/>
    <w:rsid w:val="00226A90"/>
    <w:rsid w:val="0022717A"/>
    <w:rsid w:val="00227A65"/>
    <w:rsid w:val="00227D2D"/>
    <w:rsid w:val="0023011A"/>
    <w:rsid w:val="002306FB"/>
    <w:rsid w:val="00230E9A"/>
    <w:rsid w:val="002310AF"/>
    <w:rsid w:val="00231F85"/>
    <w:rsid w:val="002327B8"/>
    <w:rsid w:val="00232B33"/>
    <w:rsid w:val="00232DFB"/>
    <w:rsid w:val="0023343D"/>
    <w:rsid w:val="00233D1D"/>
    <w:rsid w:val="00233D69"/>
    <w:rsid w:val="00233F66"/>
    <w:rsid w:val="00233FF1"/>
    <w:rsid w:val="00234793"/>
    <w:rsid w:val="00234DB3"/>
    <w:rsid w:val="002350E7"/>
    <w:rsid w:val="002354D0"/>
    <w:rsid w:val="00235C6A"/>
    <w:rsid w:val="00235C76"/>
    <w:rsid w:val="00236410"/>
    <w:rsid w:val="002372F2"/>
    <w:rsid w:val="00237F56"/>
    <w:rsid w:val="0024056B"/>
    <w:rsid w:val="002406B0"/>
    <w:rsid w:val="002415D1"/>
    <w:rsid w:val="00241AB3"/>
    <w:rsid w:val="00242345"/>
    <w:rsid w:val="00243E7D"/>
    <w:rsid w:val="00244C17"/>
    <w:rsid w:val="002455D8"/>
    <w:rsid w:val="00245959"/>
    <w:rsid w:val="00245A4D"/>
    <w:rsid w:val="00245AC5"/>
    <w:rsid w:val="00245DD0"/>
    <w:rsid w:val="0024618A"/>
    <w:rsid w:val="002467A8"/>
    <w:rsid w:val="002467BA"/>
    <w:rsid w:val="00246B9E"/>
    <w:rsid w:val="00247740"/>
    <w:rsid w:val="00247DE5"/>
    <w:rsid w:val="00250434"/>
    <w:rsid w:val="0025091C"/>
    <w:rsid w:val="00250A47"/>
    <w:rsid w:val="00250FC1"/>
    <w:rsid w:val="00251622"/>
    <w:rsid w:val="002527A2"/>
    <w:rsid w:val="0025330F"/>
    <w:rsid w:val="0025349D"/>
    <w:rsid w:val="002536AB"/>
    <w:rsid w:val="002541D1"/>
    <w:rsid w:val="002548F4"/>
    <w:rsid w:val="00254904"/>
    <w:rsid w:val="00254D03"/>
    <w:rsid w:val="002565F9"/>
    <w:rsid w:val="00256B91"/>
    <w:rsid w:val="00257261"/>
    <w:rsid w:val="0025787D"/>
    <w:rsid w:val="00257EDB"/>
    <w:rsid w:val="00260048"/>
    <w:rsid w:val="0026130E"/>
    <w:rsid w:val="00261F60"/>
    <w:rsid w:val="00262367"/>
    <w:rsid w:val="00262740"/>
    <w:rsid w:val="00262992"/>
    <w:rsid w:val="00263C15"/>
    <w:rsid w:val="00263EBF"/>
    <w:rsid w:val="0026490F"/>
    <w:rsid w:val="00264ABA"/>
    <w:rsid w:val="00265435"/>
    <w:rsid w:val="0026680C"/>
    <w:rsid w:val="00266BF5"/>
    <w:rsid w:val="002675C7"/>
    <w:rsid w:val="002678F9"/>
    <w:rsid w:val="00267CA4"/>
    <w:rsid w:val="00270497"/>
    <w:rsid w:val="0027093F"/>
    <w:rsid w:val="00270BAD"/>
    <w:rsid w:val="00270C24"/>
    <w:rsid w:val="00270DC5"/>
    <w:rsid w:val="002727FA"/>
    <w:rsid w:val="00272AB4"/>
    <w:rsid w:val="00273966"/>
    <w:rsid w:val="002747A1"/>
    <w:rsid w:val="00274E58"/>
    <w:rsid w:val="00274F3E"/>
    <w:rsid w:val="00275C97"/>
    <w:rsid w:val="00275D23"/>
    <w:rsid w:val="0028011B"/>
    <w:rsid w:val="00280386"/>
    <w:rsid w:val="0028041F"/>
    <w:rsid w:val="00280AE0"/>
    <w:rsid w:val="002817D9"/>
    <w:rsid w:val="0028207D"/>
    <w:rsid w:val="00283DAD"/>
    <w:rsid w:val="00283F49"/>
    <w:rsid w:val="002840A3"/>
    <w:rsid w:val="002848CA"/>
    <w:rsid w:val="00285BDC"/>
    <w:rsid w:val="0028656B"/>
    <w:rsid w:val="002875E8"/>
    <w:rsid w:val="00287B22"/>
    <w:rsid w:val="002901EB"/>
    <w:rsid w:val="00290446"/>
    <w:rsid w:val="00290A76"/>
    <w:rsid w:val="002918FC"/>
    <w:rsid w:val="00291BB3"/>
    <w:rsid w:val="00292951"/>
    <w:rsid w:val="00292BB4"/>
    <w:rsid w:val="00294A0E"/>
    <w:rsid w:val="00294C96"/>
    <w:rsid w:val="00295DC7"/>
    <w:rsid w:val="00297991"/>
    <w:rsid w:val="002A0BF8"/>
    <w:rsid w:val="002A15B1"/>
    <w:rsid w:val="002A167F"/>
    <w:rsid w:val="002A1B98"/>
    <w:rsid w:val="002A1E23"/>
    <w:rsid w:val="002A2285"/>
    <w:rsid w:val="002A320C"/>
    <w:rsid w:val="002A423D"/>
    <w:rsid w:val="002A437B"/>
    <w:rsid w:val="002A4387"/>
    <w:rsid w:val="002A5183"/>
    <w:rsid w:val="002A519A"/>
    <w:rsid w:val="002A5DC4"/>
    <w:rsid w:val="002A76AF"/>
    <w:rsid w:val="002B10B5"/>
    <w:rsid w:val="002B1567"/>
    <w:rsid w:val="002B1743"/>
    <w:rsid w:val="002B2031"/>
    <w:rsid w:val="002B2306"/>
    <w:rsid w:val="002B2309"/>
    <w:rsid w:val="002B2BE7"/>
    <w:rsid w:val="002B39C4"/>
    <w:rsid w:val="002B3ECF"/>
    <w:rsid w:val="002B400F"/>
    <w:rsid w:val="002B42EE"/>
    <w:rsid w:val="002B4B78"/>
    <w:rsid w:val="002B5879"/>
    <w:rsid w:val="002B5CE5"/>
    <w:rsid w:val="002B5E73"/>
    <w:rsid w:val="002B5FEC"/>
    <w:rsid w:val="002B6262"/>
    <w:rsid w:val="002B7E11"/>
    <w:rsid w:val="002C18E2"/>
    <w:rsid w:val="002C4F32"/>
    <w:rsid w:val="002C5E85"/>
    <w:rsid w:val="002C6D34"/>
    <w:rsid w:val="002C71FB"/>
    <w:rsid w:val="002D018E"/>
    <w:rsid w:val="002D0FCE"/>
    <w:rsid w:val="002D1ABF"/>
    <w:rsid w:val="002D1B27"/>
    <w:rsid w:val="002D1B30"/>
    <w:rsid w:val="002D26E2"/>
    <w:rsid w:val="002D2A29"/>
    <w:rsid w:val="002D2B3F"/>
    <w:rsid w:val="002D3222"/>
    <w:rsid w:val="002D51D7"/>
    <w:rsid w:val="002D6316"/>
    <w:rsid w:val="002D651E"/>
    <w:rsid w:val="002D70C6"/>
    <w:rsid w:val="002E0B5F"/>
    <w:rsid w:val="002E1501"/>
    <w:rsid w:val="002E1631"/>
    <w:rsid w:val="002E1919"/>
    <w:rsid w:val="002E2513"/>
    <w:rsid w:val="002E4DAC"/>
    <w:rsid w:val="002E54FB"/>
    <w:rsid w:val="002E5610"/>
    <w:rsid w:val="002E653F"/>
    <w:rsid w:val="002E6B72"/>
    <w:rsid w:val="002E6D1C"/>
    <w:rsid w:val="002E7224"/>
    <w:rsid w:val="002E7C11"/>
    <w:rsid w:val="002F02F8"/>
    <w:rsid w:val="002F2B0B"/>
    <w:rsid w:val="002F2DEF"/>
    <w:rsid w:val="002F3172"/>
    <w:rsid w:val="002F4D1A"/>
    <w:rsid w:val="002F5FD0"/>
    <w:rsid w:val="002F6E67"/>
    <w:rsid w:val="00300784"/>
    <w:rsid w:val="0030093E"/>
    <w:rsid w:val="00300FA2"/>
    <w:rsid w:val="003024D0"/>
    <w:rsid w:val="00302F06"/>
    <w:rsid w:val="00302F11"/>
    <w:rsid w:val="003040A5"/>
    <w:rsid w:val="00304650"/>
    <w:rsid w:val="00305775"/>
    <w:rsid w:val="003069A1"/>
    <w:rsid w:val="003071BE"/>
    <w:rsid w:val="003102BF"/>
    <w:rsid w:val="00310768"/>
    <w:rsid w:val="00310AA9"/>
    <w:rsid w:val="00310B36"/>
    <w:rsid w:val="00312768"/>
    <w:rsid w:val="00312998"/>
    <w:rsid w:val="00313164"/>
    <w:rsid w:val="0031463C"/>
    <w:rsid w:val="0031567A"/>
    <w:rsid w:val="00315E59"/>
    <w:rsid w:val="00317798"/>
    <w:rsid w:val="003179B4"/>
    <w:rsid w:val="00317AE0"/>
    <w:rsid w:val="003208ED"/>
    <w:rsid w:val="00320ED0"/>
    <w:rsid w:val="003213A7"/>
    <w:rsid w:val="003214EF"/>
    <w:rsid w:val="00321534"/>
    <w:rsid w:val="003219DD"/>
    <w:rsid w:val="00321AD5"/>
    <w:rsid w:val="0032232B"/>
    <w:rsid w:val="00322748"/>
    <w:rsid w:val="00322757"/>
    <w:rsid w:val="00323056"/>
    <w:rsid w:val="003238A2"/>
    <w:rsid w:val="003247FF"/>
    <w:rsid w:val="00325355"/>
    <w:rsid w:val="00326609"/>
    <w:rsid w:val="003271CF"/>
    <w:rsid w:val="00330D44"/>
    <w:rsid w:val="003315B8"/>
    <w:rsid w:val="003317A3"/>
    <w:rsid w:val="00331A9F"/>
    <w:rsid w:val="00331D08"/>
    <w:rsid w:val="00332D2F"/>
    <w:rsid w:val="00332D3C"/>
    <w:rsid w:val="00332E3D"/>
    <w:rsid w:val="00333460"/>
    <w:rsid w:val="003358EE"/>
    <w:rsid w:val="00336035"/>
    <w:rsid w:val="003363B0"/>
    <w:rsid w:val="003365EB"/>
    <w:rsid w:val="00336AF3"/>
    <w:rsid w:val="00336D6B"/>
    <w:rsid w:val="00337200"/>
    <w:rsid w:val="00337A0B"/>
    <w:rsid w:val="00337C85"/>
    <w:rsid w:val="00342261"/>
    <w:rsid w:val="00342279"/>
    <w:rsid w:val="003437D6"/>
    <w:rsid w:val="00343A24"/>
    <w:rsid w:val="00344402"/>
    <w:rsid w:val="00345001"/>
    <w:rsid w:val="0034508C"/>
    <w:rsid w:val="00345B45"/>
    <w:rsid w:val="00346E12"/>
    <w:rsid w:val="003478BD"/>
    <w:rsid w:val="003504A3"/>
    <w:rsid w:val="0035151E"/>
    <w:rsid w:val="00351AF5"/>
    <w:rsid w:val="003520E7"/>
    <w:rsid w:val="00352466"/>
    <w:rsid w:val="00352E11"/>
    <w:rsid w:val="00352F5F"/>
    <w:rsid w:val="003535A7"/>
    <w:rsid w:val="003542B9"/>
    <w:rsid w:val="00355085"/>
    <w:rsid w:val="00355113"/>
    <w:rsid w:val="00355424"/>
    <w:rsid w:val="003554C8"/>
    <w:rsid w:val="003576F7"/>
    <w:rsid w:val="0035772D"/>
    <w:rsid w:val="003577AD"/>
    <w:rsid w:val="00361235"/>
    <w:rsid w:val="00361C16"/>
    <w:rsid w:val="00362432"/>
    <w:rsid w:val="00362533"/>
    <w:rsid w:val="00362BC7"/>
    <w:rsid w:val="0036324A"/>
    <w:rsid w:val="00363815"/>
    <w:rsid w:val="00364A89"/>
    <w:rsid w:val="00364E4F"/>
    <w:rsid w:val="003658EF"/>
    <w:rsid w:val="00365D58"/>
    <w:rsid w:val="00366787"/>
    <w:rsid w:val="003667B4"/>
    <w:rsid w:val="00370583"/>
    <w:rsid w:val="003705BE"/>
    <w:rsid w:val="00370F03"/>
    <w:rsid w:val="003718AB"/>
    <w:rsid w:val="00371DC0"/>
    <w:rsid w:val="00372B39"/>
    <w:rsid w:val="00373EF4"/>
    <w:rsid w:val="00374252"/>
    <w:rsid w:val="0037534F"/>
    <w:rsid w:val="00377451"/>
    <w:rsid w:val="00377810"/>
    <w:rsid w:val="003779C6"/>
    <w:rsid w:val="00377DBD"/>
    <w:rsid w:val="00380122"/>
    <w:rsid w:val="00380691"/>
    <w:rsid w:val="00381C01"/>
    <w:rsid w:val="0038273B"/>
    <w:rsid w:val="00382F92"/>
    <w:rsid w:val="00383178"/>
    <w:rsid w:val="0038403B"/>
    <w:rsid w:val="00384302"/>
    <w:rsid w:val="00384631"/>
    <w:rsid w:val="00384DE0"/>
    <w:rsid w:val="00384E54"/>
    <w:rsid w:val="00385998"/>
    <w:rsid w:val="00386272"/>
    <w:rsid w:val="00386687"/>
    <w:rsid w:val="00386C30"/>
    <w:rsid w:val="00386EB4"/>
    <w:rsid w:val="003873ED"/>
    <w:rsid w:val="003877C3"/>
    <w:rsid w:val="00387E1A"/>
    <w:rsid w:val="00387FCF"/>
    <w:rsid w:val="00387FE2"/>
    <w:rsid w:val="00390F7B"/>
    <w:rsid w:val="00391B7B"/>
    <w:rsid w:val="00392982"/>
    <w:rsid w:val="0039433B"/>
    <w:rsid w:val="0039491C"/>
    <w:rsid w:val="00394929"/>
    <w:rsid w:val="003952C3"/>
    <w:rsid w:val="003953BF"/>
    <w:rsid w:val="0039555E"/>
    <w:rsid w:val="003959F2"/>
    <w:rsid w:val="003961AD"/>
    <w:rsid w:val="003A01E1"/>
    <w:rsid w:val="003A10F8"/>
    <w:rsid w:val="003A1248"/>
    <w:rsid w:val="003A1460"/>
    <w:rsid w:val="003A2595"/>
    <w:rsid w:val="003A268E"/>
    <w:rsid w:val="003A38D7"/>
    <w:rsid w:val="003A3F44"/>
    <w:rsid w:val="003A7232"/>
    <w:rsid w:val="003B00B8"/>
    <w:rsid w:val="003B2B3B"/>
    <w:rsid w:val="003B31F3"/>
    <w:rsid w:val="003B5073"/>
    <w:rsid w:val="003C04AC"/>
    <w:rsid w:val="003C067D"/>
    <w:rsid w:val="003C1226"/>
    <w:rsid w:val="003C1392"/>
    <w:rsid w:val="003C2F56"/>
    <w:rsid w:val="003C39FD"/>
    <w:rsid w:val="003C3AC7"/>
    <w:rsid w:val="003C3B5E"/>
    <w:rsid w:val="003C3C7A"/>
    <w:rsid w:val="003C65C7"/>
    <w:rsid w:val="003C6816"/>
    <w:rsid w:val="003D0065"/>
    <w:rsid w:val="003D04F5"/>
    <w:rsid w:val="003D0D0D"/>
    <w:rsid w:val="003D1600"/>
    <w:rsid w:val="003D18EB"/>
    <w:rsid w:val="003D24A7"/>
    <w:rsid w:val="003D25A4"/>
    <w:rsid w:val="003D2707"/>
    <w:rsid w:val="003D2B55"/>
    <w:rsid w:val="003D316D"/>
    <w:rsid w:val="003D369B"/>
    <w:rsid w:val="003D3A0B"/>
    <w:rsid w:val="003D41BB"/>
    <w:rsid w:val="003D4EAF"/>
    <w:rsid w:val="003D7288"/>
    <w:rsid w:val="003D7311"/>
    <w:rsid w:val="003D73C9"/>
    <w:rsid w:val="003D77FF"/>
    <w:rsid w:val="003E090A"/>
    <w:rsid w:val="003E0FE1"/>
    <w:rsid w:val="003E1811"/>
    <w:rsid w:val="003E29D1"/>
    <w:rsid w:val="003E33D1"/>
    <w:rsid w:val="003E3428"/>
    <w:rsid w:val="003E3A08"/>
    <w:rsid w:val="003E3BC9"/>
    <w:rsid w:val="003E3EA9"/>
    <w:rsid w:val="003E5CE7"/>
    <w:rsid w:val="003E7949"/>
    <w:rsid w:val="003E7AD0"/>
    <w:rsid w:val="003E7B39"/>
    <w:rsid w:val="003E7DC3"/>
    <w:rsid w:val="003E7FA2"/>
    <w:rsid w:val="003F03F4"/>
    <w:rsid w:val="003F10ED"/>
    <w:rsid w:val="003F1674"/>
    <w:rsid w:val="003F1744"/>
    <w:rsid w:val="003F2230"/>
    <w:rsid w:val="003F2F18"/>
    <w:rsid w:val="003F3338"/>
    <w:rsid w:val="003F5D71"/>
    <w:rsid w:val="003F6EF4"/>
    <w:rsid w:val="004001D7"/>
    <w:rsid w:val="004006E7"/>
    <w:rsid w:val="00400BBF"/>
    <w:rsid w:val="0040140A"/>
    <w:rsid w:val="0040161B"/>
    <w:rsid w:val="00401B7D"/>
    <w:rsid w:val="00403107"/>
    <w:rsid w:val="00404340"/>
    <w:rsid w:val="0040531C"/>
    <w:rsid w:val="004063B8"/>
    <w:rsid w:val="00406F0C"/>
    <w:rsid w:val="004101EE"/>
    <w:rsid w:val="00410E68"/>
    <w:rsid w:val="00411593"/>
    <w:rsid w:val="00411603"/>
    <w:rsid w:val="00411DD5"/>
    <w:rsid w:val="00412BFA"/>
    <w:rsid w:val="00413120"/>
    <w:rsid w:val="00413927"/>
    <w:rsid w:val="00414CF1"/>
    <w:rsid w:val="00415BAE"/>
    <w:rsid w:val="0041690F"/>
    <w:rsid w:val="0041698D"/>
    <w:rsid w:val="004172F1"/>
    <w:rsid w:val="0041756D"/>
    <w:rsid w:val="00421ACA"/>
    <w:rsid w:val="00422325"/>
    <w:rsid w:val="00423D7E"/>
    <w:rsid w:val="00423E34"/>
    <w:rsid w:val="00423F01"/>
    <w:rsid w:val="00424259"/>
    <w:rsid w:val="0042429A"/>
    <w:rsid w:val="004250E1"/>
    <w:rsid w:val="00426302"/>
    <w:rsid w:val="00426594"/>
    <w:rsid w:val="00426654"/>
    <w:rsid w:val="00426BC9"/>
    <w:rsid w:val="00426F85"/>
    <w:rsid w:val="004272A0"/>
    <w:rsid w:val="004307DE"/>
    <w:rsid w:val="00431003"/>
    <w:rsid w:val="004327D8"/>
    <w:rsid w:val="0043323D"/>
    <w:rsid w:val="00435373"/>
    <w:rsid w:val="00435FC6"/>
    <w:rsid w:val="00436E02"/>
    <w:rsid w:val="00437D41"/>
    <w:rsid w:val="00437DB3"/>
    <w:rsid w:val="004412F1"/>
    <w:rsid w:val="00442D66"/>
    <w:rsid w:val="00442E34"/>
    <w:rsid w:val="0044419D"/>
    <w:rsid w:val="0044473F"/>
    <w:rsid w:val="00446896"/>
    <w:rsid w:val="0045016C"/>
    <w:rsid w:val="00450764"/>
    <w:rsid w:val="00450E7E"/>
    <w:rsid w:val="004515A4"/>
    <w:rsid w:val="00451648"/>
    <w:rsid w:val="004533B9"/>
    <w:rsid w:val="00453F1F"/>
    <w:rsid w:val="00453F9A"/>
    <w:rsid w:val="00453FE7"/>
    <w:rsid w:val="004546B7"/>
    <w:rsid w:val="004548AB"/>
    <w:rsid w:val="0045528B"/>
    <w:rsid w:val="0045697C"/>
    <w:rsid w:val="00457966"/>
    <w:rsid w:val="0046203A"/>
    <w:rsid w:val="004632BD"/>
    <w:rsid w:val="00463361"/>
    <w:rsid w:val="00463B29"/>
    <w:rsid w:val="00463EA7"/>
    <w:rsid w:val="004644F1"/>
    <w:rsid w:val="00464826"/>
    <w:rsid w:val="00464EFD"/>
    <w:rsid w:val="00464FB5"/>
    <w:rsid w:val="004654CF"/>
    <w:rsid w:val="004656F7"/>
    <w:rsid w:val="00465723"/>
    <w:rsid w:val="00465825"/>
    <w:rsid w:val="0046704B"/>
    <w:rsid w:val="0046785D"/>
    <w:rsid w:val="00470573"/>
    <w:rsid w:val="00470CCE"/>
    <w:rsid w:val="00470F9B"/>
    <w:rsid w:val="004721B3"/>
    <w:rsid w:val="0047373C"/>
    <w:rsid w:val="00473830"/>
    <w:rsid w:val="00473AFD"/>
    <w:rsid w:val="00473ECF"/>
    <w:rsid w:val="0047455C"/>
    <w:rsid w:val="004751E9"/>
    <w:rsid w:val="00475E14"/>
    <w:rsid w:val="00477F02"/>
    <w:rsid w:val="004810E2"/>
    <w:rsid w:val="00483DE8"/>
    <w:rsid w:val="00483EBD"/>
    <w:rsid w:val="00483FDB"/>
    <w:rsid w:val="00484C7F"/>
    <w:rsid w:val="004852E3"/>
    <w:rsid w:val="004854C6"/>
    <w:rsid w:val="0048556D"/>
    <w:rsid w:val="004858A6"/>
    <w:rsid w:val="00487067"/>
    <w:rsid w:val="00490581"/>
    <w:rsid w:val="004911BD"/>
    <w:rsid w:val="0049143B"/>
    <w:rsid w:val="00491E95"/>
    <w:rsid w:val="00491EA6"/>
    <w:rsid w:val="004929BB"/>
    <w:rsid w:val="0049336E"/>
    <w:rsid w:val="004936E7"/>
    <w:rsid w:val="004938F2"/>
    <w:rsid w:val="00494E55"/>
    <w:rsid w:val="004950AB"/>
    <w:rsid w:val="00495A77"/>
    <w:rsid w:val="004969D2"/>
    <w:rsid w:val="00496BFE"/>
    <w:rsid w:val="00497D0B"/>
    <w:rsid w:val="004A109D"/>
    <w:rsid w:val="004A14C6"/>
    <w:rsid w:val="004A1648"/>
    <w:rsid w:val="004A1F04"/>
    <w:rsid w:val="004A201D"/>
    <w:rsid w:val="004A319A"/>
    <w:rsid w:val="004A3217"/>
    <w:rsid w:val="004A3327"/>
    <w:rsid w:val="004A562A"/>
    <w:rsid w:val="004A5B08"/>
    <w:rsid w:val="004A62E0"/>
    <w:rsid w:val="004A6376"/>
    <w:rsid w:val="004A7309"/>
    <w:rsid w:val="004A775B"/>
    <w:rsid w:val="004A7DD5"/>
    <w:rsid w:val="004A7E57"/>
    <w:rsid w:val="004A7F27"/>
    <w:rsid w:val="004B019B"/>
    <w:rsid w:val="004B1DB5"/>
    <w:rsid w:val="004B21F8"/>
    <w:rsid w:val="004B26AF"/>
    <w:rsid w:val="004B3277"/>
    <w:rsid w:val="004B33FA"/>
    <w:rsid w:val="004B4B39"/>
    <w:rsid w:val="004B68B6"/>
    <w:rsid w:val="004B6FFE"/>
    <w:rsid w:val="004C0F81"/>
    <w:rsid w:val="004C1B29"/>
    <w:rsid w:val="004C2B21"/>
    <w:rsid w:val="004C42E9"/>
    <w:rsid w:val="004C5C62"/>
    <w:rsid w:val="004C6E03"/>
    <w:rsid w:val="004C7283"/>
    <w:rsid w:val="004C7996"/>
    <w:rsid w:val="004D08A2"/>
    <w:rsid w:val="004D0953"/>
    <w:rsid w:val="004D0DC7"/>
    <w:rsid w:val="004D146C"/>
    <w:rsid w:val="004D2819"/>
    <w:rsid w:val="004D2B74"/>
    <w:rsid w:val="004D320A"/>
    <w:rsid w:val="004D5934"/>
    <w:rsid w:val="004D609F"/>
    <w:rsid w:val="004D7306"/>
    <w:rsid w:val="004E0372"/>
    <w:rsid w:val="004E0C43"/>
    <w:rsid w:val="004E12AA"/>
    <w:rsid w:val="004E15DB"/>
    <w:rsid w:val="004E16BB"/>
    <w:rsid w:val="004E1C0D"/>
    <w:rsid w:val="004E2654"/>
    <w:rsid w:val="004E28FE"/>
    <w:rsid w:val="004E59D5"/>
    <w:rsid w:val="004E60FB"/>
    <w:rsid w:val="004E6CC0"/>
    <w:rsid w:val="004E7209"/>
    <w:rsid w:val="004E7514"/>
    <w:rsid w:val="004E7681"/>
    <w:rsid w:val="004F0147"/>
    <w:rsid w:val="004F11B0"/>
    <w:rsid w:val="004F1202"/>
    <w:rsid w:val="004F2098"/>
    <w:rsid w:val="004F2401"/>
    <w:rsid w:val="004F2DBB"/>
    <w:rsid w:val="004F30A1"/>
    <w:rsid w:val="004F3E76"/>
    <w:rsid w:val="004F401F"/>
    <w:rsid w:val="004F42D9"/>
    <w:rsid w:val="004F4979"/>
    <w:rsid w:val="004F545D"/>
    <w:rsid w:val="004F63EA"/>
    <w:rsid w:val="004F6F8F"/>
    <w:rsid w:val="004F73B8"/>
    <w:rsid w:val="004F7F73"/>
    <w:rsid w:val="00500C9E"/>
    <w:rsid w:val="005010AA"/>
    <w:rsid w:val="005019CC"/>
    <w:rsid w:val="00502487"/>
    <w:rsid w:val="00503333"/>
    <w:rsid w:val="005034B0"/>
    <w:rsid w:val="005048E1"/>
    <w:rsid w:val="00504CAD"/>
    <w:rsid w:val="00504DB9"/>
    <w:rsid w:val="00505A90"/>
    <w:rsid w:val="00505E56"/>
    <w:rsid w:val="0050737D"/>
    <w:rsid w:val="00510AC9"/>
    <w:rsid w:val="00510CAD"/>
    <w:rsid w:val="00510E42"/>
    <w:rsid w:val="00511A48"/>
    <w:rsid w:val="00512132"/>
    <w:rsid w:val="0051293D"/>
    <w:rsid w:val="00512B3A"/>
    <w:rsid w:val="00512BAA"/>
    <w:rsid w:val="00512D19"/>
    <w:rsid w:val="00512FA6"/>
    <w:rsid w:val="00513074"/>
    <w:rsid w:val="00513F62"/>
    <w:rsid w:val="00514E74"/>
    <w:rsid w:val="005167F0"/>
    <w:rsid w:val="0051705F"/>
    <w:rsid w:val="00517414"/>
    <w:rsid w:val="00517F7D"/>
    <w:rsid w:val="00520598"/>
    <w:rsid w:val="005205BB"/>
    <w:rsid w:val="0052201C"/>
    <w:rsid w:val="00522656"/>
    <w:rsid w:val="005228B5"/>
    <w:rsid w:val="00523A43"/>
    <w:rsid w:val="0052412E"/>
    <w:rsid w:val="00524438"/>
    <w:rsid w:val="0052506E"/>
    <w:rsid w:val="0052521A"/>
    <w:rsid w:val="00525323"/>
    <w:rsid w:val="00525354"/>
    <w:rsid w:val="00526916"/>
    <w:rsid w:val="00527763"/>
    <w:rsid w:val="0052795B"/>
    <w:rsid w:val="00527A9B"/>
    <w:rsid w:val="00527E42"/>
    <w:rsid w:val="005308E6"/>
    <w:rsid w:val="005311AD"/>
    <w:rsid w:val="00531F2B"/>
    <w:rsid w:val="00532A50"/>
    <w:rsid w:val="00533DFA"/>
    <w:rsid w:val="00534C1E"/>
    <w:rsid w:val="00535643"/>
    <w:rsid w:val="0053571E"/>
    <w:rsid w:val="0053722B"/>
    <w:rsid w:val="0053786A"/>
    <w:rsid w:val="0054077D"/>
    <w:rsid w:val="0054137D"/>
    <w:rsid w:val="0054257D"/>
    <w:rsid w:val="00542B13"/>
    <w:rsid w:val="0054346F"/>
    <w:rsid w:val="005439D5"/>
    <w:rsid w:val="00544D0A"/>
    <w:rsid w:val="00544D8F"/>
    <w:rsid w:val="00545264"/>
    <w:rsid w:val="005457AF"/>
    <w:rsid w:val="00545E78"/>
    <w:rsid w:val="0054631D"/>
    <w:rsid w:val="005466DA"/>
    <w:rsid w:val="00546E3A"/>
    <w:rsid w:val="00547A9A"/>
    <w:rsid w:val="00551108"/>
    <w:rsid w:val="00551DB9"/>
    <w:rsid w:val="005520B3"/>
    <w:rsid w:val="00552680"/>
    <w:rsid w:val="005527C7"/>
    <w:rsid w:val="00552EB3"/>
    <w:rsid w:val="0055375B"/>
    <w:rsid w:val="00553833"/>
    <w:rsid w:val="00555903"/>
    <w:rsid w:val="0055592D"/>
    <w:rsid w:val="00555A43"/>
    <w:rsid w:val="005563E3"/>
    <w:rsid w:val="0055671A"/>
    <w:rsid w:val="0055774A"/>
    <w:rsid w:val="00560978"/>
    <w:rsid w:val="00560BC2"/>
    <w:rsid w:val="00561961"/>
    <w:rsid w:val="00561B7A"/>
    <w:rsid w:val="00562BED"/>
    <w:rsid w:val="00562C27"/>
    <w:rsid w:val="00562E44"/>
    <w:rsid w:val="00563592"/>
    <w:rsid w:val="00563729"/>
    <w:rsid w:val="0056381A"/>
    <w:rsid w:val="00563B2E"/>
    <w:rsid w:val="005660A8"/>
    <w:rsid w:val="005668A8"/>
    <w:rsid w:val="00567042"/>
    <w:rsid w:val="00567508"/>
    <w:rsid w:val="005678DF"/>
    <w:rsid w:val="005707BF"/>
    <w:rsid w:val="0057107D"/>
    <w:rsid w:val="00571292"/>
    <w:rsid w:val="00571E5B"/>
    <w:rsid w:val="005727D8"/>
    <w:rsid w:val="00572ABB"/>
    <w:rsid w:val="00572B8F"/>
    <w:rsid w:val="00573A79"/>
    <w:rsid w:val="00575247"/>
    <w:rsid w:val="005761A7"/>
    <w:rsid w:val="005801B4"/>
    <w:rsid w:val="00580D61"/>
    <w:rsid w:val="00581868"/>
    <w:rsid w:val="005833C8"/>
    <w:rsid w:val="005835D2"/>
    <w:rsid w:val="005838BC"/>
    <w:rsid w:val="00583E32"/>
    <w:rsid w:val="0058440A"/>
    <w:rsid w:val="00585DFF"/>
    <w:rsid w:val="00586220"/>
    <w:rsid w:val="00590DF7"/>
    <w:rsid w:val="00590FCC"/>
    <w:rsid w:val="00592E75"/>
    <w:rsid w:val="005954AF"/>
    <w:rsid w:val="00595D6D"/>
    <w:rsid w:val="00595F27"/>
    <w:rsid w:val="005960B6"/>
    <w:rsid w:val="005961E6"/>
    <w:rsid w:val="00596463"/>
    <w:rsid w:val="0059794F"/>
    <w:rsid w:val="005A0673"/>
    <w:rsid w:val="005A154E"/>
    <w:rsid w:val="005A16CB"/>
    <w:rsid w:val="005A2371"/>
    <w:rsid w:val="005A25D8"/>
    <w:rsid w:val="005A3AE3"/>
    <w:rsid w:val="005A3D21"/>
    <w:rsid w:val="005A3DF2"/>
    <w:rsid w:val="005A4DB5"/>
    <w:rsid w:val="005A4DF4"/>
    <w:rsid w:val="005A57BE"/>
    <w:rsid w:val="005A7015"/>
    <w:rsid w:val="005B2446"/>
    <w:rsid w:val="005B24B9"/>
    <w:rsid w:val="005B2780"/>
    <w:rsid w:val="005B29FE"/>
    <w:rsid w:val="005B31E7"/>
    <w:rsid w:val="005B3E45"/>
    <w:rsid w:val="005B42FE"/>
    <w:rsid w:val="005B47FA"/>
    <w:rsid w:val="005B5579"/>
    <w:rsid w:val="005B57EF"/>
    <w:rsid w:val="005B64C2"/>
    <w:rsid w:val="005B7F9B"/>
    <w:rsid w:val="005C1108"/>
    <w:rsid w:val="005C1319"/>
    <w:rsid w:val="005C17D4"/>
    <w:rsid w:val="005C2325"/>
    <w:rsid w:val="005C25C6"/>
    <w:rsid w:val="005C2A1A"/>
    <w:rsid w:val="005C2C1A"/>
    <w:rsid w:val="005C411D"/>
    <w:rsid w:val="005C42E2"/>
    <w:rsid w:val="005C4526"/>
    <w:rsid w:val="005C4688"/>
    <w:rsid w:val="005C4D0F"/>
    <w:rsid w:val="005C6779"/>
    <w:rsid w:val="005C6ACA"/>
    <w:rsid w:val="005C70E1"/>
    <w:rsid w:val="005C788E"/>
    <w:rsid w:val="005C7F57"/>
    <w:rsid w:val="005D05F5"/>
    <w:rsid w:val="005D10C0"/>
    <w:rsid w:val="005D125E"/>
    <w:rsid w:val="005D1276"/>
    <w:rsid w:val="005D1FDA"/>
    <w:rsid w:val="005D2A90"/>
    <w:rsid w:val="005D3145"/>
    <w:rsid w:val="005D3D44"/>
    <w:rsid w:val="005D44D7"/>
    <w:rsid w:val="005D58A3"/>
    <w:rsid w:val="005D5A3C"/>
    <w:rsid w:val="005D62F6"/>
    <w:rsid w:val="005D65C9"/>
    <w:rsid w:val="005D6B2A"/>
    <w:rsid w:val="005D78F8"/>
    <w:rsid w:val="005D7A39"/>
    <w:rsid w:val="005D7ED5"/>
    <w:rsid w:val="005E0401"/>
    <w:rsid w:val="005E0ACD"/>
    <w:rsid w:val="005E0DB8"/>
    <w:rsid w:val="005E14DE"/>
    <w:rsid w:val="005E18FF"/>
    <w:rsid w:val="005E1D25"/>
    <w:rsid w:val="005E289A"/>
    <w:rsid w:val="005E3345"/>
    <w:rsid w:val="005E3E3E"/>
    <w:rsid w:val="005E4659"/>
    <w:rsid w:val="005E476A"/>
    <w:rsid w:val="005E4B83"/>
    <w:rsid w:val="005E4D31"/>
    <w:rsid w:val="005E5C07"/>
    <w:rsid w:val="005E6327"/>
    <w:rsid w:val="005E6BB8"/>
    <w:rsid w:val="005E7A88"/>
    <w:rsid w:val="005E7B0E"/>
    <w:rsid w:val="005E7B43"/>
    <w:rsid w:val="005E7B64"/>
    <w:rsid w:val="005E7B92"/>
    <w:rsid w:val="005F08A7"/>
    <w:rsid w:val="005F20BE"/>
    <w:rsid w:val="005F320F"/>
    <w:rsid w:val="005F4263"/>
    <w:rsid w:val="005F5440"/>
    <w:rsid w:val="005F54E9"/>
    <w:rsid w:val="005F5DF9"/>
    <w:rsid w:val="005F6C9F"/>
    <w:rsid w:val="005F7686"/>
    <w:rsid w:val="005F7696"/>
    <w:rsid w:val="005F7BF1"/>
    <w:rsid w:val="00600430"/>
    <w:rsid w:val="00600D68"/>
    <w:rsid w:val="00601A1D"/>
    <w:rsid w:val="006026FA"/>
    <w:rsid w:val="00602A94"/>
    <w:rsid w:val="00602FA9"/>
    <w:rsid w:val="0060332B"/>
    <w:rsid w:val="00605643"/>
    <w:rsid w:val="00606011"/>
    <w:rsid w:val="00606392"/>
    <w:rsid w:val="006105C0"/>
    <w:rsid w:val="00611184"/>
    <w:rsid w:val="00611436"/>
    <w:rsid w:val="0061171A"/>
    <w:rsid w:val="00611B6A"/>
    <w:rsid w:val="00611B7F"/>
    <w:rsid w:val="006126A1"/>
    <w:rsid w:val="00614174"/>
    <w:rsid w:val="00614A7B"/>
    <w:rsid w:val="00614E22"/>
    <w:rsid w:val="006150E7"/>
    <w:rsid w:val="00615380"/>
    <w:rsid w:val="00615879"/>
    <w:rsid w:val="00615B88"/>
    <w:rsid w:val="00616856"/>
    <w:rsid w:val="006204D5"/>
    <w:rsid w:val="0062062B"/>
    <w:rsid w:val="00621420"/>
    <w:rsid w:val="0062171C"/>
    <w:rsid w:val="00621993"/>
    <w:rsid w:val="00622092"/>
    <w:rsid w:val="0062212F"/>
    <w:rsid w:val="00622D1D"/>
    <w:rsid w:val="00623CD8"/>
    <w:rsid w:val="0062619F"/>
    <w:rsid w:val="00626EAC"/>
    <w:rsid w:val="006272F8"/>
    <w:rsid w:val="006275F1"/>
    <w:rsid w:val="00627C61"/>
    <w:rsid w:val="00627CF4"/>
    <w:rsid w:val="00627FA9"/>
    <w:rsid w:val="006301E7"/>
    <w:rsid w:val="006301E8"/>
    <w:rsid w:val="00630735"/>
    <w:rsid w:val="006314F8"/>
    <w:rsid w:val="00632049"/>
    <w:rsid w:val="00632653"/>
    <w:rsid w:val="00633205"/>
    <w:rsid w:val="00634D0A"/>
    <w:rsid w:val="00634D27"/>
    <w:rsid w:val="00635146"/>
    <w:rsid w:val="00635678"/>
    <w:rsid w:val="006358E7"/>
    <w:rsid w:val="006364D7"/>
    <w:rsid w:val="006370B2"/>
    <w:rsid w:val="00637758"/>
    <w:rsid w:val="00637A3B"/>
    <w:rsid w:val="006416E2"/>
    <w:rsid w:val="006418F2"/>
    <w:rsid w:val="00642843"/>
    <w:rsid w:val="00642C7C"/>
    <w:rsid w:val="00642CC1"/>
    <w:rsid w:val="00643D8B"/>
    <w:rsid w:val="0064409B"/>
    <w:rsid w:val="006467BF"/>
    <w:rsid w:val="00647701"/>
    <w:rsid w:val="006504BB"/>
    <w:rsid w:val="0065106E"/>
    <w:rsid w:val="006512E2"/>
    <w:rsid w:val="00651372"/>
    <w:rsid w:val="006517B0"/>
    <w:rsid w:val="0065220E"/>
    <w:rsid w:val="00652EEE"/>
    <w:rsid w:val="0065306C"/>
    <w:rsid w:val="00653C1E"/>
    <w:rsid w:val="00653CAA"/>
    <w:rsid w:val="00654126"/>
    <w:rsid w:val="0065444B"/>
    <w:rsid w:val="00655391"/>
    <w:rsid w:val="0065684A"/>
    <w:rsid w:val="0065685D"/>
    <w:rsid w:val="00656CDD"/>
    <w:rsid w:val="00656D9F"/>
    <w:rsid w:val="00657BA5"/>
    <w:rsid w:val="00657FC5"/>
    <w:rsid w:val="00660456"/>
    <w:rsid w:val="006607F4"/>
    <w:rsid w:val="0066188D"/>
    <w:rsid w:val="006640FC"/>
    <w:rsid w:val="0066436E"/>
    <w:rsid w:val="00665C2F"/>
    <w:rsid w:val="00665D73"/>
    <w:rsid w:val="00665E4C"/>
    <w:rsid w:val="006705B4"/>
    <w:rsid w:val="00670F2F"/>
    <w:rsid w:val="00671691"/>
    <w:rsid w:val="00672CB0"/>
    <w:rsid w:val="00672D15"/>
    <w:rsid w:val="00673577"/>
    <w:rsid w:val="006758AE"/>
    <w:rsid w:val="0067706C"/>
    <w:rsid w:val="00677BF9"/>
    <w:rsid w:val="00677DE0"/>
    <w:rsid w:val="006809AC"/>
    <w:rsid w:val="0068287E"/>
    <w:rsid w:val="00683151"/>
    <w:rsid w:val="00685EEF"/>
    <w:rsid w:val="00686836"/>
    <w:rsid w:val="00686AE3"/>
    <w:rsid w:val="00686D5C"/>
    <w:rsid w:val="00687BA2"/>
    <w:rsid w:val="006923BD"/>
    <w:rsid w:val="00692ADC"/>
    <w:rsid w:val="006942B0"/>
    <w:rsid w:val="006948FB"/>
    <w:rsid w:val="00695664"/>
    <w:rsid w:val="006969B1"/>
    <w:rsid w:val="00696AF6"/>
    <w:rsid w:val="006971CA"/>
    <w:rsid w:val="006973D6"/>
    <w:rsid w:val="006A0DA2"/>
    <w:rsid w:val="006A3495"/>
    <w:rsid w:val="006A3592"/>
    <w:rsid w:val="006A4E8A"/>
    <w:rsid w:val="006A6620"/>
    <w:rsid w:val="006A6C7F"/>
    <w:rsid w:val="006A6DB4"/>
    <w:rsid w:val="006A6E17"/>
    <w:rsid w:val="006A70E8"/>
    <w:rsid w:val="006A7B6A"/>
    <w:rsid w:val="006A7F48"/>
    <w:rsid w:val="006B05BE"/>
    <w:rsid w:val="006B11A1"/>
    <w:rsid w:val="006B1CC3"/>
    <w:rsid w:val="006B235C"/>
    <w:rsid w:val="006B269D"/>
    <w:rsid w:val="006B2C59"/>
    <w:rsid w:val="006B3356"/>
    <w:rsid w:val="006B42B8"/>
    <w:rsid w:val="006B44A1"/>
    <w:rsid w:val="006B4B22"/>
    <w:rsid w:val="006B58A6"/>
    <w:rsid w:val="006B59A2"/>
    <w:rsid w:val="006B61CF"/>
    <w:rsid w:val="006B650D"/>
    <w:rsid w:val="006B67FE"/>
    <w:rsid w:val="006C0562"/>
    <w:rsid w:val="006C0783"/>
    <w:rsid w:val="006C100E"/>
    <w:rsid w:val="006C109A"/>
    <w:rsid w:val="006C20B7"/>
    <w:rsid w:val="006C3CBB"/>
    <w:rsid w:val="006C3E23"/>
    <w:rsid w:val="006C4626"/>
    <w:rsid w:val="006C5C48"/>
    <w:rsid w:val="006C6FFA"/>
    <w:rsid w:val="006D0DB9"/>
    <w:rsid w:val="006D1166"/>
    <w:rsid w:val="006D1B19"/>
    <w:rsid w:val="006D1C09"/>
    <w:rsid w:val="006D2BFE"/>
    <w:rsid w:val="006D3609"/>
    <w:rsid w:val="006D4095"/>
    <w:rsid w:val="006D591F"/>
    <w:rsid w:val="006D633A"/>
    <w:rsid w:val="006D652C"/>
    <w:rsid w:val="006D6A20"/>
    <w:rsid w:val="006D6ECB"/>
    <w:rsid w:val="006D738B"/>
    <w:rsid w:val="006E0ABC"/>
    <w:rsid w:val="006E1020"/>
    <w:rsid w:val="006E10D7"/>
    <w:rsid w:val="006E26A9"/>
    <w:rsid w:val="006E272A"/>
    <w:rsid w:val="006E38B0"/>
    <w:rsid w:val="006E3A39"/>
    <w:rsid w:val="006E42B7"/>
    <w:rsid w:val="006E4611"/>
    <w:rsid w:val="006E5A04"/>
    <w:rsid w:val="006E6832"/>
    <w:rsid w:val="006E68D9"/>
    <w:rsid w:val="006E6B9B"/>
    <w:rsid w:val="006E72A6"/>
    <w:rsid w:val="006E74FC"/>
    <w:rsid w:val="006E7549"/>
    <w:rsid w:val="006E769D"/>
    <w:rsid w:val="006F0478"/>
    <w:rsid w:val="006F28BB"/>
    <w:rsid w:val="006F4CE8"/>
    <w:rsid w:val="006F5372"/>
    <w:rsid w:val="006F7958"/>
    <w:rsid w:val="007001EF"/>
    <w:rsid w:val="00700596"/>
    <w:rsid w:val="00700CF3"/>
    <w:rsid w:val="00700F6D"/>
    <w:rsid w:val="0070155A"/>
    <w:rsid w:val="0070159C"/>
    <w:rsid w:val="00701A91"/>
    <w:rsid w:val="00701FAA"/>
    <w:rsid w:val="00703A2B"/>
    <w:rsid w:val="007053D4"/>
    <w:rsid w:val="00705D20"/>
    <w:rsid w:val="007063A9"/>
    <w:rsid w:val="007063B6"/>
    <w:rsid w:val="007065D0"/>
    <w:rsid w:val="007070EF"/>
    <w:rsid w:val="00707D4C"/>
    <w:rsid w:val="00707D66"/>
    <w:rsid w:val="00707EA9"/>
    <w:rsid w:val="007101C9"/>
    <w:rsid w:val="00710B3E"/>
    <w:rsid w:val="00710E9B"/>
    <w:rsid w:val="00710FA7"/>
    <w:rsid w:val="00711712"/>
    <w:rsid w:val="00712595"/>
    <w:rsid w:val="00712948"/>
    <w:rsid w:val="007135E3"/>
    <w:rsid w:val="007139BC"/>
    <w:rsid w:val="0071431F"/>
    <w:rsid w:val="00715C7A"/>
    <w:rsid w:val="00716139"/>
    <w:rsid w:val="007162EF"/>
    <w:rsid w:val="007169DE"/>
    <w:rsid w:val="007207F4"/>
    <w:rsid w:val="00720D5F"/>
    <w:rsid w:val="00721173"/>
    <w:rsid w:val="0072226D"/>
    <w:rsid w:val="00722290"/>
    <w:rsid w:val="007223EB"/>
    <w:rsid w:val="007235C0"/>
    <w:rsid w:val="0072490A"/>
    <w:rsid w:val="00724BD5"/>
    <w:rsid w:val="00724E11"/>
    <w:rsid w:val="00725091"/>
    <w:rsid w:val="007255C1"/>
    <w:rsid w:val="00725927"/>
    <w:rsid w:val="00725C62"/>
    <w:rsid w:val="00726398"/>
    <w:rsid w:val="00726427"/>
    <w:rsid w:val="00730187"/>
    <w:rsid w:val="00730206"/>
    <w:rsid w:val="00731056"/>
    <w:rsid w:val="007313DE"/>
    <w:rsid w:val="007315AE"/>
    <w:rsid w:val="00731EC4"/>
    <w:rsid w:val="00733343"/>
    <w:rsid w:val="00733C03"/>
    <w:rsid w:val="0073459C"/>
    <w:rsid w:val="0073553D"/>
    <w:rsid w:val="007360F3"/>
    <w:rsid w:val="00736ACA"/>
    <w:rsid w:val="007370D5"/>
    <w:rsid w:val="00737873"/>
    <w:rsid w:val="007407FD"/>
    <w:rsid w:val="00741AA5"/>
    <w:rsid w:val="00741C8B"/>
    <w:rsid w:val="00742B9C"/>
    <w:rsid w:val="00743949"/>
    <w:rsid w:val="00743BB2"/>
    <w:rsid w:val="00744734"/>
    <w:rsid w:val="00744FB7"/>
    <w:rsid w:val="007450D3"/>
    <w:rsid w:val="007458A5"/>
    <w:rsid w:val="00747776"/>
    <w:rsid w:val="007510D1"/>
    <w:rsid w:val="007521F9"/>
    <w:rsid w:val="007528AB"/>
    <w:rsid w:val="007533CF"/>
    <w:rsid w:val="007534CC"/>
    <w:rsid w:val="00753862"/>
    <w:rsid w:val="00753972"/>
    <w:rsid w:val="00753B10"/>
    <w:rsid w:val="00755762"/>
    <w:rsid w:val="00755BD2"/>
    <w:rsid w:val="00756049"/>
    <w:rsid w:val="007566F0"/>
    <w:rsid w:val="00757434"/>
    <w:rsid w:val="00760B86"/>
    <w:rsid w:val="0076167B"/>
    <w:rsid w:val="007627FD"/>
    <w:rsid w:val="00762869"/>
    <w:rsid w:val="00766556"/>
    <w:rsid w:val="00766577"/>
    <w:rsid w:val="00766C6F"/>
    <w:rsid w:val="0077000F"/>
    <w:rsid w:val="0077241B"/>
    <w:rsid w:val="007728A9"/>
    <w:rsid w:val="00772C28"/>
    <w:rsid w:val="007730FF"/>
    <w:rsid w:val="0077477F"/>
    <w:rsid w:val="00774A2F"/>
    <w:rsid w:val="00774F80"/>
    <w:rsid w:val="007753E9"/>
    <w:rsid w:val="00775466"/>
    <w:rsid w:val="007755CC"/>
    <w:rsid w:val="007758F7"/>
    <w:rsid w:val="00775DAC"/>
    <w:rsid w:val="00775EFE"/>
    <w:rsid w:val="00776F72"/>
    <w:rsid w:val="007772EE"/>
    <w:rsid w:val="007804C0"/>
    <w:rsid w:val="007804F0"/>
    <w:rsid w:val="0078182D"/>
    <w:rsid w:val="00781EAC"/>
    <w:rsid w:val="00782D7C"/>
    <w:rsid w:val="007833EC"/>
    <w:rsid w:val="007842E5"/>
    <w:rsid w:val="00784309"/>
    <w:rsid w:val="00785BB4"/>
    <w:rsid w:val="007866CC"/>
    <w:rsid w:val="00786D39"/>
    <w:rsid w:val="007871E2"/>
    <w:rsid w:val="00791435"/>
    <w:rsid w:val="007924C2"/>
    <w:rsid w:val="00792A22"/>
    <w:rsid w:val="00794136"/>
    <w:rsid w:val="00794B01"/>
    <w:rsid w:val="00795845"/>
    <w:rsid w:val="00795911"/>
    <w:rsid w:val="00795EDA"/>
    <w:rsid w:val="007965C1"/>
    <w:rsid w:val="00796B20"/>
    <w:rsid w:val="007A00CE"/>
    <w:rsid w:val="007A0640"/>
    <w:rsid w:val="007A1B51"/>
    <w:rsid w:val="007A20C1"/>
    <w:rsid w:val="007A30A6"/>
    <w:rsid w:val="007A4327"/>
    <w:rsid w:val="007A4F37"/>
    <w:rsid w:val="007A5234"/>
    <w:rsid w:val="007A5900"/>
    <w:rsid w:val="007A5B4F"/>
    <w:rsid w:val="007A7EE7"/>
    <w:rsid w:val="007B0141"/>
    <w:rsid w:val="007B01AF"/>
    <w:rsid w:val="007B0479"/>
    <w:rsid w:val="007B0B4A"/>
    <w:rsid w:val="007B16C5"/>
    <w:rsid w:val="007B1AFF"/>
    <w:rsid w:val="007B2111"/>
    <w:rsid w:val="007B24CB"/>
    <w:rsid w:val="007B2F16"/>
    <w:rsid w:val="007B35E9"/>
    <w:rsid w:val="007B4063"/>
    <w:rsid w:val="007B4B57"/>
    <w:rsid w:val="007B5903"/>
    <w:rsid w:val="007B5E1C"/>
    <w:rsid w:val="007B6D82"/>
    <w:rsid w:val="007B6EF2"/>
    <w:rsid w:val="007B75CA"/>
    <w:rsid w:val="007B7E81"/>
    <w:rsid w:val="007C18B8"/>
    <w:rsid w:val="007C255B"/>
    <w:rsid w:val="007C27CA"/>
    <w:rsid w:val="007C56E4"/>
    <w:rsid w:val="007C6531"/>
    <w:rsid w:val="007C662D"/>
    <w:rsid w:val="007C683E"/>
    <w:rsid w:val="007C6847"/>
    <w:rsid w:val="007C6EBF"/>
    <w:rsid w:val="007C7376"/>
    <w:rsid w:val="007D0A2D"/>
    <w:rsid w:val="007D0E3A"/>
    <w:rsid w:val="007D22C8"/>
    <w:rsid w:val="007D2C6A"/>
    <w:rsid w:val="007D5789"/>
    <w:rsid w:val="007D5FBD"/>
    <w:rsid w:val="007D6A69"/>
    <w:rsid w:val="007D7390"/>
    <w:rsid w:val="007D7FA4"/>
    <w:rsid w:val="007E01C6"/>
    <w:rsid w:val="007E06B7"/>
    <w:rsid w:val="007E0CAD"/>
    <w:rsid w:val="007E158F"/>
    <w:rsid w:val="007E194E"/>
    <w:rsid w:val="007E197A"/>
    <w:rsid w:val="007E2FBB"/>
    <w:rsid w:val="007E3248"/>
    <w:rsid w:val="007E33F4"/>
    <w:rsid w:val="007E3752"/>
    <w:rsid w:val="007E390C"/>
    <w:rsid w:val="007E4552"/>
    <w:rsid w:val="007E4AE4"/>
    <w:rsid w:val="007E4C66"/>
    <w:rsid w:val="007E5DED"/>
    <w:rsid w:val="007E6C3B"/>
    <w:rsid w:val="007E7D34"/>
    <w:rsid w:val="007F035E"/>
    <w:rsid w:val="007F306E"/>
    <w:rsid w:val="007F4104"/>
    <w:rsid w:val="007F452A"/>
    <w:rsid w:val="007F4DB3"/>
    <w:rsid w:val="007F4F75"/>
    <w:rsid w:val="007F5550"/>
    <w:rsid w:val="007F5704"/>
    <w:rsid w:val="007F5DEB"/>
    <w:rsid w:val="007F6BD9"/>
    <w:rsid w:val="007F6F32"/>
    <w:rsid w:val="007F7627"/>
    <w:rsid w:val="0080195F"/>
    <w:rsid w:val="00802FFD"/>
    <w:rsid w:val="00803616"/>
    <w:rsid w:val="0080457E"/>
    <w:rsid w:val="00804FF8"/>
    <w:rsid w:val="0080501A"/>
    <w:rsid w:val="00806ECA"/>
    <w:rsid w:val="00807835"/>
    <w:rsid w:val="00807D39"/>
    <w:rsid w:val="008110EF"/>
    <w:rsid w:val="00811AEA"/>
    <w:rsid w:val="0081295C"/>
    <w:rsid w:val="00813990"/>
    <w:rsid w:val="00814E96"/>
    <w:rsid w:val="00815ECE"/>
    <w:rsid w:val="00815F80"/>
    <w:rsid w:val="008166C1"/>
    <w:rsid w:val="00816C60"/>
    <w:rsid w:val="00817668"/>
    <w:rsid w:val="00820146"/>
    <w:rsid w:val="008206E0"/>
    <w:rsid w:val="00820EAE"/>
    <w:rsid w:val="008210C4"/>
    <w:rsid w:val="00822B9A"/>
    <w:rsid w:val="008234ED"/>
    <w:rsid w:val="00824109"/>
    <w:rsid w:val="00824C6A"/>
    <w:rsid w:val="0082505E"/>
    <w:rsid w:val="00825A82"/>
    <w:rsid w:val="00825ADE"/>
    <w:rsid w:val="00825CA7"/>
    <w:rsid w:val="0082775A"/>
    <w:rsid w:val="00830685"/>
    <w:rsid w:val="00830B55"/>
    <w:rsid w:val="00831063"/>
    <w:rsid w:val="00831856"/>
    <w:rsid w:val="00831DA1"/>
    <w:rsid w:val="00832805"/>
    <w:rsid w:val="00832D18"/>
    <w:rsid w:val="008330E2"/>
    <w:rsid w:val="00835190"/>
    <w:rsid w:val="008366B7"/>
    <w:rsid w:val="00836A1D"/>
    <w:rsid w:val="00836B76"/>
    <w:rsid w:val="00837BEC"/>
    <w:rsid w:val="008408B9"/>
    <w:rsid w:val="0084098E"/>
    <w:rsid w:val="00840F24"/>
    <w:rsid w:val="0084155B"/>
    <w:rsid w:val="0084207E"/>
    <w:rsid w:val="0084228E"/>
    <w:rsid w:val="00842AFA"/>
    <w:rsid w:val="00842B00"/>
    <w:rsid w:val="0084317E"/>
    <w:rsid w:val="008436E3"/>
    <w:rsid w:val="0084381E"/>
    <w:rsid w:val="0084429A"/>
    <w:rsid w:val="00844303"/>
    <w:rsid w:val="00844C98"/>
    <w:rsid w:val="00845222"/>
    <w:rsid w:val="008456A2"/>
    <w:rsid w:val="00845E5D"/>
    <w:rsid w:val="00846312"/>
    <w:rsid w:val="00846D53"/>
    <w:rsid w:val="00850297"/>
    <w:rsid w:val="0085044B"/>
    <w:rsid w:val="0085291E"/>
    <w:rsid w:val="008533CE"/>
    <w:rsid w:val="008546E1"/>
    <w:rsid w:val="008549CE"/>
    <w:rsid w:val="00855587"/>
    <w:rsid w:val="00856239"/>
    <w:rsid w:val="008562C8"/>
    <w:rsid w:val="00856829"/>
    <w:rsid w:val="00857C10"/>
    <w:rsid w:val="008601FE"/>
    <w:rsid w:val="00861401"/>
    <w:rsid w:val="0086270D"/>
    <w:rsid w:val="00862815"/>
    <w:rsid w:val="0086291D"/>
    <w:rsid w:val="008630A3"/>
    <w:rsid w:val="0086383D"/>
    <w:rsid w:val="00863A0F"/>
    <w:rsid w:val="008645E7"/>
    <w:rsid w:val="00864695"/>
    <w:rsid w:val="008648EB"/>
    <w:rsid w:val="00864B83"/>
    <w:rsid w:val="00865F6B"/>
    <w:rsid w:val="00866266"/>
    <w:rsid w:val="00867065"/>
    <w:rsid w:val="008718CA"/>
    <w:rsid w:val="008719E2"/>
    <w:rsid w:val="00873007"/>
    <w:rsid w:val="0087466D"/>
    <w:rsid w:val="00874B9A"/>
    <w:rsid w:val="00874D63"/>
    <w:rsid w:val="00874E82"/>
    <w:rsid w:val="00876288"/>
    <w:rsid w:val="008766EF"/>
    <w:rsid w:val="00876935"/>
    <w:rsid w:val="0087748A"/>
    <w:rsid w:val="00877BB4"/>
    <w:rsid w:val="008807DB"/>
    <w:rsid w:val="00880B02"/>
    <w:rsid w:val="008821BC"/>
    <w:rsid w:val="00882DCE"/>
    <w:rsid w:val="008835EF"/>
    <w:rsid w:val="00884256"/>
    <w:rsid w:val="00884F11"/>
    <w:rsid w:val="008912BB"/>
    <w:rsid w:val="00891B26"/>
    <w:rsid w:val="00892341"/>
    <w:rsid w:val="008925C3"/>
    <w:rsid w:val="00892993"/>
    <w:rsid w:val="00892F66"/>
    <w:rsid w:val="00894195"/>
    <w:rsid w:val="00894B79"/>
    <w:rsid w:val="0089550A"/>
    <w:rsid w:val="00895747"/>
    <w:rsid w:val="008957A4"/>
    <w:rsid w:val="0089682A"/>
    <w:rsid w:val="00896B37"/>
    <w:rsid w:val="00896E10"/>
    <w:rsid w:val="0089745F"/>
    <w:rsid w:val="0089757C"/>
    <w:rsid w:val="00897D79"/>
    <w:rsid w:val="00897DE2"/>
    <w:rsid w:val="00897F39"/>
    <w:rsid w:val="008A087C"/>
    <w:rsid w:val="008A2A6E"/>
    <w:rsid w:val="008A6426"/>
    <w:rsid w:val="008A690F"/>
    <w:rsid w:val="008A6F9A"/>
    <w:rsid w:val="008A7069"/>
    <w:rsid w:val="008A7310"/>
    <w:rsid w:val="008A7392"/>
    <w:rsid w:val="008A7CBD"/>
    <w:rsid w:val="008B08BD"/>
    <w:rsid w:val="008B0E70"/>
    <w:rsid w:val="008B16D4"/>
    <w:rsid w:val="008B1A45"/>
    <w:rsid w:val="008B2619"/>
    <w:rsid w:val="008B261E"/>
    <w:rsid w:val="008B277A"/>
    <w:rsid w:val="008B3881"/>
    <w:rsid w:val="008B440D"/>
    <w:rsid w:val="008B4C9D"/>
    <w:rsid w:val="008B4D68"/>
    <w:rsid w:val="008B5A55"/>
    <w:rsid w:val="008B5AE9"/>
    <w:rsid w:val="008B6162"/>
    <w:rsid w:val="008B716E"/>
    <w:rsid w:val="008B752D"/>
    <w:rsid w:val="008C211B"/>
    <w:rsid w:val="008C318A"/>
    <w:rsid w:val="008C3271"/>
    <w:rsid w:val="008C354E"/>
    <w:rsid w:val="008C465B"/>
    <w:rsid w:val="008C5377"/>
    <w:rsid w:val="008C5651"/>
    <w:rsid w:val="008C6362"/>
    <w:rsid w:val="008C68F9"/>
    <w:rsid w:val="008C6A68"/>
    <w:rsid w:val="008C6D76"/>
    <w:rsid w:val="008C7409"/>
    <w:rsid w:val="008C74F2"/>
    <w:rsid w:val="008C7A24"/>
    <w:rsid w:val="008C7B00"/>
    <w:rsid w:val="008D1786"/>
    <w:rsid w:val="008D19C9"/>
    <w:rsid w:val="008D1AF0"/>
    <w:rsid w:val="008D1FCF"/>
    <w:rsid w:val="008D2393"/>
    <w:rsid w:val="008D23FD"/>
    <w:rsid w:val="008D292D"/>
    <w:rsid w:val="008D4DCF"/>
    <w:rsid w:val="008D4EC0"/>
    <w:rsid w:val="008D55B9"/>
    <w:rsid w:val="008D57AB"/>
    <w:rsid w:val="008D58D7"/>
    <w:rsid w:val="008D58FC"/>
    <w:rsid w:val="008D5DD8"/>
    <w:rsid w:val="008E03EA"/>
    <w:rsid w:val="008E0D4F"/>
    <w:rsid w:val="008E1EB6"/>
    <w:rsid w:val="008E1FB4"/>
    <w:rsid w:val="008E269D"/>
    <w:rsid w:val="008E2F5D"/>
    <w:rsid w:val="008E34F5"/>
    <w:rsid w:val="008E3818"/>
    <w:rsid w:val="008E506C"/>
    <w:rsid w:val="008E74EC"/>
    <w:rsid w:val="008E7838"/>
    <w:rsid w:val="008E7D0D"/>
    <w:rsid w:val="008F05FB"/>
    <w:rsid w:val="008F252E"/>
    <w:rsid w:val="008F28F9"/>
    <w:rsid w:val="008F4C66"/>
    <w:rsid w:val="008F5BDF"/>
    <w:rsid w:val="008F5EB4"/>
    <w:rsid w:val="008F6168"/>
    <w:rsid w:val="008F73EE"/>
    <w:rsid w:val="008F7B89"/>
    <w:rsid w:val="009003C0"/>
    <w:rsid w:val="00900643"/>
    <w:rsid w:val="00900A2B"/>
    <w:rsid w:val="009017D7"/>
    <w:rsid w:val="00902959"/>
    <w:rsid w:val="00903726"/>
    <w:rsid w:val="00904127"/>
    <w:rsid w:val="00904A42"/>
    <w:rsid w:val="009105FB"/>
    <w:rsid w:val="00910726"/>
    <w:rsid w:val="00910DE3"/>
    <w:rsid w:val="00912B41"/>
    <w:rsid w:val="00912F2A"/>
    <w:rsid w:val="0091344E"/>
    <w:rsid w:val="009135E0"/>
    <w:rsid w:val="00913B95"/>
    <w:rsid w:val="00916CA4"/>
    <w:rsid w:val="00916D12"/>
    <w:rsid w:val="00916D1B"/>
    <w:rsid w:val="00917532"/>
    <w:rsid w:val="009178DE"/>
    <w:rsid w:val="0092017C"/>
    <w:rsid w:val="00924035"/>
    <w:rsid w:val="0092407C"/>
    <w:rsid w:val="00924575"/>
    <w:rsid w:val="00924EC2"/>
    <w:rsid w:val="00925EC3"/>
    <w:rsid w:val="0092627D"/>
    <w:rsid w:val="00926555"/>
    <w:rsid w:val="00926E2C"/>
    <w:rsid w:val="009275F5"/>
    <w:rsid w:val="00931453"/>
    <w:rsid w:val="00931945"/>
    <w:rsid w:val="00932DF8"/>
    <w:rsid w:val="00933171"/>
    <w:rsid w:val="00933316"/>
    <w:rsid w:val="00934370"/>
    <w:rsid w:val="009345BB"/>
    <w:rsid w:val="00934F3F"/>
    <w:rsid w:val="009353A6"/>
    <w:rsid w:val="0093591D"/>
    <w:rsid w:val="009372E5"/>
    <w:rsid w:val="009409B1"/>
    <w:rsid w:val="00941151"/>
    <w:rsid w:val="00943AB4"/>
    <w:rsid w:val="009441C0"/>
    <w:rsid w:val="00944867"/>
    <w:rsid w:val="00944A37"/>
    <w:rsid w:val="0094545B"/>
    <w:rsid w:val="00945576"/>
    <w:rsid w:val="00946BAD"/>
    <w:rsid w:val="0094787A"/>
    <w:rsid w:val="00950522"/>
    <w:rsid w:val="00950DFA"/>
    <w:rsid w:val="00951CC5"/>
    <w:rsid w:val="00952AE7"/>
    <w:rsid w:val="00953398"/>
    <w:rsid w:val="00953C50"/>
    <w:rsid w:val="0095420C"/>
    <w:rsid w:val="00954C17"/>
    <w:rsid w:val="00954EE5"/>
    <w:rsid w:val="00955047"/>
    <w:rsid w:val="00955086"/>
    <w:rsid w:val="00955B8F"/>
    <w:rsid w:val="00955B92"/>
    <w:rsid w:val="0095632C"/>
    <w:rsid w:val="00956D20"/>
    <w:rsid w:val="00956E9C"/>
    <w:rsid w:val="0095748C"/>
    <w:rsid w:val="00957E7F"/>
    <w:rsid w:val="00960DA0"/>
    <w:rsid w:val="0096133A"/>
    <w:rsid w:val="00961488"/>
    <w:rsid w:val="0096398D"/>
    <w:rsid w:val="00964833"/>
    <w:rsid w:val="00964D7E"/>
    <w:rsid w:val="009655F6"/>
    <w:rsid w:val="00965D70"/>
    <w:rsid w:val="00966511"/>
    <w:rsid w:val="00966B56"/>
    <w:rsid w:val="009675D5"/>
    <w:rsid w:val="00967C4D"/>
    <w:rsid w:val="00967DD7"/>
    <w:rsid w:val="00970B80"/>
    <w:rsid w:val="009711D5"/>
    <w:rsid w:val="0097126A"/>
    <w:rsid w:val="0097150B"/>
    <w:rsid w:val="009733E8"/>
    <w:rsid w:val="00973697"/>
    <w:rsid w:val="00974DCF"/>
    <w:rsid w:val="009750CB"/>
    <w:rsid w:val="00975100"/>
    <w:rsid w:val="00976042"/>
    <w:rsid w:val="00981CCC"/>
    <w:rsid w:val="009823AD"/>
    <w:rsid w:val="00982873"/>
    <w:rsid w:val="00982C8E"/>
    <w:rsid w:val="00983484"/>
    <w:rsid w:val="00983C91"/>
    <w:rsid w:val="0098467F"/>
    <w:rsid w:val="00985267"/>
    <w:rsid w:val="00985852"/>
    <w:rsid w:val="0098592F"/>
    <w:rsid w:val="00986B1D"/>
    <w:rsid w:val="00987EE3"/>
    <w:rsid w:val="00993001"/>
    <w:rsid w:val="00995FE9"/>
    <w:rsid w:val="0099747F"/>
    <w:rsid w:val="0099790E"/>
    <w:rsid w:val="00997A18"/>
    <w:rsid w:val="009A07BB"/>
    <w:rsid w:val="009A117F"/>
    <w:rsid w:val="009A130C"/>
    <w:rsid w:val="009A1391"/>
    <w:rsid w:val="009A180E"/>
    <w:rsid w:val="009A1FC7"/>
    <w:rsid w:val="009A254E"/>
    <w:rsid w:val="009A42E4"/>
    <w:rsid w:val="009A46D3"/>
    <w:rsid w:val="009A4C7E"/>
    <w:rsid w:val="009A5149"/>
    <w:rsid w:val="009A5D6F"/>
    <w:rsid w:val="009A6C93"/>
    <w:rsid w:val="009A733F"/>
    <w:rsid w:val="009A7548"/>
    <w:rsid w:val="009B03D5"/>
    <w:rsid w:val="009B191A"/>
    <w:rsid w:val="009B1A30"/>
    <w:rsid w:val="009B2183"/>
    <w:rsid w:val="009B398E"/>
    <w:rsid w:val="009B3DC7"/>
    <w:rsid w:val="009B4969"/>
    <w:rsid w:val="009B4E2E"/>
    <w:rsid w:val="009B567B"/>
    <w:rsid w:val="009B636A"/>
    <w:rsid w:val="009B6429"/>
    <w:rsid w:val="009B68A2"/>
    <w:rsid w:val="009B7380"/>
    <w:rsid w:val="009B75B2"/>
    <w:rsid w:val="009C0D72"/>
    <w:rsid w:val="009C1AF0"/>
    <w:rsid w:val="009C296B"/>
    <w:rsid w:val="009C2B07"/>
    <w:rsid w:val="009C3387"/>
    <w:rsid w:val="009C340C"/>
    <w:rsid w:val="009C35E4"/>
    <w:rsid w:val="009C3CBD"/>
    <w:rsid w:val="009C4507"/>
    <w:rsid w:val="009C578F"/>
    <w:rsid w:val="009C5A26"/>
    <w:rsid w:val="009C5DFD"/>
    <w:rsid w:val="009C673A"/>
    <w:rsid w:val="009D0E76"/>
    <w:rsid w:val="009D33EF"/>
    <w:rsid w:val="009D3879"/>
    <w:rsid w:val="009D38D5"/>
    <w:rsid w:val="009D4108"/>
    <w:rsid w:val="009D4FED"/>
    <w:rsid w:val="009D6834"/>
    <w:rsid w:val="009D7706"/>
    <w:rsid w:val="009D7A95"/>
    <w:rsid w:val="009D7B0E"/>
    <w:rsid w:val="009E1BDE"/>
    <w:rsid w:val="009E1BF0"/>
    <w:rsid w:val="009E2440"/>
    <w:rsid w:val="009E287A"/>
    <w:rsid w:val="009E511D"/>
    <w:rsid w:val="009E5EE3"/>
    <w:rsid w:val="009E6CF0"/>
    <w:rsid w:val="009E7533"/>
    <w:rsid w:val="009F1147"/>
    <w:rsid w:val="009F1A1F"/>
    <w:rsid w:val="009F2E7D"/>
    <w:rsid w:val="009F354D"/>
    <w:rsid w:val="009F4DE8"/>
    <w:rsid w:val="009F5AFB"/>
    <w:rsid w:val="009F6653"/>
    <w:rsid w:val="009F746D"/>
    <w:rsid w:val="009F74CD"/>
    <w:rsid w:val="009F7CE1"/>
    <w:rsid w:val="00A01769"/>
    <w:rsid w:val="00A023B6"/>
    <w:rsid w:val="00A02988"/>
    <w:rsid w:val="00A036E6"/>
    <w:rsid w:val="00A03B9B"/>
    <w:rsid w:val="00A04E35"/>
    <w:rsid w:val="00A04FC6"/>
    <w:rsid w:val="00A058B8"/>
    <w:rsid w:val="00A061E1"/>
    <w:rsid w:val="00A07E88"/>
    <w:rsid w:val="00A100E1"/>
    <w:rsid w:val="00A104F8"/>
    <w:rsid w:val="00A1188F"/>
    <w:rsid w:val="00A119DD"/>
    <w:rsid w:val="00A11A68"/>
    <w:rsid w:val="00A123C3"/>
    <w:rsid w:val="00A20B04"/>
    <w:rsid w:val="00A20B6E"/>
    <w:rsid w:val="00A22A4C"/>
    <w:rsid w:val="00A22B61"/>
    <w:rsid w:val="00A22CCD"/>
    <w:rsid w:val="00A22E70"/>
    <w:rsid w:val="00A23021"/>
    <w:rsid w:val="00A230A1"/>
    <w:rsid w:val="00A2552B"/>
    <w:rsid w:val="00A25823"/>
    <w:rsid w:val="00A2595C"/>
    <w:rsid w:val="00A25F12"/>
    <w:rsid w:val="00A25FD2"/>
    <w:rsid w:val="00A26D25"/>
    <w:rsid w:val="00A26E46"/>
    <w:rsid w:val="00A302B3"/>
    <w:rsid w:val="00A30E88"/>
    <w:rsid w:val="00A31146"/>
    <w:rsid w:val="00A318ED"/>
    <w:rsid w:val="00A3267E"/>
    <w:rsid w:val="00A32FE6"/>
    <w:rsid w:val="00A33CE0"/>
    <w:rsid w:val="00A3432F"/>
    <w:rsid w:val="00A37118"/>
    <w:rsid w:val="00A40483"/>
    <w:rsid w:val="00A41A4B"/>
    <w:rsid w:val="00A442F8"/>
    <w:rsid w:val="00A45130"/>
    <w:rsid w:val="00A45B4A"/>
    <w:rsid w:val="00A46AC8"/>
    <w:rsid w:val="00A46C74"/>
    <w:rsid w:val="00A46DEE"/>
    <w:rsid w:val="00A46EF1"/>
    <w:rsid w:val="00A47011"/>
    <w:rsid w:val="00A474C7"/>
    <w:rsid w:val="00A47654"/>
    <w:rsid w:val="00A476C7"/>
    <w:rsid w:val="00A4781B"/>
    <w:rsid w:val="00A50179"/>
    <w:rsid w:val="00A50CF1"/>
    <w:rsid w:val="00A518C1"/>
    <w:rsid w:val="00A51AE0"/>
    <w:rsid w:val="00A51D9E"/>
    <w:rsid w:val="00A52E28"/>
    <w:rsid w:val="00A53F18"/>
    <w:rsid w:val="00A54BE4"/>
    <w:rsid w:val="00A54FAF"/>
    <w:rsid w:val="00A55066"/>
    <w:rsid w:val="00A55919"/>
    <w:rsid w:val="00A562BF"/>
    <w:rsid w:val="00A576E0"/>
    <w:rsid w:val="00A579C8"/>
    <w:rsid w:val="00A57E7D"/>
    <w:rsid w:val="00A60A02"/>
    <w:rsid w:val="00A60B95"/>
    <w:rsid w:val="00A60C42"/>
    <w:rsid w:val="00A61AFC"/>
    <w:rsid w:val="00A61F64"/>
    <w:rsid w:val="00A620AD"/>
    <w:rsid w:val="00A6255F"/>
    <w:rsid w:val="00A629AF"/>
    <w:rsid w:val="00A64202"/>
    <w:rsid w:val="00A64861"/>
    <w:rsid w:val="00A654D8"/>
    <w:rsid w:val="00A6587D"/>
    <w:rsid w:val="00A666E2"/>
    <w:rsid w:val="00A669EB"/>
    <w:rsid w:val="00A66FC5"/>
    <w:rsid w:val="00A6716A"/>
    <w:rsid w:val="00A67BF1"/>
    <w:rsid w:val="00A70492"/>
    <w:rsid w:val="00A72047"/>
    <w:rsid w:val="00A72C71"/>
    <w:rsid w:val="00A72E4F"/>
    <w:rsid w:val="00A7331C"/>
    <w:rsid w:val="00A73397"/>
    <w:rsid w:val="00A73B2F"/>
    <w:rsid w:val="00A73FDB"/>
    <w:rsid w:val="00A75296"/>
    <w:rsid w:val="00A76597"/>
    <w:rsid w:val="00A766B5"/>
    <w:rsid w:val="00A77023"/>
    <w:rsid w:val="00A77B05"/>
    <w:rsid w:val="00A800DB"/>
    <w:rsid w:val="00A80131"/>
    <w:rsid w:val="00A8098E"/>
    <w:rsid w:val="00A8146B"/>
    <w:rsid w:val="00A82283"/>
    <w:rsid w:val="00A82844"/>
    <w:rsid w:val="00A82AA7"/>
    <w:rsid w:val="00A83A20"/>
    <w:rsid w:val="00A842FC"/>
    <w:rsid w:val="00A84DF2"/>
    <w:rsid w:val="00A857B4"/>
    <w:rsid w:val="00A8723C"/>
    <w:rsid w:val="00A9131B"/>
    <w:rsid w:val="00A924BA"/>
    <w:rsid w:val="00A93337"/>
    <w:rsid w:val="00A94226"/>
    <w:rsid w:val="00A95B48"/>
    <w:rsid w:val="00A966DA"/>
    <w:rsid w:val="00AA3D29"/>
    <w:rsid w:val="00AA40CF"/>
    <w:rsid w:val="00AA4D5A"/>
    <w:rsid w:val="00AA560B"/>
    <w:rsid w:val="00AA56A5"/>
    <w:rsid w:val="00AA59A5"/>
    <w:rsid w:val="00AA5CCB"/>
    <w:rsid w:val="00AA679F"/>
    <w:rsid w:val="00AA67EF"/>
    <w:rsid w:val="00AA6AFE"/>
    <w:rsid w:val="00AA7193"/>
    <w:rsid w:val="00AA726C"/>
    <w:rsid w:val="00AA7FB5"/>
    <w:rsid w:val="00AB063D"/>
    <w:rsid w:val="00AB08F0"/>
    <w:rsid w:val="00AB09C2"/>
    <w:rsid w:val="00AB0DE9"/>
    <w:rsid w:val="00AB1ED9"/>
    <w:rsid w:val="00AB2126"/>
    <w:rsid w:val="00AB28F9"/>
    <w:rsid w:val="00AB2E90"/>
    <w:rsid w:val="00AB34CF"/>
    <w:rsid w:val="00AB3799"/>
    <w:rsid w:val="00AB46B6"/>
    <w:rsid w:val="00AB5C7C"/>
    <w:rsid w:val="00AB6347"/>
    <w:rsid w:val="00AB6579"/>
    <w:rsid w:val="00AB7E74"/>
    <w:rsid w:val="00AC016F"/>
    <w:rsid w:val="00AC0388"/>
    <w:rsid w:val="00AC0662"/>
    <w:rsid w:val="00AC0B7D"/>
    <w:rsid w:val="00AC0E0E"/>
    <w:rsid w:val="00AC0E3C"/>
    <w:rsid w:val="00AC1FEC"/>
    <w:rsid w:val="00AC33CD"/>
    <w:rsid w:val="00AC59C4"/>
    <w:rsid w:val="00AC6EAD"/>
    <w:rsid w:val="00AC7310"/>
    <w:rsid w:val="00AD0636"/>
    <w:rsid w:val="00AD12F5"/>
    <w:rsid w:val="00AD2255"/>
    <w:rsid w:val="00AD2BFE"/>
    <w:rsid w:val="00AD2C20"/>
    <w:rsid w:val="00AD2E36"/>
    <w:rsid w:val="00AD3D98"/>
    <w:rsid w:val="00AD4238"/>
    <w:rsid w:val="00AD4274"/>
    <w:rsid w:val="00AD4D4A"/>
    <w:rsid w:val="00AD590F"/>
    <w:rsid w:val="00AD5ABB"/>
    <w:rsid w:val="00AD6DAE"/>
    <w:rsid w:val="00AD776C"/>
    <w:rsid w:val="00AD7BEE"/>
    <w:rsid w:val="00AD7D39"/>
    <w:rsid w:val="00AE0F62"/>
    <w:rsid w:val="00AE13F1"/>
    <w:rsid w:val="00AE16F0"/>
    <w:rsid w:val="00AE18A7"/>
    <w:rsid w:val="00AE29F8"/>
    <w:rsid w:val="00AE4087"/>
    <w:rsid w:val="00AE550C"/>
    <w:rsid w:val="00AE671D"/>
    <w:rsid w:val="00AF0247"/>
    <w:rsid w:val="00AF049A"/>
    <w:rsid w:val="00AF05FF"/>
    <w:rsid w:val="00AF18B3"/>
    <w:rsid w:val="00AF1D5A"/>
    <w:rsid w:val="00AF1F94"/>
    <w:rsid w:val="00AF1FAB"/>
    <w:rsid w:val="00AF21D4"/>
    <w:rsid w:val="00AF2789"/>
    <w:rsid w:val="00AF27AA"/>
    <w:rsid w:val="00AF2C49"/>
    <w:rsid w:val="00AF2D3C"/>
    <w:rsid w:val="00AF58FF"/>
    <w:rsid w:val="00AF5A88"/>
    <w:rsid w:val="00AF5B25"/>
    <w:rsid w:val="00AF5ED6"/>
    <w:rsid w:val="00AF7465"/>
    <w:rsid w:val="00B02FB7"/>
    <w:rsid w:val="00B03C82"/>
    <w:rsid w:val="00B05370"/>
    <w:rsid w:val="00B05DBB"/>
    <w:rsid w:val="00B0666B"/>
    <w:rsid w:val="00B0697D"/>
    <w:rsid w:val="00B107E1"/>
    <w:rsid w:val="00B10801"/>
    <w:rsid w:val="00B10AF4"/>
    <w:rsid w:val="00B10B5C"/>
    <w:rsid w:val="00B10CE5"/>
    <w:rsid w:val="00B10CEC"/>
    <w:rsid w:val="00B11212"/>
    <w:rsid w:val="00B11738"/>
    <w:rsid w:val="00B117FE"/>
    <w:rsid w:val="00B12102"/>
    <w:rsid w:val="00B13A88"/>
    <w:rsid w:val="00B14E8F"/>
    <w:rsid w:val="00B15EA2"/>
    <w:rsid w:val="00B1665E"/>
    <w:rsid w:val="00B16F2B"/>
    <w:rsid w:val="00B20A61"/>
    <w:rsid w:val="00B21E57"/>
    <w:rsid w:val="00B228F7"/>
    <w:rsid w:val="00B24131"/>
    <w:rsid w:val="00B24491"/>
    <w:rsid w:val="00B25083"/>
    <w:rsid w:val="00B2525B"/>
    <w:rsid w:val="00B25810"/>
    <w:rsid w:val="00B25817"/>
    <w:rsid w:val="00B25A5D"/>
    <w:rsid w:val="00B26969"/>
    <w:rsid w:val="00B2797F"/>
    <w:rsid w:val="00B27C08"/>
    <w:rsid w:val="00B30427"/>
    <w:rsid w:val="00B31243"/>
    <w:rsid w:val="00B31A32"/>
    <w:rsid w:val="00B32004"/>
    <w:rsid w:val="00B32130"/>
    <w:rsid w:val="00B32A44"/>
    <w:rsid w:val="00B3521B"/>
    <w:rsid w:val="00B35B61"/>
    <w:rsid w:val="00B35EAA"/>
    <w:rsid w:val="00B369C6"/>
    <w:rsid w:val="00B36A45"/>
    <w:rsid w:val="00B36CB5"/>
    <w:rsid w:val="00B37478"/>
    <w:rsid w:val="00B3758E"/>
    <w:rsid w:val="00B37E74"/>
    <w:rsid w:val="00B40B2B"/>
    <w:rsid w:val="00B446F1"/>
    <w:rsid w:val="00B44912"/>
    <w:rsid w:val="00B44D59"/>
    <w:rsid w:val="00B44DF0"/>
    <w:rsid w:val="00B44E23"/>
    <w:rsid w:val="00B452A3"/>
    <w:rsid w:val="00B46EFB"/>
    <w:rsid w:val="00B4789D"/>
    <w:rsid w:val="00B47C4B"/>
    <w:rsid w:val="00B503A9"/>
    <w:rsid w:val="00B519E4"/>
    <w:rsid w:val="00B51CE9"/>
    <w:rsid w:val="00B51D22"/>
    <w:rsid w:val="00B52262"/>
    <w:rsid w:val="00B52522"/>
    <w:rsid w:val="00B5384C"/>
    <w:rsid w:val="00B53BDD"/>
    <w:rsid w:val="00B544E0"/>
    <w:rsid w:val="00B545A0"/>
    <w:rsid w:val="00B54778"/>
    <w:rsid w:val="00B5482E"/>
    <w:rsid w:val="00B555F4"/>
    <w:rsid w:val="00B56866"/>
    <w:rsid w:val="00B57958"/>
    <w:rsid w:val="00B60996"/>
    <w:rsid w:val="00B61013"/>
    <w:rsid w:val="00B624F9"/>
    <w:rsid w:val="00B627DD"/>
    <w:rsid w:val="00B630D0"/>
    <w:rsid w:val="00B634FF"/>
    <w:rsid w:val="00B63E8B"/>
    <w:rsid w:val="00B649BF"/>
    <w:rsid w:val="00B64CD5"/>
    <w:rsid w:val="00B64F43"/>
    <w:rsid w:val="00B64F99"/>
    <w:rsid w:val="00B653CA"/>
    <w:rsid w:val="00B65E0C"/>
    <w:rsid w:val="00B66650"/>
    <w:rsid w:val="00B67AD5"/>
    <w:rsid w:val="00B700FA"/>
    <w:rsid w:val="00B7037E"/>
    <w:rsid w:val="00B70407"/>
    <w:rsid w:val="00B712FF"/>
    <w:rsid w:val="00B71747"/>
    <w:rsid w:val="00B71D5F"/>
    <w:rsid w:val="00B71EFE"/>
    <w:rsid w:val="00B7648B"/>
    <w:rsid w:val="00B76564"/>
    <w:rsid w:val="00B76675"/>
    <w:rsid w:val="00B76CF0"/>
    <w:rsid w:val="00B772EE"/>
    <w:rsid w:val="00B7751D"/>
    <w:rsid w:val="00B77D5A"/>
    <w:rsid w:val="00B77DB8"/>
    <w:rsid w:val="00B77DC2"/>
    <w:rsid w:val="00B77F9C"/>
    <w:rsid w:val="00B80BF3"/>
    <w:rsid w:val="00B81611"/>
    <w:rsid w:val="00B81758"/>
    <w:rsid w:val="00B825FE"/>
    <w:rsid w:val="00B82798"/>
    <w:rsid w:val="00B837D3"/>
    <w:rsid w:val="00B839EC"/>
    <w:rsid w:val="00B850BC"/>
    <w:rsid w:val="00B851F9"/>
    <w:rsid w:val="00B91697"/>
    <w:rsid w:val="00B919AB"/>
    <w:rsid w:val="00B92B8E"/>
    <w:rsid w:val="00B92CEA"/>
    <w:rsid w:val="00B930FE"/>
    <w:rsid w:val="00B9358B"/>
    <w:rsid w:val="00B93DA8"/>
    <w:rsid w:val="00B94827"/>
    <w:rsid w:val="00B94883"/>
    <w:rsid w:val="00B959A3"/>
    <w:rsid w:val="00B959D2"/>
    <w:rsid w:val="00B9661A"/>
    <w:rsid w:val="00BA09C9"/>
    <w:rsid w:val="00BA121C"/>
    <w:rsid w:val="00BA1335"/>
    <w:rsid w:val="00BA1924"/>
    <w:rsid w:val="00BA28C2"/>
    <w:rsid w:val="00BA2ABD"/>
    <w:rsid w:val="00BA2AFC"/>
    <w:rsid w:val="00BA2BAE"/>
    <w:rsid w:val="00BA2D88"/>
    <w:rsid w:val="00BA3692"/>
    <w:rsid w:val="00BA36E8"/>
    <w:rsid w:val="00BA4241"/>
    <w:rsid w:val="00BA44F4"/>
    <w:rsid w:val="00BA4741"/>
    <w:rsid w:val="00BA54E8"/>
    <w:rsid w:val="00BA654A"/>
    <w:rsid w:val="00BA7702"/>
    <w:rsid w:val="00BA7F64"/>
    <w:rsid w:val="00BB04C1"/>
    <w:rsid w:val="00BB113B"/>
    <w:rsid w:val="00BB1306"/>
    <w:rsid w:val="00BB1348"/>
    <w:rsid w:val="00BB1B5E"/>
    <w:rsid w:val="00BB1C43"/>
    <w:rsid w:val="00BB227C"/>
    <w:rsid w:val="00BB2AB7"/>
    <w:rsid w:val="00BB3E2F"/>
    <w:rsid w:val="00BB568A"/>
    <w:rsid w:val="00BB58BB"/>
    <w:rsid w:val="00BB737E"/>
    <w:rsid w:val="00BC02D4"/>
    <w:rsid w:val="00BC032B"/>
    <w:rsid w:val="00BC0B27"/>
    <w:rsid w:val="00BC2526"/>
    <w:rsid w:val="00BC4CB4"/>
    <w:rsid w:val="00BC4FE7"/>
    <w:rsid w:val="00BC58DF"/>
    <w:rsid w:val="00BC5A78"/>
    <w:rsid w:val="00BC6F76"/>
    <w:rsid w:val="00BC7241"/>
    <w:rsid w:val="00BD04E3"/>
    <w:rsid w:val="00BD081A"/>
    <w:rsid w:val="00BD0CCF"/>
    <w:rsid w:val="00BD0F9E"/>
    <w:rsid w:val="00BD1531"/>
    <w:rsid w:val="00BD1939"/>
    <w:rsid w:val="00BD3D7E"/>
    <w:rsid w:val="00BD466F"/>
    <w:rsid w:val="00BD4A51"/>
    <w:rsid w:val="00BD4CB3"/>
    <w:rsid w:val="00BD5E68"/>
    <w:rsid w:val="00BD6170"/>
    <w:rsid w:val="00BD7D30"/>
    <w:rsid w:val="00BD7FB4"/>
    <w:rsid w:val="00BE035A"/>
    <w:rsid w:val="00BE038E"/>
    <w:rsid w:val="00BE0B2C"/>
    <w:rsid w:val="00BE0E6E"/>
    <w:rsid w:val="00BE11FC"/>
    <w:rsid w:val="00BE139A"/>
    <w:rsid w:val="00BE156A"/>
    <w:rsid w:val="00BE179B"/>
    <w:rsid w:val="00BE2DF7"/>
    <w:rsid w:val="00BE39BB"/>
    <w:rsid w:val="00BE3E81"/>
    <w:rsid w:val="00BE4B28"/>
    <w:rsid w:val="00BE5C81"/>
    <w:rsid w:val="00BE6137"/>
    <w:rsid w:val="00BE65F0"/>
    <w:rsid w:val="00BE68F8"/>
    <w:rsid w:val="00BE72A7"/>
    <w:rsid w:val="00BE75A1"/>
    <w:rsid w:val="00BE7E15"/>
    <w:rsid w:val="00BF0805"/>
    <w:rsid w:val="00BF1888"/>
    <w:rsid w:val="00BF1AAE"/>
    <w:rsid w:val="00BF2082"/>
    <w:rsid w:val="00BF240F"/>
    <w:rsid w:val="00BF2645"/>
    <w:rsid w:val="00BF31D1"/>
    <w:rsid w:val="00BF31ED"/>
    <w:rsid w:val="00BF45AD"/>
    <w:rsid w:val="00BF4603"/>
    <w:rsid w:val="00BF4DEB"/>
    <w:rsid w:val="00BF6AA2"/>
    <w:rsid w:val="00C012F5"/>
    <w:rsid w:val="00C0188F"/>
    <w:rsid w:val="00C01E38"/>
    <w:rsid w:val="00C02351"/>
    <w:rsid w:val="00C023F0"/>
    <w:rsid w:val="00C0265B"/>
    <w:rsid w:val="00C0299B"/>
    <w:rsid w:val="00C02E54"/>
    <w:rsid w:val="00C032CB"/>
    <w:rsid w:val="00C03465"/>
    <w:rsid w:val="00C0355F"/>
    <w:rsid w:val="00C0357D"/>
    <w:rsid w:val="00C0363C"/>
    <w:rsid w:val="00C0490F"/>
    <w:rsid w:val="00C059B8"/>
    <w:rsid w:val="00C06F5B"/>
    <w:rsid w:val="00C074E4"/>
    <w:rsid w:val="00C0768C"/>
    <w:rsid w:val="00C101A6"/>
    <w:rsid w:val="00C1061E"/>
    <w:rsid w:val="00C108A7"/>
    <w:rsid w:val="00C113D5"/>
    <w:rsid w:val="00C11AD9"/>
    <w:rsid w:val="00C11CAA"/>
    <w:rsid w:val="00C12618"/>
    <w:rsid w:val="00C13065"/>
    <w:rsid w:val="00C1357D"/>
    <w:rsid w:val="00C13627"/>
    <w:rsid w:val="00C13B94"/>
    <w:rsid w:val="00C13D84"/>
    <w:rsid w:val="00C13E6E"/>
    <w:rsid w:val="00C1424F"/>
    <w:rsid w:val="00C14EC2"/>
    <w:rsid w:val="00C15C06"/>
    <w:rsid w:val="00C15E8D"/>
    <w:rsid w:val="00C15F05"/>
    <w:rsid w:val="00C16867"/>
    <w:rsid w:val="00C16F36"/>
    <w:rsid w:val="00C1733C"/>
    <w:rsid w:val="00C1748D"/>
    <w:rsid w:val="00C175B0"/>
    <w:rsid w:val="00C17841"/>
    <w:rsid w:val="00C17B92"/>
    <w:rsid w:val="00C20F57"/>
    <w:rsid w:val="00C21167"/>
    <w:rsid w:val="00C21320"/>
    <w:rsid w:val="00C21C9F"/>
    <w:rsid w:val="00C22285"/>
    <w:rsid w:val="00C22792"/>
    <w:rsid w:val="00C22C91"/>
    <w:rsid w:val="00C230E4"/>
    <w:rsid w:val="00C238F4"/>
    <w:rsid w:val="00C23B83"/>
    <w:rsid w:val="00C25851"/>
    <w:rsid w:val="00C25E2A"/>
    <w:rsid w:val="00C2709D"/>
    <w:rsid w:val="00C27186"/>
    <w:rsid w:val="00C273AD"/>
    <w:rsid w:val="00C305B0"/>
    <w:rsid w:val="00C319AD"/>
    <w:rsid w:val="00C31CD5"/>
    <w:rsid w:val="00C32382"/>
    <w:rsid w:val="00C337AE"/>
    <w:rsid w:val="00C3585E"/>
    <w:rsid w:val="00C35A23"/>
    <w:rsid w:val="00C35BBD"/>
    <w:rsid w:val="00C36845"/>
    <w:rsid w:val="00C36DD5"/>
    <w:rsid w:val="00C373C9"/>
    <w:rsid w:val="00C379DF"/>
    <w:rsid w:val="00C40B7D"/>
    <w:rsid w:val="00C41D51"/>
    <w:rsid w:val="00C42603"/>
    <w:rsid w:val="00C4296E"/>
    <w:rsid w:val="00C42A07"/>
    <w:rsid w:val="00C42B7E"/>
    <w:rsid w:val="00C42BE5"/>
    <w:rsid w:val="00C43B79"/>
    <w:rsid w:val="00C43D69"/>
    <w:rsid w:val="00C43FB8"/>
    <w:rsid w:val="00C441CF"/>
    <w:rsid w:val="00C4476D"/>
    <w:rsid w:val="00C44E7B"/>
    <w:rsid w:val="00C45831"/>
    <w:rsid w:val="00C46885"/>
    <w:rsid w:val="00C46CB1"/>
    <w:rsid w:val="00C472C6"/>
    <w:rsid w:val="00C475D8"/>
    <w:rsid w:val="00C4777F"/>
    <w:rsid w:val="00C5029B"/>
    <w:rsid w:val="00C508B9"/>
    <w:rsid w:val="00C50E4F"/>
    <w:rsid w:val="00C50E5E"/>
    <w:rsid w:val="00C51247"/>
    <w:rsid w:val="00C5164D"/>
    <w:rsid w:val="00C53693"/>
    <w:rsid w:val="00C545A1"/>
    <w:rsid w:val="00C545D4"/>
    <w:rsid w:val="00C5614B"/>
    <w:rsid w:val="00C5627E"/>
    <w:rsid w:val="00C566B6"/>
    <w:rsid w:val="00C577C6"/>
    <w:rsid w:val="00C60ABD"/>
    <w:rsid w:val="00C60B20"/>
    <w:rsid w:val="00C616FF"/>
    <w:rsid w:val="00C623EF"/>
    <w:rsid w:val="00C672F0"/>
    <w:rsid w:val="00C72302"/>
    <w:rsid w:val="00C72F93"/>
    <w:rsid w:val="00C73915"/>
    <w:rsid w:val="00C73A50"/>
    <w:rsid w:val="00C73C2C"/>
    <w:rsid w:val="00C75135"/>
    <w:rsid w:val="00C75B84"/>
    <w:rsid w:val="00C75E78"/>
    <w:rsid w:val="00C760D0"/>
    <w:rsid w:val="00C768B2"/>
    <w:rsid w:val="00C77803"/>
    <w:rsid w:val="00C778EB"/>
    <w:rsid w:val="00C779E8"/>
    <w:rsid w:val="00C8004E"/>
    <w:rsid w:val="00C80056"/>
    <w:rsid w:val="00C80747"/>
    <w:rsid w:val="00C80DA7"/>
    <w:rsid w:val="00C811D6"/>
    <w:rsid w:val="00C825C2"/>
    <w:rsid w:val="00C8260A"/>
    <w:rsid w:val="00C82936"/>
    <w:rsid w:val="00C8382F"/>
    <w:rsid w:val="00C84017"/>
    <w:rsid w:val="00C846EF"/>
    <w:rsid w:val="00C85213"/>
    <w:rsid w:val="00C855D5"/>
    <w:rsid w:val="00C85B71"/>
    <w:rsid w:val="00C86B9A"/>
    <w:rsid w:val="00C87156"/>
    <w:rsid w:val="00C871B4"/>
    <w:rsid w:val="00C87FB8"/>
    <w:rsid w:val="00C87FF6"/>
    <w:rsid w:val="00C9021A"/>
    <w:rsid w:val="00C90723"/>
    <w:rsid w:val="00C90968"/>
    <w:rsid w:val="00C9105A"/>
    <w:rsid w:val="00C919E8"/>
    <w:rsid w:val="00C93E76"/>
    <w:rsid w:val="00C94A0A"/>
    <w:rsid w:val="00C95FFB"/>
    <w:rsid w:val="00C96298"/>
    <w:rsid w:val="00C97C98"/>
    <w:rsid w:val="00CA0881"/>
    <w:rsid w:val="00CA108D"/>
    <w:rsid w:val="00CA1997"/>
    <w:rsid w:val="00CA1C4A"/>
    <w:rsid w:val="00CA221E"/>
    <w:rsid w:val="00CA2848"/>
    <w:rsid w:val="00CA3019"/>
    <w:rsid w:val="00CA31B8"/>
    <w:rsid w:val="00CA33CA"/>
    <w:rsid w:val="00CA4170"/>
    <w:rsid w:val="00CA4AA5"/>
    <w:rsid w:val="00CA4D18"/>
    <w:rsid w:val="00CA4FDB"/>
    <w:rsid w:val="00CA5E28"/>
    <w:rsid w:val="00CA66B9"/>
    <w:rsid w:val="00CB09CF"/>
    <w:rsid w:val="00CB2F6B"/>
    <w:rsid w:val="00CB422B"/>
    <w:rsid w:val="00CB49C2"/>
    <w:rsid w:val="00CB50D4"/>
    <w:rsid w:val="00CB5C71"/>
    <w:rsid w:val="00CB61F2"/>
    <w:rsid w:val="00CB639D"/>
    <w:rsid w:val="00CB66AD"/>
    <w:rsid w:val="00CB6841"/>
    <w:rsid w:val="00CB6EB2"/>
    <w:rsid w:val="00CB7B9D"/>
    <w:rsid w:val="00CB7C1A"/>
    <w:rsid w:val="00CB7EBB"/>
    <w:rsid w:val="00CC021C"/>
    <w:rsid w:val="00CC33A0"/>
    <w:rsid w:val="00CC3542"/>
    <w:rsid w:val="00CC3EC3"/>
    <w:rsid w:val="00CC4109"/>
    <w:rsid w:val="00CC4273"/>
    <w:rsid w:val="00CC4C80"/>
    <w:rsid w:val="00CC4F89"/>
    <w:rsid w:val="00CC5559"/>
    <w:rsid w:val="00CC5F53"/>
    <w:rsid w:val="00CC7158"/>
    <w:rsid w:val="00CC7299"/>
    <w:rsid w:val="00CC78A9"/>
    <w:rsid w:val="00CD00A8"/>
    <w:rsid w:val="00CD02E0"/>
    <w:rsid w:val="00CD0EBE"/>
    <w:rsid w:val="00CD2687"/>
    <w:rsid w:val="00CD2D69"/>
    <w:rsid w:val="00CD34CD"/>
    <w:rsid w:val="00CD38CA"/>
    <w:rsid w:val="00CD42BB"/>
    <w:rsid w:val="00CD5847"/>
    <w:rsid w:val="00CD5951"/>
    <w:rsid w:val="00CD5F28"/>
    <w:rsid w:val="00CD6FB1"/>
    <w:rsid w:val="00CD7B5B"/>
    <w:rsid w:val="00CE0072"/>
    <w:rsid w:val="00CE0DDE"/>
    <w:rsid w:val="00CE206C"/>
    <w:rsid w:val="00CE242B"/>
    <w:rsid w:val="00CE2A9D"/>
    <w:rsid w:val="00CE2CA6"/>
    <w:rsid w:val="00CE2FAF"/>
    <w:rsid w:val="00CE4560"/>
    <w:rsid w:val="00CE5403"/>
    <w:rsid w:val="00CE5C77"/>
    <w:rsid w:val="00CE6465"/>
    <w:rsid w:val="00CE68EB"/>
    <w:rsid w:val="00CE6942"/>
    <w:rsid w:val="00CF0178"/>
    <w:rsid w:val="00CF0B60"/>
    <w:rsid w:val="00CF1A35"/>
    <w:rsid w:val="00CF23A8"/>
    <w:rsid w:val="00CF3C7E"/>
    <w:rsid w:val="00CF4399"/>
    <w:rsid w:val="00CF58B9"/>
    <w:rsid w:val="00CF71AA"/>
    <w:rsid w:val="00CF71F6"/>
    <w:rsid w:val="00CF7956"/>
    <w:rsid w:val="00D00CD6"/>
    <w:rsid w:val="00D01145"/>
    <w:rsid w:val="00D02978"/>
    <w:rsid w:val="00D02BFE"/>
    <w:rsid w:val="00D02CA1"/>
    <w:rsid w:val="00D02CB6"/>
    <w:rsid w:val="00D03141"/>
    <w:rsid w:val="00D03368"/>
    <w:rsid w:val="00D037D6"/>
    <w:rsid w:val="00D03C49"/>
    <w:rsid w:val="00D040D9"/>
    <w:rsid w:val="00D04743"/>
    <w:rsid w:val="00D05676"/>
    <w:rsid w:val="00D06240"/>
    <w:rsid w:val="00D06C55"/>
    <w:rsid w:val="00D06FB7"/>
    <w:rsid w:val="00D071FC"/>
    <w:rsid w:val="00D1178E"/>
    <w:rsid w:val="00D11F86"/>
    <w:rsid w:val="00D13691"/>
    <w:rsid w:val="00D13709"/>
    <w:rsid w:val="00D13B98"/>
    <w:rsid w:val="00D15195"/>
    <w:rsid w:val="00D1520D"/>
    <w:rsid w:val="00D15351"/>
    <w:rsid w:val="00D15979"/>
    <w:rsid w:val="00D1629E"/>
    <w:rsid w:val="00D17593"/>
    <w:rsid w:val="00D17C7C"/>
    <w:rsid w:val="00D200F1"/>
    <w:rsid w:val="00D203DC"/>
    <w:rsid w:val="00D2074A"/>
    <w:rsid w:val="00D212CA"/>
    <w:rsid w:val="00D215AF"/>
    <w:rsid w:val="00D22B9E"/>
    <w:rsid w:val="00D22BD5"/>
    <w:rsid w:val="00D24635"/>
    <w:rsid w:val="00D252CE"/>
    <w:rsid w:val="00D27BFC"/>
    <w:rsid w:val="00D308A5"/>
    <w:rsid w:val="00D3100E"/>
    <w:rsid w:val="00D310A6"/>
    <w:rsid w:val="00D31C47"/>
    <w:rsid w:val="00D32AE4"/>
    <w:rsid w:val="00D32F17"/>
    <w:rsid w:val="00D333C9"/>
    <w:rsid w:val="00D34926"/>
    <w:rsid w:val="00D34B91"/>
    <w:rsid w:val="00D34CB6"/>
    <w:rsid w:val="00D354A2"/>
    <w:rsid w:val="00D3564C"/>
    <w:rsid w:val="00D35A3F"/>
    <w:rsid w:val="00D35C45"/>
    <w:rsid w:val="00D35F13"/>
    <w:rsid w:val="00D37627"/>
    <w:rsid w:val="00D37F67"/>
    <w:rsid w:val="00D40C66"/>
    <w:rsid w:val="00D40EFD"/>
    <w:rsid w:val="00D40F4D"/>
    <w:rsid w:val="00D415AF"/>
    <w:rsid w:val="00D42724"/>
    <w:rsid w:val="00D42EDA"/>
    <w:rsid w:val="00D43130"/>
    <w:rsid w:val="00D43F87"/>
    <w:rsid w:val="00D44175"/>
    <w:rsid w:val="00D44953"/>
    <w:rsid w:val="00D459E6"/>
    <w:rsid w:val="00D4621F"/>
    <w:rsid w:val="00D463E5"/>
    <w:rsid w:val="00D46706"/>
    <w:rsid w:val="00D46AF2"/>
    <w:rsid w:val="00D46BB5"/>
    <w:rsid w:val="00D47D0A"/>
    <w:rsid w:val="00D47DE4"/>
    <w:rsid w:val="00D47F9B"/>
    <w:rsid w:val="00D5046E"/>
    <w:rsid w:val="00D50D6B"/>
    <w:rsid w:val="00D51089"/>
    <w:rsid w:val="00D510F4"/>
    <w:rsid w:val="00D511B6"/>
    <w:rsid w:val="00D51A01"/>
    <w:rsid w:val="00D537A8"/>
    <w:rsid w:val="00D538B8"/>
    <w:rsid w:val="00D5566B"/>
    <w:rsid w:val="00D5609C"/>
    <w:rsid w:val="00D56383"/>
    <w:rsid w:val="00D56B76"/>
    <w:rsid w:val="00D617D1"/>
    <w:rsid w:val="00D62397"/>
    <w:rsid w:val="00D62500"/>
    <w:rsid w:val="00D63A4F"/>
    <w:rsid w:val="00D6415C"/>
    <w:rsid w:val="00D64E4D"/>
    <w:rsid w:val="00D6747C"/>
    <w:rsid w:val="00D67F59"/>
    <w:rsid w:val="00D703CA"/>
    <w:rsid w:val="00D7152B"/>
    <w:rsid w:val="00D71F75"/>
    <w:rsid w:val="00D73381"/>
    <w:rsid w:val="00D74350"/>
    <w:rsid w:val="00D750A6"/>
    <w:rsid w:val="00D7548B"/>
    <w:rsid w:val="00D75941"/>
    <w:rsid w:val="00D7602E"/>
    <w:rsid w:val="00D76108"/>
    <w:rsid w:val="00D7651C"/>
    <w:rsid w:val="00D76686"/>
    <w:rsid w:val="00D76AE6"/>
    <w:rsid w:val="00D77682"/>
    <w:rsid w:val="00D803FA"/>
    <w:rsid w:val="00D8131B"/>
    <w:rsid w:val="00D81E24"/>
    <w:rsid w:val="00D81F40"/>
    <w:rsid w:val="00D82315"/>
    <w:rsid w:val="00D8262E"/>
    <w:rsid w:val="00D830AF"/>
    <w:rsid w:val="00D83660"/>
    <w:rsid w:val="00D836EF"/>
    <w:rsid w:val="00D83E81"/>
    <w:rsid w:val="00D83F83"/>
    <w:rsid w:val="00D842C5"/>
    <w:rsid w:val="00D84AA5"/>
    <w:rsid w:val="00D85B79"/>
    <w:rsid w:val="00D867F4"/>
    <w:rsid w:val="00D86E3E"/>
    <w:rsid w:val="00D90391"/>
    <w:rsid w:val="00D9150F"/>
    <w:rsid w:val="00D922BC"/>
    <w:rsid w:val="00D9315F"/>
    <w:rsid w:val="00D9403E"/>
    <w:rsid w:val="00D95E11"/>
    <w:rsid w:val="00D95E32"/>
    <w:rsid w:val="00D96938"/>
    <w:rsid w:val="00D9706C"/>
    <w:rsid w:val="00D97693"/>
    <w:rsid w:val="00D9784E"/>
    <w:rsid w:val="00D97C74"/>
    <w:rsid w:val="00DA0B6A"/>
    <w:rsid w:val="00DA1413"/>
    <w:rsid w:val="00DA4182"/>
    <w:rsid w:val="00DA481B"/>
    <w:rsid w:val="00DA4BAD"/>
    <w:rsid w:val="00DA5A4B"/>
    <w:rsid w:val="00DA6389"/>
    <w:rsid w:val="00DA7EA8"/>
    <w:rsid w:val="00DB02E1"/>
    <w:rsid w:val="00DB2108"/>
    <w:rsid w:val="00DB2295"/>
    <w:rsid w:val="00DB2308"/>
    <w:rsid w:val="00DB2A02"/>
    <w:rsid w:val="00DB3042"/>
    <w:rsid w:val="00DB363F"/>
    <w:rsid w:val="00DB4041"/>
    <w:rsid w:val="00DB4AC8"/>
    <w:rsid w:val="00DB4FB6"/>
    <w:rsid w:val="00DB51E3"/>
    <w:rsid w:val="00DB5226"/>
    <w:rsid w:val="00DB5EB6"/>
    <w:rsid w:val="00DB5FCA"/>
    <w:rsid w:val="00DB6121"/>
    <w:rsid w:val="00DB6520"/>
    <w:rsid w:val="00DB659A"/>
    <w:rsid w:val="00DB7DF9"/>
    <w:rsid w:val="00DC07C0"/>
    <w:rsid w:val="00DC0D4C"/>
    <w:rsid w:val="00DC10EA"/>
    <w:rsid w:val="00DC10EB"/>
    <w:rsid w:val="00DC1337"/>
    <w:rsid w:val="00DC15FB"/>
    <w:rsid w:val="00DC21A9"/>
    <w:rsid w:val="00DC269E"/>
    <w:rsid w:val="00DC2AAA"/>
    <w:rsid w:val="00DC2D49"/>
    <w:rsid w:val="00DC33AE"/>
    <w:rsid w:val="00DC37AB"/>
    <w:rsid w:val="00DC3F87"/>
    <w:rsid w:val="00DC41C8"/>
    <w:rsid w:val="00DC43B5"/>
    <w:rsid w:val="00DC5B9D"/>
    <w:rsid w:val="00DC5FA4"/>
    <w:rsid w:val="00DC6EE7"/>
    <w:rsid w:val="00DC70D7"/>
    <w:rsid w:val="00DC7359"/>
    <w:rsid w:val="00DC76BB"/>
    <w:rsid w:val="00DC7971"/>
    <w:rsid w:val="00DD0D25"/>
    <w:rsid w:val="00DD1F23"/>
    <w:rsid w:val="00DD2AA8"/>
    <w:rsid w:val="00DD3976"/>
    <w:rsid w:val="00DD4057"/>
    <w:rsid w:val="00DD4296"/>
    <w:rsid w:val="00DD52C9"/>
    <w:rsid w:val="00DD5603"/>
    <w:rsid w:val="00DD644C"/>
    <w:rsid w:val="00DD7C81"/>
    <w:rsid w:val="00DD7D55"/>
    <w:rsid w:val="00DE045B"/>
    <w:rsid w:val="00DE05AF"/>
    <w:rsid w:val="00DE067A"/>
    <w:rsid w:val="00DE06AA"/>
    <w:rsid w:val="00DE06C4"/>
    <w:rsid w:val="00DE1A02"/>
    <w:rsid w:val="00DE211D"/>
    <w:rsid w:val="00DE2B56"/>
    <w:rsid w:val="00DE3519"/>
    <w:rsid w:val="00DE382A"/>
    <w:rsid w:val="00DE3EEE"/>
    <w:rsid w:val="00DE423D"/>
    <w:rsid w:val="00DE4EA8"/>
    <w:rsid w:val="00DE4F1F"/>
    <w:rsid w:val="00DE55C4"/>
    <w:rsid w:val="00DE594B"/>
    <w:rsid w:val="00DE5A78"/>
    <w:rsid w:val="00DE5CF6"/>
    <w:rsid w:val="00DE63AA"/>
    <w:rsid w:val="00DE6973"/>
    <w:rsid w:val="00DE7082"/>
    <w:rsid w:val="00DE78C7"/>
    <w:rsid w:val="00DF0C9F"/>
    <w:rsid w:val="00DF275B"/>
    <w:rsid w:val="00DF2EF8"/>
    <w:rsid w:val="00DF2F55"/>
    <w:rsid w:val="00DF3AAD"/>
    <w:rsid w:val="00DF5109"/>
    <w:rsid w:val="00DF5589"/>
    <w:rsid w:val="00DF670F"/>
    <w:rsid w:val="00DF676A"/>
    <w:rsid w:val="00DF6C15"/>
    <w:rsid w:val="00DF7055"/>
    <w:rsid w:val="00DF7458"/>
    <w:rsid w:val="00E00003"/>
    <w:rsid w:val="00E00865"/>
    <w:rsid w:val="00E01541"/>
    <w:rsid w:val="00E01C7C"/>
    <w:rsid w:val="00E0200A"/>
    <w:rsid w:val="00E0345C"/>
    <w:rsid w:val="00E036FD"/>
    <w:rsid w:val="00E0450A"/>
    <w:rsid w:val="00E0536C"/>
    <w:rsid w:val="00E05593"/>
    <w:rsid w:val="00E059F6"/>
    <w:rsid w:val="00E06134"/>
    <w:rsid w:val="00E0653C"/>
    <w:rsid w:val="00E074F6"/>
    <w:rsid w:val="00E07941"/>
    <w:rsid w:val="00E100FF"/>
    <w:rsid w:val="00E10A21"/>
    <w:rsid w:val="00E11B05"/>
    <w:rsid w:val="00E124E3"/>
    <w:rsid w:val="00E13A87"/>
    <w:rsid w:val="00E14FC5"/>
    <w:rsid w:val="00E155DA"/>
    <w:rsid w:val="00E157A3"/>
    <w:rsid w:val="00E15DE1"/>
    <w:rsid w:val="00E16CFE"/>
    <w:rsid w:val="00E17E00"/>
    <w:rsid w:val="00E20902"/>
    <w:rsid w:val="00E209D6"/>
    <w:rsid w:val="00E20A02"/>
    <w:rsid w:val="00E21A97"/>
    <w:rsid w:val="00E227DF"/>
    <w:rsid w:val="00E22AEB"/>
    <w:rsid w:val="00E23089"/>
    <w:rsid w:val="00E23763"/>
    <w:rsid w:val="00E23B60"/>
    <w:rsid w:val="00E23CBE"/>
    <w:rsid w:val="00E247A2"/>
    <w:rsid w:val="00E24AE1"/>
    <w:rsid w:val="00E24D21"/>
    <w:rsid w:val="00E250B4"/>
    <w:rsid w:val="00E257F3"/>
    <w:rsid w:val="00E25B7E"/>
    <w:rsid w:val="00E25C03"/>
    <w:rsid w:val="00E266F1"/>
    <w:rsid w:val="00E268BD"/>
    <w:rsid w:val="00E27CA4"/>
    <w:rsid w:val="00E3031B"/>
    <w:rsid w:val="00E310AC"/>
    <w:rsid w:val="00E31118"/>
    <w:rsid w:val="00E31EC3"/>
    <w:rsid w:val="00E339CE"/>
    <w:rsid w:val="00E33D3A"/>
    <w:rsid w:val="00E34856"/>
    <w:rsid w:val="00E348EB"/>
    <w:rsid w:val="00E34A3B"/>
    <w:rsid w:val="00E34DF1"/>
    <w:rsid w:val="00E34E8F"/>
    <w:rsid w:val="00E359F2"/>
    <w:rsid w:val="00E3668B"/>
    <w:rsid w:val="00E36C8E"/>
    <w:rsid w:val="00E370BF"/>
    <w:rsid w:val="00E41D26"/>
    <w:rsid w:val="00E42A7E"/>
    <w:rsid w:val="00E44040"/>
    <w:rsid w:val="00E4406F"/>
    <w:rsid w:val="00E4452E"/>
    <w:rsid w:val="00E44D6E"/>
    <w:rsid w:val="00E44DE9"/>
    <w:rsid w:val="00E44E66"/>
    <w:rsid w:val="00E45585"/>
    <w:rsid w:val="00E46B12"/>
    <w:rsid w:val="00E47115"/>
    <w:rsid w:val="00E47786"/>
    <w:rsid w:val="00E47D33"/>
    <w:rsid w:val="00E504F4"/>
    <w:rsid w:val="00E5097B"/>
    <w:rsid w:val="00E51D30"/>
    <w:rsid w:val="00E51E2A"/>
    <w:rsid w:val="00E52B6C"/>
    <w:rsid w:val="00E52B76"/>
    <w:rsid w:val="00E537C4"/>
    <w:rsid w:val="00E5419A"/>
    <w:rsid w:val="00E54ECE"/>
    <w:rsid w:val="00E56018"/>
    <w:rsid w:val="00E5613B"/>
    <w:rsid w:val="00E57BBB"/>
    <w:rsid w:val="00E6051D"/>
    <w:rsid w:val="00E60B60"/>
    <w:rsid w:val="00E60CE4"/>
    <w:rsid w:val="00E60DBC"/>
    <w:rsid w:val="00E610CF"/>
    <w:rsid w:val="00E616B1"/>
    <w:rsid w:val="00E6189E"/>
    <w:rsid w:val="00E620CE"/>
    <w:rsid w:val="00E63261"/>
    <w:rsid w:val="00E63C85"/>
    <w:rsid w:val="00E646F8"/>
    <w:rsid w:val="00E65E50"/>
    <w:rsid w:val="00E675F1"/>
    <w:rsid w:val="00E67D05"/>
    <w:rsid w:val="00E70282"/>
    <w:rsid w:val="00E7281B"/>
    <w:rsid w:val="00E731C7"/>
    <w:rsid w:val="00E73701"/>
    <w:rsid w:val="00E74AD7"/>
    <w:rsid w:val="00E75832"/>
    <w:rsid w:val="00E77564"/>
    <w:rsid w:val="00E80564"/>
    <w:rsid w:val="00E815E9"/>
    <w:rsid w:val="00E8176F"/>
    <w:rsid w:val="00E81A8B"/>
    <w:rsid w:val="00E8233D"/>
    <w:rsid w:val="00E82C47"/>
    <w:rsid w:val="00E82D58"/>
    <w:rsid w:val="00E849EC"/>
    <w:rsid w:val="00E85F86"/>
    <w:rsid w:val="00E87B4A"/>
    <w:rsid w:val="00E90575"/>
    <w:rsid w:val="00E92FD5"/>
    <w:rsid w:val="00E93B3F"/>
    <w:rsid w:val="00E94214"/>
    <w:rsid w:val="00E94FCC"/>
    <w:rsid w:val="00E955D1"/>
    <w:rsid w:val="00E96D59"/>
    <w:rsid w:val="00E96EF1"/>
    <w:rsid w:val="00E97306"/>
    <w:rsid w:val="00E9737A"/>
    <w:rsid w:val="00E97979"/>
    <w:rsid w:val="00E97F49"/>
    <w:rsid w:val="00EA05C9"/>
    <w:rsid w:val="00EA0E9B"/>
    <w:rsid w:val="00EA160D"/>
    <w:rsid w:val="00EA1927"/>
    <w:rsid w:val="00EA227B"/>
    <w:rsid w:val="00EA24D9"/>
    <w:rsid w:val="00EA2539"/>
    <w:rsid w:val="00EA3984"/>
    <w:rsid w:val="00EA5122"/>
    <w:rsid w:val="00EA5EE2"/>
    <w:rsid w:val="00EA63C9"/>
    <w:rsid w:val="00EA73BF"/>
    <w:rsid w:val="00EB0ABC"/>
    <w:rsid w:val="00EB0D86"/>
    <w:rsid w:val="00EB1014"/>
    <w:rsid w:val="00EB23E3"/>
    <w:rsid w:val="00EB36AF"/>
    <w:rsid w:val="00EB3817"/>
    <w:rsid w:val="00EB387E"/>
    <w:rsid w:val="00EB3DD5"/>
    <w:rsid w:val="00EB47B2"/>
    <w:rsid w:val="00EB4EDC"/>
    <w:rsid w:val="00EB4F21"/>
    <w:rsid w:val="00EB5868"/>
    <w:rsid w:val="00EB5F04"/>
    <w:rsid w:val="00EB6741"/>
    <w:rsid w:val="00EB7059"/>
    <w:rsid w:val="00EB7684"/>
    <w:rsid w:val="00EB7922"/>
    <w:rsid w:val="00EB7AAF"/>
    <w:rsid w:val="00EC1988"/>
    <w:rsid w:val="00EC27CD"/>
    <w:rsid w:val="00EC2BE2"/>
    <w:rsid w:val="00EC2CBA"/>
    <w:rsid w:val="00EC37B0"/>
    <w:rsid w:val="00EC440C"/>
    <w:rsid w:val="00EC4D0B"/>
    <w:rsid w:val="00EC4E2D"/>
    <w:rsid w:val="00EC5B05"/>
    <w:rsid w:val="00ED141C"/>
    <w:rsid w:val="00ED1785"/>
    <w:rsid w:val="00ED2305"/>
    <w:rsid w:val="00ED26E1"/>
    <w:rsid w:val="00ED3A91"/>
    <w:rsid w:val="00ED3DC4"/>
    <w:rsid w:val="00ED41CD"/>
    <w:rsid w:val="00ED4F37"/>
    <w:rsid w:val="00ED52C6"/>
    <w:rsid w:val="00ED56C0"/>
    <w:rsid w:val="00ED5803"/>
    <w:rsid w:val="00ED5C22"/>
    <w:rsid w:val="00ED5E52"/>
    <w:rsid w:val="00ED6A39"/>
    <w:rsid w:val="00ED6B82"/>
    <w:rsid w:val="00ED72A6"/>
    <w:rsid w:val="00ED733C"/>
    <w:rsid w:val="00ED79AF"/>
    <w:rsid w:val="00EE0BC0"/>
    <w:rsid w:val="00EE0D81"/>
    <w:rsid w:val="00EE195D"/>
    <w:rsid w:val="00EE2E2C"/>
    <w:rsid w:val="00EE3152"/>
    <w:rsid w:val="00EE4A86"/>
    <w:rsid w:val="00EE54E7"/>
    <w:rsid w:val="00EE5907"/>
    <w:rsid w:val="00EE75CD"/>
    <w:rsid w:val="00EE7727"/>
    <w:rsid w:val="00EE7756"/>
    <w:rsid w:val="00EE7CDA"/>
    <w:rsid w:val="00EE7F8F"/>
    <w:rsid w:val="00EF05A1"/>
    <w:rsid w:val="00EF05CB"/>
    <w:rsid w:val="00EF0D03"/>
    <w:rsid w:val="00EF15C5"/>
    <w:rsid w:val="00EF18A5"/>
    <w:rsid w:val="00EF2046"/>
    <w:rsid w:val="00EF221B"/>
    <w:rsid w:val="00EF2606"/>
    <w:rsid w:val="00EF33F4"/>
    <w:rsid w:val="00EF3958"/>
    <w:rsid w:val="00EF6D8E"/>
    <w:rsid w:val="00EF7072"/>
    <w:rsid w:val="00EF729B"/>
    <w:rsid w:val="00EF7866"/>
    <w:rsid w:val="00EF78ED"/>
    <w:rsid w:val="00F000E0"/>
    <w:rsid w:val="00F005BA"/>
    <w:rsid w:val="00F009C3"/>
    <w:rsid w:val="00F0181B"/>
    <w:rsid w:val="00F019CD"/>
    <w:rsid w:val="00F02040"/>
    <w:rsid w:val="00F023B9"/>
    <w:rsid w:val="00F026CB"/>
    <w:rsid w:val="00F027DC"/>
    <w:rsid w:val="00F029CA"/>
    <w:rsid w:val="00F031CD"/>
    <w:rsid w:val="00F0468B"/>
    <w:rsid w:val="00F06AA8"/>
    <w:rsid w:val="00F071BF"/>
    <w:rsid w:val="00F07856"/>
    <w:rsid w:val="00F07DFA"/>
    <w:rsid w:val="00F112F6"/>
    <w:rsid w:val="00F1152E"/>
    <w:rsid w:val="00F11AB9"/>
    <w:rsid w:val="00F12A44"/>
    <w:rsid w:val="00F13309"/>
    <w:rsid w:val="00F14548"/>
    <w:rsid w:val="00F14B10"/>
    <w:rsid w:val="00F1525A"/>
    <w:rsid w:val="00F15B1B"/>
    <w:rsid w:val="00F164F8"/>
    <w:rsid w:val="00F16AA9"/>
    <w:rsid w:val="00F17848"/>
    <w:rsid w:val="00F17BBF"/>
    <w:rsid w:val="00F20258"/>
    <w:rsid w:val="00F21F72"/>
    <w:rsid w:val="00F2233F"/>
    <w:rsid w:val="00F22AA3"/>
    <w:rsid w:val="00F23749"/>
    <w:rsid w:val="00F24941"/>
    <w:rsid w:val="00F25140"/>
    <w:rsid w:val="00F252ED"/>
    <w:rsid w:val="00F276D5"/>
    <w:rsid w:val="00F279CE"/>
    <w:rsid w:val="00F27D5B"/>
    <w:rsid w:val="00F27E73"/>
    <w:rsid w:val="00F3202F"/>
    <w:rsid w:val="00F331E5"/>
    <w:rsid w:val="00F332C2"/>
    <w:rsid w:val="00F3384B"/>
    <w:rsid w:val="00F339DD"/>
    <w:rsid w:val="00F33D4A"/>
    <w:rsid w:val="00F343EC"/>
    <w:rsid w:val="00F3461A"/>
    <w:rsid w:val="00F34CAC"/>
    <w:rsid w:val="00F36449"/>
    <w:rsid w:val="00F37055"/>
    <w:rsid w:val="00F376E1"/>
    <w:rsid w:val="00F40264"/>
    <w:rsid w:val="00F404E5"/>
    <w:rsid w:val="00F41683"/>
    <w:rsid w:val="00F41D3E"/>
    <w:rsid w:val="00F42188"/>
    <w:rsid w:val="00F42C81"/>
    <w:rsid w:val="00F43BCA"/>
    <w:rsid w:val="00F442DF"/>
    <w:rsid w:val="00F45AD5"/>
    <w:rsid w:val="00F468A4"/>
    <w:rsid w:val="00F46EB1"/>
    <w:rsid w:val="00F4746C"/>
    <w:rsid w:val="00F50647"/>
    <w:rsid w:val="00F50AF8"/>
    <w:rsid w:val="00F514FC"/>
    <w:rsid w:val="00F537E3"/>
    <w:rsid w:val="00F54178"/>
    <w:rsid w:val="00F5433D"/>
    <w:rsid w:val="00F544A8"/>
    <w:rsid w:val="00F547FE"/>
    <w:rsid w:val="00F5493D"/>
    <w:rsid w:val="00F55E98"/>
    <w:rsid w:val="00F565B1"/>
    <w:rsid w:val="00F605BB"/>
    <w:rsid w:val="00F612AF"/>
    <w:rsid w:val="00F61C62"/>
    <w:rsid w:val="00F621D2"/>
    <w:rsid w:val="00F6231B"/>
    <w:rsid w:val="00F624D9"/>
    <w:rsid w:val="00F62E4A"/>
    <w:rsid w:val="00F631E5"/>
    <w:rsid w:val="00F63A77"/>
    <w:rsid w:val="00F64B41"/>
    <w:rsid w:val="00F655F2"/>
    <w:rsid w:val="00F66DDA"/>
    <w:rsid w:val="00F67878"/>
    <w:rsid w:val="00F67AB3"/>
    <w:rsid w:val="00F71069"/>
    <w:rsid w:val="00F71412"/>
    <w:rsid w:val="00F71852"/>
    <w:rsid w:val="00F719C6"/>
    <w:rsid w:val="00F72C95"/>
    <w:rsid w:val="00F72F35"/>
    <w:rsid w:val="00F7333C"/>
    <w:rsid w:val="00F74D91"/>
    <w:rsid w:val="00F755C0"/>
    <w:rsid w:val="00F76C4D"/>
    <w:rsid w:val="00F80002"/>
    <w:rsid w:val="00F80826"/>
    <w:rsid w:val="00F80C1E"/>
    <w:rsid w:val="00F8154D"/>
    <w:rsid w:val="00F816D5"/>
    <w:rsid w:val="00F81D34"/>
    <w:rsid w:val="00F82008"/>
    <w:rsid w:val="00F8226B"/>
    <w:rsid w:val="00F82C76"/>
    <w:rsid w:val="00F84222"/>
    <w:rsid w:val="00F84EA3"/>
    <w:rsid w:val="00F862C4"/>
    <w:rsid w:val="00F866A9"/>
    <w:rsid w:val="00F86958"/>
    <w:rsid w:val="00F86BC2"/>
    <w:rsid w:val="00F86E73"/>
    <w:rsid w:val="00F9008C"/>
    <w:rsid w:val="00F90131"/>
    <w:rsid w:val="00F9044A"/>
    <w:rsid w:val="00F9058E"/>
    <w:rsid w:val="00F91E8A"/>
    <w:rsid w:val="00F921B0"/>
    <w:rsid w:val="00F92E3A"/>
    <w:rsid w:val="00F944BA"/>
    <w:rsid w:val="00F949AC"/>
    <w:rsid w:val="00F953BA"/>
    <w:rsid w:val="00F97FBB"/>
    <w:rsid w:val="00FA062B"/>
    <w:rsid w:val="00FA0D6F"/>
    <w:rsid w:val="00FA1935"/>
    <w:rsid w:val="00FA2CE1"/>
    <w:rsid w:val="00FA2F42"/>
    <w:rsid w:val="00FA400D"/>
    <w:rsid w:val="00FA4388"/>
    <w:rsid w:val="00FA45EC"/>
    <w:rsid w:val="00FA501F"/>
    <w:rsid w:val="00FA6374"/>
    <w:rsid w:val="00FA6CAD"/>
    <w:rsid w:val="00FB0E71"/>
    <w:rsid w:val="00FB1062"/>
    <w:rsid w:val="00FB17E1"/>
    <w:rsid w:val="00FB1981"/>
    <w:rsid w:val="00FB1BBA"/>
    <w:rsid w:val="00FB2D8A"/>
    <w:rsid w:val="00FB2D9D"/>
    <w:rsid w:val="00FB3365"/>
    <w:rsid w:val="00FB3D49"/>
    <w:rsid w:val="00FB4410"/>
    <w:rsid w:val="00FB48DE"/>
    <w:rsid w:val="00FB55EA"/>
    <w:rsid w:val="00FB5CAE"/>
    <w:rsid w:val="00FB61AE"/>
    <w:rsid w:val="00FB6820"/>
    <w:rsid w:val="00FB69D7"/>
    <w:rsid w:val="00FB778A"/>
    <w:rsid w:val="00FB7AAB"/>
    <w:rsid w:val="00FC015E"/>
    <w:rsid w:val="00FC01B6"/>
    <w:rsid w:val="00FC04AB"/>
    <w:rsid w:val="00FC04DF"/>
    <w:rsid w:val="00FC1463"/>
    <w:rsid w:val="00FC1D4D"/>
    <w:rsid w:val="00FC2181"/>
    <w:rsid w:val="00FC24DD"/>
    <w:rsid w:val="00FC2CE4"/>
    <w:rsid w:val="00FC2F0F"/>
    <w:rsid w:val="00FC39FD"/>
    <w:rsid w:val="00FC416F"/>
    <w:rsid w:val="00FC4269"/>
    <w:rsid w:val="00FC46A6"/>
    <w:rsid w:val="00FC4A9D"/>
    <w:rsid w:val="00FC5017"/>
    <w:rsid w:val="00FC5CBC"/>
    <w:rsid w:val="00FC5F69"/>
    <w:rsid w:val="00FC6B1E"/>
    <w:rsid w:val="00FC7251"/>
    <w:rsid w:val="00FC7797"/>
    <w:rsid w:val="00FC7ECC"/>
    <w:rsid w:val="00FD0F1B"/>
    <w:rsid w:val="00FD11A8"/>
    <w:rsid w:val="00FD1671"/>
    <w:rsid w:val="00FD1CD4"/>
    <w:rsid w:val="00FD2245"/>
    <w:rsid w:val="00FD2977"/>
    <w:rsid w:val="00FD5515"/>
    <w:rsid w:val="00FD55B5"/>
    <w:rsid w:val="00FD5776"/>
    <w:rsid w:val="00FD66B5"/>
    <w:rsid w:val="00FE0913"/>
    <w:rsid w:val="00FE0CBD"/>
    <w:rsid w:val="00FE0FB9"/>
    <w:rsid w:val="00FE1696"/>
    <w:rsid w:val="00FE2164"/>
    <w:rsid w:val="00FE34EC"/>
    <w:rsid w:val="00FE36A2"/>
    <w:rsid w:val="00FE4131"/>
    <w:rsid w:val="00FE47B3"/>
    <w:rsid w:val="00FE5276"/>
    <w:rsid w:val="00FE5CCE"/>
    <w:rsid w:val="00FE7C80"/>
    <w:rsid w:val="00FF1033"/>
    <w:rsid w:val="00FF11A2"/>
    <w:rsid w:val="00FF23E4"/>
    <w:rsid w:val="00FF24A9"/>
    <w:rsid w:val="00FF2746"/>
    <w:rsid w:val="00FF2B1D"/>
    <w:rsid w:val="00FF31E4"/>
    <w:rsid w:val="00FF394B"/>
    <w:rsid w:val="00FF3C0F"/>
    <w:rsid w:val="00FF400C"/>
    <w:rsid w:val="00FF5346"/>
    <w:rsid w:val="00FF5C4E"/>
    <w:rsid w:val="00FF5E67"/>
    <w:rsid w:val="00FF669F"/>
    <w:rsid w:val="00FF683E"/>
    <w:rsid w:val="00FF7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qFormat/>
    <w:pPr>
      <w:outlineLvl w:val="7"/>
    </w:pPr>
  </w:style>
  <w:style w:type="paragraph" w:styleId="Heading9">
    <w:name w:val="heading 9"/>
    <w:basedOn w:val="fcHeading5"/>
    <w:next w:val="ParaNumbering"/>
    <w:qFormat/>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Normal"/>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
    <w:name w:val="List No"/>
    <w:basedOn w:val="Normal"/>
    <w:p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numbering" w:styleId="ArticleSection">
    <w:name w:val="Outline List 3"/>
    <w:basedOn w:val="NoList"/>
    <w:semiHidden/>
    <w:pPr>
      <w:numPr>
        <w:numId w:val="16"/>
      </w:numPr>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qFormat/>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7"/>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7"/>
      </w:numPr>
      <w:spacing w:before="240" w:after="60" w:line="240" w:lineRule="auto"/>
    </w:pPr>
    <w:rPr>
      <w:b/>
    </w:rPr>
  </w:style>
  <w:style w:type="paragraph" w:customStyle="1" w:styleId="fcHeading3">
    <w:name w:val="fcHeading 3"/>
    <w:basedOn w:val="Normal"/>
    <w:next w:val="ParaNumbering"/>
    <w:semiHidden/>
    <w:pPr>
      <w:keepNext/>
      <w:numPr>
        <w:ilvl w:val="2"/>
        <w:numId w:val="17"/>
      </w:numPr>
      <w:spacing w:before="240" w:after="60" w:line="240" w:lineRule="auto"/>
    </w:pPr>
    <w:rPr>
      <w:b/>
      <w:i/>
    </w:rPr>
  </w:style>
  <w:style w:type="paragraph" w:customStyle="1" w:styleId="fcHeading4">
    <w:name w:val="fcHeading 4"/>
    <w:basedOn w:val="Normal"/>
    <w:next w:val="ParaNumbering"/>
    <w:semiHidden/>
    <w:pPr>
      <w:keepNext/>
      <w:numPr>
        <w:ilvl w:val="3"/>
        <w:numId w:val="17"/>
      </w:numPr>
      <w:spacing w:before="240" w:after="60" w:line="240" w:lineRule="auto"/>
    </w:pPr>
    <w:rPr>
      <w:b/>
      <w:smallCaps/>
    </w:rPr>
  </w:style>
  <w:style w:type="paragraph" w:customStyle="1" w:styleId="fcHeading5">
    <w:name w:val="fcHeading 5"/>
    <w:basedOn w:val="Normal"/>
    <w:next w:val="ParaNumbering"/>
    <w:semiHidden/>
    <w:pPr>
      <w:keepNext/>
      <w:numPr>
        <w:ilvl w:val="4"/>
        <w:numId w:val="17"/>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caps/>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keepNext/>
      <w:tabs>
        <w:tab w:val="right" w:leader="dot" w:pos="9072"/>
      </w:tabs>
      <w:spacing w:before="240" w:after="60" w:line="240" w:lineRule="auto"/>
      <w:ind w:left="2127" w:hanging="709"/>
    </w:pPr>
    <w:rPr>
      <w:b/>
      <w:i/>
    </w:rPr>
  </w:style>
  <w:style w:type="paragraph" w:customStyle="1" w:styleId="FTOC8">
    <w:name w:val="FTOC 8"/>
    <w:basedOn w:val="Normal"/>
    <w:semiHidden/>
    <w:pPr>
      <w:keepNext/>
      <w:tabs>
        <w:tab w:val="right" w:leader="dot" w:pos="9072"/>
      </w:tabs>
      <w:spacing w:before="240" w:after="60" w:line="240" w:lineRule="auto"/>
      <w:ind w:left="3260" w:hanging="1134"/>
    </w:pPr>
    <w:rPr>
      <w:b/>
      <w:smallCaps/>
    </w:rPr>
  </w:style>
  <w:style w:type="paragraph" w:customStyle="1" w:styleId="FTOC9">
    <w:name w:val="FTOC 9"/>
    <w:basedOn w:val="Normal"/>
    <w:semiHidden/>
    <w:pPr>
      <w:keepNext/>
      <w:tabs>
        <w:tab w:val="right" w:leader="dot" w:pos="9072"/>
      </w:tabs>
      <w:spacing w:before="240" w:after="60" w:line="240" w:lineRule="auto"/>
      <w:ind w:left="3969" w:hanging="1134"/>
    </w:pPr>
    <w:rPr>
      <w:b/>
      <w:caps/>
    </w:rPr>
  </w:style>
  <w:style w:type="paragraph" w:customStyle="1" w:styleId="bTOC5">
    <w:name w:val="bTOC 5"/>
    <w:basedOn w:val="Normal"/>
    <w:pPr>
      <w:keepNext/>
      <w:tabs>
        <w:tab w:val="right" w:leader="dot" w:pos="9072"/>
      </w:tabs>
      <w:spacing w:before="240" w:after="60" w:line="240" w:lineRule="auto"/>
      <w:ind w:left="709" w:hanging="709"/>
    </w:pPr>
  </w:style>
  <w:style w:type="paragraph" w:customStyle="1" w:styleId="bTOC6">
    <w:name w:val="bTOC 6"/>
    <w:basedOn w:val="Normal"/>
    <w:pPr>
      <w:keepNext/>
      <w:tabs>
        <w:tab w:val="right" w:leader="dot" w:pos="9072"/>
      </w:tabs>
      <w:spacing w:before="240" w:after="60" w:line="240" w:lineRule="auto"/>
      <w:ind w:left="1418" w:hanging="709"/>
    </w:pPr>
  </w:style>
  <w:style w:type="paragraph" w:customStyle="1" w:styleId="bTOC7">
    <w:name w:val="bTOC 7"/>
    <w:basedOn w:val="Normal"/>
    <w:pPr>
      <w:keepNext/>
      <w:tabs>
        <w:tab w:val="right" w:leader="dot" w:pos="9072"/>
      </w:tabs>
      <w:spacing w:before="240" w:after="60" w:line="240" w:lineRule="auto"/>
      <w:ind w:left="2127" w:hanging="709"/>
    </w:pPr>
  </w:style>
  <w:style w:type="paragraph" w:customStyle="1" w:styleId="bTOC8">
    <w:name w:val="bTOC 8"/>
    <w:basedOn w:val="Normal"/>
    <w:pPr>
      <w:keepNext/>
      <w:tabs>
        <w:tab w:val="right" w:leader="dot" w:pos="9072"/>
      </w:tabs>
      <w:spacing w:before="240" w:after="60" w:line="240" w:lineRule="auto"/>
      <w:ind w:left="3260" w:hanging="1134"/>
    </w:pPr>
  </w:style>
  <w:style w:type="paragraph" w:customStyle="1" w:styleId="bTOC9">
    <w:name w:val="bTOC 9"/>
    <w:basedOn w:val="Normal"/>
    <w:pPr>
      <w:keepNext/>
      <w:tabs>
        <w:tab w:val="right" w:leader="dot" w:pos="9072"/>
      </w:tabs>
      <w:spacing w:before="240" w:after="60" w:line="240" w:lineRule="auto"/>
      <w:ind w:left="3969" w:hanging="1134"/>
    </w:pPr>
  </w:style>
  <w:style w:type="character" w:customStyle="1" w:styleId="CharChapNo">
    <w:name w:val="CharChapNo"/>
    <w:uiPriority w:val="1"/>
    <w:qFormat/>
    <w:rsid w:val="00181434"/>
  </w:style>
  <w:style w:type="character" w:customStyle="1" w:styleId="CharChapText">
    <w:name w:val="CharChapText"/>
    <w:uiPriority w:val="1"/>
    <w:qFormat/>
    <w:rsid w:val="00181434"/>
  </w:style>
  <w:style w:type="character" w:customStyle="1" w:styleId="CharDivNo">
    <w:name w:val="CharDivNo"/>
    <w:uiPriority w:val="1"/>
    <w:qFormat/>
    <w:rsid w:val="00181434"/>
  </w:style>
  <w:style w:type="character" w:customStyle="1" w:styleId="CharDivText">
    <w:name w:val="CharDivText"/>
    <w:uiPriority w:val="1"/>
    <w:qFormat/>
    <w:rsid w:val="00181434"/>
  </w:style>
  <w:style w:type="character" w:customStyle="1" w:styleId="CharPartNo">
    <w:name w:val="CharPartNo"/>
    <w:uiPriority w:val="1"/>
    <w:qFormat/>
    <w:rsid w:val="00181434"/>
  </w:style>
  <w:style w:type="character" w:customStyle="1" w:styleId="CharPartText">
    <w:name w:val="CharPartText"/>
    <w:uiPriority w:val="1"/>
    <w:qFormat/>
    <w:rsid w:val="00181434"/>
  </w:style>
  <w:style w:type="character" w:customStyle="1" w:styleId="CharSectno">
    <w:name w:val="CharSectno"/>
    <w:qFormat/>
    <w:rsid w:val="00181434"/>
  </w:style>
  <w:style w:type="paragraph" w:customStyle="1" w:styleId="ActHead5">
    <w:name w:val="ActHead 5"/>
    <w:aliases w:val="s"/>
    <w:basedOn w:val="Normal"/>
    <w:next w:val="subsection"/>
    <w:qFormat/>
    <w:rsid w:val="00181434"/>
    <w:pPr>
      <w:keepNext/>
      <w:keepLines/>
      <w:spacing w:before="280" w:line="240" w:lineRule="auto"/>
      <w:ind w:left="1134" w:hanging="1134"/>
      <w:jc w:val="left"/>
      <w:outlineLvl w:val="4"/>
    </w:pPr>
    <w:rPr>
      <w:rFonts w:eastAsia="Times New Roman"/>
      <w:b/>
      <w:kern w:val="28"/>
      <w:lang w:eastAsia="en-AU"/>
    </w:rPr>
  </w:style>
  <w:style w:type="paragraph" w:customStyle="1" w:styleId="Definition">
    <w:name w:val="Definition"/>
    <w:aliases w:val="dd"/>
    <w:basedOn w:val="Normal"/>
    <w:rsid w:val="00181434"/>
    <w:pPr>
      <w:spacing w:before="180" w:line="240" w:lineRule="auto"/>
      <w:ind w:left="1134"/>
      <w:jc w:val="left"/>
    </w:pPr>
    <w:rPr>
      <w:rFonts w:eastAsia="Times New Roman"/>
      <w:sz w:val="22"/>
      <w:lang w:eastAsia="en-AU"/>
    </w:rPr>
  </w:style>
  <w:style w:type="paragraph" w:customStyle="1" w:styleId="subsection">
    <w:name w:val="subsection"/>
    <w:aliases w:val="ss"/>
    <w:basedOn w:val="Normal"/>
    <w:rsid w:val="00181434"/>
    <w:pPr>
      <w:tabs>
        <w:tab w:val="right" w:pos="1021"/>
      </w:tabs>
      <w:spacing w:before="180" w:line="240" w:lineRule="auto"/>
      <w:ind w:left="1134" w:hanging="1134"/>
      <w:jc w:val="left"/>
    </w:pPr>
    <w:rPr>
      <w:rFonts w:eastAsia="Times New Roman"/>
      <w:sz w:val="22"/>
      <w:lang w:eastAsia="en-AU"/>
    </w:rPr>
  </w:style>
  <w:style w:type="character" w:customStyle="1" w:styleId="HeaderChar">
    <w:name w:val="Header Char"/>
    <w:link w:val="Header"/>
    <w:rsid w:val="00181434"/>
    <w:rPr>
      <w:sz w:val="24"/>
      <w:lang w:eastAsia="en-US"/>
    </w:rPr>
  </w:style>
  <w:style w:type="paragraph" w:customStyle="1" w:styleId="paragraphsub">
    <w:name w:val="paragraph(sub)"/>
    <w:aliases w:val="aa"/>
    <w:basedOn w:val="Normal"/>
    <w:rsid w:val="00181434"/>
    <w:pPr>
      <w:tabs>
        <w:tab w:val="right" w:pos="1985"/>
      </w:tabs>
      <w:spacing w:before="40" w:line="240" w:lineRule="auto"/>
      <w:ind w:left="2098" w:hanging="2098"/>
      <w:jc w:val="left"/>
    </w:pPr>
    <w:rPr>
      <w:rFonts w:eastAsia="Times New Roman"/>
      <w:sz w:val="22"/>
      <w:lang w:eastAsia="en-AU"/>
    </w:rPr>
  </w:style>
  <w:style w:type="paragraph" w:customStyle="1" w:styleId="paragraph">
    <w:name w:val="paragraph"/>
    <w:aliases w:val="a"/>
    <w:basedOn w:val="Normal"/>
    <w:rsid w:val="00181434"/>
    <w:pPr>
      <w:tabs>
        <w:tab w:val="right" w:pos="1531"/>
      </w:tabs>
      <w:spacing w:before="40" w:line="240" w:lineRule="auto"/>
      <w:ind w:left="1644" w:hanging="1644"/>
      <w:jc w:val="left"/>
    </w:pPr>
    <w:rPr>
      <w:rFonts w:eastAsia="Times New Roman"/>
      <w:sz w:val="22"/>
      <w:lang w:eastAsia="en-AU"/>
    </w:rPr>
  </w:style>
  <w:style w:type="paragraph" w:customStyle="1" w:styleId="SubsectionHead">
    <w:name w:val="SubsectionHead"/>
    <w:aliases w:val="ssh"/>
    <w:basedOn w:val="Normal"/>
    <w:next w:val="subsection"/>
    <w:rsid w:val="00181434"/>
    <w:pPr>
      <w:keepNext/>
      <w:keepLines/>
      <w:spacing w:before="240" w:line="240" w:lineRule="auto"/>
      <w:ind w:left="1134"/>
      <w:jc w:val="left"/>
    </w:pPr>
    <w:rPr>
      <w:rFonts w:eastAsia="Times New Roman"/>
      <w:i/>
      <w:sz w:val="22"/>
      <w:lang w:eastAsia="en-AU"/>
    </w:rPr>
  </w:style>
  <w:style w:type="paragraph" w:customStyle="1" w:styleId="ActHead1">
    <w:name w:val="ActHead 1"/>
    <w:aliases w:val="c"/>
    <w:basedOn w:val="Normal"/>
    <w:next w:val="Normal"/>
    <w:qFormat/>
    <w:rsid w:val="00181434"/>
    <w:pPr>
      <w:keepNext/>
      <w:keepLines/>
      <w:spacing w:line="240" w:lineRule="auto"/>
      <w:ind w:left="1134" w:hanging="1134"/>
      <w:jc w:val="left"/>
      <w:outlineLvl w:val="0"/>
    </w:pPr>
    <w:rPr>
      <w:rFonts w:eastAsia="Times New Roman"/>
      <w:b/>
      <w:kern w:val="28"/>
      <w:sz w:val="36"/>
      <w:lang w:eastAsia="en-AU"/>
    </w:rPr>
  </w:style>
  <w:style w:type="character" w:customStyle="1" w:styleId="BodyTextChar">
    <w:name w:val="Body Text Char"/>
    <w:link w:val="BodyText"/>
    <w:uiPriority w:val="1"/>
    <w:rsid w:val="00766577"/>
    <w:rPr>
      <w:sz w:val="24"/>
      <w:lang w:eastAsia="en-US"/>
    </w:rPr>
  </w:style>
  <w:style w:type="character" w:customStyle="1" w:styleId="Heading6Char">
    <w:name w:val="Heading 6 Char"/>
    <w:link w:val="Heading6"/>
    <w:rsid w:val="00C85213"/>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15"/>
      </w:numPr>
    </w:pPr>
  </w:style>
  <w:style w:type="numbering" w:customStyle="1" w:styleId="Header">
    <w:name w:val="ArticleSection"/>
    <w:pPr>
      <w:numPr>
        <w:numId w:val="16"/>
      </w:numPr>
    </w:pPr>
  </w:style>
  <w:style w:type="numbering" w:customStyle="1" w:styleId="Footer">
    <w:name w:val="11111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B291-9746-45D4-AA14-23511884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13v1 JUDGMENT TEMPLATE.DOT</Template>
  <TotalTime>11</TotalTime>
  <Pages>204</Pages>
  <Words>81721</Words>
  <Characters>409427</Characters>
  <Application>Microsoft Office Word</Application>
  <DocSecurity>0</DocSecurity>
  <Lines>7059</Lines>
  <Paragraphs>2182</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488966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Deborah Edmonds</dc:creator>
  <cp:lastModifiedBy>fassou0a</cp:lastModifiedBy>
  <cp:revision>3</cp:revision>
  <cp:lastPrinted>2015-12-04T03:12:00Z</cp:lastPrinted>
  <dcterms:created xsi:type="dcterms:W3CDTF">2015-12-08T04:10:00Z</dcterms:created>
  <dcterms:modified xsi:type="dcterms:W3CDTF">2015-12-08T04:26:00Z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MCKERRACHER J</vt:lpwstr>
  </property>
  <property fmtid="{D5CDD505-2E9C-101B-9397-08002B2CF9AE}" pid="4" name="Judgment_dated" linkTarget="Judgment_dated">
    <vt:lpwstr>4 DECEMBER 201</vt:lpwstr>
  </property>
  <property fmtid="{D5CDD505-2E9C-101B-9397-08002B2CF9AE}" pid="5" name="Distribution" linkTarget="Distribution">
    <vt:lpwstr>GENERAL DISTRIBUTION</vt:lpwstr>
  </property>
  <property fmtid="{D5CDD505-2E9C-101B-9397-08002B2CF9AE}" pid="6" name="MNC" linkTarget="MNC">
    <vt:lpwstr>Australian Mud Company Pty Ltd v Coretell Pty Ltd (No 4) [2015] FCA 1372 </vt:lpwstr>
  </property>
  <property fmtid="{D5CDD505-2E9C-101B-9397-08002B2CF9AE}" pid="7" name="File_Number" linkTarget="Num">
    <vt:lpwstr>NSD 2082 of 2011</vt:lpwstr>
  </property>
  <property fmtid="{D5CDD505-2E9C-101B-9397-08002B2CF9AE}" pid="8" name="Pages">
    <vt:lpwstr>3</vt:lpwstr>
  </property>
  <property fmtid="{D5CDD505-2E9C-101B-9397-08002B2CF9AE}" pid="9" name="Parties">
    <vt:lpwstr> </vt:lpwstr>
  </property>
  <property fmtid="{D5CDD505-2E9C-101B-9397-08002B2CF9AE}" pid="10" name="Place" linkTarget="Place">
    <vt:lpwstr>PERTH</vt:lpwstr>
  </property>
  <property fmtid="{D5CDD505-2E9C-101B-9397-08002B2CF9AE}" pid="11" name="Respondent" linkTarget="Respondent">
    <vt:lpwstr>CORETELL PTY LTD ACN 119 188 493.First Respondent/Cross-Claimant..MINCREST HOLDINGS PTY LTD ACN 068 672 471 (TRADING AS CAMTEQ INSTRUMENTS).Second Respondent..NICKY KLEYN.Third Respondent..KLEYN INVESTMENTS PTY LTD ACN 118 967 687 (TRADING AS CAMTEQ INTE</vt:lpwstr>
  </property>
  <property fmtid="{D5CDD505-2E9C-101B-9397-08002B2CF9AE}" pid="12" name="State" linkTarget="State">
    <vt:lpwstr>WESTERN AUSTRALIA</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13.3</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