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5A7DDB" w:rsidP="00F35E91">
      <w:pPr>
        <w:pStyle w:val="Title"/>
      </w:pPr>
      <w:r>
        <w:t xml:space="preserve">Beasley; Secretary, </w:t>
      </w:r>
      <w:r w:rsidRPr="005A7DDB">
        <w:t>Department of Social Services</w:t>
      </w:r>
      <w:r>
        <w:t xml:space="preserve"> and (Social services second review) </w:t>
      </w:r>
      <w:r w:rsidR="00661270" w:rsidRPr="000A40FB">
        <w:t>[</w:t>
      </w:r>
      <w:r w:rsidR="00197A33">
        <w:t>2015</w:t>
      </w:r>
      <w:r w:rsidR="00661270" w:rsidRPr="000A40FB">
        <w:t xml:space="preserve">] </w:t>
      </w:r>
      <w:r w:rsidR="00531AA1" w:rsidRPr="000A40FB">
        <w:t>AATA</w:t>
      </w:r>
      <w:r>
        <w:fldChar w:fldCharType="begin"/>
      </w:r>
      <w:r>
        <w:instrText xml:space="preserve"> DOCPROPERTY  DecisionNumber </w:instrText>
      </w:r>
      <w:r>
        <w:fldChar w:fldCharType="separate"/>
      </w:r>
      <w:r w:rsidR="00197A33">
        <w:t xml:space="preserve"> </w:t>
      </w:r>
      <w:r>
        <w:fldChar w:fldCharType="end"/>
      </w:r>
      <w:r w:rsidR="00AA4692">
        <w:t>924</w:t>
      </w:r>
      <w:r>
        <w:t xml:space="preserve"> (1 December 2015)</w:t>
      </w:r>
      <w:bookmarkStart w:id="0" w:name="_GoBack"/>
      <w:bookmarkEnd w:id="0"/>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3B4BBD">
            <w:bookmarkStart w:id="1" w:name="SingleFile" w:colFirst="0" w:colLast="2"/>
            <w:r w:rsidRPr="004B6924">
              <w:t>Division</w:t>
            </w:r>
          </w:p>
        </w:tc>
        <w:tc>
          <w:tcPr>
            <w:tcW w:w="6838" w:type="dxa"/>
          </w:tcPr>
          <w:p w:rsidR="00531AA1" w:rsidRPr="00BB4097" w:rsidRDefault="005A7DDB" w:rsidP="003B4BBD">
            <w:r>
              <w:fldChar w:fldCharType="begin"/>
            </w:r>
            <w:r>
              <w:instrText xml:space="preserve"> DOCPROPERTY  Division </w:instrText>
            </w:r>
            <w:r>
              <w:fldChar w:fldCharType="separate"/>
            </w:r>
            <w:r w:rsidR="00197A33">
              <w:t xml:space="preserve"> GENERAL DIVISION</w:t>
            </w:r>
            <w: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197A33">
              <w:t>2015/1234</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5A7DDB" w:rsidP="00935229">
            <w:pPr>
              <w:pStyle w:val="Details"/>
            </w:pPr>
            <w:r>
              <w:fldChar w:fldCharType="begin"/>
            </w:r>
            <w:r>
              <w:instrText xml:space="preserve"> DOCPROPERTY  Respondent </w:instrText>
            </w:r>
            <w:r>
              <w:fldChar w:fldCharType="separate"/>
            </w:r>
            <w:r w:rsidR="00935229">
              <w:t>Secretary, Department of Social Services</w:t>
            </w:r>
            <w:r>
              <w:fldChar w:fldCharType="end"/>
            </w:r>
            <w:r w:rsidR="004D1900">
              <w:fldChar w:fldCharType="begin"/>
            </w:r>
            <w:r w:rsidR="004D1900">
              <w:instrText xml:space="preserve"> DOCPROPERTY  Applicant </w:instrText>
            </w:r>
            <w:r w:rsidR="004D1900">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935229" w:rsidP="00935229">
            <w:pPr>
              <w:pStyle w:val="Details"/>
            </w:pPr>
            <w:r>
              <w:t>Keith Beasley</w:t>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197A33" w:rsidRPr="00BC2D09" w:rsidTr="00702374">
        <w:trPr>
          <w:trHeight w:val="567"/>
        </w:trPr>
        <w:tc>
          <w:tcPr>
            <w:tcW w:w="1956" w:type="dxa"/>
          </w:tcPr>
          <w:p w:rsidR="00197A33" w:rsidRPr="00BC2D09" w:rsidRDefault="00197A33" w:rsidP="00D72190">
            <w:pPr>
              <w:pStyle w:val="NoSpacing"/>
              <w:rPr>
                <w:lang w:eastAsia="en-US"/>
              </w:rPr>
            </w:pPr>
            <w:bookmarkStart w:id="2" w:name="Decision"/>
            <w:r w:rsidRPr="00BC2D09">
              <w:rPr>
                <w:lang w:eastAsia="en-US"/>
              </w:rPr>
              <w:t>Tribunal</w:t>
            </w:r>
          </w:p>
        </w:tc>
        <w:tc>
          <w:tcPr>
            <w:tcW w:w="6833" w:type="dxa"/>
          </w:tcPr>
          <w:p w:rsidR="00197A33" w:rsidRDefault="00197A33" w:rsidP="00D72190">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Pr>
                <w:b/>
                <w:bCs/>
                <w:lang w:eastAsia="en-US"/>
              </w:rPr>
              <w:t>Senior Member</w:t>
            </w:r>
            <w:r w:rsidR="00F618CB">
              <w:rPr>
                <w:b/>
                <w:bCs/>
                <w:lang w:eastAsia="en-US"/>
              </w:rPr>
              <w:t xml:space="preserve"> Bernard</w:t>
            </w:r>
            <w:r>
              <w:rPr>
                <w:b/>
                <w:bCs/>
                <w:lang w:eastAsia="en-US"/>
              </w:rPr>
              <w:t xml:space="preserve"> J McCabe</w:t>
            </w:r>
            <w:r>
              <w:rPr>
                <w:b/>
                <w:bCs/>
                <w:lang w:eastAsia="en-US"/>
              </w:rPr>
              <w:fldChar w:fldCharType="end"/>
            </w:r>
          </w:p>
          <w:p w:rsidR="00197A33" w:rsidRPr="00771CAC" w:rsidRDefault="00197A33" w:rsidP="00D72190">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tc>
      </w:tr>
      <w:tr w:rsidR="00197A33" w:rsidRPr="00BC2D09" w:rsidTr="00702374">
        <w:trPr>
          <w:trHeight w:val="567"/>
        </w:trPr>
        <w:tc>
          <w:tcPr>
            <w:tcW w:w="1956" w:type="dxa"/>
          </w:tcPr>
          <w:p w:rsidR="00197A33" w:rsidRPr="00BC2D09" w:rsidRDefault="00197A33" w:rsidP="00D72190">
            <w:pPr>
              <w:pStyle w:val="NoSpacing"/>
              <w:rPr>
                <w:lang w:eastAsia="en-US"/>
              </w:rPr>
            </w:pPr>
            <w:r w:rsidRPr="00BC2D09">
              <w:rPr>
                <w:lang w:eastAsia="en-US"/>
              </w:rPr>
              <w:t>Date</w:t>
            </w:r>
          </w:p>
        </w:tc>
        <w:tc>
          <w:tcPr>
            <w:tcW w:w="6833" w:type="dxa"/>
          </w:tcPr>
          <w:p w:rsidR="00197A33" w:rsidRPr="00771CAC" w:rsidRDefault="00D72190" w:rsidP="00D72190">
            <w:pPr>
              <w:pStyle w:val="NoSpacing"/>
              <w:rPr>
                <w:b/>
                <w:bCs/>
                <w:lang w:eastAsia="en-US"/>
              </w:rPr>
            </w:pPr>
            <w:r>
              <w:rPr>
                <w:b/>
                <w:bCs/>
                <w:lang w:eastAsia="en-US"/>
              </w:rPr>
              <w:t>1 December 2015</w:t>
            </w:r>
          </w:p>
        </w:tc>
      </w:tr>
      <w:tr w:rsidR="00197A33" w:rsidRPr="00BC2D09" w:rsidTr="00702374">
        <w:trPr>
          <w:trHeight w:val="567"/>
        </w:trPr>
        <w:tc>
          <w:tcPr>
            <w:tcW w:w="1956" w:type="dxa"/>
          </w:tcPr>
          <w:p w:rsidR="00197A33" w:rsidRPr="00BC2D09" w:rsidRDefault="00197A33" w:rsidP="00D72190">
            <w:pPr>
              <w:pStyle w:val="NoSpacing"/>
              <w:rPr>
                <w:lang w:eastAsia="en-US"/>
              </w:rPr>
            </w:pPr>
            <w:r w:rsidRPr="00BC2D09">
              <w:rPr>
                <w:lang w:eastAsia="en-US"/>
              </w:rPr>
              <w:t>Place</w:t>
            </w:r>
          </w:p>
        </w:tc>
        <w:tc>
          <w:tcPr>
            <w:tcW w:w="6833" w:type="dxa"/>
          </w:tcPr>
          <w:p w:rsidR="00197A33" w:rsidRPr="00771CAC" w:rsidRDefault="00197A33" w:rsidP="00D72190">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Pr>
                <w:b/>
                <w:bCs/>
                <w:lang w:eastAsia="en-US"/>
              </w:rPr>
              <w:t>Brisbane</w:t>
            </w:r>
            <w:r>
              <w:rPr>
                <w:b/>
                <w:bCs/>
                <w:lang w:eastAsia="en-US"/>
              </w:rPr>
              <w:fldChar w:fldCharType="end"/>
            </w:r>
          </w:p>
        </w:tc>
      </w:tr>
    </w:tbl>
    <w:bookmarkEnd w:id="2" w:displacedByCustomXml="next"/>
    <w:bookmarkStart w:id="3" w:name="DecisionSummary" w:displacedByCustomXml="next"/>
    <w:sdt>
      <w:sdtPr>
        <w:rPr>
          <w:lang w:eastAsia="en-US"/>
        </w:rPr>
        <w:alias w:val="Decision"/>
        <w:tag w:val="Decision"/>
        <w:id w:val="1959365562"/>
        <w:lock w:val="sdtLocked"/>
        <w:placeholder>
          <w:docPart w:val="8F65A98744144689808E9AE7189F9952"/>
        </w:placeholder>
      </w:sdtPr>
      <w:sdtEndPr/>
      <w:sdtContent>
        <w:p w:rsidR="00BC2D09" w:rsidRPr="00BC2D09" w:rsidRDefault="00197A33" w:rsidP="00BC2D09">
          <w:pPr>
            <w:rPr>
              <w:lang w:eastAsia="en-US"/>
            </w:rPr>
          </w:pPr>
          <w:r>
            <w:rPr>
              <w:lang w:eastAsia="en-US"/>
            </w:rPr>
            <w:t>The decision under review is affirmed</w:t>
          </w:r>
          <w:r w:rsidR="00F618CB">
            <w:rPr>
              <w:lang w:eastAsia="en-US"/>
            </w:rPr>
            <w:t>.</w:t>
          </w:r>
        </w:p>
      </w:sdtContent>
    </w:sdt>
    <w:bookmarkEnd w:id="3"/>
    <w:p w:rsidR="00D72190" w:rsidRDefault="00D72190" w:rsidP="001E4799">
      <w:pPr>
        <w:keepNext/>
        <w:spacing w:before="960"/>
        <w:rPr>
          <w:lang w:eastAsia="en-US"/>
        </w:rPr>
      </w:pPr>
    </w:p>
    <w:p w:rsidR="00BC2D09" w:rsidRPr="00BC2D09" w:rsidRDefault="00BC2D09" w:rsidP="001E4799">
      <w:pPr>
        <w:keepNext/>
        <w:spacing w:before="960"/>
        <w:rPr>
          <w:lang w:eastAsia="en-US"/>
        </w:rPr>
      </w:pPr>
      <w:proofErr w:type="gramStart"/>
      <w:r w:rsidRPr="00BC2D09">
        <w:rPr>
          <w:lang w:eastAsia="en-US"/>
        </w:rPr>
        <w:t>.........................</w:t>
      </w:r>
      <w:r w:rsidR="00E81998">
        <w:rPr>
          <w:lang w:eastAsia="en-US"/>
        </w:rPr>
        <w:t>[</w:t>
      </w:r>
      <w:proofErr w:type="gramEnd"/>
      <w:r w:rsidR="00E81998">
        <w:rPr>
          <w:lang w:eastAsia="en-US"/>
        </w:rPr>
        <w:t>Sgd].........</w:t>
      </w:r>
      <w:r w:rsidRPr="00BC2D09">
        <w:rPr>
          <w:lang w:eastAsia="en-US"/>
        </w:rPr>
        <w:t>..................................</w:t>
      </w:r>
    </w:p>
    <w:p w:rsidR="00BC2D09" w:rsidRPr="00713462" w:rsidRDefault="00DC0CB0" w:rsidP="003B4BBD">
      <w:pPr>
        <w:rPr>
          <w:lang w:eastAsia="en-US"/>
        </w:rPr>
      </w:pPr>
      <w:r>
        <w:rPr>
          <w:lang w:eastAsia="en-US"/>
        </w:rPr>
        <w:fldChar w:fldCharType="begin"/>
      </w:r>
      <w:r>
        <w:rPr>
          <w:lang w:eastAsia="en-US"/>
        </w:rPr>
        <w:instrText xml:space="preserve"> DOCPROPERTY  TribunalSignee </w:instrText>
      </w:r>
      <w:r>
        <w:rPr>
          <w:lang w:eastAsia="en-US"/>
        </w:rPr>
        <w:fldChar w:fldCharType="separate"/>
      </w:r>
      <w:r w:rsidR="00197A33">
        <w:rPr>
          <w:lang w:eastAsia="en-US"/>
        </w:rPr>
        <w:t>Senior Member</w:t>
      </w:r>
      <w:r w:rsidR="00F618CB">
        <w:rPr>
          <w:lang w:eastAsia="en-US"/>
        </w:rPr>
        <w:t xml:space="preserve"> Bernard</w:t>
      </w:r>
      <w:r w:rsidR="00197A33">
        <w:rPr>
          <w:lang w:eastAsia="en-US"/>
        </w:rPr>
        <w:t xml:space="preserve"> J McCabe</w:t>
      </w:r>
      <w:r>
        <w:rPr>
          <w:lang w:eastAsia="en-US"/>
        </w:rPr>
        <w:fldChar w:fldCharType="end"/>
      </w:r>
    </w:p>
    <w:p w:rsidR="00BC2D09" w:rsidRDefault="005632FA" w:rsidP="00760AB6">
      <w:r>
        <w:br w:type="page"/>
      </w:r>
    </w:p>
    <w:bookmarkStart w:id="4" w:name="CatchwordsTitle" w:displacedByCustomXml="next"/>
    <w:bookmarkEnd w:id="4" w:displacedByCustomXml="next"/>
    <w:sdt>
      <w:sdtPr>
        <w:rPr>
          <w:b/>
          <w:lang w:eastAsia="en-US"/>
        </w:rPr>
        <w:alias w:val="Catchwords"/>
        <w:tag w:val="Catchwords"/>
        <w:id w:val="-1722664393"/>
        <w:placeholder>
          <w:docPart w:val="D60DE89C49D04FFE82C92EE2AE181785"/>
        </w:placeholder>
      </w:sdtPr>
      <w:sdtEndPr/>
      <w:sdtContent>
        <w:p w:rsidR="004152C5" w:rsidRPr="00D72190" w:rsidRDefault="00FF511E" w:rsidP="004A55A2">
          <w:pPr>
            <w:pStyle w:val="CatchWords"/>
            <w:rPr>
              <w:b/>
              <w:lang w:eastAsia="en-US"/>
            </w:rPr>
          </w:pPr>
          <w:r w:rsidRPr="00D72190">
            <w:rPr>
              <w:b/>
              <w:lang w:eastAsia="en-US"/>
            </w:rPr>
            <w:t>Catchwords</w:t>
          </w:r>
        </w:p>
      </w:sdtContent>
    </w:sdt>
    <w:p w:rsidR="00197A33" w:rsidRPr="00D72190" w:rsidRDefault="00197A33" w:rsidP="00197A33">
      <w:pPr>
        <w:pStyle w:val="NoSpacing"/>
        <w:rPr>
          <w:i/>
          <w:lang w:eastAsia="en-US"/>
        </w:rPr>
      </w:pPr>
      <w:r w:rsidRPr="00D72190">
        <w:rPr>
          <w:i/>
          <w:lang w:eastAsia="en-US"/>
        </w:rPr>
        <w:t xml:space="preserve">SOCIAL SECURITY – Pensions, benefits and allowances – Disability Support Pension – 20 points or more under the Impairment Tables – Spinal injury </w:t>
      </w:r>
      <w:r w:rsidR="00D72190" w:rsidRPr="00D72190">
        <w:rPr>
          <w:i/>
          <w:lang w:eastAsia="en-US"/>
        </w:rPr>
        <w:t>–</w:t>
      </w:r>
      <w:r w:rsidRPr="00D72190">
        <w:rPr>
          <w:i/>
          <w:lang w:eastAsia="en-US"/>
        </w:rPr>
        <w:t xml:space="preserve"> Whether fully treated and fully stabilised within relevant period – Relevance of pain management referral - Decision under review affirmed. </w:t>
      </w:r>
    </w:p>
    <w:p w:rsidR="00CF5E0E" w:rsidRPr="00BC2D09" w:rsidRDefault="00CF5E0E" w:rsidP="00CF5E0E">
      <w:pPr>
        <w:pStyle w:val="NoSpacing"/>
        <w:rPr>
          <w:lang w:eastAsia="en-US"/>
        </w:rPr>
      </w:pPr>
    </w:p>
    <w:bookmarkStart w:id="5" w:name="LegislationTitle" w:displacedByCustomXml="next"/>
    <w:bookmarkEnd w:id="5" w:displacedByCustomXml="next"/>
    <w:sdt>
      <w:sdtPr>
        <w:rPr>
          <w:lang w:eastAsia="en-US"/>
        </w:rPr>
        <w:alias w:val="Legislation"/>
        <w:tag w:val="Legislation"/>
        <w:id w:val="-13298432"/>
        <w:placeholder>
          <w:docPart w:val="3676D3E560B54055A39EEB0FE0AD7368"/>
        </w:placeholder>
      </w:sdtPr>
      <w:sdtEndPr>
        <w:rPr>
          <w:b/>
        </w:rPr>
      </w:sdtEndPr>
      <w:sdtContent>
        <w:p w:rsidR="004152C5" w:rsidRPr="00D72190" w:rsidRDefault="00FF511E" w:rsidP="00E616B9">
          <w:pPr>
            <w:pStyle w:val="CatchWords"/>
            <w:rPr>
              <w:b/>
              <w:lang w:eastAsia="en-US"/>
            </w:rPr>
          </w:pPr>
          <w:r w:rsidRPr="00D72190">
            <w:rPr>
              <w:b/>
              <w:lang w:eastAsia="en-US"/>
            </w:rPr>
            <w:t>Legislation</w:t>
          </w:r>
        </w:p>
      </w:sdtContent>
    </w:sdt>
    <w:p w:rsidR="00197A33" w:rsidRDefault="00197A33" w:rsidP="00197A33">
      <w:pPr>
        <w:rPr>
          <w:i/>
        </w:rPr>
      </w:pPr>
      <w:r w:rsidRPr="00DB00FD">
        <w:rPr>
          <w:i/>
        </w:rPr>
        <w:t>Social Security Act 1991</w:t>
      </w:r>
      <w:r>
        <w:t xml:space="preserve"> (</w:t>
      </w:r>
      <w:proofErr w:type="spellStart"/>
      <w:r>
        <w:t>Cth</w:t>
      </w:r>
      <w:proofErr w:type="spellEnd"/>
      <w:r w:rsidR="00522783">
        <w:t>)</w:t>
      </w:r>
    </w:p>
    <w:p w:rsidR="00E616B9" w:rsidRPr="00BC2D09" w:rsidRDefault="00197A33" w:rsidP="00D72190">
      <w:r w:rsidRPr="00FE788B">
        <w:rPr>
          <w:i/>
        </w:rPr>
        <w:t>Social Security (Tables for the Assessment of Work-related Impairment for Disability Support Pension) Determination 2011</w:t>
      </w:r>
      <w:r>
        <w:t xml:space="preserve"> (</w:t>
      </w:r>
      <w:proofErr w:type="spellStart"/>
      <w:r>
        <w:t>Cth</w:t>
      </w:r>
      <w:proofErr w:type="spellEnd"/>
      <w:r>
        <w:t>)</w:t>
      </w:r>
    </w:p>
    <w:bookmarkStart w:id="6" w:name="CasesTitle" w:displacedByCustomXml="next"/>
    <w:bookmarkEnd w:id="6" w:displacedByCustomXml="next"/>
    <w:sdt>
      <w:sdtPr>
        <w:rPr>
          <w:lang w:eastAsia="en-US"/>
        </w:rPr>
        <w:alias w:val="Cases"/>
        <w:tag w:val="Cases"/>
        <w:id w:val="-26403871"/>
        <w:placeholder>
          <w:docPart w:val="F193A626E0864B03A5DE872053EA807C"/>
        </w:placeholder>
      </w:sdtPr>
      <w:sdtEndPr>
        <w:rPr>
          <w:b/>
        </w:rPr>
      </w:sdtEndPr>
      <w:sdtContent>
        <w:p w:rsidR="004152C5" w:rsidRPr="00D72190" w:rsidRDefault="00FF511E" w:rsidP="005F2E99">
          <w:pPr>
            <w:pStyle w:val="CatchWords"/>
            <w:rPr>
              <w:b/>
              <w:lang w:eastAsia="en-US"/>
            </w:rPr>
          </w:pPr>
          <w:r w:rsidRPr="00D72190">
            <w:rPr>
              <w:b/>
              <w:lang w:eastAsia="en-US"/>
            </w:rPr>
            <w:t>Cases</w:t>
          </w:r>
        </w:p>
      </w:sdtContent>
    </w:sdt>
    <w:p w:rsidR="009C7DA5" w:rsidRDefault="00197A33" w:rsidP="00D72190">
      <w:pPr>
        <w:pStyle w:val="NoSpacing"/>
      </w:pPr>
      <w:proofErr w:type="spellStart"/>
      <w:r w:rsidRPr="00FF7ABB">
        <w:rPr>
          <w:i/>
        </w:rPr>
        <w:t>Smalldon</w:t>
      </w:r>
      <w:proofErr w:type="spellEnd"/>
      <w:r w:rsidRPr="00FF7ABB">
        <w:rPr>
          <w:i/>
        </w:rPr>
        <w:t xml:space="preserve"> and Secretary, Department of Social Services</w:t>
      </w:r>
      <w:r>
        <w:t xml:space="preserve"> [2015] AATA 2</w:t>
      </w:r>
      <w:bookmarkStart w:id="7" w:name="SecondaryMaterialsTitle"/>
      <w:bookmarkEnd w:id="7"/>
    </w:p>
    <w:p w:rsidR="00D72190" w:rsidRDefault="00D72190" w:rsidP="00CA099E">
      <w:pPr>
        <w:pStyle w:val="Heading1"/>
        <w:rPr>
          <w:lang w:eastAsia="en-US"/>
        </w:rPr>
      </w:pPr>
    </w:p>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197A33">
        <w:rPr>
          <w:b/>
          <w:lang w:eastAsia="en-US"/>
        </w:rPr>
        <w:t>Senior Member</w:t>
      </w:r>
      <w:r w:rsidR="00F618CB">
        <w:rPr>
          <w:b/>
          <w:lang w:eastAsia="en-US"/>
        </w:rPr>
        <w:t xml:space="preserve"> Bernard</w:t>
      </w:r>
      <w:r w:rsidR="00197A33">
        <w:rPr>
          <w:b/>
          <w:lang w:eastAsia="en-US"/>
        </w:rPr>
        <w:t xml:space="preserve"> J McCabe</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Pr="00CA099E" w:rsidRDefault="00A74195" w:rsidP="00D750F5">
      <w:pPr>
        <w:pStyle w:val="NoSpacing"/>
        <w:rPr>
          <w:lang w:eastAsia="en-US"/>
        </w:rPr>
      </w:pPr>
    </w:p>
    <w:p w:rsidR="00197A33" w:rsidRDefault="00197A33" w:rsidP="00197A33">
      <w:pPr>
        <w:pStyle w:val="ListNumber"/>
        <w:numPr>
          <w:ilvl w:val="0"/>
          <w:numId w:val="35"/>
        </w:numPr>
      </w:pPr>
      <w:bookmarkStart w:id="8" w:name="Start"/>
      <w:bookmarkEnd w:id="8"/>
      <w:r>
        <w:t xml:space="preserve">Mr Keith Beasley lodged a claim for the disability support pension (the DSP) on 18 August 2014. He suffers from a number of medical problems, the most serious of which is a spinal condition. (There is material suggesting Mr Beasley also suffers from depression, hepatitis C and hearing loss, but Mr Beasley is not relying on those conditions for the purposes of this review: see the respondent’s </w:t>
      </w:r>
      <w:r w:rsidR="00847F25">
        <w:t>S</w:t>
      </w:r>
      <w:r>
        <w:t xml:space="preserve">tatement of </w:t>
      </w:r>
      <w:r w:rsidR="00847F25">
        <w:t>F</w:t>
      </w:r>
      <w:r>
        <w:t xml:space="preserve">acts, </w:t>
      </w:r>
      <w:r w:rsidR="00847F25">
        <w:t>I</w:t>
      </w:r>
      <w:r>
        <w:t xml:space="preserve">ssues and </w:t>
      </w:r>
      <w:r w:rsidR="00847F25">
        <w:t>C</w:t>
      </w:r>
      <w:r>
        <w:t xml:space="preserve">ontentions at [4].) The claim was rejected by Centrelink on behalf of the Secretary on the basis that Mr Beasley’s condition was not fully treated and fully stabilised because he had not attended a pain management clinic. </w:t>
      </w:r>
    </w:p>
    <w:p w:rsidR="00197A33" w:rsidRDefault="00197A33" w:rsidP="00197A33">
      <w:pPr>
        <w:pStyle w:val="ListNumber"/>
        <w:numPr>
          <w:ilvl w:val="0"/>
          <w:numId w:val="35"/>
        </w:numPr>
      </w:pPr>
      <w:r>
        <w:t xml:space="preserve">The Social Security Appeals Tribunal (the SSAT) reached a different view. It concluded Mr Beasley’s spinal condition was fully treated and stabilised and awarded 20 points under table 4 in the </w:t>
      </w:r>
      <w:r w:rsidRPr="00FE788B">
        <w:rPr>
          <w:i/>
        </w:rPr>
        <w:t>Social Security (Tables for the Assessment of Work-related Impairment for Disability Support Pension) Determination 2011</w:t>
      </w:r>
      <w:r>
        <w:t xml:space="preserve"> (the Determination). The Secretary has appealed that conclusion.</w:t>
      </w:r>
      <w:r w:rsidR="0019369B">
        <w:t xml:space="preserve"> On 1 April 2015</w:t>
      </w:r>
      <w:r>
        <w:t xml:space="preserve"> </w:t>
      </w:r>
      <w:r w:rsidR="0019369B">
        <w:t>t</w:t>
      </w:r>
      <w:r>
        <w:t>his Tribunal ordered</w:t>
      </w:r>
      <w:r w:rsidR="00847F25">
        <w:t xml:space="preserve"> </w:t>
      </w:r>
      <w:r>
        <w:t xml:space="preserve">that the decision under </w:t>
      </w:r>
      <w:r>
        <w:lastRenderedPageBreak/>
        <w:t>review be stayed. If the Secretary is unsuccessful, Mr Beasley will be entitled to payment of ar</w:t>
      </w:r>
      <w:r w:rsidR="00184424">
        <w:t>r</w:t>
      </w:r>
      <w:r>
        <w:t>ears.</w:t>
      </w:r>
    </w:p>
    <w:p w:rsidR="00197A33" w:rsidRDefault="00197A33" w:rsidP="00197A33">
      <w:pPr>
        <w:pStyle w:val="Heading2"/>
      </w:pPr>
      <w:r>
        <w:t>How does a claimant qualify for the DSP?</w:t>
      </w:r>
    </w:p>
    <w:p w:rsidR="00197A33" w:rsidRDefault="00197A33" w:rsidP="00197A33">
      <w:pPr>
        <w:pStyle w:val="ListNumber"/>
        <w:numPr>
          <w:ilvl w:val="0"/>
          <w:numId w:val="34"/>
        </w:numPr>
        <w:rPr>
          <w:lang w:eastAsia="en-AU"/>
        </w:rPr>
      </w:pPr>
      <w:r>
        <w:rPr>
          <w:lang w:eastAsia="en-AU"/>
        </w:rPr>
        <w:t>A person claiming the DSP must satisfy a range of criteria including the so-called ‘medical criteria’ in s 94(1</w:t>
      </w:r>
      <w:proofErr w:type="gramStart"/>
      <w:r>
        <w:rPr>
          <w:lang w:eastAsia="en-AU"/>
        </w:rPr>
        <w:t>)(</w:t>
      </w:r>
      <w:proofErr w:type="gramEnd"/>
      <w:r>
        <w:rPr>
          <w:lang w:eastAsia="en-AU"/>
        </w:rPr>
        <w:t xml:space="preserve">a), (b) and (c) of the </w:t>
      </w:r>
      <w:r w:rsidRPr="00DB00FD">
        <w:rPr>
          <w:i/>
          <w:lang w:eastAsia="en-AU"/>
        </w:rPr>
        <w:t>Social Security Act 1991</w:t>
      </w:r>
      <w:r>
        <w:rPr>
          <w:lang w:eastAsia="en-AU"/>
        </w:rPr>
        <w:t xml:space="preserve"> (</w:t>
      </w:r>
      <w:proofErr w:type="spellStart"/>
      <w:r>
        <w:rPr>
          <w:lang w:eastAsia="en-AU"/>
        </w:rPr>
        <w:t>Cth</w:t>
      </w:r>
      <w:proofErr w:type="spellEnd"/>
      <w:r>
        <w:rPr>
          <w:lang w:eastAsia="en-AU"/>
        </w:rPr>
        <w:t xml:space="preserve">)(the Act). It is important to understand that I am required to make my assessment having regard to the situation when the claim was made, and in the 13 week period that followed the date of claim. That means I must consider whether the applicant was qualified for the DSP between mid-August and mid-November 2014. In making that assessment, I must not use the benefit of hindsight: I am only permitted to use the information that was known, or knowable, at the relevant time. </w:t>
      </w:r>
    </w:p>
    <w:p w:rsidR="00197A33" w:rsidRDefault="00197A33" w:rsidP="00197A33">
      <w:pPr>
        <w:pStyle w:val="ListNumber"/>
        <w:numPr>
          <w:ilvl w:val="0"/>
          <w:numId w:val="34"/>
        </w:numPr>
        <w:rPr>
          <w:lang w:eastAsia="en-AU"/>
        </w:rPr>
      </w:pPr>
      <w:r>
        <w:rPr>
          <w:lang w:eastAsia="en-AU"/>
        </w:rPr>
        <w:t>The first criterion is clearly satisfied in this case. Section 94(1</w:t>
      </w:r>
      <w:proofErr w:type="gramStart"/>
      <w:r>
        <w:rPr>
          <w:lang w:eastAsia="en-AU"/>
        </w:rPr>
        <w:t>)(</w:t>
      </w:r>
      <w:proofErr w:type="gramEnd"/>
      <w:r>
        <w:rPr>
          <w:lang w:eastAsia="en-AU"/>
        </w:rPr>
        <w:t xml:space="preserve">a) says the applicant must have a physical, intellectual or psychiatric impairment. Mr Beasley’s spinal condition clearly qualifies as a physical impairment. </w:t>
      </w:r>
    </w:p>
    <w:p w:rsidR="00197A33" w:rsidRDefault="00197A33" w:rsidP="00197A33">
      <w:pPr>
        <w:pStyle w:val="ListNumber"/>
        <w:numPr>
          <w:ilvl w:val="0"/>
          <w:numId w:val="34"/>
        </w:numPr>
        <w:rPr>
          <w:lang w:eastAsia="en-AU"/>
        </w:rPr>
      </w:pPr>
      <w:r>
        <w:rPr>
          <w:lang w:eastAsia="en-AU"/>
        </w:rPr>
        <w:t>The next criterion is more contentious. Section 94(1</w:t>
      </w:r>
      <w:proofErr w:type="gramStart"/>
      <w:r>
        <w:rPr>
          <w:lang w:eastAsia="en-AU"/>
        </w:rPr>
        <w:t>)(</w:t>
      </w:r>
      <w:proofErr w:type="gramEnd"/>
      <w:r>
        <w:rPr>
          <w:lang w:eastAsia="en-AU"/>
        </w:rPr>
        <w:t xml:space="preserve">b) requires that a claimant be allocated at least 20 points under one or more impairment tables. A claimant cannot be assessed against the individual impairment tables unless his condition is </w:t>
      </w:r>
      <w:r w:rsidRPr="00B242E9">
        <w:rPr>
          <w:i/>
          <w:lang w:eastAsia="en-AU"/>
        </w:rPr>
        <w:t>permanent</w:t>
      </w:r>
      <w:r>
        <w:rPr>
          <w:lang w:eastAsia="en-AU"/>
        </w:rPr>
        <w:t xml:space="preserve"> – which means it is </w:t>
      </w:r>
      <w:r w:rsidRPr="00B242E9">
        <w:rPr>
          <w:i/>
          <w:lang w:eastAsia="en-AU"/>
        </w:rPr>
        <w:t>fully diagnosed</w:t>
      </w:r>
      <w:r>
        <w:rPr>
          <w:lang w:eastAsia="en-AU"/>
        </w:rPr>
        <w:t xml:space="preserve">, </w:t>
      </w:r>
      <w:r w:rsidRPr="00B242E9">
        <w:rPr>
          <w:i/>
          <w:lang w:eastAsia="en-AU"/>
        </w:rPr>
        <w:t>fully treated</w:t>
      </w:r>
      <w:r>
        <w:rPr>
          <w:lang w:eastAsia="en-AU"/>
        </w:rPr>
        <w:t xml:space="preserve"> and </w:t>
      </w:r>
      <w:r w:rsidRPr="00B242E9">
        <w:rPr>
          <w:i/>
          <w:lang w:eastAsia="en-AU"/>
        </w:rPr>
        <w:t>fully stabilised</w:t>
      </w:r>
      <w:r>
        <w:rPr>
          <w:lang w:eastAsia="en-AU"/>
        </w:rPr>
        <w:t xml:space="preserve">: s 6 of the Determination. I should say at once there is no dispute that Mr Beasley’s spinal condition was </w:t>
      </w:r>
      <w:r w:rsidRPr="00B242E9">
        <w:rPr>
          <w:i/>
          <w:lang w:eastAsia="en-AU"/>
        </w:rPr>
        <w:t>fully diagnosed</w:t>
      </w:r>
      <w:r>
        <w:rPr>
          <w:lang w:eastAsia="en-AU"/>
        </w:rPr>
        <w:t xml:space="preserve"> by 2013 by Dr Vogel, Mr Beasley’s general practitioner: see treating doctor’s report dated 12 August 2014 reproduced in exhibit one at pp 127-137. But the Secretary says the condition was not fully treated and fully stabilised during the relevant period because Mr Beasley had not attended a pain management clinic since. The Secretary argued a course of treatment at a pain management clinic was likely (or, more precisely, was thought likely at the time) to result in functional improvement. </w:t>
      </w:r>
    </w:p>
    <w:p w:rsidR="00197A33" w:rsidRDefault="00197A33" w:rsidP="00197A33">
      <w:pPr>
        <w:pStyle w:val="ListNumber"/>
        <w:numPr>
          <w:ilvl w:val="0"/>
          <w:numId w:val="34"/>
        </w:numPr>
        <w:rPr>
          <w:lang w:eastAsia="en-AU"/>
        </w:rPr>
      </w:pPr>
      <w:r>
        <w:rPr>
          <w:lang w:eastAsia="en-AU"/>
        </w:rPr>
        <w:t>The Secretary’s opinion was based on a report provided by Dr Adam, an occupational physician, dated 7 June 2015 (exhibit 3). Dr Adam examined Mr Beasley and reviewed his records for the purposes of these proceedings. Dr Adam concluded Mr Beasley’s spinal condition was not optimally treated, and that he could achieve significant functional improvement. He also expressed concern over the extent of Mr Beasley’s reliance on narcotic analgesics. Dr Adam said the best course of treatment would involve a “graduated programme of exercise, supplemented by appropriate use of simple analgesics” although he also noted Mr Beasley had reported he had previously tried physiotherapy without benefit. Dr Adam endorsed a recommendation that Mr Beasley be referred to a pain management clinic. He suggested a pain management clinic “would be an important component in any treatment plan for Mr Beasley.” In cross-examination, Dr Adam seemed less certain of the benefits that would flow from a course in pain management. He emphasised it made sense in the context of a graduated exercise program. He said most people experiencing pain would benefit from a pain management course, although it was unclear whether it was likely to be of significant benefit to Mr Beasley. Dr Adam suggested it was worth trying.</w:t>
      </w:r>
    </w:p>
    <w:p w:rsidR="00197A33" w:rsidRDefault="00197A33" w:rsidP="00197A33">
      <w:pPr>
        <w:pStyle w:val="ListNumber"/>
        <w:numPr>
          <w:ilvl w:val="0"/>
          <w:numId w:val="34"/>
        </w:numPr>
        <w:rPr>
          <w:lang w:eastAsia="en-AU"/>
        </w:rPr>
      </w:pPr>
      <w:r>
        <w:rPr>
          <w:lang w:eastAsia="en-AU"/>
        </w:rPr>
        <w:t xml:space="preserve">The Secretary also relied on the treating doctor’s report provided by Dr Vogel, and a report from Dr </w:t>
      </w:r>
      <w:proofErr w:type="spellStart"/>
      <w:r>
        <w:rPr>
          <w:lang w:eastAsia="en-AU"/>
        </w:rPr>
        <w:t>Winstanley</w:t>
      </w:r>
      <w:proofErr w:type="spellEnd"/>
      <w:r>
        <w:rPr>
          <w:lang w:eastAsia="en-AU"/>
        </w:rPr>
        <w:t xml:space="preserve">, an orthopaedic surgeon, dated 28 November 2014: exhibit one at p 149. Dr Vogel noted Mr Beasley was referred to a pain management clinic (exhibit one at p 131). That referral does not, of itself, tell me very much. Dr </w:t>
      </w:r>
      <w:proofErr w:type="spellStart"/>
      <w:r>
        <w:rPr>
          <w:lang w:eastAsia="en-AU"/>
        </w:rPr>
        <w:t>Winstanley’s</w:t>
      </w:r>
      <w:proofErr w:type="spellEnd"/>
      <w:r>
        <w:rPr>
          <w:lang w:eastAsia="en-AU"/>
        </w:rPr>
        <w:t xml:space="preserve"> report was more interesting. He observed (exhibit one at p 149) Mr Beasley’s symptomatology was:</w:t>
      </w:r>
    </w:p>
    <w:p w:rsidR="00197A33" w:rsidRDefault="00197A33" w:rsidP="00197A33">
      <w:pPr>
        <w:pStyle w:val="Quote"/>
      </w:pPr>
      <w:proofErr w:type="gramStart"/>
      <w:r>
        <w:t>consistent</w:t>
      </w:r>
      <w:proofErr w:type="gramEnd"/>
      <w:r>
        <w:t xml:space="preserve"> with degenerative spondylosis of the lumbar spine. It is unlikely that he would be able to return to the workforce in cleaning type activity. </w:t>
      </w:r>
      <w:r w:rsidRPr="00B01F29">
        <w:rPr>
          <w:b/>
        </w:rPr>
        <w:t>If his pain is persistent and requires narcotic analgesia he would benefit from review from the Pain Management Clinic at the Nambour General Hospital as to whether there is a more permanent resolution to his symptomatic state</w:t>
      </w:r>
      <w:proofErr w:type="gramStart"/>
      <w:r w:rsidRPr="00B01F29">
        <w:t>.[</w:t>
      </w:r>
      <w:proofErr w:type="gramEnd"/>
      <w:r w:rsidRPr="00B01F29">
        <w:t>Emphasis added]</w:t>
      </w:r>
    </w:p>
    <w:p w:rsidR="00197A33" w:rsidRDefault="00197A33" w:rsidP="00197A33">
      <w:pPr>
        <w:pStyle w:val="ListNumber"/>
        <w:numPr>
          <w:ilvl w:val="0"/>
          <w:numId w:val="34"/>
        </w:numPr>
      </w:pPr>
      <w:r>
        <w:t>Evidence from the pain management clinic at Nambour General Hospital confirmed Mr Beasley would be seen by that clinic within a year.</w:t>
      </w:r>
    </w:p>
    <w:p w:rsidR="00197A33" w:rsidRDefault="00197A33" w:rsidP="00197A33">
      <w:pPr>
        <w:pStyle w:val="ListNumber"/>
        <w:numPr>
          <w:ilvl w:val="0"/>
          <w:numId w:val="34"/>
        </w:numPr>
      </w:pPr>
      <w:r>
        <w:t xml:space="preserve">Dr </w:t>
      </w:r>
      <w:proofErr w:type="spellStart"/>
      <w:r>
        <w:t>Winstanley</w:t>
      </w:r>
      <w:proofErr w:type="spellEnd"/>
      <w:r>
        <w:t xml:space="preserve"> offered a more nuanced view in his oral evidence. He is the medical director of a rehabilitation clinic, and he is aware of the benefits of a pain management course. He saw Mr Beasley twice and examined him closely on each occasion – more closely, it turns out, than Dr Adam who agreed in cross-examination that he conducted a more limited examination on the occasion he saw Mr Beasley. Dr </w:t>
      </w:r>
      <w:proofErr w:type="spellStart"/>
      <w:r>
        <w:t>Winstanley</w:t>
      </w:r>
      <w:proofErr w:type="spellEnd"/>
      <w:r>
        <w:t xml:space="preserve"> said he thought Mr Beasley should attend a pain management clinic to reduce reliance on pain medication; he was not focused on the potential for improvement more generally. He said Mr Beasley’s range of movement was restricted by pain, but doubted treatment in a pain management clinic would achieve a substantial functional improvement given the underlying pathology. Dr </w:t>
      </w:r>
      <w:proofErr w:type="spellStart"/>
      <w:r>
        <w:t>Winstanely</w:t>
      </w:r>
      <w:proofErr w:type="spellEnd"/>
      <w:r>
        <w:t xml:space="preserve"> said Mr Beasley was optimally treated because there was no cure for what ailed him. </w:t>
      </w:r>
    </w:p>
    <w:p w:rsidR="00197A33" w:rsidRDefault="00197A33" w:rsidP="00197A33">
      <w:pPr>
        <w:pStyle w:val="ListNumber"/>
        <w:numPr>
          <w:ilvl w:val="0"/>
          <w:numId w:val="34"/>
        </w:numPr>
      </w:pPr>
      <w:r>
        <w:t xml:space="preserve">I prefer the evidence of Dr </w:t>
      </w:r>
      <w:proofErr w:type="spellStart"/>
      <w:r>
        <w:t>Winstanley</w:t>
      </w:r>
      <w:proofErr w:type="spellEnd"/>
      <w:r>
        <w:t xml:space="preserve">. He is an appropriately qualified expert with experience in dealing with patients undergoing rehabilitation. He is aware of the benefits of pain management courses. He conducted a more careful examination of Mr Beasley and was able to more clearly articulate the potential benefits of a pain management clinic in Mr Beasley’s case – in particular, a reduction in the use of narcotic painkillers. He clearly explained how there was unlikely to be any substantial improvement given the underlying pathology. He acknowledged an improvement in functioning was </w:t>
      </w:r>
      <w:r w:rsidRPr="003D74C4">
        <w:rPr>
          <w:i/>
        </w:rPr>
        <w:t>possible</w:t>
      </w:r>
      <w:r>
        <w:t xml:space="preserve"> as a result of the referral, but he was not confident of that outcome. </w:t>
      </w:r>
    </w:p>
    <w:p w:rsidR="00197A33" w:rsidRDefault="00197A33" w:rsidP="00197A33">
      <w:pPr>
        <w:pStyle w:val="ListNumber"/>
        <w:numPr>
          <w:ilvl w:val="0"/>
          <w:numId w:val="34"/>
        </w:numPr>
      </w:pPr>
      <w:r>
        <w:t>The Secretary pointed out the Tribunal</w:t>
      </w:r>
      <w:r w:rsidR="001324A7">
        <w:t xml:space="preserve"> had</w:t>
      </w:r>
      <w:r>
        <w:t xml:space="preserve"> said</w:t>
      </w:r>
      <w:r w:rsidR="001324A7">
        <w:t>,</w:t>
      </w:r>
      <w:r>
        <w:t xml:space="preserve"> in </w:t>
      </w:r>
      <w:proofErr w:type="spellStart"/>
      <w:r w:rsidRPr="00FF7ABB">
        <w:rPr>
          <w:i/>
        </w:rPr>
        <w:t>Smalldon</w:t>
      </w:r>
      <w:proofErr w:type="spellEnd"/>
      <w:r w:rsidRPr="00FF7ABB">
        <w:rPr>
          <w:i/>
        </w:rPr>
        <w:t xml:space="preserve"> and Secretary, Department of Social Services</w:t>
      </w:r>
      <w:r>
        <w:t xml:space="preserve"> [2015] AATA 2 (at [16])</w:t>
      </w:r>
      <w:r w:rsidR="001324A7">
        <w:t>,</w:t>
      </w:r>
      <w:r>
        <w:t xml:space="preserve"> it was: </w:t>
      </w:r>
    </w:p>
    <w:p w:rsidR="00197A33" w:rsidRPr="00DB00FD" w:rsidRDefault="00197A33" w:rsidP="00197A33">
      <w:pPr>
        <w:pStyle w:val="Quote"/>
      </w:pPr>
      <w:r>
        <w:t xml:space="preserve">not unusual for persons who have applied for DSP to be referred to pain clinics, and as a rule, it is usual for a finding that the conditions associated with that pain are not fully treated until after the pain management options have been fully explored… </w:t>
      </w:r>
    </w:p>
    <w:p w:rsidR="00197A33" w:rsidRDefault="00197A33" w:rsidP="00197A33">
      <w:pPr>
        <w:pStyle w:val="ListNumber"/>
        <w:numPr>
          <w:ilvl w:val="0"/>
          <w:numId w:val="34"/>
        </w:numPr>
      </w:pPr>
      <w:r>
        <w:t xml:space="preserve">That may be going too far. Each case turns on its own facts. In this case, I am satisfied on the evidence of Dr </w:t>
      </w:r>
      <w:proofErr w:type="spellStart"/>
      <w:r>
        <w:t>Winstanley</w:t>
      </w:r>
      <w:proofErr w:type="spellEnd"/>
      <w:r>
        <w:t xml:space="preserve"> in particular that the referral to the pain management clinic, while medically justified, does not suggest the underlying condition was not optimally treated. His evidence does not suggest a course in pain management “can reliably be expected to result in a substantial improvement in functional capacity”: see s</w:t>
      </w:r>
      <w:r w:rsidR="00841870">
        <w:t xml:space="preserve"> </w:t>
      </w:r>
      <w:r>
        <w:t>7(c) of the Determination. In the circumstances, I accept the condition was fully treated and stabilised. Impairment points can therefore be assigned.</w:t>
      </w:r>
    </w:p>
    <w:p w:rsidR="00197A33" w:rsidRDefault="00197A33" w:rsidP="00197A33">
      <w:pPr>
        <w:pStyle w:val="ListNumber"/>
        <w:numPr>
          <w:ilvl w:val="0"/>
          <w:numId w:val="34"/>
        </w:numPr>
      </w:pPr>
      <w:r>
        <w:t xml:space="preserve">How many points should be assigned? The SSAT was satisfied 20 points should be allocated given Mr Beasley’s evidence – which the SSAT found was corroborated by the evidence of Drs Vogel and </w:t>
      </w:r>
      <w:proofErr w:type="spellStart"/>
      <w:r>
        <w:t>Winstanley</w:t>
      </w:r>
      <w:proofErr w:type="spellEnd"/>
      <w:r>
        <w:t xml:space="preserve"> –</w:t>
      </w:r>
      <w:r w:rsidR="00CD515D">
        <w:t xml:space="preserve"> this</w:t>
      </w:r>
      <w:r>
        <w:t xml:space="preserve"> suggested</w:t>
      </w:r>
      <w:r w:rsidR="00CD515D">
        <w:t xml:space="preserve"> to the SSAT</w:t>
      </w:r>
      <w:r>
        <w:t xml:space="preserve"> he could not perform any overhead activities. Dr Adam reached a different view. He said he would assign 10 points under table 4. He reached that view after conducting his own assessment. Dr </w:t>
      </w:r>
      <w:proofErr w:type="spellStart"/>
      <w:r>
        <w:t>Winstanley</w:t>
      </w:r>
      <w:proofErr w:type="spellEnd"/>
      <w:r>
        <w:t xml:space="preserve"> conducted a more rigorous examination. He said Mr Beasley’s range of motion was extremely limited. At the hearing, Dr </w:t>
      </w:r>
      <w:proofErr w:type="spellStart"/>
      <w:r>
        <w:t>Winstanley</w:t>
      </w:r>
      <w:proofErr w:type="spellEnd"/>
      <w:r>
        <w:t xml:space="preserve"> confirmed Mr Beasley was unable to bend, move from side-to-side or lift his hands above his head. (Mr Beasley said he was </w:t>
      </w:r>
      <w:r w:rsidRPr="009D7229">
        <w:rPr>
          <w:i/>
        </w:rPr>
        <w:t>occasionally</w:t>
      </w:r>
      <w:r>
        <w:t xml:space="preserve"> able to get his hands above head but only with significant discomfort. He said he had taken steps to accommodate this difficulty by, for example, placing his hairdryer on a stand. He cannot do that “normally and on a repetitive basis”: s 11(3) of the Determination.) Dr </w:t>
      </w:r>
      <w:proofErr w:type="spellStart"/>
      <w:r>
        <w:t>Winstanley</w:t>
      </w:r>
      <w:proofErr w:type="spellEnd"/>
      <w:r>
        <w:t xml:space="preserve"> said that observation was consistent with the spinal pathology. Those observations, which I accept, suggest Mr Beasley should be allocated 20 points under table 4. </w:t>
      </w:r>
    </w:p>
    <w:p w:rsidR="00197A33" w:rsidRDefault="00197A33" w:rsidP="00197A33">
      <w:pPr>
        <w:pStyle w:val="ListNumber"/>
        <w:numPr>
          <w:ilvl w:val="0"/>
          <w:numId w:val="34"/>
        </w:numPr>
      </w:pPr>
      <w:r>
        <w:t xml:space="preserve">The third requirement in s 94(1) is set out at sub-section (c). It says the claimant must experience a continuing inability to work. There are several components to this requirement. One of the usual requirements – that the claimant actively participate in a program of support – is irrelevant in this case because Mr Beasley has 20 points allocated under the one impairment table. The Secretary contended that, even so, Mr Beasley had the ability to work more than 15 hours per week. </w:t>
      </w:r>
    </w:p>
    <w:p w:rsidR="00197A33" w:rsidRDefault="00197A33" w:rsidP="00197A33">
      <w:pPr>
        <w:pStyle w:val="ListNumber"/>
        <w:numPr>
          <w:ilvl w:val="0"/>
          <w:numId w:val="34"/>
        </w:numPr>
      </w:pPr>
      <w:r>
        <w:t xml:space="preserve">Dr </w:t>
      </w:r>
      <w:proofErr w:type="spellStart"/>
      <w:r>
        <w:t>Winstanley’s</w:t>
      </w:r>
      <w:proofErr w:type="spellEnd"/>
      <w:r>
        <w:t xml:space="preserve"> oral evidence in particular confirms Mr Beasley’s condition will not improve, and is likely to deteriorate. Mr Beasley’s evidence makes it clear his condition is worsening, and that he is unable to undertake many activities. He cannot work: there is no basis for concluding he could work 15 or more hours per week given his evidence and that of Dr </w:t>
      </w:r>
      <w:proofErr w:type="spellStart"/>
      <w:r>
        <w:t>Winstanley</w:t>
      </w:r>
      <w:proofErr w:type="spellEnd"/>
      <w:r>
        <w:t xml:space="preserve">. </w:t>
      </w:r>
    </w:p>
    <w:p w:rsidR="00197A33" w:rsidRDefault="00197A33" w:rsidP="00197A33">
      <w:pPr>
        <w:pStyle w:val="Heading2"/>
      </w:pPr>
      <w:r>
        <w:t>Conclusion</w:t>
      </w:r>
    </w:p>
    <w:p w:rsidR="009919D5" w:rsidRDefault="00197A33" w:rsidP="00880CF9">
      <w:pPr>
        <w:pStyle w:val="ListNumber"/>
        <w:numPr>
          <w:ilvl w:val="0"/>
          <w:numId w:val="34"/>
        </w:numPr>
        <w:rPr>
          <w:lang w:eastAsia="en-AU"/>
        </w:rPr>
      </w:pPr>
      <w:r>
        <w:rPr>
          <w:lang w:eastAsia="en-AU"/>
        </w:rPr>
        <w:t xml:space="preserve">The decision under review is affirmed. Mr Beasley is qualified to receive the DSP. The stay under s 41(2) of the </w:t>
      </w:r>
      <w:r w:rsidRPr="009D7229">
        <w:rPr>
          <w:i/>
          <w:lang w:eastAsia="en-AU"/>
        </w:rPr>
        <w:t>Administrative Appeals Tribunal Act 1975</w:t>
      </w:r>
      <w:r>
        <w:rPr>
          <w:lang w:eastAsia="en-AU"/>
        </w:rPr>
        <w:t xml:space="preserve"> is dissolved.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9919D5" w:rsidRPr="00110776" w:rsidTr="00E37F47">
        <w:tc>
          <w:tcPr>
            <w:tcW w:w="3651" w:type="dxa"/>
          </w:tcPr>
          <w:p w:rsidR="009919D5" w:rsidRPr="00110776" w:rsidRDefault="009919D5" w:rsidP="009919D5">
            <w:pPr>
              <w:pStyle w:val="ListNumber"/>
            </w:pPr>
            <w:r w:rsidRPr="00110776">
              <w:t xml:space="preserve">I </w:t>
            </w:r>
            <w:bookmarkStart w:id="9" w:name="StartStamp"/>
            <w:bookmarkEnd w:id="9"/>
            <w:r w:rsidRPr="00110776">
              <w:t xml:space="preserve">certify that the preceding </w:t>
            </w:r>
            <w:bookmarkStart w:id="10" w:name="NumParas"/>
            <w:bookmarkEnd w:id="10"/>
            <w:r w:rsidRPr="00110776">
              <w:t>1</w:t>
            </w:r>
            <w:r>
              <w:t>6 (six</w:t>
            </w:r>
            <w:r w:rsidRPr="00110776">
              <w:t>teen) paragraphs are a true copy of the reasons for the decision herein of Senior Member Bernard J McCabe.</w:t>
            </w:r>
            <w:r w:rsidRPr="00110776">
              <w:fldChar w:fldCharType="begin"/>
            </w:r>
            <w:r w:rsidRPr="00110776">
              <w:instrText xml:space="preserve"> DOCPROPERTY  TribunalLastPgForm</w:instrText>
            </w:r>
            <w:r w:rsidRPr="00110776">
              <w:fldChar w:fldCharType="separate"/>
            </w:r>
            <w:r w:rsidRPr="00110776">
              <w:t xml:space="preserve"> </w:t>
            </w:r>
            <w:r w:rsidRPr="00110776">
              <w:fldChar w:fldCharType="end"/>
            </w:r>
          </w:p>
        </w:tc>
      </w:tr>
    </w:tbl>
    <w:p w:rsidR="009919D5" w:rsidRPr="00110776" w:rsidRDefault="009919D5" w:rsidP="009919D5">
      <w:pPr>
        <w:keepNext/>
        <w:spacing w:before="960"/>
        <w:rPr>
          <w:sz w:val="24"/>
          <w:szCs w:val="24"/>
          <w:lang w:eastAsia="en-US"/>
        </w:rPr>
      </w:pPr>
      <w:proofErr w:type="gramStart"/>
      <w:r w:rsidRPr="00110776">
        <w:rPr>
          <w:sz w:val="24"/>
          <w:szCs w:val="24"/>
          <w:lang w:eastAsia="en-US"/>
        </w:rPr>
        <w:t>..........................</w:t>
      </w:r>
      <w:r w:rsidR="00E81998">
        <w:rPr>
          <w:sz w:val="24"/>
          <w:szCs w:val="24"/>
          <w:lang w:eastAsia="en-US"/>
        </w:rPr>
        <w:t>[</w:t>
      </w:r>
      <w:proofErr w:type="spellStart"/>
      <w:proofErr w:type="gramEnd"/>
      <w:r w:rsidR="00E81998">
        <w:rPr>
          <w:sz w:val="24"/>
          <w:szCs w:val="24"/>
          <w:lang w:eastAsia="en-US"/>
        </w:rPr>
        <w:t>Sgd</w:t>
      </w:r>
      <w:proofErr w:type="spellEnd"/>
      <w:r w:rsidR="00E81998">
        <w:rPr>
          <w:sz w:val="24"/>
          <w:szCs w:val="24"/>
          <w:lang w:eastAsia="en-US"/>
        </w:rPr>
        <w:t>]</w:t>
      </w:r>
      <w:r w:rsidRPr="00110776">
        <w:rPr>
          <w:sz w:val="24"/>
          <w:szCs w:val="24"/>
          <w:lang w:eastAsia="en-US"/>
        </w:rPr>
        <w:t>................................</w:t>
      </w:r>
    </w:p>
    <w:p w:rsidR="009919D5" w:rsidRPr="00110776" w:rsidRDefault="009919D5" w:rsidP="009919D5">
      <w:pPr>
        <w:pStyle w:val="NoSpacing"/>
        <w:rPr>
          <w:szCs w:val="24"/>
        </w:rPr>
      </w:pPr>
      <w:r w:rsidRPr="00110776">
        <w:rPr>
          <w:szCs w:val="24"/>
        </w:rPr>
        <w:fldChar w:fldCharType="begin"/>
      </w:r>
      <w:r w:rsidRPr="00110776">
        <w:rPr>
          <w:szCs w:val="24"/>
        </w:rPr>
        <w:instrText xml:space="preserve"> DOCPROPERTY  SigneeDesignation </w:instrText>
      </w:r>
      <w:r w:rsidRPr="00110776">
        <w:rPr>
          <w:szCs w:val="24"/>
        </w:rPr>
        <w:fldChar w:fldCharType="separate"/>
      </w:r>
      <w:r w:rsidRPr="00110776">
        <w:rPr>
          <w:szCs w:val="24"/>
        </w:rPr>
        <w:t>Associate</w:t>
      </w:r>
      <w:r w:rsidRPr="00110776">
        <w:rPr>
          <w:szCs w:val="24"/>
        </w:rPr>
        <w:fldChar w:fldCharType="end"/>
      </w:r>
    </w:p>
    <w:p w:rsidR="009919D5" w:rsidRPr="00110776" w:rsidRDefault="009919D5" w:rsidP="009919D5">
      <w:pPr>
        <w:rPr>
          <w:sz w:val="24"/>
          <w:szCs w:val="24"/>
        </w:rPr>
      </w:pPr>
      <w:r w:rsidRPr="00B801CE">
        <w:rPr>
          <w:sz w:val="24"/>
          <w:szCs w:val="24"/>
        </w:rPr>
        <w:t xml:space="preserve">Dated </w:t>
      </w:r>
      <w:r w:rsidRPr="00B801CE">
        <w:rPr>
          <w:sz w:val="24"/>
          <w:szCs w:val="24"/>
        </w:rPr>
        <w:fldChar w:fldCharType="begin"/>
      </w:r>
      <w:r w:rsidRPr="00B801CE">
        <w:rPr>
          <w:sz w:val="24"/>
          <w:szCs w:val="24"/>
        </w:rPr>
        <w:instrText xml:space="preserve"> DOCPROPERTY  StampDate </w:instrText>
      </w:r>
      <w:r w:rsidRPr="00B801CE">
        <w:rPr>
          <w:sz w:val="24"/>
          <w:szCs w:val="24"/>
        </w:rPr>
        <w:fldChar w:fldCharType="separate"/>
      </w:r>
      <w:r>
        <w:rPr>
          <w:sz w:val="24"/>
          <w:szCs w:val="24"/>
        </w:rPr>
        <w:t>1</w:t>
      </w:r>
      <w:r w:rsidRPr="00B801CE">
        <w:rPr>
          <w:sz w:val="24"/>
          <w:szCs w:val="24"/>
        </w:rPr>
        <w:t xml:space="preserve"> </w:t>
      </w:r>
      <w:r>
        <w:rPr>
          <w:sz w:val="24"/>
          <w:szCs w:val="24"/>
        </w:rPr>
        <w:t>December</w:t>
      </w:r>
      <w:r w:rsidRPr="00B801CE">
        <w:rPr>
          <w:sz w:val="24"/>
          <w:szCs w:val="24"/>
        </w:rPr>
        <w:t xml:space="preserve"> 2015</w:t>
      </w:r>
      <w:r w:rsidRPr="00B801CE">
        <w:rPr>
          <w:sz w:val="24"/>
          <w:szCs w:val="24"/>
        </w:rPr>
        <w:fldChar w:fldCharType="end"/>
      </w:r>
    </w:p>
    <w:p w:rsidR="009919D5" w:rsidRPr="00110776" w:rsidRDefault="009919D5" w:rsidP="009919D5">
      <w:pPr>
        <w:rPr>
          <w:sz w:val="24"/>
          <w:szCs w:val="24"/>
        </w:rPr>
      </w:pPr>
    </w:p>
    <w:tbl>
      <w:tblPr>
        <w:tblW w:w="0" w:type="auto"/>
        <w:tblLayout w:type="fixed"/>
        <w:tblLook w:val="00A0" w:firstRow="1" w:lastRow="0" w:firstColumn="1" w:lastColumn="0" w:noHBand="0" w:noVBand="0"/>
      </w:tblPr>
      <w:tblGrid>
        <w:gridCol w:w="3510"/>
        <w:gridCol w:w="5279"/>
      </w:tblGrid>
      <w:tr w:rsidR="009919D5" w:rsidRPr="00110776" w:rsidTr="00E37F47">
        <w:trPr>
          <w:trHeight w:val="567"/>
        </w:trPr>
        <w:tc>
          <w:tcPr>
            <w:tcW w:w="3510" w:type="dxa"/>
          </w:tcPr>
          <w:p w:rsidR="009919D5" w:rsidRPr="00110776" w:rsidRDefault="009919D5" w:rsidP="00E37F47">
            <w:pPr>
              <w:pStyle w:val="NoSpacing"/>
              <w:rPr>
                <w:szCs w:val="24"/>
                <w:lang w:eastAsia="en-US"/>
              </w:rPr>
            </w:pPr>
            <w:r w:rsidRPr="00110776">
              <w:rPr>
                <w:szCs w:val="24"/>
                <w:lang w:eastAsia="en-US"/>
              </w:rPr>
              <w:t>Date of hearing</w:t>
            </w:r>
          </w:p>
        </w:tc>
        <w:tc>
          <w:tcPr>
            <w:tcW w:w="5279" w:type="dxa"/>
          </w:tcPr>
          <w:p w:rsidR="009919D5" w:rsidRPr="00110776" w:rsidRDefault="009919D5" w:rsidP="009919D5">
            <w:pPr>
              <w:pStyle w:val="NoSpacing"/>
              <w:rPr>
                <w:b/>
                <w:bCs/>
                <w:szCs w:val="24"/>
                <w:lang w:eastAsia="en-US"/>
              </w:rPr>
            </w:pPr>
            <w:r w:rsidRPr="00110776">
              <w:rPr>
                <w:b/>
                <w:bCs/>
                <w:szCs w:val="24"/>
                <w:lang w:eastAsia="en-US"/>
              </w:rPr>
              <w:fldChar w:fldCharType="begin"/>
            </w:r>
            <w:r w:rsidRPr="00110776">
              <w:rPr>
                <w:b/>
                <w:bCs/>
                <w:szCs w:val="24"/>
                <w:lang w:eastAsia="en-US"/>
              </w:rPr>
              <w:instrText xml:space="preserve">DOCPROPERTY  DateOfHearing </w:instrText>
            </w:r>
            <w:r w:rsidRPr="00110776">
              <w:rPr>
                <w:b/>
                <w:bCs/>
                <w:szCs w:val="24"/>
                <w:lang w:eastAsia="en-US"/>
              </w:rPr>
              <w:fldChar w:fldCharType="separate"/>
            </w:r>
            <w:r>
              <w:rPr>
                <w:b/>
                <w:bCs/>
                <w:szCs w:val="24"/>
                <w:lang w:eastAsia="en-US"/>
              </w:rPr>
              <w:t>31</w:t>
            </w:r>
            <w:r w:rsidRPr="00110776">
              <w:rPr>
                <w:b/>
                <w:bCs/>
                <w:szCs w:val="24"/>
                <w:lang w:eastAsia="en-US"/>
              </w:rPr>
              <w:t xml:space="preserve"> </w:t>
            </w:r>
            <w:r>
              <w:rPr>
                <w:b/>
                <w:bCs/>
                <w:szCs w:val="24"/>
                <w:lang w:eastAsia="en-US"/>
              </w:rPr>
              <w:t>August</w:t>
            </w:r>
            <w:r w:rsidRPr="00110776">
              <w:rPr>
                <w:b/>
                <w:bCs/>
                <w:szCs w:val="24"/>
                <w:lang w:eastAsia="en-US"/>
              </w:rPr>
              <w:t xml:space="preserve"> 201</w:t>
            </w:r>
            <w:r w:rsidRPr="00110776">
              <w:rPr>
                <w:b/>
                <w:bCs/>
                <w:szCs w:val="24"/>
                <w:lang w:eastAsia="en-US"/>
              </w:rPr>
              <w:fldChar w:fldCharType="end"/>
            </w:r>
            <w:r>
              <w:rPr>
                <w:b/>
                <w:bCs/>
                <w:szCs w:val="24"/>
                <w:lang w:eastAsia="en-US"/>
              </w:rPr>
              <w:t>5</w:t>
            </w:r>
          </w:p>
        </w:tc>
      </w:tr>
      <w:tr w:rsidR="009919D5" w:rsidRPr="00110776" w:rsidTr="00E37F47">
        <w:trPr>
          <w:trHeight w:val="567"/>
        </w:trPr>
        <w:tc>
          <w:tcPr>
            <w:tcW w:w="3510" w:type="dxa"/>
          </w:tcPr>
          <w:p w:rsidR="009919D5" w:rsidRPr="00110776" w:rsidRDefault="009919D5" w:rsidP="00E37F47">
            <w:pPr>
              <w:pStyle w:val="NoSpacing"/>
              <w:rPr>
                <w:szCs w:val="24"/>
                <w:lang w:eastAsia="en-US"/>
              </w:rPr>
            </w:pPr>
            <w:bookmarkStart w:id="11" w:name="DateFinalSubmission"/>
            <w:bookmarkStart w:id="12" w:name="Applicant_Counsel"/>
            <w:bookmarkEnd w:id="11"/>
            <w:bookmarkEnd w:id="12"/>
            <w:r>
              <w:rPr>
                <w:szCs w:val="24"/>
                <w:lang w:eastAsia="en-US"/>
              </w:rPr>
              <w:t xml:space="preserve">Advocate for the </w:t>
            </w:r>
            <w:r w:rsidRPr="00110776">
              <w:rPr>
                <w:szCs w:val="24"/>
                <w:lang w:eastAsia="en-US"/>
              </w:rPr>
              <w:t>Applicant</w:t>
            </w:r>
          </w:p>
        </w:tc>
        <w:tc>
          <w:tcPr>
            <w:tcW w:w="5279" w:type="dxa"/>
          </w:tcPr>
          <w:p w:rsidR="009919D5" w:rsidRPr="00110776" w:rsidRDefault="009919D5" w:rsidP="00E37F47">
            <w:pPr>
              <w:pStyle w:val="NoSpacing"/>
              <w:rPr>
                <w:b/>
                <w:bCs/>
                <w:szCs w:val="24"/>
                <w:lang w:eastAsia="en-US"/>
              </w:rPr>
            </w:pPr>
            <w:r>
              <w:rPr>
                <w:b/>
                <w:bCs/>
                <w:szCs w:val="24"/>
                <w:lang w:eastAsia="en-US"/>
              </w:rPr>
              <w:t>Ms J Forsyth</w:t>
            </w:r>
          </w:p>
        </w:tc>
      </w:tr>
      <w:tr w:rsidR="009919D5" w:rsidRPr="00110776" w:rsidTr="00E37F47">
        <w:trPr>
          <w:trHeight w:val="567"/>
        </w:trPr>
        <w:tc>
          <w:tcPr>
            <w:tcW w:w="3510" w:type="dxa"/>
          </w:tcPr>
          <w:p w:rsidR="009919D5" w:rsidRPr="00110776" w:rsidRDefault="009919D5" w:rsidP="00E37F47">
            <w:pPr>
              <w:pStyle w:val="NoSpacing"/>
              <w:rPr>
                <w:szCs w:val="24"/>
                <w:lang w:eastAsia="en-US"/>
              </w:rPr>
            </w:pPr>
            <w:bookmarkStart w:id="13" w:name="Applicant_Solicitors"/>
            <w:bookmarkStart w:id="14" w:name="Respondent_Advocate"/>
            <w:bookmarkEnd w:id="13"/>
            <w:bookmarkEnd w:id="14"/>
            <w:r>
              <w:rPr>
                <w:szCs w:val="24"/>
                <w:lang w:eastAsia="en-US"/>
              </w:rPr>
              <w:t>Counsel</w:t>
            </w:r>
            <w:r w:rsidRPr="00110776">
              <w:rPr>
                <w:szCs w:val="24"/>
                <w:lang w:eastAsia="en-US"/>
              </w:rPr>
              <w:t xml:space="preserve"> for the Respondent</w:t>
            </w:r>
          </w:p>
        </w:tc>
        <w:tc>
          <w:tcPr>
            <w:tcW w:w="5279" w:type="dxa"/>
          </w:tcPr>
          <w:p w:rsidR="009919D5" w:rsidRPr="00110776" w:rsidRDefault="009919D5" w:rsidP="00E37F47">
            <w:pPr>
              <w:pStyle w:val="NoSpacing"/>
              <w:rPr>
                <w:b/>
                <w:bCs/>
                <w:szCs w:val="24"/>
                <w:lang w:eastAsia="en-US"/>
              </w:rPr>
            </w:pPr>
            <w:r>
              <w:rPr>
                <w:b/>
                <w:bCs/>
                <w:szCs w:val="24"/>
                <w:lang w:eastAsia="en-US"/>
              </w:rPr>
              <w:t xml:space="preserve">Ms </w:t>
            </w:r>
            <w:proofErr w:type="spellStart"/>
            <w:r>
              <w:rPr>
                <w:b/>
                <w:bCs/>
                <w:szCs w:val="24"/>
                <w:lang w:eastAsia="en-US"/>
              </w:rPr>
              <w:t>Blackford</w:t>
            </w:r>
            <w:proofErr w:type="spellEnd"/>
            <w:r>
              <w:rPr>
                <w:b/>
                <w:bCs/>
                <w:szCs w:val="24"/>
                <w:lang w:eastAsia="en-US"/>
              </w:rPr>
              <w:t xml:space="preserve"> Slack</w:t>
            </w:r>
          </w:p>
        </w:tc>
      </w:tr>
    </w:tbl>
    <w:p w:rsidR="00391759" w:rsidRPr="009919D5" w:rsidRDefault="00391759" w:rsidP="009919D5"/>
    <w:sectPr w:rsidR="00391759" w:rsidRPr="009919D5" w:rsidSect="006D113F">
      <w:headerReference w:type="even" r:id="rId9"/>
      <w:footerReference w:type="default" r:id="rId10"/>
      <w:headerReference w:type="first" r:id="rId11"/>
      <w:footerReference w:type="first" r:id="rId12"/>
      <w:type w:val="continuous"/>
      <w:pgSz w:w="11907" w:h="16834" w:code="9"/>
      <w:pgMar w:top="1758" w:right="1134" w:bottom="1758" w:left="198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A33" w:rsidRDefault="00197A33">
      <w:r>
        <w:separator/>
      </w:r>
    </w:p>
    <w:p w:rsidR="00197A33" w:rsidRDefault="00197A33"/>
  </w:endnote>
  <w:endnote w:type="continuationSeparator" w:id="0">
    <w:p w:rsidR="00197A33" w:rsidRDefault="00197A33">
      <w:r>
        <w:continuationSeparator/>
      </w:r>
    </w:p>
    <w:p w:rsidR="00197A33" w:rsidRDefault="00197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3B4BBD" w:rsidRPr="006F16E0" w:rsidTr="003B4BBD">
      <w:tc>
        <w:tcPr>
          <w:tcW w:w="1447" w:type="dxa"/>
          <w:vAlign w:val="center"/>
        </w:tcPr>
        <w:p w:rsidR="003B4BBD" w:rsidRPr="006F16E0" w:rsidRDefault="003B4BBD" w:rsidP="003B4BBD">
          <w:pPr>
            <w:pStyle w:val="Footer"/>
          </w:pPr>
        </w:p>
      </w:tc>
      <w:tc>
        <w:tcPr>
          <w:tcW w:w="8763" w:type="dxa"/>
          <w:vAlign w:val="center"/>
        </w:tcPr>
        <w:p w:rsidR="003B4BBD" w:rsidRPr="006F16E0" w:rsidRDefault="003B4BBD" w:rsidP="003B4BBD">
          <w:pPr>
            <w:pStyle w:val="Footer"/>
            <w:jc w:val="right"/>
          </w:pPr>
          <w:r>
            <w:t xml:space="preserve">Page </w:t>
          </w:r>
          <w:r>
            <w:fldChar w:fldCharType="begin"/>
          </w:r>
          <w:r>
            <w:instrText xml:space="preserve"> PAGE  \* Arabic </w:instrText>
          </w:r>
          <w:r>
            <w:fldChar w:fldCharType="separate"/>
          </w:r>
          <w:r w:rsidR="005A7DDB">
            <w:rPr>
              <w:noProof/>
            </w:rPr>
            <w:t>2</w:t>
          </w:r>
          <w:r>
            <w:fldChar w:fldCharType="end"/>
          </w:r>
          <w:r>
            <w:t xml:space="preserve"> of </w:t>
          </w:r>
          <w:r w:rsidR="005A7DDB">
            <w:fldChar w:fldCharType="begin"/>
          </w:r>
          <w:r w:rsidR="005A7DDB">
            <w:instrText xml:space="preserve"> NUMPAGES  \* Arabic </w:instrText>
          </w:r>
          <w:r w:rsidR="005A7DDB">
            <w:fldChar w:fldCharType="separate"/>
          </w:r>
          <w:r w:rsidR="005A7DDB">
            <w:rPr>
              <w:noProof/>
            </w:rPr>
            <w:t>7</w:t>
          </w:r>
          <w:r w:rsidR="005A7DDB">
            <w:rPr>
              <w:noProof/>
            </w:rPr>
            <w:fldChar w:fldCharType="end"/>
          </w:r>
        </w:p>
      </w:tc>
    </w:tr>
  </w:tbl>
  <w:p w:rsidR="003B4BBD" w:rsidRDefault="003B4B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3B4BBD" w:rsidTr="003B4BBD">
      <w:tc>
        <w:tcPr>
          <w:tcW w:w="1447" w:type="dxa"/>
          <w:vAlign w:val="center"/>
        </w:tcPr>
        <w:p w:rsidR="003B4BBD" w:rsidRDefault="003B4BBD" w:rsidP="003B4BBD">
          <w:pPr>
            <w:pStyle w:val="FooterPage1"/>
          </w:pPr>
        </w:p>
      </w:tc>
      <w:tc>
        <w:tcPr>
          <w:tcW w:w="8763" w:type="dxa"/>
          <w:tcBorders>
            <w:left w:val="nil"/>
          </w:tcBorders>
          <w:tcMar>
            <w:left w:w="85" w:type="dxa"/>
          </w:tcMar>
          <w:vAlign w:val="center"/>
        </w:tcPr>
        <w:p w:rsidR="003B4BBD" w:rsidRDefault="003B4BBD" w:rsidP="009C773B">
          <w:pPr>
            <w:pStyle w:val="FooterPage1"/>
            <w:jc w:val="right"/>
          </w:pPr>
          <w:r>
            <w:t xml:space="preserve">© Commonwealth of Australia </w:t>
          </w:r>
          <w:r>
            <w:fldChar w:fldCharType="begin"/>
          </w:r>
          <w:r>
            <w:instrText xml:space="preserve"> DATE  \@ "yyyy" </w:instrText>
          </w:r>
          <w:r>
            <w:fldChar w:fldCharType="separate"/>
          </w:r>
          <w:r w:rsidR="005A7DDB">
            <w:rPr>
              <w:noProof/>
            </w:rPr>
            <w:t>2015</w:t>
          </w:r>
          <w:r>
            <w:fldChar w:fldCharType="end"/>
          </w:r>
        </w:p>
      </w:tc>
    </w:tr>
  </w:tbl>
  <w:p w:rsidR="003B4BBD" w:rsidRDefault="003B4BB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A33" w:rsidRDefault="00197A33">
      <w:r>
        <w:separator/>
      </w:r>
    </w:p>
  </w:footnote>
  <w:footnote w:type="continuationSeparator" w:id="0">
    <w:p w:rsidR="00197A33" w:rsidRDefault="00197A33">
      <w:r>
        <w:continuationSeparator/>
      </w:r>
    </w:p>
    <w:p w:rsidR="00197A33" w:rsidRDefault="00197A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BBD" w:rsidRDefault="003B4BBD">
    <w:pPr>
      <w:framePr w:wrap="around" w:vAnchor="text" w:hAnchor="margin" w:xAlign="center" w:y="1"/>
      <w:numPr>
        <w:ilvl w:val="12"/>
        <w:numId w:val="0"/>
      </w:numPr>
      <w:ind w:hanging="851"/>
    </w:pPr>
    <w:r>
      <w:fldChar w:fldCharType="begin"/>
    </w:r>
    <w:r>
      <w:instrText xml:space="preserve">PAGE  </w:instrText>
    </w:r>
    <w:r>
      <w:fldChar w:fldCharType="end"/>
    </w:r>
  </w:p>
  <w:p w:rsidR="003B4BBD" w:rsidRDefault="003B4BBD">
    <w:pPr>
      <w:numPr>
        <w:ilvl w:val="12"/>
        <w:numId w:val="0"/>
      </w:numPr>
      <w:ind w:hanging="851"/>
    </w:pPr>
  </w:p>
  <w:p w:rsidR="003B4BBD" w:rsidRDefault="003B4B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7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407"/>
      <w:gridCol w:w="3969"/>
    </w:tblGrid>
    <w:tr w:rsidR="003B4BBD" w:rsidTr="003B4BBD">
      <w:trPr>
        <w:trHeight w:hRule="exact" w:val="1702"/>
      </w:trPr>
      <w:tc>
        <w:tcPr>
          <w:tcW w:w="6407" w:type="dxa"/>
        </w:tcPr>
        <w:p w:rsidR="003B4BBD" w:rsidRDefault="003B4BBD" w:rsidP="003B4BBD">
          <w:pPr>
            <w:numPr>
              <w:ilvl w:val="12"/>
              <w:numId w:val="0"/>
            </w:numPr>
          </w:pPr>
          <w:r>
            <w:rPr>
              <w:noProof/>
            </w:rPr>
            <w:drawing>
              <wp:inline distT="0" distB="0" distL="0" distR="0" wp14:anchorId="11C50D7F" wp14:editId="4FA38CBD">
                <wp:extent cx="2448000" cy="9169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T master logo-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000" cy="916990"/>
                        </a:xfrm>
                        <a:prstGeom prst="rect">
                          <a:avLst/>
                        </a:prstGeom>
                      </pic:spPr>
                    </pic:pic>
                  </a:graphicData>
                </a:graphic>
              </wp:inline>
            </w:drawing>
          </w:r>
        </w:p>
      </w:tc>
      <w:tc>
        <w:tcPr>
          <w:tcW w:w="3969" w:type="dxa"/>
          <w:vAlign w:val="bottom"/>
        </w:tcPr>
        <w:p w:rsidR="003B4BBD" w:rsidRDefault="003B4BBD" w:rsidP="003B4BBD">
          <w:pPr>
            <w:numPr>
              <w:ilvl w:val="12"/>
              <w:numId w:val="0"/>
            </w:numPr>
            <w:jc w:val="right"/>
          </w:pPr>
          <w:r>
            <w:rPr>
              <w:noProof/>
            </w:rPr>
            <w:drawing>
              <wp:inline distT="0" distB="0" distL="0" distR="0" wp14:anchorId="505B1310" wp14:editId="50F735F0">
                <wp:extent cx="2145600" cy="313200"/>
                <wp:effectExtent l="0" t="0" r="7620" b="0"/>
                <wp:docPr id="8" name="Picture 8"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3B4BBD" w:rsidRDefault="003B4BBD"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CE73BB"/>
    <w:multiLevelType w:val="multilevel"/>
    <w:tmpl w:val="41AE35B0"/>
    <w:numStyleLink w:val="ListNumbers"/>
  </w:abstractNum>
  <w:abstractNum w:abstractNumId="1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6">
    <w:nsid w:val="495036ED"/>
    <w:multiLevelType w:val="multilevel"/>
    <w:tmpl w:val="C38441E4"/>
    <w:numStyleLink w:val="Quotes"/>
  </w:abstractNum>
  <w:abstractNum w:abstractNumId="17">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8">
    <w:nsid w:val="55310AC7"/>
    <w:multiLevelType w:val="multilevel"/>
    <w:tmpl w:val="2160D004"/>
    <w:numStyleLink w:val="Bullets"/>
  </w:abstractNum>
  <w:abstractNum w:abstractNumId="19">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0">
    <w:nsid w:val="641E12EB"/>
    <w:multiLevelType w:val="multilevel"/>
    <w:tmpl w:val="2160D004"/>
    <w:numStyleLink w:val="Bullets"/>
  </w:abstractNum>
  <w:abstractNum w:abstractNumId="21">
    <w:nsid w:val="6B060E1C"/>
    <w:multiLevelType w:val="multilevel"/>
    <w:tmpl w:val="41AE35B0"/>
    <w:numStyleLink w:val="ListNumbers"/>
  </w:abstractNum>
  <w:abstractNum w:abstractNumId="22">
    <w:nsid w:val="74DC79E0"/>
    <w:multiLevelType w:val="multilevel"/>
    <w:tmpl w:val="2160D004"/>
    <w:numStyleLink w:val="Bullets"/>
  </w:abstractNum>
  <w:abstractNum w:abstractNumId="23">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4">
    <w:nsid w:val="7FAF2430"/>
    <w:multiLevelType w:val="multilevel"/>
    <w:tmpl w:val="2160D004"/>
    <w:numStyleLink w:val="Bullets"/>
  </w:abstractNum>
  <w:num w:numId="1">
    <w:abstractNumId w:val="10"/>
  </w:num>
  <w:num w:numId="2">
    <w:abstractNumId w:val="19"/>
  </w:num>
  <w:num w:numId="3">
    <w:abstractNumId w:val="19"/>
  </w:num>
  <w:num w:numId="4">
    <w:abstractNumId w:val="10"/>
  </w:num>
  <w:num w:numId="5">
    <w:abstractNumId w:val="23"/>
  </w:num>
  <w:num w:numId="6">
    <w:abstractNumId w:val="23"/>
  </w:num>
  <w:num w:numId="7">
    <w:abstractNumId w:val="23"/>
  </w:num>
  <w:num w:numId="8">
    <w:abstractNumId w:val="23"/>
  </w:num>
  <w:num w:numId="9">
    <w:abstractNumId w:val="9"/>
  </w:num>
  <w:num w:numId="10">
    <w:abstractNumId w:val="14"/>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5"/>
  </w:num>
  <w:num w:numId="22">
    <w:abstractNumId w:val="22"/>
  </w:num>
  <w:num w:numId="23">
    <w:abstractNumId w:val="24"/>
  </w:num>
  <w:num w:numId="24">
    <w:abstractNumId w:val="6"/>
  </w:num>
  <w:num w:numId="25">
    <w:abstractNumId w:val="5"/>
  </w:num>
  <w:num w:numId="26">
    <w:abstractNumId w:val="18"/>
  </w:num>
  <w:num w:numId="27">
    <w:abstractNumId w:val="20"/>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1"/>
  </w:num>
  <w:num w:numId="38">
    <w:abstractNumId w:val="8"/>
  </w:num>
  <w:num w:numId="39">
    <w:abstractNumId w:val="8"/>
  </w:num>
  <w:num w:numId="40">
    <w:abstractNumId w:val="8"/>
  </w:num>
  <w:num w:numId="41">
    <w:abstractNumId w:val="8"/>
  </w:num>
  <w:num w:numId="42">
    <w:abstractNumId w:val="12"/>
  </w:num>
  <w:num w:numId="43">
    <w:abstractNumId w:val="16"/>
  </w:num>
  <w:num w:numId="44">
    <w:abstractNumId w:val="11"/>
  </w:num>
  <w:num w:numId="45">
    <w:abstractNumId w:val="17"/>
  </w:num>
  <w:num w:numId="46">
    <w:abstractNumId w:val="17"/>
  </w:num>
  <w:num w:numId="47">
    <w:abstractNumId w:val="7"/>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True"/>
    <w:docVar w:name="RunAlready" w:val="False"/>
  </w:docVars>
  <w:rsids>
    <w:rsidRoot w:val="00197A33"/>
    <w:rsid w:val="00000438"/>
    <w:rsid w:val="00000788"/>
    <w:rsid w:val="00004028"/>
    <w:rsid w:val="00004916"/>
    <w:rsid w:val="00005D43"/>
    <w:rsid w:val="00010D8F"/>
    <w:rsid w:val="0001309B"/>
    <w:rsid w:val="00016E32"/>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51969"/>
    <w:rsid w:val="000533BE"/>
    <w:rsid w:val="00054765"/>
    <w:rsid w:val="0005765E"/>
    <w:rsid w:val="00066A89"/>
    <w:rsid w:val="00072703"/>
    <w:rsid w:val="00074057"/>
    <w:rsid w:val="00076AE1"/>
    <w:rsid w:val="00077D8F"/>
    <w:rsid w:val="00077E34"/>
    <w:rsid w:val="0008091F"/>
    <w:rsid w:val="00082425"/>
    <w:rsid w:val="000852E6"/>
    <w:rsid w:val="0008639E"/>
    <w:rsid w:val="00086AFC"/>
    <w:rsid w:val="000903C8"/>
    <w:rsid w:val="0009045E"/>
    <w:rsid w:val="0009097C"/>
    <w:rsid w:val="00096477"/>
    <w:rsid w:val="000A058C"/>
    <w:rsid w:val="000A2C43"/>
    <w:rsid w:val="000A3B7B"/>
    <w:rsid w:val="000A40FB"/>
    <w:rsid w:val="000A6277"/>
    <w:rsid w:val="000B05AB"/>
    <w:rsid w:val="000B41C7"/>
    <w:rsid w:val="000B799C"/>
    <w:rsid w:val="000B7E7F"/>
    <w:rsid w:val="000C0421"/>
    <w:rsid w:val="000C200E"/>
    <w:rsid w:val="000C716A"/>
    <w:rsid w:val="000D1F26"/>
    <w:rsid w:val="000E14C4"/>
    <w:rsid w:val="000E35BC"/>
    <w:rsid w:val="000E3B5A"/>
    <w:rsid w:val="000E4089"/>
    <w:rsid w:val="000E5FB6"/>
    <w:rsid w:val="000F18F4"/>
    <w:rsid w:val="000F6FDF"/>
    <w:rsid w:val="001064ED"/>
    <w:rsid w:val="00110450"/>
    <w:rsid w:val="00110C0F"/>
    <w:rsid w:val="00111F84"/>
    <w:rsid w:val="001131C2"/>
    <w:rsid w:val="00114BD8"/>
    <w:rsid w:val="0011681C"/>
    <w:rsid w:val="00117552"/>
    <w:rsid w:val="0012021D"/>
    <w:rsid w:val="001209DA"/>
    <w:rsid w:val="00122092"/>
    <w:rsid w:val="001220FF"/>
    <w:rsid w:val="00122EFA"/>
    <w:rsid w:val="001324A7"/>
    <w:rsid w:val="0013307E"/>
    <w:rsid w:val="00143874"/>
    <w:rsid w:val="0014665F"/>
    <w:rsid w:val="001466C7"/>
    <w:rsid w:val="00152EB0"/>
    <w:rsid w:val="00155013"/>
    <w:rsid w:val="00156035"/>
    <w:rsid w:val="00161B81"/>
    <w:rsid w:val="001623BA"/>
    <w:rsid w:val="001625D8"/>
    <w:rsid w:val="0016425D"/>
    <w:rsid w:val="0016773D"/>
    <w:rsid w:val="00170921"/>
    <w:rsid w:val="00170BEE"/>
    <w:rsid w:val="00174965"/>
    <w:rsid w:val="001761FE"/>
    <w:rsid w:val="00177ECF"/>
    <w:rsid w:val="001803FE"/>
    <w:rsid w:val="00183666"/>
    <w:rsid w:val="00184424"/>
    <w:rsid w:val="001851A9"/>
    <w:rsid w:val="00185304"/>
    <w:rsid w:val="0018598D"/>
    <w:rsid w:val="00187636"/>
    <w:rsid w:val="0019369B"/>
    <w:rsid w:val="00197A33"/>
    <w:rsid w:val="00197BFF"/>
    <w:rsid w:val="001A2C68"/>
    <w:rsid w:val="001A3530"/>
    <w:rsid w:val="001A364D"/>
    <w:rsid w:val="001A364E"/>
    <w:rsid w:val="001A37DD"/>
    <w:rsid w:val="001A4085"/>
    <w:rsid w:val="001A4617"/>
    <w:rsid w:val="001B7953"/>
    <w:rsid w:val="001C1058"/>
    <w:rsid w:val="001C59B1"/>
    <w:rsid w:val="001D0804"/>
    <w:rsid w:val="001D5528"/>
    <w:rsid w:val="001D5B26"/>
    <w:rsid w:val="001D661E"/>
    <w:rsid w:val="001D734A"/>
    <w:rsid w:val="001E0794"/>
    <w:rsid w:val="001E1E9E"/>
    <w:rsid w:val="001E237C"/>
    <w:rsid w:val="001E4799"/>
    <w:rsid w:val="001F058C"/>
    <w:rsid w:val="001F2404"/>
    <w:rsid w:val="001F2C5D"/>
    <w:rsid w:val="001F3698"/>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5BDF"/>
    <w:rsid w:val="00215E98"/>
    <w:rsid w:val="00217DAA"/>
    <w:rsid w:val="002216BD"/>
    <w:rsid w:val="002257FA"/>
    <w:rsid w:val="002260F4"/>
    <w:rsid w:val="002276C4"/>
    <w:rsid w:val="00230141"/>
    <w:rsid w:val="00237992"/>
    <w:rsid w:val="00242AEC"/>
    <w:rsid w:val="0024473D"/>
    <w:rsid w:val="0024549E"/>
    <w:rsid w:val="00253104"/>
    <w:rsid w:val="00256FC5"/>
    <w:rsid w:val="002607D3"/>
    <w:rsid w:val="00264A1D"/>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7E16"/>
    <w:rsid w:val="002D3429"/>
    <w:rsid w:val="002D7F26"/>
    <w:rsid w:val="002E599F"/>
    <w:rsid w:val="002E6962"/>
    <w:rsid w:val="002E7FBA"/>
    <w:rsid w:val="002F0D19"/>
    <w:rsid w:val="002F0F50"/>
    <w:rsid w:val="002F3DDF"/>
    <w:rsid w:val="002F6956"/>
    <w:rsid w:val="002F7E7B"/>
    <w:rsid w:val="00301154"/>
    <w:rsid w:val="0030226A"/>
    <w:rsid w:val="00305792"/>
    <w:rsid w:val="003058C9"/>
    <w:rsid w:val="003070FA"/>
    <w:rsid w:val="00307689"/>
    <w:rsid w:val="003152B2"/>
    <w:rsid w:val="00323B7B"/>
    <w:rsid w:val="00325D17"/>
    <w:rsid w:val="00325EC3"/>
    <w:rsid w:val="0032657E"/>
    <w:rsid w:val="00331390"/>
    <w:rsid w:val="003339CD"/>
    <w:rsid w:val="003345C3"/>
    <w:rsid w:val="00336C16"/>
    <w:rsid w:val="0034191E"/>
    <w:rsid w:val="00342BEC"/>
    <w:rsid w:val="00343163"/>
    <w:rsid w:val="003436FA"/>
    <w:rsid w:val="00350976"/>
    <w:rsid w:val="00352348"/>
    <w:rsid w:val="00352381"/>
    <w:rsid w:val="003530AA"/>
    <w:rsid w:val="003579F7"/>
    <w:rsid w:val="00357F88"/>
    <w:rsid w:val="003739F4"/>
    <w:rsid w:val="00380425"/>
    <w:rsid w:val="00382E91"/>
    <w:rsid w:val="003868D3"/>
    <w:rsid w:val="00391759"/>
    <w:rsid w:val="00391A9B"/>
    <w:rsid w:val="00394A18"/>
    <w:rsid w:val="00395365"/>
    <w:rsid w:val="00395B38"/>
    <w:rsid w:val="00397AC3"/>
    <w:rsid w:val="003A1F50"/>
    <w:rsid w:val="003A5522"/>
    <w:rsid w:val="003B4BBD"/>
    <w:rsid w:val="003B6DAC"/>
    <w:rsid w:val="003C12DE"/>
    <w:rsid w:val="003C3A2F"/>
    <w:rsid w:val="003C6C6D"/>
    <w:rsid w:val="003D2450"/>
    <w:rsid w:val="003D4BB1"/>
    <w:rsid w:val="003E1FE6"/>
    <w:rsid w:val="003E261A"/>
    <w:rsid w:val="003E45BA"/>
    <w:rsid w:val="003E5E87"/>
    <w:rsid w:val="003E64EB"/>
    <w:rsid w:val="003F2BEB"/>
    <w:rsid w:val="003F3503"/>
    <w:rsid w:val="003F5488"/>
    <w:rsid w:val="00401581"/>
    <w:rsid w:val="004050E6"/>
    <w:rsid w:val="00406B68"/>
    <w:rsid w:val="00411738"/>
    <w:rsid w:val="004152C5"/>
    <w:rsid w:val="00416CE8"/>
    <w:rsid w:val="00417658"/>
    <w:rsid w:val="00426A4B"/>
    <w:rsid w:val="00434C15"/>
    <w:rsid w:val="00434C43"/>
    <w:rsid w:val="0044330A"/>
    <w:rsid w:val="0045440C"/>
    <w:rsid w:val="00454437"/>
    <w:rsid w:val="00463C53"/>
    <w:rsid w:val="00466655"/>
    <w:rsid w:val="0047066D"/>
    <w:rsid w:val="00472670"/>
    <w:rsid w:val="004727B7"/>
    <w:rsid w:val="00473144"/>
    <w:rsid w:val="00473AB1"/>
    <w:rsid w:val="00480DF4"/>
    <w:rsid w:val="004856B3"/>
    <w:rsid w:val="00485A89"/>
    <w:rsid w:val="004905BD"/>
    <w:rsid w:val="00490C0A"/>
    <w:rsid w:val="004A0002"/>
    <w:rsid w:val="004A4F2C"/>
    <w:rsid w:val="004A55A2"/>
    <w:rsid w:val="004A75CC"/>
    <w:rsid w:val="004B6924"/>
    <w:rsid w:val="004C4132"/>
    <w:rsid w:val="004C7483"/>
    <w:rsid w:val="004C74C6"/>
    <w:rsid w:val="004D0176"/>
    <w:rsid w:val="004D1900"/>
    <w:rsid w:val="004D3365"/>
    <w:rsid w:val="004E5063"/>
    <w:rsid w:val="004E720A"/>
    <w:rsid w:val="004E7541"/>
    <w:rsid w:val="004F13F5"/>
    <w:rsid w:val="004F5034"/>
    <w:rsid w:val="004F62A5"/>
    <w:rsid w:val="004F63A1"/>
    <w:rsid w:val="0050054F"/>
    <w:rsid w:val="0050166A"/>
    <w:rsid w:val="00502ACA"/>
    <w:rsid w:val="00505CF1"/>
    <w:rsid w:val="0050670F"/>
    <w:rsid w:val="00513A55"/>
    <w:rsid w:val="0051593B"/>
    <w:rsid w:val="00520D65"/>
    <w:rsid w:val="00522783"/>
    <w:rsid w:val="00522817"/>
    <w:rsid w:val="00522908"/>
    <w:rsid w:val="00526022"/>
    <w:rsid w:val="0052665E"/>
    <w:rsid w:val="00531AA1"/>
    <w:rsid w:val="00531B56"/>
    <w:rsid w:val="0053335B"/>
    <w:rsid w:val="00552511"/>
    <w:rsid w:val="0055292B"/>
    <w:rsid w:val="0055307E"/>
    <w:rsid w:val="00554246"/>
    <w:rsid w:val="00556B39"/>
    <w:rsid w:val="00561B98"/>
    <w:rsid w:val="005632FA"/>
    <w:rsid w:val="005706B0"/>
    <w:rsid w:val="0057112B"/>
    <w:rsid w:val="00576A65"/>
    <w:rsid w:val="00581AFC"/>
    <w:rsid w:val="005833E8"/>
    <w:rsid w:val="00585C0F"/>
    <w:rsid w:val="0058690A"/>
    <w:rsid w:val="005921CA"/>
    <w:rsid w:val="00592DF7"/>
    <w:rsid w:val="00594020"/>
    <w:rsid w:val="005940BF"/>
    <w:rsid w:val="005964BE"/>
    <w:rsid w:val="005976AB"/>
    <w:rsid w:val="005A3DE1"/>
    <w:rsid w:val="005A4682"/>
    <w:rsid w:val="005A5149"/>
    <w:rsid w:val="005A51FD"/>
    <w:rsid w:val="005A5A37"/>
    <w:rsid w:val="005A7DDB"/>
    <w:rsid w:val="005B23D4"/>
    <w:rsid w:val="005B3289"/>
    <w:rsid w:val="005B4862"/>
    <w:rsid w:val="005B5C21"/>
    <w:rsid w:val="005C01A0"/>
    <w:rsid w:val="005C2BEF"/>
    <w:rsid w:val="005C5785"/>
    <w:rsid w:val="005C6B79"/>
    <w:rsid w:val="005D01F0"/>
    <w:rsid w:val="005D5DF5"/>
    <w:rsid w:val="005D6394"/>
    <w:rsid w:val="005E0F42"/>
    <w:rsid w:val="005E1A25"/>
    <w:rsid w:val="005E4260"/>
    <w:rsid w:val="005E7261"/>
    <w:rsid w:val="005F21C4"/>
    <w:rsid w:val="005F2E99"/>
    <w:rsid w:val="005F4A5B"/>
    <w:rsid w:val="005F7680"/>
    <w:rsid w:val="00600553"/>
    <w:rsid w:val="00602F9D"/>
    <w:rsid w:val="00605BAB"/>
    <w:rsid w:val="00607F3F"/>
    <w:rsid w:val="0061014E"/>
    <w:rsid w:val="00615503"/>
    <w:rsid w:val="00617636"/>
    <w:rsid w:val="00621408"/>
    <w:rsid w:val="00622FE3"/>
    <w:rsid w:val="0062609A"/>
    <w:rsid w:val="00635CEE"/>
    <w:rsid w:val="00635E9D"/>
    <w:rsid w:val="00645512"/>
    <w:rsid w:val="00647330"/>
    <w:rsid w:val="00653401"/>
    <w:rsid w:val="0066062A"/>
    <w:rsid w:val="00661217"/>
    <w:rsid w:val="00661270"/>
    <w:rsid w:val="00662B1E"/>
    <w:rsid w:val="00663243"/>
    <w:rsid w:val="00664295"/>
    <w:rsid w:val="00671D54"/>
    <w:rsid w:val="00681AA2"/>
    <w:rsid w:val="00682631"/>
    <w:rsid w:val="00690288"/>
    <w:rsid w:val="0069197D"/>
    <w:rsid w:val="006945BD"/>
    <w:rsid w:val="00696443"/>
    <w:rsid w:val="006970A2"/>
    <w:rsid w:val="006A5846"/>
    <w:rsid w:val="006A586C"/>
    <w:rsid w:val="006A6494"/>
    <w:rsid w:val="006A7826"/>
    <w:rsid w:val="006B3EE8"/>
    <w:rsid w:val="006B5946"/>
    <w:rsid w:val="006B624A"/>
    <w:rsid w:val="006B7D30"/>
    <w:rsid w:val="006C2314"/>
    <w:rsid w:val="006C4F5E"/>
    <w:rsid w:val="006C77A1"/>
    <w:rsid w:val="006D0EE2"/>
    <w:rsid w:val="006D113F"/>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70444D"/>
    <w:rsid w:val="00705F57"/>
    <w:rsid w:val="0070693C"/>
    <w:rsid w:val="0070746A"/>
    <w:rsid w:val="00707C6C"/>
    <w:rsid w:val="00713462"/>
    <w:rsid w:val="00713ADF"/>
    <w:rsid w:val="0072102D"/>
    <w:rsid w:val="00721D66"/>
    <w:rsid w:val="00724C6E"/>
    <w:rsid w:val="00726B2F"/>
    <w:rsid w:val="00726DEA"/>
    <w:rsid w:val="00727FBE"/>
    <w:rsid w:val="00731113"/>
    <w:rsid w:val="007339E9"/>
    <w:rsid w:val="00736737"/>
    <w:rsid w:val="00737A0D"/>
    <w:rsid w:val="007435BC"/>
    <w:rsid w:val="00746F7A"/>
    <w:rsid w:val="007511FE"/>
    <w:rsid w:val="00751737"/>
    <w:rsid w:val="00754290"/>
    <w:rsid w:val="00755234"/>
    <w:rsid w:val="007559DB"/>
    <w:rsid w:val="0075763B"/>
    <w:rsid w:val="00760AB6"/>
    <w:rsid w:val="007651A6"/>
    <w:rsid w:val="00771CAC"/>
    <w:rsid w:val="0077217E"/>
    <w:rsid w:val="0077250E"/>
    <w:rsid w:val="00773CCF"/>
    <w:rsid w:val="00776FD2"/>
    <w:rsid w:val="007800EC"/>
    <w:rsid w:val="0078314E"/>
    <w:rsid w:val="007840EF"/>
    <w:rsid w:val="00785FFA"/>
    <w:rsid w:val="00797D4B"/>
    <w:rsid w:val="007B585F"/>
    <w:rsid w:val="007B6AC8"/>
    <w:rsid w:val="007B71FC"/>
    <w:rsid w:val="007C276C"/>
    <w:rsid w:val="007C2DF2"/>
    <w:rsid w:val="007C326A"/>
    <w:rsid w:val="007C7239"/>
    <w:rsid w:val="007C7784"/>
    <w:rsid w:val="007C7CFC"/>
    <w:rsid w:val="007D1803"/>
    <w:rsid w:val="007D5ED6"/>
    <w:rsid w:val="007D7592"/>
    <w:rsid w:val="007E173D"/>
    <w:rsid w:val="007F41A6"/>
    <w:rsid w:val="007F50A2"/>
    <w:rsid w:val="0080210D"/>
    <w:rsid w:val="00803D8A"/>
    <w:rsid w:val="0081024C"/>
    <w:rsid w:val="00814E7C"/>
    <w:rsid w:val="00821074"/>
    <w:rsid w:val="008233C4"/>
    <w:rsid w:val="0082393D"/>
    <w:rsid w:val="0082514B"/>
    <w:rsid w:val="00827793"/>
    <w:rsid w:val="0082795E"/>
    <w:rsid w:val="00830233"/>
    <w:rsid w:val="008337D5"/>
    <w:rsid w:val="008408EA"/>
    <w:rsid w:val="00840AB7"/>
    <w:rsid w:val="0084118E"/>
    <w:rsid w:val="00841870"/>
    <w:rsid w:val="00842ACE"/>
    <w:rsid w:val="0084301B"/>
    <w:rsid w:val="00847F25"/>
    <w:rsid w:val="008526D9"/>
    <w:rsid w:val="008535EE"/>
    <w:rsid w:val="00855BBF"/>
    <w:rsid w:val="00856D59"/>
    <w:rsid w:val="00857375"/>
    <w:rsid w:val="008579F6"/>
    <w:rsid w:val="00857DD6"/>
    <w:rsid w:val="00860F03"/>
    <w:rsid w:val="00860FEC"/>
    <w:rsid w:val="008625B1"/>
    <w:rsid w:val="008629EB"/>
    <w:rsid w:val="00862CFE"/>
    <w:rsid w:val="00864777"/>
    <w:rsid w:val="008720E5"/>
    <w:rsid w:val="008728CF"/>
    <w:rsid w:val="008764FB"/>
    <w:rsid w:val="00876A16"/>
    <w:rsid w:val="00880CF9"/>
    <w:rsid w:val="008812E5"/>
    <w:rsid w:val="008816AE"/>
    <w:rsid w:val="00881B39"/>
    <w:rsid w:val="00887918"/>
    <w:rsid w:val="00890614"/>
    <w:rsid w:val="0089622D"/>
    <w:rsid w:val="008A238D"/>
    <w:rsid w:val="008A6374"/>
    <w:rsid w:val="008B0201"/>
    <w:rsid w:val="008B51F3"/>
    <w:rsid w:val="008B7170"/>
    <w:rsid w:val="008C1ACF"/>
    <w:rsid w:val="008C2C0A"/>
    <w:rsid w:val="008C4D87"/>
    <w:rsid w:val="008D0B03"/>
    <w:rsid w:val="008D1E16"/>
    <w:rsid w:val="008D75FE"/>
    <w:rsid w:val="008F0E23"/>
    <w:rsid w:val="008F49AD"/>
    <w:rsid w:val="008F4CE4"/>
    <w:rsid w:val="009003F4"/>
    <w:rsid w:val="00900A96"/>
    <w:rsid w:val="009030DC"/>
    <w:rsid w:val="0091202C"/>
    <w:rsid w:val="009151B2"/>
    <w:rsid w:val="00916850"/>
    <w:rsid w:val="009201DC"/>
    <w:rsid w:val="00921243"/>
    <w:rsid w:val="00924FD7"/>
    <w:rsid w:val="00926EDE"/>
    <w:rsid w:val="00934AD0"/>
    <w:rsid w:val="00935229"/>
    <w:rsid w:val="00935401"/>
    <w:rsid w:val="009356EB"/>
    <w:rsid w:val="00943F4B"/>
    <w:rsid w:val="00947603"/>
    <w:rsid w:val="00950B47"/>
    <w:rsid w:val="00952EBD"/>
    <w:rsid w:val="00954082"/>
    <w:rsid w:val="009602B5"/>
    <w:rsid w:val="0096159B"/>
    <w:rsid w:val="00963197"/>
    <w:rsid w:val="00963ABB"/>
    <w:rsid w:val="00964E99"/>
    <w:rsid w:val="00975559"/>
    <w:rsid w:val="00985BC9"/>
    <w:rsid w:val="00985FF8"/>
    <w:rsid w:val="00987A78"/>
    <w:rsid w:val="00990F29"/>
    <w:rsid w:val="009919D5"/>
    <w:rsid w:val="00994A78"/>
    <w:rsid w:val="00994F17"/>
    <w:rsid w:val="009A42E4"/>
    <w:rsid w:val="009B583E"/>
    <w:rsid w:val="009C22DF"/>
    <w:rsid w:val="009C3C5A"/>
    <w:rsid w:val="009C6540"/>
    <w:rsid w:val="009C773B"/>
    <w:rsid w:val="009C7DA5"/>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1128D"/>
    <w:rsid w:val="00A11BDF"/>
    <w:rsid w:val="00A122F6"/>
    <w:rsid w:val="00A161A7"/>
    <w:rsid w:val="00A2060C"/>
    <w:rsid w:val="00A20674"/>
    <w:rsid w:val="00A237DD"/>
    <w:rsid w:val="00A240E9"/>
    <w:rsid w:val="00A27932"/>
    <w:rsid w:val="00A32543"/>
    <w:rsid w:val="00A336C1"/>
    <w:rsid w:val="00A421E8"/>
    <w:rsid w:val="00A42C48"/>
    <w:rsid w:val="00A47435"/>
    <w:rsid w:val="00A51A9C"/>
    <w:rsid w:val="00A55F5C"/>
    <w:rsid w:val="00A57111"/>
    <w:rsid w:val="00A575A7"/>
    <w:rsid w:val="00A66C12"/>
    <w:rsid w:val="00A71ACA"/>
    <w:rsid w:val="00A724F3"/>
    <w:rsid w:val="00A73971"/>
    <w:rsid w:val="00A74195"/>
    <w:rsid w:val="00A745B2"/>
    <w:rsid w:val="00A80A02"/>
    <w:rsid w:val="00A82FFF"/>
    <w:rsid w:val="00A872CD"/>
    <w:rsid w:val="00A90658"/>
    <w:rsid w:val="00A93D28"/>
    <w:rsid w:val="00A9538E"/>
    <w:rsid w:val="00A95766"/>
    <w:rsid w:val="00A95F05"/>
    <w:rsid w:val="00A96474"/>
    <w:rsid w:val="00AA0FB6"/>
    <w:rsid w:val="00AA1597"/>
    <w:rsid w:val="00AA1E42"/>
    <w:rsid w:val="00AA299A"/>
    <w:rsid w:val="00AA34CF"/>
    <w:rsid w:val="00AA4692"/>
    <w:rsid w:val="00AA7310"/>
    <w:rsid w:val="00AB3C6B"/>
    <w:rsid w:val="00AC7595"/>
    <w:rsid w:val="00AC7DC0"/>
    <w:rsid w:val="00AD32FC"/>
    <w:rsid w:val="00AD35F4"/>
    <w:rsid w:val="00AD51F7"/>
    <w:rsid w:val="00AE3896"/>
    <w:rsid w:val="00AE398A"/>
    <w:rsid w:val="00AE3CE3"/>
    <w:rsid w:val="00AE53C8"/>
    <w:rsid w:val="00AE5B4E"/>
    <w:rsid w:val="00AE7746"/>
    <w:rsid w:val="00AF5606"/>
    <w:rsid w:val="00B005D3"/>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46BDC"/>
    <w:rsid w:val="00B52E8C"/>
    <w:rsid w:val="00B53159"/>
    <w:rsid w:val="00B54990"/>
    <w:rsid w:val="00B64F68"/>
    <w:rsid w:val="00B71D27"/>
    <w:rsid w:val="00B7231F"/>
    <w:rsid w:val="00B72A14"/>
    <w:rsid w:val="00B74FD0"/>
    <w:rsid w:val="00B761F4"/>
    <w:rsid w:val="00B8069B"/>
    <w:rsid w:val="00B816C9"/>
    <w:rsid w:val="00B819B4"/>
    <w:rsid w:val="00B825B3"/>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1CC8"/>
    <w:rsid w:val="00BC2D09"/>
    <w:rsid w:val="00BC3D36"/>
    <w:rsid w:val="00BC53EB"/>
    <w:rsid w:val="00BC75C3"/>
    <w:rsid w:val="00BD007E"/>
    <w:rsid w:val="00BD0F9A"/>
    <w:rsid w:val="00BD1CE4"/>
    <w:rsid w:val="00BD33AF"/>
    <w:rsid w:val="00BD40FE"/>
    <w:rsid w:val="00BE1AAE"/>
    <w:rsid w:val="00BE4DCE"/>
    <w:rsid w:val="00BF0304"/>
    <w:rsid w:val="00BF1A7B"/>
    <w:rsid w:val="00BF2524"/>
    <w:rsid w:val="00BF384D"/>
    <w:rsid w:val="00BF5513"/>
    <w:rsid w:val="00BF654D"/>
    <w:rsid w:val="00BF6ED6"/>
    <w:rsid w:val="00C00EAE"/>
    <w:rsid w:val="00C01D3C"/>
    <w:rsid w:val="00C03EAA"/>
    <w:rsid w:val="00C05300"/>
    <w:rsid w:val="00C116C1"/>
    <w:rsid w:val="00C1753D"/>
    <w:rsid w:val="00C2072D"/>
    <w:rsid w:val="00C33D54"/>
    <w:rsid w:val="00C34FCC"/>
    <w:rsid w:val="00C36FD6"/>
    <w:rsid w:val="00C40AD0"/>
    <w:rsid w:val="00C41CEB"/>
    <w:rsid w:val="00C4309C"/>
    <w:rsid w:val="00C435F7"/>
    <w:rsid w:val="00C45890"/>
    <w:rsid w:val="00C46F19"/>
    <w:rsid w:val="00C519F0"/>
    <w:rsid w:val="00C52E97"/>
    <w:rsid w:val="00C5401C"/>
    <w:rsid w:val="00C54247"/>
    <w:rsid w:val="00C56C6C"/>
    <w:rsid w:val="00C57261"/>
    <w:rsid w:val="00C5781A"/>
    <w:rsid w:val="00C57B09"/>
    <w:rsid w:val="00C638C3"/>
    <w:rsid w:val="00C66CB9"/>
    <w:rsid w:val="00C70812"/>
    <w:rsid w:val="00C70B49"/>
    <w:rsid w:val="00C72F83"/>
    <w:rsid w:val="00C756F8"/>
    <w:rsid w:val="00C7661D"/>
    <w:rsid w:val="00C77C64"/>
    <w:rsid w:val="00C83CA0"/>
    <w:rsid w:val="00C83E00"/>
    <w:rsid w:val="00C845EA"/>
    <w:rsid w:val="00C93672"/>
    <w:rsid w:val="00C94EDA"/>
    <w:rsid w:val="00C95193"/>
    <w:rsid w:val="00CA099E"/>
    <w:rsid w:val="00CA211B"/>
    <w:rsid w:val="00CA2EC5"/>
    <w:rsid w:val="00CA469B"/>
    <w:rsid w:val="00CA69DA"/>
    <w:rsid w:val="00CB18AE"/>
    <w:rsid w:val="00CB4124"/>
    <w:rsid w:val="00CB4DCF"/>
    <w:rsid w:val="00CC1A6B"/>
    <w:rsid w:val="00CC2329"/>
    <w:rsid w:val="00CC370F"/>
    <w:rsid w:val="00CC7478"/>
    <w:rsid w:val="00CC7598"/>
    <w:rsid w:val="00CD03C5"/>
    <w:rsid w:val="00CD0A16"/>
    <w:rsid w:val="00CD2AD9"/>
    <w:rsid w:val="00CD497A"/>
    <w:rsid w:val="00CD4BDE"/>
    <w:rsid w:val="00CD515D"/>
    <w:rsid w:val="00CD6D47"/>
    <w:rsid w:val="00CE004E"/>
    <w:rsid w:val="00CE01F2"/>
    <w:rsid w:val="00CE08F6"/>
    <w:rsid w:val="00CE0B8E"/>
    <w:rsid w:val="00CE1622"/>
    <w:rsid w:val="00CE20EC"/>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23EFB"/>
    <w:rsid w:val="00D25909"/>
    <w:rsid w:val="00D27B06"/>
    <w:rsid w:val="00D31091"/>
    <w:rsid w:val="00D32489"/>
    <w:rsid w:val="00D329F6"/>
    <w:rsid w:val="00D331AA"/>
    <w:rsid w:val="00D33F15"/>
    <w:rsid w:val="00D347D1"/>
    <w:rsid w:val="00D36E94"/>
    <w:rsid w:val="00D41258"/>
    <w:rsid w:val="00D42207"/>
    <w:rsid w:val="00D430D1"/>
    <w:rsid w:val="00D474C1"/>
    <w:rsid w:val="00D50614"/>
    <w:rsid w:val="00D51FAF"/>
    <w:rsid w:val="00D60E86"/>
    <w:rsid w:val="00D72190"/>
    <w:rsid w:val="00D729CB"/>
    <w:rsid w:val="00D73168"/>
    <w:rsid w:val="00D750F5"/>
    <w:rsid w:val="00D753E7"/>
    <w:rsid w:val="00D7573B"/>
    <w:rsid w:val="00D76EE5"/>
    <w:rsid w:val="00D832F6"/>
    <w:rsid w:val="00D83F73"/>
    <w:rsid w:val="00D86AF2"/>
    <w:rsid w:val="00D90A26"/>
    <w:rsid w:val="00D90A28"/>
    <w:rsid w:val="00D94FCE"/>
    <w:rsid w:val="00DA14A0"/>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7AEB"/>
    <w:rsid w:val="00DE0DFC"/>
    <w:rsid w:val="00DE3378"/>
    <w:rsid w:val="00DE35A0"/>
    <w:rsid w:val="00DE6020"/>
    <w:rsid w:val="00DE67BB"/>
    <w:rsid w:val="00DE6F75"/>
    <w:rsid w:val="00DF1A18"/>
    <w:rsid w:val="00E01B62"/>
    <w:rsid w:val="00E02C96"/>
    <w:rsid w:val="00E05562"/>
    <w:rsid w:val="00E069C4"/>
    <w:rsid w:val="00E114F1"/>
    <w:rsid w:val="00E14A70"/>
    <w:rsid w:val="00E1533A"/>
    <w:rsid w:val="00E15377"/>
    <w:rsid w:val="00E20D75"/>
    <w:rsid w:val="00E219DF"/>
    <w:rsid w:val="00E21BB2"/>
    <w:rsid w:val="00E21F00"/>
    <w:rsid w:val="00E22DC4"/>
    <w:rsid w:val="00E22FD9"/>
    <w:rsid w:val="00E26F98"/>
    <w:rsid w:val="00E31B49"/>
    <w:rsid w:val="00E31B91"/>
    <w:rsid w:val="00E35425"/>
    <w:rsid w:val="00E41546"/>
    <w:rsid w:val="00E419D2"/>
    <w:rsid w:val="00E43144"/>
    <w:rsid w:val="00E53225"/>
    <w:rsid w:val="00E537F4"/>
    <w:rsid w:val="00E53E11"/>
    <w:rsid w:val="00E56B7F"/>
    <w:rsid w:val="00E60680"/>
    <w:rsid w:val="00E616B9"/>
    <w:rsid w:val="00E657FE"/>
    <w:rsid w:val="00E67697"/>
    <w:rsid w:val="00E7349B"/>
    <w:rsid w:val="00E753BB"/>
    <w:rsid w:val="00E75F68"/>
    <w:rsid w:val="00E81998"/>
    <w:rsid w:val="00E8215F"/>
    <w:rsid w:val="00E90C6F"/>
    <w:rsid w:val="00E92DDB"/>
    <w:rsid w:val="00E944CF"/>
    <w:rsid w:val="00E951D7"/>
    <w:rsid w:val="00E95A17"/>
    <w:rsid w:val="00E96669"/>
    <w:rsid w:val="00EA0DB3"/>
    <w:rsid w:val="00EA0E51"/>
    <w:rsid w:val="00EA6C19"/>
    <w:rsid w:val="00EB1367"/>
    <w:rsid w:val="00EB53E3"/>
    <w:rsid w:val="00EB659E"/>
    <w:rsid w:val="00EC5C80"/>
    <w:rsid w:val="00ED04F9"/>
    <w:rsid w:val="00EE0F4C"/>
    <w:rsid w:val="00EE19C3"/>
    <w:rsid w:val="00EE24D8"/>
    <w:rsid w:val="00EE6F06"/>
    <w:rsid w:val="00EE7912"/>
    <w:rsid w:val="00EF123D"/>
    <w:rsid w:val="00EF1394"/>
    <w:rsid w:val="00EF1799"/>
    <w:rsid w:val="00EF31CA"/>
    <w:rsid w:val="00EF54FD"/>
    <w:rsid w:val="00EF7890"/>
    <w:rsid w:val="00F01667"/>
    <w:rsid w:val="00F0287F"/>
    <w:rsid w:val="00F061FA"/>
    <w:rsid w:val="00F067BB"/>
    <w:rsid w:val="00F06915"/>
    <w:rsid w:val="00F3279E"/>
    <w:rsid w:val="00F3428A"/>
    <w:rsid w:val="00F35E91"/>
    <w:rsid w:val="00F410ED"/>
    <w:rsid w:val="00F4176E"/>
    <w:rsid w:val="00F469C0"/>
    <w:rsid w:val="00F46B14"/>
    <w:rsid w:val="00F53D14"/>
    <w:rsid w:val="00F55943"/>
    <w:rsid w:val="00F55C20"/>
    <w:rsid w:val="00F562A1"/>
    <w:rsid w:val="00F56362"/>
    <w:rsid w:val="00F57817"/>
    <w:rsid w:val="00F57C3D"/>
    <w:rsid w:val="00F610DE"/>
    <w:rsid w:val="00F613D4"/>
    <w:rsid w:val="00F618CB"/>
    <w:rsid w:val="00F63CE5"/>
    <w:rsid w:val="00F66A79"/>
    <w:rsid w:val="00F72777"/>
    <w:rsid w:val="00F75AAB"/>
    <w:rsid w:val="00F77901"/>
    <w:rsid w:val="00F83E86"/>
    <w:rsid w:val="00FA041A"/>
    <w:rsid w:val="00FA1573"/>
    <w:rsid w:val="00FC1949"/>
    <w:rsid w:val="00FC2148"/>
    <w:rsid w:val="00FC43A5"/>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575A7"/>
    <w:pPr>
      <w:spacing w:before="240" w:line="360" w:lineRule="auto"/>
      <w:jc w:val="both"/>
    </w:pPr>
    <w:rPr>
      <w:rFonts w:asciiTheme="minorHAnsi" w:hAnsiTheme="minorHAnsi"/>
      <w:sz w:val="22"/>
    </w:rPr>
  </w:style>
  <w:style w:type="paragraph" w:styleId="Heading1">
    <w:name w:val="heading 1"/>
    <w:basedOn w:val="Normal"/>
    <w:next w:val="ListNumber"/>
    <w:qFormat/>
    <w:rsid w:val="006D113F"/>
    <w:pPr>
      <w:keepNext/>
      <w:spacing w:before="360" w:line="240" w:lineRule="auto"/>
      <w:jc w:val="left"/>
      <w:outlineLvl w:val="0"/>
    </w:pPr>
    <w:rPr>
      <w:rFonts w:asciiTheme="majorHAnsi" w:hAnsiTheme="majorHAnsi"/>
      <w:b/>
      <w:caps/>
    </w:rPr>
  </w:style>
  <w:style w:type="paragraph" w:styleId="Heading2">
    <w:name w:val="heading 2"/>
    <w:basedOn w:val="Normal"/>
    <w:next w:val="ListNumber"/>
    <w:qFormat/>
    <w:rsid w:val="006D113F"/>
    <w:pPr>
      <w:keepNext/>
      <w:spacing w:before="360" w:line="240" w:lineRule="auto"/>
      <w:jc w:val="left"/>
      <w:outlineLvl w:val="1"/>
    </w:pPr>
    <w:rPr>
      <w:rFonts w:asciiTheme="majorHAnsi" w:hAnsiTheme="majorHAnsi"/>
      <w:b/>
    </w:rPr>
  </w:style>
  <w:style w:type="paragraph" w:styleId="Heading3">
    <w:name w:val="heading 3"/>
    <w:basedOn w:val="Normal"/>
    <w:next w:val="ListNumber"/>
    <w:link w:val="Heading3Char"/>
    <w:qFormat/>
    <w:rsid w:val="006D113F"/>
    <w:pPr>
      <w:keepNext/>
      <w:spacing w:before="360" w:line="240" w:lineRule="auto"/>
      <w:jc w:val="left"/>
      <w:outlineLvl w:val="2"/>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6D113F"/>
    <w:rPr>
      <w:rFonts w:asciiTheme="majorHAnsi" w:hAnsiTheme="majorHAnsi"/>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3B4BBD"/>
    <w:pPr>
      <w:jc w:val="both"/>
    </w:pPr>
    <w:rPr>
      <w:rFonts w:asciiTheme="minorHAnsi" w:hAnsiTheme="minorHAnsi"/>
      <w:sz w:val="22"/>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B4BBD"/>
    <w:pPr>
      <w:spacing w:before="60" w:line="240" w:lineRule="auto"/>
    </w:pPr>
    <w:rPr>
      <w:sz w:val="18"/>
    </w:rPr>
  </w:style>
  <w:style w:type="character" w:customStyle="1" w:styleId="FootnoteTextChar">
    <w:name w:val="Footnote Text Char"/>
    <w:basedOn w:val="DefaultParagraphFont"/>
    <w:link w:val="FootnoteText"/>
    <w:rsid w:val="003B4BBD"/>
    <w:rPr>
      <w:rFonts w:asciiTheme="minorHAnsi" w:hAnsiTheme="minorHAns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style>
  <w:style w:type="character" w:styleId="CommentReference">
    <w:name w:val="annotation reference"/>
    <w:basedOn w:val="DefaultParagraphFont"/>
    <w:rsid w:val="001324A7"/>
    <w:rPr>
      <w:sz w:val="16"/>
      <w:szCs w:val="16"/>
    </w:rPr>
  </w:style>
  <w:style w:type="paragraph" w:styleId="CommentText">
    <w:name w:val="annotation text"/>
    <w:basedOn w:val="Normal"/>
    <w:link w:val="CommentTextChar"/>
    <w:rsid w:val="001324A7"/>
    <w:pPr>
      <w:spacing w:line="240" w:lineRule="auto"/>
    </w:pPr>
    <w:rPr>
      <w:sz w:val="20"/>
    </w:rPr>
  </w:style>
  <w:style w:type="character" w:customStyle="1" w:styleId="CommentTextChar">
    <w:name w:val="Comment Text Char"/>
    <w:basedOn w:val="DefaultParagraphFont"/>
    <w:link w:val="CommentText"/>
    <w:rsid w:val="001324A7"/>
    <w:rPr>
      <w:rFonts w:asciiTheme="minorHAnsi" w:hAnsiTheme="minorHAnsi"/>
    </w:rPr>
  </w:style>
  <w:style w:type="paragraph" w:styleId="CommentSubject">
    <w:name w:val="annotation subject"/>
    <w:basedOn w:val="CommentText"/>
    <w:next w:val="CommentText"/>
    <w:link w:val="CommentSubjectChar"/>
    <w:rsid w:val="001324A7"/>
    <w:rPr>
      <w:b/>
      <w:bCs/>
    </w:rPr>
  </w:style>
  <w:style w:type="character" w:customStyle="1" w:styleId="CommentSubjectChar">
    <w:name w:val="Comment Subject Char"/>
    <w:basedOn w:val="CommentTextChar"/>
    <w:link w:val="CommentSubject"/>
    <w:rsid w:val="001324A7"/>
    <w:rPr>
      <w:rFonts w:asciiTheme="minorHAnsi" w:hAnsiTheme="minorHAns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575A7"/>
    <w:pPr>
      <w:spacing w:before="240" w:line="360" w:lineRule="auto"/>
      <w:jc w:val="both"/>
    </w:pPr>
    <w:rPr>
      <w:rFonts w:asciiTheme="minorHAnsi" w:hAnsiTheme="minorHAnsi"/>
      <w:sz w:val="22"/>
    </w:rPr>
  </w:style>
  <w:style w:type="paragraph" w:styleId="Heading1">
    <w:name w:val="heading 1"/>
    <w:basedOn w:val="Normal"/>
    <w:next w:val="ListNumber"/>
    <w:qFormat/>
    <w:rsid w:val="006D113F"/>
    <w:pPr>
      <w:keepNext/>
      <w:spacing w:before="360" w:line="240" w:lineRule="auto"/>
      <w:jc w:val="left"/>
      <w:outlineLvl w:val="0"/>
    </w:pPr>
    <w:rPr>
      <w:rFonts w:asciiTheme="majorHAnsi" w:hAnsiTheme="majorHAnsi"/>
      <w:b/>
      <w:caps/>
    </w:rPr>
  </w:style>
  <w:style w:type="paragraph" w:styleId="Heading2">
    <w:name w:val="heading 2"/>
    <w:basedOn w:val="Normal"/>
    <w:next w:val="ListNumber"/>
    <w:qFormat/>
    <w:rsid w:val="006D113F"/>
    <w:pPr>
      <w:keepNext/>
      <w:spacing w:before="360" w:line="240" w:lineRule="auto"/>
      <w:jc w:val="left"/>
      <w:outlineLvl w:val="1"/>
    </w:pPr>
    <w:rPr>
      <w:rFonts w:asciiTheme="majorHAnsi" w:hAnsiTheme="majorHAnsi"/>
      <w:b/>
    </w:rPr>
  </w:style>
  <w:style w:type="paragraph" w:styleId="Heading3">
    <w:name w:val="heading 3"/>
    <w:basedOn w:val="Normal"/>
    <w:next w:val="ListNumber"/>
    <w:link w:val="Heading3Char"/>
    <w:qFormat/>
    <w:rsid w:val="006D113F"/>
    <w:pPr>
      <w:keepNext/>
      <w:spacing w:before="360" w:line="240" w:lineRule="auto"/>
      <w:jc w:val="left"/>
      <w:outlineLvl w:val="2"/>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6D113F"/>
    <w:rPr>
      <w:rFonts w:asciiTheme="majorHAnsi" w:hAnsiTheme="majorHAnsi"/>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3B4BBD"/>
    <w:pPr>
      <w:jc w:val="both"/>
    </w:pPr>
    <w:rPr>
      <w:rFonts w:asciiTheme="minorHAnsi" w:hAnsiTheme="minorHAnsi"/>
      <w:sz w:val="22"/>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B4BBD"/>
    <w:pPr>
      <w:spacing w:before="60" w:line="240" w:lineRule="auto"/>
    </w:pPr>
    <w:rPr>
      <w:sz w:val="18"/>
    </w:rPr>
  </w:style>
  <w:style w:type="character" w:customStyle="1" w:styleId="FootnoteTextChar">
    <w:name w:val="Footnote Text Char"/>
    <w:basedOn w:val="DefaultParagraphFont"/>
    <w:link w:val="FootnoteText"/>
    <w:rsid w:val="003B4BBD"/>
    <w:rPr>
      <w:rFonts w:asciiTheme="minorHAnsi" w:hAnsiTheme="minorHAns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style>
  <w:style w:type="character" w:styleId="CommentReference">
    <w:name w:val="annotation reference"/>
    <w:basedOn w:val="DefaultParagraphFont"/>
    <w:rsid w:val="001324A7"/>
    <w:rPr>
      <w:sz w:val="16"/>
      <w:szCs w:val="16"/>
    </w:rPr>
  </w:style>
  <w:style w:type="paragraph" w:styleId="CommentText">
    <w:name w:val="annotation text"/>
    <w:basedOn w:val="Normal"/>
    <w:link w:val="CommentTextChar"/>
    <w:rsid w:val="001324A7"/>
    <w:pPr>
      <w:spacing w:line="240" w:lineRule="auto"/>
    </w:pPr>
    <w:rPr>
      <w:sz w:val="20"/>
    </w:rPr>
  </w:style>
  <w:style w:type="character" w:customStyle="1" w:styleId="CommentTextChar">
    <w:name w:val="Comment Text Char"/>
    <w:basedOn w:val="DefaultParagraphFont"/>
    <w:link w:val="CommentText"/>
    <w:rsid w:val="001324A7"/>
    <w:rPr>
      <w:rFonts w:asciiTheme="minorHAnsi" w:hAnsiTheme="minorHAnsi"/>
    </w:rPr>
  </w:style>
  <w:style w:type="paragraph" w:styleId="CommentSubject">
    <w:name w:val="annotation subject"/>
    <w:basedOn w:val="CommentText"/>
    <w:next w:val="CommentText"/>
    <w:link w:val="CommentSubjectChar"/>
    <w:rsid w:val="001324A7"/>
    <w:rPr>
      <w:b/>
      <w:bCs/>
    </w:rPr>
  </w:style>
  <w:style w:type="character" w:customStyle="1" w:styleId="CommentSubjectChar">
    <w:name w:val="Comment Subject Char"/>
    <w:basedOn w:val="CommentTextChar"/>
    <w:link w:val="CommentSubject"/>
    <w:rsid w:val="001324A7"/>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65A98744144689808E9AE7189F9952"/>
        <w:category>
          <w:name w:val="General"/>
          <w:gallery w:val="placeholder"/>
        </w:category>
        <w:types>
          <w:type w:val="bbPlcHdr"/>
        </w:types>
        <w:behaviors>
          <w:behavior w:val="content"/>
        </w:behaviors>
        <w:guid w:val="{8CD946B0-D4CF-4B51-8272-2FB62EB00A91}"/>
      </w:docPartPr>
      <w:docPartBody>
        <w:p w:rsidR="00F60F39" w:rsidRDefault="00F60F39">
          <w:pPr>
            <w:pStyle w:val="8F65A98744144689808E9AE7189F9952"/>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D60DE89C49D04FFE82C92EE2AE181785"/>
        <w:category>
          <w:name w:val="General"/>
          <w:gallery w:val="placeholder"/>
        </w:category>
        <w:types>
          <w:type w:val="bbPlcHdr"/>
        </w:types>
        <w:behaviors>
          <w:behavior w:val="content"/>
        </w:behaviors>
        <w:guid w:val="{01C8E848-6665-4491-BC36-040FA14C1535}"/>
      </w:docPartPr>
      <w:docPartBody>
        <w:p w:rsidR="00F60F39" w:rsidRDefault="00F60F39">
          <w:pPr>
            <w:pStyle w:val="D60DE89C49D04FFE82C92EE2AE181785"/>
          </w:pPr>
          <w:r w:rsidRPr="00CD5897">
            <w:rPr>
              <w:rStyle w:val="PlaceholderText"/>
            </w:rPr>
            <w:t>Click here to enter text.</w:t>
          </w:r>
        </w:p>
      </w:docPartBody>
    </w:docPart>
    <w:docPart>
      <w:docPartPr>
        <w:name w:val="3676D3E560B54055A39EEB0FE0AD7368"/>
        <w:category>
          <w:name w:val="General"/>
          <w:gallery w:val="placeholder"/>
        </w:category>
        <w:types>
          <w:type w:val="bbPlcHdr"/>
        </w:types>
        <w:behaviors>
          <w:behavior w:val="content"/>
        </w:behaviors>
        <w:guid w:val="{7393247F-2EA0-4472-B69D-7E1F349F91E6}"/>
      </w:docPartPr>
      <w:docPartBody>
        <w:p w:rsidR="00F60F39" w:rsidRDefault="00F60F39">
          <w:pPr>
            <w:pStyle w:val="3676D3E560B54055A39EEB0FE0AD7368"/>
          </w:pPr>
          <w:r w:rsidRPr="00CD5897">
            <w:rPr>
              <w:rStyle w:val="PlaceholderText"/>
            </w:rPr>
            <w:t>Click here to enter text.</w:t>
          </w:r>
        </w:p>
      </w:docPartBody>
    </w:docPart>
    <w:docPart>
      <w:docPartPr>
        <w:name w:val="F193A626E0864B03A5DE872053EA807C"/>
        <w:category>
          <w:name w:val="General"/>
          <w:gallery w:val="placeholder"/>
        </w:category>
        <w:types>
          <w:type w:val="bbPlcHdr"/>
        </w:types>
        <w:behaviors>
          <w:behavior w:val="content"/>
        </w:behaviors>
        <w:guid w:val="{C3781103-5534-4600-A808-6A28D2712C23}"/>
      </w:docPartPr>
      <w:docPartBody>
        <w:p w:rsidR="00F60F39" w:rsidRDefault="00F60F39">
          <w:pPr>
            <w:pStyle w:val="F193A626E0864B03A5DE872053EA807C"/>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F39"/>
    <w:rsid w:val="00F60F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F65A98744144689808E9AE7189F9952">
    <w:name w:val="8F65A98744144689808E9AE7189F9952"/>
  </w:style>
  <w:style w:type="paragraph" w:customStyle="1" w:styleId="D60DE89C49D04FFE82C92EE2AE181785">
    <w:name w:val="D60DE89C49D04FFE82C92EE2AE181785"/>
  </w:style>
  <w:style w:type="paragraph" w:customStyle="1" w:styleId="3676D3E560B54055A39EEB0FE0AD7368">
    <w:name w:val="3676D3E560B54055A39EEB0FE0AD7368"/>
  </w:style>
  <w:style w:type="paragraph" w:customStyle="1" w:styleId="F193A626E0864B03A5DE872053EA807C">
    <w:name w:val="F193A626E0864B03A5DE872053EA807C"/>
  </w:style>
  <w:style w:type="paragraph" w:customStyle="1" w:styleId="9A9020CDA96B40C6B200EA1301463ADB">
    <w:name w:val="9A9020CDA96B40C6B200EA1301463A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F65A98744144689808E9AE7189F9952">
    <w:name w:val="8F65A98744144689808E9AE7189F9952"/>
  </w:style>
  <w:style w:type="paragraph" w:customStyle="1" w:styleId="D60DE89C49D04FFE82C92EE2AE181785">
    <w:name w:val="D60DE89C49D04FFE82C92EE2AE181785"/>
  </w:style>
  <w:style w:type="paragraph" w:customStyle="1" w:styleId="3676D3E560B54055A39EEB0FE0AD7368">
    <w:name w:val="3676D3E560B54055A39EEB0FE0AD7368"/>
  </w:style>
  <w:style w:type="paragraph" w:customStyle="1" w:styleId="F193A626E0864B03A5DE872053EA807C">
    <w:name w:val="F193A626E0864B03A5DE872053EA807C"/>
  </w:style>
  <w:style w:type="paragraph" w:customStyle="1" w:styleId="9A9020CDA96B40C6B200EA1301463ADB">
    <w:name w:val="9A9020CDA96B40C6B200EA1301463A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76B15-5C8F-43FD-9A74-9FCFA5AED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7</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11943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Polson</dc:creator>
  <cp:lastModifiedBy>Dalwood, Jacqui</cp:lastModifiedBy>
  <cp:revision>2</cp:revision>
  <cp:lastPrinted>2015-12-01T04:51:00Z</cp:lastPrinted>
  <dcterms:created xsi:type="dcterms:W3CDTF">2015-12-02T04:01:00Z</dcterms:created>
  <dcterms:modified xsi:type="dcterms:W3CDTF">2015-12-02T04:01:00Z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Secretary, Department of Social Services</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Keith Beasley</vt:lpwstr>
  </property>
  <property fmtid="{D5CDD505-2E9C-101B-9397-08002B2CF9AE}" pid="26" name="FileNumber">
    <vt:lpwstr>2015/1234</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 GENERAL DIVISION</vt:lpwstr>
  </property>
  <property fmtid="{D5CDD505-2E9C-101B-9397-08002B2CF9AE}" pid="71" name="TribunalSignee">
    <vt:lpwstr>Senior Member J McCabe</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 </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 </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 </vt:lpwstr>
  </property>
  <property fmtid="{D5CDD505-2E9C-101B-9397-08002B2CF9AE}" pid="95" name="DateWrittenReason">
    <vt:lpwstr/>
  </property>
  <property fmtid="{D5CDD505-2E9C-101B-9397-08002B2CF9AE}" pid="96" name="DecisionDate">
    <vt:lpwstr>  </vt:lpwstr>
  </property>
  <property fmtid="{D5CDD505-2E9C-101B-9397-08002B2CF9AE}" pid="97" name="ReasonsforDecisionDate">
    <vt:lpwstr/>
  </property>
  <property fmtid="{D5CDD505-2E9C-101B-9397-08002B2CF9AE}" pid="98" name="StampDate">
    <vt:lpwstr/>
  </property>
  <property fmtid="{D5CDD505-2E9C-101B-9397-08002B2CF9AE}" pid="99" name="TribunalLastPgForm">
    <vt:lpwstr>Senior Member J McCabe</vt:lpwstr>
  </property>
  <property fmtid="{D5CDD505-2E9C-101B-9397-08002B2CF9AE}" pid="100" name="InfoCDC">
    <vt:lpwstr> </vt:lpwstr>
  </property>
  <property fmtid="{D5CDD505-2E9C-101B-9397-08002B2CF9AE}" pid="101" name="Place">
    <vt:lpwstr>Brisbane</vt:lpwstr>
  </property>
</Properties>
</file>