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876760" w:rsidP="00F35E91">
      <w:pPr>
        <w:pStyle w:val="Title"/>
      </w:pPr>
      <w:r>
        <w:t xml:space="preserve">Blackwell and </w:t>
      </w:r>
      <w:proofErr w:type="spellStart"/>
      <w:r>
        <w:t>Comcare</w:t>
      </w:r>
      <w:proofErr w:type="spellEnd"/>
      <w:r>
        <w:t xml:space="preserve"> (Compensation) </w:t>
      </w:r>
      <w:r w:rsidR="00661270" w:rsidRPr="000A40FB">
        <w:t>[</w:t>
      </w:r>
      <w:r w:rsidR="005951C3">
        <w:t>2015</w:t>
      </w:r>
      <w:r w:rsidR="00661270" w:rsidRPr="000A40FB">
        <w:t xml:space="preserve">] </w:t>
      </w:r>
      <w:r w:rsidR="00531AA1" w:rsidRPr="000A40FB">
        <w:t xml:space="preserve">AATA </w:t>
      </w:r>
      <w:r w:rsidR="00781470">
        <w:t>911</w:t>
      </w:r>
      <w:r>
        <w:fldChar w:fldCharType="begin"/>
      </w:r>
      <w:r>
        <w:instrText xml:space="preserve"> DOCPROPERTY  DecisionNumber </w:instrText>
      </w:r>
      <w:r>
        <w:fldChar w:fldCharType="separate"/>
      </w:r>
      <w:r w:rsidR="005B516D">
        <w:t xml:space="preserve"> </w:t>
      </w:r>
      <w:r>
        <w:fldChar w:fldCharType="end"/>
      </w:r>
      <w:r>
        <w:t>(27 November 2015)</w:t>
      </w:r>
      <w:bookmarkStart w:id="0" w:name="_GoBack"/>
      <w:bookmarkEnd w:id="0"/>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3B4BBD">
            <w:bookmarkStart w:id="1" w:name="SingleFile" w:colFirst="0" w:colLast="2"/>
            <w:r w:rsidRPr="004B6924">
              <w:t>Division</w:t>
            </w:r>
          </w:p>
        </w:tc>
        <w:tc>
          <w:tcPr>
            <w:tcW w:w="6838" w:type="dxa"/>
          </w:tcPr>
          <w:p w:rsidR="00531AA1" w:rsidRPr="00BB4097" w:rsidRDefault="00876760" w:rsidP="003B4BBD">
            <w:r>
              <w:fldChar w:fldCharType="begin"/>
            </w:r>
            <w:r>
              <w:instrText xml:space="preserve"> DOCPROPERTY  Division </w:instrText>
            </w:r>
            <w:r>
              <w:fldChar w:fldCharType="separate"/>
            </w:r>
            <w:r w:rsidR="005B516D">
              <w:t>GENERAL DIVISION</w:t>
            </w:r>
            <w:r>
              <w:fldChar w:fldCharType="end"/>
            </w:r>
          </w:p>
        </w:tc>
      </w:tr>
      <w:tr w:rsidR="00531AA1" w:rsidRPr="00FA73B2" w:rsidTr="00AA34CF">
        <w:trPr>
          <w:trHeight w:val="284"/>
        </w:trPr>
        <w:tc>
          <w:tcPr>
            <w:tcW w:w="1951" w:type="dxa"/>
          </w:tcPr>
          <w:p w:rsidR="00531AA1" w:rsidRPr="002260F4" w:rsidRDefault="00531AA1" w:rsidP="00671BA8">
            <w:r w:rsidRPr="002260F4">
              <w:t>File Number</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5B516D">
              <w:t>2015/1964</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876760" w:rsidP="00036C03">
            <w:pPr>
              <w:pStyle w:val="Details"/>
            </w:pPr>
            <w:r>
              <w:fldChar w:fldCharType="begin"/>
            </w:r>
            <w:r>
              <w:instrText xml:space="preserve"> DOCPROPERTY  Applicant </w:instrText>
            </w:r>
            <w:r>
              <w:fldChar w:fldCharType="separate"/>
            </w:r>
            <w:r w:rsidR="005B516D">
              <w:t>Kym Blackwell</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B74227" w:rsidP="00036C03">
            <w:pPr>
              <w:pStyle w:val="Details"/>
            </w:pPr>
            <w:r>
              <w:fldChar w:fldCharType="begin"/>
            </w:r>
            <w:r>
              <w:instrText xml:space="preserve"> DOCPROPERTY  Respondent </w:instrText>
            </w:r>
            <w:r>
              <w:fldChar w:fldCharType="separate"/>
            </w:r>
            <w:proofErr w:type="spellStart"/>
            <w:r w:rsidR="005B516D">
              <w:t>Comcare</w:t>
            </w:r>
            <w:proofErr w:type="spellEnd"/>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5951C3" w:rsidRPr="00BC2D09" w:rsidTr="00702374">
        <w:trPr>
          <w:trHeight w:val="567"/>
        </w:trPr>
        <w:tc>
          <w:tcPr>
            <w:tcW w:w="1956" w:type="dxa"/>
          </w:tcPr>
          <w:p w:rsidR="005951C3" w:rsidRPr="00BC2D09" w:rsidRDefault="005951C3" w:rsidP="00702374">
            <w:pPr>
              <w:pStyle w:val="NoSpacing"/>
              <w:rPr>
                <w:lang w:eastAsia="en-US"/>
              </w:rPr>
            </w:pPr>
            <w:bookmarkStart w:id="2" w:name="Decision"/>
            <w:r w:rsidRPr="00BC2D09">
              <w:rPr>
                <w:lang w:eastAsia="en-US"/>
              </w:rPr>
              <w:t>Tribunal</w:t>
            </w:r>
          </w:p>
        </w:tc>
        <w:tc>
          <w:tcPr>
            <w:tcW w:w="6833" w:type="dxa"/>
          </w:tcPr>
          <w:p w:rsidR="005951C3" w:rsidRDefault="005951C3" w:rsidP="007023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5B516D">
              <w:rPr>
                <w:b/>
                <w:bCs/>
                <w:lang w:eastAsia="en-US"/>
              </w:rPr>
              <w:t>Deputy President PE Hack SC</w:t>
            </w:r>
            <w:r>
              <w:rPr>
                <w:b/>
                <w:bCs/>
                <w:lang w:eastAsia="en-US"/>
              </w:rPr>
              <w:fldChar w:fldCharType="end"/>
            </w:r>
          </w:p>
          <w:p w:rsidR="005951C3" w:rsidRDefault="005951C3" w:rsidP="007023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5951C3" w:rsidRPr="00771CAC" w:rsidRDefault="005951C3" w:rsidP="00702374">
            <w:pPr>
              <w:pStyle w:val="NoSpacing"/>
              <w:rPr>
                <w:b/>
                <w:bCs/>
                <w:lang w:eastAsia="en-US"/>
              </w:rPr>
            </w:pPr>
          </w:p>
        </w:tc>
      </w:tr>
      <w:tr w:rsidR="005951C3" w:rsidRPr="00BC2D09" w:rsidTr="00702374">
        <w:trPr>
          <w:trHeight w:val="567"/>
        </w:trPr>
        <w:tc>
          <w:tcPr>
            <w:tcW w:w="1956" w:type="dxa"/>
          </w:tcPr>
          <w:p w:rsidR="005951C3" w:rsidRPr="00BC2D09" w:rsidRDefault="005951C3" w:rsidP="00702374">
            <w:pPr>
              <w:pStyle w:val="NoSpacing"/>
              <w:rPr>
                <w:lang w:eastAsia="en-US"/>
              </w:rPr>
            </w:pPr>
            <w:r w:rsidRPr="00BC2D09">
              <w:rPr>
                <w:lang w:eastAsia="en-US"/>
              </w:rPr>
              <w:t>Date</w:t>
            </w:r>
          </w:p>
        </w:tc>
        <w:tc>
          <w:tcPr>
            <w:tcW w:w="6833" w:type="dxa"/>
          </w:tcPr>
          <w:p w:rsidR="005951C3" w:rsidRPr="00771CAC" w:rsidRDefault="0097030C" w:rsidP="00702374">
            <w:pPr>
              <w:pStyle w:val="NoSpacing"/>
              <w:rPr>
                <w:b/>
                <w:bCs/>
                <w:lang w:eastAsia="en-US"/>
              </w:rPr>
            </w:pPr>
            <w:r>
              <w:rPr>
                <w:b/>
                <w:bCs/>
                <w:lang w:eastAsia="en-US"/>
              </w:rPr>
              <w:t>27 November 2015</w:t>
            </w:r>
          </w:p>
        </w:tc>
      </w:tr>
      <w:tr w:rsidR="005951C3" w:rsidRPr="00BC2D09" w:rsidTr="00702374">
        <w:trPr>
          <w:trHeight w:val="567"/>
        </w:trPr>
        <w:tc>
          <w:tcPr>
            <w:tcW w:w="1956" w:type="dxa"/>
          </w:tcPr>
          <w:p w:rsidR="005951C3" w:rsidRPr="00BC2D09" w:rsidRDefault="005951C3" w:rsidP="00702374">
            <w:pPr>
              <w:pStyle w:val="NoSpacing"/>
              <w:rPr>
                <w:lang w:eastAsia="en-US"/>
              </w:rPr>
            </w:pPr>
            <w:r w:rsidRPr="00BC2D09">
              <w:rPr>
                <w:lang w:eastAsia="en-US"/>
              </w:rPr>
              <w:t>Place</w:t>
            </w:r>
          </w:p>
        </w:tc>
        <w:tc>
          <w:tcPr>
            <w:tcW w:w="6833" w:type="dxa"/>
          </w:tcPr>
          <w:p w:rsidR="005951C3" w:rsidRPr="00771CAC" w:rsidRDefault="005951C3" w:rsidP="007023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sidR="005B516D">
              <w:rPr>
                <w:b/>
                <w:bCs/>
                <w:lang w:eastAsia="en-US"/>
              </w:rPr>
              <w:t>Brisbane</w:t>
            </w:r>
            <w:r>
              <w:rPr>
                <w:b/>
                <w:bCs/>
                <w:lang w:eastAsia="en-US"/>
              </w:rPr>
              <w:fldChar w:fldCharType="end"/>
            </w:r>
          </w:p>
        </w:tc>
      </w:tr>
    </w:tbl>
    <w:bookmarkEnd w:id="2" w:displacedByCustomXml="next"/>
    <w:bookmarkStart w:id="3" w:name="DecisionSummary" w:displacedByCustomXml="next"/>
    <w:sdt>
      <w:sdtPr>
        <w:rPr>
          <w:lang w:eastAsia="en-US"/>
        </w:rPr>
        <w:alias w:val="Decision"/>
        <w:tag w:val="Decision"/>
        <w:id w:val="1959365562"/>
        <w:lock w:val="sdtLocked"/>
        <w:placeholder>
          <w:docPart w:val="DF66491B7F7F4DBD8C780291F7FEAF4B"/>
        </w:placeholder>
      </w:sdtPr>
      <w:sdtEndPr/>
      <w:sdtContent>
        <w:p w:rsidR="00BC2D09" w:rsidRPr="00BC2D09" w:rsidRDefault="00F95BD8" w:rsidP="00BC2D09">
          <w:pPr>
            <w:rPr>
              <w:lang w:eastAsia="en-US"/>
            </w:rPr>
          </w:pPr>
          <w:r>
            <w:rPr>
              <w:lang w:eastAsia="en-US"/>
            </w:rPr>
            <w:t>The decision under review is affirmed.</w:t>
          </w:r>
        </w:p>
      </w:sdtContent>
    </w:sdt>
    <w:bookmarkEnd w:id="3"/>
    <w:p w:rsidR="00BC2D09" w:rsidRPr="00BC2D09" w:rsidRDefault="00BC2D09" w:rsidP="001E4799">
      <w:pPr>
        <w:keepNext/>
        <w:spacing w:before="960"/>
        <w:rPr>
          <w:lang w:eastAsia="en-US"/>
        </w:rPr>
      </w:pPr>
      <w:proofErr w:type="gramStart"/>
      <w:r w:rsidRPr="00BC2D09">
        <w:rPr>
          <w:lang w:eastAsia="en-US"/>
        </w:rPr>
        <w:t>.................................</w:t>
      </w:r>
      <w:r w:rsidR="00B74227">
        <w:rPr>
          <w:lang w:eastAsia="en-US"/>
        </w:rPr>
        <w:t>[</w:t>
      </w:r>
      <w:proofErr w:type="gramEnd"/>
      <w:r w:rsidR="00B74227">
        <w:rPr>
          <w:lang w:eastAsia="en-US"/>
        </w:rPr>
        <w:t>Sgd]</w:t>
      </w:r>
      <w:r w:rsidRPr="00BC2D09">
        <w:rPr>
          <w:lang w:eastAsia="en-US"/>
        </w:rPr>
        <w:t>.......................................</w:t>
      </w:r>
    </w:p>
    <w:p w:rsidR="00BC2D09" w:rsidRPr="0097030C" w:rsidRDefault="00DC0CB0" w:rsidP="003B4BBD">
      <w:pPr>
        <w:rPr>
          <w:b/>
          <w:lang w:eastAsia="en-US"/>
        </w:rPr>
      </w:pPr>
      <w:r w:rsidRPr="0097030C">
        <w:rPr>
          <w:b/>
          <w:lang w:eastAsia="en-US"/>
        </w:rPr>
        <w:fldChar w:fldCharType="begin"/>
      </w:r>
      <w:r w:rsidRPr="0097030C">
        <w:rPr>
          <w:b/>
          <w:lang w:eastAsia="en-US"/>
        </w:rPr>
        <w:instrText xml:space="preserve"> DOCPROPERTY  TribunalSignee </w:instrText>
      </w:r>
      <w:r w:rsidRPr="0097030C">
        <w:rPr>
          <w:b/>
          <w:lang w:eastAsia="en-US"/>
        </w:rPr>
        <w:fldChar w:fldCharType="separate"/>
      </w:r>
      <w:r w:rsidR="005B516D">
        <w:rPr>
          <w:b/>
          <w:lang w:eastAsia="en-US"/>
        </w:rPr>
        <w:t>Deputy President PE Hack SC</w:t>
      </w:r>
      <w:r w:rsidRPr="0097030C">
        <w:rPr>
          <w:b/>
          <w:lang w:eastAsia="en-US"/>
        </w:rPr>
        <w:fldChar w:fldCharType="end"/>
      </w:r>
    </w:p>
    <w:p w:rsidR="00BC2D09" w:rsidRDefault="005632FA" w:rsidP="00760AB6">
      <w:r>
        <w:br w:type="page"/>
      </w:r>
    </w:p>
    <w:bookmarkStart w:id="4" w:name="CatchwordsTitle" w:displacedByCustomXml="next"/>
    <w:bookmarkEnd w:id="4" w:displacedByCustomXml="next"/>
    <w:sdt>
      <w:sdtPr>
        <w:rPr>
          <w:lang w:eastAsia="en-US"/>
        </w:rPr>
        <w:alias w:val="Catchwords"/>
        <w:tag w:val="Catchwords"/>
        <w:id w:val="-1722664393"/>
        <w:placeholder>
          <w:docPart w:val="5C5C6572650345918ED74C3CFE9B9608"/>
        </w:placeholder>
      </w:sdtPr>
      <w:sdtEndPr/>
      <w:sdtContent>
        <w:p w:rsidR="005B516D" w:rsidRPr="005B516D" w:rsidRDefault="005B516D" w:rsidP="004A55A2">
          <w:pPr>
            <w:pStyle w:val="CatchWords"/>
            <w:rPr>
              <w:b/>
              <w:i w:val="0"/>
              <w:lang w:eastAsia="en-US"/>
            </w:rPr>
          </w:pPr>
          <w:r w:rsidRPr="005B516D">
            <w:rPr>
              <w:b/>
              <w:i w:val="0"/>
              <w:lang w:eastAsia="en-US"/>
            </w:rPr>
            <w:t>CATCHWORDS</w:t>
          </w:r>
        </w:p>
        <w:p w:rsidR="004152C5" w:rsidRDefault="005B516D" w:rsidP="004A55A2">
          <w:pPr>
            <w:pStyle w:val="CatchWords"/>
            <w:rPr>
              <w:lang w:eastAsia="en-US"/>
            </w:rPr>
          </w:pPr>
          <w:r>
            <w:rPr>
              <w:lang w:eastAsia="en-US"/>
            </w:rPr>
            <w:t xml:space="preserve">COMPENSATION – household services – </w:t>
          </w:r>
          <w:r w:rsidR="00871EA2">
            <w:rPr>
              <w:lang w:eastAsia="en-US"/>
            </w:rPr>
            <w:t xml:space="preserve">what is </w:t>
          </w:r>
          <w:r>
            <w:rPr>
              <w:lang w:eastAsia="en-US"/>
            </w:rPr>
            <w:t>reasonably required – respondent accepts liability for household services – extent of entitlement</w:t>
          </w:r>
          <w:r w:rsidR="003D2ACC">
            <w:rPr>
              <w:lang w:eastAsia="en-US"/>
            </w:rPr>
            <w:t xml:space="preserve"> </w:t>
          </w:r>
          <w:r>
            <w:rPr>
              <w:lang w:eastAsia="en-US"/>
            </w:rPr>
            <w:t>in issue – circumstances of other members of household relevant – reasonable to expect those members to contribute to household – decision under review affirmed.</w:t>
          </w:r>
        </w:p>
      </w:sdtContent>
    </w:sdt>
    <w:p w:rsidR="00CF5E0E" w:rsidRPr="00BC2D09" w:rsidRDefault="00CF5E0E" w:rsidP="00CF5E0E">
      <w:pPr>
        <w:pStyle w:val="NoSpacing"/>
        <w:rPr>
          <w:lang w:eastAsia="en-US"/>
        </w:rPr>
      </w:pPr>
    </w:p>
    <w:bookmarkStart w:id="5" w:name="LegislationTitle" w:displacedByCustomXml="next"/>
    <w:bookmarkEnd w:id="5" w:displacedByCustomXml="next"/>
    <w:sdt>
      <w:sdtPr>
        <w:rPr>
          <w:lang w:eastAsia="en-US"/>
        </w:rPr>
        <w:alias w:val="Legislation"/>
        <w:tag w:val="Legislation"/>
        <w:id w:val="-13298432"/>
        <w:placeholder>
          <w:docPart w:val="785F4D3D8E9E4EFE8AA954691CBBBA6C"/>
        </w:placeholder>
      </w:sdtPr>
      <w:sdtEndPr/>
      <w:sdtContent>
        <w:p w:rsidR="005B516D" w:rsidRPr="005B516D" w:rsidRDefault="005B516D" w:rsidP="00E616B9">
          <w:pPr>
            <w:pStyle w:val="CatchWords"/>
            <w:rPr>
              <w:b/>
              <w:i w:val="0"/>
              <w:lang w:eastAsia="en-US"/>
            </w:rPr>
          </w:pPr>
          <w:r w:rsidRPr="005B516D">
            <w:rPr>
              <w:b/>
              <w:i w:val="0"/>
              <w:lang w:eastAsia="en-US"/>
            </w:rPr>
            <w:t>LEGISLATION</w:t>
          </w:r>
        </w:p>
        <w:p w:rsidR="004152C5" w:rsidRDefault="005B516D" w:rsidP="00E616B9">
          <w:pPr>
            <w:pStyle w:val="CatchWords"/>
            <w:rPr>
              <w:lang w:eastAsia="en-US"/>
            </w:rPr>
          </w:pPr>
          <w:r>
            <w:t>Safety, Rehabilitation and Compensation Act 1988</w:t>
          </w:r>
          <w:r w:rsidRPr="005B516D">
            <w:rPr>
              <w:i w:val="0"/>
            </w:rPr>
            <w:t xml:space="preserve"> (</w:t>
          </w:r>
          <w:proofErr w:type="spellStart"/>
          <w:r w:rsidRPr="005B516D">
            <w:rPr>
              <w:i w:val="0"/>
            </w:rPr>
            <w:t>Cth</w:t>
          </w:r>
          <w:proofErr w:type="spellEnd"/>
          <w:r w:rsidRPr="005B516D">
            <w:rPr>
              <w:i w:val="0"/>
            </w:rPr>
            <w:t>)</w:t>
          </w:r>
          <w:r>
            <w:rPr>
              <w:i w:val="0"/>
            </w:rPr>
            <w:t>, s 29</w:t>
          </w:r>
        </w:p>
      </w:sdtContent>
    </w:sdt>
    <w:p w:rsidR="005F2E99" w:rsidRPr="00BC2D09" w:rsidRDefault="005F2E99" w:rsidP="00E7349B">
      <w:pPr>
        <w:pStyle w:val="NoSpacing"/>
        <w:rPr>
          <w:lang w:eastAsia="en-US"/>
        </w:rPr>
      </w:pPr>
      <w:bookmarkStart w:id="6" w:name="CasesTitle"/>
      <w:bookmarkEnd w:id="6"/>
    </w:p>
    <w:p w:rsidR="009E2C76" w:rsidRDefault="009E2C76" w:rsidP="00CA099E">
      <w:pPr>
        <w:pStyle w:val="Heading1"/>
        <w:rPr>
          <w:lang w:eastAsia="en-US"/>
        </w:rPr>
      </w:pPr>
      <w:bookmarkStart w:id="7" w:name="SecondaryMaterialsTitle"/>
      <w:bookmarkEnd w:id="7"/>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5B516D">
        <w:rPr>
          <w:b/>
          <w:lang w:eastAsia="en-US"/>
        </w:rPr>
        <w:t>Deputy President PE Hack SC</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5B516D">
        <w:rPr>
          <w:b/>
          <w:lang w:eastAsia="en-US"/>
        </w:rPr>
        <w:t>27 November 2015</w:t>
      </w:r>
      <w:r w:rsidRPr="00D50614">
        <w:rPr>
          <w:b/>
          <w:lang w:eastAsia="en-US"/>
        </w:rPr>
        <w:fldChar w:fldCharType="end"/>
      </w:r>
    </w:p>
    <w:p w:rsidR="00A74195" w:rsidRPr="00CA099E" w:rsidRDefault="00A74195" w:rsidP="00D750F5">
      <w:pPr>
        <w:pStyle w:val="NoSpacing"/>
        <w:rPr>
          <w:lang w:eastAsia="en-US"/>
        </w:rPr>
      </w:pPr>
    </w:p>
    <w:p w:rsidR="000176A5" w:rsidRDefault="005951C3" w:rsidP="008728CF">
      <w:pPr>
        <w:pStyle w:val="ListNumber"/>
        <w:numPr>
          <w:ilvl w:val="0"/>
          <w:numId w:val="35"/>
        </w:numPr>
      </w:pPr>
      <w:bookmarkStart w:id="8" w:name="Start"/>
      <w:bookmarkEnd w:id="8"/>
      <w:r>
        <w:t>Mrs</w:t>
      </w:r>
      <w:r w:rsidR="0020595F">
        <w:t xml:space="preserve"> Kym Blackwell has various physical ailments that have been accepted as compensable conditions under the </w:t>
      </w:r>
      <w:r w:rsidR="0020595F">
        <w:rPr>
          <w:i/>
        </w:rPr>
        <w:t>Safety, Rehabilitation and Compensation Act 1988</w:t>
      </w:r>
      <w:r w:rsidR="001C4A4A">
        <w:t xml:space="preserve"> (</w:t>
      </w:r>
      <w:proofErr w:type="spellStart"/>
      <w:r w:rsidR="001C4A4A">
        <w:t>Cth</w:t>
      </w:r>
      <w:proofErr w:type="spellEnd"/>
      <w:r w:rsidR="001C4A4A">
        <w:t xml:space="preserve">). </w:t>
      </w:r>
      <w:proofErr w:type="spellStart"/>
      <w:r w:rsidR="001C4A4A">
        <w:t>Comcare</w:t>
      </w:r>
      <w:proofErr w:type="spellEnd"/>
      <w:r w:rsidR="001C4A4A">
        <w:t xml:space="preserve"> thus accepts that it is liable to pay Mrs Blackwell compensation, in accordance with the Act, in respect </w:t>
      </w:r>
      <w:r w:rsidR="00E029FA">
        <w:t>of those conditions.</w:t>
      </w:r>
    </w:p>
    <w:p w:rsidR="00E029FA" w:rsidRDefault="00E029FA" w:rsidP="008728CF">
      <w:pPr>
        <w:pStyle w:val="ListNumber"/>
        <w:numPr>
          <w:ilvl w:val="0"/>
          <w:numId w:val="35"/>
        </w:numPr>
      </w:pPr>
      <w:proofErr w:type="spellStart"/>
      <w:r>
        <w:t>Comcare</w:t>
      </w:r>
      <w:proofErr w:type="spellEnd"/>
      <w:r>
        <w:t xml:space="preserve"> also accepts that it is liable to pay Mrs Blackwell compensation for household services pursuant to s 29(1) of the Act. The issue in the present case is the extent of her entitlement to that compensation. In the decision in issue in these proceedings</w:t>
      </w:r>
      <w:r w:rsidR="0097030C">
        <w:t>,</w:t>
      </w:r>
      <w:r>
        <w:t xml:space="preserve"> </w:t>
      </w:r>
      <w:proofErr w:type="spellStart"/>
      <w:r>
        <w:t>Comcare</w:t>
      </w:r>
      <w:proofErr w:type="spellEnd"/>
      <w:r>
        <w:t xml:space="preserve"> decided that the household services that Mrs Blackwell </w:t>
      </w:r>
      <w:r w:rsidR="0097030C">
        <w:t>reasonably required were:</w:t>
      </w:r>
    </w:p>
    <w:p w:rsidR="00E029FA" w:rsidRDefault="0097030C" w:rsidP="00E029FA">
      <w:pPr>
        <w:pStyle w:val="ListBullet"/>
      </w:pPr>
      <w:r>
        <w:t>C</w:t>
      </w:r>
      <w:r w:rsidR="00E029FA">
        <w:t xml:space="preserve">leaning </w:t>
      </w:r>
      <w:r>
        <w:t>services for 2.5 hours per week;</w:t>
      </w:r>
    </w:p>
    <w:p w:rsidR="00E029FA" w:rsidRDefault="0097030C" w:rsidP="00E029FA">
      <w:pPr>
        <w:pStyle w:val="ListBullet"/>
      </w:pPr>
      <w:r>
        <w:t>I</w:t>
      </w:r>
      <w:r w:rsidR="00E029FA">
        <w:t xml:space="preserve">roning for </w:t>
      </w:r>
      <w:r w:rsidR="00AE0A0D">
        <w:t>one</w:t>
      </w:r>
      <w:r w:rsidR="00E029FA">
        <w:t xml:space="preserve"> hour per week</w:t>
      </w:r>
      <w:r>
        <w:t>;</w:t>
      </w:r>
    </w:p>
    <w:p w:rsidR="00E029FA" w:rsidRDefault="0097030C" w:rsidP="00E029FA">
      <w:pPr>
        <w:pStyle w:val="ListBullet"/>
      </w:pPr>
      <w:r>
        <w:t>W</w:t>
      </w:r>
      <w:r w:rsidR="00E029FA">
        <w:t xml:space="preserve">indow cleaning for </w:t>
      </w:r>
      <w:r w:rsidR="00AE0A0D">
        <w:t>two</w:t>
      </w:r>
      <w:r w:rsidR="00E029FA">
        <w:t xml:space="preserve"> hours every four months.</w:t>
      </w:r>
    </w:p>
    <w:p w:rsidR="00E029FA" w:rsidRDefault="00E029FA" w:rsidP="00E029FA">
      <w:pPr>
        <w:pStyle w:val="FollowingPara"/>
      </w:pPr>
      <w:r>
        <w:t>Mrs Blackwell takes no issue with the time allowed for window cleaning</w:t>
      </w:r>
      <w:r w:rsidR="0097030C">
        <w:t>;</w:t>
      </w:r>
      <w:r>
        <w:t xml:space="preserve"> she say</w:t>
      </w:r>
      <w:r w:rsidR="008E02A8">
        <w:t>s</w:t>
      </w:r>
      <w:r>
        <w:t xml:space="preserve"> though </w:t>
      </w:r>
      <w:proofErr w:type="gramStart"/>
      <w:r>
        <w:t>that</w:t>
      </w:r>
      <w:proofErr w:type="gramEnd"/>
      <w:r>
        <w:t xml:space="preserve"> </w:t>
      </w:r>
      <w:r w:rsidR="00AE0A0D">
        <w:t>five</w:t>
      </w:r>
      <w:r>
        <w:t xml:space="preserve"> hours per week (rather than 3.5 hours per week) should be allowed for cleaning and ironing.</w:t>
      </w:r>
    </w:p>
    <w:p w:rsidR="00E029FA" w:rsidRDefault="00E029FA" w:rsidP="00E029FA">
      <w:pPr>
        <w:pStyle w:val="ListNumber"/>
      </w:pPr>
      <w:proofErr w:type="spellStart"/>
      <w:r>
        <w:lastRenderedPageBreak/>
        <w:t>Comcare’s</w:t>
      </w:r>
      <w:proofErr w:type="spellEnd"/>
      <w:r>
        <w:t xml:space="preserve"> liability to pay compensation for household services is set out in s 29 of the Act in these terms:</w:t>
      </w:r>
    </w:p>
    <w:p w:rsidR="00AE13E2" w:rsidRPr="00AE13E2" w:rsidRDefault="00AE13E2" w:rsidP="00AE13E2">
      <w:pPr>
        <w:pStyle w:val="Quote"/>
      </w:pPr>
      <w:r w:rsidRPr="00AE13E2">
        <w:t xml:space="preserve">Compensation for household services and attendant care services </w:t>
      </w:r>
    </w:p>
    <w:p w:rsidR="00AE13E2" w:rsidRPr="00AE13E2" w:rsidRDefault="00AE13E2" w:rsidP="00AE13E2">
      <w:pPr>
        <w:pStyle w:val="Quote"/>
        <w:ind w:left="1276" w:hanging="567"/>
      </w:pPr>
      <w:r w:rsidRPr="00AE13E2">
        <w:t xml:space="preserve">(1) </w:t>
      </w:r>
      <w:r>
        <w:tab/>
      </w:r>
      <w:r w:rsidRPr="00AE13E2">
        <w:t xml:space="preserve">Subject to subsection (5), where, as a result of an injury to an employee, the employee obtains household services that he or she reasonably requires, </w:t>
      </w:r>
      <w:proofErr w:type="spellStart"/>
      <w:r w:rsidRPr="00AE13E2">
        <w:t>Comcare</w:t>
      </w:r>
      <w:proofErr w:type="spellEnd"/>
      <w:r w:rsidRPr="00AE13E2">
        <w:t xml:space="preserve"> is liable to pay compensation of such amount per week as </w:t>
      </w:r>
      <w:proofErr w:type="spellStart"/>
      <w:r w:rsidRPr="00AE13E2">
        <w:t>Comcare</w:t>
      </w:r>
      <w:proofErr w:type="spellEnd"/>
      <w:r w:rsidRPr="00AE13E2">
        <w:t xml:space="preserve"> considers reasonable in the circumstances, being not less than 50% of the amount per week paid or payable by the employee for those services nor more than $200. </w:t>
      </w:r>
    </w:p>
    <w:p w:rsidR="00AE13E2" w:rsidRPr="00AE13E2" w:rsidRDefault="00AE13E2" w:rsidP="00AE13E2">
      <w:pPr>
        <w:pStyle w:val="Quote"/>
        <w:ind w:left="1276" w:hanging="567"/>
      </w:pPr>
      <w:r w:rsidRPr="00AE13E2">
        <w:t xml:space="preserve">(2) </w:t>
      </w:r>
      <w:r>
        <w:tab/>
      </w:r>
      <w:r w:rsidRPr="00AE13E2">
        <w:t xml:space="preserve">Without limiting the matters that </w:t>
      </w:r>
      <w:proofErr w:type="spellStart"/>
      <w:r w:rsidRPr="00AE13E2">
        <w:t>Comcare</w:t>
      </w:r>
      <w:proofErr w:type="spellEnd"/>
      <w:r w:rsidRPr="00AE13E2">
        <w:t xml:space="preserve"> may take into account in determining the household services that are reasonably required in a particular case, </w:t>
      </w:r>
      <w:proofErr w:type="spellStart"/>
      <w:r w:rsidRPr="00AE13E2">
        <w:t>Comcare</w:t>
      </w:r>
      <w:proofErr w:type="spellEnd"/>
      <w:r w:rsidRPr="00AE13E2">
        <w:t xml:space="preserve"> shall, in making such a determination, have regard to the following matters: </w:t>
      </w:r>
    </w:p>
    <w:p w:rsidR="00AE13E2" w:rsidRPr="00AE13E2" w:rsidRDefault="00AE13E2" w:rsidP="00AE13E2">
      <w:pPr>
        <w:pStyle w:val="NumberedQuote3"/>
      </w:pPr>
      <w:r w:rsidRPr="00AE13E2">
        <w:t xml:space="preserve">the extent to which household services were provided by the employee before the date of the injury and the extent to which he or she is able to provide those services after that date; </w:t>
      </w:r>
    </w:p>
    <w:p w:rsidR="00AE13E2" w:rsidRPr="00AE13E2" w:rsidRDefault="00AE13E2" w:rsidP="00AE13E2">
      <w:pPr>
        <w:pStyle w:val="NumberedQuote3"/>
      </w:pPr>
      <w:r w:rsidRPr="00AE13E2">
        <w:t xml:space="preserve"> the number of persons living with the employee as members of his or her household, their ages and their need for household services; </w:t>
      </w:r>
    </w:p>
    <w:p w:rsidR="00AE13E2" w:rsidRPr="00AE13E2" w:rsidRDefault="00AE13E2" w:rsidP="00AE13E2">
      <w:pPr>
        <w:pStyle w:val="NumberedQuote3"/>
      </w:pPr>
      <w:r w:rsidRPr="00AE13E2">
        <w:t xml:space="preserve"> the extent to which household services were provided by the persons referred to in paragraph (b) before the injury; </w:t>
      </w:r>
    </w:p>
    <w:p w:rsidR="00AE13E2" w:rsidRPr="00AE13E2" w:rsidRDefault="00AE13E2" w:rsidP="00AE13E2">
      <w:pPr>
        <w:pStyle w:val="NumberedQuote3"/>
      </w:pPr>
      <w:r w:rsidRPr="00AE13E2">
        <w:t xml:space="preserve"> the extent to which the persons referred to in paragraph (b), or any other members of the employee's family, might reasonably be expected to provide household services for themselves and for the employee after the injury; </w:t>
      </w:r>
    </w:p>
    <w:p w:rsidR="00AE13E2" w:rsidRPr="00AE13E2" w:rsidRDefault="00AE13E2" w:rsidP="00AE13E2">
      <w:pPr>
        <w:pStyle w:val="NumberedQuote3"/>
      </w:pPr>
      <w:r w:rsidRPr="00AE13E2">
        <w:t xml:space="preserve"> </w:t>
      </w:r>
      <w:proofErr w:type="gramStart"/>
      <w:r w:rsidRPr="00AE13E2">
        <w:t>the</w:t>
      </w:r>
      <w:proofErr w:type="gramEnd"/>
      <w:r w:rsidRPr="00AE13E2">
        <w:t xml:space="preserve"> need to avoid substantial disruption to the employment or other activities of the persons referred to in paragraph (b). </w:t>
      </w:r>
    </w:p>
    <w:p w:rsidR="00AE13E2" w:rsidRPr="00AE13E2" w:rsidRDefault="00AE13E2" w:rsidP="00AE13E2">
      <w:pPr>
        <w:pStyle w:val="Quote"/>
      </w:pPr>
      <w:r w:rsidRPr="00AE13E2">
        <w:t>Note: In relation to paragraph (2</w:t>
      </w:r>
      <w:proofErr w:type="gramStart"/>
      <w:r w:rsidRPr="00AE13E2">
        <w:t>)(</w:t>
      </w:r>
      <w:proofErr w:type="gramEnd"/>
      <w:r w:rsidRPr="00AE13E2">
        <w:t xml:space="preserve">d), see also subsection 4(2). </w:t>
      </w:r>
    </w:p>
    <w:p w:rsidR="005D3212" w:rsidRDefault="005D3212" w:rsidP="005D3212">
      <w:pPr>
        <w:pStyle w:val="ListNumber"/>
      </w:pPr>
      <w:r>
        <w:t xml:space="preserve">The background to the matter appears clearly enough from the material. Mrs Blackwell now lives in a two bedroom, two bathroom </w:t>
      </w:r>
      <w:proofErr w:type="gramStart"/>
      <w:r>
        <w:t>apartment</w:t>
      </w:r>
      <w:proofErr w:type="gramEnd"/>
      <w:r>
        <w:t xml:space="preserve"> with her partner. Her partner’s teenage son lives with them on alternate weeks.</w:t>
      </w:r>
    </w:p>
    <w:p w:rsidR="005D3212" w:rsidRDefault="005D3212" w:rsidP="005D3212">
      <w:pPr>
        <w:pStyle w:val="ListNumber"/>
      </w:pPr>
      <w:r>
        <w:t xml:space="preserve">Mrs Blackwell first made a claim for household services in September 2010. She claimed to require </w:t>
      </w:r>
      <w:r w:rsidR="00AE0A0D">
        <w:t>two</w:t>
      </w:r>
      <w:r>
        <w:t xml:space="preserve"> to </w:t>
      </w:r>
      <w:r w:rsidR="00AE0A0D">
        <w:t>three</w:t>
      </w:r>
      <w:r>
        <w:t xml:space="preserve"> hours assistance twice weekly for washing and drying, </w:t>
      </w:r>
      <w:r w:rsidR="00AE0A0D">
        <w:t>two</w:t>
      </w:r>
      <w:r>
        <w:t xml:space="preserve"> hours assistance weekly for cleaning and </w:t>
      </w:r>
      <w:r w:rsidR="00AE0A0D">
        <w:t>two</w:t>
      </w:r>
      <w:r>
        <w:t xml:space="preserve"> hours assistance twice weekly for ironing and folding</w:t>
      </w:r>
      <w:r w:rsidR="0097030C">
        <w:t>.</w:t>
      </w:r>
      <w:r>
        <w:rPr>
          <w:rStyle w:val="FootnoteReference"/>
        </w:rPr>
        <w:footnoteReference w:id="1"/>
      </w:r>
      <w:r>
        <w:t xml:space="preserve"> The application identified Glittering Cleaning Service as her provider. It was supported by an endorsement by Dr John Maguire, orthopaedic surgeon, who suggested the services would be required for </w:t>
      </w:r>
      <w:r w:rsidR="00AE0A0D">
        <w:t>three</w:t>
      </w:r>
      <w:r w:rsidR="00786D56">
        <w:t xml:space="preserve"> to </w:t>
      </w:r>
      <w:r w:rsidR="00AE0A0D">
        <w:t>four</w:t>
      </w:r>
      <w:r>
        <w:t xml:space="preserve"> months following surgery</w:t>
      </w:r>
      <w:r w:rsidR="003D2ACC">
        <w:t>,</w:t>
      </w:r>
      <w:r>
        <w:t xml:space="preserve"> </w:t>
      </w:r>
      <w:proofErr w:type="gramStart"/>
      <w:r>
        <w:t>then</w:t>
      </w:r>
      <w:proofErr w:type="gramEnd"/>
      <w:r>
        <w:t xml:space="preserve"> anticipated on 6 November 2010. It is unclear from the material whether the claim was accepted but nothing seems to turn on that.</w:t>
      </w:r>
    </w:p>
    <w:p w:rsidR="005D3212" w:rsidRDefault="005D3212" w:rsidP="005D3212">
      <w:pPr>
        <w:pStyle w:val="ListNumber"/>
      </w:pPr>
      <w:r>
        <w:t>Then</w:t>
      </w:r>
      <w:r w:rsidR="0097030C">
        <w:t>,</w:t>
      </w:r>
      <w:r>
        <w:t xml:space="preserve"> in January 2011</w:t>
      </w:r>
      <w:r w:rsidR="0097030C">
        <w:t>,</w:t>
      </w:r>
      <w:r>
        <w:t xml:space="preserve"> Mrs Blackwell lodged another claim for household services. On this occasion she sought </w:t>
      </w:r>
      <w:r w:rsidR="00332389">
        <w:t>two</w:t>
      </w:r>
      <w:r>
        <w:t xml:space="preserve"> to </w:t>
      </w:r>
      <w:r w:rsidR="00332389">
        <w:t>three</w:t>
      </w:r>
      <w:r>
        <w:t xml:space="preserve"> hours assistance twice weekly for washing</w:t>
      </w:r>
      <w:r w:rsidR="008E02A8">
        <w:t>,</w:t>
      </w:r>
      <w:r>
        <w:t xml:space="preserve"> </w:t>
      </w:r>
      <w:r w:rsidR="00332389">
        <w:t>two</w:t>
      </w:r>
      <w:r>
        <w:t xml:space="preserve"> hours assistance each week for cleaning and </w:t>
      </w:r>
      <w:r w:rsidR="00332389">
        <w:t>two</w:t>
      </w:r>
      <w:r>
        <w:t xml:space="preserve"> hours assistance each week for ironing and folding</w:t>
      </w:r>
      <w:r w:rsidR="0097030C">
        <w:t>.</w:t>
      </w:r>
      <w:r>
        <w:rPr>
          <w:rStyle w:val="FootnoteReference"/>
        </w:rPr>
        <w:footnoteReference w:id="2"/>
      </w:r>
      <w:r>
        <w:t xml:space="preserve"> This claim was endorsed by Dr Michael Likely, her treating psychiatrist. Dr Likely expressed the view that the household services would be required by Mrs Blackwell indefinitely. At the time of this claim Mrs Blackwell was living alone.</w:t>
      </w:r>
    </w:p>
    <w:p w:rsidR="004F0A37" w:rsidRDefault="004F0A37" w:rsidP="005D3212">
      <w:pPr>
        <w:pStyle w:val="ListNumber"/>
      </w:pPr>
      <w:r>
        <w:t>On 25 March 2011</w:t>
      </w:r>
      <w:r w:rsidR="0097030C">
        <w:t xml:space="preserve">, </w:t>
      </w:r>
      <w:proofErr w:type="spellStart"/>
      <w:r w:rsidR="0097030C">
        <w:t>Comcare</w:t>
      </w:r>
      <w:proofErr w:type="spellEnd"/>
      <w:r>
        <w:t xml:space="preserve"> approved four hours per week of household services up to 31 July 2011.</w:t>
      </w:r>
    </w:p>
    <w:p w:rsidR="005D3212" w:rsidRDefault="005D3212" w:rsidP="005D3212">
      <w:pPr>
        <w:pStyle w:val="ListNumber"/>
      </w:pPr>
      <w:r>
        <w:t>Mrs Blackwell next applied for compensation for household services in February 2013</w:t>
      </w:r>
      <w:r w:rsidR="00DA0FEC">
        <w:t>.</w:t>
      </w:r>
      <w:r>
        <w:rPr>
          <w:rStyle w:val="FootnoteReference"/>
        </w:rPr>
        <w:footnoteReference w:id="3"/>
      </w:r>
      <w:r>
        <w:t xml:space="preserve"> By then her partner was living with her and the </w:t>
      </w:r>
      <w:r w:rsidR="001E3428">
        <w:t>partner’s</w:t>
      </w:r>
      <w:r>
        <w:t xml:space="preserve"> son, then aged 13 years, wa</w:t>
      </w:r>
      <w:r w:rsidR="009632B8">
        <w:t>s living with them on alternat</w:t>
      </w:r>
      <w:r>
        <w:t xml:space="preserve">e weeks. The application was endorsed by Mrs Blackwell’s general practitioner, Dr </w:t>
      </w:r>
      <w:r w:rsidR="001E3428">
        <w:t>Glenda McDonald. Dr McDonald concluded that M</w:t>
      </w:r>
      <w:r w:rsidR="004E50C2">
        <w:t>r</w:t>
      </w:r>
      <w:r w:rsidR="001E3428">
        <w:t>s Blackwell required three hours of cleaning weekly, two hours of ironing weekly and two hours of window cleaning monthly as a consequence of her neck, shoulder, elbows and wrists injuries. She considered that the need for household services was indefinite in duration as the injuries were permanent and ongoing.</w:t>
      </w:r>
    </w:p>
    <w:p w:rsidR="001E3428" w:rsidRDefault="001E3428" w:rsidP="005D3212">
      <w:pPr>
        <w:pStyle w:val="ListNumber"/>
      </w:pPr>
      <w:r>
        <w:t xml:space="preserve">In response to this claim </w:t>
      </w:r>
      <w:proofErr w:type="spellStart"/>
      <w:r>
        <w:t>Comcare</w:t>
      </w:r>
      <w:proofErr w:type="spellEnd"/>
      <w:r>
        <w:t xml:space="preserve"> arranged for Mr Nathan Dawes, an occupational therapist, to visit Mrs Blackwell’s apartment and undertake an assessment of her needs. On the basis of Mr Dawes</w:t>
      </w:r>
      <w:r w:rsidR="00DA0FEC">
        <w:t>’</w:t>
      </w:r>
      <w:r>
        <w:t xml:space="preserve"> report</w:t>
      </w:r>
      <w:r w:rsidR="0097030C">
        <w:t>,</w:t>
      </w:r>
      <w:r>
        <w:rPr>
          <w:rStyle w:val="FootnoteReference"/>
        </w:rPr>
        <w:footnoteReference w:id="4"/>
      </w:r>
      <w:r>
        <w:t xml:space="preserve"> </w:t>
      </w:r>
      <w:proofErr w:type="spellStart"/>
      <w:r>
        <w:t>Comcare</w:t>
      </w:r>
      <w:proofErr w:type="spellEnd"/>
      <w:r>
        <w:t xml:space="preserve"> determined on 8 November 2013 to provide compensation for household services of 3.5 hours per fortnight up to and including 31 January 2014 and a one-off spring clean (four hours)</w:t>
      </w:r>
      <w:r w:rsidR="0097030C">
        <w:t>.</w:t>
      </w:r>
      <w:r>
        <w:rPr>
          <w:rStyle w:val="FootnoteReference"/>
        </w:rPr>
        <w:footnoteReference w:id="5"/>
      </w:r>
    </w:p>
    <w:p w:rsidR="001E3428" w:rsidRDefault="001E3428" w:rsidP="005D3212">
      <w:pPr>
        <w:pStyle w:val="ListNumber"/>
      </w:pPr>
      <w:r>
        <w:t>Then</w:t>
      </w:r>
      <w:r w:rsidR="0097030C">
        <w:t>,</w:t>
      </w:r>
      <w:r>
        <w:t xml:space="preserve"> on 6 December 2013</w:t>
      </w:r>
      <w:r w:rsidR="0097030C">
        <w:t>,</w:t>
      </w:r>
      <w:r>
        <w:t xml:space="preserve"> Mrs Blackwell made a further claim for compensation for household services. Again</w:t>
      </w:r>
      <w:r w:rsidR="00DA0FEC">
        <w:t>,</w:t>
      </w:r>
      <w:r>
        <w:t xml:space="preserve"> it was endorsed by Dr McDonald who recommended three hours weekly for “household services” (not otherwise specified), two hours weekly for ironing and two hours</w:t>
      </w:r>
      <w:r w:rsidR="00A73F62">
        <w:t xml:space="preserve"> monthly for window cleaning and similar tasks</w:t>
      </w:r>
      <w:r w:rsidR="006D6438">
        <w:t>.</w:t>
      </w:r>
      <w:r w:rsidR="00A73F62">
        <w:rPr>
          <w:rStyle w:val="FootnoteReference"/>
        </w:rPr>
        <w:footnoteReference w:id="6"/>
      </w:r>
    </w:p>
    <w:p w:rsidR="00A73F62" w:rsidRDefault="00A73F62" w:rsidP="005D3212">
      <w:pPr>
        <w:pStyle w:val="ListNumber"/>
      </w:pPr>
      <w:r>
        <w:t>On 24 January 2014</w:t>
      </w:r>
      <w:r w:rsidR="006D6438">
        <w:t>,</w:t>
      </w:r>
      <w:r>
        <w:t xml:space="preserve"> </w:t>
      </w:r>
      <w:proofErr w:type="spellStart"/>
      <w:r>
        <w:t>Comcare</w:t>
      </w:r>
      <w:proofErr w:type="spellEnd"/>
      <w:r>
        <w:t xml:space="preserve"> determined that Mrs Blackwell was entitled to compensation for household services for 3.5 hours per fortnight up to and including 28 February 2014.</w:t>
      </w:r>
      <w:r w:rsidR="006D6438">
        <w:rPr>
          <w:rStyle w:val="FootnoteReference"/>
        </w:rPr>
        <w:footnoteReference w:id="7"/>
      </w:r>
      <w:r>
        <w:t xml:space="preserve"> The 3.5 hours included 30 minutes </w:t>
      </w:r>
      <w:r w:rsidR="004E50C2">
        <w:t>for</w:t>
      </w:r>
      <w:r>
        <w:t xml:space="preserve"> ironing.</w:t>
      </w:r>
    </w:p>
    <w:p w:rsidR="00A73F62" w:rsidRDefault="00A73F62" w:rsidP="005D3212">
      <w:pPr>
        <w:pStyle w:val="ListNumber"/>
      </w:pPr>
      <w:r>
        <w:t>On 27 March 2014</w:t>
      </w:r>
      <w:r w:rsidR="006D6438">
        <w:t>,</w:t>
      </w:r>
      <w:r>
        <w:t xml:space="preserve"> </w:t>
      </w:r>
      <w:proofErr w:type="spellStart"/>
      <w:r>
        <w:t>Comcare</w:t>
      </w:r>
      <w:proofErr w:type="spellEnd"/>
      <w:r>
        <w:t xml:space="preserve"> reconsidered its determination of 8 November 2013. The compensation for household services was varied to three hours per fortnight for household cleaning, 1.5 hours per week of ironing assistance and a one-off spring clean up to a maximum of </w:t>
      </w:r>
      <w:r w:rsidR="00332389">
        <w:t>four</w:t>
      </w:r>
      <w:r>
        <w:t xml:space="preserve"> hours</w:t>
      </w:r>
      <w:r w:rsidR="006D6438">
        <w:t>.</w:t>
      </w:r>
      <w:r>
        <w:rPr>
          <w:rStyle w:val="FootnoteReference"/>
        </w:rPr>
        <w:footnoteReference w:id="8"/>
      </w:r>
    </w:p>
    <w:p w:rsidR="00A73F62" w:rsidRDefault="00A73F62" w:rsidP="005D3212">
      <w:pPr>
        <w:pStyle w:val="ListNumber"/>
      </w:pPr>
      <w:r>
        <w:t>The decision in issue in these proceedings commenced with a claim submitted by Mrs Blackwell on 3 June 2014</w:t>
      </w:r>
      <w:r w:rsidR="006D6438">
        <w:t>.</w:t>
      </w:r>
      <w:r>
        <w:rPr>
          <w:rStyle w:val="FootnoteReference"/>
        </w:rPr>
        <w:footnoteReference w:id="9"/>
      </w:r>
      <w:r>
        <w:t xml:space="preserve"> The claim was accompanied by a letter from </w:t>
      </w:r>
      <w:r w:rsidR="004E50C2">
        <w:t>G</w:t>
      </w:r>
      <w:r>
        <w:t xml:space="preserve">littering Cleaning Service. The letter sets out times for various tasks and, whilst the letter does not say so explicitly, I </w:t>
      </w:r>
      <w:r w:rsidR="00957195">
        <w:t>assume</w:t>
      </w:r>
      <w:r>
        <w:t xml:space="preserve"> it </w:t>
      </w:r>
      <w:r w:rsidR="00957195">
        <w:t>records the opinion</w:t>
      </w:r>
      <w:r>
        <w:t xml:space="preserve"> of the provider of the time necessary to complete the nominated tasks. On that basis</w:t>
      </w:r>
      <w:r w:rsidR="006D6438">
        <w:t>,</w:t>
      </w:r>
      <w:r>
        <w:t xml:space="preserve"> two hours per week was sought for house cleaning, two hours per month for window cleaning, two hours per week for ironing and one hour per week for cleaning windows, blinds and suchlike.</w:t>
      </w:r>
    </w:p>
    <w:p w:rsidR="00A73F62" w:rsidRDefault="00A73F62" w:rsidP="005D3212">
      <w:pPr>
        <w:pStyle w:val="ListNumber"/>
      </w:pPr>
      <w:r>
        <w:t>On 24 June 2014</w:t>
      </w:r>
      <w:r w:rsidR="006D6438">
        <w:t>,</w:t>
      </w:r>
      <w:r>
        <w:t xml:space="preserve"> </w:t>
      </w:r>
      <w:proofErr w:type="spellStart"/>
      <w:r>
        <w:t>Comcare</w:t>
      </w:r>
      <w:proofErr w:type="spellEnd"/>
      <w:r>
        <w:t xml:space="preserve"> determined on the basis of Mr Dawes</w:t>
      </w:r>
      <w:r w:rsidR="006D6438">
        <w:t>’</w:t>
      </w:r>
      <w:r>
        <w:t xml:space="preserve"> report of 16 September 2013 that Mrs Blackwell was entitled to household ser</w:t>
      </w:r>
      <w:r w:rsidR="00594DC6">
        <w:t>vices of three hours per fortnight</w:t>
      </w:r>
      <w:r>
        <w:t xml:space="preserve"> and 1.5 hours per week for ironing, both up to and inclu</w:t>
      </w:r>
      <w:r w:rsidR="0054114B">
        <w:t>ding 30 September 2014 and a on</w:t>
      </w:r>
      <w:r>
        <w:t>e</w:t>
      </w:r>
      <w:r w:rsidR="0054114B">
        <w:t>-off four-</w:t>
      </w:r>
      <w:r>
        <w:t>hour spring clean.</w:t>
      </w:r>
    </w:p>
    <w:p w:rsidR="00A73F62" w:rsidRDefault="00A73F62" w:rsidP="005D3212">
      <w:pPr>
        <w:pStyle w:val="ListNumber"/>
      </w:pPr>
      <w:r>
        <w:t>Subsequently, arrangement</w:t>
      </w:r>
      <w:r w:rsidR="004E50C2">
        <w:t>s</w:t>
      </w:r>
      <w:r>
        <w:t xml:space="preserve"> were made for Mrs Blackwell’s needs to be re-assessed, on this occasion by Ms Sarah Ha</w:t>
      </w:r>
      <w:r w:rsidR="00301B1E">
        <w:t xml:space="preserve">nrahan who saw Mrs Blackwell at her residence in August 2014. Ms Hanrahan produced a report dated 4 September 2014. That report is at the heart of the present case and I will need to return to it in due course. It will suffice for present purposes to note that Ms Hanrahan recommended that </w:t>
      </w:r>
      <w:proofErr w:type="spellStart"/>
      <w:r w:rsidR="00301B1E">
        <w:t>Comcare</w:t>
      </w:r>
      <w:proofErr w:type="spellEnd"/>
      <w:r w:rsidR="00301B1E">
        <w:t xml:space="preserve"> provide 2.5 hours per week for cleaning, one hour per week for ironing and two hours for window cleaning every four months. </w:t>
      </w:r>
      <w:proofErr w:type="spellStart"/>
      <w:r w:rsidR="00301B1E">
        <w:t>Comcare</w:t>
      </w:r>
      <w:proofErr w:type="spellEnd"/>
      <w:r w:rsidR="00301B1E">
        <w:t xml:space="preserve"> determined, on 8 December 2014, that Mrs Blackwell was entitled to compensation for household services in these terms up to and including 8 December 2015.</w:t>
      </w:r>
    </w:p>
    <w:p w:rsidR="00301B1E" w:rsidRDefault="00301B1E" w:rsidP="005D3212">
      <w:pPr>
        <w:pStyle w:val="ListNumber"/>
      </w:pPr>
      <w:r>
        <w:t>On 3 January 2015</w:t>
      </w:r>
      <w:r w:rsidR="005D594D">
        <w:t>,</w:t>
      </w:r>
      <w:r>
        <w:t xml:space="preserve"> Mrs Blackwell sought reconsideration of the decision. It was affirmed on 20 February 2015 and these proceedings were commenced on 21 April 2015.</w:t>
      </w:r>
    </w:p>
    <w:p w:rsidR="00301B1E" w:rsidRDefault="00301B1E" w:rsidP="005D3212">
      <w:pPr>
        <w:pStyle w:val="ListNumber"/>
      </w:pPr>
      <w:proofErr w:type="spellStart"/>
      <w:r>
        <w:t>Comcare</w:t>
      </w:r>
      <w:proofErr w:type="spellEnd"/>
      <w:r>
        <w:t xml:space="preserve"> submits that its decision </w:t>
      </w:r>
      <w:proofErr w:type="gramStart"/>
      <w:r>
        <w:t>ought</w:t>
      </w:r>
      <w:proofErr w:type="gramEnd"/>
      <w:r>
        <w:t xml:space="preserve"> be affirmed. The level of household services determined is reasonable having regard to the matters that the Act requires be taken into account. The only evidence is the report of Ms Hanrahan and while there may have been, and may continue to be, errors in her report they are not on matters of substance. Ms Hanrahan’s conclusions, it is said, are logical and not contradicted by any other evidence.</w:t>
      </w:r>
    </w:p>
    <w:p w:rsidR="00301B1E" w:rsidRDefault="00301B1E" w:rsidP="005D3212">
      <w:pPr>
        <w:pStyle w:val="ListNumber"/>
      </w:pPr>
      <w:r>
        <w:t xml:space="preserve">It was more difficult to discern Mrs Blackwell’s case. At the core of it seemed to </w:t>
      </w:r>
      <w:proofErr w:type="gramStart"/>
      <w:r>
        <w:t>lie</w:t>
      </w:r>
      <w:proofErr w:type="gramEnd"/>
      <w:r>
        <w:t xml:space="preserve"> the proposition that Ms Hanrahan’s report was so affected by errors that it ought be rejected</w:t>
      </w:r>
      <w:r w:rsidR="00795859">
        <w:t>;</w:t>
      </w:r>
      <w:r>
        <w:t xml:space="preserve"> but, where there is no other evidence that would suggest a more favourable result, it is difficult to see how rejecting Ms Hanrahan’s report could possibly assist Mrs Blackwell.</w:t>
      </w:r>
    </w:p>
    <w:p w:rsidR="00301B1E" w:rsidRDefault="00301B1E" w:rsidP="005D3212">
      <w:pPr>
        <w:pStyle w:val="ListNumber"/>
      </w:pPr>
      <w:r>
        <w:t>There are, I accept, errors in Ms Hanrahan’s report but they are in my view, trifling. They may point</w:t>
      </w:r>
      <w:r w:rsidR="0054114B">
        <w:t>,</w:t>
      </w:r>
      <w:r>
        <w:t xml:space="preserve"> at the highest</w:t>
      </w:r>
      <w:r w:rsidR="0054114B">
        <w:t>,</w:t>
      </w:r>
      <w:r>
        <w:t xml:space="preserve"> to a lack of attention to detail on the part of Ms Hanrahan in compiling the report, a task she agreed she performed under pressure. Thus, apparently, the claim numbers on the title page of the report, the date of injury and some other non-contentious matters are wrong. But I was not able to discern any disagreement by Mrs Blackwell with the substance of Ms Hanrahan’s findings about her then current presentation.</w:t>
      </w:r>
    </w:p>
    <w:p w:rsidR="00301B1E" w:rsidRDefault="00301B1E" w:rsidP="005D3212">
      <w:pPr>
        <w:pStyle w:val="ListNumber"/>
      </w:pPr>
      <w:r>
        <w:t xml:space="preserve">I should also say that Mrs Blackwell wanted to call evidence from Dr Likely, </w:t>
      </w:r>
      <w:r w:rsidR="00A776B3">
        <w:t xml:space="preserve">Dr McDonald and Mr Paul Parker, her physiotherapist. I ruled that the evidence it was suggested they would give was irrelevant given that </w:t>
      </w:r>
      <w:proofErr w:type="spellStart"/>
      <w:r w:rsidR="00A776B3">
        <w:t>Comcare</w:t>
      </w:r>
      <w:proofErr w:type="spellEnd"/>
      <w:r w:rsidR="00A776B3">
        <w:t xml:space="preserve"> had accepted Mrs Blackwell’s entitlement to compensation under s 29 of the Act and that what remained in issue was the extent of that entitlement.</w:t>
      </w:r>
    </w:p>
    <w:p w:rsidR="00A776B3" w:rsidRDefault="00A776B3" w:rsidP="005D3212">
      <w:pPr>
        <w:pStyle w:val="ListNumber"/>
      </w:pPr>
      <w:r>
        <w:t>As it seems to me the matter is capable of simple resolution. Mrs Blackwell’s claim, as articulated in the letter fro</w:t>
      </w:r>
      <w:r w:rsidR="00D6645C">
        <w:t>m her service provider, was for:</w:t>
      </w:r>
    </w:p>
    <w:p w:rsidR="00A776B3" w:rsidRDefault="00332389" w:rsidP="00A776B3">
      <w:pPr>
        <w:pStyle w:val="ListBullet"/>
      </w:pPr>
      <w:r>
        <w:t>Two</w:t>
      </w:r>
      <w:r w:rsidR="00BE0F05">
        <w:t xml:space="preserve"> hours per week for cleaning</w:t>
      </w:r>
      <w:r w:rsidR="00D6645C">
        <w:t>;</w:t>
      </w:r>
    </w:p>
    <w:p w:rsidR="00BE0F05" w:rsidRDefault="00332389" w:rsidP="00A776B3">
      <w:pPr>
        <w:pStyle w:val="ListBullet"/>
      </w:pPr>
      <w:r>
        <w:t>One</w:t>
      </w:r>
      <w:r w:rsidR="00BE0F05">
        <w:t xml:space="preserve"> hour per week for </w:t>
      </w:r>
      <w:r w:rsidR="00D6645C">
        <w:t>door</w:t>
      </w:r>
      <w:r w:rsidR="00BE0F05">
        <w:t xml:space="preserve"> and blind cleaning</w:t>
      </w:r>
      <w:r w:rsidR="00D6645C">
        <w:t>;</w:t>
      </w:r>
    </w:p>
    <w:p w:rsidR="00BE0F05" w:rsidRDefault="00332389" w:rsidP="00A776B3">
      <w:pPr>
        <w:pStyle w:val="ListBullet"/>
      </w:pPr>
      <w:r>
        <w:t>Two</w:t>
      </w:r>
      <w:r w:rsidR="00BE0F05">
        <w:t xml:space="preserve"> hours per week for ironing</w:t>
      </w:r>
      <w:r w:rsidR="00D6645C">
        <w:t>;</w:t>
      </w:r>
    </w:p>
    <w:p w:rsidR="00BE0F05" w:rsidRDefault="00332389" w:rsidP="00A776B3">
      <w:pPr>
        <w:pStyle w:val="ListBullet"/>
      </w:pPr>
      <w:r>
        <w:t>Two</w:t>
      </w:r>
      <w:r w:rsidR="00BE0F05">
        <w:t xml:space="preserve"> hours per month for window cleaning</w:t>
      </w:r>
      <w:r w:rsidR="00D6645C">
        <w:t>.</w:t>
      </w:r>
    </w:p>
    <w:p w:rsidR="00BE0F05" w:rsidRDefault="002754A6" w:rsidP="00BE0F05">
      <w:pPr>
        <w:pStyle w:val="FollowingPara"/>
      </w:pPr>
      <w:proofErr w:type="spellStart"/>
      <w:r>
        <w:t>Comcare</w:t>
      </w:r>
      <w:proofErr w:type="spellEnd"/>
      <w:r>
        <w:t xml:space="preserve"> has determined that the amount of household services reasonably required is</w:t>
      </w:r>
      <w:r w:rsidR="00D6645C">
        <w:t>:</w:t>
      </w:r>
    </w:p>
    <w:p w:rsidR="002754A6" w:rsidRDefault="002754A6" w:rsidP="002754A6">
      <w:pPr>
        <w:pStyle w:val="ListBullet"/>
      </w:pPr>
      <w:r>
        <w:t>2.5 hours per week for cleaning</w:t>
      </w:r>
      <w:r w:rsidR="00D6645C">
        <w:t>;</w:t>
      </w:r>
    </w:p>
    <w:p w:rsidR="002754A6" w:rsidRDefault="00332389" w:rsidP="002754A6">
      <w:pPr>
        <w:pStyle w:val="ListBullet"/>
      </w:pPr>
      <w:r>
        <w:t>One</w:t>
      </w:r>
      <w:r w:rsidR="002754A6">
        <w:t xml:space="preserve"> hour per week for ironing</w:t>
      </w:r>
      <w:r w:rsidR="00D6645C">
        <w:t>;</w:t>
      </w:r>
    </w:p>
    <w:p w:rsidR="002754A6" w:rsidRDefault="00332389" w:rsidP="002754A6">
      <w:pPr>
        <w:pStyle w:val="ListBullet"/>
      </w:pPr>
      <w:r>
        <w:t>Two</w:t>
      </w:r>
      <w:r w:rsidR="002754A6">
        <w:t xml:space="preserve"> hours every four months for window cleaning.</w:t>
      </w:r>
    </w:p>
    <w:p w:rsidR="002754A6" w:rsidRDefault="003D725E" w:rsidP="002754A6">
      <w:pPr>
        <w:pStyle w:val="FollowingPara"/>
      </w:pPr>
      <w:r>
        <w:t>Thus</w:t>
      </w:r>
      <w:r w:rsidR="00D6645C">
        <w:t>,</w:t>
      </w:r>
      <w:r>
        <w:t xml:space="preserve"> there is a reduction in the time claimed for cleaning (generally</w:t>
      </w:r>
      <w:r w:rsidR="00594DC6">
        <w:t>,</w:t>
      </w:r>
      <w:r>
        <w:t xml:space="preserve"> and doors and blinds) from </w:t>
      </w:r>
      <w:r w:rsidR="00332389">
        <w:t>three</w:t>
      </w:r>
      <w:r>
        <w:t xml:space="preserve"> hours per week to 2.5 hours per week, for ironing from </w:t>
      </w:r>
      <w:r w:rsidR="00332389">
        <w:t>two</w:t>
      </w:r>
      <w:r>
        <w:t xml:space="preserve"> hours per week to </w:t>
      </w:r>
      <w:r w:rsidR="00332389">
        <w:t>one</w:t>
      </w:r>
      <w:r>
        <w:t xml:space="preserve"> hour per week and for window cleaning from </w:t>
      </w:r>
      <w:r w:rsidR="00332389">
        <w:t>one</w:t>
      </w:r>
      <w:r>
        <w:t xml:space="preserve"> </w:t>
      </w:r>
      <w:r w:rsidR="003976F4">
        <w:t xml:space="preserve">hour per week to </w:t>
      </w:r>
      <w:r w:rsidR="00332389">
        <w:t>two</w:t>
      </w:r>
      <w:r w:rsidR="003976F4">
        <w:t xml:space="preserve"> hours every four months.</w:t>
      </w:r>
    </w:p>
    <w:p w:rsidR="003976F4" w:rsidRDefault="003976F4" w:rsidP="003976F4">
      <w:pPr>
        <w:pStyle w:val="ListNumber"/>
      </w:pPr>
      <w:r>
        <w:t xml:space="preserve">The Act requires </w:t>
      </w:r>
      <w:proofErr w:type="spellStart"/>
      <w:r>
        <w:t>Comcare</w:t>
      </w:r>
      <w:proofErr w:type="spellEnd"/>
      <w:r>
        <w:t xml:space="preserve"> to have regard to the circumstances of the other members of the employee’s household, the matters set out in paragraphs (b) to (e) of s 29(2)</w:t>
      </w:r>
      <w:r w:rsidR="00C8756D">
        <w:t xml:space="preserve"> of the Act. Mrs Blackwell lives in a </w:t>
      </w:r>
      <w:r w:rsidR="00B835CC">
        <w:t>two bedroom, two bathroom apartment. The cleaning necessary for one bedroom and one bathroom is attributable to others in the household, not Mrs Blackwell. It is, in my view, reasonable to expect those others to make the relatively modest contribution imposed by reducing the claimed three hours per week to 2.</w:t>
      </w:r>
      <w:r w:rsidR="004E50C2">
        <w:t>5</w:t>
      </w:r>
      <w:r w:rsidR="00B835CC">
        <w:t xml:space="preserve"> hours per week given that what is to be compensated is the cost of obtaining household services that the employee reasonably requires. There will be no substantial disruption to the activities of the other household member</w:t>
      </w:r>
      <w:r w:rsidR="00AE0A0D">
        <w:t>s</w:t>
      </w:r>
      <w:r w:rsidR="00B835CC">
        <w:t xml:space="preserve"> as a result.</w:t>
      </w:r>
    </w:p>
    <w:p w:rsidR="00E079E3" w:rsidRDefault="00E079E3" w:rsidP="003976F4">
      <w:pPr>
        <w:pStyle w:val="ListNumber"/>
      </w:pPr>
      <w:r>
        <w:t xml:space="preserve">The same conclusion is reached in relation to ironing. Mrs Blackwell’s claim indicated that her partner performed this task both before and after her surgery. There seems no </w:t>
      </w:r>
      <w:r w:rsidR="004E50C2">
        <w:t>r</w:t>
      </w:r>
      <w:r>
        <w:t xml:space="preserve">eason why that </w:t>
      </w:r>
      <w:proofErr w:type="gramStart"/>
      <w:r>
        <w:t>ought</w:t>
      </w:r>
      <w:proofErr w:type="gramEnd"/>
      <w:r>
        <w:t xml:space="preserve"> be changed, all the more so since some of the ironing required is attributable to other family members.</w:t>
      </w:r>
    </w:p>
    <w:p w:rsidR="00E079E3" w:rsidRDefault="00E079E3" w:rsidP="003976F4">
      <w:pPr>
        <w:pStyle w:val="ListNumber"/>
      </w:pPr>
      <w:r>
        <w:t>The claim for two hours per month for window cleaning seems extravagant</w:t>
      </w:r>
      <w:r w:rsidR="00957195">
        <w:t xml:space="preserve"> and not reasonable</w:t>
      </w:r>
      <w:r>
        <w:t xml:space="preserve">. I accept Ms Hanrahan’s estimate of a reasonable time for that task. In </w:t>
      </w:r>
      <w:r w:rsidR="00671BA8">
        <w:t>that regard, I note that Mrs Blackwell’s partner, who conducted the hearing on her behalf, took no issue with the time allowed for this task.</w:t>
      </w:r>
    </w:p>
    <w:p w:rsidR="00671BA8" w:rsidRDefault="00671BA8" w:rsidP="003976F4">
      <w:pPr>
        <w:pStyle w:val="ListNumber"/>
      </w:pPr>
      <w:r>
        <w:t>It follows that the decision under review was correct. It will be affirmed.</w:t>
      </w:r>
    </w:p>
    <w:p w:rsidR="005B516D" w:rsidRDefault="005B516D" w:rsidP="005B516D">
      <w:pPr>
        <w:pStyle w:val="ListNumber"/>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5B516D" w:rsidTr="00702374">
        <w:tc>
          <w:tcPr>
            <w:tcW w:w="3651" w:type="dxa"/>
          </w:tcPr>
          <w:p w:rsidR="005B516D" w:rsidRDefault="005B516D" w:rsidP="00702374">
            <w:pPr>
              <w:pStyle w:val="NoSpacing"/>
            </w:pPr>
            <w:r>
              <w:t xml:space="preserve">I </w:t>
            </w:r>
            <w:bookmarkStart w:id="9" w:name="StartStamp"/>
            <w:bookmarkEnd w:id="9"/>
            <w:r>
              <w:t xml:space="preserve">certify that the </w:t>
            </w:r>
            <w:r w:rsidRPr="000A3D70">
              <w:t>preceding</w:t>
            </w:r>
            <w:r>
              <w:t xml:space="preserve"> </w:t>
            </w:r>
            <w:bookmarkStart w:id="10" w:name="NumParas"/>
            <w:bookmarkEnd w:id="10"/>
            <w:r>
              <w:t xml:space="preserve">25 (twenty -five)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t>Deputy President PE Hack SC</w:t>
            </w:r>
            <w:r w:rsidRPr="00483D56">
              <w:fldChar w:fldCharType="end"/>
            </w:r>
          </w:p>
        </w:tc>
      </w:tr>
    </w:tbl>
    <w:p w:rsidR="005B516D" w:rsidRPr="00BC2D09" w:rsidRDefault="005B516D" w:rsidP="004365B2">
      <w:pPr>
        <w:keepNext/>
        <w:spacing w:before="960"/>
        <w:rPr>
          <w:lang w:eastAsia="en-US"/>
        </w:rPr>
      </w:pPr>
      <w:proofErr w:type="gramStart"/>
      <w:r w:rsidRPr="00BC2D09">
        <w:rPr>
          <w:lang w:eastAsia="en-US"/>
        </w:rPr>
        <w:t>...............................</w:t>
      </w:r>
      <w:r w:rsidR="00B74227">
        <w:rPr>
          <w:lang w:eastAsia="en-US"/>
        </w:rPr>
        <w:t>[</w:t>
      </w:r>
      <w:proofErr w:type="gramEnd"/>
      <w:r w:rsidR="00B74227">
        <w:rPr>
          <w:lang w:eastAsia="en-US"/>
        </w:rPr>
        <w:t>Sgd]</w:t>
      </w:r>
      <w:r w:rsidRPr="00BC2D09">
        <w:rPr>
          <w:lang w:eastAsia="en-US"/>
        </w:rPr>
        <w:t>.........................................</w:t>
      </w:r>
    </w:p>
    <w:p w:rsidR="005B516D" w:rsidRPr="00D8769A" w:rsidRDefault="00876760" w:rsidP="00702374">
      <w:pPr>
        <w:pStyle w:val="NoSpacing"/>
      </w:pPr>
      <w:r>
        <w:fldChar w:fldCharType="begin"/>
      </w:r>
      <w:r>
        <w:instrText xml:space="preserve"> DOCPROPERTY  SigneeDesignation </w:instrText>
      </w:r>
      <w:r>
        <w:fldChar w:fldCharType="separate"/>
      </w:r>
      <w:r w:rsidR="005B516D">
        <w:t>Associate</w:t>
      </w:r>
      <w:r>
        <w:fldChar w:fldCharType="end"/>
      </w:r>
    </w:p>
    <w:p w:rsidR="005B516D" w:rsidRDefault="005B516D" w:rsidP="004365B2">
      <w:r>
        <w:t xml:space="preserve">Dated </w:t>
      </w:r>
      <w:r w:rsidR="00876760">
        <w:fldChar w:fldCharType="begin"/>
      </w:r>
      <w:r w:rsidR="00876760">
        <w:instrText xml:space="preserve"> DOCPROPERTY  StampDate </w:instrText>
      </w:r>
      <w:r w:rsidR="00876760">
        <w:fldChar w:fldCharType="separate"/>
      </w:r>
      <w:r>
        <w:t>27 November 2015</w:t>
      </w:r>
      <w:r w:rsidR="00876760">
        <w:fldChar w:fldCharType="end"/>
      </w:r>
    </w:p>
    <w:p w:rsidR="005B516D" w:rsidRDefault="005B516D" w:rsidP="004365B2"/>
    <w:tbl>
      <w:tblPr>
        <w:tblW w:w="0" w:type="auto"/>
        <w:tblLayout w:type="fixed"/>
        <w:tblLook w:val="00A0" w:firstRow="1" w:lastRow="0" w:firstColumn="1" w:lastColumn="0" w:noHBand="0" w:noVBand="0"/>
      </w:tblPr>
      <w:tblGrid>
        <w:gridCol w:w="3510"/>
        <w:gridCol w:w="5279"/>
      </w:tblGrid>
      <w:tr w:rsidR="005B516D" w:rsidRPr="00BC2D09" w:rsidTr="004365B2">
        <w:trPr>
          <w:trHeight w:val="567"/>
        </w:trPr>
        <w:tc>
          <w:tcPr>
            <w:tcW w:w="3510" w:type="dxa"/>
          </w:tcPr>
          <w:p w:rsidR="005B516D" w:rsidRPr="00BC2D09" w:rsidRDefault="005B516D" w:rsidP="005B516D">
            <w:pPr>
              <w:pStyle w:val="NoSpacing"/>
              <w:rPr>
                <w:lang w:eastAsia="en-US"/>
              </w:rPr>
            </w:pPr>
            <w:r>
              <w:rPr>
                <w:lang w:eastAsia="en-US"/>
              </w:rPr>
              <w:t>Date of hearing</w:t>
            </w:r>
          </w:p>
        </w:tc>
        <w:tc>
          <w:tcPr>
            <w:tcW w:w="5279" w:type="dxa"/>
          </w:tcPr>
          <w:p w:rsidR="005B516D" w:rsidRPr="00771CAC" w:rsidRDefault="005B516D" w:rsidP="004365B2">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Pr>
                <w:b/>
                <w:bCs/>
                <w:lang w:eastAsia="en-US"/>
              </w:rPr>
              <w:t>12 November 2015</w:t>
            </w:r>
            <w:r>
              <w:rPr>
                <w:b/>
                <w:bCs/>
                <w:lang w:eastAsia="en-US"/>
              </w:rPr>
              <w:fldChar w:fldCharType="end"/>
            </w:r>
          </w:p>
        </w:tc>
      </w:tr>
      <w:tr w:rsidR="005B516D" w:rsidRPr="00BC2D09" w:rsidTr="004365B2">
        <w:trPr>
          <w:trHeight w:val="567"/>
        </w:trPr>
        <w:tc>
          <w:tcPr>
            <w:tcW w:w="3510" w:type="dxa"/>
          </w:tcPr>
          <w:p w:rsidR="005B516D" w:rsidRPr="00BC2D09" w:rsidRDefault="005B516D" w:rsidP="004365B2">
            <w:pPr>
              <w:pStyle w:val="NoSpacing"/>
              <w:rPr>
                <w:lang w:eastAsia="en-US"/>
              </w:rPr>
            </w:pPr>
            <w:bookmarkStart w:id="11" w:name="DateFinalSubmission"/>
            <w:bookmarkStart w:id="12" w:name="Applicant_Advocate"/>
            <w:bookmarkEnd w:id="11"/>
            <w:bookmarkEnd w:id="12"/>
            <w:r>
              <w:rPr>
                <w:lang w:eastAsia="en-US"/>
              </w:rPr>
              <w:t>Advocate for the Applicant</w:t>
            </w:r>
          </w:p>
        </w:tc>
        <w:tc>
          <w:tcPr>
            <w:tcW w:w="5279" w:type="dxa"/>
          </w:tcPr>
          <w:p w:rsidR="005B516D" w:rsidRPr="00771CAC" w:rsidRDefault="005B516D" w:rsidP="004365B2">
            <w:pPr>
              <w:pStyle w:val="NoSpacing"/>
              <w:rPr>
                <w:b/>
                <w:bCs/>
                <w:lang w:eastAsia="en-US"/>
              </w:rPr>
            </w:pPr>
            <w:r>
              <w:rPr>
                <w:b/>
                <w:bCs/>
                <w:lang w:eastAsia="en-US"/>
              </w:rPr>
              <w:fldChar w:fldCharType="begin"/>
            </w:r>
            <w:r>
              <w:rPr>
                <w:b/>
                <w:bCs/>
                <w:lang w:eastAsia="en-US"/>
              </w:rPr>
              <w:instrText xml:space="preserve">DOCPROPERTY  Applicant_Advocate </w:instrText>
            </w:r>
            <w:r>
              <w:rPr>
                <w:b/>
                <w:bCs/>
                <w:lang w:eastAsia="en-US"/>
              </w:rPr>
              <w:fldChar w:fldCharType="separate"/>
            </w:r>
            <w:r>
              <w:rPr>
                <w:b/>
                <w:bCs/>
                <w:lang w:eastAsia="en-US"/>
              </w:rPr>
              <w:t xml:space="preserve">Mr M </w:t>
            </w:r>
            <w:proofErr w:type="spellStart"/>
            <w:r>
              <w:rPr>
                <w:b/>
                <w:bCs/>
                <w:lang w:eastAsia="en-US"/>
              </w:rPr>
              <w:t>Surman</w:t>
            </w:r>
            <w:proofErr w:type="spellEnd"/>
            <w:r>
              <w:rPr>
                <w:b/>
                <w:bCs/>
                <w:lang w:eastAsia="en-US"/>
              </w:rPr>
              <w:t xml:space="preserve"> </w:t>
            </w:r>
            <w:r>
              <w:rPr>
                <w:b/>
                <w:bCs/>
                <w:lang w:eastAsia="en-US"/>
              </w:rPr>
              <w:fldChar w:fldCharType="end"/>
            </w:r>
          </w:p>
        </w:tc>
      </w:tr>
      <w:tr w:rsidR="005B516D" w:rsidRPr="00BC2D09" w:rsidTr="004365B2">
        <w:trPr>
          <w:trHeight w:val="567"/>
        </w:trPr>
        <w:tc>
          <w:tcPr>
            <w:tcW w:w="3510" w:type="dxa"/>
          </w:tcPr>
          <w:p w:rsidR="005B516D" w:rsidRDefault="005B516D" w:rsidP="004365B2">
            <w:pPr>
              <w:pStyle w:val="NoSpacing"/>
              <w:rPr>
                <w:lang w:eastAsia="en-US"/>
              </w:rPr>
            </w:pPr>
            <w:bookmarkStart w:id="13" w:name="Respondent_Counsel"/>
            <w:bookmarkEnd w:id="13"/>
            <w:r>
              <w:rPr>
                <w:lang w:eastAsia="en-US"/>
              </w:rPr>
              <w:t>Counsel for the Respondent</w:t>
            </w:r>
          </w:p>
        </w:tc>
        <w:tc>
          <w:tcPr>
            <w:tcW w:w="5279" w:type="dxa"/>
          </w:tcPr>
          <w:p w:rsidR="005B516D" w:rsidRPr="00771CAC" w:rsidRDefault="005B516D" w:rsidP="004365B2">
            <w:pPr>
              <w:pStyle w:val="NoSpacing"/>
              <w:rPr>
                <w:b/>
                <w:bCs/>
                <w:lang w:eastAsia="en-US"/>
              </w:rPr>
            </w:pPr>
            <w:r>
              <w:rPr>
                <w:b/>
                <w:bCs/>
                <w:lang w:eastAsia="en-US"/>
              </w:rPr>
              <w:fldChar w:fldCharType="begin"/>
            </w:r>
            <w:r>
              <w:rPr>
                <w:b/>
                <w:bCs/>
                <w:lang w:eastAsia="en-US"/>
              </w:rPr>
              <w:instrText xml:space="preserve">DOCPROPERTY  Respondent_Counsel </w:instrText>
            </w:r>
            <w:r>
              <w:rPr>
                <w:b/>
                <w:bCs/>
                <w:lang w:eastAsia="en-US"/>
              </w:rPr>
              <w:fldChar w:fldCharType="separate"/>
            </w:r>
            <w:r>
              <w:rPr>
                <w:b/>
                <w:bCs/>
                <w:lang w:eastAsia="en-US"/>
              </w:rPr>
              <w:t>Ms M Brennan</w:t>
            </w:r>
            <w:r>
              <w:rPr>
                <w:b/>
                <w:bCs/>
                <w:lang w:eastAsia="en-US"/>
              </w:rPr>
              <w:fldChar w:fldCharType="end"/>
            </w:r>
            <w:r w:rsidR="00D319BF">
              <w:rPr>
                <w:b/>
                <w:bCs/>
                <w:lang w:eastAsia="en-US"/>
              </w:rPr>
              <w:t xml:space="preserve"> QC</w:t>
            </w:r>
          </w:p>
        </w:tc>
      </w:tr>
      <w:tr w:rsidR="005B516D" w:rsidRPr="00BC2D09" w:rsidTr="004365B2">
        <w:trPr>
          <w:trHeight w:val="567"/>
        </w:trPr>
        <w:tc>
          <w:tcPr>
            <w:tcW w:w="3510" w:type="dxa"/>
          </w:tcPr>
          <w:p w:rsidR="005B516D" w:rsidRDefault="005B516D" w:rsidP="004365B2">
            <w:pPr>
              <w:pStyle w:val="NoSpacing"/>
              <w:rPr>
                <w:lang w:eastAsia="en-US"/>
              </w:rPr>
            </w:pPr>
            <w:bookmarkStart w:id="14" w:name="Respondent_Solicitors"/>
            <w:bookmarkEnd w:id="14"/>
            <w:r>
              <w:rPr>
                <w:lang w:eastAsia="en-US"/>
              </w:rPr>
              <w:t>Solicitors for the Respondent</w:t>
            </w:r>
          </w:p>
        </w:tc>
        <w:tc>
          <w:tcPr>
            <w:tcW w:w="5279" w:type="dxa"/>
          </w:tcPr>
          <w:p w:rsidR="005B516D" w:rsidRPr="00771CAC" w:rsidRDefault="005B516D" w:rsidP="004365B2">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Pr>
                <w:b/>
                <w:bCs/>
                <w:lang w:eastAsia="en-US"/>
              </w:rPr>
              <w:t>Australian Government Solicitor</w:t>
            </w:r>
            <w:r>
              <w:rPr>
                <w:b/>
                <w:bCs/>
                <w:lang w:eastAsia="en-US"/>
              </w:rPr>
              <w:fldChar w:fldCharType="end"/>
            </w:r>
          </w:p>
        </w:tc>
      </w:tr>
    </w:tbl>
    <w:p w:rsidR="00391759" w:rsidRDefault="00391759" w:rsidP="005B516D"/>
    <w:sectPr w:rsidR="00391759" w:rsidSect="006D113F">
      <w:headerReference w:type="even" r:id="rId9"/>
      <w:footerReference w:type="default" r:id="rId10"/>
      <w:headerReference w:type="first" r:id="rId11"/>
      <w:footerReference w:type="first" r:id="rId12"/>
      <w:type w:val="continuous"/>
      <w:pgSz w:w="11907" w:h="16834" w:code="9"/>
      <w:pgMar w:top="1758" w:right="1134" w:bottom="1758" w:left="198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1C3" w:rsidRDefault="005951C3">
      <w:r>
        <w:separator/>
      </w:r>
    </w:p>
    <w:p w:rsidR="005951C3" w:rsidRDefault="005951C3"/>
  </w:endnote>
  <w:endnote w:type="continuationSeparator" w:id="0">
    <w:p w:rsidR="005951C3" w:rsidRDefault="005951C3">
      <w:r>
        <w:continuationSeparator/>
      </w:r>
    </w:p>
    <w:p w:rsidR="005951C3" w:rsidRDefault="005951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3B4BBD" w:rsidRPr="006F16E0" w:rsidTr="003B4BBD">
      <w:tc>
        <w:tcPr>
          <w:tcW w:w="1447" w:type="dxa"/>
          <w:vAlign w:val="center"/>
        </w:tcPr>
        <w:p w:rsidR="003B4BBD" w:rsidRPr="006F16E0" w:rsidRDefault="003B4BBD" w:rsidP="003B4BBD">
          <w:pPr>
            <w:pStyle w:val="Footer"/>
          </w:pPr>
        </w:p>
      </w:tc>
      <w:tc>
        <w:tcPr>
          <w:tcW w:w="8763" w:type="dxa"/>
          <w:vAlign w:val="center"/>
        </w:tcPr>
        <w:p w:rsidR="003B4BBD" w:rsidRPr="006F16E0" w:rsidRDefault="003B4BBD" w:rsidP="003B4BBD">
          <w:pPr>
            <w:pStyle w:val="Footer"/>
            <w:jc w:val="right"/>
          </w:pPr>
          <w:r>
            <w:t xml:space="preserve">Page </w:t>
          </w:r>
          <w:r>
            <w:fldChar w:fldCharType="begin"/>
          </w:r>
          <w:r>
            <w:instrText xml:space="preserve"> PAGE  \* Arabic </w:instrText>
          </w:r>
          <w:r>
            <w:fldChar w:fldCharType="separate"/>
          </w:r>
          <w:r w:rsidR="00876760">
            <w:rPr>
              <w:noProof/>
            </w:rPr>
            <w:t>8</w:t>
          </w:r>
          <w:r>
            <w:fldChar w:fldCharType="end"/>
          </w:r>
          <w:r>
            <w:t xml:space="preserve"> of </w:t>
          </w:r>
          <w:r w:rsidR="00876760">
            <w:fldChar w:fldCharType="begin"/>
          </w:r>
          <w:r w:rsidR="00876760">
            <w:instrText xml:space="preserve"> NUMPAGES  \* Arabic </w:instrText>
          </w:r>
          <w:r w:rsidR="00876760">
            <w:fldChar w:fldCharType="separate"/>
          </w:r>
          <w:r w:rsidR="00876760">
            <w:rPr>
              <w:noProof/>
            </w:rPr>
            <w:t>8</w:t>
          </w:r>
          <w:r w:rsidR="00876760">
            <w:rPr>
              <w:noProof/>
            </w:rPr>
            <w:fldChar w:fldCharType="end"/>
          </w:r>
        </w:p>
      </w:tc>
    </w:tr>
  </w:tbl>
  <w:p w:rsidR="003B4BBD" w:rsidRDefault="003B4B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3B4BBD" w:rsidTr="003B4BBD">
      <w:tc>
        <w:tcPr>
          <w:tcW w:w="1447" w:type="dxa"/>
          <w:vAlign w:val="center"/>
        </w:tcPr>
        <w:p w:rsidR="003B4BBD" w:rsidRDefault="003B4BBD" w:rsidP="003B4BBD">
          <w:pPr>
            <w:pStyle w:val="FooterPage1"/>
          </w:pPr>
        </w:p>
      </w:tc>
      <w:tc>
        <w:tcPr>
          <w:tcW w:w="8763" w:type="dxa"/>
          <w:tcBorders>
            <w:left w:val="nil"/>
          </w:tcBorders>
          <w:tcMar>
            <w:left w:w="85" w:type="dxa"/>
          </w:tcMar>
          <w:vAlign w:val="center"/>
        </w:tcPr>
        <w:p w:rsidR="003B4BBD" w:rsidRDefault="003B4BBD" w:rsidP="009C773B">
          <w:pPr>
            <w:pStyle w:val="FooterPage1"/>
            <w:jc w:val="right"/>
          </w:pPr>
          <w:r>
            <w:t xml:space="preserve">© Commonwealth of Australia </w:t>
          </w:r>
          <w:r>
            <w:fldChar w:fldCharType="begin"/>
          </w:r>
          <w:r>
            <w:instrText xml:space="preserve"> DATE  \@ "yyyy" </w:instrText>
          </w:r>
          <w:r>
            <w:fldChar w:fldCharType="separate"/>
          </w:r>
          <w:r w:rsidR="00876760">
            <w:rPr>
              <w:noProof/>
            </w:rPr>
            <w:t>2015</w:t>
          </w:r>
          <w:r>
            <w:fldChar w:fldCharType="end"/>
          </w:r>
        </w:p>
      </w:tc>
    </w:tr>
  </w:tbl>
  <w:p w:rsidR="003B4BBD" w:rsidRDefault="003B4BB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1C3" w:rsidRDefault="005951C3">
      <w:r>
        <w:separator/>
      </w:r>
    </w:p>
  </w:footnote>
  <w:footnote w:type="continuationSeparator" w:id="0">
    <w:p w:rsidR="005951C3" w:rsidRDefault="005951C3">
      <w:r>
        <w:continuationSeparator/>
      </w:r>
    </w:p>
    <w:p w:rsidR="005951C3" w:rsidRDefault="005951C3"/>
  </w:footnote>
  <w:footnote w:id="1">
    <w:p w:rsidR="005D3212" w:rsidRDefault="005D3212">
      <w:pPr>
        <w:pStyle w:val="FootnoteText"/>
      </w:pPr>
      <w:r>
        <w:rPr>
          <w:rStyle w:val="FootnoteReference"/>
        </w:rPr>
        <w:footnoteRef/>
      </w:r>
      <w:r>
        <w:t xml:space="preserve"> </w:t>
      </w:r>
      <w:r>
        <w:tab/>
      </w:r>
      <w:proofErr w:type="gramStart"/>
      <w:r>
        <w:t>Exhibit 1, page 58.</w:t>
      </w:r>
      <w:proofErr w:type="gramEnd"/>
    </w:p>
  </w:footnote>
  <w:footnote w:id="2">
    <w:p w:rsidR="005D3212" w:rsidRDefault="005D3212">
      <w:pPr>
        <w:pStyle w:val="FootnoteText"/>
      </w:pPr>
      <w:r>
        <w:rPr>
          <w:rStyle w:val="FootnoteReference"/>
        </w:rPr>
        <w:footnoteRef/>
      </w:r>
      <w:r>
        <w:t xml:space="preserve"> </w:t>
      </w:r>
      <w:r>
        <w:tab/>
      </w:r>
      <w:proofErr w:type="gramStart"/>
      <w:r>
        <w:t>Exhibit 1, page 60.</w:t>
      </w:r>
      <w:proofErr w:type="gramEnd"/>
    </w:p>
  </w:footnote>
  <w:footnote w:id="3">
    <w:p w:rsidR="005D3212" w:rsidRDefault="005D3212">
      <w:pPr>
        <w:pStyle w:val="FootnoteText"/>
      </w:pPr>
      <w:r>
        <w:rPr>
          <w:rStyle w:val="FootnoteReference"/>
        </w:rPr>
        <w:footnoteRef/>
      </w:r>
      <w:r w:rsidR="0097030C">
        <w:t xml:space="preserve"> </w:t>
      </w:r>
      <w:r w:rsidR="0097030C">
        <w:tab/>
        <w:t xml:space="preserve">Exhibit 1, pages 64 – </w:t>
      </w:r>
      <w:r>
        <w:t>67.</w:t>
      </w:r>
    </w:p>
  </w:footnote>
  <w:footnote w:id="4">
    <w:p w:rsidR="001E3428" w:rsidRDefault="001E3428">
      <w:pPr>
        <w:pStyle w:val="FootnoteText"/>
      </w:pPr>
      <w:r>
        <w:rPr>
          <w:rStyle w:val="FootnoteReference"/>
        </w:rPr>
        <w:footnoteRef/>
      </w:r>
      <w:r>
        <w:t xml:space="preserve"> </w:t>
      </w:r>
      <w:r>
        <w:tab/>
        <w:t>Exhibit 1, pages 79</w:t>
      </w:r>
      <w:r w:rsidR="006D6438">
        <w:t xml:space="preserve"> – </w:t>
      </w:r>
      <w:r>
        <w:t>91.</w:t>
      </w:r>
    </w:p>
  </w:footnote>
  <w:footnote w:id="5">
    <w:p w:rsidR="001E3428" w:rsidRDefault="001E3428">
      <w:pPr>
        <w:pStyle w:val="FootnoteText"/>
      </w:pPr>
      <w:r>
        <w:rPr>
          <w:rStyle w:val="FootnoteReference"/>
        </w:rPr>
        <w:footnoteRef/>
      </w:r>
      <w:r>
        <w:t xml:space="preserve"> </w:t>
      </w:r>
      <w:r>
        <w:tab/>
      </w:r>
      <w:proofErr w:type="gramStart"/>
      <w:r>
        <w:t>Exhibit 1, page 69.</w:t>
      </w:r>
      <w:proofErr w:type="gramEnd"/>
    </w:p>
  </w:footnote>
  <w:footnote w:id="6">
    <w:p w:rsidR="00A73F62" w:rsidRDefault="00A73F62">
      <w:pPr>
        <w:pStyle w:val="FootnoteText"/>
      </w:pPr>
      <w:r>
        <w:rPr>
          <w:rStyle w:val="FootnoteReference"/>
        </w:rPr>
        <w:footnoteRef/>
      </w:r>
      <w:r>
        <w:t xml:space="preserve"> </w:t>
      </w:r>
      <w:r>
        <w:tab/>
      </w:r>
      <w:proofErr w:type="gramStart"/>
      <w:r>
        <w:t>Exhibit 1, page 75.</w:t>
      </w:r>
      <w:proofErr w:type="gramEnd"/>
    </w:p>
  </w:footnote>
  <w:footnote w:id="7">
    <w:p w:rsidR="006D6438" w:rsidRDefault="006D6438" w:rsidP="006D6438">
      <w:pPr>
        <w:pStyle w:val="FootnoteText"/>
      </w:pPr>
      <w:r>
        <w:rPr>
          <w:rStyle w:val="FootnoteReference"/>
        </w:rPr>
        <w:footnoteRef/>
      </w:r>
      <w:r>
        <w:t xml:space="preserve"> </w:t>
      </w:r>
      <w:r>
        <w:tab/>
        <w:t>Exhibit 1, pages 92 – 93.</w:t>
      </w:r>
    </w:p>
  </w:footnote>
  <w:footnote w:id="8">
    <w:p w:rsidR="00A73F62" w:rsidRDefault="00A73F62">
      <w:pPr>
        <w:pStyle w:val="FootnoteText"/>
      </w:pPr>
      <w:r>
        <w:rPr>
          <w:rStyle w:val="FootnoteReference"/>
        </w:rPr>
        <w:footnoteRef/>
      </w:r>
      <w:r>
        <w:t xml:space="preserve"> </w:t>
      </w:r>
      <w:r>
        <w:tab/>
        <w:t>Exhibit 1, pages 94</w:t>
      </w:r>
      <w:r w:rsidR="006D6438">
        <w:t xml:space="preserve"> – </w:t>
      </w:r>
      <w:r>
        <w:t>98.</w:t>
      </w:r>
    </w:p>
  </w:footnote>
  <w:footnote w:id="9">
    <w:p w:rsidR="00A73F62" w:rsidRDefault="00A73F62">
      <w:pPr>
        <w:pStyle w:val="FootnoteText"/>
      </w:pPr>
      <w:r>
        <w:rPr>
          <w:rStyle w:val="FootnoteReference"/>
        </w:rPr>
        <w:footnoteRef/>
      </w:r>
      <w:r>
        <w:t xml:space="preserve"> </w:t>
      </w:r>
      <w:r>
        <w:tab/>
        <w:t>Exhibit 1, pages 101</w:t>
      </w:r>
      <w:r w:rsidR="006D6438">
        <w:t xml:space="preserve"> – </w:t>
      </w:r>
      <w:r>
        <w:t>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BBD" w:rsidRDefault="003B4BBD">
    <w:pPr>
      <w:framePr w:wrap="around" w:vAnchor="text" w:hAnchor="margin" w:xAlign="center" w:y="1"/>
      <w:numPr>
        <w:ilvl w:val="12"/>
        <w:numId w:val="0"/>
      </w:numPr>
      <w:ind w:hanging="851"/>
    </w:pPr>
    <w:r>
      <w:fldChar w:fldCharType="begin"/>
    </w:r>
    <w:r>
      <w:instrText xml:space="preserve">PAGE  </w:instrText>
    </w:r>
    <w:r>
      <w:fldChar w:fldCharType="end"/>
    </w:r>
  </w:p>
  <w:p w:rsidR="003B4BBD" w:rsidRDefault="003B4BBD">
    <w:pPr>
      <w:numPr>
        <w:ilvl w:val="12"/>
        <w:numId w:val="0"/>
      </w:numPr>
      <w:ind w:hanging="851"/>
    </w:pPr>
  </w:p>
  <w:p w:rsidR="003B4BBD" w:rsidRDefault="003B4B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7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407"/>
      <w:gridCol w:w="3969"/>
    </w:tblGrid>
    <w:tr w:rsidR="003B4BBD" w:rsidTr="003B4BBD">
      <w:trPr>
        <w:trHeight w:hRule="exact" w:val="1702"/>
      </w:trPr>
      <w:tc>
        <w:tcPr>
          <w:tcW w:w="6407" w:type="dxa"/>
        </w:tcPr>
        <w:p w:rsidR="003B4BBD" w:rsidRDefault="003B4BBD" w:rsidP="003B4BBD">
          <w:pPr>
            <w:numPr>
              <w:ilvl w:val="12"/>
              <w:numId w:val="0"/>
            </w:numPr>
          </w:pPr>
          <w:r>
            <w:rPr>
              <w:noProof/>
            </w:rPr>
            <w:drawing>
              <wp:inline distT="0" distB="0" distL="0" distR="0" wp14:anchorId="11C50D7F" wp14:editId="4FA38CBD">
                <wp:extent cx="2448000" cy="9169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T master logo-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000" cy="916990"/>
                        </a:xfrm>
                        <a:prstGeom prst="rect">
                          <a:avLst/>
                        </a:prstGeom>
                      </pic:spPr>
                    </pic:pic>
                  </a:graphicData>
                </a:graphic>
              </wp:inline>
            </w:drawing>
          </w:r>
        </w:p>
      </w:tc>
      <w:tc>
        <w:tcPr>
          <w:tcW w:w="3969" w:type="dxa"/>
          <w:vAlign w:val="bottom"/>
        </w:tcPr>
        <w:p w:rsidR="003B4BBD" w:rsidRDefault="003B4BBD" w:rsidP="003B4BBD">
          <w:pPr>
            <w:numPr>
              <w:ilvl w:val="12"/>
              <w:numId w:val="0"/>
            </w:numPr>
            <w:jc w:val="right"/>
          </w:pPr>
          <w:r>
            <w:rPr>
              <w:noProof/>
            </w:rPr>
            <w:drawing>
              <wp:inline distT="0" distB="0" distL="0" distR="0" wp14:anchorId="505B1310" wp14:editId="50F735F0">
                <wp:extent cx="2145600" cy="313200"/>
                <wp:effectExtent l="0" t="0" r="7620" b="0"/>
                <wp:docPr id="8" name="Picture 8"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3B4BBD" w:rsidRDefault="003B4BBD"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DCE73BB"/>
    <w:multiLevelType w:val="multilevel"/>
    <w:tmpl w:val="41AE35B0"/>
    <w:numStyleLink w:val="ListNumbers"/>
  </w:abstractNum>
  <w:abstractNum w:abstractNumId="1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6">
    <w:nsid w:val="495036ED"/>
    <w:multiLevelType w:val="multilevel"/>
    <w:tmpl w:val="C38441E4"/>
    <w:numStyleLink w:val="Quotes"/>
  </w:abstractNum>
  <w:abstractNum w:abstractNumId="17">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8">
    <w:nsid w:val="55310AC7"/>
    <w:multiLevelType w:val="multilevel"/>
    <w:tmpl w:val="2160D004"/>
    <w:numStyleLink w:val="Bullets"/>
  </w:abstractNum>
  <w:abstractNum w:abstractNumId="19">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0">
    <w:nsid w:val="641E12EB"/>
    <w:multiLevelType w:val="multilevel"/>
    <w:tmpl w:val="2160D004"/>
    <w:numStyleLink w:val="Bullets"/>
  </w:abstractNum>
  <w:abstractNum w:abstractNumId="21">
    <w:nsid w:val="6B060E1C"/>
    <w:multiLevelType w:val="multilevel"/>
    <w:tmpl w:val="41AE35B0"/>
    <w:numStyleLink w:val="ListNumbers"/>
  </w:abstractNum>
  <w:abstractNum w:abstractNumId="22">
    <w:nsid w:val="74DC79E0"/>
    <w:multiLevelType w:val="multilevel"/>
    <w:tmpl w:val="2160D004"/>
    <w:numStyleLink w:val="Bullets"/>
  </w:abstractNum>
  <w:abstractNum w:abstractNumId="23">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4">
    <w:nsid w:val="7FAF2430"/>
    <w:multiLevelType w:val="multilevel"/>
    <w:tmpl w:val="2160D004"/>
    <w:numStyleLink w:val="Bullets"/>
  </w:abstractNum>
  <w:num w:numId="1">
    <w:abstractNumId w:val="10"/>
  </w:num>
  <w:num w:numId="2">
    <w:abstractNumId w:val="19"/>
  </w:num>
  <w:num w:numId="3">
    <w:abstractNumId w:val="19"/>
  </w:num>
  <w:num w:numId="4">
    <w:abstractNumId w:val="10"/>
  </w:num>
  <w:num w:numId="5">
    <w:abstractNumId w:val="23"/>
  </w:num>
  <w:num w:numId="6">
    <w:abstractNumId w:val="23"/>
  </w:num>
  <w:num w:numId="7">
    <w:abstractNumId w:val="23"/>
  </w:num>
  <w:num w:numId="8">
    <w:abstractNumId w:val="23"/>
  </w:num>
  <w:num w:numId="9">
    <w:abstractNumId w:val="9"/>
  </w:num>
  <w:num w:numId="10">
    <w:abstractNumId w:val="14"/>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5"/>
  </w:num>
  <w:num w:numId="22">
    <w:abstractNumId w:val="22"/>
  </w:num>
  <w:num w:numId="23">
    <w:abstractNumId w:val="24"/>
  </w:num>
  <w:num w:numId="24">
    <w:abstractNumId w:val="6"/>
  </w:num>
  <w:num w:numId="25">
    <w:abstractNumId w:val="5"/>
  </w:num>
  <w:num w:numId="26">
    <w:abstractNumId w:val="18"/>
  </w:num>
  <w:num w:numId="27">
    <w:abstractNumId w:val="20"/>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1"/>
  </w:num>
  <w:num w:numId="38">
    <w:abstractNumId w:val="8"/>
  </w:num>
  <w:num w:numId="39">
    <w:abstractNumId w:val="8"/>
  </w:num>
  <w:num w:numId="40">
    <w:abstractNumId w:val="8"/>
  </w:num>
  <w:num w:numId="41">
    <w:abstractNumId w:val="8"/>
  </w:num>
  <w:num w:numId="42">
    <w:abstractNumId w:val="12"/>
  </w:num>
  <w:num w:numId="43">
    <w:abstractNumId w:val="16"/>
  </w:num>
  <w:num w:numId="44">
    <w:abstractNumId w:val="11"/>
  </w:num>
  <w:num w:numId="45">
    <w:abstractNumId w:val="17"/>
  </w:num>
  <w:num w:numId="46">
    <w:abstractNumId w:val="17"/>
  </w:num>
  <w:num w:numId="47">
    <w:abstractNumId w:val="7"/>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False"/>
  </w:docVars>
  <w:rsids>
    <w:rsidRoot w:val="005951C3"/>
    <w:rsid w:val="00000438"/>
    <w:rsid w:val="00000788"/>
    <w:rsid w:val="00004028"/>
    <w:rsid w:val="00004916"/>
    <w:rsid w:val="00005D43"/>
    <w:rsid w:val="00010D8F"/>
    <w:rsid w:val="0001309B"/>
    <w:rsid w:val="00016E32"/>
    <w:rsid w:val="000176A5"/>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51969"/>
    <w:rsid w:val="000533BE"/>
    <w:rsid w:val="00054765"/>
    <w:rsid w:val="0005765E"/>
    <w:rsid w:val="00066A89"/>
    <w:rsid w:val="00072703"/>
    <w:rsid w:val="00074057"/>
    <w:rsid w:val="00076AE1"/>
    <w:rsid w:val="00077D8F"/>
    <w:rsid w:val="00077E34"/>
    <w:rsid w:val="0008091F"/>
    <w:rsid w:val="00082425"/>
    <w:rsid w:val="000852E6"/>
    <w:rsid w:val="0008639E"/>
    <w:rsid w:val="00086AFC"/>
    <w:rsid w:val="000903C8"/>
    <w:rsid w:val="0009045E"/>
    <w:rsid w:val="0009097C"/>
    <w:rsid w:val="00096477"/>
    <w:rsid w:val="000979EF"/>
    <w:rsid w:val="000A058C"/>
    <w:rsid w:val="000A2C43"/>
    <w:rsid w:val="000A3B7B"/>
    <w:rsid w:val="000A40FB"/>
    <w:rsid w:val="000A6277"/>
    <w:rsid w:val="000B05AB"/>
    <w:rsid w:val="000B41C7"/>
    <w:rsid w:val="000B799C"/>
    <w:rsid w:val="000B7E7F"/>
    <w:rsid w:val="000C0421"/>
    <w:rsid w:val="000C200E"/>
    <w:rsid w:val="000C716A"/>
    <w:rsid w:val="000D1F26"/>
    <w:rsid w:val="000E14C4"/>
    <w:rsid w:val="000E35BC"/>
    <w:rsid w:val="000E3B5A"/>
    <w:rsid w:val="000E4089"/>
    <w:rsid w:val="000E5FB6"/>
    <w:rsid w:val="000F18F4"/>
    <w:rsid w:val="000F6FDF"/>
    <w:rsid w:val="001064ED"/>
    <w:rsid w:val="00110450"/>
    <w:rsid w:val="00110C0F"/>
    <w:rsid w:val="00111F84"/>
    <w:rsid w:val="001131C2"/>
    <w:rsid w:val="00114BD8"/>
    <w:rsid w:val="0011681C"/>
    <w:rsid w:val="00117552"/>
    <w:rsid w:val="0012021D"/>
    <w:rsid w:val="001209DA"/>
    <w:rsid w:val="00122092"/>
    <w:rsid w:val="001220FF"/>
    <w:rsid w:val="00122EFA"/>
    <w:rsid w:val="0013307E"/>
    <w:rsid w:val="00143874"/>
    <w:rsid w:val="0014665F"/>
    <w:rsid w:val="001466C7"/>
    <w:rsid w:val="00152EB0"/>
    <w:rsid w:val="00155013"/>
    <w:rsid w:val="00156035"/>
    <w:rsid w:val="00161B81"/>
    <w:rsid w:val="001623BA"/>
    <w:rsid w:val="001625D8"/>
    <w:rsid w:val="0016425D"/>
    <w:rsid w:val="0016773D"/>
    <w:rsid w:val="00170921"/>
    <w:rsid w:val="00170BEE"/>
    <w:rsid w:val="00174965"/>
    <w:rsid w:val="001761FE"/>
    <w:rsid w:val="00177ECF"/>
    <w:rsid w:val="001803FE"/>
    <w:rsid w:val="00183666"/>
    <w:rsid w:val="001851A9"/>
    <w:rsid w:val="00185304"/>
    <w:rsid w:val="0018598D"/>
    <w:rsid w:val="00187636"/>
    <w:rsid w:val="00197BFF"/>
    <w:rsid w:val="001A2C68"/>
    <w:rsid w:val="001A3530"/>
    <w:rsid w:val="001A364D"/>
    <w:rsid w:val="001A364E"/>
    <w:rsid w:val="001A37DD"/>
    <w:rsid w:val="001A4085"/>
    <w:rsid w:val="001A4617"/>
    <w:rsid w:val="001B7953"/>
    <w:rsid w:val="001C1058"/>
    <w:rsid w:val="001C4A4A"/>
    <w:rsid w:val="001C59B1"/>
    <w:rsid w:val="001D0804"/>
    <w:rsid w:val="001D5528"/>
    <w:rsid w:val="001D5B26"/>
    <w:rsid w:val="001D661E"/>
    <w:rsid w:val="001D734A"/>
    <w:rsid w:val="001E0794"/>
    <w:rsid w:val="001E1E9E"/>
    <w:rsid w:val="001E237C"/>
    <w:rsid w:val="001E3428"/>
    <w:rsid w:val="001E4799"/>
    <w:rsid w:val="001F058C"/>
    <w:rsid w:val="001F2404"/>
    <w:rsid w:val="001F2C5D"/>
    <w:rsid w:val="001F3698"/>
    <w:rsid w:val="001F708A"/>
    <w:rsid w:val="001F711F"/>
    <w:rsid w:val="00200058"/>
    <w:rsid w:val="00200390"/>
    <w:rsid w:val="00201958"/>
    <w:rsid w:val="00202BDD"/>
    <w:rsid w:val="002037D9"/>
    <w:rsid w:val="00203F58"/>
    <w:rsid w:val="002044E0"/>
    <w:rsid w:val="0020595F"/>
    <w:rsid w:val="002101C7"/>
    <w:rsid w:val="0021136A"/>
    <w:rsid w:val="00211543"/>
    <w:rsid w:val="002135E8"/>
    <w:rsid w:val="002137DF"/>
    <w:rsid w:val="00213896"/>
    <w:rsid w:val="00215BDF"/>
    <w:rsid w:val="00215E98"/>
    <w:rsid w:val="00217DAA"/>
    <w:rsid w:val="002216BD"/>
    <w:rsid w:val="002257FA"/>
    <w:rsid w:val="002260F4"/>
    <w:rsid w:val="002276C4"/>
    <w:rsid w:val="00230141"/>
    <w:rsid w:val="00237992"/>
    <w:rsid w:val="00242AEC"/>
    <w:rsid w:val="0024473D"/>
    <w:rsid w:val="0024549E"/>
    <w:rsid w:val="00253104"/>
    <w:rsid w:val="00256FC5"/>
    <w:rsid w:val="002607D3"/>
    <w:rsid w:val="00264A1D"/>
    <w:rsid w:val="00271135"/>
    <w:rsid w:val="002735B9"/>
    <w:rsid w:val="00273B5A"/>
    <w:rsid w:val="0027496E"/>
    <w:rsid w:val="002754A6"/>
    <w:rsid w:val="002754F8"/>
    <w:rsid w:val="00275E2F"/>
    <w:rsid w:val="002801D9"/>
    <w:rsid w:val="00280F2B"/>
    <w:rsid w:val="002839BF"/>
    <w:rsid w:val="00287811"/>
    <w:rsid w:val="00287FE0"/>
    <w:rsid w:val="002944AA"/>
    <w:rsid w:val="0029482B"/>
    <w:rsid w:val="002954D6"/>
    <w:rsid w:val="00295ACC"/>
    <w:rsid w:val="00297BAC"/>
    <w:rsid w:val="00297EA1"/>
    <w:rsid w:val="002A40EA"/>
    <w:rsid w:val="002A5BD8"/>
    <w:rsid w:val="002A6D3A"/>
    <w:rsid w:val="002B1002"/>
    <w:rsid w:val="002B4F02"/>
    <w:rsid w:val="002B52FA"/>
    <w:rsid w:val="002C009A"/>
    <w:rsid w:val="002C1516"/>
    <w:rsid w:val="002C1D28"/>
    <w:rsid w:val="002C2118"/>
    <w:rsid w:val="002C7E16"/>
    <w:rsid w:val="002D3429"/>
    <w:rsid w:val="002D7F26"/>
    <w:rsid w:val="002E599F"/>
    <w:rsid w:val="002E6962"/>
    <w:rsid w:val="002E7FBA"/>
    <w:rsid w:val="002F0D19"/>
    <w:rsid w:val="002F0F50"/>
    <w:rsid w:val="002F3DDF"/>
    <w:rsid w:val="002F6956"/>
    <w:rsid w:val="002F7E7B"/>
    <w:rsid w:val="00301154"/>
    <w:rsid w:val="00301B1E"/>
    <w:rsid w:val="0030226A"/>
    <w:rsid w:val="00305792"/>
    <w:rsid w:val="003058C9"/>
    <w:rsid w:val="003070FA"/>
    <w:rsid w:val="00307689"/>
    <w:rsid w:val="003152B2"/>
    <w:rsid w:val="00323B7B"/>
    <w:rsid w:val="00325D17"/>
    <w:rsid w:val="00325EC3"/>
    <w:rsid w:val="0032657E"/>
    <w:rsid w:val="00331390"/>
    <w:rsid w:val="00331966"/>
    <w:rsid w:val="00332389"/>
    <w:rsid w:val="003345C3"/>
    <w:rsid w:val="00336C16"/>
    <w:rsid w:val="0034191E"/>
    <w:rsid w:val="00342BEC"/>
    <w:rsid w:val="00343163"/>
    <w:rsid w:val="003436FA"/>
    <w:rsid w:val="00350976"/>
    <w:rsid w:val="00352348"/>
    <w:rsid w:val="00352381"/>
    <w:rsid w:val="003530AA"/>
    <w:rsid w:val="003579F7"/>
    <w:rsid w:val="00357F88"/>
    <w:rsid w:val="003739F4"/>
    <w:rsid w:val="00380425"/>
    <w:rsid w:val="00382E91"/>
    <w:rsid w:val="003868D3"/>
    <w:rsid w:val="00391759"/>
    <w:rsid w:val="00391A9B"/>
    <w:rsid w:val="00394A18"/>
    <w:rsid w:val="00395365"/>
    <w:rsid w:val="00395B38"/>
    <w:rsid w:val="003976F4"/>
    <w:rsid w:val="00397AC3"/>
    <w:rsid w:val="003A1F50"/>
    <w:rsid w:val="003A5522"/>
    <w:rsid w:val="003B4BBD"/>
    <w:rsid w:val="003B6DAC"/>
    <w:rsid w:val="003C12DE"/>
    <w:rsid w:val="003C3A2F"/>
    <w:rsid w:val="003C6C6D"/>
    <w:rsid w:val="003D2450"/>
    <w:rsid w:val="003D2ACC"/>
    <w:rsid w:val="003D4BB1"/>
    <w:rsid w:val="003D725E"/>
    <w:rsid w:val="003E1FE6"/>
    <w:rsid w:val="003E261A"/>
    <w:rsid w:val="003E45BA"/>
    <w:rsid w:val="003E5E87"/>
    <w:rsid w:val="003E64EB"/>
    <w:rsid w:val="003F2BEB"/>
    <w:rsid w:val="003F3503"/>
    <w:rsid w:val="003F5488"/>
    <w:rsid w:val="00401581"/>
    <w:rsid w:val="004050E6"/>
    <w:rsid w:val="00406B68"/>
    <w:rsid w:val="00411738"/>
    <w:rsid w:val="004152C5"/>
    <w:rsid w:val="00416CE8"/>
    <w:rsid w:val="00417658"/>
    <w:rsid w:val="00426A4B"/>
    <w:rsid w:val="00434C15"/>
    <w:rsid w:val="00434C43"/>
    <w:rsid w:val="0044330A"/>
    <w:rsid w:val="0045440C"/>
    <w:rsid w:val="00454437"/>
    <w:rsid w:val="00463C53"/>
    <w:rsid w:val="00466655"/>
    <w:rsid w:val="0047066D"/>
    <w:rsid w:val="00472670"/>
    <w:rsid w:val="004727B7"/>
    <w:rsid w:val="00473144"/>
    <w:rsid w:val="00473AB1"/>
    <w:rsid w:val="00480DF4"/>
    <w:rsid w:val="004856B3"/>
    <w:rsid w:val="00485A89"/>
    <w:rsid w:val="004905BD"/>
    <w:rsid w:val="00490C0A"/>
    <w:rsid w:val="004A0002"/>
    <w:rsid w:val="004A4F2C"/>
    <w:rsid w:val="004A55A2"/>
    <w:rsid w:val="004A75CC"/>
    <w:rsid w:val="004B6924"/>
    <w:rsid w:val="004C4132"/>
    <w:rsid w:val="004C7483"/>
    <w:rsid w:val="004C74C6"/>
    <w:rsid w:val="004D0176"/>
    <w:rsid w:val="004D3365"/>
    <w:rsid w:val="004E5063"/>
    <w:rsid w:val="004E50C2"/>
    <w:rsid w:val="004E720A"/>
    <w:rsid w:val="004E7541"/>
    <w:rsid w:val="004F0A37"/>
    <w:rsid w:val="004F13F5"/>
    <w:rsid w:val="004F5034"/>
    <w:rsid w:val="004F62A5"/>
    <w:rsid w:val="004F63A1"/>
    <w:rsid w:val="0050054F"/>
    <w:rsid w:val="0050166A"/>
    <w:rsid w:val="00502ACA"/>
    <w:rsid w:val="00505CF1"/>
    <w:rsid w:val="0050670F"/>
    <w:rsid w:val="00513A55"/>
    <w:rsid w:val="0051593B"/>
    <w:rsid w:val="00520D65"/>
    <w:rsid w:val="00522817"/>
    <w:rsid w:val="00522908"/>
    <w:rsid w:val="00526022"/>
    <w:rsid w:val="0052665E"/>
    <w:rsid w:val="00531AA1"/>
    <w:rsid w:val="00531B56"/>
    <w:rsid w:val="0053335B"/>
    <w:rsid w:val="0054114B"/>
    <w:rsid w:val="00552511"/>
    <w:rsid w:val="0055292B"/>
    <w:rsid w:val="0055307E"/>
    <w:rsid w:val="00554246"/>
    <w:rsid w:val="00556B39"/>
    <w:rsid w:val="00561B98"/>
    <w:rsid w:val="005632FA"/>
    <w:rsid w:val="005706B0"/>
    <w:rsid w:val="0057112B"/>
    <w:rsid w:val="00576A65"/>
    <w:rsid w:val="00581AFC"/>
    <w:rsid w:val="005833E8"/>
    <w:rsid w:val="00585C0F"/>
    <w:rsid w:val="0058690A"/>
    <w:rsid w:val="005921CA"/>
    <w:rsid w:val="00592DF7"/>
    <w:rsid w:val="00594020"/>
    <w:rsid w:val="005940BF"/>
    <w:rsid w:val="00594DC6"/>
    <w:rsid w:val="005951C3"/>
    <w:rsid w:val="005964BE"/>
    <w:rsid w:val="005976AB"/>
    <w:rsid w:val="005A3DE1"/>
    <w:rsid w:val="005A4682"/>
    <w:rsid w:val="005A5149"/>
    <w:rsid w:val="005A51FD"/>
    <w:rsid w:val="005A5A37"/>
    <w:rsid w:val="005B23D4"/>
    <w:rsid w:val="005B3289"/>
    <w:rsid w:val="005B4862"/>
    <w:rsid w:val="005B516D"/>
    <w:rsid w:val="005B5C21"/>
    <w:rsid w:val="005C01A0"/>
    <w:rsid w:val="005C2BEF"/>
    <w:rsid w:val="005C5785"/>
    <w:rsid w:val="005C6B79"/>
    <w:rsid w:val="005D01F0"/>
    <w:rsid w:val="005D3212"/>
    <w:rsid w:val="005D39FC"/>
    <w:rsid w:val="005D594D"/>
    <w:rsid w:val="005D5DF5"/>
    <w:rsid w:val="005D6394"/>
    <w:rsid w:val="005E0F42"/>
    <w:rsid w:val="005E1A25"/>
    <w:rsid w:val="005E4260"/>
    <w:rsid w:val="005E7261"/>
    <w:rsid w:val="005F21C4"/>
    <w:rsid w:val="005F2E99"/>
    <w:rsid w:val="005F4A5B"/>
    <w:rsid w:val="005F7680"/>
    <w:rsid w:val="00600553"/>
    <w:rsid w:val="00602F9D"/>
    <w:rsid w:val="00605BAB"/>
    <w:rsid w:val="00607F3F"/>
    <w:rsid w:val="0061014E"/>
    <w:rsid w:val="00615503"/>
    <w:rsid w:val="00617636"/>
    <w:rsid w:val="00621408"/>
    <w:rsid w:val="00622FE3"/>
    <w:rsid w:val="0062609A"/>
    <w:rsid w:val="00635CEE"/>
    <w:rsid w:val="00635E9D"/>
    <w:rsid w:val="00645512"/>
    <w:rsid w:val="00647330"/>
    <w:rsid w:val="00653401"/>
    <w:rsid w:val="0066062A"/>
    <w:rsid w:val="00661217"/>
    <w:rsid w:val="00661270"/>
    <w:rsid w:val="00662B1E"/>
    <w:rsid w:val="00663243"/>
    <w:rsid w:val="00664295"/>
    <w:rsid w:val="00671BA8"/>
    <w:rsid w:val="00671D54"/>
    <w:rsid w:val="00681AA2"/>
    <w:rsid w:val="00682631"/>
    <w:rsid w:val="00690288"/>
    <w:rsid w:val="0069197D"/>
    <w:rsid w:val="006945BD"/>
    <w:rsid w:val="00696443"/>
    <w:rsid w:val="006970A2"/>
    <w:rsid w:val="006A5846"/>
    <w:rsid w:val="006A586C"/>
    <w:rsid w:val="006A6494"/>
    <w:rsid w:val="006A7826"/>
    <w:rsid w:val="006B3EE8"/>
    <w:rsid w:val="006B5946"/>
    <w:rsid w:val="006B624A"/>
    <w:rsid w:val="006B7D30"/>
    <w:rsid w:val="006C2314"/>
    <w:rsid w:val="006C4F5E"/>
    <w:rsid w:val="006C77A1"/>
    <w:rsid w:val="006D0EE2"/>
    <w:rsid w:val="006D113F"/>
    <w:rsid w:val="006D2055"/>
    <w:rsid w:val="006D20BD"/>
    <w:rsid w:val="006D3300"/>
    <w:rsid w:val="006D3A70"/>
    <w:rsid w:val="006D4055"/>
    <w:rsid w:val="006D6438"/>
    <w:rsid w:val="006D748E"/>
    <w:rsid w:val="006D7A2C"/>
    <w:rsid w:val="006D7A7B"/>
    <w:rsid w:val="006D7F83"/>
    <w:rsid w:val="006E183F"/>
    <w:rsid w:val="006E1CB3"/>
    <w:rsid w:val="006E467D"/>
    <w:rsid w:val="006E5759"/>
    <w:rsid w:val="006E5CA8"/>
    <w:rsid w:val="006F0A2D"/>
    <w:rsid w:val="006F16E0"/>
    <w:rsid w:val="006F4185"/>
    <w:rsid w:val="0070444D"/>
    <w:rsid w:val="00705F57"/>
    <w:rsid w:val="0070693C"/>
    <w:rsid w:val="0070746A"/>
    <w:rsid w:val="00707C6C"/>
    <w:rsid w:val="00713462"/>
    <w:rsid w:val="00713ADF"/>
    <w:rsid w:val="0072102D"/>
    <w:rsid w:val="00721D66"/>
    <w:rsid w:val="00724C6E"/>
    <w:rsid w:val="00726B2F"/>
    <w:rsid w:val="00726DEA"/>
    <w:rsid w:val="00727FBE"/>
    <w:rsid w:val="00731113"/>
    <w:rsid w:val="007339E9"/>
    <w:rsid w:val="00737A0D"/>
    <w:rsid w:val="007435BC"/>
    <w:rsid w:val="00746F7A"/>
    <w:rsid w:val="007511FE"/>
    <w:rsid w:val="00751737"/>
    <w:rsid w:val="00754290"/>
    <w:rsid w:val="00755234"/>
    <w:rsid w:val="007559DB"/>
    <w:rsid w:val="0075763B"/>
    <w:rsid w:val="00760AB6"/>
    <w:rsid w:val="007651A6"/>
    <w:rsid w:val="00771CAC"/>
    <w:rsid w:val="0077217E"/>
    <w:rsid w:val="0077250E"/>
    <w:rsid w:val="00773CCF"/>
    <w:rsid w:val="00776FD2"/>
    <w:rsid w:val="007800EC"/>
    <w:rsid w:val="00781470"/>
    <w:rsid w:val="0078314E"/>
    <w:rsid w:val="007840EF"/>
    <w:rsid w:val="00785FFA"/>
    <w:rsid w:val="00786D56"/>
    <w:rsid w:val="00795859"/>
    <w:rsid w:val="00797D4B"/>
    <w:rsid w:val="007B585F"/>
    <w:rsid w:val="007B6AC8"/>
    <w:rsid w:val="007B71FC"/>
    <w:rsid w:val="007C276C"/>
    <w:rsid w:val="007C2DF2"/>
    <w:rsid w:val="007C326A"/>
    <w:rsid w:val="007C7239"/>
    <w:rsid w:val="007C7784"/>
    <w:rsid w:val="007C7CFC"/>
    <w:rsid w:val="007D1803"/>
    <w:rsid w:val="007D5ED6"/>
    <w:rsid w:val="007D7592"/>
    <w:rsid w:val="007E173D"/>
    <w:rsid w:val="007F41A6"/>
    <w:rsid w:val="007F50A2"/>
    <w:rsid w:val="0080210D"/>
    <w:rsid w:val="00803D8A"/>
    <w:rsid w:val="0081024C"/>
    <w:rsid w:val="00814E7C"/>
    <w:rsid w:val="00821074"/>
    <w:rsid w:val="008233C4"/>
    <w:rsid w:val="0082393D"/>
    <w:rsid w:val="0082514B"/>
    <w:rsid w:val="00827793"/>
    <w:rsid w:val="0082795E"/>
    <w:rsid w:val="00830233"/>
    <w:rsid w:val="008337D5"/>
    <w:rsid w:val="008408EA"/>
    <w:rsid w:val="00840AB7"/>
    <w:rsid w:val="0084118E"/>
    <w:rsid w:val="00842ACE"/>
    <w:rsid w:val="0084301B"/>
    <w:rsid w:val="008526D9"/>
    <w:rsid w:val="008535EE"/>
    <w:rsid w:val="00855BBF"/>
    <w:rsid w:val="00856D59"/>
    <w:rsid w:val="00857375"/>
    <w:rsid w:val="008579F6"/>
    <w:rsid w:val="00857DD6"/>
    <w:rsid w:val="00860F03"/>
    <w:rsid w:val="00860FEC"/>
    <w:rsid w:val="008625B1"/>
    <w:rsid w:val="008629EB"/>
    <w:rsid w:val="00862CFE"/>
    <w:rsid w:val="00864777"/>
    <w:rsid w:val="00871EA2"/>
    <w:rsid w:val="008720E5"/>
    <w:rsid w:val="008728CF"/>
    <w:rsid w:val="008764FB"/>
    <w:rsid w:val="00876760"/>
    <w:rsid w:val="00876A16"/>
    <w:rsid w:val="00880CF9"/>
    <w:rsid w:val="008812E5"/>
    <w:rsid w:val="008816AE"/>
    <w:rsid w:val="00881B39"/>
    <w:rsid w:val="00887918"/>
    <w:rsid w:val="00890614"/>
    <w:rsid w:val="0089622D"/>
    <w:rsid w:val="008A238D"/>
    <w:rsid w:val="008A6374"/>
    <w:rsid w:val="008B0201"/>
    <w:rsid w:val="008B51F3"/>
    <w:rsid w:val="008B7170"/>
    <w:rsid w:val="008C1ACF"/>
    <w:rsid w:val="008C2C0A"/>
    <w:rsid w:val="008C4D87"/>
    <w:rsid w:val="008D0B03"/>
    <w:rsid w:val="008D1E16"/>
    <w:rsid w:val="008D75FE"/>
    <w:rsid w:val="008E02A8"/>
    <w:rsid w:val="008F0E23"/>
    <w:rsid w:val="008F49AD"/>
    <w:rsid w:val="008F4CE4"/>
    <w:rsid w:val="009003F4"/>
    <w:rsid w:val="00900A96"/>
    <w:rsid w:val="009030DC"/>
    <w:rsid w:val="0091202C"/>
    <w:rsid w:val="009151B2"/>
    <w:rsid w:val="00916850"/>
    <w:rsid w:val="009201DC"/>
    <w:rsid w:val="00921243"/>
    <w:rsid w:val="00924FD7"/>
    <w:rsid w:val="00926EDE"/>
    <w:rsid w:val="00934AD0"/>
    <w:rsid w:val="00935401"/>
    <w:rsid w:val="009356EB"/>
    <w:rsid w:val="00943F4B"/>
    <w:rsid w:val="00947603"/>
    <w:rsid w:val="00950B47"/>
    <w:rsid w:val="00952EBD"/>
    <w:rsid w:val="00954082"/>
    <w:rsid w:val="00957195"/>
    <w:rsid w:val="009602B5"/>
    <w:rsid w:val="0096159B"/>
    <w:rsid w:val="00963197"/>
    <w:rsid w:val="009632B8"/>
    <w:rsid w:val="00963ABB"/>
    <w:rsid w:val="00964E99"/>
    <w:rsid w:val="0097030C"/>
    <w:rsid w:val="00975559"/>
    <w:rsid w:val="00985BC9"/>
    <w:rsid w:val="00985FF8"/>
    <w:rsid w:val="00987A78"/>
    <w:rsid w:val="00990F29"/>
    <w:rsid w:val="00994A78"/>
    <w:rsid w:val="00994F17"/>
    <w:rsid w:val="009A42E4"/>
    <w:rsid w:val="009B583E"/>
    <w:rsid w:val="009C22DF"/>
    <w:rsid w:val="009C3C5A"/>
    <w:rsid w:val="009C6540"/>
    <w:rsid w:val="009C773B"/>
    <w:rsid w:val="009D05A1"/>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547C"/>
    <w:rsid w:val="009F767D"/>
    <w:rsid w:val="00A026D9"/>
    <w:rsid w:val="00A063DF"/>
    <w:rsid w:val="00A1128D"/>
    <w:rsid w:val="00A11BDF"/>
    <w:rsid w:val="00A122F6"/>
    <w:rsid w:val="00A161A7"/>
    <w:rsid w:val="00A2060C"/>
    <w:rsid w:val="00A20674"/>
    <w:rsid w:val="00A237DD"/>
    <w:rsid w:val="00A240E9"/>
    <w:rsid w:val="00A27932"/>
    <w:rsid w:val="00A32543"/>
    <w:rsid w:val="00A336C1"/>
    <w:rsid w:val="00A421E8"/>
    <w:rsid w:val="00A42C48"/>
    <w:rsid w:val="00A47435"/>
    <w:rsid w:val="00A51A9C"/>
    <w:rsid w:val="00A55F5C"/>
    <w:rsid w:val="00A57111"/>
    <w:rsid w:val="00A575A7"/>
    <w:rsid w:val="00A66C12"/>
    <w:rsid w:val="00A71ACA"/>
    <w:rsid w:val="00A724F3"/>
    <w:rsid w:val="00A73971"/>
    <w:rsid w:val="00A73F62"/>
    <w:rsid w:val="00A74195"/>
    <w:rsid w:val="00A745B2"/>
    <w:rsid w:val="00A776B3"/>
    <w:rsid w:val="00A80A02"/>
    <w:rsid w:val="00A82FFF"/>
    <w:rsid w:val="00A872CD"/>
    <w:rsid w:val="00A90658"/>
    <w:rsid w:val="00A93D28"/>
    <w:rsid w:val="00A9538E"/>
    <w:rsid w:val="00A95766"/>
    <w:rsid w:val="00A95F05"/>
    <w:rsid w:val="00A96474"/>
    <w:rsid w:val="00AA0FB6"/>
    <w:rsid w:val="00AA1597"/>
    <w:rsid w:val="00AA1E42"/>
    <w:rsid w:val="00AA299A"/>
    <w:rsid w:val="00AA34CF"/>
    <w:rsid w:val="00AA7310"/>
    <w:rsid w:val="00AB3C6B"/>
    <w:rsid w:val="00AC7595"/>
    <w:rsid w:val="00AC7DC0"/>
    <w:rsid w:val="00AD0C40"/>
    <w:rsid w:val="00AD32FC"/>
    <w:rsid w:val="00AD35F4"/>
    <w:rsid w:val="00AD51F7"/>
    <w:rsid w:val="00AE0A0D"/>
    <w:rsid w:val="00AE13E2"/>
    <w:rsid w:val="00AE3896"/>
    <w:rsid w:val="00AE398A"/>
    <w:rsid w:val="00AE3CE3"/>
    <w:rsid w:val="00AE53C8"/>
    <w:rsid w:val="00AE5B4E"/>
    <w:rsid w:val="00AE7746"/>
    <w:rsid w:val="00AF5606"/>
    <w:rsid w:val="00B005D3"/>
    <w:rsid w:val="00B022ED"/>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7588"/>
    <w:rsid w:val="00B276BA"/>
    <w:rsid w:val="00B33786"/>
    <w:rsid w:val="00B35EA7"/>
    <w:rsid w:val="00B36572"/>
    <w:rsid w:val="00B36E06"/>
    <w:rsid w:val="00B40E6C"/>
    <w:rsid w:val="00B43038"/>
    <w:rsid w:val="00B44205"/>
    <w:rsid w:val="00B46BDC"/>
    <w:rsid w:val="00B52E8C"/>
    <w:rsid w:val="00B53159"/>
    <w:rsid w:val="00B54990"/>
    <w:rsid w:val="00B64F68"/>
    <w:rsid w:val="00B71D27"/>
    <w:rsid w:val="00B7231F"/>
    <w:rsid w:val="00B72A14"/>
    <w:rsid w:val="00B74227"/>
    <w:rsid w:val="00B74FD0"/>
    <w:rsid w:val="00B761F4"/>
    <w:rsid w:val="00B8069B"/>
    <w:rsid w:val="00B816C9"/>
    <w:rsid w:val="00B819B4"/>
    <w:rsid w:val="00B825B3"/>
    <w:rsid w:val="00B835CC"/>
    <w:rsid w:val="00B907AB"/>
    <w:rsid w:val="00B91000"/>
    <w:rsid w:val="00B9254B"/>
    <w:rsid w:val="00B925DE"/>
    <w:rsid w:val="00B953C5"/>
    <w:rsid w:val="00B967BC"/>
    <w:rsid w:val="00B96D9A"/>
    <w:rsid w:val="00BA0884"/>
    <w:rsid w:val="00BA0CEC"/>
    <w:rsid w:val="00BA0EE6"/>
    <w:rsid w:val="00BA1726"/>
    <w:rsid w:val="00BA1CFE"/>
    <w:rsid w:val="00BA1D11"/>
    <w:rsid w:val="00BA4651"/>
    <w:rsid w:val="00BA6247"/>
    <w:rsid w:val="00BB4097"/>
    <w:rsid w:val="00BB4D2F"/>
    <w:rsid w:val="00BB4DDC"/>
    <w:rsid w:val="00BB7405"/>
    <w:rsid w:val="00BB74E6"/>
    <w:rsid w:val="00BC1CC8"/>
    <w:rsid w:val="00BC2D09"/>
    <w:rsid w:val="00BC3D36"/>
    <w:rsid w:val="00BC53EB"/>
    <w:rsid w:val="00BC75C3"/>
    <w:rsid w:val="00BD007E"/>
    <w:rsid w:val="00BD0F9A"/>
    <w:rsid w:val="00BD1CE4"/>
    <w:rsid w:val="00BD33AF"/>
    <w:rsid w:val="00BD40FE"/>
    <w:rsid w:val="00BE0F05"/>
    <w:rsid w:val="00BE1AAE"/>
    <w:rsid w:val="00BE4DCE"/>
    <w:rsid w:val="00BF0304"/>
    <w:rsid w:val="00BF1A7B"/>
    <w:rsid w:val="00BF2524"/>
    <w:rsid w:val="00BF384D"/>
    <w:rsid w:val="00BF5513"/>
    <w:rsid w:val="00BF654D"/>
    <w:rsid w:val="00BF6ED6"/>
    <w:rsid w:val="00C00EAE"/>
    <w:rsid w:val="00C03EAA"/>
    <w:rsid w:val="00C05300"/>
    <w:rsid w:val="00C116C1"/>
    <w:rsid w:val="00C1753D"/>
    <w:rsid w:val="00C2072D"/>
    <w:rsid w:val="00C33D54"/>
    <w:rsid w:val="00C34FCC"/>
    <w:rsid w:val="00C36FD6"/>
    <w:rsid w:val="00C40AD0"/>
    <w:rsid w:val="00C41CEB"/>
    <w:rsid w:val="00C4309C"/>
    <w:rsid w:val="00C435F7"/>
    <w:rsid w:val="00C45890"/>
    <w:rsid w:val="00C46F19"/>
    <w:rsid w:val="00C519F0"/>
    <w:rsid w:val="00C52E97"/>
    <w:rsid w:val="00C5401C"/>
    <w:rsid w:val="00C54247"/>
    <w:rsid w:val="00C56C6C"/>
    <w:rsid w:val="00C57261"/>
    <w:rsid w:val="00C5781A"/>
    <w:rsid w:val="00C57B09"/>
    <w:rsid w:val="00C638C3"/>
    <w:rsid w:val="00C66CB9"/>
    <w:rsid w:val="00C70812"/>
    <w:rsid w:val="00C70B49"/>
    <w:rsid w:val="00C72F83"/>
    <w:rsid w:val="00C756F8"/>
    <w:rsid w:val="00C7661D"/>
    <w:rsid w:val="00C77C64"/>
    <w:rsid w:val="00C83CA0"/>
    <w:rsid w:val="00C83E00"/>
    <w:rsid w:val="00C845EA"/>
    <w:rsid w:val="00C8756D"/>
    <w:rsid w:val="00C93672"/>
    <w:rsid w:val="00C94EDA"/>
    <w:rsid w:val="00C95193"/>
    <w:rsid w:val="00CA099E"/>
    <w:rsid w:val="00CA211B"/>
    <w:rsid w:val="00CA2EC5"/>
    <w:rsid w:val="00CA469B"/>
    <w:rsid w:val="00CA69DA"/>
    <w:rsid w:val="00CB18AE"/>
    <w:rsid w:val="00CB4124"/>
    <w:rsid w:val="00CB4DCF"/>
    <w:rsid w:val="00CC1A6B"/>
    <w:rsid w:val="00CC2329"/>
    <w:rsid w:val="00CC370F"/>
    <w:rsid w:val="00CC7478"/>
    <w:rsid w:val="00CC7598"/>
    <w:rsid w:val="00CD03C5"/>
    <w:rsid w:val="00CD0A16"/>
    <w:rsid w:val="00CD2AD9"/>
    <w:rsid w:val="00CD2DAF"/>
    <w:rsid w:val="00CD497A"/>
    <w:rsid w:val="00CD4BDE"/>
    <w:rsid w:val="00CD6D47"/>
    <w:rsid w:val="00CE004E"/>
    <w:rsid w:val="00CE01F2"/>
    <w:rsid w:val="00CE08F6"/>
    <w:rsid w:val="00CE0B8E"/>
    <w:rsid w:val="00CE1622"/>
    <w:rsid w:val="00CE20EC"/>
    <w:rsid w:val="00CE5FF6"/>
    <w:rsid w:val="00CE68E5"/>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23EFB"/>
    <w:rsid w:val="00D25909"/>
    <w:rsid w:val="00D27B06"/>
    <w:rsid w:val="00D31091"/>
    <w:rsid w:val="00D319BF"/>
    <w:rsid w:val="00D32489"/>
    <w:rsid w:val="00D329F6"/>
    <w:rsid w:val="00D331AA"/>
    <w:rsid w:val="00D33F15"/>
    <w:rsid w:val="00D347D1"/>
    <w:rsid w:val="00D36E94"/>
    <w:rsid w:val="00D41258"/>
    <w:rsid w:val="00D42207"/>
    <w:rsid w:val="00D430D1"/>
    <w:rsid w:val="00D474C1"/>
    <w:rsid w:val="00D50614"/>
    <w:rsid w:val="00D51FAF"/>
    <w:rsid w:val="00D60E86"/>
    <w:rsid w:val="00D6645C"/>
    <w:rsid w:val="00D729CB"/>
    <w:rsid w:val="00D73168"/>
    <w:rsid w:val="00D750F5"/>
    <w:rsid w:val="00D753E7"/>
    <w:rsid w:val="00D7573B"/>
    <w:rsid w:val="00D76EE5"/>
    <w:rsid w:val="00D832F6"/>
    <w:rsid w:val="00D83F73"/>
    <w:rsid w:val="00D86AF2"/>
    <w:rsid w:val="00D90A26"/>
    <w:rsid w:val="00D90A28"/>
    <w:rsid w:val="00D94FCE"/>
    <w:rsid w:val="00DA0FEC"/>
    <w:rsid w:val="00DA14A0"/>
    <w:rsid w:val="00DA5AA0"/>
    <w:rsid w:val="00DA5C23"/>
    <w:rsid w:val="00DA687F"/>
    <w:rsid w:val="00DA7DD9"/>
    <w:rsid w:val="00DB10BD"/>
    <w:rsid w:val="00DB36C6"/>
    <w:rsid w:val="00DB708A"/>
    <w:rsid w:val="00DC0CB0"/>
    <w:rsid w:val="00DC479C"/>
    <w:rsid w:val="00DC53C8"/>
    <w:rsid w:val="00DD17FC"/>
    <w:rsid w:val="00DD2834"/>
    <w:rsid w:val="00DD2DE4"/>
    <w:rsid w:val="00DD5FC5"/>
    <w:rsid w:val="00DD7AEB"/>
    <w:rsid w:val="00DE0DFC"/>
    <w:rsid w:val="00DE3378"/>
    <w:rsid w:val="00DE35A0"/>
    <w:rsid w:val="00DE6020"/>
    <w:rsid w:val="00DE67BB"/>
    <w:rsid w:val="00DE6F75"/>
    <w:rsid w:val="00DF1A18"/>
    <w:rsid w:val="00E01B62"/>
    <w:rsid w:val="00E029FA"/>
    <w:rsid w:val="00E02C96"/>
    <w:rsid w:val="00E05562"/>
    <w:rsid w:val="00E069C4"/>
    <w:rsid w:val="00E079E3"/>
    <w:rsid w:val="00E14A70"/>
    <w:rsid w:val="00E1533A"/>
    <w:rsid w:val="00E15377"/>
    <w:rsid w:val="00E20D75"/>
    <w:rsid w:val="00E219DF"/>
    <w:rsid w:val="00E21BB2"/>
    <w:rsid w:val="00E21F00"/>
    <w:rsid w:val="00E22DC4"/>
    <w:rsid w:val="00E22FD9"/>
    <w:rsid w:val="00E26F98"/>
    <w:rsid w:val="00E31B49"/>
    <w:rsid w:val="00E31B91"/>
    <w:rsid w:val="00E35425"/>
    <w:rsid w:val="00E41546"/>
    <w:rsid w:val="00E419D2"/>
    <w:rsid w:val="00E43144"/>
    <w:rsid w:val="00E53225"/>
    <w:rsid w:val="00E537F4"/>
    <w:rsid w:val="00E53E11"/>
    <w:rsid w:val="00E56B7F"/>
    <w:rsid w:val="00E60680"/>
    <w:rsid w:val="00E616B9"/>
    <w:rsid w:val="00E657FE"/>
    <w:rsid w:val="00E67697"/>
    <w:rsid w:val="00E7349B"/>
    <w:rsid w:val="00E753BB"/>
    <w:rsid w:val="00E75F68"/>
    <w:rsid w:val="00E8215F"/>
    <w:rsid w:val="00E90C6F"/>
    <w:rsid w:val="00E92DDB"/>
    <w:rsid w:val="00E944CF"/>
    <w:rsid w:val="00E951D7"/>
    <w:rsid w:val="00E95A17"/>
    <w:rsid w:val="00E96669"/>
    <w:rsid w:val="00EA0DB3"/>
    <w:rsid w:val="00EA0E51"/>
    <w:rsid w:val="00EA6C19"/>
    <w:rsid w:val="00EB1367"/>
    <w:rsid w:val="00EB53E3"/>
    <w:rsid w:val="00EB659E"/>
    <w:rsid w:val="00EC5C80"/>
    <w:rsid w:val="00ED04F9"/>
    <w:rsid w:val="00ED0548"/>
    <w:rsid w:val="00EE0F4C"/>
    <w:rsid w:val="00EE19C3"/>
    <w:rsid w:val="00EE24D8"/>
    <w:rsid w:val="00EE6F06"/>
    <w:rsid w:val="00EE73A3"/>
    <w:rsid w:val="00EE7912"/>
    <w:rsid w:val="00EF123D"/>
    <w:rsid w:val="00EF1394"/>
    <w:rsid w:val="00EF1799"/>
    <w:rsid w:val="00EF31CA"/>
    <w:rsid w:val="00EF54FD"/>
    <w:rsid w:val="00EF7890"/>
    <w:rsid w:val="00F01667"/>
    <w:rsid w:val="00F0287F"/>
    <w:rsid w:val="00F061FA"/>
    <w:rsid w:val="00F067BB"/>
    <w:rsid w:val="00F06915"/>
    <w:rsid w:val="00F3279E"/>
    <w:rsid w:val="00F3428A"/>
    <w:rsid w:val="00F35E91"/>
    <w:rsid w:val="00F410ED"/>
    <w:rsid w:val="00F4176E"/>
    <w:rsid w:val="00F42990"/>
    <w:rsid w:val="00F469C0"/>
    <w:rsid w:val="00F46B14"/>
    <w:rsid w:val="00F53D14"/>
    <w:rsid w:val="00F55943"/>
    <w:rsid w:val="00F55C20"/>
    <w:rsid w:val="00F562A1"/>
    <w:rsid w:val="00F56362"/>
    <w:rsid w:val="00F57817"/>
    <w:rsid w:val="00F57C3D"/>
    <w:rsid w:val="00F610DE"/>
    <w:rsid w:val="00F613D4"/>
    <w:rsid w:val="00F63CE5"/>
    <w:rsid w:val="00F66A79"/>
    <w:rsid w:val="00F72777"/>
    <w:rsid w:val="00F75AAB"/>
    <w:rsid w:val="00F77901"/>
    <w:rsid w:val="00F83E86"/>
    <w:rsid w:val="00F95BD8"/>
    <w:rsid w:val="00FA041A"/>
    <w:rsid w:val="00FA1573"/>
    <w:rsid w:val="00FC1949"/>
    <w:rsid w:val="00FC2148"/>
    <w:rsid w:val="00FC43A5"/>
    <w:rsid w:val="00FD391D"/>
    <w:rsid w:val="00FD3DB2"/>
    <w:rsid w:val="00FD72BB"/>
    <w:rsid w:val="00FE036A"/>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575A7"/>
    <w:pPr>
      <w:spacing w:before="240" w:line="360" w:lineRule="auto"/>
      <w:jc w:val="both"/>
    </w:pPr>
    <w:rPr>
      <w:rFonts w:asciiTheme="minorHAnsi" w:hAnsiTheme="minorHAnsi"/>
      <w:sz w:val="22"/>
    </w:rPr>
  </w:style>
  <w:style w:type="paragraph" w:styleId="Heading1">
    <w:name w:val="heading 1"/>
    <w:basedOn w:val="Normal"/>
    <w:next w:val="ListNumber"/>
    <w:qFormat/>
    <w:rsid w:val="006D113F"/>
    <w:pPr>
      <w:keepNext/>
      <w:spacing w:before="360" w:line="240" w:lineRule="auto"/>
      <w:jc w:val="left"/>
      <w:outlineLvl w:val="0"/>
    </w:pPr>
    <w:rPr>
      <w:rFonts w:asciiTheme="majorHAnsi" w:hAnsiTheme="majorHAnsi"/>
      <w:b/>
      <w:caps/>
    </w:rPr>
  </w:style>
  <w:style w:type="paragraph" w:styleId="Heading2">
    <w:name w:val="heading 2"/>
    <w:basedOn w:val="Normal"/>
    <w:next w:val="ListNumber"/>
    <w:qFormat/>
    <w:rsid w:val="006D113F"/>
    <w:pPr>
      <w:keepNext/>
      <w:spacing w:before="360" w:line="240" w:lineRule="auto"/>
      <w:jc w:val="left"/>
      <w:outlineLvl w:val="1"/>
    </w:pPr>
    <w:rPr>
      <w:rFonts w:asciiTheme="majorHAnsi" w:hAnsiTheme="majorHAnsi"/>
      <w:b/>
    </w:rPr>
  </w:style>
  <w:style w:type="paragraph" w:styleId="Heading3">
    <w:name w:val="heading 3"/>
    <w:basedOn w:val="Normal"/>
    <w:next w:val="ListNumber"/>
    <w:link w:val="Heading3Char"/>
    <w:qFormat/>
    <w:rsid w:val="006D113F"/>
    <w:pPr>
      <w:keepNext/>
      <w:spacing w:before="360" w:line="240" w:lineRule="auto"/>
      <w:jc w:val="left"/>
      <w:outlineLvl w:val="2"/>
    </w:pPr>
    <w:rPr>
      <w:rFonts w:asciiTheme="majorHAnsi" w:hAnsiTheme="maj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6D113F"/>
    <w:rPr>
      <w:rFonts w:asciiTheme="majorHAnsi" w:hAnsiTheme="majorHAnsi"/>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3B4BBD"/>
    <w:pPr>
      <w:jc w:val="both"/>
    </w:pPr>
    <w:rPr>
      <w:rFonts w:asciiTheme="minorHAnsi" w:hAnsiTheme="minorHAnsi"/>
      <w:sz w:val="22"/>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B4BBD"/>
    <w:pPr>
      <w:spacing w:before="60" w:line="240" w:lineRule="auto"/>
    </w:pPr>
    <w:rPr>
      <w:sz w:val="18"/>
    </w:rPr>
  </w:style>
  <w:style w:type="character" w:customStyle="1" w:styleId="FootnoteTextChar">
    <w:name w:val="Footnote Text Char"/>
    <w:basedOn w:val="DefaultParagraphFont"/>
    <w:link w:val="FootnoteText"/>
    <w:rsid w:val="003B4BBD"/>
    <w:rPr>
      <w:rFonts w:asciiTheme="minorHAnsi" w:hAnsiTheme="minorHAns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style>
  <w:style w:type="paragraph" w:customStyle="1" w:styleId="subsection">
    <w:name w:val="subsection"/>
    <w:basedOn w:val="Normal"/>
    <w:rsid w:val="00AE13E2"/>
    <w:pPr>
      <w:spacing w:before="100" w:beforeAutospacing="1" w:after="100" w:afterAutospacing="1" w:line="240" w:lineRule="auto"/>
      <w:jc w:val="left"/>
    </w:pPr>
    <w:rPr>
      <w:rFonts w:ascii="Times New Roman" w:hAnsi="Times New Roman"/>
      <w:sz w:val="24"/>
      <w:szCs w:val="24"/>
    </w:rPr>
  </w:style>
  <w:style w:type="paragraph" w:customStyle="1" w:styleId="paragraph">
    <w:name w:val="paragraph"/>
    <w:basedOn w:val="Normal"/>
    <w:rsid w:val="00AE13E2"/>
    <w:pPr>
      <w:spacing w:before="100" w:beforeAutospacing="1" w:after="100" w:afterAutospacing="1" w:line="240" w:lineRule="auto"/>
      <w:jc w:val="left"/>
    </w:pPr>
    <w:rPr>
      <w:rFonts w:ascii="Times New Roman" w:hAnsi="Times New Roman"/>
      <w:sz w:val="24"/>
      <w:szCs w:val="24"/>
    </w:rPr>
  </w:style>
  <w:style w:type="paragraph" w:customStyle="1" w:styleId="notetext">
    <w:name w:val="notetext"/>
    <w:basedOn w:val="Normal"/>
    <w:rsid w:val="00AE13E2"/>
    <w:pPr>
      <w:spacing w:before="100" w:beforeAutospacing="1" w:after="100" w:afterAutospacing="1" w:line="240" w:lineRule="auto"/>
      <w:jc w:val="left"/>
    </w:pPr>
    <w:rPr>
      <w:rFonts w:ascii="Times New Roman" w:hAnsi="Times New Roman"/>
      <w:sz w:val="24"/>
      <w:szCs w:val="24"/>
    </w:rPr>
  </w:style>
  <w:style w:type="character" w:styleId="CommentReference">
    <w:name w:val="annotation reference"/>
    <w:basedOn w:val="DefaultParagraphFont"/>
    <w:rsid w:val="0054114B"/>
    <w:rPr>
      <w:sz w:val="16"/>
      <w:szCs w:val="16"/>
    </w:rPr>
  </w:style>
  <w:style w:type="paragraph" w:styleId="CommentText">
    <w:name w:val="annotation text"/>
    <w:basedOn w:val="Normal"/>
    <w:link w:val="CommentTextChar"/>
    <w:rsid w:val="0054114B"/>
    <w:pPr>
      <w:spacing w:line="240" w:lineRule="auto"/>
    </w:pPr>
    <w:rPr>
      <w:sz w:val="20"/>
    </w:rPr>
  </w:style>
  <w:style w:type="character" w:customStyle="1" w:styleId="CommentTextChar">
    <w:name w:val="Comment Text Char"/>
    <w:basedOn w:val="DefaultParagraphFont"/>
    <w:link w:val="CommentText"/>
    <w:rsid w:val="0054114B"/>
    <w:rPr>
      <w:rFonts w:asciiTheme="minorHAnsi" w:hAnsiTheme="minorHAnsi"/>
    </w:rPr>
  </w:style>
  <w:style w:type="paragraph" w:styleId="CommentSubject">
    <w:name w:val="annotation subject"/>
    <w:basedOn w:val="CommentText"/>
    <w:next w:val="CommentText"/>
    <w:link w:val="CommentSubjectChar"/>
    <w:rsid w:val="0054114B"/>
    <w:rPr>
      <w:b/>
      <w:bCs/>
    </w:rPr>
  </w:style>
  <w:style w:type="character" w:customStyle="1" w:styleId="CommentSubjectChar">
    <w:name w:val="Comment Subject Char"/>
    <w:basedOn w:val="CommentTextChar"/>
    <w:link w:val="CommentSubject"/>
    <w:rsid w:val="0054114B"/>
    <w:rPr>
      <w:rFonts w:asciiTheme="minorHAnsi" w:hAnsiTheme="minorHAns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575A7"/>
    <w:pPr>
      <w:spacing w:before="240" w:line="360" w:lineRule="auto"/>
      <w:jc w:val="both"/>
    </w:pPr>
    <w:rPr>
      <w:rFonts w:asciiTheme="minorHAnsi" w:hAnsiTheme="minorHAnsi"/>
      <w:sz w:val="22"/>
    </w:rPr>
  </w:style>
  <w:style w:type="paragraph" w:styleId="Heading1">
    <w:name w:val="heading 1"/>
    <w:basedOn w:val="Normal"/>
    <w:next w:val="ListNumber"/>
    <w:qFormat/>
    <w:rsid w:val="006D113F"/>
    <w:pPr>
      <w:keepNext/>
      <w:spacing w:before="360" w:line="240" w:lineRule="auto"/>
      <w:jc w:val="left"/>
      <w:outlineLvl w:val="0"/>
    </w:pPr>
    <w:rPr>
      <w:rFonts w:asciiTheme="majorHAnsi" w:hAnsiTheme="majorHAnsi"/>
      <w:b/>
      <w:caps/>
    </w:rPr>
  </w:style>
  <w:style w:type="paragraph" w:styleId="Heading2">
    <w:name w:val="heading 2"/>
    <w:basedOn w:val="Normal"/>
    <w:next w:val="ListNumber"/>
    <w:qFormat/>
    <w:rsid w:val="006D113F"/>
    <w:pPr>
      <w:keepNext/>
      <w:spacing w:before="360" w:line="240" w:lineRule="auto"/>
      <w:jc w:val="left"/>
      <w:outlineLvl w:val="1"/>
    </w:pPr>
    <w:rPr>
      <w:rFonts w:asciiTheme="majorHAnsi" w:hAnsiTheme="majorHAnsi"/>
      <w:b/>
    </w:rPr>
  </w:style>
  <w:style w:type="paragraph" w:styleId="Heading3">
    <w:name w:val="heading 3"/>
    <w:basedOn w:val="Normal"/>
    <w:next w:val="ListNumber"/>
    <w:link w:val="Heading3Char"/>
    <w:qFormat/>
    <w:rsid w:val="006D113F"/>
    <w:pPr>
      <w:keepNext/>
      <w:spacing w:before="360" w:line="240" w:lineRule="auto"/>
      <w:jc w:val="left"/>
      <w:outlineLvl w:val="2"/>
    </w:pPr>
    <w:rPr>
      <w:rFonts w:asciiTheme="majorHAnsi" w:hAnsiTheme="maj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6D113F"/>
    <w:rPr>
      <w:rFonts w:asciiTheme="majorHAnsi" w:hAnsiTheme="majorHAnsi"/>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3B4BBD"/>
    <w:pPr>
      <w:jc w:val="both"/>
    </w:pPr>
    <w:rPr>
      <w:rFonts w:asciiTheme="minorHAnsi" w:hAnsiTheme="minorHAnsi"/>
      <w:sz w:val="22"/>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B4BBD"/>
    <w:pPr>
      <w:spacing w:before="60" w:line="240" w:lineRule="auto"/>
    </w:pPr>
    <w:rPr>
      <w:sz w:val="18"/>
    </w:rPr>
  </w:style>
  <w:style w:type="character" w:customStyle="1" w:styleId="FootnoteTextChar">
    <w:name w:val="Footnote Text Char"/>
    <w:basedOn w:val="DefaultParagraphFont"/>
    <w:link w:val="FootnoteText"/>
    <w:rsid w:val="003B4BBD"/>
    <w:rPr>
      <w:rFonts w:asciiTheme="minorHAnsi" w:hAnsiTheme="minorHAns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style>
  <w:style w:type="paragraph" w:customStyle="1" w:styleId="subsection">
    <w:name w:val="subsection"/>
    <w:basedOn w:val="Normal"/>
    <w:rsid w:val="00AE13E2"/>
    <w:pPr>
      <w:spacing w:before="100" w:beforeAutospacing="1" w:after="100" w:afterAutospacing="1" w:line="240" w:lineRule="auto"/>
      <w:jc w:val="left"/>
    </w:pPr>
    <w:rPr>
      <w:rFonts w:ascii="Times New Roman" w:hAnsi="Times New Roman"/>
      <w:sz w:val="24"/>
      <w:szCs w:val="24"/>
    </w:rPr>
  </w:style>
  <w:style w:type="paragraph" w:customStyle="1" w:styleId="paragraph">
    <w:name w:val="paragraph"/>
    <w:basedOn w:val="Normal"/>
    <w:rsid w:val="00AE13E2"/>
    <w:pPr>
      <w:spacing w:before="100" w:beforeAutospacing="1" w:after="100" w:afterAutospacing="1" w:line="240" w:lineRule="auto"/>
      <w:jc w:val="left"/>
    </w:pPr>
    <w:rPr>
      <w:rFonts w:ascii="Times New Roman" w:hAnsi="Times New Roman"/>
      <w:sz w:val="24"/>
      <w:szCs w:val="24"/>
    </w:rPr>
  </w:style>
  <w:style w:type="paragraph" w:customStyle="1" w:styleId="notetext">
    <w:name w:val="notetext"/>
    <w:basedOn w:val="Normal"/>
    <w:rsid w:val="00AE13E2"/>
    <w:pPr>
      <w:spacing w:before="100" w:beforeAutospacing="1" w:after="100" w:afterAutospacing="1" w:line="240" w:lineRule="auto"/>
      <w:jc w:val="left"/>
    </w:pPr>
    <w:rPr>
      <w:rFonts w:ascii="Times New Roman" w:hAnsi="Times New Roman"/>
      <w:sz w:val="24"/>
      <w:szCs w:val="24"/>
    </w:rPr>
  </w:style>
  <w:style w:type="character" w:styleId="CommentReference">
    <w:name w:val="annotation reference"/>
    <w:basedOn w:val="DefaultParagraphFont"/>
    <w:rsid w:val="0054114B"/>
    <w:rPr>
      <w:sz w:val="16"/>
      <w:szCs w:val="16"/>
    </w:rPr>
  </w:style>
  <w:style w:type="paragraph" w:styleId="CommentText">
    <w:name w:val="annotation text"/>
    <w:basedOn w:val="Normal"/>
    <w:link w:val="CommentTextChar"/>
    <w:rsid w:val="0054114B"/>
    <w:pPr>
      <w:spacing w:line="240" w:lineRule="auto"/>
    </w:pPr>
    <w:rPr>
      <w:sz w:val="20"/>
    </w:rPr>
  </w:style>
  <w:style w:type="character" w:customStyle="1" w:styleId="CommentTextChar">
    <w:name w:val="Comment Text Char"/>
    <w:basedOn w:val="DefaultParagraphFont"/>
    <w:link w:val="CommentText"/>
    <w:rsid w:val="0054114B"/>
    <w:rPr>
      <w:rFonts w:asciiTheme="minorHAnsi" w:hAnsiTheme="minorHAnsi"/>
    </w:rPr>
  </w:style>
  <w:style w:type="paragraph" w:styleId="CommentSubject">
    <w:name w:val="annotation subject"/>
    <w:basedOn w:val="CommentText"/>
    <w:next w:val="CommentText"/>
    <w:link w:val="CommentSubjectChar"/>
    <w:rsid w:val="0054114B"/>
    <w:rPr>
      <w:b/>
      <w:bCs/>
    </w:rPr>
  </w:style>
  <w:style w:type="character" w:customStyle="1" w:styleId="CommentSubjectChar">
    <w:name w:val="Comment Subject Char"/>
    <w:basedOn w:val="CommentTextChar"/>
    <w:link w:val="CommentSubject"/>
    <w:rsid w:val="0054114B"/>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66491B7F7F4DBD8C780291F7FEAF4B"/>
        <w:category>
          <w:name w:val="General"/>
          <w:gallery w:val="placeholder"/>
        </w:category>
        <w:types>
          <w:type w:val="bbPlcHdr"/>
        </w:types>
        <w:behaviors>
          <w:behavior w:val="content"/>
        </w:behaviors>
        <w:guid w:val="{BD272652-ECE8-4BC6-BE50-77839F4D8039}"/>
      </w:docPartPr>
      <w:docPartBody>
        <w:p w:rsidR="00C67E17" w:rsidRDefault="00C67E17">
          <w:pPr>
            <w:pStyle w:val="DF66491B7F7F4DBD8C780291F7FEAF4B"/>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5C5C6572650345918ED74C3CFE9B9608"/>
        <w:category>
          <w:name w:val="General"/>
          <w:gallery w:val="placeholder"/>
        </w:category>
        <w:types>
          <w:type w:val="bbPlcHdr"/>
        </w:types>
        <w:behaviors>
          <w:behavior w:val="content"/>
        </w:behaviors>
        <w:guid w:val="{F1A2A063-0B28-46E6-A1A7-9D96EA0B584F}"/>
      </w:docPartPr>
      <w:docPartBody>
        <w:p w:rsidR="00C67E17" w:rsidRDefault="00C67E17">
          <w:pPr>
            <w:pStyle w:val="5C5C6572650345918ED74C3CFE9B9608"/>
          </w:pPr>
          <w:r w:rsidRPr="00CD5897">
            <w:rPr>
              <w:rStyle w:val="PlaceholderText"/>
            </w:rPr>
            <w:t>Click here to enter text.</w:t>
          </w:r>
        </w:p>
      </w:docPartBody>
    </w:docPart>
    <w:docPart>
      <w:docPartPr>
        <w:name w:val="785F4D3D8E9E4EFE8AA954691CBBBA6C"/>
        <w:category>
          <w:name w:val="General"/>
          <w:gallery w:val="placeholder"/>
        </w:category>
        <w:types>
          <w:type w:val="bbPlcHdr"/>
        </w:types>
        <w:behaviors>
          <w:behavior w:val="content"/>
        </w:behaviors>
        <w:guid w:val="{0B5D8577-E658-4058-A4B1-4C4E6D42FE82}"/>
      </w:docPartPr>
      <w:docPartBody>
        <w:p w:rsidR="00C67E17" w:rsidRDefault="00C67E17">
          <w:pPr>
            <w:pStyle w:val="785F4D3D8E9E4EFE8AA954691CBBBA6C"/>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E17"/>
    <w:rsid w:val="00C67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F66491B7F7F4DBD8C780291F7FEAF4B">
    <w:name w:val="DF66491B7F7F4DBD8C780291F7FEAF4B"/>
  </w:style>
  <w:style w:type="paragraph" w:customStyle="1" w:styleId="5C5C6572650345918ED74C3CFE9B9608">
    <w:name w:val="5C5C6572650345918ED74C3CFE9B9608"/>
  </w:style>
  <w:style w:type="paragraph" w:customStyle="1" w:styleId="785F4D3D8E9E4EFE8AA954691CBBBA6C">
    <w:name w:val="785F4D3D8E9E4EFE8AA954691CBBBA6C"/>
  </w:style>
  <w:style w:type="paragraph" w:customStyle="1" w:styleId="649D9B98A6F94CC897FF4893F7AD24D7">
    <w:name w:val="649D9B98A6F94CC897FF4893F7AD24D7"/>
  </w:style>
  <w:style w:type="paragraph" w:customStyle="1" w:styleId="8B7CD2778C9F4C438E58EFC5AB0F3BEE">
    <w:name w:val="8B7CD2778C9F4C438E58EFC5AB0F3BE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F66491B7F7F4DBD8C780291F7FEAF4B">
    <w:name w:val="DF66491B7F7F4DBD8C780291F7FEAF4B"/>
  </w:style>
  <w:style w:type="paragraph" w:customStyle="1" w:styleId="5C5C6572650345918ED74C3CFE9B9608">
    <w:name w:val="5C5C6572650345918ED74C3CFE9B9608"/>
  </w:style>
  <w:style w:type="paragraph" w:customStyle="1" w:styleId="785F4D3D8E9E4EFE8AA954691CBBBA6C">
    <w:name w:val="785F4D3D8E9E4EFE8AA954691CBBBA6C"/>
  </w:style>
  <w:style w:type="paragraph" w:customStyle="1" w:styleId="649D9B98A6F94CC897FF4893F7AD24D7">
    <w:name w:val="649D9B98A6F94CC897FF4893F7AD24D7"/>
  </w:style>
  <w:style w:type="paragraph" w:customStyle="1" w:styleId="8B7CD2778C9F4C438E58EFC5AB0F3BEE">
    <w:name w:val="8B7CD2778C9F4C438E58EFC5AB0F3B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82DAD-CCC8-4E2B-BB5E-A940E3FF6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8</Pages>
  <Words>2016</Words>
  <Characters>11496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13486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Limu, Veronika</dc:creator>
  <cp:lastModifiedBy>Dalwood, Jacqui</cp:lastModifiedBy>
  <cp:revision>2</cp:revision>
  <cp:lastPrinted>2015-11-26T23:50:00Z</cp:lastPrinted>
  <dcterms:created xsi:type="dcterms:W3CDTF">2015-11-27T04:34:00Z</dcterms:created>
  <dcterms:modified xsi:type="dcterms:W3CDTF">2015-11-27T04:34:00Z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Comcare</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Kym Blackwell</vt:lpwstr>
  </property>
  <property fmtid="{D5CDD505-2E9C-101B-9397-08002B2CF9AE}" pid="26" name="FileNumber">
    <vt:lpwstr>2015/1964</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DIVISION</vt:lpwstr>
  </property>
  <property fmtid="{D5CDD505-2E9C-101B-9397-08002B2CF9AE}" pid="71" name="TribunalSignee">
    <vt:lpwstr>Deputy President PE Hack SC</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12 November 2015</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Mr M Surman </vt:lpwstr>
  </property>
  <property fmtid="{D5CDD505-2E9C-101B-9397-08002B2CF9AE}" pid="80" name="Applicant_Solicitors">
    <vt:lpwstr> </vt:lpwstr>
  </property>
  <property fmtid="{D5CDD505-2E9C-101B-9397-08002B2CF9AE}" pid="81" name="Respondent_Counsel">
    <vt:lpwstr>Ms M Brennan</vt:lpwstr>
  </property>
  <property fmtid="{D5CDD505-2E9C-101B-9397-08002B2CF9AE}" pid="82" name="Respondent_Advocate">
    <vt:lpwstr> </vt:lpwstr>
  </property>
  <property fmtid="{D5CDD505-2E9C-101B-9397-08002B2CF9AE}" pid="83" name="Respondent_Solicitors">
    <vt:lpwstr>Australian Government Solicitor</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property>
  <property fmtid="{D5CDD505-2E9C-101B-9397-08002B2CF9AE}" pid="96" name="DecisionDate">
    <vt:lpwstr>xx</vt:lpwstr>
  </property>
  <property fmtid="{D5CDD505-2E9C-101B-9397-08002B2CF9AE}" pid="97" name="ReasonsforDecisionDate">
    <vt:lpwstr>xx</vt:lpwstr>
  </property>
  <property fmtid="{D5CDD505-2E9C-101B-9397-08002B2CF9AE}" pid="98" name="StampDate">
    <vt:lpwstr>xx</vt:lpwstr>
  </property>
  <property fmtid="{D5CDD505-2E9C-101B-9397-08002B2CF9AE}" pid="99" name="TribunalLastPgForm">
    <vt:lpwstr>Deputy President PE Hack SC</vt:lpwstr>
  </property>
  <property fmtid="{D5CDD505-2E9C-101B-9397-08002B2CF9AE}" pid="100" name="InfoCDC">
    <vt:lpwstr> </vt:lpwstr>
  </property>
  <property fmtid="{D5CDD505-2E9C-101B-9397-08002B2CF9AE}" pid="101" name="Place">
    <vt:lpwstr>Brisbane</vt:lpwstr>
  </property>
</Properties>
</file>