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84" w:rsidRPr="007D2584" w:rsidRDefault="009A6969" w:rsidP="007D2584">
      <w:pPr>
        <w:keepNext/>
        <w:spacing w:before="0"/>
        <w:jc w:val="center"/>
        <w:rPr>
          <w:rFonts w:ascii="Arial" w:hAnsi="Arial"/>
          <w:b/>
          <w:smallCaps/>
          <w:sz w:val="24"/>
        </w:rPr>
      </w:pPr>
      <w:r>
        <w:rPr>
          <w:rFonts w:ascii="Arial" w:hAnsi="Arial"/>
          <w:b/>
          <w:smallCaps/>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1.25pt;height:54pt;z-index:251660288;mso-position-horizontal:center">
            <v:imagedata r:id="rId9" o:title=""/>
            <w10:wrap type="square"/>
          </v:shape>
          <o:OLEObject Type="Embed" ProgID="Word.Document.8" ShapeID="_x0000_s1027" DrawAspect="Content" ObjectID="_1513510075" r:id="rId10">
            <o:FieldCodes>\s</o:FieldCodes>
          </o:OLEObject>
        </w:pict>
      </w:r>
    </w:p>
    <w:p w:rsidR="007D2584" w:rsidRPr="007D2584" w:rsidRDefault="007D2584" w:rsidP="007D2584">
      <w:pPr>
        <w:tabs>
          <w:tab w:val="left" w:pos="4536"/>
          <w:tab w:val="left" w:pos="5670"/>
        </w:tabs>
        <w:spacing w:before="0" w:line="240" w:lineRule="auto"/>
        <w:ind w:left="720" w:hanging="720"/>
        <w:jc w:val="center"/>
        <w:rPr>
          <w:rFonts w:ascii="Arial" w:hAnsi="Arial"/>
          <w:b/>
          <w:sz w:val="44"/>
          <w:szCs w:val="44"/>
          <w:lang w:val="en-GB"/>
        </w:rPr>
      </w:pPr>
    </w:p>
    <w:p w:rsidR="007D2584" w:rsidRPr="007D2584" w:rsidRDefault="007D2584" w:rsidP="007D2584">
      <w:pPr>
        <w:tabs>
          <w:tab w:val="left" w:pos="4536"/>
          <w:tab w:val="left" w:pos="5670"/>
        </w:tabs>
        <w:spacing w:before="0" w:line="240" w:lineRule="auto"/>
        <w:ind w:left="720" w:hanging="720"/>
        <w:jc w:val="center"/>
        <w:rPr>
          <w:rFonts w:ascii="Arial" w:hAnsi="Arial"/>
          <w:b/>
          <w:sz w:val="44"/>
          <w:szCs w:val="44"/>
          <w:lang w:val="en-GB"/>
        </w:rPr>
      </w:pPr>
    </w:p>
    <w:p w:rsidR="007D2584" w:rsidRPr="007D2584" w:rsidRDefault="007D2584" w:rsidP="007D2584">
      <w:pPr>
        <w:tabs>
          <w:tab w:val="left" w:pos="4536"/>
          <w:tab w:val="left" w:pos="5670"/>
        </w:tabs>
        <w:spacing w:before="0" w:line="240" w:lineRule="auto"/>
        <w:jc w:val="center"/>
        <w:rPr>
          <w:rFonts w:ascii="Arial" w:hAnsi="Arial" w:cs="Arial"/>
          <w:b/>
          <w:sz w:val="24"/>
          <w:lang w:val="en-GB"/>
        </w:rPr>
      </w:pPr>
      <w:r w:rsidRPr="007D2584">
        <w:rPr>
          <w:rFonts w:ascii="Arial" w:hAnsi="Arial"/>
          <w:b/>
          <w:sz w:val="44"/>
          <w:szCs w:val="44"/>
          <w:lang w:val="en-GB"/>
        </w:rPr>
        <w:t>Administrative Appeals Tribunal</w:t>
      </w:r>
    </w:p>
    <w:p w:rsidR="007D2584" w:rsidRPr="007D2584" w:rsidRDefault="007D2584" w:rsidP="007D2584">
      <w:pPr>
        <w:tabs>
          <w:tab w:val="left" w:pos="4536"/>
          <w:tab w:val="left" w:pos="5670"/>
        </w:tabs>
        <w:spacing w:before="0" w:line="240" w:lineRule="auto"/>
        <w:ind w:left="720" w:hanging="720"/>
        <w:jc w:val="left"/>
        <w:rPr>
          <w:rFonts w:ascii="Arial" w:hAnsi="Arial" w:cs="Arial"/>
          <w:b/>
          <w:sz w:val="24"/>
          <w:lang w:val="en-GB"/>
        </w:rPr>
      </w:pPr>
    </w:p>
    <w:p w:rsidR="007D2584" w:rsidRPr="007D2584" w:rsidRDefault="007D2584" w:rsidP="007D2584">
      <w:pPr>
        <w:tabs>
          <w:tab w:val="left" w:pos="4536"/>
          <w:tab w:val="left" w:pos="5670"/>
        </w:tabs>
        <w:spacing w:before="0" w:line="240" w:lineRule="auto"/>
        <w:ind w:left="720" w:hanging="720"/>
        <w:jc w:val="left"/>
        <w:rPr>
          <w:rFonts w:ascii="Arial" w:hAnsi="Arial" w:cs="Arial"/>
          <w:b/>
          <w:sz w:val="24"/>
          <w:lang w:val="en-GB"/>
        </w:rPr>
      </w:pPr>
    </w:p>
    <w:p w:rsidR="007D2584" w:rsidRPr="007D2584" w:rsidRDefault="007D2584" w:rsidP="007D2584">
      <w:pPr>
        <w:tabs>
          <w:tab w:val="left" w:pos="4536"/>
          <w:tab w:val="left" w:pos="5103"/>
          <w:tab w:val="left" w:pos="5670"/>
        </w:tabs>
        <w:spacing w:before="0" w:line="240" w:lineRule="auto"/>
        <w:ind w:left="720" w:hanging="720"/>
        <w:jc w:val="left"/>
        <w:rPr>
          <w:rFonts w:ascii="Arial" w:hAnsi="Arial" w:cs="Arial"/>
          <w:b/>
          <w:sz w:val="24"/>
          <w:lang w:val="en-GB"/>
        </w:rPr>
      </w:pPr>
    </w:p>
    <w:p w:rsidR="007D2584" w:rsidRPr="007D2584" w:rsidRDefault="007D2584" w:rsidP="007D2584">
      <w:pPr>
        <w:tabs>
          <w:tab w:val="left" w:pos="4536"/>
          <w:tab w:val="left" w:pos="5103"/>
          <w:tab w:val="left" w:pos="5670"/>
        </w:tabs>
        <w:spacing w:before="0" w:line="240" w:lineRule="auto"/>
        <w:ind w:left="720" w:hanging="720"/>
        <w:jc w:val="left"/>
        <w:rPr>
          <w:rFonts w:ascii="Arial" w:hAnsi="Arial" w:cs="Arial"/>
          <w:b/>
          <w:sz w:val="24"/>
          <w:lang w:val="en-GB"/>
        </w:rPr>
      </w:pPr>
      <w:r w:rsidRPr="007D2584">
        <w:rPr>
          <w:rFonts w:ascii="Arial" w:hAnsi="Arial" w:cs="Arial"/>
          <w:b/>
          <w:sz w:val="24"/>
          <w:lang w:val="en-GB"/>
        </w:rPr>
        <w:t>ADMINISTRATIVE APPEALS TRIBUNAL</w:t>
      </w:r>
      <w:r w:rsidRPr="007D2584">
        <w:rPr>
          <w:rFonts w:ascii="Arial" w:hAnsi="Arial" w:cs="Arial"/>
          <w:b/>
          <w:sz w:val="24"/>
          <w:lang w:val="en-GB"/>
        </w:rPr>
        <w:tab/>
      </w:r>
      <w:r w:rsidRPr="007D2584">
        <w:rPr>
          <w:rFonts w:ascii="Arial" w:hAnsi="Arial" w:cs="Arial"/>
          <w:b/>
          <w:sz w:val="24"/>
          <w:lang w:val="en-GB"/>
        </w:rPr>
        <w:tab/>
        <w:t>)</w:t>
      </w:r>
    </w:p>
    <w:p w:rsidR="007D2584" w:rsidRPr="007D2584" w:rsidRDefault="007D2584" w:rsidP="007D2584">
      <w:pPr>
        <w:tabs>
          <w:tab w:val="left" w:pos="4536"/>
          <w:tab w:val="left" w:pos="5103"/>
          <w:tab w:val="left" w:pos="5670"/>
        </w:tabs>
        <w:spacing w:before="0" w:line="240" w:lineRule="auto"/>
        <w:ind w:left="720" w:hanging="720"/>
        <w:jc w:val="left"/>
        <w:rPr>
          <w:rFonts w:ascii="Arial" w:hAnsi="Arial" w:cs="Arial"/>
          <w:b/>
          <w:szCs w:val="22"/>
          <w:lang w:val="en-GB"/>
        </w:rPr>
      </w:pPr>
      <w:r w:rsidRPr="007D2584">
        <w:rPr>
          <w:rFonts w:ascii="Arial" w:hAnsi="Arial" w:cs="Arial"/>
          <w:b/>
          <w:sz w:val="24"/>
          <w:lang w:val="en-GB"/>
        </w:rPr>
        <w:tab/>
      </w:r>
      <w:r w:rsidRPr="007D2584">
        <w:rPr>
          <w:rFonts w:ascii="Arial" w:hAnsi="Arial" w:cs="Arial"/>
          <w:b/>
          <w:sz w:val="24"/>
          <w:lang w:val="en-GB"/>
        </w:rPr>
        <w:tab/>
      </w:r>
      <w:r w:rsidRPr="007D2584">
        <w:rPr>
          <w:rFonts w:ascii="Arial" w:hAnsi="Arial" w:cs="Arial"/>
          <w:b/>
          <w:sz w:val="24"/>
          <w:lang w:val="en-GB"/>
        </w:rPr>
        <w:tab/>
        <w:t>)</w:t>
      </w:r>
      <w:r w:rsidRPr="007D2584">
        <w:rPr>
          <w:rFonts w:ascii="Arial" w:hAnsi="Arial" w:cs="Arial"/>
          <w:b/>
          <w:sz w:val="24"/>
          <w:lang w:val="en-GB"/>
        </w:rPr>
        <w:tab/>
      </w:r>
      <w:r w:rsidRPr="007D2584">
        <w:rPr>
          <w:rFonts w:ascii="Arial" w:hAnsi="Arial" w:cs="Arial"/>
          <w:szCs w:val="22"/>
          <w:lang w:val="en-GB"/>
        </w:rPr>
        <w:t>No: 2014/0429</w:t>
      </w:r>
    </w:p>
    <w:p w:rsidR="007D2584" w:rsidRPr="007D2584" w:rsidRDefault="007D2584" w:rsidP="007D2584">
      <w:pPr>
        <w:tabs>
          <w:tab w:val="left" w:pos="4536"/>
          <w:tab w:val="left" w:pos="5103"/>
          <w:tab w:val="left" w:pos="5670"/>
        </w:tabs>
        <w:spacing w:before="0" w:line="240" w:lineRule="auto"/>
        <w:ind w:left="720" w:hanging="720"/>
        <w:jc w:val="left"/>
        <w:rPr>
          <w:rFonts w:ascii="Arial (W1)" w:hAnsi="Arial (W1)" w:cs="Arial"/>
          <w:b/>
          <w:caps/>
          <w:sz w:val="24"/>
          <w:szCs w:val="24"/>
          <w:lang w:val="en-GB"/>
        </w:rPr>
      </w:pPr>
      <w:r w:rsidRPr="007D2584">
        <w:rPr>
          <w:rFonts w:ascii="Arial (W1)" w:hAnsi="Arial (W1)" w:cs="Arial"/>
          <w:b/>
          <w:caps/>
          <w:sz w:val="24"/>
          <w:szCs w:val="24"/>
          <w:lang w:val="en-GB"/>
        </w:rPr>
        <w:t>Taxation and Commercial Division</w:t>
      </w:r>
      <w:r w:rsidRPr="007D2584">
        <w:rPr>
          <w:rFonts w:ascii="Arial (W1)" w:hAnsi="Arial (W1)" w:cs="Arial"/>
          <w:b/>
          <w:caps/>
          <w:sz w:val="24"/>
          <w:szCs w:val="24"/>
          <w:lang w:val="en-GB"/>
        </w:rPr>
        <w:tab/>
        <w:t>)</w:t>
      </w:r>
    </w:p>
    <w:p w:rsidR="007D2584" w:rsidRPr="007D2584" w:rsidRDefault="007D2584" w:rsidP="007D2584">
      <w:pPr>
        <w:tabs>
          <w:tab w:val="left" w:pos="5670"/>
        </w:tabs>
        <w:spacing w:before="0" w:line="240" w:lineRule="auto"/>
        <w:jc w:val="left"/>
        <w:rPr>
          <w:rFonts w:ascii="Arial" w:hAnsi="Arial" w:cs="Arial"/>
          <w:sz w:val="24"/>
        </w:rPr>
      </w:pPr>
    </w:p>
    <w:p w:rsidR="007D2584" w:rsidRPr="007D2584" w:rsidRDefault="007D2584" w:rsidP="007D2584">
      <w:pPr>
        <w:spacing w:before="0" w:line="240" w:lineRule="auto"/>
        <w:jc w:val="right"/>
        <w:rPr>
          <w:rFonts w:ascii="Arial" w:hAnsi="Arial" w:cs="Arial"/>
          <w:sz w:val="16"/>
          <w:szCs w:val="16"/>
        </w:rPr>
      </w:pPr>
    </w:p>
    <w:p w:rsidR="007D2584" w:rsidRPr="007D2584" w:rsidRDefault="007D2584" w:rsidP="007D2584">
      <w:pPr>
        <w:tabs>
          <w:tab w:val="left" w:pos="4536"/>
          <w:tab w:val="left" w:pos="5670"/>
        </w:tabs>
        <w:spacing w:before="0" w:after="120" w:line="240" w:lineRule="auto"/>
        <w:jc w:val="left"/>
        <w:rPr>
          <w:rFonts w:ascii="Arial" w:hAnsi="Arial" w:cs="Arial"/>
          <w:sz w:val="24"/>
          <w:szCs w:val="24"/>
          <w:lang w:val="en-GB"/>
        </w:rPr>
      </w:pPr>
      <w:r w:rsidRPr="007D2584">
        <w:rPr>
          <w:rFonts w:ascii="Arial" w:hAnsi="Arial" w:cs="Arial"/>
          <w:sz w:val="24"/>
          <w:szCs w:val="24"/>
          <w:lang w:val="en-GB"/>
        </w:rPr>
        <w:tab/>
        <w:t>Re:</w:t>
      </w:r>
      <w:r w:rsidRPr="007D2584">
        <w:rPr>
          <w:rFonts w:ascii="Arial" w:hAnsi="Arial" w:cs="Arial"/>
          <w:sz w:val="24"/>
          <w:szCs w:val="24"/>
          <w:lang w:val="en-GB"/>
        </w:rPr>
        <w:tab/>
        <w:t>Jason Cornell</w:t>
      </w:r>
    </w:p>
    <w:p w:rsidR="007D2584" w:rsidRPr="007D2584" w:rsidRDefault="007D2584" w:rsidP="007D2584">
      <w:pPr>
        <w:tabs>
          <w:tab w:val="left" w:pos="4536"/>
          <w:tab w:val="left" w:pos="5670"/>
        </w:tabs>
        <w:spacing w:before="0" w:after="120" w:line="240" w:lineRule="auto"/>
        <w:jc w:val="right"/>
        <w:rPr>
          <w:rFonts w:ascii="Arial" w:hAnsi="Arial" w:cs="Arial"/>
          <w:sz w:val="24"/>
          <w:szCs w:val="24"/>
          <w:lang w:val="en-GB"/>
        </w:rPr>
      </w:pPr>
      <w:r w:rsidRPr="007D2584">
        <w:rPr>
          <w:rFonts w:ascii="Arial" w:hAnsi="Arial" w:cs="Arial"/>
          <w:sz w:val="24"/>
          <w:szCs w:val="24"/>
          <w:lang w:val="en-GB"/>
        </w:rPr>
        <w:t>Applicant</w:t>
      </w:r>
    </w:p>
    <w:p w:rsidR="007D2584" w:rsidRPr="007D2584" w:rsidRDefault="007D2584" w:rsidP="007D2584">
      <w:pPr>
        <w:tabs>
          <w:tab w:val="left" w:pos="4536"/>
          <w:tab w:val="left" w:pos="5670"/>
        </w:tabs>
        <w:spacing w:before="0" w:after="120" w:line="240" w:lineRule="auto"/>
        <w:jc w:val="left"/>
        <w:rPr>
          <w:rFonts w:ascii="Arial" w:hAnsi="Arial" w:cs="Arial"/>
          <w:sz w:val="24"/>
          <w:szCs w:val="24"/>
          <w:lang w:val="en-GB"/>
        </w:rPr>
      </w:pPr>
    </w:p>
    <w:p w:rsidR="007D2584" w:rsidRPr="007D2584" w:rsidRDefault="007D2584" w:rsidP="007D2584">
      <w:pPr>
        <w:tabs>
          <w:tab w:val="left" w:pos="4536"/>
          <w:tab w:val="left" w:pos="5670"/>
        </w:tabs>
        <w:spacing w:before="0" w:after="120" w:line="240" w:lineRule="auto"/>
        <w:jc w:val="left"/>
        <w:rPr>
          <w:rFonts w:ascii="Arial" w:hAnsi="Arial" w:cs="Arial"/>
          <w:sz w:val="24"/>
          <w:szCs w:val="24"/>
          <w:lang w:val="en-GB"/>
        </w:rPr>
      </w:pPr>
      <w:r w:rsidRPr="007D2584">
        <w:rPr>
          <w:rFonts w:ascii="Arial" w:hAnsi="Arial" w:cs="Arial"/>
          <w:sz w:val="24"/>
          <w:szCs w:val="24"/>
          <w:lang w:val="en-GB"/>
        </w:rPr>
        <w:tab/>
        <w:t>And:</w:t>
      </w:r>
      <w:r w:rsidRPr="007D2584">
        <w:rPr>
          <w:rFonts w:ascii="Arial" w:hAnsi="Arial" w:cs="Arial"/>
          <w:sz w:val="24"/>
          <w:szCs w:val="24"/>
          <w:lang w:val="en-GB"/>
        </w:rPr>
        <w:tab/>
        <w:t>Commissioner of Taxation</w:t>
      </w:r>
    </w:p>
    <w:p w:rsidR="007D2584" w:rsidRPr="007D2584" w:rsidRDefault="007D2584" w:rsidP="007D2584">
      <w:pPr>
        <w:tabs>
          <w:tab w:val="left" w:pos="4536"/>
          <w:tab w:val="left" w:pos="5670"/>
        </w:tabs>
        <w:spacing w:before="0" w:after="120" w:line="240" w:lineRule="auto"/>
        <w:jc w:val="right"/>
        <w:rPr>
          <w:rFonts w:ascii="Arial" w:hAnsi="Arial" w:cs="Arial"/>
          <w:sz w:val="24"/>
          <w:szCs w:val="24"/>
          <w:lang w:val="en-GB"/>
        </w:rPr>
      </w:pPr>
      <w:r w:rsidRPr="007D2584">
        <w:rPr>
          <w:rFonts w:ascii="Arial" w:hAnsi="Arial" w:cs="Arial"/>
          <w:sz w:val="24"/>
          <w:szCs w:val="24"/>
          <w:lang w:val="en-GB"/>
        </w:rPr>
        <w:t>Respondent</w:t>
      </w:r>
    </w:p>
    <w:p w:rsidR="007D2584" w:rsidRPr="007D2584" w:rsidRDefault="00522A04" w:rsidP="007D2584">
      <w:pPr>
        <w:spacing w:before="0" w:line="240" w:lineRule="auto"/>
        <w:jc w:val="center"/>
        <w:rPr>
          <w:rFonts w:ascii="Arial" w:hAnsi="Arial" w:cs="Arial"/>
          <w:b/>
          <w:sz w:val="24"/>
        </w:rPr>
      </w:pPr>
      <w:r>
        <w:rPr>
          <w:rFonts w:ascii="Arial" w:hAnsi="Arial" w:cs="Arial"/>
          <w:b/>
          <w:sz w:val="24"/>
        </w:rPr>
        <w:t>CORRIGENDUM</w:t>
      </w:r>
    </w:p>
    <w:p w:rsidR="007D2584" w:rsidRPr="007D2584" w:rsidRDefault="007D2584" w:rsidP="007D2584">
      <w:pPr>
        <w:spacing w:before="0" w:line="240" w:lineRule="auto"/>
        <w:jc w:val="right"/>
        <w:rPr>
          <w:rFonts w:ascii="Arial" w:hAnsi="Arial" w:cs="Arial"/>
          <w:sz w:val="16"/>
          <w:szCs w:val="16"/>
        </w:rPr>
      </w:pPr>
    </w:p>
    <w:p w:rsidR="007D2584" w:rsidRPr="007D2584" w:rsidRDefault="007D2584" w:rsidP="007D2584">
      <w:pPr>
        <w:spacing w:before="0" w:line="240" w:lineRule="auto"/>
        <w:jc w:val="left"/>
        <w:rPr>
          <w:rFonts w:ascii="Arial" w:hAnsi="Arial" w:cs="Arial"/>
          <w:szCs w:val="22"/>
        </w:rPr>
      </w:pPr>
    </w:p>
    <w:p w:rsidR="007D2584" w:rsidRPr="007D2584" w:rsidRDefault="007D2584" w:rsidP="007D2584">
      <w:pPr>
        <w:tabs>
          <w:tab w:val="left" w:pos="1843"/>
        </w:tabs>
        <w:spacing w:before="0" w:line="240" w:lineRule="auto"/>
        <w:rPr>
          <w:rFonts w:ascii="Arial" w:hAnsi="Arial" w:cs="Arial"/>
          <w:sz w:val="24"/>
          <w:szCs w:val="24"/>
        </w:rPr>
      </w:pPr>
      <w:r w:rsidRPr="007D2584">
        <w:rPr>
          <w:rFonts w:ascii="Arial" w:hAnsi="Arial" w:cs="Arial"/>
          <w:b/>
          <w:sz w:val="24"/>
          <w:szCs w:val="24"/>
        </w:rPr>
        <w:t>TRIBUNAL:</w:t>
      </w:r>
      <w:r w:rsidRPr="007D2584">
        <w:rPr>
          <w:rFonts w:ascii="Arial" w:hAnsi="Arial" w:cs="Arial"/>
          <w:sz w:val="24"/>
          <w:szCs w:val="24"/>
        </w:rPr>
        <w:tab/>
        <w:t>F D O’Loughlin, Senior Member</w:t>
      </w:r>
    </w:p>
    <w:p w:rsidR="007D2584" w:rsidRPr="007D2584" w:rsidRDefault="007D2584" w:rsidP="007D2584">
      <w:pPr>
        <w:tabs>
          <w:tab w:val="left" w:pos="1843"/>
        </w:tabs>
        <w:spacing w:before="0" w:line="240" w:lineRule="auto"/>
        <w:rPr>
          <w:rFonts w:ascii="Arial" w:hAnsi="Arial" w:cs="Arial"/>
          <w:sz w:val="24"/>
          <w:szCs w:val="24"/>
        </w:rPr>
      </w:pPr>
    </w:p>
    <w:p w:rsidR="007D2584" w:rsidRPr="007D2584" w:rsidRDefault="007D2584" w:rsidP="007D2584">
      <w:pPr>
        <w:tabs>
          <w:tab w:val="left" w:pos="1843"/>
        </w:tabs>
        <w:spacing w:before="0" w:line="240" w:lineRule="auto"/>
        <w:rPr>
          <w:rFonts w:ascii="Arial" w:hAnsi="Arial" w:cs="Arial"/>
          <w:sz w:val="24"/>
          <w:szCs w:val="24"/>
        </w:rPr>
      </w:pPr>
      <w:r w:rsidRPr="007D2584">
        <w:rPr>
          <w:rFonts w:ascii="Arial" w:hAnsi="Arial" w:cs="Arial"/>
          <w:b/>
          <w:sz w:val="24"/>
          <w:szCs w:val="24"/>
        </w:rPr>
        <w:t>DATE:</w:t>
      </w:r>
      <w:r w:rsidRPr="007D2584">
        <w:rPr>
          <w:rFonts w:ascii="Arial" w:hAnsi="Arial" w:cs="Arial"/>
          <w:b/>
          <w:sz w:val="24"/>
          <w:szCs w:val="24"/>
        </w:rPr>
        <w:tab/>
      </w:r>
      <w:r w:rsidRPr="007D2584">
        <w:rPr>
          <w:rFonts w:ascii="Arial" w:hAnsi="Arial" w:cs="Arial"/>
          <w:sz w:val="24"/>
          <w:szCs w:val="24"/>
        </w:rPr>
        <w:t>5 January 2016</w:t>
      </w:r>
    </w:p>
    <w:p w:rsidR="007D2584" w:rsidRPr="007D2584" w:rsidRDefault="007D2584" w:rsidP="007D2584">
      <w:pPr>
        <w:tabs>
          <w:tab w:val="left" w:pos="1843"/>
        </w:tabs>
        <w:spacing w:before="0" w:line="240" w:lineRule="auto"/>
        <w:rPr>
          <w:rFonts w:ascii="Arial" w:hAnsi="Arial" w:cs="Arial"/>
          <w:sz w:val="24"/>
          <w:szCs w:val="24"/>
        </w:rPr>
      </w:pPr>
    </w:p>
    <w:p w:rsidR="007D2584" w:rsidRPr="007D2584" w:rsidRDefault="007D2584" w:rsidP="007D2584">
      <w:pPr>
        <w:tabs>
          <w:tab w:val="left" w:pos="1843"/>
        </w:tabs>
        <w:spacing w:before="0" w:line="240" w:lineRule="auto"/>
        <w:rPr>
          <w:rFonts w:ascii="Arial" w:hAnsi="Arial" w:cs="Arial"/>
          <w:sz w:val="24"/>
          <w:szCs w:val="24"/>
        </w:rPr>
      </w:pPr>
      <w:r w:rsidRPr="007D2584">
        <w:rPr>
          <w:rFonts w:ascii="Arial" w:hAnsi="Arial" w:cs="Arial"/>
          <w:b/>
          <w:sz w:val="24"/>
          <w:szCs w:val="24"/>
        </w:rPr>
        <w:t>PLACE:</w:t>
      </w:r>
      <w:r w:rsidRPr="007D2584">
        <w:rPr>
          <w:rFonts w:ascii="Arial" w:hAnsi="Arial" w:cs="Arial"/>
          <w:b/>
          <w:sz w:val="24"/>
          <w:szCs w:val="24"/>
        </w:rPr>
        <w:tab/>
      </w:r>
      <w:r w:rsidRPr="007D2584">
        <w:rPr>
          <w:rFonts w:ascii="Arial" w:hAnsi="Arial" w:cs="Arial"/>
          <w:sz w:val="24"/>
          <w:szCs w:val="24"/>
        </w:rPr>
        <w:t>Melbourne</w:t>
      </w:r>
    </w:p>
    <w:p w:rsidR="007D2584" w:rsidRPr="007D2584" w:rsidRDefault="007D2584" w:rsidP="007D2584">
      <w:pPr>
        <w:tabs>
          <w:tab w:val="left" w:pos="1843"/>
        </w:tabs>
        <w:spacing w:before="0" w:line="240" w:lineRule="auto"/>
        <w:rPr>
          <w:rFonts w:ascii="Arial" w:hAnsi="Arial" w:cs="Arial"/>
          <w:sz w:val="24"/>
          <w:szCs w:val="24"/>
        </w:rPr>
      </w:pPr>
    </w:p>
    <w:p w:rsidR="007D2584" w:rsidRPr="007D2584" w:rsidRDefault="007D2584" w:rsidP="007D2584">
      <w:pPr>
        <w:tabs>
          <w:tab w:val="left" w:pos="1843"/>
        </w:tabs>
        <w:spacing w:before="0" w:line="240" w:lineRule="auto"/>
        <w:rPr>
          <w:rFonts w:ascii="Arial" w:hAnsi="Arial" w:cs="Arial"/>
          <w:sz w:val="24"/>
          <w:szCs w:val="24"/>
        </w:rPr>
      </w:pPr>
    </w:p>
    <w:p w:rsidR="007D2584" w:rsidRPr="007D2584" w:rsidRDefault="007D2584" w:rsidP="007D2584">
      <w:pPr>
        <w:tabs>
          <w:tab w:val="left" w:pos="-720"/>
        </w:tabs>
        <w:suppressAutoHyphens/>
        <w:spacing w:before="0" w:line="240" w:lineRule="auto"/>
        <w:rPr>
          <w:rFonts w:ascii="Arial" w:hAnsi="Arial" w:cs="Arial"/>
          <w:spacing w:val="-3"/>
          <w:sz w:val="24"/>
          <w:szCs w:val="24"/>
        </w:rPr>
      </w:pPr>
    </w:p>
    <w:p w:rsidR="007D2584" w:rsidRPr="007D2584" w:rsidRDefault="007D2584" w:rsidP="007D2584">
      <w:pPr>
        <w:tabs>
          <w:tab w:val="left" w:pos="-720"/>
        </w:tabs>
        <w:suppressAutoHyphens/>
        <w:spacing w:before="0" w:line="276" w:lineRule="auto"/>
        <w:rPr>
          <w:rFonts w:ascii="Arial" w:hAnsi="Arial" w:cs="Arial"/>
          <w:spacing w:val="-3"/>
          <w:sz w:val="24"/>
          <w:szCs w:val="24"/>
        </w:rPr>
      </w:pPr>
      <w:r w:rsidRPr="007D2584">
        <w:rPr>
          <w:rFonts w:ascii="Arial" w:hAnsi="Arial" w:cs="Arial"/>
          <w:spacing w:val="-3"/>
          <w:sz w:val="24"/>
          <w:szCs w:val="24"/>
        </w:rPr>
        <w:t xml:space="preserve">The Tribunal directs the Registrar, pursuant to subsection </w:t>
      </w:r>
      <w:proofErr w:type="gramStart"/>
      <w:r w:rsidRPr="007D2584">
        <w:rPr>
          <w:rFonts w:ascii="Arial" w:hAnsi="Arial" w:cs="Arial"/>
          <w:spacing w:val="-3"/>
          <w:sz w:val="24"/>
          <w:szCs w:val="24"/>
        </w:rPr>
        <w:t>43AA(</w:t>
      </w:r>
      <w:proofErr w:type="gramEnd"/>
      <w:r w:rsidRPr="007D2584">
        <w:rPr>
          <w:rFonts w:ascii="Arial" w:hAnsi="Arial" w:cs="Arial"/>
          <w:spacing w:val="-3"/>
          <w:sz w:val="24"/>
          <w:szCs w:val="24"/>
        </w:rPr>
        <w:t xml:space="preserve">1) of the </w:t>
      </w:r>
      <w:r w:rsidRPr="007D2584">
        <w:rPr>
          <w:rFonts w:ascii="Arial" w:hAnsi="Arial" w:cs="Arial"/>
          <w:i/>
          <w:spacing w:val="-3"/>
          <w:sz w:val="24"/>
          <w:szCs w:val="24"/>
        </w:rPr>
        <w:t xml:space="preserve">Administrative Appeals Tribunal Act 1975, </w:t>
      </w:r>
      <w:r w:rsidRPr="007D2584">
        <w:rPr>
          <w:rFonts w:ascii="Arial" w:hAnsi="Arial" w:cs="Arial"/>
          <w:spacing w:val="-3"/>
          <w:sz w:val="24"/>
          <w:szCs w:val="24"/>
        </w:rPr>
        <w:t>to alter the text of the decision in this application as follows:</w:t>
      </w:r>
    </w:p>
    <w:p w:rsidR="007D2584" w:rsidRPr="007D2584" w:rsidRDefault="007D2584" w:rsidP="007D2584">
      <w:pPr>
        <w:tabs>
          <w:tab w:val="left" w:pos="-720"/>
        </w:tabs>
        <w:suppressAutoHyphens/>
        <w:spacing w:before="0" w:line="276" w:lineRule="auto"/>
        <w:rPr>
          <w:rFonts w:ascii="Arial" w:hAnsi="Arial" w:cs="Arial"/>
          <w:spacing w:val="-3"/>
          <w:sz w:val="24"/>
          <w:szCs w:val="24"/>
        </w:rPr>
      </w:pPr>
    </w:p>
    <w:p w:rsidR="007D2584" w:rsidRPr="007D2584" w:rsidRDefault="007D2584" w:rsidP="007D2584">
      <w:pPr>
        <w:tabs>
          <w:tab w:val="left" w:pos="-720"/>
        </w:tabs>
        <w:suppressAutoHyphens/>
        <w:spacing w:before="0" w:line="276" w:lineRule="auto"/>
        <w:jc w:val="left"/>
        <w:rPr>
          <w:rFonts w:ascii="Arial" w:hAnsi="Arial" w:cs="Arial"/>
          <w:i/>
          <w:spacing w:val="-3"/>
          <w:sz w:val="24"/>
          <w:szCs w:val="24"/>
        </w:rPr>
      </w:pPr>
      <w:r w:rsidRPr="007D2584">
        <w:rPr>
          <w:rFonts w:ascii="Arial" w:hAnsi="Arial" w:cs="Arial"/>
          <w:spacing w:val="-3"/>
          <w:sz w:val="24"/>
          <w:szCs w:val="24"/>
        </w:rPr>
        <w:t xml:space="preserve">In paragraph 18 </w:t>
      </w:r>
      <w:r>
        <w:rPr>
          <w:rFonts w:ascii="Arial" w:hAnsi="Arial" w:cs="Arial"/>
          <w:spacing w:val="-3"/>
          <w:sz w:val="24"/>
          <w:szCs w:val="24"/>
        </w:rPr>
        <w:t>replace</w:t>
      </w:r>
      <w:r w:rsidRPr="007D2584">
        <w:rPr>
          <w:rFonts w:ascii="Arial" w:hAnsi="Arial" w:cs="Arial"/>
          <w:spacing w:val="-3"/>
          <w:sz w:val="24"/>
          <w:szCs w:val="24"/>
        </w:rPr>
        <w:t xml:space="preserve"> the words</w:t>
      </w:r>
      <w:r>
        <w:rPr>
          <w:rFonts w:ascii="Arial" w:hAnsi="Arial" w:cs="Arial"/>
          <w:spacing w:val="-3"/>
          <w:sz w:val="24"/>
          <w:szCs w:val="24"/>
        </w:rPr>
        <w:t>:</w:t>
      </w:r>
      <w:r w:rsidRPr="007D2584">
        <w:rPr>
          <w:rFonts w:ascii="Arial" w:hAnsi="Arial" w:cs="Arial"/>
          <w:spacing w:val="-3"/>
          <w:sz w:val="24"/>
          <w:szCs w:val="24"/>
        </w:rPr>
        <w:t xml:space="preserve"> </w:t>
      </w:r>
    </w:p>
    <w:p w:rsidR="007D2584" w:rsidRPr="007D2584" w:rsidRDefault="007D2584" w:rsidP="007D2584">
      <w:pPr>
        <w:tabs>
          <w:tab w:val="left" w:pos="-720"/>
        </w:tabs>
        <w:suppressAutoHyphens/>
        <w:spacing w:before="0" w:line="276" w:lineRule="auto"/>
        <w:ind w:left="720"/>
        <w:jc w:val="left"/>
        <w:rPr>
          <w:rFonts w:ascii="Arial" w:hAnsi="Arial" w:cs="Arial"/>
          <w:i/>
          <w:spacing w:val="-3"/>
          <w:sz w:val="24"/>
          <w:szCs w:val="24"/>
        </w:rPr>
      </w:pPr>
    </w:p>
    <w:p w:rsidR="007D2584" w:rsidRDefault="007D2584" w:rsidP="006A6C8B">
      <w:pPr>
        <w:tabs>
          <w:tab w:val="left" w:pos="-720"/>
        </w:tabs>
        <w:suppressAutoHyphens/>
        <w:spacing w:before="0" w:after="240" w:line="276" w:lineRule="auto"/>
        <w:ind w:left="720"/>
        <w:jc w:val="left"/>
        <w:rPr>
          <w:rFonts w:ascii="Arial" w:hAnsi="Arial" w:cs="Arial"/>
          <w:i/>
          <w:sz w:val="24"/>
          <w:szCs w:val="24"/>
        </w:rPr>
      </w:pPr>
      <w:r w:rsidRPr="007D2584">
        <w:rPr>
          <w:rFonts w:ascii="Arial" w:hAnsi="Arial" w:cs="Arial"/>
          <w:i/>
          <w:sz w:val="24"/>
          <w:szCs w:val="24"/>
        </w:rPr>
        <w:t xml:space="preserve">More recently the Justice in the – Full </w:t>
      </w:r>
      <w:proofErr w:type="gramStart"/>
      <w:r w:rsidRPr="007D2584">
        <w:rPr>
          <w:rFonts w:ascii="Arial" w:hAnsi="Arial" w:cs="Arial"/>
          <w:i/>
          <w:sz w:val="24"/>
          <w:szCs w:val="24"/>
        </w:rPr>
        <w:t>Court ...</w:t>
      </w:r>
      <w:proofErr w:type="gramEnd"/>
    </w:p>
    <w:p w:rsidR="007D2584" w:rsidRPr="007D2584" w:rsidRDefault="007D2584" w:rsidP="006A6C8B">
      <w:pPr>
        <w:tabs>
          <w:tab w:val="left" w:pos="-720"/>
        </w:tabs>
        <w:suppressAutoHyphens/>
        <w:spacing w:before="0" w:after="240" w:line="276" w:lineRule="auto"/>
        <w:jc w:val="left"/>
        <w:rPr>
          <w:rFonts w:ascii="Arial" w:hAnsi="Arial" w:cs="Arial"/>
          <w:sz w:val="24"/>
          <w:szCs w:val="24"/>
        </w:rPr>
      </w:pPr>
      <w:proofErr w:type="gramStart"/>
      <w:r w:rsidRPr="007D2584">
        <w:rPr>
          <w:rFonts w:ascii="Arial" w:hAnsi="Arial" w:cs="Arial"/>
          <w:sz w:val="24"/>
          <w:szCs w:val="24"/>
        </w:rPr>
        <w:t>with</w:t>
      </w:r>
      <w:proofErr w:type="gramEnd"/>
      <w:r w:rsidRPr="007D2584">
        <w:rPr>
          <w:rFonts w:ascii="Arial" w:hAnsi="Arial" w:cs="Arial"/>
          <w:sz w:val="24"/>
          <w:szCs w:val="24"/>
        </w:rPr>
        <w:t xml:space="preserve"> the words:</w:t>
      </w:r>
    </w:p>
    <w:p w:rsidR="007D2584" w:rsidRPr="007D2584" w:rsidRDefault="007D2584" w:rsidP="006A6C8B">
      <w:pPr>
        <w:tabs>
          <w:tab w:val="left" w:pos="-720"/>
        </w:tabs>
        <w:suppressAutoHyphens/>
        <w:spacing w:before="0" w:after="240" w:line="276" w:lineRule="auto"/>
        <w:ind w:left="709"/>
        <w:jc w:val="left"/>
        <w:rPr>
          <w:rFonts w:ascii="Arial" w:hAnsi="Arial" w:cs="Arial"/>
          <w:i/>
          <w:spacing w:val="-3"/>
          <w:sz w:val="24"/>
          <w:szCs w:val="24"/>
        </w:rPr>
      </w:pPr>
      <w:r w:rsidRPr="007D2584">
        <w:rPr>
          <w:rFonts w:ascii="Arial" w:hAnsi="Arial" w:cs="Arial"/>
          <w:i/>
          <w:sz w:val="24"/>
          <w:szCs w:val="24"/>
        </w:rPr>
        <w:t>More recently in the decision of the Full Court</w:t>
      </w:r>
    </w:p>
    <w:p w:rsidR="007D2584" w:rsidRPr="007D2584" w:rsidRDefault="007D2584" w:rsidP="006A6C8B">
      <w:pPr>
        <w:tabs>
          <w:tab w:val="right" w:pos="9026"/>
        </w:tabs>
        <w:suppressAutoHyphens/>
        <w:spacing w:before="0" w:after="240" w:line="276" w:lineRule="auto"/>
        <w:rPr>
          <w:rFonts w:ascii="Arial" w:hAnsi="Arial" w:cs="Arial"/>
          <w:spacing w:val="-3"/>
          <w:sz w:val="24"/>
          <w:szCs w:val="24"/>
        </w:rPr>
      </w:pPr>
    </w:p>
    <w:p w:rsidR="007D2584" w:rsidRPr="007D2584" w:rsidRDefault="007D2584" w:rsidP="007D2584">
      <w:pPr>
        <w:tabs>
          <w:tab w:val="right" w:pos="9026"/>
        </w:tabs>
        <w:suppressAutoHyphens/>
        <w:spacing w:before="0" w:line="240" w:lineRule="auto"/>
        <w:rPr>
          <w:rFonts w:ascii="Arial" w:hAnsi="Arial" w:cs="Arial"/>
          <w:spacing w:val="-3"/>
          <w:szCs w:val="22"/>
        </w:rPr>
      </w:pPr>
    </w:p>
    <w:p w:rsidR="007D2584" w:rsidRPr="007D2584" w:rsidRDefault="007D2584" w:rsidP="007D2584">
      <w:pPr>
        <w:tabs>
          <w:tab w:val="right" w:pos="9026"/>
        </w:tabs>
        <w:suppressAutoHyphens/>
        <w:spacing w:before="0" w:line="240" w:lineRule="auto"/>
        <w:rPr>
          <w:rFonts w:ascii="Arial" w:hAnsi="Arial" w:cs="Arial"/>
          <w:spacing w:val="-3"/>
          <w:szCs w:val="22"/>
        </w:rPr>
      </w:pPr>
      <w:r w:rsidRPr="007D2584">
        <w:rPr>
          <w:rFonts w:ascii="Arial" w:hAnsi="Arial" w:cs="Arial"/>
          <w:spacing w:val="-3"/>
          <w:szCs w:val="22"/>
        </w:rPr>
        <w:t>[</w:t>
      </w:r>
      <w:proofErr w:type="gramStart"/>
      <w:r w:rsidRPr="007D2584">
        <w:rPr>
          <w:rFonts w:ascii="Arial" w:hAnsi="Arial" w:cs="Arial"/>
          <w:spacing w:val="-3"/>
          <w:szCs w:val="22"/>
        </w:rPr>
        <w:t>sgd</w:t>
      </w:r>
      <w:proofErr w:type="gramEnd"/>
      <w:r w:rsidRPr="007D2584">
        <w:rPr>
          <w:rFonts w:ascii="Arial" w:hAnsi="Arial" w:cs="Arial"/>
          <w:spacing w:val="-3"/>
          <w:szCs w:val="22"/>
        </w:rPr>
        <w:t>]................................................................</w:t>
      </w:r>
    </w:p>
    <w:p w:rsidR="007D2584" w:rsidRPr="007D2584" w:rsidRDefault="007D2584" w:rsidP="007D2584">
      <w:pPr>
        <w:spacing w:before="0" w:line="240" w:lineRule="auto"/>
        <w:jc w:val="left"/>
        <w:rPr>
          <w:rFonts w:ascii="Arial" w:hAnsi="Arial" w:cs="Arial"/>
          <w:sz w:val="24"/>
        </w:rPr>
      </w:pPr>
      <w:r w:rsidRPr="007D2584">
        <w:rPr>
          <w:rFonts w:ascii="Arial" w:hAnsi="Arial" w:cs="Arial"/>
          <w:sz w:val="24"/>
        </w:rPr>
        <w:t>Senior Member</w:t>
      </w:r>
    </w:p>
    <w:p w:rsidR="00BE45FE" w:rsidRDefault="00BE45FE">
      <w:pPr>
        <w:spacing w:before="0" w:line="240" w:lineRule="auto"/>
        <w:jc w:val="left"/>
        <w:rPr>
          <w:rFonts w:eastAsiaTheme="majorEastAsia" w:cstheme="majorBidi"/>
          <w:b/>
          <w:szCs w:val="52"/>
        </w:rPr>
      </w:pPr>
      <w:r>
        <w:br w:type="page"/>
      </w:r>
    </w:p>
    <w:p w:rsidR="00BE45FE" w:rsidRDefault="00BE45FE" w:rsidP="00F35E91">
      <w:pPr>
        <w:pStyle w:val="Title"/>
        <w:sectPr w:rsidR="00BE45FE" w:rsidSect="006A6C8B">
          <w:headerReference w:type="even" r:id="rId11"/>
          <w:headerReference w:type="default" r:id="rId12"/>
          <w:footerReference w:type="even" r:id="rId13"/>
          <w:footerReference w:type="default" r:id="rId14"/>
          <w:headerReference w:type="first" r:id="rId15"/>
          <w:footerReference w:type="first" r:id="rId16"/>
          <w:type w:val="continuous"/>
          <w:pgSz w:w="11907" w:h="16834" w:code="9"/>
          <w:pgMar w:top="528" w:right="1134" w:bottom="993" w:left="1985" w:header="567" w:footer="0" w:gutter="0"/>
          <w:cols w:space="720"/>
          <w:titlePg/>
        </w:sectPr>
      </w:pPr>
    </w:p>
    <w:p w:rsidR="00531AA1" w:rsidRPr="000A40FB" w:rsidRDefault="009A6969" w:rsidP="00F35E91">
      <w:pPr>
        <w:pStyle w:val="Title"/>
      </w:pPr>
      <w:r w:rsidRPr="009A6969">
        <w:lastRenderedPageBreak/>
        <w:t>Cornell</w:t>
      </w:r>
      <w:r>
        <w:t xml:space="preserve"> and </w:t>
      </w:r>
      <w:r w:rsidRPr="009A6969">
        <w:t>Commissioner of Taxation</w:t>
      </w:r>
      <w:r>
        <w:t xml:space="preserve"> (Taxation) </w:t>
      </w:r>
      <w:r w:rsidR="00661270" w:rsidRPr="000A40FB">
        <w:t>[</w:t>
      </w:r>
      <w:r w:rsidR="006B7B54">
        <w:t>2015</w:t>
      </w:r>
      <w:r w:rsidR="00661270" w:rsidRPr="000A40FB">
        <w:t xml:space="preserve">] </w:t>
      </w:r>
      <w:r w:rsidR="00531AA1" w:rsidRPr="000A40FB">
        <w:t>AATA</w:t>
      </w:r>
      <w:r w:rsidR="004E575B">
        <w:t xml:space="preserve"> </w:t>
      </w:r>
      <w:r w:rsidR="00786A23">
        <w:t>852</w:t>
      </w:r>
      <w:r>
        <w:t xml:space="preserve"> (6 October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EF4D07" w:rsidP="003B4BBD">
            <w:fldSimple w:instr=" DOCPROPERTY  Division ">
              <w:r w:rsidR="008565F2">
                <w:t>TAXATION &amp; COMMERCIAL DIVISION</w:t>
              </w:r>
            </w:fldSimple>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8565F2">
              <w:t>2014/0429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EF4D07" w:rsidP="00036C03">
            <w:pPr>
              <w:pStyle w:val="Details"/>
            </w:pPr>
            <w:fldSimple w:instr=" DOCPROPERTY  Applicant ">
              <w:r w:rsidR="008565F2">
                <w:t>Jason Cornell</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F4D07" w:rsidP="00036C03">
            <w:pPr>
              <w:pStyle w:val="Details"/>
            </w:pPr>
            <w:fldSimple w:instr=" DOCPROPERTY  Respondent ">
              <w:r w:rsidR="008565F2">
                <w:t>Commissioner of Taxation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6B7B54" w:rsidP="00A161A7">
      <w:pPr>
        <w:pStyle w:val="Heading1"/>
        <w:rPr>
          <w:lang w:eastAsia="en-US"/>
        </w:rPr>
      </w:pPr>
      <w:r>
        <w:rPr>
          <w:lang w:eastAsia="en-US"/>
        </w:rPr>
        <w:t xml:space="preserve">REASONS FOR </w:t>
      </w:r>
      <w:r w:rsidR="00BC2D09"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6B7B54" w:rsidRPr="00BC2D09" w:rsidTr="00702374">
        <w:trPr>
          <w:trHeight w:val="567"/>
        </w:trPr>
        <w:tc>
          <w:tcPr>
            <w:tcW w:w="1956" w:type="dxa"/>
          </w:tcPr>
          <w:p w:rsidR="006B7B54" w:rsidRPr="00BC2D09" w:rsidRDefault="006B7B54" w:rsidP="00702374">
            <w:pPr>
              <w:pStyle w:val="NoSpacing"/>
              <w:rPr>
                <w:lang w:eastAsia="en-US"/>
              </w:rPr>
            </w:pPr>
            <w:bookmarkStart w:id="2" w:name="Decision"/>
            <w:r w:rsidRPr="00BC2D09">
              <w:rPr>
                <w:lang w:eastAsia="en-US"/>
              </w:rPr>
              <w:t>Tribunal</w:t>
            </w:r>
          </w:p>
        </w:tc>
        <w:tc>
          <w:tcPr>
            <w:tcW w:w="6833" w:type="dxa"/>
          </w:tcPr>
          <w:p w:rsidR="006B7B54" w:rsidRDefault="006B7B54"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8565F2">
              <w:rPr>
                <w:b/>
                <w:bCs/>
                <w:lang w:eastAsia="en-US"/>
              </w:rPr>
              <w:t>F D O'Loughlin</w:t>
            </w:r>
            <w:r>
              <w:rPr>
                <w:b/>
                <w:bCs/>
                <w:lang w:eastAsia="en-US"/>
              </w:rPr>
              <w:fldChar w:fldCharType="end"/>
            </w:r>
            <w:r>
              <w:rPr>
                <w:b/>
                <w:bCs/>
                <w:lang w:eastAsia="en-US"/>
              </w:rPr>
              <w:t>, Senior Member</w:t>
            </w:r>
          </w:p>
          <w:p w:rsidR="006B7B54" w:rsidRPr="00771CAC" w:rsidRDefault="006B7B54" w:rsidP="00702374">
            <w:pPr>
              <w:pStyle w:val="NoSpacing"/>
              <w:rPr>
                <w:b/>
                <w:bCs/>
                <w:lang w:eastAsia="en-US"/>
              </w:rPr>
            </w:pPr>
          </w:p>
        </w:tc>
      </w:tr>
      <w:tr w:rsidR="006B7B54" w:rsidRPr="00BC2D09" w:rsidTr="00702374">
        <w:trPr>
          <w:trHeight w:val="567"/>
        </w:trPr>
        <w:tc>
          <w:tcPr>
            <w:tcW w:w="1956" w:type="dxa"/>
          </w:tcPr>
          <w:p w:rsidR="006B7B54" w:rsidRPr="00BC2D09" w:rsidRDefault="006B7B54" w:rsidP="00FF52B5">
            <w:pPr>
              <w:pStyle w:val="NoSpacing"/>
              <w:jc w:val="left"/>
              <w:rPr>
                <w:lang w:eastAsia="en-US"/>
              </w:rPr>
            </w:pPr>
            <w:r w:rsidRPr="00BC2D09">
              <w:rPr>
                <w:lang w:eastAsia="en-US"/>
              </w:rPr>
              <w:t>Date</w:t>
            </w:r>
            <w:r w:rsidR="002C1464">
              <w:rPr>
                <w:lang w:eastAsia="en-US"/>
              </w:rPr>
              <w:t xml:space="preserve"> of oral decision</w:t>
            </w:r>
          </w:p>
        </w:tc>
        <w:tc>
          <w:tcPr>
            <w:tcW w:w="6833" w:type="dxa"/>
          </w:tcPr>
          <w:p w:rsidR="006B7B54" w:rsidRPr="00771CAC" w:rsidRDefault="006B7B54"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6 October 2015</w:t>
            </w:r>
            <w:r>
              <w:rPr>
                <w:b/>
                <w:bCs/>
                <w:lang w:eastAsia="en-US"/>
              </w:rPr>
              <w:fldChar w:fldCharType="end"/>
            </w:r>
          </w:p>
        </w:tc>
      </w:tr>
      <w:tr w:rsidR="006B7B54" w:rsidRPr="00BC2D09" w:rsidTr="00702374">
        <w:trPr>
          <w:trHeight w:val="680"/>
        </w:trPr>
        <w:tc>
          <w:tcPr>
            <w:tcW w:w="1956" w:type="dxa"/>
          </w:tcPr>
          <w:p w:rsidR="006B7B54" w:rsidRPr="00BC2D09" w:rsidRDefault="006B7B54" w:rsidP="00702374">
            <w:pPr>
              <w:pStyle w:val="NoSpacing"/>
              <w:jc w:val="left"/>
              <w:rPr>
                <w:lang w:eastAsia="en-US"/>
              </w:rPr>
            </w:pPr>
            <w:r>
              <w:rPr>
                <w:lang w:eastAsia="en-US"/>
              </w:rPr>
              <w:t>Date of written reasons</w:t>
            </w:r>
          </w:p>
        </w:tc>
        <w:tc>
          <w:tcPr>
            <w:tcW w:w="6833" w:type="dxa"/>
          </w:tcPr>
          <w:p w:rsidR="006B7B54" w:rsidRPr="00771CAC" w:rsidRDefault="00FB5E99" w:rsidP="00FB5E99">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Pr>
                <w:b/>
                <w:bCs/>
                <w:lang w:eastAsia="en-US"/>
              </w:rPr>
              <w:t>6 November 2015</w:t>
            </w:r>
            <w:r>
              <w:rPr>
                <w:b/>
                <w:bCs/>
                <w:lang w:eastAsia="en-US"/>
              </w:rPr>
              <w:fldChar w:fldCharType="end"/>
            </w:r>
          </w:p>
        </w:tc>
      </w:tr>
      <w:tr w:rsidR="006B7B54" w:rsidRPr="00BC2D09" w:rsidTr="00702374">
        <w:trPr>
          <w:trHeight w:val="567"/>
        </w:trPr>
        <w:tc>
          <w:tcPr>
            <w:tcW w:w="1956" w:type="dxa"/>
          </w:tcPr>
          <w:p w:rsidR="006B7B54" w:rsidRPr="00BC2D09" w:rsidRDefault="006B7B54" w:rsidP="00702374">
            <w:pPr>
              <w:pStyle w:val="NoSpacing"/>
              <w:rPr>
                <w:lang w:eastAsia="en-US"/>
              </w:rPr>
            </w:pPr>
            <w:r w:rsidRPr="00BC2D09">
              <w:rPr>
                <w:lang w:eastAsia="en-US"/>
              </w:rPr>
              <w:t>Place</w:t>
            </w:r>
          </w:p>
        </w:tc>
        <w:tc>
          <w:tcPr>
            <w:tcW w:w="6833" w:type="dxa"/>
          </w:tcPr>
          <w:p w:rsidR="006B7B54" w:rsidRPr="00771CAC" w:rsidRDefault="006B7B54"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B61C3A2C771E4DD798B0463F96FC1168"/>
        </w:placeholder>
      </w:sdtPr>
      <w:sdtEndPr/>
      <w:sdtContent>
        <w:p w:rsidR="00BC2D09" w:rsidRPr="00BC2D09" w:rsidRDefault="006B7B54" w:rsidP="00BC2D09">
          <w:pPr>
            <w:rPr>
              <w:lang w:eastAsia="en-US"/>
            </w:rPr>
          </w:pPr>
          <w:r w:rsidRPr="00477781">
            <w:rPr>
              <w:rFonts w:ascii="Arial" w:hAnsi="Arial" w:cs="Arial"/>
              <w:szCs w:val="22"/>
            </w:rPr>
            <w:t>For the reasons given orally at the conclusion of the heari</w:t>
          </w:r>
          <w:r>
            <w:rPr>
              <w:rFonts w:ascii="Arial" w:hAnsi="Arial" w:cs="Arial"/>
              <w:szCs w:val="22"/>
            </w:rPr>
            <w:t>ng, the Tribunal affirms the decision under review</w:t>
          </w:r>
          <w:r>
            <w:rPr>
              <w:lang w:eastAsia="en-US"/>
            </w:rPr>
            <w:t xml:space="preserve"> </w:t>
          </w:r>
        </w:p>
      </w:sdtContent>
    </w:sdt>
    <w:bookmarkEnd w:id="3"/>
    <w:p w:rsidR="00FC5066" w:rsidRDefault="00FC5066" w:rsidP="003B4BBD">
      <w:pPr>
        <w:rPr>
          <w:lang w:eastAsia="en-US"/>
        </w:rPr>
      </w:pPr>
    </w:p>
    <w:p w:rsidR="00FC5066" w:rsidRDefault="00FC5066" w:rsidP="003B4BBD">
      <w:pPr>
        <w:rPr>
          <w:lang w:eastAsia="en-US"/>
        </w:rPr>
      </w:pPr>
    </w:p>
    <w:p w:rsidR="004E575B" w:rsidRDefault="004E575B" w:rsidP="003B4BBD">
      <w:pPr>
        <w:rPr>
          <w:lang w:eastAsia="en-US"/>
        </w:rPr>
      </w:pPr>
      <w:r>
        <w:rPr>
          <w:lang w:eastAsia="en-US"/>
        </w:rPr>
        <w:t>[</w:t>
      </w:r>
      <w:proofErr w:type="spellStart"/>
      <w:proofErr w:type="gramStart"/>
      <w:r>
        <w:rPr>
          <w:lang w:eastAsia="en-US"/>
        </w:rPr>
        <w:t>sgd</w:t>
      </w:r>
      <w:proofErr w:type="spellEnd"/>
      <w:proofErr w:type="gramEnd"/>
      <w:r>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6B7B54">
        <w:rPr>
          <w:lang w:eastAsia="en-US"/>
        </w:rPr>
        <w:t>Senior Member</w:t>
      </w:r>
      <w:r>
        <w:rPr>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D6D658CD379240D7877961B809E260D7"/>
        </w:placeholder>
      </w:sdtPr>
      <w:sdtEndPr>
        <w:rPr>
          <w:b w:val="0"/>
          <w:i/>
        </w:rPr>
      </w:sdtEndPr>
      <w:sdtContent>
        <w:p w:rsidR="004152C5" w:rsidRDefault="002C1464" w:rsidP="004A55A2">
          <w:pPr>
            <w:pStyle w:val="CatchWords"/>
            <w:rPr>
              <w:lang w:eastAsia="en-US"/>
            </w:rPr>
          </w:pPr>
          <w:r w:rsidRPr="002C1464">
            <w:rPr>
              <w:b/>
              <w:i w:val="0"/>
              <w:lang w:eastAsia="en-US"/>
            </w:rPr>
            <w:t>TAXATION</w:t>
          </w:r>
          <w:r>
            <w:rPr>
              <w:lang w:eastAsia="en-US"/>
            </w:rPr>
            <w:t xml:space="preserve"> </w:t>
          </w:r>
          <w:r w:rsidRPr="002C1464">
            <w:rPr>
              <w:b/>
              <w:lang w:eastAsia="en-US"/>
            </w:rPr>
            <w:t>–</w:t>
          </w:r>
          <w:r>
            <w:rPr>
              <w:lang w:eastAsia="en-US"/>
            </w:rPr>
            <w:t xml:space="preserve"> </w:t>
          </w:r>
          <w:r w:rsidRPr="002C1464">
            <w:rPr>
              <w:i w:val="0"/>
              <w:lang w:eastAsia="en-US"/>
            </w:rPr>
            <w:t>Deposits to bank accounts</w:t>
          </w:r>
          <w:r>
            <w:rPr>
              <w:i w:val="0"/>
              <w:lang w:eastAsia="en-US"/>
            </w:rPr>
            <w:t xml:space="preserve"> – </w:t>
          </w:r>
          <w:r w:rsidR="00FB5E99" w:rsidRPr="002C1464">
            <w:rPr>
              <w:i w:val="0"/>
              <w:lang w:eastAsia="en-US"/>
            </w:rPr>
            <w:t>whether income</w:t>
          </w:r>
          <w:r>
            <w:rPr>
              <w:i w:val="0"/>
              <w:lang w:eastAsia="en-US"/>
            </w:rPr>
            <w:t xml:space="preserve"> – </w:t>
          </w:r>
          <w:r w:rsidR="00FB5E99" w:rsidRPr="002C1464">
            <w:rPr>
              <w:i w:val="0"/>
              <w:lang w:eastAsia="en-US"/>
            </w:rPr>
            <w:t>whether taxpayer resident</w:t>
          </w:r>
          <w:r>
            <w:rPr>
              <w:i w:val="0"/>
              <w:lang w:eastAsia="en-US"/>
            </w:rPr>
            <w:t xml:space="preserve"> – </w:t>
          </w:r>
          <w:r w:rsidR="00FB5E99" w:rsidRPr="002C1464">
            <w:rPr>
              <w:i w:val="0"/>
              <w:lang w:eastAsia="en-US"/>
            </w:rPr>
            <w:t>whether company money should be treated as taxpayers money</w:t>
          </w:r>
          <w:r>
            <w:rPr>
              <w:i w:val="0"/>
              <w:lang w:eastAsia="en-US"/>
            </w:rPr>
            <w:t xml:space="preserve"> – </w:t>
          </w:r>
          <w:r w:rsidR="00FB5E99" w:rsidRPr="002C1464">
            <w:rPr>
              <w:i w:val="0"/>
              <w:lang w:eastAsia="en-US"/>
            </w:rPr>
            <w:t>separate legal persons</w:t>
          </w:r>
          <w:r w:rsidRPr="002C1464">
            <w:rPr>
              <w:i w:val="0"/>
              <w:lang w:eastAsia="en-US"/>
            </w:rPr>
            <w:t xml:space="preserve"> – decision affirmed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2EB2E00B760540D7A7A11FD065DD4450"/>
        </w:placeholder>
      </w:sdtPr>
      <w:sdtEndPr/>
      <w:sdtContent>
        <w:p w:rsidR="002C1464" w:rsidRDefault="00FF511E" w:rsidP="00E616B9">
          <w:pPr>
            <w:pStyle w:val="CatchWords"/>
            <w:rPr>
              <w:b/>
              <w:lang w:eastAsia="en-US"/>
            </w:rPr>
          </w:pPr>
          <w:r w:rsidRPr="00936323">
            <w:rPr>
              <w:b/>
              <w:lang w:eastAsia="en-US"/>
            </w:rPr>
            <w:t>Legislation</w:t>
          </w:r>
        </w:p>
        <w:p w:rsidR="004152C5" w:rsidRPr="002C1464" w:rsidRDefault="00FB5E99" w:rsidP="00E616B9">
          <w:pPr>
            <w:pStyle w:val="CatchWords"/>
            <w:rPr>
              <w:lang w:eastAsia="en-US"/>
            </w:rPr>
          </w:pPr>
          <w:r w:rsidRPr="002C1464">
            <w:rPr>
              <w:lang w:eastAsia="en-US"/>
            </w:rPr>
            <w:t>Income Tax Assessment Act 1997</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alias w:val="Cases"/>
        <w:tag w:val="Cases"/>
        <w:id w:val="-26403871"/>
        <w:placeholder>
          <w:docPart w:val="83E614AA394B4D459236C7C3C14D7B71"/>
        </w:placeholder>
      </w:sdtPr>
      <w:sdtEndPr/>
      <w:sdtContent>
        <w:p w:rsidR="008565F2" w:rsidRPr="00050F6A" w:rsidRDefault="00FF511E" w:rsidP="005F2E99">
          <w:pPr>
            <w:pStyle w:val="CatchWords"/>
            <w:rPr>
              <w:b/>
            </w:rPr>
          </w:pPr>
          <w:r w:rsidRPr="00050F6A">
            <w:rPr>
              <w:b/>
            </w:rPr>
            <w:t>Cases</w:t>
          </w:r>
        </w:p>
        <w:p w:rsidR="008565F2" w:rsidRDefault="008565F2" w:rsidP="00050F6A">
          <w:pPr>
            <w:pStyle w:val="CatchWords"/>
          </w:pPr>
          <w:r w:rsidRPr="00FC5E96">
            <w:t xml:space="preserve">Imperial Bottle Shops </w:t>
          </w:r>
          <w:r w:rsidR="00936323">
            <w:t xml:space="preserve">Pty Ltd &amp; Anor </w:t>
          </w:r>
          <w:r w:rsidRPr="00050F6A">
            <w:t>v</w:t>
          </w:r>
          <w:r w:rsidRPr="00FC5E96">
            <w:t xml:space="preserve"> </w:t>
          </w:r>
          <w:r w:rsidR="00936323">
            <w:t xml:space="preserve">Federal </w:t>
          </w:r>
          <w:r w:rsidRPr="00FC5E96">
            <w:t>Commissioner of Taxation</w:t>
          </w:r>
          <w:r>
            <w:t xml:space="preserve"> </w:t>
          </w:r>
          <w:r w:rsidRPr="00050F6A">
            <w:t>[1991] ATC</w:t>
          </w:r>
          <w:r w:rsidR="00A26647" w:rsidRPr="00050F6A">
            <w:t xml:space="preserve"> </w:t>
          </w:r>
          <w:r w:rsidRPr="00050F6A">
            <w:t>45</w:t>
          </w:r>
          <w:r w:rsidR="00936323" w:rsidRPr="00050F6A">
            <w:t>4</w:t>
          </w:r>
          <w:r w:rsidRPr="00050F6A">
            <w:t>6</w:t>
          </w:r>
        </w:p>
        <w:p w:rsidR="00A26647" w:rsidRDefault="00A26647" w:rsidP="00A26647">
          <w:pPr>
            <w:pStyle w:val="CatchWords"/>
          </w:pPr>
          <w:r w:rsidRPr="00A26647">
            <w:t xml:space="preserve">FAI General Insurance Company Ltd (in liquidation) </w:t>
          </w:r>
          <w:r w:rsidRPr="00050F6A">
            <w:t xml:space="preserve">v </w:t>
          </w:r>
          <w:r w:rsidRPr="00A26647">
            <w:t xml:space="preserve">Sherry &amp; </w:t>
          </w:r>
          <w:proofErr w:type="spellStart"/>
          <w:r w:rsidRPr="00A26647">
            <w:t>Ors</w:t>
          </w:r>
          <w:proofErr w:type="spellEnd"/>
          <w:r w:rsidRPr="00A26647">
            <w:t xml:space="preserve"> </w:t>
          </w:r>
          <w:r w:rsidRPr="00050F6A">
            <w:t>[2002] SASC 431</w:t>
          </w:r>
          <w:r w:rsidRPr="00A26647">
            <w:t xml:space="preserve"> </w:t>
          </w:r>
        </w:p>
        <w:p w:rsidR="00A26647" w:rsidRDefault="00A26647" w:rsidP="00A26647">
          <w:pPr>
            <w:pStyle w:val="CatchWords"/>
          </w:pPr>
          <w:r w:rsidRPr="00A26647">
            <w:t>Archibald Howie Pty Ltd</w:t>
          </w:r>
          <w:r w:rsidRPr="00050F6A">
            <w:t xml:space="preserve"> v</w:t>
          </w:r>
          <w:r w:rsidRPr="00A26647">
            <w:t xml:space="preserve"> Commissioner of Stamp Duties</w:t>
          </w:r>
          <w:r w:rsidR="00473834">
            <w:t xml:space="preserve"> (NSW)</w:t>
          </w:r>
          <w:r w:rsidRPr="00A26647">
            <w:t xml:space="preserve"> </w:t>
          </w:r>
          <w:hyperlink r:id="rId17" w:tooltip="View LawCiteRecord" w:history="1">
            <w:r w:rsidRPr="00050F6A">
              <w:t>(1948) 77 CLR 143</w:t>
            </w:r>
          </w:hyperlink>
        </w:p>
        <w:p w:rsidR="008565F2" w:rsidRDefault="00A26647" w:rsidP="005F2E99">
          <w:pPr>
            <w:pStyle w:val="CatchWords"/>
          </w:pPr>
          <w:r w:rsidRPr="00FC5E96">
            <w:t xml:space="preserve">Charles </w:t>
          </w:r>
          <w:r w:rsidRPr="00050F6A">
            <w:t xml:space="preserve">v </w:t>
          </w:r>
          <w:r w:rsidRPr="00FC5E96">
            <w:t xml:space="preserve">Federal Commissioner of Taxation </w:t>
          </w:r>
          <w:r w:rsidRPr="00050F6A">
            <w:t>(1954) 90 CLR 598</w:t>
          </w:r>
        </w:p>
        <w:p w:rsidR="00050F6A" w:rsidRPr="00050F6A" w:rsidRDefault="00A26647" w:rsidP="005F2E99">
          <w:pPr>
            <w:pStyle w:val="CatchWords"/>
          </w:pPr>
          <w:r w:rsidRPr="00FC5E96">
            <w:t xml:space="preserve">Commissioner of Taxation </w:t>
          </w:r>
          <w:r w:rsidRPr="00050F6A">
            <w:t>v</w:t>
          </w:r>
          <w:r w:rsidRPr="00FC5E96">
            <w:t xml:space="preserve"> BHP Billiton Finance</w:t>
          </w:r>
          <w:r>
            <w:t xml:space="preserve"> Ltd</w:t>
          </w:r>
          <w:r w:rsidRPr="00FC5E96">
            <w:t xml:space="preserve"> </w:t>
          </w:r>
          <w:r w:rsidRPr="00050F6A">
            <w:t xml:space="preserve">[2010] FCAFC 25 </w:t>
          </w:r>
        </w:p>
        <w:p w:rsidR="00A26647" w:rsidRDefault="00050F6A" w:rsidP="005F2E99">
          <w:pPr>
            <w:pStyle w:val="CatchWords"/>
          </w:pPr>
          <w:r w:rsidRPr="00050F6A">
            <w:t xml:space="preserve">Federal Commissioner of Taxation </w:t>
          </w:r>
          <w:r w:rsidRPr="00050F6A">
            <w:rPr>
              <w:i w:val="0"/>
            </w:rPr>
            <w:t>v</w:t>
          </w:r>
          <w:r w:rsidRPr="00050F6A">
            <w:t xml:space="preserve"> Applegate</w:t>
          </w:r>
          <w:r w:rsidRPr="00FE4BC3">
            <w:t xml:space="preserve"> </w:t>
          </w:r>
          <w:r w:rsidRPr="00050F6A">
            <w:rPr>
              <w:i w:val="0"/>
            </w:rPr>
            <w:t>79 ATC 4307</w:t>
          </w:r>
        </w:p>
      </w:sdtContent>
    </w:sdt>
    <w:p w:rsidR="005F2E99" w:rsidRDefault="005F2E99" w:rsidP="009E2C76">
      <w:bookmarkStart w:id="7" w:name="SecondaryMaterialsTitle"/>
      <w:bookmarkEnd w:id="7"/>
    </w:p>
    <w:p w:rsidR="00FB5E99" w:rsidRDefault="009E2C76" w:rsidP="00CA099E">
      <w:pPr>
        <w:pStyle w:val="Heading1"/>
        <w:rPr>
          <w:lang w:eastAsia="en-US"/>
        </w:rPr>
      </w:pPr>
      <w:r w:rsidRPr="009E2C76">
        <w:rPr>
          <w:lang w:eastAsia="en-US"/>
        </w:rPr>
        <w:t>REASONS FOR DECISION</w:t>
      </w:r>
      <w:r w:rsidR="00FB5E99">
        <w:rPr>
          <w:lang w:eastAsia="en-US"/>
        </w:rPr>
        <w:t xml:space="preserve"> </w:t>
      </w:r>
    </w:p>
    <w:p w:rsidR="009E2C76" w:rsidRDefault="00FB5E99" w:rsidP="00CA099E">
      <w:pPr>
        <w:pStyle w:val="Heading1"/>
        <w:rPr>
          <w:lang w:eastAsia="en-US"/>
        </w:rPr>
      </w:pPr>
      <w:r w:rsidRPr="00271552">
        <w:rPr>
          <w:lang w:eastAsia="en-US"/>
        </w:rPr>
        <w:t>(given orally)</w:t>
      </w:r>
      <w:r w:rsidR="002C1464">
        <w:rPr>
          <w:lang w:eastAsia="en-US"/>
        </w:rPr>
        <w:t xml:space="preserve"> </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6B7B54">
        <w:rPr>
          <w:b/>
          <w:lang w:eastAsia="en-US"/>
        </w:rPr>
        <w:t>F D O'Loughlin</w:t>
      </w:r>
      <w:r>
        <w:rPr>
          <w:b/>
          <w:lang w:eastAsia="en-US"/>
        </w:rPr>
        <w:fldChar w:fldCharType="end"/>
      </w:r>
      <w:r w:rsidR="00936323">
        <w:rPr>
          <w:b/>
          <w:lang w:eastAsia="en-US"/>
        </w:rPr>
        <w:t>, Senior Member</w:t>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FB5E99"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Pr>
          <w:b/>
          <w:lang w:eastAsia="en-US"/>
        </w:rPr>
        <w:t>6 November 2015</w:t>
      </w:r>
      <w:r w:rsidRPr="00D50614">
        <w:rPr>
          <w:b/>
          <w:lang w:eastAsia="en-US"/>
        </w:rPr>
        <w:fldChar w:fldCharType="end"/>
      </w:r>
    </w:p>
    <w:p w:rsidR="00A74195" w:rsidRPr="00CA099E" w:rsidRDefault="00A74195" w:rsidP="00D750F5">
      <w:pPr>
        <w:pStyle w:val="NoSpacing"/>
        <w:rPr>
          <w:lang w:eastAsia="en-US"/>
        </w:rPr>
      </w:pPr>
    </w:p>
    <w:p w:rsidR="006B7B54" w:rsidRDefault="006B7B54" w:rsidP="006B7B54">
      <w:pPr>
        <w:pStyle w:val="ListNumber"/>
      </w:pPr>
      <w:bookmarkStart w:id="8" w:name="Start"/>
      <w:bookmarkEnd w:id="8"/>
      <w:r w:rsidRPr="00FC5E96">
        <w:t xml:space="preserve">In the 2010 and 2011 years amounts totalling $55,000 and $203,365 respectively were transferred into </w:t>
      </w:r>
      <w:r>
        <w:t>Mr </w:t>
      </w:r>
      <w:r w:rsidRPr="00FC5E96">
        <w:t>Cornell</w:t>
      </w:r>
      <w:r>
        <w:t>’</w:t>
      </w:r>
      <w:r w:rsidRPr="00FC5E96">
        <w:t xml:space="preserve">s Australian bank account from the bank account of a company that he owned, or he and his wife owned in Hong Kong.  The Commissioner has assessed those amounts as income.  The amounts transferred </w:t>
      </w:r>
      <w:r w:rsidR="00FB5E99" w:rsidRPr="00FC5E96">
        <w:t xml:space="preserve">in the 2010 year </w:t>
      </w:r>
      <w:r w:rsidRPr="00FC5E96">
        <w:t xml:space="preserve">were </w:t>
      </w:r>
      <w:r w:rsidR="00FB5E99" w:rsidRPr="00FC5E96">
        <w:t>$10,000</w:t>
      </w:r>
      <w:r w:rsidR="00FB5E99">
        <w:t xml:space="preserve"> o</w:t>
      </w:r>
      <w:r w:rsidRPr="00FC5E96">
        <w:t>n 28</w:t>
      </w:r>
      <w:r>
        <w:t> January</w:t>
      </w:r>
      <w:r w:rsidRPr="00FC5E96">
        <w:t xml:space="preserve"> 2010</w:t>
      </w:r>
      <w:r w:rsidR="00FB5E99">
        <w:t>,</w:t>
      </w:r>
      <w:r w:rsidRPr="00FC5E96">
        <w:t xml:space="preserve"> </w:t>
      </w:r>
      <w:r w:rsidR="00FB5E99" w:rsidRPr="00FC5E96">
        <w:t xml:space="preserve">$15,000 </w:t>
      </w:r>
      <w:r w:rsidR="00FB5E99">
        <w:t xml:space="preserve">on </w:t>
      </w:r>
      <w:r w:rsidRPr="00FC5E96">
        <w:t>25</w:t>
      </w:r>
      <w:r>
        <w:t> February</w:t>
      </w:r>
      <w:r w:rsidRPr="00FC5E96">
        <w:t xml:space="preserve"> 2010, and </w:t>
      </w:r>
      <w:r w:rsidR="00FB5E99" w:rsidRPr="00FC5E96">
        <w:t>$30,000</w:t>
      </w:r>
      <w:r w:rsidR="00FB5E99">
        <w:t xml:space="preserve"> on </w:t>
      </w:r>
      <w:r w:rsidRPr="00FC5E96">
        <w:t>22</w:t>
      </w:r>
      <w:r>
        <w:t> March</w:t>
      </w:r>
      <w:r w:rsidRPr="00FC5E96">
        <w:t xml:space="preserve"> 2010</w:t>
      </w:r>
      <w:r w:rsidR="00FB5E99">
        <w:t xml:space="preserve"> and in the </w:t>
      </w:r>
      <w:r w:rsidRPr="00FC5E96">
        <w:t xml:space="preserve">2011 year were </w:t>
      </w:r>
      <w:r w:rsidR="00FB5E99" w:rsidRPr="00FC5E96">
        <w:t>$50,000</w:t>
      </w:r>
      <w:r w:rsidR="00FB5E99">
        <w:t xml:space="preserve"> </w:t>
      </w:r>
      <w:r w:rsidRPr="00FC5E96">
        <w:t>on 2</w:t>
      </w:r>
      <w:r>
        <w:t> July</w:t>
      </w:r>
      <w:r w:rsidRPr="00FC5E96">
        <w:t xml:space="preserve">, </w:t>
      </w:r>
      <w:r w:rsidR="00FB5E99" w:rsidRPr="00FC5E96">
        <w:t>$21,598</w:t>
      </w:r>
      <w:r w:rsidR="00FB5E99">
        <w:t xml:space="preserve"> </w:t>
      </w:r>
      <w:r w:rsidRPr="00FC5E96">
        <w:t>on 19</w:t>
      </w:r>
      <w:r>
        <w:t> August</w:t>
      </w:r>
      <w:r w:rsidRPr="00FC5E96">
        <w:t xml:space="preserve">, </w:t>
      </w:r>
      <w:r w:rsidR="00FB5E99" w:rsidRPr="00FC5E96">
        <w:t>$10,000</w:t>
      </w:r>
      <w:r w:rsidR="00FB5E99">
        <w:t xml:space="preserve"> </w:t>
      </w:r>
      <w:r w:rsidRPr="00FC5E96">
        <w:t>on 20</w:t>
      </w:r>
      <w:r>
        <w:t> October</w:t>
      </w:r>
      <w:r w:rsidRPr="00FC5E96">
        <w:t xml:space="preserve">, </w:t>
      </w:r>
      <w:r w:rsidR="00FB5E99" w:rsidRPr="00FC5E96">
        <w:t>$10,000</w:t>
      </w:r>
      <w:r w:rsidR="00FB5E99">
        <w:t xml:space="preserve"> on </w:t>
      </w:r>
      <w:r w:rsidRPr="00FC5E96">
        <w:t>16</w:t>
      </w:r>
      <w:r>
        <w:t> November</w:t>
      </w:r>
      <w:r w:rsidRPr="00FC5E96">
        <w:t xml:space="preserve"> 2010,</w:t>
      </w:r>
      <w:r w:rsidR="00FB5E99" w:rsidRPr="00FB5E99">
        <w:t xml:space="preserve"> </w:t>
      </w:r>
      <w:r w:rsidR="00FB5E99" w:rsidRPr="00FC5E96">
        <w:t>$10,000</w:t>
      </w:r>
      <w:r w:rsidRPr="00FC5E96">
        <w:t xml:space="preserve"> on 23</w:t>
      </w:r>
      <w:r>
        <w:t> December</w:t>
      </w:r>
      <w:r w:rsidRPr="00FC5E96">
        <w:t xml:space="preserve"> 2010, </w:t>
      </w:r>
      <w:r w:rsidR="00FB5E99" w:rsidRPr="00FC5E96">
        <w:t>$10,368</w:t>
      </w:r>
      <w:r w:rsidR="00FB5E99">
        <w:t xml:space="preserve"> </w:t>
      </w:r>
      <w:r w:rsidRPr="00FC5E96">
        <w:t>on 26</w:t>
      </w:r>
      <w:r>
        <w:t> January</w:t>
      </w:r>
      <w:r w:rsidRPr="00FC5E96">
        <w:t xml:space="preserve"> 2011,</w:t>
      </w:r>
      <w:r w:rsidR="00FB5E99" w:rsidRPr="00FB5E99">
        <w:t xml:space="preserve"> </w:t>
      </w:r>
      <w:r w:rsidR="00FB5E99" w:rsidRPr="00FC5E96">
        <w:t xml:space="preserve">$56,399 </w:t>
      </w:r>
      <w:r w:rsidRPr="00FC5E96">
        <w:t>on 3</w:t>
      </w:r>
      <w:r>
        <w:t> May</w:t>
      </w:r>
      <w:r w:rsidRPr="00FC5E96">
        <w:t xml:space="preserve"> 2011, and </w:t>
      </w:r>
      <w:r w:rsidR="00FB5E99" w:rsidRPr="00FC5E96">
        <w:t>$35,000</w:t>
      </w:r>
      <w:r w:rsidR="00FB5E99">
        <w:t xml:space="preserve"> </w:t>
      </w:r>
      <w:r w:rsidRPr="00FC5E96">
        <w:t>on 15</w:t>
      </w:r>
      <w:r>
        <w:t> June</w:t>
      </w:r>
      <w:r w:rsidRPr="00FC5E96">
        <w:t xml:space="preserve"> 2011.</w:t>
      </w:r>
    </w:p>
    <w:p w:rsidR="00FB5E99" w:rsidRDefault="006B7B54" w:rsidP="006B7B54">
      <w:pPr>
        <w:pStyle w:val="ListNumber"/>
      </w:pPr>
      <w:r w:rsidRPr="00FC5E96">
        <w:t>There</w:t>
      </w:r>
      <w:r>
        <w:t xml:space="preserve"> i</w:t>
      </w:r>
      <w:r w:rsidRPr="00FC5E96">
        <w:t xml:space="preserve">s no dispute that those amounts were transferred, nor that they were transferred from the bank account of Cornell Sponsorship Group Limited which is a company that </w:t>
      </w:r>
      <w:r>
        <w:t>Mr </w:t>
      </w:r>
      <w:r w:rsidRPr="00FC5E96">
        <w:t xml:space="preserve">Cornell and his wife owned.  </w:t>
      </w:r>
    </w:p>
    <w:p w:rsidR="00FB5E99" w:rsidRDefault="006B7B54" w:rsidP="006B7B54">
      <w:pPr>
        <w:pStyle w:val="ListNumber"/>
      </w:pPr>
      <w:r>
        <w:t>Mr </w:t>
      </w:r>
      <w:r w:rsidRPr="00FC5E96">
        <w:t xml:space="preserve">Cornell challenges the two assessments claiming that the bank deposits were not income.  </w:t>
      </w:r>
    </w:p>
    <w:p w:rsidR="006B7B54" w:rsidRDefault="006B7B54" w:rsidP="006B7B54">
      <w:pPr>
        <w:pStyle w:val="ListNumber"/>
      </w:pPr>
      <w:r w:rsidRPr="00FC5E96">
        <w:t xml:space="preserve">In his tax returns for the 2010 and 2011 years </w:t>
      </w:r>
      <w:r>
        <w:t>Mr </w:t>
      </w:r>
      <w:r w:rsidRPr="00FC5E96">
        <w:t>Cornell disclosed modest salary and wage income and in each return he made a declaration that he did not own or have any interest in assets worth $50,000 or more overseas and he also declared that he was a resident of Australia.</w:t>
      </w:r>
    </w:p>
    <w:p w:rsidR="00FB5E99" w:rsidRDefault="006B7B54" w:rsidP="006B7B54">
      <w:pPr>
        <w:pStyle w:val="ListNumber"/>
      </w:pPr>
      <w:r w:rsidRPr="00FC5E96">
        <w:t>His oral evidence was that he doubted he was asked whether he had foreign assets by his tax agent and that as at 30</w:t>
      </w:r>
      <w:r>
        <w:t> June</w:t>
      </w:r>
      <w:r w:rsidRPr="00FC5E96">
        <w:t xml:space="preserve"> 2010 he was a resident and he was a resident thereafter.  </w:t>
      </w:r>
    </w:p>
    <w:p w:rsidR="006B7B54" w:rsidRPr="00FC5E96" w:rsidRDefault="006B7B54" w:rsidP="006B7B54">
      <w:pPr>
        <w:pStyle w:val="ListNumber"/>
      </w:pPr>
      <w:r>
        <w:t>Mr </w:t>
      </w:r>
      <w:r w:rsidRPr="00FC5E96">
        <w:t>Cornell is an Australian national who lived in Hong Kong for a number of years until</w:t>
      </w:r>
      <w:r>
        <w:t> September</w:t>
      </w:r>
      <w:r w:rsidRPr="00FC5E96">
        <w:t xml:space="preserve"> 2009.  He had not planned to return to Australia in 2009 but for family health reasons he did.  I</w:t>
      </w:r>
      <w:r>
        <w:t xml:space="preserve"> wi</w:t>
      </w:r>
      <w:r w:rsidRPr="00FC5E96">
        <w:t>ll say more about his return to Australia shortly when address</w:t>
      </w:r>
      <w:r w:rsidR="00FB5E99">
        <w:t>ing</w:t>
      </w:r>
      <w:r w:rsidRPr="00FC5E96">
        <w:t xml:space="preserve"> the residence contention.</w:t>
      </w:r>
    </w:p>
    <w:p w:rsidR="006B7B54" w:rsidRPr="00FC5E96" w:rsidRDefault="006B7B54" w:rsidP="006B7B54">
      <w:pPr>
        <w:pStyle w:val="ListNumber"/>
      </w:pPr>
      <w:r w:rsidRPr="00FC5E96">
        <w:t xml:space="preserve">While living in Hong Kong from 2003 </w:t>
      </w:r>
      <w:r>
        <w:t>Mr </w:t>
      </w:r>
      <w:r w:rsidRPr="00FC5E96">
        <w:t xml:space="preserve">Cornell had provided services to the Hong Kong Jockey Club.  He did so through his corporate entity Cornell Sponsorship Group Limited of which he was a director and shareholder.  Providing services through a corporate entity was advantageous for </w:t>
      </w:r>
      <w:r>
        <w:t>Mr </w:t>
      </w:r>
      <w:r w:rsidRPr="00FC5E96">
        <w:t>Cornell in terms of the ability to secure work in Hong Kong and to participate in gambling facilities offered by the Hong Kong Jockey Club that were not available to employees.  The contract between the company and the Hong Kong Jockey Club was in writing.</w:t>
      </w:r>
    </w:p>
    <w:p w:rsidR="006B7B54" w:rsidRPr="00FC5E96" w:rsidRDefault="006B7B54" w:rsidP="006B7B54">
      <w:pPr>
        <w:pStyle w:val="ListNumber"/>
      </w:pPr>
      <w:r w:rsidRPr="00FC5E96">
        <w:t xml:space="preserve">The funds transferred to </w:t>
      </w:r>
      <w:r>
        <w:t>Mr </w:t>
      </w:r>
      <w:r w:rsidRPr="00FC5E96">
        <w:t>Cornell</w:t>
      </w:r>
      <w:r>
        <w:t>’</w:t>
      </w:r>
      <w:r w:rsidRPr="00FC5E96">
        <w:t>s Australian bank account came from his company</w:t>
      </w:r>
      <w:r>
        <w:t>’</w:t>
      </w:r>
      <w:r w:rsidRPr="00FC5E96">
        <w:t xml:space="preserve">s bank account in Hong Kong.  The company had prepared financial statements.  </w:t>
      </w:r>
      <w:r w:rsidR="00FB5E99">
        <w:t>T</w:t>
      </w:r>
      <w:r w:rsidRPr="00FC5E96">
        <w:t xml:space="preserve">hose financial statements disclose consulting revenues of </w:t>
      </w:r>
      <w:r w:rsidR="00FB5E99">
        <w:t>HK</w:t>
      </w:r>
      <w:r w:rsidRPr="00FC5E96">
        <w:t>$3,375,689 for the 2008 year and operating expenses of</w:t>
      </w:r>
      <w:r w:rsidR="002C1464">
        <w:t xml:space="preserve"> – </w:t>
      </w:r>
      <w:r w:rsidR="00FB5E99">
        <w:t>HK</w:t>
      </w:r>
      <w:r w:rsidRPr="00FC5E96">
        <w:t>$2,723,368 which include director</w:t>
      </w:r>
      <w:r>
        <w:t>’</w:t>
      </w:r>
      <w:r w:rsidRPr="00FC5E96">
        <w:t xml:space="preserve">s remuneration of </w:t>
      </w:r>
      <w:r w:rsidR="00FB5E99">
        <w:t>HK</w:t>
      </w:r>
      <w:r w:rsidRPr="00FC5E96">
        <w:t xml:space="preserve">$943,937.  Those accounts also disclose amounts owed to the company by its directors, </w:t>
      </w:r>
      <w:r w:rsidR="00FB5E99">
        <w:t>HK</w:t>
      </w:r>
      <w:r w:rsidRPr="00FC5E96">
        <w:t xml:space="preserve">$1,482,673, cash at the bank of </w:t>
      </w:r>
      <w:r w:rsidR="00FB5E99">
        <w:t>HK</w:t>
      </w:r>
      <w:r w:rsidRPr="00FC5E96">
        <w:t xml:space="preserve">$90,756, a blood stock investment of </w:t>
      </w:r>
      <w:r w:rsidR="00FB5E99">
        <w:t>HK</w:t>
      </w:r>
      <w:r w:rsidRPr="00FC5E96">
        <w:t xml:space="preserve">$257,970, net assets </w:t>
      </w:r>
      <w:r w:rsidR="00FB5E99">
        <w:t xml:space="preserve">and retained profits each of marginally </w:t>
      </w:r>
      <w:r w:rsidRPr="00FC5E96">
        <w:t xml:space="preserve">over </w:t>
      </w:r>
      <w:r w:rsidR="00FB5E99">
        <w:t>HK</w:t>
      </w:r>
      <w:r w:rsidR="002C1464">
        <w:t>$</w:t>
      </w:r>
      <w:r w:rsidRPr="00FC5E96">
        <w:t>1.6 million.</w:t>
      </w:r>
    </w:p>
    <w:p w:rsidR="006B7B54" w:rsidRPr="00FC5E96" w:rsidRDefault="006B7B54" w:rsidP="008565F2">
      <w:pPr>
        <w:pStyle w:val="ListNumber"/>
      </w:pPr>
      <w:r w:rsidRPr="00FC5E96">
        <w:t>It is apparent that the company</w:t>
      </w:r>
      <w:r>
        <w:t>’</w:t>
      </w:r>
      <w:r w:rsidRPr="00FC5E96">
        <w:t>s available cash reserves as at 31</w:t>
      </w:r>
      <w:r>
        <w:t> December</w:t>
      </w:r>
      <w:r w:rsidRPr="00FC5E96">
        <w:t xml:space="preserve"> 2008 do not show that the company was indebted to </w:t>
      </w:r>
      <w:r>
        <w:t>Mr </w:t>
      </w:r>
      <w:r w:rsidRPr="00FC5E96">
        <w:t>Cornell, that could</w:t>
      </w:r>
      <w:r>
        <w:t xml:space="preserve"> ha</w:t>
      </w:r>
      <w:r w:rsidRPr="00FC5E96">
        <w:t>ve been a source of the funds repatriated to Australia.  On 30</w:t>
      </w:r>
      <w:r>
        <w:t> September</w:t>
      </w:r>
      <w:r w:rsidRPr="00FC5E96">
        <w:t xml:space="preserve"> 2009 the company</w:t>
      </w:r>
      <w:r>
        <w:t>’</w:t>
      </w:r>
      <w:r w:rsidRPr="00FC5E96">
        <w:t xml:space="preserve">s bank account in Hong Kong had balance of </w:t>
      </w:r>
      <w:r w:rsidR="00FB5E99">
        <w:t>HK$</w:t>
      </w:r>
      <w:r w:rsidRPr="00FC5E96">
        <w:t>67,478.29 and on 8</w:t>
      </w:r>
      <w:r>
        <w:t> October</w:t>
      </w:r>
      <w:r w:rsidRPr="00FC5E96">
        <w:t xml:space="preserve"> 2009 </w:t>
      </w:r>
      <w:r>
        <w:t>Mr </w:t>
      </w:r>
      <w:r w:rsidRPr="00FC5E96">
        <w:t>Cornell</w:t>
      </w:r>
      <w:r>
        <w:t>’</w:t>
      </w:r>
      <w:r w:rsidRPr="00FC5E96">
        <w:t xml:space="preserve">s personal account in Hong Kong had a balance of </w:t>
      </w:r>
      <w:r w:rsidR="00FB5E99">
        <w:t>HK$</w:t>
      </w:r>
      <w:r w:rsidRPr="00FC5E96">
        <w:t xml:space="preserve">82,570.94.  These accounts do not reveal any capacity to make transfers to Australia at the time </w:t>
      </w:r>
      <w:r>
        <w:t>Mr </w:t>
      </w:r>
      <w:r w:rsidRPr="00FC5E96">
        <w:t>Cornell left Hong Kong.</w:t>
      </w:r>
    </w:p>
    <w:p w:rsidR="006B7B54" w:rsidRPr="00FC5E96" w:rsidRDefault="006B7B54" w:rsidP="008565F2">
      <w:pPr>
        <w:pStyle w:val="ListNumber"/>
      </w:pPr>
      <w:r w:rsidRPr="00FC5E96">
        <w:t xml:space="preserve">There is no documentary evidence before the </w:t>
      </w:r>
      <w:r w:rsidR="008565F2">
        <w:t>T</w:t>
      </w:r>
      <w:r w:rsidRPr="00FC5E96">
        <w:t>ribunal of the company</w:t>
      </w:r>
      <w:r>
        <w:t>’</w:t>
      </w:r>
      <w:r w:rsidRPr="00FC5E96">
        <w:t xml:space="preserve">s sources of money to transfer the amounts to </w:t>
      </w:r>
      <w:r>
        <w:t>Mr </w:t>
      </w:r>
      <w:r w:rsidRPr="00FC5E96">
        <w:t>Cornell</w:t>
      </w:r>
      <w:r>
        <w:t>’</w:t>
      </w:r>
      <w:r w:rsidRPr="00FC5E96">
        <w:t>s Australian bank account</w:t>
      </w:r>
      <w:r w:rsidR="00FB5E99">
        <w:t xml:space="preserve">.  The </w:t>
      </w:r>
      <w:r w:rsidRPr="00FC5E96">
        <w:t xml:space="preserve">need to provide information as to the source of the amounts transferred was made clear to </w:t>
      </w:r>
      <w:r>
        <w:t>Mr </w:t>
      </w:r>
      <w:r w:rsidRPr="00FC5E96">
        <w:t>Cornell</w:t>
      </w:r>
      <w:r w:rsidR="00FB5E99">
        <w:t xml:space="preserve"> before the hearing</w:t>
      </w:r>
      <w:r w:rsidRPr="00FC5E96">
        <w:t>.  After lodging his objection on 16</w:t>
      </w:r>
      <w:r>
        <w:t> July</w:t>
      </w:r>
      <w:r w:rsidRPr="00FC5E96">
        <w:t xml:space="preserve"> 2013 the Commissioner sought from </w:t>
      </w:r>
      <w:r>
        <w:t>Mr </w:t>
      </w:r>
      <w:r w:rsidRPr="00FC5E96">
        <w:t>Cornell the company</w:t>
      </w:r>
      <w:r>
        <w:t>’</w:t>
      </w:r>
      <w:r w:rsidRPr="00FC5E96">
        <w:t xml:space="preserve">s bank statements from 2009 onwards and evidence of shareholder loans to the company and advised </w:t>
      </w:r>
      <w:r>
        <w:t>Mr </w:t>
      </w:r>
      <w:r w:rsidRPr="00FC5E96">
        <w:t>Cornell that this information was needed to finalise his objection.</w:t>
      </w:r>
    </w:p>
    <w:p w:rsidR="00FB5E99" w:rsidRDefault="006B7B54" w:rsidP="008565F2">
      <w:pPr>
        <w:pStyle w:val="ListNumber"/>
      </w:pPr>
      <w:r w:rsidRPr="00FC5E96">
        <w:t>In addition, the Commissioner</w:t>
      </w:r>
      <w:r>
        <w:t>’</w:t>
      </w:r>
      <w:r w:rsidRPr="00FC5E96">
        <w:t xml:space="preserve">s </w:t>
      </w:r>
      <w:r w:rsidR="008565F2">
        <w:t>S</w:t>
      </w:r>
      <w:r w:rsidRPr="00FC5E96">
        <w:t xml:space="preserve">tatement of </w:t>
      </w:r>
      <w:r w:rsidR="008565F2">
        <w:t>F</w:t>
      </w:r>
      <w:r w:rsidRPr="00FC5E96">
        <w:t xml:space="preserve">acts, </w:t>
      </w:r>
      <w:r w:rsidR="008565F2">
        <w:t>I</w:t>
      </w:r>
      <w:r w:rsidRPr="00FC5E96">
        <w:t xml:space="preserve">ssues and </w:t>
      </w:r>
      <w:r w:rsidR="008565F2">
        <w:t>C</w:t>
      </w:r>
      <w:r w:rsidRPr="00FC5E96">
        <w:t xml:space="preserve">ontentions made it clear that </w:t>
      </w:r>
      <w:r>
        <w:t>Mr </w:t>
      </w:r>
      <w:r w:rsidRPr="00FC5E96">
        <w:t>Cornell needed to prove the assessments were excessive and that there was no material that was consistent with the contention that the transfers to the Australian bank account were merely accumulated savin</w:t>
      </w:r>
      <w:r>
        <w:t xml:space="preserve">gs.  </w:t>
      </w:r>
    </w:p>
    <w:p w:rsidR="006B7B54" w:rsidRPr="00FC5E96" w:rsidRDefault="006B7B54" w:rsidP="008565F2">
      <w:pPr>
        <w:pStyle w:val="ListNumber"/>
      </w:pPr>
      <w:r>
        <w:t>The law concerning burden</w:t>
      </w:r>
      <w:r w:rsidRPr="00FC5E96">
        <w:t xml:space="preserve"> of proof is clear.  The Commissioner does not need to prove an assessment is correct.  Taxpayers need to prove an assessment is excessive</w:t>
      </w:r>
      <w:r w:rsidR="00FB5E99">
        <w:t>.  An</w:t>
      </w:r>
      <w:r w:rsidRPr="00FC5E96">
        <w:t>d in circumstances where the issue in dispute concerns deposits to bank accounts, taxpayers need to prove with evidence that the amounts deposited are not income.</w:t>
      </w:r>
    </w:p>
    <w:p w:rsidR="006B7B54" w:rsidRPr="00FC5E96" w:rsidRDefault="006B7B54" w:rsidP="008565F2">
      <w:pPr>
        <w:pStyle w:val="ListNumber"/>
      </w:pPr>
      <w:r w:rsidRPr="00FC5E96">
        <w:t xml:space="preserve">As was noted in </w:t>
      </w:r>
      <w:r w:rsidRPr="00FC5E96">
        <w:rPr>
          <w:i/>
        </w:rPr>
        <w:t>Imperial Bottle Shops</w:t>
      </w:r>
      <w:r w:rsidR="00936323">
        <w:rPr>
          <w:i/>
        </w:rPr>
        <w:t xml:space="preserve"> Pty Ltd</w:t>
      </w:r>
      <w:r w:rsidRPr="00FC5E96">
        <w:rPr>
          <w:i/>
        </w:rPr>
        <w:t xml:space="preserve"> v </w:t>
      </w:r>
      <w:r w:rsidR="00936323">
        <w:rPr>
          <w:i/>
        </w:rPr>
        <w:t xml:space="preserve">Federal </w:t>
      </w:r>
      <w:r w:rsidRPr="00FC5E96">
        <w:rPr>
          <w:i/>
        </w:rPr>
        <w:t>Commissioner of Taxation</w:t>
      </w:r>
      <w:r w:rsidRPr="00FC5E96">
        <w:t xml:space="preserve"> [1991] ATC 45</w:t>
      </w:r>
      <w:r w:rsidR="00936323">
        <w:t>4</w:t>
      </w:r>
      <w:r w:rsidRPr="00FC5E96">
        <w:t>6</w:t>
      </w:r>
      <w:r w:rsidR="00936323">
        <w:t>,</w:t>
      </w:r>
      <w:r w:rsidRPr="00FC5E96">
        <w:t xml:space="preserve"> at page 4552:</w:t>
      </w:r>
    </w:p>
    <w:p w:rsidR="006B7B54" w:rsidRPr="00FC5E96" w:rsidRDefault="006B7B54" w:rsidP="008565F2">
      <w:pPr>
        <w:pStyle w:val="Quote"/>
      </w:pPr>
      <w:r w:rsidRPr="00FC5E96">
        <w:t>The taxpayer who does not keep records of his deductible outgoings faces a very difficult task.  If he goes into the witness box and swears that he has incurred the outgoings he</w:t>
      </w:r>
      <w:r>
        <w:t>’</w:t>
      </w:r>
      <w:r w:rsidRPr="00FC5E96">
        <w:t>s making a self-serving statement.  That does not necessarily mean he</w:t>
      </w:r>
      <w:r>
        <w:t>’</w:t>
      </w:r>
      <w:r w:rsidRPr="00FC5E96">
        <w:t>s not to be believed.  Such statement like statements of purpose or object or state of mind must, however, be tested most closely and received with the greatest of caution.  It would, of necessity, be a rare case, indeed, where a taxpayer claiming to have expended a very large sum of money on trading stock and other business expenses would succeed in satisfying the burden of proving that the assessment is excessive.  Some corroborative evidence would normally be required which makes it more probable than not.</w:t>
      </w:r>
    </w:p>
    <w:p w:rsidR="006B7B54" w:rsidRPr="00FC5E96" w:rsidRDefault="006B7B54" w:rsidP="008565F2">
      <w:pPr>
        <w:pStyle w:val="ListNumber"/>
      </w:pPr>
      <w:r w:rsidRPr="00FC5E96">
        <w:t>The need for records of receipts of substantial sums credited to bank accounts stands on precisely the same footing as the need for records of deductible outgoings.  Here there is evidence of a company that maintained financial records, those recorded being audited financial statements.  However, during the critical period when the transfers were made no records of the company</w:t>
      </w:r>
      <w:r>
        <w:t>’</w:t>
      </w:r>
      <w:r w:rsidRPr="00FC5E96">
        <w:t>s financial statements have been provided and no records of the company</w:t>
      </w:r>
      <w:r>
        <w:t>’</w:t>
      </w:r>
      <w:r w:rsidRPr="00FC5E96">
        <w:t>s bank balances have been provided, notwithstanding a request from the Commissioner.</w:t>
      </w:r>
    </w:p>
    <w:p w:rsidR="006B7B54" w:rsidRPr="00FC5E96" w:rsidRDefault="006B7B54" w:rsidP="008565F2">
      <w:pPr>
        <w:pStyle w:val="ListNumber"/>
      </w:pPr>
      <w:r>
        <w:t>Mr </w:t>
      </w:r>
      <w:r w:rsidRPr="00FC5E96">
        <w:t>Cornell</w:t>
      </w:r>
      <w:r>
        <w:t>’</w:t>
      </w:r>
      <w:r w:rsidRPr="00FC5E96">
        <w:t xml:space="preserve">s consistent explanation for the source of the money transferred to Australia was that it was his savings; however, in oral evidence </w:t>
      </w:r>
      <w:r>
        <w:t>Mr </w:t>
      </w:r>
      <w:r w:rsidRPr="00FC5E96">
        <w:t>Cornell indicated that it was a combination of earnings of his company and amounts credited to his company</w:t>
      </w:r>
      <w:r>
        <w:t>’</w:t>
      </w:r>
      <w:r w:rsidRPr="00FC5E96">
        <w:t>s gambling account, both of which occurred after he left Hong Kong and he was not able to say how much fell into either category and that the company</w:t>
      </w:r>
      <w:r>
        <w:t>’</w:t>
      </w:r>
      <w:r w:rsidRPr="00FC5E96">
        <w:t xml:space="preserve">s account was merely an extension of his own account.  In substance, what </w:t>
      </w:r>
      <w:r>
        <w:t>Mr </w:t>
      </w:r>
      <w:r w:rsidRPr="00FC5E96">
        <w:t xml:space="preserve">Cornell is </w:t>
      </w:r>
      <w:r w:rsidR="00FB5E99">
        <w:t xml:space="preserve">now </w:t>
      </w:r>
      <w:r w:rsidRPr="00FC5E96">
        <w:t xml:space="preserve">contending is that a distinction between the company and </w:t>
      </w:r>
      <w:r w:rsidR="00FB5E99" w:rsidRPr="00FC5E96">
        <w:t>sharehold</w:t>
      </w:r>
      <w:r w:rsidR="00FB5E99">
        <w:t>er</w:t>
      </w:r>
      <w:r w:rsidR="00FB5E99" w:rsidRPr="00FC5E96">
        <w:t xml:space="preserve"> </w:t>
      </w:r>
      <w:r w:rsidRPr="00FC5E96">
        <w:t xml:space="preserve">is to be ignored.  </w:t>
      </w:r>
      <w:r>
        <w:t>Mr </w:t>
      </w:r>
      <w:r w:rsidRPr="00FC5E96">
        <w:t xml:space="preserve">Cornell points to corporate credit card statements as evidence of the company being an extension of himself.  The corporate credit card statements, however, are in </w:t>
      </w:r>
      <w:r>
        <w:t>Mr </w:t>
      </w:r>
      <w:r w:rsidRPr="00FC5E96">
        <w:t>Cornell</w:t>
      </w:r>
      <w:r>
        <w:t>’</w:t>
      </w:r>
      <w:r w:rsidRPr="00FC5E96">
        <w:t>s name and his wife</w:t>
      </w:r>
      <w:r>
        <w:t>’</w:t>
      </w:r>
      <w:r w:rsidRPr="00FC5E96">
        <w:t xml:space="preserve">s name care of the </w:t>
      </w:r>
      <w:r w:rsidR="00FB5E99" w:rsidRPr="00FC5E96">
        <w:t>compan</w:t>
      </w:r>
      <w:r w:rsidR="00FB5E99">
        <w:t>y’s address</w:t>
      </w:r>
      <w:r w:rsidRPr="00FC5E96">
        <w:t>.  The statements do not support the contention that he makes.</w:t>
      </w:r>
    </w:p>
    <w:p w:rsidR="006B7B54" w:rsidRPr="00FC5E96" w:rsidRDefault="006B7B54" w:rsidP="008565F2">
      <w:pPr>
        <w:pStyle w:val="ListNumber"/>
      </w:pPr>
      <w:r w:rsidRPr="00FC5E96">
        <w:t xml:space="preserve">Australian taxation law has for a long time recognised the existence of companies as entities separate from the shareholders.  As the </w:t>
      </w:r>
      <w:r w:rsidR="00FB5E99">
        <w:t>C</w:t>
      </w:r>
      <w:r w:rsidR="00FB5E99" w:rsidRPr="00FC5E96">
        <w:t xml:space="preserve">ourt </w:t>
      </w:r>
      <w:r w:rsidR="00FB5E99">
        <w:t xml:space="preserve">said in </w:t>
      </w:r>
      <w:r w:rsidR="00A26647" w:rsidRPr="002C1464">
        <w:rPr>
          <w:i/>
        </w:rPr>
        <w:t>Archibald Howie Pty Ltd v Commissioner of Stamp Duties</w:t>
      </w:r>
      <w:r w:rsidR="00050F6A">
        <w:rPr>
          <w:i/>
        </w:rPr>
        <w:t xml:space="preserve"> (NSW</w:t>
      </w:r>
      <w:r w:rsidR="00050F6A" w:rsidRPr="002C1464">
        <w:rPr>
          <w:i/>
        </w:rPr>
        <w:t>)</w:t>
      </w:r>
      <w:r w:rsidR="00A26647" w:rsidRPr="002C1464">
        <w:rPr>
          <w:i/>
        </w:rPr>
        <w:t xml:space="preserve"> </w:t>
      </w:r>
      <w:hyperlink r:id="rId18" w:tooltip="View LawCiteRecord" w:history="1">
        <w:r w:rsidR="00A26647" w:rsidRPr="002C1464">
          <w:rPr>
            <w:rStyle w:val="Hyperlink"/>
            <w:color w:val="auto"/>
            <w:u w:val="none"/>
          </w:rPr>
          <w:t>(1948) 77 CLR 143</w:t>
        </w:r>
      </w:hyperlink>
      <w:r w:rsidR="00A26647" w:rsidRPr="002C1464">
        <w:t xml:space="preserve"> </w:t>
      </w:r>
      <w:r w:rsidRPr="002C1464">
        <w:t>at 156</w:t>
      </w:r>
      <w:r w:rsidR="00FB5E99">
        <w:t xml:space="preserve"> (endorsed since in cases such as in </w:t>
      </w:r>
      <w:r w:rsidR="00FB5E99" w:rsidRPr="00C67D1B">
        <w:rPr>
          <w:i/>
        </w:rPr>
        <w:t>FAI General Insurance Company Ltd (in liquidation) v Sherry</w:t>
      </w:r>
      <w:r w:rsidR="00FB5E99" w:rsidRPr="00C67D1B">
        <w:t xml:space="preserve"> </w:t>
      </w:r>
      <w:r w:rsidR="00FB5E99" w:rsidRPr="00C67D1B">
        <w:rPr>
          <w:i/>
        </w:rPr>
        <w:t xml:space="preserve">&amp; </w:t>
      </w:r>
      <w:proofErr w:type="spellStart"/>
      <w:r w:rsidR="00FB5E99" w:rsidRPr="00C67D1B">
        <w:rPr>
          <w:i/>
        </w:rPr>
        <w:t>Ors</w:t>
      </w:r>
      <w:proofErr w:type="spellEnd"/>
      <w:r w:rsidR="00FB5E99" w:rsidRPr="00C67D1B">
        <w:t xml:space="preserve"> [2002] SASC 431</w:t>
      </w:r>
      <w:r w:rsidR="00FB5E99">
        <w:t>)</w:t>
      </w:r>
      <w:r w:rsidRPr="002C1464">
        <w:t>:</w:t>
      </w:r>
    </w:p>
    <w:p w:rsidR="006B7B54" w:rsidRPr="00FC5E96" w:rsidRDefault="006B7B54" w:rsidP="008565F2">
      <w:pPr>
        <w:pStyle w:val="Quote"/>
      </w:pPr>
      <w:r w:rsidRPr="00FC5E96">
        <w:t xml:space="preserve">A share in a company is not an </w:t>
      </w:r>
      <w:r w:rsidR="00050F6A">
        <w:t>“</w:t>
      </w:r>
      <w:r w:rsidRPr="00FC5E96">
        <w:t>asset</w:t>
      </w:r>
      <w:r w:rsidR="00050F6A">
        <w:t>”</w:t>
      </w:r>
      <w:r w:rsidRPr="00FC5E96">
        <w:t xml:space="preserve"> in the company</w:t>
      </w:r>
      <w:r w:rsidR="00050F6A">
        <w:t>.</w:t>
      </w:r>
      <w:r w:rsidRPr="00FC5E96">
        <w:t xml:space="preserve"> </w:t>
      </w:r>
      <w:r w:rsidR="00050F6A">
        <w:t>I</w:t>
      </w:r>
      <w:r w:rsidRPr="00FC5E96">
        <w:t xml:space="preserve">t is a </w:t>
      </w:r>
      <w:r w:rsidR="00050F6A">
        <w:t>“chose</w:t>
      </w:r>
      <w:r w:rsidRPr="00FC5E96">
        <w:t xml:space="preserve"> in</w:t>
      </w:r>
      <w:r w:rsidR="00050F6A">
        <w:t xml:space="preserve"> </w:t>
      </w:r>
      <w:r w:rsidRPr="00FC5E96">
        <w:t>action</w:t>
      </w:r>
      <w:r w:rsidR="00050F6A">
        <w:t>”</w:t>
      </w:r>
      <w:r w:rsidRPr="00FC5E96">
        <w:t>.</w:t>
      </w:r>
    </w:p>
    <w:p w:rsidR="006B7B54" w:rsidRPr="00FC5E96" w:rsidRDefault="006B7B54" w:rsidP="008565F2">
      <w:pPr>
        <w:pStyle w:val="ListNumber"/>
      </w:pPr>
      <w:r w:rsidRPr="00FC5E96">
        <w:t xml:space="preserve">In </w:t>
      </w:r>
      <w:r w:rsidRPr="00FC5E96">
        <w:rPr>
          <w:i/>
        </w:rPr>
        <w:t>Charles v Federal Commissioner of Taxation</w:t>
      </w:r>
      <w:r w:rsidRPr="00FC5E96">
        <w:t xml:space="preserve"> </w:t>
      </w:r>
      <w:r w:rsidR="00A26647" w:rsidRPr="00A26647">
        <w:t>(1954) 90 CLR 598</w:t>
      </w:r>
      <w:r w:rsidRPr="00FC5E96">
        <w:t xml:space="preserve">, at page 609 the </w:t>
      </w:r>
      <w:r w:rsidR="00FB5E99">
        <w:t>C</w:t>
      </w:r>
      <w:r w:rsidR="00FB5E99" w:rsidRPr="00FC5E96">
        <w:t xml:space="preserve">ourt </w:t>
      </w:r>
      <w:r w:rsidRPr="00FC5E96">
        <w:t>said:</w:t>
      </w:r>
    </w:p>
    <w:p w:rsidR="006B7B54" w:rsidRPr="00FC5E96" w:rsidRDefault="006B7B54" w:rsidP="008565F2">
      <w:pPr>
        <w:pStyle w:val="Quote"/>
      </w:pPr>
      <w:r w:rsidRPr="00FC5E96">
        <w:t>A share confers on the holder no legal or equitable interest in the assets of the company.  It is a separate piece of property.</w:t>
      </w:r>
    </w:p>
    <w:p w:rsidR="006B7B54" w:rsidRPr="00FC5E96" w:rsidRDefault="006B7B54" w:rsidP="00A26647">
      <w:pPr>
        <w:pStyle w:val="ListNumber"/>
      </w:pPr>
      <w:r w:rsidRPr="00FC5E96">
        <w:t xml:space="preserve">More recently the Justice in the </w:t>
      </w:r>
      <w:r w:rsidR="002C1464">
        <w:t xml:space="preserve"> – </w:t>
      </w:r>
      <w:r w:rsidRPr="00FC5E96">
        <w:t xml:space="preserve">Full </w:t>
      </w:r>
      <w:r w:rsidR="00FB5E99">
        <w:t>C</w:t>
      </w:r>
      <w:r w:rsidR="00FB5E99" w:rsidRPr="00FC5E96">
        <w:t xml:space="preserve">ourt </w:t>
      </w:r>
      <w:r w:rsidRPr="00FC5E96">
        <w:t xml:space="preserve">of the Federal Court in </w:t>
      </w:r>
      <w:r w:rsidRPr="00FC5E96">
        <w:rPr>
          <w:i/>
        </w:rPr>
        <w:t>Commissioner of Taxation v BHP Billiton Finance</w:t>
      </w:r>
      <w:r w:rsidR="00A26647">
        <w:rPr>
          <w:i/>
        </w:rPr>
        <w:t xml:space="preserve"> Ltd</w:t>
      </w:r>
      <w:r w:rsidRPr="00FC5E96">
        <w:rPr>
          <w:i/>
        </w:rPr>
        <w:t xml:space="preserve"> </w:t>
      </w:r>
      <w:r w:rsidR="00A26647" w:rsidRPr="002C1464">
        <w:t>[2010] FCAFC 25</w:t>
      </w:r>
      <w:r w:rsidR="00A26647" w:rsidRPr="00A26647">
        <w:rPr>
          <w:i/>
        </w:rPr>
        <w:t xml:space="preserve"> </w:t>
      </w:r>
      <w:r w:rsidRPr="00FC5E96">
        <w:t xml:space="preserve">, </w:t>
      </w:r>
      <w:r w:rsidR="00A26647">
        <w:t xml:space="preserve">at </w:t>
      </w:r>
      <w:r w:rsidRPr="00FC5E96">
        <w:t>paragraph 37</w:t>
      </w:r>
      <w:r w:rsidR="00FB5E99">
        <w:t>(2)</w:t>
      </w:r>
      <w:r w:rsidRPr="00FC5E96">
        <w:t xml:space="preserve"> </w:t>
      </w:r>
      <w:r w:rsidR="00FB5E99">
        <w:t>Justice Edmonds</w:t>
      </w:r>
      <w:r w:rsidRPr="00FC5E96">
        <w:t xml:space="preserve"> said:</w:t>
      </w:r>
    </w:p>
    <w:p w:rsidR="006B7B54" w:rsidRPr="00FC5E96" w:rsidRDefault="006B7B54" w:rsidP="008565F2">
      <w:pPr>
        <w:pStyle w:val="Quote"/>
      </w:pPr>
      <w:r w:rsidRPr="00FC5E96">
        <w:t xml:space="preserve">The conflation of the activities of separate entities into some fictional group or single entity is impermissible outside the confines of part 3-90 of the </w:t>
      </w:r>
      <w:r w:rsidR="00A26647">
        <w:t>ITAA 1997; ...</w:t>
      </w:r>
    </w:p>
    <w:p w:rsidR="00FB5E99" w:rsidRDefault="006B7B54" w:rsidP="008565F2">
      <w:pPr>
        <w:pStyle w:val="ListNumber"/>
      </w:pPr>
      <w:r w:rsidRPr="00FC5E96">
        <w:t>The consistent message is companies are separate from shareholders and it is not permissible to regard a company</w:t>
      </w:r>
      <w:r>
        <w:t>’</w:t>
      </w:r>
      <w:r w:rsidRPr="00FC5E96">
        <w:t>s assets as shareholder</w:t>
      </w:r>
      <w:r>
        <w:t>’</w:t>
      </w:r>
      <w:r w:rsidRPr="00FC5E96">
        <w:t>s assets or a company</w:t>
      </w:r>
      <w:r>
        <w:t>’</w:t>
      </w:r>
      <w:r w:rsidRPr="00FC5E96">
        <w:t>s income as shareholder</w:t>
      </w:r>
      <w:r>
        <w:t>’</w:t>
      </w:r>
      <w:r w:rsidRPr="00FC5E96">
        <w:t xml:space="preserve">s income.  </w:t>
      </w:r>
    </w:p>
    <w:p w:rsidR="006B7B54" w:rsidRPr="00FC5E96" w:rsidRDefault="006B7B54" w:rsidP="008565F2">
      <w:pPr>
        <w:pStyle w:val="ListNumber"/>
      </w:pPr>
      <w:r>
        <w:t>Mr </w:t>
      </w:r>
      <w:r w:rsidRPr="00FC5E96">
        <w:t>Cornell also claims that some of the money that was transferred into this account was transferred before he became a resident of Australia.  He contends that he became a resident in</w:t>
      </w:r>
      <w:r>
        <w:t> March</w:t>
      </w:r>
      <w:r w:rsidRPr="00FC5E96">
        <w:t xml:space="preserve"> 2010 when he began work for the first time after his return to Australia.  His evidence was that he did not return to Australia with the intention of staying permanently and, hence, he did not transfer the money that he had overseas back to Australia in a lump sum.</w:t>
      </w:r>
    </w:p>
    <w:p w:rsidR="00FB5E99" w:rsidRDefault="006B7B54" w:rsidP="008565F2">
      <w:pPr>
        <w:pStyle w:val="ListNumber"/>
      </w:pPr>
      <w:r w:rsidRPr="00FC5E96">
        <w:t>Against that evidence, his oral evidence was that he returned to live in a property that he owned in</w:t>
      </w:r>
      <w:r>
        <w:t> September</w:t>
      </w:r>
      <w:r w:rsidRPr="00FC5E96">
        <w:t xml:space="preserve"> 2009.  He returned to Australia with all of his family, that</w:t>
      </w:r>
      <w:r>
        <w:t xml:space="preserve"> i</w:t>
      </w:r>
      <w:r w:rsidRPr="00FC5E96">
        <w:t>s his wife and three children, he did not maintain a residence in Hong Kong after his return to Australia.  From late 2009 he attempted to enrol his eldest child in school in Australia.  From late 2009, at the latest, he sought employment in Australia and from</w:t>
      </w:r>
      <w:r>
        <w:t> January</w:t>
      </w:r>
      <w:r w:rsidRPr="00FC5E96">
        <w:t xml:space="preserve"> 2010 he had his eldest child commencing schooling in Australia.  </w:t>
      </w:r>
    </w:p>
    <w:p w:rsidR="006B7B54" w:rsidRPr="00FC5E96" w:rsidRDefault="006B7B54" w:rsidP="008565F2">
      <w:pPr>
        <w:pStyle w:val="ListNumber"/>
      </w:pPr>
      <w:r w:rsidRPr="00FC5E96">
        <w:t>Whilst not raised as a ground of objection the Commissioner did not oppose the residency contention on that basis.</w:t>
      </w:r>
    </w:p>
    <w:p w:rsidR="00FB5E99" w:rsidRDefault="006B7B54" w:rsidP="008565F2">
      <w:pPr>
        <w:pStyle w:val="ListNumber"/>
      </w:pPr>
      <w:r w:rsidRPr="00FC5E96">
        <w:t xml:space="preserve">The conclusion in relation to residency is contrary to </w:t>
      </w:r>
      <w:r>
        <w:t>Mr </w:t>
      </w:r>
      <w:r w:rsidRPr="00FC5E96">
        <w:t>Cornell</w:t>
      </w:r>
      <w:r>
        <w:t>’</w:t>
      </w:r>
      <w:r w:rsidRPr="00FC5E96">
        <w:t xml:space="preserve">s contention.  </w:t>
      </w:r>
    </w:p>
    <w:p w:rsidR="006B7B54" w:rsidRPr="00FC5E96" w:rsidRDefault="006B7B54" w:rsidP="008565F2">
      <w:pPr>
        <w:pStyle w:val="ListNumber"/>
      </w:pPr>
      <w:r w:rsidRPr="00FC5E96">
        <w:t xml:space="preserve">He was a resident of Australia from at least as early as late 2009 and the amounts transferred to his account were transferred while he was a resident.  It is not necessary for a person to intend to live in </w:t>
      </w:r>
      <w:r w:rsidRPr="00050F6A">
        <w:t xml:space="preserve">Australia permanently to be a resident here.  Adopting the </w:t>
      </w:r>
      <w:r w:rsidR="00050F6A" w:rsidRPr="002C1464">
        <w:rPr>
          <w:i/>
        </w:rPr>
        <w:t xml:space="preserve">Federal Commissioner of Taxation v </w:t>
      </w:r>
      <w:r w:rsidRPr="002C1464">
        <w:rPr>
          <w:i/>
        </w:rPr>
        <w:t>Applegate</w:t>
      </w:r>
      <w:r w:rsidRPr="002C1464">
        <w:t xml:space="preserve"> </w:t>
      </w:r>
      <w:r w:rsidR="00050F6A" w:rsidRPr="002C1464">
        <w:t>79 ATC 4307,</w:t>
      </w:r>
      <w:r w:rsidRPr="002C1464">
        <w:t xml:space="preserve"> at page 4313, Mr Cornell’s</w:t>
      </w:r>
      <w:r w:rsidRPr="00FC5E96">
        <w:t xml:space="preserve"> usual place of abode from late 2009 was Australia, at least for the foreseeable future.  The </w:t>
      </w:r>
      <w:r w:rsidR="008565F2">
        <w:t>T</w:t>
      </w:r>
      <w:r w:rsidRPr="00FC5E96">
        <w:t>ribunal also note</w:t>
      </w:r>
      <w:r w:rsidR="00FB5E99">
        <w:t>s</w:t>
      </w:r>
      <w:r w:rsidRPr="00FC5E96">
        <w:t xml:space="preserve"> that the evidence of the reason for not transferring the money in Hong Kong to Australia in one lump sum needs to be received with great caution.  When </w:t>
      </w:r>
      <w:r w:rsidR="00FB5E99" w:rsidRPr="00EB518A">
        <w:t>Mr Cornel</w:t>
      </w:r>
      <w:r w:rsidR="00FB5E99">
        <w:t xml:space="preserve">l </w:t>
      </w:r>
      <w:r w:rsidRPr="00FC5E96">
        <w:t>returned to Australia the money was not available to be returned as a lump sum.</w:t>
      </w:r>
    </w:p>
    <w:p w:rsidR="00FB5E99" w:rsidRDefault="006B7B54" w:rsidP="008565F2">
      <w:pPr>
        <w:pStyle w:val="ListNumber"/>
      </w:pPr>
      <w:r w:rsidRPr="00FC5E96">
        <w:t xml:space="preserve">Dealing with the original accumulated savings contention first.  When coupled with evidence of an inability of the company to have transferred the sums in question to </w:t>
      </w:r>
      <w:r>
        <w:t>Mr </w:t>
      </w:r>
      <w:r w:rsidRPr="00FC5E96">
        <w:t xml:space="preserve">Cornell on the latest financial information which is available to the tribunal, the lack of evidence of the sources of money to the company that were transferred to </w:t>
      </w:r>
      <w:r>
        <w:t>Mr </w:t>
      </w:r>
      <w:r w:rsidRPr="00FC5E96">
        <w:t xml:space="preserve">Cornell is such that the contention that the transfers were simply transfers of accumulated savings cannot be accepted as proven.  Further, as there is recognition of separate ownership of assets as between company and shareholder and separate ownership of income as between company and shareholder, even if </w:t>
      </w:r>
      <w:r>
        <w:t>Mr </w:t>
      </w:r>
      <w:r w:rsidRPr="00FC5E96">
        <w:t>Cornell</w:t>
      </w:r>
      <w:r>
        <w:t>’</w:t>
      </w:r>
      <w:r w:rsidRPr="00FC5E96">
        <w:t>s uncorroborated oral testimony as to the company</w:t>
      </w:r>
      <w:r>
        <w:t>’</w:t>
      </w:r>
      <w:r w:rsidRPr="00FC5E96">
        <w:t xml:space="preserve">s money being his money were accepted, that evidence does not show that the </w:t>
      </w:r>
      <w:r w:rsidR="00B70B95">
        <w:t>money</w:t>
      </w:r>
      <w:r w:rsidR="00B70B95" w:rsidRPr="00FC5E96">
        <w:t xml:space="preserve"> </w:t>
      </w:r>
      <w:r w:rsidRPr="00FC5E96">
        <w:t xml:space="preserve">transferred to his bank account was not income with his hands.  </w:t>
      </w:r>
    </w:p>
    <w:p w:rsidR="006B7B54" w:rsidRPr="00FC5E96" w:rsidRDefault="006B7B54" w:rsidP="008565F2">
      <w:pPr>
        <w:pStyle w:val="ListNumber"/>
      </w:pPr>
      <w:r w:rsidRPr="00FC5E96">
        <w:t>For the foregoing reasons, the objection decision must be affirmed</w:t>
      </w:r>
      <w:r w:rsidR="008565F2">
        <w:t>.</w:t>
      </w:r>
    </w:p>
    <w:p w:rsidR="000176A5" w:rsidRDefault="000176A5" w:rsidP="006B7B54">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8565F2" w:rsidTr="00702374">
        <w:tc>
          <w:tcPr>
            <w:tcW w:w="3651" w:type="dxa"/>
          </w:tcPr>
          <w:p w:rsidR="008565F2" w:rsidRDefault="008565F2">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FB5E99">
              <w:t xml:space="preserve">26 </w:t>
            </w:r>
            <w:r>
              <w:t>(</w:t>
            </w:r>
            <w:r w:rsidR="00FB5E99">
              <w:t>twenty-six</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F D O'Loughlin</w:t>
            </w:r>
            <w:r w:rsidRPr="00483D56">
              <w:fldChar w:fldCharType="end"/>
            </w:r>
            <w:r>
              <w:t>, Senior Member.</w:t>
            </w:r>
          </w:p>
        </w:tc>
      </w:tr>
    </w:tbl>
    <w:p w:rsidR="008565F2" w:rsidRPr="00BC2D09" w:rsidRDefault="008565F2" w:rsidP="004365B2">
      <w:pPr>
        <w:keepNext/>
        <w:spacing w:before="960"/>
        <w:rPr>
          <w:lang w:eastAsia="en-US"/>
        </w:rPr>
      </w:pPr>
      <w:proofErr w:type="gramStart"/>
      <w:r w:rsidRPr="00BC2D09">
        <w:rPr>
          <w:lang w:eastAsia="en-US"/>
        </w:rPr>
        <w:t>...</w:t>
      </w:r>
      <w:r w:rsidR="00587E5E">
        <w:rPr>
          <w:lang w:eastAsia="en-US"/>
        </w:rPr>
        <w:t>[</w:t>
      </w:r>
      <w:proofErr w:type="gramEnd"/>
      <w:r w:rsidR="00587E5E">
        <w:rPr>
          <w:lang w:eastAsia="en-US"/>
        </w:rPr>
        <w:t>sgd]</w:t>
      </w:r>
      <w:r w:rsidRPr="00BC2D09">
        <w:rPr>
          <w:lang w:eastAsia="en-US"/>
        </w:rPr>
        <w:t>.....................................................................</w:t>
      </w:r>
    </w:p>
    <w:p w:rsidR="008565F2" w:rsidRPr="00D8769A" w:rsidRDefault="008565F2" w:rsidP="00702374">
      <w:pPr>
        <w:pStyle w:val="NoSpacing"/>
      </w:pPr>
      <w:r>
        <w:t>Associate</w:t>
      </w:r>
      <w:fldSimple w:instr=" DOCPROPERTY  SigneeDesignation ">
        <w:r>
          <w:t xml:space="preserve"> </w:t>
        </w:r>
      </w:fldSimple>
    </w:p>
    <w:p w:rsidR="008565F2" w:rsidRDefault="008565F2" w:rsidP="004365B2">
      <w:r>
        <w:t xml:space="preserve">Dated </w:t>
      </w:r>
      <w:fldSimple w:instr=" DOCPROPERTY  StampDate ">
        <w:r w:rsidR="00FF52B5">
          <w:t>6 November 2015</w:t>
        </w:r>
      </w:fldSimple>
    </w:p>
    <w:p w:rsidR="008565F2" w:rsidRDefault="008565F2" w:rsidP="004365B2"/>
    <w:tbl>
      <w:tblPr>
        <w:tblW w:w="0" w:type="auto"/>
        <w:tblLayout w:type="fixed"/>
        <w:tblLook w:val="00A0" w:firstRow="1" w:lastRow="0" w:firstColumn="1" w:lastColumn="0" w:noHBand="0" w:noVBand="0"/>
      </w:tblPr>
      <w:tblGrid>
        <w:gridCol w:w="3510"/>
        <w:gridCol w:w="5279"/>
      </w:tblGrid>
      <w:tr w:rsidR="008565F2" w:rsidRPr="00BC2D09" w:rsidTr="004365B2">
        <w:trPr>
          <w:trHeight w:val="567"/>
        </w:trPr>
        <w:tc>
          <w:tcPr>
            <w:tcW w:w="3510" w:type="dxa"/>
          </w:tcPr>
          <w:p w:rsidR="008565F2" w:rsidRPr="00BC2D09" w:rsidRDefault="008565F2" w:rsidP="004365B2">
            <w:pPr>
              <w:pStyle w:val="NoSpacing"/>
              <w:rPr>
                <w:lang w:eastAsia="en-US"/>
              </w:rPr>
            </w:pPr>
            <w:r>
              <w:rPr>
                <w:lang w:eastAsia="en-US"/>
              </w:rPr>
              <w:t>Date(s) of hearing</w:t>
            </w:r>
          </w:p>
        </w:tc>
        <w:tc>
          <w:tcPr>
            <w:tcW w:w="5279" w:type="dxa"/>
          </w:tcPr>
          <w:p w:rsidR="008565F2" w:rsidRPr="00771CAC" w:rsidRDefault="008565F2" w:rsidP="004365B2">
            <w:pPr>
              <w:pStyle w:val="NoSpacing"/>
              <w:rPr>
                <w:b/>
                <w:bCs/>
                <w:lang w:eastAsia="en-US"/>
              </w:rPr>
            </w:pPr>
            <w:r>
              <w:rPr>
                <w:b/>
                <w:bCs/>
                <w:lang w:eastAsia="en-US"/>
              </w:rPr>
              <w:t>6 October 2015</w:t>
            </w: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 xml:space="preserve"> </w:t>
            </w:r>
            <w:r>
              <w:rPr>
                <w:b/>
                <w:bCs/>
                <w:lang w:eastAsia="en-US"/>
              </w:rPr>
              <w:fldChar w:fldCharType="end"/>
            </w:r>
          </w:p>
        </w:tc>
      </w:tr>
      <w:tr w:rsidR="008565F2" w:rsidRPr="00BC2D09" w:rsidTr="004365B2">
        <w:trPr>
          <w:trHeight w:val="567"/>
        </w:trPr>
        <w:tc>
          <w:tcPr>
            <w:tcW w:w="3510" w:type="dxa"/>
          </w:tcPr>
          <w:p w:rsidR="008565F2" w:rsidRPr="00BC2D09" w:rsidRDefault="008565F2"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8565F2" w:rsidRPr="00771CAC" w:rsidRDefault="008565F2" w:rsidP="004365B2">
            <w:pPr>
              <w:pStyle w:val="NoSpacing"/>
              <w:rPr>
                <w:b/>
                <w:bCs/>
                <w:lang w:eastAsia="en-US"/>
              </w:rPr>
            </w:pPr>
            <w:r>
              <w:rPr>
                <w:b/>
                <w:bCs/>
                <w:lang w:eastAsia="en-US"/>
              </w:rPr>
              <w:t>In person</w:t>
            </w:r>
          </w:p>
        </w:tc>
      </w:tr>
      <w:tr w:rsidR="008565F2" w:rsidRPr="00BC2D09" w:rsidTr="004365B2">
        <w:trPr>
          <w:trHeight w:val="567"/>
        </w:trPr>
        <w:tc>
          <w:tcPr>
            <w:tcW w:w="3510" w:type="dxa"/>
          </w:tcPr>
          <w:p w:rsidR="008565F2" w:rsidRDefault="008565F2" w:rsidP="004365B2">
            <w:pPr>
              <w:pStyle w:val="NoSpacing"/>
              <w:rPr>
                <w:lang w:eastAsia="en-US"/>
              </w:rPr>
            </w:pPr>
            <w:bookmarkStart w:id="13" w:name="Respondent_Counsel"/>
            <w:bookmarkEnd w:id="13"/>
            <w:r>
              <w:rPr>
                <w:lang w:eastAsia="en-US"/>
              </w:rPr>
              <w:t>Counsel for the Respondent</w:t>
            </w:r>
          </w:p>
        </w:tc>
        <w:tc>
          <w:tcPr>
            <w:tcW w:w="5279" w:type="dxa"/>
          </w:tcPr>
          <w:p w:rsidR="008565F2" w:rsidRPr="00771CAC" w:rsidRDefault="008565F2" w:rsidP="004365B2">
            <w:pPr>
              <w:pStyle w:val="NoSpacing"/>
              <w:rPr>
                <w:b/>
                <w:bCs/>
                <w:lang w:eastAsia="en-US"/>
              </w:rPr>
            </w:pPr>
            <w:r>
              <w:rPr>
                <w:b/>
                <w:bCs/>
                <w:lang w:eastAsia="en-US"/>
              </w:rPr>
              <w:t>Nigel Evans</w:t>
            </w: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 xml:space="preserve"> </w:t>
            </w:r>
            <w:r>
              <w:rPr>
                <w:b/>
                <w:bCs/>
                <w:lang w:eastAsia="en-US"/>
              </w:rPr>
              <w:fldChar w:fldCharType="end"/>
            </w:r>
          </w:p>
        </w:tc>
      </w:tr>
      <w:tr w:rsidR="008565F2" w:rsidRPr="00BC2D09" w:rsidTr="004365B2">
        <w:trPr>
          <w:trHeight w:val="567"/>
        </w:trPr>
        <w:tc>
          <w:tcPr>
            <w:tcW w:w="3510" w:type="dxa"/>
          </w:tcPr>
          <w:p w:rsidR="008565F2" w:rsidRDefault="008565F2" w:rsidP="004365B2">
            <w:pPr>
              <w:pStyle w:val="NoSpacing"/>
              <w:rPr>
                <w:lang w:eastAsia="en-US"/>
              </w:rPr>
            </w:pPr>
            <w:bookmarkStart w:id="14" w:name="Respondent_Solicitors"/>
            <w:bookmarkEnd w:id="14"/>
            <w:r>
              <w:rPr>
                <w:lang w:eastAsia="en-US"/>
              </w:rPr>
              <w:t>Solicitors for the Respondent</w:t>
            </w:r>
          </w:p>
        </w:tc>
        <w:tc>
          <w:tcPr>
            <w:tcW w:w="5279" w:type="dxa"/>
          </w:tcPr>
          <w:p w:rsidR="008565F2" w:rsidRPr="00771CAC" w:rsidRDefault="008565F2" w:rsidP="004365B2">
            <w:pPr>
              <w:pStyle w:val="NoSpacing"/>
              <w:rPr>
                <w:b/>
                <w:bCs/>
                <w:lang w:eastAsia="en-US"/>
              </w:rPr>
            </w:pPr>
            <w:r>
              <w:rPr>
                <w:b/>
                <w:bCs/>
                <w:lang w:eastAsia="en-US"/>
              </w:rPr>
              <w:t>Benjamin Norman, ATO Dispute Resolution</w:t>
            </w: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 xml:space="preserve"> </w:t>
            </w:r>
            <w:r>
              <w:rPr>
                <w:b/>
                <w:bCs/>
                <w:lang w:eastAsia="en-US"/>
              </w:rPr>
              <w:fldChar w:fldCharType="end"/>
            </w:r>
          </w:p>
        </w:tc>
      </w:tr>
    </w:tbl>
    <w:p w:rsidR="00391759" w:rsidRDefault="00391759" w:rsidP="008565F2"/>
    <w:sectPr w:rsidR="00391759" w:rsidSect="00BE45FE">
      <w:headerReference w:type="first" r:id="rId19"/>
      <w:footerReference w:type="first" r:id="rId20"/>
      <w:pgSz w:w="11907" w:h="16834" w:code="9"/>
      <w:pgMar w:top="1758" w:right="1134" w:bottom="1758" w:left="1985"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07" w:rsidRDefault="00EF4D07">
      <w:r>
        <w:separator/>
      </w:r>
    </w:p>
    <w:p w:rsidR="00EF4D07" w:rsidRDefault="00EF4D07"/>
  </w:endnote>
  <w:endnote w:type="continuationSeparator" w:id="0">
    <w:p w:rsidR="00EF4D07" w:rsidRDefault="00EF4D07">
      <w:r>
        <w:continuationSeparator/>
      </w:r>
    </w:p>
    <w:p w:rsidR="00EF4D07" w:rsidRDefault="00EF4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6F" w:rsidRDefault="0043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8565F2" w:rsidRPr="008565F2" w:rsidTr="00FE4BC3">
      <w:tc>
        <w:tcPr>
          <w:tcW w:w="1447" w:type="dxa"/>
          <w:tcBorders>
            <w:right w:val="single" w:sz="4" w:space="0" w:color="auto"/>
          </w:tcBorders>
          <w:vAlign w:val="center"/>
        </w:tcPr>
        <w:p w:rsidR="008565F2" w:rsidRPr="008565F2" w:rsidRDefault="008565F2" w:rsidP="008565F2">
          <w:pPr>
            <w:rPr>
              <w:rFonts w:ascii="Arial" w:hAnsi="Arial"/>
              <w:b/>
              <w:caps/>
              <w:sz w:val="16"/>
            </w:rPr>
          </w:pPr>
          <w:r w:rsidRPr="008565F2">
            <w:rPr>
              <w:rFonts w:ascii="Arial" w:hAnsi="Arial"/>
              <w:b/>
              <w:caps/>
              <w:sz w:val="16"/>
            </w:rPr>
            <w:t xml:space="preserve">Page </w:t>
          </w:r>
          <w:r w:rsidRPr="008565F2">
            <w:rPr>
              <w:rFonts w:ascii="Arial" w:hAnsi="Arial"/>
              <w:b/>
              <w:caps/>
              <w:sz w:val="16"/>
            </w:rPr>
            <w:fldChar w:fldCharType="begin"/>
          </w:r>
          <w:r w:rsidRPr="008565F2">
            <w:rPr>
              <w:rFonts w:ascii="Arial" w:hAnsi="Arial"/>
              <w:b/>
              <w:caps/>
              <w:sz w:val="16"/>
            </w:rPr>
            <w:instrText xml:space="preserve"> PAGE  \* Arabic </w:instrText>
          </w:r>
          <w:r w:rsidRPr="008565F2">
            <w:rPr>
              <w:rFonts w:ascii="Arial" w:hAnsi="Arial"/>
              <w:b/>
              <w:caps/>
              <w:sz w:val="16"/>
            </w:rPr>
            <w:fldChar w:fldCharType="separate"/>
          </w:r>
          <w:r w:rsidR="009A6969">
            <w:rPr>
              <w:rFonts w:ascii="Arial" w:hAnsi="Arial"/>
              <w:b/>
              <w:caps/>
              <w:noProof/>
              <w:sz w:val="16"/>
            </w:rPr>
            <w:t>3</w:t>
          </w:r>
          <w:r w:rsidRPr="008565F2">
            <w:rPr>
              <w:rFonts w:ascii="Arial" w:hAnsi="Arial"/>
              <w:b/>
              <w:caps/>
              <w:sz w:val="16"/>
            </w:rPr>
            <w:fldChar w:fldCharType="end"/>
          </w:r>
          <w:r w:rsidRPr="008565F2">
            <w:rPr>
              <w:rFonts w:ascii="Arial" w:hAnsi="Arial"/>
              <w:b/>
              <w:caps/>
              <w:sz w:val="16"/>
            </w:rPr>
            <w:t xml:space="preserve"> of </w:t>
          </w:r>
          <w:r w:rsidRPr="008565F2">
            <w:rPr>
              <w:rFonts w:ascii="Arial" w:hAnsi="Arial"/>
              <w:b/>
              <w:caps/>
              <w:sz w:val="16"/>
            </w:rPr>
            <w:fldChar w:fldCharType="begin"/>
          </w:r>
          <w:r w:rsidRPr="008565F2">
            <w:rPr>
              <w:rFonts w:ascii="Arial" w:hAnsi="Arial"/>
              <w:b/>
              <w:caps/>
              <w:sz w:val="16"/>
            </w:rPr>
            <w:instrText xml:space="preserve"> NUMPAGES  \* Arabic </w:instrText>
          </w:r>
          <w:r w:rsidRPr="008565F2">
            <w:rPr>
              <w:rFonts w:ascii="Arial" w:hAnsi="Arial"/>
              <w:b/>
              <w:caps/>
              <w:sz w:val="16"/>
            </w:rPr>
            <w:fldChar w:fldCharType="separate"/>
          </w:r>
          <w:r w:rsidR="009A6969">
            <w:rPr>
              <w:rFonts w:ascii="Arial" w:hAnsi="Arial"/>
              <w:b/>
              <w:caps/>
              <w:noProof/>
              <w:sz w:val="16"/>
            </w:rPr>
            <w:t>8</w:t>
          </w:r>
          <w:r w:rsidRPr="008565F2">
            <w:rPr>
              <w:rFonts w:ascii="Arial" w:hAnsi="Arial"/>
              <w:b/>
              <w:caps/>
              <w:noProof/>
              <w:sz w:val="16"/>
            </w:rPr>
            <w:fldChar w:fldCharType="end"/>
          </w:r>
        </w:p>
      </w:tc>
      <w:tc>
        <w:tcPr>
          <w:tcW w:w="8763" w:type="dxa"/>
          <w:tcBorders>
            <w:left w:val="single" w:sz="4" w:space="0" w:color="auto"/>
          </w:tcBorders>
          <w:vAlign w:val="center"/>
        </w:tcPr>
        <w:p w:rsidR="008565F2" w:rsidRPr="008565F2" w:rsidRDefault="008565F2" w:rsidP="008565F2">
          <w:pPr>
            <w:rPr>
              <w:rFonts w:ascii="Arial" w:hAnsi="Arial"/>
              <w:b/>
              <w:caps/>
              <w:sz w:val="16"/>
            </w:rPr>
          </w:pPr>
        </w:p>
      </w:tc>
    </w:tr>
  </w:tbl>
  <w:p w:rsidR="0091092D" w:rsidRDefault="009109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43556F">
          <w:pPr>
            <w:pStyle w:val="FooterPage1"/>
            <w:jc w:val="right"/>
          </w:pPr>
          <w:r>
            <w:t xml:space="preserve">© Commonwealth of Australia </w:t>
          </w:r>
          <w:r w:rsidR="0043556F">
            <w:t>2016</w:t>
          </w:r>
        </w:p>
      </w:tc>
    </w:tr>
  </w:tbl>
  <w:p w:rsidR="003B4BBD" w:rsidRDefault="003B4BB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3556F" w:rsidTr="003B4BBD">
      <w:tc>
        <w:tcPr>
          <w:tcW w:w="1447" w:type="dxa"/>
          <w:vAlign w:val="center"/>
        </w:tcPr>
        <w:p w:rsidR="0043556F" w:rsidRDefault="0043556F" w:rsidP="003B4BBD">
          <w:pPr>
            <w:pStyle w:val="FooterPage1"/>
          </w:pPr>
        </w:p>
      </w:tc>
      <w:tc>
        <w:tcPr>
          <w:tcW w:w="8763" w:type="dxa"/>
          <w:tcBorders>
            <w:left w:val="nil"/>
          </w:tcBorders>
          <w:tcMar>
            <w:left w:w="85" w:type="dxa"/>
          </w:tcMar>
          <w:vAlign w:val="center"/>
        </w:tcPr>
        <w:p w:rsidR="0043556F" w:rsidRDefault="0043556F" w:rsidP="0043556F">
          <w:pPr>
            <w:pStyle w:val="FooterPage1"/>
            <w:jc w:val="right"/>
          </w:pPr>
          <w:r>
            <w:t>© Commonwealth of Australia 2015</w:t>
          </w:r>
        </w:p>
      </w:tc>
    </w:tr>
  </w:tbl>
  <w:p w:rsidR="0043556F" w:rsidRDefault="0043556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07" w:rsidRDefault="00EF4D07">
      <w:r>
        <w:separator/>
      </w:r>
    </w:p>
  </w:footnote>
  <w:footnote w:type="continuationSeparator" w:id="0">
    <w:p w:rsidR="00EF4D07" w:rsidRDefault="00EF4D07">
      <w:r>
        <w:continuationSeparator/>
      </w:r>
    </w:p>
    <w:p w:rsidR="00EF4D07" w:rsidRDefault="00EF4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p w:rsidR="0091092D" w:rsidRDefault="0091092D"/>
  <w:p w:rsidR="0091092D" w:rsidRDefault="0091092D"/>
  <w:p w:rsidR="0091092D" w:rsidRDefault="0091092D"/>
  <w:p w:rsidR="0091092D" w:rsidRDefault="009109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6F" w:rsidRDefault="00435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7D2584">
      <w:trPr>
        <w:trHeight w:hRule="exact" w:val="567"/>
      </w:trPr>
      <w:tc>
        <w:tcPr>
          <w:tcW w:w="6407" w:type="dxa"/>
        </w:tcPr>
        <w:p w:rsidR="003B4BBD" w:rsidRDefault="003B4BBD" w:rsidP="003B4BBD">
          <w:pPr>
            <w:numPr>
              <w:ilvl w:val="12"/>
              <w:numId w:val="0"/>
            </w:numPr>
          </w:pPr>
        </w:p>
      </w:tc>
      <w:tc>
        <w:tcPr>
          <w:tcW w:w="3969" w:type="dxa"/>
          <w:vAlign w:val="bottom"/>
        </w:tcPr>
        <w:p w:rsidR="003B4BBD" w:rsidRDefault="003B4BBD" w:rsidP="003B4BBD">
          <w:pPr>
            <w:numPr>
              <w:ilvl w:val="12"/>
              <w:numId w:val="0"/>
            </w:numPr>
            <w:jc w:val="right"/>
          </w:pPr>
        </w:p>
      </w:tc>
    </w:tr>
  </w:tbl>
  <w:p w:rsidR="003B4BBD" w:rsidRDefault="003B4BBD" w:rsidP="00DD17FC">
    <w:pPr>
      <w:pStyle w:val="NoSpac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BE45FE" w:rsidTr="003B4BBD">
      <w:trPr>
        <w:trHeight w:hRule="exact" w:val="1702"/>
      </w:trPr>
      <w:tc>
        <w:tcPr>
          <w:tcW w:w="6407" w:type="dxa"/>
        </w:tcPr>
        <w:p w:rsidR="00BE45FE" w:rsidRDefault="00BE45FE" w:rsidP="003B4BBD">
          <w:pPr>
            <w:numPr>
              <w:ilvl w:val="12"/>
              <w:numId w:val="0"/>
            </w:numPr>
          </w:pPr>
          <w:r>
            <w:rPr>
              <w:noProof/>
            </w:rPr>
            <w:drawing>
              <wp:inline distT="0" distB="0" distL="0" distR="0" wp14:anchorId="58BCE4C9" wp14:editId="61A1E9C7">
                <wp:extent cx="2448000" cy="9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BE45FE" w:rsidRDefault="00BE45FE" w:rsidP="003B4BBD">
          <w:pPr>
            <w:numPr>
              <w:ilvl w:val="12"/>
              <w:numId w:val="0"/>
            </w:numPr>
            <w:jc w:val="right"/>
          </w:pPr>
          <w:r>
            <w:rPr>
              <w:noProof/>
            </w:rPr>
            <w:drawing>
              <wp:inline distT="0" distB="0" distL="0" distR="0" wp14:anchorId="1B9273AD" wp14:editId="5C6C7B67">
                <wp:extent cx="2143125" cy="160439"/>
                <wp:effectExtent l="0" t="0" r="0" b="0"/>
                <wp:docPr id="3" name="Picture 3"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48715"/>
                        <a:stretch/>
                      </pic:blipFill>
                      <pic:spPr bwMode="auto">
                        <a:xfrm>
                          <a:off x="0" y="0"/>
                          <a:ext cx="2145600" cy="1606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E45FE" w:rsidRDefault="00BE45F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5034358"/>
    <w:multiLevelType w:val="hybridMultilevel"/>
    <w:tmpl w:val="BBA64E12"/>
    <w:lvl w:ilvl="0" w:tplc="7C52C4E0">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5"/>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6B7B54"/>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0F6A"/>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3A1C"/>
    <w:rsid w:val="0024473D"/>
    <w:rsid w:val="0024549E"/>
    <w:rsid w:val="00253104"/>
    <w:rsid w:val="00256FC5"/>
    <w:rsid w:val="002607D3"/>
    <w:rsid w:val="00264A1D"/>
    <w:rsid w:val="00271135"/>
    <w:rsid w:val="00271552"/>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464"/>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3556F"/>
    <w:rsid w:val="0044330A"/>
    <w:rsid w:val="0045310B"/>
    <w:rsid w:val="0045440C"/>
    <w:rsid w:val="00454437"/>
    <w:rsid w:val="00463C53"/>
    <w:rsid w:val="00466655"/>
    <w:rsid w:val="0047066D"/>
    <w:rsid w:val="00472670"/>
    <w:rsid w:val="004727B7"/>
    <w:rsid w:val="00473144"/>
    <w:rsid w:val="0047383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575B"/>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2A04"/>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87E5E"/>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6C8B"/>
    <w:rsid w:val="006A7826"/>
    <w:rsid w:val="006B3EE8"/>
    <w:rsid w:val="006B5946"/>
    <w:rsid w:val="006B624A"/>
    <w:rsid w:val="006B7B54"/>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167E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86A23"/>
    <w:rsid w:val="00797D4B"/>
    <w:rsid w:val="007B585F"/>
    <w:rsid w:val="007B6AC8"/>
    <w:rsid w:val="007B71FC"/>
    <w:rsid w:val="007C276C"/>
    <w:rsid w:val="007C2DF2"/>
    <w:rsid w:val="007C326A"/>
    <w:rsid w:val="007C7239"/>
    <w:rsid w:val="007C7784"/>
    <w:rsid w:val="007C7CFC"/>
    <w:rsid w:val="007D1803"/>
    <w:rsid w:val="007D2584"/>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5F2"/>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092D"/>
    <w:rsid w:val="0091202C"/>
    <w:rsid w:val="009151B2"/>
    <w:rsid w:val="00916850"/>
    <w:rsid w:val="009201DC"/>
    <w:rsid w:val="00921243"/>
    <w:rsid w:val="00924FD7"/>
    <w:rsid w:val="00926EDE"/>
    <w:rsid w:val="00934AD0"/>
    <w:rsid w:val="00935401"/>
    <w:rsid w:val="009356EB"/>
    <w:rsid w:val="00936323"/>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A6969"/>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5FA7"/>
    <w:rsid w:val="009F767D"/>
    <w:rsid w:val="00A026D9"/>
    <w:rsid w:val="00A063DF"/>
    <w:rsid w:val="00A1128D"/>
    <w:rsid w:val="00A11BDF"/>
    <w:rsid w:val="00A122F6"/>
    <w:rsid w:val="00A161A7"/>
    <w:rsid w:val="00A2060C"/>
    <w:rsid w:val="00A20674"/>
    <w:rsid w:val="00A237DD"/>
    <w:rsid w:val="00A240E9"/>
    <w:rsid w:val="00A26647"/>
    <w:rsid w:val="00A27932"/>
    <w:rsid w:val="00A32543"/>
    <w:rsid w:val="00A336C1"/>
    <w:rsid w:val="00A421E8"/>
    <w:rsid w:val="00A42C48"/>
    <w:rsid w:val="00A47435"/>
    <w:rsid w:val="00A51A9C"/>
    <w:rsid w:val="00A55C0D"/>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0B95"/>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A25"/>
    <w:rsid w:val="00BC1CC8"/>
    <w:rsid w:val="00BC2D09"/>
    <w:rsid w:val="00BC3D36"/>
    <w:rsid w:val="00BC53EB"/>
    <w:rsid w:val="00BC75C3"/>
    <w:rsid w:val="00BD007E"/>
    <w:rsid w:val="00BD0F9A"/>
    <w:rsid w:val="00BD1CE4"/>
    <w:rsid w:val="00BD33AF"/>
    <w:rsid w:val="00BD40FE"/>
    <w:rsid w:val="00BE1AAE"/>
    <w:rsid w:val="00BE45F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8B9"/>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4D07"/>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B5E99"/>
    <w:rsid w:val="00FC1949"/>
    <w:rsid w:val="00FC2148"/>
    <w:rsid w:val="00FC43A5"/>
    <w:rsid w:val="00FC5066"/>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52B5"/>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Hyperlink">
    <w:name w:val="Hyperlink"/>
    <w:basedOn w:val="DefaultParagraphFont"/>
    <w:uiPriority w:val="99"/>
    <w:unhideWhenUsed/>
    <w:rsid w:val="00A26647"/>
    <w:rPr>
      <w:color w:val="0044B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Hyperlink">
    <w:name w:val="Hyperlink"/>
    <w:basedOn w:val="DefaultParagraphFont"/>
    <w:uiPriority w:val="99"/>
    <w:unhideWhenUsed/>
    <w:rsid w:val="00A26647"/>
    <w:rPr>
      <w:color w:val="0044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ustlii.edu.au/cgi-bin/LawCite?cit=%281948%29%2077%20CLR%201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ustlii.edu.au/cgi-bin/LawCite?cit=%281948%29%2077%20CLR%2014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oleObject" Target="embeddings/Microsoft_Word_97_-_2003_Document1.doc"/><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1C3A2C771E4DD798B0463F96FC1168"/>
        <w:category>
          <w:name w:val="General"/>
          <w:gallery w:val="placeholder"/>
        </w:category>
        <w:types>
          <w:type w:val="bbPlcHdr"/>
        </w:types>
        <w:behaviors>
          <w:behavior w:val="content"/>
        </w:behaviors>
        <w:guid w:val="{12DE61F6-5470-4F96-828C-2A43C0E349E0}"/>
      </w:docPartPr>
      <w:docPartBody>
        <w:p w:rsidR="00C25BDB" w:rsidRDefault="009D7A14">
          <w:pPr>
            <w:pStyle w:val="B61C3A2C771E4DD798B0463F96FC1168"/>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D6D658CD379240D7877961B809E260D7"/>
        <w:category>
          <w:name w:val="General"/>
          <w:gallery w:val="placeholder"/>
        </w:category>
        <w:types>
          <w:type w:val="bbPlcHdr"/>
        </w:types>
        <w:behaviors>
          <w:behavior w:val="content"/>
        </w:behaviors>
        <w:guid w:val="{1AB21FA3-4505-41AB-96AF-DA6C434A7E6F}"/>
      </w:docPartPr>
      <w:docPartBody>
        <w:p w:rsidR="00C25BDB" w:rsidRDefault="009D7A14">
          <w:pPr>
            <w:pStyle w:val="D6D658CD379240D7877961B809E260D7"/>
          </w:pPr>
          <w:r w:rsidRPr="00CD5897">
            <w:rPr>
              <w:rStyle w:val="PlaceholderText"/>
            </w:rPr>
            <w:t>Click here to enter text.</w:t>
          </w:r>
        </w:p>
      </w:docPartBody>
    </w:docPart>
    <w:docPart>
      <w:docPartPr>
        <w:name w:val="2EB2E00B760540D7A7A11FD065DD4450"/>
        <w:category>
          <w:name w:val="General"/>
          <w:gallery w:val="placeholder"/>
        </w:category>
        <w:types>
          <w:type w:val="bbPlcHdr"/>
        </w:types>
        <w:behaviors>
          <w:behavior w:val="content"/>
        </w:behaviors>
        <w:guid w:val="{BA866698-2B03-49E0-9AA3-71EDF9967D3C}"/>
      </w:docPartPr>
      <w:docPartBody>
        <w:p w:rsidR="00C25BDB" w:rsidRDefault="009D7A14">
          <w:pPr>
            <w:pStyle w:val="2EB2E00B760540D7A7A11FD065DD4450"/>
          </w:pPr>
          <w:r w:rsidRPr="00CD5897">
            <w:rPr>
              <w:rStyle w:val="PlaceholderText"/>
            </w:rPr>
            <w:t>Click here to enter text.</w:t>
          </w:r>
        </w:p>
      </w:docPartBody>
    </w:docPart>
    <w:docPart>
      <w:docPartPr>
        <w:name w:val="83E614AA394B4D459236C7C3C14D7B71"/>
        <w:category>
          <w:name w:val="General"/>
          <w:gallery w:val="placeholder"/>
        </w:category>
        <w:types>
          <w:type w:val="bbPlcHdr"/>
        </w:types>
        <w:behaviors>
          <w:behavior w:val="content"/>
        </w:behaviors>
        <w:guid w:val="{A6672375-1538-439A-9A6D-7132D8ADDFA2}"/>
      </w:docPartPr>
      <w:docPartBody>
        <w:p w:rsidR="00C25BDB" w:rsidRDefault="009D7A14">
          <w:pPr>
            <w:pStyle w:val="83E614AA394B4D459236C7C3C14D7B7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DB"/>
    <w:rsid w:val="0054397D"/>
    <w:rsid w:val="009D7A14"/>
    <w:rsid w:val="00B07C9A"/>
    <w:rsid w:val="00C2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1C3A2C771E4DD798B0463F96FC1168">
    <w:name w:val="B61C3A2C771E4DD798B0463F96FC1168"/>
  </w:style>
  <w:style w:type="paragraph" w:customStyle="1" w:styleId="D6D658CD379240D7877961B809E260D7">
    <w:name w:val="D6D658CD379240D7877961B809E260D7"/>
  </w:style>
  <w:style w:type="paragraph" w:customStyle="1" w:styleId="2EB2E00B760540D7A7A11FD065DD4450">
    <w:name w:val="2EB2E00B760540D7A7A11FD065DD4450"/>
  </w:style>
  <w:style w:type="paragraph" w:customStyle="1" w:styleId="83E614AA394B4D459236C7C3C14D7B71">
    <w:name w:val="83E614AA394B4D459236C7C3C14D7B71"/>
  </w:style>
  <w:style w:type="paragraph" w:customStyle="1" w:styleId="9F22067617B140CE990B3A43EB940B18">
    <w:name w:val="9F22067617B140CE990B3A43EB940B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1C3A2C771E4DD798B0463F96FC1168">
    <w:name w:val="B61C3A2C771E4DD798B0463F96FC1168"/>
  </w:style>
  <w:style w:type="paragraph" w:customStyle="1" w:styleId="D6D658CD379240D7877961B809E260D7">
    <w:name w:val="D6D658CD379240D7877961B809E260D7"/>
  </w:style>
  <w:style w:type="paragraph" w:customStyle="1" w:styleId="2EB2E00B760540D7A7A11FD065DD4450">
    <w:name w:val="2EB2E00B760540D7A7A11FD065DD4450"/>
  </w:style>
  <w:style w:type="paragraph" w:customStyle="1" w:styleId="83E614AA394B4D459236C7C3C14D7B71">
    <w:name w:val="83E614AA394B4D459236C7C3C14D7B71"/>
  </w:style>
  <w:style w:type="paragraph" w:customStyle="1" w:styleId="9F22067617B140CE990B3A43EB940B18">
    <w:name w:val="9F22067617B140CE990B3A43EB940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69BC-29AF-46E9-821F-AAACFC37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8</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Herath, Shivanthi</dc:creator>
  <cp:lastModifiedBy>Dalwood, Jacqui</cp:lastModifiedBy>
  <cp:revision>2</cp:revision>
  <cp:lastPrinted>2015-11-09T00:35:00Z</cp:lastPrinted>
  <dcterms:created xsi:type="dcterms:W3CDTF">2016-01-05T04:41:00Z</dcterms:created>
  <dcterms:modified xsi:type="dcterms:W3CDTF">2016-01-05T04:41:00Z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xxx</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Jason Cornell</vt:lpwstr>
  </property>
  <property fmtid="{D5CDD505-2E9C-101B-9397-08002B2CF9AE}" pid="26" name="FileNumber">
    <vt:lpwstr>2014/0429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&amp; COMMERCIAL DIVISION</vt:lpwstr>
  </property>
  <property fmtid="{D5CDD505-2E9C-101B-9397-08002B2CF9AE}" pid="71" name="TribunalSignee">
    <vt:lpwstr>F D O'Loughlin</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6 October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Nigel Evans</vt:lpwstr>
  </property>
  <property fmtid="{D5CDD505-2E9C-101B-9397-08002B2CF9AE}" pid="82" name="Respondent_Advocate">
    <vt:lpwstr> </vt:lpwstr>
  </property>
  <property fmtid="{D5CDD505-2E9C-101B-9397-08002B2CF9AE}" pid="83" name="Respondent_Solicitors">
    <vt:lpwstr>Benjamin Norman, ATO Dispute Resolution</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xx November 2015</vt:lpwstr>
  </property>
  <property fmtid="{D5CDD505-2E9C-101B-9397-08002B2CF9AE}" pid="96" name="DecisionDate">
    <vt:lpwstr>6 October 2015</vt:lpwstr>
  </property>
  <property fmtid="{D5CDD505-2E9C-101B-9397-08002B2CF9AE}" pid="97" name="ReasonsforDecisionDate">
    <vt:lpwstr>xx November 2015</vt:lpwstr>
  </property>
  <property fmtid="{D5CDD505-2E9C-101B-9397-08002B2CF9AE}" pid="98" name="StampDate">
    <vt:lpwstr>xx November 2015</vt:lpwstr>
  </property>
  <property fmtid="{D5CDD505-2E9C-101B-9397-08002B2CF9AE}" pid="99" name="TribunalLastPgForm">
    <vt:lpwstr>F D O'Loughlin</vt:lpwstr>
  </property>
  <property fmtid="{D5CDD505-2E9C-101B-9397-08002B2CF9AE}" pid="100" name="InfoCDC">
    <vt:lpwstr> </vt:lpwstr>
  </property>
  <property fmtid="{D5CDD505-2E9C-101B-9397-08002B2CF9AE}" pid="101" name="Place">
    <vt:lpwstr>Melbourne</vt:lpwstr>
  </property>
</Properties>
</file>