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C31DF0">
      <w:pPr>
        <w:pStyle w:val="MediaNeutralStyle"/>
      </w:pPr>
      <w:bookmarkStart w:id="0" w:name="MNC"/>
      <w:r>
        <w:t xml:space="preserve">PR Polymers Pty Ltd v MTI Group Pty Ltd [2015] </w:t>
      </w:r>
      <w:proofErr w:type="spellStart"/>
      <w:r>
        <w:t>FCA</w:t>
      </w:r>
      <w:proofErr w:type="spellEnd"/>
      <w:r>
        <w:t xml:space="preserve"> </w:t>
      </w:r>
      <w:r w:rsidR="001256A2">
        <w:t>768</w:t>
      </w:r>
      <w:r>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C31DF0">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C31DF0" w:rsidP="001256A2">
            <w:pPr>
              <w:pStyle w:val="Normal1linespace"/>
              <w:widowControl w:val="0"/>
              <w:jc w:val="left"/>
            </w:pPr>
            <w:r>
              <w:t>PR Polymers Pty Ltd v MTI Group Pty Ltd [2015] </w:t>
            </w:r>
            <w:proofErr w:type="spellStart"/>
            <w:r>
              <w:t>FCA</w:t>
            </w:r>
            <w:proofErr w:type="spellEnd"/>
            <w:r>
              <w:t> </w:t>
            </w:r>
            <w:r w:rsidR="001256A2">
              <w:t>768</w:t>
            </w:r>
          </w:p>
        </w:tc>
      </w:tr>
      <w:tr w:rsidR="00395B24" w:rsidTr="00C31DF0">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31DF0">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2F1844" w:rsidRDefault="00C31DF0" w:rsidP="00C31DF0">
            <w:pPr>
              <w:pStyle w:val="Normal1linespace"/>
              <w:widowControl w:val="0"/>
              <w:jc w:val="left"/>
              <w:rPr>
                <w:b/>
              </w:rPr>
            </w:pPr>
            <w:bookmarkStart w:id="1" w:name="JudgmentFP"/>
            <w:r>
              <w:rPr>
                <w:b/>
              </w:rPr>
              <w:t>PR POLYMERS PTY LTD (</w:t>
            </w:r>
            <w:proofErr w:type="spellStart"/>
            <w:r>
              <w:rPr>
                <w:b/>
              </w:rPr>
              <w:t>ACN</w:t>
            </w:r>
            <w:proofErr w:type="spellEnd"/>
            <w:r>
              <w:rPr>
                <w:b/>
              </w:rPr>
              <w:t xml:space="preserve"> 097 405 984) v MTI GROUP PTY LTD (</w:t>
            </w:r>
            <w:proofErr w:type="spellStart"/>
            <w:r>
              <w:rPr>
                <w:b/>
              </w:rPr>
              <w:t>ACN</w:t>
            </w:r>
            <w:proofErr w:type="spellEnd"/>
            <w:r>
              <w:rPr>
                <w:b/>
              </w:rPr>
              <w:t xml:space="preserve"> 137 112 326);</w:t>
            </w:r>
          </w:p>
          <w:p w:rsidR="002F1844" w:rsidRDefault="002F1844" w:rsidP="00C31DF0">
            <w:pPr>
              <w:pStyle w:val="Normal1linespace"/>
              <w:widowControl w:val="0"/>
              <w:jc w:val="left"/>
              <w:rPr>
                <w:b/>
              </w:rPr>
            </w:pPr>
          </w:p>
          <w:p w:rsidR="00395B24" w:rsidRDefault="00C31DF0" w:rsidP="002F1844">
            <w:pPr>
              <w:pStyle w:val="Normal1linespace"/>
              <w:widowControl w:val="0"/>
              <w:jc w:val="left"/>
              <w:rPr>
                <w:b/>
              </w:rPr>
            </w:pPr>
            <w:r>
              <w:rPr>
                <w:b/>
              </w:rPr>
              <w:t>MTI GROUP PTY LTD (</w:t>
            </w:r>
            <w:proofErr w:type="spellStart"/>
            <w:r>
              <w:rPr>
                <w:b/>
              </w:rPr>
              <w:t>ACN</w:t>
            </w:r>
            <w:proofErr w:type="spellEnd"/>
            <w:r>
              <w:rPr>
                <w:b/>
              </w:rPr>
              <w:t xml:space="preserve"> 137 112 326)</w:t>
            </w:r>
            <w:r w:rsidR="002F1844">
              <w:rPr>
                <w:b/>
              </w:rPr>
              <w:t xml:space="preserve"> v</w:t>
            </w:r>
            <w:r>
              <w:rPr>
                <w:b/>
              </w:rPr>
              <w:t xml:space="preserve"> PR POLYMERS PTY LTD (</w:t>
            </w:r>
            <w:proofErr w:type="spellStart"/>
            <w:r>
              <w:rPr>
                <w:b/>
              </w:rPr>
              <w:t>ACN</w:t>
            </w:r>
            <w:proofErr w:type="spellEnd"/>
            <w:r>
              <w:rPr>
                <w:b/>
              </w:rPr>
              <w:t xml:space="preserve"> 097 405 984)</w:t>
            </w:r>
            <w:bookmarkEnd w:id="1"/>
          </w:p>
        </w:tc>
      </w:tr>
      <w:tr w:rsidR="00395B24" w:rsidTr="00C31DF0">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31DF0">
        <w:tc>
          <w:tcPr>
            <w:tcW w:w="3085" w:type="dxa"/>
            <w:shd w:val="clear" w:color="auto" w:fill="auto"/>
          </w:tcPr>
          <w:p w:rsidR="00395B24" w:rsidRDefault="002C7385">
            <w:pPr>
              <w:pStyle w:val="Normal1linespace"/>
              <w:widowControl w:val="0"/>
            </w:pPr>
            <w:r>
              <w:t>File number(s):</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sidR="00C31DF0">
              <w:rPr>
                <w:szCs w:val="24"/>
              </w:rPr>
              <w:t>WAD 276 of 2015</w:t>
            </w:r>
            <w:r>
              <w:rPr>
                <w:szCs w:val="24"/>
              </w:rPr>
              <w:fldChar w:fldCharType="end"/>
            </w:r>
          </w:p>
        </w:tc>
      </w:tr>
      <w:tr w:rsidR="00395B24" w:rsidTr="00C31DF0">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31DF0">
        <w:tc>
          <w:tcPr>
            <w:tcW w:w="3085" w:type="dxa"/>
            <w:shd w:val="clear" w:color="auto" w:fill="auto"/>
          </w:tcPr>
          <w:p w:rsidR="00395B24" w:rsidRDefault="002C7385">
            <w:pPr>
              <w:pStyle w:val="Normal1linespace"/>
              <w:widowControl w:val="0"/>
            </w:pPr>
            <w:r>
              <w:t>Judge(s):</w:t>
            </w:r>
          </w:p>
        </w:tc>
        <w:tc>
          <w:tcPr>
            <w:tcW w:w="5989" w:type="dxa"/>
            <w:shd w:val="clear" w:color="auto" w:fill="auto"/>
          </w:tcPr>
          <w:p w:rsidR="00395B24" w:rsidRDefault="002C7385">
            <w:pPr>
              <w:pStyle w:val="Normal1linespace"/>
              <w:widowControl w:val="0"/>
              <w:jc w:val="left"/>
              <w:rPr>
                <w:b/>
              </w:rPr>
            </w:pPr>
            <w:r w:rsidRPr="00C31DF0">
              <w:rPr>
                <w:b/>
              </w:rPr>
              <w:fldChar w:fldCharType="begin" w:fldLock="1"/>
            </w:r>
            <w:r w:rsidRPr="00C31DF0">
              <w:rPr>
                <w:b/>
              </w:rPr>
              <w:instrText xml:space="preserve"> REF  Judge  \* MERGEFORMAT </w:instrText>
            </w:r>
            <w:r w:rsidRPr="00C31DF0">
              <w:rPr>
                <w:b/>
              </w:rPr>
              <w:fldChar w:fldCharType="separate"/>
            </w:r>
            <w:proofErr w:type="spellStart"/>
            <w:r w:rsidR="00C31DF0" w:rsidRPr="00C31DF0">
              <w:rPr>
                <w:b/>
                <w:caps/>
                <w:szCs w:val="24"/>
              </w:rPr>
              <w:t>SIOPIS</w:t>
            </w:r>
            <w:proofErr w:type="spellEnd"/>
            <w:r w:rsidR="00C31DF0" w:rsidRPr="00C31DF0">
              <w:rPr>
                <w:b/>
                <w:caps/>
                <w:szCs w:val="24"/>
              </w:rPr>
              <w:t xml:space="preserve"> J</w:t>
            </w:r>
            <w:r w:rsidRPr="00C31DF0">
              <w:rPr>
                <w:b/>
              </w:rPr>
              <w:fldChar w:fldCharType="end"/>
            </w:r>
          </w:p>
        </w:tc>
      </w:tr>
      <w:tr w:rsidR="00395B24" w:rsidTr="00C31DF0">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31DF0">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C31DF0">
            <w:pPr>
              <w:pStyle w:val="Normal1linespace"/>
              <w:widowControl w:val="0"/>
              <w:jc w:val="left"/>
            </w:pPr>
            <w:bookmarkStart w:id="2" w:name="JudgmentDate"/>
            <w:r>
              <w:t>2 July 2015</w:t>
            </w:r>
            <w:bookmarkEnd w:id="2"/>
          </w:p>
        </w:tc>
      </w:tr>
      <w:tr w:rsidR="00395B24" w:rsidTr="00C31DF0">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31DF0">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395B24" w:rsidRDefault="00C87331" w:rsidP="00CB7FD6">
            <w:pPr>
              <w:pStyle w:val="Normal1linespace"/>
              <w:widowControl w:val="0"/>
            </w:pPr>
            <w:bookmarkStart w:id="3" w:name="Catchwords"/>
            <w:r>
              <w:rPr>
                <w:b/>
              </w:rPr>
              <w:t>CONSUMER LAW</w:t>
            </w:r>
            <w:r>
              <w:t xml:space="preserve"> – interlocutory injunction</w:t>
            </w:r>
            <w:r w:rsidR="00ED1703">
              <w:t>s</w:t>
            </w:r>
            <w:r>
              <w:t xml:space="preserve"> – misleading or deceptive conduct in contravention of</w:t>
            </w:r>
            <w:r w:rsidR="00ED1703">
              <w:t xml:space="preserve"> s</w:t>
            </w:r>
            <w:r w:rsidR="008F38DE">
              <w:t xml:space="preserve"> 18 and s 29(a)</w:t>
            </w:r>
            <w:r w:rsidR="00ED1703">
              <w:t xml:space="preserve"> of</w:t>
            </w:r>
            <w:r>
              <w:t xml:space="preserve"> the</w:t>
            </w:r>
            <w:r w:rsidR="008F38DE">
              <w:t xml:space="preserve"> Australian Consumer Law</w:t>
            </w:r>
            <w:r w:rsidR="00A13AAC">
              <w:t xml:space="preserve"> </w:t>
            </w:r>
            <w:r>
              <w:t xml:space="preserve">– whether packaging of </w:t>
            </w:r>
            <w:proofErr w:type="spellStart"/>
            <w:r w:rsidR="00A13AAC">
              <w:t>b</w:t>
            </w:r>
            <w:r w:rsidR="00FC4484">
              <w:t>lastbag</w:t>
            </w:r>
            <w:proofErr w:type="spellEnd"/>
            <w:r>
              <w:t xml:space="preserve"> product</w:t>
            </w:r>
            <w:r w:rsidR="00A13AAC">
              <w:t xml:space="preserve"> was</w:t>
            </w:r>
            <w:r>
              <w:t xml:space="preserve"> misleading by</w:t>
            </w:r>
            <w:r w:rsidR="00A13AAC">
              <w:t xml:space="preserve"> representing that the </w:t>
            </w:r>
            <w:r>
              <w:t xml:space="preserve">product </w:t>
            </w:r>
            <w:r w:rsidR="00A13AAC">
              <w:t>wa</w:t>
            </w:r>
            <w:r>
              <w:t>s not flammable – whether statements in material safety data sheet</w:t>
            </w:r>
            <w:r w:rsidR="00A13AAC">
              <w:t xml:space="preserve"> about the product were</w:t>
            </w:r>
            <w:r>
              <w:t xml:space="preserve"> misleading or deceptive – balance of convenience – weight to be given to claim that the alleged misrepresentation as to the flammability of the product posed a risk to public health and safety</w:t>
            </w:r>
            <w:r w:rsidR="00A13AAC">
              <w:t xml:space="preserve"> – </w:t>
            </w:r>
            <w:r w:rsidR="00A13AAC" w:rsidRPr="00CB7FD6">
              <w:t>where documents disparaging rival’s products</w:t>
            </w:r>
            <w:r w:rsidR="00A13AAC" w:rsidRPr="00A13AAC">
              <w:rPr>
                <w:b/>
              </w:rPr>
              <w:t xml:space="preserve"> </w:t>
            </w:r>
            <w:r w:rsidR="00A13AAC">
              <w:t>were distributed to customers</w:t>
            </w:r>
            <w:r w:rsidR="00CB7FD6">
              <w:t>.</w:t>
            </w:r>
            <w:r w:rsidR="002C7385">
              <w:t xml:space="preserve"> </w:t>
            </w:r>
            <w:bookmarkEnd w:id="3"/>
          </w:p>
        </w:tc>
      </w:tr>
      <w:tr w:rsidR="00395B24" w:rsidTr="00C31DF0">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31DF0">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395B24" w:rsidRDefault="00C87331" w:rsidP="008F38DE">
            <w:pPr>
              <w:pStyle w:val="Normal1linespace"/>
              <w:widowControl w:val="0"/>
              <w:jc w:val="left"/>
            </w:pPr>
            <w:bookmarkStart w:id="4" w:name="Legislation"/>
            <w:r w:rsidRPr="008F38DE">
              <w:t xml:space="preserve">Australian Consumer </w:t>
            </w:r>
            <w:r w:rsidR="008F38DE" w:rsidRPr="008F38DE">
              <w:t>Law</w:t>
            </w:r>
            <w:r w:rsidR="008F38DE">
              <w:t xml:space="preserve"> </w:t>
            </w:r>
            <w:proofErr w:type="spellStart"/>
            <w:r w:rsidR="008F38DE">
              <w:t>ss</w:t>
            </w:r>
            <w:proofErr w:type="spellEnd"/>
            <w:r w:rsidR="008F38DE">
              <w:t xml:space="preserve"> 18, 29(a) </w:t>
            </w:r>
            <w:bookmarkEnd w:id="4"/>
          </w:p>
        </w:tc>
      </w:tr>
      <w:tr w:rsidR="00395B24" w:rsidTr="00C31DF0">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31DF0">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395B24" w:rsidRDefault="00ED1703" w:rsidP="00F5099C">
            <w:pPr>
              <w:pStyle w:val="Normal1linespace"/>
              <w:widowControl w:val="0"/>
              <w:jc w:val="left"/>
            </w:pPr>
            <w:bookmarkStart w:id="5" w:name="Cases_Cited"/>
            <w:r>
              <w:rPr>
                <w:i/>
              </w:rPr>
              <w:t>AAP</w:t>
            </w:r>
            <w:r w:rsidRPr="00D85488">
              <w:rPr>
                <w:i/>
              </w:rPr>
              <w:t xml:space="preserve"> Telecommunications</w:t>
            </w:r>
            <w:r w:rsidR="00F5099C">
              <w:rPr>
                <w:i/>
              </w:rPr>
              <w:t xml:space="preserve"> Pty Ltd</w:t>
            </w:r>
            <w:r>
              <w:rPr>
                <w:i/>
              </w:rPr>
              <w:t xml:space="preserve"> v Telstra</w:t>
            </w:r>
            <w:r w:rsidR="008F38DE">
              <w:rPr>
                <w:i/>
              </w:rPr>
              <w:t xml:space="preserve"> Co</w:t>
            </w:r>
            <w:r w:rsidR="00F5099C">
              <w:rPr>
                <w:i/>
              </w:rPr>
              <w:t>rporation</w:t>
            </w:r>
            <w:r w:rsidR="008F38DE">
              <w:rPr>
                <w:i/>
              </w:rPr>
              <w:t xml:space="preserve"> Ltd</w:t>
            </w:r>
            <w:r w:rsidR="008F38DE">
              <w:t xml:space="preserve"> (</w:t>
            </w:r>
            <w:r w:rsidR="00F5099C">
              <w:t>1997</w:t>
            </w:r>
            <w:r w:rsidR="008F38DE">
              <w:t xml:space="preserve">) 38 </w:t>
            </w:r>
            <w:proofErr w:type="spellStart"/>
            <w:r w:rsidR="008F38DE">
              <w:t>IPR</w:t>
            </w:r>
            <w:proofErr w:type="spellEnd"/>
            <w:r w:rsidR="008F38DE">
              <w:t xml:space="preserve"> 650</w:t>
            </w:r>
            <w:r w:rsidR="002C7385">
              <w:t xml:space="preserve"> </w:t>
            </w:r>
            <w:bookmarkEnd w:id="5"/>
          </w:p>
        </w:tc>
      </w:tr>
      <w:tr w:rsidR="00C31DF0" w:rsidRPr="00C31DF0" w:rsidTr="00C31DF0">
        <w:tc>
          <w:tcPr>
            <w:tcW w:w="3085" w:type="dxa"/>
            <w:shd w:val="clear" w:color="auto" w:fill="auto"/>
          </w:tcPr>
          <w:p w:rsidR="00C31DF0" w:rsidRPr="00C31DF0" w:rsidRDefault="00C31DF0" w:rsidP="00C31DF0">
            <w:pPr>
              <w:pStyle w:val="Normal1linespace"/>
              <w:jc w:val="left"/>
            </w:pPr>
          </w:p>
        </w:tc>
        <w:tc>
          <w:tcPr>
            <w:tcW w:w="5989" w:type="dxa"/>
            <w:shd w:val="clear" w:color="auto" w:fill="auto"/>
          </w:tcPr>
          <w:p w:rsidR="00C31DF0" w:rsidRPr="00C31DF0" w:rsidRDefault="00C31DF0" w:rsidP="00C31DF0">
            <w:pPr>
              <w:pStyle w:val="Normal1linespace"/>
              <w:jc w:val="left"/>
            </w:pPr>
          </w:p>
        </w:tc>
      </w:tr>
      <w:tr w:rsidR="00C31DF0" w:rsidRPr="00C31DF0" w:rsidTr="00C31DF0">
        <w:tc>
          <w:tcPr>
            <w:tcW w:w="3085" w:type="dxa"/>
            <w:shd w:val="clear" w:color="auto" w:fill="auto"/>
          </w:tcPr>
          <w:p w:rsidR="00C31DF0" w:rsidRPr="00C31DF0" w:rsidRDefault="00C31DF0" w:rsidP="00C31DF0">
            <w:pPr>
              <w:pStyle w:val="Normal1linespace"/>
              <w:jc w:val="left"/>
            </w:pPr>
            <w:bookmarkStart w:id="6" w:name="CounselDate" w:colFirst="0" w:colLast="2"/>
            <w:r w:rsidRPr="00C31DF0">
              <w:t>Date of hearing:</w:t>
            </w:r>
          </w:p>
        </w:tc>
        <w:tc>
          <w:tcPr>
            <w:tcW w:w="5989" w:type="dxa"/>
            <w:shd w:val="clear" w:color="auto" w:fill="auto"/>
          </w:tcPr>
          <w:p w:rsidR="00C31DF0" w:rsidRPr="00C31DF0" w:rsidRDefault="00C31DF0" w:rsidP="00C31DF0">
            <w:pPr>
              <w:pStyle w:val="Normal1linespace"/>
              <w:jc w:val="left"/>
            </w:pPr>
            <w:bookmarkStart w:id="7" w:name="HearingDate"/>
            <w:r>
              <w:t>2 July 2015</w:t>
            </w:r>
            <w:bookmarkEnd w:id="7"/>
          </w:p>
        </w:tc>
      </w:tr>
      <w:tr w:rsidR="00C31DF0" w:rsidRPr="00C31DF0" w:rsidTr="00C31DF0">
        <w:tc>
          <w:tcPr>
            <w:tcW w:w="3085" w:type="dxa"/>
            <w:shd w:val="clear" w:color="auto" w:fill="auto"/>
          </w:tcPr>
          <w:p w:rsidR="00C31DF0" w:rsidRPr="00C31DF0" w:rsidRDefault="00C31DF0" w:rsidP="00C31DF0">
            <w:pPr>
              <w:pStyle w:val="Normal1linespace"/>
              <w:jc w:val="left"/>
            </w:pPr>
          </w:p>
        </w:tc>
        <w:tc>
          <w:tcPr>
            <w:tcW w:w="5989" w:type="dxa"/>
            <w:shd w:val="clear" w:color="auto" w:fill="auto"/>
          </w:tcPr>
          <w:p w:rsidR="00C31DF0" w:rsidRPr="00C31DF0" w:rsidRDefault="00C31DF0" w:rsidP="00C31DF0">
            <w:pPr>
              <w:pStyle w:val="Normal1linespace"/>
              <w:jc w:val="left"/>
            </w:pPr>
          </w:p>
        </w:tc>
      </w:tr>
      <w:bookmarkEnd w:id="6"/>
      <w:tr w:rsidR="00C31DF0" w:rsidTr="00C31DF0">
        <w:tc>
          <w:tcPr>
            <w:tcW w:w="3085" w:type="dxa"/>
            <w:shd w:val="clear" w:color="auto" w:fill="auto"/>
          </w:tcPr>
          <w:p w:rsidR="00C31DF0" w:rsidRDefault="00C31DF0" w:rsidP="00C31DF0">
            <w:pPr>
              <w:pStyle w:val="Normal1linespace"/>
              <w:widowControl w:val="0"/>
              <w:jc w:val="left"/>
            </w:pPr>
            <w:r>
              <w:t>Place:</w:t>
            </w:r>
          </w:p>
        </w:tc>
        <w:tc>
          <w:tcPr>
            <w:tcW w:w="5989" w:type="dxa"/>
            <w:shd w:val="clear" w:color="auto" w:fill="auto"/>
          </w:tcPr>
          <w:p w:rsidR="00C31DF0" w:rsidRDefault="00AC2A77" w:rsidP="00C31DF0">
            <w:pPr>
              <w:pStyle w:val="Normal1linespace"/>
              <w:widowControl w:val="0"/>
              <w:jc w:val="left"/>
            </w:pPr>
            <w:fldSimple w:instr=" DOCVARIABLE  Place_SentenceCase  \* MERGEFORMAT ">
              <w:r w:rsidR="00C31DF0">
                <w:t>Perth</w:t>
              </w:r>
            </w:fldSimple>
          </w:p>
        </w:tc>
      </w:tr>
      <w:tr w:rsidR="00C31DF0" w:rsidTr="00C31DF0">
        <w:tc>
          <w:tcPr>
            <w:tcW w:w="3085" w:type="dxa"/>
            <w:shd w:val="clear" w:color="auto" w:fill="auto"/>
          </w:tcPr>
          <w:p w:rsidR="00C31DF0" w:rsidRDefault="00C31DF0" w:rsidP="00C31DF0">
            <w:pPr>
              <w:pStyle w:val="Normal1linespace"/>
              <w:widowControl w:val="0"/>
              <w:jc w:val="left"/>
            </w:pPr>
          </w:p>
        </w:tc>
        <w:tc>
          <w:tcPr>
            <w:tcW w:w="5989" w:type="dxa"/>
            <w:shd w:val="clear" w:color="auto" w:fill="auto"/>
          </w:tcPr>
          <w:p w:rsidR="00C31DF0" w:rsidRDefault="00C31DF0" w:rsidP="00C31DF0">
            <w:pPr>
              <w:pStyle w:val="Normal1linespace"/>
              <w:widowControl w:val="0"/>
              <w:jc w:val="left"/>
            </w:pPr>
          </w:p>
        </w:tc>
      </w:tr>
      <w:tr w:rsidR="00C31DF0" w:rsidTr="00C31DF0">
        <w:tc>
          <w:tcPr>
            <w:tcW w:w="3085" w:type="dxa"/>
            <w:shd w:val="clear" w:color="auto" w:fill="auto"/>
          </w:tcPr>
          <w:p w:rsidR="00C31DF0" w:rsidRDefault="00C31DF0" w:rsidP="00C31DF0">
            <w:pPr>
              <w:pStyle w:val="Normal1linespace"/>
              <w:widowControl w:val="0"/>
              <w:jc w:val="left"/>
            </w:pPr>
            <w:r>
              <w:t>Division:</w:t>
            </w:r>
          </w:p>
        </w:tc>
        <w:tc>
          <w:tcPr>
            <w:tcW w:w="5989" w:type="dxa"/>
            <w:shd w:val="clear" w:color="auto" w:fill="auto"/>
          </w:tcPr>
          <w:p w:rsidR="00C31DF0" w:rsidRPr="00C67B37" w:rsidRDefault="00C31DF0" w:rsidP="00C31DF0">
            <w:pPr>
              <w:pStyle w:val="Normal1linespace"/>
              <w:widowControl w:val="0"/>
              <w:jc w:val="left"/>
              <w:rPr>
                <w:caps/>
              </w:rPr>
            </w:pPr>
            <w:r>
              <w:rPr>
                <w:caps/>
              </w:rPr>
              <w:fldChar w:fldCharType="begin"/>
            </w:r>
            <w:r>
              <w:rPr>
                <w:caps/>
              </w:rPr>
              <w:instrText xml:space="preserve"> REF  Division </w:instrText>
            </w:r>
            <w:r>
              <w:rPr>
                <w:caps/>
              </w:rPr>
              <w:fldChar w:fldCharType="separate"/>
            </w:r>
            <w:r w:rsidR="00185C28">
              <w:rPr>
                <w:caps/>
                <w:szCs w:val="24"/>
              </w:rPr>
              <w:t>GENERAL DIVISION</w:t>
            </w:r>
            <w:r>
              <w:rPr>
                <w:caps/>
              </w:rPr>
              <w:fldChar w:fldCharType="end"/>
            </w:r>
          </w:p>
        </w:tc>
      </w:tr>
      <w:tr w:rsidR="00C31DF0" w:rsidTr="00C31DF0">
        <w:tc>
          <w:tcPr>
            <w:tcW w:w="3085" w:type="dxa"/>
            <w:shd w:val="clear" w:color="auto" w:fill="auto"/>
          </w:tcPr>
          <w:p w:rsidR="00C31DF0" w:rsidRDefault="00C31DF0" w:rsidP="00C31DF0">
            <w:pPr>
              <w:pStyle w:val="Normal1linespace"/>
              <w:widowControl w:val="0"/>
              <w:jc w:val="left"/>
            </w:pPr>
          </w:p>
        </w:tc>
        <w:tc>
          <w:tcPr>
            <w:tcW w:w="5989" w:type="dxa"/>
            <w:shd w:val="clear" w:color="auto" w:fill="auto"/>
          </w:tcPr>
          <w:p w:rsidR="00C31DF0" w:rsidRDefault="00C31DF0" w:rsidP="00C31DF0">
            <w:pPr>
              <w:pStyle w:val="Normal1linespace"/>
              <w:widowControl w:val="0"/>
              <w:jc w:val="left"/>
              <w:rPr>
                <w:b/>
              </w:rPr>
            </w:pPr>
          </w:p>
        </w:tc>
      </w:tr>
      <w:tr w:rsidR="00C31DF0" w:rsidTr="00C31DF0">
        <w:tc>
          <w:tcPr>
            <w:tcW w:w="3085" w:type="dxa"/>
            <w:shd w:val="clear" w:color="auto" w:fill="auto"/>
          </w:tcPr>
          <w:p w:rsidR="00C31DF0" w:rsidRDefault="00C31DF0" w:rsidP="00C31DF0">
            <w:pPr>
              <w:pStyle w:val="Normal1linespace"/>
              <w:widowControl w:val="0"/>
              <w:jc w:val="left"/>
            </w:pPr>
            <w:r>
              <w:t>Category:</w:t>
            </w:r>
          </w:p>
        </w:tc>
        <w:tc>
          <w:tcPr>
            <w:tcW w:w="5989" w:type="dxa"/>
            <w:shd w:val="clear" w:color="auto" w:fill="auto"/>
          </w:tcPr>
          <w:p w:rsidR="00C31DF0" w:rsidRDefault="00C87331" w:rsidP="00C31DF0">
            <w:pPr>
              <w:pStyle w:val="Normal1linespace"/>
              <w:widowControl w:val="0"/>
              <w:jc w:val="left"/>
            </w:pPr>
            <w:r>
              <w:t>Catchwords</w:t>
            </w:r>
          </w:p>
        </w:tc>
      </w:tr>
      <w:tr w:rsidR="00C31DF0" w:rsidTr="00C31DF0">
        <w:tc>
          <w:tcPr>
            <w:tcW w:w="3085" w:type="dxa"/>
            <w:shd w:val="clear" w:color="auto" w:fill="auto"/>
          </w:tcPr>
          <w:p w:rsidR="00C31DF0" w:rsidRDefault="00C31DF0" w:rsidP="00C31DF0">
            <w:pPr>
              <w:pStyle w:val="Normal1linespace"/>
              <w:widowControl w:val="0"/>
              <w:jc w:val="left"/>
            </w:pPr>
          </w:p>
        </w:tc>
        <w:tc>
          <w:tcPr>
            <w:tcW w:w="5989" w:type="dxa"/>
            <w:shd w:val="clear" w:color="auto" w:fill="auto"/>
          </w:tcPr>
          <w:p w:rsidR="00C31DF0" w:rsidRDefault="00C31DF0" w:rsidP="00C31DF0">
            <w:pPr>
              <w:pStyle w:val="Normal1linespace"/>
              <w:widowControl w:val="0"/>
              <w:jc w:val="left"/>
            </w:pPr>
          </w:p>
        </w:tc>
      </w:tr>
      <w:tr w:rsidR="00C31DF0" w:rsidTr="00C31DF0">
        <w:tc>
          <w:tcPr>
            <w:tcW w:w="3085" w:type="dxa"/>
            <w:shd w:val="clear" w:color="auto" w:fill="auto"/>
          </w:tcPr>
          <w:p w:rsidR="00C31DF0" w:rsidRDefault="00C31DF0" w:rsidP="00C31DF0">
            <w:pPr>
              <w:pStyle w:val="Normal1linespace"/>
              <w:widowControl w:val="0"/>
              <w:jc w:val="left"/>
            </w:pPr>
            <w:r>
              <w:t>Number of paragraphs:</w:t>
            </w:r>
          </w:p>
        </w:tc>
        <w:tc>
          <w:tcPr>
            <w:tcW w:w="5989" w:type="dxa"/>
            <w:shd w:val="clear" w:color="auto" w:fill="auto"/>
          </w:tcPr>
          <w:p w:rsidR="00C31DF0" w:rsidRDefault="002F1844" w:rsidP="002F1844">
            <w:pPr>
              <w:pStyle w:val="Normal1linespace"/>
              <w:widowControl w:val="0"/>
              <w:jc w:val="left"/>
            </w:pPr>
            <w:bookmarkStart w:id="8" w:name="PlaceCategoryParagraphs"/>
            <w:r>
              <w:t>5</w:t>
            </w:r>
            <w:r w:rsidR="00F5099C">
              <w:t>5</w:t>
            </w:r>
            <w:bookmarkEnd w:id="8"/>
          </w:p>
        </w:tc>
      </w:tr>
      <w:tr w:rsidR="00C31DF0" w:rsidTr="00C31DF0">
        <w:tc>
          <w:tcPr>
            <w:tcW w:w="3085" w:type="dxa"/>
            <w:shd w:val="clear" w:color="auto" w:fill="auto"/>
          </w:tcPr>
          <w:p w:rsidR="00C31DF0" w:rsidRDefault="00C31DF0" w:rsidP="00C31DF0">
            <w:pPr>
              <w:pStyle w:val="Normal1linespace"/>
              <w:widowControl w:val="0"/>
              <w:jc w:val="left"/>
            </w:pPr>
          </w:p>
        </w:tc>
        <w:tc>
          <w:tcPr>
            <w:tcW w:w="5989" w:type="dxa"/>
            <w:shd w:val="clear" w:color="auto" w:fill="auto"/>
          </w:tcPr>
          <w:p w:rsidR="00C31DF0" w:rsidRDefault="00C31DF0" w:rsidP="00C31DF0">
            <w:pPr>
              <w:pStyle w:val="Normal1linespace"/>
              <w:widowControl w:val="0"/>
              <w:jc w:val="left"/>
            </w:pPr>
          </w:p>
        </w:tc>
      </w:tr>
      <w:tr w:rsidR="00C31DF0" w:rsidTr="00C31DF0">
        <w:tc>
          <w:tcPr>
            <w:tcW w:w="3085" w:type="dxa"/>
            <w:shd w:val="clear" w:color="auto" w:fill="auto"/>
          </w:tcPr>
          <w:p w:rsidR="00C31DF0" w:rsidRDefault="00C31DF0" w:rsidP="002F1844">
            <w:pPr>
              <w:pStyle w:val="Normal1linespace"/>
              <w:widowControl w:val="0"/>
              <w:jc w:val="left"/>
            </w:pPr>
            <w:bookmarkStart w:id="9" w:name="Counsel" w:colFirst="0" w:colLast="2"/>
            <w:r>
              <w:t>Counsel for the Applicant:</w:t>
            </w:r>
          </w:p>
        </w:tc>
        <w:tc>
          <w:tcPr>
            <w:tcW w:w="5989" w:type="dxa"/>
            <w:shd w:val="clear" w:color="auto" w:fill="auto"/>
          </w:tcPr>
          <w:p w:rsidR="00FC4484" w:rsidRDefault="00FC4484" w:rsidP="00970520">
            <w:pPr>
              <w:pStyle w:val="Normal1linespace"/>
              <w:widowControl w:val="0"/>
              <w:jc w:val="left"/>
            </w:pPr>
            <w:bookmarkStart w:id="10" w:name="AppCounsel"/>
            <w:bookmarkEnd w:id="10"/>
            <w:r>
              <w:t xml:space="preserve">Mr M Howard SC and Mr W </w:t>
            </w:r>
            <w:proofErr w:type="spellStart"/>
            <w:r>
              <w:t>Z</w:t>
            </w:r>
            <w:r w:rsidR="00970520">
              <w:t>a</w:t>
            </w:r>
            <w:r>
              <w:t>ppia</w:t>
            </w:r>
            <w:proofErr w:type="spellEnd"/>
          </w:p>
        </w:tc>
      </w:tr>
      <w:tr w:rsidR="00C31DF0" w:rsidTr="00C31DF0">
        <w:tc>
          <w:tcPr>
            <w:tcW w:w="3085" w:type="dxa"/>
            <w:shd w:val="clear" w:color="auto" w:fill="auto"/>
          </w:tcPr>
          <w:p w:rsidR="00C31DF0" w:rsidRDefault="00C31DF0" w:rsidP="00C31DF0">
            <w:pPr>
              <w:pStyle w:val="Normal1linespace"/>
              <w:widowControl w:val="0"/>
              <w:jc w:val="left"/>
            </w:pPr>
          </w:p>
        </w:tc>
        <w:tc>
          <w:tcPr>
            <w:tcW w:w="5989" w:type="dxa"/>
            <w:shd w:val="clear" w:color="auto" w:fill="auto"/>
          </w:tcPr>
          <w:p w:rsidR="00C31DF0" w:rsidRDefault="00C31DF0" w:rsidP="00C31DF0">
            <w:pPr>
              <w:pStyle w:val="Normal1linespace"/>
              <w:widowControl w:val="0"/>
              <w:jc w:val="left"/>
            </w:pPr>
          </w:p>
        </w:tc>
      </w:tr>
      <w:tr w:rsidR="00C31DF0" w:rsidTr="00C31DF0">
        <w:tc>
          <w:tcPr>
            <w:tcW w:w="3085" w:type="dxa"/>
            <w:shd w:val="clear" w:color="auto" w:fill="auto"/>
          </w:tcPr>
          <w:p w:rsidR="00C31DF0" w:rsidRDefault="00C31DF0" w:rsidP="002F1844">
            <w:pPr>
              <w:pStyle w:val="Normal1linespace"/>
              <w:widowControl w:val="0"/>
              <w:jc w:val="left"/>
            </w:pPr>
            <w:r>
              <w:t>Solicitor for the Applicant:</w:t>
            </w:r>
          </w:p>
        </w:tc>
        <w:tc>
          <w:tcPr>
            <w:tcW w:w="5989" w:type="dxa"/>
            <w:shd w:val="clear" w:color="auto" w:fill="auto"/>
          </w:tcPr>
          <w:p w:rsidR="00FC4484" w:rsidRDefault="00FC4484" w:rsidP="00C31DF0">
            <w:pPr>
              <w:pStyle w:val="Normal1linespace"/>
              <w:widowControl w:val="0"/>
              <w:jc w:val="left"/>
            </w:pPr>
            <w:r>
              <w:t>Jackson McDonald</w:t>
            </w:r>
          </w:p>
        </w:tc>
      </w:tr>
      <w:tr w:rsidR="00C31DF0" w:rsidTr="00C31DF0">
        <w:tc>
          <w:tcPr>
            <w:tcW w:w="3085" w:type="dxa"/>
            <w:shd w:val="clear" w:color="auto" w:fill="auto"/>
          </w:tcPr>
          <w:p w:rsidR="00C31DF0" w:rsidRDefault="00C31DF0" w:rsidP="00C31DF0">
            <w:pPr>
              <w:pStyle w:val="Normal1linespace"/>
              <w:widowControl w:val="0"/>
              <w:jc w:val="left"/>
            </w:pPr>
          </w:p>
        </w:tc>
        <w:tc>
          <w:tcPr>
            <w:tcW w:w="5989" w:type="dxa"/>
            <w:shd w:val="clear" w:color="auto" w:fill="auto"/>
          </w:tcPr>
          <w:p w:rsidR="00C31DF0" w:rsidRDefault="00C31DF0" w:rsidP="00C31DF0">
            <w:pPr>
              <w:pStyle w:val="Normal1linespace"/>
              <w:widowControl w:val="0"/>
              <w:jc w:val="left"/>
            </w:pPr>
          </w:p>
        </w:tc>
      </w:tr>
      <w:tr w:rsidR="00C31DF0" w:rsidTr="00C31DF0">
        <w:tc>
          <w:tcPr>
            <w:tcW w:w="3085" w:type="dxa"/>
            <w:shd w:val="clear" w:color="auto" w:fill="auto"/>
          </w:tcPr>
          <w:p w:rsidR="00C31DF0" w:rsidRDefault="00C31DF0" w:rsidP="002F1844">
            <w:pPr>
              <w:pStyle w:val="Normal1linespace"/>
              <w:widowControl w:val="0"/>
              <w:jc w:val="left"/>
            </w:pPr>
            <w:r>
              <w:t>Counsel for the Respondent:</w:t>
            </w:r>
          </w:p>
        </w:tc>
        <w:tc>
          <w:tcPr>
            <w:tcW w:w="5989" w:type="dxa"/>
            <w:shd w:val="clear" w:color="auto" w:fill="auto"/>
          </w:tcPr>
          <w:p w:rsidR="00FC4484" w:rsidRDefault="00FC4484" w:rsidP="00C31DF0">
            <w:pPr>
              <w:pStyle w:val="Normal1linespace"/>
              <w:widowControl w:val="0"/>
              <w:jc w:val="left"/>
            </w:pPr>
            <w:r>
              <w:t xml:space="preserve">Mr K de </w:t>
            </w:r>
            <w:proofErr w:type="spellStart"/>
            <w:r>
              <w:t>Kerloy</w:t>
            </w:r>
            <w:proofErr w:type="spellEnd"/>
            <w:r>
              <w:t xml:space="preserve"> and Ms M Guy</w:t>
            </w:r>
          </w:p>
        </w:tc>
      </w:tr>
      <w:tr w:rsidR="00C31DF0" w:rsidTr="00C31DF0">
        <w:tc>
          <w:tcPr>
            <w:tcW w:w="3085" w:type="dxa"/>
            <w:shd w:val="clear" w:color="auto" w:fill="auto"/>
          </w:tcPr>
          <w:p w:rsidR="00C31DF0" w:rsidRDefault="00C31DF0" w:rsidP="00C31DF0">
            <w:pPr>
              <w:pStyle w:val="Normal1linespace"/>
              <w:widowControl w:val="0"/>
              <w:jc w:val="left"/>
            </w:pPr>
          </w:p>
        </w:tc>
        <w:tc>
          <w:tcPr>
            <w:tcW w:w="5989" w:type="dxa"/>
            <w:shd w:val="clear" w:color="auto" w:fill="auto"/>
          </w:tcPr>
          <w:p w:rsidR="00C31DF0" w:rsidRDefault="00C31DF0" w:rsidP="00C31DF0">
            <w:pPr>
              <w:pStyle w:val="Normal1linespace"/>
              <w:widowControl w:val="0"/>
              <w:jc w:val="left"/>
            </w:pPr>
          </w:p>
        </w:tc>
      </w:tr>
      <w:tr w:rsidR="00C31DF0" w:rsidTr="00C31DF0">
        <w:tc>
          <w:tcPr>
            <w:tcW w:w="3085" w:type="dxa"/>
            <w:shd w:val="clear" w:color="auto" w:fill="auto"/>
          </w:tcPr>
          <w:p w:rsidR="00C31DF0" w:rsidRDefault="00C31DF0" w:rsidP="002F1844">
            <w:pPr>
              <w:pStyle w:val="Normal1linespace"/>
              <w:widowControl w:val="0"/>
              <w:jc w:val="left"/>
            </w:pPr>
            <w:r>
              <w:t>Solicitor for the Respondent:</w:t>
            </w:r>
          </w:p>
        </w:tc>
        <w:tc>
          <w:tcPr>
            <w:tcW w:w="5989" w:type="dxa"/>
            <w:shd w:val="clear" w:color="auto" w:fill="auto"/>
          </w:tcPr>
          <w:p w:rsidR="00C31DF0" w:rsidRDefault="00C31DF0" w:rsidP="00C31DF0">
            <w:pPr>
              <w:pStyle w:val="Normal1linespace"/>
              <w:widowControl w:val="0"/>
              <w:jc w:val="left"/>
            </w:pPr>
            <w:r>
              <w:t xml:space="preserve">Herbert Smith </w:t>
            </w:r>
            <w:proofErr w:type="spellStart"/>
            <w:r>
              <w:t>Freehills</w:t>
            </w:r>
            <w:proofErr w:type="spellEnd"/>
          </w:p>
        </w:tc>
      </w:tr>
      <w:bookmarkEnd w:id="9"/>
    </w:tbl>
    <w:p w:rsidR="00395B24" w:rsidRDefault="00395B24">
      <w:pPr>
        <w:pStyle w:val="Normal1linespace"/>
      </w:pPr>
    </w:p>
    <w:p w:rsidR="00395B24" w:rsidRDefault="00395B24">
      <w:pPr>
        <w:pStyle w:val="Normal1linespace"/>
      </w:pPr>
    </w:p>
    <w:p w:rsidR="00395B24" w:rsidRDefault="00395B24">
      <w:pPr>
        <w:pStyle w:val="Normal1linespace"/>
        <w:sectPr w:rsidR="00395B24">
          <w:headerReference w:type="default" r:id="rId8"/>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C31DF0">
            <w:pPr>
              <w:pStyle w:val="NormalHeadings"/>
              <w:spacing w:after="120"/>
              <w:jc w:val="left"/>
              <w:rPr>
                <w:caps/>
                <w:szCs w:val="24"/>
              </w:rPr>
            </w:pPr>
            <w:bookmarkStart w:id="11" w:name="State"/>
            <w:r>
              <w:rPr>
                <w:caps/>
                <w:szCs w:val="24"/>
              </w:rPr>
              <w:t>WESTERN AUSTRALIA</w:t>
            </w:r>
            <w:bookmarkEnd w:id="11"/>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C31DF0">
            <w:pPr>
              <w:pStyle w:val="NormalHeadings"/>
              <w:spacing w:after="120"/>
              <w:jc w:val="left"/>
              <w:rPr>
                <w:caps/>
                <w:szCs w:val="24"/>
              </w:rPr>
            </w:pPr>
            <w:bookmarkStart w:id="12" w:name="Division"/>
            <w:r>
              <w:rPr>
                <w:caps/>
                <w:szCs w:val="24"/>
              </w:rPr>
              <w:t>GENERAL DIVISION</w:t>
            </w:r>
            <w:bookmarkEnd w:id="12"/>
          </w:p>
        </w:tc>
        <w:tc>
          <w:tcPr>
            <w:tcW w:w="2471" w:type="dxa"/>
          </w:tcPr>
          <w:p w:rsidR="00395B24" w:rsidRDefault="00C31DF0">
            <w:pPr>
              <w:pStyle w:val="NormalHeadings"/>
              <w:tabs>
                <w:tab w:val="right" w:pos="3609"/>
              </w:tabs>
              <w:jc w:val="right"/>
              <w:rPr>
                <w:szCs w:val="24"/>
              </w:rPr>
            </w:pPr>
            <w:bookmarkStart w:id="13" w:name="Num"/>
            <w:r>
              <w:rPr>
                <w:szCs w:val="24"/>
              </w:rPr>
              <w:t>WAD 276 of 2015</w:t>
            </w:r>
            <w:bookmarkEnd w:id="13"/>
          </w:p>
        </w:tc>
      </w:tr>
    </w:tbl>
    <w:p w:rsidR="00395B24" w:rsidRPr="00C31DF0" w:rsidRDefault="002C7385">
      <w:pPr>
        <w:pStyle w:val="AppealTable"/>
        <w:rPr>
          <w:sz w:val="24"/>
        </w:rPr>
      </w:pPr>
      <w:bookmarkStart w:id="14" w:name="AppealTable"/>
      <w:r w:rsidRPr="00C31DF0">
        <w:rPr>
          <w:sz w:val="24"/>
        </w:rPr>
        <w:t xml:space="preserve"> </w:t>
      </w:r>
      <w:bookmarkEnd w:id="14"/>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5" w:name="Parties"/>
            <w:r>
              <w:rPr>
                <w:caps/>
                <w:szCs w:val="24"/>
              </w:rPr>
              <w:t>BETWEEN:</w:t>
            </w:r>
          </w:p>
        </w:tc>
        <w:tc>
          <w:tcPr>
            <w:tcW w:w="6866" w:type="dxa"/>
          </w:tcPr>
          <w:p w:rsidR="00C31DF0" w:rsidRDefault="00C31DF0">
            <w:pPr>
              <w:pStyle w:val="NormalHeadings"/>
              <w:jc w:val="left"/>
              <w:rPr>
                <w:szCs w:val="24"/>
              </w:rPr>
            </w:pPr>
            <w:bookmarkStart w:id="16" w:name="Applicant"/>
            <w:r>
              <w:rPr>
                <w:szCs w:val="24"/>
              </w:rPr>
              <w:t>PR POLYMERS PTY LTD (</w:t>
            </w:r>
            <w:proofErr w:type="spellStart"/>
            <w:r>
              <w:rPr>
                <w:szCs w:val="24"/>
              </w:rPr>
              <w:t>ACN</w:t>
            </w:r>
            <w:proofErr w:type="spellEnd"/>
            <w:r>
              <w:rPr>
                <w:szCs w:val="24"/>
              </w:rPr>
              <w:t xml:space="preserve"> 097 405 984)</w:t>
            </w:r>
          </w:p>
          <w:p w:rsidR="00C31DF0" w:rsidRDefault="00C31DF0">
            <w:pPr>
              <w:pStyle w:val="NormalHeadings"/>
              <w:jc w:val="left"/>
              <w:rPr>
                <w:szCs w:val="24"/>
              </w:rPr>
            </w:pPr>
            <w:r>
              <w:rPr>
                <w:szCs w:val="24"/>
              </w:rPr>
              <w:t>Applicant</w:t>
            </w:r>
          </w:p>
          <w:p w:rsidR="00C31DF0" w:rsidRDefault="00C31DF0">
            <w:pPr>
              <w:pStyle w:val="NormalHeadings"/>
              <w:jc w:val="left"/>
              <w:rPr>
                <w:szCs w:val="24"/>
              </w:rPr>
            </w:pPr>
          </w:p>
          <w:p w:rsidR="00C31DF0" w:rsidRDefault="00C31DF0">
            <w:pPr>
              <w:pStyle w:val="NormalHeadings"/>
              <w:jc w:val="left"/>
              <w:rPr>
                <w:szCs w:val="24"/>
              </w:rPr>
            </w:pPr>
            <w:r>
              <w:rPr>
                <w:szCs w:val="24"/>
              </w:rPr>
              <w:t>MTI GROUP PTY LTD (</w:t>
            </w:r>
            <w:proofErr w:type="spellStart"/>
            <w:r>
              <w:rPr>
                <w:szCs w:val="24"/>
              </w:rPr>
              <w:t>ACN</w:t>
            </w:r>
            <w:proofErr w:type="spellEnd"/>
            <w:r>
              <w:rPr>
                <w:szCs w:val="24"/>
              </w:rPr>
              <w:t xml:space="preserve"> 137 112 326)</w:t>
            </w:r>
          </w:p>
          <w:p w:rsidR="00C31DF0" w:rsidRDefault="00C31DF0">
            <w:pPr>
              <w:pStyle w:val="NormalHeadings"/>
              <w:jc w:val="left"/>
              <w:rPr>
                <w:szCs w:val="24"/>
              </w:rPr>
            </w:pPr>
            <w:r>
              <w:rPr>
                <w:szCs w:val="24"/>
              </w:rPr>
              <w:t>Cross-Claimant</w:t>
            </w:r>
          </w:p>
          <w:bookmarkEnd w:id="16"/>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C31DF0" w:rsidRDefault="00C31DF0">
            <w:pPr>
              <w:pStyle w:val="NormalHeadings"/>
              <w:jc w:val="left"/>
              <w:rPr>
                <w:szCs w:val="24"/>
              </w:rPr>
            </w:pPr>
            <w:bookmarkStart w:id="17" w:name="Respondent"/>
            <w:r>
              <w:rPr>
                <w:szCs w:val="24"/>
              </w:rPr>
              <w:t>MTI GROUP PTY LTD (</w:t>
            </w:r>
            <w:proofErr w:type="spellStart"/>
            <w:r>
              <w:rPr>
                <w:szCs w:val="24"/>
              </w:rPr>
              <w:t>ACN</w:t>
            </w:r>
            <w:proofErr w:type="spellEnd"/>
            <w:r>
              <w:rPr>
                <w:szCs w:val="24"/>
              </w:rPr>
              <w:t xml:space="preserve"> 137 112 326)</w:t>
            </w:r>
          </w:p>
          <w:p w:rsidR="00C31DF0" w:rsidRDefault="00C31DF0">
            <w:pPr>
              <w:pStyle w:val="NormalHeadings"/>
              <w:jc w:val="left"/>
              <w:rPr>
                <w:szCs w:val="24"/>
              </w:rPr>
            </w:pPr>
            <w:r>
              <w:rPr>
                <w:szCs w:val="24"/>
              </w:rPr>
              <w:t>Respondent</w:t>
            </w:r>
          </w:p>
          <w:p w:rsidR="00C31DF0" w:rsidRDefault="00C31DF0">
            <w:pPr>
              <w:pStyle w:val="NormalHeadings"/>
              <w:jc w:val="left"/>
              <w:rPr>
                <w:szCs w:val="24"/>
              </w:rPr>
            </w:pPr>
          </w:p>
          <w:p w:rsidR="00C31DF0" w:rsidRDefault="00C31DF0">
            <w:pPr>
              <w:pStyle w:val="NormalHeadings"/>
              <w:jc w:val="left"/>
              <w:rPr>
                <w:szCs w:val="24"/>
              </w:rPr>
            </w:pPr>
            <w:r>
              <w:rPr>
                <w:szCs w:val="24"/>
              </w:rPr>
              <w:t>PR POLYMERS PTY LTD (</w:t>
            </w:r>
            <w:proofErr w:type="spellStart"/>
            <w:r>
              <w:rPr>
                <w:szCs w:val="24"/>
              </w:rPr>
              <w:t>ACN</w:t>
            </w:r>
            <w:proofErr w:type="spellEnd"/>
            <w:r>
              <w:rPr>
                <w:szCs w:val="24"/>
              </w:rPr>
              <w:t xml:space="preserve"> 097 405 984)</w:t>
            </w:r>
          </w:p>
          <w:p w:rsidR="00C31DF0" w:rsidRDefault="00C31DF0">
            <w:pPr>
              <w:pStyle w:val="NormalHeadings"/>
              <w:jc w:val="left"/>
              <w:rPr>
                <w:szCs w:val="24"/>
              </w:rPr>
            </w:pPr>
            <w:r>
              <w:rPr>
                <w:szCs w:val="24"/>
              </w:rPr>
              <w:t>Cross-Respondent</w:t>
            </w:r>
          </w:p>
          <w:bookmarkEnd w:id="17"/>
          <w:p w:rsidR="00395B24" w:rsidRDefault="00395B24">
            <w:pPr>
              <w:pStyle w:val="NormalHeadings"/>
              <w:jc w:val="left"/>
              <w:rPr>
                <w:szCs w:val="24"/>
              </w:rPr>
            </w:pPr>
          </w:p>
        </w:tc>
      </w:tr>
      <w:bookmarkEnd w:id="15"/>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C31DF0">
            <w:pPr>
              <w:pStyle w:val="NormalHeadings"/>
              <w:spacing w:after="120"/>
              <w:jc w:val="left"/>
              <w:rPr>
                <w:caps/>
                <w:szCs w:val="24"/>
              </w:rPr>
            </w:pPr>
            <w:bookmarkStart w:id="18" w:name="JudgeText"/>
            <w:r>
              <w:rPr>
                <w:caps/>
                <w:szCs w:val="24"/>
              </w:rPr>
              <w:t>JUDGE</w:t>
            </w:r>
            <w:bookmarkEnd w:id="18"/>
            <w:r w:rsidR="002C7385">
              <w:rPr>
                <w:caps/>
                <w:szCs w:val="24"/>
              </w:rPr>
              <w:t>:</w:t>
            </w:r>
          </w:p>
        </w:tc>
        <w:tc>
          <w:tcPr>
            <w:tcW w:w="6866" w:type="dxa"/>
          </w:tcPr>
          <w:p w:rsidR="00395B24" w:rsidRDefault="00C31DF0">
            <w:pPr>
              <w:pStyle w:val="NormalHeadings"/>
              <w:jc w:val="left"/>
              <w:rPr>
                <w:caps/>
                <w:szCs w:val="24"/>
              </w:rPr>
            </w:pPr>
            <w:bookmarkStart w:id="19" w:name="Judge"/>
            <w:proofErr w:type="spellStart"/>
            <w:r>
              <w:rPr>
                <w:caps/>
                <w:szCs w:val="24"/>
              </w:rPr>
              <w:t>SIOPIS</w:t>
            </w:r>
            <w:proofErr w:type="spellEnd"/>
            <w:r>
              <w:rPr>
                <w:caps/>
                <w:szCs w:val="24"/>
              </w:rPr>
              <w:t xml:space="preserve">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C31DF0">
            <w:pPr>
              <w:pStyle w:val="NormalHeadings"/>
              <w:jc w:val="left"/>
              <w:rPr>
                <w:caps/>
                <w:szCs w:val="24"/>
              </w:rPr>
            </w:pPr>
            <w:bookmarkStart w:id="20" w:name="Judgment_Dated"/>
            <w:r>
              <w:rPr>
                <w:caps/>
                <w:szCs w:val="24"/>
              </w:rPr>
              <w:t>2 JULY 2015</w:t>
            </w:r>
            <w:bookmarkEnd w:id="20"/>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C31DF0">
            <w:pPr>
              <w:pStyle w:val="NormalHeadings"/>
              <w:jc w:val="left"/>
              <w:rPr>
                <w:caps/>
                <w:szCs w:val="24"/>
              </w:rPr>
            </w:pPr>
            <w:bookmarkStart w:id="21" w:name="Place"/>
            <w:r>
              <w:rPr>
                <w:caps/>
                <w:szCs w:val="24"/>
              </w:rPr>
              <w:t>PERTH</w:t>
            </w:r>
            <w:bookmarkEnd w:id="21"/>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3E5822" w:rsidRDefault="003E5822" w:rsidP="003E5822">
      <w:pPr>
        <w:pStyle w:val="Order1"/>
      </w:pPr>
      <w:bookmarkStart w:id="22" w:name="Order_Start_Text"/>
      <w:bookmarkEnd w:id="22"/>
      <w:r>
        <w:t>The applicant’s interlocutory application dated 9 June 2015 is dismissed.</w:t>
      </w:r>
    </w:p>
    <w:p w:rsidR="003E5822" w:rsidRDefault="003E5822" w:rsidP="003E5822">
      <w:pPr>
        <w:pStyle w:val="Order1"/>
      </w:pPr>
      <w:r>
        <w:t>Costs in the cause of the application.</w:t>
      </w:r>
    </w:p>
    <w:p w:rsidR="003E5822" w:rsidRDefault="003E5822" w:rsidP="003E5822">
      <w:pPr>
        <w:pStyle w:val="Order1"/>
      </w:pPr>
      <w:r>
        <w:t>The cross-claimant’s interlocutory application dated 22 June 2015 is dismissed.</w:t>
      </w:r>
    </w:p>
    <w:p w:rsidR="003E5822" w:rsidRDefault="003E5822" w:rsidP="003E5822">
      <w:pPr>
        <w:pStyle w:val="Order1"/>
      </w:pPr>
      <w:r>
        <w:t>Costs in the cause of the cross-claim.</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3" w:name="ReasonsPage"/>
            <w:bookmarkEnd w:id="23"/>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C31DF0">
              <w:rPr>
                <w:caps/>
                <w:szCs w:val="24"/>
              </w:rPr>
              <w:t>WESTERN AUSTRALIA</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C31DF0">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C31DF0" w:rsidRPr="00C31DF0">
              <w:rPr>
                <w:caps/>
                <w:szCs w:val="24"/>
              </w:rPr>
              <w:t>WAD</w:t>
            </w:r>
            <w:r w:rsidR="00C31DF0">
              <w:rPr>
                <w:szCs w:val="24"/>
              </w:rPr>
              <w:t xml:space="preserve"> 276 of 2015</w:t>
            </w:r>
            <w:r>
              <w:rPr>
                <w:caps/>
                <w:szCs w:val="24"/>
              </w:rPr>
              <w:fldChar w:fldCharType="end"/>
            </w:r>
          </w:p>
        </w:tc>
      </w:tr>
    </w:tbl>
    <w:p w:rsidR="00395B24" w:rsidRDefault="00AC2A77">
      <w:pPr>
        <w:pStyle w:val="AppealTable"/>
      </w:pPr>
      <w:fldSimple w:instr=" Ref AppealTable  \* MERGEFORMAT " w:fldLock="1">
        <w:r w:rsidR="00C31DF0" w:rsidRPr="00C31DF0">
          <w:rPr>
            <w:sz w:val="24"/>
          </w:rPr>
          <w:t xml:space="preserve"> </w:t>
        </w:r>
      </w:fldSimple>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C31DF0"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C31DF0" w:rsidRPr="00C31DF0">
              <w:rPr>
                <w:caps/>
                <w:szCs w:val="24"/>
              </w:rPr>
              <w:t>PR</w:t>
            </w:r>
            <w:r w:rsidR="00C31DF0">
              <w:rPr>
                <w:szCs w:val="24"/>
              </w:rPr>
              <w:t xml:space="preserve"> POLYMERS PTY LTD (</w:t>
            </w:r>
            <w:proofErr w:type="spellStart"/>
            <w:r w:rsidR="00C31DF0">
              <w:rPr>
                <w:szCs w:val="24"/>
              </w:rPr>
              <w:t>ACN</w:t>
            </w:r>
            <w:proofErr w:type="spellEnd"/>
            <w:r w:rsidR="00C31DF0">
              <w:rPr>
                <w:szCs w:val="24"/>
              </w:rPr>
              <w:t xml:space="preserve"> 097 405 984)</w:t>
            </w:r>
          </w:p>
          <w:p w:rsidR="00C31DF0" w:rsidRDefault="00C31DF0">
            <w:pPr>
              <w:pStyle w:val="NormalHeadings"/>
              <w:jc w:val="left"/>
              <w:rPr>
                <w:szCs w:val="24"/>
              </w:rPr>
            </w:pPr>
            <w:r>
              <w:rPr>
                <w:szCs w:val="24"/>
              </w:rPr>
              <w:t>Applicant</w:t>
            </w:r>
          </w:p>
          <w:p w:rsidR="00C31DF0" w:rsidRDefault="00C31DF0">
            <w:pPr>
              <w:pStyle w:val="NormalHeadings"/>
              <w:jc w:val="left"/>
              <w:rPr>
                <w:szCs w:val="24"/>
              </w:rPr>
            </w:pPr>
          </w:p>
          <w:p w:rsidR="00C31DF0" w:rsidRDefault="00C31DF0">
            <w:pPr>
              <w:pStyle w:val="NormalHeadings"/>
              <w:jc w:val="left"/>
              <w:rPr>
                <w:szCs w:val="24"/>
              </w:rPr>
            </w:pPr>
            <w:r>
              <w:rPr>
                <w:szCs w:val="24"/>
              </w:rPr>
              <w:t>MTI GROUP PTY LTD (</w:t>
            </w:r>
            <w:proofErr w:type="spellStart"/>
            <w:r>
              <w:rPr>
                <w:szCs w:val="24"/>
              </w:rPr>
              <w:t>ACN</w:t>
            </w:r>
            <w:proofErr w:type="spellEnd"/>
            <w:r>
              <w:rPr>
                <w:szCs w:val="24"/>
              </w:rPr>
              <w:t xml:space="preserve"> 137 112 326)</w:t>
            </w:r>
          </w:p>
          <w:p w:rsidR="00C31DF0" w:rsidRDefault="00C31DF0">
            <w:pPr>
              <w:pStyle w:val="NormalHeadings"/>
              <w:jc w:val="left"/>
              <w:rPr>
                <w:szCs w:val="24"/>
              </w:rPr>
            </w:pPr>
            <w:r>
              <w:rPr>
                <w:szCs w:val="24"/>
              </w:rPr>
              <w:t>Cross-Claimant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C31DF0"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C31DF0" w:rsidRPr="00C31DF0">
              <w:rPr>
                <w:caps/>
                <w:szCs w:val="24"/>
              </w:rPr>
              <w:t>MTI</w:t>
            </w:r>
            <w:r w:rsidR="00C31DF0">
              <w:rPr>
                <w:szCs w:val="24"/>
              </w:rPr>
              <w:t xml:space="preserve"> GROUP PTY LTD (</w:t>
            </w:r>
            <w:proofErr w:type="spellStart"/>
            <w:r w:rsidR="00C31DF0">
              <w:rPr>
                <w:szCs w:val="24"/>
              </w:rPr>
              <w:t>ACN</w:t>
            </w:r>
            <w:proofErr w:type="spellEnd"/>
            <w:r w:rsidR="00C31DF0">
              <w:rPr>
                <w:szCs w:val="24"/>
              </w:rPr>
              <w:t xml:space="preserve"> 137 112 326)</w:t>
            </w:r>
          </w:p>
          <w:p w:rsidR="00C31DF0" w:rsidRDefault="00C31DF0">
            <w:pPr>
              <w:pStyle w:val="NormalHeadings"/>
              <w:jc w:val="left"/>
              <w:rPr>
                <w:szCs w:val="24"/>
              </w:rPr>
            </w:pPr>
            <w:r>
              <w:rPr>
                <w:szCs w:val="24"/>
              </w:rPr>
              <w:t>Respondent</w:t>
            </w:r>
          </w:p>
          <w:p w:rsidR="00C31DF0" w:rsidRDefault="00C31DF0">
            <w:pPr>
              <w:pStyle w:val="NormalHeadings"/>
              <w:jc w:val="left"/>
              <w:rPr>
                <w:szCs w:val="24"/>
              </w:rPr>
            </w:pPr>
          </w:p>
          <w:p w:rsidR="00C31DF0" w:rsidRDefault="00C31DF0">
            <w:pPr>
              <w:pStyle w:val="NormalHeadings"/>
              <w:jc w:val="left"/>
              <w:rPr>
                <w:szCs w:val="24"/>
              </w:rPr>
            </w:pPr>
            <w:r>
              <w:rPr>
                <w:szCs w:val="24"/>
              </w:rPr>
              <w:t>PR POLYMERS PTY LTD (</w:t>
            </w:r>
            <w:proofErr w:type="spellStart"/>
            <w:r>
              <w:rPr>
                <w:szCs w:val="24"/>
              </w:rPr>
              <w:t>ACN</w:t>
            </w:r>
            <w:proofErr w:type="spellEnd"/>
            <w:r>
              <w:rPr>
                <w:szCs w:val="24"/>
              </w:rPr>
              <w:t xml:space="preserve"> 097 405 984)</w:t>
            </w:r>
          </w:p>
          <w:p w:rsidR="00C31DF0" w:rsidRDefault="00C31DF0">
            <w:pPr>
              <w:pStyle w:val="NormalHeadings"/>
              <w:jc w:val="left"/>
              <w:rPr>
                <w:szCs w:val="24"/>
              </w:rPr>
            </w:pPr>
            <w:r>
              <w:rPr>
                <w:szCs w:val="24"/>
              </w:rPr>
              <w:t>Cross-Respondent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C31DF0">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proofErr w:type="spellStart"/>
            <w:r w:rsidR="00C31DF0">
              <w:rPr>
                <w:caps/>
                <w:szCs w:val="24"/>
              </w:rPr>
              <w:t>SIOPIS</w:t>
            </w:r>
            <w:proofErr w:type="spellEnd"/>
            <w:r w:rsidR="00C31DF0">
              <w:rPr>
                <w:caps/>
                <w:szCs w:val="24"/>
              </w:rPr>
              <w:t xml:space="preserve">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C31DF0">
              <w:rPr>
                <w:caps/>
                <w:szCs w:val="24"/>
              </w:rPr>
              <w:t>2 JULY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C31DF0">
              <w:rPr>
                <w:caps/>
                <w:szCs w:val="24"/>
              </w:rPr>
              <w:t>PERTH</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B50F48" w:rsidRDefault="00370B19" w:rsidP="00C31DF0">
      <w:pPr>
        <w:pStyle w:val="ParaNumbering"/>
      </w:pPr>
      <w:r>
        <w:t>T</w:t>
      </w:r>
      <w:r w:rsidR="00C31DF0">
        <w:t xml:space="preserve">here are two </w:t>
      </w:r>
      <w:r w:rsidR="002A15BB">
        <w:t xml:space="preserve">applications for </w:t>
      </w:r>
      <w:r w:rsidR="00C31DF0">
        <w:t xml:space="preserve">interlocutory </w:t>
      </w:r>
      <w:r w:rsidR="002A15BB">
        <w:t>injunctions b</w:t>
      </w:r>
      <w:r w:rsidR="00C31DF0">
        <w:t xml:space="preserve">efore the </w:t>
      </w:r>
      <w:r w:rsidR="002A15BB">
        <w:t>C</w:t>
      </w:r>
      <w:r w:rsidR="00B73D7D">
        <w:t>ourt today.</w:t>
      </w:r>
    </w:p>
    <w:p w:rsidR="00B73D7D" w:rsidRDefault="00B73D7D" w:rsidP="00B73D7D">
      <w:pPr>
        <w:pStyle w:val="Heading1"/>
      </w:pPr>
      <w:r>
        <w:t xml:space="preserve">the </w:t>
      </w:r>
      <w:r w:rsidR="003E5822">
        <w:t xml:space="preserve">APPLICANT’S </w:t>
      </w:r>
      <w:r>
        <w:t xml:space="preserve">application </w:t>
      </w:r>
      <w:r w:rsidR="00FC6916">
        <w:t xml:space="preserve">for an </w:t>
      </w:r>
      <w:r w:rsidR="003E5822">
        <w:t xml:space="preserve">INTERLOCUTORY </w:t>
      </w:r>
      <w:r w:rsidR="00FC6916">
        <w:t>injunction</w:t>
      </w:r>
    </w:p>
    <w:p w:rsidR="00C31DF0" w:rsidRDefault="00C31DF0" w:rsidP="00C31DF0">
      <w:pPr>
        <w:pStyle w:val="ParaNumbering"/>
      </w:pPr>
      <w:r>
        <w:t xml:space="preserve">The first is an application </w:t>
      </w:r>
      <w:r w:rsidR="00B50F48">
        <w:t>by the applicant, PR Polymers Pty Ltd</w:t>
      </w:r>
      <w:r w:rsidR="004374A7">
        <w:t>,</w:t>
      </w:r>
      <w:r w:rsidR="00B50F48">
        <w:t xml:space="preserve"> </w:t>
      </w:r>
      <w:r w:rsidR="002A15BB">
        <w:t xml:space="preserve">for an interlocutory injunction </w:t>
      </w:r>
      <w:r>
        <w:t xml:space="preserve">against </w:t>
      </w:r>
      <w:r w:rsidR="002A15BB">
        <w:t xml:space="preserve">the respondent, </w:t>
      </w:r>
      <w:r>
        <w:t xml:space="preserve">MTI Group Pty Limited.  The applicant and the respondent are competitors in a market for the production </w:t>
      </w:r>
      <w:r w:rsidR="002A15BB">
        <w:t xml:space="preserve">and sale of products referred to </w:t>
      </w:r>
      <w:r>
        <w:t xml:space="preserve">as </w:t>
      </w:r>
      <w:proofErr w:type="spellStart"/>
      <w:r w:rsidR="00FC4484">
        <w:t>blastbags</w:t>
      </w:r>
      <w:proofErr w:type="spellEnd"/>
      <w:r>
        <w:t xml:space="preserve">.  As I understand </w:t>
      </w:r>
      <w:r w:rsidR="002A15BB">
        <w:t xml:space="preserve">it, </w:t>
      </w:r>
      <w:r>
        <w:t xml:space="preserve">a </w:t>
      </w:r>
      <w:proofErr w:type="spellStart"/>
      <w:r w:rsidR="0089068A">
        <w:t>b</w:t>
      </w:r>
      <w:r w:rsidR="00FC4484">
        <w:t>lastbag</w:t>
      </w:r>
      <w:proofErr w:type="spellEnd"/>
      <w:r w:rsidR="00B50F48">
        <w:t xml:space="preserve"> is a</w:t>
      </w:r>
      <w:r w:rsidR="002A15BB">
        <w:t xml:space="preserve"> self-inflating </w:t>
      </w:r>
      <w:r w:rsidR="00FC4484">
        <w:t xml:space="preserve">plastic </w:t>
      </w:r>
      <w:r w:rsidR="002A15BB">
        <w:t>bag</w:t>
      </w:r>
      <w:r>
        <w:t xml:space="preserve"> which </w:t>
      </w:r>
      <w:r w:rsidR="002A15BB">
        <w:t xml:space="preserve">contains </w:t>
      </w:r>
      <w:r>
        <w:t>an aerosol can</w:t>
      </w:r>
      <w:r w:rsidR="00B50F48">
        <w:t xml:space="preserve"> </w:t>
      </w:r>
      <w:r w:rsidR="00A01063">
        <w:t xml:space="preserve">and is widely used in the mining industry </w:t>
      </w:r>
      <w:r w:rsidR="00B50F48">
        <w:t>to seal</w:t>
      </w:r>
      <w:r w:rsidR="00FC4484">
        <w:t xml:space="preserve"> off</w:t>
      </w:r>
      <w:r w:rsidR="00B50F48">
        <w:t xml:space="preserve"> blast holes</w:t>
      </w:r>
      <w:r w:rsidR="00C24B4D">
        <w:t>.</w:t>
      </w:r>
    </w:p>
    <w:p w:rsidR="00C31DF0" w:rsidRDefault="00C31DF0" w:rsidP="00C31DF0">
      <w:pPr>
        <w:pStyle w:val="ParaNumbering"/>
      </w:pPr>
      <w:r>
        <w:t>The</w:t>
      </w:r>
      <w:r w:rsidR="00C24B4D">
        <w:t xml:space="preserve"> </w:t>
      </w:r>
      <w:r w:rsidR="00A7147C">
        <w:t xml:space="preserve">applicant’s complaint is about </w:t>
      </w:r>
      <w:r w:rsidR="00C24B4D">
        <w:t xml:space="preserve">a product marketed and sold </w:t>
      </w:r>
      <w:r w:rsidR="00A7147C">
        <w:t xml:space="preserve">by </w:t>
      </w:r>
      <w:r w:rsidR="00072388">
        <w:t xml:space="preserve">the </w:t>
      </w:r>
      <w:r w:rsidR="00A7147C">
        <w:t xml:space="preserve">respondent under the </w:t>
      </w:r>
      <w:r w:rsidR="009D0A7D">
        <w:t xml:space="preserve">brand </w:t>
      </w:r>
      <w:r w:rsidR="00C24B4D">
        <w:t xml:space="preserve">name </w:t>
      </w:r>
      <w:r w:rsidR="00A7147C">
        <w:t>“</w:t>
      </w:r>
      <w:proofErr w:type="spellStart"/>
      <w:r w:rsidR="00FC4484">
        <w:t>Blastbag</w:t>
      </w:r>
      <w:proofErr w:type="spellEnd"/>
      <w:r w:rsidR="00C24B4D">
        <w:t xml:space="preserve"> Hero</w:t>
      </w:r>
      <w:r w:rsidR="00A7147C">
        <w:t xml:space="preserve">”. </w:t>
      </w:r>
      <w:r w:rsidR="00B75430">
        <w:t xml:space="preserve"> </w:t>
      </w:r>
      <w:r w:rsidR="00203819">
        <w:t xml:space="preserve">The </w:t>
      </w:r>
      <w:r w:rsidR="00A7147C">
        <w:t>“</w:t>
      </w:r>
      <w:proofErr w:type="spellStart"/>
      <w:r w:rsidR="00FC4484">
        <w:t>Blastbag</w:t>
      </w:r>
      <w:proofErr w:type="spellEnd"/>
      <w:r w:rsidR="00A7147C">
        <w:t xml:space="preserve"> Hero” </w:t>
      </w:r>
      <w:r w:rsidR="007271FA">
        <w:t>product</w:t>
      </w:r>
      <w:r w:rsidR="004374A7">
        <w:t>s</w:t>
      </w:r>
      <w:r w:rsidR="007271FA">
        <w:t xml:space="preserve"> come</w:t>
      </w:r>
      <w:r w:rsidR="00A7147C">
        <w:t xml:space="preserve"> in a number of different sizes depending</w:t>
      </w:r>
      <w:r w:rsidR="003E4888">
        <w:t xml:space="preserve"> </w:t>
      </w:r>
      <w:r w:rsidR="00A7147C">
        <w:t xml:space="preserve">on </w:t>
      </w:r>
      <w:r>
        <w:t xml:space="preserve">the size of the blast hole which is </w:t>
      </w:r>
      <w:r w:rsidR="007271FA">
        <w:t>to be sealed</w:t>
      </w:r>
      <w:r w:rsidR="00B75430">
        <w:t xml:space="preserve"> </w:t>
      </w:r>
      <w:r w:rsidR="00F5099C">
        <w:t xml:space="preserve">off </w:t>
      </w:r>
      <w:r w:rsidR="007271FA">
        <w:t xml:space="preserve">by the use of </w:t>
      </w:r>
      <w:r>
        <w:t xml:space="preserve">the </w:t>
      </w:r>
      <w:proofErr w:type="spellStart"/>
      <w:r w:rsidR="00F5099C">
        <w:t>b</w:t>
      </w:r>
      <w:r w:rsidR="00FC4484">
        <w:t>lastbag</w:t>
      </w:r>
      <w:proofErr w:type="spellEnd"/>
      <w:r w:rsidR="00A7147C">
        <w:t xml:space="preserve">. </w:t>
      </w:r>
      <w:r w:rsidR="00B75430">
        <w:t xml:space="preserve"> </w:t>
      </w:r>
      <w:r w:rsidR="00A7147C">
        <w:t xml:space="preserve">Each of these sizes of </w:t>
      </w:r>
      <w:proofErr w:type="spellStart"/>
      <w:r w:rsidR="00F5099C">
        <w:t>b</w:t>
      </w:r>
      <w:r w:rsidR="00FC4484">
        <w:t>lastbag</w:t>
      </w:r>
      <w:proofErr w:type="spellEnd"/>
      <w:r w:rsidR="00A7147C">
        <w:t xml:space="preserve"> is marketed and sold under its own </w:t>
      </w:r>
      <w:r w:rsidR="00B50F48">
        <w:t>sub</w:t>
      </w:r>
      <w:r w:rsidR="00B75430">
        <w:t>-</w:t>
      </w:r>
      <w:r w:rsidR="00A7147C">
        <w:t xml:space="preserve">name. </w:t>
      </w:r>
      <w:r w:rsidR="00B75430">
        <w:t xml:space="preserve"> </w:t>
      </w:r>
      <w:r w:rsidR="00A7147C">
        <w:t xml:space="preserve">Thus the largest of the </w:t>
      </w:r>
      <w:proofErr w:type="spellStart"/>
      <w:r w:rsidR="00FC4484">
        <w:t>blastbags</w:t>
      </w:r>
      <w:proofErr w:type="spellEnd"/>
      <w:r w:rsidR="00A7147C">
        <w:t xml:space="preserve"> is sold under the name of “</w:t>
      </w:r>
      <w:r>
        <w:t>Emu</w:t>
      </w:r>
      <w:r w:rsidR="00A7147C">
        <w:t>”</w:t>
      </w:r>
      <w:r>
        <w:t xml:space="preserve">, the next </w:t>
      </w:r>
      <w:r w:rsidR="00A7147C">
        <w:t xml:space="preserve">in size </w:t>
      </w:r>
      <w:r>
        <w:t xml:space="preserve">is </w:t>
      </w:r>
      <w:r w:rsidR="00A7147C">
        <w:t>“</w:t>
      </w:r>
      <w:r>
        <w:t>Wombat</w:t>
      </w:r>
      <w:r w:rsidR="00A7147C">
        <w:t>”</w:t>
      </w:r>
      <w:r>
        <w:t>, the</w:t>
      </w:r>
      <w:r w:rsidR="00B50F48">
        <w:t>n “</w:t>
      </w:r>
      <w:r>
        <w:t>Platypus</w:t>
      </w:r>
      <w:r w:rsidR="00B50F48">
        <w:t>”</w:t>
      </w:r>
      <w:r>
        <w:t xml:space="preserve">, </w:t>
      </w:r>
      <w:r w:rsidR="00B50F48">
        <w:t>then “</w:t>
      </w:r>
      <w:r>
        <w:t>Koala</w:t>
      </w:r>
      <w:r w:rsidR="00B50F48">
        <w:t>”</w:t>
      </w:r>
      <w:r>
        <w:t xml:space="preserve"> and </w:t>
      </w:r>
      <w:r w:rsidR="00B50F48">
        <w:t>finally the smallest bag is sold under the sub</w:t>
      </w:r>
      <w:r w:rsidR="00B23945">
        <w:t>-</w:t>
      </w:r>
      <w:r w:rsidR="00B50F48">
        <w:t>name of “</w:t>
      </w:r>
      <w:r>
        <w:t>Quokka</w:t>
      </w:r>
      <w:r w:rsidR="00B50F48">
        <w:t>”</w:t>
      </w:r>
      <w:r>
        <w:t xml:space="preserve">.  </w:t>
      </w:r>
      <w:r w:rsidR="00B50F48">
        <w:t>T</w:t>
      </w:r>
      <w:r>
        <w:t xml:space="preserve">he particular </w:t>
      </w:r>
      <w:r w:rsidR="00B50F48">
        <w:t>“</w:t>
      </w:r>
      <w:proofErr w:type="spellStart"/>
      <w:r w:rsidR="00FC4484">
        <w:t>Blastbag</w:t>
      </w:r>
      <w:proofErr w:type="spellEnd"/>
      <w:r w:rsidR="00B50F48">
        <w:t xml:space="preserve"> Hero” </w:t>
      </w:r>
      <w:r>
        <w:t xml:space="preserve">product which is the subject of this proceeding is the </w:t>
      </w:r>
      <w:r w:rsidR="00B50F48">
        <w:t>“</w:t>
      </w:r>
      <w:r>
        <w:t>Platypus</w:t>
      </w:r>
      <w:r w:rsidR="00B50F48">
        <w:t xml:space="preserve">” </w:t>
      </w:r>
      <w:r>
        <w:t xml:space="preserve">which is </w:t>
      </w:r>
      <w:r w:rsidR="00B50F48">
        <w:t xml:space="preserve">the </w:t>
      </w:r>
      <w:r>
        <w:t xml:space="preserve">product </w:t>
      </w:r>
      <w:r w:rsidR="00B50F48">
        <w:t xml:space="preserve">to be used </w:t>
      </w:r>
      <w:r>
        <w:t>for blast holes 230 mm</w:t>
      </w:r>
      <w:r w:rsidR="00B50F48">
        <w:t xml:space="preserve"> wide</w:t>
      </w:r>
      <w:r w:rsidR="00B23945">
        <w:t>.</w:t>
      </w:r>
    </w:p>
    <w:p w:rsidR="00C31DF0" w:rsidRDefault="00B50F48" w:rsidP="00C31DF0">
      <w:pPr>
        <w:pStyle w:val="ParaNumbering"/>
      </w:pPr>
      <w:r>
        <w:lastRenderedPageBreak/>
        <w:t>T</w:t>
      </w:r>
      <w:r w:rsidR="00C31DF0">
        <w:t xml:space="preserve">he applicant </w:t>
      </w:r>
      <w:r>
        <w:t xml:space="preserve">claims that the </w:t>
      </w:r>
      <w:r w:rsidR="00C31DF0">
        <w:t xml:space="preserve">respondent has engaged in misleading or deceptive conduct </w:t>
      </w:r>
      <w:r w:rsidR="00A01063">
        <w:t xml:space="preserve">in contravention of </w:t>
      </w:r>
      <w:r w:rsidR="003E5822">
        <w:t>s</w:t>
      </w:r>
      <w:r w:rsidR="00FC4484">
        <w:t xml:space="preserve"> 18 and s 29(a)</w:t>
      </w:r>
      <w:r w:rsidR="003E5822">
        <w:t xml:space="preserve"> of </w:t>
      </w:r>
      <w:r w:rsidR="00A01063">
        <w:t xml:space="preserve">the </w:t>
      </w:r>
      <w:r w:rsidR="00A01063" w:rsidRPr="00FC4484">
        <w:t xml:space="preserve">Australian Consumer </w:t>
      </w:r>
      <w:r w:rsidR="00FC4484" w:rsidRPr="00FC4484">
        <w:t>Law</w:t>
      </w:r>
      <w:r w:rsidR="00203819">
        <w:t>,</w:t>
      </w:r>
      <w:r w:rsidR="00FC4484">
        <w:t xml:space="preserve"> being </w:t>
      </w:r>
      <w:proofErr w:type="spellStart"/>
      <w:r w:rsidR="00FC4484">
        <w:t>Sch</w:t>
      </w:r>
      <w:proofErr w:type="spellEnd"/>
      <w:r w:rsidR="00FC4484">
        <w:t xml:space="preserve"> 2 to the </w:t>
      </w:r>
      <w:r w:rsidR="00FC4484">
        <w:rPr>
          <w:i/>
        </w:rPr>
        <w:t>Competition and Consumer Act 2010</w:t>
      </w:r>
      <w:r w:rsidR="00FC4484">
        <w:t xml:space="preserve"> (</w:t>
      </w:r>
      <w:proofErr w:type="spellStart"/>
      <w:r w:rsidR="00FC4484">
        <w:t>Cth</w:t>
      </w:r>
      <w:proofErr w:type="spellEnd"/>
      <w:r w:rsidR="00FC4484">
        <w:t>)</w:t>
      </w:r>
      <w:r w:rsidR="00F5099C">
        <w:t>,</w:t>
      </w:r>
      <w:r w:rsidR="00203819">
        <w:t xml:space="preserve"> </w:t>
      </w:r>
      <w:r w:rsidR="003E5822">
        <w:t xml:space="preserve">by reason of </w:t>
      </w:r>
      <w:r w:rsidR="00C31DF0">
        <w:t xml:space="preserve">the </w:t>
      </w:r>
      <w:r w:rsidR="00203819">
        <w:t>manner in</w:t>
      </w:r>
      <w:r w:rsidR="00072388">
        <w:t xml:space="preserve"> which</w:t>
      </w:r>
      <w:r w:rsidR="003E4888">
        <w:t xml:space="preserve"> </w:t>
      </w:r>
      <w:r w:rsidR="00B23945">
        <w:t>the respondent</w:t>
      </w:r>
      <w:r w:rsidR="00C31DF0">
        <w:t xml:space="preserve"> </w:t>
      </w:r>
      <w:r w:rsidR="00DB14AC">
        <w:t xml:space="preserve">has described the </w:t>
      </w:r>
      <w:r w:rsidR="00B73D7D">
        <w:t>characteristics of the “</w:t>
      </w:r>
      <w:r w:rsidR="00DB14AC">
        <w:t>Platypus</w:t>
      </w:r>
      <w:r w:rsidR="00B73D7D">
        <w:t xml:space="preserve">” </w:t>
      </w:r>
      <w:r w:rsidR="004374A7">
        <w:t xml:space="preserve">product </w:t>
      </w:r>
      <w:r w:rsidR="00B73D7D">
        <w:t>in the material safety data sheet (</w:t>
      </w:r>
      <w:proofErr w:type="spellStart"/>
      <w:r w:rsidR="00B73D7D">
        <w:t>MSDS</w:t>
      </w:r>
      <w:proofErr w:type="spellEnd"/>
      <w:r w:rsidR="00B73D7D">
        <w:t>) issued in June 2015 for that product and</w:t>
      </w:r>
      <w:r w:rsidR="00DB14AC">
        <w:t xml:space="preserve"> </w:t>
      </w:r>
      <w:r w:rsidR="00D05544">
        <w:t xml:space="preserve">on </w:t>
      </w:r>
      <w:r w:rsidR="00072388">
        <w:t>the</w:t>
      </w:r>
      <w:r w:rsidR="00DB14AC">
        <w:t xml:space="preserve"> </w:t>
      </w:r>
      <w:r w:rsidR="00C31DF0">
        <w:t>packag</w:t>
      </w:r>
      <w:r w:rsidR="00DB14AC">
        <w:t>ing</w:t>
      </w:r>
      <w:r w:rsidR="00B73D7D">
        <w:t xml:space="preserve"> for the product</w:t>
      </w:r>
      <w:r w:rsidR="00DB14AC">
        <w:t>.</w:t>
      </w:r>
    </w:p>
    <w:p w:rsidR="00D05544" w:rsidRDefault="00C31DF0" w:rsidP="00C31DF0">
      <w:pPr>
        <w:pStyle w:val="ParaNumbering"/>
      </w:pPr>
      <w:r>
        <w:t xml:space="preserve">The first </w:t>
      </w:r>
      <w:r w:rsidR="00D05544">
        <w:t xml:space="preserve">complaint is that </w:t>
      </w:r>
      <w:r>
        <w:t xml:space="preserve">the </w:t>
      </w:r>
      <w:proofErr w:type="spellStart"/>
      <w:r w:rsidR="00072388">
        <w:t>MSDS</w:t>
      </w:r>
      <w:proofErr w:type="spellEnd"/>
      <w:r w:rsidR="009D0A7D">
        <w:t xml:space="preserve"> </w:t>
      </w:r>
      <w:proofErr w:type="gramStart"/>
      <w:r w:rsidR="00072388">
        <w:t>states</w:t>
      </w:r>
      <w:r w:rsidR="00D05544">
        <w:t xml:space="preserve"> that the liquid in the aerosol </w:t>
      </w:r>
      <w:r w:rsidR="00072388">
        <w:t>can</w:t>
      </w:r>
      <w:r w:rsidR="003E4888">
        <w:t xml:space="preserve"> in </w:t>
      </w:r>
      <w:r w:rsidR="008F38DE">
        <w:t xml:space="preserve">the </w:t>
      </w:r>
      <w:r w:rsidR="00A13AAC">
        <w:t>“</w:t>
      </w:r>
      <w:r w:rsidR="008F38DE">
        <w:t>Platypus</w:t>
      </w:r>
      <w:r w:rsidR="00A13AAC">
        <w:t>”</w:t>
      </w:r>
      <w:r w:rsidR="003E4888">
        <w:t xml:space="preserve"> product</w:t>
      </w:r>
      <w:r w:rsidR="00072388">
        <w:t xml:space="preserve"> </w:t>
      </w:r>
      <w:r w:rsidR="00D05544">
        <w:t>does</w:t>
      </w:r>
      <w:proofErr w:type="gramEnd"/>
      <w:r w:rsidR="00D05544">
        <w:t xml:space="preserve"> not contain solvent. </w:t>
      </w:r>
      <w:r w:rsidR="00B23945">
        <w:t xml:space="preserve"> </w:t>
      </w:r>
      <w:r w:rsidR="00D05544">
        <w:t xml:space="preserve">The </w:t>
      </w:r>
      <w:r w:rsidR="00B23945">
        <w:t>applicant</w:t>
      </w:r>
      <w:r w:rsidR="00072388">
        <w:t xml:space="preserve"> </w:t>
      </w:r>
      <w:r w:rsidR="00D05544">
        <w:t xml:space="preserve">contends that this statement is </w:t>
      </w:r>
      <w:r w:rsidR="00072388">
        <w:t xml:space="preserve">false </w:t>
      </w:r>
      <w:r w:rsidR="00D05544">
        <w:t xml:space="preserve">because the liquid in the aerosol can in the </w:t>
      </w:r>
      <w:r w:rsidR="00193B4A">
        <w:t>“</w:t>
      </w:r>
      <w:r w:rsidR="00D05544">
        <w:t>Platypus</w:t>
      </w:r>
      <w:r w:rsidR="00193B4A">
        <w:t>”</w:t>
      </w:r>
      <w:r w:rsidR="00D05544">
        <w:t xml:space="preserve"> product contains a portion of </w:t>
      </w:r>
      <w:r>
        <w:t>acetone</w:t>
      </w:r>
      <w:r w:rsidR="00D05544">
        <w:t>, which</w:t>
      </w:r>
      <w:r w:rsidR="00193B4A">
        <w:t xml:space="preserve"> is</w:t>
      </w:r>
      <w:r w:rsidR="00D05544">
        <w:t xml:space="preserve"> a solvent. </w:t>
      </w:r>
    </w:p>
    <w:p w:rsidR="00C31DF0" w:rsidRDefault="00D05544" w:rsidP="00C31DF0">
      <w:pPr>
        <w:pStyle w:val="ParaNumbering"/>
      </w:pPr>
      <w:r>
        <w:t>T</w:t>
      </w:r>
      <w:r w:rsidR="00C31DF0">
        <w:t xml:space="preserve">he </w:t>
      </w:r>
      <w:r w:rsidR="00207BEC">
        <w:t xml:space="preserve">applicant’s </w:t>
      </w:r>
      <w:r w:rsidR="00C31DF0">
        <w:t xml:space="preserve">second complaint </w:t>
      </w:r>
      <w:r>
        <w:t xml:space="preserve">is that the respondent has on </w:t>
      </w:r>
      <w:r w:rsidR="003E4888">
        <w:t>the “</w:t>
      </w:r>
      <w:r w:rsidR="00193B4A">
        <w:t xml:space="preserve">Platypus” </w:t>
      </w:r>
      <w:r>
        <w:t>packaging misrepresented the flammability</w:t>
      </w:r>
      <w:r w:rsidR="00C31DF0">
        <w:t xml:space="preserve"> of the pro</w:t>
      </w:r>
      <w:r w:rsidR="00207BEC">
        <w:t xml:space="preserve">duct.  The </w:t>
      </w:r>
      <w:r w:rsidR="00193B4A">
        <w:t>“</w:t>
      </w:r>
      <w:r w:rsidR="00072388">
        <w:t>Platypus</w:t>
      </w:r>
      <w:r w:rsidR="00193B4A">
        <w:t>”</w:t>
      </w:r>
      <w:r w:rsidR="00072388">
        <w:t xml:space="preserve"> </w:t>
      </w:r>
      <w:r w:rsidR="00207BEC">
        <w:t>product is sold in packaging which contains the internationally</w:t>
      </w:r>
      <w:r>
        <w:t xml:space="preserve"> recognised </w:t>
      </w:r>
      <w:r w:rsidR="00C31DF0">
        <w:t xml:space="preserve">green </w:t>
      </w:r>
      <w:r w:rsidR="00700ACE">
        <w:t xml:space="preserve">diamond </w:t>
      </w:r>
      <w:r>
        <w:t>non</w:t>
      </w:r>
      <w:r w:rsidR="00193B4A">
        <w:t>-</w:t>
      </w:r>
      <w:r w:rsidR="00207BEC">
        <w:t>flammab</w:t>
      </w:r>
      <w:r w:rsidR="00193B4A">
        <w:t>le</w:t>
      </w:r>
      <w:r w:rsidR="00207BEC">
        <w:t xml:space="preserve"> s</w:t>
      </w:r>
      <w:r w:rsidR="003E4888">
        <w:t xml:space="preserve">ymbol thus </w:t>
      </w:r>
      <w:r w:rsidR="00207BEC">
        <w:t xml:space="preserve">representing that </w:t>
      </w:r>
      <w:r w:rsidR="00193B4A">
        <w:t>the “Platypus” product</w:t>
      </w:r>
      <w:r w:rsidR="00C31DF0">
        <w:t xml:space="preserve"> is non-flammable</w:t>
      </w:r>
      <w:r w:rsidR="00207BEC">
        <w:t xml:space="preserve">. </w:t>
      </w:r>
      <w:r w:rsidR="00193B4A">
        <w:t xml:space="preserve"> </w:t>
      </w:r>
      <w:r w:rsidR="00207BEC">
        <w:t>T</w:t>
      </w:r>
      <w:r w:rsidR="00C31DF0">
        <w:t xml:space="preserve">he applicant contends that </w:t>
      </w:r>
      <w:r w:rsidR="00207BEC">
        <w:t xml:space="preserve">this conduct is misleading or deceptive because the product is flammable and </w:t>
      </w:r>
      <w:r w:rsidR="00C31DF0">
        <w:t xml:space="preserve">should actually carry </w:t>
      </w:r>
      <w:r w:rsidR="00207BEC">
        <w:t xml:space="preserve">the internationally recognised </w:t>
      </w:r>
      <w:r w:rsidR="00C31DF0">
        <w:t xml:space="preserve">red </w:t>
      </w:r>
      <w:r w:rsidR="004374A7">
        <w:t xml:space="preserve">diamond </w:t>
      </w:r>
      <w:r w:rsidR="00C31DF0">
        <w:t>s</w:t>
      </w:r>
      <w:r w:rsidR="003E4888">
        <w:t xml:space="preserve">ymbol </w:t>
      </w:r>
      <w:r w:rsidR="00C31DF0">
        <w:t xml:space="preserve">to indicate that it </w:t>
      </w:r>
      <w:r w:rsidR="00193B4A">
        <w:t>is flammable.</w:t>
      </w:r>
    </w:p>
    <w:p w:rsidR="007271FA" w:rsidRDefault="007271FA" w:rsidP="007271FA">
      <w:pPr>
        <w:pStyle w:val="ParaNumbering"/>
      </w:pPr>
      <w:r>
        <w:t>Mr Howard</w:t>
      </w:r>
      <w:r w:rsidR="003E4888">
        <w:t>,</w:t>
      </w:r>
      <w:r>
        <w:t xml:space="preserve"> senior counsel</w:t>
      </w:r>
      <w:r w:rsidR="004374A7">
        <w:t>,</w:t>
      </w:r>
      <w:r>
        <w:t xml:space="preserve"> who appeared for the applicant</w:t>
      </w:r>
      <w:r w:rsidR="00193B4A">
        <w:t>,</w:t>
      </w:r>
      <w:r>
        <w:t xml:space="preserve"> handed up to the Court a minute of proposed orders which </w:t>
      </w:r>
      <w:r w:rsidR="00072388">
        <w:t>t</w:t>
      </w:r>
      <w:r>
        <w:t>he applicant seeks by way of interlocutory relief today.</w:t>
      </w:r>
    </w:p>
    <w:p w:rsidR="00C555C5" w:rsidRDefault="007271FA" w:rsidP="007271FA">
      <w:pPr>
        <w:pStyle w:val="ParaNumbering"/>
      </w:pPr>
      <w:r>
        <w:t xml:space="preserve">First, the </w:t>
      </w:r>
      <w:r w:rsidR="00072388">
        <w:t xml:space="preserve">applicant </w:t>
      </w:r>
      <w:r w:rsidR="00C555C5">
        <w:t xml:space="preserve">seeks an </w:t>
      </w:r>
      <w:r>
        <w:t xml:space="preserve">order </w:t>
      </w:r>
      <w:r w:rsidR="00072388">
        <w:t xml:space="preserve">preventing </w:t>
      </w:r>
      <w:r>
        <w:t xml:space="preserve">the respondent </w:t>
      </w:r>
      <w:r w:rsidR="009F0D16">
        <w:t>from</w:t>
      </w:r>
      <w:r w:rsidR="00072388">
        <w:t>:</w:t>
      </w:r>
    </w:p>
    <w:p w:rsidR="009F0D16" w:rsidRDefault="00C555C5" w:rsidP="00193B4A">
      <w:pPr>
        <w:pStyle w:val="BodyText"/>
        <w:ind w:left="720" w:hanging="720"/>
      </w:pPr>
      <w:r>
        <w:t>(a)</w:t>
      </w:r>
      <w:r w:rsidR="00193B4A">
        <w:tab/>
      </w:r>
      <w:r w:rsidR="009F0D16">
        <w:t>a</w:t>
      </w:r>
      <w:r w:rsidR="007271FA">
        <w:t xml:space="preserve">dvertising for sale, selling or supplying any </w:t>
      </w:r>
      <w:r w:rsidR="00193B4A">
        <w:t>“</w:t>
      </w:r>
      <w:proofErr w:type="spellStart"/>
      <w:r w:rsidR="00FC4484">
        <w:t>Blastbag</w:t>
      </w:r>
      <w:proofErr w:type="spellEnd"/>
      <w:r w:rsidR="007271FA">
        <w:t xml:space="preserve"> </w:t>
      </w:r>
      <w:r>
        <w:t>H</w:t>
      </w:r>
      <w:r w:rsidR="007271FA">
        <w:t>ero</w:t>
      </w:r>
      <w:r w:rsidR="003E4888">
        <w:t>”</w:t>
      </w:r>
      <w:r w:rsidR="007271FA">
        <w:t xml:space="preserve"> </w:t>
      </w:r>
      <w:r w:rsidR="00193B4A">
        <w:t>“</w:t>
      </w:r>
      <w:r w:rsidR="007271FA">
        <w:t>Platypus</w:t>
      </w:r>
      <w:r w:rsidR="00193B4A">
        <w:t>”</w:t>
      </w:r>
      <w:r w:rsidR="007271FA">
        <w:t xml:space="preserve"> product</w:t>
      </w:r>
      <w:r w:rsidR="003E4888">
        <w:t xml:space="preserve"> </w:t>
      </w:r>
      <w:r w:rsidR="007271FA">
        <w:t>fi</w:t>
      </w:r>
      <w:r w:rsidR="00FC4484">
        <w:t>tt</w:t>
      </w:r>
      <w:r w:rsidR="007271FA">
        <w:t>ed with 100</w:t>
      </w:r>
      <w:r w:rsidR="00FC4484">
        <w:t xml:space="preserve"> </w:t>
      </w:r>
      <w:r w:rsidR="007271FA">
        <w:t>g aerosol can</w:t>
      </w:r>
      <w:r w:rsidR="00193B4A">
        <w:t>s</w:t>
      </w:r>
      <w:r w:rsidR="00FC4484">
        <w:t xml:space="preserve"> </w:t>
      </w:r>
      <w:r w:rsidR="007271FA">
        <w:t xml:space="preserve">which are labelled </w:t>
      </w:r>
      <w:r w:rsidR="009F0D16">
        <w:t>and classified as non-flammable</w:t>
      </w:r>
      <w:r w:rsidR="00193B4A">
        <w:t>;</w:t>
      </w:r>
    </w:p>
    <w:p w:rsidR="009F0D16" w:rsidRDefault="007271FA" w:rsidP="00193B4A">
      <w:pPr>
        <w:pStyle w:val="BodyText"/>
        <w:ind w:left="720" w:hanging="720"/>
      </w:pPr>
      <w:r>
        <w:t>(b)</w:t>
      </w:r>
      <w:r w:rsidR="00193B4A">
        <w:tab/>
      </w:r>
      <w:r>
        <w:t xml:space="preserve">applying a non-flammable label to any 100 g </w:t>
      </w:r>
      <w:r w:rsidR="00193B4A">
        <w:t>“</w:t>
      </w:r>
      <w:r>
        <w:t>Platypus</w:t>
      </w:r>
      <w:r w:rsidR="00193B4A">
        <w:t>”</w:t>
      </w:r>
      <w:r>
        <w:t xml:space="preserve"> product intended for sale or supply or selling or supplying any such product</w:t>
      </w:r>
      <w:r w:rsidR="009F0D16">
        <w:t>,</w:t>
      </w:r>
      <w:r>
        <w:t xml:space="preserve"> and </w:t>
      </w:r>
    </w:p>
    <w:p w:rsidR="007271FA" w:rsidRPr="00804D28" w:rsidRDefault="007271FA" w:rsidP="00193B4A">
      <w:pPr>
        <w:pStyle w:val="BodyText"/>
        <w:ind w:left="720" w:hanging="720"/>
      </w:pPr>
      <w:r>
        <w:t>(c)</w:t>
      </w:r>
      <w:r w:rsidR="00193B4A">
        <w:tab/>
      </w:r>
      <w:proofErr w:type="gramStart"/>
      <w:r>
        <w:t>publishing</w:t>
      </w:r>
      <w:proofErr w:type="gramEnd"/>
      <w:r>
        <w:t xml:space="preserve"> the </w:t>
      </w:r>
      <w:proofErr w:type="spellStart"/>
      <w:r>
        <w:t>MSDS</w:t>
      </w:r>
      <w:proofErr w:type="spellEnd"/>
      <w:r>
        <w:t xml:space="preserve"> issued in </w:t>
      </w:r>
      <w:r w:rsidRPr="00804D28">
        <w:t>June 20</w:t>
      </w:r>
      <w:r w:rsidR="00FC4484" w:rsidRPr="00804D28">
        <w:t>15</w:t>
      </w:r>
      <w:r w:rsidRPr="00804D28">
        <w:t xml:space="preserve"> as being applicable to</w:t>
      </w:r>
      <w:r w:rsidRPr="00193B4A">
        <w:rPr>
          <w:b/>
        </w:rPr>
        <w:t xml:space="preserve"> </w:t>
      </w:r>
      <w:r>
        <w:t xml:space="preserve">the 100 g </w:t>
      </w:r>
      <w:r w:rsidR="00193B4A">
        <w:t>“</w:t>
      </w:r>
      <w:r>
        <w:t>Platypus</w:t>
      </w:r>
      <w:r w:rsidR="00193B4A">
        <w:t>” product.</w:t>
      </w:r>
    </w:p>
    <w:p w:rsidR="007271FA" w:rsidRDefault="009F0D16" w:rsidP="007271FA">
      <w:pPr>
        <w:pStyle w:val="ParaNumbering"/>
      </w:pPr>
      <w:r>
        <w:t xml:space="preserve">Secondly, the applicant seeks an </w:t>
      </w:r>
      <w:r w:rsidR="007271FA">
        <w:t xml:space="preserve">order that the respondent notify in writing any party </w:t>
      </w:r>
      <w:r w:rsidR="00072388">
        <w:t>to which</w:t>
      </w:r>
      <w:r w:rsidR="007271FA">
        <w:t xml:space="preserve"> it</w:t>
      </w:r>
      <w:r>
        <w:t xml:space="preserve"> has </w:t>
      </w:r>
      <w:r w:rsidR="00804D28">
        <w:t xml:space="preserve">sold or </w:t>
      </w:r>
      <w:r>
        <w:t>supplied</w:t>
      </w:r>
      <w:r w:rsidR="007271FA">
        <w:t xml:space="preserve"> the </w:t>
      </w:r>
      <w:r w:rsidR="00072388">
        <w:t>“</w:t>
      </w:r>
      <w:r w:rsidR="007271FA">
        <w:t>Platypus</w:t>
      </w:r>
      <w:r w:rsidR="00072388">
        <w:t>”</w:t>
      </w:r>
      <w:r w:rsidR="007271FA">
        <w:t xml:space="preserve"> product that was labelled in the impugned way that the </w:t>
      </w:r>
      <w:r>
        <w:t>C</w:t>
      </w:r>
      <w:r w:rsidR="007271FA">
        <w:t>ourt has determined that there</w:t>
      </w:r>
      <w:r>
        <w:t xml:space="preserve"> is a</w:t>
      </w:r>
      <w:r w:rsidR="007271FA">
        <w:t xml:space="preserve"> serious question to be tried as to whether that product was non-flammable and whether the </w:t>
      </w:r>
      <w:proofErr w:type="spellStart"/>
      <w:r w:rsidR="007271FA">
        <w:t>MSDS</w:t>
      </w:r>
      <w:proofErr w:type="spellEnd"/>
      <w:r w:rsidR="007271FA">
        <w:t xml:space="preserve"> issued by the respondent in June 2015 for the product</w:t>
      </w:r>
      <w:r w:rsidR="00193B4A">
        <w:t>,</w:t>
      </w:r>
      <w:r w:rsidR="007271FA">
        <w:t xml:space="preserve"> was misleading or deceptive insofar as it related to </w:t>
      </w:r>
      <w:r>
        <w:t xml:space="preserve">the </w:t>
      </w:r>
      <w:r w:rsidR="00193B4A">
        <w:t>“</w:t>
      </w:r>
      <w:r>
        <w:t>Platypus</w:t>
      </w:r>
      <w:r w:rsidR="00193B4A">
        <w:t>”</w:t>
      </w:r>
      <w:r>
        <w:t xml:space="preserve"> </w:t>
      </w:r>
      <w:r w:rsidR="00193B4A">
        <w:t>product.</w:t>
      </w:r>
    </w:p>
    <w:p w:rsidR="00580CC8" w:rsidRDefault="00580CC8" w:rsidP="00C31DF0">
      <w:pPr>
        <w:pStyle w:val="ParaNumbering"/>
      </w:pPr>
      <w:r>
        <w:lastRenderedPageBreak/>
        <w:t xml:space="preserve">In deciding whether to grant </w:t>
      </w:r>
      <w:r w:rsidR="00C31DF0">
        <w:t>an interlocutory injunction</w:t>
      </w:r>
      <w:r>
        <w:t xml:space="preserve">, the Court </w:t>
      </w:r>
      <w:r w:rsidRPr="003E4888">
        <w:t xml:space="preserve">has </w:t>
      </w:r>
      <w:r w:rsidR="000074A7" w:rsidRPr="003E4888">
        <w:t>regard</w:t>
      </w:r>
      <w:r w:rsidR="000074A7" w:rsidRPr="00193B4A">
        <w:rPr>
          <w:b/>
        </w:rPr>
        <w:t xml:space="preserve"> </w:t>
      </w:r>
      <w:r w:rsidR="00C31DF0">
        <w:t>to two main issues</w:t>
      </w:r>
      <w:r w:rsidR="003E4888">
        <w:t xml:space="preserve">, namely, </w:t>
      </w:r>
      <w:r w:rsidR="009F7D47">
        <w:t>whether the applicant has demonstrated a prima facie case,</w:t>
      </w:r>
      <w:r w:rsidR="00193B4A">
        <w:t xml:space="preserve"> and</w:t>
      </w:r>
      <w:r w:rsidR="003E4888">
        <w:t xml:space="preserve"> </w:t>
      </w:r>
      <w:r w:rsidR="00193B4A">
        <w:t>the balance of convenience</w:t>
      </w:r>
      <w:r>
        <w:t>.</w:t>
      </w:r>
    </w:p>
    <w:p w:rsidR="000074A7" w:rsidRDefault="000074A7" w:rsidP="00C31DF0">
      <w:pPr>
        <w:pStyle w:val="ParaNumbering"/>
      </w:pPr>
      <w:r>
        <w:t xml:space="preserve">The first issue is </w:t>
      </w:r>
      <w:r w:rsidR="00C31DF0">
        <w:t xml:space="preserve">whether </w:t>
      </w:r>
      <w:r w:rsidR="009F0D16">
        <w:t xml:space="preserve">the applicant has demonstrated </w:t>
      </w:r>
      <w:r w:rsidR="00C31DF0">
        <w:t>a prima facie case</w:t>
      </w:r>
      <w:r w:rsidR="009F7D47">
        <w:t xml:space="preserve">. </w:t>
      </w:r>
      <w:r w:rsidR="00193B4A">
        <w:t xml:space="preserve"> </w:t>
      </w:r>
      <w:r w:rsidR="00311C9C">
        <w:t xml:space="preserve">In determining whether this element </w:t>
      </w:r>
      <w:r w:rsidR="003E4888">
        <w:t xml:space="preserve">has been </w:t>
      </w:r>
      <w:r w:rsidR="00311C9C">
        <w:t>satisfied</w:t>
      </w:r>
      <w:r w:rsidR="00193B4A">
        <w:t>,</w:t>
      </w:r>
      <w:r w:rsidR="00311C9C">
        <w:t xml:space="preserve"> </w:t>
      </w:r>
      <w:r w:rsidR="00311C9C" w:rsidRPr="00434904">
        <w:t xml:space="preserve">the </w:t>
      </w:r>
      <w:r w:rsidR="00311C9C">
        <w:t xml:space="preserve">Court has regard to the </w:t>
      </w:r>
      <w:r w:rsidR="003E4888">
        <w:t xml:space="preserve">nature and </w:t>
      </w:r>
      <w:r>
        <w:t>extent o</w:t>
      </w:r>
      <w:r w:rsidR="003E4888">
        <w:t xml:space="preserve">f </w:t>
      </w:r>
      <w:r>
        <w:t>the interlocutory relief sought</w:t>
      </w:r>
      <w:r w:rsidR="00CB7FD6">
        <w:t xml:space="preserve"> - i</w:t>
      </w:r>
      <w:r w:rsidR="003E4888">
        <w:t>n this case</w:t>
      </w:r>
      <w:r w:rsidR="00311C9C">
        <w:t xml:space="preserve">, </w:t>
      </w:r>
      <w:r w:rsidR="003E4888" w:rsidRPr="00434904">
        <w:t xml:space="preserve">the </w:t>
      </w:r>
      <w:r w:rsidR="00CB7FD6" w:rsidRPr="00434904">
        <w:t>fact that</w:t>
      </w:r>
      <w:r w:rsidR="00CB7FD6">
        <w:t xml:space="preserve"> </w:t>
      </w:r>
      <w:r w:rsidR="003E4888">
        <w:t xml:space="preserve">the injunction sought </w:t>
      </w:r>
      <w:r w:rsidR="00311C9C">
        <w:t xml:space="preserve">would </w:t>
      </w:r>
      <w:r w:rsidR="007271FA">
        <w:t xml:space="preserve">adversely </w:t>
      </w:r>
      <w:r w:rsidR="00311C9C">
        <w:t>affect</w:t>
      </w:r>
      <w:r w:rsidR="00FC6916">
        <w:t xml:space="preserve"> the respondent’s</w:t>
      </w:r>
      <w:r w:rsidR="003E5822">
        <w:t xml:space="preserve"> </w:t>
      </w:r>
      <w:r w:rsidR="00A13AAC">
        <w:t>ability</w:t>
      </w:r>
      <w:r w:rsidR="00804D28">
        <w:t>, until trial to advertise or sell</w:t>
      </w:r>
      <w:r w:rsidR="00CB7FD6">
        <w:t xml:space="preserve"> in its current packaging</w:t>
      </w:r>
      <w:r w:rsidR="003E5822">
        <w:t xml:space="preserve"> one of its products.  </w:t>
      </w:r>
      <w:r w:rsidR="003E4888">
        <w:t>The</w:t>
      </w:r>
      <w:r w:rsidR="003E5822">
        <w:t xml:space="preserve"> merits</w:t>
      </w:r>
      <w:r w:rsidR="00311C9C">
        <w:t xml:space="preserve"> of the </w:t>
      </w:r>
      <w:r w:rsidR="003E5822">
        <w:t xml:space="preserve">applicant’s </w:t>
      </w:r>
      <w:r w:rsidR="00311C9C">
        <w:t>case</w:t>
      </w:r>
      <w:r w:rsidR="007271FA">
        <w:t xml:space="preserve">, bearing in mind the interlocutory nature of the hearing, </w:t>
      </w:r>
      <w:r w:rsidR="00311C9C">
        <w:t>w</w:t>
      </w:r>
      <w:r w:rsidR="00615596">
        <w:t xml:space="preserve">ould </w:t>
      </w:r>
      <w:r w:rsidR="00311C9C">
        <w:t>be a</w:t>
      </w:r>
      <w:r w:rsidR="003E5822">
        <w:t xml:space="preserve">ssessed </w:t>
      </w:r>
      <w:r w:rsidR="007271FA">
        <w:t xml:space="preserve">by </w:t>
      </w:r>
      <w:r w:rsidR="003E5822">
        <w:t xml:space="preserve">reference to </w:t>
      </w:r>
      <w:r w:rsidR="007271FA">
        <w:t>the extent of th</w:t>
      </w:r>
      <w:r w:rsidR="003E5822">
        <w:t xml:space="preserve">at intrusion into the </w:t>
      </w:r>
      <w:r w:rsidR="00804D28">
        <w:t xml:space="preserve">respondent’s </w:t>
      </w:r>
      <w:r w:rsidR="003E5822">
        <w:t>business activities</w:t>
      </w:r>
      <w:r w:rsidR="00615596">
        <w:t>.</w:t>
      </w:r>
    </w:p>
    <w:p w:rsidR="009F7D47" w:rsidRDefault="00C31DF0" w:rsidP="00C31DF0">
      <w:pPr>
        <w:pStyle w:val="ParaNumbering"/>
      </w:pPr>
      <w:r>
        <w:t xml:space="preserve">In support of </w:t>
      </w:r>
      <w:r w:rsidR="00700ACE">
        <w:t xml:space="preserve">its </w:t>
      </w:r>
      <w:r w:rsidR="009F0D16">
        <w:t xml:space="preserve">claim that </w:t>
      </w:r>
      <w:r>
        <w:t>the</w:t>
      </w:r>
      <w:r w:rsidR="009F0D16">
        <w:t xml:space="preserve"> liquid in the aerosol can used in the </w:t>
      </w:r>
      <w:r w:rsidR="00072388">
        <w:t>“</w:t>
      </w:r>
      <w:r w:rsidR="009F0D16">
        <w:t>Platypus</w:t>
      </w:r>
      <w:r w:rsidR="00072388">
        <w:t>”</w:t>
      </w:r>
      <w:r w:rsidR="009F0D16">
        <w:t xml:space="preserve"> product </w:t>
      </w:r>
      <w:r>
        <w:t>contains acetone</w:t>
      </w:r>
      <w:r w:rsidR="00700ACE">
        <w:t>;</w:t>
      </w:r>
      <w:r>
        <w:t xml:space="preserve"> and also that</w:t>
      </w:r>
      <w:r w:rsidR="009F0D16">
        <w:t xml:space="preserve"> the product should be sold in packaging containing a </w:t>
      </w:r>
      <w:r>
        <w:t>flammable rather than non-flammable s</w:t>
      </w:r>
      <w:r w:rsidR="00ED1703">
        <w:t>ymbol</w:t>
      </w:r>
      <w:r w:rsidR="009F0D16">
        <w:t>,</w:t>
      </w:r>
      <w:r>
        <w:t xml:space="preserve"> the applicant relied upon the evidence of two</w:t>
      </w:r>
      <w:r w:rsidR="00F4168C">
        <w:t> </w:t>
      </w:r>
      <w:r>
        <w:t>experts</w:t>
      </w:r>
      <w:r w:rsidR="009F0D16">
        <w:t xml:space="preserve">, namely, </w:t>
      </w:r>
      <w:r>
        <w:t xml:space="preserve">Dr </w:t>
      </w:r>
      <w:r w:rsidR="000C24FA">
        <w:t>Armand</w:t>
      </w:r>
      <w:r w:rsidR="008D0800">
        <w:t xml:space="preserve"> </w:t>
      </w:r>
      <w:proofErr w:type="spellStart"/>
      <w:r>
        <w:t>Zurhaar</w:t>
      </w:r>
      <w:proofErr w:type="spellEnd"/>
      <w:r>
        <w:t xml:space="preserve"> and Dr</w:t>
      </w:r>
      <w:r w:rsidR="008D0800">
        <w:t xml:space="preserve"> </w:t>
      </w:r>
      <w:r w:rsidR="000C24FA">
        <w:t>David</w:t>
      </w:r>
      <w:r>
        <w:t xml:space="preserve"> Stone</w:t>
      </w:r>
      <w:r w:rsidR="000C24FA">
        <w:t>.</w:t>
      </w:r>
    </w:p>
    <w:p w:rsidR="009F7D47" w:rsidRDefault="009F7D47" w:rsidP="00C31DF0">
      <w:pPr>
        <w:pStyle w:val="ParaNumbering"/>
      </w:pPr>
      <w:r>
        <w:t xml:space="preserve">In his report, </w:t>
      </w:r>
      <w:r w:rsidR="00C31DF0">
        <w:t xml:space="preserve">Dr </w:t>
      </w:r>
      <w:proofErr w:type="spellStart"/>
      <w:r w:rsidR="00C31DF0">
        <w:t>Zurhaar</w:t>
      </w:r>
      <w:proofErr w:type="spellEnd"/>
      <w:r w:rsidR="00C31DF0">
        <w:t xml:space="preserve"> </w:t>
      </w:r>
      <w:r w:rsidR="008D0800">
        <w:t>said</w:t>
      </w:r>
      <w:r>
        <w:t xml:space="preserve"> that he </w:t>
      </w:r>
      <w:r w:rsidR="00C31DF0">
        <w:t>tested</w:t>
      </w:r>
      <w:r w:rsidR="000C24FA">
        <w:t xml:space="preserve"> the composition of</w:t>
      </w:r>
      <w:r w:rsidR="00C31DF0">
        <w:t xml:space="preserve"> four </w:t>
      </w:r>
      <w:r>
        <w:t xml:space="preserve">aerosol cans of the </w:t>
      </w:r>
      <w:r w:rsidR="00072388">
        <w:t>“</w:t>
      </w:r>
      <w:r>
        <w:t>Platypus</w:t>
      </w:r>
      <w:r w:rsidR="00072388">
        <w:t>”</w:t>
      </w:r>
      <w:r>
        <w:t xml:space="preserve"> product to determine the extent to which the liquid in</w:t>
      </w:r>
      <w:r w:rsidR="00E764A0">
        <w:t xml:space="preserve"> each of</w:t>
      </w:r>
      <w:r>
        <w:t xml:space="preserve"> the </w:t>
      </w:r>
      <w:r w:rsidR="00C31DF0">
        <w:t>aerosol can</w:t>
      </w:r>
      <w:r w:rsidR="008D0800">
        <w:t>s</w:t>
      </w:r>
      <w:r w:rsidR="00C31DF0">
        <w:t xml:space="preserve"> </w:t>
      </w:r>
      <w:r>
        <w:t>contain</w:t>
      </w:r>
      <w:r w:rsidR="00E764A0">
        <w:t>ed</w:t>
      </w:r>
      <w:r w:rsidR="00C31DF0">
        <w:t xml:space="preserve"> acetone</w:t>
      </w:r>
      <w:r w:rsidR="00E764A0">
        <w:t>.  H</w:t>
      </w:r>
      <w:r w:rsidR="00C31DF0">
        <w:t>e found that there w</w:t>
      </w:r>
      <w:r w:rsidR="00E764A0">
        <w:t xml:space="preserve">ere </w:t>
      </w:r>
      <w:r w:rsidR="00C31DF0">
        <w:t>variation</w:t>
      </w:r>
      <w:r w:rsidR="008D0800">
        <w:t>s</w:t>
      </w:r>
      <w:r w:rsidR="00C31DF0">
        <w:t xml:space="preserve"> in the results</w:t>
      </w:r>
      <w:r>
        <w:t>,</w:t>
      </w:r>
      <w:r w:rsidR="00C31DF0">
        <w:t xml:space="preserve"> </w:t>
      </w:r>
      <w:r w:rsidR="00E764A0">
        <w:t xml:space="preserve">and that </w:t>
      </w:r>
      <w:r w:rsidR="00C31DF0">
        <w:t>between 10</w:t>
      </w:r>
      <w:r w:rsidR="008D0800">
        <w:t>%</w:t>
      </w:r>
      <w:r w:rsidR="00C31DF0">
        <w:t xml:space="preserve"> and 13</w:t>
      </w:r>
      <w:r w:rsidR="008D0800">
        <w:t>%</w:t>
      </w:r>
      <w:r w:rsidR="00C31DF0">
        <w:t xml:space="preserve"> of the</w:t>
      </w:r>
      <w:r>
        <w:t xml:space="preserve"> liquid in the </w:t>
      </w:r>
      <w:r w:rsidR="008D0800">
        <w:t xml:space="preserve">aerosol </w:t>
      </w:r>
      <w:r>
        <w:t>can</w:t>
      </w:r>
      <w:r w:rsidR="008D0800">
        <w:t>s</w:t>
      </w:r>
      <w:r>
        <w:t xml:space="preserve"> was acetone.</w:t>
      </w:r>
      <w:r w:rsidR="008D0800">
        <w:t xml:space="preserve">  </w:t>
      </w:r>
      <w:r>
        <w:t xml:space="preserve">Dr </w:t>
      </w:r>
      <w:proofErr w:type="spellStart"/>
      <w:r>
        <w:t>Zurhaar</w:t>
      </w:r>
      <w:proofErr w:type="spellEnd"/>
      <w:r>
        <w:t xml:space="preserve"> also said that he </w:t>
      </w:r>
      <w:r w:rsidR="00C31DF0">
        <w:t xml:space="preserve">tested another three </w:t>
      </w:r>
      <w:r w:rsidR="00A2355C">
        <w:t xml:space="preserve">aerosol </w:t>
      </w:r>
      <w:r w:rsidR="00C31DF0">
        <w:t xml:space="preserve">cans </w:t>
      </w:r>
      <w:r w:rsidR="00A2355C">
        <w:t xml:space="preserve">of </w:t>
      </w:r>
      <w:r w:rsidR="00072388">
        <w:t>“</w:t>
      </w:r>
      <w:r w:rsidR="00A2355C">
        <w:t>Platypus</w:t>
      </w:r>
      <w:r w:rsidR="00072388">
        <w:t>”</w:t>
      </w:r>
      <w:r w:rsidR="00A2355C">
        <w:t xml:space="preserve"> product by reference to</w:t>
      </w:r>
      <w:r w:rsidR="005D3285" w:rsidRPr="005D3285">
        <w:t xml:space="preserve"> </w:t>
      </w:r>
      <w:r w:rsidR="005D3285">
        <w:t>the ignition testing process</w:t>
      </w:r>
      <w:r w:rsidR="00A2355C">
        <w:t xml:space="preserve"> </w:t>
      </w:r>
      <w:r w:rsidR="00C31DF0">
        <w:t xml:space="preserve">set out </w:t>
      </w:r>
      <w:r w:rsidR="001256A2">
        <w:t>by</w:t>
      </w:r>
      <w:r w:rsidR="00C31DF0">
        <w:t xml:space="preserve"> </w:t>
      </w:r>
      <w:r w:rsidR="000C24FA">
        <w:t>the</w:t>
      </w:r>
      <w:r w:rsidR="00C31DF0">
        <w:t xml:space="preserve"> United Nations</w:t>
      </w:r>
      <w:r w:rsidR="001256A2">
        <w:t xml:space="preserve"> in Recommendations on the Transport of Dangerous Goods,</w:t>
      </w:r>
      <w:r w:rsidR="000C24FA">
        <w:t xml:space="preserve"> Manual of Tests and Criteria</w:t>
      </w:r>
      <w:r w:rsidR="001256A2">
        <w:t>,</w:t>
      </w:r>
      <w:r w:rsidR="00C31DF0">
        <w:t xml:space="preserve"> which is prescribed by the </w:t>
      </w:r>
      <w:r w:rsidR="00C31DF0" w:rsidRPr="0089068A">
        <w:rPr>
          <w:i/>
        </w:rPr>
        <w:t>Australian Dangerous Goods Code</w:t>
      </w:r>
      <w:r w:rsidR="003F75BA">
        <w:t xml:space="preserve"> (the Code)</w:t>
      </w:r>
      <w:r w:rsidR="00A2355C">
        <w:t>;</w:t>
      </w:r>
      <w:r w:rsidR="00C31DF0">
        <w:t xml:space="preserve"> and found that the </w:t>
      </w:r>
      <w:r w:rsidR="008D0800">
        <w:t xml:space="preserve">“Platypus” </w:t>
      </w:r>
      <w:r w:rsidR="00C31DF0">
        <w:t xml:space="preserve">product was flammable when tested within certain of the </w:t>
      </w:r>
      <w:r w:rsidR="00700ACE">
        <w:t>prescribed distance</w:t>
      </w:r>
      <w:r w:rsidR="00E764A0">
        <w:t>s</w:t>
      </w:r>
      <w:r w:rsidR="00700ACE">
        <w:t xml:space="preserve"> f</w:t>
      </w:r>
      <w:r w:rsidR="00C31DF0">
        <w:t>rom the aerosol can</w:t>
      </w:r>
      <w:r w:rsidR="008D0800">
        <w:t>s.</w:t>
      </w:r>
    </w:p>
    <w:p w:rsidR="00C31DF0" w:rsidRDefault="009F7D47" w:rsidP="00C31DF0">
      <w:pPr>
        <w:pStyle w:val="ParaNumbering"/>
      </w:pPr>
      <w:r>
        <w:t xml:space="preserve">Dr Stone </w:t>
      </w:r>
      <w:r w:rsidR="00700ACE">
        <w:t>said in his report that he found</w:t>
      </w:r>
      <w:r w:rsidR="00C31DF0">
        <w:t xml:space="preserve"> that two out of the three </w:t>
      </w:r>
      <w:r w:rsidR="008D0800">
        <w:t xml:space="preserve">aerosol </w:t>
      </w:r>
      <w:r w:rsidR="00C31DF0">
        <w:t xml:space="preserve">cans </w:t>
      </w:r>
      <w:r w:rsidR="008D0800">
        <w:t xml:space="preserve">of the “Platypus” product </w:t>
      </w:r>
      <w:r w:rsidR="00C31DF0">
        <w:t xml:space="preserve">which </w:t>
      </w:r>
      <w:r w:rsidR="00700ACE">
        <w:t xml:space="preserve">he </w:t>
      </w:r>
      <w:r w:rsidR="00C31DF0">
        <w:t xml:space="preserve">tested </w:t>
      </w:r>
      <w:r w:rsidR="008D0800">
        <w:t>were</w:t>
      </w:r>
      <w:r w:rsidR="00C31DF0">
        <w:t xml:space="preserve"> flammable and </w:t>
      </w:r>
      <w:r w:rsidR="008D0800">
        <w:t xml:space="preserve">also </w:t>
      </w:r>
      <w:r w:rsidR="00C31DF0">
        <w:t xml:space="preserve">two out of the three </w:t>
      </w:r>
      <w:r w:rsidR="008D0800">
        <w:t>aerosol</w:t>
      </w:r>
      <w:r w:rsidR="00D034E2">
        <w:t xml:space="preserve"> </w:t>
      </w:r>
      <w:r w:rsidR="00C31DF0">
        <w:t xml:space="preserve">cans which </w:t>
      </w:r>
      <w:r w:rsidR="008D0800">
        <w:t>he</w:t>
      </w:r>
      <w:r w:rsidR="00C31DF0">
        <w:t xml:space="preserve"> tested failed the acetone test</w:t>
      </w:r>
      <w:r w:rsidR="00E764A0">
        <w:t>.</w:t>
      </w:r>
    </w:p>
    <w:p w:rsidR="00700ACE" w:rsidRDefault="00700ACE" w:rsidP="00C31DF0">
      <w:pPr>
        <w:pStyle w:val="ParaNumbering"/>
      </w:pPr>
      <w:r>
        <w:t xml:space="preserve">The respondent relied upon two </w:t>
      </w:r>
      <w:r w:rsidR="00C31DF0">
        <w:t xml:space="preserve">expert </w:t>
      </w:r>
      <w:r w:rsidR="008D0800">
        <w:t>reports.</w:t>
      </w:r>
    </w:p>
    <w:p w:rsidR="00C31DF0" w:rsidRDefault="00700ACE" w:rsidP="00C31DF0">
      <w:pPr>
        <w:pStyle w:val="ParaNumbering"/>
      </w:pPr>
      <w:r>
        <w:t xml:space="preserve">The first report </w:t>
      </w:r>
      <w:r w:rsidR="00072388">
        <w:t>was</w:t>
      </w:r>
      <w:r w:rsidR="008D0800">
        <w:t xml:space="preserve"> produced by </w:t>
      </w:r>
      <w:r w:rsidR="002F3933">
        <w:t xml:space="preserve">the </w:t>
      </w:r>
      <w:proofErr w:type="spellStart"/>
      <w:r w:rsidR="002F3933">
        <w:t>Che</w:t>
      </w:r>
      <w:r w:rsidR="00C31DF0">
        <w:t>mCentre</w:t>
      </w:r>
      <w:proofErr w:type="spellEnd"/>
      <w:r w:rsidR="00EA64EC">
        <w:t xml:space="preserve">. </w:t>
      </w:r>
      <w:r w:rsidR="008D0800">
        <w:t xml:space="preserve"> </w:t>
      </w:r>
      <w:r w:rsidR="00EA64EC">
        <w:t xml:space="preserve">The </w:t>
      </w:r>
      <w:proofErr w:type="spellStart"/>
      <w:r w:rsidR="00EA64EC">
        <w:t>ChemCentre</w:t>
      </w:r>
      <w:proofErr w:type="spellEnd"/>
      <w:r w:rsidR="00EA64EC">
        <w:t xml:space="preserve"> tested </w:t>
      </w:r>
      <w:r w:rsidR="00072388">
        <w:t>the “Platypus” produc</w:t>
      </w:r>
      <w:r w:rsidR="005E2E22">
        <w:t>t</w:t>
      </w:r>
      <w:r w:rsidR="00072388">
        <w:t xml:space="preserve"> and </w:t>
      </w:r>
      <w:r w:rsidR="00EA64EC">
        <w:t xml:space="preserve">other products </w:t>
      </w:r>
      <w:r w:rsidR="00072388">
        <w:t xml:space="preserve">sold under </w:t>
      </w:r>
      <w:r w:rsidR="00BB3D0C">
        <w:t>the “</w:t>
      </w:r>
      <w:proofErr w:type="spellStart"/>
      <w:r w:rsidR="00FC4484">
        <w:t>Blastbag</w:t>
      </w:r>
      <w:proofErr w:type="spellEnd"/>
      <w:r w:rsidR="00BB3D0C">
        <w:t xml:space="preserve"> Hero” </w:t>
      </w:r>
      <w:r w:rsidR="00EA64EC">
        <w:t xml:space="preserve">brand </w:t>
      </w:r>
      <w:r w:rsidR="00BB3D0C">
        <w:t>name.</w:t>
      </w:r>
      <w:r w:rsidR="00072388">
        <w:t xml:space="preserve"> </w:t>
      </w:r>
      <w:r w:rsidR="00BB3D0C">
        <w:t xml:space="preserve"> The </w:t>
      </w:r>
      <w:proofErr w:type="spellStart"/>
      <w:r w:rsidR="00BB3D0C">
        <w:t>ChemCentre</w:t>
      </w:r>
      <w:proofErr w:type="spellEnd"/>
      <w:r w:rsidR="00C31DF0">
        <w:t xml:space="preserve"> </w:t>
      </w:r>
      <w:r w:rsidR="002F3933">
        <w:t xml:space="preserve">did not report specific results in relation to the acetone content of the liquid in each of the aerosol cans of the </w:t>
      </w:r>
      <w:r w:rsidR="00BB3D0C">
        <w:t>“</w:t>
      </w:r>
      <w:proofErr w:type="spellStart"/>
      <w:r w:rsidR="00BB3D0C">
        <w:t>Platyus</w:t>
      </w:r>
      <w:proofErr w:type="spellEnd"/>
      <w:r w:rsidR="00BB3D0C">
        <w:t xml:space="preserve">” </w:t>
      </w:r>
      <w:r w:rsidR="002F3933">
        <w:t>product that it tested</w:t>
      </w:r>
      <w:r w:rsidR="00072388">
        <w:t>,</w:t>
      </w:r>
      <w:r w:rsidR="002F3933">
        <w:t xml:space="preserve"> but rather provided a generalised result to </w:t>
      </w:r>
      <w:r w:rsidR="002F3933">
        <w:lastRenderedPageBreak/>
        <w:t xml:space="preserve">the effect that </w:t>
      </w:r>
      <w:r w:rsidR="00C31DF0">
        <w:t>the acetone content of the</w:t>
      </w:r>
      <w:r w:rsidR="002F3933">
        <w:t xml:space="preserve"> </w:t>
      </w:r>
      <w:r w:rsidR="00BB3D0C">
        <w:t>liquid in</w:t>
      </w:r>
      <w:r w:rsidR="002F3933">
        <w:t xml:space="preserve"> the aerosol </w:t>
      </w:r>
      <w:r w:rsidR="00C31DF0">
        <w:t xml:space="preserve">cans </w:t>
      </w:r>
      <w:r w:rsidR="00BB3D0C">
        <w:t>was approximately</w:t>
      </w:r>
      <w:r w:rsidR="00C31DF0">
        <w:t xml:space="preserve"> 6</w:t>
      </w:r>
      <w:r w:rsidR="008D0800">
        <w:t>%</w:t>
      </w:r>
      <w:r w:rsidR="00C31DF0">
        <w:t>.</w:t>
      </w:r>
      <w:r w:rsidR="008D0800">
        <w:t xml:space="preserve"> </w:t>
      </w:r>
      <w:r w:rsidR="00C31DF0">
        <w:t xml:space="preserve"> </w:t>
      </w:r>
      <w:r w:rsidR="002F3933">
        <w:t>In</w:t>
      </w:r>
      <w:r w:rsidR="00C31DF0">
        <w:t xml:space="preserve"> relation to the flammability tests</w:t>
      </w:r>
      <w:r w:rsidR="002F3933">
        <w:t xml:space="preserve">, the </w:t>
      </w:r>
      <w:proofErr w:type="spellStart"/>
      <w:r w:rsidR="002F3933">
        <w:t>ChemCentre</w:t>
      </w:r>
      <w:proofErr w:type="spellEnd"/>
      <w:r w:rsidR="002F3933">
        <w:t xml:space="preserve"> reported that the</w:t>
      </w:r>
      <w:r w:rsidR="00C31DF0">
        <w:t xml:space="preserve"> </w:t>
      </w:r>
      <w:r w:rsidR="008D0800">
        <w:t xml:space="preserve">“Platypus” </w:t>
      </w:r>
      <w:r w:rsidR="00C31DF0">
        <w:t xml:space="preserve">product passed the tests and </w:t>
      </w:r>
      <w:r w:rsidR="000C486A">
        <w:t>was, therefore</w:t>
      </w:r>
      <w:r w:rsidR="002F3933">
        <w:t>,</w:t>
      </w:r>
      <w:r w:rsidR="00C31DF0">
        <w:t xml:space="preserve"> properly recorded</w:t>
      </w:r>
      <w:r w:rsidR="006224F6">
        <w:t xml:space="preserve"> and packaged</w:t>
      </w:r>
      <w:r w:rsidR="00C31DF0">
        <w:t xml:space="preserve"> as </w:t>
      </w:r>
      <w:r w:rsidR="008D0800">
        <w:t>a non-flammable product.</w:t>
      </w:r>
    </w:p>
    <w:p w:rsidR="006224F6" w:rsidRDefault="002F3933" w:rsidP="00C31DF0">
      <w:pPr>
        <w:pStyle w:val="ParaNumbering"/>
      </w:pPr>
      <w:r>
        <w:t xml:space="preserve">The second </w:t>
      </w:r>
      <w:r w:rsidR="00C30E32">
        <w:t xml:space="preserve">expert </w:t>
      </w:r>
      <w:r>
        <w:t xml:space="preserve">report </w:t>
      </w:r>
      <w:r w:rsidR="00C30E32">
        <w:t xml:space="preserve">was produced by Dr </w:t>
      </w:r>
      <w:r w:rsidR="000C24FA">
        <w:t xml:space="preserve">Paul </w:t>
      </w:r>
      <w:r w:rsidR="00C30E32">
        <w:t>Wyn</w:t>
      </w:r>
      <w:r w:rsidR="000C24FA">
        <w:t>n</w:t>
      </w:r>
      <w:r w:rsidR="00C30E32">
        <w:t>-Hatton.</w:t>
      </w:r>
      <w:r w:rsidR="008D0800">
        <w:t xml:space="preserve"> </w:t>
      </w:r>
      <w:r w:rsidR="00C30E32">
        <w:t xml:space="preserve"> This is a much more </w:t>
      </w:r>
      <w:r w:rsidR="00C31DF0">
        <w:t xml:space="preserve">detailed report </w:t>
      </w:r>
      <w:r w:rsidR="00EA64EC">
        <w:t xml:space="preserve">than that prepared by </w:t>
      </w:r>
      <w:r w:rsidR="00BB3D0C">
        <w:t xml:space="preserve">the </w:t>
      </w:r>
      <w:proofErr w:type="spellStart"/>
      <w:r w:rsidR="00BB3D0C">
        <w:t>ChemCentre</w:t>
      </w:r>
      <w:proofErr w:type="spellEnd"/>
      <w:r w:rsidR="00BB3D0C">
        <w:t xml:space="preserve">. </w:t>
      </w:r>
      <w:r w:rsidR="00072388">
        <w:t xml:space="preserve"> </w:t>
      </w:r>
      <w:r w:rsidR="00BB3D0C">
        <w:t>Dr Wyn</w:t>
      </w:r>
      <w:r w:rsidR="000C24FA">
        <w:t>n</w:t>
      </w:r>
      <w:r w:rsidR="00BB3D0C">
        <w:t xml:space="preserve">-Hatton also tested </w:t>
      </w:r>
      <w:r w:rsidR="00532D7B">
        <w:t xml:space="preserve">other </w:t>
      </w:r>
      <w:r w:rsidR="00BB3D0C">
        <w:t>“</w:t>
      </w:r>
      <w:proofErr w:type="spellStart"/>
      <w:r w:rsidR="00FC4484">
        <w:t>Blastbag</w:t>
      </w:r>
      <w:proofErr w:type="spellEnd"/>
      <w:r w:rsidR="00BB3D0C">
        <w:t xml:space="preserve"> Hero” brand name</w:t>
      </w:r>
      <w:r w:rsidR="00072388">
        <w:t xml:space="preserve"> products</w:t>
      </w:r>
      <w:r w:rsidR="00BB3D0C">
        <w:t xml:space="preserve"> in addition to the “Platypus” product.</w:t>
      </w:r>
      <w:r w:rsidR="008D0800">
        <w:t xml:space="preserve"> </w:t>
      </w:r>
      <w:r w:rsidR="00BB3D0C">
        <w:t xml:space="preserve"> Dr</w:t>
      </w:r>
      <w:r w:rsidR="00F4168C">
        <w:t> </w:t>
      </w:r>
      <w:r w:rsidR="00BB3D0C">
        <w:t>Wyn</w:t>
      </w:r>
      <w:r w:rsidR="000C24FA">
        <w:t>n</w:t>
      </w:r>
      <w:r w:rsidR="008D0800">
        <w:noBreakHyphen/>
      </w:r>
      <w:r w:rsidR="00BB3D0C">
        <w:t>Hatton</w:t>
      </w:r>
      <w:r w:rsidR="00C31DF0">
        <w:t xml:space="preserve"> did</w:t>
      </w:r>
      <w:r w:rsidR="00BB3D0C">
        <w:t xml:space="preserve"> not</w:t>
      </w:r>
      <w:r w:rsidR="00072388">
        <w:t>,</w:t>
      </w:r>
      <w:r w:rsidR="00BB3D0C">
        <w:t xml:space="preserve"> however</w:t>
      </w:r>
      <w:r w:rsidR="00072388">
        <w:t>,</w:t>
      </w:r>
      <w:r w:rsidR="00BB3D0C">
        <w:t xml:space="preserve"> test the </w:t>
      </w:r>
      <w:r w:rsidR="005D3285">
        <w:t xml:space="preserve">acetone content in the </w:t>
      </w:r>
      <w:r w:rsidR="00BB3D0C">
        <w:t xml:space="preserve">liquid in the </w:t>
      </w:r>
      <w:r w:rsidR="008D0800">
        <w:t xml:space="preserve">aerosol </w:t>
      </w:r>
      <w:r w:rsidR="00BB3D0C">
        <w:t>cans</w:t>
      </w:r>
      <w:r w:rsidR="003E5822">
        <w:t xml:space="preserve"> for each product</w:t>
      </w:r>
      <w:r w:rsidR="00C31DF0">
        <w:t xml:space="preserve"> but referred to some quality control records which had been kept by the respondent</w:t>
      </w:r>
      <w:r w:rsidR="006224F6">
        <w:t>.  Dr</w:t>
      </w:r>
      <w:r w:rsidR="0041520E">
        <w:t xml:space="preserve"> </w:t>
      </w:r>
      <w:r w:rsidR="006224F6">
        <w:t>Wyn</w:t>
      </w:r>
      <w:r w:rsidR="000C24FA">
        <w:t>n</w:t>
      </w:r>
      <w:r w:rsidR="006224F6">
        <w:t xml:space="preserve">-Hatton’s </w:t>
      </w:r>
      <w:r w:rsidR="00C31DF0">
        <w:t>conclusion was that there was more than 1</w:t>
      </w:r>
      <w:r w:rsidR="008D0800">
        <w:t>%</w:t>
      </w:r>
      <w:r w:rsidR="00C31DF0">
        <w:t xml:space="preserve"> acetone in </w:t>
      </w:r>
      <w:r w:rsidR="008D0800">
        <w:t>all</w:t>
      </w:r>
      <w:r w:rsidR="00532D7B">
        <w:t xml:space="preserve"> </w:t>
      </w:r>
      <w:r w:rsidR="008D0800">
        <w:t>the “</w:t>
      </w:r>
      <w:proofErr w:type="spellStart"/>
      <w:r w:rsidR="00FC4484">
        <w:t>Blastbag</w:t>
      </w:r>
      <w:proofErr w:type="spellEnd"/>
      <w:r w:rsidR="008D0800">
        <w:t xml:space="preserve"> Hero” </w:t>
      </w:r>
      <w:r w:rsidR="00C31DF0">
        <w:t>product</w:t>
      </w:r>
      <w:r w:rsidR="008D0800">
        <w:t>s</w:t>
      </w:r>
      <w:r w:rsidR="003F75BA">
        <w:t>,</w:t>
      </w:r>
      <w:r w:rsidR="00C31DF0">
        <w:t xml:space="preserve"> but</w:t>
      </w:r>
      <w:r w:rsidR="006224F6">
        <w:t>,</w:t>
      </w:r>
      <w:r w:rsidR="00C31DF0">
        <w:t xml:space="preserve"> as Mr Howard</w:t>
      </w:r>
      <w:r w:rsidR="0041520E">
        <w:t xml:space="preserve"> </w:t>
      </w:r>
      <w:r w:rsidR="00C31DF0">
        <w:t>pointed out</w:t>
      </w:r>
      <w:r w:rsidR="006224F6">
        <w:t>,</w:t>
      </w:r>
      <w:r w:rsidR="00C31DF0">
        <w:t xml:space="preserve"> there</w:t>
      </w:r>
      <w:r w:rsidR="005D3285">
        <w:t xml:space="preserve"> was no </w:t>
      </w:r>
      <w:r w:rsidR="00C31DF0">
        <w:t xml:space="preserve">maximum percentage </w:t>
      </w:r>
      <w:r w:rsidR="005D3285">
        <w:t xml:space="preserve">acetone </w:t>
      </w:r>
      <w:r w:rsidR="00C31DF0">
        <w:t xml:space="preserve">content disclosed </w:t>
      </w:r>
      <w:r w:rsidR="005D3285">
        <w:t xml:space="preserve">in </w:t>
      </w:r>
      <w:r w:rsidR="008D0800">
        <w:t>Dr Wyn</w:t>
      </w:r>
      <w:r w:rsidR="000C24FA">
        <w:t>n</w:t>
      </w:r>
      <w:r w:rsidR="008D0800">
        <w:t>-Hatton’s</w:t>
      </w:r>
      <w:r w:rsidR="005D3285">
        <w:t xml:space="preserve"> </w:t>
      </w:r>
      <w:r w:rsidR="00C31DF0">
        <w:t>report</w:t>
      </w:r>
      <w:r w:rsidR="005D3285">
        <w:t>.</w:t>
      </w:r>
    </w:p>
    <w:p w:rsidR="00C31DF0" w:rsidRDefault="00C31DF0" w:rsidP="00C31DF0">
      <w:pPr>
        <w:pStyle w:val="ParaNumbering"/>
      </w:pPr>
      <w:r>
        <w:t>Dr Wyn</w:t>
      </w:r>
      <w:r w:rsidR="000C24FA">
        <w:t>n</w:t>
      </w:r>
      <w:r>
        <w:t>-Hatton also found that</w:t>
      </w:r>
      <w:r w:rsidR="006224F6">
        <w:t>,</w:t>
      </w:r>
      <w:r>
        <w:t xml:space="preserve"> on applying the ignition testing process </w:t>
      </w:r>
      <w:r w:rsidR="008D0800">
        <w:t xml:space="preserve">as </w:t>
      </w:r>
      <w:r w:rsidR="003E5822">
        <w:t xml:space="preserve">prescribed </w:t>
      </w:r>
      <w:r w:rsidR="003F75BA">
        <w:t xml:space="preserve">in the Code </w:t>
      </w:r>
      <w:r>
        <w:t xml:space="preserve">to the </w:t>
      </w:r>
      <w:r w:rsidR="003F75BA">
        <w:t xml:space="preserve">liquid in the aerosol </w:t>
      </w:r>
      <w:r>
        <w:t>cans</w:t>
      </w:r>
      <w:r w:rsidR="008D0800">
        <w:t>,</w:t>
      </w:r>
      <w:r>
        <w:t xml:space="preserve"> those cans </w:t>
      </w:r>
      <w:r w:rsidR="008D0800">
        <w:t>proved to be</w:t>
      </w:r>
      <w:r>
        <w:t xml:space="preserve"> not flammable</w:t>
      </w:r>
      <w:r w:rsidR="003E5822">
        <w:t xml:space="preserve">.  </w:t>
      </w:r>
      <w:r>
        <w:t>Dr</w:t>
      </w:r>
      <w:r w:rsidR="00F4168C">
        <w:t> </w:t>
      </w:r>
      <w:r>
        <w:t>Wyn</w:t>
      </w:r>
      <w:r w:rsidR="000C24FA">
        <w:t>n</w:t>
      </w:r>
      <w:r w:rsidR="00F4168C">
        <w:noBreakHyphen/>
      </w:r>
      <w:r>
        <w:t xml:space="preserve">Hatton’s conclusion was that the </w:t>
      </w:r>
      <w:r w:rsidR="008D0800">
        <w:t xml:space="preserve">aerosol </w:t>
      </w:r>
      <w:r>
        <w:t>cans and the product</w:t>
      </w:r>
      <w:r w:rsidR="00383816">
        <w:t>s</w:t>
      </w:r>
      <w:r>
        <w:t xml:space="preserve"> were properly labelled </w:t>
      </w:r>
      <w:r w:rsidR="00383816">
        <w:t>as non-flammable.</w:t>
      </w:r>
    </w:p>
    <w:p w:rsidR="006224F6" w:rsidRDefault="000C486A" w:rsidP="00C31DF0">
      <w:pPr>
        <w:pStyle w:val="ParaNumbering"/>
      </w:pPr>
      <w:r>
        <w:t>T</w:t>
      </w:r>
      <w:r w:rsidR="00C31DF0">
        <w:t>he question</w:t>
      </w:r>
      <w:r w:rsidR="00072388">
        <w:t>,</w:t>
      </w:r>
      <w:r w:rsidR="00C31DF0">
        <w:t xml:space="preserve"> therefore</w:t>
      </w:r>
      <w:r w:rsidR="00072388">
        <w:t>,</w:t>
      </w:r>
      <w:r w:rsidR="00C31DF0">
        <w:t xml:space="preserve"> is whether the applicant ha</w:t>
      </w:r>
      <w:r w:rsidR="003F547E">
        <w:t>s</w:t>
      </w:r>
      <w:r w:rsidR="00072388">
        <w:t xml:space="preserve"> demonstrated that there i</w:t>
      </w:r>
      <w:r w:rsidR="00C31DF0">
        <w:t>s a</w:t>
      </w:r>
      <w:r w:rsidR="00072388">
        <w:t xml:space="preserve"> prime facie case, in the sense of</w:t>
      </w:r>
      <w:r w:rsidR="008606B5">
        <w:t xml:space="preserve"> a</w:t>
      </w:r>
      <w:r w:rsidR="00C31DF0">
        <w:t xml:space="preserve"> serious issue</w:t>
      </w:r>
      <w:r w:rsidR="000C24FA">
        <w:t xml:space="preserve"> to be tried</w:t>
      </w:r>
      <w:r w:rsidR="008606B5">
        <w:t xml:space="preserve"> of sufficient merit</w:t>
      </w:r>
      <w:r w:rsidR="00C31DF0">
        <w:t xml:space="preserve"> </w:t>
      </w:r>
      <w:r w:rsidR="000C24FA">
        <w:t xml:space="preserve">on </w:t>
      </w:r>
      <w:r w:rsidR="00C31DF0">
        <w:t xml:space="preserve">whether the </w:t>
      </w:r>
      <w:r w:rsidR="008606B5">
        <w:t xml:space="preserve">impugned </w:t>
      </w:r>
      <w:r w:rsidR="00C31DF0">
        <w:t>conduct of the respondent is misleading or deceptive</w:t>
      </w:r>
      <w:r w:rsidR="008606B5">
        <w:t xml:space="preserve"> in the </w:t>
      </w:r>
      <w:r w:rsidR="005E2E22">
        <w:t>respects</w:t>
      </w:r>
      <w:r w:rsidR="008606B5">
        <w:t xml:space="preserve"> alleged, having regard to the </w:t>
      </w:r>
      <w:r w:rsidR="000C24FA">
        <w:t xml:space="preserve">interlocutory </w:t>
      </w:r>
      <w:r w:rsidR="008606B5">
        <w:t>relief sought.</w:t>
      </w:r>
    </w:p>
    <w:p w:rsidR="006224F6" w:rsidRDefault="00C31DF0" w:rsidP="00C31DF0">
      <w:pPr>
        <w:pStyle w:val="ParaNumbering"/>
      </w:pPr>
      <w:r>
        <w:t xml:space="preserve">Mr de </w:t>
      </w:r>
      <w:proofErr w:type="spellStart"/>
      <w:r>
        <w:t>Kerloy</w:t>
      </w:r>
      <w:proofErr w:type="spellEnd"/>
      <w:r>
        <w:t>, who appeared on behalf of the respondent</w:t>
      </w:r>
      <w:r w:rsidR="00383816">
        <w:t>,</w:t>
      </w:r>
      <w:r>
        <w:t xml:space="preserve"> sought to persuade me that Dr</w:t>
      </w:r>
      <w:r w:rsidR="00F4168C">
        <w:t> </w:t>
      </w:r>
      <w:r>
        <w:t>Wyn</w:t>
      </w:r>
      <w:r w:rsidR="000C24FA">
        <w:t>n</w:t>
      </w:r>
      <w:r>
        <w:t>-Hatton had particular</w:t>
      </w:r>
      <w:r w:rsidR="00383816">
        <w:t>ly</w:t>
      </w:r>
      <w:r>
        <w:t xml:space="preserve"> good qualifications in relation to the testing of aerosol</w:t>
      </w:r>
      <w:r w:rsidR="006224F6">
        <w:t xml:space="preserve"> </w:t>
      </w:r>
      <w:r w:rsidR="00383816">
        <w:t>cans</w:t>
      </w:r>
      <w:r w:rsidR="008606B5">
        <w:t xml:space="preserve"> when compared to the qualifications of the other experts</w:t>
      </w:r>
      <w:r w:rsidR="003E5822">
        <w:t xml:space="preserve"> relied on by the applicant</w:t>
      </w:r>
      <w:r w:rsidR="008606B5">
        <w:t xml:space="preserve">.  However, the question of </w:t>
      </w:r>
      <w:r w:rsidR="006224F6">
        <w:t xml:space="preserve">an expert’s </w:t>
      </w:r>
      <w:r w:rsidR="008606B5">
        <w:t>qualifications is just one</w:t>
      </w:r>
      <w:r>
        <w:t xml:space="preserve"> factor t</w:t>
      </w:r>
      <w:r w:rsidR="008606B5">
        <w:t xml:space="preserve">o which </w:t>
      </w:r>
      <w:r>
        <w:t xml:space="preserve">regard </w:t>
      </w:r>
      <w:r w:rsidR="000C24FA">
        <w:t xml:space="preserve">may </w:t>
      </w:r>
      <w:r w:rsidR="008606B5">
        <w:t>be had.  I</w:t>
      </w:r>
      <w:r>
        <w:t xml:space="preserve">n the absence of cross-examination, </w:t>
      </w:r>
      <w:r w:rsidR="008606B5">
        <w:t xml:space="preserve">the respective merits of </w:t>
      </w:r>
      <w:r w:rsidR="006224F6">
        <w:t xml:space="preserve">each of </w:t>
      </w:r>
      <w:r>
        <w:t xml:space="preserve">the </w:t>
      </w:r>
      <w:r w:rsidR="00383816">
        <w:t xml:space="preserve">expert </w:t>
      </w:r>
      <w:r>
        <w:t>reports</w:t>
      </w:r>
      <w:r w:rsidR="008606B5">
        <w:t xml:space="preserve"> cannot be fairly assessed.</w:t>
      </w:r>
    </w:p>
    <w:p w:rsidR="006224F6" w:rsidRDefault="006224F6" w:rsidP="006224F6">
      <w:pPr>
        <w:pStyle w:val="ParaNumbering"/>
      </w:pPr>
      <w:r>
        <w:t>As the matter stands</w:t>
      </w:r>
      <w:r w:rsidR="003E5822">
        <w:t>, therefore,</w:t>
      </w:r>
      <w:r>
        <w:t xml:space="preserve"> it is not possible for the Court to conclude that one expert is to be preferred over another expert in relation to the question of whether the “Platypus” product is truly flammable or whether the aerosol cans of the “Platypus” product contain an amount of acetone which would render the representation in the </w:t>
      </w:r>
      <w:proofErr w:type="spellStart"/>
      <w:r>
        <w:t>MSDS</w:t>
      </w:r>
      <w:proofErr w:type="spellEnd"/>
      <w:r>
        <w:t xml:space="preserve"> misleading or deceptive.</w:t>
      </w:r>
    </w:p>
    <w:p w:rsidR="00C31DF0" w:rsidRDefault="00C31DF0" w:rsidP="00C31DF0">
      <w:pPr>
        <w:pStyle w:val="ParaNumbering"/>
      </w:pPr>
      <w:r>
        <w:lastRenderedPageBreak/>
        <w:t>I conclude</w:t>
      </w:r>
      <w:r w:rsidR="008606B5">
        <w:t>, therefore,</w:t>
      </w:r>
      <w:r>
        <w:t xml:space="preserve"> that there is a serious question</w:t>
      </w:r>
      <w:r w:rsidR="005E2E22">
        <w:t xml:space="preserve"> </w:t>
      </w:r>
      <w:r>
        <w:t xml:space="preserve">to be tried </w:t>
      </w:r>
      <w:r w:rsidR="000C24FA">
        <w:t xml:space="preserve">of sufficient merit </w:t>
      </w:r>
      <w:r>
        <w:t>on the state of the evidence as it exists at the moment.</w:t>
      </w:r>
    </w:p>
    <w:p w:rsidR="00700ACE" w:rsidRDefault="00383816" w:rsidP="00C31DF0">
      <w:pPr>
        <w:pStyle w:val="ParaNumbering"/>
      </w:pPr>
      <w:r>
        <w:t>The second issue is</w:t>
      </w:r>
      <w:r w:rsidR="00C31DF0">
        <w:t xml:space="preserve"> the question</w:t>
      </w:r>
      <w:r>
        <w:t xml:space="preserve"> of the balance of convenience.</w:t>
      </w:r>
    </w:p>
    <w:p w:rsidR="005E2E22" w:rsidRDefault="008606B5" w:rsidP="00C31DF0">
      <w:pPr>
        <w:pStyle w:val="ParaNumbering"/>
      </w:pPr>
      <w:r>
        <w:t>T</w:t>
      </w:r>
      <w:r w:rsidR="00C31DF0">
        <w:t xml:space="preserve">here were two elements </w:t>
      </w:r>
      <w:r>
        <w:t xml:space="preserve">upon </w:t>
      </w:r>
      <w:r w:rsidR="00C31DF0">
        <w:t>which</w:t>
      </w:r>
      <w:r>
        <w:t xml:space="preserve"> the applicant</w:t>
      </w:r>
      <w:r w:rsidR="00C31DF0">
        <w:t xml:space="preserve"> relied in relation to the balance of convenience</w:t>
      </w:r>
      <w:r>
        <w:t>.</w:t>
      </w:r>
    </w:p>
    <w:p w:rsidR="00866ECC" w:rsidRPr="000C24FA" w:rsidRDefault="008606B5" w:rsidP="00C31DF0">
      <w:pPr>
        <w:pStyle w:val="ParaNumbering"/>
      </w:pPr>
      <w:r>
        <w:t>The</w:t>
      </w:r>
      <w:r w:rsidR="00C31DF0">
        <w:t xml:space="preserve"> first </w:t>
      </w:r>
      <w:r w:rsidR="000966CF">
        <w:t xml:space="preserve">element </w:t>
      </w:r>
      <w:r w:rsidR="00C31DF0">
        <w:t>is that the applicant is losing market share because</w:t>
      </w:r>
      <w:r w:rsidR="000966CF">
        <w:t xml:space="preserve"> of the respondent’s unlawful conduct.  The applicant contends that</w:t>
      </w:r>
      <w:r w:rsidR="00A13AAC">
        <w:t xml:space="preserve"> it is losing customers because</w:t>
      </w:r>
      <w:r w:rsidR="000966CF">
        <w:t xml:space="preserve"> </w:t>
      </w:r>
      <w:r w:rsidR="00866ECC" w:rsidRPr="000C24FA">
        <w:t>the respondent has gained a competitive advantage over the applicant</w:t>
      </w:r>
      <w:r w:rsidR="000C24FA">
        <w:t xml:space="preserve"> by using acetone as a</w:t>
      </w:r>
      <w:r w:rsidR="00E7524A">
        <w:t xml:space="preserve"> diluent of </w:t>
      </w:r>
      <w:proofErr w:type="spellStart"/>
      <w:r w:rsidR="00E7524A">
        <w:t>HCF134a</w:t>
      </w:r>
      <w:proofErr w:type="spellEnd"/>
      <w:r w:rsidR="00E7524A">
        <w:t xml:space="preserve">, the primary component </w:t>
      </w:r>
      <w:r w:rsidR="000C24FA">
        <w:t xml:space="preserve">in </w:t>
      </w:r>
      <w:r w:rsidR="001256A2">
        <w:t>the respondent’s</w:t>
      </w:r>
      <w:r w:rsidR="000C24FA">
        <w:t xml:space="preserve"> aerosol cans</w:t>
      </w:r>
      <w:r w:rsidR="00F4168C">
        <w:t>,</w:t>
      </w:r>
      <w:r w:rsidR="001256A2">
        <w:t xml:space="preserve"> when it does not, and that</w:t>
      </w:r>
      <w:r w:rsidR="00E7524A">
        <w:t xml:space="preserve"> acetone is cheaper than </w:t>
      </w:r>
      <w:proofErr w:type="spellStart"/>
      <w:r w:rsidR="00E7524A">
        <w:t>HCF134a</w:t>
      </w:r>
      <w:proofErr w:type="spellEnd"/>
      <w:r w:rsidR="00A13AAC">
        <w:t>.</w:t>
      </w:r>
    </w:p>
    <w:p w:rsidR="00C31DF0" w:rsidRDefault="00C31DF0" w:rsidP="00C31DF0">
      <w:pPr>
        <w:pStyle w:val="ParaNumbering"/>
      </w:pPr>
      <w:r>
        <w:t xml:space="preserve">Mr </w:t>
      </w:r>
      <w:r w:rsidR="00A560F1">
        <w:t>Michael</w:t>
      </w:r>
      <w:r w:rsidR="00866ECC">
        <w:t xml:space="preserve"> </w:t>
      </w:r>
      <w:r>
        <w:t>Martin</w:t>
      </w:r>
      <w:r w:rsidR="0041520E">
        <w:t>, the</w:t>
      </w:r>
      <w:r w:rsidR="00E7524A">
        <w:t xml:space="preserve"> </w:t>
      </w:r>
      <w:r w:rsidR="00A560F1">
        <w:t>chief executive officer of the applicant,</w:t>
      </w:r>
      <w:r w:rsidR="00AB18C6">
        <w:t xml:space="preserve"> gave evidence </w:t>
      </w:r>
      <w:r w:rsidR="000966CF">
        <w:t>of a specific instance where he says</w:t>
      </w:r>
      <w:r w:rsidR="00AB18C6">
        <w:t xml:space="preserve"> </w:t>
      </w:r>
      <w:r>
        <w:t>customers</w:t>
      </w:r>
      <w:r w:rsidR="000966CF">
        <w:t xml:space="preserve"> have been lost by the applicant to the respondent.  </w:t>
      </w:r>
      <w:r w:rsidR="00AB18C6">
        <w:t>Mr</w:t>
      </w:r>
      <w:r w:rsidR="00F4168C">
        <w:t> </w:t>
      </w:r>
      <w:r w:rsidR="00AB18C6">
        <w:t xml:space="preserve">Martin said </w:t>
      </w:r>
      <w:r>
        <w:t xml:space="preserve">that he had a meeting with Mr </w:t>
      </w:r>
      <w:r w:rsidR="00A560F1">
        <w:t>Simon</w:t>
      </w:r>
      <w:r w:rsidR="00383816">
        <w:t xml:space="preserve"> </w:t>
      </w:r>
      <w:proofErr w:type="spellStart"/>
      <w:r>
        <w:t>Horrocks</w:t>
      </w:r>
      <w:proofErr w:type="spellEnd"/>
      <w:r w:rsidR="00AB18C6">
        <w:t xml:space="preserve"> of </w:t>
      </w:r>
      <w:proofErr w:type="spellStart"/>
      <w:r w:rsidR="00A560F1">
        <w:t>Glencore</w:t>
      </w:r>
      <w:proofErr w:type="spellEnd"/>
      <w:r w:rsidR="00A560F1">
        <w:t xml:space="preserve"> Rolleston</w:t>
      </w:r>
      <w:r>
        <w:t xml:space="preserve"> on 21</w:t>
      </w:r>
      <w:r w:rsidR="00F4168C">
        <w:t> </w:t>
      </w:r>
      <w:r>
        <w:t xml:space="preserve">January 2015 and Mr </w:t>
      </w:r>
      <w:proofErr w:type="spellStart"/>
      <w:r>
        <w:t>Horrocks</w:t>
      </w:r>
      <w:proofErr w:type="spellEnd"/>
      <w:r>
        <w:t xml:space="preserve"> said to him that </w:t>
      </w:r>
      <w:r w:rsidR="00AB18C6">
        <w:t xml:space="preserve">the respondent </w:t>
      </w:r>
      <w:r>
        <w:t xml:space="preserve">had made a low price pitch for a trial pallet </w:t>
      </w:r>
      <w:r w:rsidRPr="00A560F1">
        <w:t xml:space="preserve">of </w:t>
      </w:r>
      <w:r w:rsidRPr="00E7524A">
        <w:t>600 gas bags of 270</w:t>
      </w:r>
      <w:r w:rsidR="00A560F1" w:rsidRPr="00E7524A">
        <w:t xml:space="preserve"> mm</w:t>
      </w:r>
      <w:r w:rsidRPr="00E7524A">
        <w:t xml:space="preserve"> </w:t>
      </w:r>
      <w:r w:rsidR="00383816" w:rsidRPr="00E7524A">
        <w:t>“</w:t>
      </w:r>
      <w:proofErr w:type="spellStart"/>
      <w:r w:rsidR="00FC4484" w:rsidRPr="00E7524A">
        <w:t>Blastbag</w:t>
      </w:r>
      <w:proofErr w:type="spellEnd"/>
      <w:r w:rsidRPr="00E7524A">
        <w:t xml:space="preserve"> Hero</w:t>
      </w:r>
      <w:r w:rsidR="00383816" w:rsidRPr="00E7524A">
        <w:t>”</w:t>
      </w:r>
      <w:r w:rsidRPr="00E7524A">
        <w:t xml:space="preserve"> bags</w:t>
      </w:r>
      <w:r>
        <w:t xml:space="preserve"> at $6 per bag compared to </w:t>
      </w:r>
      <w:r w:rsidR="00AB18C6">
        <w:t xml:space="preserve">the applicant’s </w:t>
      </w:r>
      <w:r>
        <w:t xml:space="preserve">price of $12.95 </w:t>
      </w:r>
      <w:r w:rsidR="00383816">
        <w:t>per</w:t>
      </w:r>
      <w:r>
        <w:t xml:space="preserve"> bag.  </w:t>
      </w:r>
      <w:r w:rsidR="00AB18C6">
        <w:t xml:space="preserve">Mr Martin </w:t>
      </w:r>
      <w:r w:rsidR="00866ECC">
        <w:t xml:space="preserve">deposed </w:t>
      </w:r>
      <w:r>
        <w:t>that the applicant could</w:t>
      </w:r>
      <w:r w:rsidR="00AB18C6">
        <w:t xml:space="preserve"> </w:t>
      </w:r>
      <w:r>
        <w:t>n</w:t>
      </w:r>
      <w:r w:rsidR="00AB18C6">
        <w:t>o</w:t>
      </w:r>
      <w:r>
        <w:t xml:space="preserve">t match that offer with a </w:t>
      </w:r>
      <w:r w:rsidR="00866ECC">
        <w:t>green d</w:t>
      </w:r>
      <w:r>
        <w:t xml:space="preserve">iamond </w:t>
      </w:r>
      <w:r w:rsidR="00866ECC">
        <w:t>p</w:t>
      </w:r>
      <w:r>
        <w:t xml:space="preserve">roduct and, in </w:t>
      </w:r>
      <w:r w:rsidR="00866ECC">
        <w:t xml:space="preserve">his </w:t>
      </w:r>
      <w:proofErr w:type="gramStart"/>
      <w:r>
        <w:t>opinion, that</w:t>
      </w:r>
      <w:proofErr w:type="gramEnd"/>
      <w:r>
        <w:t xml:space="preserve"> </w:t>
      </w:r>
      <w:r w:rsidR="00866ECC">
        <w:t>wa</w:t>
      </w:r>
      <w:r>
        <w:t xml:space="preserve">s the reason </w:t>
      </w:r>
      <w:r w:rsidR="00866ECC">
        <w:t>the applicant</w:t>
      </w:r>
      <w:r>
        <w:t xml:space="preserve"> lost the business.</w:t>
      </w:r>
    </w:p>
    <w:p w:rsidR="00AB18C6" w:rsidRDefault="00AB18C6" w:rsidP="00C31DF0">
      <w:pPr>
        <w:pStyle w:val="ParaNumbering"/>
      </w:pPr>
      <w:r>
        <w:t xml:space="preserve">Mr Martin </w:t>
      </w:r>
      <w:r w:rsidR="00A560F1">
        <w:t xml:space="preserve">also </w:t>
      </w:r>
      <w:r>
        <w:t xml:space="preserve">deposed to </w:t>
      </w:r>
      <w:r w:rsidR="00C31DF0">
        <w:t>two or three other instances wh</w:t>
      </w:r>
      <w:r>
        <w:t>ere the applicant had lost business to the respondent</w:t>
      </w:r>
      <w:r w:rsidR="001256A2">
        <w:t xml:space="preserve"> in similar circumstances</w:t>
      </w:r>
      <w:r>
        <w:t>.</w:t>
      </w:r>
    </w:p>
    <w:p w:rsidR="00866ECC" w:rsidRDefault="00866ECC" w:rsidP="00866ECC">
      <w:pPr>
        <w:pStyle w:val="ParaNumbering"/>
      </w:pPr>
      <w:r>
        <w:t>The applicant said that the respondent would continue unfairly to erode the applicant’s market share until trial, if an injunction was not granted.</w:t>
      </w:r>
    </w:p>
    <w:p w:rsidR="00C31DF0" w:rsidRDefault="00AB18C6" w:rsidP="00C31DF0">
      <w:pPr>
        <w:pStyle w:val="ParaNumbering"/>
      </w:pPr>
      <w:r>
        <w:t>S</w:t>
      </w:r>
      <w:r w:rsidR="00C31DF0">
        <w:t xml:space="preserve">econdly, the applicant </w:t>
      </w:r>
      <w:r>
        <w:t>said</w:t>
      </w:r>
      <w:r w:rsidR="00C31DF0">
        <w:t xml:space="preserve"> that it</w:t>
      </w:r>
      <w:r>
        <w:t xml:space="preserve"> i</w:t>
      </w:r>
      <w:r w:rsidR="00C31DF0">
        <w:t>s</w:t>
      </w:r>
      <w:r>
        <w:t xml:space="preserve"> not only concerned about its loss of business, but also about the risk of injury which the respondent’s </w:t>
      </w:r>
      <w:r w:rsidR="000966CF">
        <w:t xml:space="preserve">“Platypus” </w:t>
      </w:r>
      <w:r>
        <w:t xml:space="preserve">product poses to persons handling the product.  </w:t>
      </w:r>
      <w:r w:rsidR="00C31DF0">
        <w:t xml:space="preserve">In para 53 of the written outline of submissions, </w:t>
      </w:r>
      <w:r w:rsidR="00311246">
        <w:t xml:space="preserve">the applicant </w:t>
      </w:r>
      <w:r w:rsidR="00C31DF0">
        <w:t>s</w:t>
      </w:r>
      <w:r w:rsidR="00A560F1">
        <w:t>ubmitted</w:t>
      </w:r>
      <w:r w:rsidR="00C31DF0">
        <w:t>:</w:t>
      </w:r>
    </w:p>
    <w:p w:rsidR="00DF2BE1" w:rsidRPr="00DF2BE1" w:rsidRDefault="00C31DF0" w:rsidP="00DF2BE1">
      <w:pPr>
        <w:pStyle w:val="Quote1"/>
      </w:pPr>
      <w:r w:rsidRPr="00DF2BE1">
        <w:t>There is, however, a much greater and more obvious public interest, being public safety</w:t>
      </w:r>
      <w:r w:rsidR="00DF2BE1">
        <w:t>.  I</w:t>
      </w:r>
      <w:r w:rsidRPr="00DF2BE1">
        <w:t>t</w:t>
      </w:r>
      <w:r w:rsidR="00DF2BE1">
        <w:t xml:space="preserve"> i</w:t>
      </w:r>
      <w:r w:rsidRPr="00DF2BE1">
        <w:t>s reasonable to assume that those involved in handling, transport and storage of MTI</w:t>
      </w:r>
      <w:r w:rsidR="00DF2BE1">
        <w:t>’s</w:t>
      </w:r>
      <w:r w:rsidRPr="00DF2BE1">
        <w:t xml:space="preserve"> products will handle those products in a manner appropriate to their classification to ensure the risk of harm to person, property and </w:t>
      </w:r>
      <w:r w:rsidR="00DF2BE1">
        <w:t xml:space="preserve">the </w:t>
      </w:r>
      <w:r w:rsidRPr="00DF2BE1">
        <w:t>environment is minimised.</w:t>
      </w:r>
      <w:r w:rsidR="00DF2BE1">
        <w:t xml:space="preserve">  This assumption is based on the fact that those involved in such operations have a duty under s 8 of the </w:t>
      </w:r>
      <w:r w:rsidR="00DF2BE1">
        <w:rPr>
          <w:i/>
        </w:rPr>
        <w:t>Dangerous Goods Safety Act 2004</w:t>
      </w:r>
      <w:r w:rsidR="00DF2BE1">
        <w:t xml:space="preserve"> (WA) to minimise the risk to people, property and the environment.  So, if the products are marked as non-flammable they will be handled, stored and transported using </w:t>
      </w:r>
      <w:r w:rsidR="00DF2BE1">
        <w:lastRenderedPageBreak/>
        <w:t>procedures appropriate for non-flammable goods.  (Footnote omitted.)</w:t>
      </w:r>
    </w:p>
    <w:p w:rsidR="00DF2BE1" w:rsidRDefault="00DF2BE1" w:rsidP="00DF2BE1">
      <w:pPr>
        <w:pStyle w:val="Quote1"/>
      </w:pPr>
    </w:p>
    <w:p w:rsidR="005E2E22" w:rsidRDefault="00311246" w:rsidP="00DF2BE1">
      <w:pPr>
        <w:pStyle w:val="ParaNumbering"/>
      </w:pPr>
      <w:r>
        <w:t xml:space="preserve">In response to the applicant’s argument as to </w:t>
      </w:r>
      <w:r w:rsidR="00A560F1">
        <w:t xml:space="preserve">the </w:t>
      </w:r>
      <w:r w:rsidR="00C31DF0">
        <w:t>loss of business</w:t>
      </w:r>
      <w:r>
        <w:t>,</w:t>
      </w:r>
      <w:r w:rsidR="0036034B">
        <w:t xml:space="preserve"> </w:t>
      </w:r>
      <w:r w:rsidR="00C31DF0">
        <w:t xml:space="preserve">Mr de </w:t>
      </w:r>
      <w:proofErr w:type="spellStart"/>
      <w:r w:rsidR="00C31DF0">
        <w:t>Kerloy</w:t>
      </w:r>
      <w:proofErr w:type="spellEnd"/>
      <w:r w:rsidR="00C31DF0">
        <w:t xml:space="preserve"> pointed out</w:t>
      </w:r>
      <w:r w:rsidR="000966CF">
        <w:t xml:space="preserve"> </w:t>
      </w:r>
      <w:r>
        <w:t xml:space="preserve">that </w:t>
      </w:r>
      <w:r w:rsidR="00C31DF0">
        <w:t xml:space="preserve">some of the </w:t>
      </w:r>
      <w:r w:rsidR="0036034B">
        <w:t xml:space="preserve">instances of loss of business referred to by Mr Martin </w:t>
      </w:r>
      <w:r>
        <w:t xml:space="preserve">in his affidavit </w:t>
      </w:r>
      <w:r w:rsidR="0036034B">
        <w:t xml:space="preserve">did not relate to </w:t>
      </w:r>
      <w:r w:rsidR="00C31DF0">
        <w:t xml:space="preserve">the </w:t>
      </w:r>
      <w:r w:rsidR="0036034B">
        <w:t>“</w:t>
      </w:r>
      <w:r w:rsidR="00C31DF0">
        <w:t>Platypus</w:t>
      </w:r>
      <w:r w:rsidR="0036034B">
        <w:t>”</w:t>
      </w:r>
      <w:r w:rsidR="00C31DF0">
        <w:t xml:space="preserve"> product but, in fact, one of the other </w:t>
      </w:r>
      <w:r w:rsidR="00383816">
        <w:t>“</w:t>
      </w:r>
      <w:proofErr w:type="spellStart"/>
      <w:r w:rsidR="00FC4484">
        <w:t>Blastbag</w:t>
      </w:r>
      <w:proofErr w:type="spellEnd"/>
      <w:r w:rsidR="00383816">
        <w:t xml:space="preserve"> Hero” </w:t>
      </w:r>
      <w:r>
        <w:t xml:space="preserve">named </w:t>
      </w:r>
      <w:r w:rsidR="00C31DF0">
        <w:t>products in respect of which</w:t>
      </w:r>
      <w:r w:rsidR="000966CF">
        <w:t xml:space="preserve"> the applicant has not objected,</w:t>
      </w:r>
      <w:r w:rsidR="00C31DF0">
        <w:t xml:space="preserve"> namely, the </w:t>
      </w:r>
      <w:r w:rsidR="00383816">
        <w:t>“</w:t>
      </w:r>
      <w:r w:rsidR="00C31DF0">
        <w:t>Koala</w:t>
      </w:r>
      <w:r w:rsidR="00383816">
        <w:t>”</w:t>
      </w:r>
      <w:r w:rsidR="00C31DF0">
        <w:t xml:space="preserve"> product</w:t>
      </w:r>
      <w:r w:rsidR="0036034B">
        <w:t>.</w:t>
      </w:r>
    </w:p>
    <w:p w:rsidR="00C31DF0" w:rsidRDefault="00C4501C" w:rsidP="00C31DF0">
      <w:pPr>
        <w:pStyle w:val="ParaNumbering"/>
      </w:pPr>
      <w:r>
        <w:t>Further, and, i</w:t>
      </w:r>
      <w:r w:rsidR="00C31DF0">
        <w:t xml:space="preserve">n any event, in my view, the fact that </w:t>
      </w:r>
      <w:r w:rsidR="0036034B">
        <w:t xml:space="preserve">the applicant </w:t>
      </w:r>
      <w:r w:rsidR="00E7524A">
        <w:t xml:space="preserve">is at risk of losing </w:t>
      </w:r>
      <w:r>
        <w:t xml:space="preserve">some </w:t>
      </w:r>
      <w:r w:rsidR="00C31DF0">
        <w:t>business</w:t>
      </w:r>
      <w:r>
        <w:t xml:space="preserve"> to the respondent</w:t>
      </w:r>
      <w:r w:rsidR="00311246">
        <w:t xml:space="preserve"> </w:t>
      </w:r>
      <w:r w:rsidR="00FC6916">
        <w:t>pending</w:t>
      </w:r>
      <w:r w:rsidR="00311246">
        <w:t xml:space="preserve"> trial</w:t>
      </w:r>
      <w:r>
        <w:t xml:space="preserve"> </w:t>
      </w:r>
      <w:r w:rsidR="00C31DF0">
        <w:t>is not, of itself, a basis to find that the balance of convenience will flow in favour of the grant of an injunction</w:t>
      </w:r>
      <w:r w:rsidR="0036034B">
        <w:t>.  This is</w:t>
      </w:r>
      <w:r w:rsidR="00C31DF0">
        <w:t xml:space="preserve"> because, the nature of the</w:t>
      </w:r>
      <w:r>
        <w:t xml:space="preserve"> applicant’s anticipated damages is quantifiable, and this supports the </w:t>
      </w:r>
      <w:r w:rsidR="00C31DF0">
        <w:t>conclusion that damages would be an adequate remedy.</w:t>
      </w:r>
    </w:p>
    <w:p w:rsidR="0036034B" w:rsidRDefault="00C4501C" w:rsidP="00C31DF0">
      <w:pPr>
        <w:pStyle w:val="ParaNumbering"/>
      </w:pPr>
      <w:r>
        <w:t xml:space="preserve">As </w:t>
      </w:r>
      <w:r w:rsidR="00C31DF0">
        <w:t>to the</w:t>
      </w:r>
      <w:r w:rsidR="00A560F1">
        <w:t xml:space="preserve"> applicant’s</w:t>
      </w:r>
      <w:r w:rsidR="00C31DF0">
        <w:t xml:space="preserve"> </w:t>
      </w:r>
      <w:r w:rsidR="00311246">
        <w:t>argument that</w:t>
      </w:r>
      <w:r w:rsidR="00A560F1">
        <w:t xml:space="preserve"> an interlocutory injunction should be granted because </w:t>
      </w:r>
      <w:r>
        <w:t>the “Platypus” product</w:t>
      </w:r>
      <w:r w:rsidR="00311246">
        <w:t xml:space="preserve"> poses a risk</w:t>
      </w:r>
      <w:r>
        <w:t xml:space="preserve"> to </w:t>
      </w:r>
      <w:r w:rsidR="00C31DF0">
        <w:t>public safety,</w:t>
      </w:r>
      <w:r w:rsidR="00311246">
        <w:t xml:space="preserve"> </w:t>
      </w:r>
      <w:r>
        <w:t xml:space="preserve">this </w:t>
      </w:r>
      <w:r w:rsidR="00C31DF0">
        <w:t>is not</w:t>
      </w:r>
      <w:r w:rsidR="00E7524A">
        <w:t>, in my view,</w:t>
      </w:r>
      <w:r w:rsidR="00C31DF0">
        <w:t xml:space="preserve"> a factor which in the </w:t>
      </w:r>
      <w:r w:rsidR="00311246">
        <w:t xml:space="preserve">particular </w:t>
      </w:r>
      <w:r w:rsidR="00C31DF0">
        <w:t>circumstances</w:t>
      </w:r>
      <w:r>
        <w:t xml:space="preserve"> of this case, weighs heavily in favour of the grant of the injunction sought by the applicant.</w:t>
      </w:r>
      <w:r w:rsidR="00A13AAC">
        <w:t xml:space="preserve">  I say this for the following reasons.</w:t>
      </w:r>
    </w:p>
    <w:p w:rsidR="007163CD" w:rsidRDefault="007163CD" w:rsidP="007163CD">
      <w:pPr>
        <w:pStyle w:val="ParaNumbering"/>
      </w:pPr>
      <w:r>
        <w:t>First,</w:t>
      </w:r>
      <w:r w:rsidR="00A13AAC">
        <w:t xml:space="preserve"> it should be observed that </w:t>
      </w:r>
      <w:r w:rsidR="003A21F4">
        <w:t>this is an injunction which is sought by a competitor rather than by an instrumentality charged with acting in the public interest;</w:t>
      </w:r>
      <w:r w:rsidR="00AE0E6C">
        <w:t xml:space="preserve"> </w:t>
      </w:r>
      <w:r w:rsidR="003A21F4">
        <w:t>a</w:t>
      </w:r>
      <w:r w:rsidR="00A13AAC">
        <w:t>nd</w:t>
      </w:r>
      <w:r w:rsidR="003A21F4">
        <w:t>, in those circumstances,</w:t>
      </w:r>
      <w:r>
        <w:t xml:space="preserve"> there is an </w:t>
      </w:r>
      <w:proofErr w:type="gramStart"/>
      <w:r>
        <w:t>alternative</w:t>
      </w:r>
      <w:r w:rsidR="0041520E">
        <w:t>,</w:t>
      </w:r>
      <w:proofErr w:type="gramEnd"/>
      <w:r>
        <w:t xml:space="preserve"> and more effective way</w:t>
      </w:r>
      <w:r w:rsidR="00A560F1">
        <w:t xml:space="preserve"> open to</w:t>
      </w:r>
      <w:r>
        <w:t xml:space="preserve"> the applicant to seek to protect the safety of workers exposed to the respondent’s “Platypus” product.</w:t>
      </w:r>
    </w:p>
    <w:p w:rsidR="00C31DF0" w:rsidRDefault="00C31DF0" w:rsidP="00C31DF0">
      <w:pPr>
        <w:pStyle w:val="ParaNumbering"/>
      </w:pPr>
      <w:r>
        <w:t xml:space="preserve">The </w:t>
      </w:r>
      <w:r w:rsidR="00A560F1">
        <w:t xml:space="preserve">effective protection of </w:t>
      </w:r>
      <w:r w:rsidR="003A21F4">
        <w:t xml:space="preserve">workers from dangerous </w:t>
      </w:r>
      <w:proofErr w:type="gramStart"/>
      <w:r w:rsidR="003A21F4">
        <w:t>goods,</w:t>
      </w:r>
      <w:proofErr w:type="gramEnd"/>
      <w:r w:rsidR="003A21F4">
        <w:t xml:space="preserve"> </w:t>
      </w:r>
      <w:r w:rsidR="00A560F1">
        <w:t xml:space="preserve">is </w:t>
      </w:r>
      <w:r w:rsidR="00C4501C">
        <w:t>too serious a matter of public policy</w:t>
      </w:r>
      <w:r w:rsidR="00A560F1">
        <w:t xml:space="preserve"> for it</w:t>
      </w:r>
      <w:r w:rsidR="00C4501C">
        <w:t xml:space="preserve"> </w:t>
      </w:r>
      <w:r w:rsidR="00311246">
        <w:t xml:space="preserve">to depend </w:t>
      </w:r>
      <w:r>
        <w:t xml:space="preserve">upon </w:t>
      </w:r>
      <w:r w:rsidR="00311246">
        <w:t>a</w:t>
      </w:r>
      <w:r>
        <w:t xml:space="preserve"> </w:t>
      </w:r>
      <w:r w:rsidR="00EF1C73" w:rsidRPr="00311246">
        <w:t>manufacture</w:t>
      </w:r>
      <w:r w:rsidR="005D4694">
        <w:t>r</w:t>
      </w:r>
      <w:r w:rsidR="00EF1C73" w:rsidRPr="00311246">
        <w:t xml:space="preserve"> of a </w:t>
      </w:r>
      <w:r w:rsidR="005D4694">
        <w:t xml:space="preserve">rival </w:t>
      </w:r>
      <w:r w:rsidR="00EF1C73" w:rsidRPr="00311246">
        <w:t>product</w:t>
      </w:r>
      <w:r w:rsidR="005D4694">
        <w:t xml:space="preserve"> taking </w:t>
      </w:r>
      <w:r w:rsidR="00EF1C73" w:rsidRPr="00311246">
        <w:t>action</w:t>
      </w:r>
      <w:r w:rsidR="00EF1C73">
        <w:t xml:space="preserve"> to obtain </w:t>
      </w:r>
      <w:r>
        <w:t>an interlocutory injunction</w:t>
      </w:r>
      <w:r w:rsidR="00EF1C73">
        <w:t xml:space="preserve"> to</w:t>
      </w:r>
      <w:r w:rsidR="00311246">
        <w:t xml:space="preserve"> withdraw the impugned product from</w:t>
      </w:r>
      <w:r w:rsidR="0089068A">
        <w:t xml:space="preserve"> public</w:t>
      </w:r>
      <w:r w:rsidR="00311246">
        <w:t xml:space="preserve"> circulation.</w:t>
      </w:r>
      <w:r w:rsidR="003A21F4">
        <w:t xml:space="preserve">  </w:t>
      </w:r>
      <w:r w:rsidR="005D4694">
        <w:t>Rather, t</w:t>
      </w:r>
      <w:r>
        <w:t>he legislature has recognised the</w:t>
      </w:r>
      <w:r w:rsidR="003A21F4">
        <w:t xml:space="preserve"> importance of this</w:t>
      </w:r>
      <w:r>
        <w:t xml:space="preserve"> </w:t>
      </w:r>
      <w:r w:rsidR="005D4694">
        <w:t xml:space="preserve">aspect </w:t>
      </w:r>
      <w:r>
        <w:t>of</w:t>
      </w:r>
      <w:r w:rsidR="005D4694">
        <w:t xml:space="preserve"> </w:t>
      </w:r>
      <w:r>
        <w:t>public safety by</w:t>
      </w:r>
      <w:r w:rsidR="00EF1C73">
        <w:t xml:space="preserve"> empowering</w:t>
      </w:r>
      <w:r>
        <w:t xml:space="preserve"> the executive government</w:t>
      </w:r>
      <w:r w:rsidR="00EF1C73">
        <w:t xml:space="preserve"> to take steps</w:t>
      </w:r>
      <w:r>
        <w:t xml:space="preserve"> to protect</w:t>
      </w:r>
      <w:r w:rsidR="005D4694">
        <w:t xml:space="preserve"> effectively</w:t>
      </w:r>
      <w:r>
        <w:t xml:space="preserve"> the safety of persons </w:t>
      </w:r>
      <w:r w:rsidR="005D4694">
        <w:t xml:space="preserve">exposed in the workplace </w:t>
      </w:r>
      <w:r>
        <w:t>to dangerous goods</w:t>
      </w:r>
      <w:r w:rsidR="00EF1C73">
        <w:t>.  T</w:t>
      </w:r>
      <w:r>
        <w:t xml:space="preserve">he </w:t>
      </w:r>
      <w:r w:rsidRPr="003A21F4">
        <w:rPr>
          <w:i/>
        </w:rPr>
        <w:t>Dangerous Good</w:t>
      </w:r>
      <w:r w:rsidR="00EF1C73" w:rsidRPr="003A21F4">
        <w:rPr>
          <w:i/>
        </w:rPr>
        <w:t>s</w:t>
      </w:r>
      <w:r w:rsidRPr="003A21F4">
        <w:rPr>
          <w:i/>
        </w:rPr>
        <w:t xml:space="preserve"> </w:t>
      </w:r>
      <w:r w:rsidR="005D4694" w:rsidRPr="003A21F4">
        <w:rPr>
          <w:i/>
        </w:rPr>
        <w:t xml:space="preserve">Safety </w:t>
      </w:r>
      <w:r w:rsidRPr="003A21F4">
        <w:rPr>
          <w:i/>
        </w:rPr>
        <w:t>Act</w:t>
      </w:r>
      <w:r w:rsidR="00EF1C73" w:rsidRPr="003A21F4">
        <w:rPr>
          <w:i/>
        </w:rPr>
        <w:t xml:space="preserve"> </w:t>
      </w:r>
      <w:r w:rsidR="005D4694" w:rsidRPr="003A21F4">
        <w:rPr>
          <w:i/>
        </w:rPr>
        <w:t>2004</w:t>
      </w:r>
      <w:r w:rsidR="00EF1C73">
        <w:t xml:space="preserve"> (WA) (which is</w:t>
      </w:r>
      <w:r>
        <w:t xml:space="preserve"> </w:t>
      </w:r>
      <w:r w:rsidR="00311246">
        <w:t xml:space="preserve">part of a </w:t>
      </w:r>
      <w:r>
        <w:t>national legislati</w:t>
      </w:r>
      <w:r w:rsidR="00EF1C73">
        <w:t>ve scheme)</w:t>
      </w:r>
      <w:r>
        <w:t xml:space="preserve"> vest</w:t>
      </w:r>
      <w:r w:rsidR="00EF1C73">
        <w:t>s</w:t>
      </w:r>
      <w:r>
        <w:t xml:space="preserve"> in the Department of Mines</w:t>
      </w:r>
      <w:r w:rsidR="005D4694">
        <w:t xml:space="preserve"> and Petroleum</w:t>
      </w:r>
      <w:r w:rsidR="00007F9E">
        <w:t xml:space="preserve"> (the</w:t>
      </w:r>
      <w:r w:rsidR="00F4168C">
        <w:t> </w:t>
      </w:r>
      <w:r w:rsidR="00007F9E">
        <w:t>department)</w:t>
      </w:r>
      <w:r w:rsidR="005D4694">
        <w:t xml:space="preserve"> </w:t>
      </w:r>
      <w:r>
        <w:t>in Western Australia, extensive powers to intervene summarily in relation to circumstances where</w:t>
      </w:r>
      <w:r w:rsidR="00EF1C73">
        <w:t xml:space="preserve"> </w:t>
      </w:r>
      <w:r w:rsidR="005D4694">
        <w:t xml:space="preserve">it is alleged </w:t>
      </w:r>
      <w:r w:rsidR="00EF1C73">
        <w:t>that a product may pose a risk to the safety of workers</w:t>
      </w:r>
      <w:r>
        <w:t>.  The</w:t>
      </w:r>
      <w:r w:rsidR="00EF1C73">
        <w:t xml:space="preserve"> legislature provides for </w:t>
      </w:r>
      <w:r w:rsidR="003A21F4">
        <w:t xml:space="preserve">the </w:t>
      </w:r>
      <w:r w:rsidR="00EF1C73">
        <w:t xml:space="preserve">effective protection </w:t>
      </w:r>
      <w:r w:rsidR="003A21F4">
        <w:t>of</w:t>
      </w:r>
      <w:r w:rsidR="00EF1C73">
        <w:t xml:space="preserve"> workers by empowering the </w:t>
      </w:r>
      <w:r w:rsidR="003A21F4">
        <w:t xml:space="preserve">department </w:t>
      </w:r>
      <w:r w:rsidR="00007F9E">
        <w:t xml:space="preserve">summarily to subject the impugned product to </w:t>
      </w:r>
      <w:r w:rsidR="005D4694">
        <w:t xml:space="preserve">the department’s </w:t>
      </w:r>
      <w:r w:rsidR="005E2398">
        <w:t>own scientific test</w:t>
      </w:r>
      <w:r w:rsidR="00007F9E">
        <w:t>s</w:t>
      </w:r>
      <w:r w:rsidR="005E2398">
        <w:t xml:space="preserve"> </w:t>
      </w:r>
      <w:r w:rsidR="005D4694">
        <w:t>to test whether</w:t>
      </w:r>
      <w:r w:rsidR="0089068A">
        <w:t xml:space="preserve"> the product</w:t>
      </w:r>
      <w:r w:rsidR="005D4694">
        <w:t xml:space="preserve"> is indeed </w:t>
      </w:r>
      <w:r w:rsidR="00007F9E">
        <w:t>dangerous</w:t>
      </w:r>
      <w:r w:rsidR="00ED1703">
        <w:t>.  T</w:t>
      </w:r>
      <w:r w:rsidR="00007F9E">
        <w:t xml:space="preserve">he department </w:t>
      </w:r>
      <w:r>
        <w:t xml:space="preserve">also has </w:t>
      </w:r>
      <w:r w:rsidR="00007F9E">
        <w:t xml:space="preserve">summary </w:t>
      </w:r>
      <w:r>
        <w:t xml:space="preserve">power to issue </w:t>
      </w:r>
      <w:r>
        <w:lastRenderedPageBreak/>
        <w:t>orders to remov</w:t>
      </w:r>
      <w:r w:rsidR="005E2398">
        <w:t xml:space="preserve">e the product or otherwise </w:t>
      </w:r>
      <w:r w:rsidR="00007F9E">
        <w:t xml:space="preserve">take steps to </w:t>
      </w:r>
      <w:r w:rsidR="005E2398">
        <w:t xml:space="preserve">reduce the </w:t>
      </w:r>
      <w:r>
        <w:t xml:space="preserve">risk </w:t>
      </w:r>
      <w:r w:rsidR="005E2398">
        <w:t xml:space="preserve">to safety </w:t>
      </w:r>
      <w:r>
        <w:t>posed by that product.</w:t>
      </w:r>
    </w:p>
    <w:p w:rsidR="00EA7B37" w:rsidRDefault="005E2398" w:rsidP="007163CD">
      <w:pPr>
        <w:pStyle w:val="ParaNumbering"/>
      </w:pPr>
      <w:r>
        <w:t>By contrast,</w:t>
      </w:r>
      <w:r w:rsidR="00007F9E">
        <w:t xml:space="preserve"> the</w:t>
      </w:r>
      <w:r w:rsidR="003A21F4">
        <w:t>re are limitations on the</w:t>
      </w:r>
      <w:r w:rsidR="00007F9E">
        <w:t xml:space="preserve"> invocation</w:t>
      </w:r>
      <w:r w:rsidR="005D4694">
        <w:t xml:space="preserve"> </w:t>
      </w:r>
      <w:r w:rsidR="00007F9E">
        <w:t>of</w:t>
      </w:r>
      <w:r w:rsidR="00C31DF0">
        <w:t xml:space="preserve"> the interlocutory </w:t>
      </w:r>
      <w:r>
        <w:t xml:space="preserve">injunction </w:t>
      </w:r>
      <w:r w:rsidR="00C31DF0">
        <w:t xml:space="preserve">process </w:t>
      </w:r>
      <w:r w:rsidR="003A21F4">
        <w:t>a</w:t>
      </w:r>
      <w:r w:rsidR="00C31DF0">
        <w:t xml:space="preserve">s </w:t>
      </w:r>
      <w:r w:rsidR="005D4694">
        <w:t xml:space="preserve">a </w:t>
      </w:r>
      <w:r w:rsidR="003A21F4">
        <w:t>means of obtaining a speedy and fair assessment of the dangers posed</w:t>
      </w:r>
      <w:r w:rsidR="00B1594A">
        <w:t xml:space="preserve"> to the public</w:t>
      </w:r>
      <w:r w:rsidR="003A21F4">
        <w:t xml:space="preserve"> by the respondent’s product.  </w:t>
      </w:r>
      <w:r w:rsidR="00C56F16">
        <w:t xml:space="preserve">This is </w:t>
      </w:r>
      <w:r w:rsidR="00C31DF0">
        <w:t xml:space="preserve">because </w:t>
      </w:r>
      <w:r w:rsidR="005D4694">
        <w:t>at this interlocutory stage, the Court has before it</w:t>
      </w:r>
      <w:r w:rsidR="00C31DF0">
        <w:t xml:space="preserve"> two</w:t>
      </w:r>
      <w:r w:rsidR="00F4168C">
        <w:t> </w:t>
      </w:r>
      <w:r w:rsidR="00C56F16">
        <w:t>competing</w:t>
      </w:r>
      <w:r w:rsidR="00C31DF0">
        <w:t xml:space="preserve"> sets of affidavits and the</w:t>
      </w:r>
      <w:r w:rsidR="003A21F4">
        <w:t xml:space="preserve"> Court </w:t>
      </w:r>
      <w:r w:rsidR="00C31DF0">
        <w:t xml:space="preserve">is </w:t>
      </w:r>
      <w:r w:rsidR="00007F9E">
        <w:t>un</w:t>
      </w:r>
      <w:r w:rsidR="00C31DF0">
        <w:t>able,</w:t>
      </w:r>
      <w:r w:rsidR="00007F9E">
        <w:t xml:space="preserve"> </w:t>
      </w:r>
      <w:r w:rsidR="00B1594A">
        <w:t xml:space="preserve">and </w:t>
      </w:r>
      <w:r w:rsidR="00007F9E">
        <w:t>indeed is not called upon, to</w:t>
      </w:r>
      <w:r w:rsidR="005D4694">
        <w:t xml:space="preserve"> </w:t>
      </w:r>
      <w:r w:rsidR="003A21F4">
        <w:t xml:space="preserve">determine </w:t>
      </w:r>
      <w:r w:rsidR="00C31DF0">
        <w:t>conclusive</w:t>
      </w:r>
      <w:r w:rsidR="00B1594A">
        <w:t>ly</w:t>
      </w:r>
      <w:r w:rsidR="00C31DF0">
        <w:t xml:space="preserve">, whether the </w:t>
      </w:r>
      <w:r w:rsidR="005D4694">
        <w:t xml:space="preserve">“Platypus” </w:t>
      </w:r>
      <w:r w:rsidR="00C31DF0">
        <w:t xml:space="preserve">product is </w:t>
      </w:r>
      <w:r w:rsidR="00B1594A">
        <w:t xml:space="preserve">truly </w:t>
      </w:r>
      <w:r w:rsidR="005D4694">
        <w:t xml:space="preserve">a dangerous </w:t>
      </w:r>
      <w:r w:rsidR="00C31DF0">
        <w:t xml:space="preserve">product which </w:t>
      </w:r>
      <w:r w:rsidR="00C56F16">
        <w:t>justif</w:t>
      </w:r>
      <w:r w:rsidR="00B1594A">
        <w:t>ies</w:t>
      </w:r>
      <w:r w:rsidR="00C56F16">
        <w:t xml:space="preserve"> its removal from sale</w:t>
      </w:r>
      <w:r w:rsidR="003A21F4">
        <w:t xml:space="preserve"> in its current packaging</w:t>
      </w:r>
      <w:r w:rsidR="00C31DF0">
        <w:t>.</w:t>
      </w:r>
      <w:r w:rsidR="003A21F4">
        <w:t xml:space="preserve">  Further, in deciding whether to grant an</w:t>
      </w:r>
      <w:r w:rsidR="00B1594A">
        <w:t xml:space="preserve"> interlocutory</w:t>
      </w:r>
      <w:r w:rsidR="003A21F4">
        <w:t xml:space="preserve"> injunction, t</w:t>
      </w:r>
      <w:r w:rsidR="005D4694">
        <w:t>h</w:t>
      </w:r>
      <w:r w:rsidR="003A21F4">
        <w:t>e</w:t>
      </w:r>
      <w:r w:rsidR="005D4694">
        <w:t xml:space="preserve"> Court must also have regard to the impact of th</w:t>
      </w:r>
      <w:r w:rsidR="00B1594A">
        <w:t>e</w:t>
      </w:r>
      <w:r w:rsidR="005D4694">
        <w:t xml:space="preserve"> grant of th</w:t>
      </w:r>
      <w:r w:rsidR="00B1594A">
        <w:t>at</w:t>
      </w:r>
      <w:r w:rsidR="005D4694">
        <w:t xml:space="preserve"> injunction on the respondent.</w:t>
      </w:r>
      <w:r w:rsidR="0089068A">
        <w:t xml:space="preserve">  </w:t>
      </w:r>
      <w:r w:rsidR="005D4694">
        <w:t xml:space="preserve">In this case, </w:t>
      </w:r>
      <w:r w:rsidR="007163CD">
        <w:t xml:space="preserve">if granted, </w:t>
      </w:r>
      <w:r w:rsidR="00EA7B37">
        <w:t xml:space="preserve">the injunction </w:t>
      </w:r>
      <w:r w:rsidR="007163CD">
        <w:t>would</w:t>
      </w:r>
      <w:r w:rsidR="001256A2">
        <w:t xml:space="preserve"> </w:t>
      </w:r>
      <w:r w:rsidR="003A21F4">
        <w:t xml:space="preserve">result in </w:t>
      </w:r>
      <w:r w:rsidR="00EA7B37">
        <w:t>the respondent having to withdraw the product</w:t>
      </w:r>
      <w:r w:rsidR="003A21F4">
        <w:t xml:space="preserve"> in its current packaging</w:t>
      </w:r>
      <w:r w:rsidR="001256A2">
        <w:t xml:space="preserve"> from </w:t>
      </w:r>
      <w:proofErr w:type="gramStart"/>
      <w:r w:rsidR="001256A2">
        <w:t>sale,</w:t>
      </w:r>
      <w:proofErr w:type="gramEnd"/>
      <w:r w:rsidR="001256A2">
        <w:t xml:space="preserve"> even though it has not been proved that it is flammable.</w:t>
      </w:r>
    </w:p>
    <w:p w:rsidR="00C31DF0" w:rsidRDefault="007163CD" w:rsidP="00C31DF0">
      <w:pPr>
        <w:pStyle w:val="ParaNumbering"/>
      </w:pPr>
      <w:r>
        <w:t>Secondly</w:t>
      </w:r>
      <w:r w:rsidR="00C56F16">
        <w:t xml:space="preserve">, Mr </w:t>
      </w:r>
      <w:proofErr w:type="spellStart"/>
      <w:r w:rsidR="00C56F16">
        <w:t>Bodley’s</w:t>
      </w:r>
      <w:proofErr w:type="spellEnd"/>
      <w:r w:rsidR="00C56F16">
        <w:t xml:space="preserve"> evidence was that the </w:t>
      </w:r>
      <w:r>
        <w:t>“</w:t>
      </w:r>
      <w:proofErr w:type="spellStart"/>
      <w:r>
        <w:t>Blast</w:t>
      </w:r>
      <w:r w:rsidR="0089068A">
        <w:t>b</w:t>
      </w:r>
      <w:r>
        <w:t>ag</w:t>
      </w:r>
      <w:proofErr w:type="spellEnd"/>
      <w:r>
        <w:t xml:space="preserve"> Hero” </w:t>
      </w:r>
      <w:r w:rsidR="00C31DF0">
        <w:t>product</w:t>
      </w:r>
      <w:r>
        <w:t xml:space="preserve"> </w:t>
      </w:r>
      <w:r w:rsidR="0089068A">
        <w:t>range</w:t>
      </w:r>
      <w:r>
        <w:t>, including the “Platypus” product</w:t>
      </w:r>
      <w:r w:rsidR="00532EFE">
        <w:t>,</w:t>
      </w:r>
      <w:r w:rsidR="00C31DF0">
        <w:t xml:space="preserve"> </w:t>
      </w:r>
      <w:r w:rsidR="00C56F16">
        <w:t>d</w:t>
      </w:r>
      <w:r w:rsidR="00AE0E6C">
        <w:t>oes</w:t>
      </w:r>
      <w:r w:rsidR="00C56F16">
        <w:t xml:space="preserve"> not </w:t>
      </w:r>
      <w:r w:rsidR="00C31DF0">
        <w:t>constitut</w:t>
      </w:r>
      <w:r w:rsidR="00C56F16">
        <w:t>e</w:t>
      </w:r>
      <w:r w:rsidR="00C31DF0">
        <w:t xml:space="preserve"> a risk to </w:t>
      </w:r>
      <w:r w:rsidR="00965333">
        <w:t xml:space="preserve">the </w:t>
      </w:r>
      <w:r w:rsidR="00C31DF0">
        <w:t>safety</w:t>
      </w:r>
      <w:r w:rsidR="00C56F16">
        <w:t xml:space="preserve"> of</w:t>
      </w:r>
      <w:r w:rsidR="00C31DF0">
        <w:t xml:space="preserve"> the </w:t>
      </w:r>
      <w:r w:rsidR="00C56F16">
        <w:t xml:space="preserve">public.  At </w:t>
      </w:r>
      <w:r w:rsidR="00C31DF0">
        <w:t>para</w:t>
      </w:r>
      <w:r w:rsidR="00C56F16">
        <w:t xml:space="preserve"> </w:t>
      </w:r>
      <w:r w:rsidR="00C31DF0">
        <w:t>30 of his</w:t>
      </w:r>
      <w:r w:rsidR="00D034E2">
        <w:t> </w:t>
      </w:r>
      <w:r w:rsidR="00C31DF0">
        <w:t>affidavit</w:t>
      </w:r>
      <w:r w:rsidR="00C56F16">
        <w:t xml:space="preserve">, Mr </w:t>
      </w:r>
      <w:proofErr w:type="spellStart"/>
      <w:r w:rsidR="00C56F16">
        <w:t>Bodley</w:t>
      </w:r>
      <w:proofErr w:type="spellEnd"/>
      <w:r w:rsidR="00C56F16">
        <w:t xml:space="preserve"> deposed</w:t>
      </w:r>
      <w:r w:rsidR="00C31DF0">
        <w:t xml:space="preserve"> as follows:</w:t>
      </w:r>
    </w:p>
    <w:p w:rsidR="00C31DF0" w:rsidRDefault="00EA7B37" w:rsidP="004C788D">
      <w:pPr>
        <w:pStyle w:val="Quote1"/>
      </w:pPr>
      <w:r>
        <w:t>Since the products were first introduced into the Australian market in 2009,</w:t>
      </w:r>
      <w:r w:rsidR="00C56F16">
        <w:t xml:space="preserve"> </w:t>
      </w:r>
      <w:r w:rsidR="00C31DF0">
        <w:t xml:space="preserve">there </w:t>
      </w:r>
      <w:proofErr w:type="gramStart"/>
      <w:r w:rsidR="00C31DF0">
        <w:t>has</w:t>
      </w:r>
      <w:proofErr w:type="gramEnd"/>
      <w:r w:rsidR="00C31DF0">
        <w:t xml:space="preserve"> been over five million of the products manufactured and supplied by the respondent.  There has never been an incident in which the products have caused harm or injury during the use in accordance with the product labelling or directions for use.  There has never been a product recall in relation to the products.  There has never been a complaint from a customer in respect of the safety of the products and there has never been a test procured by the respondent which has determined th</w:t>
      </w:r>
      <w:r w:rsidR="004C788D">
        <w:t>at the products are flammable.</w:t>
      </w:r>
    </w:p>
    <w:p w:rsidR="004C788D" w:rsidRDefault="004C788D" w:rsidP="004C788D">
      <w:pPr>
        <w:pStyle w:val="Quote1"/>
      </w:pPr>
    </w:p>
    <w:p w:rsidR="001256A2" w:rsidRDefault="001256A2" w:rsidP="001256A2">
      <w:pPr>
        <w:pStyle w:val="ParaNumbering"/>
      </w:pPr>
      <w:r>
        <w:t>In my view, the applicant’s concerns for public safety are more effectively able to be pursued through the invocation of the processes under the WA Act.</w:t>
      </w:r>
    </w:p>
    <w:p w:rsidR="00522373" w:rsidRDefault="00522373" w:rsidP="00C31DF0">
      <w:pPr>
        <w:pStyle w:val="ParaNumbering"/>
      </w:pPr>
      <w:r>
        <w:t>I</w:t>
      </w:r>
      <w:r w:rsidR="00C31DF0">
        <w:t xml:space="preserve">n summary, therefore, in my view, damages would be an adequate remedy in relation to the </w:t>
      </w:r>
      <w:r>
        <w:t>applicant</w:t>
      </w:r>
      <w:r w:rsidR="007163CD">
        <w:t>’s claim</w:t>
      </w:r>
      <w:r>
        <w:t xml:space="preserve"> </w:t>
      </w:r>
      <w:r w:rsidR="00C31DF0">
        <w:t>against the respondent</w:t>
      </w:r>
      <w:r w:rsidR="007163CD">
        <w:t>.  T</w:t>
      </w:r>
      <w:r w:rsidR="00C31DF0">
        <w:t xml:space="preserve">he balance of convenience </w:t>
      </w:r>
      <w:r>
        <w:t xml:space="preserve">does not support </w:t>
      </w:r>
      <w:r w:rsidR="00C31DF0">
        <w:t xml:space="preserve">the grant of </w:t>
      </w:r>
      <w:r>
        <w:t xml:space="preserve">the interlocutory </w:t>
      </w:r>
      <w:r w:rsidR="00C31DF0">
        <w:t>injunction</w:t>
      </w:r>
      <w:r>
        <w:t xml:space="preserve"> sought.</w:t>
      </w:r>
    </w:p>
    <w:p w:rsidR="00C31DF0" w:rsidRDefault="00522373" w:rsidP="00C31DF0">
      <w:pPr>
        <w:pStyle w:val="ParaNumbering"/>
      </w:pPr>
      <w:r>
        <w:t>T</w:t>
      </w:r>
      <w:r w:rsidR="00C31DF0">
        <w:t xml:space="preserve">herefore, I </w:t>
      </w:r>
      <w:r w:rsidR="00AE0E6C">
        <w:t xml:space="preserve">decline to </w:t>
      </w:r>
      <w:r w:rsidR="00C31DF0">
        <w:t>grant the interlocutory injunction</w:t>
      </w:r>
      <w:r w:rsidR="00AE0E6C">
        <w:t xml:space="preserve"> sought by the applicant</w:t>
      </w:r>
      <w:r w:rsidR="00C31DF0">
        <w:t>.</w:t>
      </w:r>
    </w:p>
    <w:p w:rsidR="0036034B" w:rsidRDefault="0036034B" w:rsidP="0036034B">
      <w:pPr>
        <w:pStyle w:val="Heading1"/>
      </w:pPr>
      <w:r>
        <w:t xml:space="preserve">the cross-claimant’s application for an </w:t>
      </w:r>
      <w:r w:rsidR="008C40FC">
        <w:t xml:space="preserve">INTERLOCUTORY </w:t>
      </w:r>
      <w:r>
        <w:t>injunction</w:t>
      </w:r>
    </w:p>
    <w:p w:rsidR="008C40FC" w:rsidRDefault="00C31DF0" w:rsidP="00E75006">
      <w:pPr>
        <w:pStyle w:val="ParaNumbering"/>
      </w:pPr>
      <w:r>
        <w:t>The</w:t>
      </w:r>
      <w:r w:rsidR="00522373">
        <w:t xml:space="preserve"> respondent and cross-claimant, MRI, also seeks an interlocutory </w:t>
      </w:r>
      <w:r>
        <w:t>injunction in a cross</w:t>
      </w:r>
      <w:r w:rsidR="0006153C">
        <w:noBreakHyphen/>
      </w:r>
      <w:r>
        <w:t>claim against</w:t>
      </w:r>
      <w:r w:rsidR="00522373">
        <w:t xml:space="preserve"> the applicant and cross-respondent, PR Polymers.</w:t>
      </w:r>
    </w:p>
    <w:p w:rsidR="00C31DF0" w:rsidRDefault="00522373" w:rsidP="00E75006">
      <w:pPr>
        <w:pStyle w:val="ParaNumbering"/>
      </w:pPr>
      <w:r>
        <w:lastRenderedPageBreak/>
        <w:t>The cross-claim</w:t>
      </w:r>
      <w:r w:rsidR="00E75006">
        <w:t xml:space="preserve"> alleges that the cross-respondent has engaged in misleading or deceptive conduct.  That claim</w:t>
      </w:r>
      <w:r>
        <w:t xml:space="preserve"> is based on allegations that the cross-respondent had </w:t>
      </w:r>
      <w:r w:rsidR="00C31DF0">
        <w:t xml:space="preserve">circulated </w:t>
      </w:r>
      <w:r w:rsidR="00965333">
        <w:t>a</w:t>
      </w:r>
      <w:r w:rsidR="008C40FC">
        <w:t xml:space="preserve"> </w:t>
      </w:r>
      <w:r w:rsidR="00C31DF0">
        <w:t>document</w:t>
      </w:r>
      <w:r w:rsidR="008C40FC">
        <w:t xml:space="preserve"> called an </w:t>
      </w:r>
      <w:r w:rsidR="0089068A">
        <w:t>“</w:t>
      </w:r>
      <w:r w:rsidR="00EA7B37">
        <w:t>i</w:t>
      </w:r>
      <w:r w:rsidR="008C40FC">
        <w:t>nformation shee</w:t>
      </w:r>
      <w:r w:rsidR="00EA7B37">
        <w:t>t</w:t>
      </w:r>
      <w:r w:rsidR="0089068A">
        <w:t>”</w:t>
      </w:r>
      <w:r w:rsidR="00EA7B37">
        <w:t xml:space="preserve"> dated 27 May 2015</w:t>
      </w:r>
      <w:r w:rsidR="00E75006">
        <w:t xml:space="preserve"> to </w:t>
      </w:r>
      <w:proofErr w:type="gramStart"/>
      <w:r w:rsidR="00E75006">
        <w:t>its</w:t>
      </w:r>
      <w:proofErr w:type="gramEnd"/>
      <w:r w:rsidR="008C40FC">
        <w:t xml:space="preserve"> and the cross-claimant’s</w:t>
      </w:r>
      <w:r w:rsidR="00E75006">
        <w:t xml:space="preserve"> customers</w:t>
      </w:r>
      <w:r w:rsidR="00AE0E6C">
        <w:t>.  The information sheet</w:t>
      </w:r>
      <w:r w:rsidR="00C31DF0">
        <w:t xml:space="preserve"> refers to the tests undertaken by Dr Stone and Dr </w:t>
      </w:r>
      <w:proofErr w:type="spellStart"/>
      <w:r w:rsidR="00C31DF0">
        <w:t>Zurhaar</w:t>
      </w:r>
      <w:proofErr w:type="spellEnd"/>
      <w:r w:rsidR="00C31DF0">
        <w:t>, and</w:t>
      </w:r>
      <w:r w:rsidR="0078300C">
        <w:t>,</w:t>
      </w:r>
      <w:r w:rsidR="00C31DF0">
        <w:t xml:space="preserve"> relying on th</w:t>
      </w:r>
      <w:r w:rsidR="00E75006">
        <w:t>ose tests</w:t>
      </w:r>
      <w:r w:rsidR="00965333">
        <w:t>,</w:t>
      </w:r>
      <w:r w:rsidR="0078300C">
        <w:t xml:space="preserve"> says</w:t>
      </w:r>
      <w:r w:rsidR="00E75006">
        <w:t xml:space="preserve"> that the “</w:t>
      </w:r>
      <w:proofErr w:type="spellStart"/>
      <w:r w:rsidR="00FC4484">
        <w:t>Blastbag</w:t>
      </w:r>
      <w:proofErr w:type="spellEnd"/>
      <w:r w:rsidR="00E75006">
        <w:t xml:space="preserve"> Hero” products </w:t>
      </w:r>
      <w:r w:rsidR="00C31DF0">
        <w:t xml:space="preserve">should be classified as </w:t>
      </w:r>
      <w:r w:rsidR="00965333">
        <w:t>r</w:t>
      </w:r>
      <w:r w:rsidR="00C31DF0">
        <w:t>ed</w:t>
      </w:r>
      <w:r w:rsidR="001256A2">
        <w:t xml:space="preserve"> and not green </w:t>
      </w:r>
      <w:r w:rsidR="00965333">
        <w:t>d</w:t>
      </w:r>
      <w:r w:rsidR="00C31DF0">
        <w:t>iamond product</w:t>
      </w:r>
      <w:r w:rsidR="00E75006">
        <w:t>s,</w:t>
      </w:r>
      <w:r w:rsidR="00C31DF0">
        <w:t xml:space="preserve"> that </w:t>
      </w:r>
      <w:r w:rsidR="00E75006">
        <w:t xml:space="preserve">they are </w:t>
      </w:r>
      <w:r w:rsidR="00C31DF0">
        <w:t xml:space="preserve">flammable and that the </w:t>
      </w:r>
      <w:proofErr w:type="spellStart"/>
      <w:r w:rsidR="00C31DF0">
        <w:t>MSDS</w:t>
      </w:r>
      <w:proofErr w:type="spellEnd"/>
      <w:r w:rsidR="008C40FC">
        <w:t xml:space="preserve"> for “</w:t>
      </w:r>
      <w:proofErr w:type="spellStart"/>
      <w:r w:rsidR="00FC4484">
        <w:t>Blastbag</w:t>
      </w:r>
      <w:proofErr w:type="spellEnd"/>
      <w:r w:rsidR="008C40FC">
        <w:t xml:space="preserve"> Hero” products</w:t>
      </w:r>
      <w:r w:rsidR="00C31DF0">
        <w:t xml:space="preserve"> is misleading.</w:t>
      </w:r>
      <w:r w:rsidR="00AE0E6C">
        <w:t xml:space="preserve">  The cross-respondent also sent related circulars on 5 June 2015 and 8</w:t>
      </w:r>
      <w:r w:rsidR="0006153C">
        <w:t> </w:t>
      </w:r>
      <w:r w:rsidR="00AE0E6C">
        <w:t xml:space="preserve">June 2015 to </w:t>
      </w:r>
      <w:proofErr w:type="gramStart"/>
      <w:r w:rsidR="00AE0E6C">
        <w:t>its</w:t>
      </w:r>
      <w:proofErr w:type="gramEnd"/>
      <w:r w:rsidR="00AE0E6C">
        <w:t xml:space="preserve"> and the cross-claimant’s customers.</w:t>
      </w:r>
    </w:p>
    <w:p w:rsidR="00E75006" w:rsidRDefault="008C40FC" w:rsidP="00C31DF0">
      <w:pPr>
        <w:pStyle w:val="ParaNumbering"/>
      </w:pPr>
      <w:r>
        <w:t>The</w:t>
      </w:r>
      <w:r w:rsidR="00814DA0">
        <w:t xml:space="preserve"> cross-claimant also alleges that the</w:t>
      </w:r>
      <w:r>
        <w:t xml:space="preserve"> information sheet</w:t>
      </w:r>
      <w:r w:rsidR="00AE0E6C">
        <w:t>s were</w:t>
      </w:r>
      <w:r>
        <w:t xml:space="preserve"> circulated to </w:t>
      </w:r>
      <w:r w:rsidR="00F4168C">
        <w:t xml:space="preserve">its </w:t>
      </w:r>
      <w:r>
        <w:t>customers with the intention of disparaging the “</w:t>
      </w:r>
      <w:proofErr w:type="spellStart"/>
      <w:r w:rsidR="00FC4484">
        <w:t>Blastbag</w:t>
      </w:r>
      <w:proofErr w:type="spellEnd"/>
      <w:r>
        <w:t xml:space="preserve"> Hero” products.  T</w:t>
      </w:r>
      <w:r w:rsidR="00C31DF0">
        <w:t>he</w:t>
      </w:r>
      <w:r w:rsidR="00E75006">
        <w:t xml:space="preserve"> disparaging statement</w:t>
      </w:r>
      <w:r>
        <w:t xml:space="preserve">s made in the </w:t>
      </w:r>
      <w:r w:rsidR="0078300C">
        <w:t>information sheet</w:t>
      </w:r>
      <w:r w:rsidR="00AE0E6C">
        <w:t>s</w:t>
      </w:r>
      <w:r w:rsidR="00C31DF0">
        <w:t xml:space="preserve">, </w:t>
      </w:r>
      <w:r w:rsidR="001256A2">
        <w:t xml:space="preserve">said the cross-claimant, </w:t>
      </w:r>
      <w:r w:rsidR="00C31DF0">
        <w:t xml:space="preserve">did not distinguish between the different products in the </w:t>
      </w:r>
      <w:r w:rsidR="00E75006">
        <w:t>“</w:t>
      </w:r>
      <w:proofErr w:type="spellStart"/>
      <w:r w:rsidR="00FC4484">
        <w:t>Blastbag</w:t>
      </w:r>
      <w:proofErr w:type="spellEnd"/>
      <w:r w:rsidR="00E75006">
        <w:t xml:space="preserve"> </w:t>
      </w:r>
      <w:r w:rsidR="00C31DF0">
        <w:t>Hero</w:t>
      </w:r>
      <w:r w:rsidR="00E75006">
        <w:t>”</w:t>
      </w:r>
      <w:r w:rsidR="00C31DF0">
        <w:t xml:space="preserve"> range of products</w:t>
      </w:r>
      <w:r w:rsidR="0078300C">
        <w:t xml:space="preserve"> and, </w:t>
      </w:r>
      <w:r w:rsidR="00E75006">
        <w:t>accordingly,</w:t>
      </w:r>
      <w:r w:rsidR="00C31DF0">
        <w:t xml:space="preserve"> </w:t>
      </w:r>
      <w:r w:rsidR="00E75006">
        <w:t xml:space="preserve">claimed </w:t>
      </w:r>
      <w:r w:rsidR="0078300C">
        <w:t xml:space="preserve">that the negative </w:t>
      </w:r>
      <w:r w:rsidR="00E75006">
        <w:t xml:space="preserve">characteristics revealed </w:t>
      </w:r>
      <w:r w:rsidR="00C31DF0">
        <w:t xml:space="preserve">by Dr </w:t>
      </w:r>
      <w:proofErr w:type="spellStart"/>
      <w:r w:rsidR="00C31DF0">
        <w:t>Zurhaar</w:t>
      </w:r>
      <w:proofErr w:type="spellEnd"/>
      <w:r w:rsidR="00C31DF0">
        <w:t xml:space="preserve"> and Dr Stone in their tests</w:t>
      </w:r>
      <w:r w:rsidR="0078300C">
        <w:t xml:space="preserve"> applied </w:t>
      </w:r>
      <w:r w:rsidR="00E75006">
        <w:t xml:space="preserve">to all </w:t>
      </w:r>
      <w:r w:rsidR="0078300C">
        <w:t xml:space="preserve">of the </w:t>
      </w:r>
      <w:r w:rsidR="00E75006">
        <w:t>products in the “</w:t>
      </w:r>
      <w:proofErr w:type="spellStart"/>
      <w:r w:rsidR="00FC4484">
        <w:t>Blastbag</w:t>
      </w:r>
      <w:proofErr w:type="spellEnd"/>
      <w:r w:rsidR="00E75006">
        <w:t xml:space="preserve"> Hero” range.</w:t>
      </w:r>
    </w:p>
    <w:p w:rsidR="0078035B" w:rsidRDefault="008C40FC" w:rsidP="0078035B">
      <w:pPr>
        <w:pStyle w:val="ParaNumbering"/>
      </w:pPr>
      <w:r>
        <w:t>T</w:t>
      </w:r>
      <w:r w:rsidR="0078035B">
        <w:t xml:space="preserve">he </w:t>
      </w:r>
      <w:r>
        <w:t xml:space="preserve">information </w:t>
      </w:r>
      <w:r w:rsidR="0078300C">
        <w:t>sheet</w:t>
      </w:r>
      <w:r w:rsidR="00AE0E6C">
        <w:t>s</w:t>
      </w:r>
      <w:r w:rsidR="0078300C">
        <w:t>, therefore,</w:t>
      </w:r>
      <w:r w:rsidR="00814DA0">
        <w:t xml:space="preserve"> </w:t>
      </w:r>
      <w:r w:rsidR="00532EFE">
        <w:t>says</w:t>
      </w:r>
      <w:r w:rsidR="00814DA0">
        <w:t xml:space="preserve"> the cross-claimant,</w:t>
      </w:r>
      <w:r>
        <w:t xml:space="preserve"> contain information which </w:t>
      </w:r>
      <w:r w:rsidR="0078035B">
        <w:t xml:space="preserve">is misleading or deceptive insofar as </w:t>
      </w:r>
      <w:r w:rsidR="00AE0E6C">
        <w:t>they</w:t>
      </w:r>
      <w:r w:rsidR="0078035B">
        <w:t xml:space="preserve"> purport to attribute those same characteristics revealed in Dr </w:t>
      </w:r>
      <w:proofErr w:type="spellStart"/>
      <w:r w:rsidR="0078035B">
        <w:t>Zurha</w:t>
      </w:r>
      <w:r w:rsidR="00E72E9F">
        <w:t>a</w:t>
      </w:r>
      <w:r w:rsidR="0078035B">
        <w:t>r’s</w:t>
      </w:r>
      <w:proofErr w:type="spellEnd"/>
      <w:r w:rsidR="0078035B">
        <w:t xml:space="preserve"> and Dr Stone’s tests of the “Platypus” product, to all </w:t>
      </w:r>
      <w:r w:rsidR="00AE0E6C">
        <w:t xml:space="preserve">of </w:t>
      </w:r>
      <w:r w:rsidR="0078035B">
        <w:t>the other products in the “</w:t>
      </w:r>
      <w:proofErr w:type="spellStart"/>
      <w:r w:rsidR="00FC4484">
        <w:t>Blastbag</w:t>
      </w:r>
      <w:proofErr w:type="spellEnd"/>
      <w:r w:rsidR="0078035B">
        <w:t xml:space="preserve"> Hero” range of products.</w:t>
      </w:r>
    </w:p>
    <w:p w:rsidR="0078035B" w:rsidRDefault="008C40FC" w:rsidP="00C31DF0">
      <w:pPr>
        <w:pStyle w:val="ParaNumbering"/>
      </w:pPr>
      <w:r>
        <w:t>O</w:t>
      </w:r>
      <w:r w:rsidR="00E75006">
        <w:t xml:space="preserve">nce </w:t>
      </w:r>
      <w:r w:rsidR="0078300C">
        <w:t xml:space="preserve">the cross-claimant learned about </w:t>
      </w:r>
      <w:r w:rsidR="00C31DF0">
        <w:t>the circu</w:t>
      </w:r>
      <w:r>
        <w:t>lation of the information sheet</w:t>
      </w:r>
      <w:r w:rsidR="00814DA0">
        <w:t>s</w:t>
      </w:r>
      <w:r>
        <w:t xml:space="preserve">, </w:t>
      </w:r>
      <w:r w:rsidR="0078300C">
        <w:t xml:space="preserve">it </w:t>
      </w:r>
      <w:r>
        <w:t>complained to the cross-respondent.</w:t>
      </w:r>
      <w:r w:rsidR="0078300C">
        <w:t xml:space="preserve">  </w:t>
      </w:r>
      <w:r>
        <w:t xml:space="preserve">The cross-respondent responded </w:t>
      </w:r>
      <w:r w:rsidR="00C31DF0">
        <w:t>to the</w:t>
      </w:r>
      <w:r w:rsidR="0078035B">
        <w:t xml:space="preserve"> cross-claimant’s</w:t>
      </w:r>
      <w:r w:rsidR="00C31DF0">
        <w:t xml:space="preserve"> complaint</w:t>
      </w:r>
      <w:r w:rsidR="0078035B">
        <w:t>.</w:t>
      </w:r>
      <w:r>
        <w:t xml:space="preserve">  </w:t>
      </w:r>
      <w:r w:rsidR="0078035B">
        <w:t xml:space="preserve">On </w:t>
      </w:r>
      <w:r w:rsidR="00C31DF0">
        <w:t>25 June 2015</w:t>
      </w:r>
      <w:r w:rsidR="0078035B">
        <w:t>,</w:t>
      </w:r>
      <w:r w:rsidR="00C31DF0">
        <w:t xml:space="preserve"> the </w:t>
      </w:r>
      <w:r w:rsidR="00334978">
        <w:t>cross-respondent</w:t>
      </w:r>
      <w:r w:rsidR="00C31DF0">
        <w:t xml:space="preserve"> published a </w:t>
      </w:r>
      <w:r w:rsidR="0078300C">
        <w:t xml:space="preserve">statement </w:t>
      </w:r>
      <w:r w:rsidR="00C31DF0">
        <w:t xml:space="preserve">which I presume it circulated to all of the persons to whom the </w:t>
      </w:r>
      <w:r w:rsidR="00532EFE">
        <w:t xml:space="preserve">previous </w:t>
      </w:r>
      <w:r w:rsidR="0078035B">
        <w:t>information</w:t>
      </w:r>
      <w:r w:rsidR="00814DA0">
        <w:t xml:space="preserve"> sheet</w:t>
      </w:r>
      <w:r w:rsidR="00532EFE">
        <w:t>s</w:t>
      </w:r>
      <w:r w:rsidR="0078035B">
        <w:t xml:space="preserve"> </w:t>
      </w:r>
      <w:r w:rsidR="00C31DF0">
        <w:t>had been sent</w:t>
      </w:r>
      <w:r>
        <w:t xml:space="preserve">.  The </w:t>
      </w:r>
      <w:r w:rsidR="0078300C">
        <w:t xml:space="preserve">statement </w:t>
      </w:r>
      <w:r w:rsidR="0078035B">
        <w:t>stated:</w:t>
      </w:r>
    </w:p>
    <w:p w:rsidR="00C31DF0" w:rsidRDefault="00DF2BE1" w:rsidP="0078035B">
      <w:pPr>
        <w:pStyle w:val="Quote1"/>
      </w:pPr>
      <w:r>
        <w:t>PR Polymers wishes to provide you with an update to earlier information presented to you, namely our fact sheets dated 27 May, 5 June and the final amended copy on 8</w:t>
      </w:r>
      <w:r w:rsidR="00F1028A">
        <w:t> </w:t>
      </w:r>
      <w:r>
        <w:t xml:space="preserve">June 2015, in relation to PR </w:t>
      </w:r>
      <w:r w:rsidR="00F1028A">
        <w:t xml:space="preserve">Polymers’ statements as to the </w:t>
      </w:r>
      <w:proofErr w:type="spellStart"/>
      <w:r w:rsidR="00F1028A">
        <w:t>MTi</w:t>
      </w:r>
      <w:proofErr w:type="spellEnd"/>
      <w:r w:rsidR="00F1028A">
        <w:t xml:space="preserve"> </w:t>
      </w:r>
      <w:proofErr w:type="spellStart"/>
      <w:r w:rsidR="00F1028A">
        <w:t>Blastbag</w:t>
      </w:r>
      <w:proofErr w:type="spellEnd"/>
      <w:r w:rsidR="00F1028A">
        <w:t xml:space="preserve"> HERO.</w:t>
      </w:r>
    </w:p>
    <w:p w:rsidR="00F1028A" w:rsidRDefault="00F1028A" w:rsidP="0078035B">
      <w:pPr>
        <w:pStyle w:val="Quote1"/>
      </w:pPr>
    </w:p>
    <w:p w:rsidR="00F1028A" w:rsidRDefault="00F1028A" w:rsidP="0078035B">
      <w:pPr>
        <w:pStyle w:val="Quote1"/>
      </w:pPr>
      <w:r>
        <w:t xml:space="preserve">PR Polymers wishes to make clear that the tests conducted by </w:t>
      </w:r>
      <w:proofErr w:type="spellStart"/>
      <w:r>
        <w:t>SGS</w:t>
      </w:r>
      <w:proofErr w:type="spellEnd"/>
      <w:r>
        <w:t xml:space="preserve"> and </w:t>
      </w:r>
      <w:proofErr w:type="spellStart"/>
      <w:r>
        <w:t>ZEDCON</w:t>
      </w:r>
      <w:proofErr w:type="spellEnd"/>
      <w:r>
        <w:t xml:space="preserve"> (copies of these reports filed with the previous information sheet) were only conducted on samples of the </w:t>
      </w:r>
      <w:proofErr w:type="spellStart"/>
      <w:r>
        <w:t>MTi</w:t>
      </w:r>
      <w:proofErr w:type="spellEnd"/>
      <w:r>
        <w:t xml:space="preserve"> </w:t>
      </w:r>
      <w:proofErr w:type="spellStart"/>
      <w:r>
        <w:t>Blastbag</w:t>
      </w:r>
      <w:proofErr w:type="spellEnd"/>
      <w:r>
        <w:t xml:space="preserve"> Hero 230 mm Platypus product.  </w:t>
      </w:r>
      <w:proofErr w:type="spellStart"/>
      <w:r>
        <w:t>SGS</w:t>
      </w:r>
      <w:proofErr w:type="spellEnd"/>
      <w:r>
        <w:t xml:space="preserve"> and </w:t>
      </w:r>
      <w:proofErr w:type="spellStart"/>
      <w:r>
        <w:t>Zedcon</w:t>
      </w:r>
      <w:proofErr w:type="spellEnd"/>
      <w:r>
        <w:t xml:space="preserve"> found the </w:t>
      </w:r>
      <w:proofErr w:type="spellStart"/>
      <w:r>
        <w:t>Blastbag</w:t>
      </w:r>
      <w:proofErr w:type="spellEnd"/>
      <w:r>
        <w:t xml:space="preserve"> Hero Platypus product to be flammable under </w:t>
      </w:r>
      <w:proofErr w:type="spellStart"/>
      <w:r>
        <w:t>ADG7</w:t>
      </w:r>
      <w:proofErr w:type="spellEnd"/>
      <w:r>
        <w:t xml:space="preserve"> and that samples tested contained acetone levels of between 4% and 13.4%.</w:t>
      </w:r>
    </w:p>
    <w:p w:rsidR="00F1028A" w:rsidRDefault="00F1028A" w:rsidP="0078035B">
      <w:pPr>
        <w:pStyle w:val="Quote1"/>
      </w:pPr>
    </w:p>
    <w:p w:rsidR="00F1028A" w:rsidRDefault="00F1028A" w:rsidP="0078035B">
      <w:pPr>
        <w:pStyle w:val="Quote1"/>
      </w:pPr>
      <w:r>
        <w:t xml:space="preserve">PR Polymers notes that </w:t>
      </w:r>
      <w:proofErr w:type="spellStart"/>
      <w:r>
        <w:t>MTi</w:t>
      </w:r>
      <w:proofErr w:type="spellEnd"/>
      <w:r>
        <w:t xml:space="preserve"> contests these findings.</w:t>
      </w:r>
    </w:p>
    <w:p w:rsidR="00F1028A" w:rsidRDefault="00F1028A" w:rsidP="0078035B">
      <w:pPr>
        <w:pStyle w:val="Quote1"/>
      </w:pPr>
    </w:p>
    <w:p w:rsidR="00F1028A" w:rsidRDefault="00F1028A" w:rsidP="0078035B">
      <w:pPr>
        <w:pStyle w:val="Quote1"/>
      </w:pPr>
      <w:r>
        <w:t xml:space="preserve">Any views previously expressed by PR Polymers were only in relation to the </w:t>
      </w:r>
      <w:proofErr w:type="spellStart"/>
      <w:r>
        <w:t>MTi</w:t>
      </w:r>
      <w:proofErr w:type="spellEnd"/>
      <w:r>
        <w:t xml:space="preserve"> </w:t>
      </w:r>
      <w:proofErr w:type="spellStart"/>
      <w:r>
        <w:t>Blastbag</w:t>
      </w:r>
      <w:proofErr w:type="spellEnd"/>
      <w:r>
        <w:t xml:space="preserve"> Hero 230 mm Platypus product (samples of which were obtained from </w:t>
      </w:r>
      <w:r>
        <w:lastRenderedPageBreak/>
        <w:t>batch numbers 632459-100 and 632468-100) based on the above testing.</w:t>
      </w:r>
    </w:p>
    <w:p w:rsidR="00F1028A" w:rsidRDefault="00F1028A" w:rsidP="0078035B">
      <w:pPr>
        <w:pStyle w:val="Quote1"/>
      </w:pPr>
    </w:p>
    <w:p w:rsidR="00F1028A" w:rsidRDefault="00F1028A" w:rsidP="0078035B">
      <w:pPr>
        <w:pStyle w:val="Quote1"/>
      </w:pPr>
      <w:r>
        <w:t xml:space="preserve">PR Polymers has commenced proceedings in the Federal Court of Australia in relation to the </w:t>
      </w:r>
      <w:proofErr w:type="spellStart"/>
      <w:r>
        <w:t>MTi</w:t>
      </w:r>
      <w:proofErr w:type="spellEnd"/>
      <w:r>
        <w:t xml:space="preserve"> </w:t>
      </w:r>
      <w:proofErr w:type="spellStart"/>
      <w:r>
        <w:t>Blastbag</w:t>
      </w:r>
      <w:proofErr w:type="spellEnd"/>
      <w:r>
        <w:t xml:space="preserve"> Hero 230 mm Platypus product.  </w:t>
      </w:r>
      <w:proofErr w:type="spellStart"/>
      <w:r>
        <w:t>MTi</w:t>
      </w:r>
      <w:proofErr w:type="spellEnd"/>
      <w:r>
        <w:t xml:space="preserve"> has brought a cross-claim against PR Polymers.  Both parties are seeking injunctions against the other in those proceedings and those injunctions are listed in the Federal Court of Australia on 2 July 2015.  No date has yet been set for a trial.</w:t>
      </w:r>
    </w:p>
    <w:p w:rsidR="0078035B" w:rsidRDefault="0078035B" w:rsidP="0078035B">
      <w:pPr>
        <w:pStyle w:val="Quote1"/>
      </w:pPr>
    </w:p>
    <w:p w:rsidR="00AE0E6C" w:rsidRPr="00532EFE" w:rsidRDefault="00AE0E6C" w:rsidP="00C31DF0">
      <w:pPr>
        <w:pStyle w:val="ParaNumbering"/>
      </w:pPr>
      <w:r w:rsidRPr="00532EFE">
        <w:t xml:space="preserve">Mr de </w:t>
      </w:r>
      <w:proofErr w:type="spellStart"/>
      <w:r w:rsidRPr="00532EFE">
        <w:t>Kerloy</w:t>
      </w:r>
      <w:proofErr w:type="spellEnd"/>
      <w:r w:rsidRPr="00532EFE">
        <w:t>, on behalf of the cross-claimant, sought an interlocutory injunction which would prevent the cross-respondent from contacting the cross-claimant’s customers and making assertions to them in the form of the statements released and restraining the cross</w:t>
      </w:r>
      <w:r w:rsidR="0006153C">
        <w:noBreakHyphen/>
      </w:r>
      <w:r w:rsidRPr="00532EFE">
        <w:t>respondent from distributing the statements and the two expert reports referred to above.  The cross-claimant also sought an order requiring the cross-respondent to disclose to the cross</w:t>
      </w:r>
      <w:r w:rsidR="00532EFE">
        <w:noBreakHyphen/>
      </w:r>
      <w:r w:rsidRPr="00532EFE">
        <w:t>claimant all customers of the cross-claimant that the cross-respondent had contacted and distributed the statements and expert reports to.</w:t>
      </w:r>
    </w:p>
    <w:p w:rsidR="0078300C" w:rsidRDefault="00C31DF0" w:rsidP="00C31DF0">
      <w:pPr>
        <w:pStyle w:val="ParaNumbering"/>
      </w:pPr>
      <w:r>
        <w:t>O</w:t>
      </w:r>
      <w:r w:rsidR="0078035B">
        <w:t xml:space="preserve">n the question of </w:t>
      </w:r>
      <w:r>
        <w:t>whether</w:t>
      </w:r>
      <w:r w:rsidR="0078035B">
        <w:t xml:space="preserve"> the cross-claimant </w:t>
      </w:r>
      <w:r w:rsidR="00F4168C">
        <w:t>has</w:t>
      </w:r>
      <w:r w:rsidR="0078035B">
        <w:t xml:space="preserve"> demonstrated a prima facie case that the cross-respondent has engaged in</w:t>
      </w:r>
      <w:r>
        <w:t xml:space="preserve"> misleading or deceptive</w:t>
      </w:r>
      <w:r w:rsidR="0078035B">
        <w:t xml:space="preserve"> conduct, my previous observations about the state of the expert evidence apply</w:t>
      </w:r>
      <w:r w:rsidR="004C40BF">
        <w:t>.</w:t>
      </w:r>
    </w:p>
    <w:p w:rsidR="00C31DF0" w:rsidRDefault="00D85488" w:rsidP="00C31DF0">
      <w:pPr>
        <w:pStyle w:val="ParaNumbering"/>
      </w:pPr>
      <w:r>
        <w:t>I, therefore,</w:t>
      </w:r>
      <w:r w:rsidR="00C31DF0">
        <w:t xml:space="preserve"> </w:t>
      </w:r>
      <w:r w:rsidR="004C40BF">
        <w:t xml:space="preserve">find </w:t>
      </w:r>
      <w:r w:rsidR="00C31DF0">
        <w:t xml:space="preserve">that there </w:t>
      </w:r>
      <w:r>
        <w:t>are</w:t>
      </w:r>
      <w:r w:rsidR="00C31DF0">
        <w:t xml:space="preserve"> serious questions</w:t>
      </w:r>
      <w:r>
        <w:t xml:space="preserve"> of sufficient merit</w:t>
      </w:r>
      <w:r w:rsidR="00C31DF0">
        <w:t xml:space="preserve"> to be tried</w:t>
      </w:r>
      <w:r>
        <w:t>,</w:t>
      </w:r>
      <w:r w:rsidR="00C31DF0">
        <w:t xml:space="preserve"> as to whether by circulating the statement</w:t>
      </w:r>
      <w:r w:rsidR="00532EFE">
        <w:t>s</w:t>
      </w:r>
      <w:r w:rsidR="004C40BF">
        <w:t xml:space="preserve"> </w:t>
      </w:r>
      <w:r w:rsidR="00334978">
        <w:t xml:space="preserve">the cross-respondent </w:t>
      </w:r>
      <w:r>
        <w:t xml:space="preserve">has engaged </w:t>
      </w:r>
      <w:r w:rsidR="00C31DF0">
        <w:t xml:space="preserve">in misleading </w:t>
      </w:r>
      <w:r>
        <w:t>or</w:t>
      </w:r>
      <w:r w:rsidR="00C31DF0">
        <w:t xml:space="preserve"> dece</w:t>
      </w:r>
      <w:r>
        <w:t>ptive</w:t>
      </w:r>
      <w:r w:rsidR="0006153C">
        <w:t> </w:t>
      </w:r>
      <w:r>
        <w:t>conduct.</w:t>
      </w:r>
    </w:p>
    <w:p w:rsidR="00D85488" w:rsidRDefault="00D85488" w:rsidP="00C31DF0">
      <w:pPr>
        <w:pStyle w:val="ParaNumbering"/>
      </w:pPr>
      <w:r>
        <w:t xml:space="preserve">This </w:t>
      </w:r>
      <w:r w:rsidR="00C31DF0">
        <w:t>leaves the question of the balance of convenience.</w:t>
      </w:r>
    </w:p>
    <w:p w:rsidR="00C31DF0" w:rsidRDefault="00C31DF0" w:rsidP="00C31DF0">
      <w:pPr>
        <w:pStyle w:val="ParaNumbering"/>
      </w:pPr>
      <w:r>
        <w:t>In relation to the balance of convenience</w:t>
      </w:r>
      <w:r w:rsidR="00D85488">
        <w:t>,</w:t>
      </w:r>
      <w:r>
        <w:t xml:space="preserve"> Mr </w:t>
      </w:r>
      <w:r w:rsidR="0078300C">
        <w:t>Jeffery</w:t>
      </w:r>
      <w:r w:rsidR="00D85488">
        <w:t xml:space="preserve"> </w:t>
      </w:r>
      <w:r>
        <w:t>Anderson</w:t>
      </w:r>
      <w:r w:rsidR="004C40BF">
        <w:t>,</w:t>
      </w:r>
      <w:r w:rsidR="0078300C">
        <w:t xml:space="preserve"> </w:t>
      </w:r>
      <w:r w:rsidR="00AE0E6C">
        <w:t>a</w:t>
      </w:r>
      <w:r w:rsidR="0078300C">
        <w:t xml:space="preserve"> manager of the cross</w:t>
      </w:r>
      <w:r w:rsidR="0006153C">
        <w:noBreakHyphen/>
      </w:r>
      <w:r w:rsidR="0078300C">
        <w:t>claimant,</w:t>
      </w:r>
      <w:r>
        <w:t xml:space="preserve"> deposed to some of the difficulties </w:t>
      </w:r>
      <w:r w:rsidR="0078300C">
        <w:t>the cross-claimant is</w:t>
      </w:r>
      <w:r>
        <w:t xml:space="preserve"> having </w:t>
      </w:r>
      <w:r w:rsidR="0078300C">
        <w:t xml:space="preserve">in dealing </w:t>
      </w:r>
      <w:r>
        <w:t xml:space="preserve">with </w:t>
      </w:r>
      <w:r w:rsidR="004C40BF">
        <w:t>customers to whom the</w:t>
      </w:r>
      <w:r w:rsidR="00AE0E6C">
        <w:t xml:space="preserve"> cross-respondent had sent its</w:t>
      </w:r>
      <w:r w:rsidR="004C40BF">
        <w:t xml:space="preserve"> information sheets.  Mr Anderson said </w:t>
      </w:r>
      <w:r>
        <w:t>that</w:t>
      </w:r>
      <w:r w:rsidR="004C40BF">
        <w:t xml:space="preserve"> the distribution of the information sheets </w:t>
      </w:r>
      <w:r>
        <w:t>has resulted in</w:t>
      </w:r>
      <w:r w:rsidR="004C40BF">
        <w:t xml:space="preserve"> the need for</w:t>
      </w:r>
      <w:r w:rsidR="0078300C">
        <w:t xml:space="preserve"> </w:t>
      </w:r>
      <w:r w:rsidR="00334978">
        <w:t>the cross</w:t>
      </w:r>
      <w:r w:rsidR="0006153C">
        <w:noBreakHyphen/>
      </w:r>
      <w:r w:rsidR="00334978">
        <w:t>claimant to</w:t>
      </w:r>
      <w:r w:rsidR="00F37FB8">
        <w:t xml:space="preserve"> increas</w:t>
      </w:r>
      <w:r w:rsidR="00334978">
        <w:t>e</w:t>
      </w:r>
      <w:r>
        <w:t xml:space="preserve"> communication with their customers in order to put the alternative point of view and to seek to calm the customers </w:t>
      </w:r>
      <w:r w:rsidR="004C40BF">
        <w:t>who</w:t>
      </w:r>
      <w:r>
        <w:t xml:space="preserve">, in Mr de </w:t>
      </w:r>
      <w:proofErr w:type="spellStart"/>
      <w:r>
        <w:t>Kerloy’s</w:t>
      </w:r>
      <w:proofErr w:type="spellEnd"/>
      <w:r>
        <w:t xml:space="preserve"> words, have become </w:t>
      </w:r>
      <w:r w:rsidR="00D85488">
        <w:t>“</w:t>
      </w:r>
      <w:r>
        <w:t>spooked</w:t>
      </w:r>
      <w:r w:rsidR="00D85488">
        <w:t>”</w:t>
      </w:r>
      <w:r>
        <w:t xml:space="preserve"> by the </w:t>
      </w:r>
      <w:r w:rsidR="00AE0E6C">
        <w:t xml:space="preserve">content </w:t>
      </w:r>
      <w:r>
        <w:t>of the</w:t>
      </w:r>
      <w:r w:rsidR="00D85488">
        <w:t xml:space="preserve"> cross-respondent’s</w:t>
      </w:r>
      <w:r>
        <w:t xml:space="preserve"> information sheet</w:t>
      </w:r>
      <w:r w:rsidR="00D85488">
        <w:t xml:space="preserve">s. </w:t>
      </w:r>
      <w:r w:rsidR="00FC6916">
        <w:t xml:space="preserve"> </w:t>
      </w:r>
      <w:r w:rsidR="00D85488">
        <w:t xml:space="preserve">Mr Anderson also said that the distribution of the information sheets </w:t>
      </w:r>
      <w:r>
        <w:t>has a potential to affect</w:t>
      </w:r>
      <w:r w:rsidR="00F37FB8">
        <w:t xml:space="preserve"> </w:t>
      </w:r>
      <w:r w:rsidR="004C40BF">
        <w:t>adversely</w:t>
      </w:r>
      <w:r>
        <w:t xml:space="preserve"> the</w:t>
      </w:r>
      <w:r w:rsidR="00D85488">
        <w:t xml:space="preserve"> cross-claimant’s sales</w:t>
      </w:r>
      <w:r w:rsidR="004C40BF">
        <w:t>.</w:t>
      </w:r>
    </w:p>
    <w:p w:rsidR="00C31DF0" w:rsidRDefault="00C31DF0" w:rsidP="00C31DF0">
      <w:pPr>
        <w:pStyle w:val="ParaNumbering"/>
      </w:pPr>
      <w:r>
        <w:t xml:space="preserve">Mr de </w:t>
      </w:r>
      <w:proofErr w:type="spellStart"/>
      <w:r>
        <w:t>Kerloy</w:t>
      </w:r>
      <w:proofErr w:type="spellEnd"/>
      <w:r>
        <w:t xml:space="preserve"> also referred me to </w:t>
      </w:r>
      <w:r w:rsidRPr="00D85488">
        <w:rPr>
          <w:i/>
        </w:rPr>
        <w:t>AAP</w:t>
      </w:r>
      <w:r w:rsidR="00970520">
        <w:rPr>
          <w:i/>
        </w:rPr>
        <w:t xml:space="preserve"> </w:t>
      </w:r>
      <w:r w:rsidRPr="00D85488">
        <w:rPr>
          <w:i/>
        </w:rPr>
        <w:t>Telecommunications</w:t>
      </w:r>
      <w:r w:rsidR="00970520">
        <w:rPr>
          <w:i/>
        </w:rPr>
        <w:t xml:space="preserve"> Pty Ltd</w:t>
      </w:r>
      <w:r w:rsidR="00D85488">
        <w:rPr>
          <w:i/>
        </w:rPr>
        <w:t xml:space="preserve"> v Telstra</w:t>
      </w:r>
      <w:r w:rsidR="00F37FB8">
        <w:rPr>
          <w:i/>
        </w:rPr>
        <w:t xml:space="preserve"> Co</w:t>
      </w:r>
      <w:r w:rsidR="00970520">
        <w:rPr>
          <w:i/>
        </w:rPr>
        <w:t>rporation</w:t>
      </w:r>
      <w:r w:rsidR="00F37FB8">
        <w:rPr>
          <w:i/>
        </w:rPr>
        <w:t xml:space="preserve"> Ltd</w:t>
      </w:r>
      <w:r w:rsidR="00D85488">
        <w:t xml:space="preserve"> </w:t>
      </w:r>
      <w:r w:rsidR="00F37FB8">
        <w:t>(</w:t>
      </w:r>
      <w:r w:rsidR="00970520">
        <w:t>1997</w:t>
      </w:r>
      <w:r w:rsidR="00F37FB8">
        <w:t xml:space="preserve">) 38 </w:t>
      </w:r>
      <w:proofErr w:type="spellStart"/>
      <w:r w:rsidR="00F37FB8">
        <w:t>IPR</w:t>
      </w:r>
      <w:proofErr w:type="spellEnd"/>
      <w:r w:rsidR="00F37FB8">
        <w:t xml:space="preserve"> 650</w:t>
      </w:r>
      <w:r w:rsidR="00334978">
        <w:t xml:space="preserve"> (</w:t>
      </w:r>
      <w:proofErr w:type="spellStart"/>
      <w:r w:rsidR="00334978" w:rsidRPr="00334978">
        <w:rPr>
          <w:i/>
        </w:rPr>
        <w:t>AAP</w:t>
      </w:r>
      <w:r w:rsidR="00532EFE">
        <w:rPr>
          <w:i/>
        </w:rPr>
        <w:t>T</w:t>
      </w:r>
      <w:proofErr w:type="spellEnd"/>
      <w:r w:rsidR="00334978">
        <w:t>)</w:t>
      </w:r>
      <w:r w:rsidR="00F37FB8">
        <w:t xml:space="preserve"> </w:t>
      </w:r>
      <w:r w:rsidR="00AE0E6C">
        <w:t xml:space="preserve">in respect of the </w:t>
      </w:r>
      <w:r w:rsidR="00F37FB8">
        <w:t>balance of convenience</w:t>
      </w:r>
      <w:r w:rsidR="00D85488">
        <w:t>.</w:t>
      </w:r>
      <w:r w:rsidR="00AE0E6C">
        <w:t xml:space="preserve">  In that case, Telstra had </w:t>
      </w:r>
      <w:r w:rsidR="001256A2">
        <w:t xml:space="preserve">made and distributed </w:t>
      </w:r>
      <w:r w:rsidR="00AE0E6C">
        <w:t>statements which</w:t>
      </w:r>
      <w:r w:rsidR="001256A2">
        <w:t xml:space="preserve"> said, among other things,</w:t>
      </w:r>
      <w:r w:rsidR="00AE0E6C">
        <w:t xml:space="preserve"> that </w:t>
      </w:r>
      <w:proofErr w:type="spellStart"/>
      <w:r w:rsidR="00532EFE">
        <w:t>AAP</w:t>
      </w:r>
      <w:r w:rsidR="00814DA0">
        <w:t>T</w:t>
      </w:r>
      <w:proofErr w:type="spellEnd"/>
      <w:r w:rsidR="00532EFE">
        <w:t xml:space="preserve"> was not solvent </w:t>
      </w:r>
      <w:r w:rsidR="00532EFE">
        <w:lastRenderedPageBreak/>
        <w:t xml:space="preserve">and </w:t>
      </w:r>
      <w:r w:rsidR="00485B7B">
        <w:t>would be</w:t>
      </w:r>
      <w:r w:rsidR="00AE0E6C">
        <w:t xml:space="preserve"> going out of business.  </w:t>
      </w:r>
      <w:proofErr w:type="spellStart"/>
      <w:r w:rsidR="00AE0E6C">
        <w:t>AAPT</w:t>
      </w:r>
      <w:proofErr w:type="spellEnd"/>
      <w:r w:rsidR="00AE0E6C">
        <w:t xml:space="preserve"> sought an interlocutory injunction</w:t>
      </w:r>
      <w:r w:rsidR="001256A2">
        <w:t xml:space="preserve"> to restrain the making and distribution of the statements</w:t>
      </w:r>
      <w:r w:rsidR="00AE0E6C">
        <w:t>.</w:t>
      </w:r>
      <w:r w:rsidR="00D85488">
        <w:t xml:space="preserve">  </w:t>
      </w:r>
      <w:r w:rsidR="008B336E">
        <w:t xml:space="preserve">In weighing the balance of </w:t>
      </w:r>
      <w:r w:rsidR="004C40BF">
        <w:t>convenience</w:t>
      </w:r>
      <w:r w:rsidR="008B336E">
        <w:t xml:space="preserve">, </w:t>
      </w:r>
      <w:proofErr w:type="spellStart"/>
      <w:r>
        <w:t>Einfeld</w:t>
      </w:r>
      <w:proofErr w:type="spellEnd"/>
      <w:r w:rsidR="00D85488">
        <w:t xml:space="preserve"> J</w:t>
      </w:r>
      <w:r>
        <w:t xml:space="preserve"> compared the position of Telstra</w:t>
      </w:r>
      <w:r w:rsidR="00F37FB8">
        <w:t>,</w:t>
      </w:r>
      <w:r w:rsidR="00F4168C">
        <w:t xml:space="preserve"> with that of</w:t>
      </w:r>
      <w:r w:rsidR="00D85488">
        <w:t xml:space="preserve"> </w:t>
      </w:r>
      <w:proofErr w:type="spellStart"/>
      <w:r>
        <w:t>AAPT</w:t>
      </w:r>
      <w:proofErr w:type="spellEnd"/>
      <w:r w:rsidR="0089068A">
        <w:t>,</w:t>
      </w:r>
      <w:r>
        <w:t xml:space="preserve"> and said that if he was to grant the</w:t>
      </w:r>
      <w:r w:rsidR="00F5099C">
        <w:t xml:space="preserve"> interlocutory</w:t>
      </w:r>
      <w:r>
        <w:t xml:space="preserve"> injunction precluding Telstra</w:t>
      </w:r>
      <w:r w:rsidR="00F5099C">
        <w:t xml:space="preserve"> from continuing to publish those statements</w:t>
      </w:r>
      <w:r w:rsidR="008B336E">
        <w:t>,</w:t>
      </w:r>
      <w:r>
        <w:t xml:space="preserve"> the only damage </w:t>
      </w:r>
      <w:r w:rsidR="00F37FB8">
        <w:t xml:space="preserve">to </w:t>
      </w:r>
      <w:r>
        <w:t xml:space="preserve">Telstra </w:t>
      </w:r>
      <w:r w:rsidRPr="00532EFE">
        <w:t xml:space="preserve">would be </w:t>
      </w:r>
      <w:r w:rsidR="008B336E" w:rsidRPr="00532EFE">
        <w:t xml:space="preserve">that it </w:t>
      </w:r>
      <w:r w:rsidR="004C40BF" w:rsidRPr="00532EFE">
        <w:t>would be</w:t>
      </w:r>
      <w:r w:rsidR="004C40BF">
        <w:t xml:space="preserve"> </w:t>
      </w:r>
      <w:r>
        <w:t>unable to use the representation</w:t>
      </w:r>
      <w:r w:rsidR="00532EFE">
        <w:t>s</w:t>
      </w:r>
      <w:r>
        <w:t xml:space="preserve"> to poach </w:t>
      </w:r>
      <w:proofErr w:type="spellStart"/>
      <w:r>
        <w:t>AAPT</w:t>
      </w:r>
      <w:r w:rsidR="008B336E">
        <w:t>’</w:t>
      </w:r>
      <w:r>
        <w:t>s</w:t>
      </w:r>
      <w:proofErr w:type="spellEnd"/>
      <w:r>
        <w:t xml:space="preserve"> customers pending a final hearing</w:t>
      </w:r>
      <w:r w:rsidR="008B336E">
        <w:t>,</w:t>
      </w:r>
      <w:r>
        <w:t xml:space="preserve"> and</w:t>
      </w:r>
      <w:r w:rsidR="008B336E">
        <w:t>,</w:t>
      </w:r>
      <w:r>
        <w:t xml:space="preserve"> therefore</w:t>
      </w:r>
      <w:r w:rsidR="008B336E">
        <w:t>,</w:t>
      </w:r>
      <w:r>
        <w:t xml:space="preserve"> would</w:t>
      </w:r>
      <w:r w:rsidR="008B336E">
        <w:t xml:space="preserve"> </w:t>
      </w:r>
      <w:r>
        <w:t>n</w:t>
      </w:r>
      <w:r w:rsidR="008B336E">
        <w:t>o</w:t>
      </w:r>
      <w:r w:rsidR="00F37FB8">
        <w:t>t suffer any real</w:t>
      </w:r>
      <w:r w:rsidR="00D034E2">
        <w:t xml:space="preserve"> </w:t>
      </w:r>
      <w:r w:rsidR="00F37FB8">
        <w:t>damage, whereas</w:t>
      </w:r>
      <w:r w:rsidR="00F5099C">
        <w:t xml:space="preserve"> </w:t>
      </w:r>
      <w:proofErr w:type="spellStart"/>
      <w:r w:rsidR="00F37FB8">
        <w:t>AAPT</w:t>
      </w:r>
      <w:proofErr w:type="spellEnd"/>
      <w:r w:rsidR="00F37FB8">
        <w:t xml:space="preserve"> </w:t>
      </w:r>
      <w:r w:rsidR="00F5099C">
        <w:t xml:space="preserve">was liable to </w:t>
      </w:r>
      <w:r w:rsidR="00F37FB8">
        <w:t>suffer unquantifiable loss to its reputation and business.</w:t>
      </w:r>
    </w:p>
    <w:p w:rsidR="008B336E" w:rsidRDefault="00F37FB8" w:rsidP="00C31DF0">
      <w:pPr>
        <w:pStyle w:val="ParaNumbering"/>
      </w:pPr>
      <w:r>
        <w:t>I</w:t>
      </w:r>
      <w:r w:rsidR="00C31DF0">
        <w:t>n my view</w:t>
      </w:r>
      <w:r w:rsidR="0089068A">
        <w:t>,</w:t>
      </w:r>
      <w:r w:rsidR="00C31DF0">
        <w:t xml:space="preserve"> the circumstances of the </w:t>
      </w:r>
      <w:proofErr w:type="spellStart"/>
      <w:r w:rsidR="00C31DF0" w:rsidRPr="00F37FB8">
        <w:rPr>
          <w:i/>
        </w:rPr>
        <w:t>AAP</w:t>
      </w:r>
      <w:r w:rsidR="00532EFE">
        <w:rPr>
          <w:i/>
        </w:rPr>
        <w:t>T</w:t>
      </w:r>
      <w:proofErr w:type="spellEnd"/>
      <w:r w:rsidR="00C31DF0">
        <w:t xml:space="preserve"> case are very different from the circumstances in this case.</w:t>
      </w:r>
      <w:r>
        <w:t xml:space="preserve">  </w:t>
      </w:r>
      <w:r w:rsidR="00C31DF0">
        <w:t>In this case</w:t>
      </w:r>
      <w:r w:rsidR="00334978">
        <w:t>,</w:t>
      </w:r>
      <w:r w:rsidR="00C31DF0">
        <w:t xml:space="preserve"> the </w:t>
      </w:r>
      <w:r>
        <w:t xml:space="preserve">cross-claimant’s </w:t>
      </w:r>
      <w:r w:rsidR="00C31DF0">
        <w:t xml:space="preserve">complaint is </w:t>
      </w:r>
      <w:r>
        <w:t xml:space="preserve">limited </w:t>
      </w:r>
      <w:r w:rsidR="00C31DF0">
        <w:t>to</w:t>
      </w:r>
      <w:r w:rsidR="008B336E">
        <w:t xml:space="preserve"> the potential loss of sales in respect of</w:t>
      </w:r>
      <w:r w:rsidR="00C31DF0">
        <w:t xml:space="preserve"> </w:t>
      </w:r>
      <w:r w:rsidR="004374A7">
        <w:t xml:space="preserve">a </w:t>
      </w:r>
      <w:r w:rsidR="00C31DF0">
        <w:t xml:space="preserve">specific product.  The cross-claimant would </w:t>
      </w:r>
      <w:r w:rsidR="008B336E">
        <w:t xml:space="preserve">have </w:t>
      </w:r>
      <w:r w:rsidR="00C31DF0">
        <w:t xml:space="preserve">financial records of </w:t>
      </w:r>
      <w:r w:rsidR="008B336E">
        <w:t xml:space="preserve">historical </w:t>
      </w:r>
      <w:r w:rsidR="00C31DF0">
        <w:t>sales</w:t>
      </w:r>
      <w:r w:rsidR="008B336E">
        <w:t xml:space="preserve"> of that product</w:t>
      </w:r>
      <w:r w:rsidR="00C31DF0">
        <w:t xml:space="preserve"> and would be able to make an assessment in relation to any diminution in sales which it may have suffered during the period from the commencement of the distribution of the information sheet</w:t>
      </w:r>
      <w:r w:rsidR="00F5099C">
        <w:t>s</w:t>
      </w:r>
      <w:r w:rsidR="00C31DF0">
        <w:t xml:space="preserve"> until trial.  Further, the cross-claimant w</w:t>
      </w:r>
      <w:r w:rsidR="008B336E">
        <w:t>ill</w:t>
      </w:r>
      <w:r w:rsidR="004C40BF">
        <w:t>, in due course,</w:t>
      </w:r>
      <w:r w:rsidR="008B336E">
        <w:t xml:space="preserve"> get </w:t>
      </w:r>
      <w:r w:rsidR="00C31DF0">
        <w:t>the benefit of discovery and it w</w:t>
      </w:r>
      <w:r w:rsidR="008B336E">
        <w:t>ill,</w:t>
      </w:r>
      <w:r w:rsidR="00C31DF0">
        <w:t xml:space="preserve"> therefore</w:t>
      </w:r>
      <w:r w:rsidR="008B336E">
        <w:t>,</w:t>
      </w:r>
      <w:r w:rsidR="00C31DF0">
        <w:t xml:space="preserve"> be able to determine whether there was any increase in sales from the other side.</w:t>
      </w:r>
    </w:p>
    <w:p w:rsidR="00C31DF0" w:rsidRDefault="008B336E" w:rsidP="00C31DF0">
      <w:pPr>
        <w:pStyle w:val="ParaNumbering"/>
      </w:pPr>
      <w:r>
        <w:t>I</w:t>
      </w:r>
      <w:r w:rsidR="00C31DF0">
        <w:t>n my view</w:t>
      </w:r>
      <w:r w:rsidR="00E72E9F">
        <w:t>,</w:t>
      </w:r>
      <w:r w:rsidR="00C31DF0">
        <w:t xml:space="preserve"> a fairly accurate assessment </w:t>
      </w:r>
      <w:r w:rsidR="004374A7">
        <w:t xml:space="preserve">of any </w:t>
      </w:r>
      <w:r w:rsidR="00F37FB8">
        <w:t xml:space="preserve">loss or </w:t>
      </w:r>
      <w:r w:rsidR="00C31DF0">
        <w:t>damage</w:t>
      </w:r>
      <w:r w:rsidR="004374A7">
        <w:t xml:space="preserve"> suffered by the cross-claimant</w:t>
      </w:r>
      <w:r w:rsidR="00C31DF0">
        <w:t xml:space="preserve"> </w:t>
      </w:r>
      <w:r>
        <w:t xml:space="preserve">will </w:t>
      </w:r>
      <w:r w:rsidR="00C31DF0">
        <w:t xml:space="preserve">be possible.  </w:t>
      </w:r>
      <w:r>
        <w:t xml:space="preserve">The fact that damages is an adequate </w:t>
      </w:r>
      <w:proofErr w:type="gramStart"/>
      <w:r>
        <w:t>remedy,</w:t>
      </w:r>
      <w:proofErr w:type="gramEnd"/>
      <w:r>
        <w:t xml:space="preserve"> is, </w:t>
      </w:r>
      <w:r w:rsidR="00C31DF0">
        <w:t>therefore</w:t>
      </w:r>
      <w:r>
        <w:t>,</w:t>
      </w:r>
      <w:r w:rsidR="00C31DF0">
        <w:t xml:space="preserve"> a factor which weighs</w:t>
      </w:r>
      <w:r w:rsidR="00E72E9F">
        <w:t xml:space="preserve"> against the balance of convenience</w:t>
      </w:r>
      <w:r w:rsidR="004374A7">
        <w:t xml:space="preserve"> falling in favour of the cross-claimant.</w:t>
      </w:r>
    </w:p>
    <w:p w:rsidR="00E72E9F" w:rsidRDefault="00C31DF0" w:rsidP="00C31DF0">
      <w:pPr>
        <w:pStyle w:val="ParaNumbering"/>
      </w:pPr>
      <w:r>
        <w:t>In addition</w:t>
      </w:r>
      <w:r w:rsidR="00E72E9F">
        <w:t>,</w:t>
      </w:r>
      <w:r>
        <w:t xml:space="preserve"> the cross-claimant is able </w:t>
      </w:r>
      <w:r w:rsidR="00E72E9F">
        <w:t xml:space="preserve">to </w:t>
      </w:r>
      <w:r>
        <w:t>and</w:t>
      </w:r>
      <w:r w:rsidR="00E72E9F">
        <w:t>,</w:t>
      </w:r>
      <w:r>
        <w:t xml:space="preserve"> has been</w:t>
      </w:r>
      <w:r w:rsidR="00E72E9F">
        <w:t>,</w:t>
      </w:r>
      <w:r>
        <w:t xml:space="preserve"> approaching its customers with the object </w:t>
      </w:r>
      <w:r w:rsidR="004374A7">
        <w:t>of putting</w:t>
      </w:r>
      <w:r>
        <w:t xml:space="preserve"> its </w:t>
      </w:r>
      <w:r w:rsidR="004374A7">
        <w:t>response to the allegations made by the cross-respondent</w:t>
      </w:r>
      <w:r w:rsidR="00E72E9F">
        <w:t xml:space="preserve">.  </w:t>
      </w:r>
      <w:r w:rsidR="00334978">
        <w:t>The cross</w:t>
      </w:r>
      <w:r w:rsidR="0006153C">
        <w:noBreakHyphen/>
      </w:r>
      <w:r w:rsidR="00334978">
        <w:t>claimant</w:t>
      </w:r>
      <w:r w:rsidR="00E72E9F">
        <w:t xml:space="preserve"> is,</w:t>
      </w:r>
      <w:r>
        <w:t xml:space="preserve"> therefore</w:t>
      </w:r>
      <w:r w:rsidR="00E72E9F">
        <w:t>,</w:t>
      </w:r>
      <w:r>
        <w:t xml:space="preserve"> able to engage, to some extent, in the process of self</w:t>
      </w:r>
      <w:r w:rsidR="00E72E9F">
        <w:t>-</w:t>
      </w:r>
      <w:r>
        <w:t>help.</w:t>
      </w:r>
    </w:p>
    <w:p w:rsidR="004374A7" w:rsidRDefault="00C31DF0" w:rsidP="00C31DF0">
      <w:pPr>
        <w:pStyle w:val="ParaNumbering"/>
      </w:pPr>
      <w:r>
        <w:t>So</w:t>
      </w:r>
      <w:r w:rsidR="00E72E9F">
        <w:t>,</w:t>
      </w:r>
      <w:r>
        <w:t xml:space="preserve"> in my view, the balance of convenience does</w:t>
      </w:r>
      <w:r w:rsidR="00E72E9F">
        <w:t xml:space="preserve"> not</w:t>
      </w:r>
      <w:r>
        <w:t xml:space="preserve"> </w:t>
      </w:r>
      <w:r w:rsidR="00E72E9F">
        <w:t xml:space="preserve">favour the </w:t>
      </w:r>
      <w:r>
        <w:t>grant of an</w:t>
      </w:r>
      <w:r w:rsidR="00E72E9F">
        <w:t xml:space="preserve"> interlocutory</w:t>
      </w:r>
      <w:r>
        <w:t xml:space="preserve"> injunction</w:t>
      </w:r>
      <w:r w:rsidR="00E72E9F">
        <w:t>.</w:t>
      </w:r>
    </w:p>
    <w:p w:rsidR="00624520" w:rsidRDefault="00E72E9F" w:rsidP="00C31DF0">
      <w:pPr>
        <w:pStyle w:val="ParaNumbering"/>
      </w:pPr>
      <w:r>
        <w:t>T</w:t>
      </w:r>
      <w:r w:rsidR="00C31DF0">
        <w:t>he consequence is that I will dismiss both of the applications for interlocutory injunctions.</w:t>
      </w:r>
    </w:p>
    <w:tbl>
      <w:tblPr>
        <w:tblW w:w="0" w:type="auto"/>
        <w:tblLook w:val="04A0" w:firstRow="1" w:lastRow="0" w:firstColumn="1" w:lastColumn="0" w:noHBand="0" w:noVBand="1"/>
      </w:tblPr>
      <w:tblGrid>
        <w:gridCol w:w="3794"/>
      </w:tblGrid>
      <w:tr w:rsidR="00C31DF0" w:rsidRPr="00037446">
        <w:tc>
          <w:tcPr>
            <w:tcW w:w="3794" w:type="dxa"/>
            <w:shd w:val="clear" w:color="auto" w:fill="auto"/>
          </w:tcPr>
          <w:p w:rsidR="00037446" w:rsidRDefault="00037446" w:rsidP="00037446">
            <w:pPr>
              <w:pStyle w:val="Normal1linespace"/>
              <w:spacing w:line="360" w:lineRule="auto"/>
              <w:rPr>
                <w:szCs w:val="24"/>
              </w:rPr>
            </w:pPr>
            <w:bookmarkStart w:id="24" w:name="Certification"/>
          </w:p>
          <w:p w:rsidR="00C31DF0" w:rsidRPr="00037446" w:rsidRDefault="00C31DF0" w:rsidP="00532EFE">
            <w:pPr>
              <w:pStyle w:val="Normal1linespace"/>
              <w:rPr>
                <w:szCs w:val="24"/>
              </w:rPr>
            </w:pPr>
            <w:r w:rsidRPr="00037446">
              <w:rPr>
                <w:szCs w:val="24"/>
              </w:rPr>
              <w:t xml:space="preserve">I certify that the preceding </w:t>
            </w:r>
            <w:bookmarkStart w:id="25" w:name="NumberWord"/>
            <w:r w:rsidR="00467DE1" w:rsidRPr="00037446">
              <w:rPr>
                <w:szCs w:val="24"/>
              </w:rPr>
              <w:t>fifty-</w:t>
            </w:r>
            <w:r w:rsidR="00532EFE" w:rsidRPr="00037446">
              <w:rPr>
                <w:szCs w:val="24"/>
              </w:rPr>
              <w:t>five</w:t>
            </w:r>
            <w:bookmarkEnd w:id="25"/>
            <w:r w:rsidRPr="00037446">
              <w:rPr>
                <w:szCs w:val="24"/>
              </w:rPr>
              <w:t xml:space="preserve"> (</w:t>
            </w:r>
            <w:bookmarkStart w:id="26" w:name="NumberNumeral"/>
            <w:r w:rsidR="00467DE1" w:rsidRPr="00037446">
              <w:rPr>
                <w:szCs w:val="24"/>
              </w:rPr>
              <w:t>5</w:t>
            </w:r>
            <w:r w:rsidR="00532EFE" w:rsidRPr="00037446">
              <w:rPr>
                <w:szCs w:val="24"/>
              </w:rPr>
              <w:t>5</w:t>
            </w:r>
            <w:bookmarkEnd w:id="26"/>
            <w:r w:rsidRPr="00037446">
              <w:rPr>
                <w:szCs w:val="24"/>
              </w:rPr>
              <w:t xml:space="preserve">) numbered </w:t>
            </w:r>
            <w:bookmarkStart w:id="27" w:name="CertPara"/>
            <w:r w:rsidRPr="00037446">
              <w:rPr>
                <w:szCs w:val="24"/>
              </w:rPr>
              <w:t>paragraphs are</w:t>
            </w:r>
            <w:bookmarkEnd w:id="27"/>
            <w:r w:rsidRPr="00037446">
              <w:rPr>
                <w:szCs w:val="24"/>
              </w:rPr>
              <w:t xml:space="preserve"> a true copy of the Reasons for Judgment herein of the Honourable </w:t>
            </w:r>
            <w:bookmarkStart w:id="28" w:name="Justice"/>
            <w:r w:rsidRPr="00037446">
              <w:rPr>
                <w:szCs w:val="24"/>
              </w:rPr>
              <w:t xml:space="preserve">Justice </w:t>
            </w:r>
            <w:proofErr w:type="spellStart"/>
            <w:r w:rsidRPr="00037446">
              <w:rPr>
                <w:szCs w:val="24"/>
              </w:rPr>
              <w:t>Siopis</w:t>
            </w:r>
            <w:bookmarkEnd w:id="28"/>
            <w:proofErr w:type="spellEnd"/>
            <w:r w:rsidRPr="00037446">
              <w:rPr>
                <w:szCs w:val="24"/>
              </w:rPr>
              <w:t>.</w:t>
            </w:r>
          </w:p>
        </w:tc>
      </w:tr>
    </w:tbl>
    <w:p w:rsidR="00C31DF0" w:rsidRPr="00037446" w:rsidRDefault="00C31DF0" w:rsidP="008D0800">
      <w:pPr>
        <w:pStyle w:val="BodyText"/>
        <w:rPr>
          <w:szCs w:val="24"/>
        </w:rPr>
      </w:pPr>
      <w:bookmarkStart w:id="29" w:name="_GoBack"/>
      <w:bookmarkEnd w:id="29"/>
    </w:p>
    <w:p w:rsidR="00905611" w:rsidRPr="00037446" w:rsidRDefault="008C4E59" w:rsidP="00E67D62">
      <w:pPr>
        <w:pStyle w:val="BodyText"/>
        <w:rPr>
          <w:szCs w:val="24"/>
        </w:rPr>
      </w:pPr>
      <w:r w:rsidRPr="00037446">
        <w:rPr>
          <w:szCs w:val="24"/>
        </w:rPr>
        <w:t>Associate</w:t>
      </w:r>
    </w:p>
    <w:p w:rsidR="00C31DF0" w:rsidRPr="00037446" w:rsidRDefault="00C31DF0" w:rsidP="00185C28">
      <w:pPr>
        <w:pStyle w:val="BodyText"/>
        <w:rPr>
          <w:szCs w:val="24"/>
        </w:rPr>
      </w:pPr>
      <w:r w:rsidRPr="00037446">
        <w:rPr>
          <w:szCs w:val="24"/>
        </w:rPr>
        <w:t>Dated:</w:t>
      </w:r>
      <w:r w:rsidRPr="00037446">
        <w:rPr>
          <w:szCs w:val="24"/>
        </w:rPr>
        <w:tab/>
      </w:r>
      <w:bookmarkStart w:id="30" w:name="CertifyDated"/>
      <w:r w:rsidR="00532EFE" w:rsidRPr="00037446">
        <w:rPr>
          <w:szCs w:val="24"/>
        </w:rPr>
        <w:t>27</w:t>
      </w:r>
      <w:r w:rsidRPr="00037446">
        <w:rPr>
          <w:szCs w:val="24"/>
        </w:rPr>
        <w:t xml:space="preserve"> July 2015</w:t>
      </w:r>
      <w:bookmarkEnd w:id="30"/>
      <w:bookmarkEnd w:id="24"/>
    </w:p>
    <w:sectPr w:rsidR="00C31DF0" w:rsidRPr="00037446">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BF" w:rsidRDefault="004C40BF">
      <w:pPr>
        <w:spacing w:line="20" w:lineRule="exact"/>
      </w:pPr>
    </w:p>
    <w:p w:rsidR="004C40BF" w:rsidRDefault="004C40BF"/>
    <w:p w:rsidR="004C40BF" w:rsidRDefault="004C40BF"/>
  </w:endnote>
  <w:endnote w:type="continuationSeparator" w:id="0">
    <w:p w:rsidR="004C40BF" w:rsidRDefault="004C40BF">
      <w:r>
        <w:t xml:space="preserve"> </w:t>
      </w:r>
    </w:p>
    <w:p w:rsidR="004C40BF" w:rsidRDefault="004C40BF"/>
    <w:p w:rsidR="004C40BF" w:rsidRDefault="004C40BF"/>
  </w:endnote>
  <w:endnote w:type="continuationNotice" w:id="1">
    <w:p w:rsidR="004C40BF" w:rsidRDefault="004C40BF">
      <w:r>
        <w:t xml:space="preserve"> </w:t>
      </w:r>
    </w:p>
    <w:p w:rsidR="004C40BF" w:rsidRDefault="004C40BF"/>
    <w:p w:rsidR="004C40BF" w:rsidRDefault="004C4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Ë¢çE¢®Ec¢®E¡Ëc¡Ë¢ç¡Ë?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Default="004C40BF">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Pr="00624520" w:rsidRDefault="004C40BF"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Default="004C40BF"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BF" w:rsidRDefault="004C40BF"/>
    <w:p w:rsidR="004C40BF" w:rsidRDefault="004C40BF"/>
    <w:p w:rsidR="004C40BF" w:rsidRDefault="004C40BF"/>
  </w:footnote>
  <w:footnote w:type="continuationSeparator" w:id="0">
    <w:p w:rsidR="004C40BF" w:rsidRDefault="004C40BF">
      <w:r>
        <w:continuationSeparator/>
      </w:r>
    </w:p>
    <w:p w:rsidR="004C40BF" w:rsidRDefault="004C40BF"/>
    <w:p w:rsidR="004C40BF" w:rsidRDefault="004C40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Default="004C40BF">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E67D62">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Default="004C40BF">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Default="004C40BF">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Default="004C40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Default="004C40BF">
    <w:pPr>
      <w:tabs>
        <w:tab w:val="center" w:pos="4512"/>
      </w:tabs>
      <w:suppressAutoHyphens/>
    </w:pPr>
    <w:r>
      <w:tab/>
      <w:t xml:space="preserve">- </w:t>
    </w:r>
    <w:r>
      <w:fldChar w:fldCharType="begin"/>
    </w:r>
    <w:r>
      <w:instrText>page \* arabic</w:instrText>
    </w:r>
    <w:r>
      <w:fldChar w:fldCharType="separate"/>
    </w:r>
    <w:r w:rsidR="00E67D62">
      <w:rPr>
        <w:noProof/>
      </w:rPr>
      <w:t>10</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BF" w:rsidRDefault="004C40BF">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494817A7"/>
    <w:multiLevelType w:val="multilevel"/>
    <w:tmpl w:val="0F0EC90E"/>
    <w:numStyleLink w:val="FCListNo"/>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AU" w:vendorID="8" w:dllVersion="513"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PR POLYMERS PTY LTD (ACN 097 405 984)"/>
    <w:docVar w:name="CounselParties" w:val="Respondent"/>
    <w:docVar w:name="CounselType" w:val="Solicitor for the "/>
    <w:docVar w:name="Cross-Claimant" w:val="MTI GROUP PTY LTD (ACN 137 112 326)"/>
    <w:docVar w:name="Cross-Respondent" w:val="PR POLYMERS PTY LTD (ACN 097 405 984)"/>
    <w:docVar w:name="Division" w:val="GENERAL DIVISION"/>
    <w:docVar w:name="DocCreated" w:val="True"/>
    <w:docVar w:name="FileNumbers" w:val="WAD 276 of 2015"/>
    <w:docVar w:name="FullCourt" w:val="False"/>
    <w:docVar w:name="HearingDate" w:val="2 July 2015"/>
    <w:docVar w:name="Judgdate" w:val="2 July 2015"/>
    <w:docVar w:name="Judge" w:val="Siopis"/>
    <w:docVar w:name="JudgePlace" w:val="PERTH"/>
    <w:docVar w:name="lstEntryList" w:val="-1"/>
    <w:docVar w:name="myEntryList" w:val="Counsel for the Applicant=|Solicitor for the Applicant=|Counsel for the Respondent=|Solicitor for the Respondent=Herbert Smith Freehills"/>
    <w:docVar w:name="NSD" w:val="NSD WAD 276 of 2015"/>
    <w:docVar w:name="NumApps" w:val="1"/>
    <w:docVar w:name="NumApps_" w:val="1"/>
    <w:docVar w:name="NumJudges" w:val="Single Judge"/>
    <w:docVar w:name="Parties" w:val="Cross-Respondent"/>
    <w:docVar w:name="Place_SentenceCase" w:val="Perth"/>
    <w:docVar w:name="Respondent" w:val="MTI GROUP PTY LTD (ACN 137 112 326)"/>
    <w:docVar w:name="ResState" w:val="WESTERN AUSTRALIA"/>
    <w:docVar w:name="Single" w:val="True"/>
  </w:docVars>
  <w:rsids>
    <w:rsidRoot w:val="00C31DF0"/>
    <w:rsid w:val="000074A7"/>
    <w:rsid w:val="00007F9E"/>
    <w:rsid w:val="00035172"/>
    <w:rsid w:val="00037446"/>
    <w:rsid w:val="0006153C"/>
    <w:rsid w:val="00072388"/>
    <w:rsid w:val="000966CF"/>
    <w:rsid w:val="000C24FA"/>
    <w:rsid w:val="000C486A"/>
    <w:rsid w:val="000D07ED"/>
    <w:rsid w:val="000D2137"/>
    <w:rsid w:val="000D462B"/>
    <w:rsid w:val="001128BD"/>
    <w:rsid w:val="001256A2"/>
    <w:rsid w:val="001727A4"/>
    <w:rsid w:val="001738AB"/>
    <w:rsid w:val="00185C28"/>
    <w:rsid w:val="00187BBC"/>
    <w:rsid w:val="00193B4A"/>
    <w:rsid w:val="001B14AC"/>
    <w:rsid w:val="001B7940"/>
    <w:rsid w:val="001E3B49"/>
    <w:rsid w:val="001E7388"/>
    <w:rsid w:val="00203819"/>
    <w:rsid w:val="00207BEC"/>
    <w:rsid w:val="0023616D"/>
    <w:rsid w:val="002535D0"/>
    <w:rsid w:val="002602C2"/>
    <w:rsid w:val="00274F5B"/>
    <w:rsid w:val="00280836"/>
    <w:rsid w:val="002A15BB"/>
    <w:rsid w:val="002A1B50"/>
    <w:rsid w:val="002B0E91"/>
    <w:rsid w:val="002C31AD"/>
    <w:rsid w:val="002C7385"/>
    <w:rsid w:val="002F1844"/>
    <w:rsid w:val="002F1E49"/>
    <w:rsid w:val="002F3933"/>
    <w:rsid w:val="002F4E9C"/>
    <w:rsid w:val="00311246"/>
    <w:rsid w:val="00311C9C"/>
    <w:rsid w:val="003236E9"/>
    <w:rsid w:val="00334978"/>
    <w:rsid w:val="003463FE"/>
    <w:rsid w:val="00356632"/>
    <w:rsid w:val="0036034B"/>
    <w:rsid w:val="00361898"/>
    <w:rsid w:val="00370B19"/>
    <w:rsid w:val="00383816"/>
    <w:rsid w:val="003845A9"/>
    <w:rsid w:val="00390883"/>
    <w:rsid w:val="00395B24"/>
    <w:rsid w:val="003A21F4"/>
    <w:rsid w:val="003A2D38"/>
    <w:rsid w:val="003A556B"/>
    <w:rsid w:val="003B2C72"/>
    <w:rsid w:val="003C20FF"/>
    <w:rsid w:val="003E4888"/>
    <w:rsid w:val="003E5822"/>
    <w:rsid w:val="003F193E"/>
    <w:rsid w:val="003F547E"/>
    <w:rsid w:val="003F75BA"/>
    <w:rsid w:val="0041520E"/>
    <w:rsid w:val="00434904"/>
    <w:rsid w:val="004374A7"/>
    <w:rsid w:val="00467DE1"/>
    <w:rsid w:val="00472027"/>
    <w:rsid w:val="00485B7B"/>
    <w:rsid w:val="0049417F"/>
    <w:rsid w:val="004A365F"/>
    <w:rsid w:val="004C40BF"/>
    <w:rsid w:val="004C788D"/>
    <w:rsid w:val="004D53E5"/>
    <w:rsid w:val="0051346D"/>
    <w:rsid w:val="00513EAE"/>
    <w:rsid w:val="00522373"/>
    <w:rsid w:val="00532D7B"/>
    <w:rsid w:val="00532EFE"/>
    <w:rsid w:val="005359EB"/>
    <w:rsid w:val="0054254A"/>
    <w:rsid w:val="005466B5"/>
    <w:rsid w:val="00566166"/>
    <w:rsid w:val="00580CC8"/>
    <w:rsid w:val="005A4DF8"/>
    <w:rsid w:val="005C1767"/>
    <w:rsid w:val="005C42EF"/>
    <w:rsid w:val="005D3285"/>
    <w:rsid w:val="005D4694"/>
    <w:rsid w:val="005E02F5"/>
    <w:rsid w:val="005E176E"/>
    <w:rsid w:val="005E2398"/>
    <w:rsid w:val="005E2E22"/>
    <w:rsid w:val="005E35A0"/>
    <w:rsid w:val="00615596"/>
    <w:rsid w:val="006224F6"/>
    <w:rsid w:val="00624520"/>
    <w:rsid w:val="00636871"/>
    <w:rsid w:val="00643DE0"/>
    <w:rsid w:val="00644E85"/>
    <w:rsid w:val="00662A3A"/>
    <w:rsid w:val="00662BB0"/>
    <w:rsid w:val="006A5695"/>
    <w:rsid w:val="006A5756"/>
    <w:rsid w:val="006B3904"/>
    <w:rsid w:val="006B5B7D"/>
    <w:rsid w:val="006D0ECF"/>
    <w:rsid w:val="00700ACE"/>
    <w:rsid w:val="00707218"/>
    <w:rsid w:val="00712B1D"/>
    <w:rsid w:val="007163CD"/>
    <w:rsid w:val="007271FA"/>
    <w:rsid w:val="007325D9"/>
    <w:rsid w:val="0078035B"/>
    <w:rsid w:val="0078300C"/>
    <w:rsid w:val="007929CF"/>
    <w:rsid w:val="007D561F"/>
    <w:rsid w:val="00804D28"/>
    <w:rsid w:val="00814DA0"/>
    <w:rsid w:val="00831927"/>
    <w:rsid w:val="0084273D"/>
    <w:rsid w:val="00845A83"/>
    <w:rsid w:val="008606B5"/>
    <w:rsid w:val="00866ECC"/>
    <w:rsid w:val="0089068A"/>
    <w:rsid w:val="00895C23"/>
    <w:rsid w:val="008B336E"/>
    <w:rsid w:val="008C40FC"/>
    <w:rsid w:val="008C4E59"/>
    <w:rsid w:val="008C6D50"/>
    <w:rsid w:val="008D0800"/>
    <w:rsid w:val="008E6315"/>
    <w:rsid w:val="008F38DE"/>
    <w:rsid w:val="009054CB"/>
    <w:rsid w:val="00905611"/>
    <w:rsid w:val="00965333"/>
    <w:rsid w:val="00967855"/>
    <w:rsid w:val="00970520"/>
    <w:rsid w:val="00980736"/>
    <w:rsid w:val="009B13FA"/>
    <w:rsid w:val="009B1E2D"/>
    <w:rsid w:val="009D0A7D"/>
    <w:rsid w:val="009E4FA6"/>
    <w:rsid w:val="009E7D93"/>
    <w:rsid w:val="009F0D16"/>
    <w:rsid w:val="009F7D47"/>
    <w:rsid w:val="00A01063"/>
    <w:rsid w:val="00A03EAC"/>
    <w:rsid w:val="00A11CA6"/>
    <w:rsid w:val="00A13AAC"/>
    <w:rsid w:val="00A20C49"/>
    <w:rsid w:val="00A2355C"/>
    <w:rsid w:val="00A359AC"/>
    <w:rsid w:val="00A560F1"/>
    <w:rsid w:val="00A7147C"/>
    <w:rsid w:val="00A950B6"/>
    <w:rsid w:val="00AB18C6"/>
    <w:rsid w:val="00AB41C1"/>
    <w:rsid w:val="00AC2A77"/>
    <w:rsid w:val="00AE0E6C"/>
    <w:rsid w:val="00B1594A"/>
    <w:rsid w:val="00B23945"/>
    <w:rsid w:val="00B50F48"/>
    <w:rsid w:val="00B73D7D"/>
    <w:rsid w:val="00B75430"/>
    <w:rsid w:val="00B92EAA"/>
    <w:rsid w:val="00BA3DBC"/>
    <w:rsid w:val="00BB2DA2"/>
    <w:rsid w:val="00BB3D0C"/>
    <w:rsid w:val="00BB56DC"/>
    <w:rsid w:val="00BF4C2A"/>
    <w:rsid w:val="00C24B4D"/>
    <w:rsid w:val="00C30E32"/>
    <w:rsid w:val="00C31DF0"/>
    <w:rsid w:val="00C36442"/>
    <w:rsid w:val="00C4501C"/>
    <w:rsid w:val="00C555C5"/>
    <w:rsid w:val="00C56F16"/>
    <w:rsid w:val="00C70034"/>
    <w:rsid w:val="00C87331"/>
    <w:rsid w:val="00CB7FD6"/>
    <w:rsid w:val="00D034E2"/>
    <w:rsid w:val="00D05544"/>
    <w:rsid w:val="00D10F21"/>
    <w:rsid w:val="00D375EE"/>
    <w:rsid w:val="00D85488"/>
    <w:rsid w:val="00D9725F"/>
    <w:rsid w:val="00DA14ED"/>
    <w:rsid w:val="00DB14AC"/>
    <w:rsid w:val="00DB3DE1"/>
    <w:rsid w:val="00DB716C"/>
    <w:rsid w:val="00DD4236"/>
    <w:rsid w:val="00DF2BE1"/>
    <w:rsid w:val="00E027BC"/>
    <w:rsid w:val="00E14EA5"/>
    <w:rsid w:val="00E67D62"/>
    <w:rsid w:val="00E72E9F"/>
    <w:rsid w:val="00E75006"/>
    <w:rsid w:val="00E7524A"/>
    <w:rsid w:val="00E764A0"/>
    <w:rsid w:val="00E76E45"/>
    <w:rsid w:val="00E9387C"/>
    <w:rsid w:val="00EA4E2E"/>
    <w:rsid w:val="00EA64EC"/>
    <w:rsid w:val="00EA7B37"/>
    <w:rsid w:val="00EB2CCB"/>
    <w:rsid w:val="00ED1703"/>
    <w:rsid w:val="00ED7DD9"/>
    <w:rsid w:val="00EE4BF4"/>
    <w:rsid w:val="00EF1C73"/>
    <w:rsid w:val="00EF3113"/>
    <w:rsid w:val="00EF3F84"/>
    <w:rsid w:val="00F1028A"/>
    <w:rsid w:val="00F176AC"/>
    <w:rsid w:val="00F27714"/>
    <w:rsid w:val="00F37FB8"/>
    <w:rsid w:val="00F4168C"/>
    <w:rsid w:val="00F5099C"/>
    <w:rsid w:val="00F50E34"/>
    <w:rsid w:val="00FB6257"/>
    <w:rsid w:val="00FC4484"/>
    <w:rsid w:val="00FC588F"/>
    <w:rsid w:val="00FC6916"/>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character" w:customStyle="1" w:styleId="BodyTextChar">
    <w:name w:val="Body Text Char"/>
    <w:basedOn w:val="DefaultParagraphFont"/>
    <w:link w:val="BodyText"/>
    <w:rsid w:val="00C31DF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character" w:customStyle="1" w:styleId="BodyTextChar">
    <w:name w:val="Body Text Char"/>
    <w:basedOn w:val="DefaultParagraphFont"/>
    <w:link w:val="BodyText"/>
    <w:rsid w:val="00C31DF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Template>
  <TotalTime>1</TotalTime>
  <Pages>13</Pages>
  <Words>4349</Words>
  <Characters>22649</Characters>
  <Application>Microsoft Office Word</Application>
  <DocSecurity>0</DocSecurity>
  <Lines>481</Lines>
  <Paragraphs>187</Paragraphs>
  <ScaleCrop>false</ScaleCrop>
  <HeadingPairs>
    <vt:vector size="2" baseType="variant">
      <vt:variant>
        <vt:lpstr>Title</vt:lpstr>
      </vt:variant>
      <vt:variant>
        <vt:i4>1</vt:i4>
      </vt:variant>
    </vt:vector>
  </HeadingPairs>
  <TitlesOfParts>
    <vt:vector size="1" baseType="lpstr">
      <vt:lpstr>PR Polymers Pty Ltd v MTI Group Pty Ltd [2015] FCA 768</vt:lpstr>
    </vt:vector>
  </TitlesOfParts>
  <Company>Federal Court of Australia</Company>
  <LinksUpToDate>false</LinksUpToDate>
  <CharactersWithSpaces>26811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Polymers Pty Ltd v MTI Group Pty Ltd [2015] FCA 768</dc:title>
  <dc:creator>Lee O'Connor</dc:creator>
  <cp:lastModifiedBy>Aurora Lee</cp:lastModifiedBy>
  <cp:revision>3</cp:revision>
  <cp:lastPrinted>2015-07-27T06:49:00Z</cp:lastPrinted>
  <dcterms:created xsi:type="dcterms:W3CDTF">2015-07-28T02:46:00Z</dcterms:created>
  <dcterms:modified xsi:type="dcterms:W3CDTF">2015-07-28T02:47:00Z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SIOPIS J</vt:lpwstr>
  </property>
  <property fmtid="{D5CDD505-2E9C-101B-9397-08002B2CF9AE}" pid="4" name="Judgment_dated" linkTarget="Judgment_dated">
    <vt:lpwstr>2 JULY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WAD 276 of 2015</vt:lpwstr>
  </property>
  <property fmtid="{D5CDD505-2E9C-101B-9397-08002B2CF9AE}" pid="8" name="Pages">
    <vt:lpwstr>3</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WESTERN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