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B12148" w:rsidRDefault="00F35E91" w:rsidP="00F35E91">
      <w:pPr>
        <w:pStyle w:val="Title"/>
      </w:pPr>
      <w:bookmarkStart w:id="0" w:name="_GoBack"/>
      <w:bookmarkEnd w:id="0"/>
      <w:r w:rsidRPr="00B12148">
        <w:tab/>
      </w:r>
      <w:r w:rsidR="00661270" w:rsidRPr="00B12148">
        <w:t>[</w:t>
      </w:r>
      <w:r w:rsidR="00B15A8A" w:rsidRPr="00B12148">
        <w:t>2015</w:t>
      </w:r>
      <w:r w:rsidR="00661270" w:rsidRPr="00B12148">
        <w:t xml:space="preserve">] </w:t>
      </w:r>
      <w:r w:rsidR="00531AA1" w:rsidRPr="00B12148">
        <w:t>AATA</w:t>
      </w:r>
      <w:r w:rsidR="00D50657">
        <w:t xml:space="preserve"> 462</w:t>
      </w:r>
    </w:p>
    <w:p w:rsidR="00DD17FC" w:rsidRPr="00B12148"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14121D" w:rsidRPr="00B12148" w:rsidTr="00E5659F">
        <w:trPr>
          <w:trHeight w:val="284"/>
        </w:trPr>
        <w:tc>
          <w:tcPr>
            <w:tcW w:w="1951" w:type="dxa"/>
          </w:tcPr>
          <w:p w:rsidR="0014121D" w:rsidRPr="00B12148" w:rsidRDefault="0014121D" w:rsidP="00E5659F">
            <w:pPr>
              <w:spacing w:before="0"/>
            </w:pPr>
            <w:bookmarkStart w:id="1" w:name="SingleFile" w:colFirst="0" w:colLast="2"/>
            <w:r w:rsidRPr="00B12148">
              <w:t>Division</w:t>
            </w:r>
          </w:p>
        </w:tc>
        <w:tc>
          <w:tcPr>
            <w:tcW w:w="6838" w:type="dxa"/>
          </w:tcPr>
          <w:p w:rsidR="0014121D" w:rsidRPr="00B12148" w:rsidRDefault="0014121D" w:rsidP="00E5659F">
            <w:pPr>
              <w:spacing w:before="0"/>
              <w:rPr>
                <w:b/>
              </w:rPr>
            </w:pPr>
            <w:r w:rsidRPr="00B12148">
              <w:rPr>
                <w:b/>
              </w:rPr>
              <w:fldChar w:fldCharType="begin"/>
            </w:r>
            <w:r w:rsidRPr="00B12148">
              <w:rPr>
                <w:b/>
              </w:rPr>
              <w:instrText xml:space="preserve"> DOCPROPERTY  Division </w:instrText>
            </w:r>
            <w:r w:rsidRPr="00B12148">
              <w:rPr>
                <w:b/>
              </w:rPr>
              <w:fldChar w:fldCharType="separate"/>
            </w:r>
            <w:r w:rsidR="00F1262C">
              <w:rPr>
                <w:b/>
              </w:rPr>
              <w:t>GENERAL ADMINISTRATIVE DIVISION</w:t>
            </w:r>
            <w:r w:rsidRPr="00B12148">
              <w:rPr>
                <w:b/>
              </w:rPr>
              <w:fldChar w:fldCharType="end"/>
            </w:r>
          </w:p>
        </w:tc>
      </w:tr>
      <w:tr w:rsidR="0014121D" w:rsidRPr="00B12148" w:rsidTr="00E5659F">
        <w:trPr>
          <w:trHeight w:val="284"/>
        </w:trPr>
        <w:tc>
          <w:tcPr>
            <w:tcW w:w="1951" w:type="dxa"/>
          </w:tcPr>
          <w:p w:rsidR="0014121D" w:rsidRPr="00B12148" w:rsidRDefault="0014121D" w:rsidP="00906D14">
            <w:r w:rsidRPr="00B12148">
              <w:t>File Number</w:t>
            </w:r>
          </w:p>
        </w:tc>
        <w:tc>
          <w:tcPr>
            <w:tcW w:w="6838" w:type="dxa"/>
          </w:tcPr>
          <w:p w:rsidR="0014121D" w:rsidRPr="00B12148" w:rsidRDefault="004E27B5" w:rsidP="00E5659F">
            <w:pPr>
              <w:pStyle w:val="Details"/>
            </w:pPr>
            <w:r>
              <w:fldChar w:fldCharType="begin"/>
            </w:r>
            <w:r>
              <w:instrText xml:space="preserve"> DOCPROPERTY  FileNumber </w:instrText>
            </w:r>
            <w:r>
              <w:fldChar w:fldCharType="separate"/>
            </w:r>
            <w:r w:rsidR="00586FD9">
              <w:t>2014/4493</w:t>
            </w:r>
            <w:r>
              <w:fldChar w:fldCharType="end"/>
            </w:r>
          </w:p>
        </w:tc>
      </w:tr>
      <w:tr w:rsidR="0014121D" w:rsidRPr="00B12148" w:rsidTr="00E5659F">
        <w:trPr>
          <w:trHeight w:val="284"/>
        </w:trPr>
        <w:tc>
          <w:tcPr>
            <w:tcW w:w="1951" w:type="dxa"/>
          </w:tcPr>
          <w:p w:rsidR="0014121D" w:rsidRPr="00B12148" w:rsidRDefault="0014121D" w:rsidP="00E5659F"/>
        </w:tc>
        <w:tc>
          <w:tcPr>
            <w:tcW w:w="6838" w:type="dxa"/>
          </w:tcPr>
          <w:p w:rsidR="0014121D" w:rsidRPr="00B12148" w:rsidRDefault="00AF4D06" w:rsidP="00E5659F">
            <w:pPr>
              <w:pStyle w:val="Details"/>
            </w:pPr>
            <w:fldSimple w:instr=" DOCPROPERTY  Applicant ">
              <w:r w:rsidR="00586FD9">
                <w:t>Crispin Rovere</w:t>
              </w:r>
            </w:fldSimple>
          </w:p>
        </w:tc>
      </w:tr>
      <w:tr w:rsidR="0014121D" w:rsidRPr="00B12148" w:rsidTr="00E5659F">
        <w:trPr>
          <w:trHeight w:val="284"/>
        </w:trPr>
        <w:tc>
          <w:tcPr>
            <w:tcW w:w="1951" w:type="dxa"/>
          </w:tcPr>
          <w:p w:rsidR="0014121D" w:rsidRPr="00B12148" w:rsidRDefault="0014121D" w:rsidP="00E5659F"/>
        </w:tc>
        <w:tc>
          <w:tcPr>
            <w:tcW w:w="6838" w:type="dxa"/>
          </w:tcPr>
          <w:p w:rsidR="0014121D" w:rsidRPr="00B12148" w:rsidRDefault="0014121D" w:rsidP="00E5659F">
            <w:pPr>
              <w:pStyle w:val="Label"/>
            </w:pPr>
            <w:r w:rsidRPr="00B12148">
              <w:t>APPLICANT</w:t>
            </w:r>
          </w:p>
        </w:tc>
      </w:tr>
      <w:tr w:rsidR="0014121D" w:rsidRPr="00B12148" w:rsidTr="00E5659F">
        <w:trPr>
          <w:trHeight w:val="284"/>
        </w:trPr>
        <w:tc>
          <w:tcPr>
            <w:tcW w:w="1951" w:type="dxa"/>
          </w:tcPr>
          <w:p w:rsidR="0014121D" w:rsidRPr="00B12148" w:rsidRDefault="0014121D" w:rsidP="00E5659F">
            <w:pPr>
              <w:rPr>
                <w:bCs/>
              </w:rPr>
            </w:pPr>
            <w:r w:rsidRPr="00B12148">
              <w:rPr>
                <w:bCs/>
              </w:rPr>
              <w:t>And</w:t>
            </w:r>
          </w:p>
        </w:tc>
        <w:tc>
          <w:tcPr>
            <w:tcW w:w="6838" w:type="dxa"/>
          </w:tcPr>
          <w:p w:rsidR="0014121D" w:rsidRPr="00B12148" w:rsidRDefault="004E27B5" w:rsidP="00E5659F">
            <w:pPr>
              <w:pStyle w:val="Details"/>
            </w:pPr>
            <w:r>
              <w:fldChar w:fldCharType="begin"/>
            </w:r>
            <w:r>
              <w:instrText xml:space="preserve"> DOCPROPERTY  Respondent </w:instrText>
            </w:r>
            <w:r>
              <w:fldChar w:fldCharType="separate"/>
            </w:r>
            <w:r w:rsidR="00586FD9">
              <w:t>Secretary, Department of Education and Training</w:t>
            </w:r>
            <w:r>
              <w:fldChar w:fldCharType="end"/>
            </w:r>
          </w:p>
        </w:tc>
      </w:tr>
      <w:tr w:rsidR="0014121D" w:rsidRPr="00B12148" w:rsidTr="00E5659F">
        <w:trPr>
          <w:trHeight w:val="284"/>
        </w:trPr>
        <w:tc>
          <w:tcPr>
            <w:tcW w:w="1951" w:type="dxa"/>
          </w:tcPr>
          <w:p w:rsidR="0014121D" w:rsidRPr="00B12148" w:rsidRDefault="0014121D" w:rsidP="00E5659F"/>
        </w:tc>
        <w:tc>
          <w:tcPr>
            <w:tcW w:w="6838" w:type="dxa"/>
          </w:tcPr>
          <w:p w:rsidR="0014121D" w:rsidRPr="00B12148" w:rsidRDefault="0014121D" w:rsidP="00E5659F">
            <w:pPr>
              <w:pStyle w:val="Label"/>
            </w:pPr>
            <w:r w:rsidRPr="00B12148">
              <w:t>RESPONDENT</w:t>
            </w:r>
          </w:p>
        </w:tc>
      </w:tr>
    </w:tbl>
    <w:bookmarkEnd w:id="1"/>
    <w:p w:rsidR="00BC2D09" w:rsidRPr="00B12148" w:rsidRDefault="00BC2D09" w:rsidP="00A161A7">
      <w:pPr>
        <w:pStyle w:val="Heading1"/>
        <w:rPr>
          <w:lang w:eastAsia="en-US"/>
        </w:rPr>
      </w:pPr>
      <w:r w:rsidRPr="00B12148">
        <w:rPr>
          <w:lang w:eastAsia="en-US"/>
        </w:rPr>
        <w:t>Decision</w:t>
      </w:r>
    </w:p>
    <w:p w:rsidR="00D750F5" w:rsidRPr="00B12148"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E2D41" w:rsidRPr="00B12148" w:rsidTr="00E92DDB">
        <w:trPr>
          <w:trHeight w:val="567"/>
        </w:trPr>
        <w:tc>
          <w:tcPr>
            <w:tcW w:w="1956" w:type="dxa"/>
          </w:tcPr>
          <w:p w:rsidR="00BE2D41" w:rsidRPr="00B12148" w:rsidRDefault="00BE2D41" w:rsidP="00A96474">
            <w:pPr>
              <w:pStyle w:val="NoSpacing"/>
              <w:rPr>
                <w:lang w:eastAsia="en-US"/>
              </w:rPr>
            </w:pPr>
            <w:bookmarkStart w:id="2" w:name="DecisionSummary"/>
            <w:bookmarkStart w:id="3" w:name="Decision"/>
            <w:r w:rsidRPr="00B12148">
              <w:rPr>
                <w:lang w:eastAsia="en-US"/>
              </w:rPr>
              <w:t>Tribunal</w:t>
            </w:r>
          </w:p>
        </w:tc>
        <w:tc>
          <w:tcPr>
            <w:tcW w:w="6833" w:type="dxa"/>
          </w:tcPr>
          <w:p w:rsidR="00BE2D41" w:rsidRPr="00B12148" w:rsidRDefault="00BE2D41" w:rsidP="00A96474">
            <w:pPr>
              <w:pStyle w:val="NoSpacing"/>
              <w:rPr>
                <w:b/>
                <w:bCs/>
                <w:lang w:eastAsia="en-US"/>
              </w:rPr>
            </w:pPr>
            <w:r w:rsidRPr="00B12148">
              <w:rPr>
                <w:b/>
                <w:bCs/>
                <w:lang w:eastAsia="en-US"/>
              </w:rPr>
              <w:fldChar w:fldCharType="begin"/>
            </w:r>
            <w:r w:rsidRPr="00B12148">
              <w:rPr>
                <w:b/>
                <w:bCs/>
                <w:lang w:eastAsia="en-US"/>
              </w:rPr>
              <w:instrText xml:space="preserve"> DOCPROPERTY  TribunalSignee </w:instrText>
            </w:r>
            <w:r w:rsidRPr="00B12148">
              <w:rPr>
                <w:b/>
                <w:bCs/>
                <w:lang w:eastAsia="en-US"/>
              </w:rPr>
              <w:fldChar w:fldCharType="separate"/>
            </w:r>
            <w:r w:rsidR="0040675C">
              <w:rPr>
                <w:b/>
                <w:bCs/>
                <w:lang w:eastAsia="en-US"/>
              </w:rPr>
              <w:t>Dr </w:t>
            </w:r>
            <w:r w:rsidR="00586FD9">
              <w:rPr>
                <w:b/>
                <w:bCs/>
                <w:lang w:eastAsia="en-US"/>
              </w:rPr>
              <w:t>James Popple, Senior Member</w:t>
            </w:r>
            <w:r w:rsidRPr="00B12148">
              <w:rPr>
                <w:b/>
                <w:bCs/>
                <w:lang w:eastAsia="en-US"/>
              </w:rPr>
              <w:fldChar w:fldCharType="end"/>
            </w:r>
            <w:r w:rsidRPr="00B12148">
              <w:rPr>
                <w:b/>
                <w:bCs/>
                <w:lang w:eastAsia="en-US"/>
              </w:rPr>
              <w:fldChar w:fldCharType="begin"/>
            </w:r>
            <w:r w:rsidRPr="00B12148">
              <w:rPr>
                <w:b/>
                <w:bCs/>
                <w:lang w:eastAsia="en-US"/>
              </w:rPr>
              <w:instrText xml:space="preserve"> DOCPROPERTY  TribunalText </w:instrText>
            </w:r>
            <w:r w:rsidRPr="00B12148">
              <w:rPr>
                <w:b/>
                <w:bCs/>
                <w:lang w:eastAsia="en-US"/>
              </w:rPr>
              <w:fldChar w:fldCharType="end"/>
            </w:r>
          </w:p>
          <w:p w:rsidR="00BE2D41" w:rsidRPr="00B12148" w:rsidRDefault="00BE2D41" w:rsidP="00A96474">
            <w:pPr>
              <w:pStyle w:val="NoSpacing"/>
              <w:rPr>
                <w:b/>
                <w:bCs/>
                <w:lang w:eastAsia="en-US"/>
              </w:rPr>
            </w:pPr>
          </w:p>
        </w:tc>
      </w:tr>
      <w:tr w:rsidR="00BE2D41" w:rsidRPr="00B12148" w:rsidTr="00E92DDB">
        <w:trPr>
          <w:trHeight w:val="567"/>
        </w:trPr>
        <w:tc>
          <w:tcPr>
            <w:tcW w:w="1956" w:type="dxa"/>
          </w:tcPr>
          <w:p w:rsidR="00BE2D41" w:rsidRPr="00B12148" w:rsidRDefault="00BE2D41" w:rsidP="00A96474">
            <w:pPr>
              <w:pStyle w:val="NoSpacing"/>
              <w:rPr>
                <w:lang w:eastAsia="en-US"/>
              </w:rPr>
            </w:pPr>
            <w:r w:rsidRPr="00B12148">
              <w:rPr>
                <w:lang w:eastAsia="en-US"/>
              </w:rPr>
              <w:t>Date</w:t>
            </w:r>
          </w:p>
        </w:tc>
        <w:tc>
          <w:tcPr>
            <w:tcW w:w="6833" w:type="dxa"/>
          </w:tcPr>
          <w:p w:rsidR="00BE2D41" w:rsidRPr="00B12148" w:rsidRDefault="00BE2D41" w:rsidP="00A96474">
            <w:pPr>
              <w:pStyle w:val="NoSpacing"/>
              <w:rPr>
                <w:b/>
                <w:bCs/>
                <w:lang w:eastAsia="en-US"/>
              </w:rPr>
            </w:pPr>
            <w:r w:rsidRPr="00B12148">
              <w:rPr>
                <w:b/>
                <w:bCs/>
                <w:lang w:eastAsia="en-US"/>
              </w:rPr>
              <w:fldChar w:fldCharType="begin"/>
            </w:r>
            <w:r w:rsidRPr="00B12148">
              <w:rPr>
                <w:b/>
                <w:bCs/>
                <w:lang w:eastAsia="en-US"/>
              </w:rPr>
              <w:instrText xml:space="preserve"> DOCPROPERTY  DecisionDate </w:instrText>
            </w:r>
            <w:r w:rsidRPr="00B12148">
              <w:rPr>
                <w:b/>
                <w:bCs/>
                <w:lang w:eastAsia="en-US"/>
              </w:rPr>
              <w:fldChar w:fldCharType="separate"/>
            </w:r>
            <w:r w:rsidR="0040675C">
              <w:rPr>
                <w:b/>
                <w:bCs/>
                <w:lang w:eastAsia="en-US"/>
              </w:rPr>
              <w:t>30 June</w:t>
            </w:r>
            <w:r w:rsidR="00586FD9">
              <w:rPr>
                <w:b/>
                <w:bCs/>
                <w:lang w:eastAsia="en-US"/>
              </w:rPr>
              <w:t xml:space="preserve"> 2015</w:t>
            </w:r>
            <w:r w:rsidRPr="00B12148">
              <w:rPr>
                <w:b/>
                <w:bCs/>
                <w:lang w:eastAsia="en-US"/>
              </w:rPr>
              <w:fldChar w:fldCharType="end"/>
            </w:r>
          </w:p>
        </w:tc>
      </w:tr>
      <w:tr w:rsidR="00BE2D41" w:rsidRPr="00B12148" w:rsidTr="00E92DDB">
        <w:trPr>
          <w:trHeight w:val="567"/>
        </w:trPr>
        <w:tc>
          <w:tcPr>
            <w:tcW w:w="1956" w:type="dxa"/>
          </w:tcPr>
          <w:p w:rsidR="00BE2D41" w:rsidRPr="00B12148" w:rsidRDefault="00BE2D41" w:rsidP="00A96474">
            <w:pPr>
              <w:pStyle w:val="NoSpacing"/>
              <w:rPr>
                <w:lang w:eastAsia="en-US"/>
              </w:rPr>
            </w:pPr>
            <w:r w:rsidRPr="00B12148">
              <w:rPr>
                <w:lang w:eastAsia="en-US"/>
              </w:rPr>
              <w:t>Place</w:t>
            </w:r>
          </w:p>
        </w:tc>
        <w:tc>
          <w:tcPr>
            <w:tcW w:w="6833" w:type="dxa"/>
          </w:tcPr>
          <w:p w:rsidR="00BE2D41" w:rsidRPr="00B12148" w:rsidRDefault="00BE2D41" w:rsidP="00A96474">
            <w:pPr>
              <w:pStyle w:val="NoSpacing"/>
              <w:rPr>
                <w:b/>
                <w:bCs/>
                <w:lang w:eastAsia="en-US"/>
              </w:rPr>
            </w:pPr>
            <w:r w:rsidRPr="00B12148">
              <w:rPr>
                <w:b/>
                <w:bCs/>
                <w:lang w:eastAsia="en-US"/>
              </w:rPr>
              <w:fldChar w:fldCharType="begin"/>
            </w:r>
            <w:r w:rsidRPr="00B12148">
              <w:rPr>
                <w:b/>
                <w:bCs/>
                <w:lang w:eastAsia="en-US"/>
              </w:rPr>
              <w:instrText xml:space="preserve"> DOCPROPERTY  Place </w:instrText>
            </w:r>
            <w:r w:rsidRPr="00B12148">
              <w:rPr>
                <w:b/>
                <w:bCs/>
                <w:lang w:eastAsia="en-US"/>
              </w:rPr>
              <w:fldChar w:fldCharType="separate"/>
            </w:r>
            <w:r w:rsidR="00586FD9">
              <w:rPr>
                <w:b/>
                <w:bCs/>
                <w:lang w:eastAsia="en-US"/>
              </w:rPr>
              <w:t>Canberra</w:t>
            </w:r>
            <w:r w:rsidRPr="00B12148">
              <w:rPr>
                <w:b/>
                <w:bCs/>
                <w:lang w:eastAsia="en-US"/>
              </w:rPr>
              <w:fldChar w:fldCharType="end"/>
            </w:r>
          </w:p>
        </w:tc>
      </w:tr>
    </w:tbl>
    <w:bookmarkEnd w:id="3" w:displacedByCustomXml="next"/>
    <w:sdt>
      <w:sdtPr>
        <w:rPr>
          <w:lang w:eastAsia="en-US"/>
        </w:rPr>
        <w:alias w:val="Decision"/>
        <w:tag w:val="Decision"/>
        <w:id w:val="1959365562"/>
        <w:lock w:val="sdtLocked"/>
        <w:placeholder>
          <w:docPart w:val="15BBBC621D97425ABBA2918A81FB5DDB"/>
        </w:placeholder>
      </w:sdtPr>
      <w:sdtEndPr/>
      <w:sdtContent>
        <w:p w:rsidR="00BC2D09" w:rsidRPr="00B12148" w:rsidRDefault="00CE2B57" w:rsidP="00BC2D09">
          <w:pPr>
            <w:rPr>
              <w:lang w:eastAsia="en-US"/>
            </w:rPr>
          </w:pPr>
          <w:r w:rsidRPr="00B12148">
            <w:rPr>
              <w:lang w:eastAsia="en-US"/>
            </w:rPr>
            <w:t>T</w:t>
          </w:r>
          <w:r w:rsidRPr="00B12148">
            <w:t>he decision of the Department of Education and Training on 4</w:t>
          </w:r>
          <w:r w:rsidR="0040675C">
            <w:t> </w:t>
          </w:r>
          <w:r w:rsidRPr="00B12148">
            <w:t>July 2014 is affirmed.</w:t>
          </w:r>
        </w:p>
      </w:sdtContent>
    </w:sdt>
    <w:bookmarkEnd w:id="2"/>
    <w:p w:rsidR="00BC2D09" w:rsidRPr="00B12148" w:rsidRDefault="00BC2D09" w:rsidP="001E4799">
      <w:pPr>
        <w:keepNext/>
        <w:spacing w:before="960"/>
        <w:rPr>
          <w:lang w:eastAsia="en-US"/>
        </w:rPr>
      </w:pPr>
      <w:r w:rsidRPr="00B12148">
        <w:rPr>
          <w:lang w:eastAsia="en-US"/>
        </w:rPr>
        <w:t>...............................</w:t>
      </w:r>
      <w:r w:rsidR="00D50657">
        <w:rPr>
          <w:lang w:eastAsia="en-US"/>
        </w:rPr>
        <w:t>[sgd]</w:t>
      </w:r>
      <w:r w:rsidRPr="00B12148">
        <w:rPr>
          <w:lang w:eastAsia="en-US"/>
        </w:rPr>
        <w:t>.........................................</w:t>
      </w:r>
    </w:p>
    <w:p w:rsidR="00BC2D09" w:rsidRPr="00B12148" w:rsidRDefault="00307FA8" w:rsidP="00000788">
      <w:pPr>
        <w:spacing w:before="0"/>
        <w:rPr>
          <w:b/>
          <w:lang w:eastAsia="en-US"/>
        </w:rPr>
      </w:pPr>
      <w:r w:rsidRPr="00B12148">
        <w:rPr>
          <w:b/>
          <w:lang w:eastAsia="en-US"/>
        </w:rPr>
        <w:t>James Popple, Senior Member</w:t>
      </w:r>
    </w:p>
    <w:p w:rsidR="00BC2D09" w:rsidRPr="00B12148" w:rsidRDefault="005632FA" w:rsidP="00760AB6">
      <w:r w:rsidRPr="00B12148">
        <w:br w:type="page"/>
      </w:r>
    </w:p>
    <w:p w:rsidR="00B15A8A" w:rsidRPr="00B12148" w:rsidRDefault="00B15A8A" w:rsidP="00B15A8A">
      <w:pPr>
        <w:pStyle w:val="Heading1"/>
        <w:rPr>
          <w:lang w:eastAsia="en-US"/>
        </w:rPr>
      </w:pPr>
      <w:bookmarkStart w:id="4" w:name="CatchwordsTitle"/>
      <w:bookmarkEnd w:id="4"/>
      <w:r w:rsidRPr="00B12148">
        <w:rPr>
          <w:lang w:eastAsia="en-US"/>
        </w:rPr>
        <w:lastRenderedPageBreak/>
        <w:t>Catchwords</w:t>
      </w:r>
    </w:p>
    <w:sdt>
      <w:sdtPr>
        <w:rPr>
          <w:lang w:eastAsia="en-US"/>
        </w:rPr>
        <w:alias w:val="Catchwords"/>
        <w:tag w:val="Catchwords"/>
        <w:id w:val="-1722664393"/>
        <w:placeholder>
          <w:docPart w:val="A3B431A90DFD4A8E94657343E1D6ABD8"/>
        </w:placeholder>
      </w:sdtPr>
      <w:sdtEndPr/>
      <w:sdtContent>
        <w:p w:rsidR="004152C5" w:rsidRPr="00B12148" w:rsidRDefault="00A3021F" w:rsidP="004A55A2">
          <w:pPr>
            <w:pStyle w:val="CatchWords"/>
            <w:rPr>
              <w:lang w:eastAsia="en-US"/>
            </w:rPr>
          </w:pPr>
          <w:r w:rsidRPr="00B12148">
            <w:rPr>
              <w:lang w:eastAsia="en-US"/>
            </w:rPr>
            <w:t>FREEDOM OF INFORMATION</w:t>
          </w:r>
          <w:r w:rsidR="006F776A" w:rsidRPr="00B12148">
            <w:rPr>
              <w:lang w:eastAsia="en-US"/>
            </w:rPr>
            <w:t xml:space="preserve"> </w:t>
          </w:r>
          <w:r w:rsidR="00E70656" w:rsidRPr="00B12148">
            <w:rPr>
              <w:lang w:eastAsia="en-US"/>
            </w:rPr>
            <w:t>—</w:t>
          </w:r>
          <w:r w:rsidR="006F776A" w:rsidRPr="00B12148">
            <w:rPr>
              <w:lang w:eastAsia="en-US"/>
            </w:rPr>
            <w:t xml:space="preserve"> </w:t>
          </w:r>
          <w:r w:rsidRPr="00B12148">
            <w:rPr>
              <w:lang w:eastAsia="en-US"/>
            </w:rPr>
            <w:t>Exempt documents</w:t>
          </w:r>
          <w:r w:rsidR="006F776A" w:rsidRPr="00B12148">
            <w:rPr>
              <w:lang w:eastAsia="en-US"/>
            </w:rPr>
            <w:t xml:space="preserve"> </w:t>
          </w:r>
          <w:r w:rsidR="00E70656" w:rsidRPr="00B12148">
            <w:rPr>
              <w:lang w:eastAsia="en-US"/>
            </w:rPr>
            <w:t>—</w:t>
          </w:r>
          <w:r w:rsidR="006F776A" w:rsidRPr="00B12148">
            <w:rPr>
              <w:lang w:eastAsia="en-US"/>
            </w:rPr>
            <w:t xml:space="preserve"> </w:t>
          </w:r>
          <w:r w:rsidRPr="00B12148">
            <w:rPr>
              <w:lang w:eastAsia="en-US"/>
            </w:rPr>
            <w:t>whether documents conditionally exempt</w:t>
          </w:r>
          <w:r w:rsidR="006F776A" w:rsidRPr="00B12148">
            <w:rPr>
              <w:lang w:eastAsia="en-US"/>
            </w:rPr>
            <w:t xml:space="preserve"> </w:t>
          </w:r>
          <w:r w:rsidR="00E70656" w:rsidRPr="00B12148">
            <w:rPr>
              <w:lang w:eastAsia="en-US"/>
            </w:rPr>
            <w:t>—</w:t>
          </w:r>
          <w:r w:rsidR="006F776A" w:rsidRPr="00B12148">
            <w:rPr>
              <w:lang w:eastAsia="en-US"/>
            </w:rPr>
            <w:t xml:space="preserve"> </w:t>
          </w:r>
          <w:r w:rsidRPr="00B12148">
            <w:rPr>
              <w:lang w:eastAsia="en-US"/>
            </w:rPr>
            <w:t>whether documents contain deliberative matter</w:t>
          </w:r>
          <w:r w:rsidR="006F776A" w:rsidRPr="00B12148">
            <w:rPr>
              <w:lang w:eastAsia="en-US"/>
            </w:rPr>
            <w:t xml:space="preserve"> </w:t>
          </w:r>
          <w:r w:rsidR="00E70656" w:rsidRPr="00B12148">
            <w:rPr>
              <w:lang w:eastAsia="en-US"/>
            </w:rPr>
            <w:t>—</w:t>
          </w:r>
          <w:r w:rsidR="006F776A" w:rsidRPr="00B12148">
            <w:rPr>
              <w:lang w:eastAsia="en-US"/>
            </w:rPr>
            <w:t xml:space="preserve"> </w:t>
          </w:r>
          <w:r w:rsidRPr="00B12148">
            <w:rPr>
              <w:lang w:eastAsia="en-US"/>
            </w:rPr>
            <w:t>whether modelling is purely factual material</w:t>
          </w:r>
          <w:r w:rsidR="006F776A" w:rsidRPr="00B12148">
            <w:rPr>
              <w:lang w:eastAsia="en-US"/>
            </w:rPr>
            <w:t xml:space="preserve"> </w:t>
          </w:r>
          <w:r w:rsidR="00E70656" w:rsidRPr="00B12148">
            <w:rPr>
              <w:lang w:eastAsia="en-US"/>
            </w:rPr>
            <w:t>—</w:t>
          </w:r>
          <w:r w:rsidR="006F776A" w:rsidRPr="00B12148">
            <w:rPr>
              <w:lang w:eastAsia="en-US"/>
            </w:rPr>
            <w:t xml:space="preserve"> </w:t>
          </w:r>
          <w:r w:rsidRPr="00B12148">
            <w:rPr>
              <w:lang w:eastAsia="en-US"/>
            </w:rPr>
            <w:t>public interest test</w:t>
          </w:r>
          <w:r w:rsidR="006F776A" w:rsidRPr="00B12148">
            <w:rPr>
              <w:lang w:eastAsia="en-US"/>
            </w:rPr>
            <w:t xml:space="preserve"> </w:t>
          </w:r>
          <w:r w:rsidR="00E70656" w:rsidRPr="00B12148">
            <w:rPr>
              <w:lang w:eastAsia="en-US"/>
            </w:rPr>
            <w:t>—</w:t>
          </w:r>
          <w:r w:rsidR="006F776A" w:rsidRPr="00B12148">
            <w:rPr>
              <w:lang w:eastAsia="en-US"/>
            </w:rPr>
            <w:t xml:space="preserve"> </w:t>
          </w:r>
          <w:r w:rsidR="00855AE6" w:rsidRPr="00B12148">
            <w:rPr>
              <w:lang w:eastAsia="en-US"/>
            </w:rPr>
            <w:t xml:space="preserve">whether frankness and candour can </w:t>
          </w:r>
          <w:r w:rsidR="00855AE6" w:rsidRPr="00B12148">
            <w:t xml:space="preserve">be factor against access </w:t>
          </w:r>
          <w:r w:rsidR="00855AE6" w:rsidRPr="00B12148">
            <w:rPr>
              <w:lang w:eastAsia="en-US"/>
            </w:rPr>
            <w:t>—</w:t>
          </w:r>
          <w:r w:rsidR="00C4592C" w:rsidRPr="00B12148">
            <w:rPr>
              <w:lang w:eastAsia="en-US"/>
            </w:rPr>
            <w:t xml:space="preserve"> </w:t>
          </w:r>
          <w:r w:rsidR="00AE455C" w:rsidRPr="00B12148">
            <w:rPr>
              <w:lang w:eastAsia="en-US"/>
            </w:rPr>
            <w:t xml:space="preserve">whether fact that </w:t>
          </w:r>
          <w:r w:rsidR="00AE455C" w:rsidRPr="00B12148">
            <w:t xml:space="preserve">document </w:t>
          </w:r>
          <w:r w:rsidR="00475608" w:rsidRPr="00B12148">
            <w:t xml:space="preserve">is </w:t>
          </w:r>
          <w:r w:rsidR="00AE455C" w:rsidRPr="00B12148">
            <w:t xml:space="preserve">question time brief is factor against access — </w:t>
          </w:r>
          <w:r w:rsidRPr="00B12148">
            <w:rPr>
              <w:lang w:eastAsia="en-US"/>
            </w:rPr>
            <w:t xml:space="preserve">disclosure would </w:t>
          </w:r>
          <w:r w:rsidR="00D92C4E" w:rsidRPr="00B12148">
            <w:t xml:space="preserve">damage operation of </w:t>
          </w:r>
          <w:r w:rsidR="00D92C4E" w:rsidRPr="00B12148">
            <w:rPr>
              <w:lang w:eastAsia="en-US"/>
            </w:rPr>
            <w:t>deregulated market</w:t>
          </w:r>
          <w:r w:rsidR="006F776A" w:rsidRPr="00B12148">
            <w:rPr>
              <w:lang w:eastAsia="en-US"/>
            </w:rPr>
            <w:t xml:space="preserve"> </w:t>
          </w:r>
          <w:r w:rsidR="00E70656" w:rsidRPr="00B12148">
            <w:rPr>
              <w:lang w:eastAsia="en-US"/>
            </w:rPr>
            <w:t>—</w:t>
          </w:r>
          <w:r w:rsidR="00F25D3D" w:rsidRPr="00B12148">
            <w:rPr>
              <w:lang w:eastAsia="en-US"/>
            </w:rPr>
            <w:t xml:space="preserve"> </w:t>
          </w:r>
          <w:r w:rsidR="00D92C4E" w:rsidRPr="00B12148">
            <w:t>disclosure could adversely affect markets and financial frameworks</w:t>
          </w:r>
          <w:r w:rsidR="00D92C4E" w:rsidRPr="00B12148">
            <w:rPr>
              <w:lang w:eastAsia="en-US"/>
            </w:rPr>
            <w:t xml:space="preserve"> —</w:t>
          </w:r>
          <w:r w:rsidR="00F34745" w:rsidRPr="00B12148">
            <w:rPr>
              <w:lang w:eastAsia="en-US"/>
            </w:rPr>
            <w:t xml:space="preserve"> </w:t>
          </w:r>
          <w:r w:rsidR="00135AF5" w:rsidRPr="00B12148">
            <w:t>access at this time would, on balance, be contrary to the public interest</w:t>
          </w:r>
          <w:r w:rsidR="00135AF5" w:rsidRPr="00B12148">
            <w:rPr>
              <w:lang w:eastAsia="en-US"/>
            </w:rPr>
            <w:t xml:space="preserve"> — </w:t>
          </w:r>
          <w:r w:rsidR="007E7887" w:rsidRPr="00B12148">
            <w:rPr>
              <w:lang w:eastAsia="en-US"/>
            </w:rPr>
            <w:t>decision under review affirmed</w:t>
          </w:r>
          <w:r w:rsidR="006F776A" w:rsidRPr="00B12148">
            <w:rPr>
              <w:lang w:eastAsia="en-US"/>
            </w:rPr>
            <w:t>.</w:t>
          </w:r>
        </w:p>
      </w:sdtContent>
    </w:sdt>
    <w:p w:rsidR="00B15A8A" w:rsidRPr="00B12148" w:rsidRDefault="00B15A8A" w:rsidP="00B15A8A">
      <w:pPr>
        <w:pStyle w:val="Heading1"/>
        <w:rPr>
          <w:lang w:eastAsia="en-US"/>
        </w:rPr>
      </w:pPr>
      <w:bookmarkStart w:id="5" w:name="LegislationTitle"/>
      <w:bookmarkEnd w:id="5"/>
      <w:r w:rsidRPr="00B12148">
        <w:rPr>
          <w:lang w:eastAsia="en-US"/>
        </w:rPr>
        <w:t>Legislation</w:t>
      </w:r>
    </w:p>
    <w:sdt>
      <w:sdtPr>
        <w:rPr>
          <w:i w:val="0"/>
          <w:lang w:eastAsia="en-US"/>
        </w:rPr>
        <w:alias w:val="Legislation"/>
        <w:tag w:val="Legislation"/>
        <w:id w:val="-13298432"/>
        <w:placeholder>
          <w:docPart w:val="DF2E1D6B95FE449FBE988B3C0A1D6472"/>
        </w:placeholder>
      </w:sdtPr>
      <w:sdtEndPr/>
      <w:sdtContent>
        <w:p w:rsidR="004152C5" w:rsidRPr="00B12148" w:rsidRDefault="000C7871" w:rsidP="000C4415">
          <w:pPr>
            <w:pStyle w:val="CatchWords"/>
            <w:ind w:left="709" w:hanging="709"/>
            <w:rPr>
              <w:i w:val="0"/>
              <w:lang w:eastAsia="en-US"/>
            </w:rPr>
          </w:pPr>
          <w:r w:rsidRPr="00B12148">
            <w:rPr>
              <w:lang w:eastAsia="en-US"/>
            </w:rPr>
            <w:t>Freedom of Information Act 1982</w:t>
          </w:r>
          <w:r w:rsidRPr="00B12148">
            <w:rPr>
              <w:i w:val="0"/>
              <w:lang w:eastAsia="en-US"/>
            </w:rPr>
            <w:t>, ss</w:t>
          </w:r>
          <w:r w:rsidR="0040675C">
            <w:rPr>
              <w:i w:val="0"/>
              <w:lang w:eastAsia="en-US"/>
            </w:rPr>
            <w:t> </w:t>
          </w:r>
          <w:r w:rsidR="00FA0956" w:rsidRPr="00B12148">
            <w:rPr>
              <w:i w:val="0"/>
              <w:lang w:eastAsia="en-US"/>
            </w:rPr>
            <w:t xml:space="preserve">3, </w:t>
          </w:r>
          <w:r w:rsidR="004426D5" w:rsidRPr="00B12148">
            <w:rPr>
              <w:i w:val="0"/>
              <w:lang w:eastAsia="en-US"/>
            </w:rPr>
            <w:t xml:space="preserve">4(1), </w:t>
          </w:r>
          <w:r w:rsidR="00FA0956" w:rsidRPr="00B12148">
            <w:rPr>
              <w:i w:val="0"/>
              <w:lang w:eastAsia="en-US"/>
            </w:rPr>
            <w:t>11A</w:t>
          </w:r>
          <w:r w:rsidR="004426D5" w:rsidRPr="00B12148">
            <w:rPr>
              <w:i w:val="0"/>
              <w:lang w:eastAsia="en-US"/>
            </w:rPr>
            <w:t>(5)</w:t>
          </w:r>
          <w:r w:rsidR="00FA0956" w:rsidRPr="00B12148">
            <w:rPr>
              <w:i w:val="0"/>
              <w:lang w:eastAsia="en-US"/>
            </w:rPr>
            <w:t>, 11B</w:t>
          </w:r>
          <w:r w:rsidR="004426D5" w:rsidRPr="00B12148">
            <w:rPr>
              <w:i w:val="0"/>
              <w:lang w:eastAsia="en-US"/>
            </w:rPr>
            <w:t xml:space="preserve">(3), </w:t>
          </w:r>
          <w:r w:rsidR="009143AA" w:rsidRPr="00B12148">
            <w:rPr>
              <w:i w:val="0"/>
              <w:lang w:eastAsia="en-US"/>
            </w:rPr>
            <w:t>11B</w:t>
          </w:r>
          <w:r w:rsidR="004426D5" w:rsidRPr="00B12148">
            <w:rPr>
              <w:i w:val="0"/>
              <w:lang w:eastAsia="en-US"/>
            </w:rPr>
            <w:t>(4)</w:t>
          </w:r>
          <w:r w:rsidR="00FA0956" w:rsidRPr="00B12148">
            <w:rPr>
              <w:i w:val="0"/>
              <w:lang w:eastAsia="en-US"/>
            </w:rPr>
            <w:t>, 15, 22, 31B, 46</w:t>
          </w:r>
          <w:r w:rsidR="004426D5" w:rsidRPr="00B12148">
            <w:rPr>
              <w:i w:val="0"/>
              <w:lang w:eastAsia="en-US"/>
            </w:rPr>
            <w:t>(c)</w:t>
          </w:r>
          <w:r w:rsidR="00FA0956" w:rsidRPr="00B12148">
            <w:rPr>
              <w:i w:val="0"/>
              <w:lang w:eastAsia="en-US"/>
            </w:rPr>
            <w:t>, 47C, 47J, 61</w:t>
          </w:r>
          <w:r w:rsidR="000E1DF5" w:rsidRPr="00B12148">
            <w:rPr>
              <w:i w:val="0"/>
              <w:lang w:eastAsia="en-US"/>
            </w:rPr>
            <w:t>(1)(b)</w:t>
          </w:r>
          <w:r w:rsidR="00FA0956" w:rsidRPr="00B12148">
            <w:rPr>
              <w:i w:val="0"/>
              <w:lang w:eastAsia="en-US"/>
            </w:rPr>
            <w:t>, 93A</w:t>
          </w:r>
        </w:p>
      </w:sdtContent>
    </w:sdt>
    <w:p w:rsidR="00B15A8A" w:rsidRPr="00B12148" w:rsidRDefault="00B15A8A" w:rsidP="00B15A8A">
      <w:pPr>
        <w:pStyle w:val="Heading1"/>
        <w:rPr>
          <w:lang w:eastAsia="en-US"/>
        </w:rPr>
      </w:pPr>
      <w:bookmarkStart w:id="6" w:name="CasesTitle"/>
      <w:bookmarkEnd w:id="6"/>
      <w:r w:rsidRPr="00B12148">
        <w:rPr>
          <w:lang w:eastAsia="en-US"/>
        </w:rPr>
        <w:t>Cases</w:t>
      </w:r>
    </w:p>
    <w:sdt>
      <w:sdtPr>
        <w:rPr>
          <w:i w:val="0"/>
          <w:lang w:eastAsia="en-US"/>
        </w:rPr>
        <w:alias w:val="Cases"/>
        <w:tag w:val="Cases"/>
        <w:id w:val="-26403871"/>
        <w:placeholder>
          <w:docPart w:val="3726BCB0EEAC4B2F9354E512C688AB7F"/>
        </w:placeholder>
      </w:sdtPr>
      <w:sdtEndPr>
        <w:rPr>
          <w:lang w:eastAsia="en-AU"/>
        </w:rPr>
      </w:sdtEndPr>
      <w:sdtContent>
        <w:p w:rsidR="00697E05" w:rsidRPr="00B12148" w:rsidRDefault="00697E05" w:rsidP="000C4415">
          <w:pPr>
            <w:pStyle w:val="CatchWords"/>
            <w:ind w:left="709" w:hanging="709"/>
            <w:rPr>
              <w:i w:val="0"/>
            </w:rPr>
          </w:pPr>
          <w:r w:rsidRPr="00B12148">
            <w:t>Cleary and Department of Treasury</w:t>
          </w:r>
          <w:r w:rsidRPr="00B12148">
            <w:rPr>
              <w:i w:val="0"/>
            </w:rPr>
            <w:t xml:space="preserve"> (1993) 31</w:t>
          </w:r>
          <w:r w:rsidR="0040675C">
            <w:rPr>
              <w:i w:val="0"/>
            </w:rPr>
            <w:t> </w:t>
          </w:r>
          <w:r w:rsidRPr="00B12148">
            <w:rPr>
              <w:i w:val="0"/>
            </w:rPr>
            <w:t>ALD</w:t>
          </w:r>
          <w:r w:rsidR="0040675C">
            <w:rPr>
              <w:i w:val="0"/>
            </w:rPr>
            <w:t> </w:t>
          </w:r>
          <w:r w:rsidRPr="00B12148">
            <w:rPr>
              <w:i w:val="0"/>
            </w:rPr>
            <w:t>214</w:t>
          </w:r>
        </w:p>
        <w:p w:rsidR="00697E05" w:rsidRPr="00B12148" w:rsidRDefault="00697E05" w:rsidP="000C4415">
          <w:pPr>
            <w:pStyle w:val="CatchWords"/>
            <w:ind w:left="709" w:hanging="709"/>
            <w:rPr>
              <w:i w:val="0"/>
            </w:rPr>
          </w:pPr>
          <w:r w:rsidRPr="00B12148">
            <w:t>Crowe and Department of the Treasury</w:t>
          </w:r>
          <w:r w:rsidRPr="00B12148">
            <w:rPr>
              <w:i w:val="0"/>
            </w:rPr>
            <w:t xml:space="preserve"> [2013]</w:t>
          </w:r>
          <w:r w:rsidR="0040675C">
            <w:rPr>
              <w:i w:val="0"/>
            </w:rPr>
            <w:t> </w:t>
          </w:r>
          <w:r w:rsidRPr="00B12148">
            <w:rPr>
              <w:i w:val="0"/>
            </w:rPr>
            <w:t>AICmr</w:t>
          </w:r>
          <w:r w:rsidR="0040675C">
            <w:rPr>
              <w:i w:val="0"/>
            </w:rPr>
            <w:t> </w:t>
          </w:r>
          <w:r w:rsidRPr="00B12148">
            <w:rPr>
              <w:i w:val="0"/>
            </w:rPr>
            <w:t>69</w:t>
          </w:r>
        </w:p>
        <w:p w:rsidR="00697E05" w:rsidRPr="00B12148" w:rsidRDefault="00697E05" w:rsidP="000C4415">
          <w:pPr>
            <w:pStyle w:val="CatchWords"/>
            <w:ind w:left="709" w:hanging="709"/>
            <w:rPr>
              <w:i w:val="0"/>
            </w:rPr>
          </w:pPr>
          <w:r w:rsidRPr="00B12148">
            <w:t>Drake and Minister for Immigration and Ethnic Affairs (No</w:t>
          </w:r>
          <w:r w:rsidR="0040675C">
            <w:t> </w:t>
          </w:r>
          <w:r w:rsidRPr="00B12148">
            <w:t>2)</w:t>
          </w:r>
          <w:r w:rsidRPr="00B12148">
            <w:rPr>
              <w:i w:val="0"/>
            </w:rPr>
            <w:t xml:space="preserve"> (1979) 2</w:t>
          </w:r>
          <w:r w:rsidR="0040675C">
            <w:rPr>
              <w:i w:val="0"/>
            </w:rPr>
            <w:t> </w:t>
          </w:r>
          <w:r w:rsidRPr="00B12148">
            <w:rPr>
              <w:i w:val="0"/>
            </w:rPr>
            <w:t>ALD</w:t>
          </w:r>
          <w:r w:rsidR="0040675C">
            <w:rPr>
              <w:i w:val="0"/>
            </w:rPr>
            <w:t> </w:t>
          </w:r>
          <w:r w:rsidRPr="00B12148">
            <w:rPr>
              <w:i w:val="0"/>
            </w:rPr>
            <w:t>634</w:t>
          </w:r>
        </w:p>
        <w:p w:rsidR="00697E05" w:rsidRPr="00B12148" w:rsidRDefault="00697E05" w:rsidP="000C4415">
          <w:pPr>
            <w:pStyle w:val="CatchWords"/>
            <w:ind w:left="709" w:hanging="709"/>
            <w:rPr>
              <w:i w:val="0"/>
            </w:rPr>
          </w:pPr>
          <w:r w:rsidRPr="00B12148">
            <w:t>Francis and Department of Defence</w:t>
          </w:r>
          <w:r w:rsidRPr="00B12148">
            <w:rPr>
              <w:i w:val="0"/>
            </w:rPr>
            <w:t xml:space="preserve"> (2012) 59</w:t>
          </w:r>
          <w:r w:rsidR="0040675C">
            <w:rPr>
              <w:i w:val="0"/>
            </w:rPr>
            <w:t> </w:t>
          </w:r>
          <w:r w:rsidRPr="00B12148">
            <w:rPr>
              <w:i w:val="0"/>
            </w:rPr>
            <w:t>AAR</w:t>
          </w:r>
          <w:r w:rsidR="0040675C">
            <w:rPr>
              <w:i w:val="0"/>
            </w:rPr>
            <w:t> </w:t>
          </w:r>
          <w:r w:rsidRPr="00B12148">
            <w:rPr>
              <w:i w:val="0"/>
            </w:rPr>
            <w:t>35</w:t>
          </w:r>
        </w:p>
        <w:p w:rsidR="00697E05" w:rsidRPr="00B12148" w:rsidRDefault="00697E05" w:rsidP="000C4415">
          <w:pPr>
            <w:pStyle w:val="CatchWords"/>
            <w:ind w:left="709" w:hanging="709"/>
            <w:rPr>
              <w:i w:val="0"/>
            </w:rPr>
          </w:pPr>
          <w:r w:rsidRPr="00B12148">
            <w:t>Howard and Treasurer</w:t>
          </w:r>
          <w:r w:rsidRPr="00B12148">
            <w:rPr>
              <w:i w:val="0"/>
            </w:rPr>
            <w:t xml:space="preserve"> (1985) 7</w:t>
          </w:r>
          <w:r w:rsidR="0040675C">
            <w:rPr>
              <w:i w:val="0"/>
            </w:rPr>
            <w:t> </w:t>
          </w:r>
          <w:r w:rsidRPr="00B12148">
            <w:rPr>
              <w:i w:val="0"/>
            </w:rPr>
            <w:t>ALD</w:t>
          </w:r>
          <w:r w:rsidR="0040675C">
            <w:rPr>
              <w:i w:val="0"/>
            </w:rPr>
            <w:t> </w:t>
          </w:r>
          <w:r w:rsidRPr="00B12148">
            <w:rPr>
              <w:i w:val="0"/>
            </w:rPr>
            <w:t>626</w:t>
          </w:r>
        </w:p>
        <w:p w:rsidR="00697E05" w:rsidRPr="00B12148" w:rsidRDefault="00697E05" w:rsidP="000C4415">
          <w:pPr>
            <w:pStyle w:val="CatchWords"/>
            <w:ind w:left="709" w:hanging="709"/>
            <w:rPr>
              <w:i w:val="0"/>
            </w:rPr>
          </w:pPr>
          <w:r w:rsidRPr="00B12148">
            <w:t>McKinnon and Secretary, Department of Prime Minister and Cabinet</w:t>
          </w:r>
          <w:r w:rsidRPr="00B12148">
            <w:rPr>
              <w:i w:val="0"/>
            </w:rPr>
            <w:t xml:space="preserve"> (2007) 46</w:t>
          </w:r>
          <w:r w:rsidR="0040675C">
            <w:rPr>
              <w:i w:val="0"/>
            </w:rPr>
            <w:t> </w:t>
          </w:r>
          <w:r w:rsidRPr="00B12148">
            <w:rPr>
              <w:i w:val="0"/>
            </w:rPr>
            <w:t>AAR</w:t>
          </w:r>
          <w:r w:rsidR="0040675C">
            <w:rPr>
              <w:i w:val="0"/>
            </w:rPr>
            <w:t> </w:t>
          </w:r>
          <w:r w:rsidRPr="00B12148">
            <w:rPr>
              <w:i w:val="0"/>
            </w:rPr>
            <w:t>136</w:t>
          </w:r>
        </w:p>
        <w:p w:rsidR="00697E05" w:rsidRPr="00B12148" w:rsidRDefault="00697E05" w:rsidP="000C4415">
          <w:pPr>
            <w:pStyle w:val="CatchWords"/>
            <w:ind w:left="709" w:hanging="709"/>
            <w:rPr>
              <w:i w:val="0"/>
            </w:rPr>
          </w:pPr>
          <w:r w:rsidRPr="00B12148">
            <w:t>McKinnon and Secretary, Department of the Treasury</w:t>
          </w:r>
          <w:r w:rsidRPr="00B12148">
            <w:rPr>
              <w:i w:val="0"/>
            </w:rPr>
            <w:t xml:space="preserve"> (2004) 86</w:t>
          </w:r>
          <w:r w:rsidR="0040675C">
            <w:rPr>
              <w:i w:val="0"/>
            </w:rPr>
            <w:t> </w:t>
          </w:r>
          <w:r w:rsidRPr="00B12148">
            <w:rPr>
              <w:i w:val="0"/>
            </w:rPr>
            <w:t>ALD</w:t>
          </w:r>
          <w:r w:rsidR="0040675C">
            <w:rPr>
              <w:i w:val="0"/>
            </w:rPr>
            <w:t> </w:t>
          </w:r>
          <w:r w:rsidRPr="00B12148">
            <w:rPr>
              <w:i w:val="0"/>
            </w:rPr>
            <w:t>138</w:t>
          </w:r>
        </w:p>
        <w:p w:rsidR="00256580" w:rsidRPr="00B12148" w:rsidRDefault="00256580" w:rsidP="00256580">
          <w:pPr>
            <w:pStyle w:val="CatchWords"/>
            <w:ind w:left="709" w:hanging="709"/>
            <w:rPr>
              <w:i w:val="0"/>
              <w:lang w:eastAsia="en-US"/>
            </w:rPr>
          </w:pPr>
          <w:r w:rsidRPr="00B12148">
            <w:rPr>
              <w:lang w:eastAsia="en-US"/>
            </w:rPr>
            <w:t>McKinnon</w:t>
          </w:r>
          <w:r w:rsidR="0040675C">
            <w:rPr>
              <w:lang w:eastAsia="en-US"/>
            </w:rPr>
            <w:t> </w:t>
          </w:r>
          <w:r w:rsidRPr="00B12148">
            <w:rPr>
              <w:lang w:eastAsia="en-US"/>
            </w:rPr>
            <w:t>v Secretary, Department of Treasury</w:t>
          </w:r>
          <w:r w:rsidRPr="00B12148">
            <w:rPr>
              <w:i w:val="0"/>
              <w:lang w:eastAsia="en-US"/>
            </w:rPr>
            <w:t xml:space="preserve"> (2005) 145</w:t>
          </w:r>
          <w:r w:rsidR="0040675C">
            <w:rPr>
              <w:i w:val="0"/>
              <w:lang w:eastAsia="en-US"/>
            </w:rPr>
            <w:t> </w:t>
          </w:r>
          <w:r w:rsidRPr="00B12148">
            <w:rPr>
              <w:i w:val="0"/>
              <w:lang w:eastAsia="en-US"/>
            </w:rPr>
            <w:t>FCR</w:t>
          </w:r>
          <w:r w:rsidR="0040675C">
            <w:rPr>
              <w:i w:val="0"/>
              <w:lang w:eastAsia="en-US"/>
            </w:rPr>
            <w:t> </w:t>
          </w:r>
          <w:r w:rsidRPr="00B12148">
            <w:rPr>
              <w:i w:val="0"/>
              <w:lang w:eastAsia="en-US"/>
            </w:rPr>
            <w:t>70</w:t>
          </w:r>
        </w:p>
        <w:p w:rsidR="00697E05" w:rsidRPr="00B12148" w:rsidRDefault="00697E05" w:rsidP="000C4415">
          <w:pPr>
            <w:pStyle w:val="CatchWords"/>
            <w:ind w:left="709" w:hanging="709"/>
            <w:rPr>
              <w:i w:val="0"/>
              <w:lang w:eastAsia="en-US"/>
            </w:rPr>
          </w:pPr>
          <w:r w:rsidRPr="00B12148">
            <w:rPr>
              <w:lang w:eastAsia="en-US"/>
            </w:rPr>
            <w:t>McKinnon</w:t>
          </w:r>
          <w:r w:rsidR="0040675C">
            <w:rPr>
              <w:lang w:eastAsia="en-US"/>
            </w:rPr>
            <w:t> </w:t>
          </w:r>
          <w:r w:rsidRPr="00B12148">
            <w:rPr>
              <w:lang w:eastAsia="en-US"/>
            </w:rPr>
            <w:t>v Secretary, Department of the Treasury</w:t>
          </w:r>
          <w:r w:rsidRPr="00B12148">
            <w:rPr>
              <w:i w:val="0"/>
              <w:lang w:eastAsia="en-US"/>
            </w:rPr>
            <w:t xml:space="preserve"> (2006) 228</w:t>
          </w:r>
          <w:r w:rsidR="0040675C">
            <w:rPr>
              <w:i w:val="0"/>
              <w:lang w:eastAsia="en-US"/>
            </w:rPr>
            <w:t> </w:t>
          </w:r>
          <w:r w:rsidRPr="00B12148">
            <w:rPr>
              <w:i w:val="0"/>
              <w:lang w:eastAsia="en-US"/>
            </w:rPr>
            <w:t>CLR</w:t>
          </w:r>
          <w:r w:rsidR="0040675C">
            <w:rPr>
              <w:i w:val="0"/>
              <w:lang w:eastAsia="en-US"/>
            </w:rPr>
            <w:t> </w:t>
          </w:r>
          <w:r w:rsidRPr="00B12148">
            <w:rPr>
              <w:i w:val="0"/>
              <w:lang w:eastAsia="en-US"/>
            </w:rPr>
            <w:t>423</w:t>
          </w:r>
        </w:p>
        <w:p w:rsidR="00697E05" w:rsidRPr="00B12148" w:rsidRDefault="00697E05" w:rsidP="000C4415">
          <w:pPr>
            <w:pStyle w:val="CatchWords"/>
            <w:ind w:left="709" w:hanging="709"/>
            <w:rPr>
              <w:i w:val="0"/>
            </w:rPr>
          </w:pPr>
          <w:r w:rsidRPr="00B12148">
            <w:t>Parnell and Attorney</w:t>
          </w:r>
          <w:r w:rsidR="004E27B5">
            <w:t>-</w:t>
          </w:r>
          <w:r w:rsidRPr="00B12148">
            <w:t>General</w:t>
          </w:r>
          <w:r w:rsidR="0040675C">
            <w:t>’</w:t>
          </w:r>
          <w:r w:rsidRPr="00B12148">
            <w:t>s Department</w:t>
          </w:r>
          <w:r w:rsidRPr="00B12148">
            <w:rPr>
              <w:i w:val="0"/>
            </w:rPr>
            <w:t xml:space="preserve"> [2014]</w:t>
          </w:r>
          <w:r w:rsidR="0040675C">
            <w:rPr>
              <w:i w:val="0"/>
            </w:rPr>
            <w:t> </w:t>
          </w:r>
          <w:r w:rsidRPr="00B12148">
            <w:rPr>
              <w:i w:val="0"/>
            </w:rPr>
            <w:t>AICmr</w:t>
          </w:r>
          <w:r w:rsidR="0040675C">
            <w:rPr>
              <w:i w:val="0"/>
            </w:rPr>
            <w:t> </w:t>
          </w:r>
          <w:r w:rsidRPr="00B12148">
            <w:rPr>
              <w:i w:val="0"/>
            </w:rPr>
            <w:t>71</w:t>
          </w:r>
        </w:p>
        <w:p w:rsidR="00697E05" w:rsidRPr="00B12148" w:rsidRDefault="00697E05" w:rsidP="000C4415">
          <w:pPr>
            <w:pStyle w:val="CatchWords"/>
            <w:ind w:left="709" w:hanging="709"/>
            <w:rPr>
              <w:i w:val="0"/>
            </w:rPr>
          </w:pPr>
          <w:r w:rsidRPr="00B12148">
            <w:t>Secretary, Department of Prime Minister and Cabinet and Secretary, Department of Infrastructure and Regional Development</w:t>
          </w:r>
          <w:r w:rsidRPr="00B12148">
            <w:rPr>
              <w:i w:val="0"/>
            </w:rPr>
            <w:t xml:space="preserve"> [2015]</w:t>
          </w:r>
          <w:r w:rsidR="0040675C">
            <w:rPr>
              <w:i w:val="0"/>
            </w:rPr>
            <w:t> </w:t>
          </w:r>
          <w:r w:rsidRPr="00B12148">
            <w:rPr>
              <w:i w:val="0"/>
            </w:rPr>
            <w:t>AATA</w:t>
          </w:r>
          <w:r w:rsidR="0040675C">
            <w:rPr>
              <w:i w:val="0"/>
            </w:rPr>
            <w:t> </w:t>
          </w:r>
          <w:r w:rsidRPr="00B12148">
            <w:rPr>
              <w:i w:val="0"/>
            </w:rPr>
            <w:t>361</w:t>
          </w:r>
        </w:p>
        <w:p w:rsidR="00697E05" w:rsidRPr="00B12148" w:rsidRDefault="00697E05" w:rsidP="000C4415">
          <w:pPr>
            <w:pStyle w:val="CatchWords"/>
            <w:ind w:left="709" w:hanging="709"/>
            <w:rPr>
              <w:i w:val="0"/>
            </w:rPr>
          </w:pPr>
          <w:r w:rsidRPr="00B12148">
            <w:t>Waterford and Department of Treasury (No</w:t>
          </w:r>
          <w:r w:rsidR="0040675C">
            <w:t> </w:t>
          </w:r>
          <w:r w:rsidRPr="00B12148">
            <w:t>2)</w:t>
          </w:r>
          <w:r w:rsidRPr="00B12148">
            <w:rPr>
              <w:i w:val="0"/>
            </w:rPr>
            <w:t xml:space="preserve"> (1984) 5</w:t>
          </w:r>
          <w:r w:rsidR="0040675C">
            <w:rPr>
              <w:i w:val="0"/>
            </w:rPr>
            <w:t> </w:t>
          </w:r>
          <w:r w:rsidRPr="00B12148">
            <w:rPr>
              <w:i w:val="0"/>
            </w:rPr>
            <w:t>ALD</w:t>
          </w:r>
          <w:r w:rsidR="0040675C">
            <w:rPr>
              <w:i w:val="0"/>
            </w:rPr>
            <w:t> </w:t>
          </w:r>
          <w:r w:rsidRPr="00B12148">
            <w:rPr>
              <w:i w:val="0"/>
            </w:rPr>
            <w:t>588</w:t>
          </w:r>
        </w:p>
      </w:sdtContent>
    </w:sdt>
    <w:p w:rsidR="00B15A8A" w:rsidRPr="00B12148" w:rsidRDefault="00B15A8A" w:rsidP="00B15A8A">
      <w:pPr>
        <w:pStyle w:val="Heading1"/>
      </w:pPr>
      <w:bookmarkStart w:id="7" w:name="SecondaryMaterialsTitle"/>
      <w:bookmarkEnd w:id="7"/>
      <w:r w:rsidRPr="00B12148">
        <w:t>Secondary Materials</w:t>
      </w:r>
    </w:p>
    <w:sdt>
      <w:sdtPr>
        <w:rPr>
          <w:i w:val="0"/>
        </w:rPr>
        <w:alias w:val="SecondaryMaterials"/>
        <w:tag w:val="SecondaryMaterials"/>
        <w:id w:val="16523116"/>
        <w:placeholder>
          <w:docPart w:val="F88F157613914A60A451424CAA023712"/>
        </w:placeholder>
      </w:sdtPr>
      <w:sdtEndPr/>
      <w:sdtContent>
        <w:p w:rsidR="00BC2D09" w:rsidRPr="00B12148" w:rsidRDefault="0017687E" w:rsidP="000C4415">
          <w:pPr>
            <w:pStyle w:val="CatchWords"/>
            <w:ind w:left="709" w:hanging="709"/>
            <w:rPr>
              <w:i w:val="0"/>
            </w:rPr>
          </w:pPr>
          <w:r w:rsidRPr="00B12148">
            <w:rPr>
              <w:i w:val="0"/>
            </w:rPr>
            <w:t xml:space="preserve">Office of the Australian Information Commissioner, </w:t>
          </w:r>
          <w:r w:rsidRPr="00B12148">
            <w:t xml:space="preserve">Guidelines issued by the Australian Information Commissioner under </w:t>
          </w:r>
          <w:r w:rsidR="004E1AF6" w:rsidRPr="00B12148">
            <w:t>s</w:t>
          </w:r>
          <w:r w:rsidR="0040675C">
            <w:t> </w:t>
          </w:r>
          <w:r w:rsidR="004E1AF6" w:rsidRPr="00B12148">
            <w:t>93</w:t>
          </w:r>
          <w:r w:rsidRPr="00B12148">
            <w:t>A of the Freedom of Information Act 1982</w:t>
          </w:r>
          <w:r w:rsidRPr="00B12148">
            <w:rPr>
              <w:i w:val="0"/>
            </w:rPr>
            <w:t xml:space="preserve"> </w:t>
          </w:r>
          <w:r w:rsidR="00FF2CAB" w:rsidRPr="00B12148">
            <w:rPr>
              <w:i w:val="0"/>
            </w:rPr>
            <w:t>(</w:t>
          </w:r>
          <w:r w:rsidRPr="00B12148">
            <w:rPr>
              <w:i w:val="0"/>
            </w:rPr>
            <w:t>October 2014</w:t>
          </w:r>
          <w:r w:rsidR="00FF2CAB" w:rsidRPr="00B12148">
            <w:rPr>
              <w:i w:val="0"/>
            </w:rPr>
            <w:t>)</w:t>
          </w:r>
        </w:p>
      </w:sdtContent>
    </w:sdt>
    <w:p w:rsidR="009E2C76" w:rsidRPr="00B12148" w:rsidRDefault="00DC6CED" w:rsidP="00C337A1">
      <w:pPr>
        <w:pStyle w:val="Heading1"/>
        <w:rPr>
          <w:lang w:eastAsia="en-US"/>
        </w:rPr>
      </w:pPr>
      <w:r w:rsidRPr="00B12148">
        <w:rPr>
          <w:lang w:eastAsia="en-US"/>
        </w:rPr>
        <w:t>Reasons for decision</w:t>
      </w:r>
    </w:p>
    <w:p w:rsidR="00CA099E" w:rsidRPr="00B12148" w:rsidRDefault="00CA099E" w:rsidP="00C337A1">
      <w:pPr>
        <w:pStyle w:val="NoSpacing"/>
        <w:keepNext/>
        <w:rPr>
          <w:lang w:eastAsia="en-US"/>
        </w:rPr>
      </w:pPr>
    </w:p>
    <w:p w:rsidR="00D50614" w:rsidRPr="00B12148" w:rsidRDefault="000D5774" w:rsidP="00C337A1">
      <w:pPr>
        <w:pStyle w:val="NoSpacing"/>
        <w:keepNext/>
        <w:rPr>
          <w:b/>
          <w:lang w:eastAsia="en-US"/>
        </w:rPr>
      </w:pPr>
      <w:r w:rsidRPr="00B12148">
        <w:rPr>
          <w:b/>
          <w:lang w:eastAsia="en-US"/>
        </w:rPr>
        <w:t>James Popple, Senior Member</w:t>
      </w:r>
    </w:p>
    <w:p w:rsidR="00A74195" w:rsidRPr="00B12148" w:rsidRDefault="00A74195" w:rsidP="00C337A1">
      <w:pPr>
        <w:pStyle w:val="NoSpacing"/>
        <w:keepNext/>
        <w:rPr>
          <w:b/>
          <w:lang w:eastAsia="en-US"/>
        </w:rPr>
      </w:pPr>
      <w:r w:rsidRPr="00B12148">
        <w:rPr>
          <w:b/>
          <w:lang w:eastAsia="en-US"/>
        </w:rPr>
        <w:fldChar w:fldCharType="begin"/>
      </w:r>
      <w:r w:rsidRPr="00B12148">
        <w:rPr>
          <w:b/>
          <w:lang w:eastAsia="en-US"/>
        </w:rPr>
        <w:instrText xml:space="preserve"> DOCPROPERTY  TribunalText </w:instrText>
      </w:r>
      <w:r w:rsidRPr="00B12148">
        <w:rPr>
          <w:b/>
          <w:lang w:eastAsia="en-US"/>
        </w:rPr>
        <w:fldChar w:fldCharType="end"/>
      </w:r>
    </w:p>
    <w:p w:rsidR="00A74195" w:rsidRPr="00B12148" w:rsidRDefault="006D3300" w:rsidP="00C337A1">
      <w:pPr>
        <w:pStyle w:val="NoSpacing"/>
        <w:keepNext/>
        <w:rPr>
          <w:b/>
          <w:lang w:eastAsia="en-US"/>
        </w:rPr>
      </w:pPr>
      <w:r w:rsidRPr="00B12148">
        <w:rPr>
          <w:b/>
          <w:lang w:eastAsia="en-US"/>
        </w:rPr>
        <w:fldChar w:fldCharType="begin"/>
      </w:r>
      <w:r w:rsidRPr="00B12148">
        <w:rPr>
          <w:b/>
          <w:lang w:eastAsia="en-US"/>
        </w:rPr>
        <w:instrText xml:space="preserve"> DOCPROPERTY  ReasonsforDecisionDate </w:instrText>
      </w:r>
      <w:r w:rsidRPr="00B12148">
        <w:rPr>
          <w:b/>
          <w:lang w:eastAsia="en-US"/>
        </w:rPr>
        <w:fldChar w:fldCharType="separate"/>
      </w:r>
      <w:r w:rsidR="0040675C">
        <w:rPr>
          <w:b/>
          <w:lang w:eastAsia="en-US"/>
        </w:rPr>
        <w:t>30 June</w:t>
      </w:r>
      <w:r w:rsidR="00586FD9">
        <w:rPr>
          <w:b/>
          <w:lang w:eastAsia="en-US"/>
        </w:rPr>
        <w:t xml:space="preserve"> 2015</w:t>
      </w:r>
      <w:r w:rsidRPr="00B12148">
        <w:rPr>
          <w:b/>
          <w:lang w:eastAsia="en-US"/>
        </w:rPr>
        <w:fldChar w:fldCharType="end"/>
      </w:r>
    </w:p>
    <w:p w:rsidR="00A74195" w:rsidRPr="00B12148" w:rsidRDefault="00A74195" w:rsidP="00C337A1">
      <w:pPr>
        <w:pStyle w:val="NoSpacing"/>
        <w:keepNext/>
        <w:rPr>
          <w:lang w:eastAsia="en-US"/>
        </w:rPr>
      </w:pPr>
    </w:p>
    <w:p w:rsidR="000176A5" w:rsidRPr="00B12148" w:rsidRDefault="00EF6C2F" w:rsidP="00E93B30">
      <w:pPr>
        <w:pStyle w:val="Heading2"/>
      </w:pPr>
      <w:bookmarkStart w:id="8" w:name="Start"/>
      <w:bookmarkEnd w:id="8"/>
      <w:r w:rsidRPr="00B12148">
        <w:t>Summary</w:t>
      </w:r>
    </w:p>
    <w:p w:rsidR="00EF6C2F" w:rsidRPr="00B12148" w:rsidRDefault="00583613" w:rsidP="0040587C">
      <w:pPr>
        <w:pStyle w:val="ListNumber"/>
        <w:numPr>
          <w:ilvl w:val="0"/>
          <w:numId w:val="1"/>
        </w:numPr>
      </w:pPr>
      <w:r w:rsidRPr="00B12148">
        <w:t>I</w:t>
      </w:r>
      <w:r w:rsidR="0040675C">
        <w:t> </w:t>
      </w:r>
      <w:r w:rsidR="00196FEA" w:rsidRPr="00B12148">
        <w:t xml:space="preserve">affirm the decision of the Department of Education and Training (the </w:t>
      </w:r>
      <w:r w:rsidR="00196FEA" w:rsidRPr="00B12148">
        <w:rPr>
          <w:b/>
        </w:rPr>
        <w:t>Department</w:t>
      </w:r>
      <w:r w:rsidR="00196FEA" w:rsidRPr="00B12148">
        <w:t xml:space="preserve">) </w:t>
      </w:r>
      <w:r w:rsidR="0078686A" w:rsidRPr="00B12148">
        <w:t xml:space="preserve">to refuse the applicant access to documents he requested under the </w:t>
      </w:r>
      <w:r w:rsidR="007F5717" w:rsidRPr="00B12148">
        <w:rPr>
          <w:i/>
        </w:rPr>
        <w:t>Freedom of Information Act 1982</w:t>
      </w:r>
      <w:r w:rsidR="007F5717" w:rsidRPr="00B12148">
        <w:t xml:space="preserve"> (the </w:t>
      </w:r>
      <w:r w:rsidR="0040675C">
        <w:rPr>
          <w:b/>
        </w:rPr>
        <w:t>FOI Act</w:t>
      </w:r>
      <w:r w:rsidR="007F5717" w:rsidRPr="00B12148">
        <w:t>)</w:t>
      </w:r>
      <w:r w:rsidR="0040675C">
        <w:t xml:space="preserve">.  </w:t>
      </w:r>
      <w:r w:rsidR="0078686A" w:rsidRPr="00B12148">
        <w:t>The documents requested are conditionally exempt under s</w:t>
      </w:r>
      <w:r w:rsidR="0040675C">
        <w:t> </w:t>
      </w:r>
      <w:r w:rsidR="0078686A" w:rsidRPr="00B12148">
        <w:t xml:space="preserve">47C of the </w:t>
      </w:r>
      <w:r w:rsidR="0040675C">
        <w:t>FOI Act</w:t>
      </w:r>
      <w:r w:rsidR="0078686A" w:rsidRPr="00B12148">
        <w:t xml:space="preserve">, and </w:t>
      </w:r>
      <w:r w:rsidR="00625786" w:rsidRPr="00B12148">
        <w:t>access to the documents at this time would, on balance, be contrary to the public interest.</w:t>
      </w:r>
    </w:p>
    <w:p w:rsidR="00EF6C2F" w:rsidRPr="00B12148" w:rsidRDefault="00EF6C2F" w:rsidP="00E93B30">
      <w:pPr>
        <w:pStyle w:val="Heading2"/>
      </w:pPr>
      <w:r w:rsidRPr="00B12148">
        <w:t>Background</w:t>
      </w:r>
    </w:p>
    <w:p w:rsidR="00E52911" w:rsidRPr="00B12148" w:rsidRDefault="00154A5C" w:rsidP="0070121A">
      <w:pPr>
        <w:pStyle w:val="ListNumber"/>
        <w:keepNext/>
        <w:numPr>
          <w:ilvl w:val="0"/>
          <w:numId w:val="1"/>
        </w:numPr>
      </w:pPr>
      <w:r w:rsidRPr="00B12148">
        <w:t>On</w:t>
      </w:r>
      <w:r w:rsidR="00E52911" w:rsidRPr="00B12148">
        <w:t xml:space="preserve"> </w:t>
      </w:r>
      <w:r w:rsidR="00035D7F" w:rsidRPr="00B12148">
        <w:t>13</w:t>
      </w:r>
      <w:r w:rsidR="0040675C">
        <w:t> </w:t>
      </w:r>
      <w:r w:rsidR="00035D7F" w:rsidRPr="00B12148">
        <w:t>May</w:t>
      </w:r>
      <w:r w:rsidR="00B50994" w:rsidRPr="00B12148">
        <w:t xml:space="preserve"> 2014</w:t>
      </w:r>
      <w:r w:rsidR="00E52911" w:rsidRPr="00B12148">
        <w:t xml:space="preserve">, </w:t>
      </w:r>
      <w:r w:rsidR="00B67820" w:rsidRPr="00B12148">
        <w:t xml:space="preserve">when announcing its 2014–15 Budget, </w:t>
      </w:r>
      <w:r w:rsidR="00E52911" w:rsidRPr="00B12148">
        <w:t xml:space="preserve">the Government announced that it plans </w:t>
      </w:r>
      <w:r w:rsidRPr="00B12148">
        <w:t>to reform the higher education sector</w:t>
      </w:r>
      <w:r w:rsidR="0040675C">
        <w:t xml:space="preserve">.  </w:t>
      </w:r>
      <w:r w:rsidR="00E52911" w:rsidRPr="00B12148">
        <w:t xml:space="preserve">The </w:t>
      </w:r>
      <w:r w:rsidR="00196FEA" w:rsidRPr="00B12148">
        <w:t>Department</w:t>
      </w:r>
      <w:r w:rsidR="0040675C">
        <w:t>’</w:t>
      </w:r>
      <w:r w:rsidR="00196FEA" w:rsidRPr="00B12148">
        <w:t xml:space="preserve">s </w:t>
      </w:r>
      <w:r w:rsidR="00E52911" w:rsidRPr="00B12148">
        <w:t>website describes some of those reforms</w:t>
      </w:r>
      <w:r w:rsidR="007D5483" w:rsidRPr="00B12148">
        <w:t xml:space="preserve">—part of the </w:t>
      </w:r>
      <w:r w:rsidR="0040675C">
        <w:t>“</w:t>
      </w:r>
      <w:r w:rsidR="007D5483" w:rsidRPr="00B12148">
        <w:t>deregulation of the higher education system</w:t>
      </w:r>
      <w:r w:rsidR="0040675C">
        <w:t>”</w:t>
      </w:r>
      <w:r w:rsidR="007D5483" w:rsidRPr="00B12148">
        <w:t>—</w:t>
      </w:r>
      <w:r w:rsidR="00E52911" w:rsidRPr="00B12148">
        <w:t>as follows:</w:t>
      </w:r>
    </w:p>
    <w:p w:rsidR="00E52911" w:rsidRPr="00B12148" w:rsidRDefault="00E52911" w:rsidP="00E52911">
      <w:pPr>
        <w:pStyle w:val="Quote"/>
      </w:pPr>
      <w:r w:rsidRPr="00B12148">
        <w:t xml:space="preserve">From </w:t>
      </w:r>
      <w:r w:rsidR="00035D7F" w:rsidRPr="00B12148">
        <w:t>1</w:t>
      </w:r>
      <w:r w:rsidR="0040675C">
        <w:t> </w:t>
      </w:r>
      <w:r w:rsidR="00035D7F" w:rsidRPr="00B12148">
        <w:t>January</w:t>
      </w:r>
      <w:r w:rsidRPr="00B12148">
        <w:t xml:space="preserve"> 2016 higher education providers such as universities, TAFEs [technical and further education institutions] and colleges in Australia would be able to set their own tuition fees for the courses that they offer</w:t>
      </w:r>
      <w:r w:rsidR="0040675C">
        <w:t xml:space="preserve">.  </w:t>
      </w:r>
      <w:r w:rsidRPr="00B12148">
        <w:t>Fees would remain the responsibility of higher education providers</w:t>
      </w:r>
      <w:r w:rsidR="0040675C">
        <w:t xml:space="preserve">.  </w:t>
      </w:r>
      <w:r w:rsidRPr="00B12148">
        <w:t>With these changes, some course fees may rise and some course fees may fall, as education providers compete for students and as Government funding increases for some courses</w:t>
      </w:r>
      <w:r w:rsidR="0040675C">
        <w:t xml:space="preserve">.  </w:t>
      </w:r>
      <w:r w:rsidRPr="00B12148">
        <w:t>HECS</w:t>
      </w:r>
      <w:r w:rsidR="006C40E7" w:rsidRPr="00B12148">
        <w:t xml:space="preserve"> [Higher Education Contributions Scheme]</w:t>
      </w:r>
      <w:r w:rsidRPr="00B12148">
        <w:t xml:space="preserve"> loans would continue to be available to students</w:t>
      </w:r>
      <w:r w:rsidR="00B67820" w:rsidRPr="00B12148">
        <w:t xml:space="preserve"> …</w:t>
      </w:r>
      <w:r w:rsidRPr="0040675C">
        <w:rPr>
          <w:rStyle w:val="FootnoteReference"/>
        </w:rPr>
        <w:footnoteReference w:id="2"/>
      </w:r>
    </w:p>
    <w:p w:rsidR="008422CE" w:rsidRPr="00B12148" w:rsidRDefault="008422CE" w:rsidP="008422CE">
      <w:pPr>
        <w:pStyle w:val="FollowingPara"/>
      </w:pPr>
      <w:r w:rsidRPr="00B12148">
        <w:t xml:space="preserve">(In these reasons for decision, </w:t>
      </w:r>
      <w:r w:rsidR="00615DCA" w:rsidRPr="00B12148">
        <w:t>I</w:t>
      </w:r>
      <w:r w:rsidR="0040675C">
        <w:t> </w:t>
      </w:r>
      <w:r w:rsidRPr="00B12148">
        <w:t xml:space="preserve">use </w:t>
      </w:r>
      <w:r w:rsidR="0040675C">
        <w:t>“</w:t>
      </w:r>
      <w:r w:rsidRPr="00B12148">
        <w:rPr>
          <w:b/>
        </w:rPr>
        <w:t>universities</w:t>
      </w:r>
      <w:r w:rsidR="0040675C">
        <w:t>”</w:t>
      </w:r>
      <w:r w:rsidRPr="00B12148">
        <w:t xml:space="preserve"> to mean those educational institutions to which these reforms would apply.)</w:t>
      </w:r>
    </w:p>
    <w:p w:rsidR="00D95D9B" w:rsidRPr="00B12148" w:rsidRDefault="00103419" w:rsidP="00B560BC">
      <w:pPr>
        <w:pStyle w:val="ListNumber"/>
        <w:numPr>
          <w:ilvl w:val="0"/>
          <w:numId w:val="1"/>
        </w:numPr>
      </w:pPr>
      <w:r w:rsidRPr="00B12148">
        <w:t xml:space="preserve">On </w:t>
      </w:r>
      <w:r w:rsidR="003B784B" w:rsidRPr="00B12148">
        <w:t>23</w:t>
      </w:r>
      <w:r w:rsidR="0040675C">
        <w:t> </w:t>
      </w:r>
      <w:r w:rsidR="003B784B" w:rsidRPr="00B12148">
        <w:t>May</w:t>
      </w:r>
      <w:r w:rsidRPr="00B12148">
        <w:t xml:space="preserve"> 2014, </w:t>
      </w:r>
      <w:r w:rsidR="003B784B" w:rsidRPr="00B12148">
        <w:t>Mr</w:t>
      </w:r>
      <w:r w:rsidR="0040675C">
        <w:t> </w:t>
      </w:r>
      <w:r w:rsidRPr="00B12148">
        <w:t xml:space="preserve">Crispin Rovere applied </w:t>
      </w:r>
      <w:r w:rsidR="007F5717" w:rsidRPr="00B12148">
        <w:t xml:space="preserve">to </w:t>
      </w:r>
      <w:r w:rsidR="000B2236" w:rsidRPr="00B12148">
        <w:t xml:space="preserve">the </w:t>
      </w:r>
      <w:r w:rsidR="007F5717" w:rsidRPr="00B12148">
        <w:t>Department</w:t>
      </w:r>
      <w:r w:rsidR="00C91BF5" w:rsidRPr="0040675C">
        <w:rPr>
          <w:rStyle w:val="FootnoteReference"/>
        </w:rPr>
        <w:footnoteReference w:id="3"/>
      </w:r>
      <w:r w:rsidR="007F5717" w:rsidRPr="00B12148">
        <w:t xml:space="preserve"> under s</w:t>
      </w:r>
      <w:r w:rsidR="0040675C">
        <w:t> </w:t>
      </w:r>
      <w:r w:rsidR="007F5717" w:rsidRPr="00B12148">
        <w:t xml:space="preserve">15 of the </w:t>
      </w:r>
      <w:r w:rsidR="0040675C">
        <w:t>FOI Act</w:t>
      </w:r>
      <w:r w:rsidR="007F5717" w:rsidRPr="00B12148">
        <w:t xml:space="preserve"> for access to documents</w:t>
      </w:r>
      <w:r w:rsidR="000B2236" w:rsidRPr="00B12148">
        <w:t xml:space="preserve"> relating to the proposed </w:t>
      </w:r>
      <w:r w:rsidR="00B67820" w:rsidRPr="00B12148">
        <w:t>reforms</w:t>
      </w:r>
      <w:r w:rsidR="0040675C">
        <w:t xml:space="preserve">.  </w:t>
      </w:r>
      <w:r w:rsidR="00A45743" w:rsidRPr="00B12148">
        <w:t>On 30</w:t>
      </w:r>
      <w:r w:rsidR="0040675C">
        <w:t> </w:t>
      </w:r>
      <w:r w:rsidR="00A45743" w:rsidRPr="00B12148">
        <w:t xml:space="preserve">May 2014, the Department advised </w:t>
      </w:r>
      <w:r w:rsidR="00F82BDA" w:rsidRPr="00B12148">
        <w:t>Mr</w:t>
      </w:r>
      <w:r w:rsidR="0040675C">
        <w:t> </w:t>
      </w:r>
      <w:r w:rsidR="00A45743" w:rsidRPr="00B12148">
        <w:t>Rovere that it intended to refuse his request under s</w:t>
      </w:r>
      <w:r w:rsidR="0040675C">
        <w:t> </w:t>
      </w:r>
      <w:r w:rsidR="00D95D9B" w:rsidRPr="00B12148">
        <w:t>24AA</w:t>
      </w:r>
      <w:r w:rsidR="00A45743" w:rsidRPr="00B12148">
        <w:t xml:space="preserve"> on the basis that </w:t>
      </w:r>
      <w:r w:rsidR="00D95D9B" w:rsidRPr="00B12148">
        <w:t xml:space="preserve">the work involved in </w:t>
      </w:r>
      <w:r w:rsidR="00A45743" w:rsidRPr="00B12148">
        <w:t xml:space="preserve">processing his request would </w:t>
      </w:r>
      <w:r w:rsidR="00D95D9B" w:rsidRPr="00B12148">
        <w:t>substantially and unreasonably divert the resources of the agency from its other operations.</w:t>
      </w:r>
    </w:p>
    <w:p w:rsidR="00B00890" w:rsidRPr="00B12148" w:rsidRDefault="00A45743" w:rsidP="00D95D9B">
      <w:pPr>
        <w:pStyle w:val="ListNumber"/>
        <w:keepNext/>
        <w:numPr>
          <w:ilvl w:val="0"/>
          <w:numId w:val="1"/>
        </w:numPr>
      </w:pPr>
      <w:r w:rsidRPr="00B12148">
        <w:t xml:space="preserve">On </w:t>
      </w:r>
      <w:r w:rsidR="00F82BDA" w:rsidRPr="00B12148">
        <w:t>31</w:t>
      </w:r>
      <w:r w:rsidR="0040675C">
        <w:t> </w:t>
      </w:r>
      <w:r w:rsidR="00F82BDA" w:rsidRPr="00B12148">
        <w:t>May</w:t>
      </w:r>
      <w:r w:rsidRPr="00B12148">
        <w:t xml:space="preserve"> 2014, </w:t>
      </w:r>
      <w:r w:rsidR="00F82BDA" w:rsidRPr="00B12148">
        <w:t>Mr</w:t>
      </w:r>
      <w:r w:rsidR="0040675C">
        <w:t> </w:t>
      </w:r>
      <w:r w:rsidR="00B00890" w:rsidRPr="00B12148">
        <w:t>Rovere revised the scope of his request to</w:t>
      </w:r>
      <w:r w:rsidRPr="00B12148">
        <w:t xml:space="preserve"> the following</w:t>
      </w:r>
      <w:r w:rsidR="00B00890" w:rsidRPr="00B12148">
        <w:t>:</w:t>
      </w:r>
    </w:p>
    <w:p w:rsidR="00C97BD7" w:rsidRPr="00B12148" w:rsidRDefault="00307D2C" w:rsidP="00D12D9D">
      <w:pPr>
        <w:pStyle w:val="Quote"/>
        <w:keepNext/>
        <w:ind w:left="1134" w:hanging="425"/>
      </w:pPr>
      <w:r w:rsidRPr="00B12148">
        <w:t>1.</w:t>
      </w:r>
      <w:r w:rsidRPr="00B12148">
        <w:tab/>
      </w:r>
      <w:r w:rsidR="00C97BD7" w:rsidRPr="00B12148">
        <w:t xml:space="preserve">Any documentation produced after </w:t>
      </w:r>
      <w:r w:rsidR="001976B5" w:rsidRPr="00B12148">
        <w:t>15</w:t>
      </w:r>
      <w:r w:rsidR="0040675C">
        <w:t> </w:t>
      </w:r>
      <w:r w:rsidR="001976B5" w:rsidRPr="00B12148">
        <w:t>December</w:t>
      </w:r>
      <w:r w:rsidR="00C97BD7" w:rsidRPr="00B12148">
        <w:t xml:space="preserve"> 2013 not currently in the public domain that was used to brief the Minister on the deregulation of tertiary education </w:t>
      </w:r>
      <w:r w:rsidR="007D4C12" w:rsidRPr="00B12148">
        <w:t>funding</w:t>
      </w:r>
      <w:r w:rsidR="00C97BD7" w:rsidRPr="00B12148">
        <w:t xml:space="preserve"> and</w:t>
      </w:r>
      <w:r w:rsidR="006A22C9" w:rsidRPr="00B12148">
        <w:t xml:space="preserve"> is of direct relevance to the </w:t>
      </w:r>
      <w:r w:rsidR="00C97BD7" w:rsidRPr="00B12148">
        <w:t>changes to tertiary education funding announced in the 201</w:t>
      </w:r>
      <w:r w:rsidR="004D1F41" w:rsidRPr="00B12148">
        <w:t>4–1</w:t>
      </w:r>
      <w:r w:rsidR="00BC2435" w:rsidRPr="00B12148">
        <w:t>5</w:t>
      </w:r>
      <w:r w:rsidR="00C97BD7" w:rsidRPr="00B12148">
        <w:t xml:space="preserve"> Federal Budget as they relate to the following mat</w:t>
      </w:r>
      <w:r w:rsidRPr="00B12148">
        <w:t>ters of public interest:</w:t>
      </w:r>
    </w:p>
    <w:p w:rsidR="00C97BD7" w:rsidRPr="00B12148" w:rsidRDefault="00C97BD7" w:rsidP="00BC2435">
      <w:pPr>
        <w:pStyle w:val="Quote"/>
        <w:keepLines/>
        <w:numPr>
          <w:ilvl w:val="0"/>
          <w:numId w:val="21"/>
        </w:numPr>
        <w:spacing w:before="60"/>
        <w:ind w:left="1418" w:hanging="284"/>
      </w:pPr>
      <w:r w:rsidRPr="00B12148">
        <w:t>projected increases in the average cost of</w:t>
      </w:r>
      <w:r w:rsidR="007D4C12" w:rsidRPr="00B12148">
        <w:t xml:space="preserve"> univ</w:t>
      </w:r>
      <w:r w:rsidRPr="00B12148">
        <w:t>ersity degrees in Australia over current forward projections</w:t>
      </w:r>
    </w:p>
    <w:p w:rsidR="00C97BD7" w:rsidRPr="00B12148" w:rsidRDefault="00C97BD7" w:rsidP="00BC2435">
      <w:pPr>
        <w:pStyle w:val="Quote"/>
        <w:keepLines/>
        <w:numPr>
          <w:ilvl w:val="0"/>
          <w:numId w:val="21"/>
        </w:numPr>
        <w:spacing w:before="60"/>
        <w:ind w:left="1418" w:hanging="284"/>
      </w:pPr>
      <w:r w:rsidRPr="00B12148">
        <w:t>the avera</w:t>
      </w:r>
      <w:r w:rsidR="006A22C9" w:rsidRPr="00B12148">
        <w:t xml:space="preserve">ge financial impact on </w:t>
      </w:r>
      <w:r w:rsidRPr="00B12148">
        <w:t>students resulting from HECS interest rate changes (for men and women)</w:t>
      </w:r>
    </w:p>
    <w:p w:rsidR="00C97BD7" w:rsidRPr="00B12148" w:rsidRDefault="00C97BD7" w:rsidP="00BC2435">
      <w:pPr>
        <w:pStyle w:val="Quote"/>
        <w:keepLines/>
        <w:numPr>
          <w:ilvl w:val="0"/>
          <w:numId w:val="21"/>
        </w:numPr>
        <w:spacing w:before="60"/>
        <w:ind w:left="1418" w:hanging="284"/>
      </w:pPr>
      <w:r w:rsidRPr="00B12148">
        <w:t xml:space="preserve">the impact on universities that currently </w:t>
      </w:r>
      <w:r w:rsidR="007D4C12" w:rsidRPr="00B12148">
        <w:t>have</w:t>
      </w:r>
      <w:r w:rsidRPr="00B12148">
        <w:t xml:space="preserve"> higher than average levels of students </w:t>
      </w:r>
      <w:r w:rsidR="007D4C12" w:rsidRPr="00B12148">
        <w:t>enrolled</w:t>
      </w:r>
      <w:r w:rsidRPr="00B12148">
        <w:t xml:space="preserve"> from low socioeconomic areas and backgrounds</w:t>
      </w:r>
    </w:p>
    <w:p w:rsidR="00C97BD7" w:rsidRPr="00B12148" w:rsidRDefault="007D4C12" w:rsidP="00BC2435">
      <w:pPr>
        <w:pStyle w:val="Quote"/>
        <w:keepLines/>
        <w:numPr>
          <w:ilvl w:val="0"/>
          <w:numId w:val="21"/>
        </w:numPr>
        <w:spacing w:before="60"/>
        <w:ind w:left="1418" w:hanging="284"/>
      </w:pPr>
      <w:r w:rsidRPr="00B12148">
        <w:t>the projected changes to the distribution of university funding across the tertiary education sector (i.e</w:t>
      </w:r>
      <w:r w:rsidR="0040675C">
        <w:t>. </w:t>
      </w:r>
      <w:r w:rsidR="00F577A1" w:rsidRPr="00B12148">
        <w:t>w</w:t>
      </w:r>
      <w:r w:rsidR="00C97BD7" w:rsidRPr="00B12148">
        <w:t xml:space="preserve">hat proportion </w:t>
      </w:r>
      <w:r w:rsidR="00C56AEA" w:rsidRPr="00B12148">
        <w:t>of total</w:t>
      </w:r>
      <w:r w:rsidR="00C97BD7" w:rsidRPr="00B12148">
        <w:t xml:space="preserve"> funding across the </w:t>
      </w:r>
      <w:r w:rsidR="00C56AEA" w:rsidRPr="00B12148">
        <w:t>tertiary</w:t>
      </w:r>
      <w:r w:rsidR="00C97BD7" w:rsidRPr="00B12148">
        <w:t xml:space="preserve"> education sector is enjoyed by Group of Eight universities today as opposed to other universities, and the estimated change resulting from deregulation)</w:t>
      </w:r>
    </w:p>
    <w:p w:rsidR="00C97BD7" w:rsidRPr="00B12148" w:rsidRDefault="00C97BD7" w:rsidP="00BC2435">
      <w:pPr>
        <w:pStyle w:val="Quote"/>
        <w:keepLines/>
        <w:numPr>
          <w:ilvl w:val="0"/>
          <w:numId w:val="21"/>
        </w:numPr>
        <w:spacing w:before="60"/>
        <w:ind w:left="1418" w:hanging="284"/>
      </w:pPr>
      <w:r w:rsidRPr="00B12148">
        <w:t xml:space="preserve">the projected contribution mix of government </w:t>
      </w:r>
      <w:r w:rsidR="007D4C12" w:rsidRPr="00B12148">
        <w:t>funding</w:t>
      </w:r>
      <w:r w:rsidRPr="00B12148">
        <w:t xml:space="preserve"> and student contribution resulting from the changes announced in the 201</w:t>
      </w:r>
      <w:r w:rsidR="001976B5" w:rsidRPr="00B12148">
        <w:t>4–1</w:t>
      </w:r>
      <w:r w:rsidRPr="00B12148">
        <w:t>5 Federal Budget (i.e</w:t>
      </w:r>
      <w:r w:rsidR="0040675C">
        <w:t>. </w:t>
      </w:r>
      <w:r w:rsidRPr="00B12148">
        <w:t>the o</w:t>
      </w:r>
      <w:r w:rsidR="00F577A1" w:rsidRPr="00B12148">
        <w:t>rigin and background of the 50%</w:t>
      </w:r>
      <w:r w:rsidR="0040675C">
        <w:t> </w:t>
      </w:r>
      <w:r w:rsidRPr="00B12148">
        <w:t>figure for student/government contribution)</w:t>
      </w:r>
    </w:p>
    <w:p w:rsidR="00C97BD7" w:rsidRPr="00B12148" w:rsidRDefault="00C97BD7" w:rsidP="00BC2435">
      <w:pPr>
        <w:pStyle w:val="Quote"/>
        <w:keepLines/>
        <w:numPr>
          <w:ilvl w:val="0"/>
          <w:numId w:val="21"/>
        </w:numPr>
        <w:spacing w:before="60"/>
        <w:ind w:left="1418" w:hanging="284"/>
      </w:pPr>
      <w:r w:rsidRPr="00B12148">
        <w:t>projected change in benefit derived by new university students in having a university degree</w:t>
      </w:r>
    </w:p>
    <w:p w:rsidR="00C97BD7" w:rsidRPr="00B12148" w:rsidRDefault="007D4C12" w:rsidP="00BC2435">
      <w:pPr>
        <w:pStyle w:val="Quote"/>
        <w:keepLines/>
        <w:numPr>
          <w:ilvl w:val="0"/>
          <w:numId w:val="21"/>
        </w:numPr>
        <w:spacing w:before="60"/>
        <w:ind w:left="1418" w:hanging="284"/>
      </w:pPr>
      <w:r w:rsidRPr="00B12148">
        <w:t xml:space="preserve">projected costs incurred </w:t>
      </w:r>
      <w:r w:rsidR="00C97BD7" w:rsidRPr="00B12148">
        <w:t>by new PhD students as a result of the 201</w:t>
      </w:r>
      <w:r w:rsidR="001976B5" w:rsidRPr="00B12148">
        <w:t>4–1</w:t>
      </w:r>
      <w:r w:rsidR="00C97BD7" w:rsidRPr="00B12148">
        <w:t>5 Federal Budget.</w:t>
      </w:r>
    </w:p>
    <w:p w:rsidR="00C97BD7" w:rsidRPr="00B12148" w:rsidRDefault="007D4C12" w:rsidP="00307D2C">
      <w:pPr>
        <w:pStyle w:val="Quote"/>
        <w:ind w:left="1134" w:hanging="425"/>
      </w:pPr>
      <w:r w:rsidRPr="00B12148">
        <w:t>2</w:t>
      </w:r>
      <w:r w:rsidR="00307D2C" w:rsidRPr="00B12148">
        <w:t>.</w:t>
      </w:r>
      <w:r w:rsidR="00307D2C" w:rsidRPr="00B12148">
        <w:tab/>
      </w:r>
      <w:r w:rsidRPr="00B12148">
        <w:t>Any correspondence between the Department and/or the Minister</w:t>
      </w:r>
      <w:r w:rsidR="0040675C">
        <w:t>’</w:t>
      </w:r>
      <w:r w:rsidRPr="00B12148">
        <w:t>s office, and the Chancellor</w:t>
      </w:r>
      <w:r w:rsidR="0040675C">
        <w:t>’</w:t>
      </w:r>
      <w:r w:rsidRPr="00B12148">
        <w:t>s and/or Vice Chancellor</w:t>
      </w:r>
      <w:r w:rsidR="0040675C">
        <w:t>’</w:t>
      </w:r>
      <w:r w:rsidRPr="00B12148">
        <w:t xml:space="preserve">s office of the Australian National University, dated from </w:t>
      </w:r>
      <w:r w:rsidR="001976B5" w:rsidRPr="00B12148">
        <w:t>7</w:t>
      </w:r>
      <w:r w:rsidR="0040675C">
        <w:t> </w:t>
      </w:r>
      <w:r w:rsidR="001976B5" w:rsidRPr="00B12148">
        <w:t>September</w:t>
      </w:r>
      <w:r w:rsidRPr="00B12148">
        <w:t xml:space="preserve"> 2013, that relates to the deregulation of university fees relevant to changes in tertiary education funding announced in the 201</w:t>
      </w:r>
      <w:r w:rsidR="001976B5" w:rsidRPr="00B12148">
        <w:t>4–1</w:t>
      </w:r>
      <w:r w:rsidRPr="00B12148">
        <w:t>5 Federal Budget.</w:t>
      </w:r>
    </w:p>
    <w:p w:rsidR="00C97BD7" w:rsidRPr="00B12148" w:rsidRDefault="00C97BD7" w:rsidP="00307D2C">
      <w:pPr>
        <w:pStyle w:val="Quote"/>
        <w:ind w:left="1134" w:hanging="425"/>
      </w:pPr>
      <w:r w:rsidRPr="00B12148">
        <w:t>3</w:t>
      </w:r>
      <w:r w:rsidR="00307D2C" w:rsidRPr="00B12148">
        <w:t>.</w:t>
      </w:r>
      <w:r w:rsidR="00307D2C" w:rsidRPr="00B12148">
        <w:tab/>
      </w:r>
      <w:r w:rsidRPr="00B12148">
        <w:t xml:space="preserve">Up to the five most relevant documents held by the Department, in the public domain or otherwise, dated from </w:t>
      </w:r>
      <w:r w:rsidR="001976B5" w:rsidRPr="00B12148">
        <w:t>1</w:t>
      </w:r>
      <w:r w:rsidR="0040675C">
        <w:t> </w:t>
      </w:r>
      <w:r w:rsidR="001976B5" w:rsidRPr="00B12148">
        <w:t>July</w:t>
      </w:r>
      <w:r w:rsidR="006A22C9" w:rsidRPr="00B12148">
        <w:t xml:space="preserve"> 2013 that </w:t>
      </w:r>
      <w:r w:rsidRPr="00B12148">
        <w:t xml:space="preserve">estimates the average level of productivity of an Australian worker with a tertiary degree as compared with an Australian worker without a tertiary degree, and the estimated additional value </w:t>
      </w:r>
      <w:r w:rsidR="007D4C12" w:rsidRPr="00B12148">
        <w:t>tertiary</w:t>
      </w:r>
      <w:r w:rsidRPr="00B12148">
        <w:t xml:space="preserve"> education has for the overall Australian economy in terms of productivity.</w:t>
      </w:r>
    </w:p>
    <w:p w:rsidR="00F22A88" w:rsidRPr="00B12148" w:rsidRDefault="00A45743" w:rsidP="00AE455C">
      <w:pPr>
        <w:pStyle w:val="ListNumber"/>
        <w:keepLines/>
        <w:numPr>
          <w:ilvl w:val="0"/>
          <w:numId w:val="1"/>
        </w:numPr>
      </w:pPr>
      <w:r w:rsidRPr="00B12148">
        <w:t xml:space="preserve">The Department identified </w:t>
      </w:r>
      <w:r w:rsidR="00F82BDA" w:rsidRPr="00B12148">
        <w:t>8020</w:t>
      </w:r>
      <w:r w:rsidR="0040675C">
        <w:t> </w:t>
      </w:r>
      <w:r w:rsidR="00F82BDA" w:rsidRPr="00B12148">
        <w:t>page</w:t>
      </w:r>
      <w:r w:rsidRPr="00B12148">
        <w:t>s</w:t>
      </w:r>
      <w:r w:rsidR="0050068C" w:rsidRPr="00B12148">
        <w:t xml:space="preserve"> </w:t>
      </w:r>
      <w:r w:rsidRPr="00B12148">
        <w:t xml:space="preserve">of documents falling within the </w:t>
      </w:r>
      <w:r w:rsidR="00D66131" w:rsidRPr="00B12148">
        <w:t xml:space="preserve">revised </w:t>
      </w:r>
      <w:r w:rsidRPr="00B12148">
        <w:t xml:space="preserve">scope of </w:t>
      </w:r>
      <w:r w:rsidR="00F82BDA" w:rsidRPr="00B12148">
        <w:t>Mr</w:t>
      </w:r>
      <w:r w:rsidR="0040675C">
        <w:t> </w:t>
      </w:r>
      <w:r w:rsidRPr="00B12148">
        <w:t>Rovere</w:t>
      </w:r>
      <w:r w:rsidR="0040675C">
        <w:t>’</w:t>
      </w:r>
      <w:r w:rsidRPr="00B12148">
        <w:t>s request</w:t>
      </w:r>
      <w:r w:rsidR="0040675C">
        <w:t xml:space="preserve">.  </w:t>
      </w:r>
      <w:r w:rsidRPr="00B12148">
        <w:t xml:space="preserve">On </w:t>
      </w:r>
      <w:r w:rsidR="00F82BDA" w:rsidRPr="00B12148">
        <w:t>4</w:t>
      </w:r>
      <w:r w:rsidR="0040675C">
        <w:t> </w:t>
      </w:r>
      <w:r w:rsidR="00F82BDA" w:rsidRPr="00B12148">
        <w:t>July</w:t>
      </w:r>
      <w:r w:rsidRPr="00B12148">
        <w:t xml:space="preserve"> 2014, the Department granted access </w:t>
      </w:r>
      <w:r w:rsidR="00A953EA" w:rsidRPr="00B12148">
        <w:t xml:space="preserve">to all or </w:t>
      </w:r>
      <w:r w:rsidRPr="00B12148">
        <w:t xml:space="preserve">part </w:t>
      </w:r>
      <w:r w:rsidR="00A953EA" w:rsidRPr="00B12148">
        <w:t xml:space="preserve">of </w:t>
      </w:r>
      <w:r w:rsidR="00F82BDA" w:rsidRPr="00B12148">
        <w:t>66</w:t>
      </w:r>
      <w:r w:rsidR="0040675C">
        <w:t> </w:t>
      </w:r>
      <w:r w:rsidR="00F82BDA" w:rsidRPr="00B12148">
        <w:t>page</w:t>
      </w:r>
      <w:r w:rsidRPr="00B12148">
        <w:t xml:space="preserve">s and refused access to </w:t>
      </w:r>
      <w:r w:rsidR="00A16DBE" w:rsidRPr="00B12148">
        <w:t>the remainder.</w:t>
      </w:r>
      <w:bookmarkStart w:id="9" w:name="_Ref421016549"/>
      <w:r w:rsidR="0039496C" w:rsidRPr="0040675C">
        <w:rPr>
          <w:rStyle w:val="FootnoteReference"/>
        </w:rPr>
        <w:footnoteReference w:id="4"/>
      </w:r>
      <w:bookmarkEnd w:id="9"/>
      <w:r w:rsidR="0055161A">
        <w:t xml:space="preserve"> </w:t>
      </w:r>
      <w:r w:rsidR="0040675C">
        <w:t xml:space="preserve"> </w:t>
      </w:r>
      <w:r w:rsidR="003529E7" w:rsidRPr="00B12148">
        <w:t xml:space="preserve">In doing so, the </w:t>
      </w:r>
      <w:r w:rsidRPr="00B12148">
        <w:t>Department relied on the Cabinet documents exemption (s</w:t>
      </w:r>
      <w:r w:rsidR="0040675C">
        <w:t> </w:t>
      </w:r>
      <w:r w:rsidRPr="00B12148">
        <w:t xml:space="preserve">34 of the </w:t>
      </w:r>
      <w:r w:rsidR="0040675C">
        <w:t>FOI Act</w:t>
      </w:r>
      <w:r w:rsidRPr="00B12148">
        <w:t xml:space="preserve">), </w:t>
      </w:r>
      <w:r w:rsidR="007703F9" w:rsidRPr="00B12148">
        <w:t>the deliberative processes exemption</w:t>
      </w:r>
      <w:r w:rsidRPr="00B12148">
        <w:t xml:space="preserve"> (s</w:t>
      </w:r>
      <w:r w:rsidR="0040675C">
        <w:t> </w:t>
      </w:r>
      <w:r w:rsidRPr="00B12148">
        <w:t xml:space="preserve">47C), </w:t>
      </w:r>
      <w:r w:rsidR="007703F9" w:rsidRPr="00B12148">
        <w:t xml:space="preserve">the personal privacy exemption </w:t>
      </w:r>
      <w:r w:rsidRPr="00B12148">
        <w:t>(s</w:t>
      </w:r>
      <w:r w:rsidR="0040675C">
        <w:t> </w:t>
      </w:r>
      <w:r w:rsidRPr="00B12148">
        <w:t>47F)</w:t>
      </w:r>
      <w:r w:rsidR="007703F9" w:rsidRPr="00B12148">
        <w:t xml:space="preserve"> and the economy exemption </w:t>
      </w:r>
      <w:r w:rsidRPr="00B12148">
        <w:t>(s</w:t>
      </w:r>
      <w:r w:rsidR="0040675C">
        <w:t> </w:t>
      </w:r>
      <w:r w:rsidRPr="00B12148">
        <w:t>47J)</w:t>
      </w:r>
      <w:r w:rsidR="0040675C">
        <w:t xml:space="preserve">.  </w:t>
      </w:r>
      <w:r w:rsidR="00141907" w:rsidRPr="00B12148">
        <w:t xml:space="preserve">The Department gave </w:t>
      </w:r>
      <w:r w:rsidR="00583613" w:rsidRPr="00B12148">
        <w:t>Mr</w:t>
      </w:r>
      <w:r w:rsidR="0040675C">
        <w:t> </w:t>
      </w:r>
      <w:r w:rsidR="00141907" w:rsidRPr="00B12148">
        <w:t xml:space="preserve">Rovere access to edited copies of some of the documents, modified by the deletion of </w:t>
      </w:r>
      <w:r w:rsidR="00011C47" w:rsidRPr="00B12148">
        <w:t xml:space="preserve">exempt and </w:t>
      </w:r>
      <w:r w:rsidR="00141907" w:rsidRPr="00B12148">
        <w:t>irrelevant</w:t>
      </w:r>
      <w:r w:rsidR="00011C47" w:rsidRPr="00B12148">
        <w:t xml:space="preserve"> material</w:t>
      </w:r>
      <w:r w:rsidR="00141907" w:rsidRPr="00B12148">
        <w:t>.</w:t>
      </w:r>
    </w:p>
    <w:p w:rsidR="004E268D" w:rsidRPr="00B12148" w:rsidRDefault="004E268D" w:rsidP="007703F9">
      <w:pPr>
        <w:pStyle w:val="ListNumber"/>
        <w:numPr>
          <w:ilvl w:val="0"/>
          <w:numId w:val="1"/>
        </w:numPr>
      </w:pPr>
      <w:r w:rsidRPr="00B12148">
        <w:t xml:space="preserve">On </w:t>
      </w:r>
      <w:r w:rsidR="00D27053" w:rsidRPr="00B12148">
        <w:t>10</w:t>
      </w:r>
      <w:r w:rsidR="0040675C">
        <w:t> </w:t>
      </w:r>
      <w:r w:rsidR="00D27053" w:rsidRPr="00B12148">
        <w:t xml:space="preserve">July </w:t>
      </w:r>
      <w:r w:rsidR="00A56075" w:rsidRPr="00B12148">
        <w:t xml:space="preserve">2014, </w:t>
      </w:r>
      <w:r w:rsidR="00F82BDA" w:rsidRPr="00B12148">
        <w:t>Mr</w:t>
      </w:r>
      <w:r w:rsidR="0040675C">
        <w:t> </w:t>
      </w:r>
      <w:r w:rsidR="00A56075" w:rsidRPr="00B12148">
        <w:t xml:space="preserve">Rovere </w:t>
      </w:r>
      <w:r w:rsidR="008D5677" w:rsidRPr="00B12148">
        <w:t>applied to the Information Commissioner under s</w:t>
      </w:r>
      <w:r w:rsidR="0040675C">
        <w:t> </w:t>
      </w:r>
      <w:r w:rsidR="008D5677" w:rsidRPr="00B12148">
        <w:t xml:space="preserve">54L of the </w:t>
      </w:r>
      <w:r w:rsidR="0040675C">
        <w:t>FOI Act</w:t>
      </w:r>
      <w:r w:rsidR="008D5677" w:rsidRPr="00B12148">
        <w:t xml:space="preserve"> for review of the Department</w:t>
      </w:r>
      <w:r w:rsidR="0040675C">
        <w:t>’</w:t>
      </w:r>
      <w:r w:rsidR="008D5677" w:rsidRPr="00B12148">
        <w:t>s decision</w:t>
      </w:r>
      <w:r w:rsidR="0040675C">
        <w:t xml:space="preserve">.  </w:t>
      </w:r>
      <w:r w:rsidR="008D5677" w:rsidRPr="00B12148">
        <w:t xml:space="preserve">On </w:t>
      </w:r>
      <w:r w:rsidR="00F82BDA" w:rsidRPr="00B12148">
        <w:t>25</w:t>
      </w:r>
      <w:r w:rsidR="0040675C">
        <w:t> </w:t>
      </w:r>
      <w:r w:rsidR="00F82BDA" w:rsidRPr="00B12148">
        <w:t>August</w:t>
      </w:r>
      <w:r w:rsidR="008D5677" w:rsidRPr="00B12148">
        <w:t xml:space="preserve"> 2014, the Information Commissioner decided, under s</w:t>
      </w:r>
      <w:r w:rsidR="0040675C">
        <w:t> </w:t>
      </w:r>
      <w:r w:rsidR="008D5677" w:rsidRPr="00B12148">
        <w:t xml:space="preserve">54W(b), not to undertake that review on the basis that the interests of the administration of the </w:t>
      </w:r>
      <w:r w:rsidR="0040675C">
        <w:t>FOI Act</w:t>
      </w:r>
      <w:r w:rsidR="008D5677" w:rsidRPr="00B12148">
        <w:t xml:space="preserve"> made it desirable that the decision be considered by the Tribunal.</w:t>
      </w:r>
    </w:p>
    <w:p w:rsidR="0028270F" w:rsidRPr="00B12148" w:rsidRDefault="0028270F" w:rsidP="0040587C">
      <w:pPr>
        <w:pStyle w:val="ListNumber"/>
        <w:numPr>
          <w:ilvl w:val="0"/>
          <w:numId w:val="1"/>
        </w:numPr>
      </w:pPr>
      <w:r w:rsidRPr="00B12148">
        <w:t xml:space="preserve">On </w:t>
      </w:r>
      <w:r w:rsidR="00F82BDA" w:rsidRPr="00B12148">
        <w:t>21</w:t>
      </w:r>
      <w:r w:rsidR="0040675C">
        <w:t> </w:t>
      </w:r>
      <w:r w:rsidR="00F82BDA" w:rsidRPr="00B12148">
        <w:t>October</w:t>
      </w:r>
      <w:r w:rsidR="003B1EBA" w:rsidRPr="00B12148">
        <w:t xml:space="preserve"> 2014, </w:t>
      </w:r>
      <w:r w:rsidR="00F82BDA" w:rsidRPr="00B12148">
        <w:t>Mr</w:t>
      </w:r>
      <w:r w:rsidR="0040675C">
        <w:t> </w:t>
      </w:r>
      <w:r w:rsidR="003B1EBA" w:rsidRPr="00B12148">
        <w:t xml:space="preserve">Rovere </w:t>
      </w:r>
      <w:r w:rsidRPr="00B12148">
        <w:t xml:space="preserve">applied </w:t>
      </w:r>
      <w:r w:rsidR="005D124F" w:rsidRPr="00B12148">
        <w:t xml:space="preserve">to the Tribunal, </w:t>
      </w:r>
      <w:r w:rsidRPr="00B12148">
        <w:t xml:space="preserve">under </w:t>
      </w:r>
      <w:r w:rsidR="006E72E4" w:rsidRPr="00B12148">
        <w:t>s</w:t>
      </w:r>
      <w:r w:rsidR="0040675C">
        <w:t> </w:t>
      </w:r>
      <w:r w:rsidR="004451F5" w:rsidRPr="00B12148">
        <w:t xml:space="preserve">57A(1)(b) </w:t>
      </w:r>
      <w:r w:rsidR="006E72E4" w:rsidRPr="00B12148">
        <w:t xml:space="preserve">of the </w:t>
      </w:r>
      <w:r w:rsidR="0040675C">
        <w:t>FOI Act</w:t>
      </w:r>
      <w:r w:rsidR="006E72E4" w:rsidRPr="00B12148">
        <w:t xml:space="preserve"> and </w:t>
      </w:r>
      <w:r w:rsidRPr="00B12148">
        <w:t>s</w:t>
      </w:r>
      <w:r w:rsidR="0040675C">
        <w:t> </w:t>
      </w:r>
      <w:r w:rsidRPr="00B12148">
        <w:t xml:space="preserve">29(1) of the </w:t>
      </w:r>
      <w:r w:rsidRPr="00B12148">
        <w:rPr>
          <w:i/>
        </w:rPr>
        <w:t>Administrative Appeals Tribunal Act 1975</w:t>
      </w:r>
      <w:r w:rsidRPr="00B12148">
        <w:t xml:space="preserve"> (the </w:t>
      </w:r>
      <w:r w:rsidR="0040675C">
        <w:rPr>
          <w:b/>
        </w:rPr>
        <w:t>AAT Act</w:t>
      </w:r>
      <w:r w:rsidRPr="00B12148">
        <w:t>)</w:t>
      </w:r>
      <w:r w:rsidR="005D124F" w:rsidRPr="00B12148">
        <w:t>,</w:t>
      </w:r>
      <w:r w:rsidRPr="00B12148">
        <w:t xml:space="preserve"> for review of that decision.</w:t>
      </w:r>
    </w:p>
    <w:p w:rsidR="00EF6C2F" w:rsidRPr="00B12148" w:rsidRDefault="00EF6C2F" w:rsidP="00E93B30">
      <w:pPr>
        <w:pStyle w:val="Heading2"/>
      </w:pPr>
      <w:r w:rsidRPr="00B12148">
        <w:t>Decision under review</w:t>
      </w:r>
    </w:p>
    <w:p w:rsidR="00BB6BF2" w:rsidRPr="00B12148" w:rsidRDefault="00745F41" w:rsidP="00745F41">
      <w:pPr>
        <w:pStyle w:val="ListNumber"/>
        <w:numPr>
          <w:ilvl w:val="0"/>
          <w:numId w:val="1"/>
        </w:numPr>
      </w:pPr>
      <w:r w:rsidRPr="00B12148">
        <w:t xml:space="preserve">The decision under review is </w:t>
      </w:r>
      <w:r w:rsidR="002707D6" w:rsidRPr="00B12148">
        <w:t>the Department</w:t>
      </w:r>
      <w:r w:rsidR="0040675C">
        <w:t>’</w:t>
      </w:r>
      <w:r w:rsidR="002707D6" w:rsidRPr="00B12148">
        <w:t>s</w:t>
      </w:r>
      <w:r w:rsidR="00442581" w:rsidRPr="00B12148">
        <w:t xml:space="preserve"> </w:t>
      </w:r>
      <w:r w:rsidRPr="00B12148">
        <w:t xml:space="preserve">decision on </w:t>
      </w:r>
      <w:r w:rsidR="001938A5" w:rsidRPr="00B12148">
        <w:t>4</w:t>
      </w:r>
      <w:r w:rsidR="0040675C">
        <w:t> </w:t>
      </w:r>
      <w:r w:rsidR="001938A5" w:rsidRPr="00B12148">
        <w:t>July</w:t>
      </w:r>
      <w:r w:rsidR="00FC587E" w:rsidRPr="00B12148">
        <w:t xml:space="preserve"> 2014 not to grant Mr</w:t>
      </w:r>
      <w:r w:rsidR="0040675C">
        <w:t> </w:t>
      </w:r>
      <w:r w:rsidR="00BB6BF2" w:rsidRPr="00B12148">
        <w:t>Rovere access to all of the documents that he requested.</w:t>
      </w:r>
    </w:p>
    <w:p w:rsidR="00DC441C" w:rsidRPr="00B12148" w:rsidRDefault="00023411" w:rsidP="00064067">
      <w:pPr>
        <w:pStyle w:val="ListNumber"/>
        <w:numPr>
          <w:ilvl w:val="0"/>
          <w:numId w:val="1"/>
        </w:numPr>
      </w:pPr>
      <w:bookmarkStart w:id="10" w:name="_Ref420595276"/>
      <w:r w:rsidRPr="00B12148">
        <w:t>Mr</w:t>
      </w:r>
      <w:r w:rsidR="0040675C">
        <w:t> </w:t>
      </w:r>
      <w:r w:rsidR="00DB4FF1" w:rsidRPr="00B12148">
        <w:t>Rovere and the Department came to various agreements before and at the hearing</w:t>
      </w:r>
      <w:r w:rsidR="0040675C">
        <w:t xml:space="preserve">.  </w:t>
      </w:r>
      <w:r w:rsidR="000E77E4" w:rsidRPr="00B12148">
        <w:t>Mr</w:t>
      </w:r>
      <w:r w:rsidR="0040675C">
        <w:t> </w:t>
      </w:r>
      <w:r w:rsidR="000E77E4" w:rsidRPr="00B12148">
        <w:t>Rovere now seeks access only to documents that the Department says are exempt under s</w:t>
      </w:r>
      <w:r w:rsidR="0040675C">
        <w:t> </w:t>
      </w:r>
      <w:r w:rsidR="000E77E4" w:rsidRPr="00B12148">
        <w:t xml:space="preserve">47C of the </w:t>
      </w:r>
      <w:r w:rsidR="0040675C">
        <w:t xml:space="preserve">FOI Act.  </w:t>
      </w:r>
      <w:r w:rsidR="00DB4FF1" w:rsidRPr="00B12148">
        <w:t xml:space="preserve">At the hearing, the Department provided a schedule of </w:t>
      </w:r>
      <w:r w:rsidR="000E77E4" w:rsidRPr="00B12148">
        <w:t xml:space="preserve">the </w:t>
      </w:r>
      <w:r w:rsidR="00DB4FF1" w:rsidRPr="00B12148">
        <w:t xml:space="preserve">documents </w:t>
      </w:r>
      <w:r w:rsidR="000E77E4" w:rsidRPr="00B12148">
        <w:t>that are still in dispute</w:t>
      </w:r>
      <w:r w:rsidR="001F4DB6" w:rsidRPr="00B12148">
        <w:t xml:space="preserve">: </w:t>
      </w:r>
      <w:r w:rsidR="00DB4FF1" w:rsidRPr="00B12148">
        <w:t>45</w:t>
      </w:r>
      <w:r w:rsidR="0040675C">
        <w:t> </w:t>
      </w:r>
      <w:r w:rsidR="00DB4FF1" w:rsidRPr="00B12148">
        <w:t>documents</w:t>
      </w:r>
      <w:r w:rsidR="00A05603" w:rsidRPr="00B12148">
        <w:t>, including 34</w:t>
      </w:r>
      <w:r w:rsidR="0040675C">
        <w:t> </w:t>
      </w:r>
      <w:r w:rsidR="00DB4FF1" w:rsidRPr="00B12148">
        <w:t xml:space="preserve">spreadsheets, </w:t>
      </w:r>
      <w:r w:rsidR="007B4586" w:rsidRPr="00B12148">
        <w:t xml:space="preserve">comprising </w:t>
      </w:r>
      <w:r w:rsidR="00064067" w:rsidRPr="00B12148">
        <w:t>7932</w:t>
      </w:r>
      <w:r w:rsidR="0040675C">
        <w:t> </w:t>
      </w:r>
      <w:r w:rsidR="007B4586" w:rsidRPr="00B12148">
        <w:t>pages</w:t>
      </w:r>
      <w:r w:rsidR="00D964B9" w:rsidRPr="00B12148">
        <w:t>.</w:t>
      </w:r>
    </w:p>
    <w:bookmarkEnd w:id="10"/>
    <w:p w:rsidR="009D1687" w:rsidRPr="00B12148" w:rsidRDefault="00AB57A3" w:rsidP="009D1687">
      <w:pPr>
        <w:pStyle w:val="Heading2"/>
      </w:pPr>
      <w:r w:rsidRPr="00B12148">
        <w:t>Issue</w:t>
      </w:r>
    </w:p>
    <w:p w:rsidR="002073D8" w:rsidRPr="00B12148" w:rsidRDefault="009058B4" w:rsidP="00B03E8A">
      <w:pPr>
        <w:pStyle w:val="ListNumber"/>
        <w:keepNext/>
        <w:numPr>
          <w:ilvl w:val="0"/>
          <w:numId w:val="1"/>
        </w:numPr>
      </w:pPr>
      <w:r w:rsidRPr="00B12148">
        <w:t xml:space="preserve">The issue in this review is whether </w:t>
      </w:r>
      <w:r w:rsidR="00AB57A3" w:rsidRPr="00B12148">
        <w:t>the 45</w:t>
      </w:r>
      <w:r w:rsidR="0040675C">
        <w:t> </w:t>
      </w:r>
      <w:r w:rsidR="00AB57A3" w:rsidRPr="00B12148">
        <w:t xml:space="preserve">documents in dispute </w:t>
      </w:r>
      <w:r w:rsidR="007154A3" w:rsidRPr="00B12148">
        <w:t xml:space="preserve">(the </w:t>
      </w:r>
      <w:r w:rsidR="007154A3" w:rsidRPr="00B12148">
        <w:rPr>
          <w:b/>
        </w:rPr>
        <w:t>documents</w:t>
      </w:r>
      <w:r w:rsidR="007154A3" w:rsidRPr="00B12148">
        <w:t xml:space="preserve">) </w:t>
      </w:r>
      <w:r w:rsidR="00AB57A3" w:rsidRPr="00B12148">
        <w:t xml:space="preserve">are exempt under the </w:t>
      </w:r>
      <w:r w:rsidR="0040675C">
        <w:t xml:space="preserve">FOI Act.  </w:t>
      </w:r>
      <w:r w:rsidRPr="00B12148">
        <w:t>That depends on whether</w:t>
      </w:r>
      <w:r w:rsidR="002073D8" w:rsidRPr="00B12148">
        <w:t>:</w:t>
      </w:r>
    </w:p>
    <w:p w:rsidR="002073D8" w:rsidRPr="00B12148" w:rsidRDefault="002073D8" w:rsidP="002073D8">
      <w:pPr>
        <w:pStyle w:val="ListBullet"/>
      </w:pPr>
      <w:r w:rsidRPr="00B12148">
        <w:t>the documents are conditionally exempt under s</w:t>
      </w:r>
      <w:r w:rsidR="0040675C">
        <w:t> </w:t>
      </w:r>
      <w:r w:rsidRPr="00B12148">
        <w:t>47C (the deliberative processes exemption); and</w:t>
      </w:r>
    </w:p>
    <w:p w:rsidR="009058B4" w:rsidRPr="00B12148" w:rsidRDefault="002073D8" w:rsidP="002073D8">
      <w:pPr>
        <w:pStyle w:val="ListBullet"/>
      </w:pPr>
      <w:r w:rsidRPr="00B12148">
        <w:t>access to the documents would, on balance, be contrary to the public interest</w:t>
      </w:r>
      <w:r w:rsidR="009058B4" w:rsidRPr="00B12148">
        <w:t>.</w:t>
      </w:r>
    </w:p>
    <w:p w:rsidR="005D729F" w:rsidRPr="00B12148" w:rsidRDefault="005D729F" w:rsidP="005D729F">
      <w:pPr>
        <w:pStyle w:val="ListNumber"/>
        <w:numPr>
          <w:ilvl w:val="0"/>
          <w:numId w:val="1"/>
        </w:numPr>
      </w:pPr>
      <w:r w:rsidRPr="00B12148">
        <w:t>Because of s</w:t>
      </w:r>
      <w:r w:rsidR="0040675C">
        <w:t> </w:t>
      </w:r>
      <w:r w:rsidRPr="00B12148">
        <w:t xml:space="preserve">61(1)(b) of the </w:t>
      </w:r>
      <w:r w:rsidR="0040675C">
        <w:t>FOI Act</w:t>
      </w:r>
      <w:r w:rsidRPr="00B12148">
        <w:t>, the Department has the onus of establishing that its decision was justified.</w:t>
      </w:r>
    </w:p>
    <w:p w:rsidR="00FC647A" w:rsidRPr="00B12148" w:rsidRDefault="00FC647A" w:rsidP="004845B0">
      <w:pPr>
        <w:pStyle w:val="Heading2"/>
      </w:pPr>
      <w:r w:rsidRPr="00B12148">
        <w:t>The FOI Guidelines</w:t>
      </w:r>
    </w:p>
    <w:p w:rsidR="00FC647A" w:rsidRPr="00B12148" w:rsidRDefault="00FC647A" w:rsidP="004845B0">
      <w:pPr>
        <w:pStyle w:val="ListNumber"/>
        <w:keepNext/>
        <w:numPr>
          <w:ilvl w:val="0"/>
          <w:numId w:val="1"/>
        </w:numPr>
      </w:pPr>
      <w:r w:rsidRPr="00B12148">
        <w:t xml:space="preserve">The Australian Information Commissioner has issued guidelines (the </w:t>
      </w:r>
      <w:r w:rsidRPr="00B12148">
        <w:rPr>
          <w:b/>
        </w:rPr>
        <w:t>FOI Guidelines</w:t>
      </w:r>
      <w:r w:rsidRPr="00B12148">
        <w:t>) under s</w:t>
      </w:r>
      <w:r w:rsidR="0040675C">
        <w:t> </w:t>
      </w:r>
      <w:r w:rsidRPr="00B12148">
        <w:t xml:space="preserve">93A(1) of the </w:t>
      </w:r>
      <w:r w:rsidR="0040675C">
        <w:t xml:space="preserve">FOI Act.  </w:t>
      </w:r>
      <w:r w:rsidRPr="00B12148">
        <w:t>Section</w:t>
      </w:r>
      <w:r w:rsidR="0040675C">
        <w:t> </w:t>
      </w:r>
      <w:r w:rsidRPr="00B12148">
        <w:t xml:space="preserve">93A(2) provides that </w:t>
      </w:r>
      <w:r w:rsidR="0040675C">
        <w:t>“</w:t>
      </w:r>
      <w:r w:rsidRPr="00B12148">
        <w:t>regard must be had</w:t>
      </w:r>
      <w:r w:rsidR="0040675C">
        <w:t>”</w:t>
      </w:r>
      <w:r w:rsidRPr="00B12148">
        <w:t xml:space="preserve"> to the FOI Guidelines for the purposes of performing a function, or exercising a power, under the </w:t>
      </w:r>
      <w:r w:rsidR="0040675C">
        <w:t xml:space="preserve">FOI Act.  </w:t>
      </w:r>
      <w:r w:rsidRPr="00B12148">
        <w:t>The FOI Guidelines are not binding, but decision</w:t>
      </w:r>
      <w:r w:rsidR="004E27B5">
        <w:t>-</w:t>
      </w:r>
      <w:r w:rsidRPr="00B12148">
        <w:t>makers, including this Tribunal, should apply the FOI Guidelines unless there are cogent reasons to the contrary</w:t>
      </w:r>
      <w:r w:rsidR="0040675C">
        <w:t xml:space="preserve">.  </w:t>
      </w:r>
      <w:r w:rsidRPr="00B12148">
        <w:t>This was the conclusion reached by Jarvis</w:t>
      </w:r>
      <w:r w:rsidR="0040675C">
        <w:t> </w:t>
      </w:r>
      <w:r w:rsidRPr="00B12148">
        <w:t>DP in</w:t>
      </w:r>
      <w:r w:rsidRPr="00B12148">
        <w:rPr>
          <w:i/>
        </w:rPr>
        <w:t xml:space="preserve"> Francis and Department of Defence</w:t>
      </w:r>
      <w:r w:rsidRPr="00B12148">
        <w:t>,</w:t>
      </w:r>
      <w:r w:rsidRPr="0040675C">
        <w:rPr>
          <w:rStyle w:val="FootnoteReference"/>
        </w:rPr>
        <w:footnoteReference w:id="5"/>
      </w:r>
      <w:r w:rsidRPr="00B12148">
        <w:t xml:space="preserve"> citing </w:t>
      </w:r>
      <w:r w:rsidRPr="00B12148">
        <w:rPr>
          <w:i/>
        </w:rPr>
        <w:t>Drake and Minister for Immigration and Ethnic Affairs (No</w:t>
      </w:r>
      <w:r w:rsidR="0040675C">
        <w:rPr>
          <w:i/>
        </w:rPr>
        <w:t> </w:t>
      </w:r>
      <w:r w:rsidRPr="00B12148">
        <w:rPr>
          <w:i/>
        </w:rPr>
        <w:t>2)</w:t>
      </w:r>
      <w:r w:rsidRPr="00B12148">
        <w:t>.</w:t>
      </w:r>
      <w:r w:rsidRPr="0040675C">
        <w:rPr>
          <w:rStyle w:val="FootnoteReference"/>
        </w:rPr>
        <w:footnoteReference w:id="6"/>
      </w:r>
      <w:r w:rsidR="0055161A">
        <w:t xml:space="preserve"> </w:t>
      </w:r>
      <w:r w:rsidR="0040675C">
        <w:t xml:space="preserve"> </w:t>
      </w:r>
      <w:r w:rsidRPr="00B12148">
        <w:t xml:space="preserve">In </w:t>
      </w:r>
      <w:r w:rsidRPr="00B12148">
        <w:rPr>
          <w:i/>
        </w:rPr>
        <w:t>Secretary, Department of Prime Minister and Cabinet and Secretary, Department of Infrastructure and Regional Development</w:t>
      </w:r>
      <w:r w:rsidRPr="00B12148">
        <w:t>, Forgie</w:t>
      </w:r>
      <w:r w:rsidR="0040675C">
        <w:t> </w:t>
      </w:r>
      <w:r w:rsidRPr="00B12148">
        <w:t>DP disagreed with Jarvis</w:t>
      </w:r>
      <w:r w:rsidR="0040675C">
        <w:t> </w:t>
      </w:r>
      <w:r w:rsidRPr="00B12148">
        <w:t>DP</w:t>
      </w:r>
      <w:r w:rsidR="0040675C">
        <w:t>’</w:t>
      </w:r>
      <w:r w:rsidRPr="00B12148">
        <w:t>s conclusion.</w:t>
      </w:r>
      <w:r w:rsidRPr="0040675C">
        <w:rPr>
          <w:rStyle w:val="FootnoteReference"/>
        </w:rPr>
        <w:footnoteReference w:id="7"/>
      </w:r>
      <w:r w:rsidR="0055161A">
        <w:t xml:space="preserve"> </w:t>
      </w:r>
      <w:r w:rsidR="0040675C">
        <w:t xml:space="preserve"> </w:t>
      </w:r>
      <w:r w:rsidRPr="00B12148">
        <w:t>She concluded, instead, that:</w:t>
      </w:r>
    </w:p>
    <w:p w:rsidR="00FC647A" w:rsidRPr="00B12148" w:rsidRDefault="00FC647A" w:rsidP="00FC647A">
      <w:pPr>
        <w:pStyle w:val="Quote"/>
      </w:pPr>
      <w:r w:rsidRPr="00B12148">
        <w:t xml:space="preserve">The regard that [the Tribunal] has to the Guidelines must be tempered by its obligation to make correct decisions under the </w:t>
      </w:r>
      <w:r w:rsidR="0040675C">
        <w:t xml:space="preserve">FOI Act.  </w:t>
      </w:r>
      <w:r w:rsidRPr="00B12148">
        <w:t>Its obligation to do so must necessarily outweigh the regard it is required to have to the Guidelines issued under s</w:t>
      </w:r>
      <w:r w:rsidR="0040675C">
        <w:t> </w:t>
      </w:r>
      <w:r w:rsidRPr="00B12148">
        <w:t>93A.</w:t>
      </w:r>
      <w:r w:rsidRPr="0040675C">
        <w:rPr>
          <w:rStyle w:val="FootnoteReference"/>
        </w:rPr>
        <w:footnoteReference w:id="8"/>
      </w:r>
    </w:p>
    <w:p w:rsidR="00FC647A" w:rsidRPr="00B12148" w:rsidRDefault="00FC647A" w:rsidP="00FC647A">
      <w:pPr>
        <w:pStyle w:val="FollowingPara"/>
      </w:pPr>
      <w:r w:rsidRPr="00B12148">
        <w:t>With respect, I</w:t>
      </w:r>
      <w:r w:rsidR="0040675C">
        <w:t> </w:t>
      </w:r>
      <w:r w:rsidRPr="00B12148">
        <w:t>do not see any inconsistency between these two conclusions</w:t>
      </w:r>
      <w:r w:rsidR="0040675C">
        <w:t xml:space="preserve">.  </w:t>
      </w:r>
      <w:r w:rsidRPr="00B12148">
        <w:t>Nonetheless, I</w:t>
      </w:r>
      <w:r w:rsidR="0040675C">
        <w:t> </w:t>
      </w:r>
      <w:r w:rsidRPr="00B12148">
        <w:t>prefer Jarvis</w:t>
      </w:r>
      <w:r w:rsidR="0040675C">
        <w:t> </w:t>
      </w:r>
      <w:r w:rsidRPr="00B12148">
        <w:t>DP</w:t>
      </w:r>
      <w:r w:rsidR="0040675C">
        <w:t>’</w:t>
      </w:r>
      <w:r w:rsidRPr="00B12148">
        <w:t>s approach—the Tribunal should apply the FOI Guidelines unless there are cogent reasons to the contrary—because it encourages consistency in decision making</w:t>
      </w:r>
      <w:r w:rsidR="0040675C">
        <w:t xml:space="preserve">.  </w:t>
      </w:r>
      <w:r w:rsidRPr="00B12148">
        <w:t>Encouraging consistency in decision making was the reason why Brennan</w:t>
      </w:r>
      <w:r w:rsidR="0040675C">
        <w:t> </w:t>
      </w:r>
      <w:r w:rsidRPr="00B12148">
        <w:t xml:space="preserve">J concluded, in </w:t>
      </w:r>
      <w:r w:rsidRPr="00B12148">
        <w:rPr>
          <w:i/>
        </w:rPr>
        <w:t>Drake</w:t>
      </w:r>
      <w:r w:rsidRPr="00B12148">
        <w:t>, that the Tribunal should apply lawful ministerial policy unless there are cogent reasons to the contrary.</w:t>
      </w:r>
      <w:r w:rsidRPr="0040675C">
        <w:rPr>
          <w:rStyle w:val="FootnoteReference"/>
        </w:rPr>
        <w:footnoteReference w:id="9"/>
      </w:r>
      <w:r w:rsidR="0055161A">
        <w:t xml:space="preserve"> </w:t>
      </w:r>
      <w:r w:rsidR="0040675C">
        <w:t xml:space="preserve"> </w:t>
      </w:r>
      <w:r w:rsidRPr="00B12148">
        <w:t>The FOI Guidelines are made under legislation by an independent statutory office</w:t>
      </w:r>
      <w:r w:rsidR="004E27B5">
        <w:t>-</w:t>
      </w:r>
      <w:r w:rsidRPr="00B12148">
        <w:t>holder</w:t>
      </w:r>
      <w:r w:rsidR="0040675C">
        <w:t xml:space="preserve">.  </w:t>
      </w:r>
      <w:r w:rsidRPr="00B12148">
        <w:t>They should be given appropriate weight.</w:t>
      </w:r>
      <w:r w:rsidRPr="0040675C">
        <w:rPr>
          <w:rStyle w:val="FootnoteReference"/>
        </w:rPr>
        <w:footnoteReference w:id="10"/>
      </w:r>
    </w:p>
    <w:p w:rsidR="007401B0" w:rsidRPr="00B12148" w:rsidRDefault="007401B0" w:rsidP="007401B0">
      <w:pPr>
        <w:pStyle w:val="Heading2"/>
      </w:pPr>
      <w:r w:rsidRPr="00B12148">
        <w:t>The documents</w:t>
      </w:r>
    </w:p>
    <w:p w:rsidR="006C36FD" w:rsidRPr="00B12148" w:rsidRDefault="007401B0" w:rsidP="007401B0">
      <w:pPr>
        <w:pStyle w:val="ListNumber"/>
        <w:numPr>
          <w:ilvl w:val="0"/>
          <w:numId w:val="1"/>
        </w:numPr>
      </w:pPr>
      <w:r w:rsidRPr="00B12148">
        <w:t xml:space="preserve">At the hearing, the Department voluntarily provided </w:t>
      </w:r>
      <w:r w:rsidR="006C36FD" w:rsidRPr="00B12148">
        <w:t>electronic copies</w:t>
      </w:r>
      <w:r w:rsidRPr="00B12148">
        <w:t xml:space="preserve"> of the documents to the Tribunal.</w:t>
      </w:r>
      <w:r w:rsidRPr="0040675C">
        <w:rPr>
          <w:rStyle w:val="FootnoteReference"/>
        </w:rPr>
        <w:footnoteReference w:id="11"/>
      </w:r>
      <w:r w:rsidR="0055161A">
        <w:t xml:space="preserve"> </w:t>
      </w:r>
      <w:r w:rsidR="0040675C">
        <w:t xml:space="preserve"> </w:t>
      </w:r>
      <w:r w:rsidR="00CA6ACE" w:rsidRPr="00B12148">
        <w:t>I</w:t>
      </w:r>
      <w:r w:rsidR="0040675C">
        <w:t> </w:t>
      </w:r>
      <w:r w:rsidR="00CA6ACE" w:rsidRPr="00B12148">
        <w:t>have examined those copies</w:t>
      </w:r>
      <w:r w:rsidR="004D3D15" w:rsidRPr="00B12148">
        <w:t>.</w:t>
      </w:r>
    </w:p>
    <w:p w:rsidR="00DE0B08" w:rsidRPr="00B12148" w:rsidRDefault="00DE0B08" w:rsidP="00BF7480">
      <w:pPr>
        <w:pStyle w:val="ListNumber"/>
        <w:keepNext/>
        <w:numPr>
          <w:ilvl w:val="0"/>
          <w:numId w:val="1"/>
        </w:numPr>
      </w:pPr>
      <w:r w:rsidRPr="00B12148">
        <w:t>The only witness in this review was Mr</w:t>
      </w:r>
      <w:r w:rsidR="0040675C">
        <w:t> </w:t>
      </w:r>
      <w:r w:rsidRPr="00B12148">
        <w:t>Robert Griew, the Associate Secretary, Higher Education, Research and International in the Department</w:t>
      </w:r>
      <w:r w:rsidR="0040675C">
        <w:t xml:space="preserve">.  </w:t>
      </w:r>
      <w:r w:rsidR="00BC1957" w:rsidRPr="00B12148">
        <w:t>Mr</w:t>
      </w:r>
      <w:r w:rsidR="0040675C">
        <w:t> </w:t>
      </w:r>
      <w:r w:rsidRPr="00B12148">
        <w:t>Griew provided a statement, and gave evidence at the hearing</w:t>
      </w:r>
      <w:r w:rsidR="0040675C">
        <w:t xml:space="preserve">.  </w:t>
      </w:r>
      <w:r w:rsidR="00BC1957" w:rsidRPr="00B12148">
        <w:t>Mr</w:t>
      </w:r>
      <w:r w:rsidR="0040675C">
        <w:t> </w:t>
      </w:r>
      <w:r w:rsidR="005E345C" w:rsidRPr="00B12148">
        <w:t xml:space="preserve">Griew described the documents as falling into </w:t>
      </w:r>
      <w:r w:rsidR="00606605" w:rsidRPr="00B12148">
        <w:t>five</w:t>
      </w:r>
      <w:r w:rsidR="005E345C" w:rsidRPr="00B12148">
        <w:t xml:space="preserve"> categories:</w:t>
      </w:r>
    </w:p>
    <w:p w:rsidR="005E345C" w:rsidRPr="00B12148" w:rsidRDefault="005E345C" w:rsidP="005E345C">
      <w:pPr>
        <w:pStyle w:val="ListBullet"/>
      </w:pPr>
      <w:r w:rsidRPr="00B12148">
        <w:t>question ti</w:t>
      </w:r>
      <w:r w:rsidR="00886B21" w:rsidRPr="00B12148">
        <w:t>me briefs (2</w:t>
      </w:r>
      <w:r w:rsidR="0040675C">
        <w:t> </w:t>
      </w:r>
      <w:r w:rsidRPr="00B12148">
        <w:t>documents);</w:t>
      </w:r>
    </w:p>
    <w:p w:rsidR="005E345C" w:rsidRPr="00B12148" w:rsidRDefault="00886B21" w:rsidP="005E345C">
      <w:pPr>
        <w:pStyle w:val="ListBullet"/>
      </w:pPr>
      <w:r w:rsidRPr="00B12148">
        <w:t>hypothetical scenarios</w:t>
      </w:r>
      <w:r w:rsidR="0040675C">
        <w:t> </w:t>
      </w:r>
      <w:r w:rsidR="005E345C" w:rsidRPr="00B12148">
        <w:t>(6)</w:t>
      </w:r>
      <w:r w:rsidRPr="00B12148">
        <w:t>;</w:t>
      </w:r>
    </w:p>
    <w:p w:rsidR="005E345C" w:rsidRPr="00B12148" w:rsidRDefault="005E345C" w:rsidP="005E345C">
      <w:pPr>
        <w:pStyle w:val="ListBullet"/>
      </w:pPr>
      <w:r w:rsidRPr="00B12148">
        <w:t>assessment of impact of deregulati</w:t>
      </w:r>
      <w:r w:rsidR="00886B21" w:rsidRPr="00B12148">
        <w:t>on on regional higher education</w:t>
      </w:r>
      <w:r w:rsidR="0040675C">
        <w:t> </w:t>
      </w:r>
      <w:r w:rsidRPr="00B12148">
        <w:t>(1)</w:t>
      </w:r>
      <w:r w:rsidR="00886B21" w:rsidRPr="00B12148">
        <w:t>;</w:t>
      </w:r>
    </w:p>
    <w:p w:rsidR="005E345C" w:rsidRPr="00B12148" w:rsidRDefault="00886B21" w:rsidP="005E345C">
      <w:pPr>
        <w:pStyle w:val="ListBullet"/>
      </w:pPr>
      <w:r w:rsidRPr="00B12148">
        <w:t>2019 graduate modelling</w:t>
      </w:r>
      <w:r w:rsidR="0040675C">
        <w:t> </w:t>
      </w:r>
      <w:r w:rsidR="005E345C" w:rsidRPr="00B12148">
        <w:t>(2)</w:t>
      </w:r>
      <w:r w:rsidRPr="00B12148">
        <w:t>; and</w:t>
      </w:r>
    </w:p>
    <w:p w:rsidR="005E345C" w:rsidRPr="00B12148" w:rsidRDefault="00886B21" w:rsidP="00BF7480">
      <w:pPr>
        <w:pStyle w:val="ListBullet"/>
        <w:keepNext/>
      </w:pPr>
      <w:r w:rsidRPr="00B12148">
        <w:t>spreadsheets</w:t>
      </w:r>
      <w:r w:rsidR="0040675C">
        <w:t> </w:t>
      </w:r>
      <w:r w:rsidR="005E345C" w:rsidRPr="00B12148">
        <w:t>(34)</w:t>
      </w:r>
      <w:r w:rsidRPr="00B12148">
        <w:t>.</w:t>
      </w:r>
    </w:p>
    <w:p w:rsidR="005E345C" w:rsidRPr="00B12148" w:rsidRDefault="00BC1957" w:rsidP="0069455C">
      <w:pPr>
        <w:pStyle w:val="FollowingPara"/>
      </w:pPr>
      <w:r w:rsidRPr="00B12148">
        <w:t>I</w:t>
      </w:r>
      <w:r w:rsidR="0040675C">
        <w:t> </w:t>
      </w:r>
      <w:r w:rsidR="0069455C" w:rsidRPr="00B12148">
        <w:t xml:space="preserve">think that that is an accurate categorisation </w:t>
      </w:r>
      <w:r w:rsidR="0080515B" w:rsidRPr="00B12148">
        <w:t>of the documents.</w:t>
      </w:r>
    </w:p>
    <w:p w:rsidR="004D3D15" w:rsidRPr="00B12148" w:rsidRDefault="004D3D15" w:rsidP="00A64713">
      <w:pPr>
        <w:pStyle w:val="ListNumber"/>
        <w:keepNext/>
        <w:numPr>
          <w:ilvl w:val="0"/>
          <w:numId w:val="1"/>
        </w:numPr>
      </w:pPr>
      <w:bookmarkStart w:id="11" w:name="_Ref421871062"/>
      <w:r w:rsidRPr="00B12148">
        <w:t>In his statement, Mr</w:t>
      </w:r>
      <w:r w:rsidR="0040675C">
        <w:t> </w:t>
      </w:r>
      <w:r w:rsidRPr="00B12148">
        <w:t xml:space="preserve">Griew referred to the documents </w:t>
      </w:r>
      <w:r w:rsidR="00526C16" w:rsidRPr="00B12148">
        <w:t xml:space="preserve">as containing </w:t>
      </w:r>
      <w:r w:rsidR="0040675C">
        <w:t>“</w:t>
      </w:r>
      <w:r w:rsidR="00526C16" w:rsidRPr="00B12148">
        <w:t>modelling and projections across a range of scenarios</w:t>
      </w:r>
      <w:r w:rsidR="0040675C">
        <w:t xml:space="preserve">”.  </w:t>
      </w:r>
      <w:r w:rsidR="00526C16" w:rsidRPr="00B12148">
        <w:t>At the hearing, he explained that he meant that the documents contained modelling in the ordinary sense, not in the technical, econometric sense</w:t>
      </w:r>
      <w:r w:rsidR="00BD2DBF" w:rsidRPr="00B12148">
        <w:t>:</w:t>
      </w:r>
      <w:bookmarkEnd w:id="11"/>
    </w:p>
    <w:p w:rsidR="00526C16" w:rsidRPr="00B12148" w:rsidRDefault="00526C16" w:rsidP="0070121A">
      <w:pPr>
        <w:pStyle w:val="Quote"/>
      </w:pPr>
      <w:r w:rsidRPr="00B12148">
        <w:t>So the best way to describe the difference would be if you make a set of assumptions, albeit informed assumptions, about, for example, what fees universities might charge in a deregulated market, and then you do a whole lot of calculations about the implications of those for students, for revenue for universities, then in a sense that</w:t>
      </w:r>
      <w:r w:rsidR="0040675C">
        <w:t>’</w:t>
      </w:r>
      <w:r w:rsidRPr="00B12148">
        <w:t>s modelling</w:t>
      </w:r>
      <w:r w:rsidR="0040675C">
        <w:t xml:space="preserve">.  </w:t>
      </w:r>
      <w:r w:rsidRPr="00B12148">
        <w:t>It</w:t>
      </w:r>
      <w:r w:rsidR="0040675C">
        <w:t>’</w:t>
      </w:r>
      <w:r w:rsidRPr="00B12148">
        <w:t>s a set of calculations based on an assumption</w:t>
      </w:r>
      <w:r w:rsidR="0040675C">
        <w:t xml:space="preserve">.  </w:t>
      </w:r>
      <w:r w:rsidRPr="00B12148">
        <w:t>The alternative meaning of modelling is the more technical meaning where you engage the discipline of econometric modelling and you try and estimate what those fees will be on a kind of technical discipline</w:t>
      </w:r>
      <w:r w:rsidR="004E27B5">
        <w:t>-</w:t>
      </w:r>
      <w:r w:rsidRPr="00B12148">
        <w:t>informed basis</w:t>
      </w:r>
      <w:r w:rsidR="0040675C">
        <w:t xml:space="preserve">.  </w:t>
      </w:r>
      <w:r w:rsidRPr="00B12148">
        <w:t>What we</w:t>
      </w:r>
      <w:r w:rsidR="0040675C">
        <w:t>’</w:t>
      </w:r>
      <w:r w:rsidRPr="00B12148">
        <w:t>ve done consistently is the former</w:t>
      </w:r>
      <w:r w:rsidR="0040675C">
        <w:t xml:space="preserve">.  </w:t>
      </w:r>
      <w:r w:rsidRPr="00B12148">
        <w:t>We</w:t>
      </w:r>
      <w:r w:rsidR="0040675C">
        <w:t>’</w:t>
      </w:r>
      <w:r w:rsidRPr="00B12148">
        <w:t>ve made assumptions based on our best estimates</w:t>
      </w:r>
      <w:r w:rsidR="0040675C">
        <w:t xml:space="preserve">.  </w:t>
      </w:r>
      <w:r w:rsidRPr="00B12148">
        <w:t>We haven</w:t>
      </w:r>
      <w:r w:rsidR="0040675C">
        <w:t>’</w:t>
      </w:r>
      <w:r w:rsidRPr="00B12148">
        <w:t>t attempted to engage in econometric modelling of the fees</w:t>
      </w:r>
      <w:r w:rsidR="0040675C">
        <w:t xml:space="preserve">.  </w:t>
      </w:r>
      <w:r w:rsidRPr="00B12148">
        <w:t>So the documents in contention where they include fee estimates are our estimates</w:t>
      </w:r>
      <w:r w:rsidR="0040675C">
        <w:t xml:space="preserve">.  </w:t>
      </w:r>
      <w:r w:rsidRPr="00B12148">
        <w:t>They</w:t>
      </w:r>
      <w:r w:rsidR="0040675C">
        <w:t>’</w:t>
      </w:r>
      <w:r w:rsidRPr="00B12148">
        <w:t>re not the result of modelling</w:t>
      </w:r>
      <w:r w:rsidR="0040675C">
        <w:t xml:space="preserve">.  </w:t>
      </w:r>
      <w:r w:rsidRPr="00B12148">
        <w:t>They</w:t>
      </w:r>
      <w:r w:rsidR="0040675C">
        <w:t>’</w:t>
      </w:r>
      <w:r w:rsidRPr="00B12148">
        <w:t>re the beginning point of a set of calculations.</w:t>
      </w:r>
    </w:p>
    <w:p w:rsidR="00A64713" w:rsidRPr="00B12148" w:rsidRDefault="00035D7F" w:rsidP="00A64713">
      <w:pPr>
        <w:pStyle w:val="FollowingPara"/>
      </w:pPr>
      <w:r w:rsidRPr="00B12148">
        <w:t>I</w:t>
      </w:r>
      <w:r w:rsidR="0040675C">
        <w:t> </w:t>
      </w:r>
      <w:r w:rsidR="00A64713" w:rsidRPr="00B12148">
        <w:t>accept this evidence</w:t>
      </w:r>
      <w:r w:rsidR="002176B6" w:rsidRPr="00B12148">
        <w:t xml:space="preserve">, noting that </w:t>
      </w:r>
      <w:r w:rsidR="00776278" w:rsidRPr="00B12148">
        <w:t>it assists arguments ab</w:t>
      </w:r>
      <w:r w:rsidR="00913F8A" w:rsidRPr="00B12148">
        <w:t xml:space="preserve">out different aspects of the public interest made by both </w:t>
      </w:r>
      <w:r w:rsidR="00776278" w:rsidRPr="00B12148">
        <w:t>the Department and Mr</w:t>
      </w:r>
      <w:r w:rsidR="0040675C">
        <w:t> </w:t>
      </w:r>
      <w:r w:rsidR="00776278" w:rsidRPr="00B12148">
        <w:t>Rovere</w:t>
      </w:r>
      <w:r w:rsidR="00D31246" w:rsidRPr="00B12148">
        <w:t>.</w:t>
      </w:r>
    </w:p>
    <w:p w:rsidR="00BF7480" w:rsidRPr="00B12148" w:rsidRDefault="00BF7480" w:rsidP="00BF7480">
      <w:pPr>
        <w:pStyle w:val="ListNumber"/>
        <w:numPr>
          <w:ilvl w:val="0"/>
          <w:numId w:val="1"/>
        </w:numPr>
      </w:pPr>
      <w:r w:rsidRPr="00B12148">
        <w:t>The material to which Mr</w:t>
      </w:r>
      <w:r w:rsidR="0040675C">
        <w:t> </w:t>
      </w:r>
      <w:r w:rsidRPr="00B12148">
        <w:t xml:space="preserve">Rovere has been given access is highlighted in the copies </w:t>
      </w:r>
      <w:r w:rsidR="0068159A" w:rsidRPr="00B12148">
        <w:t xml:space="preserve">of the documents </w:t>
      </w:r>
      <w:r w:rsidRPr="00B12148">
        <w:t>that the Department has provided to the Tribunal</w:t>
      </w:r>
      <w:r w:rsidR="0040675C">
        <w:t xml:space="preserve">.  </w:t>
      </w:r>
      <w:r w:rsidRPr="00B12148">
        <w:t>The Department says that the remaining material is exempt</w:t>
      </w:r>
      <w:r w:rsidR="0040675C">
        <w:t xml:space="preserve">.  </w:t>
      </w:r>
      <w:r w:rsidRPr="00B12148">
        <w:t>In considering whether or not the documents are exempt, I</w:t>
      </w:r>
      <w:r w:rsidR="0040675C">
        <w:t> </w:t>
      </w:r>
      <w:r w:rsidRPr="00B12148">
        <w:t>have considered only those parts of the documents to which Mr</w:t>
      </w:r>
      <w:r w:rsidR="0040675C">
        <w:t> </w:t>
      </w:r>
      <w:r w:rsidRPr="00B12148">
        <w:t>Rovere has not been given access—except to the extent that other parts of the documents provide context.</w:t>
      </w:r>
    </w:p>
    <w:p w:rsidR="00E44EEC" w:rsidRPr="00B12148" w:rsidRDefault="00E44EEC" w:rsidP="00E44EEC">
      <w:pPr>
        <w:pStyle w:val="ListNumber"/>
        <w:numPr>
          <w:ilvl w:val="0"/>
          <w:numId w:val="1"/>
        </w:numPr>
      </w:pPr>
      <w:r w:rsidRPr="00B12148">
        <w:t>In these reasons, I</w:t>
      </w:r>
      <w:r w:rsidR="0040675C">
        <w:t> </w:t>
      </w:r>
      <w:r w:rsidRPr="00B12148">
        <w:t>will adopt the shorthand of referring to a document that is wholly comprised of exempt matter</w:t>
      </w:r>
      <w:r w:rsidR="00E7305B" w:rsidRPr="0040675C">
        <w:rPr>
          <w:rStyle w:val="FootnoteReference"/>
        </w:rPr>
        <w:footnoteReference w:id="12"/>
      </w:r>
      <w:r w:rsidRPr="00B12148">
        <w:t xml:space="preserve"> as </w:t>
      </w:r>
      <w:r w:rsidRPr="00B12148">
        <w:rPr>
          <w:b/>
        </w:rPr>
        <w:t>wholly exempt</w:t>
      </w:r>
      <w:r w:rsidRPr="00B12148">
        <w:t xml:space="preserve">; and to a document that contains, but is not wholly comprised of, exempt matter as </w:t>
      </w:r>
      <w:r w:rsidRPr="00B12148">
        <w:rPr>
          <w:b/>
        </w:rPr>
        <w:t>partly exempt</w:t>
      </w:r>
      <w:r w:rsidR="0040675C">
        <w:t xml:space="preserve">.  </w:t>
      </w:r>
      <w:r w:rsidRPr="00B12148">
        <w:t xml:space="preserve">Strictly speaking, </w:t>
      </w:r>
      <w:r w:rsidR="00947ECE" w:rsidRPr="00B12148">
        <w:t xml:space="preserve">under </w:t>
      </w:r>
      <w:r w:rsidRPr="00B12148">
        <w:t>s</w:t>
      </w:r>
      <w:r w:rsidR="0040675C">
        <w:t> </w:t>
      </w:r>
      <w:r w:rsidRPr="00B12148">
        <w:t>31B</w:t>
      </w:r>
      <w:r w:rsidR="00947ECE" w:rsidRPr="00B12148">
        <w:t xml:space="preserve"> of the </w:t>
      </w:r>
      <w:r w:rsidR="0040675C">
        <w:t>FOI Act</w:t>
      </w:r>
      <w:r w:rsidRPr="00B12148">
        <w:t>, the whole document is exempt if one of the exemptions in Division</w:t>
      </w:r>
      <w:r w:rsidR="0040675C">
        <w:t> </w:t>
      </w:r>
      <w:r w:rsidRPr="00B12148">
        <w:t>2 of Part</w:t>
      </w:r>
      <w:r w:rsidR="0040675C">
        <w:t> </w:t>
      </w:r>
      <w:r w:rsidRPr="00B12148">
        <w:t>IV applies; or if one of the conditional exemptions in Division</w:t>
      </w:r>
      <w:r w:rsidR="0040675C">
        <w:t> </w:t>
      </w:r>
      <w:r w:rsidRPr="00B12148">
        <w:t>3 of Part</w:t>
      </w:r>
      <w:r w:rsidR="0040675C">
        <w:t> </w:t>
      </w:r>
      <w:r w:rsidRPr="00B12148">
        <w:t>IV applies and access to the document would, on balance, be contrary to the public interest.</w:t>
      </w:r>
      <w:r w:rsidRPr="0040675C">
        <w:rPr>
          <w:rStyle w:val="FootnoteReference"/>
        </w:rPr>
        <w:footnoteReference w:id="13"/>
      </w:r>
      <w:r w:rsidR="0055161A">
        <w:t xml:space="preserve"> </w:t>
      </w:r>
      <w:r w:rsidR="0040675C">
        <w:t xml:space="preserve"> </w:t>
      </w:r>
      <w:r w:rsidRPr="00B12148">
        <w:t>However, s</w:t>
      </w:r>
      <w:r w:rsidR="0040675C">
        <w:t> </w:t>
      </w:r>
      <w:r w:rsidRPr="00B12148">
        <w:t xml:space="preserve">22 provides for an FOI applicant to be given access to an edited copy of </w:t>
      </w:r>
      <w:r w:rsidR="002E2290" w:rsidRPr="00B12148">
        <w:t>a partly exempt document</w:t>
      </w:r>
      <w:r w:rsidR="00F02343" w:rsidRPr="00B12148">
        <w:t xml:space="preserve">, </w:t>
      </w:r>
      <w:r w:rsidRPr="00B12148">
        <w:t xml:space="preserve">modified by the deletion of </w:t>
      </w:r>
      <w:r w:rsidR="00F02343" w:rsidRPr="00B12148">
        <w:t xml:space="preserve">the </w:t>
      </w:r>
      <w:r w:rsidRPr="00B12148">
        <w:t>exempt matter.</w:t>
      </w:r>
    </w:p>
    <w:p w:rsidR="005E345C" w:rsidRPr="00B12148" w:rsidRDefault="0080515B" w:rsidP="00DE0B08">
      <w:pPr>
        <w:pStyle w:val="ListNumber"/>
        <w:numPr>
          <w:ilvl w:val="0"/>
          <w:numId w:val="1"/>
        </w:numPr>
      </w:pPr>
      <w:r w:rsidRPr="00B12148">
        <w:t>The Department says that all of the spreadsheets are wholly exempt,</w:t>
      </w:r>
      <w:bookmarkStart w:id="12" w:name="_Ref421713584"/>
      <w:r w:rsidRPr="0040675C">
        <w:rPr>
          <w:rStyle w:val="FootnoteReference"/>
        </w:rPr>
        <w:footnoteReference w:id="14"/>
      </w:r>
      <w:bookmarkEnd w:id="12"/>
      <w:r w:rsidRPr="00B12148">
        <w:t xml:space="preserve"> that five of the other documents are wholly exempt, and that the remaining six documents are partly exempt</w:t>
      </w:r>
      <w:r w:rsidR="00D964B9" w:rsidRPr="00B12148">
        <w:t>.</w:t>
      </w:r>
    </w:p>
    <w:p w:rsidR="003F6924" w:rsidRPr="00B12148" w:rsidRDefault="003F6924" w:rsidP="003F6924">
      <w:pPr>
        <w:pStyle w:val="Heading2"/>
      </w:pPr>
      <w:r w:rsidRPr="00B12148">
        <w:t>Are the documents conditionally exempt under the deliberative processes exemption (s</w:t>
      </w:r>
      <w:r w:rsidR="0040675C">
        <w:t> </w:t>
      </w:r>
      <w:r w:rsidRPr="00B12148">
        <w:t>47C)?</w:t>
      </w:r>
    </w:p>
    <w:p w:rsidR="003F6924" w:rsidRPr="00B12148" w:rsidRDefault="003F6924" w:rsidP="003F6924">
      <w:pPr>
        <w:pStyle w:val="ListNumber"/>
        <w:keepNext/>
        <w:numPr>
          <w:ilvl w:val="0"/>
          <w:numId w:val="1"/>
        </w:numPr>
      </w:pPr>
      <w:r w:rsidRPr="00B12148">
        <w:t>Section</w:t>
      </w:r>
      <w:r w:rsidR="0040675C">
        <w:t> </w:t>
      </w:r>
      <w:r w:rsidRPr="00B12148">
        <w:t xml:space="preserve">47C of the </w:t>
      </w:r>
      <w:r w:rsidR="0040675C">
        <w:t>FOI Act</w:t>
      </w:r>
      <w:r w:rsidRPr="00B12148">
        <w:t xml:space="preserve"> provides:</w:t>
      </w:r>
    </w:p>
    <w:p w:rsidR="00626B3D" w:rsidRPr="00B12148" w:rsidRDefault="00626B3D" w:rsidP="00626B3D">
      <w:pPr>
        <w:pStyle w:val="Act-sectionhead"/>
      </w:pPr>
      <w:r w:rsidRPr="00B12148">
        <w:t>47C</w:t>
      </w:r>
      <w:r w:rsidR="0040675C">
        <w:t>  </w:t>
      </w:r>
      <w:r w:rsidRPr="00B12148">
        <w:t>Public interest conditional exemptions—deliberative processes</w:t>
      </w:r>
    </w:p>
    <w:p w:rsidR="00626B3D" w:rsidRPr="00B12148" w:rsidRDefault="00626B3D" w:rsidP="00626B3D">
      <w:pPr>
        <w:pStyle w:val="Act-subsectionhead"/>
      </w:pPr>
      <w:r w:rsidRPr="00B12148">
        <w:t>General rule</w:t>
      </w:r>
    </w:p>
    <w:p w:rsidR="00626B3D" w:rsidRPr="00B12148" w:rsidRDefault="00626B3D" w:rsidP="00E77BA2">
      <w:pPr>
        <w:pStyle w:val="Act-subsection"/>
        <w:keepNext/>
      </w:pPr>
      <w:r w:rsidRPr="00B12148">
        <w:tab/>
        <w:t>(1)</w:t>
      </w:r>
      <w:r w:rsidRPr="00B12148">
        <w:tab/>
      </w:r>
      <w:r w:rsidR="00D50805" w:rsidRPr="00B12148">
        <w:t>A</w:t>
      </w:r>
      <w:r w:rsidR="0040675C">
        <w:t> </w:t>
      </w:r>
      <w:r w:rsidRPr="00B12148">
        <w:t>document is conditionally exempt if its disclosure under this Act would disclose matter (</w:t>
      </w:r>
      <w:r w:rsidRPr="00B12148">
        <w:rPr>
          <w:b/>
          <w:i/>
        </w:rPr>
        <w:t>deliberative matter</w:t>
      </w:r>
      <w:r w:rsidRPr="00B12148">
        <w:t>) in the nature of, or relating to, opinion, advice or recommendation obtained, prepared or recorded, or consultation or deliberation that has taken place, in the course of, or for the purposes of, the deliberative processes involved in the functions of:</w:t>
      </w:r>
    </w:p>
    <w:p w:rsidR="00626B3D" w:rsidRPr="00B12148" w:rsidRDefault="00626B3D" w:rsidP="00626B3D">
      <w:pPr>
        <w:pStyle w:val="Act-paragraph"/>
      </w:pPr>
      <w:r w:rsidRPr="00B12148">
        <w:tab/>
        <w:t>(a)</w:t>
      </w:r>
      <w:r w:rsidRPr="00B12148">
        <w:tab/>
        <w:t>an agency; or</w:t>
      </w:r>
    </w:p>
    <w:p w:rsidR="00626B3D" w:rsidRPr="00B12148" w:rsidRDefault="00626B3D" w:rsidP="00626B3D">
      <w:pPr>
        <w:pStyle w:val="Act-paragraph"/>
      </w:pPr>
      <w:r w:rsidRPr="00B12148">
        <w:tab/>
        <w:t>(b)</w:t>
      </w:r>
      <w:r w:rsidRPr="00B12148">
        <w:tab/>
        <w:t>a Minister; or</w:t>
      </w:r>
    </w:p>
    <w:p w:rsidR="00626B3D" w:rsidRPr="00B12148" w:rsidRDefault="00626B3D" w:rsidP="00626B3D">
      <w:pPr>
        <w:pStyle w:val="Act-paragraph"/>
      </w:pPr>
      <w:r w:rsidRPr="00B12148">
        <w:tab/>
        <w:t>(c)</w:t>
      </w:r>
      <w:r w:rsidRPr="00B12148">
        <w:tab/>
        <w:t>the Government of the Commonwealth; or</w:t>
      </w:r>
    </w:p>
    <w:p w:rsidR="00626B3D" w:rsidRPr="00B12148" w:rsidRDefault="00626B3D" w:rsidP="00626B3D">
      <w:pPr>
        <w:pStyle w:val="Act-paragraph"/>
      </w:pPr>
      <w:r w:rsidRPr="00B12148">
        <w:tab/>
        <w:t>(d)</w:t>
      </w:r>
      <w:r w:rsidRPr="00B12148">
        <w:tab/>
        <w:t>the Government of Norfolk Island.</w:t>
      </w:r>
    </w:p>
    <w:p w:rsidR="00626B3D" w:rsidRPr="00B12148" w:rsidRDefault="00626B3D" w:rsidP="00626B3D">
      <w:pPr>
        <w:pStyle w:val="Act-subsectionhead"/>
      </w:pPr>
      <w:r w:rsidRPr="00B12148">
        <w:t>Exceptions</w:t>
      </w:r>
    </w:p>
    <w:p w:rsidR="00626B3D" w:rsidRPr="00B12148" w:rsidRDefault="00626B3D" w:rsidP="00E77BA2">
      <w:pPr>
        <w:pStyle w:val="Act-subsection"/>
        <w:keepNext/>
      </w:pPr>
      <w:r w:rsidRPr="00B12148">
        <w:tab/>
        <w:t>(2)</w:t>
      </w:r>
      <w:r w:rsidRPr="00B12148">
        <w:tab/>
        <w:t>Deliberative matter does not include either of the following:</w:t>
      </w:r>
    </w:p>
    <w:p w:rsidR="00626B3D" w:rsidRPr="00B12148" w:rsidRDefault="00626B3D" w:rsidP="00626B3D">
      <w:pPr>
        <w:pStyle w:val="Act-paragraph"/>
      </w:pPr>
      <w:r w:rsidRPr="00B12148">
        <w:tab/>
        <w:t>(a)</w:t>
      </w:r>
      <w:r w:rsidRPr="00B12148">
        <w:tab/>
        <w:t xml:space="preserve">operational information (see </w:t>
      </w:r>
      <w:r w:rsidR="00D50805" w:rsidRPr="00B12148">
        <w:t>section</w:t>
      </w:r>
      <w:r w:rsidR="0040675C">
        <w:t> </w:t>
      </w:r>
      <w:r w:rsidR="00D50805" w:rsidRPr="00B12148">
        <w:t>8</w:t>
      </w:r>
      <w:r w:rsidRPr="00B12148">
        <w:t>A);</w:t>
      </w:r>
    </w:p>
    <w:p w:rsidR="00626B3D" w:rsidRPr="00B12148" w:rsidRDefault="00626B3D" w:rsidP="00626B3D">
      <w:pPr>
        <w:pStyle w:val="Act-paragraph"/>
      </w:pPr>
      <w:r w:rsidRPr="00B12148">
        <w:tab/>
        <w:t>(b)</w:t>
      </w:r>
      <w:r w:rsidRPr="00B12148">
        <w:tab/>
        <w:t>purely factual material.</w:t>
      </w:r>
    </w:p>
    <w:p w:rsidR="00626B3D" w:rsidRPr="00B12148" w:rsidRDefault="00626B3D" w:rsidP="00E77BA2">
      <w:pPr>
        <w:pStyle w:val="Act-subsection"/>
        <w:keepNext/>
      </w:pPr>
      <w:r w:rsidRPr="00B12148">
        <w:tab/>
        <w:t>(3)</w:t>
      </w:r>
      <w:r w:rsidRPr="00B12148">
        <w:tab/>
        <w:t>This section does not apply to any of the following:</w:t>
      </w:r>
    </w:p>
    <w:p w:rsidR="00626B3D" w:rsidRPr="00B12148" w:rsidRDefault="00626B3D" w:rsidP="00626B3D">
      <w:pPr>
        <w:pStyle w:val="Act-paragraph"/>
      </w:pPr>
      <w:r w:rsidRPr="00B12148">
        <w:tab/>
        <w:t>(a)</w:t>
      </w:r>
      <w:r w:rsidRPr="00B12148">
        <w:tab/>
        <w:t>reports (including reports concerning the results of studies, surveys or tests) of scientific or technical experts, whether employed within an agency or not, including reports expressing the opinions of such experts on scientific or technical matters;</w:t>
      </w:r>
    </w:p>
    <w:p w:rsidR="00626B3D" w:rsidRPr="00B12148" w:rsidRDefault="00626B3D" w:rsidP="00626B3D">
      <w:pPr>
        <w:pStyle w:val="Act-paragraph"/>
      </w:pPr>
      <w:r w:rsidRPr="00B12148">
        <w:tab/>
        <w:t>(b)</w:t>
      </w:r>
      <w:r w:rsidRPr="00B12148">
        <w:tab/>
        <w:t>reports of a body or organisation, prescribed by the regulations, that is established within an agency;</w:t>
      </w:r>
    </w:p>
    <w:p w:rsidR="00626B3D" w:rsidRPr="00B12148" w:rsidRDefault="00626B3D" w:rsidP="00626B3D">
      <w:pPr>
        <w:pStyle w:val="Act-paragraph"/>
      </w:pPr>
      <w:r w:rsidRPr="00B12148">
        <w:tab/>
        <w:t>(c)</w:t>
      </w:r>
      <w:r w:rsidRPr="00B12148">
        <w:tab/>
        <w:t>the record of, or a formal statement of the reasons for, a final decision given in the exercise of a power or of an adjudicative function.</w:t>
      </w:r>
    </w:p>
    <w:p w:rsidR="00697C39" w:rsidRPr="00B12148" w:rsidRDefault="00750785" w:rsidP="00F12606">
      <w:pPr>
        <w:pStyle w:val="ListNumber"/>
      </w:pPr>
      <w:r w:rsidRPr="00B12148">
        <w:t>Section</w:t>
      </w:r>
      <w:r w:rsidR="0040675C">
        <w:t> </w:t>
      </w:r>
      <w:r w:rsidRPr="00B12148">
        <w:t xml:space="preserve">4(1) defines </w:t>
      </w:r>
      <w:r w:rsidR="0040675C">
        <w:t>“</w:t>
      </w:r>
      <w:r w:rsidR="0086031B" w:rsidRPr="00B12148">
        <w:t>agency</w:t>
      </w:r>
      <w:r w:rsidR="0040675C">
        <w:t>”</w:t>
      </w:r>
      <w:r w:rsidR="0086031B" w:rsidRPr="00B12148">
        <w:t xml:space="preserve"> </w:t>
      </w:r>
      <w:r w:rsidRPr="00B12148">
        <w:t xml:space="preserve">to include </w:t>
      </w:r>
      <w:r w:rsidR="0040675C">
        <w:t>“</w:t>
      </w:r>
      <w:r w:rsidRPr="00B12148">
        <w:t xml:space="preserve">a </w:t>
      </w:r>
      <w:r w:rsidR="0086031B" w:rsidRPr="00B12148">
        <w:t>Department</w:t>
      </w:r>
      <w:r w:rsidR="0040675C">
        <w:t>”</w:t>
      </w:r>
      <w:r w:rsidRPr="00B12148">
        <w:t xml:space="preserve">, which it defines as </w:t>
      </w:r>
      <w:r w:rsidR="0040675C">
        <w:t>“</w:t>
      </w:r>
      <w:r w:rsidRPr="00B12148">
        <w:t>a</w:t>
      </w:r>
      <w:r w:rsidR="0040675C">
        <w:t> </w:t>
      </w:r>
      <w:r w:rsidRPr="00B12148">
        <w:t>Department of the Australian Public Service that corresponds to a Department of State of the Commonwealth</w:t>
      </w:r>
      <w:r w:rsidR="0040675C">
        <w:t xml:space="preserve">”.  </w:t>
      </w:r>
      <w:r w:rsidR="00697C39" w:rsidRPr="00B12148">
        <w:t>T</w:t>
      </w:r>
      <w:r w:rsidR="00F12606" w:rsidRPr="00B12148">
        <w:t>he Department is an agency for the purposes of s</w:t>
      </w:r>
      <w:r w:rsidR="0040675C">
        <w:t> </w:t>
      </w:r>
      <w:r w:rsidR="00F12606" w:rsidRPr="00B12148">
        <w:t>47C(1)(a).</w:t>
      </w:r>
    </w:p>
    <w:p w:rsidR="00106DD2" w:rsidRPr="00B12148" w:rsidRDefault="00697C39" w:rsidP="00F12606">
      <w:pPr>
        <w:pStyle w:val="ListNumber"/>
      </w:pPr>
      <w:r w:rsidRPr="00B12148">
        <w:t>Section</w:t>
      </w:r>
      <w:r w:rsidR="0040675C">
        <w:t> </w:t>
      </w:r>
      <w:r w:rsidRPr="00B12148">
        <w:t xml:space="preserve">8A defines </w:t>
      </w:r>
      <w:r w:rsidR="0040675C">
        <w:t>“</w:t>
      </w:r>
      <w:r w:rsidRPr="00B12148">
        <w:t>operational information</w:t>
      </w:r>
      <w:r w:rsidR="0040675C">
        <w:t>”</w:t>
      </w:r>
      <w:r w:rsidRPr="00B12148">
        <w:t>, which is information that s</w:t>
      </w:r>
      <w:r w:rsidR="0040675C">
        <w:t> </w:t>
      </w:r>
      <w:r w:rsidRPr="00B12148">
        <w:t>8(2)(j) requires agencies to publish</w:t>
      </w:r>
      <w:r w:rsidR="0040675C">
        <w:t xml:space="preserve">.  </w:t>
      </w:r>
      <w:r w:rsidR="003F6924" w:rsidRPr="00B12148">
        <w:t>Mr</w:t>
      </w:r>
      <w:r w:rsidR="0040675C">
        <w:t> </w:t>
      </w:r>
      <w:r w:rsidR="003F6924" w:rsidRPr="00B12148">
        <w:t>Rovere does not contend that the documents include operational information</w:t>
      </w:r>
      <w:r w:rsidR="00903D63" w:rsidRPr="00B12148">
        <w:t xml:space="preserve"> (s</w:t>
      </w:r>
      <w:r w:rsidR="0040675C">
        <w:t> </w:t>
      </w:r>
      <w:r w:rsidR="00903D63" w:rsidRPr="00B12148">
        <w:t>47C(2)(a))</w:t>
      </w:r>
      <w:r w:rsidR="0040675C">
        <w:t xml:space="preserve">.  </w:t>
      </w:r>
      <w:r w:rsidR="007F792A" w:rsidRPr="00B12148">
        <w:t xml:space="preserve">Having </w:t>
      </w:r>
      <w:r w:rsidR="00091D24" w:rsidRPr="00B12148">
        <w:t>ex</w:t>
      </w:r>
      <w:r w:rsidR="007F792A" w:rsidRPr="00B12148">
        <w:t>amined</w:t>
      </w:r>
      <w:r w:rsidR="00BC1957" w:rsidRPr="00B12148">
        <w:t xml:space="preserve"> </w:t>
      </w:r>
      <w:r w:rsidR="00091D24" w:rsidRPr="00B12148">
        <w:t xml:space="preserve">the documents, </w:t>
      </w:r>
      <w:r w:rsidR="005C6E5A" w:rsidRPr="00B12148">
        <w:t>I</w:t>
      </w:r>
      <w:r w:rsidR="0040675C">
        <w:t> </w:t>
      </w:r>
      <w:r w:rsidR="007F792A" w:rsidRPr="00B12148">
        <w:t xml:space="preserve">find </w:t>
      </w:r>
      <w:r w:rsidR="00106DD2" w:rsidRPr="00B12148">
        <w:t xml:space="preserve">that </w:t>
      </w:r>
      <w:r w:rsidR="007F792A" w:rsidRPr="00B12148">
        <w:t xml:space="preserve">they </w:t>
      </w:r>
      <w:r w:rsidR="00BC1957" w:rsidRPr="00B12148">
        <w:t>do not include operational information</w:t>
      </w:r>
      <w:r w:rsidR="00106DD2" w:rsidRPr="00B12148">
        <w:t>.</w:t>
      </w:r>
    </w:p>
    <w:p w:rsidR="00384AC4" w:rsidRPr="00B12148" w:rsidRDefault="004111EF" w:rsidP="004111EF">
      <w:pPr>
        <w:pStyle w:val="ListNumber"/>
      </w:pPr>
      <w:r w:rsidRPr="00B12148">
        <w:t>Mr</w:t>
      </w:r>
      <w:r w:rsidR="0040675C">
        <w:t> </w:t>
      </w:r>
      <w:r w:rsidRPr="00B12148">
        <w:t>Rovere contends that some of the material in the documents is purely factual material</w:t>
      </w:r>
      <w:r w:rsidR="00FA0754" w:rsidRPr="00B12148">
        <w:t xml:space="preserve"> (s</w:t>
      </w:r>
      <w:r w:rsidR="0040675C">
        <w:t> </w:t>
      </w:r>
      <w:r w:rsidR="00FA0754" w:rsidRPr="00B12148">
        <w:t>47C(2)(b))</w:t>
      </w:r>
      <w:r w:rsidR="0040675C">
        <w:t xml:space="preserve">.  </w:t>
      </w:r>
      <w:r w:rsidR="00BC1957" w:rsidRPr="00B12148">
        <w:t>I</w:t>
      </w:r>
      <w:r w:rsidR="0040675C">
        <w:t> </w:t>
      </w:r>
      <w:r w:rsidR="00DE0B08" w:rsidRPr="00B12148">
        <w:t>discuss this below.</w:t>
      </w:r>
    </w:p>
    <w:p w:rsidR="00384AC4" w:rsidRPr="00B12148" w:rsidRDefault="00384AC4" w:rsidP="004111EF">
      <w:pPr>
        <w:pStyle w:val="ListNumber"/>
      </w:pPr>
      <w:r w:rsidRPr="00B12148">
        <w:t>Mr</w:t>
      </w:r>
      <w:r w:rsidR="0040675C">
        <w:t> </w:t>
      </w:r>
      <w:r w:rsidRPr="00B12148">
        <w:t xml:space="preserve">Rovere expressly </w:t>
      </w:r>
      <w:r w:rsidR="004111EF" w:rsidRPr="00B12148">
        <w:t xml:space="preserve">does not </w:t>
      </w:r>
      <w:r w:rsidR="00D90C29" w:rsidRPr="00B12148">
        <w:t xml:space="preserve">contend </w:t>
      </w:r>
      <w:r w:rsidR="004111EF" w:rsidRPr="00B12148">
        <w:t xml:space="preserve">that </w:t>
      </w:r>
      <w:r w:rsidRPr="00B12148">
        <w:t>the documents include reports of scientific or technical experts (s</w:t>
      </w:r>
      <w:r w:rsidR="0040675C">
        <w:t> </w:t>
      </w:r>
      <w:r w:rsidRPr="00B12148">
        <w:t>47C(3)(a))</w:t>
      </w:r>
      <w:r w:rsidR="0040675C">
        <w:t xml:space="preserve">.  </w:t>
      </w:r>
      <w:r w:rsidR="00BE7437" w:rsidRPr="00B12148">
        <w:t xml:space="preserve">Having examined the documents, </w:t>
      </w:r>
      <w:r w:rsidR="005C6E5A" w:rsidRPr="00B12148">
        <w:t>I</w:t>
      </w:r>
      <w:r w:rsidR="0040675C">
        <w:t> </w:t>
      </w:r>
      <w:r w:rsidR="007F792A" w:rsidRPr="00B12148">
        <w:t>find</w:t>
      </w:r>
      <w:r w:rsidR="00BE5290" w:rsidRPr="00B12148">
        <w:t xml:space="preserve"> that</w:t>
      </w:r>
      <w:r w:rsidR="00D9311E" w:rsidRPr="00B12148">
        <w:t xml:space="preserve"> no </w:t>
      </w:r>
      <w:r w:rsidR="00031AEF" w:rsidRPr="00B12148">
        <w:t>paragraph</w:t>
      </w:r>
      <w:r w:rsidR="00D9311E" w:rsidRPr="00B12148">
        <w:t xml:space="preserve"> of </w:t>
      </w:r>
      <w:r w:rsidR="00BE5290" w:rsidRPr="00B12148">
        <w:t>s</w:t>
      </w:r>
      <w:r w:rsidR="0040675C">
        <w:t> </w:t>
      </w:r>
      <w:r w:rsidR="00BE5290" w:rsidRPr="00B12148">
        <w:t>47C(3)</w:t>
      </w:r>
      <w:r w:rsidR="00A1654E" w:rsidRPr="00B12148">
        <w:t xml:space="preserve"> </w:t>
      </w:r>
      <w:r w:rsidR="00D9311E" w:rsidRPr="00B12148">
        <w:t>applies</w:t>
      </w:r>
      <w:r w:rsidRPr="00B12148">
        <w:t>.</w:t>
      </w:r>
    </w:p>
    <w:p w:rsidR="00B45A4E" w:rsidRPr="00B12148" w:rsidRDefault="00B97421" w:rsidP="00B45A4E">
      <w:pPr>
        <w:pStyle w:val="ListNumber"/>
      </w:pPr>
      <w:r w:rsidRPr="00B12148">
        <w:t>So, in this review, w</w:t>
      </w:r>
      <w:r w:rsidR="00697C39" w:rsidRPr="00B12148">
        <w:t>hether the documents are conditionally exempt under s</w:t>
      </w:r>
      <w:r w:rsidR="0040675C">
        <w:t> </w:t>
      </w:r>
      <w:r w:rsidR="00697C39" w:rsidRPr="00B12148">
        <w:t>47C depends on</w:t>
      </w:r>
      <w:r w:rsidR="00B45A4E" w:rsidRPr="00B12148">
        <w:t xml:space="preserve"> the meaning of </w:t>
      </w:r>
      <w:r w:rsidR="0040675C">
        <w:t>“</w:t>
      </w:r>
      <w:r w:rsidR="00B45A4E" w:rsidRPr="00B12148">
        <w:t>deliberative matter</w:t>
      </w:r>
      <w:r w:rsidR="0040675C">
        <w:t>”</w:t>
      </w:r>
      <w:r w:rsidR="00B45A4E" w:rsidRPr="00B12148">
        <w:t xml:space="preserve">, </w:t>
      </w:r>
      <w:r w:rsidR="0040675C">
        <w:t>“</w:t>
      </w:r>
      <w:r w:rsidR="00B45A4E" w:rsidRPr="00B12148">
        <w:t>deliberative processes</w:t>
      </w:r>
      <w:r w:rsidR="0040675C">
        <w:t>”</w:t>
      </w:r>
      <w:r w:rsidR="00B45A4E" w:rsidRPr="00B12148">
        <w:t xml:space="preserve"> and </w:t>
      </w:r>
      <w:r w:rsidR="0040675C">
        <w:t>“</w:t>
      </w:r>
      <w:r w:rsidR="00B45A4E" w:rsidRPr="00B12148">
        <w:t>purely factual material</w:t>
      </w:r>
      <w:r w:rsidR="0040675C">
        <w:t>”</w:t>
      </w:r>
      <w:r w:rsidR="00B45A4E" w:rsidRPr="00B12148">
        <w:t>.</w:t>
      </w:r>
    </w:p>
    <w:p w:rsidR="00CD410D" w:rsidRPr="00B12148" w:rsidRDefault="00CD410D" w:rsidP="00CD410D">
      <w:pPr>
        <w:pStyle w:val="Heading3"/>
      </w:pPr>
      <w:r w:rsidRPr="00B12148">
        <w:t>Deliberative matter and deliberative processes</w:t>
      </w:r>
    </w:p>
    <w:p w:rsidR="00C362DD" w:rsidRPr="00B12148" w:rsidRDefault="00207468" w:rsidP="00187ABE">
      <w:pPr>
        <w:pStyle w:val="ListNumber"/>
        <w:keepNext/>
        <w:numPr>
          <w:ilvl w:val="0"/>
          <w:numId w:val="1"/>
        </w:numPr>
      </w:pPr>
      <w:r w:rsidRPr="00B12148">
        <w:t>The FOI Guidelines point out that:</w:t>
      </w:r>
    </w:p>
    <w:p w:rsidR="004D2475" w:rsidRPr="00B12148" w:rsidRDefault="00C362DD" w:rsidP="00C362DD">
      <w:pPr>
        <w:pStyle w:val="Quote"/>
      </w:pPr>
      <w:r w:rsidRPr="00B12148">
        <w:t>Not every document generated or held by</w:t>
      </w:r>
      <w:r w:rsidR="00207468" w:rsidRPr="00B12148">
        <w:t xml:space="preserve"> a policy area of an agency is </w:t>
      </w:r>
      <w:r w:rsidR="0040675C">
        <w:t>“</w:t>
      </w:r>
      <w:r w:rsidR="00207468" w:rsidRPr="00B12148">
        <w:t>deliberative</w:t>
      </w:r>
      <w:r w:rsidR="0040675C">
        <w:t>”</w:t>
      </w:r>
      <w:r w:rsidRPr="00B12148">
        <w:t xml:space="preserve"> in the sense used in </w:t>
      </w:r>
      <w:r w:rsidR="00802B4E" w:rsidRPr="00B12148">
        <w:t>[s</w:t>
      </w:r>
      <w:r w:rsidR="0040675C">
        <w:t> </w:t>
      </w:r>
      <w:r w:rsidR="00802B4E" w:rsidRPr="00B12148">
        <w:t>47C]</w:t>
      </w:r>
      <w:r w:rsidRPr="00B12148">
        <w:t>, even if it appears to deal with the development or implementation of a policy</w:t>
      </w:r>
      <w:r w:rsidR="0040675C">
        <w:t xml:space="preserve">.  </w:t>
      </w:r>
      <w:r w:rsidR="00845E77" w:rsidRPr="00B12148">
        <w:t>A</w:t>
      </w:r>
      <w:r w:rsidR="0040675C">
        <w:t> </w:t>
      </w:r>
      <w:r w:rsidRPr="00B12148">
        <w:t>decision maker should ensure that the content of a document strictly conforms wit</w:t>
      </w:r>
      <w:r w:rsidR="00802B4E" w:rsidRPr="00B12148">
        <w:t xml:space="preserve">h the criteria for identifying </w:t>
      </w:r>
      <w:r w:rsidR="0040675C">
        <w:t>“</w:t>
      </w:r>
      <w:r w:rsidR="00802B4E" w:rsidRPr="00B12148">
        <w:t>deliberative matter</w:t>
      </w:r>
      <w:r w:rsidR="0040675C">
        <w:t>”</w:t>
      </w:r>
      <w:r w:rsidRPr="00B12148">
        <w:t xml:space="preserve"> before claiming this conditional exemption …</w:t>
      </w:r>
    </w:p>
    <w:p w:rsidR="004D2475" w:rsidRPr="00B12148" w:rsidRDefault="004D2475" w:rsidP="00C362DD">
      <w:pPr>
        <w:pStyle w:val="Quote"/>
      </w:pPr>
      <w:r w:rsidRPr="00B12148">
        <w:t>…</w:t>
      </w:r>
    </w:p>
    <w:p w:rsidR="00C362DD" w:rsidRPr="00B12148" w:rsidRDefault="0064174C" w:rsidP="00C362DD">
      <w:pPr>
        <w:pStyle w:val="Quote"/>
      </w:pPr>
      <w:r w:rsidRPr="00B12148">
        <w:t>The presence or absence of particular words or phrases is not a reliable indication of whether a document includes deliberative matter</w:t>
      </w:r>
      <w:r w:rsidR="0040675C">
        <w:t xml:space="preserve">.  </w:t>
      </w:r>
      <w:r w:rsidRPr="00B12148">
        <w:t>The agency should assess the substance and content of the document before concluding it includes deliberative matter</w:t>
      </w:r>
      <w:r w:rsidR="0040675C">
        <w:t xml:space="preserve">.  </w:t>
      </w:r>
      <w:r w:rsidRPr="00B12148">
        <w:t>Similarly, the format or class of the document, such as a ministerial brief or submission, does not automatically designate the content as deliberative matter.</w:t>
      </w:r>
      <w:r w:rsidR="00C362DD" w:rsidRPr="0040675C">
        <w:rPr>
          <w:rStyle w:val="FootnoteReference"/>
        </w:rPr>
        <w:footnoteReference w:id="15"/>
      </w:r>
    </w:p>
    <w:p w:rsidR="00CD410D" w:rsidRPr="00B12148" w:rsidRDefault="008973E0" w:rsidP="00187ABE">
      <w:pPr>
        <w:pStyle w:val="FollowingPara"/>
        <w:keepNext/>
      </w:pPr>
      <w:r w:rsidRPr="00B12148">
        <w:t>I</w:t>
      </w:r>
      <w:r w:rsidR="00CD410D" w:rsidRPr="00B12148">
        <w:t xml:space="preserve">n </w:t>
      </w:r>
      <w:r w:rsidR="00CD410D" w:rsidRPr="00B12148">
        <w:rPr>
          <w:i/>
        </w:rPr>
        <w:t>Parnell and Attorney</w:t>
      </w:r>
      <w:r w:rsidR="004E27B5">
        <w:rPr>
          <w:i/>
        </w:rPr>
        <w:t>-</w:t>
      </w:r>
      <w:r w:rsidR="00CD410D" w:rsidRPr="00B12148">
        <w:rPr>
          <w:i/>
        </w:rPr>
        <w:t>General</w:t>
      </w:r>
      <w:r w:rsidR="0040675C">
        <w:rPr>
          <w:i/>
        </w:rPr>
        <w:t>’</w:t>
      </w:r>
      <w:r w:rsidR="00CD410D" w:rsidRPr="00B12148">
        <w:rPr>
          <w:i/>
        </w:rPr>
        <w:t>s Department</w:t>
      </w:r>
      <w:r w:rsidRPr="00B12148">
        <w:t>, the Information Commissioner said:</w:t>
      </w:r>
    </w:p>
    <w:p w:rsidR="00CD410D" w:rsidRPr="00B12148" w:rsidRDefault="0040675C" w:rsidP="0070121A">
      <w:pPr>
        <w:pStyle w:val="Quote"/>
      </w:pPr>
      <w:r>
        <w:t>“</w:t>
      </w:r>
      <w:r w:rsidR="00C362DD" w:rsidRPr="00B12148">
        <w:t>Deliberative matter</w:t>
      </w:r>
      <w:r>
        <w:t>”</w:t>
      </w:r>
      <w:r w:rsidR="00C362DD" w:rsidRPr="00B12148">
        <w:t xml:space="preserve"> is a shorthand term for </w:t>
      </w:r>
      <w:r>
        <w:t>“</w:t>
      </w:r>
      <w:r w:rsidR="00CD410D" w:rsidRPr="00B12148">
        <w:t>opi</w:t>
      </w:r>
      <w:r w:rsidR="00C362DD" w:rsidRPr="00B12148">
        <w:t>nion, advice and recommendation</w:t>
      </w:r>
      <w:r>
        <w:t>”</w:t>
      </w:r>
      <w:r w:rsidR="00C362DD" w:rsidRPr="00B12148">
        <w:t xml:space="preserve"> and </w:t>
      </w:r>
      <w:r>
        <w:t>“</w:t>
      </w:r>
      <w:r w:rsidR="00CD410D" w:rsidRPr="00B12148">
        <w:t>consultation and</w:t>
      </w:r>
      <w:r w:rsidR="00C362DD" w:rsidRPr="00B12148">
        <w:t xml:space="preserve"> deliberation</w:t>
      </w:r>
      <w:r>
        <w:t>”</w:t>
      </w:r>
      <w:r w:rsidR="00CD410D" w:rsidRPr="00B12148">
        <w:t xml:space="preserve"> that is recorded or reflected in a document</w:t>
      </w:r>
      <w:r>
        <w:t xml:space="preserve">.  </w:t>
      </w:r>
      <w:r w:rsidR="00CD410D" w:rsidRPr="00B12148">
        <w:t>Those are broad terms that bear their ordinary meaning …</w:t>
      </w:r>
      <w:r w:rsidR="005D70E2" w:rsidRPr="0040675C">
        <w:rPr>
          <w:rStyle w:val="FootnoteReference"/>
        </w:rPr>
        <w:footnoteReference w:id="16"/>
      </w:r>
    </w:p>
    <w:p w:rsidR="00C362DD" w:rsidRPr="00B12148" w:rsidRDefault="00845E77" w:rsidP="005949D3">
      <w:pPr>
        <w:pStyle w:val="FollowingPara"/>
      </w:pPr>
      <w:r w:rsidRPr="00B12148">
        <w:t>I</w:t>
      </w:r>
      <w:r w:rsidR="0040675C">
        <w:t> </w:t>
      </w:r>
      <w:r w:rsidR="009C238A" w:rsidRPr="00B12148">
        <w:t xml:space="preserve">agree with </w:t>
      </w:r>
      <w:r w:rsidR="005949D3" w:rsidRPr="00B12148">
        <w:t>that approach</w:t>
      </w:r>
      <w:r w:rsidR="0040675C">
        <w:t xml:space="preserve">.  </w:t>
      </w:r>
      <w:r w:rsidR="00E71802" w:rsidRPr="00B12148">
        <w:t xml:space="preserve">Neither </w:t>
      </w:r>
      <w:r w:rsidR="00583613" w:rsidRPr="00B12148">
        <w:t>Mr</w:t>
      </w:r>
      <w:r w:rsidR="0040675C">
        <w:t> </w:t>
      </w:r>
      <w:r w:rsidR="00E71802" w:rsidRPr="00B12148">
        <w:t>Rovere nor the Department have argued otherwise.</w:t>
      </w:r>
    </w:p>
    <w:p w:rsidR="009C238A" w:rsidRPr="00B12148" w:rsidRDefault="00BB461C" w:rsidP="00004FFD">
      <w:pPr>
        <w:pStyle w:val="ListNumber"/>
        <w:keepNext/>
      </w:pPr>
      <w:r w:rsidRPr="00B12148">
        <w:t xml:space="preserve">On the meaning of </w:t>
      </w:r>
      <w:r w:rsidR="0040675C">
        <w:t>“</w:t>
      </w:r>
      <w:r w:rsidRPr="00B12148">
        <w:t>deliberative processes</w:t>
      </w:r>
      <w:r w:rsidR="0040675C">
        <w:t>”</w:t>
      </w:r>
      <w:r w:rsidRPr="00B12148">
        <w:t xml:space="preserve"> the FOI Guidelines quote from </w:t>
      </w:r>
      <w:r w:rsidR="0046664E" w:rsidRPr="00B12148">
        <w:t xml:space="preserve">the Tribunal in </w:t>
      </w:r>
      <w:r w:rsidRPr="00B12148">
        <w:rPr>
          <w:i/>
        </w:rPr>
        <w:t>Waterford and Department of Treasury (No</w:t>
      </w:r>
      <w:r w:rsidR="0040675C">
        <w:rPr>
          <w:i/>
        </w:rPr>
        <w:t> </w:t>
      </w:r>
      <w:r w:rsidRPr="00B12148">
        <w:rPr>
          <w:i/>
        </w:rPr>
        <w:t>2)</w:t>
      </w:r>
      <w:r w:rsidRPr="00B12148">
        <w:t>:</w:t>
      </w:r>
    </w:p>
    <w:p w:rsidR="00BB461C" w:rsidRPr="00B12148" w:rsidRDefault="00BB0CC1" w:rsidP="00BB461C">
      <w:pPr>
        <w:pStyle w:val="Quote"/>
      </w:pPr>
      <w:r w:rsidRPr="00B12148">
        <w:t>The action of deliberating, in common understanding, involves the weighing up or evaluation of the competing arguments or considerations that may have a bearing upon one</w:t>
      </w:r>
      <w:r w:rsidR="0040675C">
        <w:t>’</w:t>
      </w:r>
      <w:r w:rsidRPr="00B12148">
        <w:t>s course of action</w:t>
      </w:r>
      <w:r w:rsidR="0040675C">
        <w:t xml:space="preserve">.  </w:t>
      </w:r>
      <w:r w:rsidRPr="00B12148">
        <w:t>In short, the deliberative processes involved in the functions of an ag</w:t>
      </w:r>
      <w:r w:rsidR="00463C7A" w:rsidRPr="00B12148">
        <w:t>ency are its thinking processes—</w:t>
      </w:r>
      <w:r w:rsidRPr="00B12148">
        <w:t>the processes of reflection, for example, upon the wisdom and expediency of a proposal, a particular decision or a course of action</w:t>
      </w:r>
      <w:r w:rsidR="0040675C">
        <w:t xml:space="preserve">.  </w:t>
      </w:r>
      <w:r w:rsidRPr="00B12148">
        <w:t>Deliberations on policy matters undoubtedly come</w:t>
      </w:r>
      <w:r w:rsidR="00463C7A" w:rsidRPr="00B12148">
        <w:t xml:space="preserve"> within this broad description</w:t>
      </w:r>
      <w:r w:rsidRPr="00B12148">
        <w:t>.</w:t>
      </w:r>
      <w:r w:rsidR="00BB461C" w:rsidRPr="0040675C">
        <w:rPr>
          <w:rStyle w:val="FootnoteReference"/>
        </w:rPr>
        <w:footnoteReference w:id="17"/>
      </w:r>
    </w:p>
    <w:p w:rsidR="001F5C9B" w:rsidRPr="00B12148" w:rsidRDefault="0020287E" w:rsidP="00C54A18">
      <w:pPr>
        <w:pStyle w:val="ListNumber"/>
      </w:pPr>
      <w:r w:rsidRPr="00B12148">
        <w:t>Mr</w:t>
      </w:r>
      <w:r w:rsidR="0040675C">
        <w:t> </w:t>
      </w:r>
      <w:r w:rsidRPr="00B12148">
        <w:t>Griew says that all of the documents were prepared as part of the development of Government policy on the higher education sector</w:t>
      </w:r>
      <w:r w:rsidR="0040675C">
        <w:t xml:space="preserve">.  </w:t>
      </w:r>
      <w:r w:rsidRPr="00B12148">
        <w:t>Some of the documents were considered by the Minister; the remainder were considered within Government as part of the development of that policy</w:t>
      </w:r>
      <w:r w:rsidR="0040675C">
        <w:t xml:space="preserve">.  </w:t>
      </w:r>
      <w:r w:rsidR="00690910" w:rsidRPr="00B12148">
        <w:t>He says that the spreadsheets perform calculations, based on various assumptions, and that th</w:t>
      </w:r>
      <w:r w:rsidR="004844CF" w:rsidRPr="00B12148">
        <w:t xml:space="preserve">e </w:t>
      </w:r>
      <w:r w:rsidR="000C0697" w:rsidRPr="00B12148">
        <w:t xml:space="preserve">Department used the </w:t>
      </w:r>
      <w:r w:rsidR="004844CF" w:rsidRPr="00B12148">
        <w:t>results of those calculations—that modelling</w:t>
      </w:r>
      <w:r w:rsidR="00D65E83" w:rsidRPr="0040675C">
        <w:rPr>
          <w:rStyle w:val="FootnoteReference"/>
        </w:rPr>
        <w:footnoteReference w:id="18"/>
      </w:r>
      <w:r w:rsidR="004844CF" w:rsidRPr="00B12148">
        <w:t>—</w:t>
      </w:r>
      <w:r w:rsidR="000C0697" w:rsidRPr="00B12148">
        <w:t xml:space="preserve">in preparing its </w:t>
      </w:r>
      <w:r w:rsidR="00690910" w:rsidRPr="00B12148">
        <w:t>advice to the Minister and Government</w:t>
      </w:r>
      <w:r w:rsidR="00215386" w:rsidRPr="00B12148">
        <w:t>, including advice contained in some of the other documents</w:t>
      </w:r>
      <w:r w:rsidR="0040675C">
        <w:t xml:space="preserve">.  </w:t>
      </w:r>
      <w:r w:rsidR="00BC1957" w:rsidRPr="00B12148">
        <w:t>I</w:t>
      </w:r>
      <w:r w:rsidR="0040675C">
        <w:t> </w:t>
      </w:r>
      <w:r w:rsidR="00332F8C" w:rsidRPr="00B12148">
        <w:t>accept this evidence</w:t>
      </w:r>
      <w:r w:rsidR="0040675C">
        <w:t xml:space="preserve">.  </w:t>
      </w:r>
      <w:r w:rsidR="00332F8C" w:rsidRPr="00B12148">
        <w:t>The content of the documents is consistent with them having been prepared</w:t>
      </w:r>
      <w:r w:rsidR="00D03CAE" w:rsidRPr="00B12148">
        <w:t xml:space="preserve">, and used, </w:t>
      </w:r>
      <w:r w:rsidR="001F5C9B" w:rsidRPr="00B12148">
        <w:t>as Mr</w:t>
      </w:r>
      <w:r w:rsidR="0040675C">
        <w:t> </w:t>
      </w:r>
      <w:r w:rsidR="001F5C9B" w:rsidRPr="00B12148">
        <w:t>Griew says they were.</w:t>
      </w:r>
    </w:p>
    <w:p w:rsidR="00332F8C" w:rsidRPr="00B12148" w:rsidRDefault="00BC1957" w:rsidP="00C54A18">
      <w:pPr>
        <w:pStyle w:val="ListNumber"/>
      </w:pPr>
      <w:r w:rsidRPr="00B12148">
        <w:t>I</w:t>
      </w:r>
      <w:r w:rsidR="0040675C">
        <w:t> </w:t>
      </w:r>
      <w:r w:rsidR="005F7A67" w:rsidRPr="00B12148">
        <w:t>find that the documents contain deliberative matter for the purposes of s</w:t>
      </w:r>
      <w:r w:rsidR="0040675C">
        <w:t> </w:t>
      </w:r>
      <w:r w:rsidR="005F7A67" w:rsidRPr="00B12148">
        <w:t>47C(1)</w:t>
      </w:r>
      <w:r w:rsidR="0040675C">
        <w:t xml:space="preserve">.  </w:t>
      </w:r>
      <w:r w:rsidR="00D13CAA" w:rsidRPr="00B12148">
        <w:t>They contain material that relates to opinions, advice and recommendations about higher education policy</w:t>
      </w:r>
      <w:r w:rsidR="0040675C">
        <w:t xml:space="preserve">.  </w:t>
      </w:r>
      <w:r w:rsidR="00D13CAA" w:rsidRPr="00B12148">
        <w:t xml:space="preserve">They contain material that </w:t>
      </w:r>
      <w:r w:rsidR="005F7A67" w:rsidRPr="00B12148">
        <w:t>relate</w:t>
      </w:r>
      <w:r w:rsidR="00215386" w:rsidRPr="00B12148">
        <w:t>s</w:t>
      </w:r>
      <w:r w:rsidR="005F7A67" w:rsidRPr="00B12148">
        <w:t xml:space="preserve"> to </w:t>
      </w:r>
      <w:r w:rsidR="00BB687C" w:rsidRPr="00B12148">
        <w:t>deliberations</w:t>
      </w:r>
      <w:r w:rsidR="005F7A67" w:rsidRPr="00B12148">
        <w:t xml:space="preserve"> and (to a lesser extent) consultation</w:t>
      </w:r>
      <w:r w:rsidR="00D13CAA" w:rsidRPr="00B12148">
        <w:t>s</w:t>
      </w:r>
      <w:r w:rsidR="0020267F" w:rsidRPr="0040675C">
        <w:rPr>
          <w:rStyle w:val="FootnoteReference"/>
        </w:rPr>
        <w:footnoteReference w:id="19"/>
      </w:r>
      <w:r w:rsidR="005F7A67" w:rsidRPr="00B12148">
        <w:t xml:space="preserve"> </w:t>
      </w:r>
      <w:r w:rsidR="00BE37AB" w:rsidRPr="00B12148">
        <w:t>about</w:t>
      </w:r>
      <w:r w:rsidR="005F7A67" w:rsidRPr="00B12148">
        <w:t xml:space="preserve"> that policy.</w:t>
      </w:r>
    </w:p>
    <w:p w:rsidR="0020267F" w:rsidRPr="00B12148" w:rsidRDefault="00BC1957" w:rsidP="00BB687C">
      <w:pPr>
        <w:pStyle w:val="ListNumber"/>
      </w:pPr>
      <w:r w:rsidRPr="00B12148">
        <w:t>I</w:t>
      </w:r>
      <w:r w:rsidR="0040675C">
        <w:t> </w:t>
      </w:r>
      <w:r w:rsidR="005F7A67" w:rsidRPr="00B12148">
        <w:t xml:space="preserve">also find that </w:t>
      </w:r>
      <w:r w:rsidR="00BB687C" w:rsidRPr="00B12148">
        <w:t xml:space="preserve">those opinions, advice and recommendations were prepared or recorded—and those consultations </w:t>
      </w:r>
      <w:r w:rsidR="005969A0" w:rsidRPr="00B12148">
        <w:t xml:space="preserve">and deliberations </w:t>
      </w:r>
      <w:r w:rsidR="00BB687C" w:rsidRPr="00B12148">
        <w:t>took place—</w:t>
      </w:r>
      <w:r w:rsidR="0020267F" w:rsidRPr="00B12148">
        <w:t xml:space="preserve">in </w:t>
      </w:r>
      <w:r w:rsidR="00623DB6" w:rsidRPr="00B12148">
        <w:t>the course of, or for the purposes of, the deliberative processes</w:t>
      </w:r>
      <w:r w:rsidR="0020267F" w:rsidRPr="00B12148">
        <w:t xml:space="preserve"> </w:t>
      </w:r>
      <w:r w:rsidR="00554C4E" w:rsidRPr="00B12148">
        <w:t xml:space="preserve">involved in the functions of </w:t>
      </w:r>
      <w:r w:rsidR="0020267F" w:rsidRPr="00B12148">
        <w:t>the Department</w:t>
      </w:r>
      <w:r w:rsidR="0040675C">
        <w:t xml:space="preserve">.  </w:t>
      </w:r>
      <w:r w:rsidR="0046664E" w:rsidRPr="00B12148">
        <w:t xml:space="preserve">Those deliberative processes were </w:t>
      </w:r>
      <w:r w:rsidR="0084083A" w:rsidRPr="00B12148">
        <w:t xml:space="preserve">the </w:t>
      </w:r>
      <w:r w:rsidR="0020267F" w:rsidRPr="00B12148">
        <w:t>weighing</w:t>
      </w:r>
      <w:r w:rsidR="004E27B5">
        <w:t>-</w:t>
      </w:r>
      <w:r w:rsidR="0020267F" w:rsidRPr="00B12148">
        <w:t>up or evaluation of competing arguments or considerations</w:t>
      </w:r>
      <w:r w:rsidR="0084083A" w:rsidRPr="00B12148">
        <w:t xml:space="preserve"> about higher education policy</w:t>
      </w:r>
      <w:r w:rsidR="0040675C">
        <w:t xml:space="preserve">.  </w:t>
      </w:r>
      <w:r w:rsidR="0020267F" w:rsidRPr="00B12148">
        <w:t xml:space="preserve">They were </w:t>
      </w:r>
      <w:r w:rsidR="0084083A" w:rsidRPr="00B12148">
        <w:t>the Department</w:t>
      </w:r>
      <w:r w:rsidR="0040675C">
        <w:t>’</w:t>
      </w:r>
      <w:r w:rsidR="0084083A" w:rsidRPr="00B12148">
        <w:t xml:space="preserve">s </w:t>
      </w:r>
      <w:r w:rsidR="0040675C">
        <w:t>“</w:t>
      </w:r>
      <w:r w:rsidR="0084083A" w:rsidRPr="00B12148">
        <w:t>thinking processes</w:t>
      </w:r>
      <w:r w:rsidR="0040675C">
        <w:t>”</w:t>
      </w:r>
      <w:r w:rsidR="0084083A" w:rsidRPr="00B12148">
        <w:t>.</w:t>
      </w:r>
    </w:p>
    <w:p w:rsidR="00CD410D" w:rsidRPr="00B12148" w:rsidRDefault="00CD410D" w:rsidP="00CD410D">
      <w:pPr>
        <w:pStyle w:val="Heading3"/>
      </w:pPr>
      <w:r w:rsidRPr="00B12148">
        <w:t>Purely factual material</w:t>
      </w:r>
    </w:p>
    <w:p w:rsidR="007434E9" w:rsidRPr="00B12148" w:rsidRDefault="00425387" w:rsidP="00303B00">
      <w:pPr>
        <w:pStyle w:val="ListNumber"/>
        <w:keepNext/>
        <w:numPr>
          <w:ilvl w:val="0"/>
          <w:numId w:val="1"/>
        </w:numPr>
      </w:pPr>
      <w:r w:rsidRPr="00B12148">
        <w:t>Section</w:t>
      </w:r>
      <w:r w:rsidR="0040675C">
        <w:t> </w:t>
      </w:r>
      <w:r w:rsidRPr="00B12148">
        <w:t>47C(2)(b) provides that deliberative matter does not include purely factual material</w:t>
      </w:r>
      <w:r w:rsidR="0040675C">
        <w:t xml:space="preserve">.  </w:t>
      </w:r>
      <w:r w:rsidR="00C966CF" w:rsidRPr="00B12148">
        <w:t xml:space="preserve">The Department concedes that the documents include some factual material, but says that </w:t>
      </w:r>
      <w:r w:rsidR="00457692" w:rsidRPr="00B12148">
        <w:t>that material</w:t>
      </w:r>
      <w:r w:rsidR="00C966CF" w:rsidRPr="00B12148">
        <w:t xml:space="preserve"> is intrinsically linked to the deliberative matter.</w:t>
      </w:r>
    </w:p>
    <w:p w:rsidR="001E3F11" w:rsidRPr="00B12148" w:rsidRDefault="00AE6724" w:rsidP="00303B00">
      <w:pPr>
        <w:pStyle w:val="ListNumber"/>
        <w:numPr>
          <w:ilvl w:val="0"/>
          <w:numId w:val="1"/>
        </w:numPr>
      </w:pPr>
      <w:r w:rsidRPr="00B12148">
        <w:t xml:space="preserve">There </w:t>
      </w:r>
      <w:r w:rsidR="00C32E32" w:rsidRPr="00B12148">
        <w:t xml:space="preserve">is </w:t>
      </w:r>
      <w:r w:rsidR="007434E9" w:rsidRPr="00B12148">
        <w:t>a good deal of</w:t>
      </w:r>
      <w:r w:rsidR="00C32E32" w:rsidRPr="00B12148">
        <w:t xml:space="preserve"> factual material</w:t>
      </w:r>
      <w:r w:rsidRPr="00B12148">
        <w:t xml:space="preserve"> in the documents, especially in the spreadsheets</w:t>
      </w:r>
      <w:r w:rsidR="0040675C">
        <w:t xml:space="preserve">.  </w:t>
      </w:r>
      <w:r w:rsidR="00C32E32" w:rsidRPr="00B12148">
        <w:t xml:space="preserve">Much of it </w:t>
      </w:r>
      <w:r w:rsidR="00A856A4" w:rsidRPr="00B12148">
        <w:t xml:space="preserve">is hypothetical, and </w:t>
      </w:r>
      <w:r w:rsidR="00C32E32" w:rsidRPr="00B12148">
        <w:t>can be characterised in the same way that the Tribunal characterised some of the material in issue in</w:t>
      </w:r>
      <w:r w:rsidR="003A0563" w:rsidRPr="00B12148">
        <w:t xml:space="preserve"> </w:t>
      </w:r>
      <w:r w:rsidR="00C32E32" w:rsidRPr="00B12148">
        <w:rPr>
          <w:i/>
        </w:rPr>
        <w:t>McKinnon and Secretary, Department of the Treasury</w:t>
      </w:r>
      <w:r w:rsidR="00C32E32" w:rsidRPr="00B12148">
        <w:t xml:space="preserve">: </w:t>
      </w:r>
      <w:r w:rsidR="0040675C">
        <w:t>“</w:t>
      </w:r>
      <w:r w:rsidR="00C32E32" w:rsidRPr="00B12148">
        <w:t>[t]o the extent to which the documents could be said to address factual material they are really predictions as to the future and could not be treated as fact.</w:t>
      </w:r>
      <w:r w:rsidR="0040675C">
        <w:t>”</w:t>
      </w:r>
      <w:bookmarkStart w:id="13" w:name="_Ref422231313"/>
      <w:r w:rsidR="00C32E32" w:rsidRPr="0040675C">
        <w:rPr>
          <w:rStyle w:val="FootnoteReference"/>
        </w:rPr>
        <w:footnoteReference w:id="20"/>
      </w:r>
      <w:bookmarkEnd w:id="13"/>
    </w:p>
    <w:p w:rsidR="007434E9" w:rsidRPr="00B12148" w:rsidRDefault="001E3F11" w:rsidP="0070121A">
      <w:pPr>
        <w:pStyle w:val="ListNumber"/>
        <w:keepNext/>
        <w:numPr>
          <w:ilvl w:val="0"/>
          <w:numId w:val="1"/>
        </w:numPr>
      </w:pPr>
      <w:r w:rsidRPr="00B12148">
        <w:t>S</w:t>
      </w:r>
      <w:r w:rsidR="00F617E2" w:rsidRPr="00B12148">
        <w:t>ome of the fact</w:t>
      </w:r>
      <w:r w:rsidR="00826A3D" w:rsidRPr="00B12148">
        <w:t xml:space="preserve">s in </w:t>
      </w:r>
      <w:r w:rsidR="0057787D" w:rsidRPr="00B12148">
        <w:t xml:space="preserve">the documents </w:t>
      </w:r>
      <w:r w:rsidR="00826A3D" w:rsidRPr="00B12148">
        <w:t xml:space="preserve">are </w:t>
      </w:r>
      <w:r w:rsidR="00303B00" w:rsidRPr="00B12148">
        <w:t>assumption</w:t>
      </w:r>
      <w:r w:rsidR="00826A3D" w:rsidRPr="00B12148">
        <w:t>s</w:t>
      </w:r>
      <w:r w:rsidR="00303B00" w:rsidRPr="00B12148">
        <w:t xml:space="preserve"> </w:t>
      </w:r>
      <w:r w:rsidR="00826A3D" w:rsidRPr="00B12148">
        <w:t xml:space="preserve">upon which </w:t>
      </w:r>
      <w:r w:rsidR="00303B00" w:rsidRPr="00B12148">
        <w:t>prediction</w:t>
      </w:r>
      <w:r w:rsidR="00826A3D" w:rsidRPr="00B12148">
        <w:t>s are made</w:t>
      </w:r>
      <w:r w:rsidR="0040675C">
        <w:t xml:space="preserve">.  </w:t>
      </w:r>
      <w:r w:rsidR="00303B00" w:rsidRPr="00B12148">
        <w:t xml:space="preserve">It </w:t>
      </w:r>
      <w:r w:rsidR="006A1FE5" w:rsidRPr="00B12148">
        <w:t xml:space="preserve">would be possible </w:t>
      </w:r>
      <w:r w:rsidR="00303B00" w:rsidRPr="00B12148">
        <w:t>to give Mr</w:t>
      </w:r>
      <w:r w:rsidR="0040675C">
        <w:t> </w:t>
      </w:r>
      <w:r w:rsidR="00DE3E36" w:rsidRPr="00B12148">
        <w:t>Rovere</w:t>
      </w:r>
      <w:r w:rsidR="00303B00" w:rsidRPr="00B12148">
        <w:t xml:space="preserve"> </w:t>
      </w:r>
      <w:r w:rsidR="00C32E32" w:rsidRPr="00B12148">
        <w:t xml:space="preserve">access to </w:t>
      </w:r>
      <w:r w:rsidR="00303B00" w:rsidRPr="00B12148">
        <w:t xml:space="preserve">edited copies of some of the </w:t>
      </w:r>
      <w:r w:rsidR="00C32E32" w:rsidRPr="00B12148">
        <w:t>document</w:t>
      </w:r>
      <w:r w:rsidR="00303B00" w:rsidRPr="00B12148">
        <w:t>s</w:t>
      </w:r>
      <w:r w:rsidR="00C32E32" w:rsidRPr="00B12148">
        <w:t xml:space="preserve">, </w:t>
      </w:r>
      <w:r w:rsidR="00422117" w:rsidRPr="00B12148">
        <w:t>with the predictions deleted leaving the factual assumptions</w:t>
      </w:r>
      <w:r w:rsidR="00704B8F" w:rsidRPr="00B12148">
        <w:t xml:space="preserve">, but this would be </w:t>
      </w:r>
      <w:r w:rsidR="006A1FE5" w:rsidRPr="00B12148">
        <w:t>difficult to</w:t>
      </w:r>
      <w:r w:rsidR="00311B5C" w:rsidRPr="00B12148">
        <w:t xml:space="preserve"> </w:t>
      </w:r>
      <w:r w:rsidR="00704B8F" w:rsidRPr="00B12148">
        <w:t>do</w:t>
      </w:r>
      <w:r w:rsidR="0040675C">
        <w:t xml:space="preserve">.  </w:t>
      </w:r>
      <w:r w:rsidR="00704B8F" w:rsidRPr="00B12148">
        <w:t>Section</w:t>
      </w:r>
      <w:r w:rsidR="0040675C">
        <w:t> </w:t>
      </w:r>
      <w:r w:rsidR="00303B00" w:rsidRPr="00B12148">
        <w:t xml:space="preserve">22 requires </w:t>
      </w:r>
      <w:r w:rsidR="00422117" w:rsidRPr="00B12148">
        <w:t xml:space="preserve">an edited copy to be prepared </w:t>
      </w:r>
      <w:r w:rsidR="00303B00" w:rsidRPr="00B12148">
        <w:t xml:space="preserve">only if it is reasonably practicable to do so, having regard to the nature and extent of the modification </w:t>
      </w:r>
      <w:r w:rsidR="0024039E" w:rsidRPr="00B12148">
        <w:t>and the resources available.</w:t>
      </w:r>
      <w:r w:rsidR="0024039E" w:rsidRPr="0040675C">
        <w:rPr>
          <w:rStyle w:val="FootnoteReference"/>
        </w:rPr>
        <w:footnoteReference w:id="21"/>
      </w:r>
      <w:r w:rsidR="0055161A">
        <w:t xml:space="preserve"> </w:t>
      </w:r>
      <w:r w:rsidR="0040675C">
        <w:t xml:space="preserve"> </w:t>
      </w:r>
      <w:r w:rsidR="002B76FE" w:rsidRPr="00B12148">
        <w:t>The FOI Guidelines say that:</w:t>
      </w:r>
    </w:p>
    <w:p w:rsidR="002B76FE" w:rsidRPr="00B12148" w:rsidRDefault="002B76FE" w:rsidP="002B76FE">
      <w:pPr>
        <w:pStyle w:val="Quote"/>
      </w:pPr>
      <w:r w:rsidRPr="00B12148">
        <w:t>… an agency or minister should take a common sense approach in considering whether the number of deletions would be so many that the remaining document would be of little or no value to the applicant</w:t>
      </w:r>
      <w:r w:rsidR="0040675C">
        <w:t xml:space="preserve">.  </w:t>
      </w:r>
      <w:r w:rsidRPr="00B12148">
        <w:t xml:space="preserve">Similarly, the purpose of providing access to government information under the </w:t>
      </w:r>
      <w:r w:rsidR="0040675C">
        <w:t>FOI Act</w:t>
      </w:r>
      <w:r w:rsidRPr="00B12148">
        <w:t xml:space="preserve"> may not be served if extensive editing is required that leaves only a skeleton of the former document that conveys little of its content or substance.</w:t>
      </w:r>
    </w:p>
    <w:p w:rsidR="00311B5C" w:rsidRPr="00B12148" w:rsidRDefault="005F4D99" w:rsidP="00B51528">
      <w:pPr>
        <w:pStyle w:val="FollowingPara"/>
      </w:pPr>
      <w:r w:rsidRPr="00B12148">
        <w:t xml:space="preserve">It </w:t>
      </w:r>
      <w:r w:rsidR="00B51528" w:rsidRPr="00B12148">
        <w:t xml:space="preserve">would </w:t>
      </w:r>
      <w:r w:rsidRPr="00B12148">
        <w:t xml:space="preserve">not </w:t>
      </w:r>
      <w:r w:rsidR="00B51528" w:rsidRPr="00B12148">
        <w:t xml:space="preserve">be reasonably practicable to </w:t>
      </w:r>
      <w:r w:rsidR="00311B5C" w:rsidRPr="00B12148">
        <w:t>separate the purely factual material from the deliberative matter in the documents</w:t>
      </w:r>
      <w:r w:rsidR="0040675C">
        <w:t xml:space="preserve">.  </w:t>
      </w:r>
      <w:r w:rsidR="00311B5C" w:rsidRPr="00B12148">
        <w:t xml:space="preserve">And the resulting edited copies of the documents would be </w:t>
      </w:r>
      <w:r w:rsidR="00A86A5D" w:rsidRPr="00B12148">
        <w:t>of little value to Mr</w:t>
      </w:r>
      <w:r w:rsidR="0040675C">
        <w:t> </w:t>
      </w:r>
      <w:r w:rsidR="00A86A5D" w:rsidRPr="00B12148">
        <w:t>Rovere.</w:t>
      </w:r>
    </w:p>
    <w:p w:rsidR="00915579" w:rsidRPr="00B12148" w:rsidRDefault="00CB2B4B" w:rsidP="00915579">
      <w:pPr>
        <w:pStyle w:val="Heading3"/>
      </w:pPr>
      <w:r w:rsidRPr="00B12148">
        <w:t>Conclusion</w:t>
      </w:r>
    </w:p>
    <w:p w:rsidR="00915579" w:rsidRPr="00B12148" w:rsidRDefault="000C396D" w:rsidP="004675A0">
      <w:pPr>
        <w:pStyle w:val="ListNumber"/>
        <w:numPr>
          <w:ilvl w:val="0"/>
          <w:numId w:val="1"/>
        </w:numPr>
      </w:pPr>
      <w:r w:rsidRPr="00B12148">
        <w:t xml:space="preserve">Disclosure of the documents would disclose </w:t>
      </w:r>
      <w:r w:rsidR="00E5234B" w:rsidRPr="00B12148">
        <w:t>deliberative matter</w:t>
      </w:r>
      <w:r w:rsidR="0040675C">
        <w:t xml:space="preserve">.  </w:t>
      </w:r>
      <w:r w:rsidR="004675A0" w:rsidRPr="00B12148">
        <w:t xml:space="preserve">That deliberative matter relates to </w:t>
      </w:r>
      <w:r w:rsidR="00915FB6" w:rsidRPr="00B12148">
        <w:t xml:space="preserve">opinions, advice, recommendations, </w:t>
      </w:r>
      <w:r w:rsidR="004675A0" w:rsidRPr="00B12148">
        <w:t xml:space="preserve">consultations and </w:t>
      </w:r>
      <w:r w:rsidR="00915FB6" w:rsidRPr="00B12148">
        <w:t xml:space="preserve">deliberations about </w:t>
      </w:r>
      <w:r w:rsidR="00E5234B" w:rsidRPr="00B12148">
        <w:t>higher education policy</w:t>
      </w:r>
      <w:r w:rsidR="0040675C">
        <w:t xml:space="preserve">.  </w:t>
      </w:r>
      <w:r w:rsidR="004675A0" w:rsidRPr="00B12148">
        <w:t>Those opinions, advice and recommendations were prepared or recorded—and those consultations and deliberations took place—in the course of, or for the purposes of, the deliberative processes involved in the Department</w:t>
      </w:r>
      <w:r w:rsidR="0040675C">
        <w:t>’</w:t>
      </w:r>
      <w:r w:rsidR="004675A0" w:rsidRPr="00B12148">
        <w:t>s functions</w:t>
      </w:r>
      <w:r w:rsidR="0040675C">
        <w:t xml:space="preserve">.  </w:t>
      </w:r>
      <w:r w:rsidRPr="00B12148">
        <w:t xml:space="preserve">Accordingly, the documents are </w:t>
      </w:r>
      <w:r w:rsidR="00915579" w:rsidRPr="00B12148">
        <w:t>conditionally exempt under s</w:t>
      </w:r>
      <w:r w:rsidR="0040675C">
        <w:t> </w:t>
      </w:r>
      <w:r w:rsidR="00915579" w:rsidRPr="00B12148">
        <w:t xml:space="preserve">47C of the </w:t>
      </w:r>
      <w:r w:rsidR="0040675C">
        <w:t>FOI Act</w:t>
      </w:r>
      <w:r w:rsidR="00915579" w:rsidRPr="00B12148">
        <w:t>.</w:t>
      </w:r>
    </w:p>
    <w:p w:rsidR="00C52080" w:rsidRPr="00B12148" w:rsidRDefault="003664CD" w:rsidP="00C52080">
      <w:pPr>
        <w:pStyle w:val="Heading2"/>
      </w:pPr>
      <w:r w:rsidRPr="00B12148">
        <w:t xml:space="preserve">Would access to the documents be contrary to the public interest </w:t>
      </w:r>
      <w:r w:rsidR="00C52080" w:rsidRPr="00B12148">
        <w:t>(s</w:t>
      </w:r>
      <w:r w:rsidR="0040675C">
        <w:t> </w:t>
      </w:r>
      <w:r w:rsidR="00C52080" w:rsidRPr="00B12148">
        <w:t>11A(5))</w:t>
      </w:r>
      <w:r w:rsidRPr="00B12148">
        <w:t>?</w:t>
      </w:r>
    </w:p>
    <w:p w:rsidR="00D50805" w:rsidRPr="00B12148" w:rsidRDefault="00957585" w:rsidP="006A704A">
      <w:pPr>
        <w:pStyle w:val="ListNumber"/>
        <w:numPr>
          <w:ilvl w:val="0"/>
          <w:numId w:val="1"/>
        </w:numPr>
      </w:pPr>
      <w:bookmarkStart w:id="14" w:name="_Ref422499624"/>
      <w:r w:rsidRPr="00B12148">
        <w:t>Section</w:t>
      </w:r>
      <w:r w:rsidR="0040675C">
        <w:t> </w:t>
      </w:r>
      <w:r w:rsidRPr="00B12148">
        <w:t xml:space="preserve">11A(5) of the </w:t>
      </w:r>
      <w:r w:rsidR="0040675C">
        <w:t>FOI Act</w:t>
      </w:r>
      <w:r w:rsidRPr="00B12148">
        <w:t xml:space="preserve"> provides</w:t>
      </w:r>
      <w:r w:rsidR="009F0E29" w:rsidRPr="00B12148">
        <w:t xml:space="preserve"> that, if a document is conditionally exempt, it must be disclosed </w:t>
      </w:r>
      <w:r w:rsidR="0040675C">
        <w:t>“</w:t>
      </w:r>
      <w:r w:rsidR="009F0E29" w:rsidRPr="00B12148">
        <w:t>unless (in the circumstances) access to the document at that time would, on balance, be contrary to the public interest</w:t>
      </w:r>
      <w:r w:rsidR="0040675C">
        <w:t xml:space="preserve">”.  </w:t>
      </w:r>
      <w:r w:rsidR="006A704A" w:rsidRPr="00B12148">
        <w:t xml:space="preserve">As the </w:t>
      </w:r>
      <w:r w:rsidR="007E7CB0" w:rsidRPr="00B12148">
        <w:t xml:space="preserve">FOI Guidelines </w:t>
      </w:r>
      <w:r w:rsidR="00AE5389" w:rsidRPr="00B12148">
        <w:t>point out</w:t>
      </w:r>
      <w:r w:rsidR="007E7CB0" w:rsidRPr="00B12148">
        <w:t xml:space="preserve">, </w:t>
      </w:r>
      <w:r w:rsidR="0040675C">
        <w:t>“</w:t>
      </w:r>
      <w:r w:rsidR="006A704A" w:rsidRPr="00B12148">
        <w:t>[t]he pro</w:t>
      </w:r>
      <w:r w:rsidR="004E27B5">
        <w:t>-</w:t>
      </w:r>
      <w:r w:rsidR="006A704A" w:rsidRPr="00B12148">
        <w:t xml:space="preserve">disclosure principle declared in the objects of the </w:t>
      </w:r>
      <w:r w:rsidR="0040675C">
        <w:t>FOI Act</w:t>
      </w:r>
      <w:r w:rsidR="006A704A" w:rsidRPr="00B12148">
        <w:t xml:space="preserve"> is given specific effect in the public interest test, as the test</w:t>
      </w:r>
      <w:r w:rsidR="007E7CB0" w:rsidRPr="00B12148">
        <w:t xml:space="preserve"> is weighted towards disclosure</w:t>
      </w:r>
      <w:r w:rsidR="0040675C">
        <w:t>”</w:t>
      </w:r>
      <w:r w:rsidR="006A704A" w:rsidRPr="00B12148">
        <w:t>.</w:t>
      </w:r>
      <w:r w:rsidR="006A704A" w:rsidRPr="0040675C">
        <w:rPr>
          <w:rStyle w:val="FootnoteReference"/>
        </w:rPr>
        <w:footnoteReference w:id="22"/>
      </w:r>
      <w:bookmarkEnd w:id="14"/>
    </w:p>
    <w:p w:rsidR="00A92DCD" w:rsidRPr="00B12148" w:rsidRDefault="00A92DCD" w:rsidP="00A92DCD">
      <w:pPr>
        <w:pStyle w:val="Heading3"/>
      </w:pPr>
      <w:r w:rsidRPr="00B12148">
        <w:t>Factors favouring access</w:t>
      </w:r>
    </w:p>
    <w:p w:rsidR="0069244A" w:rsidRPr="00B12148" w:rsidRDefault="00A92DCD" w:rsidP="00E10D59">
      <w:pPr>
        <w:pStyle w:val="ListNumber"/>
        <w:keepNext/>
        <w:numPr>
          <w:ilvl w:val="0"/>
          <w:numId w:val="1"/>
        </w:numPr>
      </w:pPr>
      <w:bookmarkStart w:id="15" w:name="_Ref422574919"/>
      <w:r w:rsidRPr="00B12148">
        <w:t>Section</w:t>
      </w:r>
      <w:r w:rsidR="0040675C">
        <w:t> </w:t>
      </w:r>
      <w:r w:rsidRPr="00B12148">
        <w:t xml:space="preserve">11B(3) of the </w:t>
      </w:r>
      <w:r w:rsidR="0040675C">
        <w:t>FOI Act</w:t>
      </w:r>
      <w:r w:rsidRPr="00B12148">
        <w:t xml:space="preserve"> </w:t>
      </w:r>
      <w:r w:rsidR="0069244A" w:rsidRPr="00B12148">
        <w:t>provides:</w:t>
      </w:r>
      <w:bookmarkEnd w:id="15"/>
    </w:p>
    <w:p w:rsidR="0069244A" w:rsidRPr="00B12148" w:rsidRDefault="0069244A" w:rsidP="0069244A">
      <w:pPr>
        <w:pStyle w:val="Act-sectionhead"/>
      </w:pPr>
      <w:r w:rsidRPr="00B12148">
        <w:t>11B</w:t>
      </w:r>
      <w:r w:rsidR="0040675C">
        <w:t>  </w:t>
      </w:r>
      <w:r w:rsidRPr="00B12148">
        <w:t>Public interest exemptions—factors</w:t>
      </w:r>
    </w:p>
    <w:p w:rsidR="0069244A" w:rsidRPr="00B12148" w:rsidRDefault="0069244A" w:rsidP="0069244A">
      <w:pPr>
        <w:pStyle w:val="Act-subsection"/>
      </w:pPr>
      <w:r w:rsidRPr="00B12148">
        <w:tab/>
        <w:t>…</w:t>
      </w:r>
    </w:p>
    <w:p w:rsidR="0069244A" w:rsidRPr="00B12148" w:rsidRDefault="0069244A" w:rsidP="0069244A">
      <w:pPr>
        <w:pStyle w:val="Act-subsectionhead"/>
      </w:pPr>
      <w:r w:rsidRPr="00B12148">
        <w:t>Factors favouring access</w:t>
      </w:r>
    </w:p>
    <w:p w:rsidR="0069244A" w:rsidRPr="00B12148" w:rsidRDefault="0069244A" w:rsidP="0069244A">
      <w:pPr>
        <w:pStyle w:val="Act-subsection"/>
      </w:pPr>
      <w:r w:rsidRPr="00B12148">
        <w:tab/>
        <w:t>(3)</w:t>
      </w:r>
      <w:r w:rsidRPr="00B12148">
        <w:tab/>
        <w:t>Factors favouring access to the document in the public interest include whether access to the document would do any of the following:</w:t>
      </w:r>
    </w:p>
    <w:p w:rsidR="0069244A" w:rsidRPr="00B12148" w:rsidRDefault="0069244A" w:rsidP="0069244A">
      <w:pPr>
        <w:pStyle w:val="Act-paragraph"/>
      </w:pPr>
      <w:r w:rsidRPr="00B12148">
        <w:tab/>
        <w:t>(a)</w:t>
      </w:r>
      <w:r w:rsidRPr="00B12148">
        <w:tab/>
        <w:t xml:space="preserve">promote the objects of this Act (including all </w:t>
      </w:r>
      <w:r w:rsidR="00577A35" w:rsidRPr="00B12148">
        <w:t>the matters set out in sections</w:t>
      </w:r>
      <w:r w:rsidR="0040675C">
        <w:t> </w:t>
      </w:r>
      <w:r w:rsidR="00577A35" w:rsidRPr="00B12148">
        <w:t>3 and</w:t>
      </w:r>
      <w:r w:rsidR="0040675C">
        <w:t> </w:t>
      </w:r>
      <w:r w:rsidRPr="00B12148">
        <w:t>3A);</w:t>
      </w:r>
    </w:p>
    <w:p w:rsidR="0069244A" w:rsidRPr="00B12148" w:rsidRDefault="0069244A" w:rsidP="0069244A">
      <w:pPr>
        <w:pStyle w:val="Act-paragraph"/>
      </w:pPr>
      <w:r w:rsidRPr="00B12148">
        <w:tab/>
        <w:t>(b)</w:t>
      </w:r>
      <w:r w:rsidRPr="00B12148">
        <w:tab/>
        <w:t>inform debate on a matter of public importance;</w:t>
      </w:r>
    </w:p>
    <w:p w:rsidR="0069244A" w:rsidRPr="00B12148" w:rsidRDefault="0069244A" w:rsidP="0069244A">
      <w:pPr>
        <w:pStyle w:val="Act-paragraph"/>
      </w:pPr>
      <w:r w:rsidRPr="00B12148">
        <w:tab/>
        <w:t>(c)</w:t>
      </w:r>
      <w:r w:rsidRPr="00B12148">
        <w:tab/>
        <w:t>promote effective oversight of public expenditure;</w:t>
      </w:r>
    </w:p>
    <w:p w:rsidR="0069244A" w:rsidRPr="00B12148" w:rsidRDefault="0069244A" w:rsidP="0069244A">
      <w:pPr>
        <w:pStyle w:val="Act-paragraph"/>
      </w:pPr>
      <w:r w:rsidRPr="00B12148">
        <w:tab/>
        <w:t>(d)</w:t>
      </w:r>
      <w:r w:rsidRPr="00B12148">
        <w:tab/>
        <w:t>allow a person to access his or her own personal information.</w:t>
      </w:r>
    </w:p>
    <w:p w:rsidR="007F3D1F" w:rsidRPr="00B12148" w:rsidRDefault="00A934F7" w:rsidP="00536FFC">
      <w:pPr>
        <w:pStyle w:val="ListNumber"/>
        <w:numPr>
          <w:ilvl w:val="0"/>
          <w:numId w:val="1"/>
        </w:numPr>
      </w:pPr>
      <w:r w:rsidRPr="00B12148">
        <w:t xml:space="preserve">The Department concedes that </w:t>
      </w:r>
      <w:r w:rsidR="00CD542A" w:rsidRPr="00B12148">
        <w:t>access to the documents would promote the objects of the Act</w:t>
      </w:r>
      <w:r w:rsidR="007F3D1F" w:rsidRPr="00B12148">
        <w:t xml:space="preserve"> (s</w:t>
      </w:r>
      <w:r w:rsidR="0040675C">
        <w:t> </w:t>
      </w:r>
      <w:r w:rsidR="007F3D1F" w:rsidRPr="00B12148">
        <w:t>11B(3)(a)</w:t>
      </w:r>
      <w:r w:rsidR="00E04DBD" w:rsidRPr="00B12148">
        <w:t>)</w:t>
      </w:r>
      <w:r w:rsidR="00CD542A" w:rsidRPr="00B12148">
        <w:t xml:space="preserve">, specifically the promotion of </w:t>
      </w:r>
      <w:r w:rsidR="0040675C">
        <w:t>“</w:t>
      </w:r>
      <w:r w:rsidR="00CD542A" w:rsidRPr="00B12148">
        <w:t>Australia</w:t>
      </w:r>
      <w:r w:rsidR="0040675C">
        <w:t>’</w:t>
      </w:r>
      <w:r w:rsidR="00CD542A" w:rsidRPr="00B12148">
        <w:t xml:space="preserve">s representative democracy by contributing towards … increasing public </w:t>
      </w:r>
      <w:r w:rsidR="007964C5" w:rsidRPr="00B12148">
        <w:t>participation in Government processes</w:t>
      </w:r>
      <w:r w:rsidR="0040675C">
        <w:t>”</w:t>
      </w:r>
      <w:r w:rsidR="007964C5" w:rsidRPr="00B12148">
        <w:t xml:space="preserve">—in this case, </w:t>
      </w:r>
      <w:r w:rsidR="00A66D66" w:rsidRPr="00B12148">
        <w:t xml:space="preserve">the </w:t>
      </w:r>
      <w:r w:rsidR="007964C5" w:rsidRPr="00B12148">
        <w:t>pro</w:t>
      </w:r>
      <w:r w:rsidR="00A66D66" w:rsidRPr="00B12148">
        <w:t>cess</w:t>
      </w:r>
      <w:r w:rsidR="007964C5" w:rsidRPr="00B12148">
        <w:t xml:space="preserve"> for determining appropriate higher education policy—</w:t>
      </w:r>
      <w:r w:rsidR="00034A87">
        <w:t>“</w:t>
      </w:r>
      <w:r w:rsidR="007964C5" w:rsidRPr="00B12148">
        <w:t>with a view to promoting better informed decision making</w:t>
      </w:r>
      <w:r w:rsidR="0040675C">
        <w:t>”</w:t>
      </w:r>
      <w:r w:rsidR="00CD542A" w:rsidRPr="00B12148">
        <w:t>.</w:t>
      </w:r>
      <w:r w:rsidR="00CD542A" w:rsidRPr="0040675C">
        <w:rPr>
          <w:rStyle w:val="FootnoteReference"/>
        </w:rPr>
        <w:footnoteReference w:id="23"/>
      </w:r>
      <w:r w:rsidR="0055161A">
        <w:t xml:space="preserve"> </w:t>
      </w:r>
      <w:r w:rsidR="0040675C">
        <w:t xml:space="preserve"> </w:t>
      </w:r>
      <w:r w:rsidR="00CD03EA" w:rsidRPr="00B12148">
        <w:t xml:space="preserve">The Department also concedes that </w:t>
      </w:r>
      <w:r w:rsidR="00CD542A" w:rsidRPr="00B12148">
        <w:t>higher education reform is a</w:t>
      </w:r>
      <w:r w:rsidR="005255FA" w:rsidRPr="00B12148">
        <w:t xml:space="preserve"> matter of </w:t>
      </w:r>
      <w:r w:rsidR="00CD542A" w:rsidRPr="00B12148">
        <w:t>public importance</w:t>
      </w:r>
      <w:r w:rsidR="00CD41F5" w:rsidRPr="00B12148">
        <w:t>, and that disclosure of the documents would inform debate on that issue</w:t>
      </w:r>
      <w:r w:rsidR="007F3D1F" w:rsidRPr="00B12148">
        <w:t xml:space="preserve"> (s</w:t>
      </w:r>
      <w:r w:rsidR="0040675C">
        <w:t> </w:t>
      </w:r>
      <w:r w:rsidR="007F3D1F" w:rsidRPr="00B12148">
        <w:t>11B(3)(b))</w:t>
      </w:r>
      <w:r w:rsidR="0040675C">
        <w:t xml:space="preserve">.  </w:t>
      </w:r>
      <w:r w:rsidR="00F244F7" w:rsidRPr="00B12148">
        <w:t xml:space="preserve">No issues arise in this </w:t>
      </w:r>
      <w:r w:rsidR="00CA673A" w:rsidRPr="00B12148">
        <w:t>review</w:t>
      </w:r>
      <w:r w:rsidR="00F244F7" w:rsidRPr="00B12148">
        <w:t xml:space="preserve"> regarding</w:t>
      </w:r>
      <w:r w:rsidR="00096D6C" w:rsidRPr="00B12148">
        <w:t xml:space="preserve"> </w:t>
      </w:r>
      <w:r w:rsidR="00CA673A" w:rsidRPr="00B12148">
        <w:t xml:space="preserve">the </w:t>
      </w:r>
      <w:r w:rsidR="00096D6C" w:rsidRPr="00B12148">
        <w:t>oversight of public expenditure</w:t>
      </w:r>
      <w:r w:rsidR="007F3D1F" w:rsidRPr="00B12148">
        <w:t xml:space="preserve"> (</w:t>
      </w:r>
      <w:r w:rsidR="00A439D2" w:rsidRPr="00B12148">
        <w:t>s</w:t>
      </w:r>
      <w:r w:rsidR="0040675C">
        <w:t> </w:t>
      </w:r>
      <w:r w:rsidR="00A439D2" w:rsidRPr="00B12148">
        <w:t>11</w:t>
      </w:r>
      <w:r w:rsidR="007F3D1F" w:rsidRPr="00B12148">
        <w:t>B(3)(c</w:t>
      </w:r>
      <w:r w:rsidR="00F244F7" w:rsidRPr="00B12148">
        <w:t>))</w:t>
      </w:r>
      <w:r w:rsidR="00CA673A" w:rsidRPr="00B12148">
        <w:t>,</w:t>
      </w:r>
      <w:r w:rsidR="00420562" w:rsidRPr="0040675C">
        <w:rPr>
          <w:rStyle w:val="FootnoteReference"/>
        </w:rPr>
        <w:footnoteReference w:id="24"/>
      </w:r>
      <w:r w:rsidR="00F244F7" w:rsidRPr="00B12148">
        <w:t xml:space="preserve"> or</w:t>
      </w:r>
      <w:r w:rsidR="007F3D1F" w:rsidRPr="00B12148">
        <w:t xml:space="preserve"> </w:t>
      </w:r>
      <w:r w:rsidR="00A439D2" w:rsidRPr="00B12148">
        <w:t>Mr</w:t>
      </w:r>
      <w:r w:rsidR="0040675C">
        <w:t> </w:t>
      </w:r>
      <w:r w:rsidR="00CA673A" w:rsidRPr="00B12148">
        <w:t>Rovere</w:t>
      </w:r>
      <w:r w:rsidR="0040675C">
        <w:t>’</w:t>
      </w:r>
      <w:r w:rsidR="00CA673A" w:rsidRPr="00B12148">
        <w:t xml:space="preserve">s </w:t>
      </w:r>
      <w:r w:rsidR="007F3D1F" w:rsidRPr="00B12148">
        <w:t>personal information</w:t>
      </w:r>
      <w:r w:rsidR="00F244F7" w:rsidRPr="00B12148">
        <w:t xml:space="preserve"> (</w:t>
      </w:r>
      <w:r w:rsidR="00A439D2" w:rsidRPr="00B12148">
        <w:t>s</w:t>
      </w:r>
      <w:r w:rsidR="0040675C">
        <w:t> </w:t>
      </w:r>
      <w:r w:rsidR="00A439D2" w:rsidRPr="00B12148">
        <w:t>11</w:t>
      </w:r>
      <w:r w:rsidR="00F244F7" w:rsidRPr="00B12148">
        <w:t>B(3)(d)).</w:t>
      </w:r>
    </w:p>
    <w:p w:rsidR="008E73A5" w:rsidRPr="00B12148" w:rsidRDefault="00EA5FD1" w:rsidP="008E73A5">
      <w:pPr>
        <w:pStyle w:val="ListNumber"/>
        <w:numPr>
          <w:ilvl w:val="0"/>
          <w:numId w:val="1"/>
        </w:numPr>
      </w:pPr>
      <w:r w:rsidRPr="00B12148">
        <w:t>The FOI Guidelines include a non</w:t>
      </w:r>
      <w:r w:rsidR="004E27B5">
        <w:t>-</w:t>
      </w:r>
      <w:r w:rsidRPr="00B12148">
        <w:t>exhaustive list of further factors favouring access.</w:t>
      </w:r>
      <w:r w:rsidRPr="0040675C">
        <w:rPr>
          <w:rStyle w:val="FootnoteReference"/>
        </w:rPr>
        <w:footnoteReference w:id="25"/>
      </w:r>
      <w:r w:rsidR="0055161A">
        <w:t xml:space="preserve"> </w:t>
      </w:r>
      <w:r w:rsidR="0040675C">
        <w:t xml:space="preserve"> </w:t>
      </w:r>
      <w:r w:rsidR="008E73A5" w:rsidRPr="00B12148">
        <w:t>Only two of those factors are relevant to the documents: access would reveal the reason for a government decision and any background or contextual information that informed the decision; and access would enhance the scrutiny of government decision making.</w:t>
      </w:r>
    </w:p>
    <w:p w:rsidR="004D3D15" w:rsidRPr="00B12148" w:rsidRDefault="00AD1B8E" w:rsidP="00D426FA">
      <w:pPr>
        <w:pStyle w:val="ListNumber"/>
        <w:keepLines/>
        <w:numPr>
          <w:ilvl w:val="0"/>
          <w:numId w:val="1"/>
        </w:numPr>
      </w:pPr>
      <w:bookmarkStart w:id="16" w:name="_Ref422576771"/>
      <w:r w:rsidRPr="00B12148">
        <w:t>Mr</w:t>
      </w:r>
      <w:r w:rsidR="0040675C">
        <w:t> </w:t>
      </w:r>
      <w:r w:rsidR="00BF08E0" w:rsidRPr="00B12148">
        <w:t xml:space="preserve">Rovere says that the public interest in access to the documents is </w:t>
      </w:r>
      <w:r w:rsidR="0040675C">
        <w:t>“</w:t>
      </w:r>
      <w:r w:rsidR="00BF08E0" w:rsidRPr="00B12148">
        <w:t>simply overwhelming</w:t>
      </w:r>
      <w:r w:rsidR="0040675C">
        <w:t>”</w:t>
      </w:r>
      <w:r w:rsidR="00BF08E0" w:rsidRPr="00B12148">
        <w:t xml:space="preserve">, on both </w:t>
      </w:r>
      <w:r w:rsidR="0040675C">
        <w:t>“</w:t>
      </w:r>
      <w:r w:rsidR="00BF08E0" w:rsidRPr="00B12148">
        <w:t>an individual and societal level</w:t>
      </w:r>
      <w:r w:rsidR="0040675C">
        <w:t xml:space="preserve">”.  </w:t>
      </w:r>
      <w:r w:rsidR="00BF08E0" w:rsidRPr="00B12148">
        <w:t xml:space="preserve">Without access to the documents, he says, </w:t>
      </w:r>
      <w:r w:rsidR="0040675C">
        <w:t>“</w:t>
      </w:r>
      <w:r w:rsidR="00BF08E0" w:rsidRPr="00B12148">
        <w:t>prospective students will be unable to accurately assess the financial impact and benefit of this major life decision [</w:t>
      </w:r>
      <w:r w:rsidR="005536CE" w:rsidRPr="00B12148">
        <w:t xml:space="preserve">whether </w:t>
      </w:r>
      <w:r w:rsidR="00BF08E0" w:rsidRPr="00B12148">
        <w:t>to embark upon higher education], and the public will not be able to assess this against what is deemed the appropriate balance between the individual and public benefit of tertiary education as a whole</w:t>
      </w:r>
      <w:r w:rsidR="0040675C">
        <w:t>”</w:t>
      </w:r>
      <w:r w:rsidR="004D3D15" w:rsidRPr="00B12148">
        <w:t>.</w:t>
      </w:r>
      <w:bookmarkEnd w:id="16"/>
    </w:p>
    <w:p w:rsidR="004D3D15" w:rsidRPr="00B12148" w:rsidRDefault="00AD1B8E" w:rsidP="004B0F3F">
      <w:pPr>
        <w:pStyle w:val="ListNumber"/>
        <w:numPr>
          <w:ilvl w:val="0"/>
          <w:numId w:val="1"/>
        </w:numPr>
      </w:pPr>
      <w:bookmarkStart w:id="17" w:name="_Ref422405411"/>
      <w:r w:rsidRPr="00B12148">
        <w:t>I</w:t>
      </w:r>
      <w:r w:rsidR="0040675C">
        <w:t> </w:t>
      </w:r>
      <w:r w:rsidR="004B0F3F" w:rsidRPr="00B12148">
        <w:t xml:space="preserve">do not </w:t>
      </w:r>
      <w:r w:rsidR="004D3D15" w:rsidRPr="00B12148">
        <w:t>agree with Mr</w:t>
      </w:r>
      <w:r w:rsidR="0040675C">
        <w:t> </w:t>
      </w:r>
      <w:r w:rsidR="004D3D15" w:rsidRPr="00B12148">
        <w:t xml:space="preserve">Rovere about the </w:t>
      </w:r>
      <w:r w:rsidR="00F7684B" w:rsidRPr="00B12148">
        <w:t>value</w:t>
      </w:r>
      <w:r w:rsidR="004D3D15" w:rsidRPr="00B12148">
        <w:t xml:space="preserve"> of the documents to prospective students</w:t>
      </w:r>
      <w:r w:rsidR="0040675C">
        <w:t xml:space="preserve">.  </w:t>
      </w:r>
      <w:r w:rsidR="004D3D15" w:rsidRPr="00B12148">
        <w:t xml:space="preserve">As noted above, the documents </w:t>
      </w:r>
      <w:r w:rsidR="00A45C92" w:rsidRPr="00B12148">
        <w:t xml:space="preserve">include modelling, though not econometric modelling, of possible student fees </w:t>
      </w:r>
      <w:r w:rsidR="00FB0716" w:rsidRPr="00B12148">
        <w:t xml:space="preserve">for a given course at a given </w:t>
      </w:r>
      <w:r w:rsidR="00294F68" w:rsidRPr="00B12148">
        <w:t>university</w:t>
      </w:r>
      <w:r w:rsidR="00117165" w:rsidRPr="00B12148">
        <w:t>,</w:t>
      </w:r>
      <w:r w:rsidR="00F03022" w:rsidRPr="00B12148">
        <w:t xml:space="preserve"> </w:t>
      </w:r>
      <w:r w:rsidR="00A45C92" w:rsidRPr="00B12148">
        <w:t>given certain assumptions</w:t>
      </w:r>
      <w:r w:rsidR="0040675C">
        <w:t xml:space="preserve">.  </w:t>
      </w:r>
      <w:r w:rsidR="002037A0" w:rsidRPr="00B12148">
        <w:t>The modelling</w:t>
      </w:r>
      <w:r w:rsidR="00A45C92" w:rsidRPr="00B12148">
        <w:t xml:space="preserve"> is </w:t>
      </w:r>
      <w:r w:rsidR="00FB0716" w:rsidRPr="00B12148">
        <w:t xml:space="preserve">speculative at the system </w:t>
      </w:r>
      <w:r w:rsidR="005039B3" w:rsidRPr="00B12148">
        <w:t xml:space="preserve">level; its </w:t>
      </w:r>
      <w:r w:rsidR="00FB0716" w:rsidRPr="00B12148">
        <w:t>accuracy</w:t>
      </w:r>
      <w:r w:rsidR="005039B3" w:rsidRPr="00B12148">
        <w:t xml:space="preserve"> at an individual level must be </w:t>
      </w:r>
      <w:r w:rsidR="00FB0716" w:rsidRPr="00B12148">
        <w:t>very low</w:t>
      </w:r>
      <w:r w:rsidR="0040675C">
        <w:t xml:space="preserve">.  </w:t>
      </w:r>
      <w:r w:rsidR="00165E0C" w:rsidRPr="00B12148">
        <w:t>The documents are clearly of interest to prospective students</w:t>
      </w:r>
      <w:r w:rsidR="0040675C">
        <w:t xml:space="preserve">.  </w:t>
      </w:r>
      <w:r w:rsidR="00165E0C" w:rsidRPr="00B12148">
        <w:t xml:space="preserve">But </w:t>
      </w:r>
      <w:r w:rsidR="00C3659D" w:rsidRPr="00B12148">
        <w:t>the</w:t>
      </w:r>
      <w:r w:rsidR="00205FC6" w:rsidRPr="00B12148">
        <w:t xml:space="preserve"> modelling in the documents</w:t>
      </w:r>
      <w:r w:rsidR="00C3659D" w:rsidRPr="00B12148">
        <w:t xml:space="preserve"> </w:t>
      </w:r>
      <w:r w:rsidR="00205FC6" w:rsidRPr="00B12148">
        <w:t xml:space="preserve">is not </w:t>
      </w:r>
      <w:r w:rsidR="005039B3" w:rsidRPr="00B12148">
        <w:t xml:space="preserve">the sort of information upon which someone could sensibly make a </w:t>
      </w:r>
      <w:r w:rsidR="0040675C">
        <w:t>“</w:t>
      </w:r>
      <w:r w:rsidR="005039B3" w:rsidRPr="00B12148">
        <w:t>major life decision</w:t>
      </w:r>
      <w:r w:rsidR="0040675C">
        <w:t>”</w:t>
      </w:r>
      <w:r w:rsidR="008D3BE3" w:rsidRPr="00B12148">
        <w:t>.</w:t>
      </w:r>
      <w:bookmarkEnd w:id="17"/>
    </w:p>
    <w:p w:rsidR="00F7684B" w:rsidRPr="00B12148" w:rsidRDefault="001A60AD" w:rsidP="004B0F3F">
      <w:pPr>
        <w:pStyle w:val="ListNumber"/>
        <w:numPr>
          <w:ilvl w:val="0"/>
          <w:numId w:val="1"/>
        </w:numPr>
      </w:pPr>
      <w:bookmarkStart w:id="18" w:name="_Ref422574926"/>
      <w:r w:rsidRPr="00B12148">
        <w:t>T</w:t>
      </w:r>
      <w:r w:rsidR="007744F8" w:rsidRPr="00B12148">
        <w:t>here is clearly a general public interest in the documents</w:t>
      </w:r>
      <w:r w:rsidR="0040675C">
        <w:t xml:space="preserve">.  </w:t>
      </w:r>
      <w:r w:rsidRPr="00B12148">
        <w:t>Their disclosure would reveal some of the background or contextual information that has informed the Government</w:t>
      </w:r>
      <w:r w:rsidR="0040675C">
        <w:t>’</w:t>
      </w:r>
      <w:r w:rsidRPr="00B12148">
        <w:t>s decision</w:t>
      </w:r>
      <w:r w:rsidR="004E27B5">
        <w:t>-</w:t>
      </w:r>
      <w:r w:rsidRPr="00B12148">
        <w:t>making in this area</w:t>
      </w:r>
      <w:r w:rsidR="0040675C">
        <w:t xml:space="preserve">.  </w:t>
      </w:r>
      <w:r w:rsidRPr="00B12148">
        <w:t>The disclosure of the documents would inform debate on the issue of higher education reform, which is a matter of public importance.</w:t>
      </w:r>
      <w:bookmarkEnd w:id="18"/>
    </w:p>
    <w:p w:rsidR="00FF5942" w:rsidRPr="00B12148" w:rsidRDefault="00A92DCD" w:rsidP="00A92DCD">
      <w:pPr>
        <w:pStyle w:val="Heading3"/>
      </w:pPr>
      <w:r w:rsidRPr="00B12148">
        <w:t>Factors against access</w:t>
      </w:r>
    </w:p>
    <w:p w:rsidR="00303462" w:rsidRPr="00B12148" w:rsidRDefault="001A60AD" w:rsidP="003658D3">
      <w:pPr>
        <w:pStyle w:val="ListNumber"/>
      </w:pPr>
      <w:r w:rsidRPr="00B12148">
        <w:t xml:space="preserve">The </w:t>
      </w:r>
      <w:r w:rsidR="0040675C">
        <w:t>FOI Act</w:t>
      </w:r>
      <w:r w:rsidRPr="00B12148">
        <w:t xml:space="preserve"> does not </w:t>
      </w:r>
      <w:r w:rsidR="00303462" w:rsidRPr="00B12148">
        <w:t>specify any factors against giving access to documents</w:t>
      </w:r>
      <w:r w:rsidR="0040675C">
        <w:t xml:space="preserve">.  </w:t>
      </w:r>
      <w:r w:rsidR="00303462" w:rsidRPr="00B12148">
        <w:t>The FOI Guidelines include a non</w:t>
      </w:r>
      <w:r w:rsidR="004E27B5">
        <w:t>-</w:t>
      </w:r>
      <w:r w:rsidR="00303462" w:rsidRPr="00B12148">
        <w:t>exhaustive list of such factors,</w:t>
      </w:r>
      <w:r w:rsidR="00303462" w:rsidRPr="0040675C">
        <w:rPr>
          <w:rStyle w:val="FootnoteReference"/>
        </w:rPr>
        <w:footnoteReference w:id="26"/>
      </w:r>
      <w:r w:rsidR="00303462" w:rsidRPr="00B12148">
        <w:t xml:space="preserve"> but none of those factors is relevant to this review.</w:t>
      </w:r>
    </w:p>
    <w:p w:rsidR="00E2308A" w:rsidRPr="00B12148" w:rsidRDefault="00303462" w:rsidP="0070121A">
      <w:pPr>
        <w:pStyle w:val="ListNumber"/>
        <w:keepNext/>
      </w:pPr>
      <w:r w:rsidRPr="00B12148">
        <w:t xml:space="preserve">The Department </w:t>
      </w:r>
      <w:r w:rsidR="00572B6D" w:rsidRPr="00B12148">
        <w:t xml:space="preserve">argues that </w:t>
      </w:r>
      <w:r w:rsidR="007735DD" w:rsidRPr="00B12148">
        <w:t xml:space="preserve">there are </w:t>
      </w:r>
      <w:r w:rsidR="00572B6D" w:rsidRPr="00B12148">
        <w:t xml:space="preserve">four </w:t>
      </w:r>
      <w:r w:rsidR="00E2308A" w:rsidRPr="00B12148">
        <w:t>factors against giving access</w:t>
      </w:r>
      <w:r w:rsidR="00A85308" w:rsidRPr="00B12148">
        <w:t>,</w:t>
      </w:r>
      <w:r w:rsidR="00D675C7" w:rsidRPr="00B12148">
        <w:t xml:space="preserve"> </w:t>
      </w:r>
      <w:r w:rsidR="00A85308" w:rsidRPr="00B12148">
        <w:t xml:space="preserve">which are </w:t>
      </w:r>
      <w:r w:rsidR="00D675C7" w:rsidRPr="00B12148">
        <w:t>relevant to this review</w:t>
      </w:r>
      <w:r w:rsidR="0040675C">
        <w:t xml:space="preserve">.  </w:t>
      </w:r>
      <w:r w:rsidR="007735DD" w:rsidRPr="00B12148">
        <w:t>It says that</w:t>
      </w:r>
      <w:r w:rsidR="00572B6D" w:rsidRPr="00B12148">
        <w:t xml:space="preserve"> disclosing the documents would</w:t>
      </w:r>
      <w:r w:rsidR="00E2308A" w:rsidRPr="00B12148">
        <w:t>:</w:t>
      </w:r>
    </w:p>
    <w:p w:rsidR="00D71A04" w:rsidRPr="00B12148" w:rsidRDefault="00D71A04" w:rsidP="00D426FA">
      <w:pPr>
        <w:pStyle w:val="ListBullet"/>
        <w:keepNext/>
      </w:pPr>
      <w:r w:rsidRPr="00B12148">
        <w:t>damage the operation of a deregulated market;</w:t>
      </w:r>
    </w:p>
    <w:p w:rsidR="00EC6E9A" w:rsidRPr="00B12148" w:rsidRDefault="00EC6E9A" w:rsidP="00EC6E9A">
      <w:pPr>
        <w:pStyle w:val="ListBullet"/>
      </w:pPr>
      <w:r w:rsidRPr="00B12148">
        <w:t>interfere with the free</w:t>
      </w:r>
      <w:r w:rsidR="009A5FF5" w:rsidRPr="00B12148">
        <w:t xml:space="preserve"> </w:t>
      </w:r>
      <w:r w:rsidRPr="00B12148">
        <w:t>flow of advice to the Minister</w:t>
      </w:r>
      <w:r w:rsidR="00F47BCD" w:rsidRPr="00B12148">
        <w:t xml:space="preserve"> (</w:t>
      </w:r>
      <w:r w:rsidR="00E2308A" w:rsidRPr="00B12148">
        <w:t>frankness and candour</w:t>
      </w:r>
      <w:r w:rsidR="00F47BCD" w:rsidRPr="00B12148">
        <w:t>)</w:t>
      </w:r>
      <w:r w:rsidR="00D675C7" w:rsidRPr="00B12148">
        <w:t>;</w:t>
      </w:r>
    </w:p>
    <w:p w:rsidR="00DE71A1" w:rsidRPr="00B12148" w:rsidRDefault="00DE71A1" w:rsidP="00DE71A1">
      <w:pPr>
        <w:pStyle w:val="ListBullet"/>
      </w:pPr>
      <w:r w:rsidRPr="00B12148">
        <w:t>disclose confidential Treasury projections</w:t>
      </w:r>
      <w:r w:rsidR="00D675C7" w:rsidRPr="00B12148">
        <w:t>;</w:t>
      </w:r>
      <w:r w:rsidR="00D71A04" w:rsidRPr="00B12148">
        <w:t xml:space="preserve"> and</w:t>
      </w:r>
    </w:p>
    <w:p w:rsidR="00E2308A" w:rsidRPr="00B12148" w:rsidRDefault="00E2308A" w:rsidP="0053445E">
      <w:pPr>
        <w:pStyle w:val="ListBullet"/>
      </w:pPr>
      <w:r w:rsidRPr="00B12148">
        <w:t>(in relation to</w:t>
      </w:r>
      <w:r w:rsidR="00F47BCD" w:rsidRPr="00B12148">
        <w:t xml:space="preserve"> two of the documents</w:t>
      </w:r>
      <w:r w:rsidR="000E1062" w:rsidRPr="00B12148">
        <w:t xml:space="preserve">) affect the </w:t>
      </w:r>
      <w:r w:rsidRPr="00B12148">
        <w:t xml:space="preserve">confidentiality of </w:t>
      </w:r>
      <w:r w:rsidR="000E1062" w:rsidRPr="00B12148">
        <w:t>question time briefs</w:t>
      </w:r>
      <w:r w:rsidR="00D675C7" w:rsidRPr="00B12148">
        <w:t>.</w:t>
      </w:r>
    </w:p>
    <w:p w:rsidR="00B800FB" w:rsidRPr="00B12148" w:rsidRDefault="00B800FB" w:rsidP="00B800FB">
      <w:pPr>
        <w:pStyle w:val="Heading4"/>
      </w:pPr>
      <w:r w:rsidRPr="00B12148">
        <w:t>Damage to the operation of a deregulated market</w:t>
      </w:r>
    </w:p>
    <w:p w:rsidR="00144132" w:rsidRPr="00B12148" w:rsidRDefault="00144132" w:rsidP="00B800FB">
      <w:pPr>
        <w:pStyle w:val="ListNumber"/>
      </w:pPr>
      <w:r w:rsidRPr="00B12148">
        <w:t xml:space="preserve">The Department says that disclosure of the documents would influence the pricing of course fees in </w:t>
      </w:r>
      <w:r w:rsidR="00615DCA" w:rsidRPr="00B12148">
        <w:t>a</w:t>
      </w:r>
      <w:r w:rsidRPr="00B12148">
        <w:t xml:space="preserve"> </w:t>
      </w:r>
      <w:r w:rsidR="00615DCA" w:rsidRPr="00B12148">
        <w:t xml:space="preserve">deregulated </w:t>
      </w:r>
      <w:r w:rsidRPr="00B12148">
        <w:t>higher education market</w:t>
      </w:r>
      <w:r w:rsidR="0040675C">
        <w:t xml:space="preserve">.  </w:t>
      </w:r>
      <w:r w:rsidRPr="00B12148">
        <w:t>It says that only two universities have disclosed the fees that they will impose</w:t>
      </w:r>
      <w:r w:rsidR="00615DCA" w:rsidRPr="00B12148">
        <w:t xml:space="preserve">, and that </w:t>
      </w:r>
      <w:r w:rsidRPr="00B12148">
        <w:t>disclosure of the documents would significant</w:t>
      </w:r>
      <w:r w:rsidR="00615DCA" w:rsidRPr="00B12148">
        <w:t>ly</w:t>
      </w:r>
      <w:r w:rsidRPr="00B12148">
        <w:t xml:space="preserve"> influence the remaining </w:t>
      </w:r>
      <w:r w:rsidR="00294F68" w:rsidRPr="00B12148">
        <w:t>universities</w:t>
      </w:r>
      <w:r w:rsidRPr="00B12148">
        <w:t xml:space="preserve"> when they set their fees</w:t>
      </w:r>
      <w:r w:rsidR="0040675C">
        <w:t xml:space="preserve">.  </w:t>
      </w:r>
      <w:r w:rsidRPr="00B12148">
        <w:t>This, the Department argues, would be contrary to the principles of a deregulated market</w:t>
      </w:r>
      <w:r w:rsidR="002E1AFD" w:rsidRPr="00B12148">
        <w:t>.</w:t>
      </w:r>
    </w:p>
    <w:p w:rsidR="00BE6CF9" w:rsidRPr="00B12148" w:rsidRDefault="00615DCA" w:rsidP="00B52F23">
      <w:pPr>
        <w:pStyle w:val="ListNumber"/>
      </w:pPr>
      <w:r w:rsidRPr="00B12148">
        <w:t>Mr</w:t>
      </w:r>
      <w:r w:rsidR="0040675C">
        <w:t> </w:t>
      </w:r>
      <w:r w:rsidR="00BE6CF9" w:rsidRPr="00B12148">
        <w:t>Griew said that disclosing the Department</w:t>
      </w:r>
      <w:r w:rsidR="0040675C">
        <w:t>’</w:t>
      </w:r>
      <w:r w:rsidR="00BE6CF9" w:rsidRPr="00B12148">
        <w:t xml:space="preserve">s modelling on fees would jeopardise the core objective of the reforms: </w:t>
      </w:r>
      <w:r w:rsidR="0040675C">
        <w:t>“</w:t>
      </w:r>
      <w:r w:rsidR="00BE6CF9" w:rsidRPr="00B12148">
        <w:t>genuine price competition, with institutions competing with each other to offer the most attractive courses, and students being able to exercise genuine choice</w:t>
      </w:r>
      <w:r w:rsidR="0040675C">
        <w:t xml:space="preserve">”.  </w:t>
      </w:r>
      <w:r w:rsidR="00BE6CF9" w:rsidRPr="00B12148">
        <w:t xml:space="preserve">He said that there are international examples </w:t>
      </w:r>
      <w:r w:rsidR="0040675C">
        <w:t>“</w:t>
      </w:r>
      <w:r w:rsidR="00BE6CF9" w:rsidRPr="00B12148">
        <w:t>where price signalling by government has led to an unhealthy convergence of price points</w:t>
      </w:r>
      <w:r w:rsidR="0040675C">
        <w:t xml:space="preserve">”.  </w:t>
      </w:r>
      <w:r w:rsidRPr="00B12148">
        <w:t>I</w:t>
      </w:r>
      <w:r w:rsidR="0040675C">
        <w:t> </w:t>
      </w:r>
      <w:r w:rsidR="00BE6CF9" w:rsidRPr="00B12148">
        <w:t>accept this evidence.</w:t>
      </w:r>
    </w:p>
    <w:p w:rsidR="002E1AFD" w:rsidRPr="00B12148" w:rsidRDefault="002E1AFD" w:rsidP="00C753F4">
      <w:pPr>
        <w:pStyle w:val="ListNumber"/>
      </w:pPr>
      <w:r w:rsidRPr="00B12148">
        <w:t xml:space="preserve">The Department says that the disclosure of </w:t>
      </w:r>
      <w:r w:rsidR="0040675C">
        <w:t>“</w:t>
      </w:r>
      <w:r w:rsidRPr="00B12148">
        <w:t>modelling and calculations done for the purpose of informing the Minister could be taken to indicate the government</w:t>
      </w:r>
      <w:r w:rsidR="0040675C">
        <w:t>’</w:t>
      </w:r>
      <w:r w:rsidRPr="00B12148">
        <w:t>s views about what might be acceptable or expected behaviour by participants in the market</w:t>
      </w:r>
      <w:r w:rsidR="0040675C">
        <w:t>”</w:t>
      </w:r>
      <w:r w:rsidR="00C753F4" w:rsidRPr="00B12148">
        <w:t xml:space="preserve">, and that </w:t>
      </w:r>
      <w:r w:rsidR="00294F68" w:rsidRPr="00B12148">
        <w:t>universities</w:t>
      </w:r>
      <w:r w:rsidR="00C753F4" w:rsidRPr="00B12148">
        <w:t xml:space="preserve"> will use that information to </w:t>
      </w:r>
      <w:r w:rsidR="0040675C">
        <w:t>“</w:t>
      </w:r>
      <w:r w:rsidR="00C753F4" w:rsidRPr="00B12148">
        <w:t>engage in a reflective process</w:t>
      </w:r>
      <w:r w:rsidR="0040675C">
        <w:t>”</w:t>
      </w:r>
      <w:r w:rsidR="00C753F4" w:rsidRPr="00B12148">
        <w:t xml:space="preserve"> in setting their fees, which would limit the effective operation of the reform proposal and damage the operation of a deregulated higher education market</w:t>
      </w:r>
      <w:r w:rsidR="0040675C">
        <w:t xml:space="preserve">.  </w:t>
      </w:r>
      <w:r w:rsidR="00C753F4" w:rsidRPr="00B12148">
        <w:t>For this reason, the Department says, access would not be in the public interest.</w:t>
      </w:r>
    </w:p>
    <w:p w:rsidR="004079E7" w:rsidRPr="00B12148" w:rsidRDefault="003B523B" w:rsidP="004079E7">
      <w:pPr>
        <w:pStyle w:val="ListNumber"/>
      </w:pPr>
      <w:bookmarkStart w:id="19" w:name="_Ref422576847"/>
      <w:r w:rsidRPr="00B12148">
        <w:t xml:space="preserve">This argument would be stronger if the modelling in the documents </w:t>
      </w:r>
      <w:r w:rsidR="009B40A8" w:rsidRPr="00B12148">
        <w:t>were</w:t>
      </w:r>
      <w:r w:rsidR="002E1AFD" w:rsidRPr="00B12148">
        <w:t xml:space="preserve"> more robust</w:t>
      </w:r>
      <w:r w:rsidR="0040675C">
        <w:t xml:space="preserve">.  </w:t>
      </w:r>
      <w:r w:rsidRPr="00B12148">
        <w:t xml:space="preserve">As </w:t>
      </w:r>
      <w:r w:rsidR="00615DCA" w:rsidRPr="00B12148">
        <w:t>I</w:t>
      </w:r>
      <w:r w:rsidR="0040675C">
        <w:t> </w:t>
      </w:r>
      <w:r w:rsidRPr="00B12148">
        <w:t>noted above,</w:t>
      </w:r>
      <w:r w:rsidRPr="0040675C">
        <w:rPr>
          <w:rStyle w:val="FootnoteReference"/>
        </w:rPr>
        <w:footnoteReference w:id="27"/>
      </w:r>
      <w:r w:rsidRPr="00B12148">
        <w:t xml:space="preserve"> the speculative nature of the modelling—the fact that it is not modelling in the technical, econometric sense—means that it is of </w:t>
      </w:r>
      <w:r w:rsidR="0075324C" w:rsidRPr="00B12148">
        <w:t>limited value to prospective students</w:t>
      </w:r>
      <w:r w:rsidR="0040675C">
        <w:t xml:space="preserve">.  </w:t>
      </w:r>
      <w:r w:rsidR="00E96EBF" w:rsidRPr="00B12148">
        <w:t>Similarly</w:t>
      </w:r>
      <w:r w:rsidR="0075324C" w:rsidRPr="00B12148">
        <w:t xml:space="preserve">, it must be of limited value to </w:t>
      </w:r>
      <w:r w:rsidR="00294F68" w:rsidRPr="00B12148">
        <w:t>universities</w:t>
      </w:r>
      <w:r w:rsidR="0075324C" w:rsidRPr="00B12148">
        <w:t xml:space="preserve">, at least to the extent that it predicts the fees that those </w:t>
      </w:r>
      <w:r w:rsidR="00294F68" w:rsidRPr="00B12148">
        <w:t>universities</w:t>
      </w:r>
      <w:r w:rsidR="0075324C" w:rsidRPr="00B12148">
        <w:t xml:space="preserve"> would set in a deregulated market</w:t>
      </w:r>
      <w:r w:rsidR="0040675C">
        <w:t xml:space="preserve">.  </w:t>
      </w:r>
      <w:r w:rsidR="0075324C" w:rsidRPr="00B12148">
        <w:t xml:space="preserve">Nonetheless, </w:t>
      </w:r>
      <w:r w:rsidR="00615DCA" w:rsidRPr="00B12148">
        <w:t>I</w:t>
      </w:r>
      <w:r w:rsidR="0040675C">
        <w:t> </w:t>
      </w:r>
      <w:r w:rsidR="0075324C" w:rsidRPr="00B12148">
        <w:t>agree that</w:t>
      </w:r>
      <w:r w:rsidR="002E1AFD" w:rsidRPr="00B12148">
        <w:t xml:space="preserve"> the disclosure of the documents </w:t>
      </w:r>
      <w:r w:rsidR="00E96EBF" w:rsidRPr="00B12148">
        <w:t>would affect a deregulated higher education market</w:t>
      </w:r>
      <w:r w:rsidR="0040675C">
        <w:t xml:space="preserve">.  </w:t>
      </w:r>
      <w:r w:rsidR="004079E7" w:rsidRPr="00B12148">
        <w:t>The possible damage to the operation of a deregulated market is a factor against access.</w:t>
      </w:r>
      <w:bookmarkEnd w:id="19"/>
    </w:p>
    <w:p w:rsidR="00F775AD" w:rsidRPr="00B12148" w:rsidRDefault="001521BB" w:rsidP="00B52F23">
      <w:pPr>
        <w:pStyle w:val="ListNumber"/>
      </w:pPr>
      <w:bookmarkStart w:id="20" w:name="_Ref422407809"/>
      <w:r w:rsidRPr="00B12148">
        <w:t>T</w:t>
      </w:r>
      <w:r w:rsidR="00F775AD" w:rsidRPr="00B12148">
        <w:t>his will not always be the case</w:t>
      </w:r>
      <w:r w:rsidR="0040675C">
        <w:t xml:space="preserve">.  </w:t>
      </w:r>
      <w:r w:rsidR="00E96EBF" w:rsidRPr="00B12148">
        <w:t xml:space="preserve">Once </w:t>
      </w:r>
      <w:r w:rsidR="00294F68" w:rsidRPr="00B12148">
        <w:t>universities</w:t>
      </w:r>
      <w:r w:rsidR="00E96EBF" w:rsidRPr="00B12148">
        <w:t xml:space="preserve"> have set their fees in a deregulated market, disclosure of the documents would </w:t>
      </w:r>
      <w:r w:rsidR="00F775AD" w:rsidRPr="00B12148">
        <w:t xml:space="preserve">have little, </w:t>
      </w:r>
      <w:r w:rsidR="00E96EBF" w:rsidRPr="00B12148">
        <w:t>if any</w:t>
      </w:r>
      <w:r w:rsidR="00F775AD" w:rsidRPr="00B12148">
        <w:t>,</w:t>
      </w:r>
      <w:r w:rsidR="00E96EBF" w:rsidRPr="00B12148">
        <w:t xml:space="preserve"> effect on that market</w:t>
      </w:r>
      <w:r w:rsidR="0040675C">
        <w:t xml:space="preserve">.  </w:t>
      </w:r>
      <w:r w:rsidR="00E96EBF" w:rsidRPr="00B12148">
        <w:t xml:space="preserve">Once fees have been set, </w:t>
      </w:r>
      <w:r w:rsidR="00F775AD" w:rsidRPr="00B12148">
        <w:t xml:space="preserve">knowledge of </w:t>
      </w:r>
      <w:r w:rsidR="00E96EBF" w:rsidRPr="00B12148">
        <w:t>the Government</w:t>
      </w:r>
      <w:r w:rsidR="0040675C">
        <w:t>’</w:t>
      </w:r>
      <w:r w:rsidR="00E96EBF" w:rsidRPr="00B12148">
        <w:t xml:space="preserve">s views </w:t>
      </w:r>
      <w:r w:rsidR="00F775AD" w:rsidRPr="00B12148">
        <w:t xml:space="preserve">about </w:t>
      </w:r>
      <w:r w:rsidR="00E96EBF" w:rsidRPr="00B12148">
        <w:t xml:space="preserve">what </w:t>
      </w:r>
      <w:r w:rsidR="00A764AD" w:rsidRPr="00B12148">
        <w:t xml:space="preserve">those </w:t>
      </w:r>
      <w:r w:rsidR="00F775AD" w:rsidRPr="00B12148">
        <w:t xml:space="preserve">fees might have been will cause little or no </w:t>
      </w:r>
      <w:r w:rsidR="00E96EBF" w:rsidRPr="00B12148">
        <w:t>damage.</w:t>
      </w:r>
      <w:bookmarkEnd w:id="20"/>
    </w:p>
    <w:p w:rsidR="00A85308" w:rsidRPr="00B12148" w:rsidRDefault="00A85308" w:rsidP="00A85308">
      <w:pPr>
        <w:pStyle w:val="Heading4"/>
      </w:pPr>
      <w:r w:rsidRPr="00B12148">
        <w:t>Frankness and candour</w:t>
      </w:r>
    </w:p>
    <w:p w:rsidR="004B4825" w:rsidRPr="00B12148" w:rsidRDefault="004B4825" w:rsidP="004E5727">
      <w:pPr>
        <w:pStyle w:val="ListNumber"/>
        <w:keepNext/>
      </w:pPr>
      <w:r w:rsidRPr="00B12148">
        <w:t xml:space="preserve">The Department says that there is a </w:t>
      </w:r>
      <w:r w:rsidR="00A85308" w:rsidRPr="00B12148">
        <w:t>public interest in avoiding inter</w:t>
      </w:r>
      <w:r w:rsidRPr="00B12148">
        <w:t xml:space="preserve">ference with the free </w:t>
      </w:r>
      <w:r w:rsidR="00A85308" w:rsidRPr="00B12148">
        <w:t>flow of advice to Minister</w:t>
      </w:r>
      <w:r w:rsidRPr="00B12148">
        <w:t>s</w:t>
      </w:r>
      <w:r w:rsidR="0040675C">
        <w:t xml:space="preserve">.  </w:t>
      </w:r>
      <w:r w:rsidRPr="00B12148">
        <w:t xml:space="preserve">As counsel for the Department </w:t>
      </w:r>
      <w:r w:rsidR="004E5727" w:rsidRPr="00B12148">
        <w:t>noted</w:t>
      </w:r>
      <w:r w:rsidRPr="00B12148">
        <w:t xml:space="preserve">, </w:t>
      </w:r>
      <w:r w:rsidR="0040675C">
        <w:t>“</w:t>
      </w:r>
      <w:r w:rsidR="00A85308" w:rsidRPr="00B12148">
        <w:t>this is a claim in the genus of frankness and candour</w:t>
      </w:r>
      <w:r w:rsidR="0040675C">
        <w:t xml:space="preserve">”.  </w:t>
      </w:r>
      <w:r w:rsidR="004E5727" w:rsidRPr="00B12148">
        <w:t>The Department says that:</w:t>
      </w:r>
    </w:p>
    <w:p w:rsidR="004E5727" w:rsidRPr="00B12148" w:rsidRDefault="004E5727" w:rsidP="004E5727">
      <w:pPr>
        <w:pStyle w:val="Quote"/>
      </w:pPr>
      <w:r w:rsidRPr="00B12148">
        <w:t>… disclosure would undermine the confidential relati</w:t>
      </w:r>
      <w:r w:rsidR="009D0B02" w:rsidRPr="00B12148">
        <w:t>onship that exists between the D</w:t>
      </w:r>
      <w:r w:rsidRPr="00B12148">
        <w:t>epartment and its Minister that is designed to allow the exploration and development of sensitive policy issues</w:t>
      </w:r>
      <w:r w:rsidR="0040675C">
        <w:t xml:space="preserve">.  </w:t>
      </w:r>
      <w:r w:rsidRPr="00B12148">
        <w:t>This would be reas</w:t>
      </w:r>
      <w:r w:rsidR="009D0B02" w:rsidRPr="00B12148">
        <w:t>onably … likely to inhibit the D</w:t>
      </w:r>
      <w:r w:rsidRPr="00B12148">
        <w:t>epartment</w:t>
      </w:r>
      <w:r w:rsidR="0040675C">
        <w:t>’</w:t>
      </w:r>
      <w:r w:rsidRPr="00B12148">
        <w:t>s frankness and candour in providing a full range of strategic options to the relevant Minister on policy issues, thereby undermining the overall quality of advice provided to the Minister and the effectiveness of the public service.</w:t>
      </w:r>
    </w:p>
    <w:p w:rsidR="007C7E37" w:rsidRPr="00B12148" w:rsidRDefault="00030D40" w:rsidP="00D426FA">
      <w:pPr>
        <w:pStyle w:val="ListNumber"/>
        <w:keepNext/>
        <w:keepLines/>
      </w:pPr>
      <w:r w:rsidRPr="00B12148">
        <w:t xml:space="preserve">In </w:t>
      </w:r>
      <w:r w:rsidRPr="00B12148">
        <w:rPr>
          <w:i/>
        </w:rPr>
        <w:t>Howard and Treasurer</w:t>
      </w:r>
      <w:r w:rsidRPr="00B12148">
        <w:t xml:space="preserve">, the Tribunal listed five factors against giving access </w:t>
      </w:r>
      <w:r w:rsidR="006964F4" w:rsidRPr="00B12148">
        <w:t>when applying the public interest test</w:t>
      </w:r>
      <w:r w:rsidRPr="00B12148">
        <w:t>.</w:t>
      </w:r>
      <w:r w:rsidR="0024317A" w:rsidRPr="0040675C">
        <w:rPr>
          <w:rStyle w:val="FootnoteReference"/>
        </w:rPr>
        <w:footnoteReference w:id="28"/>
      </w:r>
      <w:r w:rsidR="0055161A">
        <w:t xml:space="preserve"> </w:t>
      </w:r>
      <w:r w:rsidR="0040675C">
        <w:t xml:space="preserve"> </w:t>
      </w:r>
      <w:r w:rsidR="007C7E37" w:rsidRPr="00B12148">
        <w:t>Section</w:t>
      </w:r>
      <w:r w:rsidR="0040675C">
        <w:t> </w:t>
      </w:r>
      <w:r w:rsidR="007C7E37" w:rsidRPr="00B12148">
        <w:t xml:space="preserve">11B(4), inserted into the </w:t>
      </w:r>
      <w:r w:rsidR="0040675C">
        <w:t>FOI Act</w:t>
      </w:r>
      <w:r w:rsidR="007C7E37" w:rsidRPr="00B12148">
        <w:t xml:space="preserve"> </w:t>
      </w:r>
      <w:r w:rsidR="00835FA4" w:rsidRPr="00B12148">
        <w:t>25</w:t>
      </w:r>
      <w:r w:rsidR="0040675C">
        <w:t> </w:t>
      </w:r>
      <w:r w:rsidR="00835FA4" w:rsidRPr="00B12148">
        <w:t xml:space="preserve">years after the </w:t>
      </w:r>
      <w:r w:rsidR="007C7E37" w:rsidRPr="00B12148">
        <w:t xml:space="preserve">decision in </w:t>
      </w:r>
      <w:r w:rsidR="007C7E37" w:rsidRPr="00B12148">
        <w:rPr>
          <w:i/>
        </w:rPr>
        <w:t>Howard</w:t>
      </w:r>
      <w:r w:rsidR="007C7E37" w:rsidRPr="00B12148">
        <w:t>,</w:t>
      </w:r>
      <w:r w:rsidR="00694085" w:rsidRPr="0040675C">
        <w:rPr>
          <w:rStyle w:val="FootnoteReference"/>
        </w:rPr>
        <w:footnoteReference w:id="29"/>
      </w:r>
      <w:r w:rsidR="007C7E37" w:rsidRPr="00B12148">
        <w:t xml:space="preserve"> </w:t>
      </w:r>
      <w:r w:rsidR="00614015" w:rsidRPr="00B12148">
        <w:t>specifies</w:t>
      </w:r>
      <w:r w:rsidR="007C7E37" w:rsidRPr="00B12148">
        <w:t xml:space="preserve"> factors that must not be taken into account in applying </w:t>
      </w:r>
      <w:r w:rsidR="006964F4" w:rsidRPr="00B12148">
        <w:t xml:space="preserve">that </w:t>
      </w:r>
      <w:r w:rsidR="007C7E37" w:rsidRPr="00B12148">
        <w:t xml:space="preserve">test, including three of the factors identified in </w:t>
      </w:r>
      <w:r w:rsidR="007C7E37" w:rsidRPr="00B12148">
        <w:rPr>
          <w:i/>
        </w:rPr>
        <w:t>Howard</w:t>
      </w:r>
      <w:r w:rsidR="007C7E37" w:rsidRPr="00B12148">
        <w:t>.</w:t>
      </w:r>
      <w:r w:rsidR="007C7E37" w:rsidRPr="0040675C">
        <w:rPr>
          <w:rStyle w:val="FootnoteReference"/>
        </w:rPr>
        <w:footnoteReference w:id="30"/>
      </w:r>
      <w:r w:rsidR="0055161A">
        <w:t xml:space="preserve"> </w:t>
      </w:r>
      <w:r w:rsidR="0040675C">
        <w:t xml:space="preserve"> </w:t>
      </w:r>
      <w:r w:rsidR="00034AD4" w:rsidRPr="00B12148">
        <w:t xml:space="preserve">The remaining two </w:t>
      </w:r>
      <w:r w:rsidR="00D565CD" w:rsidRPr="00B12148">
        <w:rPr>
          <w:i/>
        </w:rPr>
        <w:t>Howard</w:t>
      </w:r>
      <w:r w:rsidR="00D565CD" w:rsidRPr="00B12148">
        <w:t xml:space="preserve"> </w:t>
      </w:r>
      <w:r w:rsidR="00034AD4" w:rsidRPr="00B12148">
        <w:t>factors are:</w:t>
      </w:r>
    </w:p>
    <w:p w:rsidR="00034AD4" w:rsidRPr="00B12148" w:rsidRDefault="0040675C" w:rsidP="00034AD4">
      <w:pPr>
        <w:pStyle w:val="ListBullet"/>
      </w:pPr>
      <w:r>
        <w:t>“</w:t>
      </w:r>
      <w:r w:rsidR="00034AD4" w:rsidRPr="00B12148">
        <w:t>disclosure of communications made in the course of the development and subsequent promulgation of policy tends not to be in the public interest</w:t>
      </w:r>
      <w:r>
        <w:t>”</w:t>
      </w:r>
      <w:r w:rsidR="00034AD4" w:rsidRPr="00B12148">
        <w:t>; and</w:t>
      </w:r>
    </w:p>
    <w:p w:rsidR="00034AD4" w:rsidRPr="00B12148" w:rsidRDefault="0040675C" w:rsidP="004C470D">
      <w:pPr>
        <w:pStyle w:val="ListBullet"/>
      </w:pPr>
      <w:r>
        <w:t>“</w:t>
      </w:r>
      <w:r w:rsidR="004C470D" w:rsidRPr="00B12148">
        <w:t>disclosure which will inhibit frankness and candour in future pre</w:t>
      </w:r>
      <w:r w:rsidR="004E27B5">
        <w:t>-</w:t>
      </w:r>
      <w:r w:rsidR="004C470D" w:rsidRPr="00B12148">
        <w:t>decisional communications is likely to be contrary to the public interest</w:t>
      </w:r>
      <w:r>
        <w:t>”</w:t>
      </w:r>
      <w:r w:rsidR="00034AD4" w:rsidRPr="00B12148">
        <w:t>.</w:t>
      </w:r>
      <w:r w:rsidR="00034AD4" w:rsidRPr="0040675C">
        <w:rPr>
          <w:rStyle w:val="FootnoteReference"/>
        </w:rPr>
        <w:footnoteReference w:id="31"/>
      </w:r>
    </w:p>
    <w:p w:rsidR="00D30F63" w:rsidRPr="00B12148" w:rsidRDefault="00694085" w:rsidP="00D30F63">
      <w:pPr>
        <w:pStyle w:val="FollowingPara"/>
      </w:pPr>
      <w:r w:rsidRPr="00B12148">
        <w:t>Although</w:t>
      </w:r>
      <w:r w:rsidR="00DF31FE" w:rsidRPr="00B12148">
        <w:t xml:space="preserve"> the </w:t>
      </w:r>
      <w:r w:rsidR="0040675C">
        <w:t>FOI Act</w:t>
      </w:r>
      <w:r w:rsidR="00DF31FE" w:rsidRPr="00B12148">
        <w:t xml:space="preserve"> does not </w:t>
      </w:r>
      <w:r w:rsidR="00470076" w:rsidRPr="00B12148">
        <w:t>provide</w:t>
      </w:r>
      <w:r w:rsidR="00DF31FE" w:rsidRPr="00B12148">
        <w:t xml:space="preserve"> that </w:t>
      </w:r>
      <w:r w:rsidR="00F00D38" w:rsidRPr="00B12148">
        <w:t xml:space="preserve">the two remaining factors </w:t>
      </w:r>
      <w:r w:rsidR="00DF31FE" w:rsidRPr="00B12148">
        <w:t xml:space="preserve">must not be taken into account, </w:t>
      </w:r>
      <w:r w:rsidR="005E2660" w:rsidRPr="00B12148">
        <w:t xml:space="preserve">the </w:t>
      </w:r>
      <w:r w:rsidR="00D30F63" w:rsidRPr="00B12148">
        <w:t xml:space="preserve">FOI </w:t>
      </w:r>
      <w:r w:rsidR="005E2660" w:rsidRPr="00B12148">
        <w:t xml:space="preserve">Guidelines </w:t>
      </w:r>
      <w:r w:rsidR="00DF31FE" w:rsidRPr="00B12148">
        <w:t>say that th</w:t>
      </w:r>
      <w:r w:rsidR="00F00D38" w:rsidRPr="00B12148">
        <w:t xml:space="preserve">ose </w:t>
      </w:r>
      <w:r w:rsidR="00DF31FE" w:rsidRPr="00B12148">
        <w:t xml:space="preserve">factors </w:t>
      </w:r>
      <w:r w:rsidR="0040675C">
        <w:t>“</w:t>
      </w:r>
      <w:r w:rsidR="00DF31FE" w:rsidRPr="00B12148">
        <w:t xml:space="preserve">are not, in those terms, consistent with the new objects clause of the </w:t>
      </w:r>
      <w:r w:rsidR="0040675C">
        <w:t>FOI Act</w:t>
      </w:r>
      <w:r w:rsidR="00DF31FE" w:rsidRPr="00B12148">
        <w:t xml:space="preserve"> (s</w:t>
      </w:r>
      <w:r w:rsidR="0040675C">
        <w:t> </w:t>
      </w:r>
      <w:r w:rsidR="00DF31FE" w:rsidRPr="00B12148">
        <w:t>3) and the list of public interest factors favouring access in s</w:t>
      </w:r>
      <w:r w:rsidR="0040675C">
        <w:t> </w:t>
      </w:r>
      <w:r w:rsidR="00DF31FE" w:rsidRPr="00B12148">
        <w:t>11B(3)</w:t>
      </w:r>
      <w:r w:rsidR="0040675C">
        <w:t>”</w:t>
      </w:r>
      <w:r w:rsidR="00DF31FE" w:rsidRPr="00B12148">
        <w:t>.</w:t>
      </w:r>
      <w:r w:rsidR="00DF31FE" w:rsidRPr="0040675C">
        <w:rPr>
          <w:rStyle w:val="FootnoteReference"/>
        </w:rPr>
        <w:footnoteReference w:id="32"/>
      </w:r>
    </w:p>
    <w:p w:rsidR="00C86FEF" w:rsidRPr="00B12148" w:rsidRDefault="00D57F0C" w:rsidP="00D426FA">
      <w:pPr>
        <w:pStyle w:val="ListNumber"/>
        <w:numPr>
          <w:ilvl w:val="0"/>
          <w:numId w:val="1"/>
        </w:numPr>
      </w:pPr>
      <w:r w:rsidRPr="00B12148">
        <w:t xml:space="preserve">The Department argues that that statement </w:t>
      </w:r>
      <w:r w:rsidR="00D30F63" w:rsidRPr="00B12148">
        <w:t xml:space="preserve">in the FOI Guidelines </w:t>
      </w:r>
      <w:r w:rsidRPr="00B12148">
        <w:t xml:space="preserve">is </w:t>
      </w:r>
      <w:r w:rsidR="0040675C">
        <w:t>“</w:t>
      </w:r>
      <w:r w:rsidRPr="00B12148">
        <w:t>not entirely borne out by the legislative history of the provision</w:t>
      </w:r>
      <w:r w:rsidR="0040675C">
        <w:t>”</w:t>
      </w:r>
      <w:r w:rsidR="00E90FC5" w:rsidRPr="00B12148">
        <w:t xml:space="preserve"> and that </w:t>
      </w:r>
      <w:r w:rsidRPr="00B12148">
        <w:t xml:space="preserve">the case law on this issue is </w:t>
      </w:r>
      <w:r w:rsidR="0040675C">
        <w:t>“</w:t>
      </w:r>
      <w:r w:rsidRPr="00B12148">
        <w:t>equivocal—or perhaps ambivalent</w:t>
      </w:r>
      <w:r w:rsidR="0040675C">
        <w:t xml:space="preserve">”.  </w:t>
      </w:r>
      <w:r w:rsidR="00966A28" w:rsidRPr="00B12148">
        <w:t xml:space="preserve">Counsel for the Department referred me to several cases in which </w:t>
      </w:r>
      <w:r w:rsidR="00373EEF" w:rsidRPr="00B12148">
        <w:t xml:space="preserve">the Tribunal has considered </w:t>
      </w:r>
      <w:r w:rsidR="00966A28" w:rsidRPr="00B12148">
        <w:t xml:space="preserve">a </w:t>
      </w:r>
      <w:r w:rsidR="0040675C">
        <w:t>“</w:t>
      </w:r>
      <w:r w:rsidR="00966A28" w:rsidRPr="00B12148">
        <w:t>frankness and candour</w:t>
      </w:r>
      <w:r w:rsidR="0040675C">
        <w:t>”</w:t>
      </w:r>
      <w:r w:rsidR="00966A28" w:rsidRPr="00B12148">
        <w:t xml:space="preserve"> argument in </w:t>
      </w:r>
      <w:r w:rsidR="00373EEF" w:rsidRPr="00B12148">
        <w:t xml:space="preserve">applying the </w:t>
      </w:r>
      <w:r w:rsidR="00966A28" w:rsidRPr="00B12148">
        <w:t>public interest test.</w:t>
      </w:r>
      <w:bookmarkStart w:id="21" w:name="_Ref422498799"/>
      <w:r w:rsidR="00832186" w:rsidRPr="0040675C">
        <w:rPr>
          <w:rStyle w:val="FootnoteReference"/>
        </w:rPr>
        <w:footnoteReference w:id="33"/>
      </w:r>
      <w:bookmarkEnd w:id="21"/>
      <w:r w:rsidR="0055161A">
        <w:t xml:space="preserve"> </w:t>
      </w:r>
      <w:r w:rsidR="0040675C">
        <w:t xml:space="preserve"> </w:t>
      </w:r>
      <w:r w:rsidR="00966A28" w:rsidRPr="00B12148">
        <w:t xml:space="preserve">As the Information Commissioner noted in </w:t>
      </w:r>
      <w:r w:rsidR="00966A28" w:rsidRPr="00B12148">
        <w:rPr>
          <w:i/>
        </w:rPr>
        <w:t>Crowe and Department of the Treasury</w:t>
      </w:r>
      <w:r w:rsidR="00966A28" w:rsidRPr="00B12148">
        <w:t xml:space="preserve">, </w:t>
      </w:r>
      <w:r w:rsidR="009D167E" w:rsidRPr="00B12148">
        <w:t xml:space="preserve">that argument has </w:t>
      </w:r>
      <w:r w:rsidR="00966A28" w:rsidRPr="00B12148">
        <w:t>had a chequered history in Australian FOI practice.</w:t>
      </w:r>
      <w:r w:rsidR="00966A28" w:rsidRPr="0040675C">
        <w:rPr>
          <w:rStyle w:val="FootnoteReference"/>
        </w:rPr>
        <w:footnoteReference w:id="34"/>
      </w:r>
      <w:r w:rsidR="0055161A">
        <w:t xml:space="preserve"> </w:t>
      </w:r>
      <w:r w:rsidR="0040675C">
        <w:t xml:space="preserve"> </w:t>
      </w:r>
      <w:r w:rsidR="006D7AE6" w:rsidRPr="00B12148">
        <w:t xml:space="preserve">But all of the </w:t>
      </w:r>
      <w:r w:rsidR="00373EEF" w:rsidRPr="00B12148">
        <w:t xml:space="preserve">previous Tribunal </w:t>
      </w:r>
      <w:r w:rsidR="006D7AE6" w:rsidRPr="00B12148">
        <w:t xml:space="preserve">cases to which </w:t>
      </w:r>
      <w:r w:rsidR="00F03022" w:rsidRPr="00B12148">
        <w:t>I</w:t>
      </w:r>
      <w:r w:rsidR="0040675C">
        <w:t> </w:t>
      </w:r>
      <w:r w:rsidR="006D7AE6" w:rsidRPr="00B12148">
        <w:t xml:space="preserve">was referred were decided before the </w:t>
      </w:r>
      <w:r w:rsidR="0040675C">
        <w:t>FOI Act</w:t>
      </w:r>
      <w:r w:rsidR="00835FA4" w:rsidRPr="00B12148">
        <w:t xml:space="preserve"> was amended</w:t>
      </w:r>
      <w:r w:rsidR="006D7AE6" w:rsidRPr="00B12148">
        <w:t xml:space="preserve"> in 2010</w:t>
      </w:r>
      <w:r w:rsidR="0040675C">
        <w:t xml:space="preserve">.  </w:t>
      </w:r>
      <w:r w:rsidR="00DF273B" w:rsidRPr="00B12148">
        <w:t xml:space="preserve">Two of those 2010 amendments are significant to the </w:t>
      </w:r>
      <w:r w:rsidR="00C86FEF" w:rsidRPr="00B12148">
        <w:t xml:space="preserve">question whether </w:t>
      </w:r>
      <w:r w:rsidR="0040675C">
        <w:t>“</w:t>
      </w:r>
      <w:r w:rsidR="00C86FEF" w:rsidRPr="00B12148">
        <w:t>frankness and candour</w:t>
      </w:r>
      <w:r w:rsidR="0040675C">
        <w:t>”</w:t>
      </w:r>
      <w:r w:rsidR="00C86FEF" w:rsidRPr="00B12148">
        <w:t xml:space="preserve"> remains a factor against access</w:t>
      </w:r>
      <w:r w:rsidR="0040675C">
        <w:t xml:space="preserve">.  </w:t>
      </w:r>
      <w:r w:rsidR="00C86FEF" w:rsidRPr="00B12148">
        <w:t xml:space="preserve">Those amendments are referred to in </w:t>
      </w:r>
      <w:r w:rsidR="00C86FEF" w:rsidRPr="00B12148">
        <w:rPr>
          <w:i/>
        </w:rPr>
        <w:t>Crowe</w:t>
      </w:r>
      <w:r w:rsidR="00C86FEF" w:rsidRPr="00B12148">
        <w:t>:</w:t>
      </w:r>
    </w:p>
    <w:p w:rsidR="00F03022" w:rsidRPr="00B12148" w:rsidRDefault="00C86FEF" w:rsidP="00C86FEF">
      <w:pPr>
        <w:pStyle w:val="Quote"/>
      </w:pPr>
      <w:r w:rsidRPr="00B12148">
        <w:t>The first is that the objects clause (</w:t>
      </w:r>
      <w:r w:rsidR="00F03022" w:rsidRPr="00B12148">
        <w:t>s</w:t>
      </w:r>
      <w:r w:rsidR="0040675C">
        <w:t> </w:t>
      </w:r>
      <w:r w:rsidR="00F03022" w:rsidRPr="00B12148">
        <w:t>3</w:t>
      </w:r>
      <w:r w:rsidRPr="00B12148">
        <w:t>) was recast to express more strongly a presumption in favour of public access and disclosure</w:t>
      </w:r>
      <w:r w:rsidR="0040675C">
        <w:t xml:space="preserve">.  </w:t>
      </w:r>
      <w:r w:rsidRPr="00B12148">
        <w:t xml:space="preserve">Notably, the objects clause now declares that among the objects of the Act are to </w:t>
      </w:r>
      <w:r w:rsidR="0040675C">
        <w:t>“</w:t>
      </w:r>
      <w:r w:rsidRPr="00B12148">
        <w:t>promote Australia</w:t>
      </w:r>
      <w:r w:rsidR="0040675C">
        <w:t>’</w:t>
      </w:r>
      <w:r w:rsidRPr="00B12148">
        <w:t>s representative democracy [by] increasing scrutiny, discussion, comment and review of the Government</w:t>
      </w:r>
      <w:r w:rsidR="0040675C">
        <w:t>’</w:t>
      </w:r>
      <w:r w:rsidRPr="00B12148">
        <w:t>s activities</w:t>
      </w:r>
      <w:r w:rsidR="0040675C">
        <w:t>”</w:t>
      </w:r>
      <w:r w:rsidRPr="00B12148">
        <w:t xml:space="preserve"> (</w:t>
      </w:r>
      <w:r w:rsidR="00F03022" w:rsidRPr="00B12148">
        <w:t>s</w:t>
      </w:r>
      <w:r w:rsidR="0040675C">
        <w:t> </w:t>
      </w:r>
      <w:r w:rsidR="00F03022" w:rsidRPr="00B12148">
        <w:t>3</w:t>
      </w:r>
      <w:r w:rsidRPr="00B12148">
        <w:t>(2)(b))</w:t>
      </w:r>
      <w:r w:rsidR="00F03022" w:rsidRPr="00B12148">
        <w:t>.</w:t>
      </w:r>
    </w:p>
    <w:p w:rsidR="00C86FEF" w:rsidRPr="00B12148" w:rsidRDefault="00D06680" w:rsidP="00C86FEF">
      <w:pPr>
        <w:pStyle w:val="Quote"/>
      </w:pPr>
      <w:r w:rsidRPr="00B12148">
        <w:t xml:space="preserve">Secondly, the former </w:t>
      </w:r>
      <w:r w:rsidR="0040675C">
        <w:t>“</w:t>
      </w:r>
      <w:r w:rsidRPr="00B12148">
        <w:t>Internal working documents</w:t>
      </w:r>
      <w:r w:rsidR="0040675C">
        <w:t>”</w:t>
      </w:r>
      <w:r w:rsidR="00C86FEF" w:rsidRPr="00B12148">
        <w:t xml:space="preserve"> </w:t>
      </w:r>
      <w:r w:rsidRPr="00B12148">
        <w:t>exemption (</w:t>
      </w:r>
      <w:r w:rsidR="00F03022" w:rsidRPr="00B12148">
        <w:t>s</w:t>
      </w:r>
      <w:r w:rsidR="0040675C">
        <w:t> </w:t>
      </w:r>
      <w:r w:rsidR="00F03022" w:rsidRPr="00B12148">
        <w:t>36</w:t>
      </w:r>
      <w:r w:rsidRPr="00B12148">
        <w:t xml:space="preserve">) was recast as </w:t>
      </w:r>
      <w:r w:rsidR="0040675C">
        <w:t>“</w:t>
      </w:r>
      <w:r w:rsidR="00C86FEF" w:rsidRPr="00B12148">
        <w:t>Public interest conditional exemptions—</w:t>
      </w:r>
      <w:r w:rsidRPr="00B12148">
        <w:t>deliberative processes</w:t>
      </w:r>
      <w:r w:rsidR="0040675C">
        <w:t>”</w:t>
      </w:r>
      <w:r w:rsidR="00C86FEF" w:rsidRPr="00B12148">
        <w:t xml:space="preserve"> (</w:t>
      </w:r>
      <w:r w:rsidR="00F03022" w:rsidRPr="00B12148">
        <w:t>s</w:t>
      </w:r>
      <w:r w:rsidR="0040675C">
        <w:t> </w:t>
      </w:r>
      <w:r w:rsidR="00F03022" w:rsidRPr="00B12148">
        <w:t>47</w:t>
      </w:r>
      <w:r w:rsidR="00C86FEF" w:rsidRPr="00B12148">
        <w:t>C)</w:t>
      </w:r>
      <w:r w:rsidR="0040675C">
        <w:t xml:space="preserve">.  </w:t>
      </w:r>
      <w:r w:rsidR="00C86FEF" w:rsidRPr="00B12148">
        <w:t>At the heart of this exemption is the requirement, as before, that a document containing deliberative matter is e</w:t>
      </w:r>
      <w:r w:rsidRPr="00B12148">
        <w:t xml:space="preserve">xempt only if disclosure would </w:t>
      </w:r>
      <w:r w:rsidR="0040675C">
        <w:t>“</w:t>
      </w:r>
      <w:r w:rsidR="00C86FEF" w:rsidRPr="00B12148">
        <w:t xml:space="preserve">be </w:t>
      </w:r>
      <w:r w:rsidRPr="00B12148">
        <w:t>contrary to the public interest</w:t>
      </w:r>
      <w:r w:rsidR="0040675C">
        <w:t>”</w:t>
      </w:r>
      <w:r w:rsidR="00C86FEF" w:rsidRPr="00B12148">
        <w:t xml:space="preserve"> (</w:t>
      </w:r>
      <w:r w:rsidR="00F03022" w:rsidRPr="00B12148">
        <w:t>s</w:t>
      </w:r>
      <w:r w:rsidR="0040675C">
        <w:t> </w:t>
      </w:r>
      <w:r w:rsidR="00F03022" w:rsidRPr="00B12148">
        <w:t>11</w:t>
      </w:r>
      <w:r w:rsidR="00C86FEF" w:rsidRPr="00B12148">
        <w:t>A(5))</w:t>
      </w:r>
      <w:r w:rsidR="0040675C">
        <w:t xml:space="preserve">.  </w:t>
      </w:r>
      <w:r w:rsidR="00C86FEF" w:rsidRPr="00B12148">
        <w:t xml:space="preserve">However, the </w:t>
      </w:r>
      <w:r w:rsidR="0040675C">
        <w:t>FOI Act</w:t>
      </w:r>
      <w:r w:rsidR="00C86FEF" w:rsidRPr="00B12148">
        <w:t xml:space="preserve"> now spells out public interest factors that favour public access, and factors that are irrelevant</w:t>
      </w:r>
      <w:r w:rsidR="0040675C">
        <w:t xml:space="preserve">.  </w:t>
      </w:r>
      <w:r w:rsidR="00C86FEF" w:rsidRPr="00B12148">
        <w:t>Factors favouring access include promoting the objects of the Act and informing debate on a matter of public importance (</w:t>
      </w:r>
      <w:r w:rsidR="00F03022" w:rsidRPr="00B12148">
        <w:t>s</w:t>
      </w:r>
      <w:r w:rsidR="0040675C">
        <w:t> </w:t>
      </w:r>
      <w:r w:rsidR="00F03022" w:rsidRPr="00B12148">
        <w:t>11</w:t>
      </w:r>
      <w:r w:rsidR="00C86FEF" w:rsidRPr="00B12148">
        <w:t>B(3)).</w:t>
      </w:r>
      <w:r w:rsidR="00C86FEF" w:rsidRPr="0040675C">
        <w:rPr>
          <w:rStyle w:val="FootnoteReference"/>
        </w:rPr>
        <w:footnoteReference w:id="35"/>
      </w:r>
    </w:p>
    <w:p w:rsidR="00A23742" w:rsidRPr="00B12148" w:rsidRDefault="00F810CC" w:rsidP="00210A2E">
      <w:pPr>
        <w:pStyle w:val="ListNumber"/>
      </w:pPr>
      <w:r w:rsidRPr="00B12148">
        <w:t xml:space="preserve">Counsel for the Department also referred me to </w:t>
      </w:r>
      <w:r w:rsidR="00452B74" w:rsidRPr="00B12148">
        <w:t>discussion</w:t>
      </w:r>
      <w:r w:rsidR="004E3062" w:rsidRPr="00B12148">
        <w:t xml:space="preserve"> on frankness and candour</w:t>
      </w:r>
      <w:r w:rsidR="00452B74" w:rsidRPr="00B12148">
        <w:t xml:space="preserve">, in the explanatory memorandum to the Freedom of Information </w:t>
      </w:r>
      <w:r w:rsidR="004E3062" w:rsidRPr="00B12148">
        <w:t xml:space="preserve">Bill </w:t>
      </w:r>
      <w:r w:rsidR="00452B74" w:rsidRPr="00B12148">
        <w:t xml:space="preserve">1978, </w:t>
      </w:r>
      <w:r w:rsidR="00A23742" w:rsidRPr="00B12148">
        <w:t>about</w:t>
      </w:r>
      <w:r w:rsidR="00452B74" w:rsidRPr="00B12148">
        <w:t xml:space="preserve"> the provision which </w:t>
      </w:r>
      <w:r w:rsidR="002E731C" w:rsidRPr="00B12148">
        <w:t>became s</w:t>
      </w:r>
      <w:r w:rsidR="0040675C">
        <w:t> </w:t>
      </w:r>
      <w:r w:rsidR="002E731C" w:rsidRPr="00B12148">
        <w:t xml:space="preserve">36 of the </w:t>
      </w:r>
      <w:r w:rsidR="0040675C">
        <w:t>FOI Act</w:t>
      </w:r>
      <w:r w:rsidR="00452B74" w:rsidRPr="00B12148">
        <w:t>.</w:t>
      </w:r>
      <w:r w:rsidR="00452B74" w:rsidRPr="0040675C">
        <w:rPr>
          <w:rStyle w:val="FootnoteReference"/>
        </w:rPr>
        <w:footnoteReference w:id="36"/>
      </w:r>
      <w:r w:rsidR="0055161A">
        <w:t xml:space="preserve"> </w:t>
      </w:r>
      <w:r w:rsidR="0040675C">
        <w:t xml:space="preserve"> </w:t>
      </w:r>
      <w:r w:rsidR="00210A2E" w:rsidRPr="00B12148">
        <w:t xml:space="preserve">But that merely demonstrates that </w:t>
      </w:r>
      <w:r w:rsidR="00434247" w:rsidRPr="00B12148">
        <w:t>the exemption in s</w:t>
      </w:r>
      <w:r w:rsidR="0040675C">
        <w:t> </w:t>
      </w:r>
      <w:r w:rsidR="00434247" w:rsidRPr="00B12148">
        <w:t xml:space="preserve">36 </w:t>
      </w:r>
      <w:r w:rsidR="00A23742" w:rsidRPr="00B12148">
        <w:t>was intended to encourage—or, at least, not to discourage—</w:t>
      </w:r>
      <w:r w:rsidR="00210A2E" w:rsidRPr="00B12148">
        <w:t xml:space="preserve">frankness and candour </w:t>
      </w:r>
      <w:r w:rsidR="00A23742" w:rsidRPr="00B12148">
        <w:t>in government documents</w:t>
      </w:r>
      <w:r w:rsidR="0040675C">
        <w:t xml:space="preserve">.  </w:t>
      </w:r>
      <w:r w:rsidR="005A2D75" w:rsidRPr="00B12148">
        <w:t>Even if there was a similar intention behind s</w:t>
      </w:r>
      <w:r w:rsidR="0040675C">
        <w:t> </w:t>
      </w:r>
      <w:r w:rsidR="005A2D75" w:rsidRPr="00B12148">
        <w:t>47C,</w:t>
      </w:r>
      <w:r w:rsidR="00A36B9A" w:rsidRPr="0040675C">
        <w:rPr>
          <w:rStyle w:val="FootnoteReference"/>
        </w:rPr>
        <w:footnoteReference w:id="37"/>
      </w:r>
      <w:r w:rsidR="005A2D75" w:rsidRPr="00B12148">
        <w:t xml:space="preserve"> it </w:t>
      </w:r>
      <w:r w:rsidR="00A23742" w:rsidRPr="00B12148">
        <w:t xml:space="preserve">does not </w:t>
      </w:r>
      <w:r w:rsidR="00F575A5" w:rsidRPr="00B12148">
        <w:t>follow</w:t>
      </w:r>
      <w:r w:rsidR="00A23742" w:rsidRPr="00B12148">
        <w:t xml:space="preserve"> that frankness and candour </w:t>
      </w:r>
      <w:r w:rsidR="00E73B64" w:rsidRPr="00B12148">
        <w:t xml:space="preserve">are a </w:t>
      </w:r>
      <w:r w:rsidR="00A23742" w:rsidRPr="00B12148">
        <w:t xml:space="preserve">factor </w:t>
      </w:r>
      <w:r w:rsidR="00E73B64" w:rsidRPr="00B12148">
        <w:t xml:space="preserve">against access when applying the </w:t>
      </w:r>
      <w:r w:rsidR="00A23742" w:rsidRPr="00B12148">
        <w:t>public interest</w:t>
      </w:r>
      <w:r w:rsidR="00F575A5" w:rsidRPr="00B12148">
        <w:t xml:space="preserve"> </w:t>
      </w:r>
      <w:r w:rsidR="00145EA9" w:rsidRPr="00B12148">
        <w:t xml:space="preserve">test </w:t>
      </w:r>
      <w:r w:rsidR="00A27596" w:rsidRPr="00B12148">
        <w:t xml:space="preserve">after </w:t>
      </w:r>
      <w:r w:rsidR="00091A7F">
        <w:t>deciding</w:t>
      </w:r>
      <w:r w:rsidR="00A27596" w:rsidRPr="00B12148">
        <w:t xml:space="preserve"> that</w:t>
      </w:r>
      <w:r w:rsidR="00F575A5" w:rsidRPr="00B12148">
        <w:t xml:space="preserve"> a document is conditionally exempt</w:t>
      </w:r>
      <w:r w:rsidR="00A23742" w:rsidRPr="00B12148">
        <w:t>.</w:t>
      </w:r>
    </w:p>
    <w:p w:rsidR="006E45F0" w:rsidRPr="00B12148" w:rsidRDefault="00E85932" w:rsidP="00E21ECF">
      <w:pPr>
        <w:pStyle w:val="ListNumber"/>
      </w:pPr>
      <w:r w:rsidRPr="00B12148">
        <w:t xml:space="preserve">In my view, a </w:t>
      </w:r>
      <w:r w:rsidR="0040675C">
        <w:t>“</w:t>
      </w:r>
      <w:r w:rsidRPr="00B12148">
        <w:t>frankness and candour</w:t>
      </w:r>
      <w:r w:rsidR="0040675C">
        <w:t>”</w:t>
      </w:r>
      <w:r w:rsidRPr="00B12148">
        <w:t xml:space="preserve"> claim—in the words of </w:t>
      </w:r>
      <w:r w:rsidRPr="00B12148">
        <w:rPr>
          <w:i/>
        </w:rPr>
        <w:t>Howard</w:t>
      </w:r>
      <w:r w:rsidRPr="00B12148">
        <w:t>, a claim that disclosure will inhibit frankness and candour in future pre</w:t>
      </w:r>
      <w:r w:rsidR="004E27B5">
        <w:t>-</w:t>
      </w:r>
      <w:r w:rsidRPr="00B12148">
        <w:t>decisional communications—can</w:t>
      </w:r>
      <w:r w:rsidR="002B2F56" w:rsidRPr="00B12148">
        <w:t>no</w:t>
      </w:r>
      <w:r w:rsidR="00B85B74" w:rsidRPr="00B12148">
        <w:t>t</w:t>
      </w:r>
      <w:r w:rsidR="002B2F56" w:rsidRPr="00B12148">
        <w:t xml:space="preserve"> </w:t>
      </w:r>
      <w:r w:rsidR="004403AB" w:rsidRPr="00B12148">
        <w:t xml:space="preserve">be </w:t>
      </w:r>
      <w:r w:rsidRPr="00B12148">
        <w:t>a factor against access</w:t>
      </w:r>
      <w:r w:rsidR="0040675C">
        <w:t xml:space="preserve">.  </w:t>
      </w:r>
      <w:r w:rsidR="00DB484E" w:rsidRPr="00B12148">
        <w:t>A</w:t>
      </w:r>
      <w:r w:rsidR="0040675C">
        <w:t> </w:t>
      </w:r>
      <w:r w:rsidR="00813178" w:rsidRPr="00B12148">
        <w:t>frankness and candour claim</w:t>
      </w:r>
      <w:r w:rsidR="00273792" w:rsidRPr="00B12148">
        <w:t>,</w:t>
      </w:r>
      <w:r w:rsidR="00813178" w:rsidRPr="00B12148">
        <w:t xml:space="preserve"> made in circumstances where there is no (other) factor against access, is effectively a claim that </w:t>
      </w:r>
      <w:r w:rsidR="00E21ECF" w:rsidRPr="00B12148">
        <w:t xml:space="preserve">disclosure of a document </w:t>
      </w:r>
      <w:r w:rsidR="00DC1282" w:rsidRPr="00B12148">
        <w:t xml:space="preserve">to which the </w:t>
      </w:r>
      <w:r w:rsidR="0040675C">
        <w:t>FOI Act</w:t>
      </w:r>
      <w:r w:rsidR="00DC1282" w:rsidRPr="00B12148">
        <w:t xml:space="preserve"> gives a right of access</w:t>
      </w:r>
      <w:r w:rsidR="00E21ECF" w:rsidRPr="00B12148">
        <w:t xml:space="preserve"> will inhibit the agency in preparing future documents to which the </w:t>
      </w:r>
      <w:r w:rsidR="0040675C">
        <w:t>FOI Act</w:t>
      </w:r>
      <w:r w:rsidR="00E21ECF" w:rsidRPr="00B12148">
        <w:t xml:space="preserve"> will also give a right of access</w:t>
      </w:r>
      <w:r w:rsidR="0040675C">
        <w:t xml:space="preserve">.  </w:t>
      </w:r>
      <w:r w:rsidR="00DC1282" w:rsidRPr="00B12148">
        <w:t>That may be true</w:t>
      </w:r>
      <w:r w:rsidR="00273792" w:rsidRPr="00B12148">
        <w:t xml:space="preserve">—the disclosure of </w:t>
      </w:r>
      <w:r w:rsidR="00273792" w:rsidRPr="00B12148">
        <w:rPr>
          <w:i/>
        </w:rPr>
        <w:t>any</w:t>
      </w:r>
      <w:r w:rsidR="00273792" w:rsidRPr="00B12148">
        <w:t xml:space="preserve"> document prepared by an agency for briefing a Minister has the potential to inhibit frankness and candour—</w:t>
      </w:r>
      <w:r w:rsidR="00DC1282" w:rsidRPr="00B12148">
        <w:t>but it cannot be a factor against access when applying the public interest test</w:t>
      </w:r>
      <w:r w:rsidR="0040675C">
        <w:t xml:space="preserve">.  </w:t>
      </w:r>
      <w:r w:rsidR="00E21ECF" w:rsidRPr="00B12148">
        <w:t xml:space="preserve">It cannot be in the public interest that a document not be disclosed </w:t>
      </w:r>
      <w:r w:rsidR="006E45F0" w:rsidRPr="00B12148">
        <w:t xml:space="preserve">for no other reason than that </w:t>
      </w:r>
      <w:r w:rsidR="00E21ECF" w:rsidRPr="00B12148">
        <w:t xml:space="preserve">its disclosure </w:t>
      </w:r>
      <w:r w:rsidR="00493A1E" w:rsidRPr="00B12148">
        <w:t>would</w:t>
      </w:r>
      <w:r w:rsidR="00E21ECF" w:rsidRPr="00B12148">
        <w:t xml:space="preserve"> discourage the creation of other documents </w:t>
      </w:r>
      <w:r w:rsidR="006E45F0" w:rsidRPr="00B12148">
        <w:t>which may also have to be disclosed.</w:t>
      </w:r>
    </w:p>
    <w:p w:rsidR="008E41E6" w:rsidRPr="00B12148" w:rsidRDefault="00493A1E" w:rsidP="008C4427">
      <w:pPr>
        <w:pStyle w:val="ListNumber"/>
        <w:numPr>
          <w:ilvl w:val="0"/>
          <w:numId w:val="1"/>
        </w:numPr>
      </w:pPr>
      <w:r w:rsidRPr="00B12148">
        <w:t>In this review, d</w:t>
      </w:r>
      <w:r w:rsidR="008E41E6" w:rsidRPr="00B12148">
        <w:t>isclosure of the documents may inhibit the Department</w:t>
      </w:r>
      <w:r w:rsidR="0040675C">
        <w:t>’</w:t>
      </w:r>
      <w:r w:rsidR="008E41E6" w:rsidRPr="00B12148">
        <w:t xml:space="preserve">s frankness and candour in providing future </w:t>
      </w:r>
      <w:r w:rsidR="00CC6082" w:rsidRPr="00B12148">
        <w:t>advice</w:t>
      </w:r>
      <w:r w:rsidR="008E41E6" w:rsidRPr="00B12148">
        <w:t xml:space="preserve"> to Ministers, but that </w:t>
      </w:r>
      <w:r w:rsidR="00D87C83" w:rsidRPr="00B12148">
        <w:t xml:space="preserve">is not </w:t>
      </w:r>
      <w:r w:rsidR="008E41E6" w:rsidRPr="00B12148">
        <w:t xml:space="preserve">a factor against </w:t>
      </w:r>
      <w:r w:rsidR="00D87C83" w:rsidRPr="00B12148">
        <w:t xml:space="preserve">giving </w:t>
      </w:r>
      <w:r w:rsidR="008E41E6" w:rsidRPr="00B12148">
        <w:t>access</w:t>
      </w:r>
      <w:r w:rsidR="00D87C83" w:rsidRPr="00B12148">
        <w:t xml:space="preserve"> to the documents</w:t>
      </w:r>
      <w:r w:rsidR="008E41E6" w:rsidRPr="00B12148">
        <w:t>.</w:t>
      </w:r>
    </w:p>
    <w:p w:rsidR="00A85308" w:rsidRPr="00B12148" w:rsidRDefault="00A85308" w:rsidP="00A85308">
      <w:pPr>
        <w:pStyle w:val="Heading4"/>
      </w:pPr>
      <w:r w:rsidRPr="00B12148">
        <w:t>Disclosure of confidential Treasury projections</w:t>
      </w:r>
    </w:p>
    <w:p w:rsidR="00366011" w:rsidRPr="00B12148" w:rsidRDefault="00B03B8A" w:rsidP="00366011">
      <w:pPr>
        <w:pStyle w:val="ListNumber"/>
        <w:numPr>
          <w:ilvl w:val="0"/>
          <w:numId w:val="1"/>
        </w:numPr>
      </w:pPr>
      <w:r w:rsidRPr="00B12148">
        <w:t>T</w:t>
      </w:r>
      <w:r w:rsidR="00366011" w:rsidRPr="00B12148">
        <w:t xml:space="preserve">he documents include </w:t>
      </w:r>
      <w:r w:rsidR="00B1198E" w:rsidRPr="00B12148">
        <w:t>projections of several economic indicators</w:t>
      </w:r>
      <w:r w:rsidR="0040675C">
        <w:t xml:space="preserve">.  </w:t>
      </w:r>
      <w:r w:rsidRPr="00B12148">
        <w:t xml:space="preserve">The Department says that these projections were </w:t>
      </w:r>
      <w:r w:rsidR="00366011" w:rsidRPr="00B12148">
        <w:t xml:space="preserve">provided to </w:t>
      </w:r>
      <w:r w:rsidRPr="00B12148">
        <w:t xml:space="preserve">it </w:t>
      </w:r>
      <w:r w:rsidR="00366011" w:rsidRPr="00B12148">
        <w:t xml:space="preserve">by the Treasury on the understanding that </w:t>
      </w:r>
      <w:r w:rsidR="00B1198E" w:rsidRPr="00B12148">
        <w:t xml:space="preserve">they </w:t>
      </w:r>
      <w:r w:rsidR="00366011" w:rsidRPr="00B12148">
        <w:t>would be treated confidentially</w:t>
      </w:r>
      <w:r w:rsidR="0040675C">
        <w:t xml:space="preserve">.  </w:t>
      </w:r>
      <w:r w:rsidR="0026242F" w:rsidRPr="00B12148">
        <w:t>Mr</w:t>
      </w:r>
      <w:r w:rsidR="0040675C">
        <w:t> </w:t>
      </w:r>
      <w:r w:rsidR="00366011" w:rsidRPr="00B12148">
        <w:t xml:space="preserve">Griew went as far as to say that disclosure of this information </w:t>
      </w:r>
      <w:r w:rsidR="0040675C">
        <w:t>“</w:t>
      </w:r>
      <w:r w:rsidR="00366011" w:rsidRPr="00B12148">
        <w:t>is likely to impede important current and future working relationships between Australian Government agencies</w:t>
      </w:r>
      <w:r w:rsidR="0040675C">
        <w:t>”</w:t>
      </w:r>
      <w:r w:rsidR="00366011" w:rsidRPr="00B12148">
        <w:t xml:space="preserve"> and prejudic</w:t>
      </w:r>
      <w:r w:rsidRPr="00B12148">
        <w:t>e</w:t>
      </w:r>
      <w:r w:rsidR="00366011" w:rsidRPr="00B12148">
        <w:t xml:space="preserve"> the future delivery of government policy</w:t>
      </w:r>
      <w:r w:rsidR="0040675C">
        <w:t xml:space="preserve">.  </w:t>
      </w:r>
      <w:r w:rsidRPr="00B12148">
        <w:t>An</w:t>
      </w:r>
      <w:r w:rsidR="00B1198E" w:rsidRPr="00B12148">
        <w:t xml:space="preserve"> </w:t>
      </w:r>
      <w:r w:rsidR="00366011" w:rsidRPr="00B12148">
        <w:t>example of the information in question is the Treasury</w:t>
      </w:r>
      <w:r w:rsidR="0040675C">
        <w:t>’</w:t>
      </w:r>
      <w:r w:rsidR="00366011" w:rsidRPr="00B12148">
        <w:t>s projection of the value of Government bonds.</w:t>
      </w:r>
    </w:p>
    <w:p w:rsidR="002062DB" w:rsidRPr="00B12148" w:rsidRDefault="0026242F" w:rsidP="00366011">
      <w:pPr>
        <w:pStyle w:val="ListNumber"/>
        <w:numPr>
          <w:ilvl w:val="0"/>
          <w:numId w:val="1"/>
        </w:numPr>
      </w:pPr>
      <w:r w:rsidRPr="00B12148">
        <w:t>I</w:t>
      </w:r>
      <w:r w:rsidR="0040675C">
        <w:t> </w:t>
      </w:r>
      <w:r w:rsidR="00B03B8A" w:rsidRPr="00B12148">
        <w:t xml:space="preserve">accept that Treasury provided </w:t>
      </w:r>
      <w:r w:rsidR="0009249D" w:rsidRPr="00B12148">
        <w:t xml:space="preserve">its </w:t>
      </w:r>
      <w:r w:rsidR="00B03B8A" w:rsidRPr="00B12148">
        <w:t>projections to the Department on a confidential basis</w:t>
      </w:r>
      <w:r w:rsidR="0040675C">
        <w:t xml:space="preserve">.  </w:t>
      </w:r>
      <w:r w:rsidR="0009249D" w:rsidRPr="00B12148">
        <w:t xml:space="preserve">But the Treasury must be taken to have understood, when it provided </w:t>
      </w:r>
      <w:r w:rsidR="005D6C4C" w:rsidRPr="00B12148">
        <w:t>those</w:t>
      </w:r>
      <w:r w:rsidR="001E3467" w:rsidRPr="00B12148">
        <w:t xml:space="preserve"> projections</w:t>
      </w:r>
      <w:r w:rsidR="0009249D" w:rsidRPr="00B12148">
        <w:t>, that the Department might have to disclose th</w:t>
      </w:r>
      <w:r w:rsidR="006379E6" w:rsidRPr="00B12148">
        <w:t xml:space="preserve">em </w:t>
      </w:r>
      <w:r w:rsidR="0009249D" w:rsidRPr="00B12148">
        <w:t>in response to an FOI request</w:t>
      </w:r>
      <w:r w:rsidR="0040675C">
        <w:t xml:space="preserve">.  </w:t>
      </w:r>
      <w:r w:rsidR="000A13BB" w:rsidRPr="00B12148">
        <w:t>And, i</w:t>
      </w:r>
      <w:r w:rsidR="0009249D" w:rsidRPr="00B12148">
        <w:t xml:space="preserve">f the </w:t>
      </w:r>
      <w:r w:rsidR="0040675C">
        <w:t>FOI Act</w:t>
      </w:r>
      <w:r w:rsidR="0009249D" w:rsidRPr="00B12148">
        <w:t xml:space="preserve"> obliges the Department to disclose the projections, </w:t>
      </w:r>
      <w:r w:rsidR="001E3467" w:rsidRPr="00B12148">
        <w:t xml:space="preserve">the Act </w:t>
      </w:r>
      <w:r w:rsidR="0009249D" w:rsidRPr="00B12148">
        <w:t>also oblige</w:t>
      </w:r>
      <w:r w:rsidR="00A77E1E" w:rsidRPr="00B12148">
        <w:t>s</w:t>
      </w:r>
      <w:r w:rsidR="000A3F07" w:rsidRPr="00B12148">
        <w:t xml:space="preserve"> the Treasury to disclose those projections </w:t>
      </w:r>
      <w:r w:rsidR="0009249D" w:rsidRPr="00B12148">
        <w:t>in response to an FOI request made to the Treasury</w:t>
      </w:r>
      <w:r w:rsidR="0040675C">
        <w:t xml:space="preserve">.  </w:t>
      </w:r>
      <w:r w:rsidR="00755405" w:rsidRPr="00B12148">
        <w:t xml:space="preserve">It cannot be </w:t>
      </w:r>
      <w:r w:rsidR="000A13BB" w:rsidRPr="00B12148">
        <w:t xml:space="preserve">argued that disclosure, in this review, will make Treasury reluctant to provide information to other agencies in the future: providing </w:t>
      </w:r>
      <w:r w:rsidR="00755405" w:rsidRPr="00B12148">
        <w:t xml:space="preserve">information </w:t>
      </w:r>
      <w:r w:rsidR="000A13BB" w:rsidRPr="00B12148">
        <w:t xml:space="preserve">to </w:t>
      </w:r>
      <w:r w:rsidR="00755405" w:rsidRPr="00B12148">
        <w:t xml:space="preserve">another agency does not make that information </w:t>
      </w:r>
      <w:r w:rsidR="000A13BB" w:rsidRPr="00B12148">
        <w:t xml:space="preserve">any more </w:t>
      </w:r>
      <w:r w:rsidR="00096AE6" w:rsidRPr="00B12148">
        <w:t xml:space="preserve">or less </w:t>
      </w:r>
      <w:r w:rsidR="000A13BB" w:rsidRPr="00B12148">
        <w:t xml:space="preserve">accessible under the </w:t>
      </w:r>
      <w:r w:rsidR="0040675C">
        <w:t>FOI Act</w:t>
      </w:r>
      <w:r w:rsidR="002062DB" w:rsidRPr="00B12148">
        <w:t xml:space="preserve"> than </w:t>
      </w:r>
      <w:r w:rsidR="00755405" w:rsidRPr="00B12148">
        <w:t xml:space="preserve">it </w:t>
      </w:r>
      <w:r w:rsidR="002062DB" w:rsidRPr="00B12148">
        <w:t xml:space="preserve">already </w:t>
      </w:r>
      <w:r w:rsidR="00755405" w:rsidRPr="00B12148">
        <w:t>was</w:t>
      </w:r>
      <w:r w:rsidR="0040675C">
        <w:t xml:space="preserve">.  </w:t>
      </w:r>
      <w:r w:rsidR="00755405" w:rsidRPr="00B12148">
        <w:t>The fact that Treasury provided projections to the Department on a confidential basis cannot be a factor against giving access to the documents.</w:t>
      </w:r>
      <w:r w:rsidR="00755405" w:rsidRPr="0040675C">
        <w:rPr>
          <w:rStyle w:val="FootnoteReference"/>
        </w:rPr>
        <w:footnoteReference w:id="38"/>
      </w:r>
    </w:p>
    <w:p w:rsidR="001521BB" w:rsidRPr="00B12148" w:rsidRDefault="00755405" w:rsidP="001521BB">
      <w:pPr>
        <w:pStyle w:val="ListNumber"/>
        <w:numPr>
          <w:ilvl w:val="0"/>
          <w:numId w:val="1"/>
        </w:numPr>
      </w:pPr>
      <w:bookmarkStart w:id="22" w:name="_Ref422574352"/>
      <w:r w:rsidRPr="00B12148">
        <w:t xml:space="preserve">However, </w:t>
      </w:r>
      <w:r w:rsidR="0026242F" w:rsidRPr="00B12148">
        <w:t>I</w:t>
      </w:r>
      <w:r w:rsidR="0040675C">
        <w:t> </w:t>
      </w:r>
      <w:r w:rsidRPr="00B12148">
        <w:t>accept the Department</w:t>
      </w:r>
      <w:r w:rsidR="0040675C">
        <w:t>’</w:t>
      </w:r>
      <w:r w:rsidRPr="00B12148">
        <w:t xml:space="preserve">s argument (and </w:t>
      </w:r>
      <w:r w:rsidR="0026242F" w:rsidRPr="00B12148">
        <w:t>Mr</w:t>
      </w:r>
      <w:r w:rsidR="0040675C">
        <w:t> </w:t>
      </w:r>
      <w:r w:rsidRPr="00B12148">
        <w:t>Griew</w:t>
      </w:r>
      <w:r w:rsidR="0040675C">
        <w:t>’</w:t>
      </w:r>
      <w:r w:rsidRPr="00B12148">
        <w:t>s evidence) that disclosure of Treasury</w:t>
      </w:r>
      <w:r w:rsidR="0040675C">
        <w:t>’</w:t>
      </w:r>
      <w:r w:rsidRPr="00B12148">
        <w:t>s projections could adversely affect markets and financial frameworks</w:t>
      </w:r>
      <w:r w:rsidR="0040675C">
        <w:t xml:space="preserve">.  </w:t>
      </w:r>
      <w:r w:rsidRPr="00B12148">
        <w:t>That is a factor against giving access to the documents.</w:t>
      </w:r>
      <w:r w:rsidRPr="0040675C">
        <w:rPr>
          <w:rStyle w:val="FootnoteReference"/>
        </w:rPr>
        <w:footnoteReference w:id="39"/>
      </w:r>
      <w:r w:rsidR="0055161A">
        <w:t xml:space="preserve"> </w:t>
      </w:r>
      <w:r w:rsidR="0040675C">
        <w:t xml:space="preserve"> </w:t>
      </w:r>
      <w:r w:rsidR="001521BB" w:rsidRPr="00B12148">
        <w:t>Of course, this will not always be the case</w:t>
      </w:r>
      <w:r w:rsidR="0040675C">
        <w:t xml:space="preserve">.  </w:t>
      </w:r>
      <w:r w:rsidR="001521BB" w:rsidRPr="00B12148">
        <w:t>With the passing of time, the effect of the disclosure of those projections will be less and, eventually, nil.</w:t>
      </w:r>
      <w:bookmarkEnd w:id="22"/>
    </w:p>
    <w:p w:rsidR="00F47BCD" w:rsidRPr="00B12148" w:rsidRDefault="00213D04" w:rsidP="00F47BCD">
      <w:pPr>
        <w:pStyle w:val="Heading4"/>
      </w:pPr>
      <w:r w:rsidRPr="00B12148">
        <w:t>Question time briefs</w:t>
      </w:r>
    </w:p>
    <w:p w:rsidR="00F47BCD" w:rsidRPr="00B12148" w:rsidRDefault="00364844" w:rsidP="00F47BCD">
      <w:pPr>
        <w:pStyle w:val="ListNumber"/>
      </w:pPr>
      <w:r w:rsidRPr="00B12148">
        <w:t xml:space="preserve">The Department says that disclosure of </w:t>
      </w:r>
      <w:r w:rsidR="00EE0A8B" w:rsidRPr="00B12148">
        <w:t>two of the documents—the question time briefs—</w:t>
      </w:r>
      <w:r w:rsidR="00EA5452" w:rsidRPr="00B12148">
        <w:t xml:space="preserve">would be contrary to the </w:t>
      </w:r>
      <w:r w:rsidR="00EE0A8B" w:rsidRPr="00B12148">
        <w:t xml:space="preserve">public interest because it would adversely affect </w:t>
      </w:r>
      <w:r w:rsidR="00F47BCD" w:rsidRPr="00B12148">
        <w:t xml:space="preserve">the confidentiality of briefings to </w:t>
      </w:r>
      <w:r w:rsidR="00EE0A8B" w:rsidRPr="00B12148">
        <w:t>M</w:t>
      </w:r>
      <w:r w:rsidR="00F47BCD" w:rsidRPr="00B12148">
        <w:t xml:space="preserve">inisters for the purposes of answering questions in </w:t>
      </w:r>
      <w:r w:rsidR="00EA5452" w:rsidRPr="00B12148">
        <w:t>P</w:t>
      </w:r>
      <w:r w:rsidR="00F47BCD" w:rsidRPr="00B12148">
        <w:t>arliament</w:t>
      </w:r>
      <w:r w:rsidR="00EA5452" w:rsidRPr="00B12148">
        <w:t>.</w:t>
      </w:r>
    </w:p>
    <w:p w:rsidR="00DF03A0" w:rsidRPr="00B12148" w:rsidRDefault="00DF03A0" w:rsidP="0070121A">
      <w:pPr>
        <w:pStyle w:val="ListNumber"/>
        <w:keepNext/>
      </w:pPr>
      <w:r w:rsidRPr="00B12148">
        <w:t>Section</w:t>
      </w:r>
      <w:r w:rsidR="0040675C">
        <w:t> </w:t>
      </w:r>
      <w:r w:rsidRPr="00B12148">
        <w:t xml:space="preserve">46(c) of the </w:t>
      </w:r>
      <w:r w:rsidR="0040675C">
        <w:t>FOI Act</w:t>
      </w:r>
      <w:r w:rsidRPr="00B12148">
        <w:t xml:space="preserve"> provides that a document is exempt if its public disclosure would infringe the privileges of the Parliament</w:t>
      </w:r>
      <w:r w:rsidR="0040675C">
        <w:t xml:space="preserve">.  </w:t>
      </w:r>
      <w:r w:rsidRPr="00B12148">
        <w:t>The FOI Guidelines say that:</w:t>
      </w:r>
    </w:p>
    <w:p w:rsidR="00DF03A0" w:rsidRPr="00B12148" w:rsidRDefault="00DF03A0" w:rsidP="00DF03A0">
      <w:pPr>
        <w:pStyle w:val="Quote"/>
      </w:pPr>
      <w:r w:rsidRPr="00B12148">
        <w:t>Disclosure of briefings to assist ministers in parliament—namely, question time briefs or possible parliamentary questions—would not ordinarily be expected to breach a privilege of Parliament</w:t>
      </w:r>
      <w:r w:rsidR="0040675C">
        <w:t xml:space="preserve">.  </w:t>
      </w:r>
      <w:r w:rsidR="00D31246" w:rsidRPr="00B12148">
        <w:t>A</w:t>
      </w:r>
      <w:r w:rsidR="0040675C">
        <w:t> </w:t>
      </w:r>
      <w:r w:rsidRPr="00B12148">
        <w:t>document of this kind, while prepared for a minister to assist him or her in responding to potential questions raised in Parliament, is nevertheless an executive document</w:t>
      </w:r>
      <w:r w:rsidR="0040675C">
        <w:t xml:space="preserve">.  </w:t>
      </w:r>
      <w:r w:rsidRPr="00B12148">
        <w:t>Unless some clear prejudice to parliamentary proceedings can be demonstrated, s</w:t>
      </w:r>
      <w:r w:rsidR="0040675C">
        <w:t> </w:t>
      </w:r>
      <w:r w:rsidRPr="00B12148">
        <w:t>46(c) should not be claimed for briefings of this kind</w:t>
      </w:r>
      <w:r w:rsidR="0040675C">
        <w:t xml:space="preserve">.  </w:t>
      </w:r>
      <w:r w:rsidRPr="00B12148">
        <w:t>Depending on the content of the briefings, other exemptions may apply.</w:t>
      </w:r>
      <w:r w:rsidR="002B618B" w:rsidRPr="0040675C">
        <w:rPr>
          <w:rStyle w:val="FootnoteReference"/>
        </w:rPr>
        <w:footnoteReference w:id="40"/>
      </w:r>
    </w:p>
    <w:p w:rsidR="00CB6374" w:rsidRPr="00B12148" w:rsidRDefault="00DF03A0" w:rsidP="00CB6374">
      <w:pPr>
        <w:pStyle w:val="FollowingPara"/>
      </w:pPr>
      <w:r w:rsidRPr="00B12148">
        <w:t>The Department does not claim that the question time briefs</w:t>
      </w:r>
      <w:r w:rsidR="00CB6374" w:rsidRPr="00B12148">
        <w:t xml:space="preserve"> in this review</w:t>
      </w:r>
      <w:r w:rsidRPr="00B12148">
        <w:t xml:space="preserve"> are exempt under s</w:t>
      </w:r>
      <w:r w:rsidR="0040675C">
        <w:t> </w:t>
      </w:r>
      <w:r w:rsidRPr="00B12148">
        <w:t>46(c)</w:t>
      </w:r>
      <w:r w:rsidR="0040675C">
        <w:t xml:space="preserve">.  </w:t>
      </w:r>
      <w:r w:rsidRPr="00B12148">
        <w:t>It claims that they are exempt under s</w:t>
      </w:r>
      <w:r w:rsidR="0040675C">
        <w:t> </w:t>
      </w:r>
      <w:r w:rsidRPr="00B12148">
        <w:t xml:space="preserve">47C, and </w:t>
      </w:r>
      <w:r w:rsidR="00D31246" w:rsidRPr="00B12148">
        <w:t>I</w:t>
      </w:r>
      <w:r w:rsidR="0040675C">
        <w:t> </w:t>
      </w:r>
      <w:r w:rsidRPr="00B12148">
        <w:t>have already found that they are conditionall</w:t>
      </w:r>
      <w:r w:rsidR="00EA5452" w:rsidRPr="00B12148">
        <w:t>y exempt under that provision.</w:t>
      </w:r>
    </w:p>
    <w:p w:rsidR="00F34950" w:rsidRPr="00B12148" w:rsidRDefault="00F34950" w:rsidP="00DF03A0">
      <w:pPr>
        <w:pStyle w:val="ListNumber"/>
      </w:pPr>
      <w:r w:rsidRPr="00B12148">
        <w:t xml:space="preserve">The Department says that the question time briefs are </w:t>
      </w:r>
      <w:r w:rsidR="0040675C">
        <w:t>“</w:t>
      </w:r>
      <w:r w:rsidRPr="00B12148">
        <w:t>deliberative in a different sense</w:t>
      </w:r>
      <w:r w:rsidR="0040675C">
        <w:t>”</w:t>
      </w:r>
      <w:r w:rsidRPr="00B12148">
        <w:t xml:space="preserve"> than are the other documents in this review, because they provide advice to the Minister about how he might answer a particular question in the Parliament</w:t>
      </w:r>
      <w:r w:rsidR="0040675C">
        <w:t xml:space="preserve">.  </w:t>
      </w:r>
      <w:r w:rsidRPr="00B12148">
        <w:t xml:space="preserve">In other words, </w:t>
      </w:r>
      <w:r w:rsidR="00CB6374" w:rsidRPr="00B12148">
        <w:t>disclosure of the question time briefs in this review would be contrary to the public interest—not because of what they contain,</w:t>
      </w:r>
      <w:r w:rsidRPr="00B12148">
        <w:t xml:space="preserve"> but because of what they are.</w:t>
      </w:r>
    </w:p>
    <w:p w:rsidR="003A0563" w:rsidRPr="00B12148" w:rsidRDefault="00F34950" w:rsidP="005D4175">
      <w:pPr>
        <w:pStyle w:val="ListNumber"/>
      </w:pPr>
      <w:r w:rsidRPr="00B12148">
        <w:t xml:space="preserve">If two documents contain the same information, it is possible that one of them could be exempt and the other not exempt under the </w:t>
      </w:r>
      <w:r w:rsidR="0040675C">
        <w:t>FOI Act</w:t>
      </w:r>
      <w:r w:rsidRPr="00B12148">
        <w:t>: for example, one could be a Cabinet document,</w:t>
      </w:r>
      <w:r w:rsidR="00760D0E" w:rsidRPr="0040675C">
        <w:rPr>
          <w:rStyle w:val="FootnoteReference"/>
        </w:rPr>
        <w:footnoteReference w:id="41"/>
      </w:r>
      <w:r w:rsidRPr="00B12148">
        <w:t xml:space="preserve"> and the other a media release</w:t>
      </w:r>
      <w:r w:rsidR="0040675C">
        <w:t xml:space="preserve">.  </w:t>
      </w:r>
      <w:r w:rsidRPr="00B12148">
        <w:t xml:space="preserve">But </w:t>
      </w:r>
      <w:r w:rsidR="00D31246" w:rsidRPr="00B12148">
        <w:t>I</w:t>
      </w:r>
      <w:r w:rsidR="0040675C">
        <w:t> </w:t>
      </w:r>
      <w:r w:rsidRPr="00B12148">
        <w:t>do not see how disclosing information in one document can be more or less contrary to the public interest than disclosing the same information in another document</w:t>
      </w:r>
      <w:r w:rsidR="0040675C">
        <w:t xml:space="preserve">.  </w:t>
      </w:r>
      <w:r w:rsidR="00B624CE" w:rsidRPr="00B12148">
        <w:t xml:space="preserve">For example, a document prepared to advise a Minister how to answer a question in Parliament might be substantially identical to a document prepared to </w:t>
      </w:r>
      <w:r w:rsidR="00047FE6" w:rsidRPr="00B12148">
        <w:t xml:space="preserve">advise the same Minister how to answer </w:t>
      </w:r>
      <w:r w:rsidR="0004361E" w:rsidRPr="00B12148">
        <w:t xml:space="preserve">the same </w:t>
      </w:r>
      <w:r w:rsidR="00047FE6" w:rsidRPr="00B12148">
        <w:t>question in a media interview</w:t>
      </w:r>
      <w:r w:rsidR="0040675C">
        <w:t xml:space="preserve">.  </w:t>
      </w:r>
      <w:r w:rsidR="00047FE6" w:rsidRPr="00B12148">
        <w:t>If disclosure of the first document would infringe the privileges of the Parliament, it would be exempt under s</w:t>
      </w:r>
      <w:r w:rsidR="0040675C">
        <w:t> </w:t>
      </w:r>
      <w:r w:rsidR="00047FE6" w:rsidRPr="00B12148">
        <w:t>46(c)</w:t>
      </w:r>
      <w:r w:rsidR="0040675C">
        <w:t xml:space="preserve">.  </w:t>
      </w:r>
      <w:r w:rsidR="00047FE6" w:rsidRPr="00B12148">
        <w:t>Otherwise, its disclosure would be no more or less contrary to the public interest than the di</w:t>
      </w:r>
      <w:r w:rsidR="005D4175" w:rsidRPr="00B12148">
        <w:t>sclosure of the second document</w:t>
      </w:r>
      <w:r w:rsidR="003A0563" w:rsidRPr="00B12148">
        <w:t>.</w:t>
      </w:r>
      <w:r w:rsidR="003A0563" w:rsidRPr="0040675C">
        <w:rPr>
          <w:rStyle w:val="FootnoteReference"/>
        </w:rPr>
        <w:footnoteReference w:id="42"/>
      </w:r>
    </w:p>
    <w:p w:rsidR="00DF03A0" w:rsidRPr="00B12148" w:rsidRDefault="00E012DA" w:rsidP="00DF03A0">
      <w:pPr>
        <w:pStyle w:val="ListNumber"/>
      </w:pPr>
      <w:r w:rsidRPr="00B12148">
        <w:t>The fact that two of the documents are question time briefs is not a factor against access in relation to those documents.</w:t>
      </w:r>
    </w:p>
    <w:p w:rsidR="007E5D9B" w:rsidRPr="00B12148" w:rsidRDefault="00CB2B4B" w:rsidP="00501BA3">
      <w:pPr>
        <w:pStyle w:val="Heading3"/>
      </w:pPr>
      <w:r w:rsidRPr="00B12148">
        <w:t>B</w:t>
      </w:r>
      <w:r w:rsidR="007E5D9B" w:rsidRPr="00B12148">
        <w:t>alancing the factors favouring and against access</w:t>
      </w:r>
    </w:p>
    <w:p w:rsidR="00BD630B" w:rsidRPr="00B12148" w:rsidRDefault="00F848DF" w:rsidP="004B7DBF">
      <w:pPr>
        <w:pStyle w:val="ListNumber"/>
        <w:rPr>
          <w:lang w:eastAsia="en-AU"/>
        </w:rPr>
      </w:pPr>
      <w:r w:rsidRPr="00B12148">
        <w:rPr>
          <w:lang w:eastAsia="en-AU"/>
        </w:rPr>
        <w:t>There is a general public interest in the disclosure of the documents</w:t>
      </w:r>
      <w:r w:rsidR="0040675C">
        <w:rPr>
          <w:lang w:eastAsia="en-AU"/>
        </w:rPr>
        <w:t xml:space="preserve">.  </w:t>
      </w:r>
      <w:r w:rsidR="00D976E8" w:rsidRPr="00B12148">
        <w:rPr>
          <w:lang w:eastAsia="en-AU"/>
        </w:rPr>
        <w:t>D</w:t>
      </w:r>
      <w:r w:rsidRPr="00B12148">
        <w:t>isclosure would inform debate on the issue of higher education reform, which is a matter of public importance</w:t>
      </w:r>
      <w:r w:rsidR="0040675C">
        <w:t xml:space="preserve">.  </w:t>
      </w:r>
      <w:r w:rsidR="00917D2F" w:rsidRPr="00B12148">
        <w:t xml:space="preserve">Disclosure would </w:t>
      </w:r>
      <w:r w:rsidR="00411A84" w:rsidRPr="00B12148">
        <w:t>increase public participation in Government processes</w:t>
      </w:r>
      <w:r w:rsidR="0040675C">
        <w:t xml:space="preserve">.  </w:t>
      </w:r>
      <w:r w:rsidR="00917D2F" w:rsidRPr="00B12148">
        <w:t xml:space="preserve">It </w:t>
      </w:r>
      <w:r w:rsidR="00D97ED3" w:rsidRPr="00B12148">
        <w:t>would also reveal the reason for a government decision and some of the background or contextual information that informed the decision</w:t>
      </w:r>
      <w:r w:rsidR="00917D2F" w:rsidRPr="00B12148">
        <w:t>, enhancing</w:t>
      </w:r>
      <w:r w:rsidR="00D97ED3" w:rsidRPr="00B12148">
        <w:t xml:space="preserve"> the scrutiny of government decision making.</w:t>
      </w:r>
    </w:p>
    <w:p w:rsidR="00F848DF" w:rsidRPr="00B12148" w:rsidRDefault="00F848DF" w:rsidP="00D426FA">
      <w:pPr>
        <w:pStyle w:val="ListNumber"/>
        <w:keepLines/>
        <w:rPr>
          <w:lang w:eastAsia="en-AU"/>
        </w:rPr>
      </w:pPr>
      <w:r w:rsidRPr="00B12148">
        <w:t xml:space="preserve">But, disclosure </w:t>
      </w:r>
      <w:r w:rsidR="00040E4C" w:rsidRPr="00B12148">
        <w:t>w</w:t>
      </w:r>
      <w:r w:rsidRPr="00B12148">
        <w:t xml:space="preserve">ould </w:t>
      </w:r>
      <w:r w:rsidR="00712FF9" w:rsidRPr="00B12148">
        <w:t>frustrate the Government</w:t>
      </w:r>
      <w:r w:rsidR="0040675C">
        <w:t>’</w:t>
      </w:r>
      <w:r w:rsidR="007F1D45" w:rsidRPr="00B12148">
        <w:t>s policy objective</w:t>
      </w:r>
      <w:r w:rsidR="00712FF9" w:rsidRPr="00B12148">
        <w:t xml:space="preserve"> by damaging</w:t>
      </w:r>
      <w:r w:rsidRPr="00B12148">
        <w:t xml:space="preserve"> the operation of a </w:t>
      </w:r>
      <w:r w:rsidR="00BD17B1" w:rsidRPr="00B12148">
        <w:t>deregulated higher education market</w:t>
      </w:r>
      <w:r w:rsidR="0040675C">
        <w:t xml:space="preserve">.  </w:t>
      </w:r>
      <w:r w:rsidR="00BD17B1" w:rsidRPr="00B12148">
        <w:t xml:space="preserve">And the </w:t>
      </w:r>
      <w:r w:rsidRPr="00B12148">
        <w:t>disclosure of Treasury</w:t>
      </w:r>
      <w:r w:rsidR="0040675C">
        <w:t>’</w:t>
      </w:r>
      <w:r w:rsidR="00BD17B1" w:rsidRPr="00B12148">
        <w:t xml:space="preserve">s projections, included in the documents, </w:t>
      </w:r>
      <w:r w:rsidRPr="00B12148">
        <w:t>could adversely affect markets and financial frameworks</w:t>
      </w:r>
      <w:r w:rsidR="00BD17B1" w:rsidRPr="00B12148">
        <w:t>.</w:t>
      </w:r>
    </w:p>
    <w:p w:rsidR="00BD17B1" w:rsidRPr="00B12148" w:rsidRDefault="00BD17B1" w:rsidP="004B7DBF">
      <w:pPr>
        <w:pStyle w:val="ListNumber"/>
        <w:rPr>
          <w:lang w:eastAsia="en-AU"/>
        </w:rPr>
      </w:pPr>
      <w:r w:rsidRPr="00B12148">
        <w:rPr>
          <w:lang w:eastAsia="en-AU"/>
        </w:rPr>
        <w:t>In balancing these factors—for and against access—</w:t>
      </w:r>
      <w:r w:rsidR="00583613" w:rsidRPr="00B12148">
        <w:rPr>
          <w:lang w:eastAsia="en-AU"/>
        </w:rPr>
        <w:t>I</w:t>
      </w:r>
      <w:r w:rsidR="0040675C">
        <w:rPr>
          <w:lang w:eastAsia="en-AU"/>
        </w:rPr>
        <w:t> </w:t>
      </w:r>
      <w:r w:rsidRPr="00B12148">
        <w:rPr>
          <w:lang w:eastAsia="en-AU"/>
        </w:rPr>
        <w:t>give the greatest weight in this review to the factors against access</w:t>
      </w:r>
      <w:r w:rsidR="0040675C">
        <w:rPr>
          <w:lang w:eastAsia="en-AU"/>
        </w:rPr>
        <w:t xml:space="preserve">.  </w:t>
      </w:r>
      <w:r w:rsidR="00583613" w:rsidRPr="00B12148">
        <w:rPr>
          <w:lang w:eastAsia="en-AU"/>
        </w:rPr>
        <w:t>I</w:t>
      </w:r>
      <w:r w:rsidR="0040675C">
        <w:rPr>
          <w:lang w:eastAsia="en-AU"/>
        </w:rPr>
        <w:t> </w:t>
      </w:r>
      <w:r w:rsidRPr="00B12148">
        <w:rPr>
          <w:lang w:eastAsia="en-AU"/>
        </w:rPr>
        <w:t>find that a</w:t>
      </w:r>
      <w:r w:rsidRPr="00B12148">
        <w:t>ccess to the documents at this time would, on balance, be contrary to the public interest.</w:t>
      </w:r>
    </w:p>
    <w:p w:rsidR="006744C0" w:rsidRPr="00B12148" w:rsidRDefault="006744C0" w:rsidP="006744C0">
      <w:pPr>
        <w:pStyle w:val="Heading2"/>
      </w:pPr>
      <w:r w:rsidRPr="00B12148">
        <w:t>The economy exemption (s</w:t>
      </w:r>
      <w:r w:rsidR="0040675C">
        <w:t> </w:t>
      </w:r>
      <w:r w:rsidRPr="00B12148">
        <w:t>47J)</w:t>
      </w:r>
    </w:p>
    <w:p w:rsidR="003B7767" w:rsidRPr="00B12148" w:rsidRDefault="003B7767" w:rsidP="003B7767">
      <w:pPr>
        <w:pStyle w:val="ListNumber"/>
        <w:numPr>
          <w:ilvl w:val="0"/>
          <w:numId w:val="1"/>
        </w:numPr>
      </w:pPr>
      <w:r w:rsidRPr="00B12148">
        <w:t>Section</w:t>
      </w:r>
      <w:r w:rsidR="0040675C">
        <w:t> </w:t>
      </w:r>
      <w:r w:rsidRPr="00B12148">
        <w:t xml:space="preserve">47J of the </w:t>
      </w:r>
      <w:r w:rsidR="0040675C">
        <w:t>FOI Act</w:t>
      </w:r>
      <w:r w:rsidRPr="00B12148">
        <w:t xml:space="preserve"> provides that a document is </w:t>
      </w:r>
      <w:r w:rsidR="000D2E40" w:rsidRPr="00B12148">
        <w:t xml:space="preserve">conditionally </w:t>
      </w:r>
      <w:r w:rsidRPr="00B12148">
        <w:t>exempt if its disclosure would, or could be reasonably expected to, have a substantial adverse effect on Australia</w:t>
      </w:r>
      <w:r w:rsidR="0040675C">
        <w:t>’</w:t>
      </w:r>
      <w:r w:rsidRPr="00B12148">
        <w:t>s economy, including a particular sector of the economy</w:t>
      </w:r>
      <w:r w:rsidR="0040675C">
        <w:t xml:space="preserve">.  </w:t>
      </w:r>
      <w:r w:rsidRPr="00B12148">
        <w:t>The Department has not argued, in this review, that s</w:t>
      </w:r>
      <w:r w:rsidR="0040675C">
        <w:t> </w:t>
      </w:r>
      <w:r w:rsidRPr="00B12148">
        <w:t>47J applies to any of the documents.</w:t>
      </w:r>
    </w:p>
    <w:p w:rsidR="003B7767" w:rsidRPr="00B12148" w:rsidRDefault="00065922" w:rsidP="003B7767">
      <w:pPr>
        <w:pStyle w:val="ListNumber"/>
        <w:numPr>
          <w:ilvl w:val="0"/>
          <w:numId w:val="1"/>
        </w:numPr>
      </w:pPr>
      <w:r w:rsidRPr="00B12148">
        <w:t xml:space="preserve">As </w:t>
      </w:r>
      <w:r w:rsidR="00583613" w:rsidRPr="00B12148">
        <w:t>I</w:t>
      </w:r>
      <w:r w:rsidR="0040675C">
        <w:t> </w:t>
      </w:r>
      <w:r w:rsidRPr="00B12148">
        <w:t>have found that the documents are conditionally exempt under s</w:t>
      </w:r>
      <w:r w:rsidR="0040675C">
        <w:t> </w:t>
      </w:r>
      <w:r w:rsidRPr="00B12148">
        <w:t xml:space="preserve">47C, </w:t>
      </w:r>
      <w:r w:rsidR="00583613" w:rsidRPr="00B12148">
        <w:t>I</w:t>
      </w:r>
      <w:r w:rsidR="0040675C">
        <w:t> </w:t>
      </w:r>
      <w:r w:rsidRPr="00B12148">
        <w:t>do not need to consider</w:t>
      </w:r>
      <w:r w:rsidR="000D2E40" w:rsidRPr="00B12148">
        <w:t xml:space="preserve"> the operation of </w:t>
      </w:r>
      <w:r w:rsidRPr="00B12148">
        <w:t>s</w:t>
      </w:r>
      <w:r w:rsidR="0040675C">
        <w:t> </w:t>
      </w:r>
      <w:r w:rsidRPr="00B12148">
        <w:t>47J</w:t>
      </w:r>
      <w:r w:rsidR="0040675C">
        <w:t xml:space="preserve">.  </w:t>
      </w:r>
      <w:r w:rsidRPr="00B12148">
        <w:t xml:space="preserve">However, </w:t>
      </w:r>
      <w:r w:rsidR="00583613" w:rsidRPr="00B12148">
        <w:t>I</w:t>
      </w:r>
      <w:r w:rsidR="0040675C">
        <w:t> </w:t>
      </w:r>
      <w:r w:rsidRPr="00B12148">
        <w:t xml:space="preserve">note that, for similar reasons to those that led me to find </w:t>
      </w:r>
      <w:r w:rsidR="003B7767" w:rsidRPr="00B12148">
        <w:t>that access to the documents would be contrary to the public interest—damage to the operation of a deregulated higher education market</w:t>
      </w:r>
      <w:r w:rsidR="005B5A3F" w:rsidRPr="00B12148">
        <w:t>,</w:t>
      </w:r>
      <w:r w:rsidR="003B7767" w:rsidRPr="00B12148">
        <w:t xml:space="preserve"> and </w:t>
      </w:r>
      <w:r w:rsidRPr="00B12148">
        <w:t>a</w:t>
      </w:r>
      <w:r w:rsidR="00E715C3" w:rsidRPr="00B12148">
        <w:t xml:space="preserve"> possible </w:t>
      </w:r>
      <w:r w:rsidRPr="00B12148">
        <w:t>adverse e</w:t>
      </w:r>
      <w:r w:rsidR="003B7767" w:rsidRPr="00B12148">
        <w:t xml:space="preserve">ffect </w:t>
      </w:r>
      <w:r w:rsidRPr="00B12148">
        <w:t xml:space="preserve">on </w:t>
      </w:r>
      <w:r w:rsidR="003B7767" w:rsidRPr="00B12148">
        <w:t>markets and financial frameworks</w:t>
      </w:r>
      <w:r w:rsidRPr="00B12148">
        <w:t>—</w:t>
      </w:r>
      <w:r w:rsidR="00583613" w:rsidRPr="00B12148">
        <w:t>I</w:t>
      </w:r>
      <w:r w:rsidR="0040675C">
        <w:t> </w:t>
      </w:r>
      <w:r w:rsidRPr="00B12148">
        <w:t xml:space="preserve">would have found that the documents are </w:t>
      </w:r>
      <w:r w:rsidR="001521BB" w:rsidRPr="00B12148">
        <w:t xml:space="preserve">also </w:t>
      </w:r>
      <w:r w:rsidRPr="00B12148">
        <w:t>con</w:t>
      </w:r>
      <w:r w:rsidR="009E7CBA" w:rsidRPr="00B12148">
        <w:t>ditionally exempt under s</w:t>
      </w:r>
      <w:r w:rsidR="0040675C">
        <w:t> </w:t>
      </w:r>
      <w:r w:rsidR="009E7CBA" w:rsidRPr="00B12148">
        <w:t>47J.</w:t>
      </w:r>
    </w:p>
    <w:p w:rsidR="006744C0" w:rsidRPr="00B12148" w:rsidRDefault="00F376AA" w:rsidP="006744C0">
      <w:pPr>
        <w:pStyle w:val="Heading2"/>
      </w:pPr>
      <w:r w:rsidRPr="00B12148">
        <w:t>Timing</w:t>
      </w:r>
    </w:p>
    <w:p w:rsidR="006744C0" w:rsidRPr="00B12148" w:rsidRDefault="00591796" w:rsidP="0070121A">
      <w:pPr>
        <w:pStyle w:val="ListNumber"/>
        <w:keepNext/>
        <w:numPr>
          <w:ilvl w:val="0"/>
          <w:numId w:val="1"/>
        </w:numPr>
      </w:pPr>
      <w:r w:rsidRPr="00B12148">
        <w:t xml:space="preserve">Applying </w:t>
      </w:r>
      <w:r w:rsidR="00F376AA" w:rsidRPr="00B12148">
        <w:t>s</w:t>
      </w:r>
      <w:r w:rsidR="0040675C">
        <w:t> </w:t>
      </w:r>
      <w:r w:rsidR="00F376AA" w:rsidRPr="00B12148">
        <w:t xml:space="preserve">11A(5) of the </w:t>
      </w:r>
      <w:r w:rsidR="0040675C">
        <w:t>FOI Act</w:t>
      </w:r>
      <w:r w:rsidRPr="00B12148">
        <w:t xml:space="preserve"> involves considering the </w:t>
      </w:r>
      <w:r w:rsidR="004131B1" w:rsidRPr="00B12148">
        <w:t xml:space="preserve">public interest </w:t>
      </w:r>
      <w:r w:rsidR="0040675C">
        <w:t>“</w:t>
      </w:r>
      <w:r w:rsidRPr="00B12148">
        <w:t>at that time</w:t>
      </w:r>
      <w:r w:rsidR="0040675C">
        <w:t xml:space="preserve">”.  </w:t>
      </w:r>
      <w:r w:rsidR="004131B1" w:rsidRPr="00B12148">
        <w:t>A</w:t>
      </w:r>
      <w:r w:rsidR="00F376AA" w:rsidRPr="00B12148">
        <w:t>s the FOI Guidelines point out:</w:t>
      </w:r>
    </w:p>
    <w:p w:rsidR="00F376AA" w:rsidRPr="00B12148" w:rsidRDefault="00591796" w:rsidP="00F376AA">
      <w:pPr>
        <w:pStyle w:val="Quote"/>
      </w:pPr>
      <w:r w:rsidRPr="00B12148">
        <w:t xml:space="preserve">The timing is important: it is possible that certain factors may be relevant when the decision is made, but would not be relevant if the request were to </w:t>
      </w:r>
      <w:r w:rsidR="004131B1" w:rsidRPr="00B12148">
        <w:t xml:space="preserve">[be] </w:t>
      </w:r>
      <w:r w:rsidRPr="00B12148">
        <w:t>reconsidered some time later</w:t>
      </w:r>
      <w:r w:rsidR="0040675C">
        <w:t xml:space="preserve">.  </w:t>
      </w:r>
      <w:r w:rsidRPr="00B12148">
        <w:t>In such circumstances a new and different decision could be made</w:t>
      </w:r>
      <w:r w:rsidR="004131B1" w:rsidRPr="00B12148">
        <w:t>.</w:t>
      </w:r>
      <w:r w:rsidR="004131B1" w:rsidRPr="0040675C">
        <w:rPr>
          <w:rStyle w:val="FootnoteReference"/>
        </w:rPr>
        <w:footnoteReference w:id="43"/>
      </w:r>
    </w:p>
    <w:p w:rsidR="008962B6" w:rsidRPr="00B12148" w:rsidRDefault="004131B1" w:rsidP="006744C0">
      <w:pPr>
        <w:pStyle w:val="ListNumber"/>
        <w:numPr>
          <w:ilvl w:val="0"/>
          <w:numId w:val="1"/>
        </w:numPr>
      </w:pPr>
      <w:r w:rsidRPr="00B12148">
        <w:t xml:space="preserve">As </w:t>
      </w:r>
      <w:r w:rsidR="00583613" w:rsidRPr="00B12148">
        <w:t>I</w:t>
      </w:r>
      <w:r w:rsidR="0040675C">
        <w:t> </w:t>
      </w:r>
      <w:r w:rsidRPr="00B12148">
        <w:t>have noted above,</w:t>
      </w:r>
      <w:r w:rsidR="001521BB" w:rsidRPr="0040675C">
        <w:rPr>
          <w:rStyle w:val="FootnoteReference"/>
        </w:rPr>
        <w:footnoteReference w:id="44"/>
      </w:r>
      <w:r w:rsidRPr="00B12148">
        <w:t xml:space="preserve"> </w:t>
      </w:r>
      <w:r w:rsidR="00D25ED8" w:rsidRPr="00B12148">
        <w:t xml:space="preserve">with the passing of time, the factors that mean that access to the documents </w:t>
      </w:r>
      <w:r w:rsidR="0007633A" w:rsidRPr="00B12148">
        <w:t xml:space="preserve">now </w:t>
      </w:r>
      <w:r w:rsidR="00D25ED8" w:rsidRPr="00B12148">
        <w:t>would be contrary to the public interest will have little or no effect</w:t>
      </w:r>
      <w:r w:rsidR="0040675C">
        <w:t xml:space="preserve">.  </w:t>
      </w:r>
      <w:r w:rsidR="00D25ED8" w:rsidRPr="00B12148">
        <w:t xml:space="preserve">For example, if the higher education market is deregulated, and an FOI request is made for the documents in this review after the universities have set their fees, it is likely that </w:t>
      </w:r>
      <w:r w:rsidR="008962B6" w:rsidRPr="00B12148">
        <w:rPr>
          <w:lang w:eastAsia="en-AU"/>
        </w:rPr>
        <w:t>a</w:t>
      </w:r>
      <w:r w:rsidR="008962B6" w:rsidRPr="00B12148">
        <w:t>ccess to the documents at that time would not be contrary to the public interest.</w:t>
      </w:r>
    </w:p>
    <w:p w:rsidR="00D1271C" w:rsidRPr="00B12148" w:rsidRDefault="00D1271C" w:rsidP="006744C0">
      <w:pPr>
        <w:pStyle w:val="ListNumber"/>
        <w:numPr>
          <w:ilvl w:val="0"/>
          <w:numId w:val="1"/>
        </w:numPr>
      </w:pPr>
      <w:r w:rsidRPr="00B12148">
        <w:t>When disclosure of the documents will no longer damage the operation of a deregulated higher education market or adversely affect markets and financial frameworks, the Department should consider publishing the documents, for the reasons identified above as factors favouring access.</w:t>
      </w:r>
      <w:r w:rsidRPr="0040675C">
        <w:rPr>
          <w:rStyle w:val="FootnoteReference"/>
        </w:rPr>
        <w:footnoteReference w:id="45"/>
      </w:r>
    </w:p>
    <w:p w:rsidR="00237EEE" w:rsidRPr="00B12148" w:rsidRDefault="00237EEE" w:rsidP="00237EEE">
      <w:pPr>
        <w:pStyle w:val="Heading2"/>
      </w:pPr>
      <w:r w:rsidRPr="00B12148">
        <w:t>Conclusion</w:t>
      </w:r>
    </w:p>
    <w:p w:rsidR="00E5634F" w:rsidRPr="00B12148" w:rsidRDefault="00E5634F" w:rsidP="00237EEE">
      <w:pPr>
        <w:pStyle w:val="ListNumber"/>
        <w:numPr>
          <w:ilvl w:val="0"/>
          <w:numId w:val="1"/>
        </w:numPr>
      </w:pPr>
      <w:r w:rsidRPr="00B12148">
        <w:t>The documents are conditionally exempt under s</w:t>
      </w:r>
      <w:r w:rsidR="0040675C">
        <w:t> </w:t>
      </w:r>
      <w:r w:rsidRPr="00B12148">
        <w:t xml:space="preserve">47C of the </w:t>
      </w:r>
      <w:r w:rsidR="0040675C">
        <w:t xml:space="preserve">FOI Act.  </w:t>
      </w:r>
      <w:r w:rsidRPr="00B12148">
        <w:t>It would not be reasonably practicable to prepare edited copies of the documents, separating the purely factual material from that deliberative matter</w:t>
      </w:r>
      <w:r w:rsidR="0040675C">
        <w:t xml:space="preserve">.  </w:t>
      </w:r>
      <w:r w:rsidRPr="00B12148">
        <w:t>In any event, the resulting edited copies of the documents would be of little value to Mr</w:t>
      </w:r>
      <w:r w:rsidR="0040675C">
        <w:t> </w:t>
      </w:r>
      <w:r w:rsidRPr="00B12148">
        <w:t>Rovere.</w:t>
      </w:r>
    </w:p>
    <w:p w:rsidR="00B00BFC" w:rsidRPr="00B12148" w:rsidRDefault="001216D2" w:rsidP="00237EEE">
      <w:pPr>
        <w:pStyle w:val="ListNumber"/>
        <w:numPr>
          <w:ilvl w:val="0"/>
          <w:numId w:val="1"/>
        </w:numPr>
      </w:pPr>
      <w:r w:rsidRPr="00B12148">
        <w:t>Access to the documents at this time would, on balance, be contrary to the public interest</w:t>
      </w:r>
      <w:r w:rsidR="0040675C">
        <w:t xml:space="preserve">.  </w:t>
      </w:r>
      <w:r w:rsidRPr="00B12148">
        <w:t xml:space="preserve">Accordingly, </w:t>
      </w:r>
      <w:r w:rsidR="00B92ABF" w:rsidRPr="00B12148">
        <w:t>the documents are exempt (s</w:t>
      </w:r>
      <w:r w:rsidR="0040675C">
        <w:t> </w:t>
      </w:r>
      <w:r w:rsidR="00B92ABF" w:rsidRPr="00B12148">
        <w:t xml:space="preserve">31B of the </w:t>
      </w:r>
      <w:r w:rsidR="0040675C">
        <w:t>FOI Act</w:t>
      </w:r>
      <w:r w:rsidR="00B92ABF" w:rsidRPr="00B12148">
        <w:t xml:space="preserve">): that is, </w:t>
      </w:r>
      <w:r w:rsidRPr="00B12148">
        <w:t>a</w:t>
      </w:r>
      <w:r w:rsidR="007238B5" w:rsidRPr="00B12148">
        <w:t xml:space="preserve">ll of the spreadsheets </w:t>
      </w:r>
      <w:r w:rsidRPr="00B12148">
        <w:t xml:space="preserve">and </w:t>
      </w:r>
      <w:r w:rsidR="007238B5" w:rsidRPr="00B12148">
        <w:t>five of the other documents are wholly exempt, and the remaining six documents are partly exempt</w:t>
      </w:r>
      <w:r w:rsidR="00B00BFC" w:rsidRPr="00B12148">
        <w:t>.</w:t>
      </w:r>
    </w:p>
    <w:p w:rsidR="007238B5" w:rsidRPr="00B12148" w:rsidRDefault="001216D2" w:rsidP="00D426FA">
      <w:pPr>
        <w:pStyle w:val="ListNumber"/>
        <w:keepNext/>
        <w:numPr>
          <w:ilvl w:val="0"/>
          <w:numId w:val="1"/>
        </w:numPr>
      </w:pPr>
      <w:r w:rsidRPr="00B12148">
        <w:t>The Department is not required to give Mr</w:t>
      </w:r>
      <w:r w:rsidR="0040675C">
        <w:t> </w:t>
      </w:r>
      <w:r w:rsidRPr="00B12148">
        <w:t>Rovere access to the</w:t>
      </w:r>
      <w:r w:rsidR="00B92ABF" w:rsidRPr="00B12148">
        <w:t xml:space="preserve"> </w:t>
      </w:r>
      <w:r w:rsidR="001228A5" w:rsidRPr="00B12148">
        <w:t xml:space="preserve">exempt documents or the exempt matter in the partly exempt documents </w:t>
      </w:r>
      <w:r w:rsidRPr="00B12148">
        <w:t>(s</w:t>
      </w:r>
      <w:r w:rsidR="0040675C">
        <w:t> </w:t>
      </w:r>
      <w:r w:rsidRPr="00B12148">
        <w:t>11A(4))</w:t>
      </w:r>
      <w:r w:rsidR="0040675C">
        <w:t xml:space="preserve">.  </w:t>
      </w:r>
      <w:r w:rsidR="0027783A" w:rsidRPr="00B12148">
        <w:t xml:space="preserve">The Department has already given </w:t>
      </w:r>
      <w:r w:rsidR="005C6E5A" w:rsidRPr="00B12148">
        <w:t>Mr</w:t>
      </w:r>
      <w:r w:rsidR="0040675C">
        <w:t> </w:t>
      </w:r>
      <w:r w:rsidR="0027783A" w:rsidRPr="00B12148">
        <w:t>Rovere access to edited copies of the partly exempt documents, modified by the deletion of the exempt matter</w:t>
      </w:r>
      <w:r w:rsidR="0040675C">
        <w:t xml:space="preserve">.  </w:t>
      </w:r>
      <w:r w:rsidR="00B00BFC" w:rsidRPr="00B12148">
        <w:t xml:space="preserve">So, </w:t>
      </w:r>
      <w:r w:rsidR="00A439D2" w:rsidRPr="00B12148">
        <w:t>I</w:t>
      </w:r>
      <w:r w:rsidR="0040675C">
        <w:t> </w:t>
      </w:r>
      <w:r w:rsidR="00CC4F83" w:rsidRPr="00B12148">
        <w:t xml:space="preserve">must </w:t>
      </w:r>
      <w:r w:rsidR="00096AE6" w:rsidRPr="00B12148">
        <w:t>affirm the decision under review.</w:t>
      </w:r>
    </w:p>
    <w:p w:rsidR="00703D1C" w:rsidRPr="00B12148" w:rsidRDefault="00703D1C" w:rsidP="00D426FA">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5A7387" w:rsidRPr="00B12148" w:rsidTr="00E5659F">
        <w:tc>
          <w:tcPr>
            <w:tcW w:w="3651" w:type="dxa"/>
          </w:tcPr>
          <w:p w:rsidR="005A7387" w:rsidRPr="00B12148" w:rsidRDefault="00D50657" w:rsidP="00EB7B5E">
            <w:pPr>
              <w:pStyle w:val="NoSpacing"/>
              <w:keepNext/>
            </w:pPr>
            <w:r>
              <w:rPr>
                <w:noProof/>
              </w:rPr>
              <w:drawing>
                <wp:anchor distT="0" distB="0" distL="114300" distR="114300" simplePos="0" relativeHeight="251660288" behindDoc="1" locked="0" layoutInCell="1" allowOverlap="0" wp14:anchorId="250409FE" wp14:editId="27000AC6">
                  <wp:simplePos x="0" y="0"/>
                  <wp:positionH relativeFrom="page">
                    <wp:posOffset>695325</wp:posOffset>
                  </wp:positionH>
                  <wp:positionV relativeFrom="bottomMargin">
                    <wp:posOffset>-6337300</wp:posOffset>
                  </wp:positionV>
                  <wp:extent cx="1363980" cy="1350010"/>
                  <wp:effectExtent l="0" t="0" r="7620" b="254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980" cy="1350010"/>
                          </a:xfrm>
                          <a:prstGeom prst="rect">
                            <a:avLst/>
                          </a:prstGeom>
                        </pic:spPr>
                      </pic:pic>
                    </a:graphicData>
                  </a:graphic>
                  <wp14:sizeRelH relativeFrom="margin">
                    <wp14:pctWidth>0</wp14:pctWidth>
                  </wp14:sizeRelH>
                  <wp14:sizeRelV relativeFrom="margin">
                    <wp14:pctHeight>0</wp14:pctHeight>
                  </wp14:sizeRelV>
                </wp:anchor>
              </w:drawing>
            </w:r>
            <w:r w:rsidR="00D50805" w:rsidRPr="00B12148">
              <w:t>I</w:t>
            </w:r>
            <w:r w:rsidR="0040675C">
              <w:t> </w:t>
            </w:r>
            <w:bookmarkStart w:id="23" w:name="StartStamp"/>
            <w:bookmarkEnd w:id="23"/>
            <w:r w:rsidR="005A7387" w:rsidRPr="00B12148">
              <w:t xml:space="preserve">certify that the preceding </w:t>
            </w:r>
            <w:bookmarkStart w:id="24" w:name="NumParas"/>
            <w:bookmarkEnd w:id="24"/>
            <w:r w:rsidR="00D526E6" w:rsidRPr="00B12148">
              <w:t>7</w:t>
            </w:r>
            <w:r w:rsidR="00EB7B5E" w:rsidRPr="00B12148">
              <w:t>2</w:t>
            </w:r>
            <w:r w:rsidR="005A7387" w:rsidRPr="00B12148">
              <w:t xml:space="preserve"> (</w:t>
            </w:r>
            <w:r w:rsidR="00D526E6" w:rsidRPr="00B12148">
              <w:t>seventy</w:t>
            </w:r>
            <w:r w:rsidR="004E27B5">
              <w:t>-</w:t>
            </w:r>
            <w:r w:rsidR="00EB7B5E" w:rsidRPr="00B12148">
              <w:t>two</w:t>
            </w:r>
            <w:r w:rsidR="005A7387" w:rsidRPr="00B12148">
              <w:t xml:space="preserve">) paragraphs are a true copy of the reasons for the decision herein of </w:t>
            </w:r>
            <w:r w:rsidR="00906D14" w:rsidRPr="00B12148">
              <w:t>Senior Member Popple</w:t>
            </w:r>
          </w:p>
        </w:tc>
      </w:tr>
    </w:tbl>
    <w:p w:rsidR="005A7387" w:rsidRPr="00B12148" w:rsidRDefault="005A7387" w:rsidP="00906D14">
      <w:pPr>
        <w:keepNext/>
        <w:spacing w:before="960"/>
        <w:rPr>
          <w:lang w:eastAsia="en-US"/>
        </w:rPr>
      </w:pPr>
      <w:r w:rsidRPr="00B12148">
        <w:rPr>
          <w:lang w:eastAsia="en-US"/>
        </w:rPr>
        <w:t>...............................</w:t>
      </w:r>
      <w:r w:rsidR="00D50657">
        <w:rPr>
          <w:lang w:eastAsia="en-US"/>
        </w:rPr>
        <w:t>[sgd]</w:t>
      </w:r>
      <w:r w:rsidRPr="00B12148">
        <w:rPr>
          <w:lang w:eastAsia="en-US"/>
        </w:rPr>
        <w:t>.........................................</w:t>
      </w:r>
    </w:p>
    <w:p w:rsidR="005A7387" w:rsidRPr="00B12148" w:rsidRDefault="004E27B5" w:rsidP="00906D14">
      <w:pPr>
        <w:pStyle w:val="NoSpacing"/>
        <w:keepNext/>
      </w:pPr>
      <w:r>
        <w:fldChar w:fldCharType="begin"/>
      </w:r>
      <w:r>
        <w:instrText xml:space="preserve"> DOCPROPERTY  SigneeDesignation </w:instrText>
      </w:r>
      <w:r>
        <w:fldChar w:fldCharType="separate"/>
      </w:r>
      <w:r w:rsidR="00586FD9">
        <w:t>Associate</w:t>
      </w:r>
      <w:r>
        <w:fldChar w:fldCharType="end"/>
      </w:r>
    </w:p>
    <w:p w:rsidR="005A7387" w:rsidRPr="00B12148" w:rsidRDefault="005A7387" w:rsidP="00E5659F">
      <w:r w:rsidRPr="00B12148">
        <w:t xml:space="preserve">Dated </w:t>
      </w:r>
      <w:r w:rsidR="004E27B5">
        <w:fldChar w:fldCharType="begin"/>
      </w:r>
      <w:r w:rsidR="004E27B5">
        <w:instrText xml:space="preserve"> DOCPROPERTY  StampDate </w:instrText>
      </w:r>
      <w:r w:rsidR="004E27B5">
        <w:fldChar w:fldCharType="separate"/>
      </w:r>
      <w:r w:rsidR="0040675C">
        <w:t>30 June</w:t>
      </w:r>
      <w:r w:rsidR="00586FD9">
        <w:t xml:space="preserve"> 2015</w:t>
      </w:r>
      <w:r w:rsidR="004E27B5">
        <w:fldChar w:fldCharType="end"/>
      </w:r>
    </w:p>
    <w:p w:rsidR="005A7387" w:rsidRPr="00B12148" w:rsidRDefault="005A7387" w:rsidP="00E5659F"/>
    <w:tbl>
      <w:tblPr>
        <w:tblW w:w="0" w:type="auto"/>
        <w:tblLayout w:type="fixed"/>
        <w:tblLook w:val="00A0" w:firstRow="1" w:lastRow="0" w:firstColumn="1" w:lastColumn="0" w:noHBand="0" w:noVBand="0"/>
      </w:tblPr>
      <w:tblGrid>
        <w:gridCol w:w="3510"/>
        <w:gridCol w:w="5279"/>
      </w:tblGrid>
      <w:tr w:rsidR="005A7387" w:rsidRPr="00B12148" w:rsidTr="00E5659F">
        <w:trPr>
          <w:trHeight w:val="567"/>
        </w:trPr>
        <w:tc>
          <w:tcPr>
            <w:tcW w:w="3510" w:type="dxa"/>
          </w:tcPr>
          <w:p w:rsidR="005A7387" w:rsidRPr="00B12148" w:rsidRDefault="005A7387" w:rsidP="00EC28D2">
            <w:pPr>
              <w:pStyle w:val="NoSpacing"/>
              <w:keepNext/>
              <w:rPr>
                <w:lang w:eastAsia="en-US"/>
              </w:rPr>
            </w:pPr>
            <w:r w:rsidRPr="00B12148">
              <w:rPr>
                <w:lang w:eastAsia="en-US"/>
              </w:rPr>
              <w:t>Date of hearing</w:t>
            </w:r>
          </w:p>
        </w:tc>
        <w:tc>
          <w:tcPr>
            <w:tcW w:w="5279" w:type="dxa"/>
          </w:tcPr>
          <w:p w:rsidR="005A7387" w:rsidRPr="00B12148" w:rsidRDefault="005A7387" w:rsidP="00EC28D2">
            <w:pPr>
              <w:pStyle w:val="NoSpacing"/>
              <w:keepNext/>
              <w:rPr>
                <w:b/>
                <w:bCs/>
                <w:lang w:eastAsia="en-US"/>
              </w:rPr>
            </w:pPr>
            <w:r w:rsidRPr="00B12148">
              <w:rPr>
                <w:b/>
                <w:bCs/>
                <w:lang w:eastAsia="en-US"/>
              </w:rPr>
              <w:fldChar w:fldCharType="begin"/>
            </w:r>
            <w:r w:rsidRPr="00B12148">
              <w:rPr>
                <w:b/>
                <w:bCs/>
                <w:lang w:eastAsia="en-US"/>
              </w:rPr>
              <w:instrText xml:space="preserve">DOCPROPERTY  DateOfHearing </w:instrText>
            </w:r>
            <w:r w:rsidRPr="00B12148">
              <w:rPr>
                <w:b/>
                <w:bCs/>
                <w:lang w:eastAsia="en-US"/>
              </w:rPr>
              <w:fldChar w:fldCharType="separate"/>
            </w:r>
            <w:r w:rsidR="0040675C">
              <w:rPr>
                <w:b/>
                <w:bCs/>
                <w:lang w:eastAsia="en-US"/>
              </w:rPr>
              <w:t>11 May</w:t>
            </w:r>
            <w:r w:rsidR="00586FD9">
              <w:rPr>
                <w:b/>
                <w:bCs/>
                <w:lang w:eastAsia="en-US"/>
              </w:rPr>
              <w:t xml:space="preserve"> 2015</w:t>
            </w:r>
            <w:r w:rsidRPr="00B12148">
              <w:rPr>
                <w:b/>
                <w:bCs/>
                <w:lang w:eastAsia="en-US"/>
              </w:rPr>
              <w:fldChar w:fldCharType="end"/>
            </w:r>
          </w:p>
        </w:tc>
      </w:tr>
      <w:tr w:rsidR="005A7387" w:rsidRPr="00B12148" w:rsidTr="00E5659F">
        <w:trPr>
          <w:trHeight w:val="567"/>
        </w:trPr>
        <w:tc>
          <w:tcPr>
            <w:tcW w:w="3510" w:type="dxa"/>
          </w:tcPr>
          <w:p w:rsidR="005A7387" w:rsidRPr="00B12148" w:rsidRDefault="00D50657" w:rsidP="00EC28D2">
            <w:pPr>
              <w:pStyle w:val="NoSpacing"/>
              <w:keepNext/>
              <w:rPr>
                <w:lang w:eastAsia="en-US"/>
              </w:rPr>
            </w:pPr>
            <w:bookmarkStart w:id="25" w:name="DateFinalSubmission"/>
            <w:bookmarkStart w:id="26" w:name="AppSelfRepresented"/>
            <w:bookmarkEnd w:id="25"/>
            <w:bookmarkEnd w:id="26"/>
            <w:r>
              <w:rPr>
                <w:noProof/>
              </w:rPr>
              <w:drawing>
                <wp:anchor distT="0" distB="0" distL="114300" distR="114300" simplePos="0" relativeHeight="251659264" behindDoc="1" locked="0" layoutInCell="1" allowOverlap="0" wp14:anchorId="774CE3DA" wp14:editId="5BCE0852">
                  <wp:simplePos x="0" y="0"/>
                  <wp:positionH relativeFrom="page">
                    <wp:posOffset>1323340</wp:posOffset>
                  </wp:positionH>
                  <wp:positionV relativeFrom="bottomMargin">
                    <wp:posOffset>965787484</wp:posOffset>
                  </wp:positionV>
                  <wp:extent cx="1363980" cy="1350010"/>
                  <wp:effectExtent l="0" t="0" r="7620" b="254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980" cy="1350010"/>
                          </a:xfrm>
                          <a:prstGeom prst="rect">
                            <a:avLst/>
                          </a:prstGeom>
                        </pic:spPr>
                      </pic:pic>
                    </a:graphicData>
                  </a:graphic>
                  <wp14:sizeRelH relativeFrom="margin">
                    <wp14:pctWidth>0</wp14:pctWidth>
                  </wp14:sizeRelH>
                  <wp14:sizeRelV relativeFrom="margin">
                    <wp14:pctHeight>0</wp14:pctHeight>
                  </wp14:sizeRelV>
                </wp:anchor>
              </w:drawing>
            </w:r>
            <w:r w:rsidR="005A7387" w:rsidRPr="00B12148">
              <w:rPr>
                <w:lang w:eastAsia="en-US"/>
              </w:rPr>
              <w:t>Applicant</w:t>
            </w:r>
          </w:p>
        </w:tc>
        <w:tc>
          <w:tcPr>
            <w:tcW w:w="5279" w:type="dxa"/>
          </w:tcPr>
          <w:p w:rsidR="005A7387" w:rsidRPr="00B12148" w:rsidRDefault="005A7387" w:rsidP="00EC28D2">
            <w:pPr>
              <w:pStyle w:val="NoSpacing"/>
              <w:keepNext/>
              <w:rPr>
                <w:b/>
                <w:bCs/>
                <w:lang w:eastAsia="en-US"/>
              </w:rPr>
            </w:pPr>
            <w:r w:rsidRPr="00B12148">
              <w:rPr>
                <w:b/>
                <w:bCs/>
                <w:lang w:eastAsia="en-US"/>
              </w:rPr>
              <w:t>In person</w:t>
            </w:r>
          </w:p>
        </w:tc>
      </w:tr>
      <w:tr w:rsidR="005A7387" w:rsidRPr="00B12148" w:rsidTr="00E5659F">
        <w:trPr>
          <w:trHeight w:val="567"/>
        </w:trPr>
        <w:tc>
          <w:tcPr>
            <w:tcW w:w="3510" w:type="dxa"/>
          </w:tcPr>
          <w:p w:rsidR="005A7387" w:rsidRPr="00B12148" w:rsidRDefault="005A7387" w:rsidP="00EC28D2">
            <w:pPr>
              <w:pStyle w:val="NoSpacing"/>
              <w:keepNext/>
              <w:rPr>
                <w:lang w:eastAsia="en-US"/>
              </w:rPr>
            </w:pPr>
            <w:bookmarkStart w:id="27" w:name="Respondent_Counsel"/>
            <w:bookmarkEnd w:id="27"/>
            <w:r w:rsidRPr="00B12148">
              <w:rPr>
                <w:lang w:eastAsia="en-US"/>
              </w:rPr>
              <w:t>Counsel for the Respondent</w:t>
            </w:r>
          </w:p>
        </w:tc>
        <w:tc>
          <w:tcPr>
            <w:tcW w:w="5279" w:type="dxa"/>
          </w:tcPr>
          <w:p w:rsidR="005A7387" w:rsidRPr="00B12148" w:rsidRDefault="005A7387" w:rsidP="00EC28D2">
            <w:pPr>
              <w:pStyle w:val="NoSpacing"/>
              <w:keepNext/>
              <w:rPr>
                <w:b/>
                <w:bCs/>
                <w:lang w:eastAsia="en-US"/>
              </w:rPr>
            </w:pPr>
            <w:r w:rsidRPr="00B12148">
              <w:rPr>
                <w:b/>
                <w:bCs/>
                <w:lang w:eastAsia="en-US"/>
              </w:rPr>
              <w:fldChar w:fldCharType="begin"/>
            </w:r>
            <w:r w:rsidRPr="00B12148">
              <w:rPr>
                <w:b/>
                <w:bCs/>
                <w:lang w:eastAsia="en-US"/>
              </w:rPr>
              <w:instrText xml:space="preserve">DOCPROPERTY  Respondent_Counsel </w:instrText>
            </w:r>
            <w:r w:rsidRPr="00B12148">
              <w:rPr>
                <w:b/>
                <w:bCs/>
                <w:lang w:eastAsia="en-US"/>
              </w:rPr>
              <w:fldChar w:fldCharType="separate"/>
            </w:r>
            <w:r w:rsidR="0040675C">
              <w:rPr>
                <w:b/>
                <w:bCs/>
                <w:lang w:eastAsia="en-US"/>
              </w:rPr>
              <w:t>Mr </w:t>
            </w:r>
            <w:r w:rsidR="00586FD9">
              <w:rPr>
                <w:b/>
                <w:bCs/>
                <w:lang w:eastAsia="en-US"/>
              </w:rPr>
              <w:t>Justin Davidson</w:t>
            </w:r>
            <w:r w:rsidRPr="00B12148">
              <w:rPr>
                <w:b/>
                <w:bCs/>
                <w:lang w:eastAsia="en-US"/>
              </w:rPr>
              <w:fldChar w:fldCharType="end"/>
            </w:r>
          </w:p>
        </w:tc>
      </w:tr>
      <w:tr w:rsidR="005A7387" w:rsidRPr="00B12148" w:rsidTr="00E5659F">
        <w:trPr>
          <w:trHeight w:val="567"/>
        </w:trPr>
        <w:tc>
          <w:tcPr>
            <w:tcW w:w="3510" w:type="dxa"/>
          </w:tcPr>
          <w:p w:rsidR="005A7387" w:rsidRPr="00B12148" w:rsidRDefault="00972706" w:rsidP="00972706">
            <w:pPr>
              <w:pStyle w:val="NoSpacing"/>
              <w:rPr>
                <w:lang w:eastAsia="en-US"/>
              </w:rPr>
            </w:pPr>
            <w:bookmarkStart w:id="28" w:name="Respondent_Advocate"/>
            <w:bookmarkEnd w:id="28"/>
            <w:r w:rsidRPr="00B12148">
              <w:rPr>
                <w:lang w:eastAsia="en-US"/>
              </w:rPr>
              <w:t xml:space="preserve">Solicitors </w:t>
            </w:r>
            <w:r w:rsidR="005A7387" w:rsidRPr="00B12148">
              <w:rPr>
                <w:lang w:eastAsia="en-US"/>
              </w:rPr>
              <w:t>for the Respondent</w:t>
            </w:r>
          </w:p>
        </w:tc>
        <w:tc>
          <w:tcPr>
            <w:tcW w:w="5279" w:type="dxa"/>
          </w:tcPr>
          <w:p w:rsidR="005A7387" w:rsidRPr="00B12148" w:rsidRDefault="005A7387" w:rsidP="00E5659F">
            <w:pPr>
              <w:pStyle w:val="NoSpacing"/>
              <w:rPr>
                <w:b/>
                <w:bCs/>
                <w:lang w:eastAsia="en-US"/>
              </w:rPr>
            </w:pPr>
            <w:r w:rsidRPr="00B12148">
              <w:rPr>
                <w:b/>
                <w:bCs/>
                <w:lang w:eastAsia="en-US"/>
              </w:rPr>
              <w:fldChar w:fldCharType="begin"/>
            </w:r>
            <w:r w:rsidRPr="00B12148">
              <w:rPr>
                <w:b/>
                <w:bCs/>
                <w:lang w:eastAsia="en-US"/>
              </w:rPr>
              <w:instrText xml:space="preserve">DOCPROPERTY  Respondent_Advocate </w:instrText>
            </w:r>
            <w:r w:rsidRPr="00B12148">
              <w:rPr>
                <w:b/>
                <w:bCs/>
                <w:lang w:eastAsia="en-US"/>
              </w:rPr>
              <w:fldChar w:fldCharType="separate"/>
            </w:r>
            <w:r w:rsidR="00586FD9">
              <w:rPr>
                <w:b/>
                <w:bCs/>
                <w:lang w:eastAsia="en-US"/>
              </w:rPr>
              <w:t>Australian Government Solicitor</w:t>
            </w:r>
            <w:r w:rsidRPr="00B12148">
              <w:rPr>
                <w:b/>
                <w:bCs/>
                <w:lang w:eastAsia="en-US"/>
              </w:rPr>
              <w:fldChar w:fldCharType="end"/>
            </w:r>
          </w:p>
        </w:tc>
      </w:tr>
    </w:tbl>
    <w:p w:rsidR="00391759" w:rsidRPr="00B12148" w:rsidRDefault="00391759" w:rsidP="005A7387"/>
    <w:sectPr w:rsidR="00391759" w:rsidRPr="00B12148" w:rsidSect="00531AA1">
      <w:headerReference w:type="even" r:id="rId10"/>
      <w:footerReference w:type="default" r:id="rId11"/>
      <w:headerReference w:type="first" r:id="rId12"/>
      <w:footerReference w:type="first" r:id="rId13"/>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A3" w:rsidRDefault="00860DA3">
      <w:r>
        <w:separator/>
      </w:r>
    </w:p>
    <w:p w:rsidR="00860DA3" w:rsidRDefault="00860DA3"/>
  </w:endnote>
  <w:endnote w:type="continuationSeparator" w:id="0">
    <w:p w:rsidR="00860DA3" w:rsidRDefault="00860DA3">
      <w:r>
        <w:continuationSeparator/>
      </w:r>
    </w:p>
    <w:p w:rsidR="00860DA3" w:rsidRDefault="00860DA3"/>
  </w:endnote>
  <w:endnote w:type="continuationNotice" w:id="1">
    <w:p w:rsidR="00860DA3" w:rsidRDefault="00860DA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F3256A" w:rsidRPr="006F16E0" w:rsidTr="00E53225">
      <w:tc>
        <w:tcPr>
          <w:tcW w:w="1447" w:type="dxa"/>
          <w:tcBorders>
            <w:right w:val="single" w:sz="4" w:space="0" w:color="auto"/>
          </w:tcBorders>
          <w:vAlign w:val="center"/>
        </w:tcPr>
        <w:p w:rsidR="00F3256A" w:rsidRPr="006F16E0" w:rsidRDefault="00F3256A" w:rsidP="006F16E0">
          <w:pPr>
            <w:pStyle w:val="Footer"/>
          </w:pPr>
          <w:r>
            <w:t xml:space="preserve">Page </w:t>
          </w:r>
          <w:r>
            <w:fldChar w:fldCharType="begin"/>
          </w:r>
          <w:r>
            <w:instrText xml:space="preserve"> PAGE  \* Arabic </w:instrText>
          </w:r>
          <w:r>
            <w:fldChar w:fldCharType="separate"/>
          </w:r>
          <w:r w:rsidR="004E27B5">
            <w:rPr>
              <w:noProof/>
            </w:rPr>
            <w:t>25</w:t>
          </w:r>
          <w:r>
            <w:fldChar w:fldCharType="end"/>
          </w:r>
          <w:r>
            <w:t xml:space="preserve"> of </w:t>
          </w:r>
          <w:r w:rsidR="004E27B5">
            <w:fldChar w:fldCharType="begin"/>
          </w:r>
          <w:r w:rsidR="004E27B5">
            <w:instrText xml:space="preserve"> NUMPAGES  \* Arabic </w:instrText>
          </w:r>
          <w:r w:rsidR="004E27B5">
            <w:fldChar w:fldCharType="separate"/>
          </w:r>
          <w:r w:rsidR="004E27B5">
            <w:rPr>
              <w:noProof/>
            </w:rPr>
            <w:t>25</w:t>
          </w:r>
          <w:r w:rsidR="004E27B5">
            <w:rPr>
              <w:noProof/>
            </w:rPr>
            <w:fldChar w:fldCharType="end"/>
          </w:r>
        </w:p>
      </w:tc>
      <w:tc>
        <w:tcPr>
          <w:tcW w:w="8763" w:type="dxa"/>
          <w:tcBorders>
            <w:left w:val="single" w:sz="4" w:space="0" w:color="auto"/>
          </w:tcBorders>
          <w:vAlign w:val="center"/>
        </w:tcPr>
        <w:p w:rsidR="00F3256A" w:rsidRPr="006F16E0" w:rsidRDefault="00F3256A" w:rsidP="006F16E0">
          <w:pPr>
            <w:pStyle w:val="Footer"/>
          </w:pPr>
        </w:p>
      </w:tc>
    </w:tr>
  </w:tbl>
  <w:p w:rsidR="00F3256A" w:rsidRDefault="00F32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F3256A" w:rsidTr="00C756F8">
      <w:tc>
        <w:tcPr>
          <w:tcW w:w="1447" w:type="dxa"/>
          <w:tcBorders>
            <w:right w:val="single" w:sz="4" w:space="0" w:color="auto"/>
          </w:tcBorders>
          <w:vAlign w:val="center"/>
        </w:tcPr>
        <w:p w:rsidR="00F3256A" w:rsidRDefault="00F3256A" w:rsidP="005D5DF5">
          <w:pPr>
            <w:pStyle w:val="FooterPage1"/>
          </w:pPr>
        </w:p>
      </w:tc>
      <w:tc>
        <w:tcPr>
          <w:tcW w:w="8763" w:type="dxa"/>
          <w:tcBorders>
            <w:left w:val="single" w:sz="4" w:space="0" w:color="auto"/>
          </w:tcBorders>
          <w:tcMar>
            <w:left w:w="85" w:type="dxa"/>
          </w:tcMar>
          <w:vAlign w:val="center"/>
        </w:tcPr>
        <w:p w:rsidR="00F3256A" w:rsidRDefault="00F3256A" w:rsidP="001A0C3C">
          <w:pPr>
            <w:pStyle w:val="FooterPage1"/>
          </w:pPr>
          <w:r>
            <w:t xml:space="preserve">© Commonwealth of Australia </w:t>
          </w:r>
          <w:r>
            <w:fldChar w:fldCharType="begin"/>
          </w:r>
          <w:r>
            <w:instrText xml:space="preserve"> DATE  \@ "yyyy" \* MERGEFORMAT </w:instrText>
          </w:r>
          <w:r>
            <w:fldChar w:fldCharType="separate"/>
          </w:r>
          <w:r w:rsidR="004E27B5">
            <w:rPr>
              <w:noProof/>
            </w:rPr>
            <w:t>2015</w:t>
          </w:r>
          <w:r>
            <w:fldChar w:fldCharType="end"/>
          </w:r>
        </w:p>
      </w:tc>
    </w:tr>
  </w:tbl>
  <w:p w:rsidR="00F3256A" w:rsidRDefault="00F3256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A3" w:rsidRDefault="00860DA3">
      <w:r>
        <w:separator/>
      </w:r>
    </w:p>
  </w:footnote>
  <w:footnote w:type="continuationSeparator" w:id="0">
    <w:p w:rsidR="00860DA3" w:rsidRDefault="00860DA3">
      <w:r>
        <w:continuationSeparator/>
      </w:r>
    </w:p>
  </w:footnote>
  <w:footnote w:type="continuationNotice" w:id="1">
    <w:p w:rsidR="00860DA3" w:rsidRDefault="00860DA3">
      <w:pPr>
        <w:spacing w:before="0" w:line="240" w:lineRule="auto"/>
      </w:pPr>
    </w:p>
  </w:footnote>
  <w:footnote w:id="2">
    <w:p w:rsidR="00F3256A" w:rsidRDefault="00F3256A">
      <w:pPr>
        <w:pStyle w:val="FootnoteText"/>
      </w:pPr>
      <w:r w:rsidRPr="0040675C">
        <w:rPr>
          <w:rStyle w:val="FootnoteReference"/>
        </w:rPr>
        <w:footnoteRef/>
      </w:r>
      <w:r>
        <w:tab/>
      </w:r>
      <w:r w:rsidR="006B6345">
        <w:t>Department of Education and T</w:t>
      </w:r>
      <w:r w:rsidR="005F04FE">
        <w:t xml:space="preserve">raining, </w:t>
      </w:r>
      <w:r w:rsidR="005F04FE" w:rsidRPr="005F04FE">
        <w:rPr>
          <w:i/>
        </w:rPr>
        <w:t>Strengthening the higher education system</w:t>
      </w:r>
      <w:r w:rsidR="005F04FE" w:rsidRPr="005F04FE">
        <w:t xml:space="preserve"> </w:t>
      </w:r>
      <w:r w:rsidR="005F04FE">
        <w:t>(13 May 2015) &lt;</w:t>
      </w:r>
      <w:r w:rsidR="005F04FE" w:rsidRPr="005F04FE">
        <w:t>http://education.gov.au/strengthening-higher-education-system</w:t>
      </w:r>
      <w:r w:rsidR="005F04FE">
        <w:t>&gt;.</w:t>
      </w:r>
    </w:p>
  </w:footnote>
  <w:footnote w:id="3">
    <w:p w:rsidR="00F3256A" w:rsidRDefault="00F3256A" w:rsidP="00C91BF5">
      <w:pPr>
        <w:pStyle w:val="FootnoteText"/>
      </w:pPr>
      <w:r w:rsidRPr="0040675C">
        <w:rPr>
          <w:rStyle w:val="FootnoteReference"/>
        </w:rPr>
        <w:footnoteRef/>
      </w:r>
      <w:r>
        <w:tab/>
        <w:t>The Department was the Department of Education at the time that Mr</w:t>
      </w:r>
      <w:r w:rsidR="0040675C">
        <w:t> </w:t>
      </w:r>
      <w:r>
        <w:t>Rovere made his FOI request</w:t>
      </w:r>
      <w:r w:rsidR="0040675C">
        <w:t xml:space="preserve">.  </w:t>
      </w:r>
      <w:r>
        <w:t>Its name changed on 23</w:t>
      </w:r>
      <w:r w:rsidR="0040675C">
        <w:t> </w:t>
      </w:r>
      <w:r>
        <w:t>December</w:t>
      </w:r>
      <w:r w:rsidRPr="000B2236">
        <w:t xml:space="preserve"> 2014</w:t>
      </w:r>
      <w:r>
        <w:t>.</w:t>
      </w:r>
    </w:p>
  </w:footnote>
  <w:footnote w:id="4">
    <w:p w:rsidR="00F3256A" w:rsidRDefault="00F3256A">
      <w:pPr>
        <w:pStyle w:val="FootnoteText"/>
      </w:pPr>
      <w:r w:rsidRPr="0040675C">
        <w:rPr>
          <w:rStyle w:val="FootnoteReference"/>
        </w:rPr>
        <w:footnoteRef/>
      </w:r>
      <w:r w:rsidR="00C4592C">
        <w:tab/>
      </w:r>
      <w:r>
        <w:t>Based on the numbers in the Department</w:t>
      </w:r>
      <w:r w:rsidR="0040675C">
        <w:t>’</w:t>
      </w:r>
      <w:r>
        <w:t>s reasons for decision, this would mean that access was refused to 7954</w:t>
      </w:r>
      <w:r w:rsidR="0040675C">
        <w:t> </w:t>
      </w:r>
      <w:r>
        <w:t>pages</w:t>
      </w:r>
      <w:r w:rsidR="0040675C">
        <w:t xml:space="preserve">.  </w:t>
      </w:r>
      <w:r>
        <w:t>In the statement that it filed on 21</w:t>
      </w:r>
      <w:r w:rsidR="0040675C">
        <w:t> </w:t>
      </w:r>
      <w:r>
        <w:t>October 2014, under s</w:t>
      </w:r>
      <w:r w:rsidR="0040675C">
        <w:t> </w:t>
      </w:r>
      <w:r>
        <w:t xml:space="preserve">37 of the </w:t>
      </w:r>
      <w:r w:rsidR="0040675C">
        <w:t>AAT Act</w:t>
      </w:r>
      <w:r>
        <w:t>, the Department said that it had refused access to 8008</w:t>
      </w:r>
      <w:r w:rsidR="0040675C">
        <w:t> </w:t>
      </w:r>
      <w:r>
        <w:t>pages</w:t>
      </w:r>
      <w:r w:rsidR="0040675C">
        <w:t xml:space="preserve">.  </w:t>
      </w:r>
      <w:r>
        <w:t>In its statement of facts and contentions (30</w:t>
      </w:r>
      <w:r w:rsidR="0040675C">
        <w:t> </w:t>
      </w:r>
      <w:r>
        <w:t>January 2015), the Department said that that number was incorrect, and that it had refused access to 8020</w:t>
      </w:r>
      <w:r w:rsidR="0040675C">
        <w:t> </w:t>
      </w:r>
      <w:r>
        <w:t xml:space="preserve">pages—which must also be incorrect, as that is the total number of </w:t>
      </w:r>
      <w:r w:rsidRPr="00FA2626">
        <w:t xml:space="preserve">pages </w:t>
      </w:r>
      <w:r>
        <w:t xml:space="preserve">that were identified as </w:t>
      </w:r>
      <w:r w:rsidRPr="00FA2626">
        <w:t xml:space="preserve">falling within the scope of </w:t>
      </w:r>
      <w:r>
        <w:t xml:space="preserve">the </w:t>
      </w:r>
      <w:r w:rsidRPr="00FA2626">
        <w:t>request</w:t>
      </w:r>
      <w:r w:rsidR="0040675C">
        <w:t xml:space="preserve">.  </w:t>
      </w:r>
      <w:r>
        <w:t>Nothing turns on this discrepancy (see</w:t>
      </w:r>
      <w:r w:rsidR="0040675C">
        <w:t> </w:t>
      </w:r>
      <w:r>
        <w:t>[</w:t>
      </w:r>
      <w:r>
        <w:fldChar w:fldCharType="begin"/>
      </w:r>
      <w:r>
        <w:instrText xml:space="preserve"> REF _Ref420595276 \r \h </w:instrText>
      </w:r>
      <w:r>
        <w:fldChar w:fldCharType="separate"/>
      </w:r>
      <w:r w:rsidR="00586FD9">
        <w:t>9</w:t>
      </w:r>
      <w:r>
        <w:fldChar w:fldCharType="end"/>
      </w:r>
      <w:r>
        <w:t>] below)</w:t>
      </w:r>
      <w:r w:rsidR="006E505B">
        <w:t>.</w:t>
      </w:r>
    </w:p>
  </w:footnote>
  <w:footnote w:id="5">
    <w:p w:rsidR="00F3256A" w:rsidRDefault="00F3256A" w:rsidP="00FC647A">
      <w:pPr>
        <w:pStyle w:val="FootnoteText"/>
      </w:pPr>
      <w:r w:rsidRPr="0040675C">
        <w:rPr>
          <w:rStyle w:val="FootnoteReference"/>
        </w:rPr>
        <w:footnoteRef/>
      </w:r>
      <w:r>
        <w:tab/>
        <w:t>(2012) 59</w:t>
      </w:r>
      <w:r w:rsidR="0040675C">
        <w:t> </w:t>
      </w:r>
      <w:r w:rsidRPr="00967896">
        <w:t>AAR</w:t>
      </w:r>
      <w:r w:rsidR="0040675C">
        <w:t> </w:t>
      </w:r>
      <w:r w:rsidRPr="00967896">
        <w:t xml:space="preserve">35 </w:t>
      </w:r>
      <w:r>
        <w:t>at</w:t>
      </w:r>
      <w:r w:rsidR="0040675C">
        <w:t> </w:t>
      </w:r>
      <w:r>
        <w:t>[18].</w:t>
      </w:r>
    </w:p>
  </w:footnote>
  <w:footnote w:id="6">
    <w:p w:rsidR="00F3256A" w:rsidRDefault="00F3256A" w:rsidP="00FC647A">
      <w:pPr>
        <w:pStyle w:val="FootnoteText"/>
      </w:pPr>
      <w:r w:rsidRPr="0040675C">
        <w:rPr>
          <w:rStyle w:val="FootnoteReference"/>
        </w:rPr>
        <w:footnoteRef/>
      </w:r>
      <w:r>
        <w:tab/>
      </w:r>
      <w:r w:rsidRPr="00E20116">
        <w:t>(1979) 2</w:t>
      </w:r>
      <w:r w:rsidR="0040675C">
        <w:t> </w:t>
      </w:r>
      <w:r w:rsidRPr="00E20116">
        <w:t>ALD</w:t>
      </w:r>
      <w:r w:rsidR="0040675C">
        <w:t> </w:t>
      </w:r>
      <w:r w:rsidRPr="00E20116">
        <w:t>634 at</w:t>
      </w:r>
      <w:r w:rsidR="0040675C">
        <w:t> </w:t>
      </w:r>
      <w:r w:rsidRPr="00E20116">
        <w:t>645 per Brennan</w:t>
      </w:r>
      <w:r w:rsidR="0040675C">
        <w:t> </w:t>
      </w:r>
      <w:r w:rsidRPr="00E20116">
        <w:t>J</w:t>
      </w:r>
      <w:r>
        <w:t>.</w:t>
      </w:r>
    </w:p>
  </w:footnote>
  <w:footnote w:id="7">
    <w:p w:rsidR="00F3256A" w:rsidRDefault="00F3256A" w:rsidP="00FC647A">
      <w:pPr>
        <w:pStyle w:val="FootnoteText"/>
      </w:pPr>
      <w:r w:rsidRPr="0040675C">
        <w:rPr>
          <w:rStyle w:val="FootnoteReference"/>
        </w:rPr>
        <w:footnoteRef/>
      </w:r>
      <w:r>
        <w:tab/>
      </w:r>
      <w:r w:rsidR="00175717" w:rsidRPr="00504FCB">
        <w:t>[2015]</w:t>
      </w:r>
      <w:r w:rsidR="0040675C">
        <w:t> </w:t>
      </w:r>
      <w:r w:rsidR="00175717" w:rsidRPr="00504FCB">
        <w:t>AATA</w:t>
      </w:r>
      <w:r w:rsidR="0040675C">
        <w:t> </w:t>
      </w:r>
      <w:r w:rsidR="00175717" w:rsidRPr="00504FCB">
        <w:t>361 at</w:t>
      </w:r>
      <w:r w:rsidR="0040675C">
        <w:t> </w:t>
      </w:r>
      <w:r w:rsidR="00175717" w:rsidRPr="00504FCB">
        <w:t>[</w:t>
      </w:r>
      <w:r w:rsidR="00175717">
        <w:t>118]–[119].</w:t>
      </w:r>
    </w:p>
  </w:footnote>
  <w:footnote w:id="8">
    <w:p w:rsidR="00F3256A" w:rsidRDefault="00F3256A" w:rsidP="00FC647A">
      <w:pPr>
        <w:pStyle w:val="FootnoteText"/>
      </w:pPr>
      <w:r w:rsidRPr="0040675C">
        <w:rPr>
          <w:rStyle w:val="FootnoteReference"/>
        </w:rPr>
        <w:footnoteRef/>
      </w:r>
      <w:r>
        <w:tab/>
      </w:r>
      <w:r w:rsidRPr="00504FCB">
        <w:t>[2015]</w:t>
      </w:r>
      <w:r w:rsidR="0040675C">
        <w:t> </w:t>
      </w:r>
      <w:r w:rsidRPr="00504FCB">
        <w:t>AATA</w:t>
      </w:r>
      <w:r w:rsidR="0040675C">
        <w:t> </w:t>
      </w:r>
      <w:r w:rsidRPr="00504FCB">
        <w:t>361 at</w:t>
      </w:r>
      <w:r w:rsidR="0040675C">
        <w:t> </w:t>
      </w:r>
      <w:r>
        <w:t>[127].</w:t>
      </w:r>
    </w:p>
  </w:footnote>
  <w:footnote w:id="9">
    <w:p w:rsidR="00F3256A" w:rsidRDefault="00F3256A" w:rsidP="00FC647A">
      <w:pPr>
        <w:pStyle w:val="FootnoteText"/>
      </w:pPr>
      <w:r w:rsidRPr="0040675C">
        <w:rPr>
          <w:rStyle w:val="FootnoteReference"/>
        </w:rPr>
        <w:footnoteRef/>
      </w:r>
      <w:r>
        <w:tab/>
      </w:r>
      <w:r w:rsidRPr="00E20116">
        <w:t>(1979) 2</w:t>
      </w:r>
      <w:r w:rsidR="0040675C">
        <w:t> </w:t>
      </w:r>
      <w:r w:rsidRPr="00E20116">
        <w:t>ALD</w:t>
      </w:r>
      <w:r w:rsidR="0040675C">
        <w:t> </w:t>
      </w:r>
      <w:r w:rsidRPr="00E20116">
        <w:t>634 at</w:t>
      </w:r>
      <w:r w:rsidR="0040675C">
        <w:t> </w:t>
      </w:r>
      <w:r>
        <w:t>644–645; see also at</w:t>
      </w:r>
      <w:r w:rsidR="0040675C">
        <w:t> </w:t>
      </w:r>
      <w:r>
        <w:t>639.</w:t>
      </w:r>
    </w:p>
  </w:footnote>
  <w:footnote w:id="10">
    <w:p w:rsidR="00F3256A" w:rsidRDefault="00F3256A" w:rsidP="00FC647A">
      <w:pPr>
        <w:pStyle w:val="FootnoteText"/>
      </w:pPr>
      <w:r w:rsidRPr="0040675C">
        <w:rPr>
          <w:rStyle w:val="FootnoteReference"/>
        </w:rPr>
        <w:footnoteRef/>
      </w:r>
      <w:r>
        <w:tab/>
        <w:t>In Forgie</w:t>
      </w:r>
      <w:r w:rsidR="0040675C">
        <w:t> </w:t>
      </w:r>
      <w:r>
        <w:t>DP</w:t>
      </w:r>
      <w:r w:rsidR="0040675C">
        <w:t>’</w:t>
      </w:r>
      <w:r>
        <w:t xml:space="preserve">s view, the Tribunal should not </w:t>
      </w:r>
      <w:r w:rsidRPr="00AF3688">
        <w:t xml:space="preserve">give weight to the </w:t>
      </w:r>
      <w:r>
        <w:t>FOI Guidelines</w:t>
      </w:r>
      <w:r w:rsidRPr="00AF3688">
        <w:t xml:space="preserve"> </w:t>
      </w:r>
      <w:r w:rsidR="0040675C">
        <w:t>“</w:t>
      </w:r>
      <w:r w:rsidRPr="00AF3688">
        <w:t>as a fundamental element in its review</w:t>
      </w:r>
      <w:r w:rsidR="0040675C">
        <w:t>”</w:t>
      </w:r>
      <w:r>
        <w:t xml:space="preserve"> because applying the Information Commissioner</w:t>
      </w:r>
      <w:r w:rsidR="0040675C">
        <w:t>’</w:t>
      </w:r>
      <w:r>
        <w:t xml:space="preserve">s Guidelines in the review of a decision of the Information Commissioner would be </w:t>
      </w:r>
      <w:r w:rsidR="0040675C">
        <w:t>“</w:t>
      </w:r>
      <w:r>
        <w:t>something almost akin to a doctrine of deference</w:t>
      </w:r>
      <w:r w:rsidR="0040675C">
        <w:t>”</w:t>
      </w:r>
      <w:r>
        <w:t xml:space="preserve"> to that decision (</w:t>
      </w:r>
      <w:r w:rsidRPr="00504FCB">
        <w:t>[2015]</w:t>
      </w:r>
      <w:r w:rsidR="0040675C">
        <w:t> </w:t>
      </w:r>
      <w:r w:rsidRPr="00504FCB">
        <w:t>AATA</w:t>
      </w:r>
      <w:r w:rsidR="0040675C">
        <w:t> </w:t>
      </w:r>
      <w:r w:rsidRPr="00504FCB">
        <w:t>361</w:t>
      </w:r>
      <w:r>
        <w:t xml:space="preserve"> </w:t>
      </w:r>
      <w:r w:rsidRPr="00504FCB">
        <w:t>at</w:t>
      </w:r>
      <w:r w:rsidR="0040675C">
        <w:t> </w:t>
      </w:r>
      <w:r w:rsidRPr="00504FCB">
        <w:t>[</w:t>
      </w:r>
      <w:r>
        <w:t>126</w:t>
      </w:r>
      <w:r w:rsidRPr="00504FCB">
        <w:t>]</w:t>
      </w:r>
      <w:r>
        <w:t>–</w:t>
      </w:r>
      <w:r w:rsidRPr="00504FCB">
        <w:t>[127]</w:t>
      </w:r>
      <w:r>
        <w:t>)</w:t>
      </w:r>
      <w:r w:rsidR="0040675C">
        <w:t xml:space="preserve">.  </w:t>
      </w:r>
      <w:r>
        <w:t>That issue does not arise in this review</w:t>
      </w:r>
      <w:r w:rsidR="0040675C">
        <w:t xml:space="preserve">.  </w:t>
      </w:r>
      <w:r>
        <w:t>It is the Department</w:t>
      </w:r>
      <w:r w:rsidR="0040675C">
        <w:t>’</w:t>
      </w:r>
      <w:r>
        <w:t>s decision that is under review because the Information Commissioner decided, under s</w:t>
      </w:r>
      <w:r w:rsidR="0040675C">
        <w:t> </w:t>
      </w:r>
      <w:r w:rsidRPr="003B1EFC">
        <w:t>54W(b)</w:t>
      </w:r>
      <w:r>
        <w:t xml:space="preserve"> of the </w:t>
      </w:r>
      <w:r w:rsidR="0040675C">
        <w:t>FOI Act</w:t>
      </w:r>
      <w:r>
        <w:t xml:space="preserve">, </w:t>
      </w:r>
      <w:r w:rsidRPr="003B1EFC">
        <w:t xml:space="preserve">not to review </w:t>
      </w:r>
      <w:r>
        <w:t>the Department</w:t>
      </w:r>
      <w:r w:rsidR="0040675C">
        <w:t>’</w:t>
      </w:r>
      <w:r>
        <w:t>s decision.</w:t>
      </w:r>
    </w:p>
  </w:footnote>
  <w:footnote w:id="11">
    <w:p w:rsidR="00F3256A" w:rsidRDefault="00F3256A">
      <w:pPr>
        <w:pStyle w:val="FootnoteText"/>
      </w:pPr>
      <w:r w:rsidRPr="0040675C">
        <w:rPr>
          <w:rStyle w:val="FootnoteReference"/>
        </w:rPr>
        <w:footnoteRef/>
      </w:r>
      <w:r>
        <w:tab/>
      </w:r>
      <w:r w:rsidR="0060063E">
        <w:t>This was done under</w:t>
      </w:r>
      <w:r w:rsidRPr="007401B0">
        <w:t xml:space="preserve"> </w:t>
      </w:r>
      <w:r>
        <w:t>s</w:t>
      </w:r>
      <w:r w:rsidR="0040675C">
        <w:t> </w:t>
      </w:r>
      <w:r w:rsidRPr="007401B0">
        <w:t xml:space="preserve">64(1A) of the </w:t>
      </w:r>
      <w:r w:rsidR="0040675C">
        <w:t>FOI Act</w:t>
      </w:r>
      <w:r>
        <w:t>.</w:t>
      </w:r>
    </w:p>
  </w:footnote>
  <w:footnote w:id="12">
    <w:p w:rsidR="00E7305B" w:rsidRDefault="00E7305B" w:rsidP="00E7305B">
      <w:pPr>
        <w:pStyle w:val="FootnoteText"/>
      </w:pPr>
      <w:r w:rsidRPr="0040675C">
        <w:rPr>
          <w:rStyle w:val="FootnoteReference"/>
        </w:rPr>
        <w:footnoteRef/>
      </w:r>
      <w:r>
        <w:tab/>
        <w:t>Section</w:t>
      </w:r>
      <w:r w:rsidR="0040675C">
        <w:t> </w:t>
      </w:r>
      <w:r>
        <w:t xml:space="preserve">4(1) provides that </w:t>
      </w:r>
      <w:r w:rsidR="0040675C">
        <w:t>“</w:t>
      </w:r>
      <w:r w:rsidRPr="00E11821">
        <w:rPr>
          <w:b/>
        </w:rPr>
        <w:t>exempt matter</w:t>
      </w:r>
      <w:r>
        <w:t xml:space="preserve"> means matter the inclusion of which in a document causes the document to be an exempt document</w:t>
      </w:r>
      <w:r w:rsidR="0040675C">
        <w:t>”</w:t>
      </w:r>
      <w:r>
        <w:t>.</w:t>
      </w:r>
    </w:p>
  </w:footnote>
  <w:footnote w:id="13">
    <w:p w:rsidR="00E44EEC" w:rsidRDefault="00E44EEC" w:rsidP="00E44EEC">
      <w:pPr>
        <w:pStyle w:val="FootnoteText"/>
      </w:pPr>
      <w:r w:rsidRPr="0040675C">
        <w:rPr>
          <w:rStyle w:val="FootnoteReference"/>
        </w:rPr>
        <w:footnoteRef/>
      </w:r>
      <w:r>
        <w:tab/>
        <w:t xml:space="preserve">See also the definitions of </w:t>
      </w:r>
      <w:r w:rsidR="0040675C">
        <w:t>“</w:t>
      </w:r>
      <w:r w:rsidRPr="00A427D1">
        <w:t>conditionally exempt</w:t>
      </w:r>
      <w:r w:rsidR="0040675C">
        <w:t>”</w:t>
      </w:r>
      <w:r>
        <w:t xml:space="preserve"> and </w:t>
      </w:r>
      <w:r w:rsidR="0040675C">
        <w:t>“</w:t>
      </w:r>
      <w:r>
        <w:t>exempt document</w:t>
      </w:r>
      <w:r w:rsidR="0040675C">
        <w:t>”</w:t>
      </w:r>
      <w:r>
        <w:t xml:space="preserve"> in s</w:t>
      </w:r>
      <w:r w:rsidR="0040675C">
        <w:t> </w:t>
      </w:r>
      <w:r>
        <w:t>4(1).</w:t>
      </w:r>
    </w:p>
  </w:footnote>
  <w:footnote w:id="14">
    <w:p w:rsidR="00F3256A" w:rsidRDefault="00F3256A" w:rsidP="0080515B">
      <w:pPr>
        <w:pStyle w:val="FootnoteText"/>
      </w:pPr>
      <w:r w:rsidRPr="0040675C">
        <w:rPr>
          <w:rStyle w:val="FootnoteReference"/>
        </w:rPr>
        <w:footnoteRef/>
      </w:r>
      <w:r>
        <w:tab/>
        <w:t xml:space="preserve">The Department says that </w:t>
      </w:r>
      <w:r w:rsidRPr="00764BCF">
        <w:t>the personal privacy exemption (s</w:t>
      </w:r>
      <w:r w:rsidR="0040675C">
        <w:t> </w:t>
      </w:r>
      <w:r w:rsidRPr="00764BCF">
        <w:t xml:space="preserve">47F) </w:t>
      </w:r>
      <w:r>
        <w:t xml:space="preserve">applies to some of two of the spreadsheets, and the </w:t>
      </w:r>
      <w:r w:rsidRPr="00764BCF">
        <w:t>deli</w:t>
      </w:r>
      <w:r>
        <w:t>berative processes exemption (s</w:t>
      </w:r>
      <w:r w:rsidR="0040675C">
        <w:t> </w:t>
      </w:r>
      <w:r w:rsidRPr="00764BCF">
        <w:t>47C)</w:t>
      </w:r>
      <w:r>
        <w:t xml:space="preserve"> applies to the remainder of those spreadsheets (and to the remaining 32</w:t>
      </w:r>
      <w:r w:rsidR="0040675C">
        <w:t> </w:t>
      </w:r>
      <w:r>
        <w:t>spreadsheets)</w:t>
      </w:r>
      <w:r w:rsidR="0040675C">
        <w:t xml:space="preserve">.  </w:t>
      </w:r>
      <w:r>
        <w:t>Mr</w:t>
      </w:r>
      <w:r w:rsidR="0040675C">
        <w:t> </w:t>
      </w:r>
      <w:r>
        <w:t>Rovere does not seek access to those parts of those spreadsheets to which the Department says s</w:t>
      </w:r>
      <w:r w:rsidR="0040675C">
        <w:t> </w:t>
      </w:r>
      <w:r>
        <w:t>47F applies.</w:t>
      </w:r>
    </w:p>
  </w:footnote>
  <w:footnote w:id="15">
    <w:p w:rsidR="00F3256A" w:rsidRDefault="00F3256A">
      <w:pPr>
        <w:pStyle w:val="FootnoteText"/>
      </w:pPr>
      <w:r w:rsidRPr="0040675C">
        <w:rPr>
          <w:rStyle w:val="FootnoteReference"/>
        </w:rPr>
        <w:footnoteRef/>
      </w:r>
      <w:r>
        <w:tab/>
      </w:r>
      <w:r w:rsidRPr="0076789C">
        <w:t xml:space="preserve">Office of the Australian Information Commissioner, </w:t>
      </w:r>
      <w:r w:rsidRPr="0076789C">
        <w:rPr>
          <w:i/>
        </w:rPr>
        <w:t>Guidelines issued by the Australian Information Commissioner under s</w:t>
      </w:r>
      <w:r w:rsidR="0040675C">
        <w:rPr>
          <w:i/>
        </w:rPr>
        <w:t> </w:t>
      </w:r>
      <w:r w:rsidRPr="0076789C">
        <w:rPr>
          <w:i/>
        </w:rPr>
        <w:t>93A of the Freedom of Information Act 1982</w:t>
      </w:r>
      <w:r w:rsidRPr="0076789C">
        <w:t xml:space="preserve"> (October 2014)</w:t>
      </w:r>
      <w:r>
        <w:t xml:space="preserve"> at</w:t>
      </w:r>
      <w:r w:rsidR="0040675C">
        <w:t> </w:t>
      </w:r>
      <w:r>
        <w:t>[6.61], [6.67].</w:t>
      </w:r>
    </w:p>
  </w:footnote>
  <w:footnote w:id="16">
    <w:p w:rsidR="005D70E2" w:rsidRDefault="005D70E2" w:rsidP="005D70E2">
      <w:pPr>
        <w:pStyle w:val="FootnoteText"/>
      </w:pPr>
      <w:r w:rsidRPr="0040675C">
        <w:rPr>
          <w:rStyle w:val="FootnoteReference"/>
        </w:rPr>
        <w:footnoteRef/>
      </w:r>
      <w:r>
        <w:tab/>
        <w:t>[2014]</w:t>
      </w:r>
      <w:r w:rsidR="0040675C">
        <w:t> </w:t>
      </w:r>
      <w:r>
        <w:t>AICmr</w:t>
      </w:r>
      <w:r w:rsidR="0040675C">
        <w:t> </w:t>
      </w:r>
      <w:r w:rsidRPr="00CD410D">
        <w:t>71</w:t>
      </w:r>
      <w:r>
        <w:t xml:space="preserve"> at</w:t>
      </w:r>
      <w:r w:rsidR="0040675C">
        <w:t> </w:t>
      </w:r>
      <w:r>
        <w:t>[38].</w:t>
      </w:r>
    </w:p>
  </w:footnote>
  <w:footnote w:id="17">
    <w:p w:rsidR="00F3256A" w:rsidRDefault="00F3256A">
      <w:pPr>
        <w:pStyle w:val="FootnoteText"/>
      </w:pPr>
      <w:r w:rsidRPr="0040675C">
        <w:rPr>
          <w:rStyle w:val="FootnoteReference"/>
        </w:rPr>
        <w:footnoteRef/>
      </w:r>
      <w:r>
        <w:tab/>
        <w:t>(1984) 5</w:t>
      </w:r>
      <w:r w:rsidR="0040675C">
        <w:t> </w:t>
      </w:r>
      <w:r>
        <w:t>ALD</w:t>
      </w:r>
      <w:r w:rsidR="0040675C">
        <w:t> </w:t>
      </w:r>
      <w:r w:rsidRPr="00A672CC">
        <w:t xml:space="preserve">588 </w:t>
      </w:r>
      <w:r>
        <w:t>at</w:t>
      </w:r>
      <w:r w:rsidR="0040675C">
        <w:t> </w:t>
      </w:r>
      <w:r>
        <w:t>[58] per</w:t>
      </w:r>
      <w:r w:rsidR="0040675C">
        <w:t> </w:t>
      </w:r>
      <w:r w:rsidRPr="00BB0CC1">
        <w:t>Hall</w:t>
      </w:r>
      <w:r w:rsidR="0040675C">
        <w:t> </w:t>
      </w:r>
      <w:r>
        <w:t>DP, Prowse</w:t>
      </w:r>
      <w:r w:rsidR="0040675C">
        <w:t> </w:t>
      </w:r>
      <w:r>
        <w:t xml:space="preserve">M </w:t>
      </w:r>
      <w:r w:rsidRPr="00BB0CC1">
        <w:t xml:space="preserve">and </w:t>
      </w:r>
      <w:r>
        <w:t>Hughes</w:t>
      </w:r>
      <w:r w:rsidR="0040675C">
        <w:t> </w:t>
      </w:r>
      <w:r>
        <w:t>M</w:t>
      </w:r>
      <w:r w:rsidR="0040675C">
        <w:t xml:space="preserve">.  </w:t>
      </w:r>
      <w:r>
        <w:t>See FOI Guidelines at</w:t>
      </w:r>
      <w:r w:rsidR="0040675C">
        <w:t> </w:t>
      </w:r>
      <w:r>
        <w:t>[6.62]</w:t>
      </w:r>
      <w:r w:rsidR="0040675C">
        <w:t xml:space="preserve">.  </w:t>
      </w:r>
      <w:r>
        <w:t xml:space="preserve">The quotation in the </w:t>
      </w:r>
      <w:r w:rsidR="00F8460C">
        <w:t xml:space="preserve">FOI </w:t>
      </w:r>
      <w:r>
        <w:t>Guidelines does not include the last sentence quoted above.</w:t>
      </w:r>
    </w:p>
  </w:footnote>
  <w:footnote w:id="18">
    <w:p w:rsidR="00F3256A" w:rsidRDefault="00F3256A" w:rsidP="00D65E83">
      <w:pPr>
        <w:pStyle w:val="FootnoteText"/>
      </w:pPr>
      <w:r w:rsidRPr="0040675C">
        <w:rPr>
          <w:rStyle w:val="FootnoteReference"/>
        </w:rPr>
        <w:footnoteRef/>
      </w:r>
      <w:r>
        <w:tab/>
        <w:t>See</w:t>
      </w:r>
      <w:r w:rsidR="0040675C">
        <w:t> </w:t>
      </w:r>
      <w:r>
        <w:t>[</w:t>
      </w:r>
      <w:r>
        <w:fldChar w:fldCharType="begin"/>
      </w:r>
      <w:r>
        <w:instrText xml:space="preserve"> REF _Ref421871062 \r \h </w:instrText>
      </w:r>
      <w:r>
        <w:fldChar w:fldCharType="separate"/>
      </w:r>
      <w:r w:rsidR="00586FD9">
        <w:t>15</w:t>
      </w:r>
      <w:r>
        <w:fldChar w:fldCharType="end"/>
      </w:r>
      <w:r>
        <w:t>] above.</w:t>
      </w:r>
    </w:p>
  </w:footnote>
  <w:footnote w:id="19">
    <w:p w:rsidR="00F3256A" w:rsidRDefault="00F3256A">
      <w:pPr>
        <w:pStyle w:val="FootnoteText"/>
      </w:pPr>
      <w:r w:rsidRPr="0040675C">
        <w:rPr>
          <w:rStyle w:val="FootnoteReference"/>
        </w:rPr>
        <w:footnoteRef/>
      </w:r>
      <w:r>
        <w:tab/>
        <w:t xml:space="preserve">In the sense that </w:t>
      </w:r>
      <w:r w:rsidR="0040675C">
        <w:t>“</w:t>
      </w:r>
      <w:r>
        <w:t>consultation</w:t>
      </w:r>
      <w:r w:rsidR="0040675C">
        <w:t>”</w:t>
      </w:r>
      <w:r>
        <w:t xml:space="preserve"> requires </w:t>
      </w:r>
      <w:r w:rsidR="00B12D41" w:rsidRPr="00B12D41">
        <w:t xml:space="preserve">discussion between </w:t>
      </w:r>
      <w:r w:rsidR="00B12D41">
        <w:t>an</w:t>
      </w:r>
      <w:r w:rsidR="00B12D41" w:rsidRPr="00B12D41">
        <w:t xml:space="preserve"> agency, minister or </w:t>
      </w:r>
      <w:r w:rsidR="00B12D41">
        <w:t xml:space="preserve">the </w:t>
      </w:r>
      <w:r w:rsidR="00B12D41" w:rsidRPr="00B12D41">
        <w:t>government and another person</w:t>
      </w:r>
      <w:r w:rsidR="00B12D41">
        <w:t xml:space="preserve"> (see FOI Guidelines at</w:t>
      </w:r>
      <w:r w:rsidR="0040675C">
        <w:t> </w:t>
      </w:r>
      <w:r w:rsidR="00B12D41">
        <w:t>[6.70]–[6.71]).</w:t>
      </w:r>
    </w:p>
  </w:footnote>
  <w:footnote w:id="20">
    <w:p w:rsidR="00F3256A" w:rsidRDefault="00F3256A" w:rsidP="00C32E32">
      <w:pPr>
        <w:pStyle w:val="FootnoteText"/>
      </w:pPr>
      <w:r w:rsidRPr="0040675C">
        <w:rPr>
          <w:rStyle w:val="FootnoteReference"/>
        </w:rPr>
        <w:footnoteRef/>
      </w:r>
      <w:r>
        <w:tab/>
        <w:t>(2004) 86</w:t>
      </w:r>
      <w:r w:rsidR="0040675C">
        <w:t> </w:t>
      </w:r>
      <w:r>
        <w:t>ALD</w:t>
      </w:r>
      <w:r w:rsidR="0040675C">
        <w:t> </w:t>
      </w:r>
      <w:r w:rsidRPr="00457692">
        <w:t>138</w:t>
      </w:r>
      <w:r>
        <w:t xml:space="preserve"> at</w:t>
      </w:r>
      <w:r w:rsidR="0040675C">
        <w:t> </w:t>
      </w:r>
      <w:r>
        <w:t>[75] per</w:t>
      </w:r>
      <w:r w:rsidR="0040675C">
        <w:t> </w:t>
      </w:r>
      <w:r>
        <w:t>Downes</w:t>
      </w:r>
      <w:r w:rsidR="0040675C">
        <w:t> </w:t>
      </w:r>
      <w:r>
        <w:t>J</w:t>
      </w:r>
      <w:r w:rsidR="0040675C">
        <w:t xml:space="preserve">.  </w:t>
      </w:r>
      <w:r>
        <w:t>I</w:t>
      </w:r>
      <w:r w:rsidR="0040675C">
        <w:t> </w:t>
      </w:r>
      <w:r>
        <w:t xml:space="preserve">note that some of the documents in dispute in </w:t>
      </w:r>
      <w:r w:rsidRPr="00AA757C">
        <w:rPr>
          <w:i/>
        </w:rPr>
        <w:t xml:space="preserve">McKinnon </w:t>
      </w:r>
      <w:r>
        <w:t xml:space="preserve">were spreadsheets </w:t>
      </w:r>
      <w:r w:rsidR="00E36F41">
        <w:t xml:space="preserve">that </w:t>
      </w:r>
      <w:r>
        <w:t xml:space="preserve">contained modelling—at least in the </w:t>
      </w:r>
      <w:r w:rsidRPr="00AA757C">
        <w:t xml:space="preserve">ordinary sense, </w:t>
      </w:r>
      <w:r>
        <w:t xml:space="preserve">and probably in the </w:t>
      </w:r>
      <w:r w:rsidRPr="00AA757C">
        <w:t>technical</w:t>
      </w:r>
      <w:r>
        <w:t xml:space="preserve"> sense (see</w:t>
      </w:r>
      <w:r w:rsidR="0040675C">
        <w:t> </w:t>
      </w:r>
      <w:r>
        <w:t>[</w:t>
      </w:r>
      <w:r>
        <w:fldChar w:fldCharType="begin"/>
      </w:r>
      <w:r>
        <w:instrText xml:space="preserve"> REF _Ref421871062 \r \h </w:instrText>
      </w:r>
      <w:r>
        <w:fldChar w:fldCharType="separate"/>
      </w:r>
      <w:r w:rsidR="00586FD9">
        <w:t>15</w:t>
      </w:r>
      <w:r>
        <w:fldChar w:fldCharType="end"/>
      </w:r>
      <w:r>
        <w:t>] above)</w:t>
      </w:r>
      <w:r w:rsidR="0040675C">
        <w:t xml:space="preserve">.  </w:t>
      </w:r>
      <w:r>
        <w:t>In that case, the Tribunal decided that those spreadsheets were exempt under s</w:t>
      </w:r>
      <w:r w:rsidR="0040675C">
        <w:t> </w:t>
      </w:r>
      <w:r w:rsidRPr="000313EC">
        <w:t>36(1)(a)</w:t>
      </w:r>
      <w:r>
        <w:t xml:space="preserve"> of the </w:t>
      </w:r>
      <w:r w:rsidR="0040675C">
        <w:t>FOI Act</w:t>
      </w:r>
      <w:r>
        <w:t xml:space="preserve"> (see at</w:t>
      </w:r>
      <w:r w:rsidR="0040675C">
        <w:t> </w:t>
      </w:r>
      <w:r>
        <w:t>[88] and the schedule at</w:t>
      </w:r>
      <w:r w:rsidR="0040675C">
        <w:t> </w:t>
      </w:r>
      <w:r>
        <w:t>174–176)</w:t>
      </w:r>
      <w:r w:rsidR="0040675C">
        <w:t xml:space="preserve">.  </w:t>
      </w:r>
      <w:r>
        <w:t>Section</w:t>
      </w:r>
      <w:r w:rsidR="0040675C">
        <w:t> </w:t>
      </w:r>
      <w:r>
        <w:t>36 has since been repealed, but was in similar terms to s</w:t>
      </w:r>
      <w:r w:rsidR="0040675C">
        <w:t> </w:t>
      </w:r>
      <w:r>
        <w:t>47C.</w:t>
      </w:r>
    </w:p>
  </w:footnote>
  <w:footnote w:id="21">
    <w:p w:rsidR="00F3256A" w:rsidRDefault="00F3256A">
      <w:pPr>
        <w:pStyle w:val="FootnoteText"/>
      </w:pPr>
      <w:r w:rsidRPr="0040675C">
        <w:rPr>
          <w:rStyle w:val="FootnoteReference"/>
        </w:rPr>
        <w:footnoteRef/>
      </w:r>
      <w:r>
        <w:tab/>
        <w:t>Section</w:t>
      </w:r>
      <w:r w:rsidR="0040675C">
        <w:t> </w:t>
      </w:r>
      <w:r>
        <w:t>22(1)(c).</w:t>
      </w:r>
    </w:p>
  </w:footnote>
  <w:footnote w:id="22">
    <w:p w:rsidR="00F3256A" w:rsidRDefault="00F3256A">
      <w:pPr>
        <w:pStyle w:val="FootnoteText"/>
      </w:pPr>
      <w:r w:rsidRPr="0040675C">
        <w:rPr>
          <w:rStyle w:val="FootnoteReference"/>
        </w:rPr>
        <w:footnoteRef/>
      </w:r>
      <w:r>
        <w:tab/>
        <w:t>FOI Guidelines</w:t>
      </w:r>
      <w:r w:rsidR="00370A5E">
        <w:t xml:space="preserve"> at</w:t>
      </w:r>
      <w:r w:rsidR="0040675C">
        <w:t> </w:t>
      </w:r>
      <w:r w:rsidRPr="006A704A">
        <w:t>[6.12]</w:t>
      </w:r>
      <w:r w:rsidR="0040675C">
        <w:t xml:space="preserve">.  </w:t>
      </w:r>
      <w:r>
        <w:t xml:space="preserve">The objects of the </w:t>
      </w:r>
      <w:r w:rsidR="0040675C">
        <w:t>FOI Act</w:t>
      </w:r>
      <w:r>
        <w:t xml:space="preserve"> are set out in ss</w:t>
      </w:r>
      <w:r w:rsidR="0040675C">
        <w:t> </w:t>
      </w:r>
      <w:r>
        <w:t>3 and</w:t>
      </w:r>
      <w:r w:rsidR="0040675C">
        <w:t> </w:t>
      </w:r>
      <w:r>
        <w:t>3A.</w:t>
      </w:r>
    </w:p>
  </w:footnote>
  <w:footnote w:id="23">
    <w:p w:rsidR="00F3256A" w:rsidRDefault="00F3256A">
      <w:pPr>
        <w:pStyle w:val="FootnoteText"/>
      </w:pPr>
      <w:r w:rsidRPr="0040675C">
        <w:rPr>
          <w:rStyle w:val="FootnoteReference"/>
        </w:rPr>
        <w:footnoteRef/>
      </w:r>
      <w:r>
        <w:tab/>
        <w:t>Section</w:t>
      </w:r>
      <w:r w:rsidR="0040675C">
        <w:t> </w:t>
      </w:r>
      <w:r>
        <w:t>3(2)(a).</w:t>
      </w:r>
    </w:p>
  </w:footnote>
  <w:footnote w:id="24">
    <w:p w:rsidR="00420562" w:rsidRDefault="00420562">
      <w:pPr>
        <w:pStyle w:val="FootnoteText"/>
      </w:pPr>
      <w:r w:rsidRPr="0040675C">
        <w:rPr>
          <w:rStyle w:val="FootnoteReference"/>
        </w:rPr>
        <w:footnoteRef/>
      </w:r>
      <w:r>
        <w:tab/>
      </w:r>
      <w:r w:rsidR="002E14B6">
        <w:t xml:space="preserve">The documents relate to decisions that would affect public expenditure, but their disclosure would not </w:t>
      </w:r>
      <w:r w:rsidR="002E14B6" w:rsidRPr="002E14B6">
        <w:t xml:space="preserve">promote effective oversight of </w:t>
      </w:r>
      <w:r w:rsidR="002E14B6">
        <w:t xml:space="preserve">that </w:t>
      </w:r>
      <w:r w:rsidR="002E14B6" w:rsidRPr="002E14B6">
        <w:t>expenditure</w:t>
      </w:r>
      <w:r w:rsidR="002E14B6">
        <w:t>.</w:t>
      </w:r>
    </w:p>
  </w:footnote>
  <w:footnote w:id="25">
    <w:p w:rsidR="00F3256A" w:rsidRDefault="00F3256A">
      <w:pPr>
        <w:pStyle w:val="FootnoteText"/>
      </w:pPr>
      <w:r w:rsidRPr="0040675C">
        <w:rPr>
          <w:rStyle w:val="FootnoteReference"/>
        </w:rPr>
        <w:footnoteRef/>
      </w:r>
      <w:r>
        <w:tab/>
        <w:t>FOI Guidelines</w:t>
      </w:r>
      <w:r w:rsidR="00370A5E">
        <w:t xml:space="preserve"> at</w:t>
      </w:r>
      <w:r w:rsidR="0040675C">
        <w:t> </w:t>
      </w:r>
      <w:r>
        <w:t>[6.25].</w:t>
      </w:r>
    </w:p>
  </w:footnote>
  <w:footnote w:id="26">
    <w:p w:rsidR="00F3256A" w:rsidRDefault="00F3256A">
      <w:pPr>
        <w:pStyle w:val="FootnoteText"/>
      </w:pPr>
      <w:r w:rsidRPr="0040675C">
        <w:rPr>
          <w:rStyle w:val="FootnoteReference"/>
        </w:rPr>
        <w:footnoteRef/>
      </w:r>
      <w:r w:rsidR="00C4592C">
        <w:tab/>
      </w:r>
      <w:r>
        <w:t>FOI Guidelines at</w:t>
      </w:r>
      <w:r w:rsidR="0040675C">
        <w:t> </w:t>
      </w:r>
      <w:r>
        <w:t>[6.29].</w:t>
      </w:r>
    </w:p>
  </w:footnote>
  <w:footnote w:id="27">
    <w:p w:rsidR="003B523B" w:rsidRDefault="003B523B">
      <w:pPr>
        <w:pStyle w:val="FootnoteText"/>
      </w:pPr>
      <w:r w:rsidRPr="0040675C">
        <w:rPr>
          <w:rStyle w:val="FootnoteReference"/>
        </w:rPr>
        <w:footnoteRef/>
      </w:r>
      <w:r>
        <w:tab/>
        <w:t>See</w:t>
      </w:r>
      <w:r w:rsidR="0040675C">
        <w:t> </w:t>
      </w:r>
      <w:r>
        <w:t>[</w:t>
      </w:r>
      <w:r>
        <w:fldChar w:fldCharType="begin"/>
      </w:r>
      <w:r>
        <w:instrText xml:space="preserve"> REF _Ref422405411 \r \h </w:instrText>
      </w:r>
      <w:r>
        <w:fldChar w:fldCharType="separate"/>
      </w:r>
      <w:r w:rsidR="00586FD9">
        <w:t>39</w:t>
      </w:r>
      <w:r>
        <w:fldChar w:fldCharType="end"/>
      </w:r>
      <w:r>
        <w:t>] above.</w:t>
      </w:r>
    </w:p>
  </w:footnote>
  <w:footnote w:id="28">
    <w:p w:rsidR="00F3256A" w:rsidRDefault="00F3256A">
      <w:pPr>
        <w:pStyle w:val="FootnoteText"/>
      </w:pPr>
      <w:r w:rsidRPr="0040675C">
        <w:rPr>
          <w:rStyle w:val="FootnoteReference"/>
        </w:rPr>
        <w:footnoteRef/>
      </w:r>
      <w:r>
        <w:tab/>
      </w:r>
      <w:r w:rsidRPr="00030D40">
        <w:t>(1985</w:t>
      </w:r>
      <w:r>
        <w:t>) 7</w:t>
      </w:r>
      <w:r w:rsidR="0040675C">
        <w:t> </w:t>
      </w:r>
      <w:r>
        <w:t>ALD</w:t>
      </w:r>
      <w:r w:rsidR="0040675C">
        <w:t> </w:t>
      </w:r>
      <w:r w:rsidRPr="00030D40">
        <w:t>626</w:t>
      </w:r>
      <w:r>
        <w:t xml:space="preserve"> at</w:t>
      </w:r>
      <w:r w:rsidR="0040675C">
        <w:t> </w:t>
      </w:r>
      <w:r>
        <w:t>634–635 per Davies</w:t>
      </w:r>
      <w:r w:rsidR="0040675C">
        <w:t> </w:t>
      </w:r>
      <w:r>
        <w:t>J</w:t>
      </w:r>
      <w:r w:rsidR="0040675C">
        <w:t xml:space="preserve">.  </w:t>
      </w:r>
      <w:r>
        <w:t>The Tribunal was applying the public interest test in s</w:t>
      </w:r>
      <w:r w:rsidR="0040675C">
        <w:t> </w:t>
      </w:r>
      <w:r>
        <w:t>36(1)(b</w:t>
      </w:r>
      <w:r w:rsidRPr="000313EC">
        <w:t>)</w:t>
      </w:r>
      <w:r>
        <w:t xml:space="preserve"> of the </w:t>
      </w:r>
      <w:r w:rsidR="0040675C">
        <w:t>FOI Act</w:t>
      </w:r>
      <w:r>
        <w:t xml:space="preserve"> (see at</w:t>
      </w:r>
      <w:r w:rsidR="0040675C">
        <w:t> </w:t>
      </w:r>
      <w:r>
        <w:t>632)</w:t>
      </w:r>
      <w:r w:rsidR="0040675C">
        <w:t xml:space="preserve">.  </w:t>
      </w:r>
      <w:r>
        <w:t>Section</w:t>
      </w:r>
      <w:r w:rsidR="0040675C">
        <w:t> </w:t>
      </w:r>
      <w:r>
        <w:t>36 has since been repealed, but was in similar terms to s</w:t>
      </w:r>
      <w:r w:rsidR="0040675C">
        <w:t> </w:t>
      </w:r>
      <w:r>
        <w:t>47C.</w:t>
      </w:r>
    </w:p>
  </w:footnote>
  <w:footnote w:id="29">
    <w:p w:rsidR="00491ADA" w:rsidRDefault="00F3256A" w:rsidP="00491ADA">
      <w:pPr>
        <w:pStyle w:val="FootnoteText"/>
      </w:pPr>
      <w:r w:rsidRPr="0040675C">
        <w:rPr>
          <w:rStyle w:val="FootnoteReference"/>
        </w:rPr>
        <w:footnoteRef/>
      </w:r>
      <w:r>
        <w:tab/>
      </w:r>
      <w:r w:rsidR="00491ADA">
        <w:t>Section</w:t>
      </w:r>
      <w:r w:rsidR="0040675C">
        <w:t> </w:t>
      </w:r>
      <w:r>
        <w:t xml:space="preserve">11B </w:t>
      </w:r>
      <w:r w:rsidR="00491ADA">
        <w:t xml:space="preserve">was </w:t>
      </w:r>
      <w:r>
        <w:t xml:space="preserve">inserted </w:t>
      </w:r>
      <w:r w:rsidR="00491ADA">
        <w:t xml:space="preserve">by the </w:t>
      </w:r>
      <w:r w:rsidR="00491ADA" w:rsidRPr="00491ADA">
        <w:rPr>
          <w:i/>
        </w:rPr>
        <w:t>Freedom of Information Amendment (Reform) Act 2010</w:t>
      </w:r>
      <w:r w:rsidR="00491ADA">
        <w:t xml:space="preserve"> on </w:t>
      </w:r>
      <w:r w:rsidR="00DB484E">
        <w:t>1</w:t>
      </w:r>
      <w:r w:rsidR="0040675C">
        <w:t> </w:t>
      </w:r>
      <w:r w:rsidR="00DB484E">
        <w:t>November</w:t>
      </w:r>
    </w:p>
    <w:p w:rsidR="00F3256A" w:rsidRDefault="00491ADA" w:rsidP="00491ADA">
      <w:pPr>
        <w:pStyle w:val="FootnoteText"/>
      </w:pPr>
      <w:r>
        <w:t>2010.</w:t>
      </w:r>
    </w:p>
  </w:footnote>
  <w:footnote w:id="30">
    <w:p w:rsidR="00F3256A" w:rsidRDefault="00F3256A" w:rsidP="006348CE">
      <w:pPr>
        <w:pStyle w:val="FootnoteText"/>
      </w:pPr>
      <w:r w:rsidRPr="0040675C">
        <w:rPr>
          <w:rStyle w:val="FootnoteReference"/>
        </w:rPr>
        <w:footnoteRef/>
      </w:r>
      <w:r>
        <w:tab/>
      </w:r>
      <w:r w:rsidR="0040675C">
        <w:t>“</w:t>
      </w:r>
      <w:r>
        <w:t>[A]ccess to the document could result in any person misinterpreting or misunderstanding the document</w:t>
      </w:r>
      <w:r w:rsidR="0040675C">
        <w:t>”</w:t>
      </w:r>
      <w:r>
        <w:t xml:space="preserve"> (s</w:t>
      </w:r>
      <w:r w:rsidR="0040675C">
        <w:t> </w:t>
      </w:r>
      <w:r>
        <w:t xml:space="preserve">11B(4)(b)); </w:t>
      </w:r>
      <w:r w:rsidR="0040675C">
        <w:t>“</w:t>
      </w:r>
      <w:r>
        <w:t>the author of the document was (or is) of high seniority in the agency to which the request for access to the document was made</w:t>
      </w:r>
      <w:r w:rsidR="0040675C">
        <w:t>”</w:t>
      </w:r>
      <w:r>
        <w:t xml:space="preserve"> (s</w:t>
      </w:r>
      <w:r w:rsidR="0040675C">
        <w:t> </w:t>
      </w:r>
      <w:r>
        <w:t xml:space="preserve">11B(4)(c)); and </w:t>
      </w:r>
      <w:r w:rsidR="0040675C">
        <w:t>“</w:t>
      </w:r>
      <w:r>
        <w:t>access to the document could result in confusion or unnecessary debate</w:t>
      </w:r>
      <w:r w:rsidR="0040675C">
        <w:t>”</w:t>
      </w:r>
      <w:r>
        <w:t xml:space="preserve"> (s</w:t>
      </w:r>
      <w:r w:rsidR="0040675C">
        <w:t> </w:t>
      </w:r>
      <w:r>
        <w:t>11B(4)(d)).</w:t>
      </w:r>
    </w:p>
  </w:footnote>
  <w:footnote w:id="31">
    <w:p w:rsidR="00F3256A" w:rsidRDefault="00F3256A">
      <w:pPr>
        <w:pStyle w:val="FootnoteText"/>
      </w:pPr>
      <w:r w:rsidRPr="0040675C">
        <w:rPr>
          <w:rStyle w:val="FootnoteReference"/>
        </w:rPr>
        <w:footnoteRef/>
      </w:r>
      <w:r>
        <w:tab/>
      </w:r>
      <w:r w:rsidRPr="00030D40">
        <w:t>(1985</w:t>
      </w:r>
      <w:r>
        <w:t>) 7</w:t>
      </w:r>
      <w:r w:rsidR="0040675C">
        <w:t> </w:t>
      </w:r>
      <w:r>
        <w:t>ALD</w:t>
      </w:r>
      <w:r w:rsidR="0040675C">
        <w:t> </w:t>
      </w:r>
      <w:r w:rsidRPr="00030D40">
        <w:t>626</w:t>
      </w:r>
      <w:r>
        <w:t xml:space="preserve"> at</w:t>
      </w:r>
      <w:r w:rsidR="0040675C">
        <w:t> </w:t>
      </w:r>
      <w:r>
        <w:t>635 per Davies</w:t>
      </w:r>
      <w:r w:rsidR="0040675C">
        <w:t> </w:t>
      </w:r>
      <w:r>
        <w:t>J.</w:t>
      </w:r>
    </w:p>
  </w:footnote>
  <w:footnote w:id="32">
    <w:p w:rsidR="00F3256A" w:rsidRDefault="00F3256A">
      <w:pPr>
        <w:pStyle w:val="FootnoteText"/>
      </w:pPr>
      <w:r w:rsidRPr="0040675C">
        <w:rPr>
          <w:rStyle w:val="FootnoteReference"/>
        </w:rPr>
        <w:footnoteRef/>
      </w:r>
      <w:r>
        <w:tab/>
        <w:t>FOI Guidelines at</w:t>
      </w:r>
      <w:r w:rsidR="0040675C">
        <w:t> </w:t>
      </w:r>
      <w:r>
        <w:t>[6.77].</w:t>
      </w:r>
    </w:p>
  </w:footnote>
  <w:footnote w:id="33">
    <w:p w:rsidR="00F3256A" w:rsidRDefault="00F3256A" w:rsidP="004A6C3F">
      <w:pPr>
        <w:pStyle w:val="FootnoteText"/>
      </w:pPr>
      <w:r w:rsidRPr="0040675C">
        <w:rPr>
          <w:rStyle w:val="FootnoteReference"/>
        </w:rPr>
        <w:footnoteRef/>
      </w:r>
      <w:r>
        <w:tab/>
      </w:r>
      <w:r w:rsidRPr="00832186">
        <w:rPr>
          <w:i/>
        </w:rPr>
        <w:t>Cleary and Department of Treasury</w:t>
      </w:r>
      <w:r w:rsidRPr="00832186">
        <w:t xml:space="preserve"> (1993) 31</w:t>
      </w:r>
      <w:r w:rsidR="0040675C">
        <w:t> </w:t>
      </w:r>
      <w:r w:rsidRPr="00832186">
        <w:t>ALD</w:t>
      </w:r>
      <w:r w:rsidR="0040675C">
        <w:t> </w:t>
      </w:r>
      <w:r w:rsidRPr="00832186">
        <w:t xml:space="preserve">214; </w:t>
      </w:r>
      <w:r w:rsidRPr="00832186">
        <w:rPr>
          <w:i/>
        </w:rPr>
        <w:t xml:space="preserve">McKinnon and Secretary, Department of </w:t>
      </w:r>
      <w:r w:rsidR="00444BDE">
        <w:rPr>
          <w:i/>
        </w:rPr>
        <w:t xml:space="preserve">the </w:t>
      </w:r>
      <w:r w:rsidRPr="00832186">
        <w:rPr>
          <w:i/>
        </w:rPr>
        <w:t>Treasury</w:t>
      </w:r>
      <w:r w:rsidRPr="00832186">
        <w:t xml:space="preserve"> </w:t>
      </w:r>
      <w:r w:rsidR="00C3646F">
        <w:t>(2004) 86</w:t>
      </w:r>
      <w:r w:rsidR="0040675C">
        <w:t> </w:t>
      </w:r>
      <w:r w:rsidR="00C3646F">
        <w:t>ALD</w:t>
      </w:r>
      <w:r w:rsidR="0040675C">
        <w:t> </w:t>
      </w:r>
      <w:r w:rsidR="00C3646F" w:rsidRPr="00C3646F">
        <w:t>138</w:t>
      </w:r>
      <w:r w:rsidRPr="00832186">
        <w:t xml:space="preserve">; </w:t>
      </w:r>
      <w:r w:rsidRPr="00832186">
        <w:rPr>
          <w:i/>
        </w:rPr>
        <w:t>McKinnon and Secretary, Department of Prime Minister and Cabinet</w:t>
      </w:r>
      <w:r w:rsidRPr="00832186">
        <w:t xml:space="preserve"> (2007) 46</w:t>
      </w:r>
      <w:r w:rsidR="0040675C">
        <w:t> </w:t>
      </w:r>
      <w:r w:rsidRPr="00832186">
        <w:t>AAR</w:t>
      </w:r>
      <w:r w:rsidR="0040675C">
        <w:t> </w:t>
      </w:r>
      <w:r w:rsidRPr="00832186">
        <w:t>136</w:t>
      </w:r>
      <w:r w:rsidR="0040675C">
        <w:t xml:space="preserve">.  </w:t>
      </w:r>
      <w:r w:rsidR="00C00504">
        <w:t xml:space="preserve">The second of these was </w:t>
      </w:r>
      <w:r w:rsidR="00C24F90">
        <w:t xml:space="preserve">upheld on </w:t>
      </w:r>
      <w:r w:rsidR="00C00504">
        <w:t>appeal</w:t>
      </w:r>
      <w:r w:rsidR="00C24F90">
        <w:t xml:space="preserve"> by the </w:t>
      </w:r>
      <w:r w:rsidR="00886705">
        <w:t>Full Court of the Federal Court (</w:t>
      </w:r>
      <w:r w:rsidR="00340652" w:rsidRPr="00340652">
        <w:rPr>
          <w:i/>
        </w:rPr>
        <w:t>McKinnon</w:t>
      </w:r>
      <w:r w:rsidR="0040675C">
        <w:rPr>
          <w:i/>
        </w:rPr>
        <w:t> </w:t>
      </w:r>
      <w:r w:rsidR="00F8675A">
        <w:rPr>
          <w:i/>
        </w:rPr>
        <w:t xml:space="preserve">v </w:t>
      </w:r>
      <w:r w:rsidR="00340652" w:rsidRPr="00340652">
        <w:rPr>
          <w:i/>
        </w:rPr>
        <w:t>Secretary, Department of Treasury</w:t>
      </w:r>
      <w:r w:rsidR="00340652" w:rsidRPr="00340652">
        <w:t xml:space="preserve"> (</w:t>
      </w:r>
      <w:r w:rsidR="00886705">
        <w:t>2005) 145</w:t>
      </w:r>
      <w:r w:rsidR="0040675C">
        <w:t> </w:t>
      </w:r>
      <w:r w:rsidR="00886705">
        <w:t>FCR</w:t>
      </w:r>
      <w:r w:rsidR="0040675C">
        <w:t> </w:t>
      </w:r>
      <w:r w:rsidR="00886705" w:rsidRPr="00886705">
        <w:t>70</w:t>
      </w:r>
      <w:r w:rsidR="00886705">
        <w:t xml:space="preserve">) and </w:t>
      </w:r>
      <w:r w:rsidR="00C24F90">
        <w:t xml:space="preserve">by </w:t>
      </w:r>
      <w:r w:rsidR="00886705">
        <w:t xml:space="preserve">the </w:t>
      </w:r>
      <w:r w:rsidR="00C00504">
        <w:t>High Court</w:t>
      </w:r>
      <w:r w:rsidR="00886705">
        <w:t xml:space="preserve"> (</w:t>
      </w:r>
      <w:r w:rsidR="00373EEF" w:rsidRPr="00C00504">
        <w:rPr>
          <w:i/>
        </w:rPr>
        <w:t>McKinnon</w:t>
      </w:r>
      <w:r w:rsidR="0040675C">
        <w:rPr>
          <w:i/>
        </w:rPr>
        <w:t> </w:t>
      </w:r>
      <w:r w:rsidR="00F8675A">
        <w:rPr>
          <w:i/>
        </w:rPr>
        <w:t xml:space="preserve">v </w:t>
      </w:r>
      <w:r w:rsidR="00373EEF" w:rsidRPr="00C00504">
        <w:rPr>
          <w:i/>
        </w:rPr>
        <w:t>Secretary, Department of the Treasury</w:t>
      </w:r>
      <w:r w:rsidR="00886705">
        <w:t xml:space="preserve"> (2006) 228</w:t>
      </w:r>
      <w:r w:rsidR="0040675C">
        <w:t> </w:t>
      </w:r>
      <w:r w:rsidR="00886705">
        <w:t>CLR</w:t>
      </w:r>
      <w:r w:rsidR="0040675C">
        <w:t> </w:t>
      </w:r>
      <w:r w:rsidR="00373EEF" w:rsidRPr="00373EEF">
        <w:t>423</w:t>
      </w:r>
      <w:r w:rsidR="00886705">
        <w:t>)</w:t>
      </w:r>
      <w:r w:rsidR="0040675C">
        <w:t xml:space="preserve">.  </w:t>
      </w:r>
      <w:r w:rsidR="00C24F90">
        <w:t xml:space="preserve">Two of the judges in the majority in the High Court made passing reference to </w:t>
      </w:r>
      <w:r w:rsidR="0040675C">
        <w:t>“</w:t>
      </w:r>
      <w:r w:rsidR="00C24F90" w:rsidRPr="00C24F90">
        <w:t>jeopardy to candour</w:t>
      </w:r>
      <w:r w:rsidR="0040675C">
        <w:t>”</w:t>
      </w:r>
      <w:r w:rsidR="0023476C">
        <w:t xml:space="preserve"> </w:t>
      </w:r>
      <w:r w:rsidR="00C24F90">
        <w:t>(at</w:t>
      </w:r>
      <w:r w:rsidR="0040675C">
        <w:t> </w:t>
      </w:r>
      <w:r w:rsidR="00C24F90">
        <w:t>[121] per</w:t>
      </w:r>
      <w:r w:rsidR="004A6C3F">
        <w:t xml:space="preserve"> </w:t>
      </w:r>
      <w:r w:rsidR="00C24F90">
        <w:t>Callinan and Heydon</w:t>
      </w:r>
      <w:r w:rsidR="0040675C">
        <w:t> </w:t>
      </w:r>
      <w:r w:rsidR="00C24F90" w:rsidRPr="00C24F90">
        <w:t>JJ</w:t>
      </w:r>
      <w:r w:rsidR="00C24F90">
        <w:t>)</w:t>
      </w:r>
      <w:r w:rsidR="0023476C">
        <w:t xml:space="preserve"> but the appeal was decided on different grounds.</w:t>
      </w:r>
    </w:p>
  </w:footnote>
  <w:footnote w:id="34">
    <w:p w:rsidR="00F3256A" w:rsidRDefault="00F3256A">
      <w:pPr>
        <w:pStyle w:val="FootnoteText"/>
      </w:pPr>
      <w:r w:rsidRPr="0040675C">
        <w:rPr>
          <w:rStyle w:val="FootnoteReference"/>
        </w:rPr>
        <w:footnoteRef/>
      </w:r>
      <w:r>
        <w:tab/>
        <w:t>[2013]</w:t>
      </w:r>
      <w:r w:rsidR="0040675C">
        <w:t> </w:t>
      </w:r>
      <w:r>
        <w:t>AICmr</w:t>
      </w:r>
      <w:r w:rsidR="0040675C">
        <w:t> </w:t>
      </w:r>
      <w:r w:rsidRPr="00966A28">
        <w:t>69</w:t>
      </w:r>
      <w:r>
        <w:t xml:space="preserve"> at</w:t>
      </w:r>
      <w:r w:rsidR="0040675C">
        <w:t> </w:t>
      </w:r>
      <w:r>
        <w:t>[51].</w:t>
      </w:r>
    </w:p>
  </w:footnote>
  <w:footnote w:id="35">
    <w:p w:rsidR="00F3256A" w:rsidRDefault="00F3256A" w:rsidP="00C86FEF">
      <w:pPr>
        <w:pStyle w:val="FootnoteText"/>
      </w:pPr>
      <w:r w:rsidRPr="0040675C">
        <w:rPr>
          <w:rStyle w:val="FootnoteReference"/>
        </w:rPr>
        <w:footnoteRef/>
      </w:r>
      <w:r>
        <w:tab/>
        <w:t>[</w:t>
      </w:r>
      <w:r w:rsidR="000D3DBF">
        <w:t>2013]</w:t>
      </w:r>
      <w:r w:rsidR="0040675C">
        <w:t> </w:t>
      </w:r>
      <w:r w:rsidR="000D3DBF">
        <w:t>AICmr</w:t>
      </w:r>
      <w:r w:rsidR="0040675C">
        <w:t> </w:t>
      </w:r>
      <w:r w:rsidRPr="00966A28">
        <w:t>69</w:t>
      </w:r>
      <w:r>
        <w:t xml:space="preserve"> at</w:t>
      </w:r>
      <w:r w:rsidR="0040675C">
        <w:t> </w:t>
      </w:r>
      <w:r>
        <w:t>[54]–[55].</w:t>
      </w:r>
    </w:p>
  </w:footnote>
  <w:footnote w:id="36">
    <w:p w:rsidR="00452B74" w:rsidRDefault="00452B74">
      <w:pPr>
        <w:pStyle w:val="FootnoteText"/>
      </w:pPr>
      <w:r w:rsidRPr="0040675C">
        <w:rPr>
          <w:rStyle w:val="FootnoteReference"/>
        </w:rPr>
        <w:footnoteRef/>
      </w:r>
      <w:r>
        <w:tab/>
        <w:t xml:space="preserve">Explanatory Memorandum, </w:t>
      </w:r>
      <w:r w:rsidRPr="00452B74">
        <w:t>Freedom of Information</w:t>
      </w:r>
      <w:r>
        <w:t xml:space="preserve"> Bill</w:t>
      </w:r>
      <w:r w:rsidRPr="00452B74">
        <w:t xml:space="preserve"> 1978</w:t>
      </w:r>
      <w:r w:rsidR="00ED7D61">
        <w:t xml:space="preserve"> at</w:t>
      </w:r>
      <w:r w:rsidR="0040675C">
        <w:t> </w:t>
      </w:r>
      <w:r>
        <w:t>[100]</w:t>
      </w:r>
      <w:r w:rsidR="0040675C">
        <w:t xml:space="preserve">.  </w:t>
      </w:r>
      <w:r>
        <w:t>Clause</w:t>
      </w:r>
      <w:r w:rsidR="0040675C">
        <w:t> </w:t>
      </w:r>
      <w:r>
        <w:t xml:space="preserve">26 of that Bill </w:t>
      </w:r>
      <w:r w:rsidR="002265C5">
        <w:t>(</w:t>
      </w:r>
      <w:r w:rsidR="0040675C">
        <w:t>“</w:t>
      </w:r>
      <w:r w:rsidR="002265C5">
        <w:t>Internal working documents</w:t>
      </w:r>
      <w:r w:rsidR="0040675C">
        <w:t>”</w:t>
      </w:r>
      <w:r w:rsidR="002265C5">
        <w:t>) became clause</w:t>
      </w:r>
      <w:r w:rsidR="0040675C">
        <w:t> </w:t>
      </w:r>
      <w:r w:rsidR="002265C5">
        <w:t xml:space="preserve">31 of the </w:t>
      </w:r>
      <w:r w:rsidR="002265C5" w:rsidRPr="00452B74">
        <w:t>Freedom of Information</w:t>
      </w:r>
      <w:r w:rsidR="002265C5">
        <w:t xml:space="preserve"> Bill 1981, </w:t>
      </w:r>
      <w:r w:rsidR="009158EB">
        <w:t xml:space="preserve">then </w:t>
      </w:r>
      <w:r w:rsidR="002265C5">
        <w:t>s</w:t>
      </w:r>
      <w:r w:rsidR="0040675C">
        <w:t> </w:t>
      </w:r>
      <w:r w:rsidR="002265C5">
        <w:t xml:space="preserve">36 of the </w:t>
      </w:r>
      <w:r w:rsidR="0040675C">
        <w:t xml:space="preserve">FOI Act.  </w:t>
      </w:r>
      <w:r w:rsidR="009158EB">
        <w:t>Section</w:t>
      </w:r>
      <w:r w:rsidR="0040675C">
        <w:t> </w:t>
      </w:r>
      <w:r w:rsidR="009158EB">
        <w:t>36 has since been repealed, but was in similar terms to s</w:t>
      </w:r>
      <w:r w:rsidR="0040675C">
        <w:t> </w:t>
      </w:r>
      <w:r w:rsidR="009158EB">
        <w:t>47C.</w:t>
      </w:r>
    </w:p>
  </w:footnote>
  <w:footnote w:id="37">
    <w:p w:rsidR="00A36B9A" w:rsidRDefault="00A36B9A">
      <w:pPr>
        <w:pStyle w:val="FootnoteText"/>
      </w:pPr>
      <w:r w:rsidRPr="0040675C">
        <w:rPr>
          <w:rStyle w:val="FootnoteReference"/>
        </w:rPr>
        <w:footnoteRef/>
      </w:r>
      <w:r>
        <w:tab/>
        <w:t xml:space="preserve">There is no reference to frankness or candour in any of the explanatory memoranda to the Bill which became the </w:t>
      </w:r>
      <w:r w:rsidRPr="00A36B9A">
        <w:rPr>
          <w:i/>
        </w:rPr>
        <w:t>Freedom of Information Amendment (Reform) Act 2010</w:t>
      </w:r>
      <w:r w:rsidRPr="00A36B9A">
        <w:t xml:space="preserve"> </w:t>
      </w:r>
      <w:r>
        <w:t>and inserted s</w:t>
      </w:r>
      <w:r w:rsidR="0040675C">
        <w:t> </w:t>
      </w:r>
      <w:r>
        <w:t xml:space="preserve">47C into the </w:t>
      </w:r>
      <w:r w:rsidR="0040675C">
        <w:t>FOI Act</w:t>
      </w:r>
      <w:r>
        <w:t xml:space="preserve">: the explanatory memorandum and two supplementary explanatory memoranda to the </w:t>
      </w:r>
      <w:r w:rsidRPr="00A36B9A">
        <w:t xml:space="preserve">Freedom of Information Amendment (Reform) </w:t>
      </w:r>
      <w:r>
        <w:t xml:space="preserve">Bill 2009, and the </w:t>
      </w:r>
      <w:r w:rsidRPr="00A36B9A">
        <w:t>revised explanatory memorandum</w:t>
      </w:r>
      <w:r>
        <w:t xml:space="preserve"> to </w:t>
      </w:r>
      <w:r w:rsidRPr="00A36B9A">
        <w:t xml:space="preserve">Freedom of Information Amendment (Reform) </w:t>
      </w:r>
      <w:r>
        <w:t>Bill 2010.</w:t>
      </w:r>
    </w:p>
  </w:footnote>
  <w:footnote w:id="38">
    <w:p w:rsidR="00755405" w:rsidRDefault="00755405">
      <w:pPr>
        <w:pStyle w:val="FootnoteText"/>
      </w:pPr>
      <w:r w:rsidRPr="0040675C">
        <w:rPr>
          <w:rStyle w:val="FootnoteReference"/>
        </w:rPr>
        <w:footnoteRef/>
      </w:r>
      <w:r>
        <w:tab/>
      </w:r>
      <w:r w:rsidR="0026242F">
        <w:t>Section</w:t>
      </w:r>
      <w:r w:rsidR="0040675C">
        <w:t> </w:t>
      </w:r>
      <w:r w:rsidR="0026242F" w:rsidRPr="00755405">
        <w:t>45</w:t>
      </w:r>
      <w:r>
        <w:t>(1)</w:t>
      </w:r>
      <w:r w:rsidRPr="00755405">
        <w:t xml:space="preserve"> of the </w:t>
      </w:r>
      <w:r w:rsidR="0040675C">
        <w:t>FOI Act</w:t>
      </w:r>
      <w:r w:rsidRPr="00755405">
        <w:t xml:space="preserve"> provides that a document is exempt if its disclosure would found an action for breach of confidence, but not an action by</w:t>
      </w:r>
      <w:r>
        <w:t xml:space="preserve"> an agency (like the Treasury).</w:t>
      </w:r>
    </w:p>
  </w:footnote>
  <w:footnote w:id="39">
    <w:p w:rsidR="00755405" w:rsidRDefault="00755405">
      <w:pPr>
        <w:pStyle w:val="FootnoteText"/>
      </w:pPr>
      <w:r w:rsidRPr="0040675C">
        <w:rPr>
          <w:rStyle w:val="FootnoteReference"/>
        </w:rPr>
        <w:footnoteRef/>
      </w:r>
      <w:r>
        <w:tab/>
        <w:t xml:space="preserve">And it would </w:t>
      </w:r>
      <w:r w:rsidR="00E36F41">
        <w:t>equally</w:t>
      </w:r>
      <w:r>
        <w:t xml:space="preserve"> be </w:t>
      </w:r>
      <w:r w:rsidRPr="00755405">
        <w:t>a factor against giving access to the documents if the documents were</w:t>
      </w:r>
      <w:r>
        <w:t xml:space="preserve"> held by Treasury, and Mr</w:t>
      </w:r>
      <w:r w:rsidR="0040675C">
        <w:t> </w:t>
      </w:r>
      <w:r>
        <w:t>R</w:t>
      </w:r>
      <w:r w:rsidR="00DE3E36">
        <w:t>o</w:t>
      </w:r>
      <w:r>
        <w:t>vere had made his FOI request to Treasury.</w:t>
      </w:r>
    </w:p>
  </w:footnote>
  <w:footnote w:id="40">
    <w:p w:rsidR="002B618B" w:rsidRDefault="002B618B">
      <w:pPr>
        <w:pStyle w:val="FootnoteText"/>
      </w:pPr>
      <w:r w:rsidRPr="0040675C">
        <w:rPr>
          <w:rStyle w:val="FootnoteReference"/>
        </w:rPr>
        <w:footnoteRef/>
      </w:r>
      <w:r>
        <w:tab/>
        <w:t>FOI Guidelines at</w:t>
      </w:r>
      <w:r w:rsidR="0040675C">
        <w:t> </w:t>
      </w:r>
      <w:r>
        <w:t>[5.179].</w:t>
      </w:r>
    </w:p>
  </w:footnote>
  <w:footnote w:id="41">
    <w:p w:rsidR="00760D0E" w:rsidRDefault="00760D0E">
      <w:pPr>
        <w:pStyle w:val="FootnoteText"/>
      </w:pPr>
      <w:r w:rsidRPr="0040675C">
        <w:rPr>
          <w:rStyle w:val="FootnoteReference"/>
        </w:rPr>
        <w:footnoteRef/>
      </w:r>
      <w:r>
        <w:tab/>
        <w:t>See s</w:t>
      </w:r>
      <w:r w:rsidR="0040675C">
        <w:t> </w:t>
      </w:r>
      <w:r w:rsidR="00C86A24">
        <w:t>34.</w:t>
      </w:r>
    </w:p>
  </w:footnote>
  <w:footnote w:id="42">
    <w:p w:rsidR="003A0563" w:rsidRDefault="003A0563" w:rsidP="008C1FED">
      <w:pPr>
        <w:pStyle w:val="FootnoteText"/>
      </w:pPr>
      <w:r w:rsidRPr="0040675C">
        <w:rPr>
          <w:rStyle w:val="FootnoteReference"/>
        </w:rPr>
        <w:footnoteRef/>
      </w:r>
      <w:r>
        <w:tab/>
      </w:r>
      <w:r w:rsidR="005D4175" w:rsidRPr="005D4175">
        <w:t xml:space="preserve">Counsel for the Department referred me to </w:t>
      </w:r>
      <w:r w:rsidRPr="00832186">
        <w:rPr>
          <w:i/>
        </w:rPr>
        <w:t xml:space="preserve">McKinnon and Secretary, Department of </w:t>
      </w:r>
      <w:r w:rsidR="00E95476">
        <w:rPr>
          <w:i/>
        </w:rPr>
        <w:t xml:space="preserve">the </w:t>
      </w:r>
      <w:r w:rsidRPr="00832186">
        <w:rPr>
          <w:i/>
        </w:rPr>
        <w:t>Treasury</w:t>
      </w:r>
      <w:r w:rsidRPr="00832186">
        <w:t xml:space="preserve"> </w:t>
      </w:r>
      <w:r>
        <w:t>(2004) 86</w:t>
      </w:r>
      <w:r w:rsidR="0040675C">
        <w:t> </w:t>
      </w:r>
      <w:r>
        <w:t>ALD</w:t>
      </w:r>
      <w:r w:rsidR="0040675C">
        <w:t> </w:t>
      </w:r>
      <w:r w:rsidRPr="00457692">
        <w:t>138</w:t>
      </w:r>
      <w:r w:rsidR="005D4175">
        <w:t xml:space="preserve">, and to a number of other cases cited there, in which the Tribunal considered claims relating to </w:t>
      </w:r>
      <w:r w:rsidR="005D4175" w:rsidRPr="005D4175">
        <w:t>question time briefs</w:t>
      </w:r>
      <w:r w:rsidR="005D4175">
        <w:t xml:space="preserve"> (</w:t>
      </w:r>
      <w:r>
        <w:t>at</w:t>
      </w:r>
      <w:r w:rsidR="0040675C">
        <w:t> </w:t>
      </w:r>
      <w:r>
        <w:t>[</w:t>
      </w:r>
      <w:r w:rsidR="005D4175">
        <w:t>44</w:t>
      </w:r>
      <w:r>
        <w:t>] per</w:t>
      </w:r>
      <w:r w:rsidR="0040675C">
        <w:t> </w:t>
      </w:r>
      <w:r>
        <w:t>Downes</w:t>
      </w:r>
      <w:r w:rsidR="0040675C">
        <w:t> </w:t>
      </w:r>
      <w:r>
        <w:t>J</w:t>
      </w:r>
      <w:r w:rsidR="005D4175">
        <w:t>)</w:t>
      </w:r>
      <w:r w:rsidR="0040675C">
        <w:t xml:space="preserve">.  </w:t>
      </w:r>
      <w:r w:rsidR="005D4175">
        <w:t>But those cases related to a different public interest test</w:t>
      </w:r>
      <w:r w:rsidR="00DF2296">
        <w:t xml:space="preserve">, </w:t>
      </w:r>
      <w:r w:rsidR="005D4175">
        <w:t>regarding conclusive certificates</w:t>
      </w:r>
      <w:r w:rsidR="0040675C">
        <w:t xml:space="preserve">.  </w:t>
      </w:r>
      <w:r w:rsidR="00C5184B">
        <w:t>Counsel for the Department also referred me to the High Court</w:t>
      </w:r>
      <w:r w:rsidR="0040675C">
        <w:t>’</w:t>
      </w:r>
      <w:r w:rsidR="00C5184B">
        <w:t xml:space="preserve">s decision </w:t>
      </w:r>
      <w:r w:rsidR="00430CC0">
        <w:t xml:space="preserve">in </w:t>
      </w:r>
      <w:r w:rsidRPr="00C00504">
        <w:rPr>
          <w:i/>
        </w:rPr>
        <w:t>McKinnon</w:t>
      </w:r>
      <w:r w:rsidR="0040675C">
        <w:rPr>
          <w:i/>
        </w:rPr>
        <w:t> </w:t>
      </w:r>
      <w:r>
        <w:rPr>
          <w:i/>
        </w:rPr>
        <w:t xml:space="preserve">v </w:t>
      </w:r>
      <w:r w:rsidRPr="00C00504">
        <w:rPr>
          <w:i/>
        </w:rPr>
        <w:t>Secretary, Department of the Treasury</w:t>
      </w:r>
      <w:r>
        <w:t xml:space="preserve"> (2006) 228</w:t>
      </w:r>
      <w:r w:rsidR="0040675C">
        <w:t> </w:t>
      </w:r>
      <w:r>
        <w:t>CLR</w:t>
      </w:r>
      <w:r w:rsidR="0040675C">
        <w:t> </w:t>
      </w:r>
      <w:r w:rsidRPr="00373EEF">
        <w:t>423</w:t>
      </w:r>
      <w:r w:rsidR="0040675C">
        <w:t xml:space="preserve">.  </w:t>
      </w:r>
      <w:r>
        <w:t xml:space="preserve">Two of the judges in the majority </w:t>
      </w:r>
      <w:r w:rsidR="008C1FED">
        <w:t xml:space="preserve">referred to as </w:t>
      </w:r>
      <w:r w:rsidR="0040675C">
        <w:t>“</w:t>
      </w:r>
      <w:r w:rsidR="008C1FED">
        <w:t>reasonable</w:t>
      </w:r>
      <w:r w:rsidR="0040675C">
        <w:t>”</w:t>
      </w:r>
      <w:r w:rsidR="008C1FED">
        <w:t xml:space="preserve"> the argument that </w:t>
      </w:r>
      <w:r w:rsidR="0040675C">
        <w:t>“</w:t>
      </w:r>
      <w:r w:rsidR="008C1FED">
        <w:t>such documents as are prepared for possible responses to questions in Parliament should remain confidential because their exposure would threaten the Westminster system of government</w:t>
      </w:r>
      <w:r w:rsidR="0040675C">
        <w:t>”</w:t>
      </w:r>
      <w:r>
        <w:t xml:space="preserve"> (at</w:t>
      </w:r>
      <w:r w:rsidR="0040675C">
        <w:t> </w:t>
      </w:r>
      <w:r>
        <w:t>[</w:t>
      </w:r>
      <w:r w:rsidR="008C1FED">
        <w:t>125</w:t>
      </w:r>
      <w:r>
        <w:t>] per Callinan and Heydon</w:t>
      </w:r>
      <w:r w:rsidR="0040675C">
        <w:t> </w:t>
      </w:r>
      <w:r w:rsidRPr="00C24F90">
        <w:t>JJ</w:t>
      </w:r>
      <w:r>
        <w:t>)</w:t>
      </w:r>
      <w:r w:rsidR="0040675C">
        <w:t xml:space="preserve">.  </w:t>
      </w:r>
      <w:r w:rsidR="008C1FED">
        <w:t>However,</w:t>
      </w:r>
      <w:r>
        <w:t xml:space="preserve"> th</w:t>
      </w:r>
      <w:r w:rsidR="008C1FED">
        <w:t>at</w:t>
      </w:r>
      <w:r>
        <w:t xml:space="preserve"> appeal was decided on different grounds</w:t>
      </w:r>
      <w:r w:rsidR="008C1FED">
        <w:t xml:space="preserve"> (see note</w:t>
      </w:r>
      <w:r w:rsidR="0040675C">
        <w:t> </w:t>
      </w:r>
      <w:r w:rsidR="008C1FED">
        <w:fldChar w:fldCharType="begin"/>
      </w:r>
      <w:r w:rsidR="008C1FED">
        <w:instrText xml:space="preserve"> NOTEREF _Ref422498799 \h </w:instrText>
      </w:r>
      <w:r w:rsidR="008C1FED">
        <w:fldChar w:fldCharType="separate"/>
      </w:r>
      <w:r w:rsidR="007D7687">
        <w:t>32</w:t>
      </w:r>
      <w:r w:rsidR="008C1FED">
        <w:fldChar w:fldCharType="end"/>
      </w:r>
      <w:r w:rsidR="008C1FED">
        <w:t xml:space="preserve"> above)</w:t>
      </w:r>
      <w:r w:rsidR="0040675C">
        <w:t xml:space="preserve">.  </w:t>
      </w:r>
      <w:r w:rsidR="002D76D0">
        <w:t xml:space="preserve">And all of these cases were decided before the </w:t>
      </w:r>
      <w:r w:rsidR="0040675C">
        <w:t>FOI Act</w:t>
      </w:r>
      <w:r w:rsidR="002D76D0">
        <w:t xml:space="preserve"> was amended in 2010, and the public interest test was weighted towards disclosure (see</w:t>
      </w:r>
      <w:r w:rsidR="0040675C">
        <w:t> </w:t>
      </w:r>
      <w:r w:rsidR="002D76D0">
        <w:t>[</w:t>
      </w:r>
      <w:r w:rsidR="002D76D0">
        <w:fldChar w:fldCharType="begin"/>
      </w:r>
      <w:r w:rsidR="002D76D0">
        <w:instrText xml:space="preserve"> REF _Ref422499624 \r \h </w:instrText>
      </w:r>
      <w:r w:rsidR="002D76D0">
        <w:fldChar w:fldCharType="separate"/>
      </w:r>
      <w:r w:rsidR="00586FD9">
        <w:t>34</w:t>
      </w:r>
      <w:r w:rsidR="002D76D0">
        <w:fldChar w:fldCharType="end"/>
      </w:r>
      <w:r w:rsidR="002D76D0">
        <w:t>] above).</w:t>
      </w:r>
    </w:p>
  </w:footnote>
  <w:footnote w:id="43">
    <w:p w:rsidR="004131B1" w:rsidRDefault="004131B1">
      <w:pPr>
        <w:pStyle w:val="FootnoteText"/>
      </w:pPr>
      <w:r w:rsidRPr="0040675C">
        <w:rPr>
          <w:rStyle w:val="FootnoteReference"/>
        </w:rPr>
        <w:footnoteRef/>
      </w:r>
      <w:r>
        <w:tab/>
        <w:t>FOI Guidelines at</w:t>
      </w:r>
      <w:r w:rsidR="0040675C">
        <w:t> </w:t>
      </w:r>
      <w:r>
        <w:t>[6.32].</w:t>
      </w:r>
    </w:p>
  </w:footnote>
  <w:footnote w:id="44">
    <w:p w:rsidR="001521BB" w:rsidRDefault="001521BB">
      <w:pPr>
        <w:pStyle w:val="FootnoteText"/>
      </w:pPr>
      <w:r w:rsidRPr="0040675C">
        <w:rPr>
          <w:rStyle w:val="FootnoteReference"/>
        </w:rPr>
        <w:footnoteRef/>
      </w:r>
      <w:r>
        <w:tab/>
        <w:t>See</w:t>
      </w:r>
      <w:r w:rsidR="0040675C">
        <w:t> </w:t>
      </w:r>
      <w:r>
        <w:t>[</w:t>
      </w:r>
      <w:r>
        <w:fldChar w:fldCharType="begin"/>
      </w:r>
      <w:r>
        <w:instrText xml:space="preserve"> REF _Ref422407809 \r \h </w:instrText>
      </w:r>
      <w:r>
        <w:fldChar w:fldCharType="separate"/>
      </w:r>
      <w:r w:rsidR="00586FD9">
        <w:t>47</w:t>
      </w:r>
      <w:r>
        <w:fldChar w:fldCharType="end"/>
      </w:r>
      <w:r>
        <w:t>] and</w:t>
      </w:r>
      <w:r w:rsidR="0040675C">
        <w:t> </w:t>
      </w:r>
      <w:r>
        <w:t>[</w:t>
      </w:r>
      <w:r>
        <w:fldChar w:fldCharType="begin"/>
      </w:r>
      <w:r>
        <w:instrText xml:space="preserve"> REF _Ref422574352 \r \h </w:instrText>
      </w:r>
      <w:r>
        <w:fldChar w:fldCharType="separate"/>
      </w:r>
      <w:r w:rsidR="00586FD9">
        <w:t>56</w:t>
      </w:r>
      <w:r>
        <w:fldChar w:fldCharType="end"/>
      </w:r>
      <w:r>
        <w:t>] above.</w:t>
      </w:r>
    </w:p>
  </w:footnote>
  <w:footnote w:id="45">
    <w:p w:rsidR="00D1271C" w:rsidRDefault="00D1271C">
      <w:pPr>
        <w:pStyle w:val="FootnoteText"/>
      </w:pPr>
      <w:r w:rsidRPr="0040675C">
        <w:rPr>
          <w:rStyle w:val="FootnoteReference"/>
        </w:rPr>
        <w:footnoteRef/>
      </w:r>
      <w:r>
        <w:tab/>
        <w:t>See [</w:t>
      </w:r>
      <w:r>
        <w:fldChar w:fldCharType="begin"/>
      </w:r>
      <w:r>
        <w:instrText xml:space="preserve"> REF _Ref422574919 \r \h </w:instrText>
      </w:r>
      <w:r>
        <w:fldChar w:fldCharType="separate"/>
      </w:r>
      <w:r w:rsidR="00586FD9">
        <w:t>35</w:t>
      </w:r>
      <w:r>
        <w:fldChar w:fldCharType="end"/>
      </w:r>
      <w:r>
        <w:t>]–[</w:t>
      </w:r>
      <w:r>
        <w:fldChar w:fldCharType="begin"/>
      </w:r>
      <w:r>
        <w:instrText xml:space="preserve"> REF _Ref422574926 \r \h </w:instrText>
      </w:r>
      <w:r>
        <w:fldChar w:fldCharType="separate"/>
      </w:r>
      <w:r w:rsidR="00586FD9">
        <w:t>40</w:t>
      </w:r>
      <w:r>
        <w:fldChar w:fldCharType="end"/>
      </w:r>
      <w:r>
        <w:t>]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6A" w:rsidRDefault="00F3256A">
    <w:pPr>
      <w:framePr w:wrap="around" w:vAnchor="text" w:hAnchor="margin" w:xAlign="center" w:y="1"/>
      <w:numPr>
        <w:ilvl w:val="12"/>
        <w:numId w:val="0"/>
      </w:numPr>
      <w:ind w:hanging="851"/>
    </w:pPr>
    <w:r>
      <w:fldChar w:fldCharType="begin"/>
    </w:r>
    <w:r>
      <w:instrText xml:space="preserve">PAGE  </w:instrText>
    </w:r>
    <w:r>
      <w:fldChar w:fldCharType="end"/>
    </w:r>
  </w:p>
  <w:p w:rsidR="00F3256A" w:rsidRDefault="00F3256A">
    <w:pPr>
      <w:numPr>
        <w:ilvl w:val="12"/>
        <w:numId w:val="0"/>
      </w:numPr>
      <w:ind w:hanging="851"/>
    </w:pPr>
  </w:p>
  <w:p w:rsidR="00F3256A" w:rsidRDefault="00F325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F3256A" w:rsidTr="00DD17FC">
      <w:trPr>
        <w:trHeight w:hRule="exact" w:val="1361"/>
      </w:trPr>
      <w:tc>
        <w:tcPr>
          <w:tcW w:w="6634" w:type="dxa"/>
          <w:vAlign w:val="bottom"/>
        </w:tcPr>
        <w:p w:rsidR="00F3256A" w:rsidRDefault="00F3256A">
          <w:pPr>
            <w:numPr>
              <w:ilvl w:val="12"/>
              <w:numId w:val="0"/>
            </w:numPr>
          </w:pPr>
          <w:r>
            <w:rPr>
              <w:noProof/>
            </w:rPr>
            <w:drawing>
              <wp:inline distT="0" distB="0" distL="0" distR="0" wp14:anchorId="51859D2C" wp14:editId="0DEB7595">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F3256A" w:rsidRDefault="00F3256A" w:rsidP="005976AB">
          <w:pPr>
            <w:numPr>
              <w:ilvl w:val="12"/>
              <w:numId w:val="0"/>
            </w:numPr>
            <w:jc w:val="right"/>
          </w:pPr>
          <w:r>
            <w:rPr>
              <w:noProof/>
            </w:rPr>
            <w:drawing>
              <wp:inline distT="0" distB="0" distL="0" distR="0" wp14:anchorId="1D0A8B61" wp14:editId="3891CF32">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F3256A" w:rsidRDefault="00F3256A"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326E5843"/>
    <w:multiLevelType w:val="hybridMultilevel"/>
    <w:tmpl w:val="821010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62B17D72"/>
    <w:multiLevelType w:val="hybridMultilevel"/>
    <w:tmpl w:val="C346E9DE"/>
    <w:lvl w:ilvl="0" w:tplc="FFF85B3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641E12EB"/>
    <w:multiLevelType w:val="multilevel"/>
    <w:tmpl w:val="2160D004"/>
    <w:numStyleLink w:val="Bullets"/>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3"/>
  </w:num>
  <w:num w:numId="6">
    <w:abstractNumId w:val="1"/>
  </w:num>
  <w:num w:numId="7">
    <w:abstractNumId w:val="5"/>
  </w:num>
  <w:num w:numId="8">
    <w:abstractNumId w:val="6"/>
  </w:num>
  <w:num w:numId="9">
    <w:abstractNumId w:val="8"/>
  </w:num>
  <w:num w:numId="10">
    <w:abstractNumId w:val="8"/>
  </w:num>
  <w:num w:numId="11">
    <w:abstractNumId w:val="0"/>
  </w:num>
  <w:num w:numId="12">
    <w:abstractNumId w:val="0"/>
  </w:num>
  <w:num w:numId="13">
    <w:abstractNumId w:val="0"/>
  </w:num>
  <w:num w:numId="14">
    <w:abstractNumId w:val="0"/>
  </w:num>
  <w:num w:numId="15">
    <w:abstractNumId w:val="2"/>
  </w:num>
  <w:num w:numId="16">
    <w:abstractNumId w:val="2"/>
  </w:num>
  <w:num w:numId="17">
    <w:abstractNumId w:val="2"/>
  </w:num>
  <w:num w:numId="18">
    <w:abstractNumId w:val="3"/>
  </w:num>
  <w:num w:numId="19">
    <w:abstractNumId w:val="1"/>
  </w:num>
  <w:num w:numId="20">
    <w:abstractNumId w:val="5"/>
  </w:num>
  <w:num w:numId="21">
    <w:abstractNumId w:val="4"/>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B15A8A"/>
    <w:rsid w:val="00000438"/>
    <w:rsid w:val="00000788"/>
    <w:rsid w:val="000009B5"/>
    <w:rsid w:val="000011F5"/>
    <w:rsid w:val="00001E48"/>
    <w:rsid w:val="00004028"/>
    <w:rsid w:val="00004782"/>
    <w:rsid w:val="00004916"/>
    <w:rsid w:val="00004FFD"/>
    <w:rsid w:val="00005D43"/>
    <w:rsid w:val="0000756A"/>
    <w:rsid w:val="00010D8F"/>
    <w:rsid w:val="000114A4"/>
    <w:rsid w:val="00011C47"/>
    <w:rsid w:val="0001309B"/>
    <w:rsid w:val="00016E32"/>
    <w:rsid w:val="000176A5"/>
    <w:rsid w:val="00020FCA"/>
    <w:rsid w:val="00022CF0"/>
    <w:rsid w:val="00023411"/>
    <w:rsid w:val="000237AD"/>
    <w:rsid w:val="00024EF9"/>
    <w:rsid w:val="00025EC9"/>
    <w:rsid w:val="00026072"/>
    <w:rsid w:val="00026A57"/>
    <w:rsid w:val="00030D40"/>
    <w:rsid w:val="00030E12"/>
    <w:rsid w:val="000313EC"/>
    <w:rsid w:val="00031AEF"/>
    <w:rsid w:val="00031D09"/>
    <w:rsid w:val="00034645"/>
    <w:rsid w:val="00034A87"/>
    <w:rsid w:val="00034AD4"/>
    <w:rsid w:val="00035D7F"/>
    <w:rsid w:val="0003647F"/>
    <w:rsid w:val="00036C03"/>
    <w:rsid w:val="00037306"/>
    <w:rsid w:val="00040997"/>
    <w:rsid w:val="00040E4C"/>
    <w:rsid w:val="00041993"/>
    <w:rsid w:val="00041DE0"/>
    <w:rsid w:val="0004361E"/>
    <w:rsid w:val="0004392B"/>
    <w:rsid w:val="000455F5"/>
    <w:rsid w:val="00047835"/>
    <w:rsid w:val="00047FE6"/>
    <w:rsid w:val="00051969"/>
    <w:rsid w:val="00052081"/>
    <w:rsid w:val="000533BE"/>
    <w:rsid w:val="00054765"/>
    <w:rsid w:val="00055406"/>
    <w:rsid w:val="0005765E"/>
    <w:rsid w:val="00064067"/>
    <w:rsid w:val="00065922"/>
    <w:rsid w:val="000668B6"/>
    <w:rsid w:val="00066A89"/>
    <w:rsid w:val="00072703"/>
    <w:rsid w:val="000737F4"/>
    <w:rsid w:val="00074057"/>
    <w:rsid w:val="0007633A"/>
    <w:rsid w:val="00076AE1"/>
    <w:rsid w:val="00077D8F"/>
    <w:rsid w:val="00077E34"/>
    <w:rsid w:val="0008091F"/>
    <w:rsid w:val="00081D36"/>
    <w:rsid w:val="00082425"/>
    <w:rsid w:val="000824FF"/>
    <w:rsid w:val="000852E6"/>
    <w:rsid w:val="00085D7D"/>
    <w:rsid w:val="00085FD4"/>
    <w:rsid w:val="0008639E"/>
    <w:rsid w:val="00086AFC"/>
    <w:rsid w:val="000903C8"/>
    <w:rsid w:val="0009045E"/>
    <w:rsid w:val="000907E6"/>
    <w:rsid w:val="0009097C"/>
    <w:rsid w:val="00091A7F"/>
    <w:rsid w:val="00091D24"/>
    <w:rsid w:val="0009249D"/>
    <w:rsid w:val="0009405F"/>
    <w:rsid w:val="00096477"/>
    <w:rsid w:val="00096AE6"/>
    <w:rsid w:val="00096D6C"/>
    <w:rsid w:val="00097641"/>
    <w:rsid w:val="00097818"/>
    <w:rsid w:val="000A058C"/>
    <w:rsid w:val="000A0C8C"/>
    <w:rsid w:val="000A1172"/>
    <w:rsid w:val="000A13BB"/>
    <w:rsid w:val="000A250C"/>
    <w:rsid w:val="000A2C43"/>
    <w:rsid w:val="000A3B7B"/>
    <w:rsid w:val="000A3F07"/>
    <w:rsid w:val="000A40FB"/>
    <w:rsid w:val="000A575B"/>
    <w:rsid w:val="000A6277"/>
    <w:rsid w:val="000A6CEA"/>
    <w:rsid w:val="000A729F"/>
    <w:rsid w:val="000B05AB"/>
    <w:rsid w:val="000B08F7"/>
    <w:rsid w:val="000B2236"/>
    <w:rsid w:val="000B3550"/>
    <w:rsid w:val="000B3AAB"/>
    <w:rsid w:val="000B41C7"/>
    <w:rsid w:val="000B799C"/>
    <w:rsid w:val="000B7E7F"/>
    <w:rsid w:val="000C0421"/>
    <w:rsid w:val="000C0697"/>
    <w:rsid w:val="000C200E"/>
    <w:rsid w:val="000C396D"/>
    <w:rsid w:val="000C4415"/>
    <w:rsid w:val="000C716A"/>
    <w:rsid w:val="000C7871"/>
    <w:rsid w:val="000D0707"/>
    <w:rsid w:val="000D1F26"/>
    <w:rsid w:val="000D295D"/>
    <w:rsid w:val="000D2D8D"/>
    <w:rsid w:val="000D2E40"/>
    <w:rsid w:val="000D3DBF"/>
    <w:rsid w:val="000D5774"/>
    <w:rsid w:val="000E0770"/>
    <w:rsid w:val="000E1062"/>
    <w:rsid w:val="000E14C4"/>
    <w:rsid w:val="000E1DF5"/>
    <w:rsid w:val="000E35BC"/>
    <w:rsid w:val="000E36D9"/>
    <w:rsid w:val="000E3B5A"/>
    <w:rsid w:val="000E4089"/>
    <w:rsid w:val="000E5FB6"/>
    <w:rsid w:val="000E77E4"/>
    <w:rsid w:val="000F18F4"/>
    <w:rsid w:val="000F2168"/>
    <w:rsid w:val="000F222A"/>
    <w:rsid w:val="000F6FDF"/>
    <w:rsid w:val="000F7EF7"/>
    <w:rsid w:val="00101896"/>
    <w:rsid w:val="0010204D"/>
    <w:rsid w:val="00103419"/>
    <w:rsid w:val="0010450A"/>
    <w:rsid w:val="00105C70"/>
    <w:rsid w:val="001064ED"/>
    <w:rsid w:val="00106DD2"/>
    <w:rsid w:val="001074EB"/>
    <w:rsid w:val="00110384"/>
    <w:rsid w:val="00110450"/>
    <w:rsid w:val="00110C0F"/>
    <w:rsid w:val="00111E52"/>
    <w:rsid w:val="00111F84"/>
    <w:rsid w:val="00112A34"/>
    <w:rsid w:val="00112B97"/>
    <w:rsid w:val="001131C2"/>
    <w:rsid w:val="00114BD8"/>
    <w:rsid w:val="00115AEC"/>
    <w:rsid w:val="0011681C"/>
    <w:rsid w:val="00117165"/>
    <w:rsid w:val="00117552"/>
    <w:rsid w:val="00117D8F"/>
    <w:rsid w:val="0012021D"/>
    <w:rsid w:val="001209DA"/>
    <w:rsid w:val="001213C4"/>
    <w:rsid w:val="001216D2"/>
    <w:rsid w:val="00122092"/>
    <w:rsid w:val="001220FF"/>
    <w:rsid w:val="001228A5"/>
    <w:rsid w:val="00122EFA"/>
    <w:rsid w:val="0012680F"/>
    <w:rsid w:val="0013307E"/>
    <w:rsid w:val="00135AF5"/>
    <w:rsid w:val="0014058C"/>
    <w:rsid w:val="00140EF0"/>
    <w:rsid w:val="0014121D"/>
    <w:rsid w:val="00141907"/>
    <w:rsid w:val="00141A2B"/>
    <w:rsid w:val="00141BB5"/>
    <w:rsid w:val="001435EF"/>
    <w:rsid w:val="00143874"/>
    <w:rsid w:val="00144132"/>
    <w:rsid w:val="00145EA9"/>
    <w:rsid w:val="001461ED"/>
    <w:rsid w:val="0014665F"/>
    <w:rsid w:val="001466C7"/>
    <w:rsid w:val="00146DE6"/>
    <w:rsid w:val="001521BB"/>
    <w:rsid w:val="00152EB0"/>
    <w:rsid w:val="00153EFF"/>
    <w:rsid w:val="00154A5C"/>
    <w:rsid w:val="00155013"/>
    <w:rsid w:val="00156035"/>
    <w:rsid w:val="001579E9"/>
    <w:rsid w:val="00161B81"/>
    <w:rsid w:val="001623BA"/>
    <w:rsid w:val="001625D8"/>
    <w:rsid w:val="0016425D"/>
    <w:rsid w:val="00164316"/>
    <w:rsid w:val="00164E58"/>
    <w:rsid w:val="00165E0C"/>
    <w:rsid w:val="0016773D"/>
    <w:rsid w:val="00170921"/>
    <w:rsid w:val="00170BEE"/>
    <w:rsid w:val="00172113"/>
    <w:rsid w:val="00174681"/>
    <w:rsid w:val="00174965"/>
    <w:rsid w:val="00175717"/>
    <w:rsid w:val="001761FE"/>
    <w:rsid w:val="0017687E"/>
    <w:rsid w:val="00177ECF"/>
    <w:rsid w:val="001803FE"/>
    <w:rsid w:val="00180626"/>
    <w:rsid w:val="00181AD5"/>
    <w:rsid w:val="00183666"/>
    <w:rsid w:val="00184346"/>
    <w:rsid w:val="001851A9"/>
    <w:rsid w:val="00185304"/>
    <w:rsid w:val="0018598D"/>
    <w:rsid w:val="00187636"/>
    <w:rsid w:val="00187ABE"/>
    <w:rsid w:val="001938A5"/>
    <w:rsid w:val="00194DBB"/>
    <w:rsid w:val="00194F36"/>
    <w:rsid w:val="00196423"/>
    <w:rsid w:val="001964E7"/>
    <w:rsid w:val="00196FEA"/>
    <w:rsid w:val="001976B5"/>
    <w:rsid w:val="00197BFF"/>
    <w:rsid w:val="00197DA6"/>
    <w:rsid w:val="001A0C3C"/>
    <w:rsid w:val="001A2C68"/>
    <w:rsid w:val="001A3530"/>
    <w:rsid w:val="001A364D"/>
    <w:rsid w:val="001A364E"/>
    <w:rsid w:val="001A37DD"/>
    <w:rsid w:val="001A4085"/>
    <w:rsid w:val="001A4617"/>
    <w:rsid w:val="001A60AD"/>
    <w:rsid w:val="001B2B21"/>
    <w:rsid w:val="001B2B9F"/>
    <w:rsid w:val="001B2F2D"/>
    <w:rsid w:val="001B724F"/>
    <w:rsid w:val="001B72DE"/>
    <w:rsid w:val="001B7953"/>
    <w:rsid w:val="001C1058"/>
    <w:rsid w:val="001C4B59"/>
    <w:rsid w:val="001C59B1"/>
    <w:rsid w:val="001C6D19"/>
    <w:rsid w:val="001D0804"/>
    <w:rsid w:val="001D531C"/>
    <w:rsid w:val="001D5528"/>
    <w:rsid w:val="001D5B26"/>
    <w:rsid w:val="001D661E"/>
    <w:rsid w:val="001D734A"/>
    <w:rsid w:val="001E0794"/>
    <w:rsid w:val="001E1D6F"/>
    <w:rsid w:val="001E1E9E"/>
    <w:rsid w:val="001E237C"/>
    <w:rsid w:val="001E3176"/>
    <w:rsid w:val="001E3467"/>
    <w:rsid w:val="001E3F11"/>
    <w:rsid w:val="001E46DE"/>
    <w:rsid w:val="001E4799"/>
    <w:rsid w:val="001E722B"/>
    <w:rsid w:val="001F058C"/>
    <w:rsid w:val="001F2404"/>
    <w:rsid w:val="001F2C5D"/>
    <w:rsid w:val="001F3698"/>
    <w:rsid w:val="001F4DB6"/>
    <w:rsid w:val="001F5B29"/>
    <w:rsid w:val="001F5C9B"/>
    <w:rsid w:val="001F700F"/>
    <w:rsid w:val="001F708A"/>
    <w:rsid w:val="001F711F"/>
    <w:rsid w:val="00200058"/>
    <w:rsid w:val="00200390"/>
    <w:rsid w:val="00201958"/>
    <w:rsid w:val="0020267F"/>
    <w:rsid w:val="0020287E"/>
    <w:rsid w:val="00202BDD"/>
    <w:rsid w:val="00202BFD"/>
    <w:rsid w:val="002037A0"/>
    <w:rsid w:val="002037D9"/>
    <w:rsid w:val="00203F58"/>
    <w:rsid w:val="002044E0"/>
    <w:rsid w:val="00205FC6"/>
    <w:rsid w:val="002062DB"/>
    <w:rsid w:val="002073D8"/>
    <w:rsid w:val="00207468"/>
    <w:rsid w:val="0020766B"/>
    <w:rsid w:val="00207F38"/>
    <w:rsid w:val="002101C7"/>
    <w:rsid w:val="00210326"/>
    <w:rsid w:val="00210A2E"/>
    <w:rsid w:val="00210AAD"/>
    <w:rsid w:val="0021136A"/>
    <w:rsid w:val="00211543"/>
    <w:rsid w:val="002128DA"/>
    <w:rsid w:val="002135E8"/>
    <w:rsid w:val="002137DF"/>
    <w:rsid w:val="00213896"/>
    <w:rsid w:val="00213D04"/>
    <w:rsid w:val="002146A9"/>
    <w:rsid w:val="00215386"/>
    <w:rsid w:val="00215BDF"/>
    <w:rsid w:val="00215E98"/>
    <w:rsid w:val="002176B6"/>
    <w:rsid w:val="00217DAA"/>
    <w:rsid w:val="002216BD"/>
    <w:rsid w:val="002257E6"/>
    <w:rsid w:val="002257FA"/>
    <w:rsid w:val="002260F4"/>
    <w:rsid w:val="002265C5"/>
    <w:rsid w:val="002276C4"/>
    <w:rsid w:val="00230141"/>
    <w:rsid w:val="0023476C"/>
    <w:rsid w:val="00235B21"/>
    <w:rsid w:val="00237992"/>
    <w:rsid w:val="00237EEE"/>
    <w:rsid w:val="0024039E"/>
    <w:rsid w:val="00241CF5"/>
    <w:rsid w:val="00242AEC"/>
    <w:rsid w:val="0024317A"/>
    <w:rsid w:val="00244016"/>
    <w:rsid w:val="00244305"/>
    <w:rsid w:val="0024473D"/>
    <w:rsid w:val="00244B03"/>
    <w:rsid w:val="0024549E"/>
    <w:rsid w:val="0025041E"/>
    <w:rsid w:val="00252A64"/>
    <w:rsid w:val="00253104"/>
    <w:rsid w:val="00256580"/>
    <w:rsid w:val="00256FC5"/>
    <w:rsid w:val="002607D3"/>
    <w:rsid w:val="0026242F"/>
    <w:rsid w:val="0026414E"/>
    <w:rsid w:val="00264A1D"/>
    <w:rsid w:val="00265F6C"/>
    <w:rsid w:val="002666B3"/>
    <w:rsid w:val="002675A5"/>
    <w:rsid w:val="002707D6"/>
    <w:rsid w:val="00271135"/>
    <w:rsid w:val="002735B9"/>
    <w:rsid w:val="00273792"/>
    <w:rsid w:val="00273B5A"/>
    <w:rsid w:val="0027496E"/>
    <w:rsid w:val="00275347"/>
    <w:rsid w:val="002754F8"/>
    <w:rsid w:val="00275DA2"/>
    <w:rsid w:val="00275E2F"/>
    <w:rsid w:val="0027783A"/>
    <w:rsid w:val="00280022"/>
    <w:rsid w:val="002801D9"/>
    <w:rsid w:val="00280C9F"/>
    <w:rsid w:val="00280F2B"/>
    <w:rsid w:val="0028270F"/>
    <w:rsid w:val="002839BF"/>
    <w:rsid w:val="00283F97"/>
    <w:rsid w:val="00284BD3"/>
    <w:rsid w:val="00287811"/>
    <w:rsid w:val="00287FE0"/>
    <w:rsid w:val="002932D7"/>
    <w:rsid w:val="002944AA"/>
    <w:rsid w:val="0029482B"/>
    <w:rsid w:val="00294B94"/>
    <w:rsid w:val="00294F68"/>
    <w:rsid w:val="002954D6"/>
    <w:rsid w:val="00295944"/>
    <w:rsid w:val="00295ACC"/>
    <w:rsid w:val="00297BAC"/>
    <w:rsid w:val="00297EA1"/>
    <w:rsid w:val="002A221B"/>
    <w:rsid w:val="002A40EA"/>
    <w:rsid w:val="002A5BD8"/>
    <w:rsid w:val="002A6D3A"/>
    <w:rsid w:val="002B1002"/>
    <w:rsid w:val="002B1FF3"/>
    <w:rsid w:val="002B2F56"/>
    <w:rsid w:val="002B4BED"/>
    <w:rsid w:val="002B4F02"/>
    <w:rsid w:val="002B52FA"/>
    <w:rsid w:val="002B54C6"/>
    <w:rsid w:val="002B618B"/>
    <w:rsid w:val="002B69EA"/>
    <w:rsid w:val="002B76FE"/>
    <w:rsid w:val="002C009A"/>
    <w:rsid w:val="002C1516"/>
    <w:rsid w:val="002C1D28"/>
    <w:rsid w:val="002C2118"/>
    <w:rsid w:val="002C605B"/>
    <w:rsid w:val="002C747A"/>
    <w:rsid w:val="002C7E16"/>
    <w:rsid w:val="002C7F32"/>
    <w:rsid w:val="002D0C52"/>
    <w:rsid w:val="002D3429"/>
    <w:rsid w:val="002D64EE"/>
    <w:rsid w:val="002D7678"/>
    <w:rsid w:val="002D76D0"/>
    <w:rsid w:val="002D7F26"/>
    <w:rsid w:val="002E1458"/>
    <w:rsid w:val="002E14B6"/>
    <w:rsid w:val="002E1AFD"/>
    <w:rsid w:val="002E2290"/>
    <w:rsid w:val="002E599F"/>
    <w:rsid w:val="002E6962"/>
    <w:rsid w:val="002E731C"/>
    <w:rsid w:val="002E7FBA"/>
    <w:rsid w:val="002F0BE2"/>
    <w:rsid w:val="002F0D19"/>
    <w:rsid w:val="002F0F50"/>
    <w:rsid w:val="002F2C76"/>
    <w:rsid w:val="002F3DDF"/>
    <w:rsid w:val="002F6956"/>
    <w:rsid w:val="002F7E7B"/>
    <w:rsid w:val="00301154"/>
    <w:rsid w:val="0030226A"/>
    <w:rsid w:val="00303462"/>
    <w:rsid w:val="00303B00"/>
    <w:rsid w:val="00304A83"/>
    <w:rsid w:val="00305792"/>
    <w:rsid w:val="003058C9"/>
    <w:rsid w:val="00305C22"/>
    <w:rsid w:val="003070FA"/>
    <w:rsid w:val="00307197"/>
    <w:rsid w:val="00307689"/>
    <w:rsid w:val="00307D2C"/>
    <w:rsid w:val="00307FA8"/>
    <w:rsid w:val="00311B5C"/>
    <w:rsid w:val="003152B2"/>
    <w:rsid w:val="003217FF"/>
    <w:rsid w:val="00321BC4"/>
    <w:rsid w:val="00322493"/>
    <w:rsid w:val="003234B6"/>
    <w:rsid w:val="00323B7B"/>
    <w:rsid w:val="00325D17"/>
    <w:rsid w:val="00325EC3"/>
    <w:rsid w:val="00326405"/>
    <w:rsid w:val="0032657E"/>
    <w:rsid w:val="00326EA5"/>
    <w:rsid w:val="00331390"/>
    <w:rsid w:val="00332F8C"/>
    <w:rsid w:val="00333F86"/>
    <w:rsid w:val="003345C3"/>
    <w:rsid w:val="00336C16"/>
    <w:rsid w:val="00337D2A"/>
    <w:rsid w:val="00340652"/>
    <w:rsid w:val="00340A9E"/>
    <w:rsid w:val="0034191E"/>
    <w:rsid w:val="00342BEC"/>
    <w:rsid w:val="003430ED"/>
    <w:rsid w:val="00343163"/>
    <w:rsid w:val="00343239"/>
    <w:rsid w:val="003436FA"/>
    <w:rsid w:val="00350976"/>
    <w:rsid w:val="00351966"/>
    <w:rsid w:val="00352348"/>
    <w:rsid w:val="00352381"/>
    <w:rsid w:val="003529E7"/>
    <w:rsid w:val="003530AA"/>
    <w:rsid w:val="003551DE"/>
    <w:rsid w:val="003579F7"/>
    <w:rsid w:val="00357F88"/>
    <w:rsid w:val="00360605"/>
    <w:rsid w:val="00362220"/>
    <w:rsid w:val="00363ED7"/>
    <w:rsid w:val="00364844"/>
    <w:rsid w:val="003658D3"/>
    <w:rsid w:val="00366011"/>
    <w:rsid w:val="003664CD"/>
    <w:rsid w:val="00366A0D"/>
    <w:rsid w:val="00370A5E"/>
    <w:rsid w:val="003739F4"/>
    <w:rsid w:val="00373EEF"/>
    <w:rsid w:val="003745E7"/>
    <w:rsid w:val="00380425"/>
    <w:rsid w:val="00382E91"/>
    <w:rsid w:val="003831CC"/>
    <w:rsid w:val="003839AD"/>
    <w:rsid w:val="00384AC4"/>
    <w:rsid w:val="003854E1"/>
    <w:rsid w:val="00386332"/>
    <w:rsid w:val="003868D3"/>
    <w:rsid w:val="00386D29"/>
    <w:rsid w:val="00391759"/>
    <w:rsid w:val="00391A9B"/>
    <w:rsid w:val="00392FA7"/>
    <w:rsid w:val="0039496C"/>
    <w:rsid w:val="00394A18"/>
    <w:rsid w:val="00395365"/>
    <w:rsid w:val="00395B38"/>
    <w:rsid w:val="00397AC3"/>
    <w:rsid w:val="003A0563"/>
    <w:rsid w:val="003A26BB"/>
    <w:rsid w:val="003A5522"/>
    <w:rsid w:val="003B1EBA"/>
    <w:rsid w:val="003B1EFC"/>
    <w:rsid w:val="003B523B"/>
    <w:rsid w:val="003B6380"/>
    <w:rsid w:val="003B6DAC"/>
    <w:rsid w:val="003B711D"/>
    <w:rsid w:val="003B74C5"/>
    <w:rsid w:val="003B76FE"/>
    <w:rsid w:val="003B7767"/>
    <w:rsid w:val="003B784B"/>
    <w:rsid w:val="003C12DE"/>
    <w:rsid w:val="003C3A2F"/>
    <w:rsid w:val="003C5DEE"/>
    <w:rsid w:val="003C6C6D"/>
    <w:rsid w:val="003C71A6"/>
    <w:rsid w:val="003C75D6"/>
    <w:rsid w:val="003D2450"/>
    <w:rsid w:val="003D32C5"/>
    <w:rsid w:val="003D4BB1"/>
    <w:rsid w:val="003D5D1B"/>
    <w:rsid w:val="003D6764"/>
    <w:rsid w:val="003D70F2"/>
    <w:rsid w:val="003D7B6A"/>
    <w:rsid w:val="003D7F74"/>
    <w:rsid w:val="003E1FE6"/>
    <w:rsid w:val="003E261A"/>
    <w:rsid w:val="003E363D"/>
    <w:rsid w:val="003E45BA"/>
    <w:rsid w:val="003E5173"/>
    <w:rsid w:val="003E5E87"/>
    <w:rsid w:val="003E64EB"/>
    <w:rsid w:val="003F2216"/>
    <w:rsid w:val="003F2BEB"/>
    <w:rsid w:val="003F3503"/>
    <w:rsid w:val="003F45C1"/>
    <w:rsid w:val="003F5488"/>
    <w:rsid w:val="003F642D"/>
    <w:rsid w:val="003F6924"/>
    <w:rsid w:val="00401581"/>
    <w:rsid w:val="00403526"/>
    <w:rsid w:val="00403CF2"/>
    <w:rsid w:val="004050E6"/>
    <w:rsid w:val="0040587C"/>
    <w:rsid w:val="0040675C"/>
    <w:rsid w:val="00406B68"/>
    <w:rsid w:val="004079E7"/>
    <w:rsid w:val="004103C1"/>
    <w:rsid w:val="004111EF"/>
    <w:rsid w:val="00411738"/>
    <w:rsid w:val="00411A84"/>
    <w:rsid w:val="00411AB4"/>
    <w:rsid w:val="00412C31"/>
    <w:rsid w:val="004131B1"/>
    <w:rsid w:val="004141BD"/>
    <w:rsid w:val="004152C5"/>
    <w:rsid w:val="00416CE8"/>
    <w:rsid w:val="00417658"/>
    <w:rsid w:val="00420562"/>
    <w:rsid w:val="0042187A"/>
    <w:rsid w:val="00422117"/>
    <w:rsid w:val="00425387"/>
    <w:rsid w:val="00426A4B"/>
    <w:rsid w:val="00426EAB"/>
    <w:rsid w:val="004304F9"/>
    <w:rsid w:val="00430B54"/>
    <w:rsid w:val="00430CC0"/>
    <w:rsid w:val="00432198"/>
    <w:rsid w:val="0043386E"/>
    <w:rsid w:val="004338E8"/>
    <w:rsid w:val="00434247"/>
    <w:rsid w:val="00434C15"/>
    <w:rsid w:val="00434C43"/>
    <w:rsid w:val="00435D13"/>
    <w:rsid w:val="0043776D"/>
    <w:rsid w:val="00440318"/>
    <w:rsid w:val="004403AB"/>
    <w:rsid w:val="00442581"/>
    <w:rsid w:val="004426D5"/>
    <w:rsid w:val="0044272D"/>
    <w:rsid w:val="0044330A"/>
    <w:rsid w:val="00443C0C"/>
    <w:rsid w:val="004443D9"/>
    <w:rsid w:val="00444BDE"/>
    <w:rsid w:val="004451F5"/>
    <w:rsid w:val="00450DD3"/>
    <w:rsid w:val="00452B74"/>
    <w:rsid w:val="0045440C"/>
    <w:rsid w:val="00454437"/>
    <w:rsid w:val="00455F49"/>
    <w:rsid w:val="00457692"/>
    <w:rsid w:val="00463C53"/>
    <w:rsid w:val="00463C7A"/>
    <w:rsid w:val="00465781"/>
    <w:rsid w:val="0046664E"/>
    <w:rsid w:val="00466655"/>
    <w:rsid w:val="004675A0"/>
    <w:rsid w:val="00467F03"/>
    <w:rsid w:val="00470076"/>
    <w:rsid w:val="004701B3"/>
    <w:rsid w:val="0047066D"/>
    <w:rsid w:val="00471A43"/>
    <w:rsid w:val="00472670"/>
    <w:rsid w:val="004727B7"/>
    <w:rsid w:val="00473144"/>
    <w:rsid w:val="00473AB1"/>
    <w:rsid w:val="00475608"/>
    <w:rsid w:val="00480DF4"/>
    <w:rsid w:val="00480FD4"/>
    <w:rsid w:val="004844CF"/>
    <w:rsid w:val="004845B0"/>
    <w:rsid w:val="00484BED"/>
    <w:rsid w:val="0048518E"/>
    <w:rsid w:val="004856B3"/>
    <w:rsid w:val="00485A89"/>
    <w:rsid w:val="00485FC9"/>
    <w:rsid w:val="004871ED"/>
    <w:rsid w:val="00487599"/>
    <w:rsid w:val="00490093"/>
    <w:rsid w:val="004905BD"/>
    <w:rsid w:val="00490C0A"/>
    <w:rsid w:val="00491ADA"/>
    <w:rsid w:val="00493A1E"/>
    <w:rsid w:val="00493C90"/>
    <w:rsid w:val="004940D1"/>
    <w:rsid w:val="00496901"/>
    <w:rsid w:val="004A0002"/>
    <w:rsid w:val="004A48AF"/>
    <w:rsid w:val="004A4D8C"/>
    <w:rsid w:val="004A4F2C"/>
    <w:rsid w:val="004A55A2"/>
    <w:rsid w:val="004A6C3F"/>
    <w:rsid w:val="004A75CC"/>
    <w:rsid w:val="004B0F3F"/>
    <w:rsid w:val="004B13A8"/>
    <w:rsid w:val="004B17D3"/>
    <w:rsid w:val="004B4825"/>
    <w:rsid w:val="004B5AE1"/>
    <w:rsid w:val="004B5AFB"/>
    <w:rsid w:val="004B6924"/>
    <w:rsid w:val="004B7DBF"/>
    <w:rsid w:val="004C0E69"/>
    <w:rsid w:val="004C4132"/>
    <w:rsid w:val="004C470D"/>
    <w:rsid w:val="004C4C37"/>
    <w:rsid w:val="004C5219"/>
    <w:rsid w:val="004C7483"/>
    <w:rsid w:val="004C74C6"/>
    <w:rsid w:val="004D0002"/>
    <w:rsid w:val="004D0176"/>
    <w:rsid w:val="004D1F41"/>
    <w:rsid w:val="004D2475"/>
    <w:rsid w:val="004D3365"/>
    <w:rsid w:val="004D3D15"/>
    <w:rsid w:val="004D7B91"/>
    <w:rsid w:val="004E1AF6"/>
    <w:rsid w:val="004E268D"/>
    <w:rsid w:val="004E27B5"/>
    <w:rsid w:val="004E3062"/>
    <w:rsid w:val="004E4957"/>
    <w:rsid w:val="004E5063"/>
    <w:rsid w:val="004E5727"/>
    <w:rsid w:val="004E698A"/>
    <w:rsid w:val="004E720A"/>
    <w:rsid w:val="004E7541"/>
    <w:rsid w:val="004F13F5"/>
    <w:rsid w:val="004F28C4"/>
    <w:rsid w:val="004F3A19"/>
    <w:rsid w:val="004F5034"/>
    <w:rsid w:val="004F62A5"/>
    <w:rsid w:val="004F63A1"/>
    <w:rsid w:val="004F67F0"/>
    <w:rsid w:val="005001FA"/>
    <w:rsid w:val="0050054F"/>
    <w:rsid w:val="0050068C"/>
    <w:rsid w:val="0050166A"/>
    <w:rsid w:val="00501A49"/>
    <w:rsid w:val="00501BA3"/>
    <w:rsid w:val="00502351"/>
    <w:rsid w:val="005028BE"/>
    <w:rsid w:val="00502ACA"/>
    <w:rsid w:val="005039B3"/>
    <w:rsid w:val="00504FCB"/>
    <w:rsid w:val="00505CF1"/>
    <w:rsid w:val="0050670F"/>
    <w:rsid w:val="00506A4A"/>
    <w:rsid w:val="005100BB"/>
    <w:rsid w:val="00511A75"/>
    <w:rsid w:val="00512CAD"/>
    <w:rsid w:val="005131F5"/>
    <w:rsid w:val="0051398C"/>
    <w:rsid w:val="00513A55"/>
    <w:rsid w:val="00513B4E"/>
    <w:rsid w:val="0051593B"/>
    <w:rsid w:val="005165F6"/>
    <w:rsid w:val="0051662B"/>
    <w:rsid w:val="00520D65"/>
    <w:rsid w:val="00522817"/>
    <w:rsid w:val="00522908"/>
    <w:rsid w:val="005248F0"/>
    <w:rsid w:val="005255FA"/>
    <w:rsid w:val="00526022"/>
    <w:rsid w:val="0052665E"/>
    <w:rsid w:val="00526C16"/>
    <w:rsid w:val="00531AA1"/>
    <w:rsid w:val="00531B56"/>
    <w:rsid w:val="00531E60"/>
    <w:rsid w:val="00531E9B"/>
    <w:rsid w:val="0053335B"/>
    <w:rsid w:val="005339C6"/>
    <w:rsid w:val="0053445E"/>
    <w:rsid w:val="005365A0"/>
    <w:rsid w:val="00536FFC"/>
    <w:rsid w:val="005428E0"/>
    <w:rsid w:val="00542E65"/>
    <w:rsid w:val="0055161A"/>
    <w:rsid w:val="00552511"/>
    <w:rsid w:val="0055292B"/>
    <w:rsid w:val="0055307E"/>
    <w:rsid w:val="005536CE"/>
    <w:rsid w:val="00553755"/>
    <w:rsid w:val="00553B8C"/>
    <w:rsid w:val="00553C6E"/>
    <w:rsid w:val="00554246"/>
    <w:rsid w:val="00554C4E"/>
    <w:rsid w:val="00556B39"/>
    <w:rsid w:val="00561B98"/>
    <w:rsid w:val="005632FA"/>
    <w:rsid w:val="005634F0"/>
    <w:rsid w:val="00564091"/>
    <w:rsid w:val="005641B9"/>
    <w:rsid w:val="00564D5D"/>
    <w:rsid w:val="005706B0"/>
    <w:rsid w:val="00570B88"/>
    <w:rsid w:val="0057112B"/>
    <w:rsid w:val="00571DFB"/>
    <w:rsid w:val="00572B6D"/>
    <w:rsid w:val="00576A65"/>
    <w:rsid w:val="0057787D"/>
    <w:rsid w:val="00577A35"/>
    <w:rsid w:val="005803E9"/>
    <w:rsid w:val="00581AFC"/>
    <w:rsid w:val="005833E8"/>
    <w:rsid w:val="00583613"/>
    <w:rsid w:val="00585C0F"/>
    <w:rsid w:val="0058690A"/>
    <w:rsid w:val="00586ACF"/>
    <w:rsid w:val="00586FD9"/>
    <w:rsid w:val="00590153"/>
    <w:rsid w:val="00591796"/>
    <w:rsid w:val="005921CA"/>
    <w:rsid w:val="00592DF7"/>
    <w:rsid w:val="00592EE7"/>
    <w:rsid w:val="00594020"/>
    <w:rsid w:val="005940BF"/>
    <w:rsid w:val="005949D3"/>
    <w:rsid w:val="005964BE"/>
    <w:rsid w:val="005969A0"/>
    <w:rsid w:val="005976AB"/>
    <w:rsid w:val="005A2D75"/>
    <w:rsid w:val="005A3C41"/>
    <w:rsid w:val="005A3DE1"/>
    <w:rsid w:val="005A43EA"/>
    <w:rsid w:val="005A4445"/>
    <w:rsid w:val="005A4682"/>
    <w:rsid w:val="005A5149"/>
    <w:rsid w:val="005A51FD"/>
    <w:rsid w:val="005A5749"/>
    <w:rsid w:val="005A5A37"/>
    <w:rsid w:val="005A7387"/>
    <w:rsid w:val="005B07C1"/>
    <w:rsid w:val="005B197C"/>
    <w:rsid w:val="005B23D4"/>
    <w:rsid w:val="005B3289"/>
    <w:rsid w:val="005B4862"/>
    <w:rsid w:val="005B546B"/>
    <w:rsid w:val="005B5A3F"/>
    <w:rsid w:val="005B5C21"/>
    <w:rsid w:val="005B6A61"/>
    <w:rsid w:val="005C01A0"/>
    <w:rsid w:val="005C2BEF"/>
    <w:rsid w:val="005C3CED"/>
    <w:rsid w:val="005C5785"/>
    <w:rsid w:val="005C6B79"/>
    <w:rsid w:val="005C6E5A"/>
    <w:rsid w:val="005C7460"/>
    <w:rsid w:val="005D01F0"/>
    <w:rsid w:val="005D124F"/>
    <w:rsid w:val="005D4175"/>
    <w:rsid w:val="005D5DF5"/>
    <w:rsid w:val="005D5F38"/>
    <w:rsid w:val="005D6394"/>
    <w:rsid w:val="005D6C4C"/>
    <w:rsid w:val="005D70B5"/>
    <w:rsid w:val="005D70E2"/>
    <w:rsid w:val="005D729F"/>
    <w:rsid w:val="005E0F42"/>
    <w:rsid w:val="005E190B"/>
    <w:rsid w:val="005E1A25"/>
    <w:rsid w:val="005E2660"/>
    <w:rsid w:val="005E345C"/>
    <w:rsid w:val="005E35BF"/>
    <w:rsid w:val="005E4260"/>
    <w:rsid w:val="005E518C"/>
    <w:rsid w:val="005E67E8"/>
    <w:rsid w:val="005E7261"/>
    <w:rsid w:val="005F04FE"/>
    <w:rsid w:val="005F21C4"/>
    <w:rsid w:val="005F297A"/>
    <w:rsid w:val="005F2E99"/>
    <w:rsid w:val="005F4554"/>
    <w:rsid w:val="005F4A5B"/>
    <w:rsid w:val="005F4D99"/>
    <w:rsid w:val="005F7680"/>
    <w:rsid w:val="005F7724"/>
    <w:rsid w:val="005F7A67"/>
    <w:rsid w:val="00600553"/>
    <w:rsid w:val="0060063E"/>
    <w:rsid w:val="006022AB"/>
    <w:rsid w:val="00602F9D"/>
    <w:rsid w:val="00605BAB"/>
    <w:rsid w:val="00605CA3"/>
    <w:rsid w:val="00606605"/>
    <w:rsid w:val="00607F3F"/>
    <w:rsid w:val="0061014E"/>
    <w:rsid w:val="00614015"/>
    <w:rsid w:val="00615503"/>
    <w:rsid w:val="00615DCA"/>
    <w:rsid w:val="00617636"/>
    <w:rsid w:val="0062019A"/>
    <w:rsid w:val="00621408"/>
    <w:rsid w:val="00622FE3"/>
    <w:rsid w:val="00623DB6"/>
    <w:rsid w:val="00624ACA"/>
    <w:rsid w:val="00625786"/>
    <w:rsid w:val="0062609A"/>
    <w:rsid w:val="00626B3D"/>
    <w:rsid w:val="0063006F"/>
    <w:rsid w:val="00632A7C"/>
    <w:rsid w:val="006348CE"/>
    <w:rsid w:val="00635CEE"/>
    <w:rsid w:val="00635E9D"/>
    <w:rsid w:val="0063643C"/>
    <w:rsid w:val="006379E6"/>
    <w:rsid w:val="00637BE5"/>
    <w:rsid w:val="0064174C"/>
    <w:rsid w:val="00643DCF"/>
    <w:rsid w:val="00644806"/>
    <w:rsid w:val="0064484B"/>
    <w:rsid w:val="00645512"/>
    <w:rsid w:val="00647330"/>
    <w:rsid w:val="0064744C"/>
    <w:rsid w:val="00652DB3"/>
    <w:rsid w:val="00653401"/>
    <w:rsid w:val="0065384E"/>
    <w:rsid w:val="00655247"/>
    <w:rsid w:val="006558D2"/>
    <w:rsid w:val="00655B10"/>
    <w:rsid w:val="00655F86"/>
    <w:rsid w:val="0066062A"/>
    <w:rsid w:val="00661217"/>
    <w:rsid w:val="00661270"/>
    <w:rsid w:val="00662589"/>
    <w:rsid w:val="00662B1E"/>
    <w:rsid w:val="00663243"/>
    <w:rsid w:val="00664295"/>
    <w:rsid w:val="00664322"/>
    <w:rsid w:val="006655D9"/>
    <w:rsid w:val="00667514"/>
    <w:rsid w:val="00671D54"/>
    <w:rsid w:val="00672470"/>
    <w:rsid w:val="006744C0"/>
    <w:rsid w:val="006772BD"/>
    <w:rsid w:val="00681047"/>
    <w:rsid w:val="0068159A"/>
    <w:rsid w:val="006815E2"/>
    <w:rsid w:val="00681AA2"/>
    <w:rsid w:val="006821C7"/>
    <w:rsid w:val="00682631"/>
    <w:rsid w:val="00690288"/>
    <w:rsid w:val="00690910"/>
    <w:rsid w:val="0069197D"/>
    <w:rsid w:val="006920C9"/>
    <w:rsid w:val="0069244A"/>
    <w:rsid w:val="006928F6"/>
    <w:rsid w:val="00694085"/>
    <w:rsid w:val="0069455C"/>
    <w:rsid w:val="006945BD"/>
    <w:rsid w:val="00696443"/>
    <w:rsid w:val="006964F4"/>
    <w:rsid w:val="006970A2"/>
    <w:rsid w:val="00697C39"/>
    <w:rsid w:val="00697E05"/>
    <w:rsid w:val="006A1FE5"/>
    <w:rsid w:val="006A22C9"/>
    <w:rsid w:val="006A2FDF"/>
    <w:rsid w:val="006A4835"/>
    <w:rsid w:val="006A5846"/>
    <w:rsid w:val="006A586C"/>
    <w:rsid w:val="006A6494"/>
    <w:rsid w:val="006A704A"/>
    <w:rsid w:val="006A76A0"/>
    <w:rsid w:val="006A7826"/>
    <w:rsid w:val="006B2FC0"/>
    <w:rsid w:val="006B3EE8"/>
    <w:rsid w:val="006B5946"/>
    <w:rsid w:val="006B624A"/>
    <w:rsid w:val="006B6345"/>
    <w:rsid w:val="006B6460"/>
    <w:rsid w:val="006B6CBD"/>
    <w:rsid w:val="006B7D30"/>
    <w:rsid w:val="006C2314"/>
    <w:rsid w:val="006C36FD"/>
    <w:rsid w:val="006C40E7"/>
    <w:rsid w:val="006C45C3"/>
    <w:rsid w:val="006C4F5E"/>
    <w:rsid w:val="006C76B7"/>
    <w:rsid w:val="006C77A1"/>
    <w:rsid w:val="006D0EE2"/>
    <w:rsid w:val="006D2055"/>
    <w:rsid w:val="006D20BD"/>
    <w:rsid w:val="006D3300"/>
    <w:rsid w:val="006D3A70"/>
    <w:rsid w:val="006D4055"/>
    <w:rsid w:val="006D4193"/>
    <w:rsid w:val="006D748E"/>
    <w:rsid w:val="006D7A2C"/>
    <w:rsid w:val="006D7A7B"/>
    <w:rsid w:val="006D7AE6"/>
    <w:rsid w:val="006D7F83"/>
    <w:rsid w:val="006E170C"/>
    <w:rsid w:val="006E183F"/>
    <w:rsid w:val="006E1CB3"/>
    <w:rsid w:val="006E252A"/>
    <w:rsid w:val="006E45F0"/>
    <w:rsid w:val="006E467D"/>
    <w:rsid w:val="006E505B"/>
    <w:rsid w:val="006E5759"/>
    <w:rsid w:val="006E5CA8"/>
    <w:rsid w:val="006E7183"/>
    <w:rsid w:val="006E72E4"/>
    <w:rsid w:val="006F0A2D"/>
    <w:rsid w:val="006F16E0"/>
    <w:rsid w:val="006F319A"/>
    <w:rsid w:val="006F4185"/>
    <w:rsid w:val="006F5E46"/>
    <w:rsid w:val="006F776A"/>
    <w:rsid w:val="0070121A"/>
    <w:rsid w:val="00703D1C"/>
    <w:rsid w:val="0070444D"/>
    <w:rsid w:val="00704A02"/>
    <w:rsid w:val="00704B8F"/>
    <w:rsid w:val="00705F57"/>
    <w:rsid w:val="0070693C"/>
    <w:rsid w:val="0070746A"/>
    <w:rsid w:val="007078F4"/>
    <w:rsid w:val="00707C6C"/>
    <w:rsid w:val="007107E8"/>
    <w:rsid w:val="00712FF9"/>
    <w:rsid w:val="00713462"/>
    <w:rsid w:val="00713ADF"/>
    <w:rsid w:val="007154A3"/>
    <w:rsid w:val="0072102D"/>
    <w:rsid w:val="00721D66"/>
    <w:rsid w:val="007238B5"/>
    <w:rsid w:val="00724C6E"/>
    <w:rsid w:val="007262FB"/>
    <w:rsid w:val="00726B2F"/>
    <w:rsid w:val="00726DEA"/>
    <w:rsid w:val="00727FBE"/>
    <w:rsid w:val="00731113"/>
    <w:rsid w:val="007339E9"/>
    <w:rsid w:val="00733FFF"/>
    <w:rsid w:val="00734DC5"/>
    <w:rsid w:val="007379EC"/>
    <w:rsid w:val="00737A0D"/>
    <w:rsid w:val="007401B0"/>
    <w:rsid w:val="00740FE9"/>
    <w:rsid w:val="00741B7E"/>
    <w:rsid w:val="007431A9"/>
    <w:rsid w:val="007434E9"/>
    <w:rsid w:val="007435BC"/>
    <w:rsid w:val="00745F41"/>
    <w:rsid w:val="00746325"/>
    <w:rsid w:val="00746F7A"/>
    <w:rsid w:val="00750785"/>
    <w:rsid w:val="007511FE"/>
    <w:rsid w:val="00751737"/>
    <w:rsid w:val="00751FF3"/>
    <w:rsid w:val="0075324C"/>
    <w:rsid w:val="0075338C"/>
    <w:rsid w:val="00754290"/>
    <w:rsid w:val="00755234"/>
    <w:rsid w:val="00755405"/>
    <w:rsid w:val="007559DB"/>
    <w:rsid w:val="007561C9"/>
    <w:rsid w:val="0075763B"/>
    <w:rsid w:val="007606D6"/>
    <w:rsid w:val="00760AB6"/>
    <w:rsid w:val="00760D0E"/>
    <w:rsid w:val="00762BE2"/>
    <w:rsid w:val="00764BCF"/>
    <w:rsid w:val="007651A6"/>
    <w:rsid w:val="0076787D"/>
    <w:rsid w:val="0076789C"/>
    <w:rsid w:val="007703F9"/>
    <w:rsid w:val="0077136D"/>
    <w:rsid w:val="00771BF7"/>
    <w:rsid w:val="00771CAC"/>
    <w:rsid w:val="0077250E"/>
    <w:rsid w:val="007734F9"/>
    <w:rsid w:val="007735DD"/>
    <w:rsid w:val="00773CCF"/>
    <w:rsid w:val="007744F8"/>
    <w:rsid w:val="00776278"/>
    <w:rsid w:val="00776FD2"/>
    <w:rsid w:val="007800EC"/>
    <w:rsid w:val="00780279"/>
    <w:rsid w:val="00780714"/>
    <w:rsid w:val="0078180D"/>
    <w:rsid w:val="00782E2C"/>
    <w:rsid w:val="0078314E"/>
    <w:rsid w:val="007840EF"/>
    <w:rsid w:val="00785FFA"/>
    <w:rsid w:val="0078686A"/>
    <w:rsid w:val="00795287"/>
    <w:rsid w:val="007964C5"/>
    <w:rsid w:val="00796541"/>
    <w:rsid w:val="00797D4B"/>
    <w:rsid w:val="007A451D"/>
    <w:rsid w:val="007B236C"/>
    <w:rsid w:val="007B4586"/>
    <w:rsid w:val="007B4AB0"/>
    <w:rsid w:val="007B585F"/>
    <w:rsid w:val="007B6AC8"/>
    <w:rsid w:val="007B71FC"/>
    <w:rsid w:val="007C276C"/>
    <w:rsid w:val="007C2DF2"/>
    <w:rsid w:val="007C326A"/>
    <w:rsid w:val="007C3614"/>
    <w:rsid w:val="007C405D"/>
    <w:rsid w:val="007C62C1"/>
    <w:rsid w:val="007C703A"/>
    <w:rsid w:val="007C7239"/>
    <w:rsid w:val="007C7784"/>
    <w:rsid w:val="007C786D"/>
    <w:rsid w:val="007C7CFC"/>
    <w:rsid w:val="007C7E37"/>
    <w:rsid w:val="007D1803"/>
    <w:rsid w:val="007D24E8"/>
    <w:rsid w:val="007D4C12"/>
    <w:rsid w:val="007D5483"/>
    <w:rsid w:val="007D5ED6"/>
    <w:rsid w:val="007D7592"/>
    <w:rsid w:val="007D7687"/>
    <w:rsid w:val="007E173D"/>
    <w:rsid w:val="007E1C6A"/>
    <w:rsid w:val="007E326C"/>
    <w:rsid w:val="007E35F1"/>
    <w:rsid w:val="007E3AEF"/>
    <w:rsid w:val="007E5AB8"/>
    <w:rsid w:val="007E5D9B"/>
    <w:rsid w:val="007E7887"/>
    <w:rsid w:val="007E7CB0"/>
    <w:rsid w:val="007F05AE"/>
    <w:rsid w:val="007F1983"/>
    <w:rsid w:val="007F1D45"/>
    <w:rsid w:val="007F2D5E"/>
    <w:rsid w:val="007F3B23"/>
    <w:rsid w:val="007F3D1F"/>
    <w:rsid w:val="007F41A6"/>
    <w:rsid w:val="007F4AAE"/>
    <w:rsid w:val="007F50A2"/>
    <w:rsid w:val="007F5717"/>
    <w:rsid w:val="007F5C12"/>
    <w:rsid w:val="007F6197"/>
    <w:rsid w:val="007F6B47"/>
    <w:rsid w:val="007F792A"/>
    <w:rsid w:val="0080210D"/>
    <w:rsid w:val="008029B7"/>
    <w:rsid w:val="00802B4E"/>
    <w:rsid w:val="00803D8A"/>
    <w:rsid w:val="0080515B"/>
    <w:rsid w:val="0081024C"/>
    <w:rsid w:val="00813178"/>
    <w:rsid w:val="008142B6"/>
    <w:rsid w:val="00814E7C"/>
    <w:rsid w:val="00815C04"/>
    <w:rsid w:val="00821074"/>
    <w:rsid w:val="00821BFB"/>
    <w:rsid w:val="008233C4"/>
    <w:rsid w:val="0082393D"/>
    <w:rsid w:val="0082514B"/>
    <w:rsid w:val="0082617D"/>
    <w:rsid w:val="00826A3D"/>
    <w:rsid w:val="00827793"/>
    <w:rsid w:val="0082795E"/>
    <w:rsid w:val="00830233"/>
    <w:rsid w:val="00832186"/>
    <w:rsid w:val="008337D5"/>
    <w:rsid w:val="00835FA4"/>
    <w:rsid w:val="008369B4"/>
    <w:rsid w:val="0084083A"/>
    <w:rsid w:val="008408EA"/>
    <w:rsid w:val="00840AB7"/>
    <w:rsid w:val="0084118E"/>
    <w:rsid w:val="008422CE"/>
    <w:rsid w:val="00842ACE"/>
    <w:rsid w:val="0084301B"/>
    <w:rsid w:val="00844DB3"/>
    <w:rsid w:val="00845E77"/>
    <w:rsid w:val="008462BD"/>
    <w:rsid w:val="00850122"/>
    <w:rsid w:val="00850F83"/>
    <w:rsid w:val="008510A8"/>
    <w:rsid w:val="008526D9"/>
    <w:rsid w:val="008535EE"/>
    <w:rsid w:val="00855165"/>
    <w:rsid w:val="00855AE6"/>
    <w:rsid w:val="00855BBF"/>
    <w:rsid w:val="008561C9"/>
    <w:rsid w:val="00856D59"/>
    <w:rsid w:val="00857375"/>
    <w:rsid w:val="008579F6"/>
    <w:rsid w:val="00857DD6"/>
    <w:rsid w:val="0086031B"/>
    <w:rsid w:val="00860DA3"/>
    <w:rsid w:val="00860F03"/>
    <w:rsid w:val="00860F6B"/>
    <w:rsid w:val="00860FEC"/>
    <w:rsid w:val="008625B1"/>
    <w:rsid w:val="008629EB"/>
    <w:rsid w:val="00862CFE"/>
    <w:rsid w:val="00864777"/>
    <w:rsid w:val="00867CA5"/>
    <w:rsid w:val="0087201F"/>
    <w:rsid w:val="008720E5"/>
    <w:rsid w:val="008728CF"/>
    <w:rsid w:val="008764FB"/>
    <w:rsid w:val="00876A16"/>
    <w:rsid w:val="0088050E"/>
    <w:rsid w:val="00880A2E"/>
    <w:rsid w:val="00880CF9"/>
    <w:rsid w:val="008812E5"/>
    <w:rsid w:val="008816AE"/>
    <w:rsid w:val="00881B39"/>
    <w:rsid w:val="00886705"/>
    <w:rsid w:val="00886B21"/>
    <w:rsid w:val="00887918"/>
    <w:rsid w:val="00890614"/>
    <w:rsid w:val="00894199"/>
    <w:rsid w:val="0089622D"/>
    <w:rsid w:val="008962B6"/>
    <w:rsid w:val="008964C7"/>
    <w:rsid w:val="008973E0"/>
    <w:rsid w:val="008A1222"/>
    <w:rsid w:val="008A238D"/>
    <w:rsid w:val="008A3E5D"/>
    <w:rsid w:val="008A5650"/>
    <w:rsid w:val="008A6374"/>
    <w:rsid w:val="008B0201"/>
    <w:rsid w:val="008B040D"/>
    <w:rsid w:val="008B4F5A"/>
    <w:rsid w:val="008B51F3"/>
    <w:rsid w:val="008B6D54"/>
    <w:rsid w:val="008B6FD7"/>
    <w:rsid w:val="008B7170"/>
    <w:rsid w:val="008B729F"/>
    <w:rsid w:val="008C1ACF"/>
    <w:rsid w:val="008C1FED"/>
    <w:rsid w:val="008C2C0A"/>
    <w:rsid w:val="008C4427"/>
    <w:rsid w:val="008C4D87"/>
    <w:rsid w:val="008C782D"/>
    <w:rsid w:val="008D031F"/>
    <w:rsid w:val="008D0B03"/>
    <w:rsid w:val="008D1212"/>
    <w:rsid w:val="008D1E16"/>
    <w:rsid w:val="008D3BE3"/>
    <w:rsid w:val="008D4A95"/>
    <w:rsid w:val="008D5677"/>
    <w:rsid w:val="008D6D86"/>
    <w:rsid w:val="008D75FE"/>
    <w:rsid w:val="008E41E6"/>
    <w:rsid w:val="008E43EA"/>
    <w:rsid w:val="008E5040"/>
    <w:rsid w:val="008E6CD4"/>
    <w:rsid w:val="008E73A5"/>
    <w:rsid w:val="008E76EE"/>
    <w:rsid w:val="008E7DC8"/>
    <w:rsid w:val="008F09B0"/>
    <w:rsid w:val="008F09FA"/>
    <w:rsid w:val="008F0E23"/>
    <w:rsid w:val="008F49AD"/>
    <w:rsid w:val="008F4CE4"/>
    <w:rsid w:val="008F582A"/>
    <w:rsid w:val="009003F4"/>
    <w:rsid w:val="00900A96"/>
    <w:rsid w:val="00901B8C"/>
    <w:rsid w:val="009030DC"/>
    <w:rsid w:val="00903D63"/>
    <w:rsid w:val="00904DF6"/>
    <w:rsid w:val="00905554"/>
    <w:rsid w:val="009056E0"/>
    <w:rsid w:val="009058B4"/>
    <w:rsid w:val="00906A7D"/>
    <w:rsid w:val="00906D14"/>
    <w:rsid w:val="00907292"/>
    <w:rsid w:val="0091090D"/>
    <w:rsid w:val="0091202C"/>
    <w:rsid w:val="00913F8A"/>
    <w:rsid w:val="009143AA"/>
    <w:rsid w:val="009151B2"/>
    <w:rsid w:val="00915579"/>
    <w:rsid w:val="009158EB"/>
    <w:rsid w:val="00915FB6"/>
    <w:rsid w:val="00916850"/>
    <w:rsid w:val="00917D2F"/>
    <w:rsid w:val="009201DC"/>
    <w:rsid w:val="009207CF"/>
    <w:rsid w:val="00921243"/>
    <w:rsid w:val="0092433F"/>
    <w:rsid w:val="009248CA"/>
    <w:rsid w:val="00926EDE"/>
    <w:rsid w:val="00931037"/>
    <w:rsid w:val="00934AD0"/>
    <w:rsid w:val="00935401"/>
    <w:rsid w:val="009356EB"/>
    <w:rsid w:val="00935FED"/>
    <w:rsid w:val="00941D8B"/>
    <w:rsid w:val="00942F4A"/>
    <w:rsid w:val="00943F4B"/>
    <w:rsid w:val="009455BA"/>
    <w:rsid w:val="00947603"/>
    <w:rsid w:val="00947ECE"/>
    <w:rsid w:val="00947F43"/>
    <w:rsid w:val="00950422"/>
    <w:rsid w:val="00950B47"/>
    <w:rsid w:val="00952EBD"/>
    <w:rsid w:val="00954082"/>
    <w:rsid w:val="00957585"/>
    <w:rsid w:val="009602B5"/>
    <w:rsid w:val="0096159B"/>
    <w:rsid w:val="00963197"/>
    <w:rsid w:val="00963ABB"/>
    <w:rsid w:val="00964E99"/>
    <w:rsid w:val="00966A28"/>
    <w:rsid w:val="00967896"/>
    <w:rsid w:val="00971E0F"/>
    <w:rsid w:val="00972706"/>
    <w:rsid w:val="00974048"/>
    <w:rsid w:val="00974314"/>
    <w:rsid w:val="00975559"/>
    <w:rsid w:val="009764E3"/>
    <w:rsid w:val="009802BF"/>
    <w:rsid w:val="009824D4"/>
    <w:rsid w:val="00985BC9"/>
    <w:rsid w:val="00985FF8"/>
    <w:rsid w:val="0098690E"/>
    <w:rsid w:val="00986D32"/>
    <w:rsid w:val="009872D1"/>
    <w:rsid w:val="00987A78"/>
    <w:rsid w:val="00987BE9"/>
    <w:rsid w:val="00990F29"/>
    <w:rsid w:val="00994A78"/>
    <w:rsid w:val="00994F17"/>
    <w:rsid w:val="009A163D"/>
    <w:rsid w:val="009A19A7"/>
    <w:rsid w:val="009A42E4"/>
    <w:rsid w:val="009A437D"/>
    <w:rsid w:val="009A486E"/>
    <w:rsid w:val="009A4E8F"/>
    <w:rsid w:val="009A5FF5"/>
    <w:rsid w:val="009A65CA"/>
    <w:rsid w:val="009A6B87"/>
    <w:rsid w:val="009B0C76"/>
    <w:rsid w:val="009B40A8"/>
    <w:rsid w:val="009B4328"/>
    <w:rsid w:val="009B583E"/>
    <w:rsid w:val="009B7857"/>
    <w:rsid w:val="009C22DF"/>
    <w:rsid w:val="009C238A"/>
    <w:rsid w:val="009C3C5A"/>
    <w:rsid w:val="009C4C58"/>
    <w:rsid w:val="009C6540"/>
    <w:rsid w:val="009D05A1"/>
    <w:rsid w:val="009D0B02"/>
    <w:rsid w:val="009D167E"/>
    <w:rsid w:val="009D1687"/>
    <w:rsid w:val="009D16EB"/>
    <w:rsid w:val="009D1AEA"/>
    <w:rsid w:val="009D2B4D"/>
    <w:rsid w:val="009D2CC4"/>
    <w:rsid w:val="009D3CAC"/>
    <w:rsid w:val="009D5014"/>
    <w:rsid w:val="009D7BFB"/>
    <w:rsid w:val="009E06B0"/>
    <w:rsid w:val="009E2C76"/>
    <w:rsid w:val="009E2CC0"/>
    <w:rsid w:val="009E3C22"/>
    <w:rsid w:val="009E3EBA"/>
    <w:rsid w:val="009E4374"/>
    <w:rsid w:val="009E74AB"/>
    <w:rsid w:val="009E7CBA"/>
    <w:rsid w:val="009F0642"/>
    <w:rsid w:val="009F0E29"/>
    <w:rsid w:val="009F1E36"/>
    <w:rsid w:val="009F1FE6"/>
    <w:rsid w:val="009F2340"/>
    <w:rsid w:val="009F2F8F"/>
    <w:rsid w:val="009F3159"/>
    <w:rsid w:val="009F4415"/>
    <w:rsid w:val="009F45C9"/>
    <w:rsid w:val="009F4D63"/>
    <w:rsid w:val="009F547C"/>
    <w:rsid w:val="009F62BE"/>
    <w:rsid w:val="009F6B2C"/>
    <w:rsid w:val="009F767D"/>
    <w:rsid w:val="00A0165D"/>
    <w:rsid w:val="00A026D9"/>
    <w:rsid w:val="00A05603"/>
    <w:rsid w:val="00A063DF"/>
    <w:rsid w:val="00A1128D"/>
    <w:rsid w:val="00A11BDF"/>
    <w:rsid w:val="00A122F6"/>
    <w:rsid w:val="00A15545"/>
    <w:rsid w:val="00A161A7"/>
    <w:rsid w:val="00A1654E"/>
    <w:rsid w:val="00A16DBE"/>
    <w:rsid w:val="00A2022E"/>
    <w:rsid w:val="00A2060C"/>
    <w:rsid w:val="00A20674"/>
    <w:rsid w:val="00A22321"/>
    <w:rsid w:val="00A23742"/>
    <w:rsid w:val="00A237DD"/>
    <w:rsid w:val="00A240E9"/>
    <w:rsid w:val="00A25755"/>
    <w:rsid w:val="00A27596"/>
    <w:rsid w:val="00A27932"/>
    <w:rsid w:val="00A3021F"/>
    <w:rsid w:val="00A31B0D"/>
    <w:rsid w:val="00A32543"/>
    <w:rsid w:val="00A32ADE"/>
    <w:rsid w:val="00A336C1"/>
    <w:rsid w:val="00A342EB"/>
    <w:rsid w:val="00A350F7"/>
    <w:rsid w:val="00A36B9A"/>
    <w:rsid w:val="00A37C6E"/>
    <w:rsid w:val="00A421E8"/>
    <w:rsid w:val="00A427D1"/>
    <w:rsid w:val="00A42C48"/>
    <w:rsid w:val="00A439D2"/>
    <w:rsid w:val="00A45743"/>
    <w:rsid w:val="00A45C92"/>
    <w:rsid w:val="00A46542"/>
    <w:rsid w:val="00A465C2"/>
    <w:rsid w:val="00A465D5"/>
    <w:rsid w:val="00A466A5"/>
    <w:rsid w:val="00A47435"/>
    <w:rsid w:val="00A51A9C"/>
    <w:rsid w:val="00A55F5C"/>
    <w:rsid w:val="00A56075"/>
    <w:rsid w:val="00A570CB"/>
    <w:rsid w:val="00A57111"/>
    <w:rsid w:val="00A57711"/>
    <w:rsid w:val="00A57BE4"/>
    <w:rsid w:val="00A57F15"/>
    <w:rsid w:val="00A64713"/>
    <w:rsid w:val="00A64D05"/>
    <w:rsid w:val="00A66C12"/>
    <w:rsid w:val="00A66D66"/>
    <w:rsid w:val="00A672CC"/>
    <w:rsid w:val="00A71ACA"/>
    <w:rsid w:val="00A725F5"/>
    <w:rsid w:val="00A72D10"/>
    <w:rsid w:val="00A73971"/>
    <w:rsid w:val="00A74195"/>
    <w:rsid w:val="00A745B2"/>
    <w:rsid w:val="00A75905"/>
    <w:rsid w:val="00A764AD"/>
    <w:rsid w:val="00A77BEE"/>
    <w:rsid w:val="00A77E1E"/>
    <w:rsid w:val="00A80A02"/>
    <w:rsid w:val="00A8157D"/>
    <w:rsid w:val="00A8173F"/>
    <w:rsid w:val="00A81C96"/>
    <w:rsid w:val="00A82FFF"/>
    <w:rsid w:val="00A85308"/>
    <w:rsid w:val="00A856A4"/>
    <w:rsid w:val="00A86A5D"/>
    <w:rsid w:val="00A872CD"/>
    <w:rsid w:val="00A90658"/>
    <w:rsid w:val="00A91052"/>
    <w:rsid w:val="00A9212F"/>
    <w:rsid w:val="00A92DCD"/>
    <w:rsid w:val="00A934F7"/>
    <w:rsid w:val="00A93D28"/>
    <w:rsid w:val="00A9538E"/>
    <w:rsid w:val="00A953EA"/>
    <w:rsid w:val="00A95766"/>
    <w:rsid w:val="00A95F05"/>
    <w:rsid w:val="00A96474"/>
    <w:rsid w:val="00AA064E"/>
    <w:rsid w:val="00AA0FB6"/>
    <w:rsid w:val="00AA1597"/>
    <w:rsid w:val="00AA1E42"/>
    <w:rsid w:val="00AA299A"/>
    <w:rsid w:val="00AA34CF"/>
    <w:rsid w:val="00AA557D"/>
    <w:rsid w:val="00AA7310"/>
    <w:rsid w:val="00AA757C"/>
    <w:rsid w:val="00AB15E9"/>
    <w:rsid w:val="00AB3C6B"/>
    <w:rsid w:val="00AB4112"/>
    <w:rsid w:val="00AB57A3"/>
    <w:rsid w:val="00AB6551"/>
    <w:rsid w:val="00AC2C6F"/>
    <w:rsid w:val="00AC5CC1"/>
    <w:rsid w:val="00AC7595"/>
    <w:rsid w:val="00AC7DC0"/>
    <w:rsid w:val="00AD094B"/>
    <w:rsid w:val="00AD1B8E"/>
    <w:rsid w:val="00AD2D2F"/>
    <w:rsid w:val="00AD32FC"/>
    <w:rsid w:val="00AD35F4"/>
    <w:rsid w:val="00AD51F7"/>
    <w:rsid w:val="00AD6D53"/>
    <w:rsid w:val="00AE10F1"/>
    <w:rsid w:val="00AE3896"/>
    <w:rsid w:val="00AE398A"/>
    <w:rsid w:val="00AE3CE3"/>
    <w:rsid w:val="00AE455C"/>
    <w:rsid w:val="00AE5389"/>
    <w:rsid w:val="00AE53C8"/>
    <w:rsid w:val="00AE5B4E"/>
    <w:rsid w:val="00AE6724"/>
    <w:rsid w:val="00AE7746"/>
    <w:rsid w:val="00AF3688"/>
    <w:rsid w:val="00AF4D06"/>
    <w:rsid w:val="00AF5606"/>
    <w:rsid w:val="00AF601F"/>
    <w:rsid w:val="00AF705C"/>
    <w:rsid w:val="00B005D3"/>
    <w:rsid w:val="00B00890"/>
    <w:rsid w:val="00B00BFC"/>
    <w:rsid w:val="00B022ED"/>
    <w:rsid w:val="00B03B8A"/>
    <w:rsid w:val="00B03E8A"/>
    <w:rsid w:val="00B0420B"/>
    <w:rsid w:val="00B05153"/>
    <w:rsid w:val="00B05845"/>
    <w:rsid w:val="00B05942"/>
    <w:rsid w:val="00B05D80"/>
    <w:rsid w:val="00B06810"/>
    <w:rsid w:val="00B1158D"/>
    <w:rsid w:val="00B11896"/>
    <w:rsid w:val="00B1198E"/>
    <w:rsid w:val="00B11CA6"/>
    <w:rsid w:val="00B12148"/>
    <w:rsid w:val="00B123AA"/>
    <w:rsid w:val="00B12D41"/>
    <w:rsid w:val="00B13055"/>
    <w:rsid w:val="00B13413"/>
    <w:rsid w:val="00B1367F"/>
    <w:rsid w:val="00B14334"/>
    <w:rsid w:val="00B144A6"/>
    <w:rsid w:val="00B15A8A"/>
    <w:rsid w:val="00B16F37"/>
    <w:rsid w:val="00B172F1"/>
    <w:rsid w:val="00B173E4"/>
    <w:rsid w:val="00B17623"/>
    <w:rsid w:val="00B21697"/>
    <w:rsid w:val="00B26253"/>
    <w:rsid w:val="00B26444"/>
    <w:rsid w:val="00B27588"/>
    <w:rsid w:val="00B276BA"/>
    <w:rsid w:val="00B30DE8"/>
    <w:rsid w:val="00B33786"/>
    <w:rsid w:val="00B35EA7"/>
    <w:rsid w:val="00B36572"/>
    <w:rsid w:val="00B36E06"/>
    <w:rsid w:val="00B40E6C"/>
    <w:rsid w:val="00B416E8"/>
    <w:rsid w:val="00B43038"/>
    <w:rsid w:val="00B44205"/>
    <w:rsid w:val="00B45A4E"/>
    <w:rsid w:val="00B46BDC"/>
    <w:rsid w:val="00B50994"/>
    <w:rsid w:val="00B50BA9"/>
    <w:rsid w:val="00B51528"/>
    <w:rsid w:val="00B52E8C"/>
    <w:rsid w:val="00B52F23"/>
    <w:rsid w:val="00B53159"/>
    <w:rsid w:val="00B54990"/>
    <w:rsid w:val="00B560BC"/>
    <w:rsid w:val="00B60140"/>
    <w:rsid w:val="00B624CE"/>
    <w:rsid w:val="00B64F68"/>
    <w:rsid w:val="00B67820"/>
    <w:rsid w:val="00B71D27"/>
    <w:rsid w:val="00B7231F"/>
    <w:rsid w:val="00B72A14"/>
    <w:rsid w:val="00B74C7F"/>
    <w:rsid w:val="00B74FD0"/>
    <w:rsid w:val="00B761F4"/>
    <w:rsid w:val="00B7649A"/>
    <w:rsid w:val="00B800FB"/>
    <w:rsid w:val="00B8069B"/>
    <w:rsid w:val="00B816C9"/>
    <w:rsid w:val="00B819B4"/>
    <w:rsid w:val="00B825B3"/>
    <w:rsid w:val="00B82BBA"/>
    <w:rsid w:val="00B85B74"/>
    <w:rsid w:val="00B907AB"/>
    <w:rsid w:val="00B91000"/>
    <w:rsid w:val="00B9121B"/>
    <w:rsid w:val="00B9254B"/>
    <w:rsid w:val="00B925DE"/>
    <w:rsid w:val="00B92ABF"/>
    <w:rsid w:val="00B953C5"/>
    <w:rsid w:val="00B966B3"/>
    <w:rsid w:val="00B967BC"/>
    <w:rsid w:val="00B96D9A"/>
    <w:rsid w:val="00B971FA"/>
    <w:rsid w:val="00B97421"/>
    <w:rsid w:val="00BA0884"/>
    <w:rsid w:val="00BA0CEC"/>
    <w:rsid w:val="00BA0EE6"/>
    <w:rsid w:val="00BA1043"/>
    <w:rsid w:val="00BA1726"/>
    <w:rsid w:val="00BA1B2C"/>
    <w:rsid w:val="00BA1CFE"/>
    <w:rsid w:val="00BA1D11"/>
    <w:rsid w:val="00BA4651"/>
    <w:rsid w:val="00BA537E"/>
    <w:rsid w:val="00BA5917"/>
    <w:rsid w:val="00BA6247"/>
    <w:rsid w:val="00BA7BF8"/>
    <w:rsid w:val="00BB0CC1"/>
    <w:rsid w:val="00BB202D"/>
    <w:rsid w:val="00BB4097"/>
    <w:rsid w:val="00BB461C"/>
    <w:rsid w:val="00BB4D2F"/>
    <w:rsid w:val="00BB4DDC"/>
    <w:rsid w:val="00BB5FD8"/>
    <w:rsid w:val="00BB60A7"/>
    <w:rsid w:val="00BB687C"/>
    <w:rsid w:val="00BB6BF2"/>
    <w:rsid w:val="00BB7405"/>
    <w:rsid w:val="00BB74E6"/>
    <w:rsid w:val="00BB7D57"/>
    <w:rsid w:val="00BC1957"/>
    <w:rsid w:val="00BC1CC8"/>
    <w:rsid w:val="00BC22CB"/>
    <w:rsid w:val="00BC2435"/>
    <w:rsid w:val="00BC2D09"/>
    <w:rsid w:val="00BC306A"/>
    <w:rsid w:val="00BC3D36"/>
    <w:rsid w:val="00BC50DE"/>
    <w:rsid w:val="00BC53EB"/>
    <w:rsid w:val="00BC75C3"/>
    <w:rsid w:val="00BD007E"/>
    <w:rsid w:val="00BD0977"/>
    <w:rsid w:val="00BD0F9A"/>
    <w:rsid w:val="00BD17B1"/>
    <w:rsid w:val="00BD1CE4"/>
    <w:rsid w:val="00BD2DBF"/>
    <w:rsid w:val="00BD33AF"/>
    <w:rsid w:val="00BD40FE"/>
    <w:rsid w:val="00BD5AD6"/>
    <w:rsid w:val="00BD5C3C"/>
    <w:rsid w:val="00BD630B"/>
    <w:rsid w:val="00BE0A30"/>
    <w:rsid w:val="00BE1AAE"/>
    <w:rsid w:val="00BE2D41"/>
    <w:rsid w:val="00BE37AB"/>
    <w:rsid w:val="00BE3F87"/>
    <w:rsid w:val="00BE46DD"/>
    <w:rsid w:val="00BE4847"/>
    <w:rsid w:val="00BE4C9C"/>
    <w:rsid w:val="00BE4DCE"/>
    <w:rsid w:val="00BE5290"/>
    <w:rsid w:val="00BE62F7"/>
    <w:rsid w:val="00BE6CF9"/>
    <w:rsid w:val="00BE7437"/>
    <w:rsid w:val="00BF0304"/>
    <w:rsid w:val="00BF08E0"/>
    <w:rsid w:val="00BF1A7B"/>
    <w:rsid w:val="00BF1BAF"/>
    <w:rsid w:val="00BF2524"/>
    <w:rsid w:val="00BF384D"/>
    <w:rsid w:val="00BF5513"/>
    <w:rsid w:val="00BF5D59"/>
    <w:rsid w:val="00BF654D"/>
    <w:rsid w:val="00BF7480"/>
    <w:rsid w:val="00C00504"/>
    <w:rsid w:val="00C00EAE"/>
    <w:rsid w:val="00C03EAA"/>
    <w:rsid w:val="00C05300"/>
    <w:rsid w:val="00C06577"/>
    <w:rsid w:val="00C10F33"/>
    <w:rsid w:val="00C116C1"/>
    <w:rsid w:val="00C16E43"/>
    <w:rsid w:val="00C16F09"/>
    <w:rsid w:val="00C1753D"/>
    <w:rsid w:val="00C204AA"/>
    <w:rsid w:val="00C2072D"/>
    <w:rsid w:val="00C24F90"/>
    <w:rsid w:val="00C25D9F"/>
    <w:rsid w:val="00C32E32"/>
    <w:rsid w:val="00C337A1"/>
    <w:rsid w:val="00C33832"/>
    <w:rsid w:val="00C33D54"/>
    <w:rsid w:val="00C34827"/>
    <w:rsid w:val="00C34FCC"/>
    <w:rsid w:val="00C362DD"/>
    <w:rsid w:val="00C3646F"/>
    <w:rsid w:val="00C3659D"/>
    <w:rsid w:val="00C36FD6"/>
    <w:rsid w:val="00C376B4"/>
    <w:rsid w:val="00C37F7C"/>
    <w:rsid w:val="00C40AD0"/>
    <w:rsid w:val="00C41CEB"/>
    <w:rsid w:val="00C425D7"/>
    <w:rsid w:val="00C4309C"/>
    <w:rsid w:val="00C434EC"/>
    <w:rsid w:val="00C435F7"/>
    <w:rsid w:val="00C45890"/>
    <w:rsid w:val="00C4592C"/>
    <w:rsid w:val="00C46F19"/>
    <w:rsid w:val="00C502A3"/>
    <w:rsid w:val="00C5184B"/>
    <w:rsid w:val="00C519F0"/>
    <w:rsid w:val="00C52080"/>
    <w:rsid w:val="00C52E97"/>
    <w:rsid w:val="00C5401C"/>
    <w:rsid w:val="00C54247"/>
    <w:rsid w:val="00C54A18"/>
    <w:rsid w:val="00C56AEA"/>
    <w:rsid w:val="00C56C6C"/>
    <w:rsid w:val="00C57261"/>
    <w:rsid w:val="00C5781A"/>
    <w:rsid w:val="00C57B09"/>
    <w:rsid w:val="00C608FF"/>
    <w:rsid w:val="00C638C3"/>
    <w:rsid w:val="00C64696"/>
    <w:rsid w:val="00C66CB9"/>
    <w:rsid w:val="00C70812"/>
    <w:rsid w:val="00C72F83"/>
    <w:rsid w:val="00C753F4"/>
    <w:rsid w:val="00C756F8"/>
    <w:rsid w:val="00C7661D"/>
    <w:rsid w:val="00C77C64"/>
    <w:rsid w:val="00C801BE"/>
    <w:rsid w:val="00C83CA0"/>
    <w:rsid w:val="00C83E00"/>
    <w:rsid w:val="00C845EA"/>
    <w:rsid w:val="00C84860"/>
    <w:rsid w:val="00C85939"/>
    <w:rsid w:val="00C86A24"/>
    <w:rsid w:val="00C86FEF"/>
    <w:rsid w:val="00C91068"/>
    <w:rsid w:val="00C91BF5"/>
    <w:rsid w:val="00C92EB1"/>
    <w:rsid w:val="00C92FD0"/>
    <w:rsid w:val="00C93672"/>
    <w:rsid w:val="00C94EDA"/>
    <w:rsid w:val="00C95193"/>
    <w:rsid w:val="00C966CF"/>
    <w:rsid w:val="00C97BD7"/>
    <w:rsid w:val="00CA099E"/>
    <w:rsid w:val="00CA211B"/>
    <w:rsid w:val="00CA2EC5"/>
    <w:rsid w:val="00CA389F"/>
    <w:rsid w:val="00CA4240"/>
    <w:rsid w:val="00CA4662"/>
    <w:rsid w:val="00CA469B"/>
    <w:rsid w:val="00CA65CD"/>
    <w:rsid w:val="00CA673A"/>
    <w:rsid w:val="00CA69DA"/>
    <w:rsid w:val="00CA6ACE"/>
    <w:rsid w:val="00CA6BE5"/>
    <w:rsid w:val="00CA78CA"/>
    <w:rsid w:val="00CB0697"/>
    <w:rsid w:val="00CB18AE"/>
    <w:rsid w:val="00CB1D4D"/>
    <w:rsid w:val="00CB28C1"/>
    <w:rsid w:val="00CB28E4"/>
    <w:rsid w:val="00CB2B4B"/>
    <w:rsid w:val="00CB3EFB"/>
    <w:rsid w:val="00CB4124"/>
    <w:rsid w:val="00CB4251"/>
    <w:rsid w:val="00CB4DCF"/>
    <w:rsid w:val="00CB6374"/>
    <w:rsid w:val="00CC1A6B"/>
    <w:rsid w:val="00CC2329"/>
    <w:rsid w:val="00CC370F"/>
    <w:rsid w:val="00CC4F83"/>
    <w:rsid w:val="00CC590B"/>
    <w:rsid w:val="00CC6082"/>
    <w:rsid w:val="00CC6249"/>
    <w:rsid w:val="00CC7478"/>
    <w:rsid w:val="00CC7598"/>
    <w:rsid w:val="00CD03C5"/>
    <w:rsid w:val="00CD03EA"/>
    <w:rsid w:val="00CD0A16"/>
    <w:rsid w:val="00CD2AD9"/>
    <w:rsid w:val="00CD410D"/>
    <w:rsid w:val="00CD41F5"/>
    <w:rsid w:val="00CD497A"/>
    <w:rsid w:val="00CD4BDE"/>
    <w:rsid w:val="00CD542A"/>
    <w:rsid w:val="00CD6D47"/>
    <w:rsid w:val="00CE004E"/>
    <w:rsid w:val="00CE01F2"/>
    <w:rsid w:val="00CE08F6"/>
    <w:rsid w:val="00CE0B8E"/>
    <w:rsid w:val="00CE1622"/>
    <w:rsid w:val="00CE20EC"/>
    <w:rsid w:val="00CE2B57"/>
    <w:rsid w:val="00CE5FF6"/>
    <w:rsid w:val="00CE68E5"/>
    <w:rsid w:val="00CF13AC"/>
    <w:rsid w:val="00CF25D6"/>
    <w:rsid w:val="00CF3697"/>
    <w:rsid w:val="00CF51C9"/>
    <w:rsid w:val="00CF5E0E"/>
    <w:rsid w:val="00CF6322"/>
    <w:rsid w:val="00CF68F0"/>
    <w:rsid w:val="00CF7872"/>
    <w:rsid w:val="00D0052A"/>
    <w:rsid w:val="00D02DA5"/>
    <w:rsid w:val="00D03A96"/>
    <w:rsid w:val="00D03C91"/>
    <w:rsid w:val="00D03CAE"/>
    <w:rsid w:val="00D03E1D"/>
    <w:rsid w:val="00D05215"/>
    <w:rsid w:val="00D0526C"/>
    <w:rsid w:val="00D05659"/>
    <w:rsid w:val="00D06680"/>
    <w:rsid w:val="00D07C6D"/>
    <w:rsid w:val="00D11646"/>
    <w:rsid w:val="00D11CBE"/>
    <w:rsid w:val="00D1271C"/>
    <w:rsid w:val="00D12D9D"/>
    <w:rsid w:val="00D1397A"/>
    <w:rsid w:val="00D13CAA"/>
    <w:rsid w:val="00D15C72"/>
    <w:rsid w:val="00D160CA"/>
    <w:rsid w:val="00D20486"/>
    <w:rsid w:val="00D20507"/>
    <w:rsid w:val="00D23357"/>
    <w:rsid w:val="00D23EFB"/>
    <w:rsid w:val="00D25909"/>
    <w:rsid w:val="00D25ED8"/>
    <w:rsid w:val="00D26248"/>
    <w:rsid w:val="00D27053"/>
    <w:rsid w:val="00D27B06"/>
    <w:rsid w:val="00D30F63"/>
    <w:rsid w:val="00D31091"/>
    <w:rsid w:val="00D31246"/>
    <w:rsid w:val="00D32489"/>
    <w:rsid w:val="00D329F6"/>
    <w:rsid w:val="00D32E0D"/>
    <w:rsid w:val="00D331AA"/>
    <w:rsid w:val="00D33890"/>
    <w:rsid w:val="00D33D45"/>
    <w:rsid w:val="00D33F15"/>
    <w:rsid w:val="00D347D1"/>
    <w:rsid w:val="00D351E7"/>
    <w:rsid w:val="00D36E94"/>
    <w:rsid w:val="00D370FD"/>
    <w:rsid w:val="00D41258"/>
    <w:rsid w:val="00D414C7"/>
    <w:rsid w:val="00D421CF"/>
    <w:rsid w:val="00D42207"/>
    <w:rsid w:val="00D42443"/>
    <w:rsid w:val="00D426FA"/>
    <w:rsid w:val="00D430D1"/>
    <w:rsid w:val="00D45DA9"/>
    <w:rsid w:val="00D474C1"/>
    <w:rsid w:val="00D50614"/>
    <w:rsid w:val="00D50657"/>
    <w:rsid w:val="00D50805"/>
    <w:rsid w:val="00D516A8"/>
    <w:rsid w:val="00D51FAF"/>
    <w:rsid w:val="00D526E6"/>
    <w:rsid w:val="00D553ED"/>
    <w:rsid w:val="00D565CD"/>
    <w:rsid w:val="00D57F0C"/>
    <w:rsid w:val="00D60E86"/>
    <w:rsid w:val="00D65E83"/>
    <w:rsid w:val="00D66131"/>
    <w:rsid w:val="00D671E6"/>
    <w:rsid w:val="00D675C7"/>
    <w:rsid w:val="00D71A04"/>
    <w:rsid w:val="00D729CB"/>
    <w:rsid w:val="00D73168"/>
    <w:rsid w:val="00D750F5"/>
    <w:rsid w:val="00D753E7"/>
    <w:rsid w:val="00D7573B"/>
    <w:rsid w:val="00D76EE5"/>
    <w:rsid w:val="00D77006"/>
    <w:rsid w:val="00D772DD"/>
    <w:rsid w:val="00D8023B"/>
    <w:rsid w:val="00D832F6"/>
    <w:rsid w:val="00D83F73"/>
    <w:rsid w:val="00D86AF2"/>
    <w:rsid w:val="00D87C83"/>
    <w:rsid w:val="00D90A26"/>
    <w:rsid w:val="00D90A28"/>
    <w:rsid w:val="00D90C29"/>
    <w:rsid w:val="00D92C4E"/>
    <w:rsid w:val="00D9311E"/>
    <w:rsid w:val="00D94FCE"/>
    <w:rsid w:val="00D95D9B"/>
    <w:rsid w:val="00D964B9"/>
    <w:rsid w:val="00D976E8"/>
    <w:rsid w:val="00D97D7C"/>
    <w:rsid w:val="00D97ED3"/>
    <w:rsid w:val="00DA14A0"/>
    <w:rsid w:val="00DA5AA0"/>
    <w:rsid w:val="00DA5C23"/>
    <w:rsid w:val="00DA687F"/>
    <w:rsid w:val="00DA7DD9"/>
    <w:rsid w:val="00DB02F8"/>
    <w:rsid w:val="00DB0754"/>
    <w:rsid w:val="00DB10BD"/>
    <w:rsid w:val="00DB2AF6"/>
    <w:rsid w:val="00DB36C6"/>
    <w:rsid w:val="00DB484E"/>
    <w:rsid w:val="00DB4FF1"/>
    <w:rsid w:val="00DB5A2B"/>
    <w:rsid w:val="00DB656B"/>
    <w:rsid w:val="00DB708A"/>
    <w:rsid w:val="00DC060B"/>
    <w:rsid w:val="00DC0CB0"/>
    <w:rsid w:val="00DC0EA6"/>
    <w:rsid w:val="00DC1282"/>
    <w:rsid w:val="00DC2421"/>
    <w:rsid w:val="00DC441C"/>
    <w:rsid w:val="00DC479C"/>
    <w:rsid w:val="00DC53C8"/>
    <w:rsid w:val="00DC5E81"/>
    <w:rsid w:val="00DC6CED"/>
    <w:rsid w:val="00DD0840"/>
    <w:rsid w:val="00DD17FC"/>
    <w:rsid w:val="00DD2834"/>
    <w:rsid w:val="00DD2DE4"/>
    <w:rsid w:val="00DD3C8B"/>
    <w:rsid w:val="00DD5FC5"/>
    <w:rsid w:val="00DD7AEB"/>
    <w:rsid w:val="00DE0B08"/>
    <w:rsid w:val="00DE0DFC"/>
    <w:rsid w:val="00DE2050"/>
    <w:rsid w:val="00DE3378"/>
    <w:rsid w:val="00DE35A0"/>
    <w:rsid w:val="00DE3E36"/>
    <w:rsid w:val="00DE6020"/>
    <w:rsid w:val="00DE67BB"/>
    <w:rsid w:val="00DE6F75"/>
    <w:rsid w:val="00DE71A1"/>
    <w:rsid w:val="00DF03A0"/>
    <w:rsid w:val="00DF0F3D"/>
    <w:rsid w:val="00DF1A18"/>
    <w:rsid w:val="00DF1BC7"/>
    <w:rsid w:val="00DF2296"/>
    <w:rsid w:val="00DF273B"/>
    <w:rsid w:val="00DF31FE"/>
    <w:rsid w:val="00DF752F"/>
    <w:rsid w:val="00E012DA"/>
    <w:rsid w:val="00E01B62"/>
    <w:rsid w:val="00E02C96"/>
    <w:rsid w:val="00E04DBD"/>
    <w:rsid w:val="00E05562"/>
    <w:rsid w:val="00E0574D"/>
    <w:rsid w:val="00E069C4"/>
    <w:rsid w:val="00E10D59"/>
    <w:rsid w:val="00E11821"/>
    <w:rsid w:val="00E13D56"/>
    <w:rsid w:val="00E149CE"/>
    <w:rsid w:val="00E14A70"/>
    <w:rsid w:val="00E1533A"/>
    <w:rsid w:val="00E15377"/>
    <w:rsid w:val="00E16587"/>
    <w:rsid w:val="00E20116"/>
    <w:rsid w:val="00E20D75"/>
    <w:rsid w:val="00E21547"/>
    <w:rsid w:val="00E219DF"/>
    <w:rsid w:val="00E21BB2"/>
    <w:rsid w:val="00E21ECF"/>
    <w:rsid w:val="00E21F00"/>
    <w:rsid w:val="00E22B15"/>
    <w:rsid w:val="00E22DC4"/>
    <w:rsid w:val="00E22FD9"/>
    <w:rsid w:val="00E2308A"/>
    <w:rsid w:val="00E26F98"/>
    <w:rsid w:val="00E27D9A"/>
    <w:rsid w:val="00E3149B"/>
    <w:rsid w:val="00E31B49"/>
    <w:rsid w:val="00E31B91"/>
    <w:rsid w:val="00E33261"/>
    <w:rsid w:val="00E35400"/>
    <w:rsid w:val="00E35425"/>
    <w:rsid w:val="00E36F41"/>
    <w:rsid w:val="00E414B6"/>
    <w:rsid w:val="00E41546"/>
    <w:rsid w:val="00E419D2"/>
    <w:rsid w:val="00E42B71"/>
    <w:rsid w:val="00E43144"/>
    <w:rsid w:val="00E44EEC"/>
    <w:rsid w:val="00E4562D"/>
    <w:rsid w:val="00E5234B"/>
    <w:rsid w:val="00E52911"/>
    <w:rsid w:val="00E53225"/>
    <w:rsid w:val="00E537F4"/>
    <w:rsid w:val="00E53E11"/>
    <w:rsid w:val="00E5634F"/>
    <w:rsid w:val="00E5659F"/>
    <w:rsid w:val="00E56B7F"/>
    <w:rsid w:val="00E56F08"/>
    <w:rsid w:val="00E60680"/>
    <w:rsid w:val="00E616B9"/>
    <w:rsid w:val="00E657FE"/>
    <w:rsid w:val="00E66998"/>
    <w:rsid w:val="00E67697"/>
    <w:rsid w:val="00E70656"/>
    <w:rsid w:val="00E715C3"/>
    <w:rsid w:val="00E71802"/>
    <w:rsid w:val="00E7305B"/>
    <w:rsid w:val="00E7349B"/>
    <w:rsid w:val="00E73B64"/>
    <w:rsid w:val="00E7450A"/>
    <w:rsid w:val="00E753BB"/>
    <w:rsid w:val="00E75F68"/>
    <w:rsid w:val="00E76FF8"/>
    <w:rsid w:val="00E77BA2"/>
    <w:rsid w:val="00E8215F"/>
    <w:rsid w:val="00E83DDF"/>
    <w:rsid w:val="00E85932"/>
    <w:rsid w:val="00E85BF0"/>
    <w:rsid w:val="00E85CED"/>
    <w:rsid w:val="00E860BF"/>
    <w:rsid w:val="00E87004"/>
    <w:rsid w:val="00E90C6F"/>
    <w:rsid w:val="00E90FC5"/>
    <w:rsid w:val="00E927D6"/>
    <w:rsid w:val="00E92DDB"/>
    <w:rsid w:val="00E93B30"/>
    <w:rsid w:val="00E944CF"/>
    <w:rsid w:val="00E951D7"/>
    <w:rsid w:val="00E95476"/>
    <w:rsid w:val="00E95A17"/>
    <w:rsid w:val="00E96669"/>
    <w:rsid w:val="00E96EBF"/>
    <w:rsid w:val="00EA05FC"/>
    <w:rsid w:val="00EA0DB3"/>
    <w:rsid w:val="00EA0E51"/>
    <w:rsid w:val="00EA5452"/>
    <w:rsid w:val="00EA5FD1"/>
    <w:rsid w:val="00EA6C19"/>
    <w:rsid w:val="00EA7373"/>
    <w:rsid w:val="00EB1367"/>
    <w:rsid w:val="00EB17A5"/>
    <w:rsid w:val="00EB4956"/>
    <w:rsid w:val="00EB53E3"/>
    <w:rsid w:val="00EB6593"/>
    <w:rsid w:val="00EB659E"/>
    <w:rsid w:val="00EB7B5E"/>
    <w:rsid w:val="00EC24B7"/>
    <w:rsid w:val="00EC28D2"/>
    <w:rsid w:val="00EC3419"/>
    <w:rsid w:val="00EC5C80"/>
    <w:rsid w:val="00EC6E9A"/>
    <w:rsid w:val="00EC755E"/>
    <w:rsid w:val="00ED04F9"/>
    <w:rsid w:val="00ED31FD"/>
    <w:rsid w:val="00ED40A5"/>
    <w:rsid w:val="00ED6718"/>
    <w:rsid w:val="00ED7D61"/>
    <w:rsid w:val="00EE0A8B"/>
    <w:rsid w:val="00EE0F4C"/>
    <w:rsid w:val="00EE19C3"/>
    <w:rsid w:val="00EE24D8"/>
    <w:rsid w:val="00EE33E2"/>
    <w:rsid w:val="00EE6F06"/>
    <w:rsid w:val="00EE7912"/>
    <w:rsid w:val="00EF123D"/>
    <w:rsid w:val="00EF1799"/>
    <w:rsid w:val="00EF31CA"/>
    <w:rsid w:val="00EF54FD"/>
    <w:rsid w:val="00EF6C2F"/>
    <w:rsid w:val="00EF7890"/>
    <w:rsid w:val="00F004EC"/>
    <w:rsid w:val="00F00D38"/>
    <w:rsid w:val="00F01667"/>
    <w:rsid w:val="00F02343"/>
    <w:rsid w:val="00F0287F"/>
    <w:rsid w:val="00F03022"/>
    <w:rsid w:val="00F061FA"/>
    <w:rsid w:val="00F067BB"/>
    <w:rsid w:val="00F06915"/>
    <w:rsid w:val="00F121E9"/>
    <w:rsid w:val="00F12606"/>
    <w:rsid w:val="00F1262C"/>
    <w:rsid w:val="00F129AD"/>
    <w:rsid w:val="00F20918"/>
    <w:rsid w:val="00F22A88"/>
    <w:rsid w:val="00F22CDC"/>
    <w:rsid w:val="00F244F7"/>
    <w:rsid w:val="00F25D3D"/>
    <w:rsid w:val="00F305D8"/>
    <w:rsid w:val="00F30DA6"/>
    <w:rsid w:val="00F31325"/>
    <w:rsid w:val="00F3256A"/>
    <w:rsid w:val="00F3279E"/>
    <w:rsid w:val="00F334E7"/>
    <w:rsid w:val="00F3415A"/>
    <w:rsid w:val="00F3428A"/>
    <w:rsid w:val="00F34745"/>
    <w:rsid w:val="00F34950"/>
    <w:rsid w:val="00F35E91"/>
    <w:rsid w:val="00F36C92"/>
    <w:rsid w:val="00F376AA"/>
    <w:rsid w:val="00F410ED"/>
    <w:rsid w:val="00F4176E"/>
    <w:rsid w:val="00F44B85"/>
    <w:rsid w:val="00F45279"/>
    <w:rsid w:val="00F469C0"/>
    <w:rsid w:val="00F46B14"/>
    <w:rsid w:val="00F47BCD"/>
    <w:rsid w:val="00F517DF"/>
    <w:rsid w:val="00F53D14"/>
    <w:rsid w:val="00F55943"/>
    <w:rsid w:val="00F55C20"/>
    <w:rsid w:val="00F5627A"/>
    <w:rsid w:val="00F562A1"/>
    <w:rsid w:val="00F56362"/>
    <w:rsid w:val="00F575A5"/>
    <w:rsid w:val="00F577A1"/>
    <w:rsid w:val="00F57817"/>
    <w:rsid w:val="00F57C3D"/>
    <w:rsid w:val="00F610DE"/>
    <w:rsid w:val="00F613D4"/>
    <w:rsid w:val="00F617E2"/>
    <w:rsid w:val="00F63CE5"/>
    <w:rsid w:val="00F66A79"/>
    <w:rsid w:val="00F67DF4"/>
    <w:rsid w:val="00F67FB0"/>
    <w:rsid w:val="00F72777"/>
    <w:rsid w:val="00F75AAB"/>
    <w:rsid w:val="00F7684B"/>
    <w:rsid w:val="00F775AD"/>
    <w:rsid w:val="00F77901"/>
    <w:rsid w:val="00F779A7"/>
    <w:rsid w:val="00F810CC"/>
    <w:rsid w:val="00F82BDA"/>
    <w:rsid w:val="00F83E86"/>
    <w:rsid w:val="00F8460C"/>
    <w:rsid w:val="00F848DF"/>
    <w:rsid w:val="00F8675A"/>
    <w:rsid w:val="00F86C00"/>
    <w:rsid w:val="00F87BD5"/>
    <w:rsid w:val="00F930DD"/>
    <w:rsid w:val="00F9588D"/>
    <w:rsid w:val="00FA041A"/>
    <w:rsid w:val="00FA0754"/>
    <w:rsid w:val="00FA0956"/>
    <w:rsid w:val="00FA1573"/>
    <w:rsid w:val="00FA2626"/>
    <w:rsid w:val="00FA2AF9"/>
    <w:rsid w:val="00FA4335"/>
    <w:rsid w:val="00FA6CCB"/>
    <w:rsid w:val="00FB0481"/>
    <w:rsid w:val="00FB0716"/>
    <w:rsid w:val="00FB20B7"/>
    <w:rsid w:val="00FB7867"/>
    <w:rsid w:val="00FC1949"/>
    <w:rsid w:val="00FC2148"/>
    <w:rsid w:val="00FC281D"/>
    <w:rsid w:val="00FC4203"/>
    <w:rsid w:val="00FC43A5"/>
    <w:rsid w:val="00FC587E"/>
    <w:rsid w:val="00FC61A6"/>
    <w:rsid w:val="00FC647A"/>
    <w:rsid w:val="00FC7EE2"/>
    <w:rsid w:val="00FD391D"/>
    <w:rsid w:val="00FD3DB2"/>
    <w:rsid w:val="00FD72BB"/>
    <w:rsid w:val="00FD7B05"/>
    <w:rsid w:val="00FE0089"/>
    <w:rsid w:val="00FE036A"/>
    <w:rsid w:val="00FE3C23"/>
    <w:rsid w:val="00FE435A"/>
    <w:rsid w:val="00FE4AF1"/>
    <w:rsid w:val="00FE72AC"/>
    <w:rsid w:val="00FF0105"/>
    <w:rsid w:val="00FF0F13"/>
    <w:rsid w:val="00FF1892"/>
    <w:rsid w:val="00FF1D3E"/>
    <w:rsid w:val="00FF2873"/>
    <w:rsid w:val="00FF2B2F"/>
    <w:rsid w:val="00FF2C59"/>
    <w:rsid w:val="00FF2CAB"/>
    <w:rsid w:val="00FF3321"/>
    <w:rsid w:val="00FF511E"/>
    <w:rsid w:val="00FF5942"/>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149CE"/>
    <w:pPr>
      <w:spacing w:before="240" w:line="360" w:lineRule="auto"/>
      <w:jc w:val="both"/>
    </w:pPr>
    <w:rPr>
      <w:sz w:val="24"/>
    </w:rPr>
  </w:style>
  <w:style w:type="paragraph" w:styleId="Heading1">
    <w:name w:val="heading 1"/>
    <w:basedOn w:val="Normal"/>
    <w:next w:val="ListNumber"/>
    <w:qFormat/>
    <w:rsid w:val="00E149CE"/>
    <w:pPr>
      <w:keepNext/>
      <w:spacing w:before="360" w:line="240" w:lineRule="auto"/>
      <w:jc w:val="left"/>
      <w:outlineLvl w:val="0"/>
    </w:pPr>
    <w:rPr>
      <w:b/>
      <w:caps/>
    </w:rPr>
  </w:style>
  <w:style w:type="paragraph" w:styleId="Heading2">
    <w:name w:val="heading 2"/>
    <w:basedOn w:val="Normal"/>
    <w:next w:val="ListNumber"/>
    <w:qFormat/>
    <w:rsid w:val="00E149CE"/>
    <w:pPr>
      <w:keepNext/>
      <w:spacing w:before="360" w:line="240" w:lineRule="auto"/>
      <w:jc w:val="left"/>
      <w:outlineLvl w:val="1"/>
    </w:pPr>
    <w:rPr>
      <w:b/>
    </w:rPr>
  </w:style>
  <w:style w:type="paragraph" w:styleId="Heading3">
    <w:name w:val="heading 3"/>
    <w:basedOn w:val="Normal"/>
    <w:next w:val="ListNumber"/>
    <w:link w:val="Heading3Char"/>
    <w:qFormat/>
    <w:rsid w:val="00E149CE"/>
    <w:pPr>
      <w:keepNext/>
      <w:spacing w:before="360" w:line="240" w:lineRule="auto"/>
      <w:jc w:val="left"/>
      <w:outlineLvl w:val="2"/>
    </w:pPr>
    <w:rPr>
      <w:b/>
      <w:i/>
    </w:rPr>
  </w:style>
  <w:style w:type="paragraph" w:styleId="Heading4">
    <w:name w:val="heading 4"/>
    <w:basedOn w:val="Heading3"/>
    <w:next w:val="Normal"/>
    <w:link w:val="Heading4Char"/>
    <w:unhideWhenUsed/>
    <w:qFormat/>
    <w:rsid w:val="00E149CE"/>
    <w:pPr>
      <w:outlineLvl w:val="3"/>
    </w:pPr>
    <w:rPr>
      <w:rFonts w:eastAsiaTheme="majorEastAsia" w:cstheme="majorBidi"/>
      <w:b w:val="0"/>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rsid w:val="00E149CE"/>
  </w:style>
  <w:style w:type="paragraph" w:customStyle="1" w:styleId="CatchWords">
    <w:name w:val="CatchWords"/>
    <w:basedOn w:val="Normal"/>
    <w:qFormat/>
    <w:rsid w:val="00E149CE"/>
    <w:pPr>
      <w:spacing w:after="120"/>
      <w:contextualSpacing/>
    </w:pPr>
    <w:rPr>
      <w:i/>
      <w:sz w:val="22"/>
    </w:rPr>
  </w:style>
  <w:style w:type="paragraph" w:customStyle="1" w:styleId="FooterPage1">
    <w:name w:val="Footer Page1"/>
    <w:basedOn w:val="Footer"/>
    <w:rsid w:val="00E149CE"/>
    <w:pPr>
      <w:jc w:val="left"/>
    </w:pPr>
    <w:rPr>
      <w:b w:val="0"/>
      <w:caps w:val="0"/>
      <w:sz w:val="13"/>
    </w:rPr>
  </w:style>
  <w:style w:type="paragraph" w:customStyle="1" w:styleId="NumberedQuote2">
    <w:name w:val="Numbered Quote 2"/>
    <w:basedOn w:val="Quote"/>
    <w:qFormat/>
    <w:rsid w:val="00E149CE"/>
    <w:pPr>
      <w:numPr>
        <w:numId w:val="18"/>
      </w:numPr>
    </w:pPr>
  </w:style>
  <w:style w:type="paragraph" w:styleId="Quote">
    <w:name w:val="Quote"/>
    <w:basedOn w:val="Normal"/>
    <w:qFormat/>
    <w:rsid w:val="00E149CE"/>
    <w:pPr>
      <w:spacing w:before="120" w:line="240" w:lineRule="auto"/>
      <w:ind w:left="709"/>
    </w:pPr>
    <w:rPr>
      <w:sz w:val="22"/>
    </w:rPr>
  </w:style>
  <w:style w:type="paragraph" w:styleId="Footer">
    <w:name w:val="footer"/>
    <w:basedOn w:val="Normal"/>
    <w:rsid w:val="00E149CE"/>
    <w:rPr>
      <w:rFonts w:ascii="Arial" w:hAnsi="Arial"/>
      <w:b/>
      <w:caps/>
      <w:sz w:val="16"/>
    </w:rPr>
  </w:style>
  <w:style w:type="numbering" w:customStyle="1" w:styleId="Style1">
    <w:name w:val="Style1"/>
    <w:basedOn w:val="NoList"/>
    <w:rsid w:val="00E149CE"/>
    <w:pPr>
      <w:numPr>
        <w:numId w:val="6"/>
      </w:numPr>
    </w:pPr>
  </w:style>
  <w:style w:type="numbering" w:customStyle="1" w:styleId="Style2">
    <w:name w:val="Style2"/>
    <w:rsid w:val="00E149CE"/>
    <w:pPr>
      <w:numPr>
        <w:numId w:val="7"/>
      </w:numPr>
    </w:pPr>
  </w:style>
  <w:style w:type="character" w:customStyle="1" w:styleId="Heading3Char">
    <w:name w:val="Heading 3 Char"/>
    <w:basedOn w:val="DefaultParagraphFont"/>
    <w:link w:val="Heading3"/>
    <w:rsid w:val="00E149CE"/>
    <w:rPr>
      <w:b/>
      <w:i/>
      <w:sz w:val="24"/>
    </w:rPr>
  </w:style>
  <w:style w:type="table" w:styleId="TableGrid">
    <w:name w:val="Table Grid"/>
    <w:basedOn w:val="TableNormal"/>
    <w:rsid w:val="00E1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E149CE"/>
    <w:pPr>
      <w:spacing w:after="240"/>
    </w:pPr>
  </w:style>
  <w:style w:type="paragraph" w:styleId="NormalIndent">
    <w:name w:val="Normal Indent"/>
    <w:basedOn w:val="Normal"/>
    <w:qFormat/>
    <w:rsid w:val="00E149CE"/>
    <w:pPr>
      <w:ind w:left="709"/>
    </w:pPr>
  </w:style>
  <w:style w:type="paragraph" w:customStyle="1" w:styleId="NumberedQuote3">
    <w:name w:val="Numbered Quote 3"/>
    <w:basedOn w:val="Quote"/>
    <w:qFormat/>
    <w:rsid w:val="00E149CE"/>
    <w:pPr>
      <w:numPr>
        <w:ilvl w:val="1"/>
        <w:numId w:val="18"/>
      </w:numPr>
    </w:pPr>
  </w:style>
  <w:style w:type="paragraph" w:customStyle="1" w:styleId="NumberedQuote4">
    <w:name w:val="Numbered Quote 4"/>
    <w:basedOn w:val="Quote"/>
    <w:qFormat/>
    <w:rsid w:val="00E149CE"/>
    <w:pPr>
      <w:numPr>
        <w:ilvl w:val="2"/>
        <w:numId w:val="18"/>
      </w:numPr>
    </w:pPr>
  </w:style>
  <w:style w:type="paragraph" w:styleId="ListBullet">
    <w:name w:val="List Bullet"/>
    <w:basedOn w:val="Normal"/>
    <w:qFormat/>
    <w:rsid w:val="00E149CE"/>
    <w:pPr>
      <w:numPr>
        <w:numId w:val="10"/>
      </w:numPr>
      <w:spacing w:before="120"/>
      <w:jc w:val="left"/>
    </w:pPr>
    <w:rPr>
      <w:rFonts w:eastAsia="MS Mincho"/>
      <w:szCs w:val="24"/>
      <w:lang w:eastAsia="ja-JP"/>
    </w:rPr>
  </w:style>
  <w:style w:type="paragraph" w:styleId="ListBullet2">
    <w:name w:val="List Bullet 2"/>
    <w:basedOn w:val="Normal"/>
    <w:qFormat/>
    <w:rsid w:val="00E149CE"/>
    <w:pPr>
      <w:numPr>
        <w:ilvl w:val="1"/>
        <w:numId w:val="10"/>
      </w:numPr>
      <w:spacing w:before="120"/>
      <w:jc w:val="left"/>
    </w:pPr>
    <w:rPr>
      <w:rFonts w:eastAsia="MS Mincho"/>
      <w:szCs w:val="24"/>
      <w:lang w:eastAsia="ja-JP"/>
    </w:rPr>
  </w:style>
  <w:style w:type="paragraph" w:styleId="ListNumber">
    <w:name w:val="List Number"/>
    <w:basedOn w:val="Normal"/>
    <w:qFormat/>
    <w:rsid w:val="00E149CE"/>
    <w:pPr>
      <w:numPr>
        <w:numId w:val="14"/>
      </w:numPr>
      <w:spacing w:before="360"/>
    </w:pPr>
    <w:rPr>
      <w:rFonts w:eastAsia="MS Mincho"/>
      <w:szCs w:val="24"/>
      <w:lang w:eastAsia="ja-JP"/>
    </w:rPr>
  </w:style>
  <w:style w:type="paragraph" w:styleId="ListNumber2">
    <w:name w:val="List Number 2"/>
    <w:basedOn w:val="Normal"/>
    <w:qFormat/>
    <w:rsid w:val="00E149CE"/>
    <w:pPr>
      <w:numPr>
        <w:ilvl w:val="1"/>
        <w:numId w:val="14"/>
      </w:numPr>
    </w:pPr>
    <w:rPr>
      <w:rFonts w:eastAsia="MS Mincho"/>
      <w:szCs w:val="24"/>
      <w:lang w:eastAsia="ja-JP"/>
    </w:rPr>
  </w:style>
  <w:style w:type="paragraph" w:styleId="ListNumber3">
    <w:name w:val="List Number 3"/>
    <w:basedOn w:val="Normal"/>
    <w:qFormat/>
    <w:rsid w:val="00E149CE"/>
    <w:pPr>
      <w:numPr>
        <w:ilvl w:val="2"/>
        <w:numId w:val="14"/>
      </w:numPr>
    </w:pPr>
    <w:rPr>
      <w:rFonts w:eastAsia="MS Mincho"/>
      <w:szCs w:val="24"/>
      <w:lang w:eastAsia="ja-JP"/>
    </w:rPr>
  </w:style>
  <w:style w:type="table" w:customStyle="1" w:styleId="TableAAT">
    <w:name w:val="Table AAT"/>
    <w:basedOn w:val="TableNormal"/>
    <w:qFormat/>
    <w:rsid w:val="00E149CE"/>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E149CE"/>
    <w:pPr>
      <w:numPr>
        <w:numId w:val="2"/>
      </w:numPr>
    </w:pPr>
  </w:style>
  <w:style w:type="paragraph" w:styleId="NoSpacing">
    <w:name w:val="No Spacing"/>
    <w:uiPriority w:val="1"/>
    <w:qFormat/>
    <w:rsid w:val="00E149CE"/>
    <w:pPr>
      <w:jc w:val="both"/>
    </w:pPr>
    <w:rPr>
      <w:sz w:val="24"/>
    </w:rPr>
  </w:style>
  <w:style w:type="paragraph" w:customStyle="1" w:styleId="Label">
    <w:name w:val="Label"/>
    <w:basedOn w:val="Normal"/>
    <w:rsid w:val="00E149CE"/>
    <w:pPr>
      <w:spacing w:before="180" w:after="180" w:line="240" w:lineRule="auto"/>
    </w:pPr>
    <w:rPr>
      <w:sz w:val="20"/>
    </w:rPr>
  </w:style>
  <w:style w:type="paragraph" w:styleId="BalloonText">
    <w:name w:val="Balloon Text"/>
    <w:basedOn w:val="Normal"/>
    <w:link w:val="BalloonTextChar"/>
    <w:semiHidden/>
    <w:rsid w:val="00E149C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149CE"/>
    <w:rPr>
      <w:rFonts w:ascii="Tahoma" w:hAnsi="Tahoma" w:cs="Tahoma"/>
      <w:sz w:val="16"/>
      <w:szCs w:val="16"/>
    </w:rPr>
  </w:style>
  <w:style w:type="paragraph" w:styleId="Header">
    <w:name w:val="header"/>
    <w:basedOn w:val="Normal"/>
    <w:link w:val="HeaderChar"/>
    <w:rsid w:val="00E149CE"/>
    <w:pPr>
      <w:tabs>
        <w:tab w:val="center" w:pos="4513"/>
        <w:tab w:val="right" w:pos="9026"/>
      </w:tabs>
      <w:spacing w:before="0" w:line="240" w:lineRule="auto"/>
    </w:pPr>
  </w:style>
  <w:style w:type="character" w:customStyle="1" w:styleId="HeaderChar">
    <w:name w:val="Header Char"/>
    <w:basedOn w:val="DefaultParagraphFont"/>
    <w:link w:val="Header"/>
    <w:rsid w:val="00E149CE"/>
    <w:rPr>
      <w:sz w:val="24"/>
    </w:rPr>
  </w:style>
  <w:style w:type="paragraph" w:customStyle="1" w:styleId="Details">
    <w:name w:val="Details"/>
    <w:basedOn w:val="Normal"/>
    <w:qFormat/>
    <w:rsid w:val="00E149CE"/>
    <w:pPr>
      <w:contextualSpacing/>
    </w:pPr>
    <w:rPr>
      <w:b/>
      <w:bCs/>
    </w:rPr>
  </w:style>
  <w:style w:type="paragraph" w:styleId="FootnoteText">
    <w:name w:val="footnote text"/>
    <w:basedOn w:val="Normal"/>
    <w:link w:val="FootnoteTextChar"/>
    <w:qFormat/>
    <w:rsid w:val="00E149CE"/>
    <w:pPr>
      <w:tabs>
        <w:tab w:val="left" w:pos="284"/>
      </w:tabs>
      <w:spacing w:before="60" w:line="240" w:lineRule="auto"/>
    </w:pPr>
    <w:rPr>
      <w:sz w:val="18"/>
    </w:rPr>
  </w:style>
  <w:style w:type="character" w:customStyle="1" w:styleId="FootnoteTextChar">
    <w:name w:val="Footnote Text Char"/>
    <w:basedOn w:val="DefaultParagraphFont"/>
    <w:link w:val="FootnoteText"/>
    <w:rsid w:val="00E149CE"/>
    <w:rPr>
      <w:sz w:val="18"/>
    </w:rPr>
  </w:style>
  <w:style w:type="character" w:styleId="FootnoteReference">
    <w:name w:val="footnote reference"/>
    <w:basedOn w:val="DefaultParagraphFont"/>
    <w:rsid w:val="00E149CE"/>
    <w:rPr>
      <w:vertAlign w:val="superscript"/>
    </w:rPr>
  </w:style>
  <w:style w:type="numbering" w:customStyle="1" w:styleId="ListNumbers">
    <w:name w:val="ListNumbers"/>
    <w:uiPriority w:val="99"/>
    <w:rsid w:val="00E149CE"/>
    <w:pPr>
      <w:numPr>
        <w:numId w:val="4"/>
      </w:numPr>
    </w:pPr>
  </w:style>
  <w:style w:type="character" w:styleId="PlaceholderText">
    <w:name w:val="Placeholder Text"/>
    <w:basedOn w:val="DefaultParagraphFont"/>
    <w:uiPriority w:val="99"/>
    <w:semiHidden/>
    <w:rsid w:val="00E149CE"/>
    <w:rPr>
      <w:color w:val="808080"/>
    </w:rPr>
  </w:style>
  <w:style w:type="paragraph" w:styleId="Title">
    <w:name w:val="Title"/>
    <w:basedOn w:val="Normal"/>
    <w:next w:val="Normal"/>
    <w:link w:val="TitleChar"/>
    <w:rsid w:val="00E149CE"/>
    <w:pPr>
      <w:tabs>
        <w:tab w:val="left" w:pos="5681"/>
      </w:tabs>
    </w:pPr>
    <w:rPr>
      <w:rFonts w:eastAsiaTheme="majorEastAsia" w:cstheme="majorBidi"/>
      <w:b/>
      <w:szCs w:val="52"/>
    </w:rPr>
  </w:style>
  <w:style w:type="character" w:customStyle="1" w:styleId="TitleChar">
    <w:name w:val="Title Char"/>
    <w:basedOn w:val="DefaultParagraphFont"/>
    <w:link w:val="Title"/>
    <w:rsid w:val="00E149CE"/>
    <w:rPr>
      <w:rFonts w:eastAsiaTheme="majorEastAsia" w:cstheme="majorBidi"/>
      <w:b/>
      <w:sz w:val="24"/>
      <w:szCs w:val="52"/>
    </w:rPr>
  </w:style>
  <w:style w:type="numbering" w:customStyle="1" w:styleId="Quotes">
    <w:name w:val="Quotes"/>
    <w:uiPriority w:val="99"/>
    <w:rsid w:val="00E149CE"/>
    <w:pPr>
      <w:numPr>
        <w:numId w:val="5"/>
      </w:numPr>
    </w:pPr>
  </w:style>
  <w:style w:type="paragraph" w:customStyle="1" w:styleId="Quote2">
    <w:name w:val="Quote 2"/>
    <w:basedOn w:val="Quote"/>
    <w:qFormat/>
    <w:rsid w:val="00E149CE"/>
    <w:pPr>
      <w:ind w:left="1276"/>
    </w:pPr>
  </w:style>
  <w:style w:type="paragraph" w:customStyle="1" w:styleId="Quote3">
    <w:name w:val="Quote 3"/>
    <w:basedOn w:val="Quote"/>
    <w:qFormat/>
    <w:rsid w:val="00E149CE"/>
    <w:pPr>
      <w:ind w:left="1843"/>
    </w:pPr>
  </w:style>
  <w:style w:type="paragraph" w:customStyle="1" w:styleId="Quote4">
    <w:name w:val="Quote 4"/>
    <w:basedOn w:val="Quote"/>
    <w:qFormat/>
    <w:rsid w:val="00E149CE"/>
    <w:pPr>
      <w:ind w:left="2410"/>
    </w:pPr>
  </w:style>
  <w:style w:type="paragraph" w:customStyle="1" w:styleId="FollowingPara">
    <w:name w:val="FollowingPara"/>
    <w:basedOn w:val="Normal"/>
    <w:qFormat/>
    <w:rsid w:val="00E149CE"/>
  </w:style>
  <w:style w:type="paragraph" w:customStyle="1" w:styleId="TableText">
    <w:name w:val="Table Text"/>
    <w:basedOn w:val="Normal"/>
    <w:qFormat/>
    <w:rsid w:val="00E149CE"/>
    <w:rPr>
      <w:sz w:val="22"/>
    </w:rPr>
  </w:style>
  <w:style w:type="paragraph" w:styleId="ListParagraph">
    <w:name w:val="List Paragraph"/>
    <w:basedOn w:val="Normal"/>
    <w:uiPriority w:val="34"/>
    <w:qFormat/>
    <w:rsid w:val="00E149CE"/>
    <w:pPr>
      <w:ind w:left="720"/>
      <w:contextualSpacing/>
    </w:pPr>
  </w:style>
  <w:style w:type="character" w:customStyle="1" w:styleId="Heading4Char">
    <w:name w:val="Heading 4 Char"/>
    <w:basedOn w:val="DefaultParagraphFont"/>
    <w:link w:val="Heading4"/>
    <w:rsid w:val="00E149CE"/>
    <w:rPr>
      <w:rFonts w:eastAsiaTheme="majorEastAsia" w:cstheme="majorBidi"/>
      <w:bCs/>
      <w:i/>
      <w:iCs/>
      <w:sz w:val="24"/>
    </w:rPr>
  </w:style>
  <w:style w:type="paragraph" w:customStyle="1" w:styleId="Act-paragraph">
    <w:name w:val="Act - paragraph"/>
    <w:basedOn w:val="Quote"/>
    <w:qFormat/>
    <w:rsid w:val="00AD6D53"/>
    <w:pPr>
      <w:tabs>
        <w:tab w:val="right" w:pos="1531"/>
      </w:tabs>
      <w:spacing w:before="60"/>
      <w:ind w:left="1644" w:hanging="510"/>
    </w:pPr>
  </w:style>
  <w:style w:type="paragraph" w:customStyle="1" w:styleId="Act-sectionhead">
    <w:name w:val="Act - section head"/>
    <w:basedOn w:val="Quote"/>
    <w:next w:val="Act-subsection"/>
    <w:qFormat/>
    <w:rsid w:val="00844DB3"/>
    <w:pPr>
      <w:keepNext/>
      <w:spacing w:before="180"/>
      <w:ind w:left="1134" w:hanging="425"/>
    </w:pPr>
    <w:rPr>
      <w:b/>
    </w:rPr>
  </w:style>
  <w:style w:type="paragraph" w:customStyle="1" w:styleId="Act-subparagraph">
    <w:name w:val="Act - subparagraph"/>
    <w:basedOn w:val="Quote"/>
    <w:qFormat/>
    <w:rsid w:val="00AD6D53"/>
    <w:pPr>
      <w:tabs>
        <w:tab w:val="right" w:pos="1985"/>
      </w:tabs>
      <w:spacing w:before="60"/>
      <w:ind w:left="2098" w:hanging="454"/>
    </w:pPr>
  </w:style>
  <w:style w:type="paragraph" w:customStyle="1" w:styleId="Act-subsection">
    <w:name w:val="Act - subsection"/>
    <w:basedOn w:val="Quote"/>
    <w:qFormat/>
    <w:rsid w:val="00AD6D53"/>
    <w:pPr>
      <w:tabs>
        <w:tab w:val="right" w:pos="1021"/>
      </w:tabs>
      <w:ind w:left="1134" w:hanging="425"/>
    </w:pPr>
  </w:style>
  <w:style w:type="paragraph" w:customStyle="1" w:styleId="Act-subsectionhead">
    <w:name w:val="Act - subsection head"/>
    <w:basedOn w:val="Quote"/>
    <w:next w:val="Act-subsection"/>
    <w:qFormat/>
    <w:rsid w:val="00844DB3"/>
    <w:pPr>
      <w:keepNext/>
      <w:spacing w:before="180"/>
      <w:ind w:left="1559" w:hanging="425"/>
    </w:pPr>
    <w:rPr>
      <w:i/>
    </w:rPr>
  </w:style>
  <w:style w:type="paragraph" w:customStyle="1" w:styleId="Act-note">
    <w:name w:val="Act - note"/>
    <w:basedOn w:val="Act-subsection"/>
    <w:next w:val="Act-subsection"/>
    <w:qFormat/>
    <w:rsid w:val="00FE0089"/>
    <w:pPr>
      <w:tabs>
        <w:tab w:val="clear" w:pos="1021"/>
      </w:tabs>
      <w:ind w:left="1985" w:hanging="851"/>
    </w:pPr>
    <w:rPr>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style>
  <w:style w:type="character" w:styleId="Hyperlink">
    <w:name w:val="Hyperlink"/>
    <w:basedOn w:val="DefaultParagraphFont"/>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149CE"/>
    <w:pPr>
      <w:spacing w:before="240" w:line="360" w:lineRule="auto"/>
      <w:jc w:val="both"/>
    </w:pPr>
    <w:rPr>
      <w:sz w:val="24"/>
    </w:rPr>
  </w:style>
  <w:style w:type="paragraph" w:styleId="Heading1">
    <w:name w:val="heading 1"/>
    <w:basedOn w:val="Normal"/>
    <w:next w:val="ListNumber"/>
    <w:qFormat/>
    <w:rsid w:val="00E149CE"/>
    <w:pPr>
      <w:keepNext/>
      <w:spacing w:before="360" w:line="240" w:lineRule="auto"/>
      <w:jc w:val="left"/>
      <w:outlineLvl w:val="0"/>
    </w:pPr>
    <w:rPr>
      <w:b/>
      <w:caps/>
    </w:rPr>
  </w:style>
  <w:style w:type="paragraph" w:styleId="Heading2">
    <w:name w:val="heading 2"/>
    <w:basedOn w:val="Normal"/>
    <w:next w:val="ListNumber"/>
    <w:qFormat/>
    <w:rsid w:val="00E149CE"/>
    <w:pPr>
      <w:keepNext/>
      <w:spacing w:before="360" w:line="240" w:lineRule="auto"/>
      <w:jc w:val="left"/>
      <w:outlineLvl w:val="1"/>
    </w:pPr>
    <w:rPr>
      <w:b/>
    </w:rPr>
  </w:style>
  <w:style w:type="paragraph" w:styleId="Heading3">
    <w:name w:val="heading 3"/>
    <w:basedOn w:val="Normal"/>
    <w:next w:val="ListNumber"/>
    <w:link w:val="Heading3Char"/>
    <w:qFormat/>
    <w:rsid w:val="00E149CE"/>
    <w:pPr>
      <w:keepNext/>
      <w:spacing w:before="360" w:line="240" w:lineRule="auto"/>
      <w:jc w:val="left"/>
      <w:outlineLvl w:val="2"/>
    </w:pPr>
    <w:rPr>
      <w:b/>
      <w:i/>
    </w:rPr>
  </w:style>
  <w:style w:type="paragraph" w:styleId="Heading4">
    <w:name w:val="heading 4"/>
    <w:basedOn w:val="Heading3"/>
    <w:next w:val="Normal"/>
    <w:link w:val="Heading4Char"/>
    <w:unhideWhenUsed/>
    <w:qFormat/>
    <w:rsid w:val="00E149CE"/>
    <w:pPr>
      <w:outlineLvl w:val="3"/>
    </w:pPr>
    <w:rPr>
      <w:rFonts w:eastAsiaTheme="majorEastAsia" w:cstheme="majorBidi"/>
      <w:b w:val="0"/>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rsid w:val="00E149CE"/>
  </w:style>
  <w:style w:type="paragraph" w:customStyle="1" w:styleId="CatchWords">
    <w:name w:val="CatchWords"/>
    <w:basedOn w:val="Normal"/>
    <w:qFormat/>
    <w:rsid w:val="00E149CE"/>
    <w:pPr>
      <w:spacing w:after="120"/>
      <w:contextualSpacing/>
    </w:pPr>
    <w:rPr>
      <w:i/>
      <w:sz w:val="22"/>
    </w:rPr>
  </w:style>
  <w:style w:type="paragraph" w:customStyle="1" w:styleId="FooterPage1">
    <w:name w:val="Footer Page1"/>
    <w:basedOn w:val="Footer"/>
    <w:rsid w:val="00E149CE"/>
    <w:pPr>
      <w:jc w:val="left"/>
    </w:pPr>
    <w:rPr>
      <w:b w:val="0"/>
      <w:caps w:val="0"/>
      <w:sz w:val="13"/>
    </w:rPr>
  </w:style>
  <w:style w:type="paragraph" w:customStyle="1" w:styleId="NumberedQuote2">
    <w:name w:val="Numbered Quote 2"/>
    <w:basedOn w:val="Quote"/>
    <w:qFormat/>
    <w:rsid w:val="00E149CE"/>
    <w:pPr>
      <w:numPr>
        <w:numId w:val="18"/>
      </w:numPr>
    </w:pPr>
  </w:style>
  <w:style w:type="paragraph" w:styleId="Quote">
    <w:name w:val="Quote"/>
    <w:basedOn w:val="Normal"/>
    <w:qFormat/>
    <w:rsid w:val="00E149CE"/>
    <w:pPr>
      <w:spacing w:before="120" w:line="240" w:lineRule="auto"/>
      <w:ind w:left="709"/>
    </w:pPr>
    <w:rPr>
      <w:sz w:val="22"/>
    </w:rPr>
  </w:style>
  <w:style w:type="paragraph" w:styleId="Footer">
    <w:name w:val="footer"/>
    <w:basedOn w:val="Normal"/>
    <w:rsid w:val="00E149CE"/>
    <w:rPr>
      <w:rFonts w:ascii="Arial" w:hAnsi="Arial"/>
      <w:b/>
      <w:caps/>
      <w:sz w:val="16"/>
    </w:rPr>
  </w:style>
  <w:style w:type="numbering" w:customStyle="1" w:styleId="Style1">
    <w:name w:val="Style1"/>
    <w:basedOn w:val="NoList"/>
    <w:rsid w:val="00E149CE"/>
    <w:pPr>
      <w:numPr>
        <w:numId w:val="6"/>
      </w:numPr>
    </w:pPr>
  </w:style>
  <w:style w:type="numbering" w:customStyle="1" w:styleId="Style2">
    <w:name w:val="Style2"/>
    <w:rsid w:val="00E149CE"/>
    <w:pPr>
      <w:numPr>
        <w:numId w:val="7"/>
      </w:numPr>
    </w:pPr>
  </w:style>
  <w:style w:type="character" w:customStyle="1" w:styleId="Heading3Char">
    <w:name w:val="Heading 3 Char"/>
    <w:basedOn w:val="DefaultParagraphFont"/>
    <w:link w:val="Heading3"/>
    <w:rsid w:val="00E149CE"/>
    <w:rPr>
      <w:b/>
      <w:i/>
      <w:sz w:val="24"/>
    </w:rPr>
  </w:style>
  <w:style w:type="table" w:styleId="TableGrid">
    <w:name w:val="Table Grid"/>
    <w:basedOn w:val="TableNormal"/>
    <w:rsid w:val="00E1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E149CE"/>
    <w:pPr>
      <w:spacing w:after="240"/>
    </w:pPr>
  </w:style>
  <w:style w:type="paragraph" w:styleId="NormalIndent">
    <w:name w:val="Normal Indent"/>
    <w:basedOn w:val="Normal"/>
    <w:qFormat/>
    <w:rsid w:val="00E149CE"/>
    <w:pPr>
      <w:ind w:left="709"/>
    </w:pPr>
  </w:style>
  <w:style w:type="paragraph" w:customStyle="1" w:styleId="NumberedQuote3">
    <w:name w:val="Numbered Quote 3"/>
    <w:basedOn w:val="Quote"/>
    <w:qFormat/>
    <w:rsid w:val="00E149CE"/>
    <w:pPr>
      <w:numPr>
        <w:ilvl w:val="1"/>
        <w:numId w:val="18"/>
      </w:numPr>
    </w:pPr>
  </w:style>
  <w:style w:type="paragraph" w:customStyle="1" w:styleId="NumberedQuote4">
    <w:name w:val="Numbered Quote 4"/>
    <w:basedOn w:val="Quote"/>
    <w:qFormat/>
    <w:rsid w:val="00E149CE"/>
    <w:pPr>
      <w:numPr>
        <w:ilvl w:val="2"/>
        <w:numId w:val="18"/>
      </w:numPr>
    </w:pPr>
  </w:style>
  <w:style w:type="paragraph" w:styleId="ListBullet">
    <w:name w:val="List Bullet"/>
    <w:basedOn w:val="Normal"/>
    <w:qFormat/>
    <w:rsid w:val="00E149CE"/>
    <w:pPr>
      <w:numPr>
        <w:numId w:val="10"/>
      </w:numPr>
      <w:spacing w:before="120"/>
      <w:jc w:val="left"/>
    </w:pPr>
    <w:rPr>
      <w:rFonts w:eastAsia="MS Mincho"/>
      <w:szCs w:val="24"/>
      <w:lang w:eastAsia="ja-JP"/>
    </w:rPr>
  </w:style>
  <w:style w:type="paragraph" w:styleId="ListBullet2">
    <w:name w:val="List Bullet 2"/>
    <w:basedOn w:val="Normal"/>
    <w:qFormat/>
    <w:rsid w:val="00E149CE"/>
    <w:pPr>
      <w:numPr>
        <w:ilvl w:val="1"/>
        <w:numId w:val="10"/>
      </w:numPr>
      <w:spacing w:before="120"/>
      <w:jc w:val="left"/>
    </w:pPr>
    <w:rPr>
      <w:rFonts w:eastAsia="MS Mincho"/>
      <w:szCs w:val="24"/>
      <w:lang w:eastAsia="ja-JP"/>
    </w:rPr>
  </w:style>
  <w:style w:type="paragraph" w:styleId="ListNumber">
    <w:name w:val="List Number"/>
    <w:basedOn w:val="Normal"/>
    <w:qFormat/>
    <w:rsid w:val="00E149CE"/>
    <w:pPr>
      <w:numPr>
        <w:numId w:val="14"/>
      </w:numPr>
      <w:spacing w:before="360"/>
    </w:pPr>
    <w:rPr>
      <w:rFonts w:eastAsia="MS Mincho"/>
      <w:szCs w:val="24"/>
      <w:lang w:eastAsia="ja-JP"/>
    </w:rPr>
  </w:style>
  <w:style w:type="paragraph" w:styleId="ListNumber2">
    <w:name w:val="List Number 2"/>
    <w:basedOn w:val="Normal"/>
    <w:qFormat/>
    <w:rsid w:val="00E149CE"/>
    <w:pPr>
      <w:numPr>
        <w:ilvl w:val="1"/>
        <w:numId w:val="14"/>
      </w:numPr>
    </w:pPr>
    <w:rPr>
      <w:rFonts w:eastAsia="MS Mincho"/>
      <w:szCs w:val="24"/>
      <w:lang w:eastAsia="ja-JP"/>
    </w:rPr>
  </w:style>
  <w:style w:type="paragraph" w:styleId="ListNumber3">
    <w:name w:val="List Number 3"/>
    <w:basedOn w:val="Normal"/>
    <w:qFormat/>
    <w:rsid w:val="00E149CE"/>
    <w:pPr>
      <w:numPr>
        <w:ilvl w:val="2"/>
        <w:numId w:val="14"/>
      </w:numPr>
    </w:pPr>
    <w:rPr>
      <w:rFonts w:eastAsia="MS Mincho"/>
      <w:szCs w:val="24"/>
      <w:lang w:eastAsia="ja-JP"/>
    </w:rPr>
  </w:style>
  <w:style w:type="table" w:customStyle="1" w:styleId="TableAAT">
    <w:name w:val="Table AAT"/>
    <w:basedOn w:val="TableNormal"/>
    <w:qFormat/>
    <w:rsid w:val="00E149CE"/>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E149CE"/>
    <w:pPr>
      <w:numPr>
        <w:numId w:val="2"/>
      </w:numPr>
    </w:pPr>
  </w:style>
  <w:style w:type="paragraph" w:styleId="NoSpacing">
    <w:name w:val="No Spacing"/>
    <w:uiPriority w:val="1"/>
    <w:qFormat/>
    <w:rsid w:val="00E149CE"/>
    <w:pPr>
      <w:jc w:val="both"/>
    </w:pPr>
    <w:rPr>
      <w:sz w:val="24"/>
    </w:rPr>
  </w:style>
  <w:style w:type="paragraph" w:customStyle="1" w:styleId="Label">
    <w:name w:val="Label"/>
    <w:basedOn w:val="Normal"/>
    <w:rsid w:val="00E149CE"/>
    <w:pPr>
      <w:spacing w:before="180" w:after="180" w:line="240" w:lineRule="auto"/>
    </w:pPr>
    <w:rPr>
      <w:sz w:val="20"/>
    </w:rPr>
  </w:style>
  <w:style w:type="paragraph" w:styleId="BalloonText">
    <w:name w:val="Balloon Text"/>
    <w:basedOn w:val="Normal"/>
    <w:link w:val="BalloonTextChar"/>
    <w:semiHidden/>
    <w:rsid w:val="00E149C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149CE"/>
    <w:rPr>
      <w:rFonts w:ascii="Tahoma" w:hAnsi="Tahoma" w:cs="Tahoma"/>
      <w:sz w:val="16"/>
      <w:szCs w:val="16"/>
    </w:rPr>
  </w:style>
  <w:style w:type="paragraph" w:styleId="Header">
    <w:name w:val="header"/>
    <w:basedOn w:val="Normal"/>
    <w:link w:val="HeaderChar"/>
    <w:rsid w:val="00E149CE"/>
    <w:pPr>
      <w:tabs>
        <w:tab w:val="center" w:pos="4513"/>
        <w:tab w:val="right" w:pos="9026"/>
      </w:tabs>
      <w:spacing w:before="0" w:line="240" w:lineRule="auto"/>
    </w:pPr>
  </w:style>
  <w:style w:type="character" w:customStyle="1" w:styleId="HeaderChar">
    <w:name w:val="Header Char"/>
    <w:basedOn w:val="DefaultParagraphFont"/>
    <w:link w:val="Header"/>
    <w:rsid w:val="00E149CE"/>
    <w:rPr>
      <w:sz w:val="24"/>
    </w:rPr>
  </w:style>
  <w:style w:type="paragraph" w:customStyle="1" w:styleId="Details">
    <w:name w:val="Details"/>
    <w:basedOn w:val="Normal"/>
    <w:qFormat/>
    <w:rsid w:val="00E149CE"/>
    <w:pPr>
      <w:contextualSpacing/>
    </w:pPr>
    <w:rPr>
      <w:b/>
      <w:bCs/>
    </w:rPr>
  </w:style>
  <w:style w:type="paragraph" w:styleId="FootnoteText">
    <w:name w:val="footnote text"/>
    <w:basedOn w:val="Normal"/>
    <w:link w:val="FootnoteTextChar"/>
    <w:qFormat/>
    <w:rsid w:val="00E149CE"/>
    <w:pPr>
      <w:tabs>
        <w:tab w:val="left" w:pos="284"/>
      </w:tabs>
      <w:spacing w:before="60" w:line="240" w:lineRule="auto"/>
    </w:pPr>
    <w:rPr>
      <w:sz w:val="18"/>
    </w:rPr>
  </w:style>
  <w:style w:type="character" w:customStyle="1" w:styleId="FootnoteTextChar">
    <w:name w:val="Footnote Text Char"/>
    <w:basedOn w:val="DefaultParagraphFont"/>
    <w:link w:val="FootnoteText"/>
    <w:rsid w:val="00E149CE"/>
    <w:rPr>
      <w:sz w:val="18"/>
    </w:rPr>
  </w:style>
  <w:style w:type="character" w:styleId="FootnoteReference">
    <w:name w:val="footnote reference"/>
    <w:basedOn w:val="DefaultParagraphFont"/>
    <w:rsid w:val="00E149CE"/>
    <w:rPr>
      <w:vertAlign w:val="superscript"/>
    </w:rPr>
  </w:style>
  <w:style w:type="numbering" w:customStyle="1" w:styleId="ListNumbers">
    <w:name w:val="ListNumbers"/>
    <w:uiPriority w:val="99"/>
    <w:rsid w:val="00E149CE"/>
    <w:pPr>
      <w:numPr>
        <w:numId w:val="4"/>
      </w:numPr>
    </w:pPr>
  </w:style>
  <w:style w:type="character" w:styleId="PlaceholderText">
    <w:name w:val="Placeholder Text"/>
    <w:basedOn w:val="DefaultParagraphFont"/>
    <w:uiPriority w:val="99"/>
    <w:semiHidden/>
    <w:rsid w:val="00E149CE"/>
    <w:rPr>
      <w:color w:val="808080"/>
    </w:rPr>
  </w:style>
  <w:style w:type="paragraph" w:styleId="Title">
    <w:name w:val="Title"/>
    <w:basedOn w:val="Normal"/>
    <w:next w:val="Normal"/>
    <w:link w:val="TitleChar"/>
    <w:rsid w:val="00E149CE"/>
    <w:pPr>
      <w:tabs>
        <w:tab w:val="left" w:pos="5681"/>
      </w:tabs>
    </w:pPr>
    <w:rPr>
      <w:rFonts w:eastAsiaTheme="majorEastAsia" w:cstheme="majorBidi"/>
      <w:b/>
      <w:szCs w:val="52"/>
    </w:rPr>
  </w:style>
  <w:style w:type="character" w:customStyle="1" w:styleId="TitleChar">
    <w:name w:val="Title Char"/>
    <w:basedOn w:val="DefaultParagraphFont"/>
    <w:link w:val="Title"/>
    <w:rsid w:val="00E149CE"/>
    <w:rPr>
      <w:rFonts w:eastAsiaTheme="majorEastAsia" w:cstheme="majorBidi"/>
      <w:b/>
      <w:sz w:val="24"/>
      <w:szCs w:val="52"/>
    </w:rPr>
  </w:style>
  <w:style w:type="numbering" w:customStyle="1" w:styleId="Quotes">
    <w:name w:val="Quotes"/>
    <w:uiPriority w:val="99"/>
    <w:rsid w:val="00E149CE"/>
    <w:pPr>
      <w:numPr>
        <w:numId w:val="5"/>
      </w:numPr>
    </w:pPr>
  </w:style>
  <w:style w:type="paragraph" w:customStyle="1" w:styleId="Quote2">
    <w:name w:val="Quote 2"/>
    <w:basedOn w:val="Quote"/>
    <w:qFormat/>
    <w:rsid w:val="00E149CE"/>
    <w:pPr>
      <w:ind w:left="1276"/>
    </w:pPr>
  </w:style>
  <w:style w:type="paragraph" w:customStyle="1" w:styleId="Quote3">
    <w:name w:val="Quote 3"/>
    <w:basedOn w:val="Quote"/>
    <w:qFormat/>
    <w:rsid w:val="00E149CE"/>
    <w:pPr>
      <w:ind w:left="1843"/>
    </w:pPr>
  </w:style>
  <w:style w:type="paragraph" w:customStyle="1" w:styleId="Quote4">
    <w:name w:val="Quote 4"/>
    <w:basedOn w:val="Quote"/>
    <w:qFormat/>
    <w:rsid w:val="00E149CE"/>
    <w:pPr>
      <w:ind w:left="2410"/>
    </w:pPr>
  </w:style>
  <w:style w:type="paragraph" w:customStyle="1" w:styleId="FollowingPara">
    <w:name w:val="FollowingPara"/>
    <w:basedOn w:val="Normal"/>
    <w:qFormat/>
    <w:rsid w:val="00E149CE"/>
  </w:style>
  <w:style w:type="paragraph" w:customStyle="1" w:styleId="TableText">
    <w:name w:val="Table Text"/>
    <w:basedOn w:val="Normal"/>
    <w:qFormat/>
    <w:rsid w:val="00E149CE"/>
    <w:rPr>
      <w:sz w:val="22"/>
    </w:rPr>
  </w:style>
  <w:style w:type="paragraph" w:styleId="ListParagraph">
    <w:name w:val="List Paragraph"/>
    <w:basedOn w:val="Normal"/>
    <w:uiPriority w:val="34"/>
    <w:qFormat/>
    <w:rsid w:val="00E149CE"/>
    <w:pPr>
      <w:ind w:left="720"/>
      <w:contextualSpacing/>
    </w:pPr>
  </w:style>
  <w:style w:type="character" w:customStyle="1" w:styleId="Heading4Char">
    <w:name w:val="Heading 4 Char"/>
    <w:basedOn w:val="DefaultParagraphFont"/>
    <w:link w:val="Heading4"/>
    <w:rsid w:val="00E149CE"/>
    <w:rPr>
      <w:rFonts w:eastAsiaTheme="majorEastAsia" w:cstheme="majorBidi"/>
      <w:bCs/>
      <w:i/>
      <w:iCs/>
      <w:sz w:val="24"/>
    </w:rPr>
  </w:style>
  <w:style w:type="paragraph" w:customStyle="1" w:styleId="Act-paragraph">
    <w:name w:val="Act - paragraph"/>
    <w:basedOn w:val="Quote"/>
    <w:qFormat/>
    <w:rsid w:val="00AD6D53"/>
    <w:pPr>
      <w:tabs>
        <w:tab w:val="right" w:pos="1531"/>
      </w:tabs>
      <w:spacing w:before="60"/>
      <w:ind w:left="1644" w:hanging="510"/>
    </w:pPr>
  </w:style>
  <w:style w:type="paragraph" w:customStyle="1" w:styleId="Act-sectionhead">
    <w:name w:val="Act - section head"/>
    <w:basedOn w:val="Quote"/>
    <w:next w:val="Act-subsection"/>
    <w:qFormat/>
    <w:rsid w:val="00844DB3"/>
    <w:pPr>
      <w:keepNext/>
      <w:spacing w:before="180"/>
      <w:ind w:left="1134" w:hanging="425"/>
    </w:pPr>
    <w:rPr>
      <w:b/>
    </w:rPr>
  </w:style>
  <w:style w:type="paragraph" w:customStyle="1" w:styleId="Act-subparagraph">
    <w:name w:val="Act - subparagraph"/>
    <w:basedOn w:val="Quote"/>
    <w:qFormat/>
    <w:rsid w:val="00AD6D53"/>
    <w:pPr>
      <w:tabs>
        <w:tab w:val="right" w:pos="1985"/>
      </w:tabs>
      <w:spacing w:before="60"/>
      <w:ind w:left="2098" w:hanging="454"/>
    </w:pPr>
  </w:style>
  <w:style w:type="paragraph" w:customStyle="1" w:styleId="Act-subsection">
    <w:name w:val="Act - subsection"/>
    <w:basedOn w:val="Quote"/>
    <w:qFormat/>
    <w:rsid w:val="00AD6D53"/>
    <w:pPr>
      <w:tabs>
        <w:tab w:val="right" w:pos="1021"/>
      </w:tabs>
      <w:ind w:left="1134" w:hanging="425"/>
    </w:pPr>
  </w:style>
  <w:style w:type="paragraph" w:customStyle="1" w:styleId="Act-subsectionhead">
    <w:name w:val="Act - subsection head"/>
    <w:basedOn w:val="Quote"/>
    <w:next w:val="Act-subsection"/>
    <w:qFormat/>
    <w:rsid w:val="00844DB3"/>
    <w:pPr>
      <w:keepNext/>
      <w:spacing w:before="180"/>
      <w:ind w:left="1559" w:hanging="425"/>
    </w:pPr>
    <w:rPr>
      <w:i/>
    </w:rPr>
  </w:style>
  <w:style w:type="paragraph" w:customStyle="1" w:styleId="Act-note">
    <w:name w:val="Act - note"/>
    <w:basedOn w:val="Act-subsection"/>
    <w:next w:val="Act-subsection"/>
    <w:qFormat/>
    <w:rsid w:val="00FE0089"/>
    <w:pPr>
      <w:tabs>
        <w:tab w:val="clear" w:pos="1021"/>
      </w:tabs>
      <w:ind w:left="1985" w:hanging="851"/>
    </w:pPr>
    <w:rPr>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style>
  <w:style w:type="character" w:styleId="Hyperlink">
    <w:name w:val="Hyperlink"/>
    <w:basedOn w:val="DefaultParagraphFon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0487">
      <w:bodyDiv w:val="1"/>
      <w:marLeft w:val="0"/>
      <w:marRight w:val="0"/>
      <w:marTop w:val="0"/>
      <w:marBottom w:val="0"/>
      <w:divBdr>
        <w:top w:val="none" w:sz="0" w:space="0" w:color="auto"/>
        <w:left w:val="none" w:sz="0" w:space="0" w:color="auto"/>
        <w:bottom w:val="none" w:sz="0" w:space="0" w:color="auto"/>
        <w:right w:val="none" w:sz="0" w:space="0" w:color="auto"/>
      </w:divBdr>
    </w:div>
    <w:div w:id="21362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BBBC621D97425ABBA2918A81FB5DDB"/>
        <w:category>
          <w:name w:val="General"/>
          <w:gallery w:val="placeholder"/>
        </w:category>
        <w:types>
          <w:type w:val="bbPlcHdr"/>
        </w:types>
        <w:behaviors>
          <w:behavior w:val="content"/>
        </w:behaviors>
        <w:guid w:val="{C13AD7E0-B9CC-4EAC-8B5F-1443AA8D34DD}"/>
      </w:docPartPr>
      <w:docPartBody>
        <w:p w:rsidR="00FB1ECD" w:rsidRDefault="00FB1ECD">
          <w:pPr>
            <w:pStyle w:val="15BBBC621D97425ABBA2918A81FB5DDB"/>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A3B431A90DFD4A8E94657343E1D6ABD8"/>
        <w:category>
          <w:name w:val="General"/>
          <w:gallery w:val="placeholder"/>
        </w:category>
        <w:types>
          <w:type w:val="bbPlcHdr"/>
        </w:types>
        <w:behaviors>
          <w:behavior w:val="content"/>
        </w:behaviors>
        <w:guid w:val="{B6119FA1-AE9E-4307-8159-489698C4A19F}"/>
      </w:docPartPr>
      <w:docPartBody>
        <w:p w:rsidR="00FB1ECD" w:rsidRDefault="00FB1ECD">
          <w:pPr>
            <w:pStyle w:val="A3B431A90DFD4A8E94657343E1D6ABD8"/>
          </w:pPr>
          <w:r w:rsidRPr="00CD5897">
            <w:rPr>
              <w:rStyle w:val="PlaceholderText"/>
            </w:rPr>
            <w:t>Click here to enter text.</w:t>
          </w:r>
        </w:p>
      </w:docPartBody>
    </w:docPart>
    <w:docPart>
      <w:docPartPr>
        <w:name w:val="DF2E1D6B95FE449FBE988B3C0A1D6472"/>
        <w:category>
          <w:name w:val="General"/>
          <w:gallery w:val="placeholder"/>
        </w:category>
        <w:types>
          <w:type w:val="bbPlcHdr"/>
        </w:types>
        <w:behaviors>
          <w:behavior w:val="content"/>
        </w:behaviors>
        <w:guid w:val="{D1C6F91F-325A-45EA-9936-1A4DE9EFC6A7}"/>
      </w:docPartPr>
      <w:docPartBody>
        <w:p w:rsidR="00FB1ECD" w:rsidRDefault="00FB1ECD">
          <w:pPr>
            <w:pStyle w:val="DF2E1D6B95FE449FBE988B3C0A1D6472"/>
          </w:pPr>
          <w:r w:rsidRPr="00CD5897">
            <w:rPr>
              <w:rStyle w:val="PlaceholderText"/>
            </w:rPr>
            <w:t>Click here to enter text.</w:t>
          </w:r>
        </w:p>
      </w:docPartBody>
    </w:docPart>
    <w:docPart>
      <w:docPartPr>
        <w:name w:val="3726BCB0EEAC4B2F9354E512C688AB7F"/>
        <w:category>
          <w:name w:val="General"/>
          <w:gallery w:val="placeholder"/>
        </w:category>
        <w:types>
          <w:type w:val="bbPlcHdr"/>
        </w:types>
        <w:behaviors>
          <w:behavior w:val="content"/>
        </w:behaviors>
        <w:guid w:val="{1EA33E51-00AB-44C7-AA55-07078567E397}"/>
      </w:docPartPr>
      <w:docPartBody>
        <w:p w:rsidR="00FB1ECD" w:rsidRDefault="00FB1ECD">
          <w:pPr>
            <w:pStyle w:val="3726BCB0EEAC4B2F9354E512C688AB7F"/>
          </w:pPr>
          <w:r w:rsidRPr="00CD5897">
            <w:rPr>
              <w:rStyle w:val="PlaceholderText"/>
            </w:rPr>
            <w:t>Click here to enter text.</w:t>
          </w:r>
        </w:p>
      </w:docPartBody>
    </w:docPart>
    <w:docPart>
      <w:docPartPr>
        <w:name w:val="F88F157613914A60A451424CAA023712"/>
        <w:category>
          <w:name w:val="General"/>
          <w:gallery w:val="placeholder"/>
        </w:category>
        <w:types>
          <w:type w:val="bbPlcHdr"/>
        </w:types>
        <w:behaviors>
          <w:behavior w:val="content"/>
        </w:behaviors>
        <w:guid w:val="{7F0128D3-5F6C-47BA-AC75-4A29ED483270}"/>
      </w:docPartPr>
      <w:docPartBody>
        <w:p w:rsidR="00FB1ECD" w:rsidRDefault="00FB1ECD">
          <w:pPr>
            <w:pStyle w:val="F88F157613914A60A451424CAA023712"/>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CD"/>
    <w:rsid w:val="007D10AD"/>
    <w:rsid w:val="00867FBD"/>
    <w:rsid w:val="00C233FB"/>
    <w:rsid w:val="00F47B7B"/>
    <w:rsid w:val="00FB1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FBD"/>
    <w:rPr>
      <w:color w:val="808080"/>
    </w:rPr>
  </w:style>
  <w:style w:type="paragraph" w:customStyle="1" w:styleId="15BBBC621D97425ABBA2918A81FB5DDB">
    <w:name w:val="15BBBC621D97425ABBA2918A81FB5DDB"/>
  </w:style>
  <w:style w:type="paragraph" w:customStyle="1" w:styleId="A3B431A90DFD4A8E94657343E1D6ABD8">
    <w:name w:val="A3B431A90DFD4A8E94657343E1D6ABD8"/>
  </w:style>
  <w:style w:type="paragraph" w:customStyle="1" w:styleId="DF2E1D6B95FE449FBE988B3C0A1D6472">
    <w:name w:val="DF2E1D6B95FE449FBE988B3C0A1D6472"/>
  </w:style>
  <w:style w:type="paragraph" w:customStyle="1" w:styleId="3726BCB0EEAC4B2F9354E512C688AB7F">
    <w:name w:val="3726BCB0EEAC4B2F9354E512C688AB7F"/>
  </w:style>
  <w:style w:type="paragraph" w:customStyle="1" w:styleId="F88F157613914A60A451424CAA023712">
    <w:name w:val="F88F157613914A60A451424CAA023712"/>
  </w:style>
  <w:style w:type="paragraph" w:customStyle="1" w:styleId="4E19B57D08C643BA86062C50D5971492">
    <w:name w:val="4E19B57D08C643BA86062C50D5971492"/>
    <w:rsid w:val="00867FBD"/>
  </w:style>
  <w:style w:type="paragraph" w:customStyle="1" w:styleId="3EBC41E1AFD14FC6BF12B29330D51BBA">
    <w:name w:val="3EBC41E1AFD14FC6BF12B29330D51BBA"/>
    <w:rsid w:val="00867FBD"/>
  </w:style>
  <w:style w:type="paragraph" w:customStyle="1" w:styleId="B53F19D4447843729900B848B443D899">
    <w:name w:val="B53F19D4447843729900B848B443D899"/>
    <w:rsid w:val="00867F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FBD"/>
    <w:rPr>
      <w:color w:val="808080"/>
    </w:rPr>
  </w:style>
  <w:style w:type="paragraph" w:customStyle="1" w:styleId="15BBBC621D97425ABBA2918A81FB5DDB">
    <w:name w:val="15BBBC621D97425ABBA2918A81FB5DDB"/>
  </w:style>
  <w:style w:type="paragraph" w:customStyle="1" w:styleId="A3B431A90DFD4A8E94657343E1D6ABD8">
    <w:name w:val="A3B431A90DFD4A8E94657343E1D6ABD8"/>
  </w:style>
  <w:style w:type="paragraph" w:customStyle="1" w:styleId="DF2E1D6B95FE449FBE988B3C0A1D6472">
    <w:name w:val="DF2E1D6B95FE449FBE988B3C0A1D6472"/>
  </w:style>
  <w:style w:type="paragraph" w:customStyle="1" w:styleId="3726BCB0EEAC4B2F9354E512C688AB7F">
    <w:name w:val="3726BCB0EEAC4B2F9354E512C688AB7F"/>
  </w:style>
  <w:style w:type="paragraph" w:customStyle="1" w:styleId="F88F157613914A60A451424CAA023712">
    <w:name w:val="F88F157613914A60A451424CAA023712"/>
  </w:style>
  <w:style w:type="paragraph" w:customStyle="1" w:styleId="4E19B57D08C643BA86062C50D5971492">
    <w:name w:val="4E19B57D08C643BA86062C50D5971492"/>
    <w:rsid w:val="00867FBD"/>
  </w:style>
  <w:style w:type="paragraph" w:customStyle="1" w:styleId="3EBC41E1AFD14FC6BF12B29330D51BBA">
    <w:name w:val="3EBC41E1AFD14FC6BF12B29330D51BBA"/>
    <w:rsid w:val="00867FBD"/>
  </w:style>
  <w:style w:type="paragraph" w:customStyle="1" w:styleId="B53F19D4447843729900B848B443D899">
    <w:name w:val="B53F19D4447843729900B848B443D899"/>
    <w:rsid w:val="00867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0EF4-E1ED-4EC8-8C94-C2908C35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25</Pages>
  <Words>6736</Words>
  <Characters>36024</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Popple</dc:creator>
  <cp:lastModifiedBy>Dalwood, Jacqui</cp:lastModifiedBy>
  <cp:revision>2</cp:revision>
  <cp:lastPrinted>2015-06-29T02:31:00Z</cp:lastPrinted>
  <dcterms:created xsi:type="dcterms:W3CDTF">2015-07-01T03:51:00Z</dcterms:created>
  <dcterms:modified xsi:type="dcterms:W3CDTF">2015-07-01T03:51:00Z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Education and Training</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Crispin Rovere</vt:lpwstr>
  </property>
  <property fmtid="{D5CDD505-2E9C-101B-9397-08002B2CF9AE}" pid="26" name="FileNumber">
    <vt:lpwstr>2014/4493</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Dr James Popple,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11 May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Mr Justin Davidson</vt:lpwstr>
  </property>
  <property fmtid="{D5CDD505-2E9C-101B-9397-08002B2CF9AE}" pid="82" name="Respondent_Advocate">
    <vt:lpwstr>Australian Government Solicitor</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30 June 2015</vt:lpwstr>
  </property>
  <property fmtid="{D5CDD505-2E9C-101B-9397-08002B2CF9AE}" pid="97" name="ReasonsforDecisionDate">
    <vt:lpwstr>30 June 2015</vt:lpwstr>
  </property>
  <property fmtid="{D5CDD505-2E9C-101B-9397-08002B2CF9AE}" pid="98" name="StampDate">
    <vt:lpwstr>30 June 2015</vt:lpwstr>
  </property>
  <property fmtid="{D5CDD505-2E9C-101B-9397-08002B2CF9AE}" pid="99" name="TribunalLastPgForm">
    <vt:lpwstr>Senior Member James Popple</vt:lpwstr>
  </property>
  <property fmtid="{D5CDD505-2E9C-101B-9397-08002B2CF9AE}" pid="100" name="InfoCDC">
    <vt:lpwstr> </vt:lpwstr>
  </property>
  <property fmtid="{D5CDD505-2E9C-101B-9397-08002B2CF9AE}" pid="101" name="Place">
    <vt:lpwstr>Canberra</vt:lpwstr>
  </property>
</Properties>
</file>