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FF01D4">
        <w:t>201</w:t>
      </w:r>
      <w:r w:rsidR="007253DF">
        <w:t>5</w:t>
      </w:r>
      <w:r w:rsidR="00661270" w:rsidRPr="000A40FB">
        <w:t xml:space="preserve">] </w:t>
      </w:r>
      <w:r w:rsidR="00531AA1" w:rsidRPr="000A40FB">
        <w:t xml:space="preserve">AATA </w:t>
      </w:r>
      <w:r w:rsidR="007E7984">
        <w:t>402</w:t>
      </w:r>
    </w:p>
    <w:p w:rsidR="00DD17FC" w:rsidRPr="00531AA1" w:rsidRDefault="00DD17FC" w:rsidP="00DD17FC">
      <w:pPr>
        <w:pStyle w:val="NoSpacing"/>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0F4D9C">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C05819">
              <w:rPr>
                <w:b/>
              </w:rPr>
              <w:t>GENERAL ADMINISTRATIVE DIVISION</w:t>
            </w:r>
            <w:r>
              <w:rPr>
                <w:b/>
              </w:rPr>
              <w:fldChar w:fldCharType="end"/>
            </w:r>
          </w:p>
        </w:tc>
      </w:tr>
      <w:tr w:rsidR="00531AA1" w:rsidRPr="00FA73B2" w:rsidTr="000F4D9C">
        <w:trPr>
          <w:trHeight w:val="284"/>
        </w:trPr>
        <w:tc>
          <w:tcPr>
            <w:tcW w:w="1951" w:type="dxa"/>
          </w:tcPr>
          <w:p w:rsidR="00531AA1" w:rsidRPr="002260F4" w:rsidRDefault="00531AA1" w:rsidP="000F4D9C">
            <w:r w:rsidRPr="002260F4">
              <w:t>File Number</w:t>
            </w:r>
          </w:p>
        </w:tc>
        <w:tc>
          <w:tcPr>
            <w:tcW w:w="6838" w:type="dxa"/>
          </w:tcPr>
          <w:p w:rsidR="00531AA1" w:rsidRPr="00A9538E" w:rsidRDefault="0005765E" w:rsidP="000F4D9C">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C05819">
              <w:t>2012/5540</w:t>
            </w:r>
            <w:r w:rsidRPr="00A9538E">
              <w:fldChar w:fldCharType="end"/>
            </w:r>
            <w:r w:rsidR="007253DF">
              <w:t xml:space="preserve"> </w:t>
            </w:r>
          </w:p>
        </w:tc>
      </w:tr>
      <w:tr w:rsidR="00531AA1" w:rsidRPr="00FA73B2" w:rsidTr="000F4D9C">
        <w:trPr>
          <w:trHeight w:val="284"/>
        </w:trPr>
        <w:tc>
          <w:tcPr>
            <w:tcW w:w="1951" w:type="dxa"/>
          </w:tcPr>
          <w:p w:rsidR="00531AA1" w:rsidRPr="002260F4" w:rsidRDefault="00531AA1" w:rsidP="007D1803">
            <w:r w:rsidRPr="002260F4">
              <w:t>Re</w:t>
            </w:r>
          </w:p>
        </w:tc>
        <w:tc>
          <w:tcPr>
            <w:tcW w:w="6838" w:type="dxa"/>
          </w:tcPr>
          <w:p w:rsidR="00531AA1" w:rsidRPr="006D20BD" w:rsidRDefault="00F228F4" w:rsidP="00036C03">
            <w:pPr>
              <w:pStyle w:val="Details"/>
            </w:pPr>
            <w:r>
              <w:fldChar w:fldCharType="begin"/>
            </w:r>
            <w:r>
              <w:instrText xml:space="preserve"> DOCPROPERTY  Applicant </w:instrText>
            </w:r>
            <w:r>
              <w:fldChar w:fldCharType="separate"/>
            </w:r>
            <w:r w:rsidR="00C05819">
              <w:t>Duncan Sidwell</w:t>
            </w:r>
            <w:r>
              <w:fldChar w:fldCharType="end"/>
            </w:r>
          </w:p>
        </w:tc>
      </w:tr>
      <w:tr w:rsidR="00531AA1" w:rsidRPr="00FA73B2" w:rsidTr="000F4D9C">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0F4D9C">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F228F4" w:rsidP="00036C03">
            <w:pPr>
              <w:pStyle w:val="Details"/>
            </w:pPr>
            <w:r>
              <w:fldChar w:fldCharType="begin"/>
            </w:r>
            <w:r>
              <w:instrText xml:space="preserve"> DOCPROPERTY  Respondent </w:instrText>
            </w:r>
            <w:r>
              <w:fldChar w:fldCharType="separate"/>
            </w:r>
            <w:r w:rsidR="00C05819">
              <w:t>Secretary, Department of Social Services</w:t>
            </w:r>
            <w:r>
              <w:fldChar w:fldCharType="end"/>
            </w:r>
          </w:p>
        </w:tc>
      </w:tr>
      <w:tr w:rsidR="00531AA1" w:rsidRPr="00FA73B2" w:rsidTr="000F4D9C">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bookmarkEnd w:id="1"/>
      <w:tr w:rsidR="000F4D9C" w:rsidRPr="00FA73B2" w:rsidTr="000F4D9C">
        <w:trPr>
          <w:trHeight w:val="284"/>
        </w:trPr>
        <w:tc>
          <w:tcPr>
            <w:tcW w:w="1951" w:type="dxa"/>
          </w:tcPr>
          <w:p w:rsidR="000F4D9C" w:rsidRPr="002260F4" w:rsidRDefault="000F4D9C" w:rsidP="000F4D9C">
            <w:r w:rsidRPr="002260F4">
              <w:t>File Number</w:t>
            </w:r>
          </w:p>
        </w:tc>
        <w:tc>
          <w:tcPr>
            <w:tcW w:w="6838" w:type="dxa"/>
          </w:tcPr>
          <w:p w:rsidR="000F4D9C" w:rsidRPr="00A9538E" w:rsidRDefault="00C05819" w:rsidP="006C73AA">
            <w:pPr>
              <w:pStyle w:val="Details"/>
            </w:pPr>
            <w:r>
              <w:t>2014/1155</w:t>
            </w:r>
          </w:p>
        </w:tc>
      </w:tr>
      <w:tr w:rsidR="000F4D9C" w:rsidRPr="00FA73B2" w:rsidTr="000F4D9C">
        <w:trPr>
          <w:trHeight w:val="284"/>
        </w:trPr>
        <w:tc>
          <w:tcPr>
            <w:tcW w:w="1951" w:type="dxa"/>
          </w:tcPr>
          <w:p w:rsidR="000F4D9C" w:rsidRPr="002260F4" w:rsidRDefault="000F4D9C" w:rsidP="00423E90">
            <w:r w:rsidRPr="002260F4">
              <w:t>Re</w:t>
            </w:r>
          </w:p>
        </w:tc>
        <w:tc>
          <w:tcPr>
            <w:tcW w:w="6838" w:type="dxa"/>
          </w:tcPr>
          <w:p w:rsidR="000F4D9C" w:rsidRPr="006D20BD" w:rsidRDefault="00F228F4" w:rsidP="00423E90">
            <w:pPr>
              <w:pStyle w:val="Details"/>
            </w:pPr>
            <w:r>
              <w:fldChar w:fldCharType="begin"/>
            </w:r>
            <w:r>
              <w:instrText xml:space="preserve"> DOCPROPERTY  Respondent </w:instrText>
            </w:r>
            <w:r>
              <w:fldChar w:fldCharType="separate"/>
            </w:r>
            <w:r w:rsidR="00C05819">
              <w:t>Secretary, Department of Social Services</w:t>
            </w:r>
            <w:r>
              <w:fldChar w:fldCharType="end"/>
            </w:r>
          </w:p>
        </w:tc>
      </w:tr>
      <w:tr w:rsidR="000F4D9C" w:rsidRPr="00FA73B2" w:rsidTr="000F4D9C">
        <w:trPr>
          <w:trHeight w:val="284"/>
        </w:trPr>
        <w:tc>
          <w:tcPr>
            <w:tcW w:w="1951" w:type="dxa"/>
          </w:tcPr>
          <w:p w:rsidR="000F4D9C" w:rsidRPr="00173896" w:rsidRDefault="000F4D9C" w:rsidP="00423E90"/>
        </w:tc>
        <w:tc>
          <w:tcPr>
            <w:tcW w:w="6838" w:type="dxa"/>
          </w:tcPr>
          <w:p w:rsidR="000F4D9C" w:rsidRPr="0099661B" w:rsidRDefault="000F4D9C" w:rsidP="00423E90">
            <w:pPr>
              <w:pStyle w:val="Label"/>
            </w:pPr>
            <w:r w:rsidRPr="0099661B">
              <w:t>APPLICANT</w:t>
            </w:r>
          </w:p>
        </w:tc>
      </w:tr>
      <w:tr w:rsidR="000F4D9C" w:rsidRPr="00FA73B2" w:rsidTr="000F4D9C">
        <w:trPr>
          <w:trHeight w:val="284"/>
        </w:trPr>
        <w:tc>
          <w:tcPr>
            <w:tcW w:w="1951" w:type="dxa"/>
          </w:tcPr>
          <w:p w:rsidR="000F4D9C" w:rsidRPr="00110C0F" w:rsidRDefault="000F4D9C" w:rsidP="00423E90">
            <w:pPr>
              <w:rPr>
                <w:bCs/>
              </w:rPr>
            </w:pPr>
            <w:r w:rsidRPr="00110C0F">
              <w:rPr>
                <w:bCs/>
              </w:rPr>
              <w:t>And</w:t>
            </w:r>
          </w:p>
        </w:tc>
        <w:tc>
          <w:tcPr>
            <w:tcW w:w="6838" w:type="dxa"/>
          </w:tcPr>
          <w:p w:rsidR="000F4D9C" w:rsidRPr="006D20BD" w:rsidRDefault="000F4D9C" w:rsidP="00423E90">
            <w:pPr>
              <w:pStyle w:val="Details"/>
            </w:pPr>
            <w:r>
              <w:t>Duncan Sidwell</w:t>
            </w:r>
          </w:p>
        </w:tc>
      </w:tr>
      <w:tr w:rsidR="000F4D9C" w:rsidRPr="00FA73B2" w:rsidTr="000F4D9C">
        <w:trPr>
          <w:trHeight w:val="284"/>
        </w:trPr>
        <w:tc>
          <w:tcPr>
            <w:tcW w:w="1951" w:type="dxa"/>
          </w:tcPr>
          <w:p w:rsidR="000F4D9C" w:rsidRPr="00173896" w:rsidRDefault="000F4D9C" w:rsidP="00423E90"/>
        </w:tc>
        <w:tc>
          <w:tcPr>
            <w:tcW w:w="6838" w:type="dxa"/>
          </w:tcPr>
          <w:p w:rsidR="000F4D9C" w:rsidRPr="00771CAC" w:rsidRDefault="000F4D9C" w:rsidP="00423E90">
            <w:pPr>
              <w:pStyle w:val="Label"/>
            </w:pPr>
            <w:r w:rsidRPr="0099661B">
              <w:t>RESPONDENT</w:t>
            </w:r>
          </w:p>
        </w:tc>
      </w:tr>
    </w:tbl>
    <w:p w:rsidR="000F4D9C" w:rsidRDefault="000F4D9C" w:rsidP="00A161A7">
      <w:pPr>
        <w:pStyle w:val="Heading1"/>
        <w:rPr>
          <w:b/>
          <w:lang w:eastAsia="en-US"/>
        </w:rPr>
      </w:pPr>
    </w:p>
    <w:p w:rsidR="00BC2D09" w:rsidRPr="000D476E" w:rsidRDefault="00BC2D09" w:rsidP="00A161A7">
      <w:pPr>
        <w:pStyle w:val="Heading1"/>
        <w:rPr>
          <w:b/>
          <w:lang w:eastAsia="en-US"/>
        </w:rPr>
      </w:pPr>
      <w:r w:rsidRPr="000D476E">
        <w:rPr>
          <w:b/>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C05819" w:rsidRPr="00BC2D09" w:rsidTr="00E92DDB">
        <w:trPr>
          <w:trHeight w:val="567"/>
        </w:trPr>
        <w:tc>
          <w:tcPr>
            <w:tcW w:w="1956" w:type="dxa"/>
          </w:tcPr>
          <w:p w:rsidR="00C05819" w:rsidRPr="00BC2D09" w:rsidRDefault="00C05819" w:rsidP="00A96474">
            <w:pPr>
              <w:pStyle w:val="NoSpacing"/>
              <w:rPr>
                <w:lang w:eastAsia="en-US"/>
              </w:rPr>
            </w:pPr>
            <w:bookmarkStart w:id="2" w:name="DecisionSummary"/>
            <w:bookmarkStart w:id="3" w:name="Decision"/>
            <w:r w:rsidRPr="00BC2D09">
              <w:rPr>
                <w:lang w:eastAsia="en-US"/>
              </w:rPr>
              <w:t>Tribunal</w:t>
            </w:r>
          </w:p>
        </w:tc>
        <w:tc>
          <w:tcPr>
            <w:tcW w:w="6833" w:type="dxa"/>
          </w:tcPr>
          <w:p w:rsidR="00C05819" w:rsidRDefault="00C0581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Deputy President K Bean</w:t>
            </w:r>
            <w:r>
              <w:rPr>
                <w:b/>
                <w:bCs/>
                <w:lang w:eastAsia="en-US"/>
              </w:rPr>
              <w:fldChar w:fldCharType="end"/>
            </w:r>
          </w:p>
          <w:p w:rsidR="00C05819" w:rsidRDefault="00C05819"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separate"/>
            </w:r>
            <w:r>
              <w:rPr>
                <w:b/>
                <w:bCs/>
                <w:lang w:eastAsia="en-US"/>
              </w:rPr>
              <w:t>Mr I Thompson, Member</w:t>
            </w:r>
            <w:r>
              <w:rPr>
                <w:b/>
                <w:bCs/>
                <w:lang w:eastAsia="en-US"/>
              </w:rPr>
              <w:fldChar w:fldCharType="end"/>
            </w:r>
          </w:p>
          <w:p w:rsidR="00C05819" w:rsidRPr="00771CAC" w:rsidRDefault="00C05819" w:rsidP="00A96474">
            <w:pPr>
              <w:pStyle w:val="NoSpacing"/>
              <w:rPr>
                <w:b/>
                <w:bCs/>
                <w:lang w:eastAsia="en-US"/>
              </w:rPr>
            </w:pPr>
          </w:p>
        </w:tc>
      </w:tr>
      <w:tr w:rsidR="00C05819" w:rsidRPr="00BC2D09" w:rsidTr="00E92DDB">
        <w:trPr>
          <w:trHeight w:val="567"/>
        </w:trPr>
        <w:tc>
          <w:tcPr>
            <w:tcW w:w="1956" w:type="dxa"/>
          </w:tcPr>
          <w:p w:rsidR="00C05819" w:rsidRPr="00BC2D09" w:rsidRDefault="00C05819" w:rsidP="00A96474">
            <w:pPr>
              <w:pStyle w:val="NoSpacing"/>
              <w:rPr>
                <w:lang w:eastAsia="en-US"/>
              </w:rPr>
            </w:pPr>
            <w:r w:rsidRPr="00BC2D09">
              <w:rPr>
                <w:lang w:eastAsia="en-US"/>
              </w:rPr>
              <w:t>Date</w:t>
            </w:r>
          </w:p>
        </w:tc>
        <w:tc>
          <w:tcPr>
            <w:tcW w:w="6833" w:type="dxa"/>
          </w:tcPr>
          <w:p w:rsidR="00C05819" w:rsidRPr="00771CAC" w:rsidRDefault="00E234A7" w:rsidP="00E234A7">
            <w:pPr>
              <w:pStyle w:val="NoSpacing"/>
              <w:rPr>
                <w:b/>
                <w:bCs/>
                <w:lang w:eastAsia="en-US"/>
              </w:rPr>
            </w:pPr>
            <w:r>
              <w:rPr>
                <w:b/>
                <w:bCs/>
                <w:lang w:eastAsia="en-US"/>
              </w:rPr>
              <w:t>5 June 2015</w:t>
            </w:r>
          </w:p>
        </w:tc>
      </w:tr>
      <w:tr w:rsidR="00C05819" w:rsidRPr="00BC2D09" w:rsidTr="00E92DDB">
        <w:trPr>
          <w:trHeight w:val="567"/>
        </w:trPr>
        <w:tc>
          <w:tcPr>
            <w:tcW w:w="1956" w:type="dxa"/>
          </w:tcPr>
          <w:p w:rsidR="00C05819" w:rsidRPr="00BC2D09" w:rsidRDefault="00C05819" w:rsidP="00A96474">
            <w:pPr>
              <w:pStyle w:val="NoSpacing"/>
              <w:rPr>
                <w:lang w:eastAsia="en-US"/>
              </w:rPr>
            </w:pPr>
            <w:r w:rsidRPr="00BC2D09">
              <w:rPr>
                <w:lang w:eastAsia="en-US"/>
              </w:rPr>
              <w:t>Place</w:t>
            </w:r>
          </w:p>
        </w:tc>
        <w:tc>
          <w:tcPr>
            <w:tcW w:w="6833" w:type="dxa"/>
          </w:tcPr>
          <w:p w:rsidR="00C05819" w:rsidRPr="00771CAC" w:rsidRDefault="00C05819"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Adelaide</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91DECF1E32D14D659041FA079E13F000"/>
        </w:placeholder>
      </w:sdtPr>
      <w:sdtEndPr/>
      <w:sdtContent>
        <w:p w:rsidR="00AC3473" w:rsidRDefault="00177DE1" w:rsidP="00E234A7">
          <w:pPr>
            <w:tabs>
              <w:tab w:val="left" w:pos="426"/>
            </w:tabs>
            <w:rPr>
              <w:lang w:eastAsia="en-US"/>
            </w:rPr>
          </w:pPr>
          <w:r>
            <w:rPr>
              <w:lang w:eastAsia="en-US"/>
            </w:rPr>
            <w:t>1.</w:t>
          </w:r>
          <w:r w:rsidR="00E234A7">
            <w:rPr>
              <w:lang w:eastAsia="en-US"/>
            </w:rPr>
            <w:tab/>
          </w:r>
          <w:r w:rsidR="00AC3473">
            <w:rPr>
              <w:lang w:eastAsia="en-US"/>
            </w:rPr>
            <w:t>In application 2012/5540</w:t>
          </w:r>
          <w:r w:rsidR="00805E3E">
            <w:rPr>
              <w:lang w:eastAsia="en-US"/>
            </w:rPr>
            <w:t>, the Tribunal</w:t>
          </w:r>
          <w:r w:rsidR="00AC3473">
            <w:rPr>
              <w:lang w:eastAsia="en-US"/>
            </w:rPr>
            <w:t xml:space="preserve"> affirms the decision under review; and</w:t>
          </w:r>
        </w:p>
        <w:p w:rsidR="00BC2D09" w:rsidRPr="00BC2D09" w:rsidRDefault="00177DE1" w:rsidP="00831418">
          <w:pPr>
            <w:ind w:left="426" w:hanging="426"/>
            <w:rPr>
              <w:lang w:eastAsia="en-US"/>
            </w:rPr>
          </w:pPr>
          <w:r>
            <w:rPr>
              <w:lang w:eastAsia="en-US"/>
            </w:rPr>
            <w:lastRenderedPageBreak/>
            <w:t>2.</w:t>
          </w:r>
          <w:r w:rsidR="00E234A7">
            <w:rPr>
              <w:lang w:eastAsia="en-US"/>
            </w:rPr>
            <w:tab/>
          </w:r>
          <w:r w:rsidR="00AC3473">
            <w:rPr>
              <w:lang w:eastAsia="en-US"/>
            </w:rPr>
            <w:t>In application 2014/1155</w:t>
          </w:r>
          <w:r w:rsidR="00805E3E">
            <w:rPr>
              <w:lang w:eastAsia="en-US"/>
            </w:rPr>
            <w:t>, the Tribunal</w:t>
          </w:r>
          <w:r w:rsidR="00AC3473">
            <w:rPr>
              <w:lang w:eastAsia="en-US"/>
            </w:rPr>
            <w:t xml:space="preserve"> sets aside the decision under review and </w:t>
          </w:r>
          <w:r w:rsidR="00805E3E">
            <w:rPr>
              <w:lang w:eastAsia="en-US"/>
            </w:rPr>
            <w:t xml:space="preserve">in </w:t>
          </w:r>
          <w:r w:rsidR="00AC3473">
            <w:rPr>
              <w:lang w:eastAsia="en-US"/>
            </w:rPr>
            <w:t>substitut</w:t>
          </w:r>
          <w:r w:rsidR="00805E3E">
            <w:rPr>
              <w:lang w:eastAsia="en-US"/>
            </w:rPr>
            <w:t>ion for that</w:t>
          </w:r>
          <w:r w:rsidR="001F6089">
            <w:rPr>
              <w:lang w:eastAsia="en-US"/>
            </w:rPr>
            <w:t xml:space="preserve"> decision</w:t>
          </w:r>
          <w:r w:rsidR="00805E3E">
            <w:rPr>
              <w:lang w:eastAsia="en-US"/>
            </w:rPr>
            <w:t xml:space="preserve"> decides</w:t>
          </w:r>
          <w:r w:rsidR="00AC3473">
            <w:rPr>
              <w:lang w:eastAsia="en-US"/>
            </w:rPr>
            <w:t xml:space="preserve"> that, during the </w:t>
          </w:r>
          <w:r w:rsidR="00805E3E">
            <w:rPr>
              <w:lang w:eastAsia="en-US"/>
            </w:rPr>
            <w:t xml:space="preserve">relevant </w:t>
          </w:r>
          <w:r w:rsidR="00AC3473">
            <w:rPr>
              <w:lang w:eastAsia="en-US"/>
            </w:rPr>
            <w:t>assessment period, Mr Sidwell was not qualified for disability support pension.</w:t>
          </w:r>
        </w:p>
      </w:sdtContent>
    </w:sdt>
    <w:bookmarkEnd w:id="2"/>
    <w:p w:rsidR="00BC2D09" w:rsidRPr="00BC2D09" w:rsidRDefault="00BC2D09" w:rsidP="001E4799">
      <w:pPr>
        <w:keepNext/>
        <w:spacing w:before="960"/>
        <w:rPr>
          <w:lang w:eastAsia="en-US"/>
        </w:rPr>
      </w:pPr>
      <w:r w:rsidRPr="00BC2D09">
        <w:rPr>
          <w:lang w:eastAsia="en-US"/>
        </w:rPr>
        <w:t>............</w:t>
      </w:r>
      <w:r w:rsidR="007E7984">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C05819">
        <w:rPr>
          <w:b/>
          <w:lang w:eastAsia="en-US"/>
        </w:rPr>
        <w:t>Deputy President K Bean</w:t>
      </w:r>
      <w:r>
        <w:rPr>
          <w:b/>
          <w:lang w:eastAsia="en-US"/>
        </w:rPr>
        <w:fldChar w:fldCharType="end"/>
      </w:r>
    </w:p>
    <w:p w:rsidR="00BC2D09" w:rsidRDefault="005632FA" w:rsidP="00760AB6">
      <w:r>
        <w:br w:type="page"/>
      </w:r>
    </w:p>
    <w:p w:rsidR="005D069E" w:rsidRPr="000D476E" w:rsidRDefault="005D069E" w:rsidP="005D069E">
      <w:pPr>
        <w:pStyle w:val="Heading1"/>
        <w:rPr>
          <w:b/>
          <w:lang w:eastAsia="en-US"/>
        </w:rPr>
      </w:pPr>
      <w:bookmarkStart w:id="4" w:name="CatchwordsTitle"/>
      <w:bookmarkEnd w:id="4"/>
      <w:r w:rsidRPr="000D476E">
        <w:rPr>
          <w:b/>
          <w:lang w:eastAsia="en-US"/>
        </w:rPr>
        <w:t>Catchwords</w:t>
      </w:r>
    </w:p>
    <w:p w:rsidR="004152C5" w:rsidRDefault="00F228F4" w:rsidP="004A55A2">
      <w:pPr>
        <w:pStyle w:val="CatchWords"/>
        <w:rPr>
          <w:lang w:eastAsia="en-US"/>
        </w:rPr>
      </w:pPr>
      <w:sdt>
        <w:sdtPr>
          <w:rPr>
            <w:lang w:eastAsia="en-US"/>
          </w:rPr>
          <w:alias w:val="Catchwords"/>
          <w:tag w:val="Catchwords"/>
          <w:id w:val="-1722664393"/>
          <w:placeholder>
            <w:docPart w:val="D994B5639B1447A0A74675EA0B63EC20"/>
          </w:placeholder>
        </w:sdtPr>
        <w:sdtEndPr/>
        <w:sdtContent>
          <w:r w:rsidR="000F4D9C">
            <w:rPr>
              <w:lang w:eastAsia="en-US"/>
            </w:rPr>
            <w:t>SOCIAL SECURITY - Disability Support Pension - Two DSP claims in respect of same conditions - Whether conditions fully diagnosed, treated and stabilised - Whether conditions attract an impairment rating of 20 points or more under the Impairment Tables - Applicant not qualified for DSP during relevant assessment periods.</w:t>
          </w:r>
        </w:sdtContent>
      </w:sdt>
    </w:p>
    <w:p w:rsidR="00CF5E0E" w:rsidRPr="00BC2D09" w:rsidRDefault="00CF5E0E" w:rsidP="00CF5E0E">
      <w:pPr>
        <w:pStyle w:val="NoSpacing"/>
        <w:rPr>
          <w:lang w:eastAsia="en-US"/>
        </w:rPr>
      </w:pPr>
    </w:p>
    <w:p w:rsidR="005D069E" w:rsidRPr="000D476E" w:rsidRDefault="005D069E" w:rsidP="005D069E">
      <w:pPr>
        <w:pStyle w:val="Heading1"/>
        <w:rPr>
          <w:b/>
          <w:lang w:eastAsia="en-US"/>
        </w:rPr>
      </w:pPr>
      <w:bookmarkStart w:id="5" w:name="LegislationTitle"/>
      <w:bookmarkEnd w:id="5"/>
      <w:r w:rsidRPr="000D476E">
        <w:rPr>
          <w:b/>
          <w:lang w:eastAsia="en-US"/>
        </w:rPr>
        <w:t>Legislation</w:t>
      </w:r>
    </w:p>
    <w:sdt>
      <w:sdtPr>
        <w:rPr>
          <w:lang w:eastAsia="en-US"/>
        </w:rPr>
        <w:alias w:val="Legislation"/>
        <w:tag w:val="Legislation"/>
        <w:id w:val="-13298432"/>
        <w:placeholder>
          <w:docPart w:val="DE50550A0B9E4C379576A653CB6B42C2"/>
        </w:placeholder>
      </w:sdtPr>
      <w:sdtEndPr/>
      <w:sdtContent>
        <w:p w:rsidR="000F4D9C" w:rsidRDefault="000F4D9C" w:rsidP="00E616B9">
          <w:pPr>
            <w:pStyle w:val="CatchWords"/>
            <w:rPr>
              <w:lang w:eastAsia="en-US"/>
            </w:rPr>
          </w:pPr>
          <w:r>
            <w:rPr>
              <w:lang w:eastAsia="en-US"/>
            </w:rPr>
            <w:t xml:space="preserve">Social Security Act 1991, </w:t>
          </w:r>
          <w:r w:rsidRPr="001B2051">
            <w:rPr>
              <w:i w:val="0"/>
              <w:lang w:eastAsia="en-US"/>
            </w:rPr>
            <w:t>s 94</w:t>
          </w:r>
          <w:r>
            <w:rPr>
              <w:lang w:eastAsia="en-US"/>
            </w:rPr>
            <w:t xml:space="preserve"> </w:t>
          </w:r>
          <w:r w:rsidR="001B2051">
            <w:rPr>
              <w:lang w:eastAsia="en-US"/>
            </w:rPr>
            <w:t xml:space="preserve">  </w:t>
          </w:r>
        </w:p>
        <w:p w:rsidR="000F4D9C" w:rsidRDefault="000F4D9C" w:rsidP="00E616B9">
          <w:pPr>
            <w:pStyle w:val="CatchWords"/>
            <w:rPr>
              <w:lang w:eastAsia="en-US"/>
            </w:rPr>
          </w:pPr>
          <w:r>
            <w:rPr>
              <w:lang w:eastAsia="en-US"/>
            </w:rPr>
            <w:t>Social Security (Administration) Act 199</w:t>
          </w:r>
          <w:r w:rsidR="001B2051">
            <w:rPr>
              <w:lang w:eastAsia="en-US"/>
            </w:rPr>
            <w:t>9</w:t>
          </w:r>
          <w:r w:rsidR="004A15E6">
            <w:rPr>
              <w:lang w:eastAsia="en-US"/>
            </w:rPr>
            <w:t>,</w:t>
          </w:r>
          <w:r w:rsidRPr="001B2051">
            <w:rPr>
              <w:i w:val="0"/>
              <w:lang w:eastAsia="en-US"/>
            </w:rPr>
            <w:t xml:space="preserve"> ss 41, 42; Sch 2 cls 3 and 4</w:t>
          </w:r>
          <w:r w:rsidR="001B2051">
            <w:rPr>
              <w:lang w:eastAsia="en-US"/>
            </w:rPr>
            <w:t xml:space="preserve">  </w:t>
          </w:r>
        </w:p>
        <w:p w:rsidR="004152C5" w:rsidRDefault="000F4D9C" w:rsidP="00E616B9">
          <w:pPr>
            <w:pStyle w:val="CatchWords"/>
            <w:rPr>
              <w:lang w:eastAsia="en-US"/>
            </w:rPr>
          </w:pPr>
          <w:r>
            <w:rPr>
              <w:lang w:eastAsia="en-US"/>
            </w:rPr>
            <w:t>Social Security (Tables for the Assessment of Work-related Impairment for Disability Support Pension) Determination 2011</w:t>
          </w:r>
          <w:r w:rsidR="001B2051">
            <w:rPr>
              <w:lang w:eastAsia="en-US"/>
            </w:rPr>
            <w:t xml:space="preserve">  </w:t>
          </w:r>
        </w:p>
      </w:sdtContent>
    </w:sdt>
    <w:p w:rsidR="00E616B9" w:rsidRPr="00BC2D09" w:rsidRDefault="00E616B9" w:rsidP="00E7349B">
      <w:pPr>
        <w:pStyle w:val="NoSpacing"/>
        <w:rPr>
          <w:lang w:eastAsia="en-US"/>
        </w:rPr>
      </w:pPr>
    </w:p>
    <w:p w:rsidR="005F2E99" w:rsidRPr="0067194A" w:rsidRDefault="0067194A" w:rsidP="0067194A">
      <w:pPr>
        <w:pStyle w:val="CatchWords"/>
        <w:rPr>
          <w:b/>
          <w:i w:val="0"/>
          <w:lang w:eastAsia="en-US"/>
        </w:rPr>
      </w:pPr>
      <w:bookmarkStart w:id="6" w:name="CasesTitle"/>
      <w:bookmarkEnd w:id="6"/>
      <w:r w:rsidRPr="0067194A">
        <w:rPr>
          <w:b/>
          <w:i w:val="0"/>
          <w:lang w:eastAsia="en-US"/>
        </w:rPr>
        <w:t>CASES</w:t>
      </w:r>
    </w:p>
    <w:sdt>
      <w:sdtPr>
        <w:rPr>
          <w:lang w:eastAsia="en-US"/>
        </w:rPr>
        <w:alias w:val="Cases"/>
        <w:tag w:val="Cases"/>
        <w:id w:val="-26403871"/>
        <w:placeholder>
          <w:docPart w:val="7F03C2A62DD74750AA7C3B47E1DE03D9"/>
        </w:placeholder>
      </w:sdtPr>
      <w:sdtEndPr>
        <w:rPr>
          <w:i w:val="0"/>
        </w:rPr>
      </w:sdtEndPr>
      <w:sdtContent>
        <w:p w:rsidR="000F4D9C" w:rsidRDefault="000F4D9C" w:rsidP="0067194A">
          <w:pPr>
            <w:pStyle w:val="CatchWords"/>
          </w:pPr>
          <w:r>
            <w:t xml:space="preserve">Re Bobera and Secretary, Department of Families, Housing, Community Services and Indigenous Affairs </w:t>
          </w:r>
          <w:r w:rsidRPr="001B2051">
            <w:rPr>
              <w:i w:val="0"/>
            </w:rPr>
            <w:t>[2012] AATA 922</w:t>
          </w:r>
          <w:r w:rsidR="001B2051">
            <w:t xml:space="preserve">  </w:t>
          </w:r>
        </w:p>
        <w:p w:rsidR="000F4D9C" w:rsidRDefault="000F4D9C" w:rsidP="0067194A">
          <w:pPr>
            <w:pStyle w:val="CatchWords"/>
          </w:pPr>
          <w:r>
            <w:t xml:space="preserve">Re Fanning and Secretary, Department of Social Services </w:t>
          </w:r>
          <w:r w:rsidRPr="001B2051">
            <w:rPr>
              <w:i w:val="0"/>
            </w:rPr>
            <w:t>(2014) 144 ALD 133</w:t>
          </w:r>
          <w:r w:rsidR="001B2051">
            <w:t xml:space="preserve">  </w:t>
          </w:r>
        </w:p>
        <w:p w:rsidR="000F4D9C" w:rsidRDefault="000F4D9C" w:rsidP="0067194A">
          <w:pPr>
            <w:pStyle w:val="CatchWords"/>
          </w:pPr>
          <w:r>
            <w:t xml:space="preserve">Re Yazdari and Secretary, Department of Social Services </w:t>
          </w:r>
          <w:r w:rsidRPr="001B2051">
            <w:rPr>
              <w:i w:val="0"/>
            </w:rPr>
            <w:t>[2014] AATA 34</w:t>
          </w:r>
          <w:r w:rsidR="001B2051">
            <w:t xml:space="preserve">  </w:t>
          </w:r>
        </w:p>
        <w:p w:rsidR="0067194A" w:rsidRPr="00BC2D09" w:rsidRDefault="00F228F4" w:rsidP="0067194A">
          <w:pPr>
            <w:pStyle w:val="CatchWords"/>
            <w:rPr>
              <w:lang w:eastAsia="en-US"/>
            </w:rPr>
          </w:pPr>
        </w:p>
      </w:sdtContent>
    </w:sdt>
    <w:bookmarkStart w:id="7" w:name="SecondaryMaterialsTitle"/>
    <w:bookmarkEnd w:id="7"/>
    <w:p w:rsidR="00BC2D09" w:rsidRDefault="00F228F4" w:rsidP="00BF0B07">
      <w:pPr>
        <w:pStyle w:val="CatchWords"/>
        <w:spacing w:line="276" w:lineRule="auto"/>
      </w:pPr>
      <w:sdt>
        <w:sdtPr>
          <w:alias w:val="SecondaryMaterials"/>
          <w:tag w:val="SecondaryMaterials"/>
          <w:id w:val="16523116"/>
          <w:placeholder>
            <w:docPart w:val="A0687EDE0ECF417B93F66E4DB5FCFC88"/>
          </w:placeholder>
        </w:sdtPr>
        <w:sdtEndPr/>
        <w:sdtContent>
          <w:r w:rsidR="00793896">
            <w:t xml:space="preserve"> </w:t>
          </w:r>
        </w:sdtContent>
      </w:sdt>
    </w:p>
    <w:p w:rsidR="009E2C76" w:rsidRPr="000D476E" w:rsidRDefault="009E2C76" w:rsidP="00CA099E">
      <w:pPr>
        <w:pStyle w:val="Heading1"/>
        <w:rPr>
          <w:b/>
          <w:lang w:eastAsia="en-US"/>
        </w:rPr>
      </w:pPr>
      <w:r w:rsidRPr="000D476E">
        <w:rPr>
          <w:b/>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C05819">
        <w:rPr>
          <w:b/>
          <w:lang w:eastAsia="en-US"/>
        </w:rPr>
        <w:t>Deputy President K Bean</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separate"/>
      </w:r>
      <w:r w:rsidR="00C05819">
        <w:rPr>
          <w:b/>
          <w:lang w:eastAsia="en-US"/>
        </w:rPr>
        <w:t>Mr I Thompson, Member</w:t>
      </w:r>
      <w:r w:rsidRPr="002A5BD8">
        <w:rPr>
          <w:b/>
          <w:lang w:eastAsia="en-US"/>
        </w:rPr>
        <w:fldChar w:fldCharType="end"/>
      </w:r>
    </w:p>
    <w:p w:rsidR="00A74195" w:rsidRDefault="00A74195" w:rsidP="00A74195">
      <w:pPr>
        <w:pStyle w:val="NoSpacing"/>
        <w:rPr>
          <w:lang w:eastAsia="en-US"/>
        </w:rPr>
      </w:pPr>
    </w:p>
    <w:p w:rsidR="00A74195" w:rsidRPr="00D50614" w:rsidRDefault="00E234A7" w:rsidP="00D750F5">
      <w:pPr>
        <w:pStyle w:val="NoSpacing"/>
        <w:rPr>
          <w:b/>
          <w:lang w:eastAsia="en-US"/>
        </w:rPr>
      </w:pPr>
      <w:r>
        <w:rPr>
          <w:b/>
          <w:lang w:eastAsia="en-US"/>
        </w:rPr>
        <w:t xml:space="preserve">5 </w:t>
      </w:r>
      <w:r w:rsidR="00134F3D">
        <w:rPr>
          <w:b/>
          <w:lang w:eastAsia="en-US"/>
        </w:rPr>
        <w:t>June</w:t>
      </w:r>
      <w:r w:rsidR="00BF0B07">
        <w:rPr>
          <w:b/>
          <w:lang w:eastAsia="en-US"/>
        </w:rPr>
        <w:t xml:space="preserve"> 201</w:t>
      </w:r>
      <w:r w:rsidR="007253DF">
        <w:rPr>
          <w:b/>
          <w:lang w:eastAsia="en-US"/>
        </w:rPr>
        <w:t>5</w:t>
      </w:r>
    </w:p>
    <w:p w:rsidR="00A74195" w:rsidRPr="00CA099E" w:rsidRDefault="00A74195" w:rsidP="00D750F5">
      <w:pPr>
        <w:pStyle w:val="NoSpacing"/>
        <w:rPr>
          <w:lang w:eastAsia="en-US"/>
        </w:rPr>
      </w:pPr>
    </w:p>
    <w:p w:rsidR="000176A5" w:rsidRPr="000D476E" w:rsidRDefault="00991821" w:rsidP="00991821">
      <w:pPr>
        <w:pStyle w:val="Heading1"/>
        <w:rPr>
          <w:b/>
        </w:rPr>
      </w:pPr>
      <w:bookmarkStart w:id="8" w:name="Start"/>
      <w:bookmarkEnd w:id="8"/>
      <w:r w:rsidRPr="000D476E">
        <w:rPr>
          <w:b/>
        </w:rPr>
        <w:t>INTRODUCTION</w:t>
      </w:r>
    </w:p>
    <w:p w:rsidR="00991821" w:rsidRDefault="00D060A3" w:rsidP="00991821">
      <w:pPr>
        <w:pStyle w:val="ListNumber"/>
        <w:rPr>
          <w:lang w:eastAsia="en-AU"/>
        </w:rPr>
      </w:pPr>
      <w:r>
        <w:rPr>
          <w:lang w:eastAsia="en-AU"/>
        </w:rPr>
        <w:t xml:space="preserve">The applicant, </w:t>
      </w:r>
      <w:r w:rsidR="00863362">
        <w:rPr>
          <w:lang w:eastAsia="en-AU"/>
        </w:rPr>
        <w:t>Mr</w:t>
      </w:r>
      <w:r w:rsidR="00BF0B07">
        <w:rPr>
          <w:lang w:eastAsia="en-AU"/>
        </w:rPr>
        <w:t> </w:t>
      </w:r>
      <w:r w:rsidR="00863362">
        <w:rPr>
          <w:lang w:eastAsia="en-AU"/>
        </w:rPr>
        <w:t>Sidwell</w:t>
      </w:r>
      <w:r w:rsidR="00991821">
        <w:rPr>
          <w:lang w:eastAsia="en-AU"/>
        </w:rPr>
        <w:t>, who is 5</w:t>
      </w:r>
      <w:r w:rsidR="00775F39">
        <w:rPr>
          <w:lang w:eastAsia="en-AU"/>
        </w:rPr>
        <w:t>5</w:t>
      </w:r>
      <w:r w:rsidR="00991821">
        <w:rPr>
          <w:lang w:eastAsia="en-AU"/>
        </w:rPr>
        <w:t xml:space="preserve"> years old, lodged a claim for a </w:t>
      </w:r>
      <w:r w:rsidR="006C73AA">
        <w:rPr>
          <w:lang w:eastAsia="en-AU"/>
        </w:rPr>
        <w:t>d</w:t>
      </w:r>
      <w:r w:rsidR="00991821">
        <w:rPr>
          <w:lang w:eastAsia="en-AU"/>
        </w:rPr>
        <w:t xml:space="preserve">isability </w:t>
      </w:r>
      <w:r w:rsidR="006C73AA">
        <w:rPr>
          <w:lang w:eastAsia="en-AU"/>
        </w:rPr>
        <w:t>s</w:t>
      </w:r>
      <w:r w:rsidR="00991821">
        <w:rPr>
          <w:lang w:eastAsia="en-AU"/>
        </w:rPr>
        <w:t xml:space="preserve">upport </w:t>
      </w:r>
      <w:r w:rsidR="006C73AA">
        <w:rPr>
          <w:lang w:eastAsia="en-AU"/>
        </w:rPr>
        <w:t>p</w:t>
      </w:r>
      <w:r w:rsidR="00991821">
        <w:rPr>
          <w:lang w:eastAsia="en-AU"/>
        </w:rPr>
        <w:t>ension (D</w:t>
      </w:r>
      <w:r w:rsidR="000904E4">
        <w:rPr>
          <w:lang w:eastAsia="en-AU"/>
        </w:rPr>
        <w:t>SP) on 1 March 2012. The basis of h</w:t>
      </w:r>
      <w:r>
        <w:rPr>
          <w:lang w:eastAsia="en-AU"/>
        </w:rPr>
        <w:t>is</w:t>
      </w:r>
      <w:r w:rsidR="000904E4">
        <w:rPr>
          <w:lang w:eastAsia="en-AU"/>
        </w:rPr>
        <w:t xml:space="preserve"> claim </w:t>
      </w:r>
      <w:r>
        <w:rPr>
          <w:lang w:eastAsia="en-AU"/>
        </w:rPr>
        <w:t>was</w:t>
      </w:r>
      <w:r w:rsidR="000904E4">
        <w:rPr>
          <w:lang w:eastAsia="en-AU"/>
        </w:rPr>
        <w:t xml:space="preserve"> that he suffers</w:t>
      </w:r>
      <w:r w:rsidR="00991821">
        <w:rPr>
          <w:lang w:eastAsia="en-AU"/>
        </w:rPr>
        <w:t xml:space="preserve"> from depression, osteoarthritis in the lower sp</w:t>
      </w:r>
      <w:r w:rsidR="00875EA3">
        <w:rPr>
          <w:lang w:eastAsia="en-AU"/>
        </w:rPr>
        <w:t>ine and chronic testicular pain (</w:t>
      </w:r>
      <w:r w:rsidR="00751057">
        <w:rPr>
          <w:lang w:eastAsia="en-AU"/>
        </w:rPr>
        <w:t>the first</w:t>
      </w:r>
      <w:r w:rsidR="0012456D">
        <w:rPr>
          <w:lang w:eastAsia="en-AU"/>
        </w:rPr>
        <w:t xml:space="preserve"> DSP </w:t>
      </w:r>
      <w:r w:rsidR="00751057">
        <w:rPr>
          <w:lang w:eastAsia="en-AU"/>
        </w:rPr>
        <w:t>claim</w:t>
      </w:r>
      <w:r w:rsidR="00875EA3">
        <w:rPr>
          <w:lang w:eastAsia="en-AU"/>
        </w:rPr>
        <w:t>)</w:t>
      </w:r>
      <w:r w:rsidR="00751057">
        <w:rPr>
          <w:lang w:eastAsia="en-AU"/>
        </w:rPr>
        <w:t>.</w:t>
      </w:r>
    </w:p>
    <w:p w:rsidR="00793896" w:rsidRDefault="00991821" w:rsidP="00084AAF">
      <w:pPr>
        <w:pStyle w:val="ListNumber"/>
      </w:pPr>
      <w:r>
        <w:rPr>
          <w:lang w:eastAsia="en-AU"/>
        </w:rPr>
        <w:t xml:space="preserve">Centrelink rejected the </w:t>
      </w:r>
      <w:r w:rsidR="00D060A3">
        <w:rPr>
          <w:lang w:eastAsia="en-AU"/>
        </w:rPr>
        <w:t xml:space="preserve">first </w:t>
      </w:r>
      <w:r>
        <w:rPr>
          <w:lang w:eastAsia="en-AU"/>
        </w:rPr>
        <w:t>DSP cla</w:t>
      </w:r>
      <w:r w:rsidR="000904E4">
        <w:rPr>
          <w:lang w:eastAsia="en-AU"/>
        </w:rPr>
        <w:t xml:space="preserve">im </w:t>
      </w:r>
      <w:r w:rsidR="00084AAF">
        <w:rPr>
          <w:lang w:eastAsia="en-AU"/>
        </w:rPr>
        <w:t>and on review the</w:t>
      </w:r>
      <w:r w:rsidR="0070597B">
        <w:rPr>
          <w:lang w:eastAsia="en-AU"/>
        </w:rPr>
        <w:t xml:space="preserve"> Social Securi</w:t>
      </w:r>
      <w:r w:rsidR="00084AAF">
        <w:rPr>
          <w:lang w:eastAsia="en-AU"/>
        </w:rPr>
        <w:t>ty Appeals Tribunal (SSAT) affirmed Centrelink’s decision</w:t>
      </w:r>
      <w:r w:rsidR="00144E7F">
        <w:t>.</w:t>
      </w:r>
      <w:r w:rsidR="00144E7F" w:rsidRPr="00144E7F">
        <w:t xml:space="preserve"> </w:t>
      </w:r>
      <w:r w:rsidR="00144E7F">
        <w:t xml:space="preserve">Mr Sidwell </w:t>
      </w:r>
      <w:r w:rsidR="00805E3E">
        <w:t xml:space="preserve">then </w:t>
      </w:r>
      <w:r w:rsidR="00144E7F">
        <w:t>applied to th</w:t>
      </w:r>
      <w:r w:rsidR="006C73AA">
        <w:t>is</w:t>
      </w:r>
      <w:r w:rsidR="00144E7F">
        <w:t xml:space="preserve"> Tribunal for review of the decision of the SSAT, the hearing took place on 29</w:t>
      </w:r>
      <w:r w:rsidR="000F4D9C">
        <w:t> and </w:t>
      </w:r>
      <w:r w:rsidR="00144E7F">
        <w:t>30</w:t>
      </w:r>
      <w:r w:rsidR="00AA0C0F">
        <w:t> </w:t>
      </w:r>
      <w:r w:rsidR="00144E7F">
        <w:t>January 2014 (the first hearing)</w:t>
      </w:r>
      <w:r w:rsidR="000F4D9C">
        <w:t>,</w:t>
      </w:r>
      <w:r w:rsidR="00144E7F">
        <w:t xml:space="preserve"> and the decision was reserved.</w:t>
      </w:r>
    </w:p>
    <w:p w:rsidR="00084AAF" w:rsidRDefault="00084AAF" w:rsidP="00084AAF">
      <w:pPr>
        <w:pStyle w:val="ListNumber"/>
      </w:pPr>
      <w:r>
        <w:t xml:space="preserve">It subsequently </w:t>
      </w:r>
      <w:r w:rsidR="00805E3E">
        <w:t xml:space="preserve">came to our attention </w:t>
      </w:r>
      <w:r>
        <w:t>that, on 5 March 2013, Mr Sidwell had lodg</w:t>
      </w:r>
      <w:r w:rsidR="00875EA3">
        <w:t xml:space="preserve">ed another claim for DSP </w:t>
      </w:r>
      <w:r w:rsidR="009723C0">
        <w:t>(the</w:t>
      </w:r>
      <w:r>
        <w:t xml:space="preserve"> second DSP claim</w:t>
      </w:r>
      <w:r w:rsidR="00875EA3">
        <w:t>)</w:t>
      </w:r>
      <w:r w:rsidR="00D060A3">
        <w:t>, although</w:t>
      </w:r>
      <w:r w:rsidR="00793896">
        <w:t xml:space="preserve"> </w:t>
      </w:r>
      <w:r w:rsidR="00D060A3">
        <w:t>t</w:t>
      </w:r>
      <w:r>
        <w:t>he part</w:t>
      </w:r>
      <w:r w:rsidR="00567196">
        <w:t>ies had</w:t>
      </w:r>
      <w:r>
        <w:t xml:space="preserve"> not refer</w:t>
      </w:r>
      <w:r w:rsidR="00567196">
        <w:t>red</w:t>
      </w:r>
      <w:r>
        <w:t xml:space="preserve"> </w:t>
      </w:r>
      <w:r w:rsidR="00805E3E">
        <w:t>us</w:t>
      </w:r>
      <w:r>
        <w:t xml:space="preserve"> to the second DSP </w:t>
      </w:r>
      <w:r w:rsidR="00981324">
        <w:t>claim during the</w:t>
      </w:r>
      <w:r w:rsidR="00144E7F">
        <w:t xml:space="preserve"> first</w:t>
      </w:r>
      <w:r>
        <w:t xml:space="preserve"> hearing.</w:t>
      </w:r>
      <w:r w:rsidRPr="00084AAF">
        <w:rPr>
          <w:lang w:eastAsia="en-AU"/>
        </w:rPr>
        <w:t xml:space="preserve"> </w:t>
      </w:r>
      <w:r>
        <w:rPr>
          <w:lang w:eastAsia="en-AU"/>
        </w:rPr>
        <w:t>The second DSP claim related to the same conditions as the first DSP</w:t>
      </w:r>
      <w:r w:rsidR="00805E3E">
        <w:rPr>
          <w:lang w:eastAsia="en-AU"/>
        </w:rPr>
        <w:t xml:space="preserve"> claim</w:t>
      </w:r>
      <w:r>
        <w:rPr>
          <w:lang w:eastAsia="en-AU"/>
        </w:rPr>
        <w:t xml:space="preserve">, namely </w:t>
      </w:r>
      <w:r w:rsidR="000F4D9C">
        <w:rPr>
          <w:lang w:eastAsia="en-AU"/>
        </w:rPr>
        <w:t>a back condition</w:t>
      </w:r>
      <w:r>
        <w:rPr>
          <w:lang w:eastAsia="en-AU"/>
        </w:rPr>
        <w:t>, depression and testicular pain.</w:t>
      </w:r>
    </w:p>
    <w:p w:rsidR="00DE5D02" w:rsidRDefault="00084AAF" w:rsidP="00DE5D02">
      <w:pPr>
        <w:pStyle w:val="ListNumber"/>
      </w:pPr>
      <w:r>
        <w:t xml:space="preserve">Centrelink </w:t>
      </w:r>
      <w:r w:rsidR="00D060A3">
        <w:t xml:space="preserve">also </w:t>
      </w:r>
      <w:r>
        <w:t>rejected the second DSP claim</w:t>
      </w:r>
      <w:r w:rsidR="00DE5D02">
        <w:t xml:space="preserve">. However, on review, the SSAT determined that Mr </w:t>
      </w:r>
      <w:r w:rsidR="009723C0">
        <w:t>Si</w:t>
      </w:r>
      <w:r w:rsidR="000D476E">
        <w:t>d</w:t>
      </w:r>
      <w:r w:rsidR="009723C0">
        <w:t>well</w:t>
      </w:r>
      <w:r w:rsidR="00DE5D02">
        <w:t xml:space="preserve"> </w:t>
      </w:r>
      <w:r w:rsidR="000F4D9C">
        <w:t xml:space="preserve">satisfied the </w:t>
      </w:r>
      <w:r w:rsidR="00DE5D02">
        <w:t>qualifi</w:t>
      </w:r>
      <w:r w:rsidR="000F4D9C">
        <w:t>cation</w:t>
      </w:r>
      <w:r w:rsidR="00B80841">
        <w:t xml:space="preserve"> requirements</w:t>
      </w:r>
      <w:r w:rsidR="00DE5D02">
        <w:t xml:space="preserve"> for </w:t>
      </w:r>
      <w:r w:rsidR="0070597B">
        <w:t>DSP and th</w:t>
      </w:r>
      <w:r w:rsidR="00DE5D02">
        <w:t>at he had done so since 5</w:t>
      </w:r>
      <w:r w:rsidR="005F2279">
        <w:t> </w:t>
      </w:r>
      <w:r w:rsidR="00DE5D02">
        <w:t>March 2013.</w:t>
      </w:r>
      <w:r w:rsidR="00DE5D02" w:rsidRPr="00DE5D02">
        <w:t xml:space="preserve"> </w:t>
      </w:r>
      <w:r w:rsidR="00DE5D02">
        <w:t>The SSAT made its decision on 31 January 2014</w:t>
      </w:r>
      <w:r w:rsidR="00805E3E">
        <w:t>,</w:t>
      </w:r>
      <w:r w:rsidR="00DE5D02">
        <w:t xml:space="preserve"> </w:t>
      </w:r>
      <w:r w:rsidR="00144E7F">
        <w:t>being</w:t>
      </w:r>
      <w:r w:rsidR="00DE5D02">
        <w:t xml:space="preserve"> the day after the Tribunal had reserved its decision </w:t>
      </w:r>
      <w:r w:rsidR="00567196">
        <w:t>on the</w:t>
      </w:r>
      <w:r w:rsidR="00DE5D02">
        <w:t xml:space="preserve"> first DSP claim.</w:t>
      </w:r>
    </w:p>
    <w:p w:rsidR="00805E3E" w:rsidRDefault="00D060A3" w:rsidP="0074008A">
      <w:pPr>
        <w:pStyle w:val="ListNumber"/>
      </w:pPr>
      <w:r>
        <w:t>With respect to</w:t>
      </w:r>
      <w:r w:rsidR="00567196">
        <w:t xml:space="preserve"> the second DSP claim</w:t>
      </w:r>
      <w:r>
        <w:t>,</w:t>
      </w:r>
      <w:r w:rsidR="00567196">
        <w:t xml:space="preserve"> the </w:t>
      </w:r>
      <w:r w:rsidR="00DE5D02">
        <w:t xml:space="preserve">SSAT assigned 10 points for Mr Sidwell’s </w:t>
      </w:r>
      <w:r w:rsidR="00B80841">
        <w:t>back</w:t>
      </w:r>
      <w:r w:rsidR="00DE5D02">
        <w:t xml:space="preserve"> condition, 10 points for moderate functional impact arising out of depression, and 0 points for testicular pain on the basis that the condition was not fully diagnosed, fully treated and fully stabilised. Accordingly, the SSAT found that Mr Sidwell’s total impairment r</w:t>
      </w:r>
      <w:r w:rsidR="0074008A">
        <w:t>ating was 20 points and</w:t>
      </w:r>
      <w:r w:rsidR="00144E7F">
        <w:t>, as he also met the other relevant requirements, he</w:t>
      </w:r>
      <w:r w:rsidR="00DE5D02">
        <w:t xml:space="preserve"> </w:t>
      </w:r>
      <w:r w:rsidR="0074008A">
        <w:t xml:space="preserve">therefore </w:t>
      </w:r>
      <w:r w:rsidR="00DE5D02">
        <w:t>qualifi</w:t>
      </w:r>
      <w:r w:rsidR="0070597B">
        <w:t>ed for DSP.</w:t>
      </w:r>
      <w:r>
        <w:t xml:space="preserve"> </w:t>
      </w:r>
      <w:r w:rsidR="00805E3E">
        <w:t>However o</w:t>
      </w:r>
      <w:r>
        <w:t>n 5 March 2014, the Secretary applied to this Tribunal for review of the SSAT’s decision o</w:t>
      </w:r>
      <w:r w:rsidR="00B80841">
        <w:t>n the second DSP claim</w:t>
      </w:r>
      <w:r>
        <w:t xml:space="preserve">. </w:t>
      </w:r>
    </w:p>
    <w:p w:rsidR="00DE5D02" w:rsidRDefault="00D060A3" w:rsidP="0074008A">
      <w:pPr>
        <w:pStyle w:val="ListNumber"/>
      </w:pPr>
      <w:r>
        <w:t>Accordingly, there are currently two applications before th</w:t>
      </w:r>
      <w:r w:rsidR="006C73AA">
        <w:t>is</w:t>
      </w:r>
      <w:r>
        <w:t xml:space="preserve"> Tribunal relating to Mr</w:t>
      </w:r>
      <w:r w:rsidR="005F2279">
        <w:t> </w:t>
      </w:r>
      <w:r>
        <w:t>Sidwell’s entitlement to DSP, one brought by Mr</w:t>
      </w:r>
      <w:r w:rsidR="002F4EB0">
        <w:t> </w:t>
      </w:r>
      <w:r>
        <w:t>Sidwell and one by the Secretary.</w:t>
      </w:r>
      <w:r w:rsidR="00AA0C0F">
        <w:t xml:space="preserve"> </w:t>
      </w:r>
      <w:r w:rsidR="00805E3E">
        <w:t>After the Secretary’s application for review of the second SSAT decision had been lodged</w:t>
      </w:r>
      <w:r w:rsidR="004A0C4C">
        <w:t>,</w:t>
      </w:r>
      <w:r>
        <w:t xml:space="preserve"> it was determined at a Directions Hearing on </w:t>
      </w:r>
      <w:r w:rsidR="00793896">
        <w:t>14</w:t>
      </w:r>
      <w:r w:rsidR="00805E3E">
        <w:t> </w:t>
      </w:r>
      <w:r w:rsidR="004A0C4C">
        <w:t xml:space="preserve">March 2014 </w:t>
      </w:r>
      <w:r w:rsidR="005F2279">
        <w:t>that the two matters should be heard and determined together</w:t>
      </w:r>
      <w:r w:rsidR="004A0C4C">
        <w:t>, and</w:t>
      </w:r>
      <w:r w:rsidR="00793896">
        <w:t xml:space="preserve"> </w:t>
      </w:r>
      <w:r w:rsidR="004A0C4C">
        <w:t>u</w:t>
      </w:r>
      <w:r w:rsidR="005F2279">
        <w:t>ltimately a further hearing was held on 16 and 17</w:t>
      </w:r>
      <w:r w:rsidR="002F4EB0">
        <w:t> </w:t>
      </w:r>
      <w:r w:rsidR="005F2279">
        <w:t>March</w:t>
      </w:r>
      <w:r w:rsidR="002F4EB0">
        <w:t> </w:t>
      </w:r>
      <w:r w:rsidR="005F2279">
        <w:t>2015.</w:t>
      </w:r>
    </w:p>
    <w:p w:rsidR="00991821" w:rsidRDefault="00991821" w:rsidP="006955CE">
      <w:pPr>
        <w:pStyle w:val="Heading1"/>
        <w:rPr>
          <w:b/>
        </w:rPr>
      </w:pPr>
      <w:r w:rsidRPr="006955CE">
        <w:rPr>
          <w:b/>
        </w:rPr>
        <w:t>legislation</w:t>
      </w:r>
      <w:r w:rsidR="006955CE" w:rsidRPr="006955CE">
        <w:rPr>
          <w:b/>
        </w:rPr>
        <w:t xml:space="preserve"> and issues</w:t>
      </w:r>
    </w:p>
    <w:p w:rsidR="000F2144" w:rsidRPr="003A589C" w:rsidRDefault="006C73AA" w:rsidP="000F2144">
      <w:pPr>
        <w:pStyle w:val="ListNumber"/>
      </w:pPr>
      <w:r>
        <w:t>It follows that</w:t>
      </w:r>
      <w:r w:rsidR="004A0C4C">
        <w:t xml:space="preserve"> t</w:t>
      </w:r>
      <w:r w:rsidR="003A589C">
        <w:t xml:space="preserve">he issue for </w:t>
      </w:r>
      <w:r w:rsidR="00805E3E">
        <w:t xml:space="preserve">us </w:t>
      </w:r>
      <w:r w:rsidR="003A589C">
        <w:t>is whether Mr</w:t>
      </w:r>
      <w:r w:rsidR="005C0DDD">
        <w:t> </w:t>
      </w:r>
      <w:r w:rsidR="003A589C">
        <w:t>Sidwell satisfied the qualification criteria for DSP,</w:t>
      </w:r>
      <w:r w:rsidR="000D476E">
        <w:t xml:space="preserve"> </w:t>
      </w:r>
      <w:r w:rsidR="003A589C">
        <w:t>which are set out in s</w:t>
      </w:r>
      <w:r w:rsidR="000D476E">
        <w:t> </w:t>
      </w:r>
      <w:r w:rsidR="005C0DDD">
        <w:t>94 of</w:t>
      </w:r>
      <w:r w:rsidR="004A0C4C">
        <w:t xml:space="preserve"> the </w:t>
      </w:r>
      <w:r w:rsidR="004A0C4C">
        <w:rPr>
          <w:i/>
        </w:rPr>
        <w:t xml:space="preserve">Social Security Act 1991 </w:t>
      </w:r>
      <w:r w:rsidR="004A0C4C" w:rsidRPr="002F4EB0">
        <w:t>(the Act).</w:t>
      </w:r>
      <w:r w:rsidR="00B80841">
        <w:t xml:space="preserve"> Under </w:t>
      </w:r>
      <w:r w:rsidR="003A589C">
        <w:t>s</w:t>
      </w:r>
      <w:r w:rsidR="000D476E">
        <w:t>s</w:t>
      </w:r>
      <w:r w:rsidR="00E626D8">
        <w:t> </w:t>
      </w:r>
      <w:r w:rsidR="00B80841">
        <w:t>41 and 42, and cl</w:t>
      </w:r>
      <w:r w:rsidR="003A589C">
        <w:t>s 3 and 4 o</w:t>
      </w:r>
      <w:r w:rsidR="00B80841">
        <w:t>f</w:t>
      </w:r>
      <w:r w:rsidR="003A589C">
        <w:t xml:space="preserve"> Schedule </w:t>
      </w:r>
      <w:r w:rsidR="00B80841">
        <w:t>2 to</w:t>
      </w:r>
      <w:r w:rsidR="003A589C">
        <w:t xml:space="preserve"> the </w:t>
      </w:r>
      <w:r w:rsidR="003A589C" w:rsidRPr="002D5398">
        <w:rPr>
          <w:i/>
        </w:rPr>
        <w:t>Social Security (Administration) Act 1999</w:t>
      </w:r>
      <w:r w:rsidR="002F4EB0">
        <w:rPr>
          <w:i/>
        </w:rPr>
        <w:t xml:space="preserve"> </w:t>
      </w:r>
      <w:r w:rsidR="002F4EB0">
        <w:t>(the Administration Act)</w:t>
      </w:r>
      <w:r w:rsidR="003A589C">
        <w:t xml:space="preserve">, an applicant must qualify for a social security payment on the day on which the claim was made or within 13 weeks of that date (the </w:t>
      </w:r>
      <w:r w:rsidR="00B80841">
        <w:t>assessment period</w:t>
      </w:r>
      <w:r w:rsidR="003A589C">
        <w:t xml:space="preserve">). </w:t>
      </w:r>
      <w:r w:rsidR="000F2144">
        <w:t xml:space="preserve">Therefore for Mr Sidwell’s first DSP claim, the assessment period is from 1 March 2012 to 31 May 2012 (the first assessment period). For Mr Sidwell’s second DSP claim, the assessment period </w:t>
      </w:r>
      <w:r w:rsidR="00B80841">
        <w:t>is 5 March 2013 to 4 June 2013</w:t>
      </w:r>
      <w:r w:rsidR="001B2051">
        <w:t xml:space="preserve"> </w:t>
      </w:r>
      <w:r w:rsidR="00B80841">
        <w:t>(the second assessment period</w:t>
      </w:r>
      <w:r w:rsidR="000F2144">
        <w:t>).</w:t>
      </w:r>
    </w:p>
    <w:p w:rsidR="006018F3" w:rsidRDefault="00B80841" w:rsidP="006018F3">
      <w:pPr>
        <w:pStyle w:val="ListNumber"/>
        <w:rPr>
          <w:lang w:eastAsia="en-AU"/>
        </w:rPr>
      </w:pPr>
      <w:r>
        <w:rPr>
          <w:lang w:eastAsia="en-AU"/>
        </w:rPr>
        <w:t>In order to qualify for DSP,</w:t>
      </w:r>
      <w:r w:rsidR="00835CA3">
        <w:rPr>
          <w:lang w:eastAsia="en-AU"/>
        </w:rPr>
        <w:t xml:space="preserve"> </w:t>
      </w:r>
      <w:r>
        <w:rPr>
          <w:lang w:eastAsia="en-AU"/>
        </w:rPr>
        <w:t>s</w:t>
      </w:r>
      <w:r w:rsidR="006018F3">
        <w:rPr>
          <w:lang w:eastAsia="en-AU"/>
        </w:rPr>
        <w:t xml:space="preserve"> 94</w:t>
      </w:r>
      <w:r w:rsidR="00835CA3">
        <w:rPr>
          <w:lang w:eastAsia="en-AU"/>
        </w:rPr>
        <w:t xml:space="preserve"> of the Act</w:t>
      </w:r>
      <w:r w:rsidR="006018F3">
        <w:rPr>
          <w:lang w:eastAsia="en-AU"/>
        </w:rPr>
        <w:t xml:space="preserve"> </w:t>
      </w:r>
      <w:r w:rsidR="002D5398">
        <w:rPr>
          <w:lang w:eastAsia="en-AU"/>
        </w:rPr>
        <w:t>provides</w:t>
      </w:r>
      <w:r w:rsidR="006018F3">
        <w:rPr>
          <w:lang w:eastAsia="en-AU"/>
        </w:rPr>
        <w:t xml:space="preserve"> that an applicant must have:</w:t>
      </w:r>
    </w:p>
    <w:p w:rsidR="006018F3" w:rsidRDefault="006018F3" w:rsidP="006018F3">
      <w:pPr>
        <w:pStyle w:val="ListBullet"/>
        <w:numPr>
          <w:ilvl w:val="0"/>
          <w:numId w:val="20"/>
        </w:numPr>
        <w:rPr>
          <w:lang w:eastAsia="en-AU"/>
        </w:rPr>
      </w:pPr>
      <w:r>
        <w:rPr>
          <w:lang w:eastAsia="en-AU"/>
        </w:rPr>
        <w:t xml:space="preserve">a </w:t>
      </w:r>
      <w:r w:rsidR="002D5398">
        <w:rPr>
          <w:lang w:eastAsia="en-AU"/>
        </w:rPr>
        <w:t>physical, intellectual</w:t>
      </w:r>
      <w:r>
        <w:rPr>
          <w:lang w:eastAsia="en-AU"/>
        </w:rPr>
        <w:t xml:space="preserve"> or psychiatric impairment</w:t>
      </w:r>
      <w:r w:rsidR="00BF0B07">
        <w:rPr>
          <w:lang w:eastAsia="en-AU"/>
        </w:rPr>
        <w:t>;</w:t>
      </w:r>
    </w:p>
    <w:p w:rsidR="00E626D8" w:rsidRDefault="003A589C" w:rsidP="006018F3">
      <w:pPr>
        <w:pStyle w:val="ListBullet"/>
        <w:numPr>
          <w:ilvl w:val="0"/>
          <w:numId w:val="20"/>
        </w:numPr>
        <w:rPr>
          <w:lang w:eastAsia="en-AU"/>
        </w:rPr>
      </w:pPr>
      <w:r>
        <w:rPr>
          <w:lang w:eastAsia="en-AU"/>
        </w:rPr>
        <w:t xml:space="preserve">an </w:t>
      </w:r>
      <w:r w:rsidR="006018F3">
        <w:rPr>
          <w:lang w:eastAsia="en-AU"/>
        </w:rPr>
        <w:t xml:space="preserve">impairment of 20 points or more under the </w:t>
      </w:r>
      <w:r w:rsidRPr="00E626D8">
        <w:rPr>
          <w:i/>
          <w:lang w:eastAsia="en-AU"/>
        </w:rPr>
        <w:t>Social Security (Tables for the Assessment of Work-related Impairment for Disability Support Pension) Determination 2011</w:t>
      </w:r>
      <w:r>
        <w:rPr>
          <w:lang w:eastAsia="en-AU"/>
        </w:rPr>
        <w:t xml:space="preserve"> (the </w:t>
      </w:r>
      <w:r w:rsidR="002D5398">
        <w:rPr>
          <w:lang w:eastAsia="en-AU"/>
        </w:rPr>
        <w:t>Impairment</w:t>
      </w:r>
      <w:r w:rsidR="006018F3">
        <w:rPr>
          <w:lang w:eastAsia="en-AU"/>
        </w:rPr>
        <w:t xml:space="preserve"> Tables</w:t>
      </w:r>
      <w:r>
        <w:rPr>
          <w:lang w:eastAsia="en-AU"/>
        </w:rPr>
        <w:t>)</w:t>
      </w:r>
      <w:r w:rsidR="00BF0B07">
        <w:rPr>
          <w:lang w:eastAsia="en-AU"/>
        </w:rPr>
        <w:t>; and</w:t>
      </w:r>
    </w:p>
    <w:p w:rsidR="006018F3" w:rsidRDefault="006018F3" w:rsidP="006018F3">
      <w:pPr>
        <w:pStyle w:val="ListBullet"/>
        <w:numPr>
          <w:ilvl w:val="0"/>
          <w:numId w:val="20"/>
        </w:numPr>
        <w:rPr>
          <w:lang w:eastAsia="en-AU"/>
        </w:rPr>
      </w:pPr>
      <w:r>
        <w:rPr>
          <w:lang w:eastAsia="en-AU"/>
        </w:rPr>
        <w:t>a continuing inability to work</w:t>
      </w:r>
      <w:r w:rsidR="00BF0B07">
        <w:rPr>
          <w:lang w:eastAsia="en-AU"/>
        </w:rPr>
        <w:t>.</w:t>
      </w:r>
    </w:p>
    <w:p w:rsidR="002D5398" w:rsidRDefault="006C73AA" w:rsidP="00BF0B07">
      <w:pPr>
        <w:pStyle w:val="ListNumber"/>
      </w:pPr>
      <w:r>
        <w:t>For the purposes of</w:t>
      </w:r>
      <w:r w:rsidR="002D5398">
        <w:t xml:space="preserve"> s</w:t>
      </w:r>
      <w:r w:rsidR="00BF0B07">
        <w:t> </w:t>
      </w:r>
      <w:r>
        <w:t>94</w:t>
      </w:r>
      <w:r w:rsidR="002D5398">
        <w:t>, a</w:t>
      </w:r>
      <w:r w:rsidR="006018F3">
        <w:t xml:space="preserve"> person is </w:t>
      </w:r>
      <w:r w:rsidR="002D5398">
        <w:t>regarded</w:t>
      </w:r>
      <w:r w:rsidR="006018F3">
        <w:t xml:space="preserve"> as having a continuing inability to work</w:t>
      </w:r>
      <w:r w:rsidR="002D5398">
        <w:t xml:space="preserve"> if:</w:t>
      </w:r>
    </w:p>
    <w:p w:rsidR="00E626D8" w:rsidRDefault="002D5398" w:rsidP="002D5398">
      <w:pPr>
        <w:pStyle w:val="ListBullet"/>
        <w:numPr>
          <w:ilvl w:val="0"/>
          <w:numId w:val="21"/>
        </w:numPr>
        <w:rPr>
          <w:lang w:eastAsia="en-AU"/>
        </w:rPr>
      </w:pPr>
      <w:r>
        <w:rPr>
          <w:lang w:eastAsia="en-AU"/>
        </w:rPr>
        <w:t>they have an inability to work due to their accepted impairments for 15 hours or more a week, and</w:t>
      </w:r>
    </w:p>
    <w:p w:rsidR="00E626D8" w:rsidRDefault="002D5398" w:rsidP="002D5398">
      <w:pPr>
        <w:pStyle w:val="ListBullet"/>
        <w:numPr>
          <w:ilvl w:val="0"/>
          <w:numId w:val="21"/>
        </w:numPr>
        <w:rPr>
          <w:lang w:eastAsia="en-AU"/>
        </w:rPr>
      </w:pPr>
      <w:r>
        <w:rPr>
          <w:lang w:eastAsia="en-AU"/>
        </w:rPr>
        <w:t>they have actively participated in a program of support.</w:t>
      </w:r>
    </w:p>
    <w:p w:rsidR="002D5398" w:rsidRDefault="002D5398" w:rsidP="00E626D8">
      <w:pPr>
        <w:pStyle w:val="FollowingPara"/>
      </w:pPr>
      <w:r>
        <w:t>Th</w:t>
      </w:r>
      <w:r w:rsidR="006C73AA">
        <w:t>e</w:t>
      </w:r>
      <w:r>
        <w:t xml:space="preserve"> second requirement </w:t>
      </w:r>
      <w:r w:rsidR="006C73AA">
        <w:t>does not apply</w:t>
      </w:r>
      <w:r>
        <w:t>, however, if a person has a sever</w:t>
      </w:r>
      <w:r w:rsidR="00906D49">
        <w:t>e</w:t>
      </w:r>
      <w:r>
        <w:t xml:space="preserve"> impairment of 20 points or more under a single Impairment Table.</w:t>
      </w:r>
    </w:p>
    <w:p w:rsidR="005F7783" w:rsidRDefault="005F7783" w:rsidP="003A4AC1">
      <w:pPr>
        <w:pStyle w:val="Heading2"/>
      </w:pPr>
      <w:r>
        <w:t>CONSIDERATION</w:t>
      </w:r>
    </w:p>
    <w:p w:rsidR="000F2144" w:rsidRPr="00BB4169" w:rsidRDefault="000F2144" w:rsidP="00793896">
      <w:pPr>
        <w:pStyle w:val="ListNumber"/>
      </w:pPr>
      <w:r>
        <w:rPr>
          <w:lang w:eastAsia="en-AU"/>
        </w:rPr>
        <w:t>We will first consider whether Mr Sidwell’s conditions resulted in the required level of impairment during either of the assessment periods</w:t>
      </w:r>
      <w:r w:rsidR="00B80841">
        <w:rPr>
          <w:lang w:eastAsia="en-AU"/>
        </w:rPr>
        <w:t>, noting that there is no dispute that at all relevant times he has suffered from physical and psychiatric impairments, satisfying s</w:t>
      </w:r>
      <w:r w:rsidR="00FF44CB">
        <w:rPr>
          <w:lang w:eastAsia="en-AU"/>
        </w:rPr>
        <w:t>ubs</w:t>
      </w:r>
      <w:r w:rsidR="00B80841">
        <w:rPr>
          <w:lang w:eastAsia="en-AU"/>
        </w:rPr>
        <w:t xml:space="preserve"> 94(1)(a)</w:t>
      </w:r>
      <w:r>
        <w:rPr>
          <w:lang w:eastAsia="en-AU"/>
        </w:rPr>
        <w:t xml:space="preserve">. </w:t>
      </w:r>
    </w:p>
    <w:p w:rsidR="005F2279" w:rsidRPr="005F2279" w:rsidRDefault="00FF44CB" w:rsidP="001B2051">
      <w:pPr>
        <w:pStyle w:val="Heading2"/>
        <w:spacing w:before="240"/>
      </w:pPr>
      <w:r>
        <w:t>What</w:t>
      </w:r>
      <w:r w:rsidR="005F2279">
        <w:t xml:space="preserve"> impairment ratings</w:t>
      </w:r>
      <w:r>
        <w:t xml:space="preserve"> should be given?</w:t>
      </w:r>
    </w:p>
    <w:p w:rsidR="004D13B4" w:rsidRDefault="004D13B4" w:rsidP="004D13B4">
      <w:pPr>
        <w:pStyle w:val="ListNumber"/>
      </w:pPr>
      <w:r>
        <w:t xml:space="preserve">The Impairment Tables provide the mechanism to assign ratings for the level of functional impact </w:t>
      </w:r>
      <w:r w:rsidR="00AD2BD5">
        <w:t xml:space="preserve">arising out </w:t>
      </w:r>
      <w:r>
        <w:t xml:space="preserve">of </w:t>
      </w:r>
      <w:r w:rsidR="004A15E6">
        <w:t xml:space="preserve">an </w:t>
      </w:r>
      <w:r>
        <w:t>impairment. The Impairment Tables are based on function rather than diagnosis and they describe functional activities, abilities, symptoms and limitations. Section 6 of the Impairment Tables provides that an impairment rating can only be assigned if the condition causing</w:t>
      </w:r>
      <w:r w:rsidR="00D26AD0">
        <w:t xml:space="preserve"> the</w:t>
      </w:r>
      <w:r>
        <w:t xml:space="preserve"> impairment is permanent and is more likely than not to persist for more than two years. The Impairment Tables </w:t>
      </w:r>
      <w:r w:rsidR="00FF44CB">
        <w:t xml:space="preserve">also </w:t>
      </w:r>
      <w:r>
        <w:t>provide that a condition is permanent</w:t>
      </w:r>
      <w:r w:rsidR="00FF44CB">
        <w:t xml:space="preserve"> only</w:t>
      </w:r>
      <w:r>
        <w:t xml:space="preserve"> if it is fully diagnosed, fully treated and fully stabilised.</w:t>
      </w:r>
    </w:p>
    <w:p w:rsidR="00805E3E" w:rsidRPr="004D13B4" w:rsidRDefault="00805E3E" w:rsidP="004D13B4">
      <w:pPr>
        <w:pStyle w:val="ListNumber"/>
      </w:pPr>
      <w:r>
        <w:t>We propose to consider the applicable impairment rating for each of Mr Sidwell’s conditions</w:t>
      </w:r>
      <w:r w:rsidR="00FF44CB">
        <w:t>, by reference to the Impairment Tables</w:t>
      </w:r>
      <w:r>
        <w:t>. As we have indicated, it is necessary to c</w:t>
      </w:r>
      <w:r w:rsidR="00FF44CB">
        <w:t>onsider whether each condition wa</w:t>
      </w:r>
      <w:r>
        <w:t>s fully diagnosed, treated and stabilised</w:t>
      </w:r>
      <w:r w:rsidR="00FF44CB">
        <w:t xml:space="preserve"> during the relevant assessment period</w:t>
      </w:r>
      <w:r w:rsidR="0028386A">
        <w:t xml:space="preserve"> before determining an impairment rating</w:t>
      </w:r>
      <w:r w:rsidR="00B51C26">
        <w:t>,</w:t>
      </w:r>
      <w:r w:rsidR="00FF121F">
        <w:t xml:space="preserve"> because the Impairment Tables make this a prerequisite for </w:t>
      </w:r>
      <w:r w:rsidR="00AD2BD5">
        <w:t xml:space="preserve">the </w:t>
      </w:r>
      <w:r w:rsidR="00FF121F">
        <w:t>allocation of an impairment rating.</w:t>
      </w:r>
    </w:p>
    <w:p w:rsidR="003A4AC1" w:rsidRDefault="00355598" w:rsidP="001B2051">
      <w:pPr>
        <w:pStyle w:val="Heading3"/>
        <w:spacing w:before="240"/>
      </w:pPr>
      <w:r>
        <w:t>The back condition</w:t>
      </w:r>
    </w:p>
    <w:p w:rsidR="005F2279" w:rsidRPr="00F6382C" w:rsidRDefault="005F2279" w:rsidP="001B2051">
      <w:pPr>
        <w:pStyle w:val="Hearing4KB"/>
        <w:spacing w:before="240"/>
      </w:pPr>
      <w:r w:rsidRPr="00F6382C">
        <w:t>Was the condition fully diagnosed, treated and stabilised?</w:t>
      </w:r>
    </w:p>
    <w:p w:rsidR="003A4AC1" w:rsidRDefault="00863362" w:rsidP="003A4AC1">
      <w:pPr>
        <w:pStyle w:val="ListNumber"/>
        <w:rPr>
          <w:lang w:eastAsia="en-AU"/>
        </w:rPr>
      </w:pPr>
      <w:r>
        <w:rPr>
          <w:lang w:eastAsia="en-AU"/>
        </w:rPr>
        <w:t>Mr</w:t>
      </w:r>
      <w:r w:rsidR="00D94E50">
        <w:rPr>
          <w:lang w:eastAsia="en-AU"/>
        </w:rPr>
        <w:t> </w:t>
      </w:r>
      <w:r>
        <w:rPr>
          <w:lang w:eastAsia="en-AU"/>
        </w:rPr>
        <w:t>Sidwell</w:t>
      </w:r>
      <w:r w:rsidR="003A4AC1">
        <w:rPr>
          <w:lang w:eastAsia="en-AU"/>
        </w:rPr>
        <w:t xml:space="preserve"> </w:t>
      </w:r>
      <w:r w:rsidR="001C68AE">
        <w:rPr>
          <w:lang w:eastAsia="en-AU"/>
        </w:rPr>
        <w:t xml:space="preserve">gave evidence </w:t>
      </w:r>
      <w:r w:rsidR="003A4AC1">
        <w:rPr>
          <w:lang w:eastAsia="en-AU"/>
        </w:rPr>
        <w:t xml:space="preserve">that he </w:t>
      </w:r>
      <w:r w:rsidR="00355598">
        <w:rPr>
          <w:lang w:eastAsia="en-AU"/>
        </w:rPr>
        <w:t xml:space="preserve">had </w:t>
      </w:r>
      <w:r w:rsidR="003A4AC1">
        <w:rPr>
          <w:lang w:eastAsia="en-AU"/>
        </w:rPr>
        <w:t xml:space="preserve">suffered from back pain since 2011 and it </w:t>
      </w:r>
      <w:r w:rsidR="005F2279">
        <w:rPr>
          <w:lang w:eastAsia="en-AU"/>
        </w:rPr>
        <w:t xml:space="preserve">had </w:t>
      </w:r>
      <w:r w:rsidR="003A4AC1">
        <w:rPr>
          <w:lang w:eastAsia="en-AU"/>
        </w:rPr>
        <w:t>gradually worsened. The pain also affected his left leg. He regularly exercised in accordance with guidance from a physiotherapist</w:t>
      </w:r>
      <w:r w:rsidR="00AA0C0F">
        <w:rPr>
          <w:lang w:eastAsia="en-AU"/>
        </w:rPr>
        <w:t xml:space="preserve"> </w:t>
      </w:r>
      <w:r w:rsidR="00805E3E">
        <w:rPr>
          <w:lang w:eastAsia="en-AU"/>
        </w:rPr>
        <w:t>and</w:t>
      </w:r>
      <w:r w:rsidR="003A4AC1">
        <w:rPr>
          <w:lang w:eastAsia="en-AU"/>
        </w:rPr>
        <w:t xml:space="preserve"> took medication to reduce the effects of the back pain. </w:t>
      </w:r>
      <w:r w:rsidR="00FF44CB">
        <w:rPr>
          <w:lang w:eastAsia="en-AU"/>
        </w:rPr>
        <w:t xml:space="preserve">He said </w:t>
      </w:r>
      <w:r w:rsidR="00B51C26">
        <w:rPr>
          <w:lang w:eastAsia="en-AU"/>
        </w:rPr>
        <w:t>p</w:t>
      </w:r>
      <w:r w:rsidR="003A4AC1">
        <w:rPr>
          <w:lang w:eastAsia="en-AU"/>
        </w:rPr>
        <w:t>hysiotherapy treatment conti</w:t>
      </w:r>
      <w:r w:rsidR="00E20301">
        <w:rPr>
          <w:lang w:eastAsia="en-AU"/>
        </w:rPr>
        <w:t>nued for two years and he came</w:t>
      </w:r>
      <w:r w:rsidR="003A4AC1">
        <w:rPr>
          <w:lang w:eastAsia="en-AU"/>
        </w:rPr>
        <w:t xml:space="preserve"> under the </w:t>
      </w:r>
      <w:r w:rsidR="00F0438E">
        <w:rPr>
          <w:lang w:eastAsia="en-AU"/>
        </w:rPr>
        <w:t xml:space="preserve">continuing </w:t>
      </w:r>
      <w:r w:rsidR="003A4AC1">
        <w:rPr>
          <w:lang w:eastAsia="en-AU"/>
        </w:rPr>
        <w:t xml:space="preserve">care of a physiotherapist at the Royal Adelaide Hospital Pain Management </w:t>
      </w:r>
      <w:r w:rsidR="00AD2BD5">
        <w:rPr>
          <w:lang w:eastAsia="en-AU"/>
        </w:rPr>
        <w:t>Unit</w:t>
      </w:r>
      <w:r w:rsidR="003A4AC1">
        <w:rPr>
          <w:lang w:eastAsia="en-AU"/>
        </w:rPr>
        <w:t xml:space="preserve">. He described the </w:t>
      </w:r>
      <w:r w:rsidR="002016E1">
        <w:rPr>
          <w:lang w:eastAsia="en-AU"/>
        </w:rPr>
        <w:t xml:space="preserve">adverse </w:t>
      </w:r>
      <w:r w:rsidR="003A4AC1">
        <w:rPr>
          <w:lang w:eastAsia="en-AU"/>
        </w:rPr>
        <w:t>effect</w:t>
      </w:r>
      <w:r w:rsidR="002016E1">
        <w:rPr>
          <w:lang w:eastAsia="en-AU"/>
        </w:rPr>
        <w:t>s</w:t>
      </w:r>
      <w:r w:rsidR="003A4AC1">
        <w:rPr>
          <w:lang w:eastAsia="en-AU"/>
        </w:rPr>
        <w:t xml:space="preserve"> of the back pain on his daily </w:t>
      </w:r>
      <w:r w:rsidR="002D5398">
        <w:rPr>
          <w:lang w:eastAsia="en-AU"/>
        </w:rPr>
        <w:t>activities</w:t>
      </w:r>
      <w:r w:rsidR="00AD2BD5">
        <w:rPr>
          <w:lang w:eastAsia="en-AU"/>
        </w:rPr>
        <w:t>,</w:t>
      </w:r>
      <w:r w:rsidR="002D5398">
        <w:rPr>
          <w:lang w:eastAsia="en-AU"/>
        </w:rPr>
        <w:t xml:space="preserve"> including</w:t>
      </w:r>
      <w:r w:rsidR="002016E1">
        <w:rPr>
          <w:lang w:eastAsia="en-AU"/>
        </w:rPr>
        <w:t xml:space="preserve"> </w:t>
      </w:r>
      <w:r w:rsidR="00D54A3D">
        <w:rPr>
          <w:lang w:eastAsia="en-AU"/>
        </w:rPr>
        <w:t xml:space="preserve">long-term and consistent </w:t>
      </w:r>
      <w:r w:rsidR="002016E1">
        <w:rPr>
          <w:lang w:eastAsia="en-AU"/>
        </w:rPr>
        <w:t xml:space="preserve">difficulties </w:t>
      </w:r>
      <w:r w:rsidR="002D5398">
        <w:rPr>
          <w:lang w:eastAsia="en-AU"/>
        </w:rPr>
        <w:t>with housework</w:t>
      </w:r>
      <w:r w:rsidR="00CC3CC4">
        <w:rPr>
          <w:lang w:eastAsia="en-AU"/>
        </w:rPr>
        <w:t xml:space="preserve">, walking, lifting and driving. </w:t>
      </w:r>
      <w:r w:rsidR="00805E3E">
        <w:rPr>
          <w:lang w:eastAsia="en-AU"/>
        </w:rPr>
        <w:t>He said t</w:t>
      </w:r>
      <w:r w:rsidR="002016E1">
        <w:rPr>
          <w:lang w:eastAsia="en-AU"/>
        </w:rPr>
        <w:t>he back pain also interfere</w:t>
      </w:r>
      <w:r w:rsidR="00805E3E">
        <w:rPr>
          <w:lang w:eastAsia="en-AU"/>
        </w:rPr>
        <w:t>d</w:t>
      </w:r>
      <w:r w:rsidR="002016E1">
        <w:rPr>
          <w:lang w:eastAsia="en-AU"/>
        </w:rPr>
        <w:t xml:space="preserve"> with his sleep</w:t>
      </w:r>
      <w:r w:rsidR="00EF0EDB">
        <w:rPr>
          <w:lang w:eastAsia="en-AU"/>
        </w:rPr>
        <w:t>.</w:t>
      </w:r>
    </w:p>
    <w:p w:rsidR="002444A5" w:rsidRDefault="00863362" w:rsidP="000279D8">
      <w:pPr>
        <w:pStyle w:val="ListNumber"/>
      </w:pPr>
      <w:r>
        <w:rPr>
          <w:lang w:eastAsia="en-AU"/>
        </w:rPr>
        <w:t>Mr</w:t>
      </w:r>
      <w:r w:rsidR="00D94E50">
        <w:rPr>
          <w:lang w:eastAsia="en-AU"/>
        </w:rPr>
        <w:t> </w:t>
      </w:r>
      <w:r>
        <w:rPr>
          <w:lang w:eastAsia="en-AU"/>
        </w:rPr>
        <w:t>Sidwell</w:t>
      </w:r>
      <w:r w:rsidR="00CC3CC4">
        <w:rPr>
          <w:lang w:eastAsia="en-AU"/>
        </w:rPr>
        <w:t xml:space="preserve">’s general medical practitioner, Dr Afari, gave </w:t>
      </w:r>
      <w:r w:rsidR="002016E1">
        <w:rPr>
          <w:lang w:eastAsia="en-AU"/>
        </w:rPr>
        <w:t xml:space="preserve">oral </w:t>
      </w:r>
      <w:r w:rsidR="00CC3CC4">
        <w:rPr>
          <w:lang w:eastAsia="en-AU"/>
        </w:rPr>
        <w:t xml:space="preserve">evidence to the Tribunal. </w:t>
      </w:r>
      <w:r w:rsidR="00FF44CB">
        <w:rPr>
          <w:lang w:eastAsia="en-AU"/>
        </w:rPr>
        <w:t xml:space="preserve">Mr Sidwell had consulted Dr Afari for treatment for chronic back pain since 29 March 2010. </w:t>
      </w:r>
      <w:r w:rsidR="00CC3CC4">
        <w:rPr>
          <w:lang w:eastAsia="en-AU"/>
        </w:rPr>
        <w:t>Dr </w:t>
      </w:r>
      <w:r w:rsidR="00355598">
        <w:rPr>
          <w:lang w:eastAsia="en-AU"/>
        </w:rPr>
        <w:t xml:space="preserve">Afari said he had </w:t>
      </w:r>
      <w:r w:rsidR="00CC3CC4">
        <w:rPr>
          <w:lang w:eastAsia="en-AU"/>
        </w:rPr>
        <w:t xml:space="preserve">referred </w:t>
      </w:r>
      <w:r>
        <w:rPr>
          <w:lang w:eastAsia="en-AU"/>
        </w:rPr>
        <w:t>Mr</w:t>
      </w:r>
      <w:r w:rsidR="00D94E50">
        <w:rPr>
          <w:lang w:eastAsia="en-AU"/>
        </w:rPr>
        <w:t> </w:t>
      </w:r>
      <w:r>
        <w:rPr>
          <w:lang w:eastAsia="en-AU"/>
        </w:rPr>
        <w:t>Sidwell</w:t>
      </w:r>
      <w:r w:rsidR="00CC3CC4">
        <w:rPr>
          <w:lang w:eastAsia="en-AU"/>
        </w:rPr>
        <w:t xml:space="preserve"> to a neurosurgeon, Associate Professor</w:t>
      </w:r>
      <w:r w:rsidR="002F4EB0">
        <w:rPr>
          <w:lang w:eastAsia="en-AU"/>
        </w:rPr>
        <w:t> </w:t>
      </w:r>
      <w:r w:rsidR="00CC3CC4">
        <w:rPr>
          <w:lang w:eastAsia="en-AU"/>
        </w:rPr>
        <w:t xml:space="preserve">Zacest, who reported that </w:t>
      </w:r>
      <w:r w:rsidR="005F2279">
        <w:rPr>
          <w:lang w:eastAsia="en-AU"/>
        </w:rPr>
        <w:t>an</w:t>
      </w:r>
      <w:r w:rsidR="00CC3CC4">
        <w:rPr>
          <w:lang w:eastAsia="en-AU"/>
        </w:rPr>
        <w:t xml:space="preserve"> x-ray of </w:t>
      </w:r>
      <w:r>
        <w:rPr>
          <w:lang w:eastAsia="en-AU"/>
        </w:rPr>
        <w:t>Mr</w:t>
      </w:r>
      <w:r w:rsidR="00D94E50">
        <w:rPr>
          <w:lang w:eastAsia="en-AU"/>
        </w:rPr>
        <w:t> </w:t>
      </w:r>
      <w:r>
        <w:rPr>
          <w:lang w:eastAsia="en-AU"/>
        </w:rPr>
        <w:t>Sidwell</w:t>
      </w:r>
      <w:r w:rsidR="00CC3CC4">
        <w:rPr>
          <w:lang w:eastAsia="en-AU"/>
        </w:rPr>
        <w:t xml:space="preserve">’s lumbar spine revealed L4/5 and L5/S1 degenerative change. Associate Professor Zacest concluded in a report dated </w:t>
      </w:r>
      <w:r w:rsidR="00B74325">
        <w:rPr>
          <w:lang w:eastAsia="en-AU"/>
        </w:rPr>
        <w:t>5 November</w:t>
      </w:r>
      <w:r w:rsidR="00CC3CC4">
        <w:rPr>
          <w:lang w:eastAsia="en-AU"/>
        </w:rPr>
        <w:t xml:space="preserve"> 2012 that surgical intervention </w:t>
      </w:r>
      <w:r w:rsidR="005F2279">
        <w:rPr>
          <w:lang w:eastAsia="en-AU"/>
        </w:rPr>
        <w:t xml:space="preserve">was </w:t>
      </w:r>
      <w:r w:rsidR="00CC3CC4">
        <w:rPr>
          <w:lang w:eastAsia="en-AU"/>
        </w:rPr>
        <w:t xml:space="preserve">not likely to assist in the management of </w:t>
      </w:r>
      <w:r>
        <w:rPr>
          <w:lang w:eastAsia="en-AU"/>
        </w:rPr>
        <w:t>Mr</w:t>
      </w:r>
      <w:r w:rsidR="00D94E50">
        <w:rPr>
          <w:lang w:eastAsia="en-AU"/>
        </w:rPr>
        <w:t> </w:t>
      </w:r>
      <w:r>
        <w:rPr>
          <w:lang w:eastAsia="en-AU"/>
        </w:rPr>
        <w:t>Sidwell</w:t>
      </w:r>
      <w:r w:rsidR="00CC3CC4">
        <w:rPr>
          <w:lang w:eastAsia="en-AU"/>
        </w:rPr>
        <w:t xml:space="preserve">’s lower back and </w:t>
      </w:r>
      <w:r w:rsidR="00CC3CC4" w:rsidRPr="00FF121F">
        <w:rPr>
          <w:i/>
          <w:lang w:eastAsia="en-AU"/>
        </w:rPr>
        <w:t>“he needs to work on a pain management approach.”</w:t>
      </w:r>
      <w:r w:rsidR="00CC3CC4" w:rsidRPr="00174FCD">
        <w:rPr>
          <w:rStyle w:val="FootnoteReference"/>
          <w:lang w:eastAsia="en-AU"/>
        </w:rPr>
        <w:footnoteReference w:id="1"/>
      </w:r>
      <w:r w:rsidR="00F0438E" w:rsidRPr="00FF121F">
        <w:rPr>
          <w:i/>
          <w:lang w:eastAsia="en-AU"/>
        </w:rPr>
        <w:t xml:space="preserve"> </w:t>
      </w:r>
      <w:r w:rsidR="000279D8">
        <w:t>Dr</w:t>
      </w:r>
      <w:r w:rsidR="00D94E50">
        <w:t> </w:t>
      </w:r>
      <w:r w:rsidR="00C4057D">
        <w:t>A</w:t>
      </w:r>
      <w:r w:rsidR="008C05A1">
        <w:t>far</w:t>
      </w:r>
      <w:r w:rsidR="00C4057D">
        <w:t>i’s</w:t>
      </w:r>
      <w:r w:rsidR="000279D8">
        <w:t xml:space="preserve"> </w:t>
      </w:r>
      <w:r w:rsidR="00FF121F">
        <w:t xml:space="preserve">opinion </w:t>
      </w:r>
      <w:r w:rsidR="000279D8">
        <w:t xml:space="preserve">was that the back condition was fully diagnosed, treated and stabilised during the </w:t>
      </w:r>
      <w:r w:rsidR="00E005FF">
        <w:t xml:space="preserve">first </w:t>
      </w:r>
      <w:r w:rsidR="000279D8">
        <w:t>assessment period</w:t>
      </w:r>
      <w:r w:rsidR="00AD2BD5">
        <w:t>,</w:t>
      </w:r>
      <w:r w:rsidR="002F4EB0">
        <w:t xml:space="preserve"> </w:t>
      </w:r>
      <w:r w:rsidR="005F2279">
        <w:t>when he was Mr Sidwell’s</w:t>
      </w:r>
      <w:r w:rsidR="00245DD4">
        <w:rPr>
          <w:lang w:eastAsia="en-AU"/>
        </w:rPr>
        <w:t xml:space="preserve"> treating </w:t>
      </w:r>
      <w:r w:rsidR="005F2279">
        <w:rPr>
          <w:lang w:eastAsia="en-AU"/>
        </w:rPr>
        <w:t xml:space="preserve">general </w:t>
      </w:r>
      <w:r w:rsidR="00245DD4">
        <w:rPr>
          <w:lang w:eastAsia="en-AU"/>
        </w:rPr>
        <w:t>practitioner</w:t>
      </w:r>
      <w:r w:rsidR="00FF44CB">
        <w:rPr>
          <w:lang w:eastAsia="en-AU"/>
        </w:rPr>
        <w:t xml:space="preserve">, </w:t>
      </w:r>
      <w:r w:rsidR="00B51C26">
        <w:rPr>
          <w:lang w:eastAsia="en-AU"/>
        </w:rPr>
        <w:t>although he acknowledged</w:t>
      </w:r>
      <w:r w:rsidR="00FF44CB">
        <w:rPr>
          <w:lang w:eastAsia="en-AU"/>
        </w:rPr>
        <w:t xml:space="preserve"> that specialist pain management had not been trialled at that stage</w:t>
      </w:r>
      <w:r w:rsidR="00245DD4">
        <w:rPr>
          <w:lang w:eastAsia="en-AU"/>
        </w:rPr>
        <w:t>.</w:t>
      </w:r>
      <w:r w:rsidR="00FF44CB">
        <w:rPr>
          <w:rStyle w:val="FootnoteReference"/>
          <w:lang w:eastAsia="en-AU"/>
        </w:rPr>
        <w:footnoteReference w:id="2"/>
      </w:r>
      <w:r w:rsidR="00245DD4">
        <w:rPr>
          <w:lang w:eastAsia="en-AU"/>
        </w:rPr>
        <w:t xml:space="preserve"> </w:t>
      </w:r>
    </w:p>
    <w:p w:rsidR="00FF121F" w:rsidRDefault="002444A5" w:rsidP="002444A5">
      <w:pPr>
        <w:pStyle w:val="ListNumber"/>
      </w:pPr>
      <w:r>
        <w:rPr>
          <w:lang w:eastAsia="en-AU"/>
        </w:rPr>
        <w:t>A</w:t>
      </w:r>
      <w:r w:rsidR="00245DD4">
        <w:rPr>
          <w:lang w:eastAsia="en-AU"/>
        </w:rPr>
        <w:t xml:space="preserve"> </w:t>
      </w:r>
      <w:r w:rsidR="002F4EB0">
        <w:rPr>
          <w:lang w:eastAsia="en-AU"/>
        </w:rPr>
        <w:t>p</w:t>
      </w:r>
      <w:r w:rsidR="00245DD4">
        <w:rPr>
          <w:lang w:eastAsia="en-AU"/>
        </w:rPr>
        <w:t>hysiotherapist, Ms Baines</w:t>
      </w:r>
      <w:r w:rsidR="00FF121F">
        <w:rPr>
          <w:lang w:eastAsia="en-AU"/>
        </w:rPr>
        <w:t>,</w:t>
      </w:r>
      <w:r w:rsidRPr="002444A5">
        <w:rPr>
          <w:lang w:eastAsia="en-AU"/>
        </w:rPr>
        <w:t xml:space="preserve"> </w:t>
      </w:r>
      <w:r>
        <w:rPr>
          <w:lang w:eastAsia="en-AU"/>
        </w:rPr>
        <w:t xml:space="preserve">also gave oral evidence to the Tribunal. She has extensive experience in musculoskeletal physiotherapy. She conducted an assessment with Mr Sidwell on 4 April 2012 for </w:t>
      </w:r>
      <w:r w:rsidR="00FF121F">
        <w:rPr>
          <w:lang w:eastAsia="en-AU"/>
        </w:rPr>
        <w:t xml:space="preserve">the purposes of </w:t>
      </w:r>
      <w:r>
        <w:rPr>
          <w:lang w:eastAsia="en-AU"/>
        </w:rPr>
        <w:t>a J</w:t>
      </w:r>
      <w:r w:rsidR="00AD2BD5">
        <w:rPr>
          <w:lang w:eastAsia="en-AU"/>
        </w:rPr>
        <w:t>ob Capacity Assessment report (</w:t>
      </w:r>
      <w:r>
        <w:rPr>
          <w:lang w:eastAsia="en-AU"/>
        </w:rPr>
        <w:t>JCA repo</w:t>
      </w:r>
      <w:r w:rsidR="00AD2BD5">
        <w:rPr>
          <w:lang w:eastAsia="en-AU"/>
        </w:rPr>
        <w:t>rt</w:t>
      </w:r>
      <w:r>
        <w:rPr>
          <w:lang w:eastAsia="en-AU"/>
        </w:rPr>
        <w:t xml:space="preserve">). It was an assessment only, not an examination. </w:t>
      </w:r>
    </w:p>
    <w:p w:rsidR="002444A5" w:rsidRDefault="002444A5" w:rsidP="002444A5">
      <w:pPr>
        <w:pStyle w:val="ListNumber"/>
      </w:pPr>
      <w:r>
        <w:rPr>
          <w:lang w:eastAsia="en-AU"/>
        </w:rPr>
        <w:t>In the JCA report, Ms Baines stated that Mr Sidwell thought the onset of back pain was possibly linked to his duties in the armed forces overseas between 1979 and 1984 and</w:t>
      </w:r>
      <w:r w:rsidR="00FF121F">
        <w:rPr>
          <w:lang w:eastAsia="en-AU"/>
        </w:rPr>
        <w:t xml:space="preserve"> that it had been</w:t>
      </w:r>
      <w:r>
        <w:rPr>
          <w:lang w:eastAsia="en-AU"/>
        </w:rPr>
        <w:t xml:space="preserve"> aggravated further by repeated bending and lifting, several years later, when he was employed in a laboratory to analyse core samples for a geological exploration company. Ms Baines took into account an x-ray report which referred to mild disc degeneration at L5/S1 and mild, multi-level facet joint osteoarthritis. She concluded that the back condition was permanent but not fully diagnosed, treated and stabilised. She considered that Mr Sidwell would benefit from physiotherapy treatment and a specific spinal exercise program.</w:t>
      </w:r>
      <w:r w:rsidR="00AD2BD5">
        <w:rPr>
          <w:rStyle w:val="FootnoteReference"/>
          <w:lang w:eastAsia="en-AU"/>
        </w:rPr>
        <w:footnoteReference w:id="3"/>
      </w:r>
    </w:p>
    <w:p w:rsidR="00E05EBB" w:rsidRDefault="002444A5" w:rsidP="00E05EBB">
      <w:pPr>
        <w:pStyle w:val="ListNumber"/>
      </w:pPr>
      <w:r>
        <w:t>Nevertheless, o</w:t>
      </w:r>
      <w:r w:rsidR="00245DD4">
        <w:t>n the evidence of Mr</w:t>
      </w:r>
      <w:r w:rsidR="00D94E50">
        <w:t> </w:t>
      </w:r>
      <w:r w:rsidR="00245DD4">
        <w:t xml:space="preserve">Sidwell </w:t>
      </w:r>
      <w:r w:rsidR="00FF121F">
        <w:t xml:space="preserve">and </w:t>
      </w:r>
      <w:r w:rsidR="00245DD4">
        <w:t>Dr</w:t>
      </w:r>
      <w:r w:rsidR="00D94E50">
        <w:t> </w:t>
      </w:r>
      <w:r w:rsidR="00245DD4">
        <w:t>Afari</w:t>
      </w:r>
      <w:r w:rsidR="00AD2BD5">
        <w:t>,</w:t>
      </w:r>
      <w:r w:rsidR="00245DD4">
        <w:t xml:space="preserve"> </w:t>
      </w:r>
      <w:r w:rsidR="00FF121F">
        <w:t>together with the report of</w:t>
      </w:r>
      <w:r w:rsidR="00245DD4">
        <w:t xml:space="preserve"> </w:t>
      </w:r>
      <w:r w:rsidR="00245DD4">
        <w:rPr>
          <w:lang w:eastAsia="en-AU"/>
        </w:rPr>
        <w:t>Associate Professor Zacest</w:t>
      </w:r>
      <w:r w:rsidR="00D94E50">
        <w:rPr>
          <w:lang w:eastAsia="en-AU"/>
        </w:rPr>
        <w:t>,</w:t>
      </w:r>
      <w:r w:rsidR="00E61104">
        <w:t xml:space="preserve"> </w:t>
      </w:r>
      <w:r w:rsidR="00AA0C0F">
        <w:t>we are</w:t>
      </w:r>
      <w:r w:rsidR="00E61104">
        <w:t xml:space="preserve"> satisfied </w:t>
      </w:r>
      <w:r w:rsidR="00245DD4">
        <w:t>that Mr</w:t>
      </w:r>
      <w:r w:rsidR="00D94E50">
        <w:t> </w:t>
      </w:r>
      <w:r w:rsidR="00AD2BD5">
        <w:t>Sidwell’</w:t>
      </w:r>
      <w:r w:rsidR="00245DD4">
        <w:t xml:space="preserve">s back condition was fully </w:t>
      </w:r>
      <w:r w:rsidR="00E61104">
        <w:t xml:space="preserve">diagnosed </w:t>
      </w:r>
      <w:r w:rsidR="00245DD4">
        <w:t xml:space="preserve">during the </w:t>
      </w:r>
      <w:r w:rsidR="00E61104">
        <w:t xml:space="preserve">first </w:t>
      </w:r>
      <w:r w:rsidR="00245DD4">
        <w:t xml:space="preserve">assessment period. </w:t>
      </w:r>
      <w:r w:rsidR="00BE1ADF">
        <w:t xml:space="preserve">We are </w:t>
      </w:r>
      <w:r w:rsidR="00452DD5">
        <w:t xml:space="preserve">also satisfied that the back condition was </w:t>
      </w:r>
      <w:r w:rsidR="00BE1ADF">
        <w:t xml:space="preserve">fully </w:t>
      </w:r>
      <w:r w:rsidR="00452DD5">
        <w:t>treated and stabilised</w:t>
      </w:r>
      <w:r w:rsidR="00BE1ADF">
        <w:t>, noting the treatment given under the direction of Dr Afari</w:t>
      </w:r>
      <w:r w:rsidR="00AD2BD5">
        <w:t>, being physiotherapy and medication</w:t>
      </w:r>
      <w:r w:rsidR="00452DD5">
        <w:t xml:space="preserve">. </w:t>
      </w:r>
      <w:r w:rsidR="00BE1ADF">
        <w:t>We acknowledge that</w:t>
      </w:r>
      <w:r w:rsidR="00AD2BD5">
        <w:t xml:space="preserve"> Associate Professor Zacest recommended referral to a pain unit</w:t>
      </w:r>
      <w:r w:rsidR="00B51C26">
        <w:t>,</w:t>
      </w:r>
      <w:r w:rsidR="00AD2BD5">
        <w:t xml:space="preserve"> which subsequently occurred. Therefore</w:t>
      </w:r>
      <w:r w:rsidR="00831995">
        <w:t>,</w:t>
      </w:r>
      <w:r w:rsidR="00BE1ADF">
        <w:t xml:space="preserve"> at the time of the first assessment period, </w:t>
      </w:r>
      <w:r w:rsidR="00F6488B">
        <w:t xml:space="preserve">it was likely that </w:t>
      </w:r>
      <w:r w:rsidR="00452DD5">
        <w:t xml:space="preserve">some </w:t>
      </w:r>
      <w:r w:rsidR="00F6488B">
        <w:t xml:space="preserve">treatment would continue in the next two years, </w:t>
      </w:r>
      <w:r w:rsidR="00BE1ADF">
        <w:t>given the need for</w:t>
      </w:r>
      <w:r w:rsidR="00F6488B">
        <w:t xml:space="preserve"> a holistic appr</w:t>
      </w:r>
      <w:r w:rsidR="00452DD5">
        <w:t xml:space="preserve">oach to pain management because </w:t>
      </w:r>
      <w:r w:rsidR="00F6488B">
        <w:t>of the multiple health problems affect</w:t>
      </w:r>
      <w:r w:rsidR="00BE1ADF">
        <w:t>ing</w:t>
      </w:r>
      <w:r w:rsidR="00F6488B">
        <w:t xml:space="preserve"> Mr</w:t>
      </w:r>
      <w:r w:rsidR="00D94E50">
        <w:t> </w:t>
      </w:r>
      <w:r w:rsidR="00F6488B">
        <w:t>Sidwell</w:t>
      </w:r>
      <w:r w:rsidR="00BE1ADF">
        <w:t>.</w:t>
      </w:r>
      <w:r w:rsidR="00452DD5">
        <w:t xml:space="preserve"> </w:t>
      </w:r>
      <w:r w:rsidR="00BE1ADF">
        <w:t>However we consider</w:t>
      </w:r>
      <w:r w:rsidR="00452DD5">
        <w:t xml:space="preserve"> that </w:t>
      </w:r>
      <w:r w:rsidR="00AD2BD5">
        <w:t xml:space="preserve">at the time of the first assessment </w:t>
      </w:r>
      <w:r w:rsidR="004A15E6">
        <w:t xml:space="preserve">period </w:t>
      </w:r>
      <w:r w:rsidR="00452DD5">
        <w:t>Mr Sidwell had undergone reasonable medical and physiotherapy treatment for his back pain</w:t>
      </w:r>
      <w:r w:rsidR="00AD2BD5">
        <w:t>, and further treatment was unlikely to result in</w:t>
      </w:r>
      <w:r w:rsidR="00FF44CB">
        <w:t xml:space="preserve"> significant</w:t>
      </w:r>
      <w:r w:rsidR="004A15E6">
        <w:t xml:space="preserve"> functional improve</w:t>
      </w:r>
      <w:r w:rsidR="00AD2BD5">
        <w:t>ment within two years</w:t>
      </w:r>
      <w:r w:rsidR="00452DD5">
        <w:t>.</w:t>
      </w:r>
      <w:r w:rsidR="00F6488B">
        <w:t xml:space="preserve"> </w:t>
      </w:r>
      <w:r w:rsidR="00BE1ADF">
        <w:t xml:space="preserve">We note that </w:t>
      </w:r>
      <w:r w:rsidR="00D31A98">
        <w:t>s</w:t>
      </w:r>
      <w:r w:rsidR="00F6488B">
        <w:t xml:space="preserve"> 6</w:t>
      </w:r>
      <w:r w:rsidR="005E0238">
        <w:t>(6)</w:t>
      </w:r>
      <w:r w:rsidR="00E96341">
        <w:t xml:space="preserve">(a) of the Impairment Tables </w:t>
      </w:r>
      <w:r w:rsidR="00F6488B">
        <w:t>provides that a condition is fully stabilised if:</w:t>
      </w:r>
    </w:p>
    <w:p w:rsidR="00555BF5" w:rsidRDefault="00B5135C" w:rsidP="00555BF5">
      <w:pPr>
        <w:pStyle w:val="Quote"/>
        <w:tabs>
          <w:tab w:val="left" w:pos="1134"/>
        </w:tabs>
        <w:ind w:left="1134" w:hanging="425"/>
      </w:pPr>
      <w:r>
        <w:t xml:space="preserve">(a) </w:t>
      </w:r>
      <w:r w:rsidR="00555BF5">
        <w:tab/>
      </w:r>
      <w:r w:rsidR="00E05EBB">
        <w:t>…</w:t>
      </w:r>
      <w:r w:rsidRPr="00E05EBB">
        <w:t xml:space="preserve"> the person has undertaken reasonable </w:t>
      </w:r>
      <w:r w:rsidR="00F6488B" w:rsidRPr="00E05EBB">
        <w:t>treatment</w:t>
      </w:r>
      <w:r w:rsidRPr="00E05EBB">
        <w:t xml:space="preserve"> for the condition and any further </w:t>
      </w:r>
      <w:r w:rsidR="00F6488B">
        <w:t>reasonable</w:t>
      </w:r>
      <w:r w:rsidRPr="00E05EBB">
        <w:t xml:space="preserve"> treatment </w:t>
      </w:r>
      <w:r w:rsidR="00F6488B" w:rsidRPr="00E05EBB">
        <w:t>is</w:t>
      </w:r>
      <w:r w:rsidRPr="00E05EBB">
        <w:t xml:space="preserve"> unlikely </w:t>
      </w:r>
      <w:r w:rsidR="00F6488B" w:rsidRPr="00E05EBB">
        <w:t>to result</w:t>
      </w:r>
      <w:r w:rsidRPr="00E05EBB">
        <w:t xml:space="preserve"> in significant functional </w:t>
      </w:r>
      <w:r w:rsidR="00F6488B" w:rsidRPr="00E05EBB">
        <w:t>improvement</w:t>
      </w:r>
      <w:r w:rsidRPr="00E05EBB">
        <w:t xml:space="preserve"> to </w:t>
      </w:r>
      <w:r w:rsidR="008259F3">
        <w:t xml:space="preserve">a </w:t>
      </w:r>
      <w:r w:rsidR="00F6488B" w:rsidRPr="00E05EBB">
        <w:t>level</w:t>
      </w:r>
      <w:r w:rsidRPr="00E05EBB">
        <w:t xml:space="preserve"> enabling the person to undertake work in the next 2 years</w:t>
      </w:r>
      <w:r w:rsidR="00E05EBB">
        <w:t>…</w:t>
      </w:r>
      <w:r w:rsidR="008259F3">
        <w:t xml:space="preserve"> </w:t>
      </w:r>
    </w:p>
    <w:p w:rsidR="005F2279" w:rsidRDefault="00D31A98" w:rsidP="00D31A98">
      <w:pPr>
        <w:pStyle w:val="ListNumber"/>
        <w:spacing w:before="240"/>
      </w:pPr>
      <w:r>
        <w:t>Accordingly, h</w:t>
      </w:r>
      <w:r w:rsidR="00C76032">
        <w:t xml:space="preserve">aving regard to all of the evidence, </w:t>
      </w:r>
      <w:r w:rsidR="005F2279">
        <w:t xml:space="preserve">we </w:t>
      </w:r>
      <w:r w:rsidR="00FF121F">
        <w:t>consider</w:t>
      </w:r>
      <w:r w:rsidR="00C76032">
        <w:t xml:space="preserve"> that as at 1 March</w:t>
      </w:r>
      <w:r w:rsidR="00FF121F">
        <w:t> </w:t>
      </w:r>
      <w:r w:rsidR="00C76032">
        <w:t xml:space="preserve">2012 or within 13 weeks of that date, </w:t>
      </w:r>
      <w:r w:rsidR="00863362">
        <w:t>Mr</w:t>
      </w:r>
      <w:r w:rsidR="00D94E50">
        <w:t> </w:t>
      </w:r>
      <w:r w:rsidR="00863362">
        <w:t>Sidwell</w:t>
      </w:r>
      <w:r w:rsidR="00C76032">
        <w:t>’s l</w:t>
      </w:r>
      <w:r w:rsidR="00F6488B">
        <w:t xml:space="preserve">ower back condition was </w:t>
      </w:r>
      <w:r w:rsidR="00716EF3">
        <w:t>permanent and was likely to persist for more than two years.</w:t>
      </w:r>
      <w:r>
        <w:rPr>
          <w:rStyle w:val="FootnoteReference"/>
        </w:rPr>
        <w:footnoteReference w:id="4"/>
      </w:r>
      <w:r w:rsidR="00716EF3" w:rsidRPr="00716EF3">
        <w:t xml:space="preserve"> </w:t>
      </w:r>
      <w:r>
        <w:t>Therefore</w:t>
      </w:r>
      <w:r w:rsidR="00BE1ADF">
        <w:t xml:space="preserve"> we are satisfied that an impairment rating can be given for this condition.</w:t>
      </w:r>
    </w:p>
    <w:p w:rsidR="00D31A98" w:rsidRPr="00832285" w:rsidRDefault="00D31A98" w:rsidP="00D31A98">
      <w:pPr>
        <w:pStyle w:val="Hearing4KB"/>
        <w:spacing w:before="240"/>
      </w:pPr>
      <w:r w:rsidRPr="00832285">
        <w:t>What is the applicable impairment rating?</w:t>
      </w:r>
    </w:p>
    <w:p w:rsidR="00D31A98" w:rsidRDefault="00D31A98" w:rsidP="00D31A98">
      <w:pPr>
        <w:pStyle w:val="ListNumber"/>
        <w:spacing w:before="240"/>
      </w:pPr>
      <w:r>
        <w:t>Table 4 provides the descriptors of impairment relating to spinal function. For a moderate functional impact Table 4 states:</w:t>
      </w:r>
    </w:p>
    <w:p w:rsidR="00E244DB" w:rsidRPr="00D31A98" w:rsidRDefault="003E305B" w:rsidP="00A54E20">
      <w:pPr>
        <w:pStyle w:val="ListNumber"/>
        <w:numPr>
          <w:ilvl w:val="0"/>
          <w:numId w:val="0"/>
        </w:numPr>
        <w:spacing w:before="240" w:after="240" w:line="240" w:lineRule="auto"/>
        <w:jc w:val="left"/>
        <w:rPr>
          <w:b/>
          <w:i/>
          <w:sz w:val="22"/>
          <w:szCs w:val="22"/>
          <w:lang w:val="en-US" w:eastAsia="en-US" w:bidi="en-US"/>
        </w:rPr>
      </w:pPr>
      <w:bookmarkStart w:id="9" w:name="_Toc286931019"/>
      <w:bookmarkStart w:id="10" w:name="_Toc310259532"/>
      <w:r w:rsidRPr="00D31A98">
        <w:rPr>
          <w:b/>
          <w:i/>
          <w:sz w:val="22"/>
          <w:szCs w:val="22"/>
          <w:lang w:val="en-US" w:eastAsia="en-US" w:bidi="en-US"/>
        </w:rPr>
        <w:t>T</w:t>
      </w:r>
      <w:r w:rsidR="00E244DB" w:rsidRPr="00D31A98">
        <w:rPr>
          <w:b/>
          <w:i/>
          <w:sz w:val="22"/>
          <w:szCs w:val="22"/>
          <w:lang w:val="en-US" w:eastAsia="en-US" w:bidi="en-US"/>
        </w:rPr>
        <w:t>able 4 – Spinal Function</w:t>
      </w:r>
      <w:bookmarkEnd w:id="9"/>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7608"/>
      </w:tblGrid>
      <w:tr w:rsidR="00E244DB" w:rsidRPr="00FE0A76" w:rsidTr="0028386A">
        <w:trPr>
          <w:cantSplit/>
        </w:trPr>
        <w:tc>
          <w:tcPr>
            <w:tcW w:w="897" w:type="dxa"/>
            <w:shd w:val="clear" w:color="auto" w:fill="auto"/>
          </w:tcPr>
          <w:p w:rsidR="00E244DB" w:rsidRPr="00FE0A76" w:rsidRDefault="00E244DB" w:rsidP="00A54E20">
            <w:pPr>
              <w:spacing w:before="0" w:after="120" w:line="240" w:lineRule="auto"/>
              <w:jc w:val="left"/>
              <w:rPr>
                <w:i/>
                <w:sz w:val="22"/>
                <w:szCs w:val="22"/>
                <w:lang w:val="en-US" w:eastAsia="en-US" w:bidi="en-US"/>
              </w:rPr>
            </w:pPr>
            <w:r w:rsidRPr="00FE0A76">
              <w:rPr>
                <w:b/>
                <w:i/>
                <w:sz w:val="22"/>
                <w:szCs w:val="22"/>
                <w:lang w:val="en-US" w:eastAsia="en-US" w:bidi="en-US"/>
              </w:rPr>
              <w:t>Points</w:t>
            </w:r>
          </w:p>
        </w:tc>
        <w:tc>
          <w:tcPr>
            <w:tcW w:w="7608" w:type="dxa"/>
            <w:shd w:val="clear" w:color="auto" w:fill="auto"/>
          </w:tcPr>
          <w:p w:rsidR="00E244DB" w:rsidRPr="00FE0A76" w:rsidRDefault="00E244DB" w:rsidP="00831995">
            <w:pPr>
              <w:keepNext/>
              <w:spacing w:before="0" w:after="120" w:line="240" w:lineRule="auto"/>
              <w:jc w:val="left"/>
              <w:rPr>
                <w:i/>
                <w:sz w:val="22"/>
                <w:szCs w:val="22"/>
                <w:lang w:val="en-US" w:eastAsia="en-US" w:bidi="en-US"/>
              </w:rPr>
            </w:pPr>
            <w:r w:rsidRPr="00FE0A76">
              <w:rPr>
                <w:b/>
                <w:i/>
                <w:sz w:val="22"/>
                <w:szCs w:val="22"/>
                <w:lang w:val="en-US" w:eastAsia="en-US" w:bidi="en-US"/>
              </w:rPr>
              <w:t>Descriptors</w:t>
            </w:r>
          </w:p>
        </w:tc>
      </w:tr>
      <w:tr w:rsidR="00A54E20" w:rsidRPr="00FE0A76" w:rsidTr="0028386A">
        <w:trPr>
          <w:cantSplit/>
        </w:trPr>
        <w:tc>
          <w:tcPr>
            <w:tcW w:w="897" w:type="dxa"/>
            <w:shd w:val="clear" w:color="auto" w:fill="auto"/>
          </w:tcPr>
          <w:p w:rsidR="00A54E20" w:rsidRPr="00FE0A76" w:rsidRDefault="00A54E20" w:rsidP="00A54E20">
            <w:pPr>
              <w:spacing w:before="0" w:after="120" w:line="240" w:lineRule="auto"/>
              <w:jc w:val="left"/>
              <w:rPr>
                <w:b/>
                <w:i/>
                <w:sz w:val="22"/>
                <w:szCs w:val="22"/>
                <w:lang w:val="en-US" w:eastAsia="en-US" w:bidi="en-US"/>
              </w:rPr>
            </w:pPr>
            <w:r w:rsidRPr="00FE0A76">
              <w:rPr>
                <w:i/>
                <w:sz w:val="22"/>
                <w:szCs w:val="22"/>
                <w:lang w:val="en-US" w:eastAsia="en-US" w:bidi="en-US"/>
              </w:rPr>
              <w:t>10</w:t>
            </w:r>
          </w:p>
        </w:tc>
        <w:tc>
          <w:tcPr>
            <w:tcW w:w="7608" w:type="dxa"/>
            <w:shd w:val="clear" w:color="auto" w:fill="auto"/>
          </w:tcPr>
          <w:p w:rsidR="00A54E20" w:rsidRPr="00A54E20" w:rsidRDefault="00A54E20" w:rsidP="00A54E20">
            <w:pPr>
              <w:spacing w:before="0" w:after="120" w:line="240" w:lineRule="auto"/>
              <w:jc w:val="left"/>
              <w:rPr>
                <w:i/>
                <w:sz w:val="22"/>
                <w:szCs w:val="22"/>
                <w:lang w:val="en-US" w:eastAsia="en-US" w:bidi="en-US"/>
              </w:rPr>
            </w:pPr>
            <w:r w:rsidRPr="00E14D65">
              <w:rPr>
                <w:sz w:val="22"/>
                <w:szCs w:val="22"/>
                <w:lang w:val="en-US" w:eastAsia="en-US" w:bidi="en-US"/>
              </w:rPr>
              <w:t xml:space="preserve">There is a </w:t>
            </w:r>
            <w:r w:rsidRPr="00E14D65">
              <w:rPr>
                <w:b/>
                <w:sz w:val="22"/>
                <w:szCs w:val="22"/>
                <w:lang w:val="en-US" w:eastAsia="en-US" w:bidi="en-US"/>
              </w:rPr>
              <w:t>moderate</w:t>
            </w:r>
            <w:r w:rsidRPr="00E14D65">
              <w:rPr>
                <w:sz w:val="22"/>
                <w:szCs w:val="22"/>
                <w:lang w:val="en-US" w:eastAsia="en-US" w:bidi="en-US"/>
              </w:rPr>
              <w:t xml:space="preserve"> functional impact on activities involving spinal function</w:t>
            </w:r>
            <w:r w:rsidRPr="00A54E20">
              <w:rPr>
                <w:i/>
                <w:sz w:val="22"/>
                <w:szCs w:val="22"/>
                <w:lang w:val="en-US" w:eastAsia="en-US" w:bidi="en-US"/>
              </w:rPr>
              <w:t>.</w:t>
            </w:r>
          </w:p>
          <w:p w:rsidR="00A54E20" w:rsidRPr="00FE0A76" w:rsidRDefault="00A54E20" w:rsidP="00E14D65">
            <w:pPr>
              <w:spacing w:before="0" w:after="120" w:line="240" w:lineRule="auto"/>
              <w:ind w:left="555" w:hanging="555"/>
              <w:jc w:val="left"/>
              <w:rPr>
                <w:i/>
                <w:sz w:val="22"/>
                <w:szCs w:val="22"/>
                <w:lang w:val="en-US" w:eastAsia="en-US" w:bidi="en-US"/>
              </w:rPr>
            </w:pPr>
            <w:r w:rsidRPr="00FE0A76">
              <w:rPr>
                <w:i/>
                <w:sz w:val="22"/>
                <w:szCs w:val="22"/>
                <w:lang w:val="en-US" w:eastAsia="en-US" w:bidi="en-US"/>
              </w:rPr>
              <w:t>1)</w:t>
            </w:r>
            <w:r w:rsidRPr="00FE0A76">
              <w:rPr>
                <w:i/>
                <w:sz w:val="22"/>
                <w:szCs w:val="22"/>
                <w:lang w:val="en-US" w:eastAsia="en-US" w:bidi="en-US"/>
              </w:rPr>
              <w:tab/>
              <w:t>The person is able to sit in or drive a car for at least 30 minutes, and at least one of the following applies:</w:t>
            </w:r>
          </w:p>
          <w:p w:rsidR="00A54E20" w:rsidRDefault="00A54E20" w:rsidP="00E14D65">
            <w:pPr>
              <w:spacing w:before="0" w:after="120" w:line="240" w:lineRule="auto"/>
              <w:ind w:left="1122" w:hanging="567"/>
              <w:jc w:val="left"/>
              <w:rPr>
                <w:i/>
                <w:sz w:val="22"/>
                <w:szCs w:val="22"/>
                <w:lang w:val="en-US" w:eastAsia="en-US" w:bidi="en-US"/>
              </w:rPr>
            </w:pPr>
            <w:r w:rsidRPr="00FE0A76">
              <w:rPr>
                <w:i/>
                <w:sz w:val="22"/>
                <w:szCs w:val="22"/>
                <w:lang w:val="en-US" w:eastAsia="en-US" w:bidi="en-US"/>
              </w:rPr>
              <w:t>(a)</w:t>
            </w:r>
            <w:r w:rsidRPr="00FE0A76">
              <w:rPr>
                <w:i/>
                <w:sz w:val="22"/>
                <w:szCs w:val="22"/>
                <w:lang w:val="en-US" w:eastAsia="en-US" w:bidi="en-US"/>
              </w:rPr>
              <w:tab/>
              <w:t>the person is unable to sustain overhead activities (e.g. accessing items over head height); or</w:t>
            </w:r>
          </w:p>
          <w:p w:rsidR="004F08E0" w:rsidRPr="00FE0A76" w:rsidRDefault="004F08E0" w:rsidP="00A54E20">
            <w:pPr>
              <w:spacing w:before="0" w:after="120" w:line="240" w:lineRule="auto"/>
              <w:ind w:left="838" w:hanging="425"/>
              <w:jc w:val="left"/>
              <w:rPr>
                <w:b/>
                <w:i/>
                <w:sz w:val="22"/>
                <w:szCs w:val="22"/>
                <w:lang w:val="en-US" w:eastAsia="en-US" w:bidi="en-US"/>
              </w:rPr>
            </w:pPr>
          </w:p>
        </w:tc>
      </w:tr>
      <w:tr w:rsidR="00E244DB" w:rsidRPr="002F4A5C" w:rsidTr="0028386A">
        <w:trPr>
          <w:cantSplit/>
        </w:trPr>
        <w:tc>
          <w:tcPr>
            <w:tcW w:w="897" w:type="dxa"/>
            <w:shd w:val="clear" w:color="auto" w:fill="auto"/>
          </w:tcPr>
          <w:p w:rsidR="00E244DB" w:rsidRPr="00FE0A76" w:rsidRDefault="00E244DB" w:rsidP="002F4A5C">
            <w:pPr>
              <w:spacing w:before="0" w:after="120" w:line="240" w:lineRule="auto"/>
              <w:jc w:val="left"/>
              <w:rPr>
                <w:i/>
                <w:sz w:val="22"/>
                <w:szCs w:val="22"/>
                <w:lang w:val="en-US" w:eastAsia="en-US" w:bidi="en-US"/>
              </w:rPr>
            </w:pPr>
          </w:p>
        </w:tc>
        <w:tc>
          <w:tcPr>
            <w:tcW w:w="7608" w:type="dxa"/>
            <w:shd w:val="clear" w:color="auto" w:fill="auto"/>
          </w:tcPr>
          <w:p w:rsidR="00E14D65" w:rsidRPr="00FE0A76" w:rsidRDefault="00E14D65" w:rsidP="00E14D65">
            <w:pPr>
              <w:spacing w:before="0" w:after="120" w:line="240" w:lineRule="auto"/>
              <w:ind w:left="1122" w:hanging="567"/>
              <w:jc w:val="left"/>
              <w:rPr>
                <w:i/>
                <w:sz w:val="22"/>
                <w:szCs w:val="22"/>
                <w:lang w:val="en-US" w:eastAsia="en-US" w:bidi="en-US"/>
              </w:rPr>
            </w:pPr>
            <w:r w:rsidRPr="00FE0A76">
              <w:rPr>
                <w:i/>
                <w:sz w:val="22"/>
                <w:szCs w:val="22"/>
                <w:lang w:val="en-US" w:eastAsia="en-US" w:bidi="en-US"/>
              </w:rPr>
              <w:t>(b)</w:t>
            </w:r>
            <w:r w:rsidRPr="00FE0A76">
              <w:rPr>
                <w:i/>
                <w:sz w:val="22"/>
                <w:szCs w:val="22"/>
                <w:lang w:val="en-US" w:eastAsia="en-US" w:bidi="en-US"/>
              </w:rPr>
              <w:tab/>
              <w:t>the person has difficulty moving their head to look in all directions (e.g. turning their head to look over their shoulder); or</w:t>
            </w:r>
          </w:p>
          <w:p w:rsidR="00E244DB" w:rsidRPr="00FE0A76" w:rsidRDefault="00E244DB" w:rsidP="00E14D65">
            <w:pPr>
              <w:spacing w:before="0" w:after="120" w:line="240" w:lineRule="auto"/>
              <w:ind w:left="1122" w:hanging="567"/>
              <w:jc w:val="left"/>
              <w:rPr>
                <w:i/>
                <w:sz w:val="22"/>
                <w:szCs w:val="22"/>
                <w:lang w:val="en-US" w:eastAsia="en-US" w:bidi="en-US"/>
              </w:rPr>
            </w:pPr>
            <w:r w:rsidRPr="00FE0A76">
              <w:rPr>
                <w:i/>
                <w:sz w:val="22"/>
                <w:szCs w:val="22"/>
                <w:lang w:val="en-US" w:eastAsia="en-US" w:bidi="en-US"/>
              </w:rPr>
              <w:t>(c)</w:t>
            </w:r>
            <w:r w:rsidRPr="00FE0A76">
              <w:rPr>
                <w:i/>
                <w:sz w:val="22"/>
                <w:szCs w:val="22"/>
                <w:lang w:val="en-US" w:eastAsia="en-US" w:bidi="en-US"/>
              </w:rPr>
              <w:tab/>
              <w:t>the person is unable to bend forward to pick up a light object placed at knee height; or</w:t>
            </w:r>
          </w:p>
          <w:p w:rsidR="00E244DB" w:rsidRPr="002F4A5C" w:rsidRDefault="00E244DB" w:rsidP="00E14D65">
            <w:pPr>
              <w:spacing w:before="0" w:after="120" w:line="240" w:lineRule="auto"/>
              <w:ind w:left="1122" w:hanging="567"/>
              <w:jc w:val="left"/>
              <w:rPr>
                <w:sz w:val="22"/>
                <w:szCs w:val="22"/>
                <w:lang w:val="en-US" w:eastAsia="en-US" w:bidi="en-US"/>
              </w:rPr>
            </w:pPr>
            <w:r w:rsidRPr="00FE0A76">
              <w:rPr>
                <w:i/>
                <w:sz w:val="22"/>
                <w:szCs w:val="22"/>
                <w:lang w:val="en-US" w:eastAsia="en-US" w:bidi="en-US"/>
              </w:rPr>
              <w:t>(d)</w:t>
            </w:r>
            <w:r w:rsidRPr="00FE0A76">
              <w:rPr>
                <w:i/>
                <w:sz w:val="22"/>
                <w:szCs w:val="22"/>
                <w:lang w:val="en-US" w:eastAsia="en-US" w:bidi="en-US"/>
              </w:rPr>
              <w:tab/>
              <w:t>the person needs assistance to get up out of a chair (if not independently mobile in a wheelchair).</w:t>
            </w:r>
          </w:p>
        </w:tc>
      </w:tr>
    </w:tbl>
    <w:p w:rsidR="00C76032" w:rsidRDefault="00FF121F" w:rsidP="00C76032">
      <w:pPr>
        <w:pStyle w:val="ListNumber"/>
      </w:pPr>
      <w:r>
        <w:t>Having regard to the</w:t>
      </w:r>
      <w:r w:rsidR="0028386A">
        <w:t>se</w:t>
      </w:r>
      <w:r>
        <w:t xml:space="preserve"> descriptors, we find</w:t>
      </w:r>
      <w:r w:rsidR="00716EF3">
        <w:t xml:space="preserve"> that Mr</w:t>
      </w:r>
      <w:r w:rsidR="00E244DB">
        <w:t> </w:t>
      </w:r>
      <w:r w:rsidR="00716EF3">
        <w:t>Sidwell’s</w:t>
      </w:r>
      <w:r w:rsidR="005E0238">
        <w:t xml:space="preserve"> condition of low back pain </w:t>
      </w:r>
      <w:r w:rsidR="00716EF3">
        <w:t>attract</w:t>
      </w:r>
      <w:r w:rsidR="009F1D18">
        <w:t>ed</w:t>
      </w:r>
      <w:r w:rsidR="00716EF3">
        <w:t xml:space="preserve"> a rating </w:t>
      </w:r>
      <w:r w:rsidR="00452DD5">
        <w:t>of 10 points during the first</w:t>
      </w:r>
      <w:r w:rsidR="005E0238">
        <w:t xml:space="preserve"> assessment</w:t>
      </w:r>
      <w:r w:rsidR="00716EF3">
        <w:t xml:space="preserve"> period.</w:t>
      </w:r>
      <w:r w:rsidR="00E244DB">
        <w:t xml:space="preserve"> </w:t>
      </w:r>
      <w:r w:rsidR="005F1766">
        <w:t>There is sufficient evidence</w:t>
      </w:r>
      <w:r w:rsidR="00FF44CB">
        <w:t xml:space="preserve"> before us</w:t>
      </w:r>
      <w:r w:rsidR="005F1766">
        <w:t xml:space="preserve"> to conclude that</w:t>
      </w:r>
      <w:r w:rsidR="00716EF3">
        <w:t xml:space="preserve"> </w:t>
      </w:r>
      <w:r w:rsidR="00B51C26">
        <w:t xml:space="preserve">since that period </w:t>
      </w:r>
      <w:r w:rsidR="00716EF3">
        <w:t>Mr</w:t>
      </w:r>
      <w:r w:rsidR="00E244DB">
        <w:t> </w:t>
      </w:r>
      <w:r w:rsidR="00716EF3">
        <w:t xml:space="preserve">Sidwell has </w:t>
      </w:r>
      <w:r w:rsidR="00B51C26">
        <w:t xml:space="preserve">had </w:t>
      </w:r>
      <w:r w:rsidR="00716EF3">
        <w:t xml:space="preserve">difficulty </w:t>
      </w:r>
      <w:r w:rsidR="00FF44CB">
        <w:t>sustaining</w:t>
      </w:r>
      <w:r w:rsidR="00716EF3">
        <w:t xml:space="preserve"> overhead </w:t>
      </w:r>
      <w:r w:rsidR="008334CB">
        <w:t>activities</w:t>
      </w:r>
      <w:r w:rsidR="00716EF3">
        <w:t xml:space="preserve"> and </w:t>
      </w:r>
      <w:r w:rsidR="00B51C26">
        <w:t>been</w:t>
      </w:r>
      <w:r w:rsidR="00FF44CB">
        <w:t xml:space="preserve"> unable to bend</w:t>
      </w:r>
      <w:r w:rsidR="00716EF3">
        <w:t xml:space="preserve"> forward</w:t>
      </w:r>
      <w:r w:rsidR="00BE1ADF">
        <w:t xml:space="preserve">, meeting </w:t>
      </w:r>
      <w:r w:rsidR="00FF44CB">
        <w:t>the descriptors at (1)(a) and (c</w:t>
      </w:r>
      <w:r w:rsidR="00BE1ADF">
        <w:t>) in the Table</w:t>
      </w:r>
      <w:r w:rsidR="00FF44CB">
        <w:t>, or at the very least certainly meeting the requirement</w:t>
      </w:r>
      <w:r w:rsidR="00B51C26">
        <w:t>s</w:t>
      </w:r>
      <w:r w:rsidR="00FF44CB">
        <w:t xml:space="preserve"> of </w:t>
      </w:r>
      <w:r w:rsidR="006B1162">
        <w:t>(1)(c</w:t>
      </w:r>
      <w:r w:rsidR="00FF34C3">
        <w:t>)</w:t>
      </w:r>
      <w:r w:rsidR="00AA0C0F">
        <w:t>.</w:t>
      </w:r>
      <w:r w:rsidR="00716EF3">
        <w:t xml:space="preserve"> </w:t>
      </w:r>
      <w:r>
        <w:t xml:space="preserve">We </w:t>
      </w:r>
      <w:r w:rsidR="00B277B0">
        <w:t xml:space="preserve">therefore </w:t>
      </w:r>
      <w:r w:rsidR="00716EF3">
        <w:t xml:space="preserve">consider that he has </w:t>
      </w:r>
      <w:r w:rsidR="00D615D9">
        <w:t>borne</w:t>
      </w:r>
      <w:r w:rsidR="005F1D59">
        <w:t xml:space="preserve"> a moderate functional impact on activities involving spinal function</w:t>
      </w:r>
      <w:r w:rsidR="00ED60DC">
        <w:t xml:space="preserve">. </w:t>
      </w:r>
    </w:p>
    <w:p w:rsidR="00452DD5" w:rsidRDefault="00FF121F" w:rsidP="00C76032">
      <w:pPr>
        <w:pStyle w:val="ListNumber"/>
      </w:pPr>
      <w:r>
        <w:t>W</w:t>
      </w:r>
      <w:r w:rsidR="00AA0C0F">
        <w:t>e</w:t>
      </w:r>
      <w:r>
        <w:t xml:space="preserve"> note that </w:t>
      </w:r>
      <w:r w:rsidR="004865FB">
        <w:t xml:space="preserve">Mr Sidwell’s </w:t>
      </w:r>
      <w:r w:rsidR="00452DD5">
        <w:t>evidence at the first hear</w:t>
      </w:r>
      <w:r w:rsidR="004865FB">
        <w:t>ing</w:t>
      </w:r>
      <w:r w:rsidR="00452DD5">
        <w:t xml:space="preserve"> </w:t>
      </w:r>
      <w:r w:rsidR="004016F2">
        <w:t>covered</w:t>
      </w:r>
      <w:r w:rsidR="004865FB">
        <w:t xml:space="preserve"> a timeframe</w:t>
      </w:r>
      <w:r w:rsidR="00452DD5">
        <w:t xml:space="preserve"> which </w:t>
      </w:r>
      <w:r w:rsidR="004016F2">
        <w:t>also</w:t>
      </w:r>
      <w:r w:rsidR="00452DD5">
        <w:t xml:space="preserve"> included </w:t>
      </w:r>
      <w:r w:rsidR="004865FB">
        <w:t xml:space="preserve">the </w:t>
      </w:r>
      <w:r w:rsidR="004016F2">
        <w:t>assessment</w:t>
      </w:r>
      <w:r w:rsidR="00452DD5">
        <w:t xml:space="preserve"> period for the second DSP claim</w:t>
      </w:r>
      <w:r w:rsidR="009F1D18">
        <w:t>,</w:t>
      </w:r>
      <w:r w:rsidR="007E4A22">
        <w:t xml:space="preserve"> </w:t>
      </w:r>
      <w:r w:rsidR="009F1D18">
        <w:t>and</w:t>
      </w:r>
      <w:r w:rsidR="00452DD5">
        <w:t xml:space="preserve"> is clear that </w:t>
      </w:r>
      <w:r w:rsidR="004016F2">
        <w:t>the moderate</w:t>
      </w:r>
      <w:r w:rsidR="004865FB">
        <w:t xml:space="preserve"> functional impact fro</w:t>
      </w:r>
      <w:r w:rsidR="00452DD5">
        <w:t xml:space="preserve">m the lower back </w:t>
      </w:r>
      <w:r w:rsidR="004016F2">
        <w:t>condition</w:t>
      </w:r>
      <w:r w:rsidR="00452DD5">
        <w:t xml:space="preserve"> was present during both assessment periods. Accordingly</w:t>
      </w:r>
      <w:r w:rsidR="00E14D65">
        <w:t>,</w:t>
      </w:r>
      <w:r w:rsidR="00452DD5">
        <w:t xml:space="preserve"> </w:t>
      </w:r>
      <w:r>
        <w:t>we</w:t>
      </w:r>
      <w:r w:rsidR="00452DD5">
        <w:t xml:space="preserve"> find that Mr Sidwell’s back condition </w:t>
      </w:r>
      <w:r w:rsidR="009F1D18">
        <w:t xml:space="preserve">also </w:t>
      </w:r>
      <w:r w:rsidR="00452DD5">
        <w:t>rated 10 impairment points on the second DSP claim.</w:t>
      </w:r>
    </w:p>
    <w:p w:rsidR="00C76032" w:rsidRDefault="00C76032" w:rsidP="00010715">
      <w:pPr>
        <w:pStyle w:val="Heading3"/>
      </w:pPr>
      <w:r>
        <w:t>Left testicular pain</w:t>
      </w:r>
    </w:p>
    <w:p w:rsidR="009F1D18" w:rsidRPr="00832285" w:rsidRDefault="009F1D18" w:rsidP="00010715">
      <w:pPr>
        <w:pStyle w:val="Hearing4KB"/>
      </w:pPr>
      <w:r w:rsidRPr="00832285">
        <w:t>Was the condition fully diagnosed, treated and stabilised?</w:t>
      </w:r>
    </w:p>
    <w:p w:rsidR="00B51C26" w:rsidRDefault="00B277B0" w:rsidP="00C76032">
      <w:pPr>
        <w:pStyle w:val="ListNumber"/>
        <w:rPr>
          <w:lang w:eastAsia="en-AU"/>
        </w:rPr>
      </w:pPr>
      <w:r>
        <w:rPr>
          <w:lang w:eastAsia="en-AU"/>
        </w:rPr>
        <w:t xml:space="preserve">The material before us includes </w:t>
      </w:r>
      <w:r w:rsidR="00C76032">
        <w:rPr>
          <w:lang w:eastAsia="en-AU"/>
        </w:rPr>
        <w:t>report</w:t>
      </w:r>
      <w:r w:rsidR="00FF34C3">
        <w:rPr>
          <w:lang w:eastAsia="en-AU"/>
        </w:rPr>
        <w:t>s</w:t>
      </w:r>
      <w:r w:rsidR="00C76032">
        <w:rPr>
          <w:lang w:eastAsia="en-AU"/>
        </w:rPr>
        <w:t xml:space="preserve"> dated </w:t>
      </w:r>
      <w:r w:rsidR="00FF34C3">
        <w:rPr>
          <w:lang w:eastAsia="en-AU"/>
        </w:rPr>
        <w:t xml:space="preserve">21 January 2012 and </w:t>
      </w:r>
      <w:r w:rsidR="00C76032">
        <w:rPr>
          <w:lang w:eastAsia="en-AU"/>
        </w:rPr>
        <w:t>1 May 2012</w:t>
      </w:r>
      <w:r>
        <w:rPr>
          <w:lang w:eastAsia="en-AU"/>
        </w:rPr>
        <w:t xml:space="preserve"> of</w:t>
      </w:r>
      <w:r w:rsidR="00C76032">
        <w:rPr>
          <w:lang w:eastAsia="en-AU"/>
        </w:rPr>
        <w:t xml:space="preserve"> Dr</w:t>
      </w:r>
      <w:r w:rsidR="00E244DB">
        <w:rPr>
          <w:lang w:eastAsia="en-AU"/>
        </w:rPr>
        <w:t> </w:t>
      </w:r>
      <w:r w:rsidR="00C76032">
        <w:rPr>
          <w:lang w:eastAsia="en-AU"/>
        </w:rPr>
        <w:t>Harris, Urology Registrar at the Modbury Hos</w:t>
      </w:r>
      <w:r w:rsidR="00C12458">
        <w:rPr>
          <w:lang w:eastAsia="en-AU"/>
        </w:rPr>
        <w:t>pital</w:t>
      </w:r>
      <w:r w:rsidR="00FF34C3">
        <w:rPr>
          <w:lang w:eastAsia="en-AU"/>
        </w:rPr>
        <w:t>.</w:t>
      </w:r>
      <w:r w:rsidR="00C12458">
        <w:rPr>
          <w:lang w:eastAsia="en-AU"/>
        </w:rPr>
        <w:t xml:space="preserve"> </w:t>
      </w:r>
    </w:p>
    <w:p w:rsidR="00FF34C3" w:rsidRDefault="00FF34C3" w:rsidP="00C76032">
      <w:pPr>
        <w:pStyle w:val="ListNumber"/>
        <w:rPr>
          <w:lang w:eastAsia="en-AU"/>
        </w:rPr>
      </w:pPr>
      <w:r>
        <w:rPr>
          <w:lang w:eastAsia="en-AU"/>
        </w:rPr>
        <w:t>In his initial report of 21</w:t>
      </w:r>
      <w:r w:rsidR="00DB2852">
        <w:rPr>
          <w:lang w:eastAsia="en-AU"/>
        </w:rPr>
        <w:t> </w:t>
      </w:r>
      <w:r>
        <w:rPr>
          <w:lang w:eastAsia="en-AU"/>
        </w:rPr>
        <w:t>January</w:t>
      </w:r>
      <w:r w:rsidR="00DB2852">
        <w:rPr>
          <w:lang w:eastAsia="en-AU"/>
        </w:rPr>
        <w:t> </w:t>
      </w:r>
      <w:r>
        <w:rPr>
          <w:lang w:eastAsia="en-AU"/>
        </w:rPr>
        <w:t>2012, Dr Harris stated:</w:t>
      </w:r>
    </w:p>
    <w:p w:rsidR="00FF34C3" w:rsidRDefault="006B1162" w:rsidP="00FF34C3">
      <w:pPr>
        <w:pStyle w:val="Quote"/>
      </w:pPr>
      <w:r>
        <w:t>H</w:t>
      </w:r>
      <w:r w:rsidR="00FF34C3">
        <w:t xml:space="preserve">is past history is significant for a bilateral vasectomy 14 years ago and he reports after that </w:t>
      </w:r>
      <w:r>
        <w:t xml:space="preserve">the </w:t>
      </w:r>
      <w:r w:rsidR="00FF34C3">
        <w:t>procedure that he had chronic pain on the right side which is similar to his symptoms now.  These symptoms were severe enough at the time to warrant right orchidectomy.  He states he has delayed presenting on this occasion for fear of losing his left testis</w:t>
      </w:r>
      <w:r>
        <w:t>.</w:t>
      </w:r>
      <w:r w:rsidR="00FF34C3">
        <w:rPr>
          <w:rStyle w:val="FootnoteReference"/>
        </w:rPr>
        <w:footnoteReference w:id="5"/>
      </w:r>
    </w:p>
    <w:p w:rsidR="00D44A3E" w:rsidRDefault="00FF34C3" w:rsidP="00B51C26">
      <w:pPr>
        <w:pStyle w:val="FollowingPara"/>
      </w:pPr>
      <w:r>
        <w:t>Dr Harris noted that the condition had not responded well to pain medication or antibiotic treatment. As to the cause of Mr Sidwell’s pain, Dr Harris indicated:</w:t>
      </w:r>
      <w:r w:rsidR="00D44A3E">
        <w:t xml:space="preserve">  </w:t>
      </w:r>
      <w:r w:rsidR="00D44A3E" w:rsidRPr="00134F3D">
        <w:rPr>
          <w:i/>
        </w:rPr>
        <w:t>“It is likely that he has some post vasectomy chronic scrotal pain.”</w:t>
      </w:r>
      <w:r w:rsidR="00B51C26">
        <w:t xml:space="preserve"> </w:t>
      </w:r>
      <w:r w:rsidR="00D44A3E">
        <w:t>In terms of treatment, Dr</w:t>
      </w:r>
      <w:r w:rsidR="00B51C26">
        <w:t> </w:t>
      </w:r>
      <w:r w:rsidR="00D44A3E">
        <w:t>Harris stated:</w:t>
      </w:r>
    </w:p>
    <w:p w:rsidR="00D44A3E" w:rsidRDefault="00D44A3E" w:rsidP="00D44A3E">
      <w:pPr>
        <w:pStyle w:val="Quote"/>
      </w:pPr>
      <w:r>
        <w:t xml:space="preserve">At this point in time </w:t>
      </w:r>
      <w:r w:rsidR="00DB2852">
        <w:t xml:space="preserve">we will try to manage him with conservative treatment and we have referred him to the Chronic Pain Unit.  I have ordered a renal ultrasound scan just to rule out any renal calculi that may be referring to his scrotum.  We will review him in two months time following this.  If we are unable to treat his problems conservatively then he may warrant a steroid injection into his scrotum.  At the very least this may be a helpful diagnostic exercise.  </w:t>
      </w:r>
      <w:r w:rsidR="00B51C26">
        <w:t>T</w:t>
      </w:r>
      <w:r w:rsidR="00DB2852">
        <w:t xml:space="preserve">he only other options which may be available would be reversal of his vasectomy which would no </w:t>
      </w:r>
      <w:r w:rsidR="006B1162">
        <w:rPr>
          <w:i w:val="0"/>
        </w:rPr>
        <w:t xml:space="preserve">[sic] </w:t>
      </w:r>
      <w:r w:rsidR="00DB2852">
        <w:t>guarantee resolution of his symptoms. The patient himself is not happy for a</w:t>
      </w:r>
      <w:r>
        <w:t xml:space="preserve"> left orchidectomy</w:t>
      </w:r>
      <w:r w:rsidR="006B1162">
        <w:t>.</w:t>
      </w:r>
    </w:p>
    <w:p w:rsidR="00D44A3E" w:rsidRDefault="00D44A3E" w:rsidP="00D44A3E">
      <w:pPr>
        <w:pStyle w:val="Quote"/>
      </w:pPr>
    </w:p>
    <w:p w:rsidR="00E96341" w:rsidRDefault="00D44A3E" w:rsidP="00FF34C3">
      <w:pPr>
        <w:pStyle w:val="ListNumber"/>
        <w:rPr>
          <w:lang w:eastAsia="en-AU"/>
        </w:rPr>
      </w:pPr>
      <w:r>
        <w:t xml:space="preserve">In his subsequent report of 1 May 2012, Dr Harris indicated that the </w:t>
      </w:r>
      <w:r w:rsidR="006F3E9E">
        <w:t>ultrasound of the renal trac</w:t>
      </w:r>
      <w:r w:rsidR="00B51C26">
        <w:t>t</w:t>
      </w:r>
      <w:r w:rsidR="006F3E9E">
        <w:t xml:space="preserve"> h</w:t>
      </w:r>
      <w:r w:rsidR="00B51C26">
        <w:t>e</w:t>
      </w:r>
      <w:r w:rsidR="006F3E9E">
        <w:t xml:space="preserve"> had ordered was normal, and noted that Mr Sidwell had an appointment with the Chronic Pain Unit at the Royal Adelaide Hospital. </w:t>
      </w:r>
      <w:r w:rsidR="00C76032">
        <w:rPr>
          <w:lang w:eastAsia="en-AU"/>
        </w:rPr>
        <w:t xml:space="preserve">Dr Harris discharged </w:t>
      </w:r>
      <w:r w:rsidR="00AF3FB7">
        <w:rPr>
          <w:lang w:eastAsia="en-AU"/>
        </w:rPr>
        <w:t>Mr</w:t>
      </w:r>
      <w:r w:rsidR="00E244DB">
        <w:rPr>
          <w:lang w:eastAsia="en-AU"/>
        </w:rPr>
        <w:t> </w:t>
      </w:r>
      <w:r w:rsidR="00101356">
        <w:rPr>
          <w:lang w:eastAsia="en-AU"/>
        </w:rPr>
        <w:t>Sidwell from</w:t>
      </w:r>
      <w:r w:rsidR="00C76032">
        <w:rPr>
          <w:lang w:eastAsia="en-AU"/>
        </w:rPr>
        <w:t xml:space="preserve"> the Urology Clinic with the proviso that he could be seen again if he </w:t>
      </w:r>
      <w:r w:rsidR="009F1D18">
        <w:rPr>
          <w:lang w:eastAsia="en-AU"/>
        </w:rPr>
        <w:t xml:space="preserve">did </w:t>
      </w:r>
      <w:r w:rsidR="00C76032">
        <w:rPr>
          <w:lang w:eastAsia="en-AU"/>
        </w:rPr>
        <w:t xml:space="preserve">not respond to chronic pain management and if he was interested in surgery. </w:t>
      </w:r>
    </w:p>
    <w:p w:rsidR="00EC7126" w:rsidRDefault="00FF34C3" w:rsidP="00C76032">
      <w:pPr>
        <w:pStyle w:val="ListNumber"/>
        <w:rPr>
          <w:lang w:eastAsia="en-AU"/>
        </w:rPr>
      </w:pPr>
      <w:r>
        <w:rPr>
          <w:lang w:eastAsia="en-AU"/>
        </w:rPr>
        <w:t>However, t</w:t>
      </w:r>
      <w:r w:rsidR="004C3999">
        <w:rPr>
          <w:lang w:eastAsia="en-AU"/>
        </w:rPr>
        <w:t xml:space="preserve">he Tribunal notes the difficulties </w:t>
      </w:r>
      <w:r w:rsidR="00AF3FB7">
        <w:rPr>
          <w:lang w:eastAsia="en-AU"/>
        </w:rPr>
        <w:t xml:space="preserve">regarding surgical options </w:t>
      </w:r>
      <w:r w:rsidR="004C3999">
        <w:rPr>
          <w:lang w:eastAsia="en-AU"/>
        </w:rPr>
        <w:t xml:space="preserve">which Dr Harris </w:t>
      </w:r>
      <w:r w:rsidR="00AF3FB7">
        <w:rPr>
          <w:lang w:eastAsia="en-AU"/>
        </w:rPr>
        <w:t>describes,</w:t>
      </w:r>
      <w:r w:rsidR="004C3999">
        <w:rPr>
          <w:lang w:eastAsia="en-AU"/>
        </w:rPr>
        <w:t xml:space="preserve"> namely, that they</w:t>
      </w:r>
      <w:r w:rsidR="00EC7126">
        <w:rPr>
          <w:lang w:eastAsia="en-AU"/>
        </w:rPr>
        <w:t>:</w:t>
      </w:r>
    </w:p>
    <w:p w:rsidR="00C76032" w:rsidRPr="00C76032" w:rsidRDefault="00EC7126" w:rsidP="00EC7126">
      <w:pPr>
        <w:pStyle w:val="Quote"/>
      </w:pPr>
      <w:r>
        <w:t>… w</w:t>
      </w:r>
      <w:r w:rsidR="004C3999">
        <w:t>ould include in the extreme case an orchi</w:t>
      </w:r>
      <w:r w:rsidR="00D31A98">
        <w:t>d</w:t>
      </w:r>
      <w:r w:rsidR="004C3999">
        <w:t>ectomy of the remaining testis, or alternatively reversal of the vasectomy … In addition both of these options do not necessarily have a high chance of solving his symptoms and may in fact make his problem worse.</w:t>
      </w:r>
      <w:r w:rsidR="004C3999" w:rsidRPr="00EC7126">
        <w:rPr>
          <w:rStyle w:val="FootnoteReference"/>
          <w:i w:val="0"/>
        </w:rPr>
        <w:footnoteReference w:id="6"/>
      </w:r>
    </w:p>
    <w:p w:rsidR="006F3E9E" w:rsidRDefault="006F3E9E" w:rsidP="00C76032">
      <w:pPr>
        <w:pStyle w:val="ListNumber"/>
      </w:pPr>
      <w:r>
        <w:t>We note that Mr Sidwell was subsequently seen by the Pain Unit and the material before us includes a record of a meeting of the Pain Unit Panel on 26 November 2013.</w:t>
      </w:r>
      <w:r>
        <w:rPr>
          <w:rStyle w:val="FootnoteReference"/>
        </w:rPr>
        <w:footnoteReference w:id="7"/>
      </w:r>
      <w:r>
        <w:t xml:space="preserve"> This record refers to Mr Sidwell’s testicular pain and contains general recommendations for pain management, but no recommendations specific</w:t>
      </w:r>
      <w:r w:rsidR="001E7ADA">
        <w:t xml:space="preserve"> to Mr</w:t>
      </w:r>
      <w:r w:rsidR="00134F3D">
        <w:t> </w:t>
      </w:r>
      <w:r w:rsidR="001E7ADA">
        <w:t>Sidwell’s testicular pain. In a subsequent report of 29 May 2014,</w:t>
      </w:r>
      <w:r w:rsidR="001E7ADA">
        <w:rPr>
          <w:rStyle w:val="FootnoteReference"/>
        </w:rPr>
        <w:footnoteReference w:id="8"/>
      </w:r>
      <w:r w:rsidR="001E7ADA">
        <w:t xml:space="preserve"> Ms Robyn Campbell, Senior Consultant at the Pain Management Unit also refer</w:t>
      </w:r>
      <w:r w:rsidR="00B51C26">
        <w:t>red</w:t>
      </w:r>
      <w:r w:rsidR="001E7ADA">
        <w:t xml:space="preserve"> to Mr</w:t>
      </w:r>
      <w:r w:rsidR="00B51C26">
        <w:t> </w:t>
      </w:r>
      <w:r w:rsidR="001E7ADA">
        <w:t>Sidwell’s testicular pain, note</w:t>
      </w:r>
      <w:r w:rsidR="00B51C26">
        <w:t>d</w:t>
      </w:r>
      <w:r w:rsidR="001E7ADA">
        <w:t xml:space="preserve"> the result</w:t>
      </w:r>
      <w:r w:rsidR="00177DE1">
        <w:t>s</w:t>
      </w:r>
      <w:r w:rsidR="001E7ADA">
        <w:t xml:space="preserve"> of the implementation of the PMU’s recommendations of November 2013 and ma</w:t>
      </w:r>
      <w:r w:rsidR="00B51C26">
        <w:t>d</w:t>
      </w:r>
      <w:r w:rsidR="001E7ADA">
        <w:t xml:space="preserve">e some further recommendations, none of them </w:t>
      </w:r>
      <w:r w:rsidR="00B51C26">
        <w:t xml:space="preserve">being </w:t>
      </w:r>
      <w:r w:rsidR="001E7ADA">
        <w:t>specific to Mr Sidwell’s testicular pain.</w:t>
      </w:r>
    </w:p>
    <w:p w:rsidR="00391759" w:rsidRDefault="00C76032" w:rsidP="00C76032">
      <w:pPr>
        <w:pStyle w:val="ListNumber"/>
      </w:pPr>
      <w:r>
        <w:t xml:space="preserve">In his evidence, </w:t>
      </w:r>
      <w:r w:rsidR="00863362">
        <w:t>Mr</w:t>
      </w:r>
      <w:r w:rsidR="00E244DB">
        <w:t> </w:t>
      </w:r>
      <w:r w:rsidR="00863362">
        <w:t>Sidwell</w:t>
      </w:r>
      <w:r>
        <w:t xml:space="preserve"> stated that he was afraid to have surgical treatment. </w:t>
      </w:r>
      <w:r w:rsidR="00E96341">
        <w:t>T</w:t>
      </w:r>
      <w:r>
        <w:t xml:space="preserve">his is not surprising. Unfortunately, the symptoms which he reports are regular and painful. He </w:t>
      </w:r>
      <w:r w:rsidR="009F1D18">
        <w:t xml:space="preserve">reported </w:t>
      </w:r>
      <w:r>
        <w:t xml:space="preserve">a very sharp pain several times per day and </w:t>
      </w:r>
      <w:r w:rsidR="002F7489">
        <w:t xml:space="preserve">sometimes </w:t>
      </w:r>
      <w:r w:rsidR="00101356">
        <w:t>also at</w:t>
      </w:r>
      <w:r w:rsidR="0054362C">
        <w:t xml:space="preserve"> night. </w:t>
      </w:r>
      <w:r w:rsidR="009F1D18">
        <w:t xml:space="preserve">He said the </w:t>
      </w:r>
      <w:r>
        <w:t>pain is quite constant and the aggravat</w:t>
      </w:r>
      <w:r w:rsidR="0054362C">
        <w:t>ions are intense. At times, he took Panade</w:t>
      </w:r>
      <w:r w:rsidR="00D31A98">
        <w:t>i</w:t>
      </w:r>
      <w:r w:rsidR="0054362C">
        <w:t xml:space="preserve">ne Forte but it </w:t>
      </w:r>
      <w:r w:rsidR="00FF121F">
        <w:t xml:space="preserve">had </w:t>
      </w:r>
      <w:r w:rsidR="0054362C">
        <w:t>reached</w:t>
      </w:r>
      <w:r>
        <w:t xml:space="preserve"> the stage </w:t>
      </w:r>
      <w:r w:rsidR="00B277B0">
        <w:t>where</w:t>
      </w:r>
      <w:r>
        <w:t xml:space="preserve"> the medication was</w:t>
      </w:r>
      <w:r w:rsidR="00EC02BD">
        <w:t xml:space="preserve"> not helping. </w:t>
      </w:r>
      <w:r w:rsidR="00B277B0">
        <w:t>He said t</w:t>
      </w:r>
      <w:r w:rsidR="00EC02BD">
        <w:t>he pain has been present</w:t>
      </w:r>
      <w:r w:rsidR="005F1766">
        <w:t xml:space="preserve"> since the vasectomy</w:t>
      </w:r>
      <w:r w:rsidR="00B277B0">
        <w:t xml:space="preserve"> and i</w:t>
      </w:r>
      <w:r>
        <w:t xml:space="preserve">n cold weather the </w:t>
      </w:r>
      <w:r w:rsidR="002F7489">
        <w:t xml:space="preserve">level of </w:t>
      </w:r>
      <w:r>
        <w:t xml:space="preserve">pain </w:t>
      </w:r>
      <w:r w:rsidR="00101356">
        <w:t>increases and</w:t>
      </w:r>
      <w:r>
        <w:t xml:space="preserve"> stays longer.</w:t>
      </w:r>
      <w:r w:rsidR="00177DE1" w:rsidRPr="00177DE1">
        <w:t xml:space="preserve"> </w:t>
      </w:r>
      <w:r w:rsidR="00177DE1">
        <w:t>For completeness, we should also note that in his evidence at the first hearing, Mr Sidwell referred to the fact that he had a further appointment booked with a Urologist, and he was hoping to have an MRI or CT scan done in an effort to determine more precisely what the problem was.</w:t>
      </w:r>
    </w:p>
    <w:p w:rsidR="00C76032" w:rsidRDefault="0054362C" w:rsidP="00C76032">
      <w:pPr>
        <w:pStyle w:val="ListNumber"/>
      </w:pPr>
      <w:r>
        <w:t xml:space="preserve">In the JCA report dated </w:t>
      </w:r>
      <w:r w:rsidR="00C76032">
        <w:t xml:space="preserve">4 April 2012, Ms Baines </w:t>
      </w:r>
      <w:r w:rsidR="00B277B0">
        <w:t xml:space="preserve">also </w:t>
      </w:r>
      <w:r w:rsidR="00C76032">
        <w:t xml:space="preserve">referred to </w:t>
      </w:r>
      <w:r w:rsidR="00863362">
        <w:t>Mr</w:t>
      </w:r>
      <w:r w:rsidR="00E244DB">
        <w:t> </w:t>
      </w:r>
      <w:r w:rsidR="00863362">
        <w:t>Sidwell</w:t>
      </w:r>
      <w:r w:rsidR="00C76032">
        <w:t xml:space="preserve">’s </w:t>
      </w:r>
      <w:r w:rsidR="007779B7">
        <w:t>left testicular pain</w:t>
      </w:r>
      <w:r w:rsidR="00B277B0">
        <w:t xml:space="preserve"> and indicated that she</w:t>
      </w:r>
      <w:r w:rsidR="001E7ADA">
        <w:t xml:space="preserve"> did not consider that </w:t>
      </w:r>
      <w:r w:rsidR="00C76032">
        <w:t>t</w:t>
      </w:r>
      <w:r w:rsidR="001E7ADA">
        <w:t>his</w:t>
      </w:r>
      <w:r w:rsidR="00C76032">
        <w:t xml:space="preserve"> was fully diagnosed, treated and stabilised.</w:t>
      </w:r>
      <w:r w:rsidR="001E7ADA">
        <w:t xml:space="preserve"> </w:t>
      </w:r>
    </w:p>
    <w:p w:rsidR="00177DE1" w:rsidRDefault="009F1D18" w:rsidP="00C76032">
      <w:pPr>
        <w:pStyle w:val="ListNumber"/>
      </w:pPr>
      <w:r>
        <w:t xml:space="preserve">Nevertheless, on </w:t>
      </w:r>
      <w:r w:rsidR="0054362C">
        <w:t>consideration of all the evidence</w:t>
      </w:r>
      <w:r w:rsidR="00B277B0">
        <w:t xml:space="preserve"> before us</w:t>
      </w:r>
      <w:r w:rsidR="0054362C">
        <w:t xml:space="preserve"> concerning the left testicular pain, </w:t>
      </w:r>
      <w:r w:rsidR="00FF121F">
        <w:t>we conclude that</w:t>
      </w:r>
      <w:r w:rsidR="002F7489">
        <w:t xml:space="preserve"> there is a</w:t>
      </w:r>
      <w:r w:rsidR="00304487">
        <w:t xml:space="preserve">n appropriate </w:t>
      </w:r>
      <w:r w:rsidR="002F7489">
        <w:t>diagnosis by Dr Harris</w:t>
      </w:r>
      <w:r w:rsidR="00B51C26">
        <w:t>,</w:t>
      </w:r>
      <w:r w:rsidR="00C83303">
        <w:t xml:space="preserve"> of chronic pain secondary to a bilateral vasectomy.</w:t>
      </w:r>
      <w:r>
        <w:t xml:space="preserve"> </w:t>
      </w:r>
      <w:r w:rsidR="00C83303">
        <w:t>T</w:t>
      </w:r>
      <w:r>
        <w:t>he</w:t>
      </w:r>
      <w:r w:rsidR="00C76032">
        <w:t xml:space="preserve"> condition has </w:t>
      </w:r>
      <w:r w:rsidR="00C83303">
        <w:t xml:space="preserve">also </w:t>
      </w:r>
      <w:r w:rsidR="00C76032">
        <w:t>been treated with medication.</w:t>
      </w:r>
      <w:r w:rsidR="00304487">
        <w:t xml:space="preserve"> The Tribunal considers that Mr</w:t>
      </w:r>
      <w:r w:rsidR="00EC7126">
        <w:t> </w:t>
      </w:r>
      <w:r w:rsidR="00304487">
        <w:t xml:space="preserve">Sidwell has undertaken reasonable treatment. </w:t>
      </w:r>
      <w:r w:rsidR="00E925BB">
        <w:t>U</w:t>
      </w:r>
      <w:r w:rsidR="00C76032">
        <w:t>nfortuna</w:t>
      </w:r>
      <w:r w:rsidR="00EC02BD">
        <w:t>tely, the condition persists</w:t>
      </w:r>
      <w:r>
        <w:t>, h</w:t>
      </w:r>
      <w:r w:rsidR="00EC02BD">
        <w:t>owever, it</w:t>
      </w:r>
      <w:r w:rsidR="00C76032">
        <w:t xml:space="preserve"> is stable.</w:t>
      </w:r>
      <w:r w:rsidR="00D904AB">
        <w:t xml:space="preserve"> </w:t>
      </w:r>
    </w:p>
    <w:p w:rsidR="00C76032" w:rsidRDefault="00D904AB" w:rsidP="00C76032">
      <w:pPr>
        <w:pStyle w:val="ListNumber"/>
      </w:pPr>
      <w:r>
        <w:t>As we have acknowledged in the context</w:t>
      </w:r>
      <w:r w:rsidR="00C76032">
        <w:t xml:space="preserve"> </w:t>
      </w:r>
      <w:r>
        <w:t xml:space="preserve">of Mr Sidwell’s back condition, we accept that at the time of the first assessment period, Mr Sidwell was yet to see the </w:t>
      </w:r>
      <w:r w:rsidR="001217AF">
        <w:t>P</w:t>
      </w:r>
      <w:r>
        <w:t xml:space="preserve">ain </w:t>
      </w:r>
      <w:r w:rsidR="001217AF">
        <w:t>M</w:t>
      </w:r>
      <w:r>
        <w:t xml:space="preserve">anagement </w:t>
      </w:r>
      <w:r w:rsidR="001217AF">
        <w:t>U</w:t>
      </w:r>
      <w:r>
        <w:t xml:space="preserve">nit and participate in a pain management program. However, on the evidence before us, we do not consider that at the time of the first assessment period, this was likely to result in a significant functional improvement within a two year period. We also consider that </w:t>
      </w:r>
      <w:r w:rsidR="00863362">
        <w:t>Mr</w:t>
      </w:r>
      <w:r w:rsidR="00E244DB">
        <w:t> </w:t>
      </w:r>
      <w:r w:rsidR="00863362">
        <w:t>Sidwell</w:t>
      </w:r>
      <w:r w:rsidR="002F7C4D">
        <w:t xml:space="preserve"> is entitled to be</w:t>
      </w:r>
      <w:r w:rsidR="00C76032">
        <w:t xml:space="preserve"> apprehensive about surgical intervention and it is not reasonable to expect him to submit to </w:t>
      </w:r>
      <w:r w:rsidR="00C83303">
        <w:t>surgery</w:t>
      </w:r>
      <w:r w:rsidR="0054362C">
        <w:t xml:space="preserve"> in view of the possible complications</w:t>
      </w:r>
      <w:r w:rsidR="00C76032">
        <w:t>.</w:t>
      </w:r>
      <w:r w:rsidR="0054362C">
        <w:t xml:space="preserve"> The report</w:t>
      </w:r>
      <w:r w:rsidR="00C83303">
        <w:t>s</w:t>
      </w:r>
      <w:r w:rsidR="0054362C">
        <w:t xml:space="preserve"> </w:t>
      </w:r>
      <w:r w:rsidR="00C83303">
        <w:t>of</w:t>
      </w:r>
      <w:r w:rsidR="00F6488B">
        <w:t xml:space="preserve"> Dr</w:t>
      </w:r>
      <w:r w:rsidR="00E244DB">
        <w:t> </w:t>
      </w:r>
      <w:r w:rsidR="0054362C">
        <w:t>Harris</w:t>
      </w:r>
      <w:r w:rsidR="00FD59B1">
        <w:t xml:space="preserve"> </w:t>
      </w:r>
      <w:r w:rsidR="0054362C">
        <w:t>support a conclusion that this</w:t>
      </w:r>
      <w:r w:rsidR="00FD59B1">
        <w:t xml:space="preserve"> condition is </w:t>
      </w:r>
      <w:r w:rsidR="00101356">
        <w:t xml:space="preserve">permanent. </w:t>
      </w:r>
      <w:r w:rsidR="009F1D18">
        <w:t xml:space="preserve">Accordingly, </w:t>
      </w:r>
      <w:r w:rsidR="00B277B0">
        <w:t>we are also</w:t>
      </w:r>
      <w:r w:rsidR="00FC11FD">
        <w:t xml:space="preserve"> </w:t>
      </w:r>
      <w:r w:rsidR="00101356">
        <w:t>satisfied</w:t>
      </w:r>
      <w:r w:rsidR="00FC11FD">
        <w:t xml:space="preserve"> that a rating can be assigned for</w:t>
      </w:r>
      <w:r w:rsidR="006D0CBE">
        <w:t xml:space="preserve"> </w:t>
      </w:r>
      <w:r w:rsidR="00FF121F">
        <w:t>this condition</w:t>
      </w:r>
      <w:r w:rsidR="00FC11FD">
        <w:t>.</w:t>
      </w:r>
    </w:p>
    <w:p w:rsidR="009F1D18" w:rsidRPr="00FF121F" w:rsidRDefault="009F1D18" w:rsidP="00010715">
      <w:pPr>
        <w:pStyle w:val="Hearing4KB"/>
      </w:pPr>
      <w:r w:rsidRPr="00FF121F">
        <w:t>What is the applicable impairment rating?</w:t>
      </w:r>
    </w:p>
    <w:p w:rsidR="00FC11FD" w:rsidRDefault="00A135B6" w:rsidP="00C76032">
      <w:pPr>
        <w:pStyle w:val="ListNumber"/>
      </w:pPr>
      <w:r>
        <w:t>Table 10 of the</w:t>
      </w:r>
      <w:r w:rsidR="001C68AE">
        <w:t xml:space="preserve"> Impairment Tables </w:t>
      </w:r>
      <w:r>
        <w:t>is</w:t>
      </w:r>
      <w:r w:rsidR="00FC11FD">
        <w:t xml:space="preserve"> </w:t>
      </w:r>
      <w:r w:rsidR="00101356">
        <w:t>appropriate</w:t>
      </w:r>
      <w:r w:rsidR="00FC11FD">
        <w:t xml:space="preserve"> for assessing the degree of </w:t>
      </w:r>
      <w:r w:rsidR="00101356">
        <w:t>impairment</w:t>
      </w:r>
      <w:r w:rsidR="00FC11FD">
        <w:t xml:space="preserve"> resulting </w:t>
      </w:r>
      <w:r w:rsidR="00101356">
        <w:t>from</w:t>
      </w:r>
      <w:r w:rsidR="00FC11FD">
        <w:t xml:space="preserve"> the condition </w:t>
      </w:r>
      <w:r>
        <w:t xml:space="preserve">of left </w:t>
      </w:r>
      <w:r w:rsidR="00101356">
        <w:t>testicular</w:t>
      </w:r>
      <w:r>
        <w:t xml:space="preserve"> </w:t>
      </w:r>
      <w:r w:rsidR="00101356">
        <w:t>pain</w:t>
      </w:r>
      <w:r>
        <w:t>.</w:t>
      </w:r>
      <w:r w:rsidR="00C83303">
        <w:rPr>
          <w:rStyle w:val="FootnoteReference"/>
        </w:rPr>
        <w:footnoteReference w:id="9"/>
      </w:r>
      <w:r w:rsidR="00F00D44">
        <w:t xml:space="preserve"> </w:t>
      </w:r>
      <w:r w:rsidR="001C68AE">
        <w:t xml:space="preserve">For a mild </w:t>
      </w:r>
      <w:r w:rsidR="00C83303">
        <w:t xml:space="preserve">or moderate </w:t>
      </w:r>
      <w:r w:rsidR="001C68AE">
        <w:t xml:space="preserve">functional impact </w:t>
      </w:r>
      <w:r w:rsidR="00FC11FD">
        <w:t>Table 10</w:t>
      </w:r>
      <w:r w:rsidR="004522AA">
        <w:t xml:space="preserve"> </w:t>
      </w:r>
      <w:r w:rsidR="00D904AB">
        <w:t>states</w:t>
      </w:r>
      <w:r w:rsidR="004522AA">
        <w:t>:</w:t>
      </w:r>
    </w:p>
    <w:p w:rsidR="00E244DB" w:rsidRPr="005D06EC" w:rsidRDefault="00E244DB" w:rsidP="006D0CBE">
      <w:pPr>
        <w:keepNext/>
        <w:spacing w:after="240" w:line="240" w:lineRule="auto"/>
        <w:jc w:val="left"/>
        <w:rPr>
          <w:b/>
          <w:i/>
          <w:sz w:val="22"/>
          <w:szCs w:val="22"/>
          <w:lang w:val="en-US" w:eastAsia="en-US" w:bidi="en-US"/>
        </w:rPr>
      </w:pPr>
      <w:bookmarkStart w:id="11" w:name="_Toc310259538"/>
      <w:r w:rsidRPr="005D06EC">
        <w:rPr>
          <w:b/>
          <w:i/>
          <w:sz w:val="22"/>
          <w:szCs w:val="22"/>
          <w:lang w:val="en-US" w:eastAsia="en-US" w:bidi="en-US"/>
        </w:rPr>
        <w:t>Table 10 – Digestive and Reproductive Function</w:t>
      </w:r>
      <w:bookmarkEnd w:id="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655"/>
      </w:tblGrid>
      <w:tr w:rsidR="00E244DB" w:rsidRPr="006D0CBE" w:rsidTr="006D0CBE">
        <w:trPr>
          <w:cantSplit/>
        </w:trPr>
        <w:tc>
          <w:tcPr>
            <w:tcW w:w="850" w:type="dxa"/>
            <w:shd w:val="clear" w:color="auto" w:fill="auto"/>
          </w:tcPr>
          <w:p w:rsidR="00E244DB" w:rsidRPr="006D0CBE" w:rsidRDefault="00E244DB" w:rsidP="004E7A7E">
            <w:pPr>
              <w:keepNext/>
              <w:spacing w:before="0" w:after="120" w:line="240" w:lineRule="auto"/>
              <w:jc w:val="left"/>
              <w:rPr>
                <w:sz w:val="20"/>
                <w:lang w:val="en-US" w:eastAsia="en-US" w:bidi="en-US"/>
              </w:rPr>
            </w:pPr>
            <w:r w:rsidRPr="006D0CBE">
              <w:rPr>
                <w:b/>
                <w:sz w:val="20"/>
                <w:lang w:val="en-US" w:eastAsia="en-US" w:bidi="en-US"/>
              </w:rPr>
              <w:t>Points</w:t>
            </w:r>
          </w:p>
        </w:tc>
        <w:tc>
          <w:tcPr>
            <w:tcW w:w="7655" w:type="dxa"/>
            <w:shd w:val="clear" w:color="auto" w:fill="auto"/>
          </w:tcPr>
          <w:p w:rsidR="00E244DB" w:rsidRPr="006D0CBE" w:rsidRDefault="00E244DB" w:rsidP="004E7A7E">
            <w:pPr>
              <w:keepNext/>
              <w:spacing w:before="0" w:after="120" w:line="240" w:lineRule="auto"/>
              <w:jc w:val="left"/>
              <w:rPr>
                <w:sz w:val="20"/>
                <w:lang w:val="en-US" w:eastAsia="en-US" w:bidi="en-US"/>
              </w:rPr>
            </w:pPr>
            <w:r w:rsidRPr="006D0CBE">
              <w:rPr>
                <w:b/>
                <w:sz w:val="20"/>
                <w:lang w:val="en-US" w:eastAsia="en-US" w:bidi="en-US"/>
              </w:rPr>
              <w:t>Descriptors</w:t>
            </w:r>
          </w:p>
        </w:tc>
      </w:tr>
      <w:tr w:rsidR="00E244DB" w:rsidRPr="00D904AB" w:rsidTr="006D0CBE">
        <w:trPr>
          <w:cantSplit/>
        </w:trPr>
        <w:tc>
          <w:tcPr>
            <w:tcW w:w="850" w:type="dxa"/>
            <w:shd w:val="clear" w:color="auto" w:fill="auto"/>
          </w:tcPr>
          <w:p w:rsidR="00E244DB" w:rsidRPr="00D904AB" w:rsidRDefault="00E244DB" w:rsidP="004E7A7E">
            <w:pPr>
              <w:spacing w:before="0" w:after="120" w:line="240" w:lineRule="auto"/>
              <w:jc w:val="left"/>
              <w:rPr>
                <w:i/>
                <w:sz w:val="22"/>
                <w:szCs w:val="22"/>
                <w:lang w:val="en-US" w:eastAsia="en-US" w:bidi="en-US"/>
              </w:rPr>
            </w:pPr>
            <w:r w:rsidRPr="00D904AB">
              <w:rPr>
                <w:i/>
                <w:sz w:val="22"/>
                <w:szCs w:val="22"/>
                <w:lang w:val="en-US" w:eastAsia="en-US" w:bidi="en-US"/>
              </w:rPr>
              <w:t>5</w:t>
            </w:r>
          </w:p>
        </w:tc>
        <w:tc>
          <w:tcPr>
            <w:tcW w:w="7655" w:type="dxa"/>
            <w:shd w:val="clear" w:color="auto" w:fill="auto"/>
          </w:tcPr>
          <w:p w:rsidR="00E244DB" w:rsidRPr="00D904AB" w:rsidRDefault="00E244DB" w:rsidP="004E7A7E">
            <w:pPr>
              <w:spacing w:before="0" w:after="120" w:line="240" w:lineRule="auto"/>
              <w:jc w:val="left"/>
              <w:rPr>
                <w:sz w:val="22"/>
                <w:szCs w:val="22"/>
                <w:lang w:val="en-US" w:eastAsia="en-US" w:bidi="en-US"/>
              </w:rPr>
            </w:pPr>
            <w:r w:rsidRPr="00D904AB">
              <w:rPr>
                <w:sz w:val="22"/>
                <w:szCs w:val="22"/>
                <w:lang w:val="en-US" w:eastAsia="en-US" w:bidi="en-US"/>
              </w:rPr>
              <w:t xml:space="preserve">There is a </w:t>
            </w:r>
            <w:r w:rsidRPr="00D904AB">
              <w:rPr>
                <w:b/>
                <w:sz w:val="22"/>
                <w:szCs w:val="22"/>
                <w:lang w:val="en-US" w:eastAsia="en-US" w:bidi="en-US"/>
              </w:rPr>
              <w:t>mild</w:t>
            </w:r>
            <w:r w:rsidRPr="00D904AB">
              <w:rPr>
                <w:sz w:val="22"/>
                <w:szCs w:val="22"/>
                <w:lang w:val="en-US" w:eastAsia="en-US" w:bidi="en-US"/>
              </w:rPr>
              <w:t xml:space="preserve"> functional impact on work-related or daily activities due to symptoms or personal care needs associated with a digestive or reproductive system condition. </w:t>
            </w:r>
          </w:p>
          <w:p w:rsidR="00E244DB" w:rsidRPr="00D904AB" w:rsidRDefault="00E244DB" w:rsidP="004E7A7E">
            <w:pPr>
              <w:spacing w:before="0" w:after="120" w:line="240" w:lineRule="auto"/>
              <w:ind w:left="720" w:hanging="720"/>
              <w:jc w:val="left"/>
              <w:rPr>
                <w:i/>
                <w:sz w:val="22"/>
                <w:szCs w:val="22"/>
                <w:lang w:val="en-US" w:eastAsia="en-US" w:bidi="en-US"/>
              </w:rPr>
            </w:pPr>
            <w:r w:rsidRPr="00D904AB">
              <w:rPr>
                <w:i/>
                <w:sz w:val="22"/>
                <w:szCs w:val="22"/>
                <w:lang w:val="en-US" w:eastAsia="en-US" w:bidi="en-US"/>
              </w:rPr>
              <w:t>(1)</w:t>
            </w:r>
            <w:r w:rsidRPr="00D904AB">
              <w:rPr>
                <w:i/>
                <w:sz w:val="22"/>
                <w:szCs w:val="22"/>
                <w:lang w:val="en-US" w:eastAsia="en-US" w:bidi="en-US"/>
              </w:rPr>
              <w:tab/>
              <w:t>At least one of the following applies:</w:t>
            </w:r>
          </w:p>
          <w:p w:rsidR="00E244DB" w:rsidRPr="00D904AB" w:rsidRDefault="00E244DB" w:rsidP="004E7A7E">
            <w:pPr>
              <w:spacing w:before="0" w:after="120" w:line="240" w:lineRule="auto"/>
              <w:ind w:left="1440" w:hanging="720"/>
              <w:jc w:val="left"/>
              <w:rPr>
                <w:i/>
                <w:sz w:val="22"/>
                <w:szCs w:val="22"/>
                <w:lang w:val="en-US" w:eastAsia="en-US" w:bidi="en-US"/>
              </w:rPr>
            </w:pPr>
            <w:r w:rsidRPr="00D904AB">
              <w:rPr>
                <w:i/>
                <w:sz w:val="22"/>
                <w:szCs w:val="22"/>
                <w:lang w:val="en-US" w:eastAsia="en-US" w:bidi="en-US"/>
              </w:rPr>
              <w:t>(a)</w:t>
            </w:r>
            <w:r w:rsidRPr="00D904AB">
              <w:rPr>
                <w:i/>
                <w:sz w:val="22"/>
                <w:szCs w:val="22"/>
                <w:lang w:val="en-US" w:eastAsia="en-US" w:bidi="en-US"/>
              </w:rPr>
              <w:tab/>
              <w:t>the person’s attention and concentration at a task are sometimes (on most days) interrupted or reduced by pain or other symptoms or personal care needs associated with the digestive or reproductive system condition; or</w:t>
            </w:r>
          </w:p>
          <w:p w:rsidR="00E244DB" w:rsidRPr="00D904AB" w:rsidRDefault="00E244DB" w:rsidP="004E7A7E">
            <w:pPr>
              <w:spacing w:before="0" w:after="120" w:line="240" w:lineRule="auto"/>
              <w:ind w:left="1440" w:hanging="720"/>
              <w:jc w:val="left"/>
              <w:rPr>
                <w:sz w:val="22"/>
                <w:szCs w:val="22"/>
                <w:lang w:val="en-US" w:eastAsia="en-US" w:bidi="en-US"/>
              </w:rPr>
            </w:pPr>
            <w:r w:rsidRPr="00D904AB">
              <w:rPr>
                <w:i/>
                <w:sz w:val="22"/>
                <w:szCs w:val="22"/>
                <w:lang w:val="en-US" w:eastAsia="en-US" w:bidi="en-US"/>
              </w:rPr>
              <w:t>(b)</w:t>
            </w:r>
            <w:r w:rsidRPr="00D904AB">
              <w:rPr>
                <w:i/>
                <w:sz w:val="22"/>
                <w:szCs w:val="22"/>
                <w:lang w:val="en-US" w:eastAsia="en-US" w:bidi="en-US"/>
              </w:rPr>
              <w:tab/>
              <w:t>the person is sometimes (less than once per month) absent from work, education or training activities due to the digestive or reproductive system condition.</w:t>
            </w:r>
          </w:p>
        </w:tc>
      </w:tr>
      <w:tr w:rsidR="00C83303" w:rsidRPr="00D904AB" w:rsidTr="006D0CBE">
        <w:trPr>
          <w:cantSplit/>
        </w:trPr>
        <w:tc>
          <w:tcPr>
            <w:tcW w:w="850" w:type="dxa"/>
            <w:shd w:val="clear" w:color="auto" w:fill="auto"/>
          </w:tcPr>
          <w:p w:rsidR="00C83303" w:rsidRPr="00D904AB" w:rsidRDefault="00C83303" w:rsidP="004E7A7E">
            <w:pPr>
              <w:spacing w:before="0" w:after="120" w:line="240" w:lineRule="auto"/>
              <w:jc w:val="left"/>
              <w:rPr>
                <w:i/>
                <w:sz w:val="22"/>
                <w:szCs w:val="22"/>
                <w:lang w:val="en-US" w:eastAsia="en-US" w:bidi="en-US"/>
              </w:rPr>
            </w:pPr>
            <w:r>
              <w:rPr>
                <w:i/>
                <w:sz w:val="22"/>
                <w:szCs w:val="22"/>
                <w:lang w:val="en-US" w:eastAsia="en-US" w:bidi="en-US"/>
              </w:rPr>
              <w:t>10</w:t>
            </w:r>
          </w:p>
        </w:tc>
        <w:tc>
          <w:tcPr>
            <w:tcW w:w="7655" w:type="dxa"/>
            <w:shd w:val="clear" w:color="auto" w:fill="auto"/>
          </w:tcPr>
          <w:p w:rsidR="00C83303" w:rsidRDefault="00C83303" w:rsidP="004E7A7E">
            <w:pPr>
              <w:spacing w:before="0" w:after="120" w:line="240" w:lineRule="auto"/>
              <w:jc w:val="left"/>
              <w:rPr>
                <w:sz w:val="22"/>
                <w:szCs w:val="22"/>
                <w:lang w:val="en-US" w:eastAsia="en-US" w:bidi="en-US"/>
              </w:rPr>
            </w:pPr>
            <w:r>
              <w:rPr>
                <w:sz w:val="22"/>
                <w:szCs w:val="22"/>
                <w:lang w:val="en-US" w:eastAsia="en-US" w:bidi="en-US"/>
              </w:rPr>
              <w:t xml:space="preserve">There is a </w:t>
            </w:r>
            <w:r>
              <w:rPr>
                <w:b/>
                <w:sz w:val="22"/>
                <w:szCs w:val="22"/>
                <w:lang w:val="en-US" w:eastAsia="en-US" w:bidi="en-US"/>
              </w:rPr>
              <w:t>moderate</w:t>
            </w:r>
            <w:r>
              <w:rPr>
                <w:sz w:val="22"/>
                <w:szCs w:val="22"/>
                <w:lang w:val="en-US" w:eastAsia="en-US" w:bidi="en-US"/>
              </w:rPr>
              <w:t xml:space="preserve"> functional impact on work-related or daily activities due to symptoms of personal care needs associated with a digestive or reproductive system condition.</w:t>
            </w:r>
          </w:p>
          <w:p w:rsidR="00C83303" w:rsidRPr="00D904AB" w:rsidRDefault="001217AF" w:rsidP="00C83303">
            <w:pPr>
              <w:spacing w:before="0" w:after="120" w:line="240" w:lineRule="auto"/>
              <w:ind w:left="720" w:hanging="720"/>
              <w:jc w:val="left"/>
              <w:rPr>
                <w:i/>
                <w:sz w:val="22"/>
                <w:szCs w:val="22"/>
                <w:lang w:val="en-US" w:eastAsia="en-US" w:bidi="en-US"/>
              </w:rPr>
            </w:pPr>
            <w:r>
              <w:rPr>
                <w:i/>
                <w:sz w:val="22"/>
                <w:szCs w:val="22"/>
                <w:lang w:val="en-US" w:eastAsia="en-US" w:bidi="en-US"/>
              </w:rPr>
              <w:t>(</w:t>
            </w:r>
            <w:r w:rsidR="00C83303" w:rsidRPr="00D904AB">
              <w:rPr>
                <w:i/>
                <w:sz w:val="22"/>
                <w:szCs w:val="22"/>
                <w:lang w:val="en-US" w:eastAsia="en-US" w:bidi="en-US"/>
              </w:rPr>
              <w:t>1)</w:t>
            </w:r>
            <w:r w:rsidR="00C83303" w:rsidRPr="00D904AB">
              <w:rPr>
                <w:i/>
                <w:sz w:val="22"/>
                <w:szCs w:val="22"/>
                <w:lang w:val="en-US" w:eastAsia="en-US" w:bidi="en-US"/>
              </w:rPr>
              <w:tab/>
              <w:t xml:space="preserve">At least </w:t>
            </w:r>
            <w:r>
              <w:rPr>
                <w:i/>
                <w:sz w:val="22"/>
                <w:szCs w:val="22"/>
                <w:lang w:val="en-US" w:eastAsia="en-US" w:bidi="en-US"/>
              </w:rPr>
              <w:t>two of the following apply to the person</w:t>
            </w:r>
            <w:r w:rsidR="00C83303" w:rsidRPr="00D904AB">
              <w:rPr>
                <w:i/>
                <w:sz w:val="22"/>
                <w:szCs w:val="22"/>
                <w:lang w:val="en-US" w:eastAsia="en-US" w:bidi="en-US"/>
              </w:rPr>
              <w:t>:</w:t>
            </w:r>
          </w:p>
          <w:p w:rsidR="00C83303" w:rsidRPr="00D904AB" w:rsidRDefault="00C83303" w:rsidP="00C83303">
            <w:pPr>
              <w:spacing w:before="0" w:after="120" w:line="240" w:lineRule="auto"/>
              <w:ind w:left="1440" w:hanging="720"/>
              <w:jc w:val="left"/>
              <w:rPr>
                <w:i/>
                <w:sz w:val="22"/>
                <w:szCs w:val="22"/>
                <w:lang w:val="en-US" w:eastAsia="en-US" w:bidi="en-US"/>
              </w:rPr>
            </w:pPr>
            <w:r w:rsidRPr="00D904AB">
              <w:rPr>
                <w:i/>
                <w:sz w:val="22"/>
                <w:szCs w:val="22"/>
                <w:lang w:val="en-US" w:eastAsia="en-US" w:bidi="en-US"/>
              </w:rPr>
              <w:t>(a)</w:t>
            </w:r>
            <w:r w:rsidRPr="00D904AB">
              <w:rPr>
                <w:i/>
                <w:sz w:val="22"/>
                <w:szCs w:val="22"/>
                <w:lang w:val="en-US" w:eastAsia="en-US" w:bidi="en-US"/>
              </w:rPr>
              <w:tab/>
              <w:t xml:space="preserve">the person’s attention and concentration </w:t>
            </w:r>
            <w:r w:rsidR="001217AF">
              <w:rPr>
                <w:i/>
                <w:sz w:val="22"/>
                <w:szCs w:val="22"/>
                <w:lang w:val="en-US" w:eastAsia="en-US" w:bidi="en-US"/>
              </w:rPr>
              <w:t>on</w:t>
            </w:r>
            <w:r w:rsidRPr="00D904AB">
              <w:rPr>
                <w:i/>
                <w:sz w:val="22"/>
                <w:szCs w:val="22"/>
                <w:lang w:val="en-US" w:eastAsia="en-US" w:bidi="en-US"/>
              </w:rPr>
              <w:t xml:space="preserve"> a task are </w:t>
            </w:r>
            <w:r w:rsidR="00206FB8">
              <w:rPr>
                <w:i/>
                <w:sz w:val="22"/>
                <w:szCs w:val="22"/>
                <w:lang w:val="en-US" w:eastAsia="en-US" w:bidi="en-US"/>
              </w:rPr>
              <w:t>often</w:t>
            </w:r>
            <w:r w:rsidRPr="00D904AB">
              <w:rPr>
                <w:i/>
                <w:sz w:val="22"/>
                <w:szCs w:val="22"/>
                <w:lang w:val="en-US" w:eastAsia="en-US" w:bidi="en-US"/>
              </w:rPr>
              <w:t xml:space="preserve"> (</w:t>
            </w:r>
            <w:r w:rsidR="00206FB8">
              <w:rPr>
                <w:i/>
                <w:sz w:val="22"/>
                <w:szCs w:val="22"/>
                <w:lang w:val="en-US" w:eastAsia="en-US" w:bidi="en-US"/>
              </w:rPr>
              <w:t>a</w:t>
            </w:r>
            <w:r w:rsidRPr="00D904AB">
              <w:rPr>
                <w:i/>
                <w:sz w:val="22"/>
                <w:szCs w:val="22"/>
                <w:lang w:val="en-US" w:eastAsia="en-US" w:bidi="en-US"/>
              </w:rPr>
              <w:t>t</w:t>
            </w:r>
            <w:r w:rsidR="00206FB8">
              <w:rPr>
                <w:i/>
                <w:sz w:val="22"/>
                <w:szCs w:val="22"/>
                <w:lang w:val="en-US" w:eastAsia="en-US" w:bidi="en-US"/>
              </w:rPr>
              <w:t xml:space="preserve"> least once a </w:t>
            </w:r>
            <w:r w:rsidRPr="00D904AB">
              <w:rPr>
                <w:i/>
                <w:sz w:val="22"/>
                <w:szCs w:val="22"/>
                <w:lang w:val="en-US" w:eastAsia="en-US" w:bidi="en-US"/>
              </w:rPr>
              <w:t>day</w:t>
            </w:r>
            <w:r w:rsidR="00206FB8">
              <w:rPr>
                <w:i/>
                <w:sz w:val="22"/>
                <w:szCs w:val="22"/>
                <w:lang w:val="en-US" w:eastAsia="en-US" w:bidi="en-US"/>
              </w:rPr>
              <w:t xml:space="preserve"> but not every hour</w:t>
            </w:r>
            <w:r w:rsidRPr="00D904AB">
              <w:rPr>
                <w:i/>
                <w:sz w:val="22"/>
                <w:szCs w:val="22"/>
                <w:lang w:val="en-US" w:eastAsia="en-US" w:bidi="en-US"/>
              </w:rPr>
              <w:t xml:space="preserve">) interrupted or reduced by pain or other symptoms or personal care needs associated with the digestive or reproductive system condition; </w:t>
            </w:r>
          </w:p>
          <w:p w:rsidR="00206FB8" w:rsidRDefault="00C83303" w:rsidP="00206FB8">
            <w:pPr>
              <w:spacing w:before="0" w:after="120" w:line="240" w:lineRule="auto"/>
              <w:ind w:left="1452" w:hanging="709"/>
              <w:jc w:val="left"/>
              <w:rPr>
                <w:i/>
                <w:sz w:val="22"/>
                <w:szCs w:val="22"/>
                <w:lang w:val="en-US" w:eastAsia="en-US" w:bidi="en-US"/>
              </w:rPr>
            </w:pPr>
            <w:r w:rsidRPr="00D904AB">
              <w:rPr>
                <w:i/>
                <w:sz w:val="22"/>
                <w:szCs w:val="22"/>
                <w:lang w:val="en-US" w:eastAsia="en-US" w:bidi="en-US"/>
              </w:rPr>
              <w:t>(b)</w:t>
            </w:r>
            <w:r w:rsidRPr="00D904AB">
              <w:rPr>
                <w:i/>
                <w:sz w:val="22"/>
                <w:szCs w:val="22"/>
                <w:lang w:val="en-US" w:eastAsia="en-US" w:bidi="en-US"/>
              </w:rPr>
              <w:tab/>
              <w:t xml:space="preserve">the person is </w:t>
            </w:r>
            <w:r w:rsidR="00206FB8">
              <w:rPr>
                <w:i/>
                <w:sz w:val="22"/>
                <w:szCs w:val="22"/>
                <w:lang w:val="en-US" w:eastAsia="en-US" w:bidi="en-US"/>
              </w:rPr>
              <w:t>unable to sustain work activity or other tasks for more than 2 hours without a break due to symptoms of the digestive or reproductive system condition;</w:t>
            </w:r>
          </w:p>
          <w:p w:rsidR="00C83303" w:rsidRPr="00C83303" w:rsidRDefault="00206FB8" w:rsidP="00206FB8">
            <w:pPr>
              <w:spacing w:before="0" w:after="120" w:line="240" w:lineRule="auto"/>
              <w:ind w:left="1452" w:hanging="709"/>
              <w:jc w:val="left"/>
              <w:rPr>
                <w:sz w:val="22"/>
                <w:szCs w:val="22"/>
                <w:lang w:val="en-US" w:eastAsia="en-US" w:bidi="en-US"/>
              </w:rPr>
            </w:pPr>
            <w:r>
              <w:rPr>
                <w:i/>
                <w:sz w:val="22"/>
                <w:szCs w:val="22"/>
                <w:lang w:val="en-US" w:eastAsia="en-US" w:bidi="en-US"/>
              </w:rPr>
              <w:t>(c)</w:t>
            </w:r>
            <w:r>
              <w:rPr>
                <w:i/>
                <w:sz w:val="22"/>
                <w:szCs w:val="22"/>
                <w:lang w:val="en-US" w:eastAsia="en-US" w:bidi="en-US"/>
              </w:rPr>
              <w:tab/>
              <w:t>the person is often (once per month) absent from work, education or training activities due to the digestive or reproductive system condition</w:t>
            </w:r>
            <w:r w:rsidR="00C83303" w:rsidRPr="00D904AB">
              <w:rPr>
                <w:i/>
                <w:sz w:val="22"/>
                <w:szCs w:val="22"/>
                <w:lang w:val="en-US" w:eastAsia="en-US" w:bidi="en-US"/>
              </w:rPr>
              <w:t>.</w:t>
            </w:r>
          </w:p>
        </w:tc>
      </w:tr>
    </w:tbl>
    <w:p w:rsidR="00C76032" w:rsidRDefault="006D5607" w:rsidP="00C76032">
      <w:pPr>
        <w:pStyle w:val="ListNumber"/>
      </w:pPr>
      <w:r>
        <w:t>The evidence about Mr</w:t>
      </w:r>
      <w:r w:rsidR="00EC7126">
        <w:t> </w:t>
      </w:r>
      <w:r>
        <w:t>Sidwell’s testicular pain was adduced at the first hearing</w:t>
      </w:r>
      <w:r w:rsidR="009F1D18">
        <w:t>,</w:t>
      </w:r>
      <w:r>
        <w:t xml:space="preserve"> </w:t>
      </w:r>
      <w:r w:rsidR="009F1D18">
        <w:t>but</w:t>
      </w:r>
      <w:r>
        <w:t xml:space="preserve"> covers both assessment periods</w:t>
      </w:r>
      <w:r w:rsidR="00206FB8">
        <w:t>, as Mr Sidwell said there had been very little change in the condition since shortly after his vasectomy in 1997. As to how many times a day he experienced sustained acute pain in the area he said:</w:t>
      </w:r>
    </w:p>
    <w:p w:rsidR="00206FB8" w:rsidRDefault="00206FB8" w:rsidP="00206FB8">
      <w:pPr>
        <w:pStyle w:val="Quote"/>
      </w:pPr>
      <w:r>
        <w:t xml:space="preserve">Several. Between eight and 10 times average, I would say, but it can also happen at the night or – as well. It’s like the whole – through the whole 24 hours every day. So it could be at any time, so even if I’m asleep and it could come </w:t>
      </w:r>
      <w:r w:rsidR="00177DE1">
        <w:t xml:space="preserve">on and that’s it, I’m awake </w:t>
      </w:r>
      <w:r>
        <w:t>…</w:t>
      </w:r>
      <w:r w:rsidR="001217AF" w:rsidRPr="004F08E0">
        <w:rPr>
          <w:rStyle w:val="FootnoteReference"/>
          <w:i w:val="0"/>
        </w:rPr>
        <w:footnoteReference w:id="10"/>
      </w:r>
    </w:p>
    <w:p w:rsidR="00206FB8" w:rsidRDefault="002C02DF" w:rsidP="00206FB8">
      <w:pPr>
        <w:pStyle w:val="ListNumber"/>
      </w:pPr>
      <w:r>
        <w:t>Although this</w:t>
      </w:r>
      <w:r w:rsidR="00206FB8">
        <w:t xml:space="preserve"> evidence was challenged in cross-examination, we accept that Mr Sidwell experiences testicular pain of sufficient intensity and frequency s</w:t>
      </w:r>
      <w:r>
        <w:t>o</w:t>
      </w:r>
      <w:r w:rsidR="00206FB8">
        <w:t xml:space="preserve"> as to satisfy (1)(a) of the descriptors for a 10 point rating.  However, having carefully reviewed the evidence, we do not believe there is any foundation for a conclusion that, due to his testicular pain, Mr Sidwell has been unable to sustain relevant activities for more than 2 hours without a break, or </w:t>
      </w:r>
      <w:r w:rsidR="001217AF">
        <w:t xml:space="preserve">has </w:t>
      </w:r>
      <w:r w:rsidR="00206FB8">
        <w:t xml:space="preserve">been absent from education or training activities at least once per month. </w:t>
      </w:r>
      <w:r w:rsidR="007E4A1B">
        <w:t xml:space="preserve">We note that with respect to the latter part of 2012, Mr Sidwell indicated that he was studying at TAFE at that time and was </w:t>
      </w:r>
      <w:r w:rsidR="007E4A1B" w:rsidRPr="00177DE1">
        <w:rPr>
          <w:i/>
        </w:rPr>
        <w:t>“off a lot sick because of pain”</w:t>
      </w:r>
      <w:r w:rsidR="007E4A1B">
        <w:t>.</w:t>
      </w:r>
      <w:r w:rsidR="007E4A1B">
        <w:rPr>
          <w:rStyle w:val="FootnoteReference"/>
        </w:rPr>
        <w:footnoteReference w:id="11"/>
      </w:r>
      <w:r w:rsidR="007E4A1B">
        <w:t xml:space="preserve"> However he was not specific about the source of the pain, and we do not consider it properly open to us to assume he was referring to testicular pain only. </w:t>
      </w:r>
    </w:p>
    <w:p w:rsidR="007E4A1B" w:rsidRDefault="007E4A1B" w:rsidP="00206FB8">
      <w:pPr>
        <w:pStyle w:val="ListNumber"/>
      </w:pPr>
      <w:r>
        <w:t>Accordingly, we consider a rating of 5 points to be applicable for this condition during each assessment period, and we note that Ms Riley, who appeared as advocate for Mr</w:t>
      </w:r>
      <w:r w:rsidR="00134F3D">
        <w:t> </w:t>
      </w:r>
      <w:r>
        <w:t xml:space="preserve">Sidwell at the second hearing, acknowledged that a rating of 5 points was the </w:t>
      </w:r>
      <w:r w:rsidR="001217AF">
        <w:t>appropriate rating</w:t>
      </w:r>
      <w:r>
        <w:t xml:space="preserve"> for this condition</w:t>
      </w:r>
      <w:r w:rsidR="002C02DF">
        <w:t>.</w:t>
      </w:r>
    </w:p>
    <w:p w:rsidR="009F1D18" w:rsidRDefault="00A02B91" w:rsidP="00010715">
      <w:pPr>
        <w:pStyle w:val="Heading3"/>
      </w:pPr>
      <w:r>
        <w:t>Depression</w:t>
      </w:r>
    </w:p>
    <w:p w:rsidR="001B65E5" w:rsidRDefault="001B65E5" w:rsidP="001B65E5">
      <w:pPr>
        <w:pStyle w:val="ListNumber"/>
      </w:pPr>
      <w:r>
        <w:t>I</w:t>
      </w:r>
      <w:r w:rsidR="00FF121F">
        <w:t>n the context of assessing this condition</w:t>
      </w:r>
      <w:r w:rsidR="0028386A">
        <w:t>,</w:t>
      </w:r>
      <w:r w:rsidR="00FF121F">
        <w:t xml:space="preserve"> i</w:t>
      </w:r>
      <w:r>
        <w:t>t is relevant for us to note that the Introduction to Table 5 of the Impairment Tables (Mental Health Function) specifies that the diagnosis of a mental health condition must be made by a medical practitioner with evidence from a clinical psychologist if the diagnosis has not been made by a psychiatrist. In full, the Introduction to Table 5 states:</w:t>
      </w:r>
    </w:p>
    <w:p w:rsidR="001B65E5" w:rsidRPr="00C46826" w:rsidRDefault="001B65E5" w:rsidP="006D0CBE">
      <w:pPr>
        <w:pStyle w:val="Heading3"/>
        <w:spacing w:before="120" w:after="120"/>
        <w:rPr>
          <w:lang w:val="en-US" w:eastAsia="en-US" w:bidi="en-US"/>
        </w:rPr>
      </w:pPr>
      <w:r w:rsidRPr="00C46826">
        <w:rPr>
          <w:lang w:val="en-US" w:eastAsia="en-US" w:bidi="en-US"/>
        </w:rPr>
        <w:t>Table 5 – Mental Health Function</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B65E5" w:rsidRPr="00B56BFC" w:rsidTr="006D0CBE">
        <w:tc>
          <w:tcPr>
            <w:tcW w:w="8505" w:type="dxa"/>
            <w:tcBorders>
              <w:top w:val="single" w:sz="4" w:space="0" w:color="auto"/>
              <w:left w:val="single" w:sz="4" w:space="0" w:color="auto"/>
              <w:bottom w:val="single" w:sz="4" w:space="0" w:color="auto"/>
              <w:right w:val="single" w:sz="4" w:space="0" w:color="auto"/>
            </w:tcBorders>
            <w:hideMark/>
          </w:tcPr>
          <w:p w:rsidR="001B65E5" w:rsidRPr="00C46826" w:rsidRDefault="001B65E5" w:rsidP="00586DBE">
            <w:pPr>
              <w:pStyle w:val="Quote"/>
              <w:spacing w:before="0" w:after="120"/>
              <w:ind w:left="176"/>
              <w:rPr>
                <w:b/>
                <w:lang w:val="en-US" w:eastAsia="en-US" w:bidi="en-US"/>
              </w:rPr>
            </w:pPr>
            <w:r w:rsidRPr="00C46826">
              <w:rPr>
                <w:b/>
                <w:lang w:val="en-US" w:eastAsia="en-US" w:bidi="en-US"/>
              </w:rPr>
              <w:t>Introduction to Table 5</w:t>
            </w:r>
          </w:p>
        </w:tc>
      </w:tr>
      <w:tr w:rsidR="001B65E5" w:rsidRPr="00B56BFC" w:rsidTr="006D0CBE">
        <w:tc>
          <w:tcPr>
            <w:tcW w:w="8505" w:type="dxa"/>
            <w:tcBorders>
              <w:top w:val="single" w:sz="4" w:space="0" w:color="auto"/>
              <w:left w:val="single" w:sz="4" w:space="0" w:color="auto"/>
              <w:bottom w:val="single" w:sz="4" w:space="0" w:color="auto"/>
              <w:right w:val="single" w:sz="4" w:space="0" w:color="auto"/>
            </w:tcBorders>
            <w:hideMark/>
          </w:tcPr>
          <w:p w:rsidR="001B65E5" w:rsidRDefault="001B65E5" w:rsidP="00586DBE">
            <w:pPr>
              <w:tabs>
                <w:tab w:val="left" w:pos="423"/>
              </w:tabs>
              <w:spacing w:before="120" w:after="120" w:line="240" w:lineRule="auto"/>
              <w:ind w:left="423" w:hanging="322"/>
              <w:jc w:val="left"/>
              <w:rPr>
                <w:i/>
                <w:sz w:val="22"/>
                <w:szCs w:val="22"/>
                <w:lang w:val="en-US" w:eastAsia="en-US" w:bidi="en-US"/>
              </w:rPr>
            </w:pPr>
            <w:r w:rsidRPr="005E6B67">
              <w:rPr>
                <w:i/>
                <w:sz w:val="18"/>
                <w:szCs w:val="18"/>
                <w:lang w:val="en-US" w:bidi="en-US"/>
              </w:rPr>
              <w:t>●</w:t>
            </w:r>
            <w:r w:rsidRPr="005E6B67">
              <w:rPr>
                <w:i/>
                <w:sz w:val="18"/>
                <w:szCs w:val="18"/>
                <w:lang w:val="en-US" w:bidi="en-US"/>
              </w:rPr>
              <w:tab/>
            </w:r>
            <w:r w:rsidRPr="00C46826">
              <w:rPr>
                <w:i/>
                <w:sz w:val="22"/>
                <w:szCs w:val="22"/>
                <w:lang w:val="en-US" w:eastAsia="en-US" w:bidi="en-US"/>
              </w:rPr>
              <w:t>Table 5 is to be used where the person has a permanent condition resulting in functional impairment due to a mental health condition (including recurring episodes of mental health impairment).</w:t>
            </w:r>
          </w:p>
          <w:p w:rsidR="001B65E5" w:rsidRDefault="001B65E5" w:rsidP="00586DBE">
            <w:pPr>
              <w:tabs>
                <w:tab w:val="left" w:pos="423"/>
              </w:tabs>
              <w:spacing w:before="120" w:after="120" w:line="240" w:lineRule="auto"/>
              <w:ind w:left="423" w:hanging="322"/>
              <w:jc w:val="left"/>
              <w:rPr>
                <w:i/>
                <w:sz w:val="22"/>
                <w:szCs w:val="22"/>
                <w:lang w:val="en-US" w:eastAsia="en-US" w:bidi="en-US"/>
              </w:rPr>
            </w:pPr>
            <w:r w:rsidRPr="005E6B67">
              <w:rPr>
                <w:i/>
                <w:sz w:val="18"/>
                <w:szCs w:val="18"/>
                <w:lang w:val="en-US" w:bidi="en-US"/>
              </w:rPr>
              <w:t>●</w:t>
            </w:r>
            <w:r w:rsidRPr="005E6B67">
              <w:rPr>
                <w:i/>
                <w:sz w:val="18"/>
                <w:szCs w:val="18"/>
                <w:lang w:val="en-US" w:bidi="en-US"/>
              </w:rPr>
              <w:tab/>
            </w:r>
            <w:r w:rsidRPr="00C46826">
              <w:rPr>
                <w:i/>
                <w:sz w:val="22"/>
                <w:szCs w:val="22"/>
                <w:lang w:val="en-US" w:eastAsia="en-US" w:bidi="en-US"/>
              </w:rPr>
              <w:t>The diagnosis of the condition must be made by an appropriately qualified medical practitioner (this includes a psychiatrist) with evidence from a clinical psychologist (if the diagnosis has not been made by a psychiatrist).</w:t>
            </w:r>
          </w:p>
          <w:p w:rsidR="001B65E5" w:rsidRDefault="001B65E5" w:rsidP="00586DBE">
            <w:pPr>
              <w:tabs>
                <w:tab w:val="left" w:pos="423"/>
              </w:tabs>
              <w:spacing w:before="120" w:after="120" w:line="240" w:lineRule="auto"/>
              <w:ind w:left="423" w:hanging="322"/>
              <w:jc w:val="left"/>
              <w:rPr>
                <w:i/>
                <w:sz w:val="22"/>
                <w:szCs w:val="22"/>
                <w:lang w:val="en-US" w:eastAsia="en-US" w:bidi="en-US"/>
              </w:rPr>
            </w:pPr>
            <w:r w:rsidRPr="005E6B67">
              <w:rPr>
                <w:i/>
                <w:sz w:val="18"/>
                <w:szCs w:val="18"/>
                <w:lang w:val="en-US" w:bidi="en-US"/>
              </w:rPr>
              <w:t>●</w:t>
            </w:r>
            <w:r w:rsidRPr="005E6B67">
              <w:rPr>
                <w:i/>
                <w:sz w:val="18"/>
                <w:szCs w:val="18"/>
                <w:lang w:val="en-US" w:bidi="en-US"/>
              </w:rPr>
              <w:tab/>
            </w:r>
            <w:r w:rsidRPr="00C46826">
              <w:rPr>
                <w:i/>
                <w:sz w:val="22"/>
                <w:szCs w:val="22"/>
                <w:lang w:val="en-US" w:eastAsia="en-US" w:bidi="en-US"/>
              </w:rPr>
              <w:t>Self-report of symptoms alone is insufficient.</w:t>
            </w:r>
          </w:p>
          <w:p w:rsidR="001B65E5" w:rsidRDefault="001B65E5" w:rsidP="00586DBE">
            <w:pPr>
              <w:tabs>
                <w:tab w:val="left" w:pos="423"/>
              </w:tabs>
              <w:spacing w:before="120" w:after="120" w:line="240" w:lineRule="auto"/>
              <w:ind w:left="423" w:hanging="322"/>
              <w:jc w:val="left"/>
              <w:rPr>
                <w:i/>
                <w:sz w:val="22"/>
                <w:szCs w:val="22"/>
                <w:lang w:val="en-US" w:eastAsia="en-US" w:bidi="en-US"/>
              </w:rPr>
            </w:pPr>
            <w:r w:rsidRPr="005E6B67">
              <w:rPr>
                <w:i/>
                <w:sz w:val="18"/>
                <w:szCs w:val="18"/>
                <w:lang w:val="en-US" w:bidi="en-US"/>
              </w:rPr>
              <w:t>●</w:t>
            </w:r>
            <w:r w:rsidRPr="005E6B67">
              <w:rPr>
                <w:i/>
                <w:sz w:val="18"/>
                <w:szCs w:val="18"/>
                <w:lang w:val="en-US" w:bidi="en-US"/>
              </w:rPr>
              <w:tab/>
            </w:r>
            <w:r w:rsidRPr="00C46826">
              <w:rPr>
                <w:i/>
                <w:sz w:val="22"/>
                <w:szCs w:val="22"/>
                <w:lang w:val="en-US" w:eastAsia="en-US" w:bidi="en-US"/>
              </w:rPr>
              <w:t>There must be corroborating evidence of the person’s impairment.</w:t>
            </w:r>
          </w:p>
          <w:p w:rsidR="001B65E5" w:rsidRPr="00C46826" w:rsidRDefault="001B65E5" w:rsidP="00586DBE">
            <w:pPr>
              <w:tabs>
                <w:tab w:val="left" w:pos="423"/>
              </w:tabs>
              <w:spacing w:before="120" w:after="120" w:line="240" w:lineRule="auto"/>
              <w:ind w:left="423" w:hanging="322"/>
              <w:jc w:val="left"/>
              <w:rPr>
                <w:i/>
                <w:sz w:val="22"/>
                <w:szCs w:val="22"/>
                <w:lang w:val="en-US" w:eastAsia="en-US" w:bidi="en-US"/>
              </w:rPr>
            </w:pPr>
            <w:r w:rsidRPr="005E6B67">
              <w:rPr>
                <w:i/>
                <w:sz w:val="18"/>
                <w:szCs w:val="18"/>
                <w:lang w:val="en-US" w:bidi="en-US"/>
              </w:rPr>
              <w:t>●</w:t>
            </w:r>
            <w:r w:rsidRPr="005E6B67">
              <w:rPr>
                <w:i/>
                <w:sz w:val="18"/>
                <w:szCs w:val="18"/>
                <w:lang w:val="en-US" w:bidi="en-US"/>
              </w:rPr>
              <w:tab/>
            </w:r>
            <w:r w:rsidRPr="00C46826">
              <w:rPr>
                <w:i/>
                <w:sz w:val="22"/>
                <w:szCs w:val="22"/>
                <w:lang w:val="en-US" w:eastAsia="en-US" w:bidi="en-US"/>
              </w:rPr>
              <w:t>Examples of corroborating evidence for the purposes of this Table include, but are not limited to, the following:</w:t>
            </w:r>
          </w:p>
          <w:p w:rsidR="001B65E5" w:rsidRPr="00C46826" w:rsidRDefault="001B65E5" w:rsidP="00586DBE">
            <w:pPr>
              <w:numPr>
                <w:ilvl w:val="0"/>
                <w:numId w:val="10"/>
              </w:numPr>
              <w:spacing w:before="0" w:after="120" w:line="240" w:lineRule="auto"/>
              <w:ind w:hanging="261"/>
              <w:jc w:val="left"/>
              <w:rPr>
                <w:i/>
                <w:sz w:val="22"/>
                <w:szCs w:val="22"/>
                <w:lang w:val="en-US" w:eastAsia="en-US" w:bidi="en-US"/>
              </w:rPr>
            </w:pPr>
            <w:r w:rsidRPr="00C46826">
              <w:rPr>
                <w:i/>
                <w:sz w:val="22"/>
                <w:szCs w:val="22"/>
                <w:lang w:val="en-US" w:eastAsia="en-US" w:bidi="en-US"/>
              </w:rPr>
              <w:t>a report from the person’s treating doctor;</w:t>
            </w:r>
          </w:p>
          <w:p w:rsidR="001B65E5" w:rsidRPr="00C46826" w:rsidRDefault="001B65E5" w:rsidP="00586DBE">
            <w:pPr>
              <w:numPr>
                <w:ilvl w:val="0"/>
                <w:numId w:val="10"/>
              </w:numPr>
              <w:spacing w:before="0" w:after="120" w:line="240" w:lineRule="auto"/>
              <w:ind w:hanging="261"/>
              <w:jc w:val="left"/>
              <w:rPr>
                <w:i/>
                <w:sz w:val="22"/>
                <w:szCs w:val="22"/>
                <w:lang w:val="en-US" w:eastAsia="en-US" w:bidi="en-US"/>
              </w:rPr>
            </w:pPr>
            <w:r w:rsidRPr="00C46826">
              <w:rPr>
                <w:i/>
                <w:sz w:val="22"/>
                <w:szCs w:val="22"/>
                <w:lang w:val="en-US" w:eastAsia="en-US" w:bidi="en-US"/>
              </w:rPr>
              <w:t>supporting letters, reports or assessments relating to the person’s mental health or psychiatric illness;</w:t>
            </w:r>
          </w:p>
          <w:p w:rsidR="001B65E5" w:rsidRPr="00C46826" w:rsidRDefault="001B65E5" w:rsidP="00586DBE">
            <w:pPr>
              <w:numPr>
                <w:ilvl w:val="0"/>
                <w:numId w:val="10"/>
              </w:numPr>
              <w:spacing w:before="0" w:after="120" w:line="240" w:lineRule="auto"/>
              <w:ind w:hanging="261"/>
              <w:jc w:val="left"/>
              <w:rPr>
                <w:i/>
                <w:sz w:val="22"/>
                <w:szCs w:val="22"/>
                <w:lang w:val="en-US" w:eastAsia="en-US" w:bidi="en-US"/>
              </w:rPr>
            </w:pPr>
            <w:r w:rsidRPr="00C46826">
              <w:rPr>
                <w:i/>
                <w:sz w:val="22"/>
                <w:szCs w:val="22"/>
                <w:lang w:val="en-US" w:eastAsia="en-US" w:bidi="en-US"/>
              </w:rPr>
              <w:t>interviews with the person and those providing care or support to the person.</w:t>
            </w:r>
          </w:p>
          <w:p w:rsidR="001B65E5" w:rsidRDefault="001B65E5" w:rsidP="00586DBE">
            <w:pPr>
              <w:tabs>
                <w:tab w:val="left" w:pos="413"/>
              </w:tabs>
              <w:spacing w:before="0" w:after="120" w:line="240" w:lineRule="auto"/>
              <w:ind w:left="413" w:hanging="237"/>
              <w:jc w:val="left"/>
              <w:rPr>
                <w:i/>
                <w:sz w:val="22"/>
                <w:szCs w:val="22"/>
                <w:lang w:val="en-US" w:eastAsia="en-US" w:bidi="en-US"/>
              </w:rPr>
            </w:pPr>
            <w:r w:rsidRPr="005E6B67">
              <w:rPr>
                <w:i/>
                <w:sz w:val="18"/>
                <w:szCs w:val="18"/>
                <w:lang w:val="en-US" w:bidi="en-US"/>
              </w:rPr>
              <w:t>●</w:t>
            </w:r>
            <w:r w:rsidRPr="005E6B67">
              <w:rPr>
                <w:i/>
                <w:sz w:val="18"/>
                <w:szCs w:val="18"/>
                <w:lang w:val="en-US" w:bidi="en-US"/>
              </w:rPr>
              <w:tab/>
            </w:r>
            <w:r w:rsidRPr="00C46826">
              <w:rPr>
                <w:i/>
                <w:sz w:val="22"/>
                <w:szCs w:val="22"/>
                <w:lang w:val="en-US" w:eastAsia="en-US" w:bidi="en-US"/>
              </w:rPr>
              <w:t>In using Table 5 evidence from a range of sources should be considered in determining which rating applies to the person being assessed.</w:t>
            </w:r>
          </w:p>
          <w:p w:rsidR="001B65E5" w:rsidRDefault="001B65E5" w:rsidP="00586DBE">
            <w:pPr>
              <w:tabs>
                <w:tab w:val="left" w:pos="413"/>
              </w:tabs>
              <w:spacing w:before="0" w:after="120" w:line="240" w:lineRule="auto"/>
              <w:ind w:left="413" w:hanging="237"/>
              <w:jc w:val="left"/>
              <w:rPr>
                <w:i/>
                <w:sz w:val="22"/>
                <w:szCs w:val="22"/>
                <w:lang w:val="en-US" w:eastAsia="en-US" w:bidi="en-US"/>
              </w:rPr>
            </w:pPr>
            <w:r w:rsidRPr="005E6B67">
              <w:rPr>
                <w:i/>
                <w:sz w:val="18"/>
                <w:szCs w:val="18"/>
                <w:lang w:val="en-US" w:bidi="en-US"/>
              </w:rPr>
              <w:t>●</w:t>
            </w:r>
            <w:r w:rsidRPr="005E6B67">
              <w:rPr>
                <w:i/>
                <w:sz w:val="18"/>
                <w:szCs w:val="18"/>
                <w:lang w:val="en-US" w:bidi="en-US"/>
              </w:rPr>
              <w:tab/>
            </w:r>
            <w:r w:rsidRPr="00C46826">
              <w:rPr>
                <w:i/>
                <w:sz w:val="22"/>
                <w:szCs w:val="22"/>
                <w:lang w:val="en-US" w:eastAsia="en-US" w:bidi="en-US"/>
              </w:rPr>
              <w:t>The person may not have good self-awareness of their mental health impairment or may not be able to accurately describe its effects.  This is to be kept in mind when discussing issues with the person and reading supporting evidence.</w:t>
            </w:r>
          </w:p>
          <w:p w:rsidR="001B65E5" w:rsidRDefault="001B65E5" w:rsidP="00586DBE">
            <w:pPr>
              <w:tabs>
                <w:tab w:val="left" w:pos="413"/>
              </w:tabs>
              <w:spacing w:before="0" w:after="120" w:line="240" w:lineRule="auto"/>
              <w:ind w:left="413" w:hanging="237"/>
              <w:jc w:val="left"/>
              <w:rPr>
                <w:i/>
                <w:sz w:val="22"/>
                <w:szCs w:val="22"/>
                <w:lang w:val="en-US" w:eastAsia="en-US" w:bidi="en-US"/>
              </w:rPr>
            </w:pPr>
            <w:r w:rsidRPr="005E6B67">
              <w:rPr>
                <w:i/>
                <w:sz w:val="18"/>
                <w:szCs w:val="18"/>
                <w:lang w:val="en-US" w:bidi="en-US"/>
              </w:rPr>
              <w:t>●</w:t>
            </w:r>
            <w:r w:rsidRPr="005E6B67">
              <w:rPr>
                <w:i/>
                <w:sz w:val="18"/>
                <w:szCs w:val="18"/>
                <w:lang w:val="en-US" w:bidi="en-US"/>
              </w:rPr>
              <w:tab/>
            </w:r>
            <w:r w:rsidRPr="00C46826">
              <w:rPr>
                <w:i/>
                <w:sz w:val="22"/>
                <w:szCs w:val="22"/>
                <w:lang w:val="en-US" w:eastAsia="en-US" w:bidi="en-US"/>
              </w:rPr>
              <w:t>The signs and symptoms of mental health impairment may vary over time.  The person’s presentation on the day of the assessment should not solely be relied upon.</w:t>
            </w:r>
          </w:p>
          <w:p w:rsidR="001B65E5" w:rsidRPr="00B56BFC" w:rsidRDefault="001B65E5" w:rsidP="00586DBE">
            <w:pPr>
              <w:tabs>
                <w:tab w:val="left" w:pos="413"/>
              </w:tabs>
              <w:spacing w:before="0" w:after="120" w:line="240" w:lineRule="auto"/>
              <w:ind w:left="413" w:hanging="237"/>
              <w:jc w:val="left"/>
              <w:rPr>
                <w:rFonts w:ascii="Arial" w:hAnsi="Arial" w:cs="Arial"/>
                <w:szCs w:val="24"/>
                <w:lang w:val="en-US" w:eastAsia="en-US" w:bidi="en-US"/>
              </w:rPr>
            </w:pPr>
            <w:r w:rsidRPr="005E6B67">
              <w:rPr>
                <w:i/>
                <w:sz w:val="18"/>
                <w:szCs w:val="18"/>
                <w:lang w:val="en-US" w:bidi="en-US"/>
              </w:rPr>
              <w:t>●</w:t>
            </w:r>
            <w:r w:rsidRPr="005E6B67">
              <w:rPr>
                <w:i/>
                <w:sz w:val="18"/>
                <w:szCs w:val="18"/>
                <w:lang w:val="en-US" w:bidi="en-US"/>
              </w:rPr>
              <w:tab/>
            </w:r>
            <w:r w:rsidRPr="00C46826">
              <w:rPr>
                <w:i/>
                <w:sz w:val="22"/>
                <w:szCs w:val="22"/>
                <w:lang w:val="en-US" w:eastAsia="en-US" w:bidi="en-US"/>
              </w:rPr>
              <w:t>For mental health conditions that are episodic or fluctuate, the rating that best reflects the person’s overall functional ability must be applied, taking into account the severity, duration and frequency of the episodes or fluctuations as appropriate.</w:t>
            </w:r>
          </w:p>
        </w:tc>
      </w:tr>
    </w:tbl>
    <w:p w:rsidR="001B65E5" w:rsidRDefault="001B65E5" w:rsidP="00832285">
      <w:pPr>
        <w:pStyle w:val="ListNumber"/>
      </w:pPr>
      <w:r>
        <w:rPr>
          <w:lang w:eastAsia="en-AU"/>
        </w:rPr>
        <w:t>Therefore it is important for us to have regard to the qualifications of those treating and assessing Mr Sidwell.</w:t>
      </w:r>
    </w:p>
    <w:p w:rsidR="0028386A" w:rsidRPr="00BB4169" w:rsidRDefault="0028386A" w:rsidP="0028386A">
      <w:pPr>
        <w:pStyle w:val="Hearing4KB"/>
      </w:pPr>
      <w:r>
        <w:t>Has the condition been fully diagnosed, treated and stabilised?</w:t>
      </w:r>
    </w:p>
    <w:p w:rsidR="00A02B91" w:rsidRPr="0028386A" w:rsidRDefault="0053583A" w:rsidP="0028386A">
      <w:pPr>
        <w:pStyle w:val="Heading5KB"/>
      </w:pPr>
      <w:r w:rsidRPr="0028386A">
        <w:t>Evidence at f</w:t>
      </w:r>
      <w:r w:rsidR="00EA43D9" w:rsidRPr="0028386A">
        <w:t>irst hearing</w:t>
      </w:r>
    </w:p>
    <w:p w:rsidR="00A02B91" w:rsidRDefault="00863362" w:rsidP="00A02B91">
      <w:pPr>
        <w:pStyle w:val="ListNumber"/>
        <w:rPr>
          <w:lang w:eastAsia="en-AU"/>
        </w:rPr>
      </w:pPr>
      <w:r>
        <w:rPr>
          <w:lang w:eastAsia="en-AU"/>
        </w:rPr>
        <w:t>Mr</w:t>
      </w:r>
      <w:r w:rsidR="00E244DB">
        <w:rPr>
          <w:lang w:eastAsia="en-AU"/>
        </w:rPr>
        <w:t> </w:t>
      </w:r>
      <w:r>
        <w:rPr>
          <w:lang w:eastAsia="en-AU"/>
        </w:rPr>
        <w:t>Sidwell</w:t>
      </w:r>
      <w:r w:rsidR="00A02B91">
        <w:rPr>
          <w:lang w:eastAsia="en-AU"/>
        </w:rPr>
        <w:t xml:space="preserve"> </w:t>
      </w:r>
      <w:r w:rsidR="009F1D18">
        <w:rPr>
          <w:lang w:eastAsia="en-AU"/>
        </w:rPr>
        <w:t xml:space="preserve">also </w:t>
      </w:r>
      <w:r w:rsidR="00A02B91">
        <w:rPr>
          <w:lang w:eastAsia="en-AU"/>
        </w:rPr>
        <w:t xml:space="preserve">gave </w:t>
      </w:r>
      <w:r w:rsidR="0076243B">
        <w:rPr>
          <w:lang w:eastAsia="en-AU"/>
        </w:rPr>
        <w:t xml:space="preserve">oral </w:t>
      </w:r>
      <w:r w:rsidR="00A02B91">
        <w:rPr>
          <w:lang w:eastAsia="en-AU"/>
        </w:rPr>
        <w:t>evidence about</w:t>
      </w:r>
      <w:r w:rsidR="0076243B">
        <w:rPr>
          <w:lang w:eastAsia="en-AU"/>
        </w:rPr>
        <w:t xml:space="preserve"> his</w:t>
      </w:r>
      <w:r w:rsidR="00A02B91">
        <w:rPr>
          <w:lang w:eastAsia="en-AU"/>
        </w:rPr>
        <w:t xml:space="preserve"> depression, which he has suffered intermittently since 2005. At that time, </w:t>
      </w:r>
      <w:r w:rsidR="008334CB">
        <w:rPr>
          <w:lang w:eastAsia="en-AU"/>
        </w:rPr>
        <w:t>the depression</w:t>
      </w:r>
      <w:r w:rsidR="00A02B91">
        <w:rPr>
          <w:lang w:eastAsia="en-AU"/>
        </w:rPr>
        <w:t xml:space="preserve"> was associated wit</w:t>
      </w:r>
      <w:r w:rsidR="008334CB">
        <w:rPr>
          <w:lang w:eastAsia="en-AU"/>
        </w:rPr>
        <w:t>h matrimonial difficulties. His</w:t>
      </w:r>
      <w:r w:rsidR="00A02B91">
        <w:rPr>
          <w:lang w:eastAsia="en-AU"/>
        </w:rPr>
        <w:t xml:space="preserve"> marriage broke down in 2009 and a </w:t>
      </w:r>
      <w:r w:rsidR="00101356">
        <w:rPr>
          <w:lang w:eastAsia="en-AU"/>
        </w:rPr>
        <w:t>dissolution of</w:t>
      </w:r>
      <w:r w:rsidR="00A02B91">
        <w:rPr>
          <w:lang w:eastAsia="en-AU"/>
        </w:rPr>
        <w:t xml:space="preserve"> marriage followed. Since 2009, </w:t>
      </w:r>
      <w:r>
        <w:rPr>
          <w:lang w:eastAsia="en-AU"/>
        </w:rPr>
        <w:t>Mr</w:t>
      </w:r>
      <w:r w:rsidR="00E244DB">
        <w:rPr>
          <w:lang w:eastAsia="en-AU"/>
        </w:rPr>
        <w:t> </w:t>
      </w:r>
      <w:r>
        <w:rPr>
          <w:lang w:eastAsia="en-AU"/>
        </w:rPr>
        <w:t>Sidwell</w:t>
      </w:r>
      <w:r w:rsidR="008334CB">
        <w:rPr>
          <w:lang w:eastAsia="en-AU"/>
        </w:rPr>
        <w:t xml:space="preserve"> has </w:t>
      </w:r>
      <w:r w:rsidR="00EC4936">
        <w:rPr>
          <w:lang w:eastAsia="en-AU"/>
        </w:rPr>
        <w:t xml:space="preserve">suffered sporadic bouts </w:t>
      </w:r>
      <w:r w:rsidR="00160706">
        <w:rPr>
          <w:lang w:eastAsia="en-AU"/>
        </w:rPr>
        <w:t xml:space="preserve">of depression. </w:t>
      </w:r>
      <w:r w:rsidR="00EC4936">
        <w:rPr>
          <w:lang w:eastAsia="en-AU"/>
        </w:rPr>
        <w:t>In</w:t>
      </w:r>
      <w:r w:rsidR="00CA7E60">
        <w:rPr>
          <w:lang w:eastAsia="en-AU"/>
        </w:rPr>
        <w:t xml:space="preserve"> evidence he said that </w:t>
      </w:r>
      <w:r w:rsidR="00A02B91">
        <w:rPr>
          <w:lang w:eastAsia="en-AU"/>
        </w:rPr>
        <w:t>he feels down and depressed frequently.</w:t>
      </w:r>
      <w:r w:rsidR="00E244DB">
        <w:rPr>
          <w:lang w:eastAsia="en-AU"/>
        </w:rPr>
        <w:t xml:space="preserve"> </w:t>
      </w:r>
      <w:r w:rsidR="005F1766">
        <w:rPr>
          <w:lang w:eastAsia="en-AU"/>
        </w:rPr>
        <w:t>He tries to cope as best he can.</w:t>
      </w:r>
      <w:r w:rsidR="00A02B91">
        <w:rPr>
          <w:lang w:eastAsia="en-AU"/>
        </w:rPr>
        <w:t xml:space="preserve"> </w:t>
      </w:r>
      <w:r w:rsidR="00101356">
        <w:rPr>
          <w:lang w:eastAsia="en-AU"/>
        </w:rPr>
        <w:t>He consulted</w:t>
      </w:r>
      <w:r w:rsidR="00A02B91">
        <w:rPr>
          <w:lang w:eastAsia="en-AU"/>
        </w:rPr>
        <w:t xml:space="preserve"> a </w:t>
      </w:r>
      <w:r w:rsidR="00A74DC9">
        <w:rPr>
          <w:lang w:eastAsia="en-AU"/>
        </w:rPr>
        <w:t xml:space="preserve">clinical </w:t>
      </w:r>
      <w:r w:rsidR="00A02B91">
        <w:rPr>
          <w:lang w:eastAsia="en-AU"/>
        </w:rPr>
        <w:t>psychologist, Mr De Blasio, on several occasions in 2011. His general medical practitioner, Dr Afari</w:t>
      </w:r>
      <w:r w:rsidR="00101356">
        <w:rPr>
          <w:lang w:eastAsia="en-AU"/>
        </w:rPr>
        <w:t>, monitored</w:t>
      </w:r>
      <w:r w:rsidR="00A02B91">
        <w:rPr>
          <w:lang w:eastAsia="en-AU"/>
        </w:rPr>
        <w:t xml:space="preserve"> his psychological condition and treatment included prescription of sleeping tablets.</w:t>
      </w:r>
    </w:p>
    <w:p w:rsidR="00A02B91" w:rsidRDefault="00863362" w:rsidP="00A02B91">
      <w:pPr>
        <w:pStyle w:val="ListNumber"/>
        <w:rPr>
          <w:lang w:eastAsia="en-AU"/>
        </w:rPr>
      </w:pPr>
      <w:r>
        <w:rPr>
          <w:lang w:eastAsia="en-AU"/>
        </w:rPr>
        <w:t>Mr</w:t>
      </w:r>
      <w:r w:rsidR="00E244DB">
        <w:rPr>
          <w:lang w:eastAsia="en-AU"/>
        </w:rPr>
        <w:t> </w:t>
      </w:r>
      <w:r>
        <w:rPr>
          <w:lang w:eastAsia="en-AU"/>
        </w:rPr>
        <w:t>Sidwell</w:t>
      </w:r>
      <w:r w:rsidR="00A02B91">
        <w:rPr>
          <w:lang w:eastAsia="en-AU"/>
        </w:rPr>
        <w:t xml:space="preserve">’s initial referral to the </w:t>
      </w:r>
      <w:r w:rsidR="00EC4936">
        <w:rPr>
          <w:lang w:eastAsia="en-AU"/>
        </w:rPr>
        <w:t xml:space="preserve">clinical </w:t>
      </w:r>
      <w:r w:rsidR="00A02B91">
        <w:rPr>
          <w:lang w:eastAsia="en-AU"/>
        </w:rPr>
        <w:t xml:space="preserve">psychologist Mr De Blasio occurred on 9 March 2011. </w:t>
      </w:r>
      <w:r w:rsidR="00101356">
        <w:rPr>
          <w:lang w:eastAsia="en-AU"/>
        </w:rPr>
        <w:t>The stated</w:t>
      </w:r>
      <w:r w:rsidR="00CA7E60">
        <w:rPr>
          <w:lang w:eastAsia="en-AU"/>
        </w:rPr>
        <w:t xml:space="preserve"> </w:t>
      </w:r>
      <w:r w:rsidR="00A02B91">
        <w:rPr>
          <w:lang w:eastAsia="en-AU"/>
        </w:rPr>
        <w:t xml:space="preserve">problems were chronic pain, which worsened during cold weather, difficulty with going to sleep and </w:t>
      </w:r>
      <w:r w:rsidR="00090B8A">
        <w:rPr>
          <w:lang w:eastAsia="en-AU"/>
        </w:rPr>
        <w:t xml:space="preserve">dealing with </w:t>
      </w:r>
      <w:r w:rsidR="00A02B91">
        <w:rPr>
          <w:lang w:eastAsia="en-AU"/>
        </w:rPr>
        <w:t xml:space="preserve">significant </w:t>
      </w:r>
      <w:r w:rsidR="00CA7E60">
        <w:rPr>
          <w:lang w:eastAsia="en-AU"/>
        </w:rPr>
        <w:t>problems</w:t>
      </w:r>
      <w:r w:rsidR="00A02B91">
        <w:rPr>
          <w:lang w:eastAsia="en-AU"/>
        </w:rPr>
        <w:t xml:space="preserve"> concerning his teena</w:t>
      </w:r>
      <w:r w:rsidR="00EC4936">
        <w:rPr>
          <w:lang w:eastAsia="en-AU"/>
        </w:rPr>
        <w:t xml:space="preserve">ge daughter. </w:t>
      </w:r>
      <w:r w:rsidR="006D5607">
        <w:rPr>
          <w:lang w:eastAsia="en-AU"/>
        </w:rPr>
        <w:t>I</w:t>
      </w:r>
      <w:r w:rsidR="00A02B91">
        <w:rPr>
          <w:lang w:eastAsia="en-AU"/>
        </w:rPr>
        <w:t>n a report dated 5 June 2011</w:t>
      </w:r>
      <w:r w:rsidR="006D5607">
        <w:rPr>
          <w:lang w:eastAsia="en-AU"/>
        </w:rPr>
        <w:t>,</w:t>
      </w:r>
      <w:r w:rsidR="006D5607" w:rsidRPr="006D5607">
        <w:rPr>
          <w:lang w:eastAsia="en-AU"/>
        </w:rPr>
        <w:t xml:space="preserve"> </w:t>
      </w:r>
      <w:r w:rsidR="006D5607">
        <w:rPr>
          <w:lang w:eastAsia="en-AU"/>
        </w:rPr>
        <w:t>Mr De Blasio wrote</w:t>
      </w:r>
      <w:r w:rsidR="00A02B91">
        <w:rPr>
          <w:lang w:eastAsia="en-AU"/>
        </w:rPr>
        <w:t xml:space="preserve"> that </w:t>
      </w:r>
      <w:r>
        <w:rPr>
          <w:lang w:eastAsia="en-AU"/>
        </w:rPr>
        <w:t>Mr</w:t>
      </w:r>
      <w:r w:rsidR="00E244DB">
        <w:rPr>
          <w:lang w:eastAsia="en-AU"/>
        </w:rPr>
        <w:t> </w:t>
      </w:r>
      <w:r>
        <w:rPr>
          <w:lang w:eastAsia="en-AU"/>
        </w:rPr>
        <w:t>Sidwell</w:t>
      </w:r>
      <w:r w:rsidR="00A02B91">
        <w:rPr>
          <w:lang w:eastAsia="en-AU"/>
        </w:rPr>
        <w:t xml:space="preserve"> </w:t>
      </w:r>
      <w:r w:rsidR="00A02B91">
        <w:rPr>
          <w:i/>
          <w:lang w:eastAsia="en-AU"/>
        </w:rPr>
        <w:t xml:space="preserve">“seems to get some benefit from supportive </w:t>
      </w:r>
      <w:r w:rsidR="007F784F">
        <w:rPr>
          <w:i/>
          <w:lang w:eastAsia="en-AU"/>
        </w:rPr>
        <w:t xml:space="preserve">counseling </w:t>
      </w:r>
      <w:r w:rsidR="00D904AB" w:rsidRPr="00D904AB">
        <w:rPr>
          <w:lang w:eastAsia="en-AU"/>
        </w:rPr>
        <w:t>[sic]</w:t>
      </w:r>
      <w:r w:rsidR="00E925BB">
        <w:rPr>
          <w:i/>
          <w:lang w:eastAsia="en-AU"/>
        </w:rPr>
        <w:t xml:space="preserve"> </w:t>
      </w:r>
      <w:r w:rsidR="00A02B91">
        <w:rPr>
          <w:i/>
          <w:lang w:eastAsia="en-AU"/>
        </w:rPr>
        <w:t>but limited responses to cognitive behavioural therapy.”</w:t>
      </w:r>
      <w:r w:rsidR="00A02B91" w:rsidRPr="00E925BB">
        <w:rPr>
          <w:rStyle w:val="FootnoteReference"/>
          <w:lang w:eastAsia="en-AU"/>
        </w:rPr>
        <w:footnoteReference w:id="12"/>
      </w:r>
      <w:r w:rsidR="00650FEE">
        <w:rPr>
          <w:i/>
          <w:lang w:eastAsia="en-AU"/>
        </w:rPr>
        <w:t xml:space="preserve"> </w:t>
      </w:r>
      <w:r w:rsidR="00650FEE">
        <w:rPr>
          <w:lang w:eastAsia="en-AU"/>
        </w:rPr>
        <w:t>Six consultations followed with Mr De</w:t>
      </w:r>
      <w:r w:rsidR="00832285">
        <w:rPr>
          <w:lang w:eastAsia="en-AU"/>
        </w:rPr>
        <w:t> </w:t>
      </w:r>
      <w:r w:rsidR="00650FEE">
        <w:rPr>
          <w:lang w:eastAsia="en-AU"/>
        </w:rPr>
        <w:t>Blasio</w:t>
      </w:r>
      <w:r w:rsidR="00090B8A">
        <w:rPr>
          <w:lang w:eastAsia="en-AU"/>
        </w:rPr>
        <w:t>, concluding</w:t>
      </w:r>
      <w:r w:rsidR="00650FEE">
        <w:rPr>
          <w:lang w:eastAsia="en-AU"/>
        </w:rPr>
        <w:t xml:space="preserve"> on 21 February 2012. At that time </w:t>
      </w:r>
      <w:r>
        <w:rPr>
          <w:lang w:eastAsia="en-AU"/>
        </w:rPr>
        <w:t>Mr</w:t>
      </w:r>
      <w:r w:rsidR="00E244DB">
        <w:rPr>
          <w:lang w:eastAsia="en-AU"/>
        </w:rPr>
        <w:t> </w:t>
      </w:r>
      <w:r>
        <w:rPr>
          <w:lang w:eastAsia="en-AU"/>
        </w:rPr>
        <w:t>Sidwell</w:t>
      </w:r>
      <w:r w:rsidR="0054362C">
        <w:rPr>
          <w:lang w:eastAsia="en-AU"/>
        </w:rPr>
        <w:t xml:space="preserve"> told</w:t>
      </w:r>
      <w:r w:rsidR="00650FEE">
        <w:rPr>
          <w:lang w:eastAsia="en-AU"/>
        </w:rPr>
        <w:t xml:space="preserve"> Mr De</w:t>
      </w:r>
      <w:r w:rsidR="00832285">
        <w:rPr>
          <w:lang w:eastAsia="en-AU"/>
        </w:rPr>
        <w:t> </w:t>
      </w:r>
      <w:r w:rsidR="00650FEE">
        <w:rPr>
          <w:lang w:eastAsia="en-AU"/>
        </w:rPr>
        <w:t>Blasio that he was feeling helpless and hopeless</w:t>
      </w:r>
      <w:r w:rsidR="009F7867">
        <w:rPr>
          <w:lang w:eastAsia="en-AU"/>
        </w:rPr>
        <w:t xml:space="preserve"> some of the time</w:t>
      </w:r>
      <w:r w:rsidR="00650FEE">
        <w:rPr>
          <w:lang w:eastAsia="en-AU"/>
        </w:rPr>
        <w:t>, his experience with pain was terrible and he was having physical difficulties, psychological problems and was under financial stress.</w:t>
      </w:r>
    </w:p>
    <w:p w:rsidR="009A57E7" w:rsidRDefault="00863362" w:rsidP="00A02B91">
      <w:pPr>
        <w:pStyle w:val="ListNumber"/>
        <w:rPr>
          <w:lang w:eastAsia="en-AU"/>
        </w:rPr>
      </w:pPr>
      <w:r>
        <w:rPr>
          <w:lang w:eastAsia="en-AU"/>
        </w:rPr>
        <w:t>Mr</w:t>
      </w:r>
      <w:r w:rsidR="00E244DB">
        <w:rPr>
          <w:lang w:eastAsia="en-AU"/>
        </w:rPr>
        <w:t> </w:t>
      </w:r>
      <w:r>
        <w:rPr>
          <w:lang w:eastAsia="en-AU"/>
        </w:rPr>
        <w:t>Sidwell</w:t>
      </w:r>
      <w:r w:rsidR="00650FEE">
        <w:rPr>
          <w:lang w:eastAsia="en-AU"/>
        </w:rPr>
        <w:t xml:space="preserve"> did </w:t>
      </w:r>
      <w:r w:rsidR="00101356">
        <w:rPr>
          <w:lang w:eastAsia="en-AU"/>
        </w:rPr>
        <w:t>not seek</w:t>
      </w:r>
      <w:r w:rsidR="00CA7E60">
        <w:rPr>
          <w:lang w:eastAsia="en-AU"/>
        </w:rPr>
        <w:t xml:space="preserve"> further </w:t>
      </w:r>
      <w:r w:rsidR="00650FEE">
        <w:rPr>
          <w:lang w:eastAsia="en-AU"/>
        </w:rPr>
        <w:t>treatmen</w:t>
      </w:r>
      <w:r w:rsidR="001A2A7F">
        <w:rPr>
          <w:lang w:eastAsia="en-AU"/>
        </w:rPr>
        <w:t xml:space="preserve">t from Mr De </w:t>
      </w:r>
      <w:r w:rsidR="0081315F">
        <w:rPr>
          <w:lang w:eastAsia="en-AU"/>
        </w:rPr>
        <w:t xml:space="preserve">Blasio. </w:t>
      </w:r>
      <w:r w:rsidR="00EC4936">
        <w:rPr>
          <w:lang w:eastAsia="en-AU"/>
        </w:rPr>
        <w:t>However,</w:t>
      </w:r>
      <w:r w:rsidR="009A57E7">
        <w:rPr>
          <w:lang w:eastAsia="en-AU"/>
        </w:rPr>
        <w:t xml:space="preserve"> </w:t>
      </w:r>
      <w:r w:rsidR="0081315F">
        <w:rPr>
          <w:lang w:eastAsia="en-AU"/>
        </w:rPr>
        <w:t>Dr</w:t>
      </w:r>
      <w:r w:rsidR="00650FEE">
        <w:rPr>
          <w:lang w:eastAsia="en-AU"/>
        </w:rPr>
        <w:t xml:space="preserve"> Afari </w:t>
      </w:r>
      <w:r w:rsidR="0076243B">
        <w:rPr>
          <w:lang w:eastAsia="en-AU"/>
        </w:rPr>
        <w:t xml:space="preserve">subsequently </w:t>
      </w:r>
      <w:r w:rsidR="001A2A7F">
        <w:rPr>
          <w:lang w:eastAsia="en-AU"/>
        </w:rPr>
        <w:t xml:space="preserve">referred him </w:t>
      </w:r>
      <w:r w:rsidR="00650FEE">
        <w:rPr>
          <w:lang w:eastAsia="en-AU"/>
        </w:rPr>
        <w:t>to a re</w:t>
      </w:r>
      <w:r w:rsidR="00DE357F">
        <w:rPr>
          <w:lang w:eastAsia="en-AU"/>
        </w:rPr>
        <w:t>gistered psychologist, Mr </w:t>
      </w:r>
      <w:r w:rsidR="00650FEE">
        <w:rPr>
          <w:lang w:eastAsia="en-AU"/>
        </w:rPr>
        <w:t>Rankine.</w:t>
      </w:r>
      <w:r w:rsidR="00E244DB">
        <w:rPr>
          <w:lang w:eastAsia="en-AU"/>
        </w:rPr>
        <w:t xml:space="preserve"> </w:t>
      </w:r>
      <w:r w:rsidR="00CA7E60">
        <w:rPr>
          <w:lang w:eastAsia="en-AU"/>
        </w:rPr>
        <w:t>The referral which</w:t>
      </w:r>
      <w:r w:rsidR="001A2A7F">
        <w:rPr>
          <w:lang w:eastAsia="en-AU"/>
        </w:rPr>
        <w:t xml:space="preserve"> Dr</w:t>
      </w:r>
      <w:r w:rsidR="00E244DB">
        <w:rPr>
          <w:lang w:eastAsia="en-AU"/>
        </w:rPr>
        <w:t> </w:t>
      </w:r>
      <w:r w:rsidR="001A2A7F">
        <w:rPr>
          <w:lang w:eastAsia="en-AU"/>
        </w:rPr>
        <w:t>Afari made to</w:t>
      </w:r>
      <w:r w:rsidR="00CA7E60">
        <w:rPr>
          <w:lang w:eastAsia="en-AU"/>
        </w:rPr>
        <w:t xml:space="preserve"> Mr Rankine</w:t>
      </w:r>
      <w:r w:rsidR="001A2A7F">
        <w:rPr>
          <w:lang w:eastAsia="en-AU"/>
        </w:rPr>
        <w:t xml:space="preserve"> described</w:t>
      </w:r>
      <w:r w:rsidR="00CA7E60">
        <w:rPr>
          <w:lang w:eastAsia="en-AU"/>
        </w:rPr>
        <w:t xml:space="preserve"> a condition of </w:t>
      </w:r>
      <w:r w:rsidR="00CA7E60">
        <w:rPr>
          <w:i/>
          <w:lang w:eastAsia="en-AU"/>
        </w:rPr>
        <w:t>“depression with anxiety”</w:t>
      </w:r>
      <w:r w:rsidR="00CA7E60">
        <w:rPr>
          <w:lang w:eastAsia="en-AU"/>
        </w:rPr>
        <w:t>.</w:t>
      </w:r>
      <w:r w:rsidR="00650FEE">
        <w:rPr>
          <w:lang w:eastAsia="en-AU"/>
        </w:rPr>
        <w:t xml:space="preserve"> </w:t>
      </w:r>
    </w:p>
    <w:p w:rsidR="00EC4936" w:rsidRPr="00EC4936" w:rsidRDefault="00650FEE" w:rsidP="00A02B91">
      <w:pPr>
        <w:pStyle w:val="ListNumber"/>
        <w:rPr>
          <w:lang w:eastAsia="en-AU"/>
        </w:rPr>
      </w:pPr>
      <w:r>
        <w:rPr>
          <w:lang w:eastAsia="en-AU"/>
        </w:rPr>
        <w:t xml:space="preserve">In a report dated 6 June 2012, Mr Rankine stated that he had seen </w:t>
      </w:r>
      <w:r w:rsidR="00863362">
        <w:rPr>
          <w:lang w:eastAsia="en-AU"/>
        </w:rPr>
        <w:t>Mr</w:t>
      </w:r>
      <w:r w:rsidR="00E244DB">
        <w:rPr>
          <w:lang w:eastAsia="en-AU"/>
        </w:rPr>
        <w:t> </w:t>
      </w:r>
      <w:r w:rsidR="00863362">
        <w:rPr>
          <w:lang w:eastAsia="en-AU"/>
        </w:rPr>
        <w:t>Sidwell</w:t>
      </w:r>
      <w:r>
        <w:rPr>
          <w:lang w:eastAsia="en-AU"/>
        </w:rPr>
        <w:t xml:space="preserve"> on two occasions. </w:t>
      </w:r>
      <w:r w:rsidR="00863362">
        <w:rPr>
          <w:lang w:eastAsia="en-AU"/>
        </w:rPr>
        <w:t>Mr</w:t>
      </w:r>
      <w:r w:rsidR="00E244DB">
        <w:rPr>
          <w:lang w:eastAsia="en-AU"/>
        </w:rPr>
        <w:t> </w:t>
      </w:r>
      <w:r w:rsidR="00863362">
        <w:rPr>
          <w:lang w:eastAsia="en-AU"/>
        </w:rPr>
        <w:t>Sidwell</w:t>
      </w:r>
      <w:r>
        <w:rPr>
          <w:lang w:eastAsia="en-AU"/>
        </w:rPr>
        <w:t xml:space="preserve"> had completed the DASS Mood Questionnaire, the </w:t>
      </w:r>
      <w:r w:rsidR="007F784F">
        <w:rPr>
          <w:lang w:eastAsia="en-AU"/>
        </w:rPr>
        <w:t>“</w:t>
      </w:r>
      <w:r>
        <w:rPr>
          <w:lang w:eastAsia="en-AU"/>
        </w:rPr>
        <w:t>K10</w:t>
      </w:r>
      <w:r w:rsidR="007F784F">
        <w:rPr>
          <w:lang w:eastAsia="en-AU"/>
        </w:rPr>
        <w:t>”</w:t>
      </w:r>
      <w:r w:rsidR="007F784F">
        <w:rPr>
          <w:rStyle w:val="FootnoteReference"/>
          <w:lang w:eastAsia="en-AU"/>
        </w:rPr>
        <w:footnoteReference w:id="13"/>
      </w:r>
      <w:r>
        <w:rPr>
          <w:lang w:eastAsia="en-AU"/>
        </w:rPr>
        <w:t xml:space="preserve"> and the Beck Depression Inventory</w:t>
      </w:r>
      <w:r w:rsidR="00CA7E60">
        <w:rPr>
          <w:lang w:eastAsia="en-AU"/>
        </w:rPr>
        <w:t xml:space="preserve"> for Mr</w:t>
      </w:r>
      <w:r w:rsidR="00E244DB">
        <w:rPr>
          <w:lang w:eastAsia="en-AU"/>
        </w:rPr>
        <w:t> </w:t>
      </w:r>
      <w:r w:rsidR="00CA7E60">
        <w:rPr>
          <w:lang w:eastAsia="en-AU"/>
        </w:rPr>
        <w:t>Rankine</w:t>
      </w:r>
      <w:r>
        <w:rPr>
          <w:lang w:eastAsia="en-AU"/>
        </w:rPr>
        <w:t xml:space="preserve">. Each of these measures indicated severe/extreme depression. </w:t>
      </w:r>
      <w:r w:rsidR="009F7867">
        <w:rPr>
          <w:lang w:eastAsia="en-AU"/>
        </w:rPr>
        <w:t xml:space="preserve">In </w:t>
      </w:r>
      <w:r>
        <w:rPr>
          <w:lang w:eastAsia="en-AU"/>
        </w:rPr>
        <w:t>Mr Rankine</w:t>
      </w:r>
      <w:r w:rsidR="009F7867">
        <w:rPr>
          <w:lang w:eastAsia="en-AU"/>
        </w:rPr>
        <w:t>’s opinion,</w:t>
      </w:r>
      <w:r>
        <w:rPr>
          <w:lang w:eastAsia="en-AU"/>
        </w:rPr>
        <w:t xml:space="preserve"> </w:t>
      </w:r>
      <w:r w:rsidR="00863362">
        <w:rPr>
          <w:lang w:eastAsia="en-AU"/>
        </w:rPr>
        <w:t>Mr</w:t>
      </w:r>
      <w:r w:rsidR="00E244DB">
        <w:rPr>
          <w:lang w:eastAsia="en-AU"/>
        </w:rPr>
        <w:t> </w:t>
      </w:r>
      <w:r w:rsidR="00863362">
        <w:rPr>
          <w:lang w:eastAsia="en-AU"/>
        </w:rPr>
        <w:t>Sidwell</w:t>
      </w:r>
      <w:r w:rsidR="005414FF">
        <w:rPr>
          <w:lang w:eastAsia="en-AU"/>
        </w:rPr>
        <w:t xml:space="preserve"> suffered</w:t>
      </w:r>
      <w:r w:rsidR="008334CB">
        <w:rPr>
          <w:lang w:eastAsia="en-AU"/>
        </w:rPr>
        <w:t xml:space="preserve"> from major depression</w:t>
      </w:r>
      <w:r>
        <w:rPr>
          <w:lang w:eastAsia="en-AU"/>
        </w:rPr>
        <w:t xml:space="preserve"> </w:t>
      </w:r>
      <w:r>
        <w:rPr>
          <w:i/>
          <w:lang w:eastAsia="en-AU"/>
        </w:rPr>
        <w:t>“given his expressed history that this has existed for more than two years and is likely to continue to be a problem.”</w:t>
      </w:r>
      <w:r w:rsidRPr="009F5274">
        <w:rPr>
          <w:rStyle w:val="FootnoteReference"/>
          <w:lang w:eastAsia="en-AU"/>
        </w:rPr>
        <w:footnoteReference w:id="14"/>
      </w:r>
      <w:r>
        <w:rPr>
          <w:i/>
          <w:lang w:eastAsia="en-AU"/>
        </w:rPr>
        <w:t xml:space="preserve"> </w:t>
      </w:r>
    </w:p>
    <w:p w:rsidR="00650FEE" w:rsidRDefault="00650FEE" w:rsidP="00A02B91">
      <w:pPr>
        <w:pStyle w:val="ListNumber"/>
        <w:rPr>
          <w:lang w:eastAsia="en-AU"/>
        </w:rPr>
      </w:pPr>
      <w:r>
        <w:rPr>
          <w:lang w:eastAsia="en-AU"/>
        </w:rPr>
        <w:t>Mr</w:t>
      </w:r>
      <w:r w:rsidR="00E244DB">
        <w:rPr>
          <w:lang w:eastAsia="en-AU"/>
        </w:rPr>
        <w:t> </w:t>
      </w:r>
      <w:r>
        <w:rPr>
          <w:lang w:eastAsia="en-AU"/>
        </w:rPr>
        <w:t>Rankine provided another report dated 24 October 2012</w:t>
      </w:r>
      <w:r w:rsidR="0076243B">
        <w:rPr>
          <w:lang w:eastAsia="en-AU"/>
        </w:rPr>
        <w:t>,</w:t>
      </w:r>
      <w:r>
        <w:rPr>
          <w:lang w:eastAsia="en-AU"/>
        </w:rPr>
        <w:t xml:space="preserve"> by which time he had seen </w:t>
      </w:r>
      <w:r w:rsidR="00863362">
        <w:rPr>
          <w:lang w:eastAsia="en-AU"/>
        </w:rPr>
        <w:t>Mr</w:t>
      </w:r>
      <w:r w:rsidR="00E244DB">
        <w:rPr>
          <w:lang w:eastAsia="en-AU"/>
        </w:rPr>
        <w:t> </w:t>
      </w:r>
      <w:r w:rsidR="00863362">
        <w:rPr>
          <w:lang w:eastAsia="en-AU"/>
        </w:rPr>
        <w:t>Sidwell</w:t>
      </w:r>
      <w:r>
        <w:rPr>
          <w:lang w:eastAsia="en-AU"/>
        </w:rPr>
        <w:t xml:space="preserve"> on eight occasions. In this report, Mr Rankine also </w:t>
      </w:r>
      <w:r w:rsidR="00CA7E60">
        <w:rPr>
          <w:lang w:eastAsia="en-AU"/>
        </w:rPr>
        <w:t xml:space="preserve">stated </w:t>
      </w:r>
      <w:r>
        <w:rPr>
          <w:lang w:eastAsia="en-AU"/>
        </w:rPr>
        <w:t xml:space="preserve">that </w:t>
      </w:r>
      <w:r w:rsidR="00863362">
        <w:rPr>
          <w:lang w:eastAsia="en-AU"/>
        </w:rPr>
        <w:t>Mr Sidwell</w:t>
      </w:r>
      <w:r>
        <w:rPr>
          <w:lang w:eastAsia="en-AU"/>
        </w:rPr>
        <w:t>:</w:t>
      </w:r>
    </w:p>
    <w:p w:rsidR="00650FEE" w:rsidRDefault="00646BD7" w:rsidP="00650FEE">
      <w:pPr>
        <w:pStyle w:val="Quote"/>
      </w:pPr>
      <w:r>
        <w:t xml:space="preserve">… </w:t>
      </w:r>
      <w:r w:rsidR="00650FEE">
        <w:t>additionally suffers posttraumatic stress which contributes to his current mood disorder. He continues to experience back pain which is additional to the depression.</w:t>
      </w:r>
    </w:p>
    <w:p w:rsidR="00650FEE" w:rsidRDefault="00650FEE" w:rsidP="00650FEE">
      <w:pPr>
        <w:pStyle w:val="Quote"/>
      </w:pPr>
      <w:r>
        <w:t>His mood disorder has existed for more than two years and is quite intractable. He has completed a mood assessment though</w:t>
      </w:r>
      <w:r w:rsidR="002B70A0">
        <w:t xml:space="preserve"> (sic)</w:t>
      </w:r>
      <w:r>
        <w:t xml:space="preserve"> the </w:t>
      </w:r>
      <w:r w:rsidR="002B70A0">
        <w:t>“B</w:t>
      </w:r>
      <w:r>
        <w:t xml:space="preserve">lack </w:t>
      </w:r>
      <w:r w:rsidR="002B70A0">
        <w:t>D</w:t>
      </w:r>
      <w:r>
        <w:t xml:space="preserve">og </w:t>
      </w:r>
      <w:r w:rsidR="002B70A0">
        <w:t>I</w:t>
      </w:r>
      <w:r>
        <w:t>nstitute</w:t>
      </w:r>
      <w:r w:rsidR="002B70A0">
        <w:t>”</w:t>
      </w:r>
      <w:r>
        <w:t xml:space="preserve"> and this has resulted in a symptom diagnosis of melancholic depression with moderate PTSD.</w:t>
      </w:r>
    </w:p>
    <w:p w:rsidR="00650FEE" w:rsidRDefault="00650FEE" w:rsidP="00650FEE">
      <w:pPr>
        <w:pStyle w:val="Quote"/>
      </w:pPr>
      <w:r>
        <w:t>It is the opinion of myself and the back</w:t>
      </w:r>
      <w:r w:rsidR="002B70A0">
        <w:t>-</w:t>
      </w:r>
      <w:r>
        <w:t xml:space="preserve">up opinion of the national on-line specific diagnostic service to psychologists that the condition is stable </w:t>
      </w:r>
      <w:r w:rsidR="00445E31">
        <w:t>and likely to persist</w:t>
      </w:r>
      <w:r w:rsidR="00445E31" w:rsidRPr="00E244DB">
        <w:rPr>
          <w:i w:val="0"/>
        </w:rPr>
        <w:t>.</w:t>
      </w:r>
      <w:r w:rsidR="00445E31" w:rsidRPr="00496C26">
        <w:rPr>
          <w:rStyle w:val="FootnoteReference"/>
          <w:i w:val="0"/>
        </w:rPr>
        <w:footnoteReference w:id="15"/>
      </w:r>
    </w:p>
    <w:p w:rsidR="009A57E7" w:rsidRDefault="009A57E7" w:rsidP="009A57E7">
      <w:pPr>
        <w:pStyle w:val="ListNumber"/>
      </w:pPr>
      <w:r>
        <w:t xml:space="preserve">In an undated reported received by the Tribunal on 23 April 2013, Mr Rankine stated that he had then seen Mr Sidwell on 13 occasions. At that time Mr Rankine stated that Mr Sidwell was suffering from severe pain, PTSD and melancholic depression. He wrote that the condition was adequately diagnosed and treated and it was reasonably stabilised. He recommended continued pharmacological treatment and continuing psychotherapy including pain treatment and cognitive behaviour therapy. He considered that Mr Sidwell presented with moderate functional impact on activities involving mental health function. </w:t>
      </w:r>
    </w:p>
    <w:p w:rsidR="00445E31" w:rsidRDefault="009A57E7" w:rsidP="00445E31">
      <w:pPr>
        <w:pStyle w:val="ListNumber"/>
      </w:pPr>
      <w:r>
        <w:t xml:space="preserve">The material before us also includes a further JCA report dated 15 March 2013, contributed to by </w:t>
      </w:r>
      <w:r w:rsidR="006D5607">
        <w:t>Ms </w:t>
      </w:r>
      <w:r w:rsidR="00445E31">
        <w:t>Osman-Grela</w:t>
      </w:r>
      <w:r>
        <w:t>,</w:t>
      </w:r>
      <w:r w:rsidR="005414FF">
        <w:t xml:space="preserve"> a clinical psychologist</w:t>
      </w:r>
      <w:r w:rsidR="0076243B">
        <w:t>,</w:t>
      </w:r>
      <w:r w:rsidR="00445E31">
        <w:t xml:space="preserve"> </w:t>
      </w:r>
      <w:r>
        <w:t>who</w:t>
      </w:r>
      <w:r w:rsidR="00445E31">
        <w:t xml:space="preserve"> </w:t>
      </w:r>
      <w:r w:rsidR="009F1D18">
        <w:t xml:space="preserve">also </w:t>
      </w:r>
      <w:r w:rsidR="005414FF">
        <w:t xml:space="preserve">gave </w:t>
      </w:r>
      <w:r>
        <w:t xml:space="preserve">oral </w:t>
      </w:r>
      <w:r w:rsidR="005414FF">
        <w:t>evidence to the Tribunal.</w:t>
      </w:r>
      <w:r w:rsidR="00E244DB">
        <w:t xml:space="preserve"> </w:t>
      </w:r>
      <w:r w:rsidR="00445E31">
        <w:t xml:space="preserve">She did not meet </w:t>
      </w:r>
      <w:r w:rsidR="00863362">
        <w:t>Mr</w:t>
      </w:r>
      <w:r w:rsidR="00E244DB">
        <w:t> </w:t>
      </w:r>
      <w:r w:rsidR="00863362">
        <w:t>Sidwell</w:t>
      </w:r>
      <w:r w:rsidR="005414FF">
        <w:t xml:space="preserve"> and her contribution</w:t>
      </w:r>
      <w:r w:rsidR="00445E31">
        <w:t xml:space="preserve"> to the JCA report was based on reports which she read and material that the author of the JCA report p</w:t>
      </w:r>
      <w:r w:rsidR="006D5607">
        <w:t xml:space="preserve">rovided to her. On the basis </w:t>
      </w:r>
      <w:r w:rsidR="00CA7E60">
        <w:t xml:space="preserve">of </w:t>
      </w:r>
      <w:r w:rsidR="00445E31">
        <w:t>that material</w:t>
      </w:r>
      <w:r w:rsidR="00C10133">
        <w:t>,</w:t>
      </w:r>
      <w:r w:rsidR="00445E31">
        <w:t xml:space="preserve"> Ms Osman-Grela considered that </w:t>
      </w:r>
      <w:r w:rsidR="00863362">
        <w:t>Mr</w:t>
      </w:r>
      <w:r w:rsidR="00E244DB">
        <w:t> </w:t>
      </w:r>
      <w:r w:rsidR="00863362">
        <w:t>Sidwell</w:t>
      </w:r>
      <w:r w:rsidR="005414FF">
        <w:t>’s condition was not</w:t>
      </w:r>
      <w:r w:rsidR="00445E31">
        <w:t xml:space="preserve"> fully treated and stabilised</w:t>
      </w:r>
      <w:r w:rsidR="005414FF">
        <w:t xml:space="preserve"> during the </w:t>
      </w:r>
      <w:r w:rsidR="00EA43D9">
        <w:t xml:space="preserve">first </w:t>
      </w:r>
      <w:r w:rsidR="005414FF">
        <w:t>assessment period</w:t>
      </w:r>
      <w:r w:rsidR="00445E31">
        <w:t xml:space="preserve">. </w:t>
      </w:r>
      <w:r w:rsidR="00CA7E60">
        <w:t xml:space="preserve">In her opinion, </w:t>
      </w:r>
      <w:r w:rsidR="005414FF">
        <w:t xml:space="preserve">a person with severe or </w:t>
      </w:r>
      <w:r w:rsidR="00445E31">
        <w:t>extreme depression should be referred to a psychi</w:t>
      </w:r>
      <w:r w:rsidR="005414FF">
        <w:t>atrist for further management.</w:t>
      </w:r>
      <w:r w:rsidR="00D904AB">
        <w:rPr>
          <w:rStyle w:val="FootnoteReference"/>
        </w:rPr>
        <w:footnoteReference w:id="16"/>
      </w:r>
      <w:r w:rsidR="00445E31">
        <w:t xml:space="preserve"> In evidence she stated th</w:t>
      </w:r>
      <w:r w:rsidR="005414FF">
        <w:t xml:space="preserve">at it would have </w:t>
      </w:r>
      <w:r w:rsidR="00F6488B">
        <w:t>been preferable</w:t>
      </w:r>
      <w:r w:rsidR="00445E31">
        <w:t xml:space="preserve"> for </w:t>
      </w:r>
      <w:r w:rsidR="00863362">
        <w:t>Mr</w:t>
      </w:r>
      <w:r w:rsidR="00E244DB">
        <w:t> </w:t>
      </w:r>
      <w:r w:rsidR="00863362">
        <w:t>Sidwell</w:t>
      </w:r>
      <w:r w:rsidR="00445E31">
        <w:t xml:space="preserve"> to be referred to a psychiatrist early in the </w:t>
      </w:r>
      <w:r w:rsidR="00EA43D9">
        <w:t xml:space="preserve">first </w:t>
      </w:r>
      <w:r w:rsidR="00445E31">
        <w:t>assessment period.</w:t>
      </w:r>
    </w:p>
    <w:p w:rsidR="00664643" w:rsidRDefault="00FB7721" w:rsidP="00664643">
      <w:pPr>
        <w:pStyle w:val="ListNumber"/>
      </w:pPr>
      <w:r>
        <w:t>Given the content</w:t>
      </w:r>
      <w:r w:rsidR="0076243B">
        <w:t>s</w:t>
      </w:r>
      <w:r>
        <w:t xml:space="preserve"> of Table 5</w:t>
      </w:r>
      <w:r w:rsidR="00E005FF">
        <w:t>,</w:t>
      </w:r>
      <w:r>
        <w:t xml:space="preserve"> which we have referred to above, it is important that we acknowledge that </w:t>
      </w:r>
      <w:r w:rsidR="00664643">
        <w:t>Ms Osman-Grela and Mr</w:t>
      </w:r>
      <w:r w:rsidR="00496C26">
        <w:t> </w:t>
      </w:r>
      <w:r w:rsidR="00664643">
        <w:t>De</w:t>
      </w:r>
      <w:r w:rsidR="00496C26">
        <w:t xml:space="preserve"> </w:t>
      </w:r>
      <w:r w:rsidR="00664643">
        <w:t>Blasio are both clinical psychologists. By contrast,</w:t>
      </w:r>
      <w:r w:rsidR="005D2442">
        <w:t xml:space="preserve"> </w:t>
      </w:r>
      <w:r w:rsidR="00664643">
        <w:t>Mr Ranki</w:t>
      </w:r>
      <w:r w:rsidR="006D5607">
        <w:t xml:space="preserve">ne is a registered psychologist, but he </w:t>
      </w:r>
      <w:r w:rsidR="00664643">
        <w:t>is not a clinical psychologist.</w:t>
      </w:r>
      <w:r w:rsidR="005D2442">
        <w:t xml:space="preserve"> </w:t>
      </w:r>
      <w:r>
        <w:t>Therefore</w:t>
      </w:r>
      <w:r w:rsidR="006D5607">
        <w:t xml:space="preserve"> Mr Rankine’s professional qualifications do not meet the criteria specified in Table 5 for provision of the diagnosis</w:t>
      </w:r>
      <w:r w:rsidR="00091275">
        <w:t xml:space="preserve"> of a</w:t>
      </w:r>
      <w:r w:rsidR="006D5607">
        <w:t xml:space="preserve"> mental health condition</w:t>
      </w:r>
      <w:r>
        <w:t>.</w:t>
      </w:r>
      <w:r w:rsidR="006D5607">
        <w:t xml:space="preserve"> </w:t>
      </w:r>
    </w:p>
    <w:p w:rsidR="00445E31" w:rsidRDefault="00FB7721" w:rsidP="00445E31">
      <w:pPr>
        <w:pStyle w:val="ListNumber"/>
      </w:pPr>
      <w:r>
        <w:t>As we have alluded to above, d</w:t>
      </w:r>
      <w:r w:rsidR="009F1D18">
        <w:t>uring</w:t>
      </w:r>
      <w:r w:rsidR="00F70BAB">
        <w:t xml:space="preserve"> the first hearing, o</w:t>
      </w:r>
      <w:r w:rsidR="00284634">
        <w:t>ther factors relevant to</w:t>
      </w:r>
      <w:r w:rsidR="00445E31">
        <w:t xml:space="preserve"> </w:t>
      </w:r>
      <w:r w:rsidR="00284634">
        <w:t xml:space="preserve">a </w:t>
      </w:r>
      <w:r w:rsidR="00F14F7C">
        <w:t xml:space="preserve">possible </w:t>
      </w:r>
      <w:r w:rsidR="00445E31">
        <w:t>diagnosis</w:t>
      </w:r>
      <w:r w:rsidR="00284634">
        <w:t xml:space="preserve"> of depression arose from</w:t>
      </w:r>
      <w:r w:rsidR="00445E31">
        <w:t xml:space="preserve"> evidence about the possibility of </w:t>
      </w:r>
      <w:r w:rsidR="00863362">
        <w:t>Mr</w:t>
      </w:r>
      <w:r w:rsidR="005D2442">
        <w:t> </w:t>
      </w:r>
      <w:r w:rsidR="00863362">
        <w:t>Sidwell</w:t>
      </w:r>
      <w:r w:rsidR="00445E31">
        <w:t xml:space="preserve"> suffering from PTSD. </w:t>
      </w:r>
      <w:r w:rsidR="00863362">
        <w:t>Mr</w:t>
      </w:r>
      <w:r w:rsidR="005D2442">
        <w:t> </w:t>
      </w:r>
      <w:r w:rsidR="00863362">
        <w:t>Sidwell</w:t>
      </w:r>
      <w:r w:rsidR="00445E31">
        <w:t xml:space="preserve"> was cross-examined in a sensitive, detailed manner about unfo</w:t>
      </w:r>
      <w:r w:rsidR="008E29F8">
        <w:t xml:space="preserve">rtunate experiences that he endured </w:t>
      </w:r>
      <w:r w:rsidR="00445E31">
        <w:t xml:space="preserve">while he </w:t>
      </w:r>
      <w:r w:rsidR="006D5607">
        <w:t xml:space="preserve">was </w:t>
      </w:r>
      <w:r w:rsidR="00496C26">
        <w:t xml:space="preserve">in </w:t>
      </w:r>
      <w:r w:rsidR="006D5607">
        <w:t>military service</w:t>
      </w:r>
      <w:r w:rsidR="00445E31">
        <w:t xml:space="preserve"> overseas between 1979 and 1984. Memories, flashbacks and dreams about those incidents have </w:t>
      </w:r>
      <w:r w:rsidR="00091275">
        <w:t xml:space="preserve">subsequently </w:t>
      </w:r>
      <w:r w:rsidR="00445E31">
        <w:t xml:space="preserve">affected </w:t>
      </w:r>
      <w:r w:rsidR="00863362">
        <w:t>Mr</w:t>
      </w:r>
      <w:r w:rsidR="005D2442">
        <w:t> </w:t>
      </w:r>
      <w:r w:rsidR="00863362">
        <w:t>Sidwell</w:t>
      </w:r>
      <w:r w:rsidR="00445E31">
        <w:t xml:space="preserve"> from </w:t>
      </w:r>
      <w:r w:rsidR="00284634">
        <w:t>time</w:t>
      </w:r>
      <w:r w:rsidR="007F784F">
        <w:t xml:space="preserve"> </w:t>
      </w:r>
      <w:r w:rsidR="00284634">
        <w:t>to</w:t>
      </w:r>
      <w:r w:rsidR="007F784F">
        <w:t xml:space="preserve"> </w:t>
      </w:r>
      <w:r w:rsidR="00284634">
        <w:t xml:space="preserve">time. </w:t>
      </w:r>
      <w:r w:rsidR="00863362">
        <w:t>Mr</w:t>
      </w:r>
      <w:r w:rsidR="005D2442">
        <w:t> </w:t>
      </w:r>
      <w:r w:rsidR="00F6488B">
        <w:t>Sidwell’s evidence</w:t>
      </w:r>
      <w:r w:rsidR="007C0BC3">
        <w:t>,</w:t>
      </w:r>
      <w:r w:rsidR="00284634">
        <w:t xml:space="preserve"> and also the</w:t>
      </w:r>
      <w:r w:rsidR="00445E31">
        <w:t xml:space="preserve"> </w:t>
      </w:r>
      <w:r w:rsidR="00EA7E3A">
        <w:t xml:space="preserve">oral </w:t>
      </w:r>
      <w:r w:rsidR="00275BC0">
        <w:t>evidence from Mr De </w:t>
      </w:r>
      <w:r w:rsidR="00C93628">
        <w:t>Blasio, Dr Afari and Ms Osma</w:t>
      </w:r>
      <w:r w:rsidR="00445E31">
        <w:t>n</w:t>
      </w:r>
      <w:r w:rsidR="007C0BC3">
        <w:noBreakHyphen/>
      </w:r>
      <w:r w:rsidR="00F6488B">
        <w:t>Grela</w:t>
      </w:r>
      <w:r w:rsidR="00D904AB">
        <w:t>,</w:t>
      </w:r>
      <w:r w:rsidR="00F6488B">
        <w:t xml:space="preserve"> raise</w:t>
      </w:r>
      <w:r w:rsidR="00091275">
        <w:t>d</w:t>
      </w:r>
      <w:r w:rsidR="00284634">
        <w:t xml:space="preserve"> the </w:t>
      </w:r>
      <w:r w:rsidR="00F6488B">
        <w:t>prospect that</w:t>
      </w:r>
      <w:r w:rsidR="00445E31">
        <w:t xml:space="preserve"> </w:t>
      </w:r>
      <w:r w:rsidR="00863362">
        <w:t>Mr</w:t>
      </w:r>
      <w:r w:rsidR="005D2442">
        <w:t> </w:t>
      </w:r>
      <w:r w:rsidR="00863362">
        <w:t>Sidwell</w:t>
      </w:r>
      <w:r w:rsidR="00284634">
        <w:t xml:space="preserve"> may have suffered</w:t>
      </w:r>
      <w:r w:rsidR="00445E31">
        <w:t xml:space="preserve"> from PTSD before, during and after the</w:t>
      </w:r>
      <w:r w:rsidR="00F14F7C">
        <w:t xml:space="preserve"> first</w:t>
      </w:r>
      <w:r w:rsidR="00445E31">
        <w:t xml:space="preserve"> assessment period. This issue would have been better address</w:t>
      </w:r>
      <w:r w:rsidR="009B448F">
        <w:t>ed, according to</w:t>
      </w:r>
      <w:r w:rsidR="00C93628">
        <w:t xml:space="preserve"> Ms Osma</w:t>
      </w:r>
      <w:r w:rsidR="00445E31">
        <w:t>n-Grela, if a psychiatric assessment</w:t>
      </w:r>
      <w:r w:rsidR="0003417D">
        <w:t xml:space="preserve"> had taken place during the </w:t>
      </w:r>
      <w:r w:rsidR="00EA43D9">
        <w:t xml:space="preserve">first </w:t>
      </w:r>
      <w:r w:rsidR="0003417D">
        <w:t>assessment period</w:t>
      </w:r>
      <w:r w:rsidR="008E29F8">
        <w:t xml:space="preserve">. </w:t>
      </w:r>
    </w:p>
    <w:p w:rsidR="00AD2165" w:rsidRDefault="00AD2165" w:rsidP="0028386A">
      <w:pPr>
        <w:pStyle w:val="Heading5KB"/>
      </w:pPr>
      <w:r w:rsidRPr="00832285">
        <w:t>Evidence at second hearing</w:t>
      </w:r>
    </w:p>
    <w:p w:rsidR="00586DBE" w:rsidRDefault="00FB7721" w:rsidP="0053583A">
      <w:pPr>
        <w:pStyle w:val="ListNumber"/>
      </w:pPr>
      <w:r>
        <w:t>In his evidence a</w:t>
      </w:r>
      <w:r w:rsidR="00E26485">
        <w:t>t the second hearing</w:t>
      </w:r>
      <w:r w:rsidR="00AD2165">
        <w:t>,</w:t>
      </w:r>
      <w:r w:rsidR="00E26485">
        <w:t xml:space="preserve"> Mr Sidwell confirmed that he continued to </w:t>
      </w:r>
      <w:r w:rsidR="0076243B">
        <w:t xml:space="preserve">experience </w:t>
      </w:r>
      <w:r w:rsidR="00E26485">
        <w:t>depression. He said that he still ha</w:t>
      </w:r>
      <w:r w:rsidR="0076243B">
        <w:t>d</w:t>
      </w:r>
      <w:r w:rsidR="00E26485">
        <w:t xml:space="preserve"> some dreams and flashbacks about i</w:t>
      </w:r>
      <w:r w:rsidR="00091275">
        <w:t xml:space="preserve">ncidents when he was in </w:t>
      </w:r>
      <w:r w:rsidR="0076243B">
        <w:t xml:space="preserve">the </w:t>
      </w:r>
      <w:r w:rsidR="00091275">
        <w:t>military</w:t>
      </w:r>
      <w:r w:rsidR="00E26485">
        <w:t xml:space="preserve">. He said the dreams occur occasionally, probably less than one per month. He </w:t>
      </w:r>
      <w:r w:rsidR="009F1D18">
        <w:t xml:space="preserve">said he did </w:t>
      </w:r>
      <w:r w:rsidR="00E26485">
        <w:t xml:space="preserve">not find them as disturbing as he used to. More troubling for him were dreams about problems he had with his wife. Those dreams were disturbing and </w:t>
      </w:r>
      <w:r w:rsidR="0076243B">
        <w:t xml:space="preserve">caused him to </w:t>
      </w:r>
      <w:r w:rsidR="00E26485">
        <w:t xml:space="preserve">wake up </w:t>
      </w:r>
      <w:r w:rsidR="00883306">
        <w:t>i</w:t>
      </w:r>
      <w:r w:rsidR="00E26485">
        <w:t>n a cold sweat</w:t>
      </w:r>
      <w:r w:rsidR="00091275">
        <w:t>,</w:t>
      </w:r>
      <w:r w:rsidR="00E26485">
        <w:t xml:space="preserve"> feeling very upset. He </w:t>
      </w:r>
      <w:r w:rsidR="0076243B">
        <w:t xml:space="preserve">had </w:t>
      </w:r>
      <w:r w:rsidR="00E26485">
        <w:t xml:space="preserve">difficulty going </w:t>
      </w:r>
      <w:r w:rsidR="00091275">
        <w:t>back to sleep. The dreams</w:t>
      </w:r>
      <w:r w:rsidR="00E26485">
        <w:t xml:space="preserve"> relate</w:t>
      </w:r>
      <w:r w:rsidR="0076243B">
        <w:t>d</w:t>
      </w:r>
      <w:r w:rsidR="00E26485">
        <w:t xml:space="preserve"> to his hospitalisation in 2005 when he found out that his wife was having an affair. </w:t>
      </w:r>
    </w:p>
    <w:p w:rsidR="00E26485" w:rsidRDefault="00E26485" w:rsidP="0053583A">
      <w:pPr>
        <w:pStyle w:val="ListNumber"/>
      </w:pPr>
      <w:r>
        <w:t xml:space="preserve">He </w:t>
      </w:r>
      <w:r w:rsidR="001769F4">
        <w:t xml:space="preserve">confirmed that he </w:t>
      </w:r>
      <w:r w:rsidR="0076243B">
        <w:t xml:space="preserve">had </w:t>
      </w:r>
      <w:r w:rsidR="001769F4">
        <w:t>recently recommenced</w:t>
      </w:r>
      <w:r>
        <w:t xml:space="preserve"> psychotherapy with Mr De</w:t>
      </w:r>
      <w:r w:rsidR="00832285">
        <w:t> </w:t>
      </w:r>
      <w:r>
        <w:t xml:space="preserve">Blasio. However, that psychotherapy </w:t>
      </w:r>
      <w:r w:rsidR="007F784F">
        <w:t xml:space="preserve">was </w:t>
      </w:r>
      <w:r>
        <w:t>focuse</w:t>
      </w:r>
      <w:r w:rsidR="007F784F">
        <w:t>d</w:t>
      </w:r>
      <w:r>
        <w:t xml:space="preserve"> on current events, including pr</w:t>
      </w:r>
      <w:r w:rsidR="007F784F">
        <w:t>oblems with his daughter. He had</w:t>
      </w:r>
      <w:r>
        <w:t xml:space="preserve"> not received psychotherapy in relation to his military experiences. His general medical practitioner </w:t>
      </w:r>
      <w:r w:rsidR="0076243B">
        <w:t xml:space="preserve">had </w:t>
      </w:r>
      <w:r>
        <w:t>prescribed Seraquol for about a month to help with sleeping</w:t>
      </w:r>
      <w:r w:rsidR="00586DBE">
        <w:t>, however h</w:t>
      </w:r>
      <w:r>
        <w:t xml:space="preserve">e </w:t>
      </w:r>
      <w:r w:rsidR="00E005FF">
        <w:t xml:space="preserve">said he </w:t>
      </w:r>
      <w:r>
        <w:t>did not react well to that medication as it was too powerful.</w:t>
      </w:r>
    </w:p>
    <w:p w:rsidR="003F10AC" w:rsidRDefault="00E26485" w:rsidP="0053583A">
      <w:pPr>
        <w:pStyle w:val="ListNumber"/>
      </w:pPr>
      <w:r>
        <w:t>Mr Sidwell said th</w:t>
      </w:r>
      <w:r w:rsidR="001769F4">
        <w:t>at his feelings about his marital breakdown</w:t>
      </w:r>
      <w:r>
        <w:t xml:space="preserve"> were the main cause of his depression. He</w:t>
      </w:r>
      <w:r w:rsidR="00E005FF">
        <w:t xml:space="preserve"> also</w:t>
      </w:r>
      <w:r>
        <w:t xml:space="preserve"> thought that he may have PTSD arising out of the problems in his marriage. In contrast to the memories which he has about his military service, which do not </w:t>
      </w:r>
      <w:r w:rsidR="00091275">
        <w:t xml:space="preserve">cause significant distress </w:t>
      </w:r>
      <w:r>
        <w:t xml:space="preserve">anymore, the negative feelings that he has about the marriage breakdown are more significant. He thinks that he has never been asked the right questions about the breakdown of his marriage and the effects it has had on him emotionally. He takes medication, Cymbalta, which he thought was working as well as it could. </w:t>
      </w:r>
    </w:p>
    <w:p w:rsidR="003A3D96" w:rsidRDefault="0064141F" w:rsidP="0053583A">
      <w:pPr>
        <w:pStyle w:val="ListNumber"/>
      </w:pPr>
      <w:r>
        <w:t xml:space="preserve">After the first hearing, during which the possibility of PTSD arose, </w:t>
      </w:r>
      <w:r w:rsidR="00E26485">
        <w:t>Mr Sidwell was referred by the Secretary for an assessment and report</w:t>
      </w:r>
      <w:r w:rsidR="00832285">
        <w:t xml:space="preserve"> </w:t>
      </w:r>
      <w:r>
        <w:t xml:space="preserve">by </w:t>
      </w:r>
      <w:r w:rsidR="00E26485">
        <w:t>Dr Ewer</w:t>
      </w:r>
      <w:r>
        <w:t>,</w:t>
      </w:r>
      <w:r w:rsidR="00832285">
        <w:t xml:space="preserve"> </w:t>
      </w:r>
      <w:r>
        <w:t>who</w:t>
      </w:r>
      <w:r w:rsidR="00E26485">
        <w:t xml:space="preserve"> has practised as a consultant psychiatrist since 1990</w:t>
      </w:r>
      <w:r w:rsidR="0028386A">
        <w:t xml:space="preserve"> and ha</w:t>
      </w:r>
      <w:r w:rsidR="0076243B">
        <w:t>s</w:t>
      </w:r>
      <w:r w:rsidR="00E26485">
        <w:t xml:space="preserve"> significant experience i</w:t>
      </w:r>
      <w:r w:rsidR="0076243B">
        <w:t>n</w:t>
      </w:r>
      <w:r w:rsidR="00E26485">
        <w:t xml:space="preserve"> treating war veterans and people with PTSD</w:t>
      </w:r>
      <w:r w:rsidR="006D0CBE">
        <w:t>.</w:t>
      </w:r>
      <w:r w:rsidR="0076243B">
        <w:t xml:space="preserve"> He indicated in his evidence that o</w:t>
      </w:r>
      <w:r w:rsidR="00E26485">
        <w:t xml:space="preserve">ver many years he has treated more than 1,000 war veterans. </w:t>
      </w:r>
    </w:p>
    <w:p w:rsidR="00E26485" w:rsidRDefault="003A3D96" w:rsidP="0053583A">
      <w:pPr>
        <w:pStyle w:val="ListNumber"/>
      </w:pPr>
      <w:r>
        <w:t>Dr Ewer</w:t>
      </w:r>
      <w:r w:rsidR="00E26485">
        <w:t xml:space="preserve"> provided a written report dated 1 July 2014</w:t>
      </w:r>
      <w:r w:rsidR="007E4A22">
        <w:t>.</w:t>
      </w:r>
      <w:r w:rsidR="00AD75E1">
        <w:rPr>
          <w:rStyle w:val="FootnoteReference"/>
        </w:rPr>
        <w:footnoteReference w:id="17"/>
      </w:r>
      <w:r w:rsidR="009F1D18">
        <w:t xml:space="preserve"> </w:t>
      </w:r>
      <w:r w:rsidR="00E26485">
        <w:t>In that report he outlined the history of events which Mr Sidwell related to him about some traumatic events which he experienced during military service in 1982. Problems which followed included difficulty with sleeping, troubling nightmares, tensio</w:t>
      </w:r>
      <w:r w:rsidR="0064141F">
        <w:t>n,</w:t>
      </w:r>
      <w:r w:rsidR="00832285">
        <w:t xml:space="preserve"> </w:t>
      </w:r>
      <w:r w:rsidR="00E26485">
        <w:t>anx</w:t>
      </w:r>
      <w:r w:rsidR="002E75E8">
        <w:t>iety</w:t>
      </w:r>
      <w:r w:rsidR="0064141F">
        <w:t xml:space="preserve"> and irritability</w:t>
      </w:r>
      <w:r w:rsidR="002E75E8">
        <w:t>.</w:t>
      </w:r>
      <w:r w:rsidR="00832285">
        <w:t xml:space="preserve"> </w:t>
      </w:r>
      <w:r w:rsidR="002E75E8">
        <w:t xml:space="preserve">Dr Ewer considered that Mr Sidwell’s mood was depressed and anxious, that his memory and concentration were impaired, </w:t>
      </w:r>
      <w:r w:rsidR="0064141F">
        <w:t>but</w:t>
      </w:r>
      <w:r w:rsidR="002E75E8">
        <w:t xml:space="preserve"> there were no psychotic symptoms. Dr Ewer stated:</w:t>
      </w:r>
    </w:p>
    <w:p w:rsidR="002E75E8" w:rsidRPr="00AD75E1" w:rsidRDefault="00AD75E1" w:rsidP="002E75E8">
      <w:pPr>
        <w:pStyle w:val="Quote"/>
        <w:rPr>
          <w:i w:val="0"/>
        </w:rPr>
      </w:pPr>
      <w:r>
        <w:t xml:space="preserve">… </w:t>
      </w:r>
      <w:r w:rsidR="00AD2165">
        <w:t>i</w:t>
      </w:r>
      <w:r w:rsidR="002E75E8">
        <w:t xml:space="preserve">t is my clinical opinion, based upon a reasonable degree of medical probability that Mr Sidwell is suffering from a </w:t>
      </w:r>
      <w:r w:rsidR="002E75E8" w:rsidRPr="00AD75E1">
        <w:rPr>
          <w:b/>
        </w:rPr>
        <w:t xml:space="preserve">chronic post-traumatic stress disorder </w:t>
      </w:r>
      <w:r w:rsidR="002E75E8" w:rsidRPr="00D904AB">
        <w:t>and a</w:t>
      </w:r>
      <w:r w:rsidR="002E75E8" w:rsidRPr="00AD75E1">
        <w:rPr>
          <w:b/>
        </w:rPr>
        <w:t xml:space="preserve"> major depressive disorder</w:t>
      </w:r>
      <w:r w:rsidR="002E75E8">
        <w:t>.</w:t>
      </w:r>
      <w:r w:rsidR="002E75E8" w:rsidRPr="00AD2165">
        <w:rPr>
          <w:rStyle w:val="FootnoteReference"/>
          <w:i w:val="0"/>
        </w:rPr>
        <w:footnoteReference w:id="18"/>
      </w:r>
      <w:r w:rsidR="002E75E8">
        <w:t xml:space="preserve"> </w:t>
      </w:r>
      <w:r>
        <w:rPr>
          <w:i w:val="0"/>
        </w:rPr>
        <w:t>(emphasis in original)</w:t>
      </w:r>
    </w:p>
    <w:p w:rsidR="002E75E8" w:rsidRDefault="002E75E8" w:rsidP="002E75E8">
      <w:pPr>
        <w:pStyle w:val="FollowingPara"/>
      </w:pPr>
      <w:r>
        <w:t>Dr Ewer considered that Mr Sidwell was suffering those conditions during both of the assessment periods.</w:t>
      </w:r>
    </w:p>
    <w:p w:rsidR="003A3D96" w:rsidRDefault="002E75E8" w:rsidP="002E75E8">
      <w:pPr>
        <w:pStyle w:val="ListNumber"/>
      </w:pPr>
      <w:r>
        <w:t xml:space="preserve">In his report, Dr Ewer </w:t>
      </w:r>
      <w:r w:rsidR="0064141F">
        <w:t>also indicated</w:t>
      </w:r>
      <w:r>
        <w:t xml:space="preserve"> that Mr Sidwell’s PTSD was not fully diagnosed and not fully treated during </w:t>
      </w:r>
      <w:r w:rsidR="0064141F">
        <w:t xml:space="preserve">either </w:t>
      </w:r>
      <w:r>
        <w:t>asses</w:t>
      </w:r>
      <w:r w:rsidR="003A3D96">
        <w:t>sment period. In particular, Mr Sidwell</w:t>
      </w:r>
      <w:r>
        <w:t xml:space="preserve"> </w:t>
      </w:r>
      <w:r w:rsidR="009F1D18">
        <w:t xml:space="preserve">had </w:t>
      </w:r>
      <w:r>
        <w:t>not had any tra</w:t>
      </w:r>
      <w:r w:rsidR="003A3D96">
        <w:t>uma-focused therapy for his military experiences.</w:t>
      </w:r>
      <w:r w:rsidR="00AD2165">
        <w:t xml:space="preserve"> </w:t>
      </w:r>
      <w:r w:rsidR="003A3D96">
        <w:t>Dr</w:t>
      </w:r>
      <w:r w:rsidR="00AD2165">
        <w:t> </w:t>
      </w:r>
      <w:r w:rsidR="003A3D96">
        <w:t xml:space="preserve">Ewer commented that a </w:t>
      </w:r>
      <w:r w:rsidR="00AD2165">
        <w:t>t</w:t>
      </w:r>
      <w:r>
        <w:t>horough assess</w:t>
      </w:r>
      <w:r w:rsidR="003A3D96">
        <w:t>ment would be necessary and it should</w:t>
      </w:r>
      <w:r>
        <w:t xml:space="preserve"> include a full evaluation of treatment options</w:t>
      </w:r>
      <w:r w:rsidR="00D904AB">
        <w:t>,</w:t>
      </w:r>
      <w:r>
        <w:t xml:space="preserve"> which may include general treatment modalities, psychotherapy or </w:t>
      </w:r>
      <w:r w:rsidR="00D904AB">
        <w:t>anti</w:t>
      </w:r>
      <w:r>
        <w:t>depressants. Given that Mr Sidwell had not undertaken that kind of treatment, his PTSD could not be considered to be fully treated</w:t>
      </w:r>
      <w:r w:rsidR="006D0CBE">
        <w:t xml:space="preserve"> </w:t>
      </w:r>
      <w:r w:rsidR="0076243B">
        <w:t>or</w:t>
      </w:r>
      <w:r>
        <w:t xml:space="preserve"> fully stabilised. </w:t>
      </w:r>
    </w:p>
    <w:p w:rsidR="002E75E8" w:rsidRDefault="002E75E8" w:rsidP="002E75E8">
      <w:pPr>
        <w:pStyle w:val="ListNumber"/>
      </w:pPr>
      <w:r>
        <w:t xml:space="preserve">The issue of depression occurring in the context of PTSD was noted by </w:t>
      </w:r>
      <w:r w:rsidR="00091275">
        <w:t>Dr Ewer and he reported that</w:t>
      </w:r>
      <w:r w:rsidR="00D904AB">
        <w:t xml:space="preserve"> </w:t>
      </w:r>
      <w:r w:rsidR="00334BEE">
        <w:t>in his experience approximately 50% of people suffering from PTSD develop a clinically significant depressive disorder. He said the</w:t>
      </w:r>
      <w:r w:rsidR="00091275">
        <w:t xml:space="preserve"> </w:t>
      </w:r>
      <w:r>
        <w:t>depression can often improv</w:t>
      </w:r>
      <w:r w:rsidR="00334BEE">
        <w:t>e if the PTSD is also treated. However t</w:t>
      </w:r>
      <w:r>
        <w:t>his had not happened in Mr Sidwell’s case during either of the assessment periods. Dr Ewer’s conclusion about Mr Si</w:t>
      </w:r>
      <w:r w:rsidR="00091275">
        <w:t>dwell’s condition was</w:t>
      </w:r>
      <w:r>
        <w:t>:</w:t>
      </w:r>
    </w:p>
    <w:p w:rsidR="002E75E8" w:rsidRDefault="002E75E8" w:rsidP="002E75E8">
      <w:pPr>
        <w:pStyle w:val="Quote"/>
      </w:pPr>
      <w:r>
        <w:t xml:space="preserve">From a psychiatric perspective, </w:t>
      </w:r>
      <w:r w:rsidR="007253DF">
        <w:t>he was not suffering from one or more fully diagnosed, fully treated and fully stabilised psychiatric conditions during either of the claim periods.</w:t>
      </w:r>
      <w:r w:rsidR="007253DF" w:rsidRPr="00AD2165">
        <w:rPr>
          <w:rStyle w:val="FootnoteReference"/>
          <w:i w:val="0"/>
        </w:rPr>
        <w:footnoteReference w:id="19"/>
      </w:r>
    </w:p>
    <w:p w:rsidR="00B47672" w:rsidRDefault="00B47672" w:rsidP="004E7A7E">
      <w:pPr>
        <w:pStyle w:val="ListNumber"/>
      </w:pPr>
      <w:r>
        <w:t>As we have alluded to above, Dr Ewer also gave oral evidence at the second hearing, which was consistent with his report.</w:t>
      </w:r>
    </w:p>
    <w:p w:rsidR="00E36E87" w:rsidRDefault="0064141F" w:rsidP="004E7A7E">
      <w:pPr>
        <w:pStyle w:val="ListNumber"/>
      </w:pPr>
      <w:r>
        <w:t xml:space="preserve">We have also had the benefit of evidence from </w:t>
      </w:r>
      <w:r w:rsidR="0059787B">
        <w:t>Dr</w:t>
      </w:r>
      <w:r w:rsidR="00AD2165">
        <w:t> </w:t>
      </w:r>
      <w:r w:rsidR="0059787B">
        <w:t>Dhillon</w:t>
      </w:r>
      <w:r>
        <w:t>,</w:t>
      </w:r>
      <w:r w:rsidR="0059787B">
        <w:t xml:space="preserve"> a </w:t>
      </w:r>
      <w:r>
        <w:t>p</w:t>
      </w:r>
      <w:r w:rsidR="00E36E87">
        <w:t xml:space="preserve">sychiatrist at the Cramond Clinic, Queen Elizabeth Hospital, to whom Mr Sidwell was referred by his </w:t>
      </w:r>
      <w:r w:rsidR="00334BEE">
        <w:t>g</w:t>
      </w:r>
      <w:r w:rsidR="00E36E87">
        <w:t xml:space="preserve">eneral </w:t>
      </w:r>
      <w:r w:rsidR="00334BEE">
        <w:t>m</w:t>
      </w:r>
      <w:r w:rsidR="00E36E87">
        <w:t xml:space="preserve">edical </w:t>
      </w:r>
      <w:r w:rsidR="00334BEE">
        <w:t>p</w:t>
      </w:r>
      <w:r w:rsidR="00E36E87">
        <w:t>ractitioner. Dr Dhillon wrote a report dated 31 March 2014</w:t>
      </w:r>
      <w:r w:rsidR="00334BEE">
        <w:t>, together with a supplementary report dated 20 May 2014</w:t>
      </w:r>
      <w:r w:rsidR="007C0BC3">
        <w:t>,</w:t>
      </w:r>
      <w:r w:rsidR="00E36E87">
        <w:t xml:space="preserve"> and he also gave evidence to the Tribunal by telephone. Dr Dhillon assessed Mr Sidwell on 21 March 2014. During that assessment Mr Sidwell reported that he had been chronically depressed over the last few years. The causes were problems in his marriage, his encounters with Centrelink and physical health problems with chronic pain. Mr Sidwell mentioned the possibility of having PTSD symptoms because of his exp</w:t>
      </w:r>
      <w:r w:rsidR="00E005FF">
        <w:t>eriences in the military</w:t>
      </w:r>
      <w:r w:rsidR="00E36E87">
        <w:t>.</w:t>
      </w:r>
    </w:p>
    <w:p w:rsidR="00B6474D" w:rsidRDefault="00E36E87" w:rsidP="004E7A7E">
      <w:pPr>
        <w:pStyle w:val="ListNumber"/>
      </w:pPr>
      <w:r>
        <w:t xml:space="preserve">In Dr Dhillon’s opinion, Mr Sidwell had a </w:t>
      </w:r>
      <w:r w:rsidRPr="00E36E87">
        <w:rPr>
          <w:i/>
        </w:rPr>
        <w:t>“</w:t>
      </w:r>
      <w:r w:rsidR="00334BEE">
        <w:rPr>
          <w:i/>
        </w:rPr>
        <w:t>D</w:t>
      </w:r>
      <w:r w:rsidRPr="00E36E87">
        <w:rPr>
          <w:i/>
        </w:rPr>
        <w:t xml:space="preserve">ysthymic </w:t>
      </w:r>
      <w:r w:rsidR="00334BEE">
        <w:rPr>
          <w:i/>
        </w:rPr>
        <w:t>D</w:t>
      </w:r>
      <w:r w:rsidRPr="00E36E87">
        <w:rPr>
          <w:i/>
        </w:rPr>
        <w:t>isorder which ha</w:t>
      </w:r>
      <w:r w:rsidR="00334BEE">
        <w:rPr>
          <w:i/>
        </w:rPr>
        <w:t>s</w:t>
      </w:r>
      <w:r w:rsidRPr="00E36E87">
        <w:rPr>
          <w:i/>
        </w:rPr>
        <w:t xml:space="preserve"> been chronic for many years</w:t>
      </w:r>
      <w:r>
        <w:rPr>
          <w:i/>
        </w:rPr>
        <w:t>.</w:t>
      </w:r>
      <w:r w:rsidRPr="00E36E87">
        <w:rPr>
          <w:i/>
        </w:rPr>
        <w:t>”</w:t>
      </w:r>
      <w:r>
        <w:rPr>
          <w:rStyle w:val="FootnoteReference"/>
        </w:rPr>
        <w:footnoteReference w:id="20"/>
      </w:r>
      <w:r>
        <w:t xml:space="preserve"> Dr Dhillon said that the causes were likely to be a combination of personality and psychological factors related to a series of stressful life events going back to the time</w:t>
      </w:r>
      <w:r w:rsidR="00091275">
        <w:t xml:space="preserve"> when he was </w:t>
      </w:r>
      <w:r w:rsidR="0076243B">
        <w:t xml:space="preserve">in the </w:t>
      </w:r>
      <w:r w:rsidR="00091275">
        <w:t xml:space="preserve">military. Dr Dhillon reported </w:t>
      </w:r>
      <w:r>
        <w:t>that Mr Sidwell also has</w:t>
      </w:r>
      <w:r w:rsidR="00B6474D">
        <w:t>:</w:t>
      </w:r>
    </w:p>
    <w:p w:rsidR="00334BEE" w:rsidRDefault="00B6474D" w:rsidP="00B6474D">
      <w:pPr>
        <w:pStyle w:val="Quote"/>
      </w:pPr>
      <w:r>
        <w:t xml:space="preserve">… </w:t>
      </w:r>
      <w:r w:rsidR="00E36E87">
        <w:t xml:space="preserve">a </w:t>
      </w:r>
      <w:r w:rsidR="00334BEE">
        <w:t>P</w:t>
      </w:r>
      <w:r w:rsidR="00E36E87">
        <w:t>ost-</w:t>
      </w:r>
      <w:r w:rsidR="00334BEE">
        <w:t>T</w:t>
      </w:r>
      <w:r w:rsidR="00E36E87">
        <w:t xml:space="preserve">raumatic </w:t>
      </w:r>
      <w:r w:rsidR="00334BEE">
        <w:t>S</w:t>
      </w:r>
      <w:r w:rsidR="00E36E87">
        <w:t xml:space="preserve">tress </w:t>
      </w:r>
      <w:r w:rsidR="00334BEE">
        <w:t>D</w:t>
      </w:r>
      <w:r w:rsidR="00E36E87">
        <w:t>isorder (PTSD) which was chronic and attenuated. These disorders have been eviden</w:t>
      </w:r>
      <w:r w:rsidR="00334BEE">
        <w:t>t</w:t>
      </w:r>
      <w:r w:rsidR="00E36E87">
        <w:t xml:space="preserve"> for many years and are unlikely to change to a large extent in the future. </w:t>
      </w:r>
    </w:p>
    <w:p w:rsidR="005D3F5E" w:rsidRPr="005D3F5E" w:rsidRDefault="00E36E87" w:rsidP="00334BEE">
      <w:pPr>
        <w:pStyle w:val="FollowingPara"/>
      </w:pPr>
      <w:r>
        <w:t>Dr Dhillon considered that Mr Sidwell</w:t>
      </w:r>
      <w:r w:rsidR="00B47672">
        <w:t>’s</w:t>
      </w:r>
      <w:r>
        <w:t xml:space="preserve"> </w:t>
      </w:r>
      <w:r w:rsidR="00B47672" w:rsidRPr="00B47672">
        <w:rPr>
          <w:i/>
        </w:rPr>
        <w:t>“main presentation now”</w:t>
      </w:r>
      <w:r w:rsidR="00B47672">
        <w:t xml:space="preserve"> was</w:t>
      </w:r>
      <w:r>
        <w:t xml:space="preserve"> </w:t>
      </w:r>
      <w:r w:rsidRPr="00B47672">
        <w:rPr>
          <w:i/>
        </w:rPr>
        <w:t xml:space="preserve">“an </w:t>
      </w:r>
      <w:r w:rsidR="00334BEE" w:rsidRPr="00B47672">
        <w:rPr>
          <w:i/>
        </w:rPr>
        <w:t>A</w:t>
      </w:r>
      <w:r w:rsidRPr="00B47672">
        <w:rPr>
          <w:i/>
        </w:rPr>
        <w:t xml:space="preserve">djustment </w:t>
      </w:r>
      <w:r w:rsidR="00334BEE" w:rsidRPr="00B47672">
        <w:rPr>
          <w:i/>
        </w:rPr>
        <w:t>D</w:t>
      </w:r>
      <w:r w:rsidRPr="00B47672">
        <w:rPr>
          <w:i/>
        </w:rPr>
        <w:t>isorder with a depressed and anxious mood related to his battles with Centrelink</w:t>
      </w:r>
      <w:r w:rsidR="00B6474D" w:rsidRPr="00B47672">
        <w:rPr>
          <w:i/>
        </w:rPr>
        <w:t>”</w:t>
      </w:r>
      <w:r w:rsidRPr="00B47672">
        <w:rPr>
          <w:i/>
        </w:rPr>
        <w:t>.</w:t>
      </w:r>
      <w:r w:rsidRPr="004F08E0">
        <w:rPr>
          <w:rStyle w:val="FootnoteReference"/>
        </w:rPr>
        <w:footnoteReference w:id="21"/>
      </w:r>
    </w:p>
    <w:p w:rsidR="009975CD" w:rsidRDefault="005D3F5E" w:rsidP="004E7A7E">
      <w:pPr>
        <w:pStyle w:val="ListNumber"/>
      </w:pPr>
      <w:r>
        <w:t xml:space="preserve">In </w:t>
      </w:r>
      <w:r w:rsidR="00B47672">
        <w:t xml:space="preserve">his oral </w:t>
      </w:r>
      <w:r>
        <w:t>evidence</w:t>
      </w:r>
      <w:r w:rsidR="00D22DE8">
        <w:t>,</w:t>
      </w:r>
      <w:r>
        <w:t xml:space="preserve"> Dr Dhillon stated that the PTSD Mr Sidwell may have</w:t>
      </w:r>
      <w:r w:rsidR="008E27FB">
        <w:t xml:space="preserve"> suffered </w:t>
      </w:r>
      <w:r w:rsidR="0064141F">
        <w:t xml:space="preserve">as a result of his </w:t>
      </w:r>
      <w:r w:rsidR="008E27FB">
        <w:t>military duties</w:t>
      </w:r>
      <w:r>
        <w:t xml:space="preserve"> made him more vulnerable to stressful events later in his life. In relation to treatment, Dr Dhillon queried whether cognitive behavioural therapy would be effective because it would relate principally to events that were 30 years old. Rather, Dr Dhillon considered that the depression should be treated first.</w:t>
      </w:r>
      <w:r w:rsidR="008E27FB">
        <w:t xml:space="preserve"> H</w:t>
      </w:r>
      <w:r>
        <w:t xml:space="preserve">e did not see any reason to change the medication that Mr Sidwell was currently taking. He suggested that referral to a psychologist may assist Mr Sidwell to develop coping strategies to help him adjust better to his difficulties. </w:t>
      </w:r>
    </w:p>
    <w:p w:rsidR="00E36E87" w:rsidRPr="005D3F5E" w:rsidRDefault="005D3F5E" w:rsidP="004E7A7E">
      <w:pPr>
        <w:pStyle w:val="ListNumber"/>
      </w:pPr>
      <w:r>
        <w:t>In cross-examination</w:t>
      </w:r>
      <w:r w:rsidR="00D22DE8">
        <w:t>,</w:t>
      </w:r>
      <w:r>
        <w:t xml:space="preserve"> Dr Dhillon confirmed that he does not treat war veterans in his clinical practice. He acknowledged that Dr Ewer’s examination and report were comprehensive and amounted to a </w:t>
      </w:r>
      <w:r w:rsidR="0064141F">
        <w:t>“</w:t>
      </w:r>
      <w:r w:rsidR="00334BEE">
        <w:t>text</w:t>
      </w:r>
      <w:r>
        <w:t>book</w:t>
      </w:r>
      <w:r w:rsidR="0064141F">
        <w:t>”</w:t>
      </w:r>
      <w:r>
        <w:t xml:space="preserve"> treatment of PTSD and depression. Nonetheless, Dr Dhillon did not change his view about a diagnosis of dysthymic disorder rather than a major depressive disorder. He did not think that symptom magnification was an issue and he thought that from a mental health perspective, Mr Sidwell </w:t>
      </w:r>
      <w:r>
        <w:rPr>
          <w:i/>
        </w:rPr>
        <w:t>“was doing as well as can be expected based on the chronicity of his problems and his current life circumstances.”</w:t>
      </w:r>
      <w:r w:rsidRPr="005D3F5E">
        <w:rPr>
          <w:rStyle w:val="FootnoteReference"/>
        </w:rPr>
        <w:footnoteReference w:id="22"/>
      </w:r>
    </w:p>
    <w:p w:rsidR="005D3F5E" w:rsidRDefault="005D3F5E" w:rsidP="004E7A7E">
      <w:pPr>
        <w:pStyle w:val="ListNumber"/>
      </w:pPr>
      <w:r>
        <w:t xml:space="preserve">In contrast to Dr Dhillon’s assessment and recommendation, Dr Ewer </w:t>
      </w:r>
      <w:r w:rsidR="006429CF">
        <w:t xml:space="preserve">indicated </w:t>
      </w:r>
      <w:r>
        <w:t>in his report that Mr Sidwell had not had any trauma-focused therapy to enable an improvement in his PTSD</w:t>
      </w:r>
      <w:r w:rsidR="0076243B">
        <w:t>,</w:t>
      </w:r>
      <w:r w:rsidR="007C02B9">
        <w:t xml:space="preserve"> </w:t>
      </w:r>
      <w:r w:rsidR="0076243B">
        <w:t>nor had he had</w:t>
      </w:r>
      <w:r>
        <w:t xml:space="preserve"> other </w:t>
      </w:r>
      <w:r w:rsidR="00334BEE">
        <w:t>treatment</w:t>
      </w:r>
      <w:r>
        <w:t xml:space="preserve"> specific </w:t>
      </w:r>
      <w:r w:rsidR="00334BEE">
        <w:t>t</w:t>
      </w:r>
      <w:r>
        <w:t>o PTSD. Spec</w:t>
      </w:r>
      <w:r w:rsidR="00E15820">
        <w:t xml:space="preserve">ifically, Dr Ewer reported </w:t>
      </w:r>
      <w:r w:rsidR="00160706">
        <w:t>that an</w:t>
      </w:r>
      <w:r>
        <w:t xml:space="preserve"> extensive management plan </w:t>
      </w:r>
      <w:r w:rsidR="00E15820">
        <w:t xml:space="preserve">is best </w:t>
      </w:r>
      <w:r>
        <w:t xml:space="preserve">for the </w:t>
      </w:r>
      <w:r w:rsidR="00E15820">
        <w:t xml:space="preserve">treatment of PTSD and it should </w:t>
      </w:r>
      <w:r w:rsidR="00160706">
        <w:t>incorporate a</w:t>
      </w:r>
      <w:r>
        <w:t xml:space="preserve"> thorough assessment, consideration of general treatment modalities, psychotherapy that could include trauma-focused cognitive behaviour therapy or eye movement desensitisation</w:t>
      </w:r>
      <w:r w:rsidR="00334BEE">
        <w:t>,</w:t>
      </w:r>
      <w:r w:rsidR="006429CF">
        <w:t xml:space="preserve"> and</w:t>
      </w:r>
      <w:r>
        <w:t xml:space="preserve"> medication. In relation to psychotherapy, Dr Ewer reported that cognitive behaviour </w:t>
      </w:r>
      <w:r w:rsidR="00334BEE">
        <w:t>therapy would usually involve 8</w:t>
      </w:r>
      <w:r>
        <w:t xml:space="preserve"> to 12 sessions. </w:t>
      </w:r>
      <w:r w:rsidR="008810A9">
        <w:t>As Mr Sidwell had not had treatment of this kind through a comprehensive management plan, Dr Ewer reported that Mr Sidwell’s PTSD could not be considered to be fully treated or fully stabilised. Furthermore</w:t>
      </w:r>
      <w:r w:rsidR="00177DE1">
        <w:t>, as we have already noted,</w:t>
      </w:r>
      <w:r w:rsidR="008810A9">
        <w:t xml:space="preserve"> Dr Ewer considered:</w:t>
      </w:r>
    </w:p>
    <w:p w:rsidR="008810A9" w:rsidRDefault="008810A9" w:rsidP="008810A9">
      <w:pPr>
        <w:pStyle w:val="Quote"/>
      </w:pPr>
      <w:r>
        <w:t>Depression in the setting of PTSD often improves considerably once the PTSD is treated.</w:t>
      </w:r>
      <w:r w:rsidRPr="00826A19">
        <w:rPr>
          <w:rStyle w:val="FootnoteReference"/>
          <w:i w:val="0"/>
        </w:rPr>
        <w:footnoteReference w:id="23"/>
      </w:r>
    </w:p>
    <w:p w:rsidR="003F10AC" w:rsidRPr="0028386A" w:rsidRDefault="00A02014" w:rsidP="00010715">
      <w:pPr>
        <w:pStyle w:val="Heading5KB"/>
      </w:pPr>
      <w:r w:rsidRPr="0028386A">
        <w:t>Analysis</w:t>
      </w:r>
    </w:p>
    <w:p w:rsidR="007219C8" w:rsidRDefault="00A02014" w:rsidP="0091429E">
      <w:pPr>
        <w:pStyle w:val="ListNumber"/>
      </w:pPr>
      <w:r>
        <w:t xml:space="preserve">At </w:t>
      </w:r>
      <w:r w:rsidR="008E27FB">
        <w:t>the first hearing</w:t>
      </w:r>
      <w:r w:rsidR="006B5374">
        <w:t>,</w:t>
      </w:r>
      <w:r w:rsidR="008E27FB">
        <w:t xml:space="preserve"> the</w:t>
      </w:r>
      <w:r w:rsidR="00ED60DC" w:rsidRPr="00160706">
        <w:t xml:space="preserve"> evidence</w:t>
      </w:r>
      <w:r w:rsidR="00471694" w:rsidRPr="00160706">
        <w:t xml:space="preserve"> </w:t>
      </w:r>
      <w:r w:rsidR="008E27FB">
        <w:t xml:space="preserve">raised the real possibility that </w:t>
      </w:r>
      <w:r w:rsidR="00ED60DC" w:rsidRPr="00160706">
        <w:t>Mr Sidwell may</w:t>
      </w:r>
      <w:r w:rsidR="008E27FB">
        <w:t xml:space="preserve"> have been suffering</w:t>
      </w:r>
      <w:r w:rsidR="00ED60DC" w:rsidRPr="00160706">
        <w:t xml:space="preserve"> from PTSD or depression, or</w:t>
      </w:r>
      <w:r w:rsidR="006429CF">
        <w:t xml:space="preserve"> both, without resolving </w:t>
      </w:r>
      <w:r w:rsidR="00B0112C">
        <w:t>the question of diagnosis.</w:t>
      </w:r>
      <w:r w:rsidR="008D0431">
        <w:t xml:space="preserve"> </w:t>
      </w:r>
      <w:r w:rsidR="00B0112C">
        <w:t xml:space="preserve">However at </w:t>
      </w:r>
      <w:r w:rsidR="00726B27" w:rsidRPr="00726B27">
        <w:t xml:space="preserve">the second </w:t>
      </w:r>
      <w:r w:rsidR="00160706" w:rsidRPr="00726B27">
        <w:t>hearing,</w:t>
      </w:r>
      <w:r w:rsidR="00726B27" w:rsidRPr="00726B27">
        <w:t xml:space="preserve"> </w:t>
      </w:r>
      <w:r w:rsidR="00160706" w:rsidRPr="00726B27">
        <w:t>the evidence</w:t>
      </w:r>
      <w:r w:rsidR="00726B27" w:rsidRPr="00726B27">
        <w:t xml:space="preserve"> from </w:t>
      </w:r>
      <w:r w:rsidR="00B0112C">
        <w:t xml:space="preserve">the </w:t>
      </w:r>
      <w:r w:rsidR="00726B27" w:rsidRPr="00726B27">
        <w:t xml:space="preserve">two </w:t>
      </w:r>
      <w:r w:rsidR="00160706" w:rsidRPr="00726B27">
        <w:t>psychiatrists</w:t>
      </w:r>
      <w:r w:rsidR="009764CE">
        <w:t>, Dr</w:t>
      </w:r>
      <w:r w:rsidR="00826A19">
        <w:t> </w:t>
      </w:r>
      <w:r w:rsidR="009764CE">
        <w:t>Ewer and Dr</w:t>
      </w:r>
      <w:r w:rsidR="00826A19">
        <w:t> </w:t>
      </w:r>
      <w:r w:rsidR="009764CE">
        <w:t xml:space="preserve">Dhillon, </w:t>
      </w:r>
      <w:r w:rsidR="006B5374">
        <w:t xml:space="preserve">drew </w:t>
      </w:r>
      <w:r w:rsidR="00726B27" w:rsidRPr="00726B27">
        <w:t xml:space="preserve">together the threads </w:t>
      </w:r>
      <w:r w:rsidR="00160706" w:rsidRPr="00726B27">
        <w:t>of the</w:t>
      </w:r>
      <w:r w:rsidR="00726B27" w:rsidRPr="00726B27">
        <w:t xml:space="preserve"> </w:t>
      </w:r>
      <w:r w:rsidR="00160706" w:rsidRPr="00726B27">
        <w:t>evidence received</w:t>
      </w:r>
      <w:r w:rsidR="00726B27" w:rsidRPr="00726B27">
        <w:t xml:space="preserve"> in the first hearing</w:t>
      </w:r>
      <w:r w:rsidR="009764CE">
        <w:t xml:space="preserve"> and provided elaboration and context that was previously missing</w:t>
      </w:r>
      <w:r w:rsidR="00726B27" w:rsidRPr="00726B27">
        <w:t>.</w:t>
      </w:r>
      <w:r w:rsidR="00726B27">
        <w:t xml:space="preserve"> </w:t>
      </w:r>
      <w:r w:rsidR="00726B27" w:rsidRPr="00726B27">
        <w:t xml:space="preserve">The psychiatric evidence provided a more satisfactory basis for the </w:t>
      </w:r>
      <w:r w:rsidR="00726B27">
        <w:t>Tribunal</w:t>
      </w:r>
      <w:r w:rsidR="00726B27" w:rsidRPr="00726B27">
        <w:t xml:space="preserve"> to weigh the evidentiary material about depression and PTSD</w:t>
      </w:r>
      <w:r w:rsidR="007219C8">
        <w:t xml:space="preserve"> in </w:t>
      </w:r>
      <w:r w:rsidR="00160706">
        <w:t>relation</w:t>
      </w:r>
      <w:r w:rsidR="007219C8">
        <w:t xml:space="preserve"> to both assessment periods</w:t>
      </w:r>
      <w:r w:rsidR="006B5374">
        <w:t>.</w:t>
      </w:r>
    </w:p>
    <w:p w:rsidR="00726B27" w:rsidRDefault="007219C8" w:rsidP="00726B27">
      <w:pPr>
        <w:pStyle w:val="ListNumber"/>
      </w:pPr>
      <w:r>
        <w:t>In Mr</w:t>
      </w:r>
      <w:r w:rsidR="00826A19">
        <w:t> </w:t>
      </w:r>
      <w:r>
        <w:t xml:space="preserve">Sidwell’s </w:t>
      </w:r>
      <w:r w:rsidR="00826A19">
        <w:t>S</w:t>
      </w:r>
      <w:r w:rsidR="00160706">
        <w:t>tatement</w:t>
      </w:r>
      <w:r>
        <w:t xml:space="preserve"> of </w:t>
      </w:r>
      <w:r w:rsidR="00826A19">
        <w:t>F</w:t>
      </w:r>
      <w:r>
        <w:t xml:space="preserve">acts and </w:t>
      </w:r>
      <w:r w:rsidR="00826A19">
        <w:t>C</w:t>
      </w:r>
      <w:r>
        <w:t>ontentions dated 3</w:t>
      </w:r>
      <w:r w:rsidR="00826A19">
        <w:t> </w:t>
      </w:r>
      <w:r w:rsidR="00160706">
        <w:t>September</w:t>
      </w:r>
      <w:r>
        <w:t xml:space="preserve"> 2014, it was submitted that </w:t>
      </w:r>
      <w:r w:rsidRPr="00826A19">
        <w:rPr>
          <w:i/>
        </w:rPr>
        <w:t>“his depression and anxiety was fully documented,</w:t>
      </w:r>
      <w:r w:rsidR="008D0431">
        <w:rPr>
          <w:i/>
        </w:rPr>
        <w:t xml:space="preserve"> </w:t>
      </w:r>
      <w:r w:rsidRPr="00826A19">
        <w:rPr>
          <w:i/>
        </w:rPr>
        <w:t>diagnosed</w:t>
      </w:r>
      <w:r w:rsidR="009764CE" w:rsidRPr="00826A19">
        <w:rPr>
          <w:i/>
        </w:rPr>
        <w:t>, treated and stable</w:t>
      </w:r>
      <w:r w:rsidR="00826A19" w:rsidRPr="00826A19">
        <w:rPr>
          <w:i/>
        </w:rPr>
        <w:t>”</w:t>
      </w:r>
      <w:r w:rsidR="009764CE">
        <w:t xml:space="preserve"> at the time</w:t>
      </w:r>
      <w:r>
        <w:t xml:space="preserve"> of his claim</w:t>
      </w:r>
      <w:r w:rsidR="006B5374">
        <w:t>s</w:t>
      </w:r>
      <w:r>
        <w:t xml:space="preserve"> for DSP, </w:t>
      </w:r>
      <w:r w:rsidR="006B5374">
        <w:t xml:space="preserve">in </w:t>
      </w:r>
      <w:r>
        <w:t xml:space="preserve">March 2012 and </w:t>
      </w:r>
      <w:r w:rsidR="003F0928">
        <w:t>M</w:t>
      </w:r>
      <w:r>
        <w:t>arch</w:t>
      </w:r>
      <w:r w:rsidR="009764CE">
        <w:t xml:space="preserve"> 201</w:t>
      </w:r>
      <w:r>
        <w:t>3.</w:t>
      </w:r>
      <w:r w:rsidR="00826A19">
        <w:t xml:space="preserve"> </w:t>
      </w:r>
      <w:r w:rsidR="003F0928">
        <w:t xml:space="preserve">At the </w:t>
      </w:r>
      <w:r w:rsidR="009764CE">
        <w:t xml:space="preserve">second </w:t>
      </w:r>
      <w:r w:rsidR="003F0928">
        <w:t xml:space="preserve">hearing, it was not disputed on his behalf that a </w:t>
      </w:r>
      <w:r w:rsidR="00160706">
        <w:t>diagnosis</w:t>
      </w:r>
      <w:r w:rsidR="003F0928">
        <w:t xml:space="preserve"> of PTSD was </w:t>
      </w:r>
      <w:r w:rsidR="00160706">
        <w:t>appropriate</w:t>
      </w:r>
      <w:r w:rsidR="003F0928">
        <w:t xml:space="preserve">, however </w:t>
      </w:r>
      <w:r w:rsidR="00AD5598">
        <w:t xml:space="preserve">it was argued that </w:t>
      </w:r>
      <w:r w:rsidR="003F0928">
        <w:t xml:space="preserve">the </w:t>
      </w:r>
      <w:r w:rsidR="00160706">
        <w:t>evidence</w:t>
      </w:r>
      <w:r w:rsidR="003F0928">
        <w:t xml:space="preserve"> of Dr</w:t>
      </w:r>
      <w:r w:rsidR="00826A19">
        <w:t> </w:t>
      </w:r>
      <w:r w:rsidR="003F0928">
        <w:t>Dhillon suggest</w:t>
      </w:r>
      <w:r w:rsidR="00B0112C">
        <w:t>ed</w:t>
      </w:r>
      <w:r w:rsidR="003F0928">
        <w:t xml:space="preserve"> that it</w:t>
      </w:r>
      <w:r w:rsidR="00B0112C">
        <w:t xml:space="preserve"> was</w:t>
      </w:r>
      <w:r w:rsidR="003F0928">
        <w:t xml:space="preserve"> </w:t>
      </w:r>
      <w:r w:rsidR="003F0928" w:rsidRPr="00826A19">
        <w:rPr>
          <w:i/>
        </w:rPr>
        <w:t>“</w:t>
      </w:r>
      <w:r w:rsidR="00160706" w:rsidRPr="00826A19">
        <w:rPr>
          <w:i/>
        </w:rPr>
        <w:t>compartmentalised</w:t>
      </w:r>
      <w:r w:rsidR="003F0928" w:rsidRPr="00826A19">
        <w:rPr>
          <w:i/>
        </w:rPr>
        <w:t>”</w:t>
      </w:r>
      <w:r w:rsidR="003F0928">
        <w:t xml:space="preserve"> and the </w:t>
      </w:r>
      <w:r w:rsidR="00160706">
        <w:t>treatment</w:t>
      </w:r>
      <w:r w:rsidR="003F0928">
        <w:t xml:space="preserve"> for depression would not have been changed, or affected, in any event.</w:t>
      </w:r>
    </w:p>
    <w:p w:rsidR="007913D6" w:rsidRPr="00160706" w:rsidRDefault="007913D6" w:rsidP="007913D6">
      <w:pPr>
        <w:pStyle w:val="ListNumber"/>
      </w:pPr>
      <w:r>
        <w:t xml:space="preserve">It is </w:t>
      </w:r>
      <w:r w:rsidR="00160706">
        <w:t>important</w:t>
      </w:r>
      <w:r>
        <w:t xml:space="preserve"> to appreciate that</w:t>
      </w:r>
      <w:r w:rsidRPr="00F14F7C">
        <w:rPr>
          <w:color w:val="FF0000"/>
        </w:rPr>
        <w:t xml:space="preserve"> </w:t>
      </w:r>
      <w:r w:rsidRPr="00160706">
        <w:t xml:space="preserve">the progression of a medical condition after the assessment period cannot be used as material to award DSP. The Tribunal notes the comments </w:t>
      </w:r>
      <w:r w:rsidR="0089787D" w:rsidRPr="00160706">
        <w:t>of Member</w:t>
      </w:r>
      <w:r w:rsidRPr="00160706">
        <w:t xml:space="preserve"> Breen in </w:t>
      </w:r>
      <w:r w:rsidRPr="00160706">
        <w:rPr>
          <w:i/>
        </w:rPr>
        <w:t>Re Bobera and Secretary, Department of Families, Housing, Community Services and Indigenous Affairs</w:t>
      </w:r>
      <w:r w:rsidRPr="00160706">
        <w:t>:</w:t>
      </w:r>
    </w:p>
    <w:p w:rsidR="00FB4B6D" w:rsidRPr="00FB4B6D" w:rsidRDefault="007913D6" w:rsidP="00FB4B6D">
      <w:pPr>
        <w:pStyle w:val="Quote"/>
      </w:pPr>
      <w:r w:rsidRPr="00160706">
        <w:t>In the Tribunal’s consideration as to whether a condition has been stabilised and is likely to persist for the foreseeable future, the Tribunal must look at the situation as it was, and the evidence that was available, at the time of the application for DSP (and the subsequent 13 weeks). Any subsequent evolution of a particular condition might be relevant to any weight the Tribunal places on competing prognostications or on an assessment of the quality of the medical reports provided (most notably where evidence indicates that the creator of a medical report may not have had access to all relevant information or may not have turned his or her mind to all the relevant issues). This point is important as it is quite frequently the case that appeals on DSP decisions arrive at this Tribunal twelve or more months after the initial DSP application was refused. In many instances, the natural course of illnesses or injuries has then become more obvious, thereby confounding the professional opinions honestly proffered by thorough and conscientious treating doctors. If a medical condition has progressed since the time of the original DSP application, then it is up to the applicant to make a new DSP application. It is not open in law for this Tribunal to use any evidence of such progression to directly award a DSP because of those changed circumstances.</w:t>
      </w:r>
      <w:r w:rsidRPr="00826A19">
        <w:rPr>
          <w:rStyle w:val="FootnoteReference"/>
          <w:i w:val="0"/>
        </w:rPr>
        <w:footnoteReference w:id="24"/>
      </w:r>
    </w:p>
    <w:p w:rsidR="003F0928" w:rsidRDefault="009764CE" w:rsidP="00726B27">
      <w:pPr>
        <w:pStyle w:val="ListNumber"/>
      </w:pPr>
      <w:r>
        <w:t>In addition</w:t>
      </w:r>
      <w:r w:rsidR="00160706">
        <w:t xml:space="preserve">, the Tribunal notes the comments of Deputy President Handley in </w:t>
      </w:r>
      <w:r w:rsidR="00FA227C" w:rsidRPr="00517927">
        <w:rPr>
          <w:i/>
        </w:rPr>
        <w:t>Re</w:t>
      </w:r>
      <w:r w:rsidR="00517927">
        <w:t> </w:t>
      </w:r>
      <w:r w:rsidR="00160706" w:rsidRPr="007913D6">
        <w:rPr>
          <w:i/>
        </w:rPr>
        <w:t>Fa</w:t>
      </w:r>
      <w:r w:rsidR="00160706">
        <w:rPr>
          <w:i/>
        </w:rPr>
        <w:t>nn</w:t>
      </w:r>
      <w:r w:rsidR="00160706" w:rsidRPr="007913D6">
        <w:rPr>
          <w:i/>
        </w:rPr>
        <w:t>ing and Secretary,</w:t>
      </w:r>
      <w:r w:rsidR="00FA227C">
        <w:rPr>
          <w:i/>
        </w:rPr>
        <w:t xml:space="preserve"> </w:t>
      </w:r>
      <w:r w:rsidR="00160706" w:rsidRPr="007913D6">
        <w:rPr>
          <w:i/>
        </w:rPr>
        <w:t>Department of Social Services</w:t>
      </w:r>
      <w:r w:rsidR="00160706">
        <w:t>:</w:t>
      </w:r>
    </w:p>
    <w:p w:rsidR="00826A19" w:rsidRDefault="00826A19" w:rsidP="00826A19">
      <w:pPr>
        <w:pStyle w:val="Quote"/>
        <w:ind w:left="1440" w:hanging="731"/>
      </w:pPr>
      <w:r>
        <w:t>31.</w:t>
      </w:r>
      <w:r>
        <w:tab/>
        <w:t xml:space="preserve">In my view, in the case of DSP, it is implicit in </w:t>
      </w:r>
      <w:r w:rsidR="00FA227C">
        <w:t>cl</w:t>
      </w:r>
      <w:r>
        <w:t xml:space="preserve"> 4 of Sch 2 of the Administration Act that an applicant must be qualified for DSP on the date of claim or with the period of 13 weeks following. Evidence, such as medical reports, that come into being after the relevant period may still be relevant, but only in so far as they are referrable to the applicant’s condition during the relevant period.</w:t>
      </w:r>
    </w:p>
    <w:p w:rsidR="00826A19" w:rsidRDefault="00826A19" w:rsidP="00826A19">
      <w:pPr>
        <w:pStyle w:val="Quote"/>
        <w:ind w:left="1440" w:hanging="731"/>
      </w:pPr>
      <w:r>
        <w:t>32.</w:t>
      </w:r>
      <w:r>
        <w:tab/>
        <w:t xml:space="preserve">This is supported by the judgment of Gyles J in </w:t>
      </w:r>
      <w:r w:rsidRPr="00826A19">
        <w:rPr>
          <w:i w:val="0"/>
        </w:rPr>
        <w:t>Harris v Secretary, Department of Employment and Workplace Relations</w:t>
      </w:r>
      <w:r>
        <w:t xml:space="preserve"> </w:t>
      </w:r>
      <w:r w:rsidR="00FA227C">
        <w:t>(2007) 158 FCR 252;</w:t>
      </w:r>
      <w:r w:rsidR="00517927">
        <w:t xml:space="preserve"> </w:t>
      </w:r>
      <w:r>
        <w:t xml:space="preserve">[2007] FCA 404. Gyles J stated at [1] that as an applicant’s entitlement to DSP must be considered at the date of claim and within the 13 week period, </w:t>
      </w:r>
      <w:r w:rsidRPr="00FA227C">
        <w:t>“Any subsequent change in her health is irrelevant to the questions which arise in this proceeding except in</w:t>
      </w:r>
      <w:r w:rsidR="00FA227C" w:rsidRPr="00FA227C">
        <w:t xml:space="preserve"> </w:t>
      </w:r>
      <w:r w:rsidRPr="00FA227C">
        <w:t>so</w:t>
      </w:r>
      <w:r w:rsidR="00FA227C" w:rsidRPr="00FA227C">
        <w:t xml:space="preserve"> </w:t>
      </w:r>
      <w:r w:rsidRPr="00FA227C">
        <w:t>far as it may cast light on the position at the relevant time”.</w:t>
      </w:r>
    </w:p>
    <w:p w:rsidR="00826A19" w:rsidRDefault="00826A19" w:rsidP="00826A19">
      <w:pPr>
        <w:pStyle w:val="Quote"/>
        <w:ind w:left="1440" w:hanging="731"/>
      </w:pPr>
      <w:r>
        <w:t>33.</w:t>
      </w:r>
      <w:r>
        <w:tab/>
        <w:t xml:space="preserve">The language in cl 6(5) and (6) of the 2011 Determination is forward-looking. With respect to whether a condition was fully stabilised, for example, the question for the </w:t>
      </w:r>
      <w:r w:rsidR="007F4B42">
        <w:t>t</w:t>
      </w:r>
      <w:r>
        <w:t xml:space="preserve">ribunal is whether “any further reasonable treatment is </w:t>
      </w:r>
      <w:r w:rsidRPr="007F4B42">
        <w:rPr>
          <w:i w:val="0"/>
        </w:rPr>
        <w:t>unlikely</w:t>
      </w:r>
      <w:r>
        <w:t xml:space="preserve"> to result in significant functional improvement to a level enabling the person to undertake work in the next </w:t>
      </w:r>
      <w:r w:rsidR="007F4B42">
        <w:t>2</w:t>
      </w:r>
      <w:r>
        <w:t xml:space="preserve"> years” (emphasis added). While hindsight may suggest that treatment did not result in improvement within </w:t>
      </w:r>
      <w:r w:rsidR="007F4B42">
        <w:t>2</w:t>
      </w:r>
      <w:r>
        <w:t xml:space="preserve"> years, that is not the question for the Tribunal to determine. The legislation requires the </w:t>
      </w:r>
      <w:r w:rsidR="007F4B42">
        <w:t>t</w:t>
      </w:r>
      <w:r>
        <w:t xml:space="preserve">ribunal to consider the treatment that has taken place, and was intended to take place, and the likely effect of that treatment, at the time of the claim and in the 13 weeks thereafter. For that reason, evidence of treatment, and the efficacy of that treatment, after the relevant period is not directly relevant to the </w:t>
      </w:r>
      <w:r w:rsidR="007F4B42">
        <w:t>t</w:t>
      </w:r>
      <w:r>
        <w:t>ribunal’s decision.</w:t>
      </w:r>
      <w:r w:rsidR="00B6474D" w:rsidRPr="00B6474D">
        <w:rPr>
          <w:rStyle w:val="FootnoteReference"/>
          <w:i w:val="0"/>
        </w:rPr>
        <w:footnoteReference w:id="25"/>
      </w:r>
    </w:p>
    <w:p w:rsidR="00B0112C" w:rsidRDefault="00B0112C" w:rsidP="00B0112C">
      <w:pPr>
        <w:pStyle w:val="ListNumber"/>
      </w:pPr>
      <w:r>
        <w:t>In relation to mental health function, the Tribunal, constit</w:t>
      </w:r>
      <w:r w:rsidR="007E4A22">
        <w:t>uted by Senior </w:t>
      </w:r>
      <w:r>
        <w:t>Member</w:t>
      </w:r>
      <w:r w:rsidR="007E4A22">
        <w:t> </w:t>
      </w:r>
      <w:r>
        <w:t xml:space="preserve">Dunne and Professor Reilly, in </w:t>
      </w:r>
      <w:r w:rsidRPr="00A16604">
        <w:rPr>
          <w:i/>
        </w:rPr>
        <w:t>Re Yazdari</w:t>
      </w:r>
      <w:r>
        <w:rPr>
          <w:i/>
        </w:rPr>
        <w:t xml:space="preserve"> and Secretary, Department of Social Services</w:t>
      </w:r>
      <w:r w:rsidRPr="00B6474D">
        <w:rPr>
          <w:rStyle w:val="FootnoteReference"/>
        </w:rPr>
        <w:footnoteReference w:id="26"/>
      </w:r>
      <w:r w:rsidRPr="00B6474D">
        <w:t>,</w:t>
      </w:r>
      <w:r>
        <w:t xml:space="preserve"> </w:t>
      </w:r>
      <w:r w:rsidR="006B5374">
        <w:t xml:space="preserve">also </w:t>
      </w:r>
      <w:r>
        <w:t>provided helpful guidance as follows:</w:t>
      </w:r>
    </w:p>
    <w:p w:rsidR="00B0112C" w:rsidRDefault="00B0112C" w:rsidP="00B0112C">
      <w:pPr>
        <w:pStyle w:val="Quote"/>
        <w:ind w:left="1276" w:hanging="567"/>
      </w:pPr>
      <w:r>
        <w:t>30.</w:t>
      </w:r>
      <w:r>
        <w:tab/>
        <w:t>…</w:t>
      </w:r>
    </w:p>
    <w:p w:rsidR="00B0112C" w:rsidRDefault="00B0112C" w:rsidP="00B0112C">
      <w:pPr>
        <w:pStyle w:val="Quote2"/>
        <w:tabs>
          <w:tab w:val="left" w:pos="1701"/>
        </w:tabs>
        <w:ind w:left="1701" w:hanging="425"/>
      </w:pPr>
      <w:r>
        <w:t>(a)</w:t>
      </w:r>
      <w:r>
        <w:tab/>
        <w:t>the Impairment Tables are for assessing the degree of psychiatric impairment, not to assess the severity of psychiatric conditions;…</w:t>
      </w:r>
    </w:p>
    <w:p w:rsidR="00B0112C" w:rsidRDefault="00B0112C" w:rsidP="00B0112C">
      <w:pPr>
        <w:pStyle w:val="Quote2"/>
        <w:tabs>
          <w:tab w:val="left" w:pos="1701"/>
        </w:tabs>
        <w:ind w:left="1701" w:hanging="425"/>
      </w:pPr>
      <w:r>
        <w:t>(b)</w:t>
      </w:r>
      <w:r>
        <w:tab/>
        <w:t xml:space="preserve">an impairment rating can only be assigned to a psychiatric impairment if the condition causing that impairment is ‘permanent’;… </w:t>
      </w:r>
    </w:p>
    <w:p w:rsidR="00B0112C" w:rsidRDefault="00B0112C" w:rsidP="00B0112C">
      <w:pPr>
        <w:pStyle w:val="Quote2"/>
        <w:tabs>
          <w:tab w:val="left" w:pos="1701"/>
        </w:tabs>
        <w:ind w:left="1701" w:hanging="425"/>
      </w:pPr>
      <w:r>
        <w:t>(c)</w:t>
      </w:r>
      <w:r>
        <w:tab/>
        <w:t xml:space="preserve">a psychiatric condition is only ‘permanent’ if it has been fully diagnosed by an appropriately qualified medical practitioner such as a psychiatrist or, failing that, a general practitioner with input from a clinical psychologist; … </w:t>
      </w:r>
    </w:p>
    <w:p w:rsidR="00B0112C" w:rsidRDefault="00B0112C" w:rsidP="00B0112C">
      <w:pPr>
        <w:pStyle w:val="Quote2"/>
        <w:tabs>
          <w:tab w:val="left" w:pos="1701"/>
        </w:tabs>
        <w:ind w:left="1701" w:hanging="425"/>
      </w:pPr>
      <w:r>
        <w:t>(d)</w:t>
      </w:r>
      <w:r>
        <w:tab/>
        <w:t>while psychiatric conditions are diagnosed by reference to psychiatric symptoms, an appropriately qualified medical practitioner would usually differentiate between a diagnosed condition and the symptoms on which their diagnosis is based; and</w:t>
      </w:r>
    </w:p>
    <w:p w:rsidR="00B0112C" w:rsidRDefault="00B0112C" w:rsidP="00B0112C">
      <w:pPr>
        <w:pStyle w:val="Quote2"/>
        <w:tabs>
          <w:tab w:val="left" w:pos="1701"/>
        </w:tabs>
        <w:ind w:left="1701" w:hanging="425"/>
      </w:pPr>
      <w:r>
        <w:t>(e)</w:t>
      </w:r>
      <w:r>
        <w:tab/>
        <w:t>it is not possible to assess whether a psychiatric condition has been fully treated and stabilised without a proper diagnosis, which is essential for the development of a fully informed treatment plan.</w:t>
      </w:r>
    </w:p>
    <w:p w:rsidR="00E23C23" w:rsidRPr="00826A19" w:rsidRDefault="002C29C2" w:rsidP="00E23C23">
      <w:pPr>
        <w:pStyle w:val="ListNumber"/>
      </w:pPr>
      <w:r>
        <w:t>Both Dr</w:t>
      </w:r>
      <w:r w:rsidR="00826A19">
        <w:t> </w:t>
      </w:r>
      <w:r>
        <w:t>Ewer and Dr</w:t>
      </w:r>
      <w:r w:rsidR="009C484A">
        <w:t> </w:t>
      </w:r>
      <w:r>
        <w:t>Dhillon agree</w:t>
      </w:r>
      <w:r w:rsidR="00993E0B">
        <w:t>d</w:t>
      </w:r>
      <w:r>
        <w:t xml:space="preserve"> on the existence of a psychiatric condition. They differ</w:t>
      </w:r>
      <w:r w:rsidR="00993E0B">
        <w:t>ed</w:t>
      </w:r>
      <w:r>
        <w:t xml:space="preserve"> about Mr</w:t>
      </w:r>
      <w:r w:rsidR="009C484A">
        <w:t> </w:t>
      </w:r>
      <w:r>
        <w:t xml:space="preserve">Sidwell’s precise diagnosis and, consequently, the optimal course of treatment. Their opinions, coming well after the second assessment period, highlight </w:t>
      </w:r>
      <w:r w:rsidRPr="00993E0B">
        <w:rPr>
          <w:color w:val="1F497D"/>
        </w:rPr>
        <w:t>t</w:t>
      </w:r>
      <w:r>
        <w:t xml:space="preserve">he </w:t>
      </w:r>
      <w:r w:rsidR="00B47672">
        <w:t>factors</w:t>
      </w:r>
      <w:r>
        <w:t xml:space="preserve"> that were relevant to diagnoses during both assessment periods and provide </w:t>
      </w:r>
      <w:r w:rsidR="00B47672">
        <w:t>assistance i</w:t>
      </w:r>
      <w:r w:rsidR="00534D38">
        <w:t>n</w:t>
      </w:r>
      <w:r w:rsidR="00B47672">
        <w:t xml:space="preserve"> assessing those factors</w:t>
      </w:r>
      <w:r>
        <w:t>. Their expertise in psychiatry assist</w:t>
      </w:r>
      <w:r w:rsidR="006B5374">
        <w:t>s</w:t>
      </w:r>
      <w:r>
        <w:t xml:space="preserve"> in the interpretation of the evolution of Mr</w:t>
      </w:r>
      <w:r w:rsidR="009C484A">
        <w:t> </w:t>
      </w:r>
      <w:r>
        <w:t>Sidwell’s psychological conditions and the</w:t>
      </w:r>
      <w:r w:rsidR="007F4B42">
        <w:t>ir</w:t>
      </w:r>
      <w:r>
        <w:t xml:space="preserve"> treatment. This assists the Tribunal, in turn, in its task of determining the situation in each of the assessment periods and whether it could be concluded at those times that Mr</w:t>
      </w:r>
      <w:r w:rsidR="009C484A">
        <w:t> </w:t>
      </w:r>
      <w:r>
        <w:t>Sidwell’s mental health issues were permanent because they were fully diagnosed, fully treated and fully stabilised.</w:t>
      </w:r>
    </w:p>
    <w:p w:rsidR="009C484A" w:rsidRDefault="005225A5" w:rsidP="005225A5">
      <w:pPr>
        <w:pStyle w:val="ListNumber"/>
      </w:pPr>
      <w:r>
        <w:t>On consideration of all of the evidence</w:t>
      </w:r>
      <w:r w:rsidR="008C4C59">
        <w:t xml:space="preserve"> </w:t>
      </w:r>
      <w:r w:rsidR="00993E0B">
        <w:t xml:space="preserve">in </w:t>
      </w:r>
      <w:r w:rsidR="00FB4B6D">
        <w:t>both hearings</w:t>
      </w:r>
      <w:r>
        <w:t xml:space="preserve">, </w:t>
      </w:r>
      <w:r w:rsidR="006B5374">
        <w:t>we</w:t>
      </w:r>
      <w:r>
        <w:t xml:space="preserve"> prefer Dr Ewer’s analysis of Mr</w:t>
      </w:r>
      <w:r w:rsidR="009C484A">
        <w:t> </w:t>
      </w:r>
      <w:r>
        <w:t>Sidwell’s mental health condition</w:t>
      </w:r>
      <w:r w:rsidR="00B0112C">
        <w:t xml:space="preserve"> to that of Dr Dhillon</w:t>
      </w:r>
      <w:r>
        <w:t>. Dr</w:t>
      </w:r>
      <w:r w:rsidR="009C484A">
        <w:t> </w:t>
      </w:r>
      <w:r>
        <w:t>Ewer has carefully analysed and provided consistent evidence about the relevant events</w:t>
      </w:r>
      <w:r w:rsidR="00C93628">
        <w:t>,</w:t>
      </w:r>
      <w:r>
        <w:t xml:space="preserve"> including the experiences which Mr Sidwell had in the </w:t>
      </w:r>
      <w:r w:rsidR="00E005FF">
        <w:t>militar</w:t>
      </w:r>
      <w:r>
        <w:t>y, the difficulties later on in his marriage, and the psychological impact which those difficulties had</w:t>
      </w:r>
      <w:r w:rsidR="006B5374">
        <w:t>.</w:t>
      </w:r>
      <w:r>
        <w:t xml:space="preserve"> In relation to Mr</w:t>
      </w:r>
      <w:r w:rsidR="009C484A">
        <w:t> </w:t>
      </w:r>
      <w:r>
        <w:t>Sidwell’s PTSD, Dr Ewer reported:</w:t>
      </w:r>
    </w:p>
    <w:p w:rsidR="005225A5" w:rsidRPr="009C484A" w:rsidRDefault="007F4B42" w:rsidP="009C484A">
      <w:pPr>
        <w:pStyle w:val="Quote"/>
      </w:pPr>
      <w:r>
        <w:t xml:space="preserve">… </w:t>
      </w:r>
      <w:r w:rsidR="00B87E6F">
        <w:t>i</w:t>
      </w:r>
      <w:r w:rsidR="005225A5" w:rsidRPr="005225A5">
        <w:t xml:space="preserve">t would appear that his post-traumatic stress disorder was not fully diagnosed during </w:t>
      </w:r>
      <w:r w:rsidR="00517927">
        <w:t>the relevant periods. His post-</w:t>
      </w:r>
      <w:r w:rsidR="005225A5" w:rsidRPr="005225A5">
        <w:t xml:space="preserve">traumatic stress disorder was not fully treated during the relevant periods. In particular, Mr Sidwell has had treatment </w:t>
      </w:r>
      <w:r w:rsidR="005225A5">
        <w:t>for depression. People suffering fro</w:t>
      </w:r>
      <w:r w:rsidR="005225A5" w:rsidRPr="005225A5">
        <w:t>m PTSD require more specific treatment and in particular evidence based, best practice treatment involves trauma focused therapy</w:t>
      </w:r>
      <w:r w:rsidR="009C484A">
        <w:t>.</w:t>
      </w:r>
      <w:r w:rsidR="009C484A" w:rsidRPr="00B6474D">
        <w:rPr>
          <w:rStyle w:val="FootnoteReference"/>
          <w:i w:val="0"/>
        </w:rPr>
        <w:footnoteReference w:id="27"/>
      </w:r>
    </w:p>
    <w:p w:rsidR="00C1422A" w:rsidRDefault="00C1422A" w:rsidP="00C1422A">
      <w:pPr>
        <w:pStyle w:val="ListNumber"/>
      </w:pPr>
      <w:r w:rsidRPr="00C1422A">
        <w:t xml:space="preserve">Accordingly, </w:t>
      </w:r>
      <w:r w:rsidR="00963750">
        <w:t>we are not satisfied that any PTSD condition</w:t>
      </w:r>
      <w:r w:rsidRPr="00C1422A">
        <w:t xml:space="preserve"> suffered by Mr Sidwell can be said to have been fully diagnosed, treated and stabilised during the first </w:t>
      </w:r>
      <w:r w:rsidR="009A7849">
        <w:t xml:space="preserve">or second </w:t>
      </w:r>
      <w:r w:rsidRPr="00C1422A">
        <w:t>assessment period</w:t>
      </w:r>
      <w:r w:rsidR="006B5374">
        <w:t>s</w:t>
      </w:r>
      <w:r w:rsidRPr="00C1422A">
        <w:t xml:space="preserve">. Even if Mr Sidwell could be said to have suffered from a major depressive disorder </w:t>
      </w:r>
      <w:r w:rsidR="00B47672">
        <w:t>during one or both assessment periods</w:t>
      </w:r>
      <w:r w:rsidRPr="00C1422A">
        <w:t xml:space="preserve">, on the evidence before the Tribunal, </w:t>
      </w:r>
      <w:r w:rsidR="006B5374">
        <w:t xml:space="preserve">any </w:t>
      </w:r>
      <w:r w:rsidRPr="00C1422A">
        <w:t xml:space="preserve">such major depressive disorder was </w:t>
      </w:r>
      <w:r w:rsidR="006B5374">
        <w:t xml:space="preserve">also </w:t>
      </w:r>
      <w:r w:rsidRPr="00C1422A">
        <w:t xml:space="preserve">not fully treated and stabilised during </w:t>
      </w:r>
      <w:r w:rsidR="009A7849">
        <w:t>either</w:t>
      </w:r>
      <w:r w:rsidRPr="00C1422A">
        <w:t xml:space="preserve"> assessment period</w:t>
      </w:r>
      <w:r w:rsidR="006B5374">
        <w:t xml:space="preserve">, particularly given that treatment of Mr Sidwell’s </w:t>
      </w:r>
      <w:r w:rsidR="00442F1C">
        <w:t xml:space="preserve">subsequently diagnosed </w:t>
      </w:r>
      <w:r w:rsidR="006B5374">
        <w:t>PTSD is likely to result in improvement in his depression.</w:t>
      </w:r>
      <w:r w:rsidR="006B5374" w:rsidRPr="00C1422A">
        <w:t xml:space="preserve"> </w:t>
      </w:r>
      <w:r w:rsidRPr="00C1422A">
        <w:t>Therefore no points can be assigned to any resulting impairment under Table 5 of the Impairment Tables</w:t>
      </w:r>
      <w:r w:rsidR="00AD5D06">
        <w:t>.</w:t>
      </w:r>
    </w:p>
    <w:p w:rsidR="00AD5D06" w:rsidRDefault="00AD5D06" w:rsidP="00C1422A">
      <w:pPr>
        <w:pStyle w:val="ListNumber"/>
      </w:pPr>
      <w:r>
        <w:t>Mr</w:t>
      </w:r>
      <w:r w:rsidR="009C484A">
        <w:t> </w:t>
      </w:r>
      <w:r>
        <w:t xml:space="preserve">Sidwell’s journey </w:t>
      </w:r>
      <w:r w:rsidR="009723C0">
        <w:t>through</w:t>
      </w:r>
      <w:r>
        <w:t xml:space="preserve"> </w:t>
      </w:r>
      <w:r w:rsidR="009A7849">
        <w:t>two</w:t>
      </w:r>
      <w:r>
        <w:t xml:space="preserve"> DSP</w:t>
      </w:r>
      <w:r w:rsidR="00963750">
        <w:t xml:space="preserve"> claims resulting in two separate</w:t>
      </w:r>
      <w:r>
        <w:t xml:space="preserve"> </w:t>
      </w:r>
      <w:r w:rsidR="009723C0">
        <w:t>applications</w:t>
      </w:r>
      <w:r>
        <w:t xml:space="preserve"> </w:t>
      </w:r>
      <w:r w:rsidR="00963750">
        <w:t>to the Tribunal</w:t>
      </w:r>
      <w:r>
        <w:t xml:space="preserve"> </w:t>
      </w:r>
      <w:r w:rsidR="009723C0">
        <w:t>has been</w:t>
      </w:r>
      <w:r>
        <w:t xml:space="preserve"> lengthy and complex. However, it is necessary, though not always easy</w:t>
      </w:r>
      <w:r w:rsidR="0028386A">
        <w:t>,</w:t>
      </w:r>
      <w:r w:rsidR="009A7849">
        <w:t xml:space="preserve"> for DSP </w:t>
      </w:r>
      <w:r w:rsidR="006B5374">
        <w:t xml:space="preserve">claimants </w:t>
      </w:r>
      <w:r>
        <w:t xml:space="preserve">to interpret and follow the rules laid out in the legislative scheme. The Tribunal </w:t>
      </w:r>
      <w:r w:rsidR="009A7849">
        <w:t>notes</w:t>
      </w:r>
      <w:r>
        <w:t xml:space="preserve"> the Secretary’s comment</w:t>
      </w:r>
      <w:r w:rsidR="00B6474D">
        <w:t>:</w:t>
      </w:r>
      <w:r>
        <w:t xml:space="preserve"> </w:t>
      </w:r>
    </w:p>
    <w:p w:rsidR="009C484A" w:rsidRDefault="003B3925" w:rsidP="003B3925">
      <w:pPr>
        <w:pStyle w:val="Quote"/>
      </w:pPr>
      <w:r>
        <w:t>If, after undertaking the further reasonable treatment recommended by Dr</w:t>
      </w:r>
      <w:r w:rsidR="009645F8">
        <w:t> </w:t>
      </w:r>
      <w:r>
        <w:t>Ewer, Mr Sidwell’s psychiatric impairment still does not improve, the appropriate solution is for Mr Sidwell to lodge a further claim for DSP at that time.</w:t>
      </w:r>
      <w:r w:rsidR="00B6474D" w:rsidRPr="00B6474D">
        <w:rPr>
          <w:rStyle w:val="FootnoteReference"/>
          <w:i w:val="0"/>
        </w:rPr>
        <w:footnoteReference w:id="28"/>
      </w:r>
    </w:p>
    <w:p w:rsidR="004E7A7E" w:rsidRPr="00E36E87" w:rsidRDefault="00A02014" w:rsidP="00E36E87">
      <w:pPr>
        <w:pStyle w:val="Heading1"/>
        <w:rPr>
          <w:b/>
        </w:rPr>
      </w:pPr>
      <w:r>
        <w:rPr>
          <w:b/>
        </w:rPr>
        <w:t>CONCLUSION</w:t>
      </w:r>
    </w:p>
    <w:p w:rsidR="00D6478B" w:rsidRDefault="006B5374" w:rsidP="00D6478B">
      <w:pPr>
        <w:pStyle w:val="ListNumber"/>
      </w:pPr>
      <w:r>
        <w:t>We are</w:t>
      </w:r>
      <w:r w:rsidR="00D6478B" w:rsidRPr="00D6478B">
        <w:t xml:space="preserve"> satisfied that </w:t>
      </w:r>
      <w:r w:rsidR="0053221B">
        <w:t>the conditions from which Mr</w:t>
      </w:r>
      <w:r w:rsidR="009645F8">
        <w:t> </w:t>
      </w:r>
      <w:r w:rsidR="005225A5">
        <w:t>Sidwell suffers</w:t>
      </w:r>
      <w:r w:rsidR="00533D1C">
        <w:t xml:space="preserve"> which give rise to impairment</w:t>
      </w:r>
      <w:r w:rsidR="00E23C23">
        <w:t xml:space="preserve"> ratings</w:t>
      </w:r>
      <w:r w:rsidR="00533D1C">
        <w:t xml:space="preserve"> under the Impairment Tables during the assessment period</w:t>
      </w:r>
      <w:r w:rsidR="0053221B">
        <w:t>s</w:t>
      </w:r>
      <w:r w:rsidR="00533D1C">
        <w:t xml:space="preserve"> are the lower back </w:t>
      </w:r>
      <w:r>
        <w:t xml:space="preserve">condition </w:t>
      </w:r>
      <w:r w:rsidR="00533D1C">
        <w:t>and the testicular pain.</w:t>
      </w:r>
      <w:r w:rsidR="004E7A7E">
        <w:t xml:space="preserve"> </w:t>
      </w:r>
      <w:r w:rsidR="00D6478B">
        <w:t xml:space="preserve">The applicable rating for the lower </w:t>
      </w:r>
      <w:r w:rsidR="00533D1C">
        <w:t>back</w:t>
      </w:r>
      <w:r w:rsidR="00D6478B">
        <w:t xml:space="preserve"> </w:t>
      </w:r>
      <w:r>
        <w:t xml:space="preserve">condition </w:t>
      </w:r>
      <w:r w:rsidR="00D6478B">
        <w:t>is 10 points</w:t>
      </w:r>
      <w:r w:rsidR="0053221B">
        <w:t xml:space="preserve"> for each assessment </w:t>
      </w:r>
      <w:r w:rsidR="005225A5">
        <w:t>period and</w:t>
      </w:r>
      <w:r w:rsidR="00D6478B">
        <w:t xml:space="preserve"> the applicable rating for the testicular pain is 5 </w:t>
      </w:r>
      <w:r w:rsidR="00533D1C">
        <w:t>points</w:t>
      </w:r>
      <w:r w:rsidR="0053221B">
        <w:t xml:space="preserve"> for each assessment period</w:t>
      </w:r>
      <w:r w:rsidR="00963750">
        <w:t xml:space="preserve">, resulting in a total of 15 points for each period.  It follows that </w:t>
      </w:r>
      <w:r w:rsidR="00D6478B">
        <w:t>Mr</w:t>
      </w:r>
      <w:r w:rsidR="004E7A7E">
        <w:t> </w:t>
      </w:r>
      <w:r w:rsidR="00D6478B">
        <w:t xml:space="preserve">Sidwell did </w:t>
      </w:r>
      <w:r w:rsidR="00533D1C">
        <w:t>not</w:t>
      </w:r>
      <w:r w:rsidR="00D6478B">
        <w:t xml:space="preserve"> have </w:t>
      </w:r>
      <w:r w:rsidR="00963750">
        <w:t xml:space="preserve">an </w:t>
      </w:r>
      <w:r w:rsidR="00726B27">
        <w:t>impairment</w:t>
      </w:r>
      <w:r w:rsidR="00D6478B">
        <w:t xml:space="preserve"> or a combination of </w:t>
      </w:r>
      <w:r w:rsidR="00533D1C">
        <w:t>impairments</w:t>
      </w:r>
      <w:r w:rsidR="00D6478B">
        <w:t xml:space="preserve"> attracting a rating of at </w:t>
      </w:r>
      <w:r w:rsidR="00533D1C">
        <w:t>least</w:t>
      </w:r>
      <w:r w:rsidR="00D6478B">
        <w:t xml:space="preserve"> 20 points under the </w:t>
      </w:r>
      <w:r w:rsidR="00533D1C">
        <w:t>Impairment</w:t>
      </w:r>
      <w:r w:rsidR="00A17967">
        <w:t xml:space="preserve"> T</w:t>
      </w:r>
      <w:r w:rsidR="00D6478B">
        <w:t xml:space="preserve">ables during </w:t>
      </w:r>
      <w:r w:rsidR="0053221B">
        <w:t xml:space="preserve">either of </w:t>
      </w:r>
      <w:r w:rsidR="00D6478B">
        <w:t>the assessment period</w:t>
      </w:r>
      <w:r w:rsidR="0053221B">
        <w:t>s</w:t>
      </w:r>
      <w:r w:rsidR="00963750">
        <w:t xml:space="preserve">, and therefore </w:t>
      </w:r>
      <w:r w:rsidR="00442F1C">
        <w:t xml:space="preserve">he </w:t>
      </w:r>
      <w:r w:rsidR="00963750">
        <w:t>did not satisfy s</w:t>
      </w:r>
      <w:r w:rsidR="007F4B42">
        <w:t>ubs</w:t>
      </w:r>
      <w:r w:rsidR="00963750">
        <w:t xml:space="preserve"> 94(1)(b) of th</w:t>
      </w:r>
      <w:r w:rsidR="007F4B42">
        <w:t>e</w:t>
      </w:r>
      <w:r w:rsidR="00963750">
        <w:t xml:space="preserve"> Act with respect to either period.</w:t>
      </w:r>
    </w:p>
    <w:p w:rsidR="0053221B" w:rsidRDefault="0053221B" w:rsidP="0053221B">
      <w:pPr>
        <w:pStyle w:val="ListNumber"/>
      </w:pPr>
      <w:r>
        <w:t xml:space="preserve">Accordingly it is not necessary to consider whether or not, during the assessment periods, Mr Sidwell had a </w:t>
      </w:r>
      <w:r w:rsidRPr="0067194A">
        <w:rPr>
          <w:i/>
        </w:rPr>
        <w:t>“continuing inability to work”</w:t>
      </w:r>
      <w:r>
        <w:t xml:space="preserve"> within the meaning of subs 94(1</w:t>
      </w:r>
      <w:r w:rsidR="005225A5">
        <w:t>)(</w:t>
      </w:r>
      <w:r>
        <w:t>c).</w:t>
      </w:r>
    </w:p>
    <w:p w:rsidR="00D6478B" w:rsidRDefault="00533D1C" w:rsidP="00C10133">
      <w:pPr>
        <w:pStyle w:val="ListNumber"/>
      </w:pPr>
      <w:r>
        <w:t>As Mr</w:t>
      </w:r>
      <w:r w:rsidR="004E7A7E">
        <w:t> </w:t>
      </w:r>
      <w:r>
        <w:t>Sidwell was not qualified for DSP</w:t>
      </w:r>
      <w:r w:rsidR="0053221B">
        <w:t xml:space="preserve"> at the time he lodged his first DSP claim or within 13 weeks of that date</w:t>
      </w:r>
      <w:r>
        <w:t xml:space="preserve">, the Tribunal is obliged to affirm the decision under </w:t>
      </w:r>
      <w:r w:rsidR="005225A5">
        <w:t>review</w:t>
      </w:r>
      <w:r w:rsidR="00963750">
        <w:t xml:space="preserve"> in the first application</w:t>
      </w:r>
      <w:r w:rsidR="005225A5">
        <w:t>.</w:t>
      </w:r>
    </w:p>
    <w:p w:rsidR="0053221B" w:rsidRDefault="0053221B" w:rsidP="002155EF">
      <w:pPr>
        <w:pStyle w:val="ListNumber"/>
      </w:pPr>
      <w:r>
        <w:t>As Mr Sidwell was not qualified for DSP at the time he lodged his second DSP claim or within 13 weeks of that date,</w:t>
      </w:r>
      <w:r w:rsidR="00963750">
        <w:t xml:space="preserve"> in the second application</w:t>
      </w:r>
      <w:r>
        <w:t xml:space="preserve"> t</w:t>
      </w:r>
      <w:r w:rsidR="00E23C23">
        <w:t xml:space="preserve">he Tribunal is obliged to set aside the decision of the </w:t>
      </w:r>
      <w:r w:rsidR="002155EF">
        <w:t>SSAT</w:t>
      </w:r>
      <w:r w:rsidR="00963750">
        <w:t xml:space="preserve"> and substitute a decision that, during the relevant assessment period, Mr Sidwell was not qualified for DSP. </w:t>
      </w:r>
    </w:p>
    <w:p w:rsidR="004E7A7E" w:rsidRDefault="004E7A7E" w:rsidP="004E7A7E">
      <w:pPr>
        <w:pStyle w:val="Heading1"/>
        <w:rPr>
          <w:b/>
        </w:rPr>
      </w:pPr>
      <w:r w:rsidRPr="0067194A">
        <w:rPr>
          <w:b/>
        </w:rPr>
        <w:t>decision</w:t>
      </w:r>
    </w:p>
    <w:p w:rsidR="00804C4D" w:rsidRDefault="001A50CD" w:rsidP="0028386A">
      <w:pPr>
        <w:pStyle w:val="ListNumber"/>
      </w:pPr>
      <w:r>
        <w:t>(a)</w:t>
      </w:r>
      <w:r>
        <w:tab/>
      </w:r>
      <w:r w:rsidR="003864C1" w:rsidRPr="005E5339">
        <w:t>In application 2012/5540</w:t>
      </w:r>
      <w:r w:rsidR="00010715">
        <w:t>, the Tribunal</w:t>
      </w:r>
      <w:r w:rsidR="003864C1" w:rsidRPr="005E5339">
        <w:t xml:space="preserve"> affirms the decision under review; and</w:t>
      </w:r>
    </w:p>
    <w:p w:rsidR="003864C1" w:rsidRDefault="001A50CD" w:rsidP="001A50CD">
      <w:pPr>
        <w:pStyle w:val="FollowingPara"/>
        <w:ind w:left="709" w:hanging="709"/>
      </w:pPr>
      <w:r>
        <w:t>(b)</w:t>
      </w:r>
      <w:r>
        <w:tab/>
      </w:r>
      <w:r w:rsidR="003864C1" w:rsidRPr="005E5339">
        <w:t>In application 2014/1155</w:t>
      </w:r>
      <w:r w:rsidR="00010715">
        <w:t>, the Tribunal</w:t>
      </w:r>
      <w:r w:rsidR="003864C1" w:rsidRPr="005E5339">
        <w:t xml:space="preserve"> sets aside the decision under review</w:t>
      </w:r>
      <w:r w:rsidR="00A02014" w:rsidRPr="005E5339">
        <w:t xml:space="preserve"> and </w:t>
      </w:r>
      <w:r>
        <w:t xml:space="preserve">in </w:t>
      </w:r>
      <w:r w:rsidR="00A02014" w:rsidRPr="005E5339">
        <w:t>substitut</w:t>
      </w:r>
      <w:r>
        <w:t>ion for th</w:t>
      </w:r>
      <w:r w:rsidR="00A02014" w:rsidRPr="005E5339">
        <w:t>a</w:t>
      </w:r>
      <w:r>
        <w:t>t</w:t>
      </w:r>
      <w:r w:rsidR="00A02014" w:rsidRPr="005E5339">
        <w:t xml:space="preserve"> decision</w:t>
      </w:r>
      <w:r>
        <w:t xml:space="preserve"> decides</w:t>
      </w:r>
      <w:r w:rsidR="00A02014" w:rsidRPr="005E5339">
        <w:t xml:space="preserve"> that, during the </w:t>
      </w:r>
      <w:r w:rsidR="00E234A7">
        <w:t xml:space="preserve">relevant </w:t>
      </w:r>
      <w:r w:rsidR="00A02014" w:rsidRPr="005E5339">
        <w:t>assessment period, Mr</w:t>
      </w:r>
      <w:r>
        <w:t> </w:t>
      </w:r>
      <w:r w:rsidR="00A02014" w:rsidRPr="005E5339">
        <w:t>Sidwell was not qualified for disability support pension.</w:t>
      </w:r>
    </w:p>
    <w:p w:rsidR="00906656" w:rsidRDefault="00906656" w:rsidP="001A50CD">
      <w:pPr>
        <w:pStyle w:val="FollowingPara"/>
        <w:ind w:left="709" w:hanging="709"/>
      </w:pPr>
    </w:p>
    <w:p w:rsidR="00906656" w:rsidRDefault="00906656" w:rsidP="00906656">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906656" w:rsidTr="001924DA">
        <w:tc>
          <w:tcPr>
            <w:tcW w:w="3651" w:type="dxa"/>
          </w:tcPr>
          <w:p w:rsidR="00906656" w:rsidRDefault="00906656" w:rsidP="00906656">
            <w:pPr>
              <w:pStyle w:val="NoSpacing"/>
            </w:pPr>
            <w:r>
              <w:t xml:space="preserve">I </w:t>
            </w:r>
            <w:bookmarkStart w:id="12" w:name="StartStamp"/>
            <w:bookmarkEnd w:id="12"/>
            <w:r>
              <w:t xml:space="preserve">certify that the </w:t>
            </w:r>
            <w:r w:rsidRPr="000A3D70">
              <w:t>preceding</w:t>
            </w:r>
            <w:r>
              <w:t xml:space="preserve"> </w:t>
            </w:r>
            <w:bookmarkStart w:id="13" w:name="NumParas"/>
            <w:bookmarkEnd w:id="13"/>
            <w:r>
              <w:t xml:space="preserve">72 (seventy-two) </w:t>
            </w:r>
            <w:r w:rsidRPr="000A3D70">
              <w:t>paragraphs are a true copy of the reasons for the decision herein of</w:t>
            </w:r>
            <w:r>
              <w:t xml:space="preserve"> Deputy President K Bean</w:t>
            </w:r>
            <w:r w:rsidRPr="00483D56">
              <w:fldChar w:fldCharType="begin"/>
            </w:r>
            <w:r w:rsidRPr="00483D56">
              <w:instrText xml:space="preserve"> DOCPROPERTY  Tribunal</w:instrText>
            </w:r>
            <w:r>
              <w:instrText>LastPgForm</w:instrText>
            </w:r>
            <w:r w:rsidRPr="00483D56">
              <w:fldChar w:fldCharType="separate"/>
            </w:r>
            <w:r>
              <w:t xml:space="preserve"> </w:t>
            </w:r>
            <w:r w:rsidRPr="00483D56">
              <w:fldChar w:fldCharType="end"/>
            </w:r>
            <w:r>
              <w:t>and Mr I Thompson, Member</w:t>
            </w:r>
          </w:p>
        </w:tc>
      </w:tr>
    </w:tbl>
    <w:p w:rsidR="00906656" w:rsidRPr="00BC2D09" w:rsidRDefault="00906656" w:rsidP="00906656">
      <w:pPr>
        <w:keepNext/>
        <w:spacing w:before="960"/>
        <w:rPr>
          <w:lang w:eastAsia="en-US"/>
        </w:rPr>
      </w:pPr>
      <w:r w:rsidRPr="00BC2D09">
        <w:rPr>
          <w:lang w:eastAsia="en-US"/>
        </w:rPr>
        <w:t>..........</w:t>
      </w:r>
      <w:r w:rsidR="007E7984">
        <w:rPr>
          <w:lang w:eastAsia="en-US"/>
        </w:rPr>
        <w:t>[Sgd]</w:t>
      </w:r>
      <w:r w:rsidRPr="00BC2D09">
        <w:rPr>
          <w:lang w:eastAsia="en-US"/>
        </w:rPr>
        <w:t>.......................................</w:t>
      </w:r>
    </w:p>
    <w:p w:rsidR="00906656" w:rsidRPr="00D8769A" w:rsidRDefault="007E7984" w:rsidP="00906656">
      <w:pPr>
        <w:pStyle w:val="NoSpacing"/>
      </w:pPr>
      <w:fldSimple w:instr=" DOCPROPERTY  SigneeDesignation ">
        <w:r w:rsidR="00906656">
          <w:t>Associate</w:t>
        </w:r>
      </w:fldSimple>
    </w:p>
    <w:p w:rsidR="00906656" w:rsidRDefault="00906656" w:rsidP="00906656">
      <w:r>
        <w:t xml:space="preserve">Dated </w:t>
      </w:r>
      <w:r w:rsidR="00E234A7">
        <w:t>5</w:t>
      </w:r>
      <w:r>
        <w:t xml:space="preserve"> June 2014</w:t>
      </w:r>
      <w:fldSimple w:instr=" DOCPROPERTY  StampDate ">
        <w:r>
          <w:t xml:space="preserve"> </w:t>
        </w:r>
      </w:fldSimple>
    </w:p>
    <w:p w:rsidR="00906656" w:rsidRDefault="00906656" w:rsidP="00906656"/>
    <w:tbl>
      <w:tblPr>
        <w:tblW w:w="8789" w:type="dxa"/>
        <w:tblLayout w:type="fixed"/>
        <w:tblLook w:val="00A0" w:firstRow="1" w:lastRow="0" w:firstColumn="1" w:lastColumn="0" w:noHBand="0" w:noVBand="0"/>
      </w:tblPr>
      <w:tblGrid>
        <w:gridCol w:w="3510"/>
        <w:gridCol w:w="5279"/>
      </w:tblGrid>
      <w:tr w:rsidR="00906656" w:rsidRPr="00BC2D09" w:rsidTr="00394D7E">
        <w:trPr>
          <w:trHeight w:val="567"/>
        </w:trPr>
        <w:tc>
          <w:tcPr>
            <w:tcW w:w="3510" w:type="dxa"/>
          </w:tcPr>
          <w:p w:rsidR="00906656" w:rsidRPr="00BC2D09" w:rsidRDefault="00906656" w:rsidP="001924DA">
            <w:pPr>
              <w:pStyle w:val="NoSpacing"/>
              <w:rPr>
                <w:lang w:eastAsia="en-US"/>
              </w:rPr>
            </w:pPr>
            <w:r>
              <w:rPr>
                <w:lang w:eastAsia="en-US"/>
              </w:rPr>
              <w:t>Dates of hearing</w:t>
            </w:r>
          </w:p>
        </w:tc>
        <w:tc>
          <w:tcPr>
            <w:tcW w:w="5279" w:type="dxa"/>
          </w:tcPr>
          <w:p w:rsidR="00906656" w:rsidRDefault="004C57BC" w:rsidP="001924DA">
            <w:pPr>
              <w:pStyle w:val="NoSpacing"/>
              <w:rPr>
                <w:b/>
                <w:bCs/>
                <w:lang w:eastAsia="en-US"/>
              </w:rPr>
            </w:pPr>
            <w:r>
              <w:rPr>
                <w:b/>
                <w:bCs/>
                <w:lang w:eastAsia="en-US"/>
              </w:rPr>
              <w:t>29 and 30 January 2014</w:t>
            </w:r>
          </w:p>
          <w:p w:rsidR="004C57BC" w:rsidRDefault="004C57BC" w:rsidP="004C57BC">
            <w:pPr>
              <w:pStyle w:val="NoSpacing"/>
              <w:rPr>
                <w:b/>
                <w:bCs/>
                <w:lang w:eastAsia="en-US"/>
              </w:rPr>
            </w:pPr>
            <w:r>
              <w:rPr>
                <w:b/>
                <w:bCs/>
                <w:lang w:eastAsia="en-US"/>
              </w:rPr>
              <w:t>16 and 17 March 2015</w:t>
            </w:r>
          </w:p>
          <w:p w:rsidR="004C57BC" w:rsidRPr="00771CAC" w:rsidRDefault="004C57BC" w:rsidP="004C57BC">
            <w:pPr>
              <w:pStyle w:val="NoSpacing"/>
              <w:rPr>
                <w:b/>
                <w:bCs/>
                <w:lang w:eastAsia="en-US"/>
              </w:rPr>
            </w:pPr>
          </w:p>
        </w:tc>
      </w:tr>
      <w:tr w:rsidR="00906656" w:rsidRPr="00BC2D09" w:rsidTr="00394D7E">
        <w:trPr>
          <w:trHeight w:val="567"/>
        </w:trPr>
        <w:tc>
          <w:tcPr>
            <w:tcW w:w="3510" w:type="dxa"/>
          </w:tcPr>
          <w:p w:rsidR="00906656" w:rsidRPr="00BC2D09" w:rsidRDefault="004C57BC" w:rsidP="001924DA">
            <w:pPr>
              <w:pStyle w:val="NoSpacing"/>
              <w:rPr>
                <w:lang w:eastAsia="en-US"/>
              </w:rPr>
            </w:pPr>
            <w:bookmarkStart w:id="14" w:name="DateFinalSubmission"/>
            <w:bookmarkStart w:id="15" w:name="AppSelfRepresented"/>
            <w:bookmarkEnd w:id="14"/>
            <w:bookmarkEnd w:id="15"/>
            <w:r>
              <w:rPr>
                <w:lang w:eastAsia="en-US"/>
              </w:rPr>
              <w:t xml:space="preserve">Advocate for the </w:t>
            </w:r>
            <w:r w:rsidR="00906656">
              <w:rPr>
                <w:lang w:eastAsia="en-US"/>
              </w:rPr>
              <w:t>Applicant</w:t>
            </w:r>
          </w:p>
        </w:tc>
        <w:tc>
          <w:tcPr>
            <w:tcW w:w="5279" w:type="dxa"/>
          </w:tcPr>
          <w:p w:rsidR="00906656" w:rsidRDefault="004C57BC" w:rsidP="001924DA">
            <w:pPr>
              <w:pStyle w:val="NoSpacing"/>
              <w:rPr>
                <w:b/>
                <w:bCs/>
                <w:lang w:eastAsia="en-US"/>
              </w:rPr>
            </w:pPr>
            <w:r>
              <w:rPr>
                <w:b/>
                <w:bCs/>
                <w:lang w:eastAsia="en-US"/>
              </w:rPr>
              <w:t>Ms M Riley</w:t>
            </w:r>
          </w:p>
          <w:p w:rsidR="004C57BC" w:rsidRDefault="004C57BC" w:rsidP="001924DA">
            <w:pPr>
              <w:pStyle w:val="NoSpacing"/>
              <w:rPr>
                <w:b/>
                <w:bCs/>
                <w:lang w:eastAsia="en-US"/>
              </w:rPr>
            </w:pPr>
            <w:r>
              <w:rPr>
                <w:b/>
                <w:bCs/>
                <w:lang w:eastAsia="en-US"/>
              </w:rPr>
              <w:t xml:space="preserve">Welfare Rights Centre (SA) </w:t>
            </w:r>
            <w:r w:rsidR="0009401C">
              <w:rPr>
                <w:b/>
                <w:bCs/>
                <w:lang w:eastAsia="en-US"/>
              </w:rPr>
              <w:t>Inc.</w:t>
            </w:r>
          </w:p>
          <w:p w:rsidR="004C57BC" w:rsidRPr="00771CAC" w:rsidRDefault="004C57BC" w:rsidP="001924DA">
            <w:pPr>
              <w:pStyle w:val="NoSpacing"/>
              <w:rPr>
                <w:b/>
                <w:bCs/>
                <w:lang w:eastAsia="en-US"/>
              </w:rPr>
            </w:pPr>
          </w:p>
        </w:tc>
      </w:tr>
      <w:tr w:rsidR="00906656" w:rsidRPr="00BC2D09" w:rsidTr="00394D7E">
        <w:trPr>
          <w:trHeight w:val="567"/>
        </w:trPr>
        <w:tc>
          <w:tcPr>
            <w:tcW w:w="3510" w:type="dxa"/>
          </w:tcPr>
          <w:p w:rsidR="00906656" w:rsidRDefault="00906656" w:rsidP="00394D7E">
            <w:pPr>
              <w:pStyle w:val="NoSpacing"/>
              <w:rPr>
                <w:lang w:eastAsia="en-US"/>
              </w:rPr>
            </w:pPr>
            <w:bookmarkStart w:id="16" w:name="Respondent_Counsel"/>
            <w:bookmarkEnd w:id="16"/>
            <w:r>
              <w:rPr>
                <w:lang w:eastAsia="en-US"/>
              </w:rPr>
              <w:t>Counsel for the Respondent</w:t>
            </w:r>
          </w:p>
          <w:p w:rsidR="00394D7E" w:rsidRDefault="00394D7E" w:rsidP="00394D7E">
            <w:pPr>
              <w:pStyle w:val="NoSpacing"/>
              <w:rPr>
                <w:lang w:eastAsia="en-US"/>
              </w:rPr>
            </w:pPr>
            <w:r>
              <w:rPr>
                <w:lang w:eastAsia="en-US"/>
              </w:rPr>
              <w:t>Solicitors for the Respondent</w:t>
            </w:r>
          </w:p>
        </w:tc>
        <w:tc>
          <w:tcPr>
            <w:tcW w:w="5279" w:type="dxa"/>
          </w:tcPr>
          <w:p w:rsidR="00394D7E" w:rsidRDefault="00906656" w:rsidP="00394D7E">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sidR="004C57BC">
              <w:rPr>
                <w:b/>
                <w:bCs/>
                <w:lang w:eastAsia="en-US"/>
              </w:rPr>
              <w:t>Mr A Schatz</w:t>
            </w:r>
            <w:r>
              <w:rPr>
                <w:b/>
                <w:bCs/>
                <w:lang w:eastAsia="en-US"/>
              </w:rPr>
              <w:fldChar w:fldCharType="end"/>
            </w:r>
          </w:p>
          <w:p w:rsidR="00394D7E" w:rsidRPr="00771CAC" w:rsidRDefault="00394D7E" w:rsidP="00394D7E">
            <w:pPr>
              <w:pStyle w:val="NoSpacing"/>
              <w:rPr>
                <w:b/>
                <w:bCs/>
                <w:lang w:eastAsia="en-US"/>
              </w:rPr>
            </w:pPr>
            <w:r>
              <w:rPr>
                <w:b/>
                <w:bCs/>
                <w:lang w:eastAsia="en-US"/>
              </w:rPr>
              <w:t>Australian Government Solicitor</w:t>
            </w:r>
          </w:p>
        </w:tc>
      </w:tr>
      <w:tr w:rsidR="00394D7E" w:rsidRPr="00BC2D09" w:rsidTr="00394D7E">
        <w:trPr>
          <w:trHeight w:val="567"/>
        </w:trPr>
        <w:tc>
          <w:tcPr>
            <w:tcW w:w="3510" w:type="dxa"/>
          </w:tcPr>
          <w:p w:rsidR="00394D7E" w:rsidRDefault="00394D7E" w:rsidP="00394D7E">
            <w:pPr>
              <w:pStyle w:val="NoSpacing"/>
              <w:rPr>
                <w:lang w:eastAsia="en-US"/>
              </w:rPr>
            </w:pPr>
            <w:bookmarkStart w:id="17" w:name="Respondent_Solicitors"/>
            <w:bookmarkEnd w:id="17"/>
          </w:p>
        </w:tc>
        <w:tc>
          <w:tcPr>
            <w:tcW w:w="5279" w:type="dxa"/>
          </w:tcPr>
          <w:p w:rsidR="00394D7E" w:rsidRPr="00771CAC" w:rsidRDefault="00394D7E" w:rsidP="00394D7E">
            <w:pPr>
              <w:pStyle w:val="NoSpacing"/>
              <w:jc w:val="left"/>
              <w:rPr>
                <w:b/>
                <w:bCs/>
                <w:lang w:eastAsia="en-US"/>
              </w:rPr>
            </w:pPr>
          </w:p>
        </w:tc>
      </w:tr>
    </w:tbl>
    <w:p w:rsidR="00906656" w:rsidRPr="003466FE" w:rsidRDefault="00906656" w:rsidP="00906656"/>
    <w:p w:rsidR="00906656" w:rsidRPr="005E5339" w:rsidRDefault="00906656" w:rsidP="001A50CD">
      <w:pPr>
        <w:pStyle w:val="FollowingPara"/>
        <w:ind w:left="709" w:hanging="709"/>
      </w:pPr>
    </w:p>
    <w:sectPr w:rsidR="00906656" w:rsidRPr="005E5339" w:rsidSect="004948E0">
      <w:headerReference w:type="even" r:id="rId9"/>
      <w:footerReference w:type="default" r:id="rId10"/>
      <w:headerReference w:type="first" r:id="rId11"/>
      <w:footerReference w:type="first" r:id="rId12"/>
      <w:type w:val="continuous"/>
      <w:pgSz w:w="11907" w:h="16834" w:code="9"/>
      <w:pgMar w:top="1758" w:right="1276"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DBE" w:rsidRDefault="00586DBE">
      <w:r>
        <w:separator/>
      </w:r>
    </w:p>
    <w:p w:rsidR="00586DBE" w:rsidRDefault="00586DBE"/>
  </w:endnote>
  <w:endnote w:type="continuationSeparator" w:id="0">
    <w:p w:rsidR="00586DBE" w:rsidRDefault="00586DBE">
      <w:r>
        <w:continuationSeparator/>
      </w:r>
    </w:p>
    <w:p w:rsidR="00586DBE" w:rsidRDefault="00586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86DBE" w:rsidRPr="006F16E0" w:rsidTr="00E53225">
      <w:tc>
        <w:tcPr>
          <w:tcW w:w="1447" w:type="dxa"/>
          <w:tcBorders>
            <w:right w:val="single" w:sz="4" w:space="0" w:color="auto"/>
          </w:tcBorders>
          <w:vAlign w:val="center"/>
        </w:tcPr>
        <w:p w:rsidR="00586DBE" w:rsidRPr="006F16E0" w:rsidRDefault="00586DBE" w:rsidP="006F16E0">
          <w:pPr>
            <w:pStyle w:val="Footer"/>
          </w:pPr>
          <w:r>
            <w:t xml:space="preserve">Page </w:t>
          </w:r>
          <w:r>
            <w:fldChar w:fldCharType="begin"/>
          </w:r>
          <w:r>
            <w:instrText xml:space="preserve"> PAGE  \* Arabic </w:instrText>
          </w:r>
          <w:r>
            <w:fldChar w:fldCharType="separate"/>
          </w:r>
          <w:r w:rsidR="00F228F4">
            <w:rPr>
              <w:noProof/>
            </w:rPr>
            <w:t>26</w:t>
          </w:r>
          <w:r>
            <w:fldChar w:fldCharType="end"/>
          </w:r>
          <w:r>
            <w:t xml:space="preserve"> of </w:t>
          </w:r>
          <w:fldSimple w:instr=" NUMPAGES  \* Arabic ">
            <w:r w:rsidR="00F228F4">
              <w:rPr>
                <w:noProof/>
              </w:rPr>
              <w:t>26</w:t>
            </w:r>
          </w:fldSimple>
        </w:p>
      </w:tc>
      <w:tc>
        <w:tcPr>
          <w:tcW w:w="8763" w:type="dxa"/>
          <w:tcBorders>
            <w:left w:val="single" w:sz="4" w:space="0" w:color="auto"/>
          </w:tcBorders>
          <w:vAlign w:val="center"/>
        </w:tcPr>
        <w:p w:rsidR="00586DBE" w:rsidRPr="006F16E0" w:rsidRDefault="000F4D9C" w:rsidP="0028386A">
          <w:pPr>
            <w:pStyle w:val="Footer"/>
            <w:tabs>
              <w:tab w:val="left" w:pos="7030"/>
            </w:tabs>
          </w:pPr>
          <w:r>
            <w:tab/>
          </w:r>
        </w:p>
      </w:tc>
    </w:tr>
  </w:tbl>
  <w:p w:rsidR="00586DBE" w:rsidRDefault="00586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86DBE" w:rsidTr="00C756F8">
      <w:tc>
        <w:tcPr>
          <w:tcW w:w="1447" w:type="dxa"/>
          <w:tcBorders>
            <w:right w:val="single" w:sz="4" w:space="0" w:color="auto"/>
          </w:tcBorders>
          <w:vAlign w:val="center"/>
        </w:tcPr>
        <w:p w:rsidR="00586DBE" w:rsidRDefault="00586DBE" w:rsidP="005D5DF5">
          <w:pPr>
            <w:pStyle w:val="FooterPage1"/>
          </w:pPr>
        </w:p>
      </w:tc>
      <w:tc>
        <w:tcPr>
          <w:tcW w:w="8763" w:type="dxa"/>
          <w:tcBorders>
            <w:left w:val="single" w:sz="4" w:space="0" w:color="auto"/>
          </w:tcBorders>
          <w:tcMar>
            <w:left w:w="85" w:type="dxa"/>
          </w:tcMar>
          <w:vAlign w:val="center"/>
        </w:tcPr>
        <w:p w:rsidR="00586DBE" w:rsidRDefault="00586DBE" w:rsidP="000F4D9C">
          <w:pPr>
            <w:pStyle w:val="FooterPage1"/>
          </w:pPr>
          <w:r>
            <w:t>© Commonwealth of Australia 2015</w:t>
          </w:r>
          <w:r>
            <w:tab/>
          </w:r>
          <w:r>
            <w:tab/>
          </w:r>
          <w:r>
            <w:tab/>
          </w:r>
          <w:r>
            <w:tab/>
          </w:r>
          <w:r>
            <w:tab/>
          </w:r>
          <w:r>
            <w:tab/>
          </w:r>
          <w:r>
            <w:tab/>
          </w:r>
          <w:r>
            <w:tab/>
          </w:r>
          <w:r>
            <w:tab/>
          </w:r>
        </w:p>
      </w:tc>
    </w:tr>
  </w:tbl>
  <w:p w:rsidR="00586DBE" w:rsidRDefault="00586DB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DBE" w:rsidRDefault="00586DBE">
      <w:r>
        <w:separator/>
      </w:r>
    </w:p>
  </w:footnote>
  <w:footnote w:type="continuationSeparator" w:id="0">
    <w:p w:rsidR="00586DBE" w:rsidRDefault="00586DBE">
      <w:r>
        <w:continuationSeparator/>
      </w:r>
    </w:p>
    <w:p w:rsidR="00586DBE" w:rsidRDefault="00586DBE"/>
  </w:footnote>
  <w:footnote w:id="1">
    <w:p w:rsidR="00586DBE" w:rsidRPr="00B51C26" w:rsidRDefault="00586DBE" w:rsidP="00555BF5">
      <w:pPr>
        <w:pStyle w:val="FootnoteText"/>
        <w:tabs>
          <w:tab w:val="left" w:pos="284"/>
        </w:tabs>
        <w:ind w:left="284" w:hanging="284"/>
        <w:rPr>
          <w:i w:val="0"/>
        </w:rPr>
      </w:pPr>
      <w:r w:rsidRPr="00B51C26">
        <w:rPr>
          <w:rStyle w:val="FootnoteReference"/>
          <w:i w:val="0"/>
        </w:rPr>
        <w:footnoteRef/>
      </w:r>
      <w:r w:rsidRPr="00B51C26">
        <w:rPr>
          <w:i w:val="0"/>
        </w:rPr>
        <w:t xml:space="preserve"> </w:t>
      </w:r>
      <w:r w:rsidR="007C0BC3" w:rsidRPr="00B51C26">
        <w:rPr>
          <w:i w:val="0"/>
        </w:rPr>
        <w:tab/>
      </w:r>
      <w:r w:rsidRPr="00B51C26">
        <w:rPr>
          <w:i w:val="0"/>
        </w:rPr>
        <w:t>Exhibit 2, Annexure 2.</w:t>
      </w:r>
    </w:p>
  </w:footnote>
  <w:footnote w:id="2">
    <w:p w:rsidR="00FF44CB" w:rsidRPr="00B51C26" w:rsidRDefault="00FF44CB" w:rsidP="00B51C26">
      <w:pPr>
        <w:pStyle w:val="FootnoteText"/>
        <w:ind w:left="284" w:hanging="284"/>
        <w:rPr>
          <w:i w:val="0"/>
        </w:rPr>
      </w:pPr>
      <w:r w:rsidRPr="00B51C26">
        <w:rPr>
          <w:rStyle w:val="FootnoteReference"/>
          <w:i w:val="0"/>
        </w:rPr>
        <w:footnoteRef/>
      </w:r>
      <w:r w:rsidRPr="00B51C26">
        <w:rPr>
          <w:i w:val="0"/>
        </w:rPr>
        <w:t xml:space="preserve"> </w:t>
      </w:r>
      <w:r w:rsidR="00B51C26">
        <w:rPr>
          <w:i w:val="0"/>
        </w:rPr>
        <w:tab/>
      </w:r>
      <w:r w:rsidRPr="00B51C26">
        <w:rPr>
          <w:i w:val="0"/>
        </w:rPr>
        <w:t>Transcript 29/1/14, p</w:t>
      </w:r>
      <w:r w:rsidR="00534D38">
        <w:rPr>
          <w:i w:val="0"/>
        </w:rPr>
        <w:t>.</w:t>
      </w:r>
      <w:r w:rsidRPr="00B51C26">
        <w:rPr>
          <w:i w:val="0"/>
        </w:rPr>
        <w:t xml:space="preserve"> 111.</w:t>
      </w:r>
    </w:p>
  </w:footnote>
  <w:footnote w:id="3">
    <w:p w:rsidR="00AD2BD5" w:rsidRPr="00B51C26" w:rsidRDefault="00AD2BD5" w:rsidP="007C0BC3">
      <w:pPr>
        <w:pStyle w:val="FootnoteText"/>
        <w:tabs>
          <w:tab w:val="left" w:pos="284"/>
        </w:tabs>
        <w:rPr>
          <w:i w:val="0"/>
        </w:rPr>
      </w:pPr>
      <w:r w:rsidRPr="00B51C26">
        <w:rPr>
          <w:rStyle w:val="FootnoteReference"/>
          <w:i w:val="0"/>
        </w:rPr>
        <w:footnoteRef/>
      </w:r>
      <w:r w:rsidRPr="00B51C26">
        <w:rPr>
          <w:i w:val="0"/>
        </w:rPr>
        <w:t xml:space="preserve"> </w:t>
      </w:r>
      <w:r w:rsidR="007C0BC3" w:rsidRPr="00B51C26">
        <w:rPr>
          <w:i w:val="0"/>
        </w:rPr>
        <w:tab/>
      </w:r>
      <w:r w:rsidRPr="00B51C26">
        <w:rPr>
          <w:i w:val="0"/>
        </w:rPr>
        <w:t>Exhibit 1, T13/105-106.</w:t>
      </w:r>
    </w:p>
  </w:footnote>
  <w:footnote w:id="4">
    <w:p w:rsidR="00D31A98" w:rsidRPr="00D31A98" w:rsidRDefault="00D31A98" w:rsidP="007C0BC3">
      <w:pPr>
        <w:pStyle w:val="FootnoteText"/>
        <w:tabs>
          <w:tab w:val="left" w:pos="284"/>
        </w:tabs>
        <w:rPr>
          <w:i w:val="0"/>
        </w:rPr>
      </w:pPr>
      <w:r w:rsidRPr="00B51C26">
        <w:rPr>
          <w:rStyle w:val="FootnoteReference"/>
          <w:i w:val="0"/>
        </w:rPr>
        <w:footnoteRef/>
      </w:r>
      <w:r>
        <w:t xml:space="preserve"> </w:t>
      </w:r>
      <w:r w:rsidR="007C0BC3">
        <w:tab/>
      </w:r>
      <w:r w:rsidRPr="00D31A98">
        <w:rPr>
          <w:i w:val="0"/>
        </w:rPr>
        <w:t>See also</w:t>
      </w:r>
      <w:r>
        <w:t xml:space="preserve"> </w:t>
      </w:r>
      <w:r w:rsidRPr="00D31A98">
        <w:t>Secretary, D</w:t>
      </w:r>
      <w:r w:rsidR="00FF44CB">
        <w:t xml:space="preserve">epartment of </w:t>
      </w:r>
      <w:r w:rsidRPr="00D31A98">
        <w:t>E</w:t>
      </w:r>
      <w:r w:rsidR="00FF44CB">
        <w:t xml:space="preserve">mployment and </w:t>
      </w:r>
      <w:r w:rsidRPr="00D31A98">
        <w:t>W</w:t>
      </w:r>
      <w:r w:rsidR="00FF44CB">
        <w:t xml:space="preserve">orkplace </w:t>
      </w:r>
      <w:r w:rsidRPr="00D31A98">
        <w:t>R</w:t>
      </w:r>
      <w:r w:rsidR="00FF44CB">
        <w:t>elations</w:t>
      </w:r>
      <w:r w:rsidRPr="00D31A98">
        <w:t xml:space="preserve"> v Harris</w:t>
      </w:r>
      <w:r>
        <w:rPr>
          <w:i w:val="0"/>
        </w:rPr>
        <w:t xml:space="preserve"> (2007) 97 ALD 534.</w:t>
      </w:r>
    </w:p>
  </w:footnote>
  <w:footnote w:id="5">
    <w:p w:rsidR="00FF34C3" w:rsidRPr="006F3E9E" w:rsidRDefault="00FF34C3" w:rsidP="00B51C26">
      <w:pPr>
        <w:pStyle w:val="FootnoteText"/>
        <w:ind w:left="284" w:hanging="284"/>
        <w:rPr>
          <w:i w:val="0"/>
        </w:rPr>
      </w:pPr>
      <w:r w:rsidRPr="006F3E9E">
        <w:rPr>
          <w:rStyle w:val="FootnoteReference"/>
          <w:i w:val="0"/>
        </w:rPr>
        <w:footnoteRef/>
      </w:r>
      <w:r w:rsidRPr="006F3E9E">
        <w:rPr>
          <w:i w:val="0"/>
        </w:rPr>
        <w:t xml:space="preserve"> </w:t>
      </w:r>
      <w:r w:rsidR="00B51C26">
        <w:rPr>
          <w:i w:val="0"/>
        </w:rPr>
        <w:tab/>
      </w:r>
      <w:r w:rsidRPr="006F3E9E">
        <w:rPr>
          <w:i w:val="0"/>
        </w:rPr>
        <w:t>Exhibit 4.</w:t>
      </w:r>
    </w:p>
  </w:footnote>
  <w:footnote w:id="6">
    <w:p w:rsidR="00586DBE" w:rsidRPr="00C76032" w:rsidRDefault="00586DBE" w:rsidP="00B51C26">
      <w:pPr>
        <w:pStyle w:val="FootnoteText"/>
        <w:tabs>
          <w:tab w:val="left" w:pos="284"/>
        </w:tabs>
        <w:ind w:left="284" w:hanging="284"/>
        <w:rPr>
          <w:b/>
          <w:i w:val="0"/>
        </w:rPr>
      </w:pPr>
      <w:r w:rsidRPr="006F3E9E">
        <w:rPr>
          <w:rStyle w:val="FootnoteReference"/>
          <w:i w:val="0"/>
        </w:rPr>
        <w:footnoteRef/>
      </w:r>
      <w:r>
        <w:t xml:space="preserve"> </w:t>
      </w:r>
      <w:r>
        <w:tab/>
      </w:r>
      <w:r>
        <w:rPr>
          <w:i w:val="0"/>
        </w:rPr>
        <w:t>Exhibit 2, Annexure 1</w:t>
      </w:r>
      <w:r>
        <w:rPr>
          <w:b/>
          <w:i w:val="0"/>
        </w:rPr>
        <w:t>.</w:t>
      </w:r>
    </w:p>
  </w:footnote>
  <w:footnote w:id="7">
    <w:p w:rsidR="006F3E9E" w:rsidRPr="006F3E9E" w:rsidRDefault="006F3E9E" w:rsidP="00B51C26">
      <w:pPr>
        <w:pStyle w:val="FootnoteText"/>
        <w:ind w:left="284" w:hanging="284"/>
        <w:rPr>
          <w:i w:val="0"/>
        </w:rPr>
      </w:pPr>
      <w:r w:rsidRPr="006F3E9E">
        <w:rPr>
          <w:rStyle w:val="FootnoteReference"/>
          <w:i w:val="0"/>
        </w:rPr>
        <w:footnoteRef/>
      </w:r>
      <w:r w:rsidRPr="006F3E9E">
        <w:rPr>
          <w:i w:val="0"/>
        </w:rPr>
        <w:t xml:space="preserve"> </w:t>
      </w:r>
      <w:r w:rsidR="00B51C26">
        <w:rPr>
          <w:i w:val="0"/>
        </w:rPr>
        <w:tab/>
      </w:r>
      <w:r w:rsidRPr="006F3E9E">
        <w:rPr>
          <w:i w:val="0"/>
        </w:rPr>
        <w:t>Exhibit 5.</w:t>
      </w:r>
    </w:p>
  </w:footnote>
  <w:footnote w:id="8">
    <w:p w:rsidR="001E7ADA" w:rsidRPr="001217AF" w:rsidRDefault="001E7ADA" w:rsidP="001217AF">
      <w:pPr>
        <w:pStyle w:val="FootnoteText"/>
        <w:ind w:left="284" w:hanging="284"/>
        <w:rPr>
          <w:i w:val="0"/>
        </w:rPr>
      </w:pPr>
      <w:r w:rsidRPr="001E7ADA">
        <w:rPr>
          <w:rStyle w:val="FootnoteReference"/>
          <w:i w:val="0"/>
        </w:rPr>
        <w:footnoteRef/>
      </w:r>
      <w:r w:rsidRPr="001E7ADA">
        <w:rPr>
          <w:i w:val="0"/>
        </w:rPr>
        <w:t xml:space="preserve"> </w:t>
      </w:r>
      <w:r w:rsidR="001217AF">
        <w:rPr>
          <w:i w:val="0"/>
        </w:rPr>
        <w:tab/>
        <w:t>Exhibit 15.</w:t>
      </w:r>
    </w:p>
  </w:footnote>
  <w:footnote w:id="9">
    <w:p w:rsidR="00C83303" w:rsidRPr="00C83303" w:rsidRDefault="00C83303">
      <w:pPr>
        <w:pStyle w:val="FootnoteText"/>
        <w:rPr>
          <w:i w:val="0"/>
        </w:rPr>
      </w:pPr>
      <w:r w:rsidRPr="00C83303">
        <w:rPr>
          <w:rStyle w:val="FootnoteReference"/>
          <w:i w:val="0"/>
        </w:rPr>
        <w:footnoteRef/>
      </w:r>
      <w:r w:rsidRPr="00C83303">
        <w:rPr>
          <w:i w:val="0"/>
        </w:rPr>
        <w:t xml:space="preserve"> </w:t>
      </w:r>
      <w:r>
        <w:rPr>
          <w:i w:val="0"/>
        </w:rPr>
        <w:t>See s</w:t>
      </w:r>
      <w:r w:rsidR="001217AF">
        <w:rPr>
          <w:i w:val="0"/>
        </w:rPr>
        <w:t>ubs</w:t>
      </w:r>
      <w:r>
        <w:rPr>
          <w:i w:val="0"/>
        </w:rPr>
        <w:t xml:space="preserve"> 6(9) of the Determination.</w:t>
      </w:r>
    </w:p>
  </w:footnote>
  <w:footnote w:id="10">
    <w:p w:rsidR="001217AF" w:rsidRPr="001217AF" w:rsidRDefault="001217AF" w:rsidP="001217AF">
      <w:pPr>
        <w:pStyle w:val="FootnoteText"/>
        <w:ind w:left="284" w:hanging="284"/>
        <w:rPr>
          <w:i w:val="0"/>
        </w:rPr>
      </w:pPr>
      <w:r w:rsidRPr="001217AF">
        <w:rPr>
          <w:rStyle w:val="FootnoteReference"/>
          <w:i w:val="0"/>
        </w:rPr>
        <w:footnoteRef/>
      </w:r>
      <w:r w:rsidRPr="001217AF">
        <w:rPr>
          <w:i w:val="0"/>
        </w:rPr>
        <w:t xml:space="preserve"> </w:t>
      </w:r>
      <w:r>
        <w:rPr>
          <w:i w:val="0"/>
        </w:rPr>
        <w:tab/>
        <w:t>Transcript 29/1/14, p</w:t>
      </w:r>
      <w:r w:rsidR="00534D38">
        <w:rPr>
          <w:i w:val="0"/>
        </w:rPr>
        <w:t>.</w:t>
      </w:r>
      <w:r>
        <w:rPr>
          <w:i w:val="0"/>
        </w:rPr>
        <w:t xml:space="preserve"> 28.</w:t>
      </w:r>
    </w:p>
  </w:footnote>
  <w:footnote w:id="11">
    <w:p w:rsidR="007E4A1B" w:rsidRPr="007E4A1B" w:rsidRDefault="007E4A1B" w:rsidP="001217AF">
      <w:pPr>
        <w:pStyle w:val="FootnoteText"/>
        <w:ind w:left="284" w:hanging="284"/>
        <w:rPr>
          <w:i w:val="0"/>
        </w:rPr>
      </w:pPr>
      <w:r w:rsidRPr="007E4A1B">
        <w:rPr>
          <w:rStyle w:val="FootnoteReference"/>
          <w:i w:val="0"/>
        </w:rPr>
        <w:footnoteRef/>
      </w:r>
      <w:r w:rsidRPr="007E4A1B">
        <w:rPr>
          <w:i w:val="0"/>
        </w:rPr>
        <w:t xml:space="preserve"> </w:t>
      </w:r>
      <w:r w:rsidR="001217AF">
        <w:rPr>
          <w:i w:val="0"/>
        </w:rPr>
        <w:tab/>
      </w:r>
      <w:r>
        <w:rPr>
          <w:i w:val="0"/>
        </w:rPr>
        <w:t>Transcript 29/1/14, p</w:t>
      </w:r>
      <w:r w:rsidR="00534D38">
        <w:rPr>
          <w:i w:val="0"/>
        </w:rPr>
        <w:t>.</w:t>
      </w:r>
      <w:r>
        <w:rPr>
          <w:i w:val="0"/>
        </w:rPr>
        <w:t xml:space="preserve"> 56, line 31.</w:t>
      </w:r>
    </w:p>
  </w:footnote>
  <w:footnote w:id="12">
    <w:p w:rsidR="00586DBE" w:rsidRPr="00D904AB" w:rsidRDefault="00586DBE" w:rsidP="00E925BB">
      <w:pPr>
        <w:pStyle w:val="FootnoteText"/>
        <w:tabs>
          <w:tab w:val="left" w:pos="284"/>
        </w:tabs>
        <w:rPr>
          <w:i w:val="0"/>
        </w:rPr>
      </w:pPr>
      <w:r w:rsidRPr="00D904AB">
        <w:rPr>
          <w:rStyle w:val="FootnoteReference"/>
          <w:i w:val="0"/>
        </w:rPr>
        <w:footnoteRef/>
      </w:r>
      <w:r w:rsidRPr="00D904AB">
        <w:rPr>
          <w:i w:val="0"/>
        </w:rPr>
        <w:t xml:space="preserve"> </w:t>
      </w:r>
      <w:r w:rsidRPr="00D904AB">
        <w:rPr>
          <w:i w:val="0"/>
        </w:rPr>
        <w:tab/>
        <w:t>Exhibit 6.</w:t>
      </w:r>
    </w:p>
  </w:footnote>
  <w:footnote w:id="13">
    <w:p w:rsidR="007F784F" w:rsidRPr="007F784F" w:rsidRDefault="007F784F" w:rsidP="002C02DF">
      <w:pPr>
        <w:pStyle w:val="FootnoteText"/>
        <w:ind w:left="284" w:hanging="284"/>
        <w:rPr>
          <w:i w:val="0"/>
        </w:rPr>
      </w:pPr>
      <w:r w:rsidRPr="007F784F">
        <w:rPr>
          <w:rStyle w:val="FootnoteReference"/>
          <w:i w:val="0"/>
        </w:rPr>
        <w:footnoteRef/>
      </w:r>
      <w:r w:rsidRPr="007F784F">
        <w:rPr>
          <w:i w:val="0"/>
        </w:rPr>
        <w:t xml:space="preserve"> </w:t>
      </w:r>
      <w:r w:rsidR="002C02DF">
        <w:rPr>
          <w:i w:val="0"/>
        </w:rPr>
        <w:tab/>
      </w:r>
      <w:r>
        <w:rPr>
          <w:i w:val="0"/>
        </w:rPr>
        <w:t>Kessler Psychological Distress Scale, which consists of 10 questions.</w:t>
      </w:r>
    </w:p>
  </w:footnote>
  <w:footnote w:id="14">
    <w:p w:rsidR="00586DBE" w:rsidRPr="00D904AB" w:rsidRDefault="00586DBE" w:rsidP="009F5274">
      <w:pPr>
        <w:pStyle w:val="FootnoteText"/>
        <w:tabs>
          <w:tab w:val="left" w:pos="284"/>
        </w:tabs>
        <w:rPr>
          <w:b/>
          <w:i w:val="0"/>
        </w:rPr>
      </w:pPr>
      <w:r w:rsidRPr="00D904AB">
        <w:rPr>
          <w:rStyle w:val="FootnoteReference"/>
          <w:i w:val="0"/>
        </w:rPr>
        <w:footnoteRef/>
      </w:r>
      <w:r w:rsidRPr="00D904AB">
        <w:rPr>
          <w:i w:val="0"/>
        </w:rPr>
        <w:t xml:space="preserve"> </w:t>
      </w:r>
      <w:r w:rsidRPr="00D904AB">
        <w:rPr>
          <w:i w:val="0"/>
        </w:rPr>
        <w:tab/>
        <w:t>Exhibit 1, T15/113</w:t>
      </w:r>
      <w:r w:rsidR="00832285" w:rsidRPr="00D904AB">
        <w:rPr>
          <w:i w:val="0"/>
        </w:rPr>
        <w:t>.</w:t>
      </w:r>
    </w:p>
  </w:footnote>
  <w:footnote w:id="15">
    <w:p w:rsidR="00586DBE" w:rsidRPr="00D904AB" w:rsidRDefault="00586DBE" w:rsidP="002B70A0">
      <w:pPr>
        <w:pStyle w:val="FootnoteText"/>
        <w:tabs>
          <w:tab w:val="left" w:pos="284"/>
        </w:tabs>
        <w:rPr>
          <w:b/>
          <w:i w:val="0"/>
        </w:rPr>
      </w:pPr>
      <w:r w:rsidRPr="00D904AB">
        <w:rPr>
          <w:rStyle w:val="FootnoteReference"/>
          <w:i w:val="0"/>
        </w:rPr>
        <w:footnoteRef/>
      </w:r>
      <w:r w:rsidR="007C0BC3">
        <w:rPr>
          <w:i w:val="0"/>
        </w:rPr>
        <w:t xml:space="preserve"> </w:t>
      </w:r>
      <w:r w:rsidR="007C0BC3">
        <w:rPr>
          <w:i w:val="0"/>
        </w:rPr>
        <w:tab/>
      </w:r>
      <w:r w:rsidRPr="00D904AB">
        <w:rPr>
          <w:i w:val="0"/>
        </w:rPr>
        <w:t>Exhibit 1, T7/62.</w:t>
      </w:r>
    </w:p>
  </w:footnote>
  <w:footnote w:id="16">
    <w:p w:rsidR="00D904AB" w:rsidRPr="00D904AB" w:rsidRDefault="00D904AB" w:rsidP="007C0BC3">
      <w:pPr>
        <w:pStyle w:val="FootnoteText"/>
        <w:tabs>
          <w:tab w:val="left" w:pos="284"/>
        </w:tabs>
        <w:rPr>
          <w:i w:val="0"/>
        </w:rPr>
      </w:pPr>
      <w:r w:rsidRPr="00D904AB">
        <w:rPr>
          <w:rStyle w:val="FootnoteReference"/>
          <w:i w:val="0"/>
        </w:rPr>
        <w:footnoteRef/>
      </w:r>
      <w:r w:rsidRPr="00D904AB">
        <w:rPr>
          <w:i w:val="0"/>
        </w:rPr>
        <w:t xml:space="preserve"> </w:t>
      </w:r>
      <w:r w:rsidR="007C0BC3">
        <w:rPr>
          <w:i w:val="0"/>
        </w:rPr>
        <w:tab/>
      </w:r>
      <w:r w:rsidRPr="00D904AB">
        <w:rPr>
          <w:i w:val="0"/>
        </w:rPr>
        <w:t>Exhibit 2, Annexure 4.</w:t>
      </w:r>
    </w:p>
  </w:footnote>
  <w:footnote w:id="17">
    <w:p w:rsidR="00586DBE" w:rsidRPr="00D904AB" w:rsidRDefault="00586DBE" w:rsidP="00AD75E1">
      <w:pPr>
        <w:pStyle w:val="FootnoteText"/>
        <w:tabs>
          <w:tab w:val="left" w:pos="284"/>
        </w:tabs>
        <w:rPr>
          <w:i w:val="0"/>
        </w:rPr>
      </w:pPr>
      <w:r w:rsidRPr="00D904AB">
        <w:rPr>
          <w:rStyle w:val="FootnoteReference"/>
          <w:i w:val="0"/>
        </w:rPr>
        <w:footnoteRef/>
      </w:r>
      <w:r w:rsidRPr="00D904AB">
        <w:rPr>
          <w:i w:val="0"/>
        </w:rPr>
        <w:t xml:space="preserve"> </w:t>
      </w:r>
      <w:r w:rsidRPr="00D904AB">
        <w:rPr>
          <w:i w:val="0"/>
        </w:rPr>
        <w:tab/>
        <w:t>Exhibit 20.</w:t>
      </w:r>
    </w:p>
  </w:footnote>
  <w:footnote w:id="18">
    <w:p w:rsidR="00586DBE" w:rsidRPr="00D904AB" w:rsidRDefault="00586DBE" w:rsidP="00AD75E1">
      <w:pPr>
        <w:pStyle w:val="FootnoteText"/>
        <w:tabs>
          <w:tab w:val="left" w:pos="284"/>
        </w:tabs>
        <w:rPr>
          <w:i w:val="0"/>
        </w:rPr>
      </w:pPr>
      <w:r w:rsidRPr="00D904AB">
        <w:rPr>
          <w:rStyle w:val="FootnoteReference"/>
          <w:i w:val="0"/>
        </w:rPr>
        <w:footnoteRef/>
      </w:r>
      <w:r w:rsidRPr="00D904AB">
        <w:rPr>
          <w:i w:val="0"/>
        </w:rPr>
        <w:t xml:space="preserve"> </w:t>
      </w:r>
      <w:r w:rsidRPr="00D904AB">
        <w:rPr>
          <w:i w:val="0"/>
        </w:rPr>
        <w:tab/>
        <w:t>Exhibit 20, p. 19.</w:t>
      </w:r>
    </w:p>
  </w:footnote>
  <w:footnote w:id="19">
    <w:p w:rsidR="00586DBE" w:rsidRPr="0067194A" w:rsidRDefault="00586DBE" w:rsidP="0067194A">
      <w:pPr>
        <w:pStyle w:val="FootnoteText"/>
        <w:tabs>
          <w:tab w:val="left" w:pos="284"/>
        </w:tabs>
        <w:rPr>
          <w:i w:val="0"/>
        </w:rPr>
      </w:pPr>
      <w:r w:rsidRPr="00555BF5">
        <w:rPr>
          <w:rStyle w:val="FootnoteReference"/>
          <w:i w:val="0"/>
        </w:rPr>
        <w:footnoteRef/>
      </w:r>
      <w:r w:rsidRPr="00555BF5">
        <w:rPr>
          <w:i w:val="0"/>
        </w:rPr>
        <w:t xml:space="preserve"> </w:t>
      </w:r>
      <w:r>
        <w:rPr>
          <w:i w:val="0"/>
        </w:rPr>
        <w:tab/>
        <w:t>Exhibit 20, p. 26.</w:t>
      </w:r>
    </w:p>
  </w:footnote>
  <w:footnote w:id="20">
    <w:p w:rsidR="00586DBE" w:rsidRPr="00E36E87" w:rsidRDefault="00586DBE" w:rsidP="00E36E87">
      <w:pPr>
        <w:pStyle w:val="FootnoteText"/>
        <w:tabs>
          <w:tab w:val="left" w:pos="284"/>
        </w:tabs>
        <w:rPr>
          <w:i w:val="0"/>
        </w:rPr>
      </w:pPr>
      <w:r w:rsidRPr="00E36E87">
        <w:rPr>
          <w:rStyle w:val="FootnoteReference"/>
          <w:i w:val="0"/>
        </w:rPr>
        <w:footnoteRef/>
      </w:r>
      <w:r w:rsidRPr="00E36E87">
        <w:rPr>
          <w:i w:val="0"/>
        </w:rPr>
        <w:t xml:space="preserve"> </w:t>
      </w:r>
      <w:r w:rsidRPr="00E36E87">
        <w:rPr>
          <w:i w:val="0"/>
        </w:rPr>
        <w:tab/>
      </w:r>
      <w:r>
        <w:rPr>
          <w:i w:val="0"/>
        </w:rPr>
        <w:t>Exhibit 16</w:t>
      </w:r>
      <w:r w:rsidR="00334BEE">
        <w:rPr>
          <w:i w:val="0"/>
        </w:rPr>
        <w:t>, p. 3.</w:t>
      </w:r>
    </w:p>
  </w:footnote>
  <w:footnote w:id="21">
    <w:p w:rsidR="00586DBE" w:rsidRPr="005D3F5E" w:rsidRDefault="00586DBE" w:rsidP="005D3F5E">
      <w:pPr>
        <w:pStyle w:val="FootnoteText"/>
        <w:tabs>
          <w:tab w:val="left" w:pos="284"/>
        </w:tabs>
        <w:rPr>
          <w:i w:val="0"/>
        </w:rPr>
      </w:pPr>
      <w:r w:rsidRPr="005D3F5E">
        <w:rPr>
          <w:rStyle w:val="FootnoteReference"/>
          <w:i w:val="0"/>
        </w:rPr>
        <w:footnoteRef/>
      </w:r>
      <w:r w:rsidRPr="005D3F5E">
        <w:rPr>
          <w:i w:val="0"/>
        </w:rPr>
        <w:t xml:space="preserve"> </w:t>
      </w:r>
      <w:r>
        <w:rPr>
          <w:i w:val="0"/>
        </w:rPr>
        <w:tab/>
        <w:t>Exhibit 16</w:t>
      </w:r>
      <w:r w:rsidR="00334BEE">
        <w:rPr>
          <w:i w:val="0"/>
        </w:rPr>
        <w:t>, p. 3</w:t>
      </w:r>
      <w:r>
        <w:rPr>
          <w:i w:val="0"/>
        </w:rPr>
        <w:t>.</w:t>
      </w:r>
    </w:p>
  </w:footnote>
  <w:footnote w:id="22">
    <w:p w:rsidR="00586DBE" w:rsidRPr="005D3F5E" w:rsidRDefault="00586DBE" w:rsidP="005D3F5E">
      <w:pPr>
        <w:pStyle w:val="FootnoteText"/>
        <w:tabs>
          <w:tab w:val="left" w:pos="284"/>
        </w:tabs>
        <w:rPr>
          <w:i w:val="0"/>
        </w:rPr>
      </w:pPr>
      <w:r w:rsidRPr="005D3F5E">
        <w:rPr>
          <w:rStyle w:val="FootnoteReference"/>
          <w:i w:val="0"/>
        </w:rPr>
        <w:footnoteRef/>
      </w:r>
      <w:r w:rsidRPr="005D3F5E">
        <w:rPr>
          <w:i w:val="0"/>
        </w:rPr>
        <w:t xml:space="preserve"> </w:t>
      </w:r>
      <w:r>
        <w:rPr>
          <w:i w:val="0"/>
        </w:rPr>
        <w:tab/>
        <w:t>Exhibit 16</w:t>
      </w:r>
      <w:r w:rsidR="00334BEE">
        <w:rPr>
          <w:i w:val="0"/>
        </w:rPr>
        <w:t>, p. 3</w:t>
      </w:r>
      <w:r>
        <w:rPr>
          <w:i w:val="0"/>
        </w:rPr>
        <w:t>.</w:t>
      </w:r>
    </w:p>
  </w:footnote>
  <w:footnote w:id="23">
    <w:p w:rsidR="00586DBE" w:rsidRPr="008810A9" w:rsidRDefault="00586DBE" w:rsidP="008810A9">
      <w:pPr>
        <w:pStyle w:val="FootnoteText"/>
        <w:tabs>
          <w:tab w:val="left" w:pos="284"/>
        </w:tabs>
        <w:rPr>
          <w:i w:val="0"/>
        </w:rPr>
      </w:pPr>
      <w:r w:rsidRPr="008810A9">
        <w:rPr>
          <w:rStyle w:val="FootnoteReference"/>
          <w:i w:val="0"/>
        </w:rPr>
        <w:footnoteRef/>
      </w:r>
      <w:r w:rsidRPr="008810A9">
        <w:rPr>
          <w:i w:val="0"/>
        </w:rPr>
        <w:t xml:space="preserve"> </w:t>
      </w:r>
      <w:r w:rsidRPr="008810A9">
        <w:rPr>
          <w:i w:val="0"/>
        </w:rPr>
        <w:tab/>
        <w:t>Exhibit 20, p. 25.</w:t>
      </w:r>
    </w:p>
  </w:footnote>
  <w:footnote w:id="24">
    <w:p w:rsidR="00586DBE" w:rsidRDefault="00586DBE" w:rsidP="007913D6">
      <w:pPr>
        <w:pStyle w:val="FootnoteText"/>
        <w:tabs>
          <w:tab w:val="left" w:pos="284"/>
        </w:tabs>
      </w:pPr>
      <w:r w:rsidRPr="00B6474D">
        <w:rPr>
          <w:rStyle w:val="FootnoteReference"/>
          <w:i w:val="0"/>
        </w:rPr>
        <w:footnoteRef/>
      </w:r>
      <w:r>
        <w:t xml:space="preserve"> </w:t>
      </w:r>
      <w:r>
        <w:tab/>
      </w:r>
      <w:r w:rsidRPr="002B70A0">
        <w:rPr>
          <w:i w:val="0"/>
        </w:rPr>
        <w:t>[2012] AATA 922</w:t>
      </w:r>
      <w:r>
        <w:rPr>
          <w:i w:val="0"/>
        </w:rPr>
        <w:t>,</w:t>
      </w:r>
      <w:r w:rsidRPr="002B70A0">
        <w:rPr>
          <w:i w:val="0"/>
        </w:rPr>
        <w:t xml:space="preserve"> at [34]</w:t>
      </w:r>
      <w:r>
        <w:rPr>
          <w:i w:val="0"/>
        </w:rPr>
        <w:t>.</w:t>
      </w:r>
    </w:p>
  </w:footnote>
  <w:footnote w:id="25">
    <w:p w:rsidR="00586DBE" w:rsidRDefault="00586DBE" w:rsidP="00B6474D">
      <w:pPr>
        <w:pStyle w:val="FootnoteText"/>
        <w:tabs>
          <w:tab w:val="left" w:pos="284"/>
        </w:tabs>
        <w:ind w:left="720" w:hanging="720"/>
      </w:pPr>
      <w:r w:rsidRPr="00B6474D">
        <w:rPr>
          <w:rStyle w:val="FootnoteReference"/>
          <w:i w:val="0"/>
        </w:rPr>
        <w:footnoteRef/>
      </w:r>
      <w:r>
        <w:t xml:space="preserve"> </w:t>
      </w:r>
      <w:r w:rsidRPr="00B6474D">
        <w:rPr>
          <w:i w:val="0"/>
        </w:rPr>
        <w:t xml:space="preserve"> </w:t>
      </w:r>
      <w:r>
        <w:rPr>
          <w:i w:val="0"/>
        </w:rPr>
        <w:tab/>
      </w:r>
      <w:r w:rsidR="007F4B42">
        <w:rPr>
          <w:i w:val="0"/>
        </w:rPr>
        <w:t>(2014) 144 ALD 133</w:t>
      </w:r>
      <w:r>
        <w:rPr>
          <w:i w:val="0"/>
        </w:rPr>
        <w:t>.</w:t>
      </w:r>
    </w:p>
  </w:footnote>
  <w:footnote w:id="26">
    <w:p w:rsidR="00B0112C" w:rsidRPr="00B6474D" w:rsidRDefault="00B0112C" w:rsidP="00B0112C">
      <w:pPr>
        <w:pStyle w:val="FootnoteText"/>
        <w:tabs>
          <w:tab w:val="left" w:pos="284"/>
        </w:tabs>
        <w:rPr>
          <w:i w:val="0"/>
        </w:rPr>
      </w:pPr>
      <w:r w:rsidRPr="00B6474D">
        <w:rPr>
          <w:rStyle w:val="FootnoteReference"/>
          <w:i w:val="0"/>
        </w:rPr>
        <w:footnoteRef/>
      </w:r>
      <w:r w:rsidRPr="00B6474D">
        <w:rPr>
          <w:i w:val="0"/>
        </w:rPr>
        <w:t xml:space="preserve"> </w:t>
      </w:r>
      <w:r>
        <w:rPr>
          <w:i w:val="0"/>
        </w:rPr>
        <w:tab/>
      </w:r>
      <w:r w:rsidRPr="00B6474D">
        <w:rPr>
          <w:i w:val="0"/>
        </w:rPr>
        <w:t>[2014] AATA 34</w:t>
      </w:r>
      <w:r>
        <w:rPr>
          <w:i w:val="0"/>
        </w:rPr>
        <w:t>.</w:t>
      </w:r>
    </w:p>
  </w:footnote>
  <w:footnote w:id="27">
    <w:p w:rsidR="00586DBE" w:rsidRPr="009C484A" w:rsidRDefault="00586DBE" w:rsidP="009C484A">
      <w:pPr>
        <w:pStyle w:val="FootnoteText"/>
        <w:tabs>
          <w:tab w:val="left" w:pos="284"/>
        </w:tabs>
        <w:rPr>
          <w:i w:val="0"/>
        </w:rPr>
      </w:pPr>
      <w:r w:rsidRPr="009C484A">
        <w:rPr>
          <w:rStyle w:val="FootnoteReference"/>
          <w:i w:val="0"/>
        </w:rPr>
        <w:footnoteRef/>
      </w:r>
      <w:r w:rsidRPr="009C484A">
        <w:rPr>
          <w:i w:val="0"/>
        </w:rPr>
        <w:tab/>
      </w:r>
      <w:r w:rsidR="007F4B42">
        <w:rPr>
          <w:i w:val="0"/>
        </w:rPr>
        <w:t xml:space="preserve">Exhibit 20, p. </w:t>
      </w:r>
      <w:r>
        <w:rPr>
          <w:i w:val="0"/>
        </w:rPr>
        <w:t>21.</w:t>
      </w:r>
    </w:p>
  </w:footnote>
  <w:footnote w:id="28">
    <w:p w:rsidR="00586DBE" w:rsidRPr="00B6474D" w:rsidRDefault="00586DBE" w:rsidP="00B6474D">
      <w:pPr>
        <w:pStyle w:val="FootnoteText"/>
        <w:tabs>
          <w:tab w:val="left" w:pos="284"/>
        </w:tabs>
        <w:rPr>
          <w:i w:val="0"/>
        </w:rPr>
      </w:pPr>
      <w:r w:rsidRPr="00B6474D">
        <w:rPr>
          <w:rStyle w:val="FootnoteReference"/>
          <w:i w:val="0"/>
        </w:rPr>
        <w:footnoteRef/>
      </w:r>
      <w:r w:rsidRPr="00B6474D">
        <w:rPr>
          <w:i w:val="0"/>
        </w:rPr>
        <w:t xml:space="preserve"> </w:t>
      </w:r>
      <w:r>
        <w:rPr>
          <w:i w:val="0"/>
        </w:rPr>
        <w:tab/>
        <w:t>Secretary’s Further Statement of Issues, Facts and Contentions, dated 17 September 2014, [61] at p.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BE" w:rsidRDefault="00586DBE">
    <w:pPr>
      <w:framePr w:wrap="around" w:vAnchor="text" w:hAnchor="margin" w:xAlign="center" w:y="1"/>
      <w:numPr>
        <w:ilvl w:val="12"/>
        <w:numId w:val="0"/>
      </w:numPr>
      <w:ind w:hanging="851"/>
    </w:pPr>
    <w:r>
      <w:fldChar w:fldCharType="begin"/>
    </w:r>
    <w:r>
      <w:instrText xml:space="preserve">PAGE  </w:instrText>
    </w:r>
    <w:r>
      <w:fldChar w:fldCharType="end"/>
    </w:r>
  </w:p>
  <w:p w:rsidR="00586DBE" w:rsidRDefault="00586DBE">
    <w:pPr>
      <w:numPr>
        <w:ilvl w:val="12"/>
        <w:numId w:val="0"/>
      </w:numPr>
      <w:ind w:hanging="851"/>
    </w:pPr>
  </w:p>
  <w:p w:rsidR="00586DBE" w:rsidRDefault="00586D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86DBE" w:rsidTr="00DD17FC">
      <w:trPr>
        <w:trHeight w:hRule="exact" w:val="1361"/>
      </w:trPr>
      <w:tc>
        <w:tcPr>
          <w:tcW w:w="6634" w:type="dxa"/>
          <w:vAlign w:val="bottom"/>
        </w:tcPr>
        <w:p w:rsidR="00586DBE" w:rsidRDefault="00586DBE">
          <w:pPr>
            <w:numPr>
              <w:ilvl w:val="12"/>
              <w:numId w:val="0"/>
            </w:numPr>
          </w:pPr>
          <w:r>
            <w:rPr>
              <w:noProof/>
            </w:rPr>
            <w:drawing>
              <wp:inline distT="0" distB="0" distL="0" distR="0" wp14:anchorId="171BF37F" wp14:editId="2659076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86DBE" w:rsidRDefault="00586DBE" w:rsidP="005976AB">
          <w:pPr>
            <w:numPr>
              <w:ilvl w:val="12"/>
              <w:numId w:val="0"/>
            </w:numPr>
            <w:jc w:val="right"/>
          </w:pPr>
          <w:r>
            <w:rPr>
              <w:noProof/>
            </w:rPr>
            <w:drawing>
              <wp:inline distT="0" distB="0" distL="0" distR="0" wp14:anchorId="407E0A6E" wp14:editId="3E62FC25">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86DBE" w:rsidRDefault="00586DBE"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084"/>
    <w:multiLevelType w:val="multilevel"/>
    <w:tmpl w:val="F80C7136"/>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0D576DE7"/>
    <w:multiLevelType w:val="hybridMultilevel"/>
    <w:tmpl w:val="5C7458A6"/>
    <w:lvl w:ilvl="0" w:tplc="F9A0100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nsid w:val="0F4B6905"/>
    <w:multiLevelType w:val="hybridMultilevel"/>
    <w:tmpl w:val="0C708654"/>
    <w:lvl w:ilvl="0" w:tplc="465477D4">
      <w:start w:val="1"/>
      <w:numFmt w:val="bullet"/>
      <w:lvlText w:val="o"/>
      <w:lvlJc w:val="left"/>
      <w:pPr>
        <w:ind w:left="720" w:hanging="360"/>
      </w:pPr>
      <w:rPr>
        <w:rFonts w:ascii="Courier New" w:hAnsi="Courier New" w:cs="Times New Roman" w:hint="default"/>
        <w:sz w:val="16"/>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
    <w:nsid w:val="1392036C"/>
    <w:multiLevelType w:val="hybridMultilevel"/>
    <w:tmpl w:val="75CEF09E"/>
    <w:lvl w:ilvl="0" w:tplc="B08A52FE">
      <w:start w:val="1"/>
      <w:numFmt w:val="lowerLetter"/>
      <w:lvlText w:val="(%1)"/>
      <w:lvlJc w:val="left"/>
      <w:pPr>
        <w:ind w:left="1357" w:hanging="360"/>
      </w:pPr>
      <w:rPr>
        <w:rFonts w:hint="default"/>
      </w:rPr>
    </w:lvl>
    <w:lvl w:ilvl="1" w:tplc="0C090019" w:tentative="1">
      <w:start w:val="1"/>
      <w:numFmt w:val="lowerLetter"/>
      <w:lvlText w:val="%2."/>
      <w:lvlJc w:val="left"/>
      <w:pPr>
        <w:ind w:left="2077" w:hanging="360"/>
      </w:pPr>
    </w:lvl>
    <w:lvl w:ilvl="2" w:tplc="0C09001B" w:tentative="1">
      <w:start w:val="1"/>
      <w:numFmt w:val="lowerRoman"/>
      <w:lvlText w:val="%3."/>
      <w:lvlJc w:val="right"/>
      <w:pPr>
        <w:ind w:left="2797" w:hanging="180"/>
      </w:pPr>
    </w:lvl>
    <w:lvl w:ilvl="3" w:tplc="0C09000F" w:tentative="1">
      <w:start w:val="1"/>
      <w:numFmt w:val="decimal"/>
      <w:lvlText w:val="%4."/>
      <w:lvlJc w:val="left"/>
      <w:pPr>
        <w:ind w:left="3517" w:hanging="360"/>
      </w:pPr>
    </w:lvl>
    <w:lvl w:ilvl="4" w:tplc="0C090019" w:tentative="1">
      <w:start w:val="1"/>
      <w:numFmt w:val="lowerLetter"/>
      <w:lvlText w:val="%5."/>
      <w:lvlJc w:val="left"/>
      <w:pPr>
        <w:ind w:left="4237" w:hanging="360"/>
      </w:pPr>
    </w:lvl>
    <w:lvl w:ilvl="5" w:tplc="0C09001B" w:tentative="1">
      <w:start w:val="1"/>
      <w:numFmt w:val="lowerRoman"/>
      <w:lvlText w:val="%6."/>
      <w:lvlJc w:val="right"/>
      <w:pPr>
        <w:ind w:left="4957" w:hanging="180"/>
      </w:pPr>
    </w:lvl>
    <w:lvl w:ilvl="6" w:tplc="0C09000F" w:tentative="1">
      <w:start w:val="1"/>
      <w:numFmt w:val="decimal"/>
      <w:lvlText w:val="%7."/>
      <w:lvlJc w:val="left"/>
      <w:pPr>
        <w:ind w:left="5677" w:hanging="360"/>
      </w:pPr>
    </w:lvl>
    <w:lvl w:ilvl="7" w:tplc="0C090019" w:tentative="1">
      <w:start w:val="1"/>
      <w:numFmt w:val="lowerLetter"/>
      <w:lvlText w:val="%8."/>
      <w:lvlJc w:val="left"/>
      <w:pPr>
        <w:ind w:left="6397" w:hanging="360"/>
      </w:pPr>
    </w:lvl>
    <w:lvl w:ilvl="8" w:tplc="0C09001B" w:tentative="1">
      <w:start w:val="1"/>
      <w:numFmt w:val="lowerRoman"/>
      <w:lvlText w:val="%9."/>
      <w:lvlJc w:val="right"/>
      <w:pPr>
        <w:ind w:left="7117" w:hanging="180"/>
      </w:pPr>
    </w:lvl>
  </w:abstractNum>
  <w:abstractNum w:abstractNumId="4">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8EF3FE1"/>
    <w:multiLevelType w:val="hybridMultilevel"/>
    <w:tmpl w:val="0530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0F3E45"/>
    <w:multiLevelType w:val="hybridMultilevel"/>
    <w:tmpl w:val="47B0A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3A30DF"/>
    <w:multiLevelType w:val="hybridMultilevel"/>
    <w:tmpl w:val="DEB695AC"/>
    <w:lvl w:ilvl="0" w:tplc="B8F4E81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nsid w:val="1D6B378B"/>
    <w:multiLevelType w:val="multilevel"/>
    <w:tmpl w:val="C38441E4"/>
    <w:numStyleLink w:val="Quotes"/>
  </w:abstractNum>
  <w:abstractNum w:abstractNumId="9">
    <w:nsid w:val="26471D85"/>
    <w:multiLevelType w:val="hybridMultilevel"/>
    <w:tmpl w:val="407E8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nsid w:val="33AC78A0"/>
    <w:multiLevelType w:val="hybridMultilevel"/>
    <w:tmpl w:val="994A2D54"/>
    <w:lvl w:ilvl="0" w:tplc="17F8FC7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2">
    <w:nsid w:val="37EC05F0"/>
    <w:multiLevelType w:val="hybridMultilevel"/>
    <w:tmpl w:val="94CA6D76"/>
    <w:lvl w:ilvl="0" w:tplc="8390ACA4">
      <w:start w:val="1"/>
      <w:numFmt w:val="lowerLetter"/>
      <w:lvlText w:val="(%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5">
    <w:nsid w:val="447E4816"/>
    <w:multiLevelType w:val="hybridMultilevel"/>
    <w:tmpl w:val="459E4F88"/>
    <w:lvl w:ilvl="0" w:tplc="F95260A0">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53287C54"/>
    <w:multiLevelType w:val="hybridMultilevel"/>
    <w:tmpl w:val="7BE8F154"/>
    <w:lvl w:ilvl="0" w:tplc="0C090001">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nsid w:val="53DA1C33"/>
    <w:multiLevelType w:val="hybridMultilevel"/>
    <w:tmpl w:val="D4BCCDF6"/>
    <w:lvl w:ilvl="0" w:tplc="EA402C1E">
      <w:start w:val="1"/>
      <w:numFmt w:val="bullet"/>
      <w:lvlText w:val=""/>
      <w:lvlJc w:val="left"/>
      <w:pPr>
        <w:ind w:left="720" w:hanging="360"/>
      </w:pPr>
      <w:rPr>
        <w:rFonts w:ascii="Times New Roman" w:hAnsi="Times New Roman" w:cs="Times New Roman"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41E12EB"/>
    <w:multiLevelType w:val="multilevel"/>
    <w:tmpl w:val="2160D004"/>
    <w:numStyleLink w:val="Bullets"/>
  </w:abstractNum>
  <w:abstractNum w:abstractNumId="19">
    <w:nsid w:val="65FF3513"/>
    <w:multiLevelType w:val="hybridMultilevel"/>
    <w:tmpl w:val="4B102498"/>
    <w:lvl w:ilvl="0" w:tplc="2D1ACDE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0">
    <w:nsid w:val="68747645"/>
    <w:multiLevelType w:val="hybridMultilevel"/>
    <w:tmpl w:val="B30A336A"/>
    <w:lvl w:ilvl="0" w:tplc="E1D2CD78">
      <w:start w:val="1"/>
      <w:numFmt w:val="bullet"/>
      <w:lvlText w:val=""/>
      <w:lvlJc w:val="left"/>
      <w:pPr>
        <w:tabs>
          <w:tab w:val="num" w:pos="720"/>
        </w:tabs>
        <w:ind w:left="720" w:hanging="360"/>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6D8422BA"/>
    <w:multiLevelType w:val="hybridMultilevel"/>
    <w:tmpl w:val="292E1160"/>
    <w:lvl w:ilvl="0" w:tplc="1C7E513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nsid w:val="6DF1171C"/>
    <w:multiLevelType w:val="hybridMultilevel"/>
    <w:tmpl w:val="86CE2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27B1FCC"/>
    <w:multiLevelType w:val="multilevel"/>
    <w:tmpl w:val="B6C0573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num w:numId="1">
    <w:abstractNumId w:val="4"/>
  </w:num>
  <w:num w:numId="2">
    <w:abstractNumId w:val="13"/>
  </w:num>
  <w:num w:numId="3">
    <w:abstractNumId w:val="14"/>
  </w:num>
  <w:num w:numId="4">
    <w:abstractNumId w:val="18"/>
  </w:num>
  <w:num w:numId="5">
    <w:abstractNumId w:val="0"/>
  </w:num>
  <w:num w:numId="6">
    <w:abstractNumId w:val="10"/>
  </w:num>
  <w:num w:numId="7">
    <w:abstractNumId w:val="8"/>
    <w:lvlOverride w:ilvl="2">
      <w:lvl w:ilvl="2">
        <w:start w:val="1"/>
        <w:numFmt w:val="lowerRoman"/>
        <w:pStyle w:val="NumberedQuote4"/>
        <w:lvlText w:val="(%3)"/>
        <w:lvlJc w:val="left"/>
        <w:pPr>
          <w:tabs>
            <w:tab w:val="num" w:pos="2410"/>
          </w:tabs>
          <w:ind w:left="2410" w:hanging="567"/>
        </w:pPr>
        <w:rPr>
          <w:rFonts w:hint="default"/>
        </w:rPr>
      </w:lvl>
    </w:lvlOverride>
  </w:num>
  <w:num w:numId="8">
    <w:abstractNumId w:val="0"/>
    <w:lvlOverride w:ilvl="0">
      <w:lvl w:ilvl="0">
        <w:start w:val="1"/>
        <w:numFmt w:val="decimal"/>
        <w:pStyle w:val="ListNumber"/>
        <w:lvlText w:val="%1."/>
        <w:lvlJc w:val="left"/>
        <w:pPr>
          <w:tabs>
            <w:tab w:val="num" w:pos="0"/>
          </w:tabs>
          <w:ind w:left="0" w:hanging="709"/>
        </w:pPr>
        <w:rPr>
          <w:rFonts w:hint="default"/>
          <w:i w:val="0"/>
        </w:rPr>
      </w:lvl>
    </w:lvlOverride>
  </w:num>
  <w:num w:numId="9">
    <w:abstractNumId w:val="16"/>
  </w:num>
  <w:num w:numId="10">
    <w:abstractNumId w:val="2"/>
  </w:num>
  <w:num w:numId="11">
    <w:abstractNumId w:val="17"/>
  </w:num>
  <w:num w:numId="12">
    <w:abstractNumId w:val="20"/>
  </w:num>
  <w:num w:numId="13">
    <w:abstractNumId w:val="15"/>
  </w:num>
  <w:num w:numId="14">
    <w:abstractNumId w:val="11"/>
  </w:num>
  <w:num w:numId="15">
    <w:abstractNumId w:val="3"/>
  </w:num>
  <w:num w:numId="16">
    <w:abstractNumId w:val="1"/>
  </w:num>
  <w:num w:numId="17">
    <w:abstractNumId w:val="21"/>
  </w:num>
  <w:num w:numId="18">
    <w:abstractNumId w:val="12"/>
  </w:num>
  <w:num w:numId="19">
    <w:abstractNumId w:val="7"/>
  </w:num>
  <w:num w:numId="20">
    <w:abstractNumId w:val="5"/>
  </w:num>
  <w:num w:numId="21">
    <w:abstractNumId w:val="6"/>
  </w:num>
  <w:num w:numId="22">
    <w:abstractNumId w:val="22"/>
  </w:num>
  <w:num w:numId="23">
    <w:abstractNumId w:val="9"/>
  </w:num>
  <w:num w:numId="24">
    <w:abstractNumId w:val="23"/>
  </w:num>
  <w:num w:numId="2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True"/>
    <w:docVar w:name="RunAlready" w:val="True"/>
  </w:docVars>
  <w:rsids>
    <w:rsidRoot w:val="00FF01D4"/>
    <w:rsid w:val="00000438"/>
    <w:rsid w:val="00000788"/>
    <w:rsid w:val="00004028"/>
    <w:rsid w:val="00004916"/>
    <w:rsid w:val="00005D43"/>
    <w:rsid w:val="00010715"/>
    <w:rsid w:val="00010D8F"/>
    <w:rsid w:val="0001309B"/>
    <w:rsid w:val="00016E32"/>
    <w:rsid w:val="000176A5"/>
    <w:rsid w:val="00020FCA"/>
    <w:rsid w:val="00022CF0"/>
    <w:rsid w:val="00024EF9"/>
    <w:rsid w:val="00025EC9"/>
    <w:rsid w:val="00026072"/>
    <w:rsid w:val="00026A57"/>
    <w:rsid w:val="000279D8"/>
    <w:rsid w:val="00030E12"/>
    <w:rsid w:val="00031D09"/>
    <w:rsid w:val="0003417D"/>
    <w:rsid w:val="00034645"/>
    <w:rsid w:val="0003647F"/>
    <w:rsid w:val="00036C03"/>
    <w:rsid w:val="00037306"/>
    <w:rsid w:val="00040997"/>
    <w:rsid w:val="00041993"/>
    <w:rsid w:val="00041DE0"/>
    <w:rsid w:val="00051969"/>
    <w:rsid w:val="000533BE"/>
    <w:rsid w:val="00054765"/>
    <w:rsid w:val="0005765E"/>
    <w:rsid w:val="00057946"/>
    <w:rsid w:val="00066A89"/>
    <w:rsid w:val="00066FA8"/>
    <w:rsid w:val="00072703"/>
    <w:rsid w:val="00074057"/>
    <w:rsid w:val="000757E0"/>
    <w:rsid w:val="00076AE1"/>
    <w:rsid w:val="00077D8F"/>
    <w:rsid w:val="00077E34"/>
    <w:rsid w:val="0008091F"/>
    <w:rsid w:val="00082425"/>
    <w:rsid w:val="00084AAF"/>
    <w:rsid w:val="000852E6"/>
    <w:rsid w:val="0008639E"/>
    <w:rsid w:val="00086AFC"/>
    <w:rsid w:val="000903C8"/>
    <w:rsid w:val="0009045E"/>
    <w:rsid w:val="000904E4"/>
    <w:rsid w:val="0009097C"/>
    <w:rsid w:val="00090B8A"/>
    <w:rsid w:val="00091275"/>
    <w:rsid w:val="000912D4"/>
    <w:rsid w:val="0009401C"/>
    <w:rsid w:val="0009561D"/>
    <w:rsid w:val="00096477"/>
    <w:rsid w:val="000A058C"/>
    <w:rsid w:val="000A2C43"/>
    <w:rsid w:val="000A3B7B"/>
    <w:rsid w:val="000A40FB"/>
    <w:rsid w:val="000A6277"/>
    <w:rsid w:val="000B05AB"/>
    <w:rsid w:val="000B41C7"/>
    <w:rsid w:val="000B799C"/>
    <w:rsid w:val="000B7E7F"/>
    <w:rsid w:val="000C0421"/>
    <w:rsid w:val="000C0B74"/>
    <w:rsid w:val="000C200E"/>
    <w:rsid w:val="000C605F"/>
    <w:rsid w:val="000C716A"/>
    <w:rsid w:val="000D1F26"/>
    <w:rsid w:val="000D476E"/>
    <w:rsid w:val="000E0438"/>
    <w:rsid w:val="000E14C4"/>
    <w:rsid w:val="000E35BC"/>
    <w:rsid w:val="000E3B5A"/>
    <w:rsid w:val="000E407D"/>
    <w:rsid w:val="000E4089"/>
    <w:rsid w:val="000E5FB6"/>
    <w:rsid w:val="000F18F4"/>
    <w:rsid w:val="000F2144"/>
    <w:rsid w:val="000F4D9C"/>
    <w:rsid w:val="000F6DE3"/>
    <w:rsid w:val="000F6FDF"/>
    <w:rsid w:val="000F7E91"/>
    <w:rsid w:val="00101356"/>
    <w:rsid w:val="001064ED"/>
    <w:rsid w:val="00110450"/>
    <w:rsid w:val="00110C0F"/>
    <w:rsid w:val="00111F84"/>
    <w:rsid w:val="001131C2"/>
    <w:rsid w:val="001143B9"/>
    <w:rsid w:val="00114BD8"/>
    <w:rsid w:val="0011681C"/>
    <w:rsid w:val="00117552"/>
    <w:rsid w:val="0012021D"/>
    <w:rsid w:val="001209DA"/>
    <w:rsid w:val="001217AF"/>
    <w:rsid w:val="00122092"/>
    <w:rsid w:val="001220FF"/>
    <w:rsid w:val="00122EFA"/>
    <w:rsid w:val="0012456D"/>
    <w:rsid w:val="001253D9"/>
    <w:rsid w:val="0013307E"/>
    <w:rsid w:val="00134DDA"/>
    <w:rsid w:val="00134F3D"/>
    <w:rsid w:val="00143874"/>
    <w:rsid w:val="00144E7F"/>
    <w:rsid w:val="0014665F"/>
    <w:rsid w:val="001466C7"/>
    <w:rsid w:val="0014727D"/>
    <w:rsid w:val="00152EB0"/>
    <w:rsid w:val="00155013"/>
    <w:rsid w:val="00155B4D"/>
    <w:rsid w:val="00156035"/>
    <w:rsid w:val="00160706"/>
    <w:rsid w:val="00161B81"/>
    <w:rsid w:val="001623BA"/>
    <w:rsid w:val="001625D8"/>
    <w:rsid w:val="0016425D"/>
    <w:rsid w:val="0016773D"/>
    <w:rsid w:val="00170921"/>
    <w:rsid w:val="00170BEE"/>
    <w:rsid w:val="00174965"/>
    <w:rsid w:val="00174FCD"/>
    <w:rsid w:val="001761FE"/>
    <w:rsid w:val="001769F4"/>
    <w:rsid w:val="00177DE1"/>
    <w:rsid w:val="00177ECF"/>
    <w:rsid w:val="001803FE"/>
    <w:rsid w:val="00183666"/>
    <w:rsid w:val="00183748"/>
    <w:rsid w:val="001851A9"/>
    <w:rsid w:val="00185304"/>
    <w:rsid w:val="0018598D"/>
    <w:rsid w:val="00187636"/>
    <w:rsid w:val="00190759"/>
    <w:rsid w:val="00194DBB"/>
    <w:rsid w:val="00197BFF"/>
    <w:rsid w:val="001A2A7F"/>
    <w:rsid w:val="001A2C68"/>
    <w:rsid w:val="001A3530"/>
    <w:rsid w:val="001A364D"/>
    <w:rsid w:val="001A364E"/>
    <w:rsid w:val="001A37DD"/>
    <w:rsid w:val="001A4085"/>
    <w:rsid w:val="001A4617"/>
    <w:rsid w:val="001A4F51"/>
    <w:rsid w:val="001A50CD"/>
    <w:rsid w:val="001B2051"/>
    <w:rsid w:val="001B65E5"/>
    <w:rsid w:val="001B7953"/>
    <w:rsid w:val="001B7D4A"/>
    <w:rsid w:val="001C1058"/>
    <w:rsid w:val="001C59B1"/>
    <w:rsid w:val="001C68AE"/>
    <w:rsid w:val="001D0804"/>
    <w:rsid w:val="001D5528"/>
    <w:rsid w:val="001D5B26"/>
    <w:rsid w:val="001D661E"/>
    <w:rsid w:val="001D734A"/>
    <w:rsid w:val="001D7F3C"/>
    <w:rsid w:val="001E0794"/>
    <w:rsid w:val="001E18C1"/>
    <w:rsid w:val="001E1E9E"/>
    <w:rsid w:val="001E237C"/>
    <w:rsid w:val="001E4799"/>
    <w:rsid w:val="001E7ADA"/>
    <w:rsid w:val="001F058C"/>
    <w:rsid w:val="001F2404"/>
    <w:rsid w:val="001F2C5D"/>
    <w:rsid w:val="001F3698"/>
    <w:rsid w:val="001F5B29"/>
    <w:rsid w:val="001F6089"/>
    <w:rsid w:val="001F708A"/>
    <w:rsid w:val="001F711F"/>
    <w:rsid w:val="00200058"/>
    <w:rsid w:val="00200390"/>
    <w:rsid w:val="002016E1"/>
    <w:rsid w:val="00201958"/>
    <w:rsid w:val="00202BDD"/>
    <w:rsid w:val="002037D9"/>
    <w:rsid w:val="00203F58"/>
    <w:rsid w:val="002044E0"/>
    <w:rsid w:val="00206FB8"/>
    <w:rsid w:val="00207494"/>
    <w:rsid w:val="002101C7"/>
    <w:rsid w:val="0021136A"/>
    <w:rsid w:val="00211543"/>
    <w:rsid w:val="002135E8"/>
    <w:rsid w:val="002137DF"/>
    <w:rsid w:val="00213896"/>
    <w:rsid w:val="002155EF"/>
    <w:rsid w:val="00215BDF"/>
    <w:rsid w:val="00215E98"/>
    <w:rsid w:val="00217DAA"/>
    <w:rsid w:val="002216BD"/>
    <w:rsid w:val="002257FA"/>
    <w:rsid w:val="002260F4"/>
    <w:rsid w:val="002276C4"/>
    <w:rsid w:val="00230141"/>
    <w:rsid w:val="00231A0B"/>
    <w:rsid w:val="0023343A"/>
    <w:rsid w:val="00237992"/>
    <w:rsid w:val="00242AEC"/>
    <w:rsid w:val="002444A5"/>
    <w:rsid w:val="0024473D"/>
    <w:rsid w:val="0024549E"/>
    <w:rsid w:val="00245DD4"/>
    <w:rsid w:val="00253104"/>
    <w:rsid w:val="00253382"/>
    <w:rsid w:val="00256FC5"/>
    <w:rsid w:val="002607D3"/>
    <w:rsid w:val="00264A1D"/>
    <w:rsid w:val="00271135"/>
    <w:rsid w:val="002735B9"/>
    <w:rsid w:val="00273763"/>
    <w:rsid w:val="00273B5A"/>
    <w:rsid w:val="0027496E"/>
    <w:rsid w:val="002754F8"/>
    <w:rsid w:val="00275BC0"/>
    <w:rsid w:val="00275E2F"/>
    <w:rsid w:val="002801D9"/>
    <w:rsid w:val="00280F2B"/>
    <w:rsid w:val="0028386A"/>
    <w:rsid w:val="002839BF"/>
    <w:rsid w:val="00284634"/>
    <w:rsid w:val="00287811"/>
    <w:rsid w:val="00287FE0"/>
    <w:rsid w:val="00290294"/>
    <w:rsid w:val="002944AA"/>
    <w:rsid w:val="0029482B"/>
    <w:rsid w:val="002954D6"/>
    <w:rsid w:val="00295ACC"/>
    <w:rsid w:val="00297BAC"/>
    <w:rsid w:val="00297EA1"/>
    <w:rsid w:val="002A40EA"/>
    <w:rsid w:val="002A5BD8"/>
    <w:rsid w:val="002A6D3A"/>
    <w:rsid w:val="002B1002"/>
    <w:rsid w:val="002B4F02"/>
    <w:rsid w:val="002B52FA"/>
    <w:rsid w:val="002B70A0"/>
    <w:rsid w:val="002C009A"/>
    <w:rsid w:val="002C02DF"/>
    <w:rsid w:val="002C1516"/>
    <w:rsid w:val="002C19C9"/>
    <w:rsid w:val="002C1D28"/>
    <w:rsid w:val="002C2118"/>
    <w:rsid w:val="002C29C2"/>
    <w:rsid w:val="002C7E16"/>
    <w:rsid w:val="002D3429"/>
    <w:rsid w:val="002D5398"/>
    <w:rsid w:val="002D5BA9"/>
    <w:rsid w:val="002D7F26"/>
    <w:rsid w:val="002E599F"/>
    <w:rsid w:val="002E6485"/>
    <w:rsid w:val="002E6962"/>
    <w:rsid w:val="002E75E8"/>
    <w:rsid w:val="002E7FBA"/>
    <w:rsid w:val="002F0D19"/>
    <w:rsid w:val="002F0F50"/>
    <w:rsid w:val="002F3DDF"/>
    <w:rsid w:val="002F4A5C"/>
    <w:rsid w:val="002F4EB0"/>
    <w:rsid w:val="002F6956"/>
    <w:rsid w:val="002F7489"/>
    <w:rsid w:val="002F7C4D"/>
    <w:rsid w:val="002F7E7B"/>
    <w:rsid w:val="00301154"/>
    <w:rsid w:val="0030226A"/>
    <w:rsid w:val="00304487"/>
    <w:rsid w:val="00305792"/>
    <w:rsid w:val="003058C9"/>
    <w:rsid w:val="003070FA"/>
    <w:rsid w:val="00307689"/>
    <w:rsid w:val="0031317D"/>
    <w:rsid w:val="003152B2"/>
    <w:rsid w:val="00323B7B"/>
    <w:rsid w:val="00325D17"/>
    <w:rsid w:val="00325EC3"/>
    <w:rsid w:val="0032657E"/>
    <w:rsid w:val="00331390"/>
    <w:rsid w:val="003345C3"/>
    <w:rsid w:val="00334BEE"/>
    <w:rsid w:val="00336C16"/>
    <w:rsid w:val="00337954"/>
    <w:rsid w:val="0034191E"/>
    <w:rsid w:val="00342BEC"/>
    <w:rsid w:val="00343163"/>
    <w:rsid w:val="003436FA"/>
    <w:rsid w:val="00350976"/>
    <w:rsid w:val="00352348"/>
    <w:rsid w:val="00352381"/>
    <w:rsid w:val="003530AA"/>
    <w:rsid w:val="00355598"/>
    <w:rsid w:val="003579F7"/>
    <w:rsid w:val="00357F88"/>
    <w:rsid w:val="003739F4"/>
    <w:rsid w:val="003740DB"/>
    <w:rsid w:val="00380425"/>
    <w:rsid w:val="00382E91"/>
    <w:rsid w:val="003864C1"/>
    <w:rsid w:val="003868D3"/>
    <w:rsid w:val="00391759"/>
    <w:rsid w:val="00391A9B"/>
    <w:rsid w:val="00394A18"/>
    <w:rsid w:val="00394D7E"/>
    <w:rsid w:val="00395365"/>
    <w:rsid w:val="00395B38"/>
    <w:rsid w:val="00397AC3"/>
    <w:rsid w:val="003A3D96"/>
    <w:rsid w:val="003A4AC1"/>
    <w:rsid w:val="003A5522"/>
    <w:rsid w:val="003A589C"/>
    <w:rsid w:val="003B3925"/>
    <w:rsid w:val="003B6DAC"/>
    <w:rsid w:val="003C01C6"/>
    <w:rsid w:val="003C12DE"/>
    <w:rsid w:val="003C3A2F"/>
    <w:rsid w:val="003C6C6D"/>
    <w:rsid w:val="003D2450"/>
    <w:rsid w:val="003D4BB1"/>
    <w:rsid w:val="003D76AF"/>
    <w:rsid w:val="003E1FE6"/>
    <w:rsid w:val="003E261A"/>
    <w:rsid w:val="003E305B"/>
    <w:rsid w:val="003E45BA"/>
    <w:rsid w:val="003E5A36"/>
    <w:rsid w:val="003E5E87"/>
    <w:rsid w:val="003E64EB"/>
    <w:rsid w:val="003F0928"/>
    <w:rsid w:val="003F10AC"/>
    <w:rsid w:val="003F2BEB"/>
    <w:rsid w:val="003F3429"/>
    <w:rsid w:val="003F3503"/>
    <w:rsid w:val="003F5488"/>
    <w:rsid w:val="00401581"/>
    <w:rsid w:val="004016F2"/>
    <w:rsid w:val="004050E6"/>
    <w:rsid w:val="00406B68"/>
    <w:rsid w:val="00411738"/>
    <w:rsid w:val="004152C5"/>
    <w:rsid w:val="00416CE8"/>
    <w:rsid w:val="00417658"/>
    <w:rsid w:val="00426A4B"/>
    <w:rsid w:val="00434C15"/>
    <w:rsid w:val="00434C43"/>
    <w:rsid w:val="00442F1C"/>
    <w:rsid w:val="0044330A"/>
    <w:rsid w:val="00445E31"/>
    <w:rsid w:val="004522AA"/>
    <w:rsid w:val="00452DD5"/>
    <w:rsid w:val="0045440C"/>
    <w:rsid w:val="00454437"/>
    <w:rsid w:val="00463C53"/>
    <w:rsid w:val="00466655"/>
    <w:rsid w:val="0047066D"/>
    <w:rsid w:val="00471694"/>
    <w:rsid w:val="00472670"/>
    <w:rsid w:val="004727B7"/>
    <w:rsid w:val="00473144"/>
    <w:rsid w:val="00473AB1"/>
    <w:rsid w:val="00474B8D"/>
    <w:rsid w:val="00474E3D"/>
    <w:rsid w:val="00480DF4"/>
    <w:rsid w:val="00483FFC"/>
    <w:rsid w:val="004856B3"/>
    <w:rsid w:val="00485A89"/>
    <w:rsid w:val="004865FB"/>
    <w:rsid w:val="004905BD"/>
    <w:rsid w:val="00490C0A"/>
    <w:rsid w:val="004948E0"/>
    <w:rsid w:val="00496C26"/>
    <w:rsid w:val="004A0002"/>
    <w:rsid w:val="004A0C4C"/>
    <w:rsid w:val="004A15E6"/>
    <w:rsid w:val="004A4F2C"/>
    <w:rsid w:val="004A55A2"/>
    <w:rsid w:val="004A6F28"/>
    <w:rsid w:val="004A75CC"/>
    <w:rsid w:val="004B6924"/>
    <w:rsid w:val="004C3999"/>
    <w:rsid w:val="004C4132"/>
    <w:rsid w:val="004C57BC"/>
    <w:rsid w:val="004C7483"/>
    <w:rsid w:val="004C74C6"/>
    <w:rsid w:val="004D0176"/>
    <w:rsid w:val="004D13B4"/>
    <w:rsid w:val="004D3365"/>
    <w:rsid w:val="004E5063"/>
    <w:rsid w:val="004E720A"/>
    <w:rsid w:val="004E7541"/>
    <w:rsid w:val="004E7A7E"/>
    <w:rsid w:val="004F08E0"/>
    <w:rsid w:val="004F13F5"/>
    <w:rsid w:val="004F1FF0"/>
    <w:rsid w:val="004F5034"/>
    <w:rsid w:val="004F62A5"/>
    <w:rsid w:val="004F63A1"/>
    <w:rsid w:val="0050054F"/>
    <w:rsid w:val="0050166A"/>
    <w:rsid w:val="00502ACA"/>
    <w:rsid w:val="00505CF1"/>
    <w:rsid w:val="0050670F"/>
    <w:rsid w:val="00513A55"/>
    <w:rsid w:val="0051593B"/>
    <w:rsid w:val="00517927"/>
    <w:rsid w:val="00520D65"/>
    <w:rsid w:val="005225A5"/>
    <w:rsid w:val="00522817"/>
    <w:rsid w:val="00522908"/>
    <w:rsid w:val="00523715"/>
    <w:rsid w:val="00526022"/>
    <w:rsid w:val="0052665E"/>
    <w:rsid w:val="00531AA1"/>
    <w:rsid w:val="00531B56"/>
    <w:rsid w:val="0053221B"/>
    <w:rsid w:val="0053335B"/>
    <w:rsid w:val="0053374D"/>
    <w:rsid w:val="00533D1C"/>
    <w:rsid w:val="00534D38"/>
    <w:rsid w:val="0053583A"/>
    <w:rsid w:val="005414FF"/>
    <w:rsid w:val="0054362C"/>
    <w:rsid w:val="0054697D"/>
    <w:rsid w:val="00552511"/>
    <w:rsid w:val="0055292B"/>
    <w:rsid w:val="0055307E"/>
    <w:rsid w:val="00554246"/>
    <w:rsid w:val="00555550"/>
    <w:rsid w:val="00555BF5"/>
    <w:rsid w:val="00556B39"/>
    <w:rsid w:val="00561B98"/>
    <w:rsid w:val="005632FA"/>
    <w:rsid w:val="00567196"/>
    <w:rsid w:val="00567204"/>
    <w:rsid w:val="005706B0"/>
    <w:rsid w:val="0057112B"/>
    <w:rsid w:val="00576A65"/>
    <w:rsid w:val="00581AFC"/>
    <w:rsid w:val="00582EFF"/>
    <w:rsid w:val="005833E8"/>
    <w:rsid w:val="00585C0F"/>
    <w:rsid w:val="0058690A"/>
    <w:rsid w:val="00586DBE"/>
    <w:rsid w:val="005921CA"/>
    <w:rsid w:val="00592DF7"/>
    <w:rsid w:val="00594020"/>
    <w:rsid w:val="005940BF"/>
    <w:rsid w:val="005964BE"/>
    <w:rsid w:val="005976AB"/>
    <w:rsid w:val="0059787B"/>
    <w:rsid w:val="005A3DE1"/>
    <w:rsid w:val="005A4682"/>
    <w:rsid w:val="005A5149"/>
    <w:rsid w:val="005A51FD"/>
    <w:rsid w:val="005A5469"/>
    <w:rsid w:val="005A5A37"/>
    <w:rsid w:val="005B23D4"/>
    <w:rsid w:val="005B3289"/>
    <w:rsid w:val="005B4862"/>
    <w:rsid w:val="005B5C21"/>
    <w:rsid w:val="005C01A0"/>
    <w:rsid w:val="005C0DDD"/>
    <w:rsid w:val="005C2BEF"/>
    <w:rsid w:val="005C5785"/>
    <w:rsid w:val="005C5FB1"/>
    <w:rsid w:val="005C6B79"/>
    <w:rsid w:val="005D01F0"/>
    <w:rsid w:val="005D069E"/>
    <w:rsid w:val="005D06EC"/>
    <w:rsid w:val="005D2442"/>
    <w:rsid w:val="005D301C"/>
    <w:rsid w:val="005D3F5E"/>
    <w:rsid w:val="005D5DF5"/>
    <w:rsid w:val="005D6394"/>
    <w:rsid w:val="005E0238"/>
    <w:rsid w:val="005E0F42"/>
    <w:rsid w:val="005E1A25"/>
    <w:rsid w:val="005E4260"/>
    <w:rsid w:val="005E5339"/>
    <w:rsid w:val="005E6B67"/>
    <w:rsid w:val="005E7261"/>
    <w:rsid w:val="005F1766"/>
    <w:rsid w:val="005F1D59"/>
    <w:rsid w:val="005F21C4"/>
    <w:rsid w:val="005F2279"/>
    <w:rsid w:val="005F2E99"/>
    <w:rsid w:val="005F4A5B"/>
    <w:rsid w:val="005F7680"/>
    <w:rsid w:val="005F7783"/>
    <w:rsid w:val="00600553"/>
    <w:rsid w:val="006018F3"/>
    <w:rsid w:val="00602F9D"/>
    <w:rsid w:val="00605BAB"/>
    <w:rsid w:val="00605DAC"/>
    <w:rsid w:val="00607F3F"/>
    <w:rsid w:val="0061014E"/>
    <w:rsid w:val="00610828"/>
    <w:rsid w:val="006108BF"/>
    <w:rsid w:val="00615503"/>
    <w:rsid w:val="00617636"/>
    <w:rsid w:val="00621408"/>
    <w:rsid w:val="00622FE3"/>
    <w:rsid w:val="0062609A"/>
    <w:rsid w:val="00635CEE"/>
    <w:rsid w:val="00635E9D"/>
    <w:rsid w:val="0064141F"/>
    <w:rsid w:val="006429CF"/>
    <w:rsid w:val="00645512"/>
    <w:rsid w:val="00646BD7"/>
    <w:rsid w:val="00647330"/>
    <w:rsid w:val="00650FEE"/>
    <w:rsid w:val="00653401"/>
    <w:rsid w:val="0066062A"/>
    <w:rsid w:val="00661217"/>
    <w:rsid w:val="00661270"/>
    <w:rsid w:val="00662B1E"/>
    <w:rsid w:val="00663243"/>
    <w:rsid w:val="00664295"/>
    <w:rsid w:val="00664643"/>
    <w:rsid w:val="0067194A"/>
    <w:rsid w:val="00671D54"/>
    <w:rsid w:val="00681AA2"/>
    <w:rsid w:val="00682631"/>
    <w:rsid w:val="00684665"/>
    <w:rsid w:val="006874C3"/>
    <w:rsid w:val="00690288"/>
    <w:rsid w:val="0069197D"/>
    <w:rsid w:val="00693188"/>
    <w:rsid w:val="006945BD"/>
    <w:rsid w:val="006955CE"/>
    <w:rsid w:val="00696443"/>
    <w:rsid w:val="006970A2"/>
    <w:rsid w:val="006A05B8"/>
    <w:rsid w:val="006A5846"/>
    <w:rsid w:val="006A586C"/>
    <w:rsid w:val="006A6494"/>
    <w:rsid w:val="006A7826"/>
    <w:rsid w:val="006B0FF9"/>
    <w:rsid w:val="006B1162"/>
    <w:rsid w:val="006B3EE8"/>
    <w:rsid w:val="006B5374"/>
    <w:rsid w:val="006B5946"/>
    <w:rsid w:val="006B624A"/>
    <w:rsid w:val="006B7D30"/>
    <w:rsid w:val="006C2314"/>
    <w:rsid w:val="006C4F5E"/>
    <w:rsid w:val="006C60AA"/>
    <w:rsid w:val="006C73AA"/>
    <w:rsid w:val="006C77A1"/>
    <w:rsid w:val="006D0CBE"/>
    <w:rsid w:val="006D0EE2"/>
    <w:rsid w:val="006D1F1B"/>
    <w:rsid w:val="006D2055"/>
    <w:rsid w:val="006D20BD"/>
    <w:rsid w:val="006D3300"/>
    <w:rsid w:val="006D3A70"/>
    <w:rsid w:val="006D4055"/>
    <w:rsid w:val="006D5607"/>
    <w:rsid w:val="006D748E"/>
    <w:rsid w:val="006D7A2C"/>
    <w:rsid w:val="006D7A7B"/>
    <w:rsid w:val="006D7F83"/>
    <w:rsid w:val="006E183F"/>
    <w:rsid w:val="006E1CB3"/>
    <w:rsid w:val="006E361C"/>
    <w:rsid w:val="006E467D"/>
    <w:rsid w:val="006E5759"/>
    <w:rsid w:val="006E5CA8"/>
    <w:rsid w:val="006F0A2D"/>
    <w:rsid w:val="006F16E0"/>
    <w:rsid w:val="006F3E9E"/>
    <w:rsid w:val="006F4185"/>
    <w:rsid w:val="007021B5"/>
    <w:rsid w:val="0070444D"/>
    <w:rsid w:val="0070597B"/>
    <w:rsid w:val="00705F57"/>
    <w:rsid w:val="0070693C"/>
    <w:rsid w:val="00706E66"/>
    <w:rsid w:val="0070746A"/>
    <w:rsid w:val="00707C6C"/>
    <w:rsid w:val="00713462"/>
    <w:rsid w:val="00713ADF"/>
    <w:rsid w:val="00716EF3"/>
    <w:rsid w:val="0072102D"/>
    <w:rsid w:val="007219C8"/>
    <w:rsid w:val="00721D66"/>
    <w:rsid w:val="007228C5"/>
    <w:rsid w:val="00724C6E"/>
    <w:rsid w:val="007253DF"/>
    <w:rsid w:val="00726B27"/>
    <w:rsid w:val="00726B2F"/>
    <w:rsid w:val="00726DEA"/>
    <w:rsid w:val="00727FBE"/>
    <w:rsid w:val="00731113"/>
    <w:rsid w:val="007339E9"/>
    <w:rsid w:val="00737A0D"/>
    <w:rsid w:val="0074008A"/>
    <w:rsid w:val="007435BC"/>
    <w:rsid w:val="00746F7A"/>
    <w:rsid w:val="00751057"/>
    <w:rsid w:val="007511FE"/>
    <w:rsid w:val="00751737"/>
    <w:rsid w:val="007533CD"/>
    <w:rsid w:val="00754290"/>
    <w:rsid w:val="0075451C"/>
    <w:rsid w:val="00755234"/>
    <w:rsid w:val="007559DB"/>
    <w:rsid w:val="0075763B"/>
    <w:rsid w:val="00760AB6"/>
    <w:rsid w:val="00760ED2"/>
    <w:rsid w:val="00761E38"/>
    <w:rsid w:val="0076243B"/>
    <w:rsid w:val="007651A6"/>
    <w:rsid w:val="00771CAC"/>
    <w:rsid w:val="0077250E"/>
    <w:rsid w:val="00773CCF"/>
    <w:rsid w:val="00775F39"/>
    <w:rsid w:val="00776FD2"/>
    <w:rsid w:val="007779B7"/>
    <w:rsid w:val="007800EC"/>
    <w:rsid w:val="0078314E"/>
    <w:rsid w:val="007840EF"/>
    <w:rsid w:val="00785586"/>
    <w:rsid w:val="00785FFA"/>
    <w:rsid w:val="007913D6"/>
    <w:rsid w:val="00793896"/>
    <w:rsid w:val="00797D4B"/>
    <w:rsid w:val="007B01E9"/>
    <w:rsid w:val="007B585F"/>
    <w:rsid w:val="007B6AC8"/>
    <w:rsid w:val="007B71FC"/>
    <w:rsid w:val="007B744C"/>
    <w:rsid w:val="007C02B9"/>
    <w:rsid w:val="007C0BC3"/>
    <w:rsid w:val="007C276C"/>
    <w:rsid w:val="007C2DF2"/>
    <w:rsid w:val="007C326A"/>
    <w:rsid w:val="007C7239"/>
    <w:rsid w:val="007C7784"/>
    <w:rsid w:val="007C7CFC"/>
    <w:rsid w:val="007D1803"/>
    <w:rsid w:val="007D5ED6"/>
    <w:rsid w:val="007D7592"/>
    <w:rsid w:val="007E173D"/>
    <w:rsid w:val="007E4A1B"/>
    <w:rsid w:val="007E4A22"/>
    <w:rsid w:val="007E7984"/>
    <w:rsid w:val="007F41A6"/>
    <w:rsid w:val="007F4B42"/>
    <w:rsid w:val="007F50A2"/>
    <w:rsid w:val="007F784F"/>
    <w:rsid w:val="007F7F58"/>
    <w:rsid w:val="008000E0"/>
    <w:rsid w:val="0080210D"/>
    <w:rsid w:val="00803453"/>
    <w:rsid w:val="00803D8A"/>
    <w:rsid w:val="00804C4D"/>
    <w:rsid w:val="00805E3E"/>
    <w:rsid w:val="0081024C"/>
    <w:rsid w:val="0081315F"/>
    <w:rsid w:val="00814E7C"/>
    <w:rsid w:val="00820E6B"/>
    <w:rsid w:val="00821074"/>
    <w:rsid w:val="008233C4"/>
    <w:rsid w:val="0082393D"/>
    <w:rsid w:val="008249D3"/>
    <w:rsid w:val="0082514B"/>
    <w:rsid w:val="008259F3"/>
    <w:rsid w:val="00826A19"/>
    <w:rsid w:val="00827793"/>
    <w:rsid w:val="0082795E"/>
    <w:rsid w:val="00830233"/>
    <w:rsid w:val="00831418"/>
    <w:rsid w:val="00831995"/>
    <w:rsid w:val="00832285"/>
    <w:rsid w:val="008334CB"/>
    <w:rsid w:val="008337D5"/>
    <w:rsid w:val="00835316"/>
    <w:rsid w:val="00835CA3"/>
    <w:rsid w:val="008408EA"/>
    <w:rsid w:val="00840AB7"/>
    <w:rsid w:val="0084118E"/>
    <w:rsid w:val="00842ACE"/>
    <w:rsid w:val="0084301B"/>
    <w:rsid w:val="00843D5C"/>
    <w:rsid w:val="008526D9"/>
    <w:rsid w:val="008535EE"/>
    <w:rsid w:val="00855BBF"/>
    <w:rsid w:val="00856D59"/>
    <w:rsid w:val="00857375"/>
    <w:rsid w:val="008579F6"/>
    <w:rsid w:val="00857DD6"/>
    <w:rsid w:val="00860F03"/>
    <w:rsid w:val="00860FEC"/>
    <w:rsid w:val="00861DDB"/>
    <w:rsid w:val="008625B1"/>
    <w:rsid w:val="008629EB"/>
    <w:rsid w:val="00862CFE"/>
    <w:rsid w:val="00863362"/>
    <w:rsid w:val="00864777"/>
    <w:rsid w:val="008720E5"/>
    <w:rsid w:val="008728CF"/>
    <w:rsid w:val="00875EA3"/>
    <w:rsid w:val="008764FB"/>
    <w:rsid w:val="00876A16"/>
    <w:rsid w:val="00880CF9"/>
    <w:rsid w:val="008810A9"/>
    <w:rsid w:val="008812E5"/>
    <w:rsid w:val="008816AE"/>
    <w:rsid w:val="00881B39"/>
    <w:rsid w:val="00883306"/>
    <w:rsid w:val="00887918"/>
    <w:rsid w:val="00890614"/>
    <w:rsid w:val="0089622D"/>
    <w:rsid w:val="0089787D"/>
    <w:rsid w:val="008A238D"/>
    <w:rsid w:val="008A6374"/>
    <w:rsid w:val="008B0201"/>
    <w:rsid w:val="008B2B8D"/>
    <w:rsid w:val="008B51F3"/>
    <w:rsid w:val="008B7170"/>
    <w:rsid w:val="008C05A1"/>
    <w:rsid w:val="008C1ACF"/>
    <w:rsid w:val="008C2C0A"/>
    <w:rsid w:val="008C4288"/>
    <w:rsid w:val="008C4C59"/>
    <w:rsid w:val="008C4D87"/>
    <w:rsid w:val="008C5D3D"/>
    <w:rsid w:val="008D0431"/>
    <w:rsid w:val="008D0B03"/>
    <w:rsid w:val="008D1E16"/>
    <w:rsid w:val="008D75FE"/>
    <w:rsid w:val="008E27FB"/>
    <w:rsid w:val="008E29F8"/>
    <w:rsid w:val="008F0E23"/>
    <w:rsid w:val="008F49AD"/>
    <w:rsid w:val="008F4CE4"/>
    <w:rsid w:val="008F6556"/>
    <w:rsid w:val="009003F4"/>
    <w:rsid w:val="00900A96"/>
    <w:rsid w:val="009030DC"/>
    <w:rsid w:val="00906656"/>
    <w:rsid w:val="00906D49"/>
    <w:rsid w:val="0091202C"/>
    <w:rsid w:val="0091429E"/>
    <w:rsid w:val="009151B2"/>
    <w:rsid w:val="00916850"/>
    <w:rsid w:val="009201DC"/>
    <w:rsid w:val="00921243"/>
    <w:rsid w:val="00924AA3"/>
    <w:rsid w:val="00926EDE"/>
    <w:rsid w:val="00927B78"/>
    <w:rsid w:val="009308FF"/>
    <w:rsid w:val="00934AD0"/>
    <w:rsid w:val="00935401"/>
    <w:rsid w:val="009356EB"/>
    <w:rsid w:val="009420B1"/>
    <w:rsid w:val="00943F4B"/>
    <w:rsid w:val="00947603"/>
    <w:rsid w:val="00950B47"/>
    <w:rsid w:val="00950B88"/>
    <w:rsid w:val="00952B21"/>
    <w:rsid w:val="00952EBD"/>
    <w:rsid w:val="00953754"/>
    <w:rsid w:val="00954082"/>
    <w:rsid w:val="009602B5"/>
    <w:rsid w:val="0096159B"/>
    <w:rsid w:val="00963197"/>
    <w:rsid w:val="00963750"/>
    <w:rsid w:val="00963ABB"/>
    <w:rsid w:val="009645F8"/>
    <w:rsid w:val="00964E99"/>
    <w:rsid w:val="009723C0"/>
    <w:rsid w:val="00975559"/>
    <w:rsid w:val="009764CE"/>
    <w:rsid w:val="00981324"/>
    <w:rsid w:val="00981D64"/>
    <w:rsid w:val="00985BC9"/>
    <w:rsid w:val="00985FF8"/>
    <w:rsid w:val="00987A78"/>
    <w:rsid w:val="00990F29"/>
    <w:rsid w:val="00991821"/>
    <w:rsid w:val="00993E0B"/>
    <w:rsid w:val="00994A78"/>
    <w:rsid w:val="00994F17"/>
    <w:rsid w:val="009975CD"/>
    <w:rsid w:val="009A42E4"/>
    <w:rsid w:val="009A57E7"/>
    <w:rsid w:val="009A7849"/>
    <w:rsid w:val="009B3F7F"/>
    <w:rsid w:val="009B448F"/>
    <w:rsid w:val="009B583E"/>
    <w:rsid w:val="009C22DF"/>
    <w:rsid w:val="009C3BEF"/>
    <w:rsid w:val="009C3C5A"/>
    <w:rsid w:val="009C484A"/>
    <w:rsid w:val="009C6540"/>
    <w:rsid w:val="009D05A1"/>
    <w:rsid w:val="009D1564"/>
    <w:rsid w:val="009D1AEA"/>
    <w:rsid w:val="009D2B4D"/>
    <w:rsid w:val="009D2CC4"/>
    <w:rsid w:val="009D3CAC"/>
    <w:rsid w:val="009D49F6"/>
    <w:rsid w:val="009D7BFB"/>
    <w:rsid w:val="009E16DC"/>
    <w:rsid w:val="009E2C76"/>
    <w:rsid w:val="009E3C22"/>
    <w:rsid w:val="009E3EBA"/>
    <w:rsid w:val="009E4374"/>
    <w:rsid w:val="009F0642"/>
    <w:rsid w:val="009F0D0A"/>
    <w:rsid w:val="009F1D18"/>
    <w:rsid w:val="009F1E36"/>
    <w:rsid w:val="009F2340"/>
    <w:rsid w:val="009F2F8F"/>
    <w:rsid w:val="009F3159"/>
    <w:rsid w:val="009F4415"/>
    <w:rsid w:val="009F5274"/>
    <w:rsid w:val="009F547C"/>
    <w:rsid w:val="009F767D"/>
    <w:rsid w:val="009F7867"/>
    <w:rsid w:val="00A02014"/>
    <w:rsid w:val="00A026D9"/>
    <w:rsid w:val="00A02B91"/>
    <w:rsid w:val="00A063DF"/>
    <w:rsid w:val="00A1128D"/>
    <w:rsid w:val="00A11BDF"/>
    <w:rsid w:val="00A122F6"/>
    <w:rsid w:val="00A135B6"/>
    <w:rsid w:val="00A161A7"/>
    <w:rsid w:val="00A16604"/>
    <w:rsid w:val="00A17967"/>
    <w:rsid w:val="00A2060C"/>
    <w:rsid w:val="00A20674"/>
    <w:rsid w:val="00A237DD"/>
    <w:rsid w:val="00A240E9"/>
    <w:rsid w:val="00A27463"/>
    <w:rsid w:val="00A27932"/>
    <w:rsid w:val="00A32543"/>
    <w:rsid w:val="00A3353B"/>
    <w:rsid w:val="00A336C1"/>
    <w:rsid w:val="00A421E8"/>
    <w:rsid w:val="00A42C48"/>
    <w:rsid w:val="00A47435"/>
    <w:rsid w:val="00A51A9C"/>
    <w:rsid w:val="00A54E20"/>
    <w:rsid w:val="00A55F5C"/>
    <w:rsid w:val="00A57111"/>
    <w:rsid w:val="00A62CD0"/>
    <w:rsid w:val="00A62E13"/>
    <w:rsid w:val="00A66C12"/>
    <w:rsid w:val="00A71ACA"/>
    <w:rsid w:val="00A73971"/>
    <w:rsid w:val="00A74195"/>
    <w:rsid w:val="00A745B2"/>
    <w:rsid w:val="00A74DC9"/>
    <w:rsid w:val="00A80A02"/>
    <w:rsid w:val="00A82FFF"/>
    <w:rsid w:val="00A872CD"/>
    <w:rsid w:val="00A90658"/>
    <w:rsid w:val="00A93D28"/>
    <w:rsid w:val="00A9538E"/>
    <w:rsid w:val="00A95766"/>
    <w:rsid w:val="00A95F05"/>
    <w:rsid w:val="00A96474"/>
    <w:rsid w:val="00AA0C0F"/>
    <w:rsid w:val="00AA0FB6"/>
    <w:rsid w:val="00AA1597"/>
    <w:rsid w:val="00AA1E42"/>
    <w:rsid w:val="00AA299A"/>
    <w:rsid w:val="00AA34CF"/>
    <w:rsid w:val="00AA3D92"/>
    <w:rsid w:val="00AA7310"/>
    <w:rsid w:val="00AB3C6B"/>
    <w:rsid w:val="00AC3473"/>
    <w:rsid w:val="00AC6B4A"/>
    <w:rsid w:val="00AC7595"/>
    <w:rsid w:val="00AC7DC0"/>
    <w:rsid w:val="00AD2165"/>
    <w:rsid w:val="00AD2BD5"/>
    <w:rsid w:val="00AD32FC"/>
    <w:rsid w:val="00AD35F4"/>
    <w:rsid w:val="00AD51F7"/>
    <w:rsid w:val="00AD5598"/>
    <w:rsid w:val="00AD5BD9"/>
    <w:rsid w:val="00AD5D06"/>
    <w:rsid w:val="00AD75E1"/>
    <w:rsid w:val="00AE3896"/>
    <w:rsid w:val="00AE398A"/>
    <w:rsid w:val="00AE3CE3"/>
    <w:rsid w:val="00AE53C8"/>
    <w:rsid w:val="00AE5B4E"/>
    <w:rsid w:val="00AE7746"/>
    <w:rsid w:val="00AF29BA"/>
    <w:rsid w:val="00AF3FB7"/>
    <w:rsid w:val="00AF5606"/>
    <w:rsid w:val="00AF61B2"/>
    <w:rsid w:val="00B005D3"/>
    <w:rsid w:val="00B00C0B"/>
    <w:rsid w:val="00B0112C"/>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277B0"/>
    <w:rsid w:val="00B329D5"/>
    <w:rsid w:val="00B33786"/>
    <w:rsid w:val="00B35EA7"/>
    <w:rsid w:val="00B36572"/>
    <w:rsid w:val="00B36E06"/>
    <w:rsid w:val="00B40E6C"/>
    <w:rsid w:val="00B43038"/>
    <w:rsid w:val="00B43901"/>
    <w:rsid w:val="00B44205"/>
    <w:rsid w:val="00B46BDC"/>
    <w:rsid w:val="00B47672"/>
    <w:rsid w:val="00B5135C"/>
    <w:rsid w:val="00B51C26"/>
    <w:rsid w:val="00B52E8C"/>
    <w:rsid w:val="00B53159"/>
    <w:rsid w:val="00B54990"/>
    <w:rsid w:val="00B56BFC"/>
    <w:rsid w:val="00B6474D"/>
    <w:rsid w:val="00B64F68"/>
    <w:rsid w:val="00B7137A"/>
    <w:rsid w:val="00B71D27"/>
    <w:rsid w:val="00B7231F"/>
    <w:rsid w:val="00B72A14"/>
    <w:rsid w:val="00B74325"/>
    <w:rsid w:val="00B74FD0"/>
    <w:rsid w:val="00B761F4"/>
    <w:rsid w:val="00B8069B"/>
    <w:rsid w:val="00B80841"/>
    <w:rsid w:val="00B816C9"/>
    <w:rsid w:val="00B819B4"/>
    <w:rsid w:val="00B825B3"/>
    <w:rsid w:val="00B83F3F"/>
    <w:rsid w:val="00B87E6F"/>
    <w:rsid w:val="00B907AB"/>
    <w:rsid w:val="00B91000"/>
    <w:rsid w:val="00B9254B"/>
    <w:rsid w:val="00B925DE"/>
    <w:rsid w:val="00B953C5"/>
    <w:rsid w:val="00B9611F"/>
    <w:rsid w:val="00B967BC"/>
    <w:rsid w:val="00B96D9A"/>
    <w:rsid w:val="00BA0884"/>
    <w:rsid w:val="00BA0CEC"/>
    <w:rsid w:val="00BA0EE6"/>
    <w:rsid w:val="00BA1726"/>
    <w:rsid w:val="00BA1CFE"/>
    <w:rsid w:val="00BA1D11"/>
    <w:rsid w:val="00BA4651"/>
    <w:rsid w:val="00BA6247"/>
    <w:rsid w:val="00BB4097"/>
    <w:rsid w:val="00BB4169"/>
    <w:rsid w:val="00BB4D2F"/>
    <w:rsid w:val="00BB4DDC"/>
    <w:rsid w:val="00BB7405"/>
    <w:rsid w:val="00BB74E6"/>
    <w:rsid w:val="00BB7F6A"/>
    <w:rsid w:val="00BC1CC8"/>
    <w:rsid w:val="00BC2D09"/>
    <w:rsid w:val="00BC3D36"/>
    <w:rsid w:val="00BC53EB"/>
    <w:rsid w:val="00BC5D51"/>
    <w:rsid w:val="00BC75C3"/>
    <w:rsid w:val="00BD007E"/>
    <w:rsid w:val="00BD0F9A"/>
    <w:rsid w:val="00BD1CE4"/>
    <w:rsid w:val="00BD33AF"/>
    <w:rsid w:val="00BD40FE"/>
    <w:rsid w:val="00BE1AAE"/>
    <w:rsid w:val="00BE1ADF"/>
    <w:rsid w:val="00BE4DCE"/>
    <w:rsid w:val="00BF0304"/>
    <w:rsid w:val="00BF0B07"/>
    <w:rsid w:val="00BF1A7B"/>
    <w:rsid w:val="00BF2524"/>
    <w:rsid w:val="00BF384D"/>
    <w:rsid w:val="00BF5513"/>
    <w:rsid w:val="00BF654D"/>
    <w:rsid w:val="00C00EAE"/>
    <w:rsid w:val="00C03EAA"/>
    <w:rsid w:val="00C05300"/>
    <w:rsid w:val="00C05819"/>
    <w:rsid w:val="00C073B9"/>
    <w:rsid w:val="00C10133"/>
    <w:rsid w:val="00C116C1"/>
    <w:rsid w:val="00C12458"/>
    <w:rsid w:val="00C1422A"/>
    <w:rsid w:val="00C1753D"/>
    <w:rsid w:val="00C2072D"/>
    <w:rsid w:val="00C33D54"/>
    <w:rsid w:val="00C34FCC"/>
    <w:rsid w:val="00C36FD6"/>
    <w:rsid w:val="00C4057D"/>
    <w:rsid w:val="00C40AD0"/>
    <w:rsid w:val="00C41CEB"/>
    <w:rsid w:val="00C4309C"/>
    <w:rsid w:val="00C435F7"/>
    <w:rsid w:val="00C45890"/>
    <w:rsid w:val="00C46826"/>
    <w:rsid w:val="00C46F19"/>
    <w:rsid w:val="00C47C60"/>
    <w:rsid w:val="00C519F0"/>
    <w:rsid w:val="00C52E97"/>
    <w:rsid w:val="00C5401C"/>
    <w:rsid w:val="00C54247"/>
    <w:rsid w:val="00C56C6C"/>
    <w:rsid w:val="00C57261"/>
    <w:rsid w:val="00C5781A"/>
    <w:rsid w:val="00C57B09"/>
    <w:rsid w:val="00C638C3"/>
    <w:rsid w:val="00C66CB9"/>
    <w:rsid w:val="00C70812"/>
    <w:rsid w:val="00C72F83"/>
    <w:rsid w:val="00C756F8"/>
    <w:rsid w:val="00C76032"/>
    <w:rsid w:val="00C7661D"/>
    <w:rsid w:val="00C77C64"/>
    <w:rsid w:val="00C83303"/>
    <w:rsid w:val="00C83CA0"/>
    <w:rsid w:val="00C83E00"/>
    <w:rsid w:val="00C845EA"/>
    <w:rsid w:val="00C93628"/>
    <w:rsid w:val="00C93672"/>
    <w:rsid w:val="00C94EDA"/>
    <w:rsid w:val="00C95193"/>
    <w:rsid w:val="00CA099E"/>
    <w:rsid w:val="00CA211B"/>
    <w:rsid w:val="00CA2EC5"/>
    <w:rsid w:val="00CA469B"/>
    <w:rsid w:val="00CA69DA"/>
    <w:rsid w:val="00CA7E60"/>
    <w:rsid w:val="00CB18AE"/>
    <w:rsid w:val="00CB4124"/>
    <w:rsid w:val="00CB4DCF"/>
    <w:rsid w:val="00CB5922"/>
    <w:rsid w:val="00CC1A6B"/>
    <w:rsid w:val="00CC2329"/>
    <w:rsid w:val="00CC370F"/>
    <w:rsid w:val="00CC3CC4"/>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0CAD"/>
    <w:rsid w:val="00CF25D6"/>
    <w:rsid w:val="00CF30B4"/>
    <w:rsid w:val="00CF3697"/>
    <w:rsid w:val="00CF5E0E"/>
    <w:rsid w:val="00CF7872"/>
    <w:rsid w:val="00D01470"/>
    <w:rsid w:val="00D02DA5"/>
    <w:rsid w:val="00D03E1D"/>
    <w:rsid w:val="00D05215"/>
    <w:rsid w:val="00D0526C"/>
    <w:rsid w:val="00D05659"/>
    <w:rsid w:val="00D060A3"/>
    <w:rsid w:val="00D11646"/>
    <w:rsid w:val="00D11CBE"/>
    <w:rsid w:val="00D1397A"/>
    <w:rsid w:val="00D13F54"/>
    <w:rsid w:val="00D15C72"/>
    <w:rsid w:val="00D160CA"/>
    <w:rsid w:val="00D20486"/>
    <w:rsid w:val="00D20507"/>
    <w:rsid w:val="00D22DE8"/>
    <w:rsid w:val="00D23357"/>
    <w:rsid w:val="00D23EFB"/>
    <w:rsid w:val="00D25909"/>
    <w:rsid w:val="00D26AD0"/>
    <w:rsid w:val="00D27B06"/>
    <w:rsid w:val="00D31091"/>
    <w:rsid w:val="00D31A98"/>
    <w:rsid w:val="00D32489"/>
    <w:rsid w:val="00D329F6"/>
    <w:rsid w:val="00D331AA"/>
    <w:rsid w:val="00D33F15"/>
    <w:rsid w:val="00D347D1"/>
    <w:rsid w:val="00D36E94"/>
    <w:rsid w:val="00D41258"/>
    <w:rsid w:val="00D42207"/>
    <w:rsid w:val="00D430D1"/>
    <w:rsid w:val="00D4344C"/>
    <w:rsid w:val="00D44A3E"/>
    <w:rsid w:val="00D474C1"/>
    <w:rsid w:val="00D50593"/>
    <w:rsid w:val="00D50614"/>
    <w:rsid w:val="00D51FAF"/>
    <w:rsid w:val="00D54A3D"/>
    <w:rsid w:val="00D60E86"/>
    <w:rsid w:val="00D615D9"/>
    <w:rsid w:val="00D63161"/>
    <w:rsid w:val="00D6478B"/>
    <w:rsid w:val="00D729CB"/>
    <w:rsid w:val="00D73168"/>
    <w:rsid w:val="00D750F5"/>
    <w:rsid w:val="00D753E7"/>
    <w:rsid w:val="00D7573B"/>
    <w:rsid w:val="00D76EE5"/>
    <w:rsid w:val="00D832F6"/>
    <w:rsid w:val="00D83D26"/>
    <w:rsid w:val="00D83F73"/>
    <w:rsid w:val="00D86AF2"/>
    <w:rsid w:val="00D904AB"/>
    <w:rsid w:val="00D90A26"/>
    <w:rsid w:val="00D90A28"/>
    <w:rsid w:val="00D94E50"/>
    <w:rsid w:val="00D94FCE"/>
    <w:rsid w:val="00DA14A0"/>
    <w:rsid w:val="00DA3890"/>
    <w:rsid w:val="00DA5AA0"/>
    <w:rsid w:val="00DA5C23"/>
    <w:rsid w:val="00DA687F"/>
    <w:rsid w:val="00DA7DD9"/>
    <w:rsid w:val="00DB10BD"/>
    <w:rsid w:val="00DB2852"/>
    <w:rsid w:val="00DB36C6"/>
    <w:rsid w:val="00DB708A"/>
    <w:rsid w:val="00DC0CB0"/>
    <w:rsid w:val="00DC479C"/>
    <w:rsid w:val="00DC53C8"/>
    <w:rsid w:val="00DD17FC"/>
    <w:rsid w:val="00DD2834"/>
    <w:rsid w:val="00DD2DE4"/>
    <w:rsid w:val="00DD5FC5"/>
    <w:rsid w:val="00DD7AEB"/>
    <w:rsid w:val="00DE0DFC"/>
    <w:rsid w:val="00DE193A"/>
    <w:rsid w:val="00DE3378"/>
    <w:rsid w:val="00DE357F"/>
    <w:rsid w:val="00DE35A0"/>
    <w:rsid w:val="00DE5D02"/>
    <w:rsid w:val="00DE6020"/>
    <w:rsid w:val="00DE67BB"/>
    <w:rsid w:val="00DE6938"/>
    <w:rsid w:val="00DE6F75"/>
    <w:rsid w:val="00DF026D"/>
    <w:rsid w:val="00DF1A18"/>
    <w:rsid w:val="00E005FF"/>
    <w:rsid w:val="00E01B62"/>
    <w:rsid w:val="00E02C96"/>
    <w:rsid w:val="00E05562"/>
    <w:rsid w:val="00E05EBB"/>
    <w:rsid w:val="00E069C4"/>
    <w:rsid w:val="00E12117"/>
    <w:rsid w:val="00E14A70"/>
    <w:rsid w:val="00E14D65"/>
    <w:rsid w:val="00E1533A"/>
    <w:rsid w:val="00E15377"/>
    <w:rsid w:val="00E15820"/>
    <w:rsid w:val="00E20301"/>
    <w:rsid w:val="00E20D75"/>
    <w:rsid w:val="00E219DF"/>
    <w:rsid w:val="00E21BB2"/>
    <w:rsid w:val="00E21F00"/>
    <w:rsid w:val="00E22DC4"/>
    <w:rsid w:val="00E22FD9"/>
    <w:rsid w:val="00E234A7"/>
    <w:rsid w:val="00E23C23"/>
    <w:rsid w:val="00E244DB"/>
    <w:rsid w:val="00E26485"/>
    <w:rsid w:val="00E26F98"/>
    <w:rsid w:val="00E310EE"/>
    <w:rsid w:val="00E31B49"/>
    <w:rsid w:val="00E31B91"/>
    <w:rsid w:val="00E35425"/>
    <w:rsid w:val="00E36E87"/>
    <w:rsid w:val="00E370DB"/>
    <w:rsid w:val="00E41546"/>
    <w:rsid w:val="00E419D2"/>
    <w:rsid w:val="00E43144"/>
    <w:rsid w:val="00E53225"/>
    <w:rsid w:val="00E537F4"/>
    <w:rsid w:val="00E53E11"/>
    <w:rsid w:val="00E56B7F"/>
    <w:rsid w:val="00E60680"/>
    <w:rsid w:val="00E61104"/>
    <w:rsid w:val="00E616B9"/>
    <w:rsid w:val="00E626D8"/>
    <w:rsid w:val="00E63FDA"/>
    <w:rsid w:val="00E657FE"/>
    <w:rsid w:val="00E67697"/>
    <w:rsid w:val="00E7349B"/>
    <w:rsid w:val="00E75329"/>
    <w:rsid w:val="00E753BB"/>
    <w:rsid w:val="00E75F68"/>
    <w:rsid w:val="00E7602D"/>
    <w:rsid w:val="00E7604B"/>
    <w:rsid w:val="00E8215F"/>
    <w:rsid w:val="00E90C6F"/>
    <w:rsid w:val="00E925BB"/>
    <w:rsid w:val="00E92DDB"/>
    <w:rsid w:val="00E93E40"/>
    <w:rsid w:val="00E944CF"/>
    <w:rsid w:val="00E951D7"/>
    <w:rsid w:val="00E95A17"/>
    <w:rsid w:val="00E96341"/>
    <w:rsid w:val="00E96669"/>
    <w:rsid w:val="00EA0DB3"/>
    <w:rsid w:val="00EA0E51"/>
    <w:rsid w:val="00EA43D9"/>
    <w:rsid w:val="00EA6374"/>
    <w:rsid w:val="00EA6C19"/>
    <w:rsid w:val="00EA7E3A"/>
    <w:rsid w:val="00EB1367"/>
    <w:rsid w:val="00EB53E3"/>
    <w:rsid w:val="00EB659E"/>
    <w:rsid w:val="00EC02BD"/>
    <w:rsid w:val="00EC4936"/>
    <w:rsid w:val="00EC5C80"/>
    <w:rsid w:val="00EC7126"/>
    <w:rsid w:val="00ED04F9"/>
    <w:rsid w:val="00ED0938"/>
    <w:rsid w:val="00ED5705"/>
    <w:rsid w:val="00ED5711"/>
    <w:rsid w:val="00ED60DC"/>
    <w:rsid w:val="00ED7EB3"/>
    <w:rsid w:val="00EE0F4C"/>
    <w:rsid w:val="00EE19C3"/>
    <w:rsid w:val="00EE24D8"/>
    <w:rsid w:val="00EE6F06"/>
    <w:rsid w:val="00EE7912"/>
    <w:rsid w:val="00EF0EDB"/>
    <w:rsid w:val="00EF123D"/>
    <w:rsid w:val="00EF1539"/>
    <w:rsid w:val="00EF1799"/>
    <w:rsid w:val="00EF31CA"/>
    <w:rsid w:val="00EF54FD"/>
    <w:rsid w:val="00EF7890"/>
    <w:rsid w:val="00F00D44"/>
    <w:rsid w:val="00F01667"/>
    <w:rsid w:val="00F0287F"/>
    <w:rsid w:val="00F0438E"/>
    <w:rsid w:val="00F061FA"/>
    <w:rsid w:val="00F067BB"/>
    <w:rsid w:val="00F06915"/>
    <w:rsid w:val="00F14F7C"/>
    <w:rsid w:val="00F228F4"/>
    <w:rsid w:val="00F27892"/>
    <w:rsid w:val="00F31B25"/>
    <w:rsid w:val="00F31FC6"/>
    <w:rsid w:val="00F3279E"/>
    <w:rsid w:val="00F3428A"/>
    <w:rsid w:val="00F35E91"/>
    <w:rsid w:val="00F37E63"/>
    <w:rsid w:val="00F410ED"/>
    <w:rsid w:val="00F4176E"/>
    <w:rsid w:val="00F42C8C"/>
    <w:rsid w:val="00F469C0"/>
    <w:rsid w:val="00F46B14"/>
    <w:rsid w:val="00F4737E"/>
    <w:rsid w:val="00F528ED"/>
    <w:rsid w:val="00F53D14"/>
    <w:rsid w:val="00F55943"/>
    <w:rsid w:val="00F55C20"/>
    <w:rsid w:val="00F562A1"/>
    <w:rsid w:val="00F56362"/>
    <w:rsid w:val="00F57817"/>
    <w:rsid w:val="00F57C3D"/>
    <w:rsid w:val="00F610DE"/>
    <w:rsid w:val="00F613D4"/>
    <w:rsid w:val="00F6382C"/>
    <w:rsid w:val="00F63CE5"/>
    <w:rsid w:val="00F6488B"/>
    <w:rsid w:val="00F66A07"/>
    <w:rsid w:val="00F66A79"/>
    <w:rsid w:val="00F70BAB"/>
    <w:rsid w:val="00F72777"/>
    <w:rsid w:val="00F73852"/>
    <w:rsid w:val="00F75AAB"/>
    <w:rsid w:val="00F764EE"/>
    <w:rsid w:val="00F77901"/>
    <w:rsid w:val="00F83E86"/>
    <w:rsid w:val="00F8496F"/>
    <w:rsid w:val="00F852E1"/>
    <w:rsid w:val="00F96C2D"/>
    <w:rsid w:val="00FA041A"/>
    <w:rsid w:val="00FA1573"/>
    <w:rsid w:val="00FA227C"/>
    <w:rsid w:val="00FA4047"/>
    <w:rsid w:val="00FB4260"/>
    <w:rsid w:val="00FB4B6D"/>
    <w:rsid w:val="00FB7721"/>
    <w:rsid w:val="00FC11FD"/>
    <w:rsid w:val="00FC1949"/>
    <w:rsid w:val="00FC2148"/>
    <w:rsid w:val="00FC43A5"/>
    <w:rsid w:val="00FD391D"/>
    <w:rsid w:val="00FD3DB2"/>
    <w:rsid w:val="00FD59B1"/>
    <w:rsid w:val="00FD72BB"/>
    <w:rsid w:val="00FE036A"/>
    <w:rsid w:val="00FE0A76"/>
    <w:rsid w:val="00FE100D"/>
    <w:rsid w:val="00FE3C23"/>
    <w:rsid w:val="00FE435A"/>
    <w:rsid w:val="00FE72AC"/>
    <w:rsid w:val="00FF0105"/>
    <w:rsid w:val="00FF01D4"/>
    <w:rsid w:val="00FF0F13"/>
    <w:rsid w:val="00FF121F"/>
    <w:rsid w:val="00FF1892"/>
    <w:rsid w:val="00FF2873"/>
    <w:rsid w:val="00FF2B2F"/>
    <w:rsid w:val="00FF3321"/>
    <w:rsid w:val="00FF34C3"/>
    <w:rsid w:val="00FF44CB"/>
    <w:rsid w:val="00FF511E"/>
    <w:rsid w:val="00FF5B95"/>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link w:val="Heading1Char"/>
    <w:rsid w:val="00CB5922"/>
    <w:pPr>
      <w:keepNext/>
      <w:spacing w:before="360" w:line="240" w:lineRule="auto"/>
      <w:jc w:val="left"/>
      <w:outlineLvl w:val="0"/>
    </w:pPr>
    <w:rPr>
      <w:caps/>
    </w:rPr>
  </w:style>
  <w:style w:type="paragraph" w:styleId="Heading2">
    <w:name w:val="heading 2"/>
    <w:basedOn w:val="Normal"/>
    <w:next w:val="ListNumber"/>
    <w:link w:val="Heading2Cha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7"/>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7"/>
      </w:numPr>
    </w:pPr>
  </w:style>
  <w:style w:type="paragraph" w:customStyle="1" w:styleId="NumberedQuote4">
    <w:name w:val="Numbered Quote 4"/>
    <w:basedOn w:val="Quote"/>
    <w:qFormat/>
    <w:rsid w:val="00BF384D"/>
    <w:pPr>
      <w:numPr>
        <w:ilvl w:val="2"/>
        <w:numId w:val="7"/>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8"/>
      </w:numPr>
      <w:spacing w:before="360"/>
    </w:pPr>
    <w:rPr>
      <w:rFonts w:eastAsia="MS Mincho"/>
      <w:szCs w:val="24"/>
      <w:lang w:eastAsia="ja-JP"/>
    </w:rPr>
  </w:style>
  <w:style w:type="paragraph" w:styleId="ListNumber2">
    <w:name w:val="List Number 2"/>
    <w:basedOn w:val="Normal"/>
    <w:qFormat/>
    <w:rsid w:val="007B585F"/>
    <w:pPr>
      <w:numPr>
        <w:ilvl w:val="1"/>
        <w:numId w:val="8"/>
      </w:numPr>
    </w:pPr>
    <w:rPr>
      <w:rFonts w:eastAsia="MS Mincho"/>
      <w:szCs w:val="24"/>
      <w:lang w:eastAsia="ja-JP"/>
    </w:rPr>
  </w:style>
  <w:style w:type="paragraph" w:styleId="ListNumber3">
    <w:name w:val="List Number 3"/>
    <w:basedOn w:val="Normal"/>
    <w:qFormat/>
    <w:rsid w:val="007B585F"/>
    <w:pPr>
      <w:numPr>
        <w:ilvl w:val="2"/>
        <w:numId w:val="8"/>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E36E87"/>
    <w:rPr>
      <w:i w:val="0"/>
      <w:vertAlign w:val="superscript"/>
    </w:rPr>
  </w:style>
  <w:style w:type="numbering" w:customStyle="1" w:styleId="ListNumbers">
    <w:name w:val="ListNumbers"/>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6"/>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5E6B67"/>
    <w:pPr>
      <w:ind w:left="720"/>
      <w:contextualSpacing/>
    </w:pPr>
  </w:style>
  <w:style w:type="character" w:customStyle="1" w:styleId="Heading1Char">
    <w:name w:val="Heading 1 Char"/>
    <w:basedOn w:val="DefaultParagraphFont"/>
    <w:link w:val="Heading1"/>
    <w:rsid w:val="00CB5922"/>
    <w:rPr>
      <w:caps/>
      <w:sz w:val="24"/>
    </w:rPr>
  </w:style>
  <w:style w:type="character" w:styleId="Hyperlink">
    <w:name w:val="Hyperlink"/>
    <w:basedOn w:val="DefaultParagraphFont"/>
    <w:uiPriority w:val="99"/>
    <w:unhideWhenUsed/>
    <w:rsid w:val="009C484A"/>
    <w:rPr>
      <w:color w:val="0000FF"/>
      <w:u w:val="single"/>
    </w:rPr>
  </w:style>
  <w:style w:type="paragraph" w:customStyle="1" w:styleId="Heading5KB">
    <w:name w:val="Heading 5 KB"/>
    <w:basedOn w:val="Heading2"/>
    <w:link w:val="Heading5KBChar"/>
    <w:qFormat/>
    <w:rsid w:val="00010715"/>
    <w:rPr>
      <w:b w:val="0"/>
      <w:i/>
      <w:sz w:val="20"/>
    </w:rPr>
  </w:style>
  <w:style w:type="paragraph" w:customStyle="1" w:styleId="Hearing4KB">
    <w:name w:val="Hearing 4 KB"/>
    <w:basedOn w:val="Heading3"/>
    <w:link w:val="Hearing4KBChar"/>
    <w:qFormat/>
    <w:rsid w:val="00010715"/>
    <w:rPr>
      <w:i w:val="0"/>
      <w:sz w:val="20"/>
    </w:rPr>
  </w:style>
  <w:style w:type="character" w:customStyle="1" w:styleId="Heading2Char">
    <w:name w:val="Heading 2 Char"/>
    <w:basedOn w:val="DefaultParagraphFont"/>
    <w:link w:val="Heading2"/>
    <w:rsid w:val="00FF121F"/>
    <w:rPr>
      <w:b/>
      <w:sz w:val="24"/>
    </w:rPr>
  </w:style>
  <w:style w:type="character" w:customStyle="1" w:styleId="Heading5KBChar">
    <w:name w:val="Heading 5 KB Char"/>
    <w:basedOn w:val="Heading2Char"/>
    <w:link w:val="Heading5KB"/>
    <w:rsid w:val="00010715"/>
    <w:rPr>
      <w:b w:val="0"/>
      <w:i/>
      <w:sz w:val="24"/>
    </w:rPr>
  </w:style>
  <w:style w:type="character" w:customStyle="1" w:styleId="Hearing4KBChar">
    <w:name w:val="Hearing 4 KB Char"/>
    <w:basedOn w:val="Heading3Char"/>
    <w:link w:val="Hearing4KB"/>
    <w:rsid w:val="00010715"/>
    <w:rPr>
      <w:b/>
      <w:i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link w:val="Heading1Char"/>
    <w:rsid w:val="00CB5922"/>
    <w:pPr>
      <w:keepNext/>
      <w:spacing w:before="360" w:line="240" w:lineRule="auto"/>
      <w:jc w:val="left"/>
      <w:outlineLvl w:val="0"/>
    </w:pPr>
    <w:rPr>
      <w:caps/>
    </w:rPr>
  </w:style>
  <w:style w:type="paragraph" w:styleId="Heading2">
    <w:name w:val="heading 2"/>
    <w:basedOn w:val="Normal"/>
    <w:next w:val="ListNumber"/>
    <w:link w:val="Heading2Cha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7"/>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7"/>
      </w:numPr>
    </w:pPr>
  </w:style>
  <w:style w:type="paragraph" w:customStyle="1" w:styleId="NumberedQuote4">
    <w:name w:val="Numbered Quote 4"/>
    <w:basedOn w:val="Quote"/>
    <w:qFormat/>
    <w:rsid w:val="00BF384D"/>
    <w:pPr>
      <w:numPr>
        <w:ilvl w:val="2"/>
        <w:numId w:val="7"/>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8"/>
      </w:numPr>
      <w:spacing w:before="360"/>
    </w:pPr>
    <w:rPr>
      <w:rFonts w:eastAsia="MS Mincho"/>
      <w:szCs w:val="24"/>
      <w:lang w:eastAsia="ja-JP"/>
    </w:rPr>
  </w:style>
  <w:style w:type="paragraph" w:styleId="ListNumber2">
    <w:name w:val="List Number 2"/>
    <w:basedOn w:val="Normal"/>
    <w:qFormat/>
    <w:rsid w:val="007B585F"/>
    <w:pPr>
      <w:numPr>
        <w:ilvl w:val="1"/>
        <w:numId w:val="8"/>
      </w:numPr>
    </w:pPr>
    <w:rPr>
      <w:rFonts w:eastAsia="MS Mincho"/>
      <w:szCs w:val="24"/>
      <w:lang w:eastAsia="ja-JP"/>
    </w:rPr>
  </w:style>
  <w:style w:type="paragraph" w:styleId="ListNumber3">
    <w:name w:val="List Number 3"/>
    <w:basedOn w:val="Normal"/>
    <w:qFormat/>
    <w:rsid w:val="007B585F"/>
    <w:pPr>
      <w:numPr>
        <w:ilvl w:val="2"/>
        <w:numId w:val="8"/>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E36E87"/>
    <w:rPr>
      <w:i w:val="0"/>
      <w:vertAlign w:val="superscript"/>
    </w:rPr>
  </w:style>
  <w:style w:type="numbering" w:customStyle="1" w:styleId="ListNumbers">
    <w:name w:val="ListNumbers"/>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6"/>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5E6B67"/>
    <w:pPr>
      <w:ind w:left="720"/>
      <w:contextualSpacing/>
    </w:pPr>
  </w:style>
  <w:style w:type="character" w:customStyle="1" w:styleId="Heading1Char">
    <w:name w:val="Heading 1 Char"/>
    <w:basedOn w:val="DefaultParagraphFont"/>
    <w:link w:val="Heading1"/>
    <w:rsid w:val="00CB5922"/>
    <w:rPr>
      <w:caps/>
      <w:sz w:val="24"/>
    </w:rPr>
  </w:style>
  <w:style w:type="character" w:styleId="Hyperlink">
    <w:name w:val="Hyperlink"/>
    <w:basedOn w:val="DefaultParagraphFont"/>
    <w:uiPriority w:val="99"/>
    <w:unhideWhenUsed/>
    <w:rsid w:val="009C484A"/>
    <w:rPr>
      <w:color w:val="0000FF"/>
      <w:u w:val="single"/>
    </w:rPr>
  </w:style>
  <w:style w:type="paragraph" w:customStyle="1" w:styleId="Heading5KB">
    <w:name w:val="Heading 5 KB"/>
    <w:basedOn w:val="Heading2"/>
    <w:link w:val="Heading5KBChar"/>
    <w:qFormat/>
    <w:rsid w:val="00010715"/>
    <w:rPr>
      <w:b w:val="0"/>
      <w:i/>
      <w:sz w:val="20"/>
    </w:rPr>
  </w:style>
  <w:style w:type="paragraph" w:customStyle="1" w:styleId="Hearing4KB">
    <w:name w:val="Hearing 4 KB"/>
    <w:basedOn w:val="Heading3"/>
    <w:link w:val="Hearing4KBChar"/>
    <w:qFormat/>
    <w:rsid w:val="00010715"/>
    <w:rPr>
      <w:i w:val="0"/>
      <w:sz w:val="20"/>
    </w:rPr>
  </w:style>
  <w:style w:type="character" w:customStyle="1" w:styleId="Heading2Char">
    <w:name w:val="Heading 2 Char"/>
    <w:basedOn w:val="DefaultParagraphFont"/>
    <w:link w:val="Heading2"/>
    <w:rsid w:val="00FF121F"/>
    <w:rPr>
      <w:b/>
      <w:sz w:val="24"/>
    </w:rPr>
  </w:style>
  <w:style w:type="character" w:customStyle="1" w:styleId="Heading5KBChar">
    <w:name w:val="Heading 5 KB Char"/>
    <w:basedOn w:val="Heading2Char"/>
    <w:link w:val="Heading5KB"/>
    <w:rsid w:val="00010715"/>
    <w:rPr>
      <w:b w:val="0"/>
      <w:i/>
      <w:sz w:val="24"/>
    </w:rPr>
  </w:style>
  <w:style w:type="character" w:customStyle="1" w:styleId="Hearing4KBChar">
    <w:name w:val="Hearing 4 KB Char"/>
    <w:basedOn w:val="Heading3Char"/>
    <w:link w:val="Hearing4KB"/>
    <w:rsid w:val="00010715"/>
    <w:rPr>
      <w:b/>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1643">
      <w:bodyDiv w:val="1"/>
      <w:marLeft w:val="0"/>
      <w:marRight w:val="0"/>
      <w:marTop w:val="0"/>
      <w:marBottom w:val="0"/>
      <w:divBdr>
        <w:top w:val="none" w:sz="0" w:space="0" w:color="auto"/>
        <w:left w:val="none" w:sz="0" w:space="0" w:color="auto"/>
        <w:bottom w:val="none" w:sz="0" w:space="0" w:color="auto"/>
        <w:right w:val="none" w:sz="0" w:space="0" w:color="auto"/>
      </w:divBdr>
    </w:div>
    <w:div w:id="97876742">
      <w:bodyDiv w:val="1"/>
      <w:marLeft w:val="0"/>
      <w:marRight w:val="0"/>
      <w:marTop w:val="0"/>
      <w:marBottom w:val="0"/>
      <w:divBdr>
        <w:top w:val="none" w:sz="0" w:space="0" w:color="auto"/>
        <w:left w:val="none" w:sz="0" w:space="0" w:color="auto"/>
        <w:bottom w:val="none" w:sz="0" w:space="0" w:color="auto"/>
        <w:right w:val="none" w:sz="0" w:space="0" w:color="auto"/>
      </w:divBdr>
    </w:div>
    <w:div w:id="385301605">
      <w:bodyDiv w:val="1"/>
      <w:marLeft w:val="0"/>
      <w:marRight w:val="0"/>
      <w:marTop w:val="0"/>
      <w:marBottom w:val="0"/>
      <w:divBdr>
        <w:top w:val="none" w:sz="0" w:space="0" w:color="auto"/>
        <w:left w:val="none" w:sz="0" w:space="0" w:color="auto"/>
        <w:bottom w:val="none" w:sz="0" w:space="0" w:color="auto"/>
        <w:right w:val="none" w:sz="0" w:space="0" w:color="auto"/>
      </w:divBdr>
      <w:divsChild>
        <w:div w:id="601184756">
          <w:marLeft w:val="0"/>
          <w:marRight w:val="0"/>
          <w:marTop w:val="0"/>
          <w:marBottom w:val="0"/>
          <w:divBdr>
            <w:top w:val="none" w:sz="0" w:space="0" w:color="auto"/>
            <w:left w:val="none" w:sz="0" w:space="0" w:color="auto"/>
            <w:bottom w:val="none" w:sz="0" w:space="0" w:color="auto"/>
            <w:right w:val="none" w:sz="0" w:space="0" w:color="auto"/>
          </w:divBdr>
        </w:div>
      </w:divsChild>
    </w:div>
    <w:div w:id="457648629">
      <w:bodyDiv w:val="1"/>
      <w:marLeft w:val="0"/>
      <w:marRight w:val="0"/>
      <w:marTop w:val="0"/>
      <w:marBottom w:val="0"/>
      <w:divBdr>
        <w:top w:val="none" w:sz="0" w:space="0" w:color="auto"/>
        <w:left w:val="none" w:sz="0" w:space="0" w:color="auto"/>
        <w:bottom w:val="none" w:sz="0" w:space="0" w:color="auto"/>
        <w:right w:val="none" w:sz="0" w:space="0" w:color="auto"/>
      </w:divBdr>
    </w:div>
    <w:div w:id="637878449">
      <w:bodyDiv w:val="1"/>
      <w:marLeft w:val="0"/>
      <w:marRight w:val="0"/>
      <w:marTop w:val="0"/>
      <w:marBottom w:val="0"/>
      <w:divBdr>
        <w:top w:val="none" w:sz="0" w:space="0" w:color="auto"/>
        <w:left w:val="none" w:sz="0" w:space="0" w:color="auto"/>
        <w:bottom w:val="none" w:sz="0" w:space="0" w:color="auto"/>
        <w:right w:val="none" w:sz="0" w:space="0" w:color="auto"/>
      </w:divBdr>
    </w:div>
    <w:div w:id="1230724271">
      <w:bodyDiv w:val="1"/>
      <w:marLeft w:val="0"/>
      <w:marRight w:val="0"/>
      <w:marTop w:val="0"/>
      <w:marBottom w:val="0"/>
      <w:divBdr>
        <w:top w:val="none" w:sz="0" w:space="0" w:color="auto"/>
        <w:left w:val="none" w:sz="0" w:space="0" w:color="auto"/>
        <w:bottom w:val="none" w:sz="0" w:space="0" w:color="auto"/>
        <w:right w:val="none" w:sz="0" w:space="0" w:color="auto"/>
      </w:divBdr>
    </w:div>
    <w:div w:id="1362778754">
      <w:bodyDiv w:val="1"/>
      <w:marLeft w:val="0"/>
      <w:marRight w:val="0"/>
      <w:marTop w:val="0"/>
      <w:marBottom w:val="0"/>
      <w:divBdr>
        <w:top w:val="none" w:sz="0" w:space="0" w:color="auto"/>
        <w:left w:val="none" w:sz="0" w:space="0" w:color="auto"/>
        <w:bottom w:val="none" w:sz="0" w:space="0" w:color="auto"/>
        <w:right w:val="none" w:sz="0" w:space="0" w:color="auto"/>
      </w:divBdr>
    </w:div>
    <w:div w:id="13744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DECF1E32D14D659041FA079E13F000"/>
        <w:category>
          <w:name w:val="General"/>
          <w:gallery w:val="placeholder"/>
        </w:category>
        <w:types>
          <w:type w:val="bbPlcHdr"/>
        </w:types>
        <w:behaviors>
          <w:behavior w:val="content"/>
        </w:behaviors>
        <w:guid w:val="{67D4F097-48A2-4039-B70D-7C3D18F708D5}"/>
      </w:docPartPr>
      <w:docPartBody>
        <w:p w:rsidR="00314B32" w:rsidRDefault="00314B32">
          <w:pPr>
            <w:pStyle w:val="91DECF1E32D14D659041FA079E13F000"/>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D994B5639B1447A0A74675EA0B63EC20"/>
        <w:category>
          <w:name w:val="General"/>
          <w:gallery w:val="placeholder"/>
        </w:category>
        <w:types>
          <w:type w:val="bbPlcHdr"/>
        </w:types>
        <w:behaviors>
          <w:behavior w:val="content"/>
        </w:behaviors>
        <w:guid w:val="{D7D76184-0173-4832-8132-8D2C425D6222}"/>
      </w:docPartPr>
      <w:docPartBody>
        <w:p w:rsidR="00314B32" w:rsidRDefault="00314B32">
          <w:pPr>
            <w:pStyle w:val="D994B5639B1447A0A74675EA0B63EC20"/>
          </w:pPr>
          <w:r w:rsidRPr="00CD5897">
            <w:rPr>
              <w:rStyle w:val="PlaceholderText"/>
            </w:rPr>
            <w:t>Click here to enter text.</w:t>
          </w:r>
        </w:p>
      </w:docPartBody>
    </w:docPart>
    <w:docPart>
      <w:docPartPr>
        <w:name w:val="DE50550A0B9E4C379576A653CB6B42C2"/>
        <w:category>
          <w:name w:val="General"/>
          <w:gallery w:val="placeholder"/>
        </w:category>
        <w:types>
          <w:type w:val="bbPlcHdr"/>
        </w:types>
        <w:behaviors>
          <w:behavior w:val="content"/>
        </w:behaviors>
        <w:guid w:val="{B2678389-21A2-4999-A98F-2CF50777D606}"/>
      </w:docPartPr>
      <w:docPartBody>
        <w:p w:rsidR="00314B32" w:rsidRDefault="00314B32">
          <w:pPr>
            <w:pStyle w:val="DE50550A0B9E4C379576A653CB6B42C2"/>
          </w:pPr>
          <w:r w:rsidRPr="00CD5897">
            <w:rPr>
              <w:rStyle w:val="PlaceholderText"/>
            </w:rPr>
            <w:t>Click here to enter text.</w:t>
          </w:r>
        </w:p>
      </w:docPartBody>
    </w:docPart>
    <w:docPart>
      <w:docPartPr>
        <w:name w:val="A0687EDE0ECF417B93F66E4DB5FCFC88"/>
        <w:category>
          <w:name w:val="General"/>
          <w:gallery w:val="placeholder"/>
        </w:category>
        <w:types>
          <w:type w:val="bbPlcHdr"/>
        </w:types>
        <w:behaviors>
          <w:behavior w:val="content"/>
        </w:behaviors>
        <w:guid w:val="{D9563316-8784-40A8-A467-3B7CFD4E5349}"/>
      </w:docPartPr>
      <w:docPartBody>
        <w:p w:rsidR="00314B32" w:rsidRDefault="00314B32">
          <w:pPr>
            <w:pStyle w:val="A0687EDE0ECF417B93F66E4DB5FCFC88"/>
          </w:pPr>
          <w:r w:rsidRPr="00CD5897">
            <w:rPr>
              <w:rStyle w:val="PlaceholderText"/>
            </w:rPr>
            <w:t>Click here to enter text.</w:t>
          </w:r>
        </w:p>
      </w:docPartBody>
    </w:docPart>
    <w:docPart>
      <w:docPartPr>
        <w:name w:val="7F03C2A62DD74750AA7C3B47E1DE03D9"/>
        <w:category>
          <w:name w:val="General"/>
          <w:gallery w:val="placeholder"/>
        </w:category>
        <w:types>
          <w:type w:val="bbPlcHdr"/>
        </w:types>
        <w:behaviors>
          <w:behavior w:val="content"/>
        </w:behaviors>
        <w:guid w:val="{0D599B8C-875A-4B77-90E7-777028AA5984}"/>
      </w:docPartPr>
      <w:docPartBody>
        <w:p w:rsidR="00BD6F03" w:rsidRDefault="00746972" w:rsidP="00746972">
          <w:pPr>
            <w:pStyle w:val="7F03C2A62DD74750AA7C3B47E1DE03D9"/>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32"/>
    <w:rsid w:val="00040696"/>
    <w:rsid w:val="001408ED"/>
    <w:rsid w:val="001A19F2"/>
    <w:rsid w:val="00314B32"/>
    <w:rsid w:val="004C454E"/>
    <w:rsid w:val="00746972"/>
    <w:rsid w:val="008B1C53"/>
    <w:rsid w:val="00AD4CEA"/>
    <w:rsid w:val="00BD6F03"/>
    <w:rsid w:val="00C44C01"/>
    <w:rsid w:val="00F22146"/>
    <w:rsid w:val="00F93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972"/>
    <w:rPr>
      <w:color w:val="808080"/>
    </w:rPr>
  </w:style>
  <w:style w:type="paragraph" w:customStyle="1" w:styleId="91DECF1E32D14D659041FA079E13F000">
    <w:name w:val="91DECF1E32D14D659041FA079E13F000"/>
  </w:style>
  <w:style w:type="paragraph" w:customStyle="1" w:styleId="D994B5639B1447A0A74675EA0B63EC20">
    <w:name w:val="D994B5639B1447A0A74675EA0B63EC20"/>
  </w:style>
  <w:style w:type="paragraph" w:customStyle="1" w:styleId="DE50550A0B9E4C379576A653CB6B42C2">
    <w:name w:val="DE50550A0B9E4C379576A653CB6B42C2"/>
  </w:style>
  <w:style w:type="paragraph" w:customStyle="1" w:styleId="216C59287AF6491DB0C7A91C3E104F07">
    <w:name w:val="216C59287AF6491DB0C7A91C3E104F07"/>
  </w:style>
  <w:style w:type="paragraph" w:customStyle="1" w:styleId="A0687EDE0ECF417B93F66E4DB5FCFC88">
    <w:name w:val="A0687EDE0ECF417B93F66E4DB5FCFC88"/>
  </w:style>
  <w:style w:type="paragraph" w:customStyle="1" w:styleId="7F03C2A62DD74750AA7C3B47E1DE03D9">
    <w:name w:val="7F03C2A62DD74750AA7C3B47E1DE03D9"/>
    <w:rsid w:val="007469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972"/>
    <w:rPr>
      <w:color w:val="808080"/>
    </w:rPr>
  </w:style>
  <w:style w:type="paragraph" w:customStyle="1" w:styleId="91DECF1E32D14D659041FA079E13F000">
    <w:name w:val="91DECF1E32D14D659041FA079E13F000"/>
  </w:style>
  <w:style w:type="paragraph" w:customStyle="1" w:styleId="D994B5639B1447A0A74675EA0B63EC20">
    <w:name w:val="D994B5639B1447A0A74675EA0B63EC20"/>
  </w:style>
  <w:style w:type="paragraph" w:customStyle="1" w:styleId="DE50550A0B9E4C379576A653CB6B42C2">
    <w:name w:val="DE50550A0B9E4C379576A653CB6B42C2"/>
  </w:style>
  <w:style w:type="paragraph" w:customStyle="1" w:styleId="216C59287AF6491DB0C7A91C3E104F07">
    <w:name w:val="216C59287AF6491DB0C7A91C3E104F07"/>
  </w:style>
  <w:style w:type="paragraph" w:customStyle="1" w:styleId="A0687EDE0ECF417B93F66E4DB5FCFC88">
    <w:name w:val="A0687EDE0ECF417B93F66E4DB5FCFC88"/>
  </w:style>
  <w:style w:type="paragraph" w:customStyle="1" w:styleId="7F03C2A62DD74750AA7C3B47E1DE03D9">
    <w:name w:val="7F03C2A62DD74750AA7C3B47E1DE03D9"/>
    <w:rsid w:val="00746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226CE-5E25-475F-B32A-C7B9193C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26</Pages>
  <Words>7928</Words>
  <Characters>41054</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48885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Bills, Bronwyn</dc:creator>
  <cp:lastModifiedBy>Dalwood, Jacqui</cp:lastModifiedBy>
  <cp:revision>2</cp:revision>
  <cp:lastPrinted>2015-06-04T01:41:00Z</cp:lastPrinted>
  <dcterms:created xsi:type="dcterms:W3CDTF">2015-06-15T04:11:00Z</dcterms:created>
  <dcterms:modified xsi:type="dcterms:W3CDTF">2015-06-15T04:11:00Z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Mr I Thompson, Member</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Social Services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Duncan Sidwell</vt:lpwstr>
  </property>
  <property fmtid="{D5CDD505-2E9C-101B-9397-08002B2CF9AE}" pid="26" name="FileNumber">
    <vt:lpwstr>2012/5540</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Deputy President K Bean</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 </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 </vt:lpwstr>
  </property>
  <property fmtid="{D5CDD505-2E9C-101B-9397-08002B2CF9AE}" pid="95" name="DateWrittenReason">
    <vt:lpwstr/>
  </property>
  <property fmtid="{D5CDD505-2E9C-101B-9397-08002B2CF9AE}" pid="96" name="DecisionDate">
    <vt:lpwstr>  June 2015</vt:lpwstr>
  </property>
  <property fmtid="{D5CDD505-2E9C-101B-9397-08002B2CF9AE}" pid="97" name="ReasonsforDecisionDate">
    <vt:lpwstr>  June 2015</vt:lpwstr>
  </property>
  <property fmtid="{D5CDD505-2E9C-101B-9397-08002B2CF9AE}" pid="98" name="StampDate">
    <vt:lpwstr>  June 2015</vt:lpwstr>
  </property>
  <property fmtid="{D5CDD505-2E9C-101B-9397-08002B2CF9AE}" pid="99" name="TribunalLastPgForm">
    <vt:lpwstr>Deputy President K Bean, Mr I Thomson, Member</vt:lpwstr>
  </property>
  <property fmtid="{D5CDD505-2E9C-101B-9397-08002B2CF9AE}" pid="100" name="InfoCDC">
    <vt:lpwstr> </vt:lpwstr>
  </property>
  <property fmtid="{D5CDD505-2E9C-101B-9397-08002B2CF9AE}" pid="101" name="Place">
    <vt:lpwstr>Adelaide</vt:lpwstr>
  </property>
</Properties>
</file>