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A1" w:rsidRPr="000A40FB" w:rsidRDefault="00F35E91" w:rsidP="00F35E91">
      <w:pPr>
        <w:pStyle w:val="Title"/>
      </w:pPr>
      <w:bookmarkStart w:id="0" w:name="_GoBack"/>
      <w:bookmarkEnd w:id="0"/>
      <w:r>
        <w:tab/>
      </w:r>
      <w:r w:rsidR="00661270" w:rsidRPr="000A40FB">
        <w:t>[</w:t>
      </w:r>
      <w:r w:rsidR="004251FE">
        <w:t>2015</w:t>
      </w:r>
      <w:r w:rsidR="00661270" w:rsidRPr="000A40FB">
        <w:t xml:space="preserve">] </w:t>
      </w:r>
      <w:r w:rsidR="00531AA1" w:rsidRPr="000A40FB">
        <w:t>AATA</w:t>
      </w:r>
      <w:r w:rsidR="003F71C0">
        <w:t xml:space="preserve"> 304</w:t>
      </w:r>
      <w:r w:rsidR="00531AA1" w:rsidRPr="000A40FB">
        <w:t xml:space="preserve"> </w:t>
      </w:r>
      <w:r w:rsidR="00956A5C">
        <w:fldChar w:fldCharType="begin"/>
      </w:r>
      <w:r w:rsidR="00956A5C">
        <w:instrText xml:space="preserve"> DOCPROPERTY  DecisionNumber </w:instrText>
      </w:r>
      <w:r w:rsidR="00956A5C">
        <w:fldChar w:fldCharType="separate"/>
      </w:r>
      <w:r w:rsidR="00653743">
        <w:t xml:space="preserve"> </w:t>
      </w:r>
      <w:r w:rsidR="00956A5C">
        <w:fldChar w:fldCharType="end"/>
      </w:r>
    </w:p>
    <w:p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rsidTr="00AA34CF">
        <w:trPr>
          <w:trHeight w:val="284"/>
        </w:trPr>
        <w:tc>
          <w:tcPr>
            <w:tcW w:w="1951" w:type="dxa"/>
          </w:tcPr>
          <w:p w:rsidR="00531AA1" w:rsidRPr="004B6924" w:rsidRDefault="00531AA1" w:rsidP="004B6924">
            <w:pPr>
              <w:spacing w:before="0"/>
            </w:pPr>
            <w:bookmarkStart w:id="1" w:name="SingleFile" w:colFirst="0" w:colLast="2"/>
            <w:r w:rsidRPr="004B6924">
              <w:t>Division</w:t>
            </w:r>
          </w:p>
        </w:tc>
        <w:tc>
          <w:tcPr>
            <w:tcW w:w="6838" w:type="dxa"/>
          </w:tcPr>
          <w:p w:rsidR="00531AA1" w:rsidRPr="00BB4097" w:rsidRDefault="00B05942" w:rsidP="00D750F5">
            <w:pPr>
              <w:spacing w:before="0"/>
              <w:rPr>
                <w:b/>
              </w:rPr>
            </w:pPr>
            <w:r>
              <w:rPr>
                <w:b/>
              </w:rPr>
              <w:fldChar w:fldCharType="begin"/>
            </w:r>
            <w:r>
              <w:rPr>
                <w:b/>
              </w:rPr>
              <w:instrText xml:space="preserve"> DOCPROPERTY  Division </w:instrText>
            </w:r>
            <w:r>
              <w:rPr>
                <w:b/>
              </w:rPr>
              <w:fldChar w:fldCharType="separate"/>
            </w:r>
            <w:r w:rsidR="00653743">
              <w:rPr>
                <w:b/>
              </w:rPr>
              <w:t>GENERAL ADMINISTRATIVE DIVISION</w:t>
            </w:r>
            <w:r>
              <w:rPr>
                <w:b/>
              </w:rPr>
              <w:fldChar w:fldCharType="end"/>
            </w:r>
          </w:p>
        </w:tc>
      </w:tr>
      <w:tr w:rsidR="00531AA1" w:rsidRPr="00FA73B2" w:rsidTr="00AA34CF">
        <w:trPr>
          <w:trHeight w:val="284"/>
        </w:trPr>
        <w:tc>
          <w:tcPr>
            <w:tcW w:w="1951" w:type="dxa"/>
          </w:tcPr>
          <w:p w:rsidR="00531AA1" w:rsidRPr="002260F4" w:rsidRDefault="00531AA1" w:rsidP="007D1803">
            <w:r w:rsidRPr="002260F4">
              <w:t>File Number(s)</w:t>
            </w:r>
          </w:p>
        </w:tc>
        <w:tc>
          <w:tcPr>
            <w:tcW w:w="6838" w:type="dxa"/>
          </w:tcPr>
          <w:p w:rsidR="00531AA1" w:rsidRPr="00A9538E" w:rsidRDefault="0005765E" w:rsidP="00A9538E">
            <w:pPr>
              <w:pStyle w:val="Details"/>
            </w:pPr>
            <w:r w:rsidRPr="00A9538E">
              <w:fldChar w:fldCharType="begin"/>
            </w:r>
            <w:r w:rsidR="00BB4D2F" w:rsidRPr="00A9538E">
              <w:instrText xml:space="preserve"> DOCPROPERTY  File</w:instrText>
            </w:r>
            <w:r w:rsidRPr="00A9538E">
              <w:instrText xml:space="preserve">Number </w:instrText>
            </w:r>
            <w:r w:rsidRPr="00A9538E">
              <w:fldChar w:fldCharType="separate"/>
            </w:r>
            <w:r w:rsidR="00653743">
              <w:t>2014/6370</w:t>
            </w:r>
            <w:r w:rsidRPr="00A9538E">
              <w:fldChar w:fldCharType="end"/>
            </w:r>
          </w:p>
        </w:tc>
      </w:tr>
      <w:tr w:rsidR="00531AA1" w:rsidRPr="00FA73B2" w:rsidTr="00AA34CF">
        <w:trPr>
          <w:trHeight w:val="284"/>
        </w:trPr>
        <w:tc>
          <w:tcPr>
            <w:tcW w:w="1951" w:type="dxa"/>
          </w:tcPr>
          <w:p w:rsidR="00531AA1" w:rsidRPr="002260F4" w:rsidRDefault="00531AA1" w:rsidP="007D1803">
            <w:r w:rsidRPr="002260F4">
              <w:t>Re</w:t>
            </w:r>
          </w:p>
        </w:tc>
        <w:tc>
          <w:tcPr>
            <w:tcW w:w="6838" w:type="dxa"/>
          </w:tcPr>
          <w:p w:rsidR="00531AA1" w:rsidRPr="006D20BD" w:rsidRDefault="00956A5C" w:rsidP="00036C03">
            <w:pPr>
              <w:pStyle w:val="Details"/>
            </w:pPr>
            <w:r>
              <w:fldChar w:fldCharType="begin"/>
            </w:r>
            <w:r>
              <w:instrText xml:space="preserve"> DOCPROPERTY  Applicant </w:instrText>
            </w:r>
            <w:r>
              <w:fldChar w:fldCharType="separate"/>
            </w:r>
            <w:r w:rsidR="00653743">
              <w:t>Department of Human Services</w:t>
            </w:r>
            <w:r>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99661B" w:rsidRDefault="00531AA1" w:rsidP="00024EF9">
            <w:pPr>
              <w:pStyle w:val="Label"/>
            </w:pPr>
            <w:r w:rsidRPr="0099661B">
              <w:t>APPLICANT</w:t>
            </w:r>
          </w:p>
        </w:tc>
      </w:tr>
      <w:tr w:rsidR="00531AA1" w:rsidRPr="00FA73B2" w:rsidTr="00AA34CF">
        <w:trPr>
          <w:trHeight w:val="284"/>
        </w:trPr>
        <w:tc>
          <w:tcPr>
            <w:tcW w:w="1951" w:type="dxa"/>
          </w:tcPr>
          <w:p w:rsidR="00531AA1" w:rsidRPr="00110C0F" w:rsidRDefault="00531AA1" w:rsidP="007D1803">
            <w:pPr>
              <w:rPr>
                <w:bCs/>
              </w:rPr>
            </w:pPr>
            <w:r w:rsidRPr="00110C0F">
              <w:rPr>
                <w:bCs/>
              </w:rPr>
              <w:t>And</w:t>
            </w:r>
          </w:p>
        </w:tc>
        <w:tc>
          <w:tcPr>
            <w:tcW w:w="6838" w:type="dxa"/>
          </w:tcPr>
          <w:p w:rsidR="00531AA1" w:rsidRPr="006D20BD" w:rsidRDefault="00956A5C" w:rsidP="00036C03">
            <w:pPr>
              <w:pStyle w:val="Details"/>
            </w:pPr>
            <w:r>
              <w:fldChar w:fldCharType="begin"/>
            </w:r>
            <w:r>
              <w:instrText xml:space="preserve"> DOCPROPERTY  Respondent </w:instrText>
            </w:r>
            <w:r>
              <w:fldChar w:fldCharType="separate"/>
            </w:r>
            <w:r w:rsidR="00653743">
              <w:t>WNRW</w:t>
            </w:r>
            <w:r>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771CAC" w:rsidRDefault="00531AA1" w:rsidP="00771CAC">
            <w:pPr>
              <w:pStyle w:val="Label"/>
            </w:pPr>
            <w:r w:rsidRPr="0099661B">
              <w:t>RESPONDENT</w:t>
            </w:r>
          </w:p>
        </w:tc>
      </w:tr>
    </w:tbl>
    <w:bookmarkEnd w:id="1"/>
    <w:p w:rsidR="00BC2D09" w:rsidRDefault="00653743" w:rsidP="00A161A7">
      <w:pPr>
        <w:pStyle w:val="Heading1"/>
        <w:rPr>
          <w:lang w:eastAsia="en-US"/>
        </w:rPr>
      </w:pPr>
      <w:r>
        <w:rPr>
          <w:lang w:eastAsia="en-US"/>
        </w:rPr>
        <w:t xml:space="preserve">INTERLOCUTORY </w:t>
      </w:r>
      <w:r w:rsidR="00BC2D09" w:rsidRPr="00BC2D09">
        <w:rPr>
          <w:lang w:eastAsia="en-US"/>
        </w:rPr>
        <w:t>Decision</w:t>
      </w:r>
    </w:p>
    <w:p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653743" w:rsidRPr="00BC2D09" w:rsidTr="00E92DDB">
        <w:trPr>
          <w:trHeight w:val="567"/>
        </w:trPr>
        <w:tc>
          <w:tcPr>
            <w:tcW w:w="1956" w:type="dxa"/>
          </w:tcPr>
          <w:p w:rsidR="00653743" w:rsidRPr="00BC2D09" w:rsidRDefault="00653743" w:rsidP="00A96474">
            <w:pPr>
              <w:pStyle w:val="NoSpacing"/>
              <w:rPr>
                <w:lang w:eastAsia="en-US"/>
              </w:rPr>
            </w:pPr>
            <w:bookmarkStart w:id="2" w:name="DecisionSummary"/>
            <w:bookmarkStart w:id="3" w:name="Decision"/>
            <w:r w:rsidRPr="00BC2D09">
              <w:rPr>
                <w:lang w:eastAsia="en-US"/>
              </w:rPr>
              <w:t>Tribunal</w:t>
            </w:r>
          </w:p>
        </w:tc>
        <w:tc>
          <w:tcPr>
            <w:tcW w:w="6833" w:type="dxa"/>
          </w:tcPr>
          <w:p w:rsidR="00653743" w:rsidRDefault="00653743" w:rsidP="00A96474">
            <w:pPr>
              <w:pStyle w:val="NoSpacing"/>
              <w:rPr>
                <w:b/>
                <w:bCs/>
                <w:lang w:eastAsia="en-US"/>
              </w:rPr>
            </w:pPr>
            <w:r>
              <w:rPr>
                <w:b/>
                <w:bCs/>
                <w:lang w:eastAsia="en-US"/>
              </w:rPr>
              <w:fldChar w:fldCharType="begin"/>
            </w:r>
            <w:r>
              <w:rPr>
                <w:b/>
                <w:bCs/>
                <w:lang w:eastAsia="en-US"/>
              </w:rPr>
              <w:instrText xml:space="preserve"> DOCPROPERTY  TribunalSignee </w:instrText>
            </w:r>
            <w:r>
              <w:rPr>
                <w:b/>
                <w:bCs/>
                <w:lang w:eastAsia="en-US"/>
              </w:rPr>
              <w:fldChar w:fldCharType="separate"/>
            </w:r>
            <w:r>
              <w:rPr>
                <w:b/>
                <w:bCs/>
                <w:lang w:eastAsia="en-US"/>
              </w:rPr>
              <w:t>Deputy President J W Constance</w:t>
            </w:r>
            <w:r>
              <w:rPr>
                <w:b/>
                <w:bCs/>
                <w:lang w:eastAsia="en-US"/>
              </w:rPr>
              <w:fldChar w:fldCharType="end"/>
            </w:r>
          </w:p>
          <w:p w:rsidR="00653743" w:rsidRDefault="00653743" w:rsidP="00A96474">
            <w:pPr>
              <w:pStyle w:val="NoSpacing"/>
              <w:rPr>
                <w:b/>
                <w:bCs/>
                <w:lang w:eastAsia="en-US"/>
              </w:rPr>
            </w:pPr>
            <w:r>
              <w:rPr>
                <w:b/>
                <w:bCs/>
                <w:lang w:eastAsia="en-US"/>
              </w:rPr>
              <w:fldChar w:fldCharType="begin"/>
            </w:r>
            <w:r>
              <w:rPr>
                <w:b/>
                <w:bCs/>
                <w:lang w:eastAsia="en-US"/>
              </w:rPr>
              <w:instrText xml:space="preserve"> DOCPROPERTY  TribunalText </w:instrText>
            </w:r>
            <w:r>
              <w:rPr>
                <w:b/>
                <w:bCs/>
                <w:lang w:eastAsia="en-US"/>
              </w:rPr>
              <w:fldChar w:fldCharType="separate"/>
            </w:r>
            <w:r>
              <w:rPr>
                <w:b/>
                <w:bCs/>
                <w:lang w:eastAsia="en-US"/>
              </w:rPr>
              <w:t xml:space="preserve"> </w:t>
            </w:r>
            <w:r>
              <w:rPr>
                <w:b/>
                <w:bCs/>
                <w:lang w:eastAsia="en-US"/>
              </w:rPr>
              <w:fldChar w:fldCharType="end"/>
            </w:r>
          </w:p>
          <w:p w:rsidR="00653743" w:rsidRPr="00771CAC" w:rsidRDefault="00653743" w:rsidP="00A96474">
            <w:pPr>
              <w:pStyle w:val="NoSpacing"/>
              <w:rPr>
                <w:b/>
                <w:bCs/>
                <w:lang w:eastAsia="en-US"/>
              </w:rPr>
            </w:pPr>
          </w:p>
        </w:tc>
      </w:tr>
      <w:tr w:rsidR="00653743" w:rsidRPr="00BC2D09" w:rsidTr="00E92DDB">
        <w:trPr>
          <w:trHeight w:val="567"/>
        </w:trPr>
        <w:tc>
          <w:tcPr>
            <w:tcW w:w="1956" w:type="dxa"/>
          </w:tcPr>
          <w:p w:rsidR="00653743" w:rsidRPr="00BC2D09" w:rsidRDefault="00653743" w:rsidP="00A96474">
            <w:pPr>
              <w:pStyle w:val="NoSpacing"/>
              <w:rPr>
                <w:lang w:eastAsia="en-US"/>
              </w:rPr>
            </w:pPr>
            <w:r w:rsidRPr="00BC2D09">
              <w:rPr>
                <w:lang w:eastAsia="en-US"/>
              </w:rPr>
              <w:t>Date</w:t>
            </w:r>
          </w:p>
        </w:tc>
        <w:tc>
          <w:tcPr>
            <w:tcW w:w="6833" w:type="dxa"/>
          </w:tcPr>
          <w:p w:rsidR="00653743" w:rsidRPr="00771CAC" w:rsidRDefault="00653743" w:rsidP="00A96474">
            <w:pPr>
              <w:pStyle w:val="NoSpacing"/>
              <w:rPr>
                <w:b/>
                <w:bCs/>
                <w:lang w:eastAsia="en-US"/>
              </w:rPr>
            </w:pPr>
            <w:r>
              <w:rPr>
                <w:b/>
                <w:bCs/>
                <w:lang w:eastAsia="en-US"/>
              </w:rPr>
              <w:fldChar w:fldCharType="begin"/>
            </w:r>
            <w:r>
              <w:rPr>
                <w:b/>
                <w:bCs/>
                <w:lang w:eastAsia="en-US"/>
              </w:rPr>
              <w:instrText xml:space="preserve"> DOCPROPERTY  DecisionDate </w:instrText>
            </w:r>
            <w:r>
              <w:rPr>
                <w:b/>
                <w:bCs/>
                <w:lang w:eastAsia="en-US"/>
              </w:rPr>
              <w:fldChar w:fldCharType="separate"/>
            </w:r>
            <w:r>
              <w:rPr>
                <w:b/>
                <w:bCs/>
                <w:lang w:eastAsia="en-US"/>
              </w:rPr>
              <w:t>7 May 2015</w:t>
            </w:r>
            <w:r>
              <w:rPr>
                <w:b/>
                <w:bCs/>
                <w:lang w:eastAsia="en-US"/>
              </w:rPr>
              <w:fldChar w:fldCharType="end"/>
            </w:r>
          </w:p>
        </w:tc>
      </w:tr>
      <w:tr w:rsidR="00653743" w:rsidRPr="00BC2D09" w:rsidTr="00E92DDB">
        <w:trPr>
          <w:trHeight w:val="567"/>
        </w:trPr>
        <w:tc>
          <w:tcPr>
            <w:tcW w:w="1956" w:type="dxa"/>
          </w:tcPr>
          <w:p w:rsidR="00653743" w:rsidRPr="00BC2D09" w:rsidRDefault="00653743" w:rsidP="00A96474">
            <w:pPr>
              <w:pStyle w:val="NoSpacing"/>
              <w:rPr>
                <w:lang w:eastAsia="en-US"/>
              </w:rPr>
            </w:pPr>
            <w:r w:rsidRPr="00BC2D09">
              <w:rPr>
                <w:lang w:eastAsia="en-US"/>
              </w:rPr>
              <w:t>Place</w:t>
            </w:r>
          </w:p>
        </w:tc>
        <w:tc>
          <w:tcPr>
            <w:tcW w:w="6833" w:type="dxa"/>
          </w:tcPr>
          <w:p w:rsidR="00653743" w:rsidRPr="00771CAC" w:rsidRDefault="00653743" w:rsidP="00A96474">
            <w:pPr>
              <w:pStyle w:val="NoSpacing"/>
              <w:rPr>
                <w:b/>
                <w:bCs/>
                <w:lang w:eastAsia="en-US"/>
              </w:rPr>
            </w:pPr>
            <w:r>
              <w:rPr>
                <w:b/>
                <w:bCs/>
                <w:lang w:eastAsia="en-US"/>
              </w:rPr>
              <w:t>Sydney</w:t>
            </w:r>
          </w:p>
        </w:tc>
      </w:tr>
    </w:tbl>
    <w:bookmarkEnd w:id="3" w:displacedByCustomXml="next"/>
    <w:sdt>
      <w:sdtPr>
        <w:rPr>
          <w:rFonts w:eastAsia="Times New Roman"/>
          <w:szCs w:val="20"/>
          <w:lang w:eastAsia="en-US"/>
        </w:rPr>
        <w:alias w:val="Decision"/>
        <w:tag w:val="Decision"/>
        <w:id w:val="1959365562"/>
        <w:lock w:val="sdtLocked"/>
        <w:placeholder>
          <w:docPart w:val="BDC49AAF5CF643128D73A3888C19EE23"/>
        </w:placeholder>
      </w:sdtPr>
      <w:sdtEndPr/>
      <w:sdtContent>
        <w:p w:rsidR="00896597" w:rsidRDefault="00896597" w:rsidP="00896597">
          <w:pPr>
            <w:pStyle w:val="ListNumber"/>
            <w:numPr>
              <w:ilvl w:val="0"/>
              <w:numId w:val="0"/>
            </w:numPr>
            <w:rPr>
              <w:lang w:eastAsia="en-AU"/>
            </w:rPr>
          </w:pPr>
          <w:r>
            <w:rPr>
              <w:lang w:eastAsia="en-AU"/>
            </w:rPr>
            <w:t>The Tribunal has jurisdiction to hear and determine the application</w:t>
          </w:r>
          <w:r w:rsidR="008A5E3C">
            <w:rPr>
              <w:lang w:eastAsia="en-AU"/>
            </w:rPr>
            <w:t xml:space="preserve"> for review</w:t>
          </w:r>
          <w:r>
            <w:rPr>
              <w:lang w:eastAsia="en-AU"/>
            </w:rPr>
            <w:t xml:space="preserve">, lodged on </w:t>
          </w:r>
          <w:r w:rsidR="008A5E3C">
            <w:rPr>
              <w:lang w:eastAsia="en-AU"/>
            </w:rPr>
            <w:t xml:space="preserve">behalf of the Department of Human Services on </w:t>
          </w:r>
          <w:r>
            <w:rPr>
              <w:lang w:eastAsia="en-AU"/>
            </w:rPr>
            <w:t>10 December 2014</w:t>
          </w:r>
          <w:r w:rsidR="008A5E3C">
            <w:rPr>
              <w:lang w:eastAsia="en-AU"/>
            </w:rPr>
            <w:t>.</w:t>
          </w:r>
          <w:r>
            <w:rPr>
              <w:lang w:eastAsia="en-AU"/>
            </w:rPr>
            <w:t xml:space="preserve"> </w:t>
          </w:r>
        </w:p>
        <w:p w:rsidR="00BC2D09" w:rsidRPr="00BC2D09" w:rsidRDefault="00956A5C" w:rsidP="00BC2D09">
          <w:pPr>
            <w:rPr>
              <w:lang w:eastAsia="en-US"/>
            </w:rPr>
          </w:pPr>
        </w:p>
      </w:sdtContent>
    </w:sdt>
    <w:bookmarkEnd w:id="2"/>
    <w:p w:rsidR="00BC2D09" w:rsidRPr="00BC2D09" w:rsidRDefault="00BC2D09" w:rsidP="001E4799">
      <w:pPr>
        <w:keepNext/>
        <w:spacing w:before="960"/>
        <w:rPr>
          <w:lang w:eastAsia="en-US"/>
        </w:rPr>
      </w:pPr>
      <w:proofErr w:type="gramStart"/>
      <w:r w:rsidRPr="00BC2D09">
        <w:rPr>
          <w:lang w:eastAsia="en-US"/>
        </w:rPr>
        <w:t>................................</w:t>
      </w:r>
      <w:r w:rsidR="004D67F6">
        <w:rPr>
          <w:b/>
          <w:lang w:eastAsia="en-US"/>
        </w:rPr>
        <w:t>[</w:t>
      </w:r>
      <w:proofErr w:type="gramEnd"/>
      <w:r w:rsidR="004D67F6">
        <w:rPr>
          <w:b/>
          <w:lang w:eastAsia="en-US"/>
        </w:rPr>
        <w:t>sgd]</w:t>
      </w:r>
      <w:r w:rsidRPr="00BC2D09">
        <w:rPr>
          <w:lang w:eastAsia="en-US"/>
        </w:rPr>
        <w:t>........................................</w:t>
      </w:r>
    </w:p>
    <w:p w:rsidR="00BC2D09" w:rsidRPr="00713462" w:rsidRDefault="00DC0CB0" w:rsidP="00000788">
      <w:pPr>
        <w:spacing w:before="0"/>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653743">
        <w:rPr>
          <w:b/>
          <w:lang w:eastAsia="en-US"/>
        </w:rPr>
        <w:t>Deputy President J W Constance</w:t>
      </w:r>
      <w:r>
        <w:rPr>
          <w:b/>
          <w:lang w:eastAsia="en-US"/>
        </w:rPr>
        <w:fldChar w:fldCharType="end"/>
      </w:r>
    </w:p>
    <w:p w:rsidR="00BC2D09" w:rsidRDefault="005632FA" w:rsidP="00760AB6">
      <w:r>
        <w:br w:type="page"/>
      </w:r>
    </w:p>
    <w:bookmarkStart w:id="4" w:name="CatchwordsTitle" w:displacedByCustomXml="next"/>
    <w:bookmarkEnd w:id="4" w:displacedByCustomXml="next"/>
    <w:sdt>
      <w:sdtPr>
        <w:rPr>
          <w:lang w:eastAsia="en-US"/>
        </w:rPr>
        <w:alias w:val="Catchwords"/>
        <w:tag w:val="Catchwords"/>
        <w:id w:val="-1722664393"/>
        <w:placeholder>
          <w:docPart w:val="FADBA8952FCF425396EF0FFDC04C6903"/>
        </w:placeholder>
      </w:sdtPr>
      <w:sdtEndPr/>
      <w:sdtContent>
        <w:p w:rsidR="004152C5" w:rsidRDefault="00FF511E" w:rsidP="004A55A2">
          <w:pPr>
            <w:pStyle w:val="CatchWords"/>
            <w:rPr>
              <w:lang w:eastAsia="en-US"/>
            </w:rPr>
          </w:pPr>
          <w:r w:rsidRPr="00B648E9">
            <w:rPr>
              <w:u w:val="single"/>
              <w:lang w:eastAsia="en-US"/>
            </w:rPr>
            <w:t>Catchwords</w:t>
          </w:r>
        </w:p>
      </w:sdtContent>
    </w:sdt>
    <w:p w:rsidR="00CF5E0E" w:rsidRPr="00B648E9" w:rsidRDefault="00B648E9" w:rsidP="00CF5E0E">
      <w:pPr>
        <w:pStyle w:val="NoSpacing"/>
        <w:rPr>
          <w:i/>
          <w:lang w:eastAsia="en-US"/>
        </w:rPr>
      </w:pPr>
      <w:r>
        <w:rPr>
          <w:i/>
          <w:lang w:eastAsia="en-US"/>
        </w:rPr>
        <w:t xml:space="preserve">PRACTICE AND PROCEDURE – alleged inadequate statement of reasons in support of application – whether Tribunal has jurisdiction to hear an application for review where supporting reasons are decision </w:t>
      </w:r>
      <w:r>
        <w:rPr>
          <w:i/>
        </w:rPr>
        <w:t>not correct and preferable</w:t>
      </w:r>
      <w:r>
        <w:rPr>
          <w:i/>
          <w:lang w:eastAsia="en-US"/>
        </w:rPr>
        <w:t xml:space="preserve"> - consideration of section 29(1)(c) of the Administrative Appeals Tribunal Act 1975 (</w:t>
      </w:r>
      <w:proofErr w:type="spellStart"/>
      <w:r>
        <w:rPr>
          <w:i/>
          <w:lang w:eastAsia="en-US"/>
        </w:rPr>
        <w:t>Cth</w:t>
      </w:r>
      <w:proofErr w:type="spellEnd"/>
      <w:r>
        <w:rPr>
          <w:i/>
          <w:lang w:eastAsia="en-US"/>
        </w:rPr>
        <w:t>) – Tribunal has jurisdiction</w:t>
      </w:r>
    </w:p>
    <w:bookmarkStart w:id="5" w:name="LegislationTitle" w:displacedByCustomXml="next"/>
    <w:bookmarkEnd w:id="5" w:displacedByCustomXml="next"/>
    <w:sdt>
      <w:sdtPr>
        <w:rPr>
          <w:lang w:eastAsia="en-US"/>
        </w:rPr>
        <w:alias w:val="Legislation"/>
        <w:tag w:val="Legislation"/>
        <w:id w:val="-13298432"/>
        <w:placeholder>
          <w:docPart w:val="CFDEA52D1B0A431082AE7A7203C2A65D"/>
        </w:placeholder>
      </w:sdtPr>
      <w:sdtEndPr/>
      <w:sdtContent>
        <w:p w:rsidR="00B648E9" w:rsidRDefault="00FF511E" w:rsidP="00E616B9">
          <w:pPr>
            <w:pStyle w:val="CatchWords"/>
            <w:rPr>
              <w:u w:val="single"/>
              <w:lang w:eastAsia="en-US"/>
            </w:rPr>
          </w:pPr>
          <w:r w:rsidRPr="00B648E9">
            <w:rPr>
              <w:u w:val="single"/>
              <w:lang w:eastAsia="en-US"/>
            </w:rPr>
            <w:t>Legislation</w:t>
          </w:r>
        </w:p>
        <w:p w:rsidR="00B648E9" w:rsidRDefault="00B648E9" w:rsidP="00B648E9">
          <w:pPr>
            <w:pStyle w:val="CatchWords"/>
            <w:rPr>
              <w:i w:val="0"/>
            </w:rPr>
          </w:pPr>
          <w:r>
            <w:t xml:space="preserve">Administrative Appeals Tribunal Act 1975 </w:t>
          </w:r>
          <w:r w:rsidRPr="00B648E9">
            <w:rPr>
              <w:i w:val="0"/>
            </w:rPr>
            <w:t>(</w:t>
          </w:r>
          <w:proofErr w:type="spellStart"/>
          <w:r w:rsidRPr="00B648E9">
            <w:rPr>
              <w:i w:val="0"/>
            </w:rPr>
            <w:t>Cth</w:t>
          </w:r>
          <w:proofErr w:type="spellEnd"/>
          <w:r w:rsidRPr="00B648E9">
            <w:rPr>
              <w:i w:val="0"/>
            </w:rPr>
            <w:t>)</w:t>
          </w:r>
          <w:r>
            <w:t xml:space="preserve"> </w:t>
          </w:r>
          <w:proofErr w:type="spellStart"/>
          <w:r>
            <w:rPr>
              <w:i w:val="0"/>
            </w:rPr>
            <w:t>ss</w:t>
          </w:r>
          <w:proofErr w:type="spellEnd"/>
          <w:r>
            <w:rPr>
              <w:i w:val="0"/>
            </w:rPr>
            <w:t xml:space="preserve"> 2A; 29(1</w:t>
          </w:r>
          <w:proofErr w:type="gramStart"/>
          <w:r>
            <w:rPr>
              <w:i w:val="0"/>
            </w:rPr>
            <w:t>)(</w:t>
          </w:r>
          <w:proofErr w:type="gramEnd"/>
          <w:r>
            <w:rPr>
              <w:i w:val="0"/>
            </w:rPr>
            <w:t>c); 29(1B)</w:t>
          </w:r>
        </w:p>
        <w:p w:rsidR="00E616B9" w:rsidRPr="00BC2D09" w:rsidRDefault="00956A5C" w:rsidP="00B648E9">
          <w:pPr>
            <w:pStyle w:val="CatchWords"/>
            <w:rPr>
              <w:lang w:eastAsia="en-US"/>
            </w:rPr>
          </w:pPr>
        </w:p>
      </w:sdtContent>
    </w:sdt>
    <w:bookmarkStart w:id="6" w:name="CasesTitle" w:displacedByCustomXml="next"/>
    <w:bookmarkEnd w:id="6" w:displacedByCustomXml="next"/>
    <w:sdt>
      <w:sdtPr>
        <w:rPr>
          <w:lang w:eastAsia="en-US"/>
        </w:rPr>
        <w:alias w:val="Cases"/>
        <w:tag w:val="Cases"/>
        <w:id w:val="-26403871"/>
        <w:placeholder>
          <w:docPart w:val="82BB5ED55DB443388B536844BF34CFEB"/>
        </w:placeholder>
      </w:sdtPr>
      <w:sdtEndPr/>
      <w:sdtContent>
        <w:p w:rsidR="00B648E9" w:rsidRDefault="00FF511E" w:rsidP="005F2E99">
          <w:pPr>
            <w:pStyle w:val="CatchWords"/>
            <w:rPr>
              <w:u w:val="single"/>
              <w:lang w:eastAsia="en-US"/>
            </w:rPr>
          </w:pPr>
          <w:r w:rsidRPr="00B648E9">
            <w:rPr>
              <w:u w:val="single"/>
              <w:lang w:eastAsia="en-US"/>
            </w:rPr>
            <w:t>Cases</w:t>
          </w:r>
        </w:p>
        <w:p w:rsidR="00B648E9" w:rsidRDefault="00B648E9" w:rsidP="005F2E99">
          <w:pPr>
            <w:pStyle w:val="CatchWords"/>
          </w:pPr>
          <w:r>
            <w:t>Ansell v Wells</w:t>
          </w:r>
          <w:r w:rsidR="008A5E3C">
            <w:t xml:space="preserve"> </w:t>
          </w:r>
          <w:r w:rsidR="008A5E3C">
            <w:rPr>
              <w:i w:val="0"/>
            </w:rPr>
            <w:t>(1982) 43 ALR 41</w:t>
          </w:r>
        </w:p>
        <w:p w:rsidR="00B648E9" w:rsidRDefault="00B648E9" w:rsidP="005F2E99">
          <w:pPr>
            <w:pStyle w:val="CatchWords"/>
          </w:pPr>
          <w:proofErr w:type="spellStart"/>
          <w:r>
            <w:t>Beiruti</w:t>
          </w:r>
          <w:proofErr w:type="spellEnd"/>
          <w:r>
            <w:t xml:space="preserve"> and Commissioner of Taxation </w:t>
          </w:r>
          <w:r w:rsidRPr="00B648E9">
            <w:rPr>
              <w:i w:val="0"/>
            </w:rPr>
            <w:t>[2013] AATA 634</w:t>
          </w:r>
        </w:p>
        <w:p w:rsidR="00B648E9" w:rsidRDefault="00B648E9" w:rsidP="005F2E99">
          <w:pPr>
            <w:pStyle w:val="CatchWords"/>
          </w:pPr>
          <w:r>
            <w:t xml:space="preserve">Chun Wang v Minister for Immigration and Multicultural Affairs </w:t>
          </w:r>
          <w:r w:rsidRPr="00B648E9">
            <w:rPr>
              <w:i w:val="0"/>
            </w:rPr>
            <w:t>(1997) 71 FCR 386</w:t>
          </w:r>
        </w:p>
        <w:p w:rsidR="00B648E9" w:rsidRDefault="00B648E9" w:rsidP="005F2E99">
          <w:pPr>
            <w:pStyle w:val="CatchWords"/>
            <w:rPr>
              <w:i w:val="0"/>
            </w:rPr>
          </w:pPr>
          <w:r>
            <w:t xml:space="preserve">Posner v Collector for Inter-State Destitute Persons (Vic) </w:t>
          </w:r>
          <w:r w:rsidRPr="00B648E9">
            <w:rPr>
              <w:i w:val="0"/>
            </w:rPr>
            <w:t>(1946) 74 CLR 461</w:t>
          </w:r>
        </w:p>
        <w:p w:rsidR="00BC2D09" w:rsidRDefault="00956A5C" w:rsidP="005F2E99">
          <w:pPr>
            <w:pStyle w:val="CatchWords"/>
            <w:rPr>
              <w:lang w:eastAsia="en-US"/>
            </w:rPr>
          </w:pPr>
        </w:p>
      </w:sdtContent>
    </w:sdt>
    <w:bookmarkStart w:id="7" w:name="SecondaryMaterialsTitle" w:displacedByCustomXml="prev"/>
    <w:bookmarkEnd w:id="7" w:displacedByCustomXml="prev"/>
    <w:p w:rsidR="005F2E99" w:rsidRDefault="005F2E99" w:rsidP="009E2C76"/>
    <w:p w:rsidR="009E2C76" w:rsidRDefault="009E2C76" w:rsidP="00CA099E">
      <w:pPr>
        <w:pStyle w:val="Heading1"/>
        <w:rPr>
          <w:lang w:eastAsia="en-US"/>
        </w:rPr>
      </w:pPr>
      <w:r w:rsidRPr="009E2C76">
        <w:rPr>
          <w:lang w:eastAsia="en-US"/>
        </w:rPr>
        <w:t xml:space="preserve">REASONS FOR </w:t>
      </w:r>
      <w:r w:rsidR="00653743">
        <w:rPr>
          <w:lang w:eastAsia="en-US"/>
        </w:rPr>
        <w:t xml:space="preserve">INTERLOCUTORY </w:t>
      </w:r>
      <w:r w:rsidRPr="009E2C76">
        <w:rPr>
          <w:lang w:eastAsia="en-US"/>
        </w:rPr>
        <w:t>DECISION</w:t>
      </w:r>
    </w:p>
    <w:p w:rsidR="00CA099E" w:rsidRDefault="00CA099E" w:rsidP="00D750F5">
      <w:pPr>
        <w:pStyle w:val="NoSpacing"/>
        <w:rPr>
          <w:lang w:eastAsia="en-US"/>
        </w:rPr>
      </w:pPr>
    </w:p>
    <w:p w:rsidR="00D50614" w:rsidRDefault="00D50614" w:rsidP="00D750F5">
      <w:pPr>
        <w:pStyle w:val="NoSpacing"/>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653743">
        <w:rPr>
          <w:b/>
          <w:lang w:eastAsia="en-US"/>
        </w:rPr>
        <w:t>Deputy President J W Constance</w:t>
      </w:r>
      <w:r>
        <w:rPr>
          <w:b/>
          <w:lang w:eastAsia="en-US"/>
        </w:rPr>
        <w:fldChar w:fldCharType="end"/>
      </w:r>
    </w:p>
    <w:p w:rsidR="00A74195" w:rsidRDefault="00A74195" w:rsidP="00D750F5">
      <w:pPr>
        <w:pStyle w:val="NoSpacing"/>
        <w:rPr>
          <w:b/>
          <w:lang w:eastAsia="en-US"/>
        </w:rPr>
      </w:pPr>
      <w:r w:rsidRPr="002A5BD8">
        <w:rPr>
          <w:b/>
          <w:lang w:eastAsia="en-US"/>
        </w:rPr>
        <w:fldChar w:fldCharType="begin"/>
      </w:r>
      <w:r w:rsidRPr="002A5BD8">
        <w:rPr>
          <w:b/>
          <w:lang w:eastAsia="en-US"/>
        </w:rPr>
        <w:instrText xml:space="preserve"> DOCPROPERTY  TribunalText </w:instrText>
      </w:r>
      <w:r w:rsidRPr="002A5BD8">
        <w:rPr>
          <w:b/>
          <w:lang w:eastAsia="en-US"/>
        </w:rPr>
        <w:fldChar w:fldCharType="separate"/>
      </w:r>
      <w:r w:rsidR="00653743">
        <w:rPr>
          <w:b/>
          <w:lang w:eastAsia="en-US"/>
        </w:rPr>
        <w:t xml:space="preserve"> </w:t>
      </w:r>
      <w:r w:rsidRPr="002A5BD8">
        <w:rPr>
          <w:b/>
          <w:lang w:eastAsia="en-US"/>
        </w:rPr>
        <w:fldChar w:fldCharType="end"/>
      </w:r>
    </w:p>
    <w:p w:rsidR="00A74195" w:rsidRDefault="00A74195" w:rsidP="00A74195">
      <w:pPr>
        <w:pStyle w:val="NoSpacing"/>
        <w:rPr>
          <w:lang w:eastAsia="en-US"/>
        </w:rPr>
      </w:pPr>
    </w:p>
    <w:p w:rsidR="00A74195" w:rsidRPr="00D50614" w:rsidRDefault="006D3300" w:rsidP="00D750F5">
      <w:pPr>
        <w:pStyle w:val="NoSpacing"/>
        <w:rPr>
          <w:b/>
          <w:lang w:eastAsia="en-US"/>
        </w:rPr>
      </w:pPr>
      <w:r w:rsidRPr="00D50614">
        <w:rPr>
          <w:b/>
          <w:lang w:eastAsia="en-US"/>
        </w:rPr>
        <w:fldChar w:fldCharType="begin"/>
      </w:r>
      <w:r w:rsidRPr="00D50614">
        <w:rPr>
          <w:b/>
          <w:lang w:eastAsia="en-US"/>
        </w:rPr>
        <w:instrText xml:space="preserve"> DOCPROPERTY  ReasonsforDecisionDate </w:instrText>
      </w:r>
      <w:r w:rsidRPr="00D50614">
        <w:rPr>
          <w:b/>
          <w:lang w:eastAsia="en-US"/>
        </w:rPr>
        <w:fldChar w:fldCharType="separate"/>
      </w:r>
      <w:r w:rsidR="00653743">
        <w:rPr>
          <w:b/>
          <w:lang w:eastAsia="en-US"/>
        </w:rPr>
        <w:t>7 May 2015</w:t>
      </w:r>
      <w:r w:rsidRPr="00D50614">
        <w:rPr>
          <w:b/>
          <w:lang w:eastAsia="en-US"/>
        </w:rPr>
        <w:fldChar w:fldCharType="end"/>
      </w:r>
    </w:p>
    <w:p w:rsidR="00A74195" w:rsidRPr="00CA099E" w:rsidRDefault="00A74195" w:rsidP="00D750F5">
      <w:pPr>
        <w:pStyle w:val="NoSpacing"/>
        <w:rPr>
          <w:lang w:eastAsia="en-US"/>
        </w:rPr>
      </w:pPr>
    </w:p>
    <w:p w:rsidR="004251FE" w:rsidRDefault="004251FE" w:rsidP="004251FE">
      <w:pPr>
        <w:pStyle w:val="Heading1"/>
      </w:pPr>
      <w:bookmarkStart w:id="8" w:name="Start"/>
      <w:bookmarkEnd w:id="8"/>
      <w:r>
        <w:t>introduction</w:t>
      </w:r>
    </w:p>
    <w:p w:rsidR="004251FE" w:rsidRDefault="004251FE" w:rsidP="004251FE">
      <w:pPr>
        <w:pStyle w:val="ListNumber"/>
        <w:rPr>
          <w:lang w:eastAsia="en-AU"/>
        </w:rPr>
      </w:pPr>
      <w:r>
        <w:rPr>
          <w:lang w:eastAsia="en-AU"/>
        </w:rPr>
        <w:t>In December 2011</w:t>
      </w:r>
      <w:r w:rsidR="00B648E9">
        <w:rPr>
          <w:lang w:eastAsia="en-AU"/>
        </w:rPr>
        <w:t>,</w:t>
      </w:r>
      <w:r>
        <w:rPr>
          <w:lang w:eastAsia="en-AU"/>
        </w:rPr>
        <w:t xml:space="preserve"> the </w:t>
      </w:r>
      <w:r w:rsidR="00DA51EF">
        <w:rPr>
          <w:lang w:eastAsia="en-AU"/>
        </w:rPr>
        <w:t>Respondent</w:t>
      </w:r>
      <w:r>
        <w:rPr>
          <w:lang w:eastAsia="en-AU"/>
        </w:rPr>
        <w:t xml:space="preserve"> </w:t>
      </w:r>
      <w:r w:rsidR="00C31A7E">
        <w:rPr>
          <w:lang w:eastAsia="en-AU"/>
        </w:rPr>
        <w:t>wrote to an agency of the Department of Human Services requesting the production of c</w:t>
      </w:r>
      <w:r w:rsidR="00433023">
        <w:rPr>
          <w:lang w:eastAsia="en-AU"/>
        </w:rPr>
        <w:t>ertain documents under the provi</w:t>
      </w:r>
      <w:r w:rsidR="00C31A7E">
        <w:rPr>
          <w:lang w:eastAsia="en-AU"/>
        </w:rPr>
        <w:t>s</w:t>
      </w:r>
      <w:r w:rsidR="00433023">
        <w:rPr>
          <w:lang w:eastAsia="en-AU"/>
        </w:rPr>
        <w:t>i</w:t>
      </w:r>
      <w:r w:rsidR="00C31A7E">
        <w:rPr>
          <w:lang w:eastAsia="en-AU"/>
        </w:rPr>
        <w:t xml:space="preserve">ons of the </w:t>
      </w:r>
      <w:r w:rsidR="00433023">
        <w:rPr>
          <w:i/>
          <w:lang w:eastAsia="en-AU"/>
        </w:rPr>
        <w:t>Freedom of I</w:t>
      </w:r>
      <w:r w:rsidR="00C31A7E">
        <w:rPr>
          <w:i/>
          <w:lang w:eastAsia="en-AU"/>
        </w:rPr>
        <w:t xml:space="preserve">nformation Act 1982 </w:t>
      </w:r>
      <w:r w:rsidR="00C8204C">
        <w:rPr>
          <w:lang w:eastAsia="en-AU"/>
        </w:rPr>
        <w:t>(</w:t>
      </w:r>
      <w:proofErr w:type="spellStart"/>
      <w:r w:rsidR="00C8204C">
        <w:rPr>
          <w:lang w:eastAsia="en-AU"/>
        </w:rPr>
        <w:t>Cth</w:t>
      </w:r>
      <w:proofErr w:type="spellEnd"/>
      <w:r w:rsidR="00C8204C">
        <w:rPr>
          <w:lang w:eastAsia="en-AU"/>
        </w:rPr>
        <w:t>) (</w:t>
      </w:r>
      <w:r w:rsidR="008B0A78">
        <w:rPr>
          <w:lang w:eastAsia="en-AU"/>
        </w:rPr>
        <w:t>“</w:t>
      </w:r>
      <w:r w:rsidR="008B0A78" w:rsidRPr="008B0A78">
        <w:rPr>
          <w:lang w:eastAsia="en-AU"/>
        </w:rPr>
        <w:t>the FOI Act</w:t>
      </w:r>
      <w:r w:rsidR="008B0A78">
        <w:rPr>
          <w:i/>
          <w:lang w:eastAsia="en-AU"/>
        </w:rPr>
        <w:t>”).</w:t>
      </w:r>
      <w:r w:rsidR="00C31A7E">
        <w:rPr>
          <w:lang w:eastAsia="en-AU"/>
        </w:rPr>
        <w:t xml:space="preserve">  </w:t>
      </w:r>
      <w:r w:rsidR="00433023">
        <w:rPr>
          <w:lang w:eastAsia="en-AU"/>
        </w:rPr>
        <w:t>On 10</w:t>
      </w:r>
      <w:r w:rsidR="00C31A7E">
        <w:rPr>
          <w:lang w:eastAsia="en-AU"/>
        </w:rPr>
        <w:t xml:space="preserve"> February 2012</w:t>
      </w:r>
      <w:r w:rsidR="00B648E9">
        <w:rPr>
          <w:lang w:eastAsia="en-AU"/>
        </w:rPr>
        <w:t>,</w:t>
      </w:r>
      <w:r w:rsidR="00C31A7E">
        <w:rPr>
          <w:lang w:eastAsia="en-AU"/>
        </w:rPr>
        <w:t xml:space="preserve"> the Department notified the </w:t>
      </w:r>
      <w:r w:rsidR="00DA51EF">
        <w:rPr>
          <w:lang w:eastAsia="en-AU"/>
        </w:rPr>
        <w:t>Respondent</w:t>
      </w:r>
      <w:r w:rsidR="00C31A7E">
        <w:rPr>
          <w:lang w:eastAsia="en-AU"/>
        </w:rPr>
        <w:t xml:space="preserve"> of its decision to release some of the requested documents in full and some partially redacted.  </w:t>
      </w:r>
      <w:r w:rsidR="00C62F3F">
        <w:rPr>
          <w:lang w:eastAsia="en-AU"/>
        </w:rPr>
        <w:t xml:space="preserve">The </w:t>
      </w:r>
      <w:r w:rsidR="00433023">
        <w:rPr>
          <w:lang w:eastAsia="en-AU"/>
        </w:rPr>
        <w:t>D</w:t>
      </w:r>
      <w:r w:rsidR="00C62F3F">
        <w:rPr>
          <w:lang w:eastAsia="en-AU"/>
        </w:rPr>
        <w:t>epartment claimed that some document</w:t>
      </w:r>
      <w:r w:rsidR="00433023">
        <w:rPr>
          <w:lang w:eastAsia="en-AU"/>
        </w:rPr>
        <w:t>s</w:t>
      </w:r>
      <w:r w:rsidR="00C62F3F">
        <w:rPr>
          <w:lang w:eastAsia="en-AU"/>
        </w:rPr>
        <w:t xml:space="preserve"> were exempt from production.</w:t>
      </w:r>
      <w:r w:rsidR="00433023">
        <w:rPr>
          <w:lang w:eastAsia="en-AU"/>
        </w:rPr>
        <w:t xml:space="preserve">  The </w:t>
      </w:r>
      <w:r w:rsidR="00DA51EF">
        <w:rPr>
          <w:lang w:eastAsia="en-AU"/>
        </w:rPr>
        <w:t>Respondent</w:t>
      </w:r>
      <w:r w:rsidR="00433023">
        <w:rPr>
          <w:lang w:eastAsia="en-AU"/>
        </w:rPr>
        <w:t xml:space="preserve"> then applied to the </w:t>
      </w:r>
      <w:r w:rsidR="00DA51EF">
        <w:rPr>
          <w:lang w:eastAsia="en-AU"/>
        </w:rPr>
        <w:t>P</w:t>
      </w:r>
      <w:r w:rsidR="00433023">
        <w:rPr>
          <w:lang w:eastAsia="en-AU"/>
        </w:rPr>
        <w:t xml:space="preserve">rivacy Commissioner to review the </w:t>
      </w:r>
      <w:r w:rsidR="00DA51EF">
        <w:rPr>
          <w:lang w:eastAsia="en-AU"/>
        </w:rPr>
        <w:t>D</w:t>
      </w:r>
      <w:r w:rsidR="00433023">
        <w:rPr>
          <w:lang w:eastAsia="en-AU"/>
        </w:rPr>
        <w:t>epartment’s decision.</w:t>
      </w:r>
      <w:r w:rsidR="00C31A7E">
        <w:rPr>
          <w:lang w:eastAsia="en-AU"/>
        </w:rPr>
        <w:t xml:space="preserve"> </w:t>
      </w:r>
    </w:p>
    <w:p w:rsidR="00433023" w:rsidRDefault="00433023" w:rsidP="004251FE">
      <w:pPr>
        <w:pStyle w:val="ListNumber"/>
        <w:rPr>
          <w:lang w:eastAsia="en-AU"/>
        </w:rPr>
      </w:pPr>
      <w:r>
        <w:rPr>
          <w:lang w:eastAsia="en-AU"/>
        </w:rPr>
        <w:t>On 18 November 2014</w:t>
      </w:r>
      <w:r w:rsidR="00B648E9">
        <w:rPr>
          <w:lang w:eastAsia="en-AU"/>
        </w:rPr>
        <w:t>,</w:t>
      </w:r>
      <w:r>
        <w:rPr>
          <w:lang w:eastAsia="en-AU"/>
        </w:rPr>
        <w:t xml:space="preserve"> the Privacy Commissioner made the following decision:</w:t>
      </w:r>
    </w:p>
    <w:p w:rsidR="00433023" w:rsidRDefault="00433023" w:rsidP="00433023">
      <w:pPr>
        <w:pStyle w:val="Quote"/>
      </w:pPr>
      <w:r>
        <w:lastRenderedPageBreak/>
        <w:t xml:space="preserve"> I set aside the access refusal decision</w:t>
      </w:r>
      <w:r w:rsidR="00C8204C">
        <w:t xml:space="preserve"> </w:t>
      </w:r>
      <w:r>
        <w:t xml:space="preserve">of the </w:t>
      </w:r>
      <w:r w:rsidR="00DA51EF">
        <w:t>Department of H</w:t>
      </w:r>
      <w:r>
        <w:t xml:space="preserve">uman </w:t>
      </w:r>
      <w:r w:rsidR="00DA51EF">
        <w:t>S</w:t>
      </w:r>
      <w:r>
        <w:t>ervices (the Department) of 10 F</w:t>
      </w:r>
      <w:r w:rsidR="00C8204C">
        <w:t>ebruary 2012, and substitute my decision, under s 11A of the Freedom of Information Act 1982 (the FOI Act) refusing access to some of the documents sought and granting access to others , some modified by deletions.</w:t>
      </w:r>
    </w:p>
    <w:p w:rsidR="00C8204C" w:rsidRDefault="00C8204C" w:rsidP="00C8204C">
      <w:pPr>
        <w:pStyle w:val="ListNumber"/>
      </w:pPr>
      <w:r>
        <w:t xml:space="preserve">The Commissioner provided to the </w:t>
      </w:r>
      <w:r w:rsidR="00DA51EF">
        <w:t>Respondent</w:t>
      </w:r>
      <w:r>
        <w:t xml:space="preserve"> and to the Department detailed reasons for his decision.  In those reasons he dealt specifically with each document in dispute and gave reasons for his decision in relation to it.</w:t>
      </w:r>
    </w:p>
    <w:p w:rsidR="00C8204C" w:rsidRDefault="00C8204C" w:rsidP="00C8204C">
      <w:pPr>
        <w:pStyle w:val="ListNumber"/>
      </w:pPr>
      <w:r>
        <w:t xml:space="preserve">Exercising the right given to it by section 57 of the </w:t>
      </w:r>
      <w:r w:rsidR="008B0A78">
        <w:t>FOI Act, on 10 December 2014 the Department applied to the Tribunal to review the Commissioner’s decision.  The application was lodged on behalf of the Department by its Solicitors</w:t>
      </w:r>
    </w:p>
    <w:p w:rsidR="008B0A78" w:rsidRDefault="008B0A78" w:rsidP="00C8204C">
      <w:pPr>
        <w:pStyle w:val="ListNumber"/>
      </w:pPr>
      <w:r>
        <w:t>In its application the Department stated that its reasons for seeking a review of the decision were:</w:t>
      </w:r>
    </w:p>
    <w:p w:rsidR="00DA51EF" w:rsidRDefault="008B0A78" w:rsidP="008B0A78">
      <w:pPr>
        <w:pStyle w:val="Quote"/>
      </w:pPr>
      <w:r>
        <w:t>The decision of the Privacy Commissioner is not the correct and preferable decision.</w:t>
      </w:r>
    </w:p>
    <w:p w:rsidR="00DA51EF" w:rsidRDefault="00DA51EF" w:rsidP="00DA51EF">
      <w:pPr>
        <w:pStyle w:val="ListNumber"/>
      </w:pPr>
      <w:r>
        <w:t>On 29 December 2014</w:t>
      </w:r>
      <w:r w:rsidR="00B648E9">
        <w:t>,</w:t>
      </w:r>
      <w:r>
        <w:t xml:space="preserve"> the Respondent sent an email to the Tribunal which stated in part:</w:t>
      </w:r>
    </w:p>
    <w:p w:rsidR="00DA51EF" w:rsidRDefault="00D57B5E" w:rsidP="00DA51EF">
      <w:pPr>
        <w:pStyle w:val="Quote"/>
      </w:pPr>
      <w:r>
        <w:t>I note under Section</w:t>
      </w:r>
      <w:r w:rsidR="001D2159">
        <w:t xml:space="preserve"> </w:t>
      </w:r>
      <w:r>
        <w:t>29(1</w:t>
      </w:r>
      <w:proofErr w:type="gramStart"/>
      <w:r>
        <w:t>)(</w:t>
      </w:r>
      <w:proofErr w:type="gramEnd"/>
      <w:r>
        <w:t xml:space="preserve">c)of the AAT Act that the application must contain a statement of the reasons for the application. Section29(1B)(b) of the AAT Act implies that this statement must be sufficient to readily </w:t>
      </w:r>
      <w:r w:rsidRPr="00D57B5E">
        <w:rPr>
          <w:u w:val="single"/>
        </w:rPr>
        <w:t>identify respects in which the applicant believes that the decision is not the correct or preferable decision</w:t>
      </w:r>
      <w:r>
        <w:t>, not simply state that the decision is not the correct and preferable decision.</w:t>
      </w:r>
    </w:p>
    <w:p w:rsidR="00D57B5E" w:rsidRDefault="00D57B5E" w:rsidP="00DA51EF">
      <w:pPr>
        <w:pStyle w:val="Quote"/>
      </w:pPr>
      <w:r>
        <w:t>I draw the tribunal’s attention to</w:t>
      </w:r>
      <w:r w:rsidR="001D2159">
        <w:t xml:space="preserve"> </w:t>
      </w:r>
      <w:r>
        <w:t>29(1B</w:t>
      </w:r>
      <w:proofErr w:type="gramStart"/>
      <w:r>
        <w:t>)(</w:t>
      </w:r>
      <w:proofErr w:type="gramEnd"/>
      <w:r>
        <w:t>b) and ask you to consider whether it should request the applicant to amend the statement in the application.</w:t>
      </w:r>
    </w:p>
    <w:p w:rsidR="00D57B5E" w:rsidRDefault="00D57B5E" w:rsidP="00D57B5E">
      <w:pPr>
        <w:pStyle w:val="FollowingPara"/>
      </w:pPr>
      <w:r>
        <w:t>The Respondent forwarded a copy of this email to the Solicitors for the Department.</w:t>
      </w:r>
    </w:p>
    <w:p w:rsidR="00D57B5E" w:rsidRDefault="00D57B5E" w:rsidP="00D57B5E">
      <w:pPr>
        <w:pStyle w:val="ListNumber"/>
      </w:pPr>
      <w:r>
        <w:t>On 2 January 2015</w:t>
      </w:r>
      <w:r w:rsidR="00B648E9">
        <w:t>,</w:t>
      </w:r>
      <w:r>
        <w:t xml:space="preserve"> the Tribunal emailed the Respondent as follows;</w:t>
      </w:r>
    </w:p>
    <w:p w:rsidR="00D57B5E" w:rsidRDefault="00D57B5E" w:rsidP="00D57B5E">
      <w:pPr>
        <w:pStyle w:val="Quote"/>
      </w:pPr>
      <w:r>
        <w:t>I refer to the above matter and to your email dated 29 December 2014.</w:t>
      </w:r>
    </w:p>
    <w:p w:rsidR="00D57B5E" w:rsidRDefault="00D57B5E" w:rsidP="00D57B5E">
      <w:pPr>
        <w:pStyle w:val="Quote"/>
      </w:pPr>
      <w:r>
        <w:t>The Tribunal does not propose at this stage to require the Applicant to amend its statement of reasons for application provided in the application for review dated 9 December 2014.</w:t>
      </w:r>
    </w:p>
    <w:p w:rsidR="00D57B5E" w:rsidRDefault="00D57B5E" w:rsidP="00D57B5E">
      <w:pPr>
        <w:pStyle w:val="Quote"/>
      </w:pPr>
      <w:r>
        <w:t xml:space="preserve">As you may be aware, section 37 of the Administrative Appeals Tribunal Act 1975 requires that the department must lodge with the Tribunal </w:t>
      </w:r>
      <w:r w:rsidR="00B648E9">
        <w:t xml:space="preserve">a </w:t>
      </w:r>
      <w:r>
        <w:t xml:space="preserve">statement that: identifies the decision and the person supplying the reasons if that person is not the decision maker; sets out the findings </w:t>
      </w:r>
      <w:r w:rsidR="00B648E9">
        <w:t xml:space="preserve">on </w:t>
      </w:r>
      <w:r>
        <w:t>material questions of fact; refers to the evidence or other material on which those findings were based; and gives reasons for the decision. The section 37 documents are expected to be filed with the Tribunal on before 15 January 2015.</w:t>
      </w:r>
    </w:p>
    <w:p w:rsidR="00D57B5E" w:rsidRDefault="00D57B5E" w:rsidP="00D57B5E">
      <w:pPr>
        <w:pStyle w:val="Quote"/>
      </w:pPr>
      <w:r>
        <w:t>Additionally, the Tribunal</w:t>
      </w:r>
      <w:r w:rsidR="000D1D72">
        <w:t>’s</w:t>
      </w:r>
      <w:r>
        <w:t xml:space="preserve"> General Practice Direction requires that prior to the first </w:t>
      </w:r>
      <w:proofErr w:type="gramStart"/>
      <w:r>
        <w:t>conference,</w:t>
      </w:r>
      <w:proofErr w:type="gramEnd"/>
      <w:r>
        <w:t xml:space="preserve"> the Government department file and serve a Statement of Issues which sets out the issues that the Department considers to be in dispute. The statement of issues must address these specific issues in question and must not be expressed in general terms.</w:t>
      </w:r>
    </w:p>
    <w:p w:rsidR="00D57B5E" w:rsidRDefault="00D57B5E" w:rsidP="00D57B5E">
      <w:pPr>
        <w:pStyle w:val="Quote"/>
      </w:pPr>
      <w:r>
        <w:t xml:space="preserve">Should you remain concerned that the above documents do not allow you to adequately ascertain the Applicant reasons for </w:t>
      </w:r>
      <w:proofErr w:type="gramStart"/>
      <w:r>
        <w:t>application,</w:t>
      </w:r>
      <w:proofErr w:type="gramEnd"/>
      <w:r>
        <w:t xml:space="preserve"> you may wish to raise this at the preliminary conference on 17 February 2015.</w:t>
      </w:r>
    </w:p>
    <w:p w:rsidR="00D91387" w:rsidRDefault="00D91387" w:rsidP="00D91387">
      <w:pPr>
        <w:pStyle w:val="ListNumber"/>
      </w:pPr>
      <w:r>
        <w:t>By email of 4 January 2015 the Respondent applied to the Tribunal:</w:t>
      </w:r>
    </w:p>
    <w:p w:rsidR="00D91387" w:rsidRDefault="00D91387" w:rsidP="00D91387">
      <w:pPr>
        <w:pStyle w:val="Quote"/>
      </w:pPr>
      <w:r>
        <w:t xml:space="preserve">…to consider the application of the Department of a </w:t>
      </w:r>
      <w:r>
        <w:rPr>
          <w:i w:val="0"/>
        </w:rPr>
        <w:t xml:space="preserve">[sic] </w:t>
      </w:r>
      <w:r>
        <w:t xml:space="preserve">Human Services dated 09 December 2014 </w:t>
      </w:r>
      <w:r w:rsidRPr="00D91387">
        <w:rPr>
          <w:u w:val="single"/>
        </w:rPr>
        <w:t>as not made</w:t>
      </w:r>
      <w:r>
        <w:t xml:space="preserve">, on account that it does not meet the mandatory requirement of </w:t>
      </w:r>
      <w:r w:rsidRPr="00D91387">
        <w:rPr>
          <w:u w:val="single"/>
        </w:rPr>
        <w:t>Section 29(1)(c) of the Administrative Appeals Tribunal Act 1975</w:t>
      </w:r>
      <w:r>
        <w:t xml:space="preserve"> because it does not provide a “Statement of the Reasons” in a manner (noting the standard identified in Section (1B)(b) sufficient to readily identify the respects in which the applicant believes the decision is not the correct or preferable decision.</w:t>
      </w:r>
    </w:p>
    <w:p w:rsidR="00D91387" w:rsidRDefault="00D91387" w:rsidP="00D91387">
      <w:pPr>
        <w:pStyle w:val="Quote"/>
      </w:pPr>
      <w:r>
        <w:t>I request that this application be dealt with as a preliminary matter prior to any conference or directions hearings relating to the “as yet undeclared” substantive issue/s before the Tribunal.</w:t>
      </w:r>
    </w:p>
    <w:p w:rsidR="00A15298" w:rsidRDefault="00A15298" w:rsidP="00D91387">
      <w:pPr>
        <w:pStyle w:val="Quote"/>
      </w:pPr>
      <w:r>
        <w:t>……</w:t>
      </w:r>
    </w:p>
    <w:p w:rsidR="00A15298" w:rsidRDefault="00A15298" w:rsidP="00D91387">
      <w:pPr>
        <w:pStyle w:val="Quote"/>
      </w:pPr>
      <w:r>
        <w:t>I believe the application of the Department is incompetent and therefore unable to invoke the jurisdiction of this Tribunal and I respectfully ask you to make this finding.</w:t>
      </w:r>
    </w:p>
    <w:p w:rsidR="00A15298" w:rsidRPr="00D91387" w:rsidRDefault="00A15298" w:rsidP="00A15298">
      <w:pPr>
        <w:pStyle w:val="FollowingPara"/>
      </w:pPr>
      <w:r>
        <w:t>In his application, the Respondent set out detailed arguments in support of the finding he sought.</w:t>
      </w:r>
    </w:p>
    <w:p w:rsidR="000D1D72" w:rsidRDefault="000D1D72" w:rsidP="000D1D72">
      <w:pPr>
        <w:pStyle w:val="ListNumber"/>
      </w:pPr>
      <w:r>
        <w:t>On 5 January 2015 the Department filed a Statement of Issues which provides:</w:t>
      </w:r>
    </w:p>
    <w:p w:rsidR="000D1D72" w:rsidRPr="009B05E0" w:rsidRDefault="000D1D72" w:rsidP="000D1D72">
      <w:pPr>
        <w:pStyle w:val="ListNumber2"/>
        <w:numPr>
          <w:ilvl w:val="0"/>
          <w:numId w:val="49"/>
        </w:numPr>
        <w:rPr>
          <w:i/>
          <w:sz w:val="22"/>
          <w:szCs w:val="22"/>
        </w:rPr>
      </w:pPr>
      <w:r w:rsidRPr="009B05E0">
        <w:rPr>
          <w:i/>
          <w:sz w:val="22"/>
          <w:szCs w:val="22"/>
        </w:rPr>
        <w:t>The ultimate issue in this application is whether three documents are exempt documents under the Freedom of Information Act 1982 (</w:t>
      </w:r>
      <w:proofErr w:type="spellStart"/>
      <w:r w:rsidRPr="009B05E0">
        <w:rPr>
          <w:i/>
          <w:sz w:val="22"/>
          <w:szCs w:val="22"/>
        </w:rPr>
        <w:t>Cth</w:t>
      </w:r>
      <w:proofErr w:type="spellEnd"/>
      <w:r w:rsidRPr="009B05E0">
        <w:rPr>
          <w:i/>
          <w:sz w:val="22"/>
          <w:szCs w:val="22"/>
        </w:rPr>
        <w:t>) (the FOI Act).</w:t>
      </w:r>
    </w:p>
    <w:p w:rsidR="000D1D72" w:rsidRPr="009B05E0" w:rsidRDefault="000D1D72" w:rsidP="000D1D72">
      <w:pPr>
        <w:pStyle w:val="ListNumber2"/>
        <w:numPr>
          <w:ilvl w:val="0"/>
          <w:numId w:val="49"/>
        </w:numPr>
        <w:rPr>
          <w:i/>
          <w:sz w:val="22"/>
          <w:szCs w:val="22"/>
        </w:rPr>
      </w:pPr>
      <w:r w:rsidRPr="009B05E0">
        <w:rPr>
          <w:i/>
          <w:sz w:val="22"/>
          <w:szCs w:val="22"/>
        </w:rPr>
        <w:t>The issues in relation to each of the three documents are as follows:</w:t>
      </w:r>
    </w:p>
    <w:p w:rsidR="000D1D72" w:rsidRPr="009B05E0" w:rsidRDefault="000D1D72" w:rsidP="009B05E0">
      <w:pPr>
        <w:pStyle w:val="ListNumber2"/>
        <w:numPr>
          <w:ilvl w:val="0"/>
          <w:numId w:val="0"/>
        </w:numPr>
        <w:ind w:left="2160" w:hanging="1091"/>
        <w:rPr>
          <w:i/>
          <w:sz w:val="22"/>
          <w:szCs w:val="22"/>
        </w:rPr>
      </w:pPr>
      <w:r w:rsidRPr="009B05E0">
        <w:rPr>
          <w:i/>
          <w:sz w:val="22"/>
          <w:szCs w:val="22"/>
        </w:rPr>
        <w:t>(a)</w:t>
      </w:r>
      <w:r w:rsidRPr="009B05E0">
        <w:rPr>
          <w:i/>
          <w:sz w:val="22"/>
          <w:szCs w:val="22"/>
        </w:rPr>
        <w:tab/>
      </w:r>
      <w:r w:rsidRPr="009B05E0">
        <w:rPr>
          <w:b/>
          <w:i/>
          <w:sz w:val="22"/>
          <w:szCs w:val="22"/>
        </w:rPr>
        <w:t xml:space="preserve">Document 6 </w:t>
      </w:r>
      <w:r w:rsidRPr="009B05E0">
        <w:rPr>
          <w:i/>
          <w:sz w:val="22"/>
          <w:szCs w:val="22"/>
        </w:rPr>
        <w:t xml:space="preserve">is an executive minute (brief) to the Minister for Human Services. The Applicant considers that the entirety of this document is an exempt document under </w:t>
      </w:r>
      <w:r w:rsidR="009B05E0">
        <w:rPr>
          <w:i/>
          <w:sz w:val="22"/>
          <w:szCs w:val="22"/>
        </w:rPr>
        <w:t>s</w:t>
      </w:r>
      <w:r w:rsidR="009B05E0" w:rsidRPr="009B05E0">
        <w:rPr>
          <w:i/>
          <w:sz w:val="22"/>
          <w:szCs w:val="22"/>
        </w:rPr>
        <w:t xml:space="preserve"> </w:t>
      </w:r>
      <w:r w:rsidRPr="009B05E0">
        <w:rPr>
          <w:i/>
          <w:sz w:val="22"/>
          <w:szCs w:val="22"/>
        </w:rPr>
        <w:t>42 of the FOI Act (which deals with legal professional privilege). The Tribunal will need to consider whether or not Document 6 attracts legal professional privilege.</w:t>
      </w:r>
    </w:p>
    <w:p w:rsidR="000D1D72" w:rsidRPr="009B05E0" w:rsidRDefault="000D1D72" w:rsidP="009B05E0">
      <w:pPr>
        <w:pStyle w:val="ListNumber2"/>
        <w:numPr>
          <w:ilvl w:val="0"/>
          <w:numId w:val="0"/>
        </w:numPr>
        <w:ind w:left="2160" w:hanging="1091"/>
        <w:rPr>
          <w:i/>
          <w:sz w:val="22"/>
          <w:szCs w:val="22"/>
        </w:rPr>
      </w:pPr>
      <w:r w:rsidRPr="009B05E0">
        <w:rPr>
          <w:i/>
          <w:sz w:val="22"/>
          <w:szCs w:val="22"/>
        </w:rPr>
        <w:t>(b)</w:t>
      </w:r>
      <w:r w:rsidRPr="009B05E0">
        <w:rPr>
          <w:i/>
          <w:sz w:val="22"/>
          <w:szCs w:val="22"/>
        </w:rPr>
        <w:tab/>
      </w:r>
      <w:r w:rsidRPr="009B05E0">
        <w:rPr>
          <w:b/>
          <w:i/>
          <w:sz w:val="22"/>
          <w:szCs w:val="22"/>
        </w:rPr>
        <w:t>Documents 63 and 64</w:t>
      </w:r>
      <w:r w:rsidRPr="009B05E0">
        <w:rPr>
          <w:i/>
          <w:sz w:val="22"/>
          <w:szCs w:val="22"/>
        </w:rPr>
        <w:t xml:space="preserve"> are an email chain. The Applicant considers that the entirety of an email dated 19 August 2011 is an exempt document under s 42 of the FOI Act. The Tribunal will need to consider whether or not Documents 63 and 64 attract legal professional privilege.</w:t>
      </w:r>
    </w:p>
    <w:p w:rsidR="000D1D72" w:rsidRPr="009B05E0" w:rsidRDefault="000D1D72" w:rsidP="009B05E0">
      <w:pPr>
        <w:pStyle w:val="ListNumber2"/>
        <w:numPr>
          <w:ilvl w:val="0"/>
          <w:numId w:val="0"/>
        </w:numPr>
        <w:ind w:left="2160" w:hanging="1091"/>
        <w:rPr>
          <w:i/>
          <w:sz w:val="22"/>
          <w:szCs w:val="22"/>
        </w:rPr>
      </w:pPr>
      <w:r w:rsidRPr="009B05E0">
        <w:rPr>
          <w:i/>
          <w:sz w:val="22"/>
          <w:szCs w:val="22"/>
        </w:rPr>
        <w:t>(c)</w:t>
      </w:r>
      <w:r w:rsidRPr="009B05E0">
        <w:rPr>
          <w:i/>
          <w:sz w:val="22"/>
          <w:szCs w:val="22"/>
        </w:rPr>
        <w:tab/>
      </w:r>
      <w:r w:rsidRPr="009B05E0">
        <w:rPr>
          <w:b/>
          <w:i/>
          <w:sz w:val="22"/>
          <w:szCs w:val="22"/>
        </w:rPr>
        <w:t>Document 131</w:t>
      </w:r>
      <w:r w:rsidRPr="009B05E0">
        <w:rPr>
          <w:i/>
          <w:sz w:val="22"/>
          <w:szCs w:val="22"/>
        </w:rPr>
        <w:t xml:space="preserve"> is an email </w:t>
      </w:r>
      <w:r w:rsidR="009B05E0">
        <w:rPr>
          <w:i/>
          <w:sz w:val="22"/>
          <w:szCs w:val="22"/>
        </w:rPr>
        <w:t>chain</w:t>
      </w:r>
      <w:r w:rsidRPr="009B05E0">
        <w:rPr>
          <w:i/>
          <w:sz w:val="22"/>
          <w:szCs w:val="22"/>
        </w:rPr>
        <w:t>. The relevant issue in relation to this document is whether or not privilege in the document was waived. The Applicant does not consider that privilege has been waived.</w:t>
      </w:r>
    </w:p>
    <w:p w:rsidR="000D1D72" w:rsidRDefault="000D1D72" w:rsidP="000D1D72">
      <w:pPr>
        <w:pStyle w:val="FollowingPara"/>
      </w:pPr>
      <w:r>
        <w:t>This Statement of Issues was provided to the Respondent.</w:t>
      </w:r>
    </w:p>
    <w:p w:rsidR="00A15298" w:rsidRDefault="00A15298" w:rsidP="00A15298">
      <w:pPr>
        <w:pStyle w:val="Heading1"/>
      </w:pPr>
      <w:r>
        <w:t>Legislation</w:t>
      </w:r>
    </w:p>
    <w:p w:rsidR="000D1D72" w:rsidRDefault="00A15298" w:rsidP="00A15298">
      <w:pPr>
        <w:pStyle w:val="ListNumber"/>
      </w:pPr>
      <w:r>
        <w:t xml:space="preserve">Section 29 of the </w:t>
      </w:r>
      <w:r>
        <w:rPr>
          <w:i/>
        </w:rPr>
        <w:t xml:space="preserve">Administrative Appeals </w:t>
      </w:r>
      <w:r w:rsidR="005018E9">
        <w:rPr>
          <w:i/>
        </w:rPr>
        <w:t>T</w:t>
      </w:r>
      <w:r>
        <w:rPr>
          <w:i/>
        </w:rPr>
        <w:t xml:space="preserve">ribunal Act 1975 </w:t>
      </w:r>
      <w:r>
        <w:t>(</w:t>
      </w:r>
      <w:proofErr w:type="spellStart"/>
      <w:r>
        <w:t>Cth</w:t>
      </w:r>
      <w:proofErr w:type="spellEnd"/>
      <w:r>
        <w:t>) relevantly provides:</w:t>
      </w:r>
    </w:p>
    <w:p w:rsidR="00A15298" w:rsidRPr="009B05E0" w:rsidRDefault="00BC1922" w:rsidP="00BC1922">
      <w:pPr>
        <w:pStyle w:val="Quote"/>
        <w:numPr>
          <w:ilvl w:val="0"/>
          <w:numId w:val="50"/>
        </w:numPr>
        <w:rPr>
          <w:szCs w:val="22"/>
        </w:rPr>
      </w:pPr>
      <w:r w:rsidRPr="009B05E0">
        <w:rPr>
          <w:szCs w:val="22"/>
        </w:rPr>
        <w:t xml:space="preserve"> An application to the Tribunal for a review of a decision:</w:t>
      </w:r>
    </w:p>
    <w:p w:rsidR="00BC1922" w:rsidRPr="009B05E0" w:rsidRDefault="00BC1922" w:rsidP="00BC1922">
      <w:pPr>
        <w:pStyle w:val="ListNumber3"/>
        <w:numPr>
          <w:ilvl w:val="3"/>
          <w:numId w:val="47"/>
        </w:numPr>
        <w:rPr>
          <w:i/>
          <w:sz w:val="22"/>
          <w:szCs w:val="22"/>
        </w:rPr>
      </w:pPr>
      <w:r w:rsidRPr="009B05E0">
        <w:rPr>
          <w:i/>
          <w:sz w:val="22"/>
          <w:szCs w:val="22"/>
        </w:rPr>
        <w:t>(a) shall be in writing; and</w:t>
      </w:r>
    </w:p>
    <w:p w:rsidR="00BC1922" w:rsidRPr="009B05E0" w:rsidRDefault="00BC1922" w:rsidP="00BC1922">
      <w:pPr>
        <w:pStyle w:val="ListNumber3"/>
        <w:numPr>
          <w:ilvl w:val="3"/>
          <w:numId w:val="47"/>
        </w:numPr>
        <w:rPr>
          <w:i/>
          <w:sz w:val="22"/>
          <w:szCs w:val="22"/>
        </w:rPr>
      </w:pPr>
      <w:r w:rsidRPr="009B05E0">
        <w:rPr>
          <w:i/>
          <w:sz w:val="22"/>
          <w:szCs w:val="22"/>
        </w:rPr>
        <w:t>(b) may be made in accordance with the prescribed form; and</w:t>
      </w:r>
    </w:p>
    <w:p w:rsidR="00BC1922" w:rsidRPr="009B05E0" w:rsidRDefault="00BC1922" w:rsidP="00BC1922">
      <w:pPr>
        <w:pStyle w:val="ListNumber3"/>
        <w:numPr>
          <w:ilvl w:val="3"/>
          <w:numId w:val="47"/>
        </w:numPr>
        <w:rPr>
          <w:sz w:val="22"/>
          <w:szCs w:val="22"/>
        </w:rPr>
      </w:pPr>
      <w:r w:rsidRPr="009B05E0">
        <w:rPr>
          <w:i/>
          <w:sz w:val="22"/>
          <w:szCs w:val="22"/>
        </w:rPr>
        <w:t>(c) except if paragraph</w:t>
      </w:r>
      <w:r w:rsidR="005018E9" w:rsidRPr="009B05E0">
        <w:rPr>
          <w:i/>
          <w:sz w:val="22"/>
          <w:szCs w:val="22"/>
        </w:rPr>
        <w:t xml:space="preserve"> </w:t>
      </w:r>
      <w:r w:rsidRPr="009B05E0">
        <w:rPr>
          <w:i/>
          <w:sz w:val="22"/>
          <w:szCs w:val="22"/>
        </w:rPr>
        <w:t>(ca) or (</w:t>
      </w:r>
      <w:proofErr w:type="spellStart"/>
      <w:r w:rsidRPr="009B05E0">
        <w:rPr>
          <w:i/>
          <w:sz w:val="22"/>
          <w:szCs w:val="22"/>
        </w:rPr>
        <w:t>cb</w:t>
      </w:r>
      <w:proofErr w:type="spellEnd"/>
      <w:r w:rsidRPr="009B05E0">
        <w:rPr>
          <w:i/>
          <w:sz w:val="22"/>
          <w:szCs w:val="22"/>
        </w:rPr>
        <w:t>) applies – must contain a statement of the reasons for the application …</w:t>
      </w:r>
    </w:p>
    <w:p w:rsidR="00BC1922" w:rsidRPr="009B05E0" w:rsidRDefault="00BC1922" w:rsidP="00BC1922">
      <w:pPr>
        <w:pStyle w:val="ListNumber3"/>
        <w:numPr>
          <w:ilvl w:val="0"/>
          <w:numId w:val="0"/>
        </w:numPr>
        <w:ind w:left="1418" w:hanging="709"/>
        <w:rPr>
          <w:i/>
          <w:sz w:val="22"/>
          <w:szCs w:val="22"/>
        </w:rPr>
      </w:pPr>
      <w:r w:rsidRPr="009B05E0">
        <w:rPr>
          <w:i/>
          <w:sz w:val="22"/>
          <w:szCs w:val="22"/>
        </w:rPr>
        <w:t>………</w:t>
      </w:r>
    </w:p>
    <w:p w:rsidR="00BC1922" w:rsidRPr="009B05E0" w:rsidRDefault="00BC1922" w:rsidP="00BC1922">
      <w:pPr>
        <w:pStyle w:val="ListNumber3"/>
        <w:numPr>
          <w:ilvl w:val="0"/>
          <w:numId w:val="0"/>
        </w:numPr>
        <w:ind w:left="1418" w:hanging="709"/>
        <w:rPr>
          <w:i/>
          <w:sz w:val="22"/>
          <w:szCs w:val="22"/>
        </w:rPr>
      </w:pPr>
      <w:r w:rsidRPr="009B05E0">
        <w:rPr>
          <w:i/>
          <w:sz w:val="22"/>
          <w:szCs w:val="22"/>
        </w:rPr>
        <w:t>(1B)  If:</w:t>
      </w:r>
    </w:p>
    <w:p w:rsidR="00BC1922" w:rsidRPr="009B05E0" w:rsidRDefault="00BC1922" w:rsidP="009B05E0">
      <w:pPr>
        <w:pStyle w:val="ListNumber3"/>
        <w:numPr>
          <w:ilvl w:val="4"/>
          <w:numId w:val="47"/>
        </w:numPr>
        <w:rPr>
          <w:i/>
          <w:sz w:val="22"/>
          <w:szCs w:val="22"/>
        </w:rPr>
      </w:pPr>
      <w:r w:rsidRPr="009B05E0">
        <w:rPr>
          <w:i/>
          <w:sz w:val="22"/>
          <w:szCs w:val="22"/>
        </w:rPr>
        <w:t>an application contains a statement under paragraph(1)(c); and</w:t>
      </w:r>
    </w:p>
    <w:p w:rsidR="00BC1922" w:rsidRPr="009B05E0" w:rsidRDefault="00BC1922" w:rsidP="009B05E0">
      <w:pPr>
        <w:pStyle w:val="ListNumber3"/>
        <w:numPr>
          <w:ilvl w:val="4"/>
          <w:numId w:val="47"/>
        </w:numPr>
        <w:rPr>
          <w:i/>
          <w:sz w:val="22"/>
          <w:szCs w:val="22"/>
        </w:rPr>
      </w:pPr>
      <w:r w:rsidRPr="009B05E0">
        <w:rPr>
          <w:i/>
          <w:sz w:val="22"/>
          <w:szCs w:val="22"/>
        </w:rPr>
        <w:t>the Tribunal is of the opinion that the statement is not sufficient to enable the Tribunal to readily identify the respects in which the applicant believes that the decision is not the correct or preferable decision;</w:t>
      </w:r>
    </w:p>
    <w:p w:rsidR="00BC1922" w:rsidRPr="009B05E0" w:rsidRDefault="00BC1922" w:rsidP="00BC1922">
      <w:pPr>
        <w:pStyle w:val="ListNumber2"/>
        <w:numPr>
          <w:ilvl w:val="0"/>
          <w:numId w:val="0"/>
        </w:numPr>
        <w:ind w:left="709"/>
        <w:rPr>
          <w:i/>
          <w:sz w:val="22"/>
          <w:szCs w:val="22"/>
        </w:rPr>
      </w:pPr>
      <w:proofErr w:type="gramStart"/>
      <w:r w:rsidRPr="009B05E0">
        <w:rPr>
          <w:i/>
          <w:sz w:val="22"/>
          <w:szCs w:val="22"/>
        </w:rPr>
        <w:t>the</w:t>
      </w:r>
      <w:proofErr w:type="gramEnd"/>
      <w:r w:rsidR="001D2159" w:rsidRPr="009B05E0">
        <w:rPr>
          <w:i/>
          <w:sz w:val="22"/>
          <w:szCs w:val="22"/>
        </w:rPr>
        <w:t xml:space="preserve"> </w:t>
      </w:r>
      <w:r w:rsidRPr="009B05E0">
        <w:rPr>
          <w:i/>
          <w:sz w:val="22"/>
          <w:szCs w:val="22"/>
        </w:rPr>
        <w:t>Tribunal may, by notice given to the applicant, request the applicant to amend</w:t>
      </w:r>
      <w:r w:rsidRPr="009B05E0">
        <w:rPr>
          <w:i/>
          <w:sz w:val="22"/>
          <w:szCs w:val="22"/>
        </w:rPr>
        <w:tab/>
        <w:t xml:space="preserve"> the statement, within the period specified in the notice, so that the statement is sufficient to enable the Tribunal to readily identify the respects in which the applicant believes that the decision is not the correct or preferable decision.</w:t>
      </w:r>
    </w:p>
    <w:p w:rsidR="006A47BD" w:rsidRDefault="006A47BD" w:rsidP="006A47BD">
      <w:pPr>
        <w:pStyle w:val="Heading1"/>
      </w:pPr>
      <w:r>
        <w:t>the issue</w:t>
      </w:r>
    </w:p>
    <w:p w:rsidR="006A47BD" w:rsidRPr="006A47BD" w:rsidRDefault="006A47BD" w:rsidP="006A47BD">
      <w:pPr>
        <w:pStyle w:val="ListNumber"/>
        <w:rPr>
          <w:lang w:eastAsia="en-AU"/>
        </w:rPr>
      </w:pPr>
      <w:r>
        <w:rPr>
          <w:lang w:eastAsia="en-AU"/>
        </w:rPr>
        <w:t>The issue fo</w:t>
      </w:r>
      <w:r w:rsidR="001D2159">
        <w:rPr>
          <w:lang w:eastAsia="en-AU"/>
        </w:rPr>
        <w:t>r determination is whether the T</w:t>
      </w:r>
      <w:r>
        <w:rPr>
          <w:lang w:eastAsia="en-AU"/>
        </w:rPr>
        <w:t xml:space="preserve">ribunal has jurisdiction to determine an application in which the reasons for the application are </w:t>
      </w:r>
      <w:r w:rsidR="009B05E0">
        <w:rPr>
          <w:lang w:eastAsia="en-AU"/>
        </w:rPr>
        <w:t xml:space="preserve">merely </w:t>
      </w:r>
      <w:r>
        <w:rPr>
          <w:lang w:eastAsia="en-AU"/>
        </w:rPr>
        <w:t xml:space="preserve">stated to be that the decision sought to be reviewed </w:t>
      </w:r>
      <w:r>
        <w:rPr>
          <w:i/>
          <w:lang w:eastAsia="en-AU"/>
        </w:rPr>
        <w:t>“is not the correct and preferable decision.”</w:t>
      </w:r>
    </w:p>
    <w:p w:rsidR="006A47BD" w:rsidRDefault="006A47BD" w:rsidP="006A47BD">
      <w:pPr>
        <w:pStyle w:val="Heading1"/>
      </w:pPr>
      <w:r>
        <w:t>the respondent’s argument</w:t>
      </w:r>
    </w:p>
    <w:p w:rsidR="009B05E0" w:rsidRDefault="00257247" w:rsidP="006A47BD">
      <w:pPr>
        <w:pStyle w:val="ListNumber"/>
        <w:rPr>
          <w:lang w:eastAsia="en-AU"/>
        </w:rPr>
      </w:pPr>
      <w:r>
        <w:rPr>
          <w:lang w:eastAsia="en-AU"/>
        </w:rPr>
        <w:t xml:space="preserve">The Respondent argues that </w:t>
      </w:r>
      <w:r w:rsidRPr="00257247">
        <w:rPr>
          <w:i/>
          <w:lang w:eastAsia="en-AU"/>
        </w:rPr>
        <w:t xml:space="preserve">“the use of “must” is indicative of an imperative command, either positive or negative, depending upon the word or words which follow it in the relevant statutory provision. </w:t>
      </w:r>
      <w:r>
        <w:rPr>
          <w:i/>
          <w:lang w:eastAsia="en-AU"/>
        </w:rPr>
        <w:t>It</w:t>
      </w:r>
      <w:r w:rsidRPr="00257247">
        <w:rPr>
          <w:i/>
          <w:lang w:eastAsia="en-AU"/>
        </w:rPr>
        <w:t xml:space="preserve"> expresses necessity in the sense of an obligation or requirement.</w:t>
      </w:r>
      <w:r>
        <w:rPr>
          <w:i/>
          <w:lang w:eastAsia="en-AU"/>
        </w:rPr>
        <w:t>”</w:t>
      </w:r>
      <w:r>
        <w:rPr>
          <w:lang w:eastAsia="en-AU"/>
        </w:rPr>
        <w:t xml:space="preserve">   In support of this proposition he referred me to </w:t>
      </w:r>
      <w:r>
        <w:rPr>
          <w:i/>
          <w:lang w:eastAsia="en-AU"/>
        </w:rPr>
        <w:t>Posner v Collector for Inter-State Destitute Persons (Vic)</w:t>
      </w:r>
      <w:r>
        <w:rPr>
          <w:rStyle w:val="FootnoteReference"/>
          <w:i/>
          <w:lang w:eastAsia="en-AU"/>
        </w:rPr>
        <w:footnoteReference w:id="1"/>
      </w:r>
      <w:r>
        <w:rPr>
          <w:lang w:eastAsia="en-AU"/>
        </w:rPr>
        <w:t xml:space="preserve"> in which Williams J. </w:t>
      </w:r>
      <w:r w:rsidR="00714DAE">
        <w:rPr>
          <w:lang w:eastAsia="en-AU"/>
        </w:rPr>
        <w:t>s</w:t>
      </w:r>
      <w:r>
        <w:rPr>
          <w:lang w:eastAsia="en-AU"/>
        </w:rPr>
        <w:t>tated that</w:t>
      </w:r>
      <w:r w:rsidR="009B05E0">
        <w:rPr>
          <w:lang w:eastAsia="en-AU"/>
        </w:rPr>
        <w:t>:</w:t>
      </w:r>
      <w:r>
        <w:rPr>
          <w:lang w:eastAsia="en-AU"/>
        </w:rPr>
        <w:t xml:space="preserve"> </w:t>
      </w:r>
    </w:p>
    <w:p w:rsidR="006A47BD" w:rsidRPr="00714DAE" w:rsidRDefault="00257247" w:rsidP="00653743">
      <w:pPr>
        <w:pStyle w:val="Quote"/>
      </w:pPr>
      <w:r>
        <w:t>“’Must’ is a word of absolute obligation and occurs in a section which is concerned with a fundamental principle of justice. It is not merely directory.</w:t>
      </w:r>
      <w:r w:rsidR="00714DAE">
        <w:t xml:space="preserve"> …… I adhere to what I said in Cameron v. Cole [(1944) 68 CLR 571, at p.604] that ‘where (as in the present case) service of a particular nature is required to give an inferior court jurisdiction, failure to effect such service will make all the subsequent proceedings null and void.’</w:t>
      </w:r>
      <w:r>
        <w:t>”</w:t>
      </w:r>
    </w:p>
    <w:p w:rsidR="00714DAE" w:rsidRDefault="00714DAE" w:rsidP="006A47BD">
      <w:pPr>
        <w:pStyle w:val="ListNumber"/>
        <w:rPr>
          <w:lang w:eastAsia="en-AU"/>
        </w:rPr>
      </w:pPr>
      <w:r>
        <w:rPr>
          <w:lang w:eastAsia="en-AU"/>
        </w:rPr>
        <w:t xml:space="preserve">In </w:t>
      </w:r>
      <w:r>
        <w:rPr>
          <w:i/>
          <w:lang w:eastAsia="en-AU"/>
        </w:rPr>
        <w:t xml:space="preserve">Chun Wang v. </w:t>
      </w:r>
      <w:r w:rsidR="00B648E9">
        <w:rPr>
          <w:i/>
          <w:lang w:eastAsia="en-AU"/>
        </w:rPr>
        <w:t>Minister for Immigration a</w:t>
      </w:r>
      <w:r w:rsidR="00086201">
        <w:rPr>
          <w:i/>
          <w:lang w:eastAsia="en-AU"/>
        </w:rPr>
        <w:t>nd Multicultural Affairs</w:t>
      </w:r>
      <w:r w:rsidR="009B05E0">
        <w:rPr>
          <w:lang w:eastAsia="en-AU"/>
        </w:rPr>
        <w:t>,</w:t>
      </w:r>
      <w:r w:rsidR="00086201">
        <w:rPr>
          <w:rStyle w:val="FootnoteReference"/>
          <w:i/>
          <w:lang w:eastAsia="en-AU"/>
        </w:rPr>
        <w:footnoteReference w:id="2"/>
      </w:r>
      <w:r w:rsidR="00086201">
        <w:rPr>
          <w:i/>
          <w:lang w:eastAsia="en-AU"/>
        </w:rPr>
        <w:t xml:space="preserve"> </w:t>
      </w:r>
      <w:r w:rsidR="00086201">
        <w:rPr>
          <w:lang w:eastAsia="en-AU"/>
        </w:rPr>
        <w:t xml:space="preserve">Merkel J. referred to the judgement in </w:t>
      </w:r>
      <w:r w:rsidR="00086201">
        <w:rPr>
          <w:i/>
          <w:lang w:eastAsia="en-AU"/>
        </w:rPr>
        <w:t xml:space="preserve">Posner </w:t>
      </w:r>
      <w:r w:rsidR="00086201">
        <w:rPr>
          <w:lang w:eastAsia="en-AU"/>
        </w:rPr>
        <w:t xml:space="preserve"> and said:</w:t>
      </w:r>
    </w:p>
    <w:p w:rsidR="00086201" w:rsidRDefault="00086201" w:rsidP="00086201">
      <w:pPr>
        <w:pStyle w:val="Quote"/>
      </w:pPr>
      <w:r>
        <w:t>In my view the use of the word ’must’ in</w:t>
      </w:r>
      <w:r w:rsidR="009B05E0">
        <w:t xml:space="preserve"> </w:t>
      </w:r>
      <w:r>
        <w:t>s 478(1)(b) and (2), in relation to the 28 day time limit, is not merely directory but ‘is a word of absolute obligation’. … Such an interpretation also accords with the principle that enactments requiring that a specified procedure be followed in courts are usually mandatory and not merely directory …</w:t>
      </w:r>
    </w:p>
    <w:p w:rsidR="00086201" w:rsidRDefault="00086201" w:rsidP="00086201">
      <w:pPr>
        <w:pStyle w:val="ListNumber"/>
      </w:pPr>
      <w:r>
        <w:t xml:space="preserve">The Respondent also referred me to the Hearing Rule which he argues requires a party to be given prior notice, disclosure and an opportunity to comment: Lockhart J. in </w:t>
      </w:r>
      <w:r>
        <w:rPr>
          <w:i/>
        </w:rPr>
        <w:t>Ansell v. Wells</w:t>
      </w:r>
      <w:r w:rsidR="006B0ADB">
        <w:t>.</w:t>
      </w:r>
      <w:r w:rsidR="006B0ADB">
        <w:rPr>
          <w:rStyle w:val="FootnoteReference"/>
        </w:rPr>
        <w:footnoteReference w:id="3"/>
      </w:r>
    </w:p>
    <w:p w:rsidR="008B3763" w:rsidRDefault="008B3763" w:rsidP="008B3763">
      <w:pPr>
        <w:pStyle w:val="Heading1"/>
      </w:pPr>
      <w:r>
        <w:t>CONSIDERATION</w:t>
      </w:r>
    </w:p>
    <w:p w:rsidR="008B3763" w:rsidRDefault="008248D7" w:rsidP="008B3763">
      <w:pPr>
        <w:pStyle w:val="ListNumber"/>
        <w:rPr>
          <w:lang w:eastAsia="en-AU"/>
        </w:rPr>
      </w:pPr>
      <w:r>
        <w:rPr>
          <w:lang w:eastAsia="en-AU"/>
        </w:rPr>
        <w:t>The issue raised in this application was</w:t>
      </w:r>
      <w:r w:rsidR="009B3531">
        <w:rPr>
          <w:lang w:eastAsia="en-AU"/>
        </w:rPr>
        <w:t xml:space="preserve"> given detailed</w:t>
      </w:r>
      <w:r>
        <w:rPr>
          <w:lang w:eastAsia="en-AU"/>
        </w:rPr>
        <w:t xml:space="preserve"> consider</w:t>
      </w:r>
      <w:r w:rsidR="001D2159">
        <w:rPr>
          <w:lang w:eastAsia="en-AU"/>
        </w:rPr>
        <w:t>ation</w:t>
      </w:r>
      <w:r w:rsidR="009B3531">
        <w:rPr>
          <w:lang w:eastAsia="en-AU"/>
        </w:rPr>
        <w:t xml:space="preserve"> by the Tribunal</w:t>
      </w:r>
      <w:r>
        <w:rPr>
          <w:lang w:eastAsia="en-AU"/>
        </w:rPr>
        <w:t xml:space="preserve"> in </w:t>
      </w:r>
      <w:proofErr w:type="spellStart"/>
      <w:r w:rsidR="009B3531">
        <w:rPr>
          <w:i/>
          <w:lang w:eastAsia="en-AU"/>
        </w:rPr>
        <w:t>Beiruti</w:t>
      </w:r>
      <w:proofErr w:type="spellEnd"/>
      <w:r w:rsidR="009B3531">
        <w:rPr>
          <w:i/>
          <w:lang w:eastAsia="en-AU"/>
        </w:rPr>
        <w:t xml:space="preserve"> and Commissioner of Taxation</w:t>
      </w:r>
      <w:r w:rsidR="009B3531">
        <w:rPr>
          <w:rStyle w:val="FootnoteReference"/>
          <w:i/>
          <w:lang w:eastAsia="en-AU"/>
        </w:rPr>
        <w:footnoteReference w:id="4"/>
      </w:r>
      <w:r w:rsidR="009B3531">
        <w:rPr>
          <w:i/>
          <w:lang w:eastAsia="en-AU"/>
        </w:rPr>
        <w:t xml:space="preserve">. </w:t>
      </w:r>
      <w:r w:rsidR="009B3531">
        <w:rPr>
          <w:lang w:eastAsia="en-AU"/>
        </w:rPr>
        <w:t>In that matter Deputy President Forgie considered the legislative history of section 29 which is instructive as to the meaning intended by Parliament when</w:t>
      </w:r>
      <w:r w:rsidR="001D2159">
        <w:rPr>
          <w:lang w:eastAsia="en-AU"/>
        </w:rPr>
        <w:t xml:space="preserve"> the</w:t>
      </w:r>
      <w:r w:rsidR="009B3531">
        <w:rPr>
          <w:lang w:eastAsia="en-AU"/>
        </w:rPr>
        <w:t xml:space="preserve"> section was amended to its present form.</w:t>
      </w:r>
    </w:p>
    <w:p w:rsidR="009B3531" w:rsidRDefault="009B3531" w:rsidP="008B3763">
      <w:pPr>
        <w:pStyle w:val="ListNumber"/>
        <w:rPr>
          <w:lang w:eastAsia="en-AU"/>
        </w:rPr>
      </w:pPr>
      <w:r>
        <w:rPr>
          <w:lang w:eastAsia="en-AU"/>
        </w:rPr>
        <w:t>Deputy President Forgie concluded:</w:t>
      </w:r>
    </w:p>
    <w:p w:rsidR="009B3531" w:rsidRPr="009B05E0" w:rsidRDefault="004B290E" w:rsidP="009B05E0">
      <w:pPr>
        <w:pStyle w:val="Quote"/>
        <w:ind w:left="1276" w:hanging="567"/>
        <w:rPr>
          <w:szCs w:val="22"/>
        </w:rPr>
      </w:pPr>
      <w:r w:rsidRPr="009B05E0">
        <w:rPr>
          <w:szCs w:val="22"/>
        </w:rPr>
        <w:t>65.</w:t>
      </w:r>
      <w:r w:rsidRPr="009B05E0">
        <w:rPr>
          <w:szCs w:val="22"/>
        </w:rPr>
        <w:tab/>
        <w:t>W</w:t>
      </w:r>
      <w:r w:rsidR="009B3531" w:rsidRPr="009B05E0">
        <w:rPr>
          <w:szCs w:val="22"/>
        </w:rPr>
        <w:t>hen it is understood that a statement of reasons has a limited role in the course of an applications proceeding to resolution, when it is seen that’s 29(1B) contemplates an application without a statement, it seems to me that Parliament has chosen to use the word “must”, rather than “shall</w:t>
      </w:r>
      <w:r w:rsidRPr="009B05E0">
        <w:rPr>
          <w:szCs w:val="22"/>
        </w:rPr>
        <w:t>”</w:t>
      </w:r>
      <w:r w:rsidR="009B3531" w:rsidRPr="009B05E0">
        <w:rPr>
          <w:szCs w:val="22"/>
        </w:rPr>
        <w:t xml:space="preserve"> to frame a provision that is exhortatory rather than mandatory. It is a provision in the nature of s 2A of the AAT Act which also uses the word “must”</w:t>
      </w:r>
      <w:r w:rsidRPr="009B05E0">
        <w:rPr>
          <w:szCs w:val="22"/>
        </w:rPr>
        <w:t xml:space="preserve"> rather than “shall” when it provides:</w:t>
      </w:r>
    </w:p>
    <w:p w:rsidR="004B290E" w:rsidRPr="009B05E0" w:rsidRDefault="004B290E" w:rsidP="006B0ADB">
      <w:pPr>
        <w:pStyle w:val="Quote2"/>
        <w:ind w:left="1440"/>
        <w:rPr>
          <w:sz w:val="20"/>
        </w:rPr>
      </w:pPr>
      <w:r w:rsidRPr="009B05E0">
        <w:rPr>
          <w:sz w:val="20"/>
        </w:rPr>
        <w:t>“In carrying out its functions, the Tribunal must pursue the objective of providing a mechanism of review that is fair, just, economic or, informal and quick.”</w:t>
      </w:r>
    </w:p>
    <w:p w:rsidR="008B0A78" w:rsidRPr="009B05E0" w:rsidRDefault="008B0A78" w:rsidP="006B0ADB">
      <w:pPr>
        <w:pStyle w:val="Quote"/>
        <w:rPr>
          <w:szCs w:val="22"/>
        </w:rPr>
      </w:pPr>
      <w:r w:rsidRPr="009B05E0">
        <w:rPr>
          <w:szCs w:val="22"/>
        </w:rPr>
        <w:t xml:space="preserve"> </w:t>
      </w:r>
    </w:p>
    <w:p w:rsidR="00391759" w:rsidRPr="009B05E0" w:rsidRDefault="004B290E" w:rsidP="00653743">
      <w:pPr>
        <w:spacing w:before="120" w:line="240" w:lineRule="auto"/>
        <w:ind w:left="1276" w:hanging="556"/>
        <w:rPr>
          <w:i/>
          <w:sz w:val="22"/>
          <w:szCs w:val="22"/>
        </w:rPr>
      </w:pPr>
      <w:r w:rsidRPr="009B05E0">
        <w:rPr>
          <w:i/>
          <w:sz w:val="22"/>
          <w:szCs w:val="22"/>
        </w:rPr>
        <w:t>66.</w:t>
      </w:r>
      <w:r w:rsidRPr="009B05E0">
        <w:rPr>
          <w:i/>
          <w:sz w:val="22"/>
          <w:szCs w:val="22"/>
        </w:rPr>
        <w:tab/>
        <w:t>Provisions of the sort found in</w:t>
      </w:r>
      <w:r w:rsidR="00321DE1" w:rsidRPr="009B05E0">
        <w:rPr>
          <w:i/>
          <w:sz w:val="22"/>
          <w:szCs w:val="22"/>
        </w:rPr>
        <w:t xml:space="preserve"> </w:t>
      </w:r>
      <w:r w:rsidRPr="009B05E0">
        <w:rPr>
          <w:i/>
          <w:sz w:val="22"/>
          <w:szCs w:val="22"/>
        </w:rPr>
        <w:t>s 2A have been described as “general exhortatory provisions” and are intended to be facul</w:t>
      </w:r>
      <w:r w:rsidR="009B05E0">
        <w:rPr>
          <w:i/>
          <w:sz w:val="22"/>
          <w:szCs w:val="22"/>
        </w:rPr>
        <w:t>t</w:t>
      </w:r>
      <w:r w:rsidRPr="009B05E0">
        <w:rPr>
          <w:i/>
          <w:sz w:val="22"/>
          <w:szCs w:val="22"/>
        </w:rPr>
        <w:t>ative and not restrictive. Just as the 5 qualities that the Tribunal is exhorted to aspire to by s 2A may be difficult for that Tribunal to achieve simultaneously, it seems to me that s 29 (1B) recognises that those who come to the Tribunal may not always be able to express their reasons in their application. Therefore, to read the requirements in</w:t>
      </w:r>
      <w:r w:rsidR="009B05E0">
        <w:rPr>
          <w:i/>
          <w:sz w:val="22"/>
          <w:szCs w:val="22"/>
        </w:rPr>
        <w:t xml:space="preserve"> </w:t>
      </w:r>
      <w:r w:rsidRPr="009B05E0">
        <w:rPr>
          <w:i/>
          <w:sz w:val="22"/>
          <w:szCs w:val="22"/>
        </w:rPr>
        <w:t>s 29(1</w:t>
      </w:r>
      <w:proofErr w:type="gramStart"/>
      <w:r w:rsidRPr="009B05E0">
        <w:rPr>
          <w:i/>
          <w:sz w:val="22"/>
          <w:szCs w:val="22"/>
        </w:rPr>
        <w:t>)(</w:t>
      </w:r>
      <w:proofErr w:type="gramEnd"/>
      <w:r w:rsidRPr="009B05E0">
        <w:rPr>
          <w:i/>
          <w:sz w:val="22"/>
          <w:szCs w:val="22"/>
        </w:rPr>
        <w:t xml:space="preserve">c) as anything more than exhortatory would be to disadvantage persons who find themselves in that category. It would be inconsistent with the exhortation that the Tribunal provide a mechanism a review that is economical, informal and quick for it would tend to lead to the introduction of further administrative processes. In many instances, the fact the application has been made at all will be a good indication of the reasons for its being made. In others, there will be no delay caused by the absence of reasons for they can be explored at the </w:t>
      </w:r>
      <w:r w:rsidR="009B05E0">
        <w:rPr>
          <w:i/>
          <w:sz w:val="22"/>
          <w:szCs w:val="22"/>
        </w:rPr>
        <w:t>first</w:t>
      </w:r>
      <w:r w:rsidR="009B05E0" w:rsidRPr="009B05E0">
        <w:rPr>
          <w:i/>
          <w:sz w:val="22"/>
          <w:szCs w:val="22"/>
        </w:rPr>
        <w:t xml:space="preserve"> </w:t>
      </w:r>
      <w:r w:rsidRPr="009B05E0">
        <w:rPr>
          <w:i/>
          <w:sz w:val="22"/>
          <w:szCs w:val="22"/>
        </w:rPr>
        <w:t>conference in the Tribunal. If there is any need to tease out the reasons before that, resort can be had to the power in</w:t>
      </w:r>
      <w:r w:rsidR="009B05E0">
        <w:rPr>
          <w:i/>
          <w:sz w:val="22"/>
          <w:szCs w:val="22"/>
        </w:rPr>
        <w:t xml:space="preserve"> </w:t>
      </w:r>
      <w:r w:rsidRPr="009B05E0">
        <w:rPr>
          <w:i/>
          <w:sz w:val="22"/>
          <w:szCs w:val="22"/>
        </w:rPr>
        <w:t>s 29(1B) of the AAT Act.</w:t>
      </w:r>
      <w:r w:rsidR="006B0ADB">
        <w:rPr>
          <w:rStyle w:val="FootnoteReference"/>
          <w:i/>
          <w:sz w:val="22"/>
          <w:szCs w:val="22"/>
        </w:rPr>
        <w:footnoteReference w:id="5"/>
      </w:r>
    </w:p>
    <w:p w:rsidR="004B290E" w:rsidRDefault="00321DE1" w:rsidP="00A00328">
      <w:pPr>
        <w:pStyle w:val="ListNumber"/>
      </w:pPr>
      <w:r>
        <w:t>I agree entirely with the reasoning of Deputy President Forgie and respectfully adopt those reasons in deciding that the Tribunal does have jurisdiction to determine the application made by the Department.</w:t>
      </w:r>
    </w:p>
    <w:p w:rsidR="00321DE1" w:rsidRDefault="00321DE1" w:rsidP="00A00328">
      <w:pPr>
        <w:pStyle w:val="ListNumber"/>
      </w:pPr>
      <w:r>
        <w:t xml:space="preserve">It should be noted that in the application before Deputy President Forgie, Mr </w:t>
      </w:r>
      <w:proofErr w:type="spellStart"/>
      <w:r>
        <w:t>Beiruti</w:t>
      </w:r>
      <w:proofErr w:type="spellEnd"/>
      <w:r>
        <w:t xml:space="preserve"> did not set out any reasons for his application at the time it was </w:t>
      </w:r>
      <w:r w:rsidR="001D2159">
        <w:t>made</w:t>
      </w:r>
      <w:r>
        <w:t xml:space="preserve"> by his </w:t>
      </w:r>
      <w:r w:rsidR="009B05E0">
        <w:t>representatives</w:t>
      </w:r>
      <w:r>
        <w:t xml:space="preserve">.  The application was made in the form of a letter.  The following day the </w:t>
      </w:r>
      <w:r w:rsidR="009B05E0">
        <w:t xml:space="preserve">representatives </w:t>
      </w:r>
      <w:r>
        <w:t>lodged an application in the form set out in the Regulations made under the AAT Act.  This document included a statement of reasons.</w:t>
      </w:r>
    </w:p>
    <w:p w:rsidR="00321DE1" w:rsidRDefault="00321DE1" w:rsidP="00A00328">
      <w:pPr>
        <w:pStyle w:val="ListNumber"/>
      </w:pPr>
      <w:r>
        <w:t>In the present application</w:t>
      </w:r>
      <w:r w:rsidR="009B05E0">
        <w:t>,</w:t>
      </w:r>
      <w:r>
        <w:t xml:space="preserve"> there was a very brief statement which purport</w:t>
      </w:r>
      <w:r w:rsidR="001D2159">
        <w:t>s</w:t>
      </w:r>
      <w:r>
        <w:t xml:space="preserve"> to be a statement of reason</w:t>
      </w:r>
      <w:r w:rsidR="00EA5ED7">
        <w:t xml:space="preserve">s for the application.  Certainly it </w:t>
      </w:r>
      <w:r w:rsidR="001D2159">
        <w:t>is</w:t>
      </w:r>
      <w:r w:rsidR="00EA5ED7">
        <w:t xml:space="preserve"> uninformative.  However within </w:t>
      </w:r>
      <w:r w:rsidR="009B05E0">
        <w:t xml:space="preserve">three </w:t>
      </w:r>
      <w:r w:rsidR="00EA5ED7">
        <w:t>working days of the Respondent raising his concerns as to the lack of information</w:t>
      </w:r>
      <w:r w:rsidR="009B05E0">
        <w:t>,</w:t>
      </w:r>
      <w:r w:rsidR="00EA5ED7">
        <w:t xml:space="preserve"> the Department provided a Statement of Issues which set out the reasons it considered the Commissioner</w:t>
      </w:r>
      <w:r w:rsidR="009B05E0">
        <w:t>’</w:t>
      </w:r>
      <w:r w:rsidR="00EA5ED7">
        <w:t>s decision was incorrect.  I am satisfied that this document</w:t>
      </w:r>
      <w:r w:rsidR="007A18EF">
        <w:t>,</w:t>
      </w:r>
      <w:r w:rsidR="00EA5ED7">
        <w:t xml:space="preserve"> read in conjunction with the Commissioner’s reasons</w:t>
      </w:r>
      <w:r w:rsidR="007A18EF">
        <w:t>,</w:t>
      </w:r>
      <w:r w:rsidR="00EA5ED7">
        <w:t xml:space="preserve"> provide</w:t>
      </w:r>
      <w:r w:rsidR="001D2159">
        <w:t>s</w:t>
      </w:r>
      <w:r w:rsidR="00EA5ED7">
        <w:t xml:space="preserve"> the Respondent </w:t>
      </w:r>
      <w:r w:rsidR="007A18EF">
        <w:t>with adequate information to enable him to properly prepare for the next stage of the</w:t>
      </w:r>
      <w:r w:rsidR="001D2159">
        <w:t>se</w:t>
      </w:r>
      <w:r w:rsidR="007A18EF">
        <w:t xml:space="preserve"> proceedings.</w:t>
      </w:r>
    </w:p>
    <w:p w:rsidR="007A18EF" w:rsidRDefault="0050250F" w:rsidP="00A00328">
      <w:pPr>
        <w:pStyle w:val="ListNumber"/>
      </w:pPr>
      <w:r>
        <w:t>Whilst it is less than ideal</w:t>
      </w:r>
      <w:r w:rsidR="005F4DBA">
        <w:t>,</w:t>
      </w:r>
      <w:r>
        <w:t xml:space="preserve"> the practice of the </w:t>
      </w:r>
      <w:r w:rsidR="005F4DBA">
        <w:t>T</w:t>
      </w:r>
      <w:r>
        <w:t>ribunal has always been to accept</w:t>
      </w:r>
      <w:r w:rsidR="005F4DBA">
        <w:t xml:space="preserve"> applications which contain statements of reasons such as </w:t>
      </w:r>
      <w:r w:rsidR="005F4DBA">
        <w:rPr>
          <w:i/>
        </w:rPr>
        <w:t xml:space="preserve">“…the decision is wrong” </w:t>
      </w:r>
      <w:r w:rsidR="005F4DBA">
        <w:t xml:space="preserve">and </w:t>
      </w:r>
      <w:r w:rsidR="005F4DBA">
        <w:rPr>
          <w:i/>
        </w:rPr>
        <w:t xml:space="preserve">“… the decision is contrary to law”.  </w:t>
      </w:r>
      <w:r w:rsidR="005F4DBA">
        <w:t>To do otherwise would result in many applications</w:t>
      </w:r>
      <w:r w:rsidR="001D2159">
        <w:t>,</w:t>
      </w:r>
      <w:r w:rsidR="005F4DBA">
        <w:t xml:space="preserve"> </w:t>
      </w:r>
      <w:r w:rsidR="001D2159">
        <w:t>made</w:t>
      </w:r>
      <w:r w:rsidR="005F4DBA">
        <w:t xml:space="preserve"> by both legally represented applicants and unrepresented applicants</w:t>
      </w:r>
      <w:r w:rsidR="001D2159">
        <w:t>,</w:t>
      </w:r>
      <w:r w:rsidR="005F4DBA">
        <w:t xml:space="preserve"> being rejected on the basis that the Tribunal would not have jurisdiction to hear those applications.  This would be an unduly formal approach and would cause delay and unnecessary expense</w:t>
      </w:r>
      <w:r w:rsidR="00653743">
        <w:t xml:space="preserve">, making it difficult for applicants, and particularly unrepresented applicants, to access the review process provided by the Tribunal. </w:t>
      </w:r>
      <w:r w:rsidR="005F4DBA">
        <w:t>There are many steps which are taken by the Tribunal once an application is received to ensure that a respondent is treated fairly and is afforded a proper hearing at all times.</w:t>
      </w:r>
    </w:p>
    <w:p w:rsidR="00557723" w:rsidRDefault="00557723" w:rsidP="00A00328">
      <w:pPr>
        <w:pStyle w:val="ListNumber"/>
      </w:pPr>
      <w:r>
        <w:t xml:space="preserve">I have considered the judgments to which I have referred along with additional authorities to which </w:t>
      </w:r>
      <w:r w:rsidR="009B05E0">
        <w:t xml:space="preserve">the Respondent </w:t>
      </w:r>
      <w:r>
        <w:t>referred in his written submission and during argument.  I do not consider that any of these authorities cause me to reach a conclusion other than that which I have.</w:t>
      </w:r>
    </w:p>
    <w:p w:rsidR="00D008F9" w:rsidRDefault="00D008F9" w:rsidP="00D008F9">
      <w:pPr>
        <w:pStyle w:val="ListNumber"/>
      </w:pPr>
      <w:r>
        <w:t xml:space="preserve">I note that in </w:t>
      </w:r>
      <w:r>
        <w:rPr>
          <w:i/>
        </w:rPr>
        <w:t xml:space="preserve">Posner </w:t>
      </w:r>
      <w:r>
        <w:t xml:space="preserve">and in </w:t>
      </w:r>
      <w:r>
        <w:rPr>
          <w:i/>
        </w:rPr>
        <w:t xml:space="preserve">Wang </w:t>
      </w:r>
      <w:r>
        <w:t xml:space="preserve">the Courts were considering the processes which commence court proceedings.  As Deputy President Forgie set out, these principles do not necessarily guide the way in which this </w:t>
      </w:r>
      <w:r w:rsidR="001D2159">
        <w:t>T</w:t>
      </w:r>
      <w:r>
        <w:t>ribunal should deal with an application made to it.  Further</w:t>
      </w:r>
      <w:r w:rsidR="009B05E0">
        <w:t>,</w:t>
      </w:r>
      <w:r>
        <w:t xml:space="preserve"> it is to be noted that Williams J. delivered a dissenting judgement in </w:t>
      </w:r>
      <w:r>
        <w:rPr>
          <w:i/>
        </w:rPr>
        <w:t xml:space="preserve">Posner.  </w:t>
      </w:r>
      <w:r>
        <w:t>The majority judgement of the High Court was that the fact that a defendant had not been served with a summons in proceedings in a St</w:t>
      </w:r>
      <w:r w:rsidR="008A5E3C">
        <w:t xml:space="preserve">ate court did not render those </w:t>
      </w:r>
      <w:r>
        <w:t>proceeding</w:t>
      </w:r>
      <w:r w:rsidR="008A5E3C">
        <w:t>s</w:t>
      </w:r>
      <w:r>
        <w:t xml:space="preserve"> null and void.</w:t>
      </w:r>
    </w:p>
    <w:p w:rsidR="00D008F9" w:rsidRDefault="00D008F9" w:rsidP="00D008F9">
      <w:pPr>
        <w:pStyle w:val="Heading1"/>
      </w:pPr>
      <w:r>
        <w:t>conclusion</w:t>
      </w:r>
    </w:p>
    <w:p w:rsidR="006B0ADB" w:rsidRDefault="00D008F9" w:rsidP="006B0ADB">
      <w:pPr>
        <w:pStyle w:val="ListNumber"/>
        <w:rPr>
          <w:lang w:eastAsia="en-AU"/>
        </w:rPr>
      </w:pPr>
      <w:r>
        <w:rPr>
          <w:lang w:eastAsia="en-AU"/>
        </w:rPr>
        <w:t xml:space="preserve">The </w:t>
      </w:r>
      <w:r w:rsidR="001D2159">
        <w:rPr>
          <w:lang w:eastAsia="en-AU"/>
        </w:rPr>
        <w:t>T</w:t>
      </w:r>
      <w:r>
        <w:rPr>
          <w:lang w:eastAsia="en-AU"/>
        </w:rPr>
        <w:t xml:space="preserve">ribunal has jurisdiction to hear and determine the application of the Department of Human Services </w:t>
      </w:r>
      <w:r w:rsidR="00583E89">
        <w:rPr>
          <w:lang w:eastAsia="en-AU"/>
        </w:rPr>
        <w:t xml:space="preserve">made </w:t>
      </w:r>
      <w:r w:rsidR="001D2159">
        <w:rPr>
          <w:lang w:eastAsia="en-AU"/>
        </w:rPr>
        <w:t>to</w:t>
      </w:r>
      <w:r w:rsidR="00583E89">
        <w:rPr>
          <w:lang w:eastAsia="en-AU"/>
        </w:rPr>
        <w:t xml:space="preserve"> the </w:t>
      </w:r>
      <w:r w:rsidR="001D2159">
        <w:rPr>
          <w:lang w:eastAsia="en-AU"/>
        </w:rPr>
        <w:t>T</w:t>
      </w:r>
      <w:r w:rsidR="00583E89">
        <w:rPr>
          <w:lang w:eastAsia="en-AU"/>
        </w:rPr>
        <w:t>ribunal on 10 December 2014.</w:t>
      </w:r>
      <w:r>
        <w:rPr>
          <w:lang w:eastAsia="en-AU"/>
        </w:rPr>
        <w:t xml:space="preserve"> </w:t>
      </w:r>
    </w:p>
    <w:p w:rsidR="006B0ADB" w:rsidRDefault="006B0ADB" w:rsidP="006B0ADB">
      <w:pPr>
        <w:pStyle w:val="ListNumber"/>
        <w:numPr>
          <w:ilvl w:val="0"/>
          <w:numId w:val="0"/>
        </w:numPr>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1"/>
      </w:tblGrid>
      <w:tr w:rsidR="006B0ADB" w:rsidTr="00591EF1">
        <w:tc>
          <w:tcPr>
            <w:tcW w:w="3651" w:type="dxa"/>
          </w:tcPr>
          <w:p w:rsidR="006B0ADB" w:rsidRDefault="006B0ADB" w:rsidP="00483D56">
            <w:pPr>
              <w:pStyle w:val="NoSpacing"/>
            </w:pPr>
            <w:r>
              <w:t xml:space="preserve">I </w:t>
            </w:r>
            <w:bookmarkStart w:id="9" w:name="StartStamp"/>
            <w:bookmarkEnd w:id="9"/>
            <w:r>
              <w:t xml:space="preserve">certify that the </w:t>
            </w:r>
            <w:r w:rsidRPr="000A3D70">
              <w:t>preceding</w:t>
            </w:r>
            <w:r>
              <w:t xml:space="preserve"> </w:t>
            </w:r>
            <w:bookmarkStart w:id="10" w:name="NumParas"/>
            <w:bookmarkEnd w:id="10"/>
            <w:r>
              <w:t xml:space="preserve">23 (twenty -three) </w:t>
            </w:r>
            <w:r w:rsidRPr="000A3D70">
              <w:t>paragraphs are a true copy of the reasons for the decision herein of</w:t>
            </w:r>
            <w:r>
              <w:t xml:space="preserve"> Deputy President J W Constance. </w:t>
            </w:r>
            <w:r w:rsidRPr="00483D56">
              <w:fldChar w:fldCharType="begin"/>
            </w:r>
            <w:r w:rsidRPr="00483D56">
              <w:instrText xml:space="preserve"> DOCPROPERTY  Tribunal</w:instrText>
            </w:r>
            <w:r>
              <w:instrText>LastPgForm</w:instrText>
            </w:r>
            <w:r w:rsidRPr="00483D56">
              <w:fldChar w:fldCharType="separate"/>
            </w:r>
            <w:r w:rsidR="00653743">
              <w:t xml:space="preserve"> </w:t>
            </w:r>
            <w:r w:rsidRPr="00483D56">
              <w:fldChar w:fldCharType="end"/>
            </w:r>
          </w:p>
        </w:tc>
      </w:tr>
    </w:tbl>
    <w:p w:rsidR="006B0ADB" w:rsidRPr="00BC2D09" w:rsidRDefault="006B0ADB" w:rsidP="004365B2">
      <w:pPr>
        <w:keepNext/>
        <w:spacing w:before="960"/>
        <w:rPr>
          <w:lang w:eastAsia="en-US"/>
        </w:rPr>
      </w:pPr>
      <w:proofErr w:type="gramStart"/>
      <w:r w:rsidRPr="00BC2D09">
        <w:rPr>
          <w:lang w:eastAsia="en-US"/>
        </w:rPr>
        <w:t>............................</w:t>
      </w:r>
      <w:r w:rsidR="004D67F6">
        <w:rPr>
          <w:b/>
          <w:lang w:eastAsia="en-US"/>
        </w:rPr>
        <w:t>[</w:t>
      </w:r>
      <w:proofErr w:type="gramEnd"/>
      <w:r w:rsidR="004D67F6">
        <w:rPr>
          <w:b/>
          <w:lang w:eastAsia="en-US"/>
        </w:rPr>
        <w:t>sgd]</w:t>
      </w:r>
      <w:r w:rsidRPr="00BC2D09">
        <w:rPr>
          <w:lang w:eastAsia="en-US"/>
        </w:rPr>
        <w:t>............................................</w:t>
      </w:r>
    </w:p>
    <w:p w:rsidR="006B0ADB" w:rsidRPr="00D8769A" w:rsidRDefault="00956A5C" w:rsidP="00814E7C">
      <w:pPr>
        <w:pStyle w:val="NoSpacing"/>
      </w:pPr>
      <w:r>
        <w:fldChar w:fldCharType="begin"/>
      </w:r>
      <w:r>
        <w:instrText xml:space="preserve"> DOCPROPERTY  SigneeDesignation </w:instrText>
      </w:r>
      <w:r>
        <w:fldChar w:fldCharType="separate"/>
      </w:r>
      <w:r w:rsidR="00653743">
        <w:t>Associate</w:t>
      </w:r>
      <w:r>
        <w:fldChar w:fldCharType="end"/>
      </w:r>
    </w:p>
    <w:p w:rsidR="006B0ADB" w:rsidRDefault="006B0ADB" w:rsidP="004365B2">
      <w:r>
        <w:t xml:space="preserve">Dated </w:t>
      </w:r>
      <w:r w:rsidR="00956A5C">
        <w:fldChar w:fldCharType="begin"/>
      </w:r>
      <w:r w:rsidR="00956A5C">
        <w:instrText xml:space="preserve"> DOCPROPERTY  StampDate </w:instrText>
      </w:r>
      <w:r w:rsidR="00956A5C">
        <w:fldChar w:fldCharType="separate"/>
      </w:r>
      <w:r w:rsidR="00653743">
        <w:t>7 May 2015</w:t>
      </w:r>
      <w:r w:rsidR="00956A5C">
        <w:fldChar w:fldCharType="end"/>
      </w:r>
    </w:p>
    <w:p w:rsidR="006B0ADB" w:rsidRDefault="006B0ADB" w:rsidP="004365B2"/>
    <w:tbl>
      <w:tblPr>
        <w:tblW w:w="0" w:type="auto"/>
        <w:tblLayout w:type="fixed"/>
        <w:tblLook w:val="00A0" w:firstRow="1" w:lastRow="0" w:firstColumn="1" w:lastColumn="0" w:noHBand="0" w:noVBand="0"/>
      </w:tblPr>
      <w:tblGrid>
        <w:gridCol w:w="3510"/>
        <w:gridCol w:w="5279"/>
      </w:tblGrid>
      <w:tr w:rsidR="006B0ADB" w:rsidRPr="00BC2D09" w:rsidTr="004365B2">
        <w:trPr>
          <w:trHeight w:val="567"/>
        </w:trPr>
        <w:tc>
          <w:tcPr>
            <w:tcW w:w="3510" w:type="dxa"/>
          </w:tcPr>
          <w:p w:rsidR="006B0ADB" w:rsidRPr="00BC2D09" w:rsidRDefault="006B0ADB" w:rsidP="004365B2">
            <w:pPr>
              <w:pStyle w:val="NoSpacing"/>
              <w:rPr>
                <w:lang w:eastAsia="en-US"/>
              </w:rPr>
            </w:pPr>
            <w:r>
              <w:rPr>
                <w:lang w:eastAsia="en-US"/>
              </w:rPr>
              <w:t>Date(s) of hearing</w:t>
            </w:r>
          </w:p>
        </w:tc>
        <w:tc>
          <w:tcPr>
            <w:tcW w:w="5279" w:type="dxa"/>
          </w:tcPr>
          <w:p w:rsidR="006B0ADB" w:rsidRPr="00771CAC" w:rsidRDefault="006B0ADB" w:rsidP="004365B2">
            <w:pPr>
              <w:pStyle w:val="NoSpacing"/>
              <w:rPr>
                <w:b/>
                <w:bCs/>
                <w:lang w:eastAsia="en-US"/>
              </w:rPr>
            </w:pPr>
            <w:r>
              <w:rPr>
                <w:b/>
                <w:bCs/>
                <w:lang w:eastAsia="en-US"/>
              </w:rPr>
              <w:fldChar w:fldCharType="begin"/>
            </w:r>
            <w:r>
              <w:rPr>
                <w:b/>
                <w:bCs/>
                <w:lang w:eastAsia="en-US"/>
              </w:rPr>
              <w:instrText xml:space="preserve">DOCPROPERTY  DateOfHearing </w:instrText>
            </w:r>
            <w:r>
              <w:rPr>
                <w:b/>
                <w:bCs/>
                <w:lang w:eastAsia="en-US"/>
              </w:rPr>
              <w:fldChar w:fldCharType="separate"/>
            </w:r>
            <w:r w:rsidR="00653743">
              <w:rPr>
                <w:b/>
                <w:bCs/>
                <w:lang w:eastAsia="en-US"/>
              </w:rPr>
              <w:t>23 February 2015</w:t>
            </w:r>
            <w:r>
              <w:rPr>
                <w:b/>
                <w:bCs/>
                <w:lang w:eastAsia="en-US"/>
              </w:rPr>
              <w:fldChar w:fldCharType="end"/>
            </w:r>
          </w:p>
        </w:tc>
      </w:tr>
      <w:tr w:rsidR="006B0ADB" w:rsidRPr="00BC2D09" w:rsidTr="004365B2">
        <w:trPr>
          <w:trHeight w:val="567"/>
        </w:trPr>
        <w:tc>
          <w:tcPr>
            <w:tcW w:w="3510" w:type="dxa"/>
          </w:tcPr>
          <w:p w:rsidR="006B0ADB" w:rsidRPr="00BC2D09" w:rsidRDefault="006B0ADB" w:rsidP="004365B2">
            <w:pPr>
              <w:pStyle w:val="NoSpacing"/>
              <w:rPr>
                <w:lang w:eastAsia="en-US"/>
              </w:rPr>
            </w:pPr>
            <w:bookmarkStart w:id="11" w:name="DateFinalSubmission"/>
            <w:bookmarkEnd w:id="11"/>
            <w:r>
              <w:rPr>
                <w:lang w:eastAsia="en-US"/>
              </w:rPr>
              <w:t>Date final submissions received</w:t>
            </w:r>
          </w:p>
        </w:tc>
        <w:tc>
          <w:tcPr>
            <w:tcW w:w="5279" w:type="dxa"/>
          </w:tcPr>
          <w:p w:rsidR="006B0ADB" w:rsidRPr="00771CAC" w:rsidRDefault="006B0ADB" w:rsidP="004365B2">
            <w:pPr>
              <w:pStyle w:val="NoSpacing"/>
              <w:rPr>
                <w:b/>
                <w:bCs/>
                <w:lang w:eastAsia="en-US"/>
              </w:rPr>
            </w:pPr>
            <w:r>
              <w:rPr>
                <w:b/>
                <w:bCs/>
                <w:lang w:eastAsia="en-US"/>
              </w:rPr>
              <w:fldChar w:fldCharType="begin"/>
            </w:r>
            <w:r>
              <w:rPr>
                <w:b/>
                <w:bCs/>
                <w:lang w:eastAsia="en-US"/>
              </w:rPr>
              <w:instrText xml:space="preserve">DOCPROPERTY  DateFinalSubmission </w:instrText>
            </w:r>
            <w:r>
              <w:rPr>
                <w:b/>
                <w:bCs/>
                <w:lang w:eastAsia="en-US"/>
              </w:rPr>
              <w:fldChar w:fldCharType="separate"/>
            </w:r>
            <w:r w:rsidR="00653743">
              <w:rPr>
                <w:b/>
                <w:bCs/>
                <w:lang w:eastAsia="en-US"/>
              </w:rPr>
              <w:t>23 February 2015</w:t>
            </w:r>
            <w:r>
              <w:rPr>
                <w:b/>
                <w:bCs/>
                <w:lang w:eastAsia="en-US"/>
              </w:rPr>
              <w:fldChar w:fldCharType="end"/>
            </w:r>
          </w:p>
        </w:tc>
      </w:tr>
      <w:tr w:rsidR="006B0ADB" w:rsidRPr="00BC2D09" w:rsidTr="004365B2">
        <w:trPr>
          <w:trHeight w:val="567"/>
        </w:trPr>
        <w:tc>
          <w:tcPr>
            <w:tcW w:w="3510" w:type="dxa"/>
          </w:tcPr>
          <w:p w:rsidR="006B0ADB" w:rsidRPr="00BC2D09" w:rsidRDefault="006B0ADB" w:rsidP="004365B2">
            <w:pPr>
              <w:pStyle w:val="NoSpacing"/>
              <w:rPr>
                <w:lang w:eastAsia="en-US"/>
              </w:rPr>
            </w:pPr>
            <w:bookmarkStart w:id="12" w:name="Applicant_Solicitors"/>
            <w:bookmarkEnd w:id="12"/>
            <w:r>
              <w:rPr>
                <w:lang w:eastAsia="en-US"/>
              </w:rPr>
              <w:t>Solicitors for the Applicant</w:t>
            </w:r>
          </w:p>
        </w:tc>
        <w:tc>
          <w:tcPr>
            <w:tcW w:w="5279" w:type="dxa"/>
          </w:tcPr>
          <w:p w:rsidR="006B0ADB" w:rsidRPr="00771CAC" w:rsidRDefault="006B0ADB" w:rsidP="004365B2">
            <w:pPr>
              <w:pStyle w:val="NoSpacing"/>
              <w:rPr>
                <w:b/>
                <w:bCs/>
                <w:lang w:eastAsia="en-US"/>
              </w:rPr>
            </w:pPr>
            <w:r>
              <w:rPr>
                <w:b/>
                <w:bCs/>
                <w:lang w:eastAsia="en-US"/>
              </w:rPr>
              <w:fldChar w:fldCharType="begin"/>
            </w:r>
            <w:r>
              <w:rPr>
                <w:b/>
                <w:bCs/>
                <w:lang w:eastAsia="en-US"/>
              </w:rPr>
              <w:instrText xml:space="preserve">DOCPROPERTY  Applicant_Solicitors </w:instrText>
            </w:r>
            <w:r>
              <w:rPr>
                <w:b/>
                <w:bCs/>
                <w:lang w:eastAsia="en-US"/>
              </w:rPr>
              <w:fldChar w:fldCharType="separate"/>
            </w:r>
            <w:r w:rsidR="00653743">
              <w:rPr>
                <w:b/>
                <w:bCs/>
                <w:lang w:eastAsia="en-US"/>
              </w:rPr>
              <w:t xml:space="preserve">C Sibley; Clayton </w:t>
            </w:r>
            <w:proofErr w:type="spellStart"/>
            <w:r w:rsidR="00653743">
              <w:rPr>
                <w:b/>
                <w:bCs/>
                <w:lang w:eastAsia="en-US"/>
              </w:rPr>
              <w:t>Utz</w:t>
            </w:r>
            <w:proofErr w:type="spellEnd"/>
            <w:r>
              <w:rPr>
                <w:b/>
                <w:bCs/>
                <w:lang w:eastAsia="en-US"/>
              </w:rPr>
              <w:fldChar w:fldCharType="end"/>
            </w:r>
          </w:p>
        </w:tc>
      </w:tr>
      <w:tr w:rsidR="006B0ADB" w:rsidRPr="00BC2D09" w:rsidTr="004365B2">
        <w:trPr>
          <w:trHeight w:val="567"/>
        </w:trPr>
        <w:tc>
          <w:tcPr>
            <w:tcW w:w="3510" w:type="dxa"/>
          </w:tcPr>
          <w:p w:rsidR="006B0ADB" w:rsidRDefault="006B0ADB" w:rsidP="004365B2">
            <w:pPr>
              <w:pStyle w:val="NoSpacing"/>
              <w:rPr>
                <w:lang w:eastAsia="en-US"/>
              </w:rPr>
            </w:pPr>
            <w:bookmarkStart w:id="13" w:name="Respondent_SelfRepresented"/>
            <w:bookmarkEnd w:id="13"/>
            <w:r>
              <w:rPr>
                <w:lang w:eastAsia="en-US"/>
              </w:rPr>
              <w:t>Respondent</w:t>
            </w:r>
          </w:p>
        </w:tc>
        <w:tc>
          <w:tcPr>
            <w:tcW w:w="5279" w:type="dxa"/>
          </w:tcPr>
          <w:p w:rsidR="006B0ADB" w:rsidRPr="00771CAC" w:rsidRDefault="006B0ADB" w:rsidP="004365B2">
            <w:pPr>
              <w:pStyle w:val="NoSpacing"/>
              <w:rPr>
                <w:b/>
                <w:bCs/>
                <w:lang w:eastAsia="en-US"/>
              </w:rPr>
            </w:pPr>
            <w:r>
              <w:rPr>
                <w:b/>
                <w:bCs/>
                <w:lang w:eastAsia="en-US"/>
              </w:rPr>
              <w:t>In person</w:t>
            </w:r>
          </w:p>
        </w:tc>
      </w:tr>
    </w:tbl>
    <w:p w:rsidR="006B0ADB" w:rsidRPr="00D008F9" w:rsidRDefault="006B0ADB" w:rsidP="006B0ADB"/>
    <w:sectPr w:rsidR="006B0ADB" w:rsidRPr="00D008F9" w:rsidSect="00531AA1">
      <w:headerReference w:type="even" r:id="rId9"/>
      <w:footerReference w:type="default" r:id="rId10"/>
      <w:headerReference w:type="first" r:id="rId11"/>
      <w:footerReference w:type="first" r:id="rId12"/>
      <w:type w:val="continuous"/>
      <w:pgSz w:w="11907" w:h="16834" w:code="9"/>
      <w:pgMar w:top="1758" w:right="1134" w:bottom="1758" w:left="215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1FE" w:rsidRDefault="004251FE">
      <w:r>
        <w:separator/>
      </w:r>
    </w:p>
    <w:p w:rsidR="004251FE" w:rsidRDefault="004251FE"/>
  </w:endnote>
  <w:endnote w:type="continuationSeparator" w:id="0">
    <w:p w:rsidR="004251FE" w:rsidRDefault="004251FE">
      <w:r>
        <w:continuationSeparator/>
      </w:r>
    </w:p>
    <w:p w:rsidR="004251FE" w:rsidRDefault="004251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5E0F42" w:rsidRPr="006F16E0" w:rsidTr="00E53225">
      <w:tc>
        <w:tcPr>
          <w:tcW w:w="1447" w:type="dxa"/>
          <w:tcBorders>
            <w:right w:val="single" w:sz="4" w:space="0" w:color="auto"/>
          </w:tcBorders>
          <w:vAlign w:val="center"/>
        </w:tcPr>
        <w:p w:rsidR="005E0F42" w:rsidRPr="006F16E0" w:rsidRDefault="005E0F42" w:rsidP="006F16E0">
          <w:pPr>
            <w:pStyle w:val="Footer"/>
          </w:pPr>
          <w:r>
            <w:t xml:space="preserve">Page </w:t>
          </w:r>
          <w:r>
            <w:fldChar w:fldCharType="begin"/>
          </w:r>
          <w:r>
            <w:instrText xml:space="preserve"> PAGE  \* Arabic </w:instrText>
          </w:r>
          <w:r>
            <w:fldChar w:fldCharType="separate"/>
          </w:r>
          <w:r w:rsidR="00956A5C">
            <w:rPr>
              <w:noProof/>
            </w:rPr>
            <w:t>9</w:t>
          </w:r>
          <w:r>
            <w:fldChar w:fldCharType="end"/>
          </w:r>
          <w:r>
            <w:t xml:space="preserve"> of </w:t>
          </w:r>
          <w:r w:rsidR="00956A5C">
            <w:fldChar w:fldCharType="begin"/>
          </w:r>
          <w:r w:rsidR="00956A5C">
            <w:instrText xml:space="preserve"> NUMPAGES  \* Arabic </w:instrText>
          </w:r>
          <w:r w:rsidR="00956A5C">
            <w:fldChar w:fldCharType="separate"/>
          </w:r>
          <w:r w:rsidR="00956A5C">
            <w:rPr>
              <w:noProof/>
            </w:rPr>
            <w:t>9</w:t>
          </w:r>
          <w:r w:rsidR="00956A5C">
            <w:rPr>
              <w:noProof/>
            </w:rPr>
            <w:fldChar w:fldCharType="end"/>
          </w:r>
        </w:p>
      </w:tc>
      <w:tc>
        <w:tcPr>
          <w:tcW w:w="8763" w:type="dxa"/>
          <w:tcBorders>
            <w:left w:val="single" w:sz="4" w:space="0" w:color="auto"/>
          </w:tcBorders>
          <w:vAlign w:val="center"/>
        </w:tcPr>
        <w:p w:rsidR="005E0F42" w:rsidRPr="006F16E0" w:rsidRDefault="005E0F42" w:rsidP="006F16E0">
          <w:pPr>
            <w:pStyle w:val="Footer"/>
          </w:pPr>
        </w:p>
      </w:tc>
    </w:tr>
  </w:tbl>
  <w:p w:rsidR="005E0F42" w:rsidRDefault="005E0F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5E0F42" w:rsidTr="00C756F8">
      <w:tc>
        <w:tcPr>
          <w:tcW w:w="1447" w:type="dxa"/>
          <w:tcBorders>
            <w:right w:val="single" w:sz="4" w:space="0" w:color="auto"/>
          </w:tcBorders>
          <w:vAlign w:val="center"/>
        </w:tcPr>
        <w:p w:rsidR="005E0F42" w:rsidRDefault="005E0F42" w:rsidP="005D5DF5">
          <w:pPr>
            <w:pStyle w:val="FooterPage1"/>
          </w:pPr>
        </w:p>
      </w:tc>
      <w:tc>
        <w:tcPr>
          <w:tcW w:w="8763" w:type="dxa"/>
          <w:tcBorders>
            <w:left w:val="single" w:sz="4" w:space="0" w:color="auto"/>
          </w:tcBorders>
          <w:tcMar>
            <w:left w:w="85" w:type="dxa"/>
          </w:tcMar>
          <w:vAlign w:val="center"/>
        </w:tcPr>
        <w:p w:rsidR="005E0F42" w:rsidRDefault="005E0F42" w:rsidP="001A0C3C">
          <w:pPr>
            <w:pStyle w:val="FooterPage1"/>
          </w:pPr>
          <w:r>
            <w:t xml:space="preserve">© Commonwealth of Australia </w:t>
          </w:r>
          <w:r w:rsidR="001A0C3C">
            <w:fldChar w:fldCharType="begin"/>
          </w:r>
          <w:r w:rsidR="001A0C3C">
            <w:instrText xml:space="preserve"> DATE  \@ "yyyy" \* MERGEFORMAT </w:instrText>
          </w:r>
          <w:r w:rsidR="001A0C3C">
            <w:fldChar w:fldCharType="separate"/>
          </w:r>
          <w:r w:rsidR="00956A5C">
            <w:rPr>
              <w:noProof/>
            </w:rPr>
            <w:t>2015</w:t>
          </w:r>
          <w:r w:rsidR="001A0C3C">
            <w:fldChar w:fldCharType="end"/>
          </w:r>
        </w:p>
      </w:tc>
    </w:tr>
  </w:tbl>
  <w:p w:rsidR="005E0F42" w:rsidRDefault="005E0F4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1FE" w:rsidRDefault="004251FE">
      <w:r>
        <w:separator/>
      </w:r>
    </w:p>
  </w:footnote>
  <w:footnote w:type="continuationSeparator" w:id="0">
    <w:p w:rsidR="004251FE" w:rsidRDefault="004251FE">
      <w:r>
        <w:continuationSeparator/>
      </w:r>
    </w:p>
    <w:p w:rsidR="004251FE" w:rsidRDefault="004251FE"/>
  </w:footnote>
  <w:footnote w:id="1">
    <w:p w:rsidR="00257247" w:rsidRDefault="00257247">
      <w:pPr>
        <w:pStyle w:val="FootnoteText"/>
      </w:pPr>
      <w:r>
        <w:rPr>
          <w:rStyle w:val="FootnoteReference"/>
        </w:rPr>
        <w:footnoteRef/>
      </w:r>
      <w:r>
        <w:t xml:space="preserve"> </w:t>
      </w:r>
      <w:proofErr w:type="gramStart"/>
      <w:r w:rsidR="00714DAE" w:rsidRPr="006B0ADB">
        <w:rPr>
          <w:i w:val="0"/>
        </w:rPr>
        <w:t>(1946) 74 CLR 461 at 490</w:t>
      </w:r>
      <w:r w:rsidRPr="006B0ADB">
        <w:rPr>
          <w:i w:val="0"/>
        </w:rPr>
        <w:t>.</w:t>
      </w:r>
      <w:proofErr w:type="gramEnd"/>
    </w:p>
  </w:footnote>
  <w:footnote w:id="2">
    <w:p w:rsidR="00086201" w:rsidRDefault="00086201">
      <w:pPr>
        <w:pStyle w:val="FootnoteText"/>
      </w:pPr>
      <w:r>
        <w:rPr>
          <w:rStyle w:val="FootnoteReference"/>
        </w:rPr>
        <w:footnoteRef/>
      </w:r>
      <w:r>
        <w:t xml:space="preserve"> </w:t>
      </w:r>
      <w:proofErr w:type="gramStart"/>
      <w:r w:rsidRPr="006B0ADB">
        <w:rPr>
          <w:i w:val="0"/>
        </w:rPr>
        <w:t>(1997) 71 FCR 386 at p.391.</w:t>
      </w:r>
      <w:proofErr w:type="gramEnd"/>
    </w:p>
  </w:footnote>
  <w:footnote w:id="3">
    <w:p w:rsidR="006B0ADB" w:rsidRPr="006B0ADB" w:rsidRDefault="006B0ADB">
      <w:pPr>
        <w:pStyle w:val="FootnoteText"/>
        <w:rPr>
          <w:i w:val="0"/>
        </w:rPr>
      </w:pPr>
      <w:r>
        <w:rPr>
          <w:rStyle w:val="FootnoteReference"/>
        </w:rPr>
        <w:footnoteRef/>
      </w:r>
      <w:r>
        <w:t xml:space="preserve"> </w:t>
      </w:r>
      <w:proofErr w:type="gramStart"/>
      <w:r>
        <w:rPr>
          <w:i w:val="0"/>
        </w:rPr>
        <w:t>(1982) 43 ALR 41, at 62.</w:t>
      </w:r>
      <w:proofErr w:type="gramEnd"/>
      <w:r>
        <w:rPr>
          <w:i w:val="0"/>
        </w:rPr>
        <w:t xml:space="preserve"> </w:t>
      </w:r>
    </w:p>
  </w:footnote>
  <w:footnote w:id="4">
    <w:p w:rsidR="009B3531" w:rsidRDefault="009B3531">
      <w:pPr>
        <w:pStyle w:val="FootnoteText"/>
      </w:pPr>
      <w:r>
        <w:rPr>
          <w:rStyle w:val="FootnoteReference"/>
        </w:rPr>
        <w:footnoteRef/>
      </w:r>
      <w:r>
        <w:t xml:space="preserve"> </w:t>
      </w:r>
      <w:proofErr w:type="gramStart"/>
      <w:r w:rsidRPr="006B0ADB">
        <w:rPr>
          <w:i w:val="0"/>
        </w:rPr>
        <w:t>[2013] AATA 634 paras 51-68.</w:t>
      </w:r>
      <w:proofErr w:type="gramEnd"/>
    </w:p>
  </w:footnote>
  <w:footnote w:id="5">
    <w:p w:rsidR="006B0ADB" w:rsidRDefault="006B0ADB">
      <w:pPr>
        <w:pStyle w:val="FootnoteText"/>
      </w:pPr>
      <w:r>
        <w:rPr>
          <w:rStyle w:val="FootnoteReference"/>
        </w:rPr>
        <w:footnoteRef/>
      </w:r>
      <w:r>
        <w:t xml:space="preserve"> </w:t>
      </w:r>
      <w:proofErr w:type="spellStart"/>
      <w:proofErr w:type="gramStart"/>
      <w:r>
        <w:t>Beiruti</w:t>
      </w:r>
      <w:proofErr w:type="spellEnd"/>
      <w:r>
        <w:t xml:space="preserve"> and Commissioner of Taxation </w:t>
      </w:r>
      <w:r>
        <w:rPr>
          <w:i w:val="0"/>
        </w:rPr>
        <w:t>[</w:t>
      </w:r>
      <w:r w:rsidRPr="006B0ADB">
        <w:rPr>
          <w:i w:val="0"/>
        </w:rPr>
        <w:t>2013] AATA 634 paras</w:t>
      </w:r>
      <w:r>
        <w:rPr>
          <w:i w:val="0"/>
        </w:rPr>
        <w:t xml:space="preserve"> 65 to 66.</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F42" w:rsidRDefault="005E0F42">
    <w:pPr>
      <w:framePr w:wrap="around" w:vAnchor="text" w:hAnchor="margin" w:xAlign="center" w:y="1"/>
      <w:numPr>
        <w:ilvl w:val="12"/>
        <w:numId w:val="0"/>
      </w:numPr>
      <w:ind w:hanging="851"/>
    </w:pPr>
    <w:r>
      <w:fldChar w:fldCharType="begin"/>
    </w:r>
    <w:r>
      <w:instrText xml:space="preserve">PAGE  </w:instrText>
    </w:r>
    <w:r>
      <w:fldChar w:fldCharType="end"/>
    </w:r>
  </w:p>
  <w:p w:rsidR="005E0F42" w:rsidRDefault="005E0F42">
    <w:pPr>
      <w:numPr>
        <w:ilvl w:val="12"/>
        <w:numId w:val="0"/>
      </w:numPr>
      <w:ind w:hanging="851"/>
    </w:pPr>
  </w:p>
  <w:p w:rsidR="005E0F42" w:rsidRDefault="005E0F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34"/>
      <w:gridCol w:w="3969"/>
    </w:tblGrid>
    <w:tr w:rsidR="005E0F42" w:rsidTr="00DD17FC">
      <w:trPr>
        <w:trHeight w:hRule="exact" w:val="1361"/>
      </w:trPr>
      <w:tc>
        <w:tcPr>
          <w:tcW w:w="6634" w:type="dxa"/>
          <w:vAlign w:val="bottom"/>
        </w:tcPr>
        <w:p w:rsidR="005E0F42" w:rsidRDefault="005E0F42">
          <w:pPr>
            <w:numPr>
              <w:ilvl w:val="12"/>
              <w:numId w:val="0"/>
            </w:numPr>
          </w:pPr>
          <w:r>
            <w:rPr>
              <w:noProof/>
            </w:rPr>
            <w:drawing>
              <wp:inline distT="0" distB="0" distL="0" distR="0" wp14:anchorId="2671C374" wp14:editId="75640989">
                <wp:extent cx="2447925" cy="576580"/>
                <wp:effectExtent l="0" t="0" r="9525" b="0"/>
                <wp:docPr id="1" name="Picture 1" descr="AAT-Presidents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Presidents 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576580"/>
                        </a:xfrm>
                        <a:prstGeom prst="rect">
                          <a:avLst/>
                        </a:prstGeom>
                        <a:noFill/>
                        <a:ln>
                          <a:noFill/>
                        </a:ln>
                      </pic:spPr>
                    </pic:pic>
                  </a:graphicData>
                </a:graphic>
              </wp:inline>
            </w:drawing>
          </w:r>
        </w:p>
      </w:tc>
      <w:tc>
        <w:tcPr>
          <w:tcW w:w="3969" w:type="dxa"/>
          <w:vAlign w:val="bottom"/>
        </w:tcPr>
        <w:p w:rsidR="005E0F42" w:rsidRDefault="005E0F42" w:rsidP="005976AB">
          <w:pPr>
            <w:numPr>
              <w:ilvl w:val="12"/>
              <w:numId w:val="0"/>
            </w:numPr>
            <w:jc w:val="right"/>
          </w:pPr>
          <w:r>
            <w:rPr>
              <w:noProof/>
            </w:rPr>
            <w:drawing>
              <wp:inline distT="0" distB="0" distL="0" distR="0" wp14:anchorId="19CEC927" wp14:editId="2D07A4BA">
                <wp:extent cx="2145600" cy="313200"/>
                <wp:effectExtent l="0" t="0" r="7620" b="0"/>
                <wp:docPr id="5" name="Picture 5"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5E0F42" w:rsidRDefault="005E0F42"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77AA538"/>
    <w:lvl w:ilvl="0">
      <w:start w:val="1"/>
      <w:numFmt w:val="lowerRoman"/>
      <w:lvlText w:val="(%1)"/>
      <w:lvlJc w:val="left"/>
      <w:pPr>
        <w:ind w:left="2203" w:hanging="360"/>
      </w:pPr>
      <w:rPr>
        <w:rFonts w:ascii="Times New Roman" w:hAnsi="Times New Roman" w:hint="default"/>
        <w:b w:val="0"/>
        <w:i w:val="0"/>
        <w:color w:val="auto"/>
        <w:kern w:val="0"/>
        <w:sz w:val="24"/>
      </w:rPr>
    </w:lvl>
  </w:abstractNum>
  <w:abstractNum w:abstractNumId="1">
    <w:nsid w:val="FFFFFF7F"/>
    <w:multiLevelType w:val="singleLevel"/>
    <w:tmpl w:val="BCA207A6"/>
    <w:lvl w:ilvl="0">
      <w:start w:val="1"/>
      <w:numFmt w:val="lowerLetter"/>
      <w:lvlText w:val="(%1)"/>
      <w:lvlJc w:val="left"/>
      <w:pPr>
        <w:ind w:left="1636" w:hanging="360"/>
      </w:pPr>
      <w:rPr>
        <w:rFonts w:ascii="Times New Roman" w:hAnsi="Times New Roman" w:hint="default"/>
        <w:b w:val="0"/>
        <w:i w:val="0"/>
        <w:color w:val="auto"/>
        <w:kern w:val="0"/>
        <w:sz w:val="24"/>
      </w:rPr>
    </w:lvl>
  </w:abstractNum>
  <w:abstractNum w:abstractNumId="2">
    <w:nsid w:val="FFFFFF83"/>
    <w:multiLevelType w:val="singleLevel"/>
    <w:tmpl w:val="6D62A518"/>
    <w:lvl w:ilvl="0">
      <w:start w:val="1"/>
      <w:numFmt w:val="bullet"/>
      <w:lvlText w:val="-"/>
      <w:lvlJc w:val="left"/>
      <w:pPr>
        <w:ind w:left="814" w:hanging="360"/>
      </w:pPr>
      <w:rPr>
        <w:rFonts w:ascii="Arial" w:hAnsi="Arial" w:hint="default"/>
        <w:color w:val="auto"/>
      </w:rPr>
    </w:lvl>
  </w:abstractNum>
  <w:abstractNum w:abstractNumId="3">
    <w:nsid w:val="FFFFFF88"/>
    <w:multiLevelType w:val="singleLevel"/>
    <w:tmpl w:val="445CE29A"/>
    <w:lvl w:ilvl="0">
      <w:start w:val="1"/>
      <w:numFmt w:val="decimal"/>
      <w:lvlText w:val="%1."/>
      <w:lvlJc w:val="left"/>
      <w:pPr>
        <w:ind w:left="-349" w:hanging="360"/>
      </w:pPr>
      <w:rPr>
        <w:rFonts w:ascii="Times New Roman" w:hAnsi="Times New Roman" w:hint="default"/>
        <w:b w:val="0"/>
        <w:i w:val="0"/>
        <w:color w:val="auto"/>
        <w:kern w:val="0"/>
        <w:sz w:val="24"/>
        <w:u w:val="none"/>
      </w:rPr>
    </w:lvl>
  </w:abstractNum>
  <w:abstractNum w:abstractNumId="4">
    <w:nsid w:val="FFFFFF89"/>
    <w:multiLevelType w:val="singleLevel"/>
    <w:tmpl w:val="BF2CABE6"/>
    <w:lvl w:ilvl="0">
      <w:start w:val="1"/>
      <w:numFmt w:val="bullet"/>
      <w:lvlText w:val=""/>
      <w:lvlJc w:val="left"/>
      <w:pPr>
        <w:tabs>
          <w:tab w:val="num" w:pos="454"/>
        </w:tabs>
        <w:ind w:left="454" w:hanging="454"/>
      </w:pPr>
      <w:rPr>
        <w:rFonts w:ascii="Symbol" w:hAnsi="Symbol" w:hint="default"/>
        <w:color w:val="auto"/>
      </w:rPr>
    </w:lvl>
  </w:abstractNum>
  <w:abstractNum w:abstractNumId="5">
    <w:nsid w:val="009C04F5"/>
    <w:multiLevelType w:val="multilevel"/>
    <w:tmpl w:val="2160D004"/>
    <w:numStyleLink w:val="Bullets"/>
  </w:abstractNum>
  <w:abstractNum w:abstractNumId="6">
    <w:nsid w:val="04794136"/>
    <w:multiLevelType w:val="hybridMultilevel"/>
    <w:tmpl w:val="09D23F1E"/>
    <w:lvl w:ilvl="0" w:tplc="7B06F300">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7">
    <w:nsid w:val="098C6666"/>
    <w:multiLevelType w:val="multilevel"/>
    <w:tmpl w:val="2160D004"/>
    <w:numStyleLink w:val="Bullets"/>
  </w:abstractNum>
  <w:abstractNum w:abstractNumId="8">
    <w:nsid w:val="0D164084"/>
    <w:multiLevelType w:val="multilevel"/>
    <w:tmpl w:val="2E6431C0"/>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lowerRoman"/>
      <w:lvlText w:val="(%5)"/>
      <w:lvlJc w:val="left"/>
      <w:pPr>
        <w:ind w:left="1800" w:hanging="360"/>
      </w:pPr>
      <w:rPr>
        <w:rFonts w:ascii="Times New Roman" w:eastAsia="MS Mincho" w:hAnsi="Times New Roman" w:cs="Times New Roman"/>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nsid w:val="133332D4"/>
    <w:multiLevelType w:val="multilevel"/>
    <w:tmpl w:val="385C9686"/>
    <w:lvl w:ilvl="0">
      <w:start w:val="1"/>
      <w:numFmt w:val="none"/>
      <w:lvlText w:val=""/>
      <w:lvlJc w:val="left"/>
      <w:pPr>
        <w:ind w:left="709" w:firstLine="0"/>
      </w:pPr>
      <w:rPr>
        <w:rFonts w:hint="default"/>
      </w:rPr>
    </w:lvl>
    <w:lvl w:ilvl="1">
      <w:start w:val="1"/>
      <w:numFmt w:val="decimal"/>
      <w:lvlText w:val="%2"/>
      <w:lvlJc w:val="left"/>
      <w:pPr>
        <w:tabs>
          <w:tab w:val="num" w:pos="1276"/>
        </w:tabs>
        <w:ind w:left="1276" w:hanging="567"/>
      </w:pPr>
      <w:rPr>
        <w:rFonts w:hint="default"/>
      </w:rPr>
    </w:lvl>
    <w:lvl w:ilvl="2">
      <w:start w:val="1"/>
      <w:numFmt w:val="lowerLetter"/>
      <w:lvlText w:val="(%3)"/>
      <w:lvlJc w:val="left"/>
      <w:pPr>
        <w:tabs>
          <w:tab w:val="num" w:pos="1843"/>
        </w:tabs>
        <w:ind w:left="1843" w:hanging="567"/>
      </w:pPr>
      <w:rPr>
        <w:rFonts w:hint="default"/>
      </w:rPr>
    </w:lvl>
    <w:lvl w:ilvl="3">
      <w:start w:val="1"/>
      <w:numFmt w:val="lowerRoman"/>
      <w:lvlText w:val="(%4)"/>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41D59FD"/>
    <w:multiLevelType w:val="multilevel"/>
    <w:tmpl w:val="90C8DE90"/>
    <w:lvl w:ilvl="0">
      <w:start w:val="1"/>
      <w:numFmt w:val="decimal"/>
      <w:lvlText w:val="%1."/>
      <w:lvlJc w:val="left"/>
      <w:pPr>
        <w:tabs>
          <w:tab w:val="num" w:pos="709"/>
        </w:tabs>
        <w:ind w:left="709" w:hanging="709"/>
      </w:pPr>
    </w:lvl>
    <w:lvl w:ilvl="1">
      <w:start w:val="1"/>
      <w:numFmt w:val="lowerLetter"/>
      <w:lvlText w:val="(%2)"/>
      <w:lvlJc w:val="left"/>
      <w:pPr>
        <w:tabs>
          <w:tab w:val="num" w:pos="1588"/>
        </w:tabs>
        <w:ind w:left="1588" w:hanging="879"/>
      </w:pPr>
    </w:lvl>
    <w:lvl w:ilvl="2">
      <w:start w:val="1"/>
      <w:numFmt w:val="lowerRoman"/>
      <w:lvlText w:val="(%3)"/>
      <w:lvlJc w:val="left"/>
      <w:pPr>
        <w:tabs>
          <w:tab w:val="num" w:pos="2211"/>
        </w:tabs>
        <w:ind w:left="2211" w:hanging="793"/>
      </w:pPr>
    </w:lvl>
    <w:lvl w:ilvl="3">
      <w:start w:val="1"/>
      <w:numFmt w:val="lowerLetter"/>
      <w:lvlText w:val="(%4)"/>
      <w:lvlJc w:val="left"/>
      <w:pPr>
        <w:tabs>
          <w:tab w:val="num" w:pos="3119"/>
        </w:tabs>
        <w:ind w:left="3119" w:hanging="993"/>
      </w:pPr>
    </w:lvl>
    <w:lvl w:ilvl="4">
      <w:start w:val="1"/>
      <w:numFmt w:val="lowerRoman"/>
      <w:lvlText w:val="(%5)"/>
      <w:lvlJc w:val="left"/>
      <w:pPr>
        <w:tabs>
          <w:tab w:val="num" w:pos="3742"/>
        </w:tabs>
        <w:ind w:left="3742" w:hanging="907"/>
      </w:pPr>
    </w:lvl>
    <w:lvl w:ilvl="5">
      <w:start w:val="1"/>
      <w:numFmt w:val="lowerLetter"/>
      <w:lvlText w:val="(%6)"/>
      <w:lvlJc w:val="left"/>
      <w:pPr>
        <w:tabs>
          <w:tab w:val="num" w:pos="4593"/>
        </w:tabs>
        <w:ind w:left="4593" w:hanging="1049"/>
      </w:pPr>
    </w:lvl>
    <w:lvl w:ilvl="6">
      <w:start w:val="1"/>
      <w:numFmt w:val="lowerRoman"/>
      <w:lvlText w:val="(%7)"/>
      <w:lvlJc w:val="left"/>
      <w:pPr>
        <w:tabs>
          <w:tab w:val="num" w:pos="5046"/>
        </w:tabs>
        <w:ind w:left="5046" w:hanging="793"/>
      </w:pPr>
    </w:lvl>
    <w:lvl w:ilvl="7">
      <w:start w:val="1"/>
      <w:numFmt w:val="lowerLetter"/>
      <w:lvlText w:val="(%8)"/>
      <w:lvlJc w:val="left"/>
      <w:pPr>
        <w:tabs>
          <w:tab w:val="num" w:pos="6010"/>
        </w:tabs>
        <w:ind w:left="6010" w:hanging="1049"/>
      </w:pPr>
    </w:lvl>
    <w:lvl w:ilvl="8">
      <w:start w:val="1"/>
      <w:numFmt w:val="lowerRoman"/>
      <w:lvlText w:val="(%9)"/>
      <w:lvlJc w:val="left"/>
      <w:pPr>
        <w:tabs>
          <w:tab w:val="num" w:pos="6577"/>
        </w:tabs>
        <w:ind w:left="6577" w:hanging="907"/>
      </w:pPr>
    </w:lvl>
  </w:abstractNum>
  <w:abstractNum w:abstractNumId="12">
    <w:nsid w:val="1D6B378B"/>
    <w:multiLevelType w:val="multilevel"/>
    <w:tmpl w:val="C38441E4"/>
    <w:numStyleLink w:val="Quotes"/>
  </w:abstractNum>
  <w:abstractNum w:abstractNumId="13">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nsid w:val="2DCE73BB"/>
    <w:multiLevelType w:val="multilevel"/>
    <w:tmpl w:val="2E6431C0"/>
    <w:numStyleLink w:val="ListNumbers"/>
  </w:abstractNum>
  <w:abstractNum w:abstractNumId="15">
    <w:nsid w:val="2E873960"/>
    <w:multiLevelType w:val="hybridMultilevel"/>
    <w:tmpl w:val="C8A88120"/>
    <w:lvl w:ilvl="0" w:tplc="1536F8FE">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6">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18">
    <w:nsid w:val="495036ED"/>
    <w:multiLevelType w:val="multilevel"/>
    <w:tmpl w:val="C38441E4"/>
    <w:numStyleLink w:val="Quotes"/>
  </w:abstractNum>
  <w:abstractNum w:abstractNumId="19">
    <w:nsid w:val="50FB74C1"/>
    <w:multiLevelType w:val="hybridMultilevel"/>
    <w:tmpl w:val="EB90778E"/>
    <w:lvl w:ilvl="0" w:tplc="D91245E6">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20">
    <w:nsid w:val="55310AC7"/>
    <w:multiLevelType w:val="multilevel"/>
    <w:tmpl w:val="2160D004"/>
    <w:numStyleLink w:val="Bullets"/>
  </w:abstractNum>
  <w:abstractNum w:abstractNumId="21">
    <w:nsid w:val="572D1451"/>
    <w:multiLevelType w:val="multilevel"/>
    <w:tmpl w:val="F0AC8F22"/>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2">
    <w:nsid w:val="641E12EB"/>
    <w:multiLevelType w:val="multilevel"/>
    <w:tmpl w:val="2160D004"/>
    <w:numStyleLink w:val="Bullets"/>
  </w:abstractNum>
  <w:abstractNum w:abstractNumId="23">
    <w:nsid w:val="6B060E1C"/>
    <w:multiLevelType w:val="multilevel"/>
    <w:tmpl w:val="2E6431C0"/>
    <w:numStyleLink w:val="ListNumbers"/>
  </w:abstractNum>
  <w:abstractNum w:abstractNumId="24">
    <w:nsid w:val="74DC79E0"/>
    <w:multiLevelType w:val="multilevel"/>
    <w:tmpl w:val="2160D004"/>
    <w:numStyleLink w:val="Bullets"/>
  </w:abstractNum>
  <w:abstractNum w:abstractNumId="25">
    <w:nsid w:val="7CAA5662"/>
    <w:multiLevelType w:val="multilevel"/>
    <w:tmpl w:val="29D6533E"/>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6">
    <w:nsid w:val="7FAF2430"/>
    <w:multiLevelType w:val="multilevel"/>
    <w:tmpl w:val="2160D004"/>
    <w:numStyleLink w:val="Bullets"/>
  </w:abstractNum>
  <w:num w:numId="1">
    <w:abstractNumId w:val="11"/>
  </w:num>
  <w:num w:numId="2">
    <w:abstractNumId w:val="21"/>
  </w:num>
  <w:num w:numId="3">
    <w:abstractNumId w:val="21"/>
  </w:num>
  <w:num w:numId="4">
    <w:abstractNumId w:val="11"/>
  </w:num>
  <w:num w:numId="5">
    <w:abstractNumId w:val="25"/>
  </w:num>
  <w:num w:numId="6">
    <w:abstractNumId w:val="25"/>
  </w:num>
  <w:num w:numId="7">
    <w:abstractNumId w:val="25"/>
  </w:num>
  <w:num w:numId="8">
    <w:abstractNumId w:val="25"/>
  </w:num>
  <w:num w:numId="9">
    <w:abstractNumId w:val="10"/>
  </w:num>
  <w:num w:numId="10">
    <w:abstractNumId w:val="16"/>
  </w:num>
  <w:num w:numId="11">
    <w:abstractNumId w:val="4"/>
  </w:num>
  <w:num w:numId="12">
    <w:abstractNumId w:val="4"/>
  </w:num>
  <w:num w:numId="13">
    <w:abstractNumId w:val="2"/>
  </w:num>
  <w:num w:numId="14">
    <w:abstractNumId w:val="2"/>
  </w:num>
  <w:num w:numId="15">
    <w:abstractNumId w:val="3"/>
  </w:num>
  <w:num w:numId="16">
    <w:abstractNumId w:val="3"/>
  </w:num>
  <w:num w:numId="17">
    <w:abstractNumId w:val="1"/>
  </w:num>
  <w:num w:numId="18">
    <w:abstractNumId w:val="1"/>
  </w:num>
  <w:num w:numId="19">
    <w:abstractNumId w:val="0"/>
  </w:num>
  <w:num w:numId="20">
    <w:abstractNumId w:val="0"/>
  </w:num>
  <w:num w:numId="21">
    <w:abstractNumId w:val="17"/>
  </w:num>
  <w:num w:numId="22">
    <w:abstractNumId w:val="24"/>
  </w:num>
  <w:num w:numId="23">
    <w:abstractNumId w:val="26"/>
  </w:num>
  <w:num w:numId="24">
    <w:abstractNumId w:val="7"/>
  </w:num>
  <w:num w:numId="25">
    <w:abstractNumId w:val="5"/>
  </w:num>
  <w:num w:numId="26">
    <w:abstractNumId w:val="20"/>
  </w:num>
  <w:num w:numId="27">
    <w:abstractNumId w:val="22"/>
  </w:num>
  <w:num w:numId="28">
    <w:abstractNumId w:val="1"/>
  </w:num>
  <w:num w:numId="29">
    <w:abstractNumId w:val="3"/>
  </w:num>
  <w:num w:numId="30">
    <w:abstractNumId w:val="1"/>
  </w:num>
  <w:num w:numId="31">
    <w:abstractNumId w:val="0"/>
  </w:num>
  <w:num w:numId="32">
    <w:abstractNumId w:val="1"/>
  </w:num>
  <w:num w:numId="33">
    <w:abstractNumId w:val="1"/>
  </w:num>
  <w:num w:numId="34">
    <w:abstractNumId w:val="8"/>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23"/>
  </w:num>
  <w:num w:numId="38">
    <w:abstractNumId w:val="9"/>
  </w:num>
  <w:num w:numId="39">
    <w:abstractNumId w:val="9"/>
  </w:num>
  <w:num w:numId="40">
    <w:abstractNumId w:val="9"/>
  </w:num>
  <w:num w:numId="41">
    <w:abstractNumId w:val="9"/>
  </w:num>
  <w:num w:numId="42">
    <w:abstractNumId w:val="13"/>
  </w:num>
  <w:num w:numId="43">
    <w:abstractNumId w:val="18"/>
  </w:num>
  <w:num w:numId="44">
    <w:abstractNumId w:val="12"/>
  </w:num>
  <w:num w:numId="45">
    <w:abstractNumId w:val="19"/>
  </w:num>
  <w:num w:numId="46">
    <w:abstractNumId w:val="19"/>
  </w:num>
  <w:num w:numId="47">
    <w:abstractNumId w:val="8"/>
  </w:num>
  <w:num w:numId="48">
    <w:abstractNumId w:val="19"/>
  </w:num>
  <w:num w:numId="49">
    <w:abstractNumId w:val="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4F14EBE-735C-453B-9586-2C4D9831A262}"/>
    <w:docVar w:name="dgnword-eventsink" w:val="88398024"/>
    <w:docVar w:name="FirstRun" w:val="False"/>
    <w:docVar w:name="RunAlready" w:val="False"/>
  </w:docVars>
  <w:rsids>
    <w:rsidRoot w:val="004251FE"/>
    <w:rsid w:val="00000438"/>
    <w:rsid w:val="00000788"/>
    <w:rsid w:val="00004028"/>
    <w:rsid w:val="00004916"/>
    <w:rsid w:val="00005D43"/>
    <w:rsid w:val="00010D8F"/>
    <w:rsid w:val="0001309B"/>
    <w:rsid w:val="00016E32"/>
    <w:rsid w:val="000176A5"/>
    <w:rsid w:val="00020FCA"/>
    <w:rsid w:val="00022CF0"/>
    <w:rsid w:val="00024EF9"/>
    <w:rsid w:val="00025EC9"/>
    <w:rsid w:val="00026072"/>
    <w:rsid w:val="00026A57"/>
    <w:rsid w:val="00030E12"/>
    <w:rsid w:val="00031D09"/>
    <w:rsid w:val="00034645"/>
    <w:rsid w:val="0003647F"/>
    <w:rsid w:val="00036C03"/>
    <w:rsid w:val="00037306"/>
    <w:rsid w:val="00040997"/>
    <w:rsid w:val="00041993"/>
    <w:rsid w:val="00041DE0"/>
    <w:rsid w:val="00051969"/>
    <w:rsid w:val="000533BE"/>
    <w:rsid w:val="00054765"/>
    <w:rsid w:val="0005765E"/>
    <w:rsid w:val="00066A89"/>
    <w:rsid w:val="00072703"/>
    <w:rsid w:val="00074057"/>
    <w:rsid w:val="00076AE1"/>
    <w:rsid w:val="00077D8F"/>
    <w:rsid w:val="00077E34"/>
    <w:rsid w:val="0008091F"/>
    <w:rsid w:val="00082425"/>
    <w:rsid w:val="000852E6"/>
    <w:rsid w:val="00086201"/>
    <w:rsid w:val="0008639E"/>
    <w:rsid w:val="00086AFC"/>
    <w:rsid w:val="000903C8"/>
    <w:rsid w:val="0009045E"/>
    <w:rsid w:val="0009097C"/>
    <w:rsid w:val="00096477"/>
    <w:rsid w:val="000A058C"/>
    <w:rsid w:val="000A2C43"/>
    <w:rsid w:val="000A3B7B"/>
    <w:rsid w:val="000A40FB"/>
    <w:rsid w:val="000A6277"/>
    <w:rsid w:val="000B05AB"/>
    <w:rsid w:val="000B41C7"/>
    <w:rsid w:val="000B799C"/>
    <w:rsid w:val="000B7E7F"/>
    <w:rsid w:val="000C0421"/>
    <w:rsid w:val="000C200E"/>
    <w:rsid w:val="000C716A"/>
    <w:rsid w:val="000D1D72"/>
    <w:rsid w:val="000D1F26"/>
    <w:rsid w:val="000E14C4"/>
    <w:rsid w:val="000E35BC"/>
    <w:rsid w:val="000E3B5A"/>
    <w:rsid w:val="000E4089"/>
    <w:rsid w:val="000E5FB6"/>
    <w:rsid w:val="000E63D0"/>
    <w:rsid w:val="000F18F4"/>
    <w:rsid w:val="000F6FDF"/>
    <w:rsid w:val="001064ED"/>
    <w:rsid w:val="00110450"/>
    <w:rsid w:val="00110C0F"/>
    <w:rsid w:val="00111F84"/>
    <w:rsid w:val="001131C2"/>
    <w:rsid w:val="00114BD8"/>
    <w:rsid w:val="0011681C"/>
    <w:rsid w:val="00117552"/>
    <w:rsid w:val="0012021D"/>
    <w:rsid w:val="001209DA"/>
    <w:rsid w:val="00122092"/>
    <w:rsid w:val="001220FF"/>
    <w:rsid w:val="00122EFA"/>
    <w:rsid w:val="0013307E"/>
    <w:rsid w:val="00143874"/>
    <w:rsid w:val="0014665F"/>
    <w:rsid w:val="001466C7"/>
    <w:rsid w:val="00152EB0"/>
    <w:rsid w:val="00155013"/>
    <w:rsid w:val="00156035"/>
    <w:rsid w:val="00161B81"/>
    <w:rsid w:val="001623BA"/>
    <w:rsid w:val="001625D8"/>
    <w:rsid w:val="0016425D"/>
    <w:rsid w:val="0016773D"/>
    <w:rsid w:val="00170921"/>
    <w:rsid w:val="00170BEE"/>
    <w:rsid w:val="00174965"/>
    <w:rsid w:val="001761FE"/>
    <w:rsid w:val="00177ECF"/>
    <w:rsid w:val="001803FE"/>
    <w:rsid w:val="00183666"/>
    <w:rsid w:val="001851A9"/>
    <w:rsid w:val="00185304"/>
    <w:rsid w:val="0018598D"/>
    <w:rsid w:val="00187636"/>
    <w:rsid w:val="00194DBB"/>
    <w:rsid w:val="00197BFF"/>
    <w:rsid w:val="001A0C3C"/>
    <w:rsid w:val="001A2C68"/>
    <w:rsid w:val="001A3530"/>
    <w:rsid w:val="001A364D"/>
    <w:rsid w:val="001A364E"/>
    <w:rsid w:val="001A37DD"/>
    <w:rsid w:val="001A4085"/>
    <w:rsid w:val="001A4617"/>
    <w:rsid w:val="001B7953"/>
    <w:rsid w:val="001C1058"/>
    <w:rsid w:val="001C59B1"/>
    <w:rsid w:val="001D0804"/>
    <w:rsid w:val="001D2159"/>
    <w:rsid w:val="001D5528"/>
    <w:rsid w:val="001D5B26"/>
    <w:rsid w:val="001D661E"/>
    <w:rsid w:val="001D734A"/>
    <w:rsid w:val="001E0794"/>
    <w:rsid w:val="001E1E9E"/>
    <w:rsid w:val="001E237C"/>
    <w:rsid w:val="001E4799"/>
    <w:rsid w:val="001F058C"/>
    <w:rsid w:val="001F2404"/>
    <w:rsid w:val="001F2C5D"/>
    <w:rsid w:val="001F3698"/>
    <w:rsid w:val="001F5B29"/>
    <w:rsid w:val="001F708A"/>
    <w:rsid w:val="001F711F"/>
    <w:rsid w:val="00200058"/>
    <w:rsid w:val="00200390"/>
    <w:rsid w:val="00201958"/>
    <w:rsid w:val="00202BDD"/>
    <w:rsid w:val="002037D9"/>
    <w:rsid w:val="00203F58"/>
    <w:rsid w:val="002044E0"/>
    <w:rsid w:val="002101C7"/>
    <w:rsid w:val="0021136A"/>
    <w:rsid w:val="00211543"/>
    <w:rsid w:val="002135E8"/>
    <w:rsid w:val="002137DF"/>
    <w:rsid w:val="00213896"/>
    <w:rsid w:val="00215BDF"/>
    <w:rsid w:val="00215E98"/>
    <w:rsid w:val="00217DAA"/>
    <w:rsid w:val="002216BD"/>
    <w:rsid w:val="002257FA"/>
    <w:rsid w:val="002260F4"/>
    <w:rsid w:val="002276C4"/>
    <w:rsid w:val="00230141"/>
    <w:rsid w:val="00237992"/>
    <w:rsid w:val="00242AEC"/>
    <w:rsid w:val="0024473D"/>
    <w:rsid w:val="0024549E"/>
    <w:rsid w:val="00253104"/>
    <w:rsid w:val="00256FC5"/>
    <w:rsid w:val="00257247"/>
    <w:rsid w:val="002607D3"/>
    <w:rsid w:val="00264A1D"/>
    <w:rsid w:val="00271135"/>
    <w:rsid w:val="002735B9"/>
    <w:rsid w:val="00273B5A"/>
    <w:rsid w:val="0027496E"/>
    <w:rsid w:val="002754F8"/>
    <w:rsid w:val="00275E2F"/>
    <w:rsid w:val="002801D9"/>
    <w:rsid w:val="00280F2B"/>
    <w:rsid w:val="002839BF"/>
    <w:rsid w:val="00287811"/>
    <w:rsid w:val="00287FE0"/>
    <w:rsid w:val="002944AA"/>
    <w:rsid w:val="0029482B"/>
    <w:rsid w:val="002954D6"/>
    <w:rsid w:val="00295ACC"/>
    <w:rsid w:val="00297BAC"/>
    <w:rsid w:val="00297EA1"/>
    <w:rsid w:val="002A40EA"/>
    <w:rsid w:val="002A5BD8"/>
    <w:rsid w:val="002A6D3A"/>
    <w:rsid w:val="002B1002"/>
    <w:rsid w:val="002B4F02"/>
    <w:rsid w:val="002B52FA"/>
    <w:rsid w:val="002C009A"/>
    <w:rsid w:val="002C1516"/>
    <w:rsid w:val="002C1D28"/>
    <w:rsid w:val="002C2118"/>
    <w:rsid w:val="002C7E16"/>
    <w:rsid w:val="002D3429"/>
    <w:rsid w:val="002D7F26"/>
    <w:rsid w:val="002E599F"/>
    <w:rsid w:val="002E6962"/>
    <w:rsid w:val="002E7FBA"/>
    <w:rsid w:val="002F0D19"/>
    <w:rsid w:val="002F0F50"/>
    <w:rsid w:val="002F3DDF"/>
    <w:rsid w:val="002F6956"/>
    <w:rsid w:val="002F7E7B"/>
    <w:rsid w:val="00301154"/>
    <w:rsid w:val="0030226A"/>
    <w:rsid w:val="00305792"/>
    <w:rsid w:val="003058C9"/>
    <w:rsid w:val="003070FA"/>
    <w:rsid w:val="00307689"/>
    <w:rsid w:val="003152B2"/>
    <w:rsid w:val="00321DE1"/>
    <w:rsid w:val="00323B7B"/>
    <w:rsid w:val="00325D17"/>
    <w:rsid w:val="00325EC3"/>
    <w:rsid w:val="0032657E"/>
    <w:rsid w:val="00331390"/>
    <w:rsid w:val="003345C3"/>
    <w:rsid w:val="00336C16"/>
    <w:rsid w:val="0034191E"/>
    <w:rsid w:val="00342BEC"/>
    <w:rsid w:val="00343163"/>
    <w:rsid w:val="003436FA"/>
    <w:rsid w:val="00350976"/>
    <w:rsid w:val="00352348"/>
    <w:rsid w:val="00352381"/>
    <w:rsid w:val="003530AA"/>
    <w:rsid w:val="003579F7"/>
    <w:rsid w:val="00357F88"/>
    <w:rsid w:val="003739F4"/>
    <w:rsid w:val="00380425"/>
    <w:rsid w:val="00382E91"/>
    <w:rsid w:val="003868D3"/>
    <w:rsid w:val="00391232"/>
    <w:rsid w:val="00391759"/>
    <w:rsid w:val="00391A9B"/>
    <w:rsid w:val="00394A18"/>
    <w:rsid w:val="00395365"/>
    <w:rsid w:val="00395B38"/>
    <w:rsid w:val="00397AC3"/>
    <w:rsid w:val="003A5522"/>
    <w:rsid w:val="003B6DAC"/>
    <w:rsid w:val="003C12DE"/>
    <w:rsid w:val="003C3A2F"/>
    <w:rsid w:val="003C6C6D"/>
    <w:rsid w:val="003D2450"/>
    <w:rsid w:val="003D4BB1"/>
    <w:rsid w:val="003E1FE6"/>
    <w:rsid w:val="003E261A"/>
    <w:rsid w:val="003E45BA"/>
    <w:rsid w:val="003E5E87"/>
    <w:rsid w:val="003E64EB"/>
    <w:rsid w:val="003F2BEB"/>
    <w:rsid w:val="003F3503"/>
    <w:rsid w:val="003F5488"/>
    <w:rsid w:val="003F71C0"/>
    <w:rsid w:val="00401581"/>
    <w:rsid w:val="004050E6"/>
    <w:rsid w:val="00406B68"/>
    <w:rsid w:val="00411738"/>
    <w:rsid w:val="004152C5"/>
    <w:rsid w:val="00416CE8"/>
    <w:rsid w:val="00417658"/>
    <w:rsid w:val="004251FE"/>
    <w:rsid w:val="00426A4B"/>
    <w:rsid w:val="00433023"/>
    <w:rsid w:val="00434C15"/>
    <w:rsid w:val="00434C43"/>
    <w:rsid w:val="0044330A"/>
    <w:rsid w:val="0045440C"/>
    <w:rsid w:val="00454437"/>
    <w:rsid w:val="00463C53"/>
    <w:rsid w:val="00466655"/>
    <w:rsid w:val="0047066D"/>
    <w:rsid w:val="00472670"/>
    <w:rsid w:val="004727B7"/>
    <w:rsid w:val="00473144"/>
    <w:rsid w:val="00473AB1"/>
    <w:rsid w:val="00480DF4"/>
    <w:rsid w:val="004856B3"/>
    <w:rsid w:val="00485A89"/>
    <w:rsid w:val="004905BD"/>
    <w:rsid w:val="00490C0A"/>
    <w:rsid w:val="004A0002"/>
    <w:rsid w:val="004A4F2C"/>
    <w:rsid w:val="004A55A2"/>
    <w:rsid w:val="004A75CC"/>
    <w:rsid w:val="004B290E"/>
    <w:rsid w:val="004B6924"/>
    <w:rsid w:val="004C4132"/>
    <w:rsid w:val="004C7483"/>
    <w:rsid w:val="004C74C6"/>
    <w:rsid w:val="004D0176"/>
    <w:rsid w:val="004D3365"/>
    <w:rsid w:val="004D67F6"/>
    <w:rsid w:val="004E5063"/>
    <w:rsid w:val="004E720A"/>
    <w:rsid w:val="004E7541"/>
    <w:rsid w:val="004F13F5"/>
    <w:rsid w:val="004F5034"/>
    <w:rsid w:val="004F62A5"/>
    <w:rsid w:val="004F63A1"/>
    <w:rsid w:val="0050054F"/>
    <w:rsid w:val="0050166A"/>
    <w:rsid w:val="005018E9"/>
    <w:rsid w:val="0050250F"/>
    <w:rsid w:val="00502ACA"/>
    <w:rsid w:val="00505CF1"/>
    <w:rsid w:val="0050670F"/>
    <w:rsid w:val="00513A55"/>
    <w:rsid w:val="0051593B"/>
    <w:rsid w:val="00520D65"/>
    <w:rsid w:val="00522817"/>
    <w:rsid w:val="00522908"/>
    <w:rsid w:val="00526022"/>
    <w:rsid w:val="0052665E"/>
    <w:rsid w:val="00531AA1"/>
    <w:rsid w:val="00531B56"/>
    <w:rsid w:val="0053335B"/>
    <w:rsid w:val="00552511"/>
    <w:rsid w:val="0055292B"/>
    <w:rsid w:val="0055307E"/>
    <w:rsid w:val="00554246"/>
    <w:rsid w:val="00556B39"/>
    <w:rsid w:val="00557723"/>
    <w:rsid w:val="00561B98"/>
    <w:rsid w:val="005632FA"/>
    <w:rsid w:val="005706B0"/>
    <w:rsid w:val="0057112B"/>
    <w:rsid w:val="00576A65"/>
    <w:rsid w:val="00581AFC"/>
    <w:rsid w:val="005833E8"/>
    <w:rsid w:val="00583E89"/>
    <w:rsid w:val="00585C0F"/>
    <w:rsid w:val="0058690A"/>
    <w:rsid w:val="005921CA"/>
    <w:rsid w:val="00592DF7"/>
    <w:rsid w:val="00594020"/>
    <w:rsid w:val="005940BF"/>
    <w:rsid w:val="005964BE"/>
    <w:rsid w:val="005976AB"/>
    <w:rsid w:val="005A3DE1"/>
    <w:rsid w:val="005A4682"/>
    <w:rsid w:val="005A5149"/>
    <w:rsid w:val="005A51FD"/>
    <w:rsid w:val="005A5A37"/>
    <w:rsid w:val="005B23D4"/>
    <w:rsid w:val="005B3289"/>
    <w:rsid w:val="005B4862"/>
    <w:rsid w:val="005B5C21"/>
    <w:rsid w:val="005C01A0"/>
    <w:rsid w:val="005C2BEF"/>
    <w:rsid w:val="005C5785"/>
    <w:rsid w:val="005C6B79"/>
    <w:rsid w:val="005D01F0"/>
    <w:rsid w:val="005D5DF5"/>
    <w:rsid w:val="005D6394"/>
    <w:rsid w:val="005E0F42"/>
    <w:rsid w:val="005E1A25"/>
    <w:rsid w:val="005E4260"/>
    <w:rsid w:val="005E7261"/>
    <w:rsid w:val="005F21C4"/>
    <w:rsid w:val="005F2E99"/>
    <w:rsid w:val="005F4A5B"/>
    <w:rsid w:val="005F4DBA"/>
    <w:rsid w:val="005F7680"/>
    <w:rsid w:val="00600553"/>
    <w:rsid w:val="00602F9D"/>
    <w:rsid w:val="00605BAB"/>
    <w:rsid w:val="00607F3F"/>
    <w:rsid w:val="0061014E"/>
    <w:rsid w:val="00615503"/>
    <w:rsid w:val="00617636"/>
    <w:rsid w:val="00621408"/>
    <w:rsid w:val="00622FE3"/>
    <w:rsid w:val="0062357F"/>
    <w:rsid w:val="0062609A"/>
    <w:rsid w:val="00635CEE"/>
    <w:rsid w:val="00635E9D"/>
    <w:rsid w:val="00645512"/>
    <w:rsid w:val="00647330"/>
    <w:rsid w:val="00653401"/>
    <w:rsid w:val="00653743"/>
    <w:rsid w:val="0066062A"/>
    <w:rsid w:val="00661217"/>
    <w:rsid w:val="00661270"/>
    <w:rsid w:val="00662B1E"/>
    <w:rsid w:val="00663243"/>
    <w:rsid w:val="00664295"/>
    <w:rsid w:val="00671D54"/>
    <w:rsid w:val="00681AA2"/>
    <w:rsid w:val="00682631"/>
    <w:rsid w:val="00690288"/>
    <w:rsid w:val="0069197D"/>
    <w:rsid w:val="006945BD"/>
    <w:rsid w:val="00696443"/>
    <w:rsid w:val="006970A2"/>
    <w:rsid w:val="006A47BD"/>
    <w:rsid w:val="006A5846"/>
    <w:rsid w:val="006A586C"/>
    <w:rsid w:val="006A6494"/>
    <w:rsid w:val="006A7826"/>
    <w:rsid w:val="006B0ADB"/>
    <w:rsid w:val="006B3EE8"/>
    <w:rsid w:val="006B5946"/>
    <w:rsid w:val="006B624A"/>
    <w:rsid w:val="006B7D30"/>
    <w:rsid w:val="006C2314"/>
    <w:rsid w:val="006C4F5E"/>
    <w:rsid w:val="006C77A1"/>
    <w:rsid w:val="006D0EE2"/>
    <w:rsid w:val="006D2055"/>
    <w:rsid w:val="006D20BD"/>
    <w:rsid w:val="006D3300"/>
    <w:rsid w:val="006D3A70"/>
    <w:rsid w:val="006D4055"/>
    <w:rsid w:val="006D748E"/>
    <w:rsid w:val="006D7A2C"/>
    <w:rsid w:val="006D7A7B"/>
    <w:rsid w:val="006D7F83"/>
    <w:rsid w:val="006E183F"/>
    <w:rsid w:val="006E1CB3"/>
    <w:rsid w:val="006E467D"/>
    <w:rsid w:val="006E5759"/>
    <w:rsid w:val="006E5CA8"/>
    <w:rsid w:val="006F0A2D"/>
    <w:rsid w:val="006F16E0"/>
    <w:rsid w:val="006F4185"/>
    <w:rsid w:val="006F5A81"/>
    <w:rsid w:val="0070444D"/>
    <w:rsid w:val="00705F57"/>
    <w:rsid w:val="0070693C"/>
    <w:rsid w:val="0070746A"/>
    <w:rsid w:val="00707C6C"/>
    <w:rsid w:val="00713462"/>
    <w:rsid w:val="00713ADF"/>
    <w:rsid w:val="00714DAE"/>
    <w:rsid w:val="0072102D"/>
    <w:rsid w:val="00721D66"/>
    <w:rsid w:val="00724C6E"/>
    <w:rsid w:val="00726B2F"/>
    <w:rsid w:val="00726DEA"/>
    <w:rsid w:val="00727FBE"/>
    <w:rsid w:val="00731113"/>
    <w:rsid w:val="007339E9"/>
    <w:rsid w:val="00737A0D"/>
    <w:rsid w:val="007435BC"/>
    <w:rsid w:val="00746F7A"/>
    <w:rsid w:val="007511FE"/>
    <w:rsid w:val="00751737"/>
    <w:rsid w:val="00754290"/>
    <w:rsid w:val="00755234"/>
    <w:rsid w:val="007559DB"/>
    <w:rsid w:val="0075763B"/>
    <w:rsid w:val="00760AB6"/>
    <w:rsid w:val="007651A6"/>
    <w:rsid w:val="00771CAC"/>
    <w:rsid w:val="0077250E"/>
    <w:rsid w:val="00773CCF"/>
    <w:rsid w:val="00776FD2"/>
    <w:rsid w:val="007800EC"/>
    <w:rsid w:val="0078314E"/>
    <w:rsid w:val="007840EF"/>
    <w:rsid w:val="00785FFA"/>
    <w:rsid w:val="00797D4B"/>
    <w:rsid w:val="007A18EF"/>
    <w:rsid w:val="007B585F"/>
    <w:rsid w:val="007B6AC8"/>
    <w:rsid w:val="007B71FC"/>
    <w:rsid w:val="007C276C"/>
    <w:rsid w:val="007C2DF2"/>
    <w:rsid w:val="007C326A"/>
    <w:rsid w:val="007C7239"/>
    <w:rsid w:val="007C7784"/>
    <w:rsid w:val="007C7CFC"/>
    <w:rsid w:val="007D1803"/>
    <w:rsid w:val="007D5ED6"/>
    <w:rsid w:val="007D7592"/>
    <w:rsid w:val="007E173D"/>
    <w:rsid w:val="007F41A6"/>
    <w:rsid w:val="007F50A2"/>
    <w:rsid w:val="0080210D"/>
    <w:rsid w:val="00803D8A"/>
    <w:rsid w:val="0081024C"/>
    <w:rsid w:val="00814E7C"/>
    <w:rsid w:val="00821074"/>
    <w:rsid w:val="008233C4"/>
    <w:rsid w:val="0082393D"/>
    <w:rsid w:val="008248D7"/>
    <w:rsid w:val="0082514B"/>
    <w:rsid w:val="00827793"/>
    <w:rsid w:val="0082795E"/>
    <w:rsid w:val="00830233"/>
    <w:rsid w:val="008337D5"/>
    <w:rsid w:val="008408EA"/>
    <w:rsid w:val="00840AB7"/>
    <w:rsid w:val="0084118E"/>
    <w:rsid w:val="00842ACE"/>
    <w:rsid w:val="0084301B"/>
    <w:rsid w:val="008526D9"/>
    <w:rsid w:val="008535EE"/>
    <w:rsid w:val="00855BBF"/>
    <w:rsid w:val="00856D59"/>
    <w:rsid w:val="00857375"/>
    <w:rsid w:val="008579F6"/>
    <w:rsid w:val="00857DD6"/>
    <w:rsid w:val="00860F03"/>
    <w:rsid w:val="00860FEC"/>
    <w:rsid w:val="008625B1"/>
    <w:rsid w:val="008629EB"/>
    <w:rsid w:val="00862CFE"/>
    <w:rsid w:val="00864777"/>
    <w:rsid w:val="008720E5"/>
    <w:rsid w:val="008728CF"/>
    <w:rsid w:val="008764FB"/>
    <w:rsid w:val="00876A16"/>
    <w:rsid w:val="00880CF9"/>
    <w:rsid w:val="008812E5"/>
    <w:rsid w:val="008816AE"/>
    <w:rsid w:val="00881B39"/>
    <w:rsid w:val="00887918"/>
    <w:rsid w:val="00890614"/>
    <w:rsid w:val="0089622D"/>
    <w:rsid w:val="00896597"/>
    <w:rsid w:val="008A238D"/>
    <w:rsid w:val="008A5E3C"/>
    <w:rsid w:val="008A6374"/>
    <w:rsid w:val="008B0201"/>
    <w:rsid w:val="008B0A78"/>
    <w:rsid w:val="008B3763"/>
    <w:rsid w:val="008B51F3"/>
    <w:rsid w:val="008B7170"/>
    <w:rsid w:val="008C1ACF"/>
    <w:rsid w:val="008C2C0A"/>
    <w:rsid w:val="008C4D87"/>
    <w:rsid w:val="008D0B03"/>
    <w:rsid w:val="008D1E16"/>
    <w:rsid w:val="008D75FE"/>
    <w:rsid w:val="008F0E23"/>
    <w:rsid w:val="008F1405"/>
    <w:rsid w:val="008F49AD"/>
    <w:rsid w:val="008F4CE4"/>
    <w:rsid w:val="009003F4"/>
    <w:rsid w:val="00900A96"/>
    <w:rsid w:val="009030DC"/>
    <w:rsid w:val="0091202C"/>
    <w:rsid w:val="009151B2"/>
    <w:rsid w:val="00916850"/>
    <w:rsid w:val="009201DC"/>
    <w:rsid w:val="00921243"/>
    <w:rsid w:val="00926EDE"/>
    <w:rsid w:val="00934AD0"/>
    <w:rsid w:val="00935401"/>
    <w:rsid w:val="009356EB"/>
    <w:rsid w:val="00943F4B"/>
    <w:rsid w:val="00947603"/>
    <w:rsid w:val="00950B47"/>
    <w:rsid w:val="00952EBD"/>
    <w:rsid w:val="00954082"/>
    <w:rsid w:val="00956A5C"/>
    <w:rsid w:val="009602B5"/>
    <w:rsid w:val="0096159B"/>
    <w:rsid w:val="00963197"/>
    <w:rsid w:val="00963ABB"/>
    <w:rsid w:val="00964E99"/>
    <w:rsid w:val="00975559"/>
    <w:rsid w:val="00985BC9"/>
    <w:rsid w:val="00985FF8"/>
    <w:rsid w:val="00987A78"/>
    <w:rsid w:val="00990F29"/>
    <w:rsid w:val="00994A78"/>
    <w:rsid w:val="00994F17"/>
    <w:rsid w:val="009A42E4"/>
    <w:rsid w:val="009B05E0"/>
    <w:rsid w:val="009B3531"/>
    <w:rsid w:val="009B583E"/>
    <w:rsid w:val="009C22DF"/>
    <w:rsid w:val="009C2398"/>
    <w:rsid w:val="009C3C5A"/>
    <w:rsid w:val="009C6540"/>
    <w:rsid w:val="009D05A1"/>
    <w:rsid w:val="009D0EF9"/>
    <w:rsid w:val="009D1AEA"/>
    <w:rsid w:val="009D2B4D"/>
    <w:rsid w:val="009D2CC4"/>
    <w:rsid w:val="009D3CAC"/>
    <w:rsid w:val="009D7BFB"/>
    <w:rsid w:val="009E2C76"/>
    <w:rsid w:val="009E3C22"/>
    <w:rsid w:val="009E3EBA"/>
    <w:rsid w:val="009E4374"/>
    <w:rsid w:val="009F0642"/>
    <w:rsid w:val="009F1E36"/>
    <w:rsid w:val="009F2340"/>
    <w:rsid w:val="009F2F8F"/>
    <w:rsid w:val="009F3159"/>
    <w:rsid w:val="009F4415"/>
    <w:rsid w:val="009F547C"/>
    <w:rsid w:val="009F767D"/>
    <w:rsid w:val="00A00328"/>
    <w:rsid w:val="00A026D9"/>
    <w:rsid w:val="00A063DF"/>
    <w:rsid w:val="00A1128D"/>
    <w:rsid w:val="00A11BDF"/>
    <w:rsid w:val="00A122F6"/>
    <w:rsid w:val="00A15298"/>
    <w:rsid w:val="00A161A7"/>
    <w:rsid w:val="00A2060C"/>
    <w:rsid w:val="00A20674"/>
    <w:rsid w:val="00A237DD"/>
    <w:rsid w:val="00A240E9"/>
    <w:rsid w:val="00A27932"/>
    <w:rsid w:val="00A32543"/>
    <w:rsid w:val="00A336C1"/>
    <w:rsid w:val="00A421E8"/>
    <w:rsid w:val="00A42C48"/>
    <w:rsid w:val="00A47435"/>
    <w:rsid w:val="00A51A9C"/>
    <w:rsid w:val="00A55F5C"/>
    <w:rsid w:val="00A57111"/>
    <w:rsid w:val="00A66C12"/>
    <w:rsid w:val="00A71ACA"/>
    <w:rsid w:val="00A73971"/>
    <w:rsid w:val="00A74195"/>
    <w:rsid w:val="00A745B2"/>
    <w:rsid w:val="00A80A02"/>
    <w:rsid w:val="00A82FFF"/>
    <w:rsid w:val="00A872CD"/>
    <w:rsid w:val="00A90658"/>
    <w:rsid w:val="00A93D28"/>
    <w:rsid w:val="00A9538E"/>
    <w:rsid w:val="00A95766"/>
    <w:rsid w:val="00A95F05"/>
    <w:rsid w:val="00A96474"/>
    <w:rsid w:val="00AA0FB6"/>
    <w:rsid w:val="00AA1597"/>
    <w:rsid w:val="00AA1E42"/>
    <w:rsid w:val="00AA299A"/>
    <w:rsid w:val="00AA34CF"/>
    <w:rsid w:val="00AA7310"/>
    <w:rsid w:val="00AB3C6B"/>
    <w:rsid w:val="00AC7595"/>
    <w:rsid w:val="00AC7DC0"/>
    <w:rsid w:val="00AD32FC"/>
    <w:rsid w:val="00AD35F4"/>
    <w:rsid w:val="00AD51F7"/>
    <w:rsid w:val="00AE3896"/>
    <w:rsid w:val="00AE398A"/>
    <w:rsid w:val="00AE3CE3"/>
    <w:rsid w:val="00AE53C8"/>
    <w:rsid w:val="00AE5B4E"/>
    <w:rsid w:val="00AE7746"/>
    <w:rsid w:val="00AF5606"/>
    <w:rsid w:val="00B005D3"/>
    <w:rsid w:val="00B022ED"/>
    <w:rsid w:val="00B0420B"/>
    <w:rsid w:val="00B05153"/>
    <w:rsid w:val="00B05845"/>
    <w:rsid w:val="00B05942"/>
    <w:rsid w:val="00B05D80"/>
    <w:rsid w:val="00B06810"/>
    <w:rsid w:val="00B1158D"/>
    <w:rsid w:val="00B11896"/>
    <w:rsid w:val="00B123AA"/>
    <w:rsid w:val="00B13055"/>
    <w:rsid w:val="00B1367F"/>
    <w:rsid w:val="00B14334"/>
    <w:rsid w:val="00B144A6"/>
    <w:rsid w:val="00B16F37"/>
    <w:rsid w:val="00B172F1"/>
    <w:rsid w:val="00B17623"/>
    <w:rsid w:val="00B21697"/>
    <w:rsid w:val="00B27588"/>
    <w:rsid w:val="00B276BA"/>
    <w:rsid w:val="00B33786"/>
    <w:rsid w:val="00B35EA7"/>
    <w:rsid w:val="00B36572"/>
    <w:rsid w:val="00B36E06"/>
    <w:rsid w:val="00B40E6C"/>
    <w:rsid w:val="00B43038"/>
    <w:rsid w:val="00B44205"/>
    <w:rsid w:val="00B46BDC"/>
    <w:rsid w:val="00B52E8C"/>
    <w:rsid w:val="00B53159"/>
    <w:rsid w:val="00B54990"/>
    <w:rsid w:val="00B648E9"/>
    <w:rsid w:val="00B64F68"/>
    <w:rsid w:val="00B71D27"/>
    <w:rsid w:val="00B7231F"/>
    <w:rsid w:val="00B72A14"/>
    <w:rsid w:val="00B74FD0"/>
    <w:rsid w:val="00B761F4"/>
    <w:rsid w:val="00B8069B"/>
    <w:rsid w:val="00B816C9"/>
    <w:rsid w:val="00B819B4"/>
    <w:rsid w:val="00B825B3"/>
    <w:rsid w:val="00B907AB"/>
    <w:rsid w:val="00B91000"/>
    <w:rsid w:val="00B9254B"/>
    <w:rsid w:val="00B925DE"/>
    <w:rsid w:val="00B953C5"/>
    <w:rsid w:val="00B967BC"/>
    <w:rsid w:val="00B96D9A"/>
    <w:rsid w:val="00BA0884"/>
    <w:rsid w:val="00BA0CEC"/>
    <w:rsid w:val="00BA0EE6"/>
    <w:rsid w:val="00BA1726"/>
    <w:rsid w:val="00BA1CFE"/>
    <w:rsid w:val="00BA1D11"/>
    <w:rsid w:val="00BA4651"/>
    <w:rsid w:val="00BA6247"/>
    <w:rsid w:val="00BB4097"/>
    <w:rsid w:val="00BB4D2F"/>
    <w:rsid w:val="00BB4DDC"/>
    <w:rsid w:val="00BB7405"/>
    <w:rsid w:val="00BB74E6"/>
    <w:rsid w:val="00BC1922"/>
    <w:rsid w:val="00BC1CC8"/>
    <w:rsid w:val="00BC2D09"/>
    <w:rsid w:val="00BC3D36"/>
    <w:rsid w:val="00BC53EB"/>
    <w:rsid w:val="00BC75C3"/>
    <w:rsid w:val="00BD007E"/>
    <w:rsid w:val="00BD0F9A"/>
    <w:rsid w:val="00BD1CE4"/>
    <w:rsid w:val="00BD33AF"/>
    <w:rsid w:val="00BD40FE"/>
    <w:rsid w:val="00BE1AAE"/>
    <w:rsid w:val="00BE4DCE"/>
    <w:rsid w:val="00BF0304"/>
    <w:rsid w:val="00BF1A7B"/>
    <w:rsid w:val="00BF2524"/>
    <w:rsid w:val="00BF384D"/>
    <w:rsid w:val="00BF5513"/>
    <w:rsid w:val="00BF654D"/>
    <w:rsid w:val="00C00EAE"/>
    <w:rsid w:val="00C03EAA"/>
    <w:rsid w:val="00C05300"/>
    <w:rsid w:val="00C116C1"/>
    <w:rsid w:val="00C1753D"/>
    <w:rsid w:val="00C2072D"/>
    <w:rsid w:val="00C31A7E"/>
    <w:rsid w:val="00C33D54"/>
    <w:rsid w:val="00C34FCC"/>
    <w:rsid w:val="00C36FD6"/>
    <w:rsid w:val="00C40AD0"/>
    <w:rsid w:val="00C41CEB"/>
    <w:rsid w:val="00C4309C"/>
    <w:rsid w:val="00C435F7"/>
    <w:rsid w:val="00C45890"/>
    <w:rsid w:val="00C46F19"/>
    <w:rsid w:val="00C519F0"/>
    <w:rsid w:val="00C52E97"/>
    <w:rsid w:val="00C5401C"/>
    <w:rsid w:val="00C54247"/>
    <w:rsid w:val="00C56C6C"/>
    <w:rsid w:val="00C57261"/>
    <w:rsid w:val="00C5781A"/>
    <w:rsid w:val="00C57B09"/>
    <w:rsid w:val="00C62F3F"/>
    <w:rsid w:val="00C638C3"/>
    <w:rsid w:val="00C66CB9"/>
    <w:rsid w:val="00C70812"/>
    <w:rsid w:val="00C72F83"/>
    <w:rsid w:val="00C756F8"/>
    <w:rsid w:val="00C7661D"/>
    <w:rsid w:val="00C77C64"/>
    <w:rsid w:val="00C8204C"/>
    <w:rsid w:val="00C83CA0"/>
    <w:rsid w:val="00C83E00"/>
    <w:rsid w:val="00C845EA"/>
    <w:rsid w:val="00C93672"/>
    <w:rsid w:val="00C94EDA"/>
    <w:rsid w:val="00C95193"/>
    <w:rsid w:val="00CA099E"/>
    <w:rsid w:val="00CA211B"/>
    <w:rsid w:val="00CA2EC5"/>
    <w:rsid w:val="00CA469B"/>
    <w:rsid w:val="00CA69DA"/>
    <w:rsid w:val="00CB18AE"/>
    <w:rsid w:val="00CB4124"/>
    <w:rsid w:val="00CB4DCF"/>
    <w:rsid w:val="00CC1A6B"/>
    <w:rsid w:val="00CC2329"/>
    <w:rsid w:val="00CC370F"/>
    <w:rsid w:val="00CC7478"/>
    <w:rsid w:val="00CC7598"/>
    <w:rsid w:val="00CD03C5"/>
    <w:rsid w:val="00CD0A16"/>
    <w:rsid w:val="00CD2AD9"/>
    <w:rsid w:val="00CD497A"/>
    <w:rsid w:val="00CD4BDE"/>
    <w:rsid w:val="00CD6D47"/>
    <w:rsid w:val="00CE004E"/>
    <w:rsid w:val="00CE01F2"/>
    <w:rsid w:val="00CE08F6"/>
    <w:rsid w:val="00CE0B8E"/>
    <w:rsid w:val="00CE1622"/>
    <w:rsid w:val="00CE20EC"/>
    <w:rsid w:val="00CE5FF6"/>
    <w:rsid w:val="00CE68E5"/>
    <w:rsid w:val="00CF25D6"/>
    <w:rsid w:val="00CF3697"/>
    <w:rsid w:val="00CF5E0E"/>
    <w:rsid w:val="00CF7872"/>
    <w:rsid w:val="00D008F9"/>
    <w:rsid w:val="00D02DA5"/>
    <w:rsid w:val="00D03E1D"/>
    <w:rsid w:val="00D05215"/>
    <w:rsid w:val="00D0526C"/>
    <w:rsid w:val="00D05659"/>
    <w:rsid w:val="00D11646"/>
    <w:rsid w:val="00D11CBE"/>
    <w:rsid w:val="00D1397A"/>
    <w:rsid w:val="00D15C72"/>
    <w:rsid w:val="00D160CA"/>
    <w:rsid w:val="00D20486"/>
    <w:rsid w:val="00D20507"/>
    <w:rsid w:val="00D23357"/>
    <w:rsid w:val="00D23EFB"/>
    <w:rsid w:val="00D25909"/>
    <w:rsid w:val="00D27B06"/>
    <w:rsid w:val="00D31091"/>
    <w:rsid w:val="00D32489"/>
    <w:rsid w:val="00D329F6"/>
    <w:rsid w:val="00D331AA"/>
    <w:rsid w:val="00D33F15"/>
    <w:rsid w:val="00D347D1"/>
    <w:rsid w:val="00D36E94"/>
    <w:rsid w:val="00D370FD"/>
    <w:rsid w:val="00D41258"/>
    <w:rsid w:val="00D42207"/>
    <w:rsid w:val="00D430D1"/>
    <w:rsid w:val="00D474C1"/>
    <w:rsid w:val="00D50614"/>
    <w:rsid w:val="00D51FAF"/>
    <w:rsid w:val="00D57B5E"/>
    <w:rsid w:val="00D60E86"/>
    <w:rsid w:val="00D729CB"/>
    <w:rsid w:val="00D73168"/>
    <w:rsid w:val="00D750F5"/>
    <w:rsid w:val="00D753E7"/>
    <w:rsid w:val="00D7573B"/>
    <w:rsid w:val="00D76EE5"/>
    <w:rsid w:val="00D832F6"/>
    <w:rsid w:val="00D83F73"/>
    <w:rsid w:val="00D86AF2"/>
    <w:rsid w:val="00D90A26"/>
    <w:rsid w:val="00D90A28"/>
    <w:rsid w:val="00D91387"/>
    <w:rsid w:val="00D94FCE"/>
    <w:rsid w:val="00DA14A0"/>
    <w:rsid w:val="00DA51EF"/>
    <w:rsid w:val="00DA5AA0"/>
    <w:rsid w:val="00DA5C23"/>
    <w:rsid w:val="00DA687F"/>
    <w:rsid w:val="00DA7DD9"/>
    <w:rsid w:val="00DB10BD"/>
    <w:rsid w:val="00DB36C6"/>
    <w:rsid w:val="00DB708A"/>
    <w:rsid w:val="00DC0CB0"/>
    <w:rsid w:val="00DC479C"/>
    <w:rsid w:val="00DC53C8"/>
    <w:rsid w:val="00DD17FC"/>
    <w:rsid w:val="00DD2834"/>
    <w:rsid w:val="00DD2DE4"/>
    <w:rsid w:val="00DD5FC5"/>
    <w:rsid w:val="00DD7AEB"/>
    <w:rsid w:val="00DE0DFC"/>
    <w:rsid w:val="00DE3378"/>
    <w:rsid w:val="00DE35A0"/>
    <w:rsid w:val="00DE6020"/>
    <w:rsid w:val="00DE67BB"/>
    <w:rsid w:val="00DE6F75"/>
    <w:rsid w:val="00DF1A18"/>
    <w:rsid w:val="00E01B62"/>
    <w:rsid w:val="00E02C96"/>
    <w:rsid w:val="00E05562"/>
    <w:rsid w:val="00E069C4"/>
    <w:rsid w:val="00E14A70"/>
    <w:rsid w:val="00E1533A"/>
    <w:rsid w:val="00E15377"/>
    <w:rsid w:val="00E20D75"/>
    <w:rsid w:val="00E219DF"/>
    <w:rsid w:val="00E21BB2"/>
    <w:rsid w:val="00E21F00"/>
    <w:rsid w:val="00E22DC4"/>
    <w:rsid w:val="00E22FD9"/>
    <w:rsid w:val="00E26F98"/>
    <w:rsid w:val="00E31B49"/>
    <w:rsid w:val="00E31B91"/>
    <w:rsid w:val="00E35425"/>
    <w:rsid w:val="00E41546"/>
    <w:rsid w:val="00E419D2"/>
    <w:rsid w:val="00E43144"/>
    <w:rsid w:val="00E53225"/>
    <w:rsid w:val="00E537F4"/>
    <w:rsid w:val="00E53E11"/>
    <w:rsid w:val="00E56B7F"/>
    <w:rsid w:val="00E60680"/>
    <w:rsid w:val="00E616B9"/>
    <w:rsid w:val="00E657FE"/>
    <w:rsid w:val="00E67697"/>
    <w:rsid w:val="00E7349B"/>
    <w:rsid w:val="00E753BB"/>
    <w:rsid w:val="00E75F68"/>
    <w:rsid w:val="00E8215F"/>
    <w:rsid w:val="00E90C6F"/>
    <w:rsid w:val="00E92DDB"/>
    <w:rsid w:val="00E944CF"/>
    <w:rsid w:val="00E951D7"/>
    <w:rsid w:val="00E95A17"/>
    <w:rsid w:val="00E96669"/>
    <w:rsid w:val="00EA0DB3"/>
    <w:rsid w:val="00EA0E51"/>
    <w:rsid w:val="00EA5ED7"/>
    <w:rsid w:val="00EA6C19"/>
    <w:rsid w:val="00EB1367"/>
    <w:rsid w:val="00EB53E3"/>
    <w:rsid w:val="00EB659E"/>
    <w:rsid w:val="00EC5C80"/>
    <w:rsid w:val="00ED04F9"/>
    <w:rsid w:val="00EE0F4C"/>
    <w:rsid w:val="00EE19C3"/>
    <w:rsid w:val="00EE24D8"/>
    <w:rsid w:val="00EE6F06"/>
    <w:rsid w:val="00EE7912"/>
    <w:rsid w:val="00EF123D"/>
    <w:rsid w:val="00EF1799"/>
    <w:rsid w:val="00EF31CA"/>
    <w:rsid w:val="00EF54FD"/>
    <w:rsid w:val="00EF7890"/>
    <w:rsid w:val="00F01667"/>
    <w:rsid w:val="00F0287F"/>
    <w:rsid w:val="00F061FA"/>
    <w:rsid w:val="00F067BB"/>
    <w:rsid w:val="00F06915"/>
    <w:rsid w:val="00F3279E"/>
    <w:rsid w:val="00F3428A"/>
    <w:rsid w:val="00F35E91"/>
    <w:rsid w:val="00F410ED"/>
    <w:rsid w:val="00F4176E"/>
    <w:rsid w:val="00F469C0"/>
    <w:rsid w:val="00F46B14"/>
    <w:rsid w:val="00F53D14"/>
    <w:rsid w:val="00F55943"/>
    <w:rsid w:val="00F55C20"/>
    <w:rsid w:val="00F562A1"/>
    <w:rsid w:val="00F56362"/>
    <w:rsid w:val="00F57817"/>
    <w:rsid w:val="00F57C3D"/>
    <w:rsid w:val="00F610DE"/>
    <w:rsid w:val="00F613D4"/>
    <w:rsid w:val="00F63CE5"/>
    <w:rsid w:val="00F66A79"/>
    <w:rsid w:val="00F72777"/>
    <w:rsid w:val="00F75AAB"/>
    <w:rsid w:val="00F77901"/>
    <w:rsid w:val="00F83E86"/>
    <w:rsid w:val="00FA041A"/>
    <w:rsid w:val="00FA1573"/>
    <w:rsid w:val="00FC1949"/>
    <w:rsid w:val="00FC2148"/>
    <w:rsid w:val="00FC43A5"/>
    <w:rsid w:val="00FD391D"/>
    <w:rsid w:val="00FD3DB2"/>
    <w:rsid w:val="00FD72BB"/>
    <w:rsid w:val="00FE036A"/>
    <w:rsid w:val="00FE3C23"/>
    <w:rsid w:val="00FE435A"/>
    <w:rsid w:val="00FE72AC"/>
    <w:rsid w:val="00FF0105"/>
    <w:rsid w:val="00FF0F13"/>
    <w:rsid w:val="00FF1892"/>
    <w:rsid w:val="00FF2873"/>
    <w:rsid w:val="00FF2B2F"/>
    <w:rsid w:val="00FF3321"/>
    <w:rsid w:val="00FF511E"/>
    <w:rsid w:val="00FF7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character" w:styleId="CommentReference">
    <w:name w:val="annotation reference"/>
    <w:basedOn w:val="DefaultParagraphFont"/>
    <w:rsid w:val="009B05E0"/>
    <w:rPr>
      <w:sz w:val="16"/>
      <w:szCs w:val="16"/>
    </w:rPr>
  </w:style>
  <w:style w:type="paragraph" w:styleId="CommentText">
    <w:name w:val="annotation text"/>
    <w:basedOn w:val="Normal"/>
    <w:link w:val="CommentTextChar"/>
    <w:rsid w:val="009B05E0"/>
    <w:pPr>
      <w:spacing w:line="240" w:lineRule="auto"/>
    </w:pPr>
    <w:rPr>
      <w:sz w:val="20"/>
    </w:rPr>
  </w:style>
  <w:style w:type="character" w:customStyle="1" w:styleId="CommentTextChar">
    <w:name w:val="Comment Text Char"/>
    <w:basedOn w:val="DefaultParagraphFont"/>
    <w:link w:val="CommentText"/>
    <w:rsid w:val="009B05E0"/>
  </w:style>
  <w:style w:type="paragraph" w:styleId="CommentSubject">
    <w:name w:val="annotation subject"/>
    <w:basedOn w:val="CommentText"/>
    <w:next w:val="CommentText"/>
    <w:link w:val="CommentSubjectChar"/>
    <w:rsid w:val="009B05E0"/>
    <w:rPr>
      <w:b/>
      <w:bCs/>
    </w:rPr>
  </w:style>
  <w:style w:type="character" w:customStyle="1" w:styleId="CommentSubjectChar">
    <w:name w:val="Comment Subject Char"/>
    <w:basedOn w:val="CommentTextChar"/>
    <w:link w:val="CommentSubject"/>
    <w:rsid w:val="009B05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character" w:styleId="CommentReference">
    <w:name w:val="annotation reference"/>
    <w:basedOn w:val="DefaultParagraphFont"/>
    <w:rsid w:val="009B05E0"/>
    <w:rPr>
      <w:sz w:val="16"/>
      <w:szCs w:val="16"/>
    </w:rPr>
  </w:style>
  <w:style w:type="paragraph" w:styleId="CommentText">
    <w:name w:val="annotation text"/>
    <w:basedOn w:val="Normal"/>
    <w:link w:val="CommentTextChar"/>
    <w:rsid w:val="009B05E0"/>
    <w:pPr>
      <w:spacing w:line="240" w:lineRule="auto"/>
    </w:pPr>
    <w:rPr>
      <w:sz w:val="20"/>
    </w:rPr>
  </w:style>
  <w:style w:type="character" w:customStyle="1" w:styleId="CommentTextChar">
    <w:name w:val="Comment Text Char"/>
    <w:basedOn w:val="DefaultParagraphFont"/>
    <w:link w:val="CommentText"/>
    <w:rsid w:val="009B05E0"/>
  </w:style>
  <w:style w:type="paragraph" w:styleId="CommentSubject">
    <w:name w:val="annotation subject"/>
    <w:basedOn w:val="CommentText"/>
    <w:next w:val="CommentText"/>
    <w:link w:val="CommentSubjectChar"/>
    <w:rsid w:val="009B05E0"/>
    <w:rPr>
      <w:b/>
      <w:bCs/>
    </w:rPr>
  </w:style>
  <w:style w:type="character" w:customStyle="1" w:styleId="CommentSubjectChar">
    <w:name w:val="Comment Subject Char"/>
    <w:basedOn w:val="CommentTextChar"/>
    <w:link w:val="CommentSubject"/>
    <w:rsid w:val="009B05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ecisions\DecisionAndReasons_A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DC49AAF5CF643128D73A3888C19EE23"/>
        <w:category>
          <w:name w:val="General"/>
          <w:gallery w:val="placeholder"/>
        </w:category>
        <w:types>
          <w:type w:val="bbPlcHdr"/>
        </w:types>
        <w:behaviors>
          <w:behavior w:val="content"/>
        </w:behaviors>
        <w:guid w:val="{B774A4C0-5BBD-4E16-B6A7-BF6C4CE58E04}"/>
      </w:docPartPr>
      <w:docPartBody>
        <w:p w:rsidR="00FB1B85" w:rsidRDefault="00FB1B85">
          <w:pPr>
            <w:pStyle w:val="BDC49AAF5CF643128D73A3888C19EE23"/>
          </w:pPr>
          <w:r w:rsidRPr="00CD5897">
            <w:rPr>
              <w:rStyle w:val="PlaceholderText"/>
            </w:rPr>
            <w:t>Click here to enter</w:t>
          </w:r>
          <w:r>
            <w:rPr>
              <w:rStyle w:val="PlaceholderText"/>
            </w:rPr>
            <w:t xml:space="preserve"> decision</w:t>
          </w:r>
          <w:r w:rsidRPr="00CD5897">
            <w:rPr>
              <w:rStyle w:val="PlaceholderText"/>
            </w:rPr>
            <w:t>.</w:t>
          </w:r>
        </w:p>
      </w:docPartBody>
    </w:docPart>
    <w:docPart>
      <w:docPartPr>
        <w:name w:val="FADBA8952FCF425396EF0FFDC04C6903"/>
        <w:category>
          <w:name w:val="General"/>
          <w:gallery w:val="placeholder"/>
        </w:category>
        <w:types>
          <w:type w:val="bbPlcHdr"/>
        </w:types>
        <w:behaviors>
          <w:behavior w:val="content"/>
        </w:behaviors>
        <w:guid w:val="{32152E0F-C4AC-4156-8995-5EAC55EE6927}"/>
      </w:docPartPr>
      <w:docPartBody>
        <w:p w:rsidR="00FB1B85" w:rsidRDefault="00FB1B85">
          <w:pPr>
            <w:pStyle w:val="FADBA8952FCF425396EF0FFDC04C6903"/>
          </w:pPr>
          <w:r w:rsidRPr="00CD5897">
            <w:rPr>
              <w:rStyle w:val="PlaceholderText"/>
            </w:rPr>
            <w:t>Click here to enter text.</w:t>
          </w:r>
        </w:p>
      </w:docPartBody>
    </w:docPart>
    <w:docPart>
      <w:docPartPr>
        <w:name w:val="CFDEA52D1B0A431082AE7A7203C2A65D"/>
        <w:category>
          <w:name w:val="General"/>
          <w:gallery w:val="placeholder"/>
        </w:category>
        <w:types>
          <w:type w:val="bbPlcHdr"/>
        </w:types>
        <w:behaviors>
          <w:behavior w:val="content"/>
        </w:behaviors>
        <w:guid w:val="{25548DB2-A12A-4900-9081-4A6B62DCB212}"/>
      </w:docPartPr>
      <w:docPartBody>
        <w:p w:rsidR="00FB1B85" w:rsidRDefault="00FB1B85">
          <w:pPr>
            <w:pStyle w:val="CFDEA52D1B0A431082AE7A7203C2A65D"/>
          </w:pPr>
          <w:r w:rsidRPr="00CD5897">
            <w:rPr>
              <w:rStyle w:val="PlaceholderText"/>
            </w:rPr>
            <w:t>Click here to enter text.</w:t>
          </w:r>
        </w:p>
      </w:docPartBody>
    </w:docPart>
    <w:docPart>
      <w:docPartPr>
        <w:name w:val="82BB5ED55DB443388B536844BF34CFEB"/>
        <w:category>
          <w:name w:val="General"/>
          <w:gallery w:val="placeholder"/>
        </w:category>
        <w:types>
          <w:type w:val="bbPlcHdr"/>
        </w:types>
        <w:behaviors>
          <w:behavior w:val="content"/>
        </w:behaviors>
        <w:guid w:val="{7B596FE2-BEB3-4969-91EC-96000BD294FD}"/>
      </w:docPartPr>
      <w:docPartBody>
        <w:p w:rsidR="00FB1B85" w:rsidRDefault="00FB1B85">
          <w:pPr>
            <w:pStyle w:val="82BB5ED55DB443388B536844BF34CFEB"/>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B85"/>
    <w:rsid w:val="00FB1B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DC49AAF5CF643128D73A3888C19EE23">
    <w:name w:val="BDC49AAF5CF643128D73A3888C19EE23"/>
  </w:style>
  <w:style w:type="paragraph" w:customStyle="1" w:styleId="FADBA8952FCF425396EF0FFDC04C6903">
    <w:name w:val="FADBA8952FCF425396EF0FFDC04C6903"/>
  </w:style>
  <w:style w:type="paragraph" w:customStyle="1" w:styleId="CFDEA52D1B0A431082AE7A7203C2A65D">
    <w:name w:val="CFDEA52D1B0A431082AE7A7203C2A65D"/>
  </w:style>
  <w:style w:type="paragraph" w:customStyle="1" w:styleId="82BB5ED55DB443388B536844BF34CFEB">
    <w:name w:val="82BB5ED55DB443388B536844BF34CFEB"/>
  </w:style>
  <w:style w:type="paragraph" w:customStyle="1" w:styleId="D1AAEC0A1B6B44D1B82B9F3EB240D86C">
    <w:name w:val="D1AAEC0A1B6B44D1B82B9F3EB240D8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DC49AAF5CF643128D73A3888C19EE23">
    <w:name w:val="BDC49AAF5CF643128D73A3888C19EE23"/>
  </w:style>
  <w:style w:type="paragraph" w:customStyle="1" w:styleId="FADBA8952FCF425396EF0FFDC04C6903">
    <w:name w:val="FADBA8952FCF425396EF0FFDC04C6903"/>
  </w:style>
  <w:style w:type="paragraph" w:customStyle="1" w:styleId="CFDEA52D1B0A431082AE7A7203C2A65D">
    <w:name w:val="CFDEA52D1B0A431082AE7A7203C2A65D"/>
  </w:style>
  <w:style w:type="paragraph" w:customStyle="1" w:styleId="82BB5ED55DB443388B536844BF34CFEB">
    <w:name w:val="82BB5ED55DB443388B536844BF34CFEB"/>
  </w:style>
  <w:style w:type="paragraph" w:customStyle="1" w:styleId="D1AAEC0A1B6B44D1B82B9F3EB240D86C">
    <w:name w:val="D1AAEC0A1B6B44D1B82B9F3EB240D8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A8CEA-4972-4FA0-A8A3-7A718C4CA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DecisionAndReasons_AAT.dotm</Template>
  <TotalTime>0</TotalTime>
  <Pages>9</Pages>
  <Words>2567</Words>
  <Characters>13663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16198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Constance, James</dc:creator>
  <cp:lastModifiedBy>Dalwood, Jacqui</cp:lastModifiedBy>
  <cp:revision>2</cp:revision>
  <cp:lastPrinted>2015-05-06T04:14:00Z</cp:lastPrinted>
  <dcterms:created xsi:type="dcterms:W3CDTF">2015-05-08T04:55:00Z</dcterms:created>
  <dcterms:modified xsi:type="dcterms:W3CDTF">2015-05-08T04:55:00Z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vt:lpwstr>
  </property>
  <property fmtid="{D5CDD505-2E9C-101B-9397-08002B2CF9AE}" pid="3" name="TribunalText">
    <vt:lpwstr>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WNRW</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Department of Human Services</vt:lpwstr>
  </property>
  <property fmtid="{D5CDD505-2E9C-101B-9397-08002B2CF9AE}" pid="26" name="FileNumber">
    <vt:lpwstr>2014/6370</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GENERAL ADMINISTRATIVE DIVISION</vt:lpwstr>
  </property>
  <property fmtid="{D5CDD505-2E9C-101B-9397-08002B2CF9AE}" pid="71" name="TribunalSignee">
    <vt:lpwstr>Deputy President J W Constance</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23 February 2015</vt:lpwstr>
  </property>
  <property fmtid="{D5CDD505-2E9C-101B-9397-08002B2CF9AE}" pid="77" name="DateFinalSubmission">
    <vt:lpwstr>23 February 2015</vt:lpwstr>
  </property>
  <property fmtid="{D5CDD505-2E9C-101B-9397-08002B2CF9AE}" pid="78" name="Applicant_Counsel">
    <vt:lpwstr> </vt:lpwstr>
  </property>
  <property fmtid="{D5CDD505-2E9C-101B-9397-08002B2CF9AE}" pid="79" name="Applicant_Advocate">
    <vt:lpwstr> </vt:lpwstr>
  </property>
  <property fmtid="{D5CDD505-2E9C-101B-9397-08002B2CF9AE}" pid="80" name="Applicant_Solicitors">
    <vt:lpwstr>C Sibley; Clayton Utz</vt:lpwstr>
  </property>
  <property fmtid="{D5CDD505-2E9C-101B-9397-08002B2CF9AE}" pid="81" name="Respondent_Counsel">
    <vt:lpwstr> </vt:lpwstr>
  </property>
  <property fmtid="{D5CDD505-2E9C-101B-9397-08002B2CF9AE}" pid="82" name="Respondent_Advocate">
    <vt:lpwstr> </vt:lpwstr>
  </property>
  <property fmtid="{D5CDD505-2E9C-101B-9397-08002B2CF9AE}" pid="83" name="Respondent_Solicitors">
    <vt:lpwstr> </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Associate</vt:lpwstr>
  </property>
  <property fmtid="{D5CDD505-2E9C-101B-9397-08002B2CF9AE}" pid="95" name="DateWrittenReason">
    <vt:lpwstr/>
  </property>
  <property fmtid="{D5CDD505-2E9C-101B-9397-08002B2CF9AE}" pid="96" name="DecisionDate">
    <vt:lpwstr>7 May 2015</vt:lpwstr>
  </property>
  <property fmtid="{D5CDD505-2E9C-101B-9397-08002B2CF9AE}" pid="97" name="ReasonsforDecisionDate">
    <vt:lpwstr>7 May 2015</vt:lpwstr>
  </property>
  <property fmtid="{D5CDD505-2E9C-101B-9397-08002B2CF9AE}" pid="98" name="StampDate">
    <vt:lpwstr>7 May 2015</vt:lpwstr>
  </property>
  <property fmtid="{D5CDD505-2E9C-101B-9397-08002B2CF9AE}" pid="99" name="TribunalLastPgForm">
    <vt:lpwstr> </vt:lpwstr>
  </property>
  <property fmtid="{D5CDD505-2E9C-101B-9397-08002B2CF9AE}" pid="100" name="InfoCDC">
    <vt:lpwstr> </vt:lpwstr>
  </property>
  <property fmtid="{D5CDD505-2E9C-101B-9397-08002B2CF9AE}" pid="101" name="Place">
    <vt:lpwstr>Adelaide</vt:lpwstr>
  </property>
</Properties>
</file>