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D3545E">
        <w:t>2014</w:t>
      </w:r>
      <w:r w:rsidR="00661270" w:rsidRPr="000A40FB">
        <w:t xml:space="preserve">] </w:t>
      </w:r>
      <w:r w:rsidR="00531AA1" w:rsidRPr="000A40FB">
        <w:t>AATA</w:t>
      </w:r>
      <w:r w:rsidR="00E00A1D">
        <w:t xml:space="preserve"> 92</w:t>
      </w:r>
      <w:r w:rsidR="00B606DD">
        <w:t>2</w:t>
      </w:r>
      <w:r w:rsidR="00531AA1" w:rsidRPr="000A40FB">
        <w:t xml:space="preserve"> </w:t>
      </w:r>
      <w:fldSimple w:instr=" DOCPROPERTY  DecisionNumber ">
        <w:r w:rsidR="00E55557">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E55557">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E55557">
              <w:t>2014/2495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E00A1D" w:rsidP="00036C03">
            <w:pPr>
              <w:pStyle w:val="Details"/>
            </w:pPr>
            <w:fldSimple w:instr=" DOCPROPERTY  Applicant ">
              <w:r w:rsidR="00E55557">
                <w:t>Patrick Abed</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00A1D" w:rsidP="00036C03">
            <w:pPr>
              <w:pStyle w:val="Details"/>
            </w:pPr>
            <w:fldSimple w:instr=" DOCPROPERTY  Respondent ">
              <w:r w:rsidR="00E55557">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E55557" w:rsidRPr="00BC2D09" w:rsidTr="00E92DDB">
        <w:trPr>
          <w:trHeight w:val="567"/>
        </w:trPr>
        <w:tc>
          <w:tcPr>
            <w:tcW w:w="1956" w:type="dxa"/>
          </w:tcPr>
          <w:p w:rsidR="00E55557" w:rsidRPr="00BC2D09" w:rsidRDefault="00E55557" w:rsidP="00A96474">
            <w:pPr>
              <w:pStyle w:val="NoSpacing"/>
              <w:rPr>
                <w:lang w:eastAsia="en-US"/>
              </w:rPr>
            </w:pPr>
            <w:bookmarkStart w:id="2" w:name="DecisionSummary"/>
            <w:bookmarkStart w:id="3" w:name="Decision"/>
            <w:r w:rsidRPr="00BC2D09">
              <w:rPr>
                <w:lang w:eastAsia="en-US"/>
              </w:rPr>
              <w:t>Tribunal</w:t>
            </w:r>
          </w:p>
        </w:tc>
        <w:tc>
          <w:tcPr>
            <w:tcW w:w="6833" w:type="dxa"/>
          </w:tcPr>
          <w:p w:rsidR="00E55557" w:rsidRDefault="00E55557"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Bernard J McCabe</w:t>
            </w:r>
            <w:r>
              <w:rPr>
                <w:b/>
                <w:bCs/>
                <w:lang w:eastAsia="en-US"/>
              </w:rPr>
              <w:fldChar w:fldCharType="end"/>
            </w:r>
          </w:p>
          <w:p w:rsidR="00E55557" w:rsidRDefault="00E55557"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E55557" w:rsidRPr="00771CAC" w:rsidRDefault="00E55557" w:rsidP="00A96474">
            <w:pPr>
              <w:pStyle w:val="NoSpacing"/>
              <w:rPr>
                <w:b/>
                <w:bCs/>
                <w:lang w:eastAsia="en-US"/>
              </w:rPr>
            </w:pPr>
          </w:p>
        </w:tc>
      </w:tr>
      <w:tr w:rsidR="00E55557" w:rsidRPr="00BC2D09" w:rsidTr="00E92DDB">
        <w:trPr>
          <w:trHeight w:val="567"/>
        </w:trPr>
        <w:tc>
          <w:tcPr>
            <w:tcW w:w="1956" w:type="dxa"/>
          </w:tcPr>
          <w:p w:rsidR="00E55557" w:rsidRPr="00BC2D09" w:rsidRDefault="00E55557" w:rsidP="00A96474">
            <w:pPr>
              <w:pStyle w:val="NoSpacing"/>
              <w:rPr>
                <w:lang w:eastAsia="en-US"/>
              </w:rPr>
            </w:pPr>
            <w:r w:rsidRPr="00BC2D09">
              <w:rPr>
                <w:lang w:eastAsia="en-US"/>
              </w:rPr>
              <w:t>Date</w:t>
            </w:r>
          </w:p>
        </w:tc>
        <w:tc>
          <w:tcPr>
            <w:tcW w:w="6833" w:type="dxa"/>
          </w:tcPr>
          <w:p w:rsidR="00E55557" w:rsidRPr="00771CAC" w:rsidRDefault="00E55557"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10 November 2014</w:t>
            </w:r>
            <w:r>
              <w:rPr>
                <w:b/>
                <w:bCs/>
                <w:lang w:eastAsia="en-US"/>
              </w:rPr>
              <w:fldChar w:fldCharType="end"/>
            </w:r>
          </w:p>
        </w:tc>
      </w:tr>
      <w:tr w:rsidR="00E55557" w:rsidRPr="00BC2D09" w:rsidTr="00E92DDB">
        <w:trPr>
          <w:trHeight w:val="567"/>
        </w:trPr>
        <w:tc>
          <w:tcPr>
            <w:tcW w:w="1956" w:type="dxa"/>
          </w:tcPr>
          <w:p w:rsidR="00E55557" w:rsidRPr="00BC2D09" w:rsidRDefault="00E55557" w:rsidP="00A96474">
            <w:pPr>
              <w:pStyle w:val="NoSpacing"/>
              <w:rPr>
                <w:lang w:eastAsia="en-US"/>
              </w:rPr>
            </w:pPr>
            <w:r w:rsidRPr="00BC2D09">
              <w:rPr>
                <w:lang w:eastAsia="en-US"/>
              </w:rPr>
              <w:t>Place</w:t>
            </w:r>
          </w:p>
        </w:tc>
        <w:tc>
          <w:tcPr>
            <w:tcW w:w="6833" w:type="dxa"/>
          </w:tcPr>
          <w:p w:rsidR="00E55557" w:rsidRPr="00771CAC" w:rsidRDefault="00E55557"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CDAB162B82564BD3AC5C6A4415F116E0"/>
        </w:placeholder>
      </w:sdtPr>
      <w:sdtEndPr/>
      <w:sdtContent>
        <w:p w:rsidR="00BC2D09" w:rsidRPr="00BC2D09" w:rsidRDefault="00F54B50" w:rsidP="00BC2D09">
          <w:pPr>
            <w:rPr>
              <w:lang w:eastAsia="en-US"/>
            </w:rPr>
          </w:pPr>
          <w:r>
            <w:rPr>
              <w:lang w:eastAsia="en-US"/>
            </w:rPr>
            <w:t xml:space="preserve">The decision under review is affirmed. </w:t>
          </w:r>
        </w:p>
      </w:sdtContent>
    </w:sdt>
    <w:bookmarkEnd w:id="2"/>
    <w:p w:rsidR="00BC2D09" w:rsidRPr="00BC2D09" w:rsidRDefault="00DC36EC" w:rsidP="001E4799">
      <w:pPr>
        <w:keepNext/>
        <w:spacing w:before="960"/>
        <w:rPr>
          <w:lang w:eastAsia="en-US"/>
        </w:rPr>
      </w:pPr>
      <w:r>
        <w:rPr>
          <w:lang w:eastAsia="en-US"/>
        </w:rPr>
        <w:br/>
      </w:r>
      <w:proofErr w:type="gramStart"/>
      <w:r w:rsidR="00BC2D09" w:rsidRPr="00BC2D09">
        <w:rPr>
          <w:lang w:eastAsia="en-US"/>
        </w:rPr>
        <w:t>............................</w:t>
      </w:r>
      <w:r w:rsidR="00B606DD">
        <w:rPr>
          <w:lang w:eastAsia="en-US"/>
        </w:rPr>
        <w:t>[</w:t>
      </w:r>
      <w:proofErr w:type="gramEnd"/>
      <w:r w:rsidR="00B606DD">
        <w:rPr>
          <w:lang w:eastAsia="en-US"/>
        </w:rPr>
        <w:t>Sgd]</w:t>
      </w:r>
      <w:r w:rsidR="00BC2D09"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E55557">
        <w:rPr>
          <w:b/>
          <w:lang w:eastAsia="en-US"/>
        </w:rPr>
        <w:t>Senior Member Bernard J McCabe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844DFE0B50B34864994C83F338A26F94"/>
        </w:placeholder>
      </w:sdtPr>
      <w:sdtEndPr/>
      <w:sdtContent>
        <w:p w:rsidR="00663326" w:rsidRDefault="00DC36EC" w:rsidP="004A55A2">
          <w:pPr>
            <w:pStyle w:val="CatchWords"/>
            <w:rPr>
              <w:b/>
              <w:i w:val="0"/>
              <w:lang w:eastAsia="en-US"/>
            </w:rPr>
          </w:pPr>
          <w:r w:rsidRPr="00DC36EC">
            <w:rPr>
              <w:b/>
              <w:i w:val="0"/>
              <w:lang w:eastAsia="en-US"/>
            </w:rPr>
            <w:t>CATCHWORDS</w:t>
          </w:r>
        </w:p>
        <w:p w:rsidR="004152C5" w:rsidRPr="00DC36EC" w:rsidRDefault="00663326" w:rsidP="004A55A2">
          <w:pPr>
            <w:pStyle w:val="CatchWords"/>
            <w:rPr>
              <w:b/>
              <w:i w:val="0"/>
              <w:lang w:eastAsia="en-US"/>
            </w:rPr>
          </w:pPr>
          <w:r>
            <w:rPr>
              <w:lang w:eastAsia="en-US"/>
            </w:rPr>
            <w:t>SOCIAL SECURITY – Special circumstances – Whether applicant satisfies special circumstance</w:t>
          </w:r>
          <w:r w:rsidR="00915ED4">
            <w:rPr>
              <w:lang w:eastAsia="en-US"/>
            </w:rPr>
            <w:t>s</w:t>
          </w:r>
          <w:r>
            <w:rPr>
              <w:lang w:eastAsia="en-US"/>
            </w:rPr>
            <w:t xml:space="preserve"> requirements </w:t>
          </w:r>
          <w:r w:rsidR="00A933B3">
            <w:rPr>
              <w:lang w:eastAsia="en-US"/>
            </w:rPr>
            <w:t>–</w:t>
          </w:r>
          <w:r>
            <w:rPr>
              <w:lang w:eastAsia="en-US"/>
            </w:rPr>
            <w:t xml:space="preserve"> </w:t>
          </w:r>
          <w:r w:rsidR="00A933B3">
            <w:rPr>
              <w:lang w:eastAsia="en-US"/>
            </w:rPr>
            <w:t xml:space="preserve">Applicant does not satisfy </w:t>
          </w:r>
          <w:r w:rsidR="00A933B3">
            <w:t xml:space="preserve">requirements provided for in s 1184K of the </w:t>
          </w:r>
          <w:r w:rsidR="00E55557">
            <w:br/>
          </w:r>
          <w:r w:rsidR="00A933B3">
            <w:t>Social Security Act 1991 (</w:t>
          </w:r>
          <w:proofErr w:type="spellStart"/>
          <w:r w:rsidR="00A933B3">
            <w:t>Cth</w:t>
          </w:r>
          <w:proofErr w:type="spellEnd"/>
          <w:r w:rsidR="00A933B3">
            <w:t xml:space="preserve">) – </w:t>
          </w:r>
          <w:r w:rsidR="00A933B3">
            <w:rPr>
              <w:lang w:eastAsia="en-US"/>
            </w:rPr>
            <w:t>Decision under review affirmed.</w:t>
          </w:r>
        </w:p>
      </w:sdtContent>
    </w:sdt>
    <w:p w:rsidR="00CF5E0E" w:rsidRPr="00DC36EC" w:rsidRDefault="00CF5E0E" w:rsidP="00CF5E0E">
      <w:pPr>
        <w:pStyle w:val="NoSpacing"/>
        <w:rPr>
          <w:b/>
          <w:lang w:eastAsia="en-US"/>
        </w:rPr>
      </w:pPr>
    </w:p>
    <w:bookmarkStart w:id="5" w:name="LegislationTitle" w:displacedByCustomXml="next"/>
    <w:bookmarkEnd w:id="5" w:displacedByCustomXml="next"/>
    <w:sdt>
      <w:sdtPr>
        <w:rPr>
          <w:b/>
          <w:i w:val="0"/>
          <w:lang w:eastAsia="en-US"/>
        </w:rPr>
        <w:alias w:val="Legislation"/>
        <w:tag w:val="Legislation"/>
        <w:id w:val="-13298432"/>
        <w:placeholder>
          <w:docPart w:val="2B465477A10748868480B6AC4F24B6E1"/>
        </w:placeholder>
      </w:sdtPr>
      <w:sdtEndPr>
        <w:rPr>
          <w:i/>
        </w:rPr>
      </w:sdtEndPr>
      <w:sdtContent>
        <w:p w:rsidR="00663326" w:rsidRDefault="00DC36EC" w:rsidP="00E616B9">
          <w:pPr>
            <w:pStyle w:val="CatchWords"/>
            <w:rPr>
              <w:b/>
              <w:i w:val="0"/>
              <w:lang w:eastAsia="en-US"/>
            </w:rPr>
          </w:pPr>
          <w:r w:rsidRPr="00DC36EC">
            <w:rPr>
              <w:b/>
              <w:i w:val="0"/>
              <w:lang w:eastAsia="en-US"/>
            </w:rPr>
            <w:t>LEGISLATION</w:t>
          </w:r>
        </w:p>
        <w:p w:rsidR="005F2E99" w:rsidRPr="00DC36EC" w:rsidRDefault="00663326" w:rsidP="00A933B3">
          <w:pPr>
            <w:pStyle w:val="CatchWords"/>
            <w:rPr>
              <w:b/>
              <w:lang w:eastAsia="en-US"/>
            </w:rPr>
          </w:pPr>
          <w:r w:rsidRPr="00663326">
            <w:t xml:space="preserve">Social Security Act 1991 </w:t>
          </w:r>
          <w:r w:rsidRPr="00663326">
            <w:rPr>
              <w:i w:val="0"/>
            </w:rPr>
            <w:t>(</w:t>
          </w:r>
          <w:proofErr w:type="spellStart"/>
          <w:r w:rsidRPr="00663326">
            <w:rPr>
              <w:i w:val="0"/>
            </w:rPr>
            <w:t>Cth</w:t>
          </w:r>
          <w:proofErr w:type="spellEnd"/>
          <w:r w:rsidRPr="00663326">
            <w:rPr>
              <w:i w:val="0"/>
            </w:rPr>
            <w:t>)</w:t>
          </w:r>
          <w:r>
            <w:rPr>
              <w:i w:val="0"/>
            </w:rPr>
            <w:t>, s 1184K</w:t>
          </w:r>
        </w:p>
      </w:sdtContent>
    </w:sdt>
    <w:p w:rsidR="00BC2D09" w:rsidRPr="00DC36EC" w:rsidRDefault="00BC2D09" w:rsidP="005F2E99">
      <w:pPr>
        <w:pStyle w:val="CatchWords"/>
        <w:rPr>
          <w:b/>
          <w:i w:val="0"/>
        </w:rPr>
      </w:pPr>
      <w:bookmarkStart w:id="6" w:name="SecondaryMaterialsTitle"/>
      <w:bookmarkEnd w:id="6"/>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E55557">
        <w:rPr>
          <w:b/>
          <w:lang w:eastAsia="en-US"/>
        </w:rPr>
        <w:t>Senior Member Bernard J McCabe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212EA9" w:rsidRDefault="006D3300" w:rsidP="00212EA9">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E55557">
        <w:rPr>
          <w:b/>
          <w:lang w:eastAsia="en-US"/>
        </w:rPr>
        <w:t>10 November 2014</w:t>
      </w:r>
      <w:r w:rsidRPr="00D50614">
        <w:rPr>
          <w:b/>
          <w:lang w:eastAsia="en-US"/>
        </w:rPr>
        <w:fldChar w:fldCharType="end"/>
      </w:r>
      <w:bookmarkStart w:id="7" w:name="Start"/>
      <w:bookmarkEnd w:id="7"/>
    </w:p>
    <w:p w:rsidR="00DD5603" w:rsidRDefault="00DD5603" w:rsidP="00212EA9">
      <w:pPr>
        <w:pStyle w:val="NoSpacing"/>
        <w:rPr>
          <w:b/>
          <w:lang w:eastAsia="en-US"/>
        </w:rPr>
      </w:pPr>
    </w:p>
    <w:p w:rsidR="00DD5603" w:rsidRPr="00212EA9" w:rsidRDefault="00DD5603" w:rsidP="00DD5603">
      <w:pPr>
        <w:pStyle w:val="Heading1"/>
        <w:rPr>
          <w:lang w:eastAsia="en-US"/>
        </w:rPr>
      </w:pPr>
      <w:r>
        <w:rPr>
          <w:lang w:eastAsia="en-US"/>
        </w:rPr>
        <w:t>INTRODUCTION</w:t>
      </w:r>
    </w:p>
    <w:p w:rsidR="00646043" w:rsidRDefault="00212EA9" w:rsidP="00646043">
      <w:pPr>
        <w:pStyle w:val="ListNumber"/>
      </w:pPr>
      <w:r w:rsidRPr="00212EA9">
        <w:t xml:space="preserve">A decision in these proceedings was delivered orally together with reasons </w:t>
      </w:r>
      <w:r w:rsidR="00DC7DDF">
        <w:t xml:space="preserve">at the conclusion of a hearing. </w:t>
      </w:r>
      <w:r w:rsidRPr="00212EA9">
        <w:t>The</w:t>
      </w:r>
      <w:r>
        <w:t xml:space="preserve"> applicant</w:t>
      </w:r>
      <w:r w:rsidRPr="00212EA9">
        <w:t xml:space="preserve"> subsequently requested written reasons be supplied. These written reasons </w:t>
      </w:r>
      <w:r w:rsidR="00F34892">
        <w:t>have been distilled from</w:t>
      </w:r>
      <w:r w:rsidRPr="00212EA9">
        <w:t xml:space="preserve"> the transcript of the hearing. </w:t>
      </w:r>
    </w:p>
    <w:p w:rsidR="00915ED4" w:rsidRDefault="00212EA9" w:rsidP="00646043">
      <w:pPr>
        <w:pStyle w:val="ListNumber"/>
      </w:pPr>
      <w:r>
        <w:t>The applicant, Patrick Abed, was</w:t>
      </w:r>
      <w:r w:rsidR="00DC36EC" w:rsidRPr="00A6032D">
        <w:t xml:space="preserve"> in receipt of a compensation effected payment </w:t>
      </w:r>
      <w:r w:rsidR="00CE1630">
        <w:t>–</w:t>
      </w:r>
      <w:proofErr w:type="spellStart"/>
      <w:r w:rsidR="006A11AE">
        <w:t>Newstart</w:t>
      </w:r>
      <w:proofErr w:type="spellEnd"/>
      <w:r w:rsidR="00CE1630">
        <w:t xml:space="preserve"> </w:t>
      </w:r>
      <w:r w:rsidR="00A933B3">
        <w:t xml:space="preserve">– </w:t>
      </w:r>
      <w:r w:rsidR="00DC36EC" w:rsidRPr="00A6032D">
        <w:t xml:space="preserve">for a period in 2008 after </w:t>
      </w:r>
      <w:r>
        <w:t>he</w:t>
      </w:r>
      <w:r w:rsidR="00DC36EC" w:rsidRPr="00A6032D">
        <w:t xml:space="preserve"> stopped work because of </w:t>
      </w:r>
      <w:r>
        <w:t>an injury. I</w:t>
      </w:r>
      <w:r w:rsidR="00DC36EC" w:rsidRPr="00A6032D">
        <w:t xml:space="preserve">n 2013 </w:t>
      </w:r>
      <w:r>
        <w:t>the applicant</w:t>
      </w:r>
      <w:r w:rsidR="00DC36EC" w:rsidRPr="00A6032D">
        <w:t xml:space="preserve"> receive</w:t>
      </w:r>
      <w:r>
        <w:t>d</w:t>
      </w:r>
      <w:r w:rsidR="00DC36EC" w:rsidRPr="00A6032D">
        <w:t xml:space="preserve"> a payout</w:t>
      </w:r>
      <w:r w:rsidR="00F34892">
        <w:t xml:space="preserve"> </w:t>
      </w:r>
      <w:r w:rsidR="00DC7DDF">
        <w:t>relating to</w:t>
      </w:r>
      <w:r w:rsidR="006F17B4">
        <w:t xml:space="preserve"> that accident </w:t>
      </w:r>
      <w:r w:rsidR="000D6AB2">
        <w:t xml:space="preserve">which </w:t>
      </w:r>
      <w:r w:rsidR="00F34892">
        <w:t>included a component in respect of economic loss</w:t>
      </w:r>
      <w:r>
        <w:t>.</w:t>
      </w:r>
      <w:r w:rsidR="00DC36EC" w:rsidRPr="00A6032D">
        <w:t xml:space="preserve"> Centrelink </w:t>
      </w:r>
      <w:r w:rsidR="006F17B4">
        <w:t>decided to recover</w:t>
      </w:r>
      <w:r w:rsidR="00F53BAA">
        <w:t xml:space="preserve"> </w:t>
      </w:r>
      <w:r w:rsidR="00F34892">
        <w:t>a</w:t>
      </w:r>
      <w:r w:rsidR="00DC36EC" w:rsidRPr="00A6032D">
        <w:t xml:space="preserve">n amount of $6,040.76 </w:t>
      </w:r>
      <w:r w:rsidR="006F17B4">
        <w:t>out of the settlement monies</w:t>
      </w:r>
      <w:r w:rsidR="00DC36EC" w:rsidRPr="00A6032D">
        <w:t>.</w:t>
      </w:r>
      <w:r w:rsidR="006F17B4">
        <w:t xml:space="preserve"> It was entitled to do so because that was the amount Centrelink paid the applicant while he could not work because of his injury. If he was allowed to keep the Centrelink payments and the whole amount of the settlement, he would have effectively been paid twice in respect of the same period of unemployment.</w:t>
      </w:r>
    </w:p>
    <w:p w:rsidR="006F17B4" w:rsidRDefault="006A11AE" w:rsidP="00915ED4">
      <w:pPr>
        <w:pStyle w:val="ListNumber"/>
      </w:pPr>
      <w:r>
        <w:t>There</w:t>
      </w:r>
      <w:r w:rsidR="00DC36EC" w:rsidRPr="00A6032D">
        <w:t xml:space="preserve"> does not appear to be any dispute that </w:t>
      </w:r>
      <w:r>
        <w:t>Centrelink</w:t>
      </w:r>
      <w:r w:rsidR="00DC36EC" w:rsidRPr="00A6032D">
        <w:t xml:space="preserve"> acted in a lawful and c</w:t>
      </w:r>
      <w:r>
        <w:t xml:space="preserve">orrect way when </w:t>
      </w:r>
      <w:r w:rsidR="006F17B4">
        <w:t xml:space="preserve">it </w:t>
      </w:r>
      <w:r>
        <w:t>recovered th</w:t>
      </w:r>
      <w:r w:rsidR="006F17B4">
        <w:t>e</w:t>
      </w:r>
      <w:r>
        <w:t xml:space="preserve"> amount</w:t>
      </w:r>
      <w:r w:rsidR="006F17B4">
        <w:t xml:space="preserve"> in question</w:t>
      </w:r>
      <w:r>
        <w:t xml:space="preserve">. </w:t>
      </w:r>
      <w:r w:rsidR="00F34892">
        <w:t>It is not entirely clear what the applicant did with</w:t>
      </w:r>
      <w:r w:rsidR="00F34892" w:rsidRPr="00A6032D">
        <w:t xml:space="preserve"> </w:t>
      </w:r>
      <w:r w:rsidR="00DC36EC" w:rsidRPr="00A6032D">
        <w:t>the $14,000</w:t>
      </w:r>
      <w:r>
        <w:t>.00</w:t>
      </w:r>
      <w:r w:rsidR="00DC36EC" w:rsidRPr="00A6032D">
        <w:t xml:space="preserve"> or so that </w:t>
      </w:r>
      <w:r>
        <w:t xml:space="preserve">remained </w:t>
      </w:r>
      <w:r w:rsidR="00DC7DDF">
        <w:t xml:space="preserve">of the settlement. </w:t>
      </w:r>
      <w:r w:rsidR="00F34892">
        <w:t xml:space="preserve">It appears he </w:t>
      </w:r>
      <w:r w:rsidR="00DC36EC" w:rsidRPr="00A6032D">
        <w:t xml:space="preserve">used </w:t>
      </w:r>
      <w:r w:rsidR="00F34892">
        <w:t xml:space="preserve">at least part of </w:t>
      </w:r>
      <w:r w:rsidR="00DC36EC" w:rsidRPr="00A6032D">
        <w:t>it to pay out a debt</w:t>
      </w:r>
      <w:r w:rsidRPr="006A11AE">
        <w:t xml:space="preserve"> </w:t>
      </w:r>
      <w:r w:rsidRPr="00A6032D">
        <w:t xml:space="preserve">in relation to </w:t>
      </w:r>
      <w:r w:rsidR="00F53BAA">
        <w:t>his</w:t>
      </w:r>
      <w:r w:rsidRPr="00A6032D">
        <w:t xml:space="preserve"> car</w:t>
      </w:r>
      <w:r>
        <w:t>. I accept the</w:t>
      </w:r>
      <w:r w:rsidR="00F53BAA">
        <w:t xml:space="preserve"> evidence </w:t>
      </w:r>
      <w:r w:rsidR="00F34892">
        <w:t xml:space="preserve">he gave </w:t>
      </w:r>
      <w:r w:rsidR="00F53BAA">
        <w:t>in relation to that</w:t>
      </w:r>
      <w:r w:rsidR="00F34892">
        <w:t xml:space="preserve"> issue</w:t>
      </w:r>
      <w:r w:rsidR="00F53BAA">
        <w:t xml:space="preserve">. </w:t>
      </w:r>
    </w:p>
    <w:p w:rsidR="00915ED4" w:rsidRDefault="006A11AE" w:rsidP="00915ED4">
      <w:pPr>
        <w:pStyle w:val="ListNumber"/>
      </w:pPr>
      <w:r>
        <w:t>The applicant</w:t>
      </w:r>
      <w:r w:rsidR="00DC36EC" w:rsidRPr="00A6032D">
        <w:t xml:space="preserve"> continu</w:t>
      </w:r>
      <w:r>
        <w:t>es</w:t>
      </w:r>
      <w:r w:rsidR="00DC36EC" w:rsidRPr="00A6032D">
        <w:t xml:space="preserve"> to receive </w:t>
      </w:r>
      <w:proofErr w:type="spellStart"/>
      <w:r w:rsidR="00DC36EC" w:rsidRPr="00A6032D">
        <w:t>Newstart</w:t>
      </w:r>
      <w:proofErr w:type="spellEnd"/>
      <w:r w:rsidR="00DC36EC" w:rsidRPr="00A6032D">
        <w:t xml:space="preserve">, </w:t>
      </w:r>
      <w:r w:rsidR="00F34892">
        <w:t xml:space="preserve">which he has been receiving </w:t>
      </w:r>
      <w:r w:rsidR="00DC36EC" w:rsidRPr="00A6032D">
        <w:t>more or</w:t>
      </w:r>
      <w:r>
        <w:t xml:space="preserve"> less continuously since 2008. </w:t>
      </w:r>
      <w:r w:rsidR="00DC36EC" w:rsidRPr="00A6032D">
        <w:t xml:space="preserve">The </w:t>
      </w:r>
      <w:proofErr w:type="spellStart"/>
      <w:r w:rsidR="00F34892">
        <w:t>Newstart</w:t>
      </w:r>
      <w:proofErr w:type="spellEnd"/>
      <w:r w:rsidR="00F34892">
        <w:t xml:space="preserve"> </w:t>
      </w:r>
      <w:r w:rsidR="00DC36EC" w:rsidRPr="00A6032D">
        <w:t>payment is</w:t>
      </w:r>
      <w:r>
        <w:t xml:space="preserve"> reported by the applicant to be</w:t>
      </w:r>
      <w:r w:rsidR="00DC36EC" w:rsidRPr="00A6032D">
        <w:t xml:space="preserve"> about $550</w:t>
      </w:r>
      <w:r>
        <w:t>.00</w:t>
      </w:r>
      <w:r w:rsidR="00DC36EC" w:rsidRPr="00A6032D">
        <w:t xml:space="preserve"> a fortnight.</w:t>
      </w:r>
      <w:r>
        <w:t xml:space="preserve"> There have</w:t>
      </w:r>
      <w:r w:rsidR="00DC36EC" w:rsidRPr="00A6032D">
        <w:t xml:space="preserve"> been some deductions which have reduced that from the ordinary amount because </w:t>
      </w:r>
      <w:r>
        <w:t>the applicant</w:t>
      </w:r>
      <w:r w:rsidR="00DC36EC" w:rsidRPr="00A6032D">
        <w:t xml:space="preserve"> </w:t>
      </w:r>
      <w:r>
        <w:t>has</w:t>
      </w:r>
      <w:r w:rsidR="00DC36EC" w:rsidRPr="00A6032D">
        <w:t xml:space="preserve"> other debts </w:t>
      </w:r>
      <w:r w:rsidR="00F34892">
        <w:t>which he is required to service</w:t>
      </w:r>
      <w:r w:rsidR="00DC36EC" w:rsidRPr="00A6032D">
        <w:t>.</w:t>
      </w:r>
    </w:p>
    <w:p w:rsidR="00915ED4" w:rsidRDefault="006A11AE" w:rsidP="00915ED4">
      <w:pPr>
        <w:pStyle w:val="ListNumber"/>
      </w:pPr>
      <w:r>
        <w:t xml:space="preserve">The applicant </w:t>
      </w:r>
      <w:r w:rsidR="006F17B4">
        <w:t>told me</w:t>
      </w:r>
      <w:r>
        <w:t xml:space="preserve"> he felt</w:t>
      </w:r>
      <w:r w:rsidR="00DC36EC" w:rsidRPr="00A6032D">
        <w:t xml:space="preserve"> discouraged and said at one point that </w:t>
      </w:r>
      <w:r>
        <w:t>he</w:t>
      </w:r>
      <w:r w:rsidR="00DC36EC" w:rsidRPr="00A6032D">
        <w:t xml:space="preserve"> </w:t>
      </w:r>
      <w:r>
        <w:t>had given up looking for work. The applicant</w:t>
      </w:r>
      <w:r w:rsidR="00DC36EC" w:rsidRPr="00A6032D">
        <w:t xml:space="preserve"> acknowledge</w:t>
      </w:r>
      <w:r>
        <w:t>s</w:t>
      </w:r>
      <w:r w:rsidR="00DC36EC" w:rsidRPr="00A6032D">
        <w:t xml:space="preserve"> </w:t>
      </w:r>
      <w:r>
        <w:t>he</w:t>
      </w:r>
      <w:r w:rsidR="00DC36EC" w:rsidRPr="00A6032D">
        <w:t xml:space="preserve"> probably could </w:t>
      </w:r>
      <w:r w:rsidR="00DC7DDF">
        <w:t>work</w:t>
      </w:r>
      <w:r w:rsidR="00DC36EC" w:rsidRPr="00A6032D">
        <w:t xml:space="preserve"> 15 hours a week in the right </w:t>
      </w:r>
      <w:r>
        <w:t>job</w:t>
      </w:r>
      <w:r w:rsidR="00DC7DDF">
        <w:t>, and</w:t>
      </w:r>
      <w:r>
        <w:t xml:space="preserve"> in the right circumstances. His</w:t>
      </w:r>
      <w:r w:rsidR="00DC36EC" w:rsidRPr="00A6032D">
        <w:t xml:space="preserve"> current position is that </w:t>
      </w:r>
      <w:r w:rsidR="00F53BAA">
        <w:t xml:space="preserve">if he was to get back </w:t>
      </w:r>
      <w:r w:rsidR="00DC36EC" w:rsidRPr="00A6032D">
        <w:t>the $6,040</w:t>
      </w:r>
      <w:r>
        <w:t>.00</w:t>
      </w:r>
      <w:r w:rsidR="00DC36EC" w:rsidRPr="00A6032D">
        <w:t xml:space="preserve">, </w:t>
      </w:r>
      <w:r w:rsidR="00F53BAA">
        <w:t>it</w:t>
      </w:r>
      <w:r w:rsidR="00DC36EC" w:rsidRPr="00A6032D">
        <w:t xml:space="preserve"> would make a tremendous difference to </w:t>
      </w:r>
      <w:r>
        <w:t>him</w:t>
      </w:r>
      <w:r w:rsidR="00DC36EC" w:rsidRPr="00A6032D">
        <w:t xml:space="preserve">. </w:t>
      </w:r>
      <w:r>
        <w:t>The applicant</w:t>
      </w:r>
      <w:r w:rsidR="00DC36EC" w:rsidRPr="00A6032D">
        <w:t xml:space="preserve"> identified </w:t>
      </w:r>
      <w:r w:rsidR="00F34892">
        <w:t>three</w:t>
      </w:r>
      <w:r w:rsidR="00DC36EC" w:rsidRPr="00A6032D">
        <w:t xml:space="preserve"> things </w:t>
      </w:r>
      <w:r>
        <w:t>he</w:t>
      </w:r>
      <w:r w:rsidR="00DC36EC" w:rsidRPr="00A6032D">
        <w:t xml:space="preserve"> </w:t>
      </w:r>
      <w:r w:rsidR="00F34892">
        <w:t xml:space="preserve">might </w:t>
      </w:r>
      <w:r w:rsidR="00DC36EC" w:rsidRPr="00A6032D">
        <w:t xml:space="preserve">do with the money.  </w:t>
      </w:r>
    </w:p>
    <w:p w:rsidR="00DD5603" w:rsidRPr="00A6032D" w:rsidRDefault="006A11AE" w:rsidP="00646043">
      <w:pPr>
        <w:pStyle w:val="ListNumber"/>
      </w:pPr>
      <w:r>
        <w:t>The applicant</w:t>
      </w:r>
      <w:r w:rsidR="00DC36EC" w:rsidRPr="00A6032D">
        <w:t xml:space="preserve"> want</w:t>
      </w:r>
      <w:r>
        <w:t>s</w:t>
      </w:r>
      <w:r w:rsidR="00DC36EC" w:rsidRPr="00A6032D">
        <w:t xml:space="preserve"> to use </w:t>
      </w:r>
      <w:r>
        <w:t>the money</w:t>
      </w:r>
      <w:r w:rsidR="00DC36EC" w:rsidRPr="00A6032D">
        <w:t xml:space="preserve"> to help investigate and perhaps re</w:t>
      </w:r>
      <w:r w:rsidR="00DC36EC" w:rsidRPr="00A6032D">
        <w:noBreakHyphen/>
        <w:t xml:space="preserve">agitate some </w:t>
      </w:r>
      <w:r>
        <w:t>claims in respect of Worker’s Compensation issues. He</w:t>
      </w:r>
      <w:r w:rsidR="00DC36EC" w:rsidRPr="00A6032D">
        <w:t xml:space="preserve"> </w:t>
      </w:r>
      <w:r w:rsidR="00F34892">
        <w:t xml:space="preserve">also </w:t>
      </w:r>
      <w:r>
        <w:t>discussed</w:t>
      </w:r>
      <w:r w:rsidR="00DC36EC" w:rsidRPr="00A6032D">
        <w:t xml:space="preserve"> </w:t>
      </w:r>
      <w:r>
        <w:t>obtain</w:t>
      </w:r>
      <w:r w:rsidR="00F34892">
        <w:t>ing</w:t>
      </w:r>
      <w:r w:rsidR="00DC36EC" w:rsidRPr="00A6032D">
        <w:t xml:space="preserve"> access to private health </w:t>
      </w:r>
      <w:r w:rsidR="00F34892">
        <w:t xml:space="preserve">insurance </w:t>
      </w:r>
      <w:r w:rsidR="00DC36EC" w:rsidRPr="00A6032D">
        <w:t xml:space="preserve">because </w:t>
      </w:r>
      <w:r>
        <w:t>he</w:t>
      </w:r>
      <w:r w:rsidR="00DC36EC" w:rsidRPr="00A6032D">
        <w:t xml:space="preserve"> think</w:t>
      </w:r>
      <w:r>
        <w:t>s</w:t>
      </w:r>
      <w:r w:rsidR="00DC36EC" w:rsidRPr="00A6032D">
        <w:t xml:space="preserve"> that might be a better way of dealing with </w:t>
      </w:r>
      <w:r>
        <w:t>his</w:t>
      </w:r>
      <w:r w:rsidR="00DC36EC" w:rsidRPr="00A6032D">
        <w:t xml:space="preserve"> particular issues, which include </w:t>
      </w:r>
      <w:r>
        <w:t>a back issue, but also include</w:t>
      </w:r>
      <w:r w:rsidR="00DC36EC" w:rsidRPr="00A6032D">
        <w:t xml:space="preserve"> psychological issues</w:t>
      </w:r>
      <w:r>
        <w:t>. These psychological issues</w:t>
      </w:r>
      <w:r w:rsidR="00DC36EC" w:rsidRPr="00A6032D">
        <w:t xml:space="preserve"> appear to be</w:t>
      </w:r>
      <w:r w:rsidR="006F17B4">
        <w:t xml:space="preserve"> </w:t>
      </w:r>
      <w:r w:rsidR="00DC36EC" w:rsidRPr="00A6032D">
        <w:t xml:space="preserve">at least partly attributable to an unhappy experience </w:t>
      </w:r>
      <w:r>
        <w:t>he</w:t>
      </w:r>
      <w:r w:rsidR="00DC36EC" w:rsidRPr="00A6032D">
        <w:t xml:space="preserve"> had in the workplace in 2013 when </w:t>
      </w:r>
      <w:r>
        <w:t>he briefly</w:t>
      </w:r>
      <w:r w:rsidR="006F17B4">
        <w:t xml:space="preserve"> returned to work</w:t>
      </w:r>
      <w:r>
        <w:t>. The applicant</w:t>
      </w:r>
      <w:r w:rsidR="00DC36EC" w:rsidRPr="00A6032D">
        <w:t xml:space="preserve"> also </w:t>
      </w:r>
      <w:r>
        <w:t>discussed</w:t>
      </w:r>
      <w:r w:rsidR="00DC36EC" w:rsidRPr="00A6032D">
        <w:t xml:space="preserve"> the possibility of using the money to help </w:t>
      </w:r>
      <w:r>
        <w:t>him</w:t>
      </w:r>
      <w:r w:rsidR="00DC36EC" w:rsidRPr="00A6032D">
        <w:t xml:space="preserve"> start a small business</w:t>
      </w:r>
      <w:r w:rsidR="00F34892">
        <w:t xml:space="preserve"> </w:t>
      </w:r>
      <w:r w:rsidR="006F17B4">
        <w:t xml:space="preserve">that could be eligible for </w:t>
      </w:r>
      <w:r w:rsidR="00DC36EC" w:rsidRPr="00A6032D">
        <w:t xml:space="preserve">government grants </w:t>
      </w:r>
      <w:r w:rsidR="006F17B4">
        <w:t>available to individuals who are prepared to</w:t>
      </w:r>
      <w:r w:rsidR="00DC36EC" w:rsidRPr="00A6032D">
        <w:t xml:space="preserve"> move outside the metropolitan area.</w:t>
      </w:r>
    </w:p>
    <w:p w:rsidR="00DD5603" w:rsidRDefault="006F17B4" w:rsidP="00915ED4">
      <w:pPr>
        <w:pStyle w:val="ListNumber"/>
      </w:pPr>
      <w:r>
        <w:t>I must</w:t>
      </w:r>
      <w:r w:rsidR="00F53BAA" w:rsidRPr="00F53BAA">
        <w:t xml:space="preserve"> identify whether there are any </w:t>
      </w:r>
      <w:r w:rsidR="00F53BAA" w:rsidRPr="006F17B4">
        <w:t>special circumstances</w:t>
      </w:r>
      <w:r w:rsidR="00F53BAA" w:rsidRPr="00F53BAA">
        <w:t xml:space="preserve"> that justify </w:t>
      </w:r>
      <w:r w:rsidR="00F34892">
        <w:t xml:space="preserve">effectively setting aside </w:t>
      </w:r>
      <w:r w:rsidR="00F53BAA" w:rsidRPr="00F53BAA">
        <w:t>the charge that was levied against the applicant</w:t>
      </w:r>
      <w:r w:rsidR="00F34892">
        <w:t xml:space="preserve"> after he received his settlement payout</w:t>
      </w:r>
      <w:r w:rsidR="00F53BAA" w:rsidRPr="00F53BAA">
        <w:t xml:space="preserve">. </w:t>
      </w:r>
      <w:r w:rsidR="00F34892">
        <w:t>That would mean the amount of the charge would be refunded to the applicant. I</w:t>
      </w:r>
      <w:r w:rsidR="00F53BAA" w:rsidRPr="00F53BAA">
        <w:t xml:space="preserve"> only have the power to </w:t>
      </w:r>
      <w:r w:rsidR="00F34892">
        <w:t>do that where I am satisfied</w:t>
      </w:r>
      <w:r w:rsidR="00F53BAA" w:rsidRPr="00F53BAA">
        <w:t xml:space="preserve"> there are </w:t>
      </w:r>
      <w:r w:rsidR="00F53BAA" w:rsidRPr="00646043">
        <w:rPr>
          <w:i/>
        </w:rPr>
        <w:t>special circumstances</w:t>
      </w:r>
      <w:r>
        <w:t xml:space="preserve"> within the meaning of s 1184K of the </w:t>
      </w:r>
      <w:r w:rsidRPr="00646043">
        <w:rPr>
          <w:i/>
        </w:rPr>
        <w:t>Social Security Act 1991</w:t>
      </w:r>
      <w:r w:rsidR="00646043">
        <w:rPr>
          <w:i/>
        </w:rPr>
        <w:t xml:space="preserve"> </w:t>
      </w:r>
      <w:r w:rsidR="00646043">
        <w:t>(</w:t>
      </w:r>
      <w:proofErr w:type="spellStart"/>
      <w:r w:rsidR="00646043">
        <w:t>Cth</w:t>
      </w:r>
      <w:proofErr w:type="spellEnd"/>
      <w:r w:rsidR="00646043">
        <w:t>)</w:t>
      </w:r>
      <w:r w:rsidR="00F53BAA" w:rsidRPr="00F53BAA">
        <w:t>.</w:t>
      </w:r>
      <w:r w:rsidR="00F53BAA">
        <w:t xml:space="preserve"> </w:t>
      </w:r>
      <w:r>
        <w:t>I</w:t>
      </w:r>
      <w:r w:rsidR="00DC36EC" w:rsidRPr="00A6032D">
        <w:t xml:space="preserve"> cannot </w:t>
      </w:r>
      <w:r w:rsidR="006B019F">
        <w:t>do that just</w:t>
      </w:r>
      <w:r w:rsidR="00DC36EC" w:rsidRPr="00A6032D">
        <w:t xml:space="preserve"> because </w:t>
      </w:r>
      <w:r>
        <w:t>I</w:t>
      </w:r>
      <w:r w:rsidR="00DC36EC" w:rsidRPr="00A6032D">
        <w:t xml:space="preserve"> feel sorry for </w:t>
      </w:r>
      <w:r w:rsidR="00DD5603">
        <w:t xml:space="preserve">the </w:t>
      </w:r>
      <w:r w:rsidR="00646043">
        <w:t>applicant</w:t>
      </w:r>
      <w:r w:rsidR="00DC36EC" w:rsidRPr="00A6032D">
        <w:t xml:space="preserve"> </w:t>
      </w:r>
      <w:r w:rsidR="006B019F">
        <w:t xml:space="preserve">even though I can see he is </w:t>
      </w:r>
      <w:r w:rsidR="00DD5603">
        <w:t xml:space="preserve">in a </w:t>
      </w:r>
      <w:r w:rsidR="006B019F">
        <w:t xml:space="preserve">difficult </w:t>
      </w:r>
      <w:r w:rsidR="00DD5603">
        <w:t xml:space="preserve">state. </w:t>
      </w:r>
      <w:r w:rsidR="00DC36EC" w:rsidRPr="00A6032D">
        <w:t xml:space="preserve">I have to be able to </w:t>
      </w:r>
      <w:r w:rsidR="006B019F">
        <w:t>establish</w:t>
      </w:r>
      <w:r w:rsidR="00E55557">
        <w:t xml:space="preserve"> </w:t>
      </w:r>
      <w:r w:rsidR="006B019F">
        <w:t>the case falls into a particular legal category</w:t>
      </w:r>
      <w:r w:rsidR="00DC36EC" w:rsidRPr="00A6032D">
        <w:t xml:space="preserve"> and tha</w:t>
      </w:r>
      <w:r w:rsidR="00DD5603">
        <w:t xml:space="preserve">t can be a difficult exercise. </w:t>
      </w:r>
    </w:p>
    <w:p w:rsidR="00915ED4" w:rsidRDefault="00DD5603" w:rsidP="00915ED4">
      <w:pPr>
        <w:pStyle w:val="ListNumber"/>
      </w:pPr>
      <w:r>
        <w:t xml:space="preserve">What does ‘special circumstances’ mean? </w:t>
      </w:r>
      <w:r w:rsidR="00DC36EC" w:rsidRPr="00A6032D">
        <w:t xml:space="preserve"> </w:t>
      </w:r>
      <w:r w:rsidR="006B019F">
        <w:t xml:space="preserve">It means there must be </w:t>
      </w:r>
      <w:r w:rsidR="00DC36EC" w:rsidRPr="00A6032D">
        <w:t xml:space="preserve">circumstances </w:t>
      </w:r>
      <w:r w:rsidR="006B019F">
        <w:t>that are</w:t>
      </w:r>
      <w:r w:rsidR="00DC36EC" w:rsidRPr="00A6032D">
        <w:t xml:space="preserve"> unusual or different</w:t>
      </w:r>
      <w:r w:rsidR="00107389">
        <w:t>; circumstances</w:t>
      </w:r>
      <w:r w:rsidR="00DC36EC" w:rsidRPr="00A6032D">
        <w:t xml:space="preserve"> that are special, which suggest that </w:t>
      </w:r>
      <w:r>
        <w:t>this</w:t>
      </w:r>
      <w:r w:rsidR="00DC36EC" w:rsidRPr="00A6032D">
        <w:t xml:space="preserve"> case is different to that facing other people, and that </w:t>
      </w:r>
      <w:r w:rsidR="006B019F">
        <w:t xml:space="preserve">suggest </w:t>
      </w:r>
      <w:r w:rsidR="00DC36EC" w:rsidRPr="00A6032D">
        <w:t>it ought to be dealt with differently, so that the usual rules do not apply.</w:t>
      </w:r>
    </w:p>
    <w:p w:rsidR="00915ED4" w:rsidRDefault="00DD5603" w:rsidP="00915ED4">
      <w:pPr>
        <w:pStyle w:val="ListNumber"/>
      </w:pPr>
      <w:r>
        <w:t>The applicant</w:t>
      </w:r>
      <w:r w:rsidR="00DC36EC" w:rsidRPr="00A6032D">
        <w:t xml:space="preserve"> referred to a number of things which </w:t>
      </w:r>
      <w:r w:rsidR="00DC36EC" w:rsidRPr="00646043">
        <w:rPr>
          <w:i/>
        </w:rPr>
        <w:t>might</w:t>
      </w:r>
      <w:r w:rsidR="00DC36EC" w:rsidRPr="00A6032D">
        <w:t xml:space="preserve"> constitute s</w:t>
      </w:r>
      <w:r>
        <w:t xml:space="preserve">pecial circumstances, </w:t>
      </w:r>
      <w:r w:rsidR="00DC36EC" w:rsidRPr="00A6032D">
        <w:t xml:space="preserve">in particular </w:t>
      </w:r>
      <w:r>
        <w:t>his</w:t>
      </w:r>
      <w:r w:rsidR="00DC36EC" w:rsidRPr="00A6032D">
        <w:t xml:space="preserve"> strai</w:t>
      </w:r>
      <w:r w:rsidR="00DC7DDF">
        <w:t xml:space="preserve">tened financial circumstances. </w:t>
      </w:r>
      <w:r>
        <w:t>The applicant h</w:t>
      </w:r>
      <w:r w:rsidR="006B019F">
        <w:t xml:space="preserve">as </w:t>
      </w:r>
      <w:r w:rsidR="00DC36EC" w:rsidRPr="00A6032D">
        <w:t xml:space="preserve">debts, most obviously </w:t>
      </w:r>
      <w:r>
        <w:t>his credit card debt. He has</w:t>
      </w:r>
      <w:r w:rsidR="00DC36EC" w:rsidRPr="00A6032D">
        <w:t xml:space="preserve"> some </w:t>
      </w:r>
      <w:r w:rsidR="006F17B4">
        <w:t xml:space="preserve">relatively </w:t>
      </w:r>
      <w:r w:rsidR="00DC36EC" w:rsidRPr="00A6032D">
        <w:t xml:space="preserve">significant household expenses because </w:t>
      </w:r>
      <w:r>
        <w:t>h</w:t>
      </w:r>
      <w:r w:rsidR="006B019F">
        <w:t>e</w:t>
      </w:r>
      <w:r>
        <w:t xml:space="preserve"> is</w:t>
      </w:r>
      <w:r w:rsidR="00DC36EC" w:rsidRPr="00A6032D">
        <w:t xml:space="preserve"> paying board but </w:t>
      </w:r>
      <w:r>
        <w:t>he has</w:t>
      </w:r>
      <w:r w:rsidR="00DC36EC" w:rsidRPr="00A6032D">
        <w:t xml:space="preserve"> to feed </w:t>
      </w:r>
      <w:r>
        <w:t>himself.</w:t>
      </w:r>
      <w:r w:rsidR="00DC36EC" w:rsidRPr="00A6032D">
        <w:t xml:space="preserve"> </w:t>
      </w:r>
      <w:r>
        <w:t>The applicant reported</w:t>
      </w:r>
      <w:r w:rsidR="00DC36EC" w:rsidRPr="00A6032D">
        <w:t xml:space="preserve"> paying </w:t>
      </w:r>
      <w:r>
        <w:t>approximately</w:t>
      </w:r>
      <w:r w:rsidR="00DC36EC" w:rsidRPr="00A6032D">
        <w:t xml:space="preserve"> $275</w:t>
      </w:r>
      <w:r w:rsidR="00DC7DDF">
        <w:t xml:space="preserve">.00 a fortnight in board. </w:t>
      </w:r>
      <w:r>
        <w:t>T</w:t>
      </w:r>
      <w:r w:rsidR="00DC36EC" w:rsidRPr="00A6032D">
        <w:t xml:space="preserve">hat is not leaving a </w:t>
      </w:r>
      <w:r w:rsidR="006F17B4">
        <w:t>lar</w:t>
      </w:r>
      <w:r w:rsidR="006F17B4" w:rsidRPr="00A6032D">
        <w:t xml:space="preserve">ge </w:t>
      </w:r>
      <w:r w:rsidR="00DC36EC" w:rsidRPr="00A6032D">
        <w:t xml:space="preserve">amount left over to do the </w:t>
      </w:r>
      <w:r w:rsidR="006B019F">
        <w:t xml:space="preserve">other </w:t>
      </w:r>
      <w:r w:rsidR="00DC36EC" w:rsidRPr="00A6032D">
        <w:t xml:space="preserve">things </w:t>
      </w:r>
      <w:r>
        <w:t>he</w:t>
      </w:r>
      <w:r w:rsidR="00DC36EC" w:rsidRPr="00A6032D">
        <w:t xml:space="preserve"> need</w:t>
      </w:r>
      <w:r>
        <w:t>s</w:t>
      </w:r>
      <w:r w:rsidR="006B019F">
        <w:t xml:space="preserve"> to do</w:t>
      </w:r>
      <w:r>
        <w:t>. He is</w:t>
      </w:r>
      <w:r w:rsidR="00DC36EC" w:rsidRPr="00A6032D">
        <w:t xml:space="preserve"> obviously not in a position to get private health in that sort of situation.</w:t>
      </w:r>
    </w:p>
    <w:p w:rsidR="00915ED4" w:rsidRDefault="00DD5603" w:rsidP="00915ED4">
      <w:pPr>
        <w:pStyle w:val="ListNumber"/>
      </w:pPr>
      <w:r>
        <w:t>The applicant’s</w:t>
      </w:r>
      <w:r w:rsidR="00DC36EC" w:rsidRPr="00A6032D">
        <w:t xml:space="preserve"> situa</w:t>
      </w:r>
      <w:r>
        <w:t xml:space="preserve">tion has changed a little </w:t>
      </w:r>
      <w:r w:rsidR="006F17B4">
        <w:t>in recent times</w:t>
      </w:r>
      <w:r>
        <w:t xml:space="preserve">. </w:t>
      </w:r>
      <w:r w:rsidR="00DC36EC" w:rsidRPr="00A6032D">
        <w:t xml:space="preserve">While </w:t>
      </w:r>
      <w:r>
        <w:t>he</w:t>
      </w:r>
      <w:r w:rsidR="00DC36EC" w:rsidRPr="00A6032D">
        <w:t xml:space="preserve"> do</w:t>
      </w:r>
      <w:r>
        <w:t>es</w:t>
      </w:r>
      <w:r w:rsidR="00DC36EC" w:rsidRPr="00A6032D">
        <w:t xml:space="preserve"> have small debts owing to friends that </w:t>
      </w:r>
      <w:r>
        <w:t>he</w:t>
      </w:r>
      <w:r w:rsidR="00DC36EC" w:rsidRPr="00A6032D">
        <w:t xml:space="preserve"> mentioned</w:t>
      </w:r>
      <w:r>
        <w:t xml:space="preserve"> during the hearing</w:t>
      </w:r>
      <w:r w:rsidR="00DC36EC" w:rsidRPr="00A6032D">
        <w:t xml:space="preserve">, the reasonably significant debt </w:t>
      </w:r>
      <w:r>
        <w:t>he</w:t>
      </w:r>
      <w:r w:rsidR="00DC36EC" w:rsidRPr="00A6032D">
        <w:t xml:space="preserve"> owe</w:t>
      </w:r>
      <w:r>
        <w:t>s</w:t>
      </w:r>
      <w:r w:rsidR="00DC36EC" w:rsidRPr="00A6032D">
        <w:t xml:space="preserve"> in respect </w:t>
      </w:r>
      <w:r w:rsidR="006F17B4">
        <w:t>of</w:t>
      </w:r>
      <w:r w:rsidR="006F17B4" w:rsidRPr="00A6032D">
        <w:t xml:space="preserve"> </w:t>
      </w:r>
      <w:r w:rsidR="00DC36EC" w:rsidRPr="00A6032D">
        <w:t xml:space="preserve">child support has not gone away but it is being managed for now because </w:t>
      </w:r>
      <w:r>
        <w:t>his</w:t>
      </w:r>
      <w:r w:rsidR="00DC36EC" w:rsidRPr="00A6032D">
        <w:t xml:space="preserve"> wife</w:t>
      </w:r>
      <w:r>
        <w:t xml:space="preserve"> is not inclined to pursue it. </w:t>
      </w:r>
      <w:r w:rsidR="00DC36EC" w:rsidRPr="00A6032D">
        <w:t xml:space="preserve">I accept </w:t>
      </w:r>
      <w:r>
        <w:t>he is</w:t>
      </w:r>
      <w:r w:rsidR="00DC36EC" w:rsidRPr="00A6032D">
        <w:t xml:space="preserve"> in difficult financial cir</w:t>
      </w:r>
      <w:r>
        <w:t>cumstances</w:t>
      </w:r>
      <w:r w:rsidR="006F17B4">
        <w:t>, a</w:t>
      </w:r>
      <w:r w:rsidR="00DC36EC" w:rsidRPr="00A6032D">
        <w:t xml:space="preserve">lthough it </w:t>
      </w:r>
      <w:r w:rsidR="006F17B4">
        <w:t>must</w:t>
      </w:r>
      <w:r w:rsidR="00DC36EC" w:rsidRPr="00A6032D">
        <w:t xml:space="preserve"> be said lots of people in </w:t>
      </w:r>
      <w:r w:rsidR="006F17B4">
        <w:t>his</w:t>
      </w:r>
      <w:r w:rsidR="00DC36EC" w:rsidRPr="00A6032D">
        <w:t xml:space="preserve"> position are in diff</w:t>
      </w:r>
      <w:r w:rsidR="00933A1C">
        <w:t xml:space="preserve">icult financial circumstances. </w:t>
      </w:r>
    </w:p>
    <w:p w:rsidR="00915ED4" w:rsidRDefault="00933A1C" w:rsidP="00915ED4">
      <w:pPr>
        <w:pStyle w:val="ListNumber"/>
      </w:pPr>
      <w:r>
        <w:t>The applicant has</w:t>
      </w:r>
      <w:r w:rsidR="00DC7DDF">
        <w:t xml:space="preserve"> some health problems. </w:t>
      </w:r>
      <w:r>
        <w:t>He has</w:t>
      </w:r>
      <w:r w:rsidR="00DC36EC" w:rsidRPr="00A6032D">
        <w:t xml:space="preserve"> the continuation of the back condition </w:t>
      </w:r>
      <w:r>
        <w:t>which he</w:t>
      </w:r>
      <w:r w:rsidR="00DC36EC" w:rsidRPr="00A6032D">
        <w:t xml:space="preserve"> described</w:t>
      </w:r>
      <w:r>
        <w:t xml:space="preserve"> during the hearing</w:t>
      </w:r>
      <w:r w:rsidR="00DC36EC" w:rsidRPr="00A6032D">
        <w:t xml:space="preserve">, and </w:t>
      </w:r>
      <w:r>
        <w:t>he</w:t>
      </w:r>
      <w:r w:rsidR="00DC36EC" w:rsidRPr="00A6032D">
        <w:t xml:space="preserve"> presented some medical evidence in relation to that which shows </w:t>
      </w:r>
      <w:r>
        <w:t>degenerative change. The applicant</w:t>
      </w:r>
      <w:r w:rsidR="00DC36EC" w:rsidRPr="00A6032D">
        <w:t xml:space="preserve"> also </w:t>
      </w:r>
      <w:r>
        <w:t>discussed</w:t>
      </w:r>
      <w:r w:rsidR="00DC36EC" w:rsidRPr="00A6032D">
        <w:t xml:space="preserve"> the psychiatric issues which</w:t>
      </w:r>
      <w:r w:rsidR="002534D9">
        <w:t xml:space="preserve"> are</w:t>
      </w:r>
      <w:r w:rsidR="00DC36EC" w:rsidRPr="00A6032D">
        <w:t xml:space="preserve"> </w:t>
      </w:r>
      <w:r w:rsidR="008D57B2">
        <w:t>probab</w:t>
      </w:r>
      <w:r w:rsidR="00DC36EC" w:rsidRPr="00A6032D">
        <w:t xml:space="preserve">ly </w:t>
      </w:r>
      <w:r>
        <w:t>his</w:t>
      </w:r>
      <w:r w:rsidR="00DC36EC" w:rsidRPr="00A6032D">
        <w:t xml:space="preserve"> biggest issue at the moment. </w:t>
      </w:r>
      <w:r>
        <w:t>He appeared</w:t>
      </w:r>
      <w:r w:rsidR="00DC36EC" w:rsidRPr="00A6032D">
        <w:t xml:space="preserve"> anxious, </w:t>
      </w:r>
      <w:r w:rsidR="00107389">
        <w:t xml:space="preserve">and </w:t>
      </w:r>
      <w:r w:rsidR="00DC36EC" w:rsidRPr="00A6032D">
        <w:t>sound</w:t>
      </w:r>
      <w:r>
        <w:t>ed</w:t>
      </w:r>
      <w:r w:rsidR="00DC36EC" w:rsidRPr="00A6032D">
        <w:t xml:space="preserve"> depressed</w:t>
      </w:r>
      <w:r w:rsidR="000D6AB2">
        <w:t>,</w:t>
      </w:r>
      <w:r w:rsidR="00DC36EC" w:rsidRPr="00A6032D">
        <w:t xml:space="preserve"> which i</w:t>
      </w:r>
      <w:r>
        <w:t>s causing motivational issues. The applicant</w:t>
      </w:r>
      <w:r w:rsidR="00DC36EC" w:rsidRPr="00A6032D">
        <w:t xml:space="preserve"> also </w:t>
      </w:r>
      <w:r>
        <w:t>has</w:t>
      </w:r>
      <w:r w:rsidR="00DC36EC" w:rsidRPr="00A6032D">
        <w:t xml:space="preserve"> ongoing pain and discomfort associated with </w:t>
      </w:r>
      <w:r w:rsidR="002534D9">
        <w:t xml:space="preserve">all of </w:t>
      </w:r>
      <w:r w:rsidR="00DC36EC" w:rsidRPr="00A6032D">
        <w:t xml:space="preserve">that.  </w:t>
      </w:r>
    </w:p>
    <w:p w:rsidR="00915ED4" w:rsidRDefault="00933A1C" w:rsidP="00915ED4">
      <w:pPr>
        <w:pStyle w:val="ListNumber"/>
      </w:pPr>
      <w:r>
        <w:t xml:space="preserve">The applicant </w:t>
      </w:r>
      <w:r w:rsidR="002534D9">
        <w:t>is also worried</w:t>
      </w:r>
      <w:r w:rsidR="00DC36EC" w:rsidRPr="00A6032D">
        <w:t xml:space="preserve"> </w:t>
      </w:r>
      <w:r>
        <w:t xml:space="preserve">he is </w:t>
      </w:r>
      <w:r w:rsidR="00DC36EC" w:rsidRPr="00A6032D">
        <w:t xml:space="preserve">not getting the benefit that </w:t>
      </w:r>
      <w:r>
        <w:t>he</w:t>
      </w:r>
      <w:r w:rsidR="00DC36EC" w:rsidRPr="00A6032D">
        <w:t xml:space="preserve"> think</w:t>
      </w:r>
      <w:r>
        <w:t xml:space="preserve">s he </w:t>
      </w:r>
      <w:r w:rsidR="00DC36EC" w:rsidRPr="00A6032D">
        <w:t>need</w:t>
      </w:r>
      <w:r>
        <w:t>s</w:t>
      </w:r>
      <w:r w:rsidR="00DC36EC" w:rsidRPr="00A6032D">
        <w:t xml:space="preserve"> out of the current arrangements with the </w:t>
      </w:r>
      <w:r w:rsidR="002534D9">
        <w:t>d</w:t>
      </w:r>
      <w:r w:rsidR="00DC36EC" w:rsidRPr="00A6032D">
        <w:t xml:space="preserve">isability </w:t>
      </w:r>
      <w:r w:rsidR="002534D9">
        <w:t>employment s</w:t>
      </w:r>
      <w:r w:rsidR="00DC36EC" w:rsidRPr="00A6032D">
        <w:t>ervices providers</w:t>
      </w:r>
      <w:r w:rsidR="008D57B2">
        <w:t xml:space="preserve"> – although there is no suggestion he is having any greater difficulty than anyone else in his position</w:t>
      </w:r>
      <w:r w:rsidR="00DC36EC" w:rsidRPr="00A6032D">
        <w:t xml:space="preserve">. </w:t>
      </w:r>
      <w:r>
        <w:t xml:space="preserve">I have heard the applicant </w:t>
      </w:r>
      <w:r w:rsidR="002534D9">
        <w:t>say</w:t>
      </w:r>
      <w:r>
        <w:t xml:space="preserve"> </w:t>
      </w:r>
      <w:r w:rsidR="00DC36EC" w:rsidRPr="00A6032D">
        <w:t xml:space="preserve">that while </w:t>
      </w:r>
      <w:r>
        <w:t>he</w:t>
      </w:r>
      <w:r w:rsidR="00DC36EC" w:rsidRPr="00A6032D">
        <w:t xml:space="preserve"> </w:t>
      </w:r>
      <w:r>
        <w:t>has</w:t>
      </w:r>
      <w:r w:rsidR="00DC36EC" w:rsidRPr="00A6032D">
        <w:t xml:space="preserve"> given up looking for work on the one hand, that does not mean that </w:t>
      </w:r>
      <w:r>
        <w:t>he</w:t>
      </w:r>
      <w:r w:rsidR="00DC36EC" w:rsidRPr="00A6032D">
        <w:t xml:space="preserve"> </w:t>
      </w:r>
      <w:r>
        <w:t xml:space="preserve">has given up on life. He </w:t>
      </w:r>
      <w:r w:rsidR="002534D9">
        <w:t>says he</w:t>
      </w:r>
      <w:r>
        <w:t xml:space="preserve"> ha</w:t>
      </w:r>
      <w:r w:rsidR="002534D9">
        <w:t>s</w:t>
      </w:r>
      <w:r w:rsidR="00DC36EC" w:rsidRPr="00A6032D">
        <w:t xml:space="preserve"> plans</w:t>
      </w:r>
      <w:r w:rsidR="002534D9">
        <w:t xml:space="preserve"> and</w:t>
      </w:r>
      <w:r w:rsidR="00DC36EC" w:rsidRPr="00A6032D">
        <w:t xml:space="preserve"> aspirations, </w:t>
      </w:r>
      <w:r>
        <w:t>and he</w:t>
      </w:r>
      <w:r w:rsidR="00DC36EC" w:rsidRPr="00A6032D">
        <w:t xml:space="preserve"> </w:t>
      </w:r>
      <w:r>
        <w:t>w</w:t>
      </w:r>
      <w:r w:rsidR="00DC36EC" w:rsidRPr="00A6032D">
        <w:t>ant</w:t>
      </w:r>
      <w:r>
        <w:t>s</w:t>
      </w:r>
      <w:r w:rsidR="00DC36EC" w:rsidRPr="00A6032D">
        <w:t xml:space="preserve"> to actually get </w:t>
      </w:r>
      <w:r>
        <w:t>himself</w:t>
      </w:r>
      <w:r w:rsidR="00DC36EC" w:rsidRPr="00A6032D">
        <w:t xml:space="preserve"> back into a position where </w:t>
      </w:r>
      <w:r>
        <w:t>he</w:t>
      </w:r>
      <w:r w:rsidR="00DC36EC" w:rsidRPr="00A6032D">
        <w:t xml:space="preserve"> can afford to look after </w:t>
      </w:r>
      <w:r>
        <w:t>his</w:t>
      </w:r>
      <w:r w:rsidR="00DC36EC" w:rsidRPr="00A6032D">
        <w:t xml:space="preserve"> </w:t>
      </w:r>
      <w:r>
        <w:t>children</w:t>
      </w:r>
      <w:r w:rsidR="00DC36EC" w:rsidRPr="00A6032D">
        <w:t xml:space="preserve">, </w:t>
      </w:r>
      <w:r>
        <w:t xml:space="preserve">and </w:t>
      </w:r>
      <w:r w:rsidR="002534D9">
        <w:t>“</w:t>
      </w:r>
      <w:r w:rsidR="00DC36EC" w:rsidRPr="00A6032D">
        <w:t xml:space="preserve">get </w:t>
      </w:r>
      <w:r>
        <w:t>his</w:t>
      </w:r>
      <w:r w:rsidR="00DC36EC" w:rsidRPr="00A6032D">
        <w:t xml:space="preserve"> act together</w:t>
      </w:r>
      <w:r>
        <w:t>”</w:t>
      </w:r>
      <w:r w:rsidR="00DC36EC" w:rsidRPr="00A6032D">
        <w:t>.</w:t>
      </w:r>
    </w:p>
    <w:p w:rsidR="00915ED4" w:rsidRDefault="000D6AB2" w:rsidP="00915ED4">
      <w:pPr>
        <w:pStyle w:val="ListNumber"/>
      </w:pPr>
      <w:r>
        <w:t>If</w:t>
      </w:r>
      <w:r w:rsidR="00DC36EC" w:rsidRPr="00A6032D">
        <w:t xml:space="preserve"> </w:t>
      </w:r>
      <w:r w:rsidR="00933A1C">
        <w:t>the applicant</w:t>
      </w:r>
      <w:r w:rsidR="00DC36EC" w:rsidRPr="00A6032D">
        <w:t xml:space="preserve"> </w:t>
      </w:r>
      <w:r w:rsidR="002534D9">
        <w:t xml:space="preserve">is given </w:t>
      </w:r>
      <w:r w:rsidR="00DC36EC" w:rsidRPr="00A6032D">
        <w:t>the $6,000</w:t>
      </w:r>
      <w:r w:rsidR="00933A1C">
        <w:t>.00</w:t>
      </w:r>
      <w:r w:rsidR="00E55557" w:rsidRPr="00E55557">
        <w:t xml:space="preserve"> </w:t>
      </w:r>
      <w:r w:rsidR="00E55557">
        <w:t>or thereabouts</w:t>
      </w:r>
      <w:r w:rsidR="002534D9">
        <w:t>,</w:t>
      </w:r>
      <w:r w:rsidR="00933A1C">
        <w:t xml:space="preserve"> would </w:t>
      </w:r>
      <w:r w:rsidR="00DC36EC" w:rsidRPr="00A6032D">
        <w:t xml:space="preserve">it actually make much difference to </w:t>
      </w:r>
      <w:r w:rsidR="00933A1C">
        <w:t>his current circumstances?</w:t>
      </w:r>
      <w:r w:rsidR="00DC36EC" w:rsidRPr="00A6032D">
        <w:t xml:space="preserve"> I </w:t>
      </w:r>
      <w:r w:rsidR="00933A1C" w:rsidRPr="00A6032D">
        <w:t>recognize</w:t>
      </w:r>
      <w:r w:rsidR="00933A1C">
        <w:t xml:space="preserve"> the applicant </w:t>
      </w:r>
      <w:r w:rsidR="00DC36EC" w:rsidRPr="00A6032D">
        <w:t>think</w:t>
      </w:r>
      <w:r w:rsidR="00933A1C">
        <w:t>s</w:t>
      </w:r>
      <w:r w:rsidR="00DC36EC" w:rsidRPr="00A6032D">
        <w:t xml:space="preserve"> it will</w:t>
      </w:r>
      <w:r w:rsidR="00DC7DDF">
        <w:t xml:space="preserve"> make a difference. </w:t>
      </w:r>
      <w:r w:rsidR="00933A1C">
        <w:t>However, after having heard the applicant’s submissions,</w:t>
      </w:r>
      <w:r w:rsidR="00DC36EC" w:rsidRPr="00A6032D">
        <w:t xml:space="preserve"> I </w:t>
      </w:r>
      <w:r w:rsidR="002534D9">
        <w:t xml:space="preserve">have my reservations because the </w:t>
      </w:r>
      <w:r w:rsidR="008D57B2">
        <w:t>applicant</w:t>
      </w:r>
      <w:r w:rsidR="002534D9">
        <w:t xml:space="preserve"> has</w:t>
      </w:r>
      <w:r w:rsidR="00DC36EC" w:rsidRPr="00A6032D">
        <w:t xml:space="preserve"> real problems, in particular psychiatric issues</w:t>
      </w:r>
      <w:r w:rsidR="00CE1630">
        <w:t xml:space="preserve">. </w:t>
      </w:r>
      <w:r w:rsidR="00933A1C">
        <w:t>T</w:t>
      </w:r>
      <w:r w:rsidR="00DC36EC" w:rsidRPr="00A6032D">
        <w:t>he psychological issues</w:t>
      </w:r>
      <w:r w:rsidR="00A933B3">
        <w:t xml:space="preserve"> – </w:t>
      </w:r>
      <w:r w:rsidR="00DC36EC" w:rsidRPr="00A6032D">
        <w:t xml:space="preserve">the anxiety, </w:t>
      </w:r>
      <w:r w:rsidR="00933A1C">
        <w:t xml:space="preserve">and </w:t>
      </w:r>
      <w:r w:rsidR="00DC36EC" w:rsidRPr="00A6032D">
        <w:t>the depression, if that is what it is</w:t>
      </w:r>
      <w:r w:rsidR="00A933B3">
        <w:t xml:space="preserve"> – </w:t>
      </w:r>
      <w:r w:rsidR="00933A1C">
        <w:t>are</w:t>
      </w:r>
      <w:r w:rsidR="00DC36EC" w:rsidRPr="00A6032D">
        <w:t xml:space="preserve"> obstacle</w:t>
      </w:r>
      <w:r w:rsidR="00933A1C">
        <w:t>s</w:t>
      </w:r>
      <w:r w:rsidR="00DC36EC" w:rsidRPr="00A6032D">
        <w:t xml:space="preserve"> and that is one of the reasons why I </w:t>
      </w:r>
      <w:r w:rsidR="008D57B2">
        <w:t>asked</w:t>
      </w:r>
      <w:r w:rsidR="008D57B2" w:rsidRPr="00A6032D">
        <w:t xml:space="preserve"> </w:t>
      </w:r>
      <w:r w:rsidR="00DC36EC" w:rsidRPr="00A6032D">
        <w:t xml:space="preserve">Mr </w:t>
      </w:r>
      <w:proofErr w:type="spellStart"/>
      <w:r w:rsidR="00DC36EC" w:rsidRPr="00A6032D">
        <w:t>Lozynsky</w:t>
      </w:r>
      <w:proofErr w:type="spellEnd"/>
      <w:r w:rsidR="002534D9">
        <w:t xml:space="preserve">, the Centrelink advocate, </w:t>
      </w:r>
      <w:r w:rsidR="00DC36EC" w:rsidRPr="00A6032D">
        <w:t xml:space="preserve">to make some enquiries </w:t>
      </w:r>
      <w:r w:rsidR="002534D9">
        <w:t xml:space="preserve">during an adjournment </w:t>
      </w:r>
      <w:r w:rsidR="00DC36EC" w:rsidRPr="00A6032D">
        <w:t>about whether it is possible to actually access appropriate services.</w:t>
      </w:r>
    </w:p>
    <w:p w:rsidR="00915ED4" w:rsidRDefault="00DC36EC" w:rsidP="00915ED4">
      <w:pPr>
        <w:pStyle w:val="ListNumber"/>
      </w:pPr>
      <w:r w:rsidRPr="00A6032D">
        <w:t xml:space="preserve">I </w:t>
      </w:r>
      <w:r w:rsidR="00CF1571">
        <w:t xml:space="preserve">have heard the applicant’s submissions regarding </w:t>
      </w:r>
      <w:r w:rsidRPr="00A6032D">
        <w:t xml:space="preserve">private health cover being preferable because that might give </w:t>
      </w:r>
      <w:r w:rsidR="00CF1571">
        <w:t>him</w:t>
      </w:r>
      <w:r w:rsidRPr="00A6032D">
        <w:t xml:space="preserve"> quicker access </w:t>
      </w:r>
      <w:r w:rsidR="00CF1571">
        <w:t>to psychiatric services in private facilities. The applicant</w:t>
      </w:r>
      <w:r w:rsidRPr="00A6032D">
        <w:t xml:space="preserve"> can</w:t>
      </w:r>
      <w:r w:rsidR="002534D9">
        <w:t>not</w:t>
      </w:r>
      <w:r w:rsidRPr="00A6032D">
        <w:t xml:space="preserve"> afford to pay for those things and get an appointment from </w:t>
      </w:r>
      <w:r w:rsidR="00CF1571">
        <w:t>his</w:t>
      </w:r>
      <w:r w:rsidRPr="00A6032D">
        <w:t xml:space="preserve"> tr</w:t>
      </w:r>
      <w:r w:rsidR="00CF1571">
        <w:t xml:space="preserve">eating psychiatrist of choice. </w:t>
      </w:r>
      <w:r w:rsidRPr="00A6032D">
        <w:t xml:space="preserve">But </w:t>
      </w:r>
      <w:r w:rsidR="008D57B2">
        <w:t xml:space="preserve">I was assured </w:t>
      </w:r>
      <w:r w:rsidRPr="00A6032D">
        <w:t xml:space="preserve">there are </w:t>
      </w:r>
      <w:r w:rsidR="002534D9">
        <w:t xml:space="preserve">public </w:t>
      </w:r>
      <w:r w:rsidRPr="00A6032D">
        <w:t>services available</w:t>
      </w:r>
      <w:r w:rsidR="002534D9">
        <w:t>.</w:t>
      </w:r>
      <w:r w:rsidRPr="00A6032D">
        <w:t xml:space="preserve"> </w:t>
      </w:r>
      <w:r w:rsidR="002534D9">
        <w:t>The applicant has not yet made a sustained effort to access th</w:t>
      </w:r>
      <w:r w:rsidR="000D6AB2">
        <w:t>os</w:t>
      </w:r>
      <w:r w:rsidR="002534D9">
        <w:t>e services</w:t>
      </w:r>
      <w:r w:rsidR="00CF1571">
        <w:t xml:space="preserve">. </w:t>
      </w:r>
      <w:r w:rsidRPr="00A6032D">
        <w:t xml:space="preserve">That </w:t>
      </w:r>
      <w:r w:rsidR="00CF1571">
        <w:t>could</w:t>
      </w:r>
      <w:r w:rsidRPr="00A6032D">
        <w:t xml:space="preserve"> be </w:t>
      </w:r>
      <w:r w:rsidR="00CF1571">
        <w:t xml:space="preserve">achieved </w:t>
      </w:r>
      <w:r w:rsidR="008D57B2">
        <w:t>through</w:t>
      </w:r>
      <w:r w:rsidR="008D57B2" w:rsidRPr="00A6032D">
        <w:t xml:space="preserve"> </w:t>
      </w:r>
      <w:r w:rsidRPr="00A6032D">
        <w:t xml:space="preserve">one of the </w:t>
      </w:r>
      <w:r w:rsidR="00CF1571">
        <w:t xml:space="preserve">available </w:t>
      </w:r>
      <w:r w:rsidRPr="00A6032D">
        <w:t>services</w:t>
      </w:r>
      <w:r w:rsidR="008D57B2">
        <w:t xml:space="preserve"> providers</w:t>
      </w:r>
      <w:r w:rsidR="00CF1571">
        <w:t xml:space="preserve"> </w:t>
      </w:r>
      <w:r w:rsidRPr="00A6032D">
        <w:t xml:space="preserve">with a referral from </w:t>
      </w:r>
      <w:r w:rsidR="002534D9">
        <w:t>the applicant’s</w:t>
      </w:r>
      <w:r w:rsidR="002534D9" w:rsidRPr="00A6032D">
        <w:t xml:space="preserve"> </w:t>
      </w:r>
      <w:r w:rsidR="00107389">
        <w:t>general practitioner</w:t>
      </w:r>
      <w:r w:rsidR="00CF1571">
        <w:t>.</w:t>
      </w:r>
    </w:p>
    <w:p w:rsidR="00915ED4" w:rsidRDefault="00CF1571" w:rsidP="00915ED4">
      <w:pPr>
        <w:pStyle w:val="ListNumber"/>
      </w:pPr>
      <w:r>
        <w:t xml:space="preserve">The applicant is </w:t>
      </w:r>
      <w:r w:rsidR="00DC36EC" w:rsidRPr="00A6032D">
        <w:t>not in such difficult</w:t>
      </w:r>
      <w:r>
        <w:t>,</w:t>
      </w:r>
      <w:r w:rsidR="00DC36EC" w:rsidRPr="00A6032D">
        <w:t xml:space="preserve"> different circumstances to a lot of people that come before </w:t>
      </w:r>
      <w:r>
        <w:t>the Tribunal</w:t>
      </w:r>
      <w:r w:rsidR="00DC36EC" w:rsidRPr="00A6032D">
        <w:t xml:space="preserve"> that I could say </w:t>
      </w:r>
      <w:r w:rsidR="008D57B2">
        <w:t>he finds himself facing</w:t>
      </w:r>
      <w:r w:rsidR="00DC36EC" w:rsidRPr="00A6032D">
        <w:t xml:space="preserve"> </w:t>
      </w:r>
      <w:r w:rsidR="00DC36EC" w:rsidRPr="00646043">
        <w:rPr>
          <w:i/>
        </w:rPr>
        <w:t>special circumstances</w:t>
      </w:r>
      <w:r w:rsidR="00DC7DDF">
        <w:t xml:space="preserve">. </w:t>
      </w:r>
      <w:r w:rsidR="00DC36EC" w:rsidRPr="00A6032D">
        <w:t xml:space="preserve">I cannot fit </w:t>
      </w:r>
      <w:r>
        <w:t>the applicant</w:t>
      </w:r>
      <w:r w:rsidR="00DC36EC" w:rsidRPr="00A6032D">
        <w:t xml:space="preserve"> into th</w:t>
      </w:r>
      <w:r w:rsidR="008D57B2">
        <w:t>e</w:t>
      </w:r>
      <w:r w:rsidR="00DC36EC" w:rsidRPr="00A6032D">
        <w:t xml:space="preserve"> special category that I </w:t>
      </w:r>
      <w:r>
        <w:t>am required to attempt</w:t>
      </w:r>
      <w:r w:rsidR="00DC36EC" w:rsidRPr="00A6032D">
        <w:t xml:space="preserve"> to fit </w:t>
      </w:r>
      <w:r>
        <w:t>him</w:t>
      </w:r>
      <w:r w:rsidR="00DC36EC" w:rsidRPr="00A6032D">
        <w:t xml:space="preserve"> into, in order to </w:t>
      </w:r>
      <w:r>
        <w:t xml:space="preserve">provide the applicant with the </w:t>
      </w:r>
      <w:r w:rsidR="002534D9">
        <w:t>relief he seeks</w:t>
      </w:r>
      <w:r>
        <w:t>.</w:t>
      </w:r>
    </w:p>
    <w:p w:rsidR="00DC36EC" w:rsidRDefault="00DC36EC" w:rsidP="00915ED4">
      <w:pPr>
        <w:pStyle w:val="ListNumber"/>
      </w:pPr>
      <w:r w:rsidRPr="00A6032D">
        <w:t>I</w:t>
      </w:r>
      <w:r w:rsidR="008D57B2">
        <w:t xml:space="preserve"> would add i</w:t>
      </w:r>
      <w:r w:rsidRPr="00A6032D">
        <w:t xml:space="preserve">t is clear </w:t>
      </w:r>
      <w:r w:rsidR="00CF1571">
        <w:t>the applicant</w:t>
      </w:r>
      <w:r w:rsidRPr="00A6032D">
        <w:t xml:space="preserve"> need</w:t>
      </w:r>
      <w:r w:rsidR="00CF1571">
        <w:t>s</w:t>
      </w:r>
      <w:r w:rsidRPr="00A6032D">
        <w:t xml:space="preserve"> to access the</w:t>
      </w:r>
      <w:r w:rsidR="00CF1571">
        <w:t xml:space="preserve"> </w:t>
      </w:r>
      <w:r w:rsidR="008D57B2">
        <w:t xml:space="preserve">necessary </w:t>
      </w:r>
      <w:r w:rsidRPr="00A6032D">
        <w:t xml:space="preserve">psychiatric services, </w:t>
      </w:r>
      <w:r w:rsidR="00CF1571">
        <w:t>which can be done with</w:t>
      </w:r>
      <w:r w:rsidRPr="00A6032D">
        <w:t xml:space="preserve"> perseverance. </w:t>
      </w:r>
      <w:r w:rsidR="000D6AB2">
        <w:t xml:space="preserve">I would not in any event </w:t>
      </w:r>
      <w:r w:rsidRPr="00A6032D">
        <w:t xml:space="preserve">be helping </w:t>
      </w:r>
      <w:r w:rsidR="00CF1571">
        <w:t>the applicant</w:t>
      </w:r>
      <w:r w:rsidRPr="00A6032D">
        <w:t xml:space="preserve"> if I told </w:t>
      </w:r>
      <w:r w:rsidR="00CF1571">
        <w:t>the Respondent</w:t>
      </w:r>
      <w:r w:rsidRPr="00A6032D">
        <w:t xml:space="preserve"> to </w:t>
      </w:r>
      <w:r w:rsidR="002534D9">
        <w:t>effectively cancel the charge and refund</w:t>
      </w:r>
      <w:r w:rsidRPr="00A6032D">
        <w:t xml:space="preserve"> the money</w:t>
      </w:r>
      <w:r w:rsidR="002534D9">
        <w:t xml:space="preserve">. </w:t>
      </w:r>
      <w:r w:rsidRPr="00A6032D">
        <w:t xml:space="preserve">I do not think it is actually the answer to </w:t>
      </w:r>
      <w:r w:rsidR="00CF1571">
        <w:t xml:space="preserve">the applicant’s problem. </w:t>
      </w:r>
      <w:r w:rsidRPr="00A6032D">
        <w:t xml:space="preserve">The answer to </w:t>
      </w:r>
      <w:r w:rsidR="00CF1571">
        <w:t>his</w:t>
      </w:r>
      <w:r w:rsidRPr="00A6032D">
        <w:t xml:space="preserve"> problem is </w:t>
      </w:r>
      <w:r w:rsidR="00F64EC3">
        <w:t xml:space="preserve">for him </w:t>
      </w:r>
      <w:r w:rsidRPr="00A6032D">
        <w:t xml:space="preserve">to access the psychiatric services that are available </w:t>
      </w:r>
      <w:r w:rsidR="002534D9">
        <w:t>to him</w:t>
      </w:r>
      <w:r w:rsidR="00CF1571">
        <w:t>.</w:t>
      </w:r>
    </w:p>
    <w:p w:rsidR="00CF1571" w:rsidRPr="00A6032D" w:rsidRDefault="00CF1571" w:rsidP="00CF1571">
      <w:pPr>
        <w:pStyle w:val="Heading1"/>
      </w:pPr>
      <w:r>
        <w:t>Decision</w:t>
      </w:r>
    </w:p>
    <w:p w:rsidR="000176A5" w:rsidRDefault="000D6AB2" w:rsidP="00915ED4">
      <w:pPr>
        <w:pStyle w:val="ListNumber"/>
      </w:pPr>
      <w:r>
        <w:t>T</w:t>
      </w:r>
      <w:r w:rsidR="00CF1571">
        <w:t xml:space="preserve">he applicant does not satisfy </w:t>
      </w:r>
      <w:r w:rsidR="002534D9">
        <w:t xml:space="preserve">the </w:t>
      </w:r>
      <w:r w:rsidR="00CF1571">
        <w:t xml:space="preserve">‘special circumstances’ requirements </w:t>
      </w:r>
      <w:r w:rsidR="00663326">
        <w:t xml:space="preserve">as provided for in s 1184K of the </w:t>
      </w:r>
      <w:r w:rsidR="00663326">
        <w:rPr>
          <w:i/>
        </w:rPr>
        <w:t xml:space="preserve">Social Security Act 1991 </w:t>
      </w:r>
      <w:r w:rsidR="00663326">
        <w:t>(</w:t>
      </w:r>
      <w:proofErr w:type="spellStart"/>
      <w:r w:rsidR="00663326">
        <w:t>Cth</w:t>
      </w:r>
      <w:proofErr w:type="spellEnd"/>
      <w:r w:rsidR="00663326">
        <w:t>).</w:t>
      </w:r>
      <w:r w:rsidR="00F64EC3">
        <w:t xml:space="preserve"> The decision under review is affirmed.</w:t>
      </w:r>
    </w:p>
    <w:p w:rsidR="00E55557" w:rsidRDefault="00E55557"/>
    <w:p w:rsidR="00905A4D" w:rsidRDefault="00905A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E55557" w:rsidTr="00591EF1">
        <w:tc>
          <w:tcPr>
            <w:tcW w:w="3651" w:type="dxa"/>
          </w:tcPr>
          <w:p w:rsidR="00E55557" w:rsidRDefault="00E55557" w:rsidP="00483D56">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 xml:space="preserve">17 (seventeen)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Senior Member B McCabe</w:t>
            </w:r>
            <w:r w:rsidRPr="00483D56">
              <w:fldChar w:fldCharType="end"/>
            </w:r>
            <w:r>
              <w:t>.</w:t>
            </w:r>
          </w:p>
        </w:tc>
      </w:tr>
    </w:tbl>
    <w:p w:rsidR="00E55557" w:rsidRPr="00BC2D09" w:rsidRDefault="00E55557" w:rsidP="004365B2">
      <w:pPr>
        <w:keepNext/>
        <w:spacing w:before="960"/>
        <w:rPr>
          <w:lang w:eastAsia="en-US"/>
        </w:rPr>
      </w:pPr>
      <w:r w:rsidRPr="00BC2D09">
        <w:rPr>
          <w:lang w:eastAsia="en-US"/>
        </w:rPr>
        <w:t>..............................</w:t>
      </w:r>
      <w:r w:rsidR="00B606DD">
        <w:rPr>
          <w:lang w:eastAsia="en-US"/>
        </w:rPr>
        <w:t>[Sgd]</w:t>
      </w:r>
      <w:r w:rsidRPr="00BC2D09">
        <w:rPr>
          <w:lang w:eastAsia="en-US"/>
        </w:rPr>
        <w:t>..........................................</w:t>
      </w:r>
    </w:p>
    <w:p w:rsidR="00E55557" w:rsidRPr="00D8769A" w:rsidRDefault="00E00A1D" w:rsidP="00814E7C">
      <w:pPr>
        <w:pStyle w:val="NoSpacing"/>
      </w:pPr>
      <w:fldSimple w:instr=" DOCPROPERTY  SigneeDesignation ">
        <w:r w:rsidR="00E55557">
          <w:t>Associate</w:t>
        </w:r>
      </w:fldSimple>
    </w:p>
    <w:p w:rsidR="00E55557" w:rsidRDefault="00E55557" w:rsidP="004365B2">
      <w:r>
        <w:t xml:space="preserve">Dated </w:t>
      </w:r>
      <w:fldSimple w:instr=" DOCPROPERTY  StampDate ">
        <w:r>
          <w:t>10 November 2014</w:t>
        </w:r>
      </w:fldSimple>
    </w:p>
    <w:p w:rsidR="00E55557" w:rsidRDefault="00E55557" w:rsidP="004365B2"/>
    <w:tbl>
      <w:tblPr>
        <w:tblW w:w="0" w:type="auto"/>
        <w:tblLayout w:type="fixed"/>
        <w:tblLook w:val="00A0" w:firstRow="1" w:lastRow="0" w:firstColumn="1" w:lastColumn="0" w:noHBand="0" w:noVBand="0"/>
      </w:tblPr>
      <w:tblGrid>
        <w:gridCol w:w="3510"/>
        <w:gridCol w:w="5279"/>
      </w:tblGrid>
      <w:tr w:rsidR="00E55557" w:rsidRPr="00BC2D09" w:rsidTr="004365B2">
        <w:trPr>
          <w:trHeight w:val="567"/>
        </w:trPr>
        <w:tc>
          <w:tcPr>
            <w:tcW w:w="3510" w:type="dxa"/>
          </w:tcPr>
          <w:p w:rsidR="00E55557" w:rsidRPr="00BC2D09" w:rsidRDefault="00E55557" w:rsidP="004365B2">
            <w:pPr>
              <w:pStyle w:val="NoSpacing"/>
              <w:rPr>
                <w:lang w:eastAsia="en-US"/>
              </w:rPr>
            </w:pPr>
            <w:r>
              <w:rPr>
                <w:lang w:eastAsia="en-US"/>
              </w:rPr>
              <w:t>Date of hearing</w:t>
            </w:r>
          </w:p>
        </w:tc>
        <w:tc>
          <w:tcPr>
            <w:tcW w:w="5279" w:type="dxa"/>
          </w:tcPr>
          <w:p w:rsidR="00E55557" w:rsidRPr="00771CAC" w:rsidRDefault="00E5555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10 November 2014</w:t>
            </w:r>
            <w:r>
              <w:rPr>
                <w:b/>
                <w:bCs/>
                <w:lang w:eastAsia="en-US"/>
              </w:rPr>
              <w:fldChar w:fldCharType="end"/>
            </w:r>
          </w:p>
        </w:tc>
      </w:tr>
      <w:tr w:rsidR="00E55557" w:rsidRPr="00BC2D09" w:rsidTr="004365B2">
        <w:trPr>
          <w:trHeight w:val="567"/>
        </w:trPr>
        <w:tc>
          <w:tcPr>
            <w:tcW w:w="3510" w:type="dxa"/>
          </w:tcPr>
          <w:p w:rsidR="00E55557" w:rsidRDefault="00E55557" w:rsidP="004365B2">
            <w:pPr>
              <w:pStyle w:val="NoSpacing"/>
              <w:rPr>
                <w:lang w:eastAsia="en-US"/>
              </w:rPr>
            </w:pPr>
            <w:bookmarkStart w:id="10" w:name="DateFinalSubmission"/>
            <w:bookmarkStart w:id="11" w:name="AppSelfRepresented"/>
            <w:bookmarkStart w:id="12" w:name="Respondent_Solicitors"/>
            <w:bookmarkEnd w:id="10"/>
            <w:bookmarkEnd w:id="11"/>
            <w:bookmarkEnd w:id="12"/>
            <w:r>
              <w:rPr>
                <w:lang w:eastAsia="en-US"/>
              </w:rPr>
              <w:t>Applicant</w:t>
            </w:r>
          </w:p>
          <w:p w:rsidR="00E55557" w:rsidRDefault="00E55557" w:rsidP="004365B2">
            <w:pPr>
              <w:pStyle w:val="NoSpacing"/>
              <w:rPr>
                <w:lang w:eastAsia="en-US"/>
              </w:rPr>
            </w:pPr>
          </w:p>
          <w:p w:rsidR="00E55557" w:rsidRDefault="00E55557" w:rsidP="004365B2">
            <w:pPr>
              <w:pStyle w:val="NoSpacing"/>
              <w:rPr>
                <w:lang w:eastAsia="en-US"/>
              </w:rPr>
            </w:pPr>
            <w:r>
              <w:rPr>
                <w:lang w:eastAsia="en-US"/>
              </w:rPr>
              <w:t>Solicitors for the Respondent</w:t>
            </w:r>
          </w:p>
        </w:tc>
        <w:tc>
          <w:tcPr>
            <w:tcW w:w="5279" w:type="dxa"/>
          </w:tcPr>
          <w:p w:rsidR="00E55557" w:rsidRPr="00E55557" w:rsidRDefault="00E55557" w:rsidP="004365B2">
            <w:pPr>
              <w:pStyle w:val="NoSpacing"/>
              <w:rPr>
                <w:b/>
                <w:bCs/>
                <w:lang w:eastAsia="en-US"/>
              </w:rPr>
            </w:pPr>
            <w:r>
              <w:rPr>
                <w:b/>
                <w:bCs/>
                <w:lang w:eastAsia="en-US"/>
              </w:rPr>
              <w:t>In person</w:t>
            </w:r>
          </w:p>
          <w:p w:rsidR="00E55557" w:rsidRDefault="00E55557" w:rsidP="004365B2">
            <w:pPr>
              <w:pStyle w:val="NoSpacing"/>
              <w:rPr>
                <w:b/>
                <w:bCs/>
                <w:lang w:eastAsia="en-US"/>
              </w:rPr>
            </w:pPr>
          </w:p>
          <w:p w:rsidR="00E55557" w:rsidRPr="00771CAC" w:rsidRDefault="00E55557"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 xml:space="preserve">George </w:t>
            </w:r>
            <w:proofErr w:type="spellStart"/>
            <w:r>
              <w:rPr>
                <w:b/>
                <w:bCs/>
                <w:lang w:eastAsia="en-US"/>
              </w:rPr>
              <w:t>Lozynsky</w:t>
            </w:r>
            <w:proofErr w:type="spellEnd"/>
            <w:r>
              <w:rPr>
                <w:b/>
                <w:bCs/>
                <w:lang w:eastAsia="en-US"/>
              </w:rPr>
              <w:t>, Department of Human Services</w:t>
            </w:r>
            <w:r>
              <w:rPr>
                <w:b/>
                <w:bCs/>
                <w:lang w:eastAsia="en-US"/>
              </w:rPr>
              <w:fldChar w:fldCharType="end"/>
            </w:r>
          </w:p>
        </w:tc>
      </w:tr>
    </w:tbl>
    <w:p w:rsidR="00391759" w:rsidRDefault="00391759" w:rsidP="00E55557"/>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51" w:rsidRDefault="00EB7451">
      <w:r>
        <w:separator/>
      </w:r>
    </w:p>
    <w:p w:rsidR="00EB7451" w:rsidRDefault="00EB7451"/>
  </w:endnote>
  <w:endnote w:type="continuationSeparator" w:id="0">
    <w:p w:rsidR="00EB7451" w:rsidRDefault="00EB7451">
      <w:r>
        <w:continuationSeparator/>
      </w:r>
    </w:p>
    <w:p w:rsidR="00EB7451" w:rsidRDefault="00EB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2C3AD7">
            <w:rPr>
              <w:noProof/>
            </w:rPr>
            <w:t>2</w:t>
          </w:r>
          <w:r>
            <w:fldChar w:fldCharType="end"/>
          </w:r>
          <w:r>
            <w:t xml:space="preserve"> of </w:t>
          </w:r>
          <w:fldSimple w:instr=" NUMPAGES  \* Arabic ">
            <w:r w:rsidR="002C3AD7">
              <w:rPr>
                <w:noProof/>
              </w:rPr>
              <w:t>7</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51" w:rsidRDefault="00EB7451">
      <w:r>
        <w:separator/>
      </w:r>
    </w:p>
  </w:footnote>
  <w:footnote w:type="continuationSeparator" w:id="0">
    <w:p w:rsidR="00EB7451" w:rsidRDefault="00EB7451">
      <w:r>
        <w:continuationSeparator/>
      </w:r>
    </w:p>
    <w:p w:rsidR="00EB7451" w:rsidRDefault="00EB74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1DDC4AC9"/>
    <w:multiLevelType w:val="hybridMultilevel"/>
    <w:tmpl w:val="AA3C7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8"/>
  </w:num>
  <w:num w:numId="39">
    <w:abstractNumId w:val="8"/>
  </w:num>
  <w:num w:numId="40">
    <w:abstractNumId w:val="8"/>
  </w:num>
  <w:num w:numId="41">
    <w:abstractNumId w:val="8"/>
  </w:num>
  <w:num w:numId="42">
    <w:abstractNumId w:val="13"/>
  </w:num>
  <w:num w:numId="43">
    <w:abstractNumId w:val="17"/>
  </w:num>
  <w:num w:numId="44">
    <w:abstractNumId w:val="11"/>
  </w:num>
  <w:num w:numId="45">
    <w:abstractNumId w:val="18"/>
  </w:num>
  <w:num w:numId="46">
    <w:abstractNumId w:val="18"/>
  </w:num>
  <w:num w:numId="47">
    <w:abstractNumId w:val="7"/>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D3545E"/>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6AB2"/>
    <w:rsid w:val="000E14C4"/>
    <w:rsid w:val="000E35BC"/>
    <w:rsid w:val="000E3B5A"/>
    <w:rsid w:val="000E4089"/>
    <w:rsid w:val="000E5FB6"/>
    <w:rsid w:val="000F18F4"/>
    <w:rsid w:val="000F6FDF"/>
    <w:rsid w:val="001064ED"/>
    <w:rsid w:val="00107389"/>
    <w:rsid w:val="00110450"/>
    <w:rsid w:val="00110C0F"/>
    <w:rsid w:val="00111F84"/>
    <w:rsid w:val="001131C2"/>
    <w:rsid w:val="00114BD8"/>
    <w:rsid w:val="0011681C"/>
    <w:rsid w:val="00117552"/>
    <w:rsid w:val="00117F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2EA9"/>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34D9"/>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3AD7"/>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304A"/>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6043"/>
    <w:rsid w:val="00647330"/>
    <w:rsid w:val="00653401"/>
    <w:rsid w:val="0066062A"/>
    <w:rsid w:val="00661217"/>
    <w:rsid w:val="00661270"/>
    <w:rsid w:val="00662B1E"/>
    <w:rsid w:val="00663243"/>
    <w:rsid w:val="00663326"/>
    <w:rsid w:val="00664295"/>
    <w:rsid w:val="00671D54"/>
    <w:rsid w:val="00681AA2"/>
    <w:rsid w:val="00682631"/>
    <w:rsid w:val="00690288"/>
    <w:rsid w:val="0069197D"/>
    <w:rsid w:val="006945BD"/>
    <w:rsid w:val="00696443"/>
    <w:rsid w:val="006970A2"/>
    <w:rsid w:val="006A11AE"/>
    <w:rsid w:val="006A5846"/>
    <w:rsid w:val="006A586C"/>
    <w:rsid w:val="006A6494"/>
    <w:rsid w:val="006A7826"/>
    <w:rsid w:val="006B019F"/>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17B4"/>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57B2"/>
    <w:rsid w:val="008D75FE"/>
    <w:rsid w:val="008F0E23"/>
    <w:rsid w:val="008F49AD"/>
    <w:rsid w:val="008F4CE4"/>
    <w:rsid w:val="009003F4"/>
    <w:rsid w:val="00900A96"/>
    <w:rsid w:val="009030DC"/>
    <w:rsid w:val="00905A4D"/>
    <w:rsid w:val="0091202C"/>
    <w:rsid w:val="009151B2"/>
    <w:rsid w:val="00915ED4"/>
    <w:rsid w:val="00916850"/>
    <w:rsid w:val="009201DC"/>
    <w:rsid w:val="00921243"/>
    <w:rsid w:val="00926EDE"/>
    <w:rsid w:val="00933A1C"/>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3B3"/>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06DD"/>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1630"/>
    <w:rsid w:val="00CE20EC"/>
    <w:rsid w:val="00CE5FF6"/>
    <w:rsid w:val="00CE68E5"/>
    <w:rsid w:val="00CF1571"/>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545E"/>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36EC"/>
    <w:rsid w:val="00DC479C"/>
    <w:rsid w:val="00DC53C8"/>
    <w:rsid w:val="00DC7DDF"/>
    <w:rsid w:val="00DD17FC"/>
    <w:rsid w:val="00DD2834"/>
    <w:rsid w:val="00DD2DE4"/>
    <w:rsid w:val="00DD5603"/>
    <w:rsid w:val="00DD5FC5"/>
    <w:rsid w:val="00DD7AEB"/>
    <w:rsid w:val="00DE0DFC"/>
    <w:rsid w:val="00DE3378"/>
    <w:rsid w:val="00DE35A0"/>
    <w:rsid w:val="00DE6020"/>
    <w:rsid w:val="00DE67BB"/>
    <w:rsid w:val="00DE6F75"/>
    <w:rsid w:val="00DF1A18"/>
    <w:rsid w:val="00E00A1D"/>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5557"/>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B7451"/>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4892"/>
    <w:rsid w:val="00F35E91"/>
    <w:rsid w:val="00F410ED"/>
    <w:rsid w:val="00F4176E"/>
    <w:rsid w:val="00F469C0"/>
    <w:rsid w:val="00F46B14"/>
    <w:rsid w:val="00F53BAA"/>
    <w:rsid w:val="00F53D14"/>
    <w:rsid w:val="00F54B50"/>
    <w:rsid w:val="00F55943"/>
    <w:rsid w:val="00F55C20"/>
    <w:rsid w:val="00F562A1"/>
    <w:rsid w:val="00F56362"/>
    <w:rsid w:val="00F57817"/>
    <w:rsid w:val="00F57C3D"/>
    <w:rsid w:val="00F610DE"/>
    <w:rsid w:val="00F613D4"/>
    <w:rsid w:val="00F63CE5"/>
    <w:rsid w:val="00F64EC3"/>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212EA9"/>
    <w:pPr>
      <w:autoSpaceDE w:val="0"/>
      <w:autoSpaceDN w:val="0"/>
      <w:adjustRightInd w:val="0"/>
    </w:pPr>
    <w:rPr>
      <w:color w:val="000000"/>
      <w:sz w:val="24"/>
      <w:szCs w:val="24"/>
    </w:rPr>
  </w:style>
  <w:style w:type="character" w:styleId="CommentReference">
    <w:name w:val="annotation reference"/>
    <w:basedOn w:val="DefaultParagraphFont"/>
    <w:rsid w:val="00F53BAA"/>
    <w:rPr>
      <w:sz w:val="16"/>
      <w:szCs w:val="16"/>
    </w:rPr>
  </w:style>
  <w:style w:type="paragraph" w:styleId="CommentText">
    <w:name w:val="annotation text"/>
    <w:basedOn w:val="Normal"/>
    <w:link w:val="CommentTextChar"/>
    <w:rsid w:val="00F53BAA"/>
    <w:pPr>
      <w:spacing w:line="240" w:lineRule="auto"/>
    </w:pPr>
    <w:rPr>
      <w:sz w:val="20"/>
    </w:rPr>
  </w:style>
  <w:style w:type="character" w:customStyle="1" w:styleId="CommentTextChar">
    <w:name w:val="Comment Text Char"/>
    <w:basedOn w:val="DefaultParagraphFont"/>
    <w:link w:val="CommentText"/>
    <w:rsid w:val="00F53BAA"/>
  </w:style>
  <w:style w:type="paragraph" w:styleId="CommentSubject">
    <w:name w:val="annotation subject"/>
    <w:basedOn w:val="CommentText"/>
    <w:next w:val="CommentText"/>
    <w:link w:val="CommentSubjectChar"/>
    <w:rsid w:val="00F53BAA"/>
    <w:rPr>
      <w:b/>
      <w:bCs/>
    </w:rPr>
  </w:style>
  <w:style w:type="character" w:customStyle="1" w:styleId="CommentSubjectChar">
    <w:name w:val="Comment Subject Char"/>
    <w:basedOn w:val="CommentTextChar"/>
    <w:link w:val="CommentSubject"/>
    <w:rsid w:val="00F53B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212EA9"/>
    <w:pPr>
      <w:autoSpaceDE w:val="0"/>
      <w:autoSpaceDN w:val="0"/>
      <w:adjustRightInd w:val="0"/>
    </w:pPr>
    <w:rPr>
      <w:color w:val="000000"/>
      <w:sz w:val="24"/>
      <w:szCs w:val="24"/>
    </w:rPr>
  </w:style>
  <w:style w:type="character" w:styleId="CommentReference">
    <w:name w:val="annotation reference"/>
    <w:basedOn w:val="DefaultParagraphFont"/>
    <w:rsid w:val="00F53BAA"/>
    <w:rPr>
      <w:sz w:val="16"/>
      <w:szCs w:val="16"/>
    </w:rPr>
  </w:style>
  <w:style w:type="paragraph" w:styleId="CommentText">
    <w:name w:val="annotation text"/>
    <w:basedOn w:val="Normal"/>
    <w:link w:val="CommentTextChar"/>
    <w:rsid w:val="00F53BAA"/>
    <w:pPr>
      <w:spacing w:line="240" w:lineRule="auto"/>
    </w:pPr>
    <w:rPr>
      <w:sz w:val="20"/>
    </w:rPr>
  </w:style>
  <w:style w:type="character" w:customStyle="1" w:styleId="CommentTextChar">
    <w:name w:val="Comment Text Char"/>
    <w:basedOn w:val="DefaultParagraphFont"/>
    <w:link w:val="CommentText"/>
    <w:rsid w:val="00F53BAA"/>
  </w:style>
  <w:style w:type="paragraph" w:styleId="CommentSubject">
    <w:name w:val="annotation subject"/>
    <w:basedOn w:val="CommentText"/>
    <w:next w:val="CommentText"/>
    <w:link w:val="CommentSubjectChar"/>
    <w:rsid w:val="00F53BAA"/>
    <w:rPr>
      <w:b/>
      <w:bCs/>
    </w:rPr>
  </w:style>
  <w:style w:type="character" w:customStyle="1" w:styleId="CommentSubjectChar">
    <w:name w:val="Comment Subject Char"/>
    <w:basedOn w:val="CommentTextChar"/>
    <w:link w:val="CommentSubject"/>
    <w:rsid w:val="00F53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AB162B82564BD3AC5C6A4415F116E0"/>
        <w:category>
          <w:name w:val="General"/>
          <w:gallery w:val="placeholder"/>
        </w:category>
        <w:types>
          <w:type w:val="bbPlcHdr"/>
        </w:types>
        <w:behaviors>
          <w:behavior w:val="content"/>
        </w:behaviors>
        <w:guid w:val="{871577A7-1EC5-428C-B317-ED2D037FD90D}"/>
      </w:docPartPr>
      <w:docPartBody>
        <w:p w:rsidR="00D738C1" w:rsidRDefault="00D738C1">
          <w:pPr>
            <w:pStyle w:val="CDAB162B82564BD3AC5C6A4415F116E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844DFE0B50B34864994C83F338A26F94"/>
        <w:category>
          <w:name w:val="General"/>
          <w:gallery w:val="placeholder"/>
        </w:category>
        <w:types>
          <w:type w:val="bbPlcHdr"/>
        </w:types>
        <w:behaviors>
          <w:behavior w:val="content"/>
        </w:behaviors>
        <w:guid w:val="{46EE1E7E-9637-4B74-98EB-CCD79110DCDB}"/>
      </w:docPartPr>
      <w:docPartBody>
        <w:p w:rsidR="00D738C1" w:rsidRDefault="00D738C1">
          <w:pPr>
            <w:pStyle w:val="844DFE0B50B34864994C83F338A26F94"/>
          </w:pPr>
          <w:r w:rsidRPr="00CD5897">
            <w:rPr>
              <w:rStyle w:val="PlaceholderText"/>
            </w:rPr>
            <w:t>Click here to enter text.</w:t>
          </w:r>
        </w:p>
      </w:docPartBody>
    </w:docPart>
    <w:docPart>
      <w:docPartPr>
        <w:name w:val="2B465477A10748868480B6AC4F24B6E1"/>
        <w:category>
          <w:name w:val="General"/>
          <w:gallery w:val="placeholder"/>
        </w:category>
        <w:types>
          <w:type w:val="bbPlcHdr"/>
        </w:types>
        <w:behaviors>
          <w:behavior w:val="content"/>
        </w:behaviors>
        <w:guid w:val="{9EBB9F7F-C894-4E5B-B676-24ABA2FDD6A6}"/>
      </w:docPartPr>
      <w:docPartBody>
        <w:p w:rsidR="00D738C1" w:rsidRDefault="00D738C1">
          <w:pPr>
            <w:pStyle w:val="2B465477A10748868480B6AC4F24B6E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C1"/>
    <w:rsid w:val="009E4F3F"/>
    <w:rsid w:val="00D73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AB162B82564BD3AC5C6A4415F116E0">
    <w:name w:val="CDAB162B82564BD3AC5C6A4415F116E0"/>
  </w:style>
  <w:style w:type="paragraph" w:customStyle="1" w:styleId="844DFE0B50B34864994C83F338A26F94">
    <w:name w:val="844DFE0B50B34864994C83F338A26F94"/>
  </w:style>
  <w:style w:type="paragraph" w:customStyle="1" w:styleId="2B465477A10748868480B6AC4F24B6E1">
    <w:name w:val="2B465477A10748868480B6AC4F24B6E1"/>
  </w:style>
  <w:style w:type="paragraph" w:customStyle="1" w:styleId="E59D371EB63E442584F50687D72EADEA">
    <w:name w:val="E59D371EB63E442584F50687D72EADEA"/>
  </w:style>
  <w:style w:type="paragraph" w:customStyle="1" w:styleId="45878B7A8D8A4494A3E710146C78BB68">
    <w:name w:val="45878B7A8D8A4494A3E710146C78BB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AB162B82564BD3AC5C6A4415F116E0">
    <w:name w:val="CDAB162B82564BD3AC5C6A4415F116E0"/>
  </w:style>
  <w:style w:type="paragraph" w:customStyle="1" w:styleId="844DFE0B50B34864994C83F338A26F94">
    <w:name w:val="844DFE0B50B34864994C83F338A26F94"/>
  </w:style>
  <w:style w:type="paragraph" w:customStyle="1" w:styleId="2B465477A10748868480B6AC4F24B6E1">
    <w:name w:val="2B465477A10748868480B6AC4F24B6E1"/>
  </w:style>
  <w:style w:type="paragraph" w:customStyle="1" w:styleId="E59D371EB63E442584F50687D72EADEA">
    <w:name w:val="E59D371EB63E442584F50687D72EADEA"/>
  </w:style>
  <w:style w:type="paragraph" w:customStyle="1" w:styleId="45878B7A8D8A4494A3E710146C78BB68">
    <w:name w:val="45878B7A8D8A4494A3E710146C78B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8E70-E994-4E79-A4D5-797B9DAF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7</Pages>
  <Words>1451</Words>
  <Characters>8273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Delbridge, Brooke</dc:creator>
  <cp:lastModifiedBy>Dalwood, Jacqui</cp:lastModifiedBy>
  <cp:revision>2</cp:revision>
  <cp:lastPrinted>2014-12-10T07:01:00Z</cp:lastPrinted>
  <dcterms:created xsi:type="dcterms:W3CDTF">2014-12-11T05:09:00Z</dcterms:created>
  <dcterms:modified xsi:type="dcterms:W3CDTF">2014-12-11T05:09:00Z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Patrick Abed</vt:lpwstr>
  </property>
  <property fmtid="{D5CDD505-2E9C-101B-9397-08002B2CF9AE}" pid="26" name="FileNumber">
    <vt:lpwstr>2014/2495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Bernard J McCabe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10 November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George Lozynsky, Department of Human Services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10 November 2014</vt:lpwstr>
  </property>
  <property fmtid="{D5CDD505-2E9C-101B-9397-08002B2CF9AE}" pid="97" name="ReasonsforDecisionDate">
    <vt:lpwstr>10 November 2014</vt:lpwstr>
  </property>
  <property fmtid="{D5CDD505-2E9C-101B-9397-08002B2CF9AE}" pid="98" name="StampDate">
    <vt:lpwstr>10 November 2014</vt:lpwstr>
  </property>
  <property fmtid="{D5CDD505-2E9C-101B-9397-08002B2CF9AE}" pid="99" name="TribunalLastPgForm">
    <vt:lpwstr>Senior Member B McCabe</vt:lpwstr>
  </property>
  <property fmtid="{D5CDD505-2E9C-101B-9397-08002B2CF9AE}" pid="100" name="InfoCDC">
    <vt:lpwstr> </vt:lpwstr>
  </property>
  <property fmtid="{D5CDD505-2E9C-101B-9397-08002B2CF9AE}" pid="101" name="Place">
    <vt:lpwstr>Sydney</vt:lpwstr>
  </property>
</Properties>
</file>