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AA1" w:rsidRPr="000A40FB" w:rsidRDefault="00F35E91" w:rsidP="00F35E91">
      <w:pPr>
        <w:pStyle w:val="Title"/>
      </w:pPr>
      <w:bookmarkStart w:id="0" w:name="_GoBack"/>
      <w:bookmarkEnd w:id="0"/>
      <w:r>
        <w:tab/>
      </w:r>
      <w:r w:rsidR="00661270" w:rsidRPr="000A40FB">
        <w:t>[</w:t>
      </w:r>
      <w:r w:rsidR="00A82DD8">
        <w:t>2014</w:t>
      </w:r>
      <w:r w:rsidR="00661270" w:rsidRPr="000A40FB">
        <w:t xml:space="preserve">] </w:t>
      </w:r>
      <w:r w:rsidR="00531AA1" w:rsidRPr="000A40FB">
        <w:t xml:space="preserve">AATA </w:t>
      </w:r>
      <w:r w:rsidR="00B73154">
        <w:t>262</w:t>
      </w:r>
      <w:fldSimple w:instr=" DOCPROPERTY  DecisionNumber ">
        <w:r w:rsidR="003E5564">
          <w:t xml:space="preserve"> </w:t>
        </w:r>
      </w:fldSimple>
    </w:p>
    <w:p w:rsidR="00DD17FC" w:rsidRPr="00531AA1" w:rsidRDefault="00DD17FC" w:rsidP="00DD17FC">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951"/>
        <w:gridCol w:w="6838"/>
      </w:tblGrid>
      <w:tr w:rsidR="00531AA1" w:rsidRPr="00FA73B2" w:rsidTr="00AA34CF">
        <w:trPr>
          <w:trHeight w:val="284"/>
        </w:trPr>
        <w:tc>
          <w:tcPr>
            <w:tcW w:w="1951" w:type="dxa"/>
          </w:tcPr>
          <w:p w:rsidR="00531AA1" w:rsidRPr="004B6924" w:rsidRDefault="00531AA1" w:rsidP="004B6924">
            <w:pPr>
              <w:spacing w:before="0"/>
            </w:pPr>
            <w:bookmarkStart w:id="1" w:name="SingleFile" w:colFirst="0" w:colLast="2"/>
            <w:r w:rsidRPr="004B6924">
              <w:t>Division</w:t>
            </w:r>
          </w:p>
        </w:tc>
        <w:tc>
          <w:tcPr>
            <w:tcW w:w="6838" w:type="dxa"/>
          </w:tcPr>
          <w:p w:rsidR="00531AA1" w:rsidRPr="00BB4097" w:rsidRDefault="00B05942" w:rsidP="00D750F5">
            <w:pPr>
              <w:spacing w:before="0"/>
              <w:rPr>
                <w:b/>
              </w:rPr>
            </w:pPr>
            <w:r>
              <w:rPr>
                <w:b/>
              </w:rPr>
              <w:fldChar w:fldCharType="begin"/>
            </w:r>
            <w:r>
              <w:rPr>
                <w:b/>
              </w:rPr>
              <w:instrText xml:space="preserve"> DOCPROPERTY  Division </w:instrText>
            </w:r>
            <w:r>
              <w:rPr>
                <w:b/>
              </w:rPr>
              <w:fldChar w:fldCharType="separate"/>
            </w:r>
            <w:r w:rsidR="003E5564">
              <w:rPr>
                <w:b/>
              </w:rPr>
              <w:t>Veterans' Appeals Division</w:t>
            </w:r>
            <w:r>
              <w:rPr>
                <w:b/>
              </w:rPr>
              <w:fldChar w:fldCharType="end"/>
            </w:r>
          </w:p>
        </w:tc>
      </w:tr>
      <w:tr w:rsidR="00531AA1" w:rsidRPr="00FA73B2" w:rsidTr="00AA34CF">
        <w:trPr>
          <w:trHeight w:val="284"/>
        </w:trPr>
        <w:tc>
          <w:tcPr>
            <w:tcW w:w="1951" w:type="dxa"/>
          </w:tcPr>
          <w:p w:rsidR="00531AA1" w:rsidRPr="002260F4" w:rsidRDefault="00531AA1" w:rsidP="007D1803">
            <w:r w:rsidRPr="002260F4">
              <w:t>File Number(s)</w:t>
            </w:r>
          </w:p>
        </w:tc>
        <w:tc>
          <w:tcPr>
            <w:tcW w:w="6838" w:type="dxa"/>
          </w:tcPr>
          <w:p w:rsidR="00531AA1" w:rsidRPr="00A9538E" w:rsidRDefault="0005765E" w:rsidP="00A9538E">
            <w:pPr>
              <w:pStyle w:val="Details"/>
            </w:pPr>
            <w:r w:rsidRPr="00A9538E">
              <w:fldChar w:fldCharType="begin"/>
            </w:r>
            <w:r w:rsidR="00BB4D2F" w:rsidRPr="00A9538E">
              <w:instrText xml:space="preserve"> DOCPROPERTY  File</w:instrText>
            </w:r>
            <w:r w:rsidRPr="00A9538E">
              <w:instrText xml:space="preserve">Number </w:instrText>
            </w:r>
            <w:r w:rsidRPr="00A9538E">
              <w:fldChar w:fldCharType="separate"/>
            </w:r>
            <w:r w:rsidR="003E5564">
              <w:t>2011/3352</w:t>
            </w:r>
            <w:r w:rsidRPr="00A9538E">
              <w:fldChar w:fldCharType="end"/>
            </w:r>
          </w:p>
        </w:tc>
      </w:tr>
      <w:tr w:rsidR="00531AA1" w:rsidRPr="00FA73B2" w:rsidTr="00AA34CF">
        <w:trPr>
          <w:trHeight w:val="284"/>
        </w:trPr>
        <w:tc>
          <w:tcPr>
            <w:tcW w:w="1951" w:type="dxa"/>
          </w:tcPr>
          <w:p w:rsidR="00531AA1" w:rsidRPr="002260F4" w:rsidRDefault="00531AA1" w:rsidP="007D1803">
            <w:r w:rsidRPr="002260F4">
              <w:t>Re</w:t>
            </w:r>
          </w:p>
        </w:tc>
        <w:tc>
          <w:tcPr>
            <w:tcW w:w="6838" w:type="dxa"/>
          </w:tcPr>
          <w:p w:rsidR="00531AA1" w:rsidRPr="006D20BD" w:rsidRDefault="00B73154" w:rsidP="00036C03">
            <w:pPr>
              <w:pStyle w:val="Details"/>
            </w:pPr>
            <w:fldSimple w:instr=" DOCPROPERTY  Applicant ">
              <w:r w:rsidR="003E5564">
                <w:t>Kerri Riley</w:t>
              </w:r>
            </w:fldSimple>
          </w:p>
        </w:tc>
      </w:tr>
      <w:tr w:rsidR="00531AA1" w:rsidRPr="00FA73B2" w:rsidTr="00AA34CF">
        <w:trPr>
          <w:trHeight w:val="284"/>
        </w:trPr>
        <w:tc>
          <w:tcPr>
            <w:tcW w:w="1951" w:type="dxa"/>
          </w:tcPr>
          <w:p w:rsidR="00531AA1" w:rsidRPr="00173896" w:rsidRDefault="00531AA1" w:rsidP="007D1803"/>
        </w:tc>
        <w:tc>
          <w:tcPr>
            <w:tcW w:w="6838" w:type="dxa"/>
          </w:tcPr>
          <w:p w:rsidR="00531AA1" w:rsidRPr="0099661B" w:rsidRDefault="00531AA1" w:rsidP="00024EF9">
            <w:pPr>
              <w:pStyle w:val="Label"/>
            </w:pPr>
            <w:r w:rsidRPr="0099661B">
              <w:t>APPLICANT</w:t>
            </w:r>
          </w:p>
        </w:tc>
      </w:tr>
      <w:tr w:rsidR="00531AA1" w:rsidRPr="00FA73B2" w:rsidTr="00AA34CF">
        <w:trPr>
          <w:trHeight w:val="284"/>
        </w:trPr>
        <w:tc>
          <w:tcPr>
            <w:tcW w:w="1951" w:type="dxa"/>
          </w:tcPr>
          <w:p w:rsidR="00531AA1" w:rsidRPr="00110C0F" w:rsidRDefault="00531AA1" w:rsidP="007D1803">
            <w:pPr>
              <w:rPr>
                <w:bCs/>
              </w:rPr>
            </w:pPr>
            <w:r w:rsidRPr="00110C0F">
              <w:rPr>
                <w:bCs/>
              </w:rPr>
              <w:t>And</w:t>
            </w:r>
          </w:p>
        </w:tc>
        <w:tc>
          <w:tcPr>
            <w:tcW w:w="6838" w:type="dxa"/>
          </w:tcPr>
          <w:p w:rsidR="00531AA1" w:rsidRPr="006D20BD" w:rsidRDefault="00773057" w:rsidP="00036C03">
            <w:pPr>
              <w:pStyle w:val="Details"/>
            </w:pPr>
            <w:r>
              <w:fldChar w:fldCharType="begin"/>
            </w:r>
            <w:r>
              <w:instrText xml:space="preserve"> DOCPROPERTY  Respondent </w:instrText>
            </w:r>
            <w:r>
              <w:fldChar w:fldCharType="separate"/>
            </w:r>
            <w:r w:rsidR="003E5564">
              <w:t>Military Rehabilitation and Compensation Commission</w:t>
            </w:r>
            <w:r>
              <w:fldChar w:fldCharType="end"/>
            </w:r>
          </w:p>
        </w:tc>
      </w:tr>
      <w:tr w:rsidR="00531AA1" w:rsidRPr="00FA73B2" w:rsidTr="00AA34CF">
        <w:trPr>
          <w:trHeight w:val="284"/>
        </w:trPr>
        <w:tc>
          <w:tcPr>
            <w:tcW w:w="1951" w:type="dxa"/>
          </w:tcPr>
          <w:p w:rsidR="00531AA1" w:rsidRPr="00173896" w:rsidRDefault="00531AA1" w:rsidP="007D1803"/>
        </w:tc>
        <w:tc>
          <w:tcPr>
            <w:tcW w:w="6838" w:type="dxa"/>
          </w:tcPr>
          <w:p w:rsidR="00531AA1" w:rsidRPr="00771CAC" w:rsidRDefault="00531AA1" w:rsidP="00771CAC">
            <w:pPr>
              <w:pStyle w:val="Label"/>
            </w:pPr>
            <w:r w:rsidRPr="0099661B">
              <w:t>RESPONDENT</w:t>
            </w:r>
          </w:p>
        </w:tc>
      </w:tr>
    </w:tbl>
    <w:bookmarkEnd w:id="1"/>
    <w:p w:rsidR="00BC2D09" w:rsidRDefault="00BC2D09" w:rsidP="00A161A7">
      <w:pPr>
        <w:pStyle w:val="Heading1"/>
        <w:rPr>
          <w:lang w:eastAsia="en-US"/>
        </w:rPr>
      </w:pPr>
      <w:r w:rsidRPr="00BC2D09">
        <w:rPr>
          <w:lang w:eastAsia="en-US"/>
        </w:rPr>
        <w:t>Decision</w:t>
      </w:r>
    </w:p>
    <w:p w:rsidR="00D750F5" w:rsidRPr="00D750F5" w:rsidRDefault="00D750F5" w:rsidP="00D750F5">
      <w:pPr>
        <w:pStyle w:val="NoSpacing"/>
        <w:rPr>
          <w:lang w:eastAsia="en-US"/>
        </w:rPr>
      </w:pPr>
    </w:p>
    <w:tbl>
      <w:tblPr>
        <w:tblW w:w="0" w:type="auto"/>
        <w:tblLayout w:type="fixed"/>
        <w:tblLook w:val="00A0" w:firstRow="1" w:lastRow="0" w:firstColumn="1" w:lastColumn="0" w:noHBand="0" w:noVBand="0"/>
      </w:tblPr>
      <w:tblGrid>
        <w:gridCol w:w="1956"/>
        <w:gridCol w:w="6833"/>
      </w:tblGrid>
      <w:tr w:rsidR="00E969D1" w:rsidRPr="00BC2D09" w:rsidTr="00E92DDB">
        <w:trPr>
          <w:trHeight w:val="567"/>
        </w:trPr>
        <w:tc>
          <w:tcPr>
            <w:tcW w:w="1956" w:type="dxa"/>
          </w:tcPr>
          <w:p w:rsidR="00E969D1" w:rsidRPr="00BC2D09" w:rsidRDefault="00E969D1" w:rsidP="00A96474">
            <w:pPr>
              <w:pStyle w:val="NoSpacing"/>
              <w:rPr>
                <w:lang w:eastAsia="en-US"/>
              </w:rPr>
            </w:pPr>
            <w:bookmarkStart w:id="2" w:name="DecisionSummary"/>
            <w:bookmarkStart w:id="3" w:name="Decision"/>
            <w:r w:rsidRPr="00BC2D09">
              <w:rPr>
                <w:lang w:eastAsia="en-US"/>
              </w:rPr>
              <w:t>Tribunal</w:t>
            </w:r>
          </w:p>
        </w:tc>
        <w:tc>
          <w:tcPr>
            <w:tcW w:w="6833" w:type="dxa"/>
          </w:tcPr>
          <w:p w:rsidR="00E969D1" w:rsidRDefault="00E969D1" w:rsidP="00A96474">
            <w:pPr>
              <w:pStyle w:val="NoSpacing"/>
              <w:rPr>
                <w:b/>
                <w:bCs/>
                <w:lang w:eastAsia="en-US"/>
              </w:rPr>
            </w:pPr>
            <w:r>
              <w:rPr>
                <w:b/>
                <w:bCs/>
                <w:lang w:eastAsia="en-US"/>
              </w:rPr>
              <w:fldChar w:fldCharType="begin"/>
            </w:r>
            <w:r>
              <w:rPr>
                <w:b/>
                <w:bCs/>
                <w:lang w:eastAsia="en-US"/>
              </w:rPr>
              <w:instrText xml:space="preserve"> DOCPROPERTY  TribunalSignee </w:instrText>
            </w:r>
            <w:r>
              <w:rPr>
                <w:b/>
                <w:bCs/>
                <w:lang w:eastAsia="en-US"/>
              </w:rPr>
              <w:fldChar w:fldCharType="separate"/>
            </w:r>
            <w:r w:rsidR="003E5564">
              <w:rPr>
                <w:b/>
                <w:bCs/>
                <w:lang w:eastAsia="en-US"/>
              </w:rPr>
              <w:t>Senior Member Bernard J McCabe</w:t>
            </w:r>
            <w:r>
              <w:rPr>
                <w:b/>
                <w:bCs/>
                <w:lang w:eastAsia="en-US"/>
              </w:rPr>
              <w:fldChar w:fldCharType="end"/>
            </w:r>
          </w:p>
          <w:p w:rsidR="00E969D1" w:rsidRDefault="00E969D1" w:rsidP="00A96474">
            <w:pPr>
              <w:pStyle w:val="NoSpacing"/>
              <w:rPr>
                <w:b/>
                <w:bCs/>
                <w:lang w:eastAsia="en-US"/>
              </w:rPr>
            </w:pPr>
            <w:r>
              <w:rPr>
                <w:b/>
                <w:bCs/>
                <w:lang w:eastAsia="en-US"/>
              </w:rPr>
              <w:fldChar w:fldCharType="begin"/>
            </w:r>
            <w:r>
              <w:rPr>
                <w:b/>
                <w:bCs/>
                <w:lang w:eastAsia="en-US"/>
              </w:rPr>
              <w:instrText xml:space="preserve"> DOCPROPERTY  TribunalText </w:instrText>
            </w:r>
            <w:r>
              <w:rPr>
                <w:b/>
                <w:bCs/>
                <w:lang w:eastAsia="en-US"/>
              </w:rPr>
              <w:fldChar w:fldCharType="end"/>
            </w:r>
          </w:p>
          <w:p w:rsidR="00E969D1" w:rsidRPr="00771CAC" w:rsidRDefault="00E969D1" w:rsidP="00A96474">
            <w:pPr>
              <w:pStyle w:val="NoSpacing"/>
              <w:rPr>
                <w:b/>
                <w:bCs/>
                <w:lang w:eastAsia="en-US"/>
              </w:rPr>
            </w:pPr>
          </w:p>
        </w:tc>
      </w:tr>
      <w:tr w:rsidR="00E969D1" w:rsidRPr="00BC2D09" w:rsidTr="00E92DDB">
        <w:trPr>
          <w:trHeight w:val="567"/>
        </w:trPr>
        <w:tc>
          <w:tcPr>
            <w:tcW w:w="1956" w:type="dxa"/>
          </w:tcPr>
          <w:p w:rsidR="00E969D1" w:rsidRPr="00BC2D09" w:rsidRDefault="00E969D1" w:rsidP="00A96474">
            <w:pPr>
              <w:pStyle w:val="NoSpacing"/>
              <w:rPr>
                <w:lang w:eastAsia="en-US"/>
              </w:rPr>
            </w:pPr>
            <w:r w:rsidRPr="00BC2D09">
              <w:rPr>
                <w:lang w:eastAsia="en-US"/>
              </w:rPr>
              <w:t>Date</w:t>
            </w:r>
          </w:p>
        </w:tc>
        <w:tc>
          <w:tcPr>
            <w:tcW w:w="6833" w:type="dxa"/>
          </w:tcPr>
          <w:p w:rsidR="00E969D1" w:rsidRPr="00771CAC" w:rsidRDefault="00E969D1" w:rsidP="00EA00B9">
            <w:pPr>
              <w:pStyle w:val="NoSpacing"/>
              <w:rPr>
                <w:b/>
                <w:bCs/>
                <w:lang w:eastAsia="en-US"/>
              </w:rPr>
            </w:pPr>
            <w:r>
              <w:rPr>
                <w:b/>
                <w:bCs/>
                <w:lang w:eastAsia="en-US"/>
              </w:rPr>
              <w:fldChar w:fldCharType="begin"/>
            </w:r>
            <w:r>
              <w:rPr>
                <w:b/>
                <w:bCs/>
                <w:lang w:eastAsia="en-US"/>
              </w:rPr>
              <w:instrText xml:space="preserve"> DOCPROPERTY  DecisionDate </w:instrText>
            </w:r>
            <w:r>
              <w:rPr>
                <w:b/>
                <w:bCs/>
                <w:lang w:eastAsia="en-US"/>
              </w:rPr>
              <w:fldChar w:fldCharType="separate"/>
            </w:r>
            <w:r w:rsidR="00EA00B9">
              <w:rPr>
                <w:b/>
                <w:bCs/>
                <w:lang w:eastAsia="en-US"/>
              </w:rPr>
              <w:t>2</w:t>
            </w:r>
            <w:r w:rsidR="003E5564">
              <w:rPr>
                <w:b/>
                <w:bCs/>
                <w:lang w:eastAsia="en-US"/>
              </w:rPr>
              <w:t xml:space="preserve"> </w:t>
            </w:r>
            <w:r w:rsidR="00EA00B9">
              <w:rPr>
                <w:b/>
                <w:bCs/>
                <w:lang w:eastAsia="en-US"/>
              </w:rPr>
              <w:t>May</w:t>
            </w:r>
            <w:r w:rsidR="003E5564">
              <w:rPr>
                <w:b/>
                <w:bCs/>
                <w:lang w:eastAsia="en-US"/>
              </w:rPr>
              <w:t xml:space="preserve"> 2014</w:t>
            </w:r>
            <w:r>
              <w:rPr>
                <w:b/>
                <w:bCs/>
                <w:lang w:eastAsia="en-US"/>
              </w:rPr>
              <w:fldChar w:fldCharType="end"/>
            </w:r>
          </w:p>
        </w:tc>
      </w:tr>
      <w:tr w:rsidR="00E969D1" w:rsidRPr="00BC2D09" w:rsidTr="00E92DDB">
        <w:trPr>
          <w:trHeight w:val="567"/>
        </w:trPr>
        <w:tc>
          <w:tcPr>
            <w:tcW w:w="1956" w:type="dxa"/>
          </w:tcPr>
          <w:p w:rsidR="00E969D1" w:rsidRPr="00BC2D09" w:rsidRDefault="00E969D1" w:rsidP="00A96474">
            <w:pPr>
              <w:pStyle w:val="NoSpacing"/>
              <w:rPr>
                <w:lang w:eastAsia="en-US"/>
              </w:rPr>
            </w:pPr>
            <w:r w:rsidRPr="00BC2D09">
              <w:rPr>
                <w:lang w:eastAsia="en-US"/>
              </w:rPr>
              <w:t>Place</w:t>
            </w:r>
          </w:p>
        </w:tc>
        <w:tc>
          <w:tcPr>
            <w:tcW w:w="6833" w:type="dxa"/>
          </w:tcPr>
          <w:p w:rsidR="00E969D1" w:rsidRPr="00771CAC" w:rsidRDefault="00E969D1" w:rsidP="00E969D1">
            <w:pPr>
              <w:pStyle w:val="NoSpacing"/>
              <w:rPr>
                <w:b/>
                <w:bCs/>
                <w:lang w:eastAsia="en-US"/>
              </w:rPr>
            </w:pPr>
            <w:r>
              <w:rPr>
                <w:b/>
                <w:bCs/>
                <w:lang w:eastAsia="en-US"/>
              </w:rPr>
              <w:fldChar w:fldCharType="begin"/>
            </w:r>
            <w:r>
              <w:rPr>
                <w:b/>
                <w:bCs/>
                <w:lang w:eastAsia="en-US"/>
              </w:rPr>
              <w:instrText xml:space="preserve"> DOCPROPERTY  Place </w:instrText>
            </w:r>
            <w:r>
              <w:rPr>
                <w:b/>
                <w:bCs/>
                <w:lang w:eastAsia="en-US"/>
              </w:rPr>
              <w:fldChar w:fldCharType="separate"/>
            </w:r>
            <w:r w:rsidR="00FB44F5">
              <w:rPr>
                <w:b/>
                <w:bCs/>
                <w:lang w:eastAsia="en-US"/>
              </w:rPr>
              <w:t>Brisban</w:t>
            </w:r>
            <w:r w:rsidR="003E5564">
              <w:rPr>
                <w:b/>
                <w:bCs/>
                <w:lang w:eastAsia="en-US"/>
              </w:rPr>
              <w:t>e</w:t>
            </w:r>
            <w:r>
              <w:rPr>
                <w:b/>
                <w:bCs/>
                <w:lang w:eastAsia="en-US"/>
              </w:rPr>
              <w:fldChar w:fldCharType="end"/>
            </w:r>
          </w:p>
        </w:tc>
      </w:tr>
    </w:tbl>
    <w:bookmarkEnd w:id="3" w:displacedByCustomXml="next"/>
    <w:sdt>
      <w:sdtPr>
        <w:rPr>
          <w:lang w:eastAsia="en-US"/>
        </w:rPr>
        <w:alias w:val="Decision"/>
        <w:tag w:val="Decision"/>
        <w:id w:val="1959365562"/>
        <w:lock w:val="sdtLocked"/>
        <w:placeholder>
          <w:docPart w:val="5EB1424D14CD4D5EB2F1B5C419EBC075"/>
        </w:placeholder>
      </w:sdtPr>
      <w:sdtEndPr/>
      <w:sdtContent>
        <w:p w:rsidR="00BC2D09" w:rsidRPr="00BC2D09" w:rsidRDefault="007252B0" w:rsidP="00BC2D09">
          <w:pPr>
            <w:rPr>
              <w:lang w:eastAsia="en-US"/>
            </w:rPr>
          </w:pPr>
          <w:r>
            <w:rPr>
              <w:lang w:eastAsia="en-US"/>
            </w:rPr>
            <w:t>The decision under review is affirmed.</w:t>
          </w:r>
        </w:p>
      </w:sdtContent>
    </w:sdt>
    <w:bookmarkEnd w:id="2"/>
    <w:p w:rsidR="00BC2D09" w:rsidRPr="00BC2D09" w:rsidRDefault="00BC2D09" w:rsidP="001E4799">
      <w:pPr>
        <w:keepNext/>
        <w:spacing w:before="960"/>
        <w:rPr>
          <w:lang w:eastAsia="en-US"/>
        </w:rPr>
      </w:pPr>
      <w:r w:rsidRPr="00BC2D09">
        <w:rPr>
          <w:lang w:eastAsia="en-US"/>
        </w:rPr>
        <w:t>........................................................................</w:t>
      </w:r>
    </w:p>
    <w:p w:rsidR="00BC2D09" w:rsidRPr="00713462" w:rsidRDefault="00DC0CB0" w:rsidP="00000788">
      <w:pPr>
        <w:spacing w:before="0"/>
        <w:rPr>
          <w:b/>
          <w:lang w:eastAsia="en-US"/>
        </w:rPr>
      </w:pPr>
      <w:r>
        <w:rPr>
          <w:b/>
          <w:lang w:eastAsia="en-US"/>
        </w:rPr>
        <w:fldChar w:fldCharType="begin"/>
      </w:r>
      <w:r>
        <w:rPr>
          <w:b/>
          <w:lang w:eastAsia="en-US"/>
        </w:rPr>
        <w:instrText xml:space="preserve"> DOCPROPERTY  TribunalSignee </w:instrText>
      </w:r>
      <w:r>
        <w:rPr>
          <w:b/>
          <w:lang w:eastAsia="en-US"/>
        </w:rPr>
        <w:fldChar w:fldCharType="separate"/>
      </w:r>
      <w:r w:rsidR="003E5564">
        <w:rPr>
          <w:b/>
          <w:lang w:eastAsia="en-US"/>
        </w:rPr>
        <w:t>Senior Member Bernard J McCabe</w:t>
      </w:r>
      <w:r>
        <w:rPr>
          <w:b/>
          <w:lang w:eastAsia="en-US"/>
        </w:rPr>
        <w:fldChar w:fldCharType="end"/>
      </w:r>
    </w:p>
    <w:p w:rsidR="00BC2D09" w:rsidRDefault="005632FA" w:rsidP="00760AB6">
      <w:r>
        <w:br w:type="page"/>
      </w:r>
    </w:p>
    <w:bookmarkStart w:id="4" w:name="CatchwordsTitle" w:displacedByCustomXml="next"/>
    <w:bookmarkEnd w:id="4" w:displacedByCustomXml="next"/>
    <w:sdt>
      <w:sdtPr>
        <w:rPr>
          <w:lang w:eastAsia="en-US"/>
        </w:rPr>
        <w:alias w:val="Catchwords"/>
        <w:tag w:val="Catchwords"/>
        <w:id w:val="-1722664393"/>
        <w:placeholder>
          <w:docPart w:val="ABCB742949B94EBFB6B5929E691FEACD"/>
        </w:placeholder>
      </w:sdtPr>
      <w:sdtEndPr>
        <w:rPr>
          <w:b/>
          <w:i w:val="0"/>
        </w:rPr>
      </w:sdtEndPr>
      <w:sdtContent>
        <w:p w:rsidR="007252B0" w:rsidRDefault="00FF511E" w:rsidP="004A55A2">
          <w:pPr>
            <w:pStyle w:val="CatchWords"/>
            <w:rPr>
              <w:b/>
              <w:i w:val="0"/>
              <w:lang w:eastAsia="en-US"/>
            </w:rPr>
          </w:pPr>
          <w:r w:rsidRPr="007252B0">
            <w:rPr>
              <w:b/>
              <w:i w:val="0"/>
              <w:lang w:eastAsia="en-US"/>
            </w:rPr>
            <w:t>Catchwords</w:t>
          </w:r>
        </w:p>
        <w:p w:rsidR="004152C5" w:rsidRPr="007252B0" w:rsidRDefault="005E5570" w:rsidP="004A55A2">
          <w:pPr>
            <w:pStyle w:val="CatchWords"/>
            <w:rPr>
              <w:b/>
              <w:i w:val="0"/>
              <w:lang w:eastAsia="en-US"/>
            </w:rPr>
          </w:pPr>
          <w:r>
            <w:rPr>
              <w:lang w:eastAsia="en-US"/>
            </w:rPr>
            <w:t xml:space="preserve">VETERANS’ AND MILITARY </w:t>
          </w:r>
          <w:r w:rsidR="007252B0">
            <w:rPr>
              <w:lang w:eastAsia="en-US"/>
            </w:rPr>
            <w:t xml:space="preserve">COMPENSATION – </w:t>
          </w:r>
          <w:r w:rsidR="000960B0">
            <w:rPr>
              <w:lang w:eastAsia="en-US"/>
            </w:rPr>
            <w:t>A</w:t>
          </w:r>
          <w:r>
            <w:rPr>
              <w:lang w:eastAsia="en-US"/>
            </w:rPr>
            <w:t>pplication for compensation fo</w:t>
          </w:r>
          <w:r w:rsidR="000960B0">
            <w:rPr>
              <w:lang w:eastAsia="en-US"/>
            </w:rPr>
            <w:t>r</w:t>
          </w:r>
          <w:r>
            <w:rPr>
              <w:lang w:eastAsia="en-US"/>
            </w:rPr>
            <w:t xml:space="preserve"> “</w:t>
          </w:r>
          <w:r w:rsidR="007252B0">
            <w:rPr>
              <w:lang w:eastAsia="en-US"/>
            </w:rPr>
            <w:t xml:space="preserve">service death” – Soldier suffered </w:t>
          </w:r>
          <w:r w:rsidR="00851A7D">
            <w:rPr>
              <w:lang w:eastAsia="en-US"/>
            </w:rPr>
            <w:t>fatal heart attack</w:t>
          </w:r>
          <w:r w:rsidR="007252B0">
            <w:rPr>
              <w:lang w:eastAsia="en-US"/>
            </w:rPr>
            <w:t xml:space="preserve"> – </w:t>
          </w:r>
          <w:r w:rsidR="00851A7D">
            <w:rPr>
              <w:lang w:eastAsia="en-US"/>
            </w:rPr>
            <w:t xml:space="preserve">Applicant relied on </w:t>
          </w:r>
          <w:r w:rsidR="007252B0">
            <w:rPr>
              <w:lang w:eastAsia="en-US"/>
            </w:rPr>
            <w:t xml:space="preserve">Statement of Principles </w:t>
          </w:r>
          <w:r w:rsidR="009254CE">
            <w:rPr>
              <w:lang w:eastAsia="en-US"/>
            </w:rPr>
            <w:t xml:space="preserve">concerning ischaemic heart disease and </w:t>
          </w:r>
          <w:r w:rsidR="009254CE" w:rsidRPr="009254CE">
            <w:rPr>
              <w:lang w:eastAsia="en-US"/>
            </w:rPr>
            <w:t>Statement of Principles concerning hypertension</w:t>
          </w:r>
          <w:r w:rsidR="007252B0" w:rsidRPr="009254CE">
            <w:rPr>
              <w:lang w:eastAsia="en-US"/>
            </w:rPr>
            <w:t xml:space="preserve"> –</w:t>
          </w:r>
          <w:r w:rsidR="007252B0">
            <w:rPr>
              <w:lang w:eastAsia="en-US"/>
            </w:rPr>
            <w:t xml:space="preserve"> </w:t>
          </w:r>
          <w:r>
            <w:rPr>
              <w:lang w:eastAsia="en-US"/>
            </w:rPr>
            <w:t>C</w:t>
          </w:r>
          <w:r w:rsidR="007252B0">
            <w:rPr>
              <w:lang w:eastAsia="en-US"/>
            </w:rPr>
            <w:t xml:space="preserve">onditions of </w:t>
          </w:r>
          <w:r w:rsidR="00E969D1">
            <w:rPr>
              <w:lang w:eastAsia="en-US"/>
            </w:rPr>
            <w:t xml:space="preserve">hypertension and dyslipidaemia not linked to service </w:t>
          </w:r>
          <w:r w:rsidR="00851A7D">
            <w:rPr>
              <w:lang w:eastAsia="en-US"/>
            </w:rPr>
            <w:t>–</w:t>
          </w:r>
          <w:r w:rsidR="00450D40">
            <w:rPr>
              <w:lang w:eastAsia="en-US"/>
            </w:rPr>
            <w:t xml:space="preserve">No </w:t>
          </w:r>
          <w:r w:rsidR="00EA00B9">
            <w:rPr>
              <w:lang w:eastAsia="en-US"/>
            </w:rPr>
            <w:t xml:space="preserve">assessment of </w:t>
          </w:r>
          <w:r w:rsidR="00450D40">
            <w:rPr>
              <w:lang w:eastAsia="en-US"/>
            </w:rPr>
            <w:t>in</w:t>
          </w:r>
          <w:r w:rsidR="007252B0">
            <w:rPr>
              <w:lang w:eastAsia="en-US"/>
            </w:rPr>
            <w:t>ab</w:t>
          </w:r>
          <w:r w:rsidR="00450D40">
            <w:rPr>
              <w:lang w:eastAsia="en-US"/>
            </w:rPr>
            <w:t>i</w:t>
          </w:r>
          <w:r w:rsidR="007252B0">
            <w:rPr>
              <w:lang w:eastAsia="en-US"/>
            </w:rPr>
            <w:t>l</w:t>
          </w:r>
          <w:r w:rsidR="00450D40">
            <w:rPr>
              <w:lang w:eastAsia="en-US"/>
            </w:rPr>
            <w:t>ity</w:t>
          </w:r>
          <w:r w:rsidR="007252B0">
            <w:rPr>
              <w:lang w:eastAsia="en-US"/>
            </w:rPr>
            <w:t xml:space="preserve"> to perform physical activity to required level</w:t>
          </w:r>
          <w:r w:rsidR="00450D40">
            <w:rPr>
              <w:lang w:eastAsia="en-US"/>
            </w:rPr>
            <w:t xml:space="preserve"> </w:t>
          </w:r>
          <w:r w:rsidR="00851A7D">
            <w:rPr>
              <w:lang w:eastAsia="en-US"/>
            </w:rPr>
            <w:t xml:space="preserve">– </w:t>
          </w:r>
          <w:r w:rsidR="008A111A">
            <w:rPr>
              <w:lang w:eastAsia="en-US"/>
            </w:rPr>
            <w:t xml:space="preserve">Soldier’s ischaemic heart disease not linked to service – </w:t>
          </w:r>
          <w:r>
            <w:rPr>
              <w:lang w:eastAsia="en-US"/>
            </w:rPr>
            <w:t>R</w:t>
          </w:r>
          <w:r w:rsidR="007252B0">
            <w:rPr>
              <w:lang w:eastAsia="en-US"/>
            </w:rPr>
            <w:t>eviewable</w:t>
          </w:r>
          <w:r w:rsidR="008A111A">
            <w:rPr>
              <w:lang w:eastAsia="en-US"/>
            </w:rPr>
            <w:t xml:space="preserve"> </w:t>
          </w:r>
          <w:r w:rsidR="007252B0">
            <w:rPr>
              <w:lang w:eastAsia="en-US"/>
            </w:rPr>
            <w:t>decision affirmed.</w:t>
          </w:r>
        </w:p>
      </w:sdtContent>
    </w:sdt>
    <w:p w:rsidR="00CF5E0E" w:rsidRPr="00BC2D09" w:rsidRDefault="00CF5E0E" w:rsidP="00CF5E0E">
      <w:pPr>
        <w:pStyle w:val="NoSpacing"/>
        <w:rPr>
          <w:lang w:eastAsia="en-US"/>
        </w:rPr>
      </w:pPr>
    </w:p>
    <w:bookmarkStart w:id="5" w:name="LegislationTitle" w:displacedByCustomXml="next"/>
    <w:bookmarkEnd w:id="5" w:displacedByCustomXml="next"/>
    <w:sdt>
      <w:sdtPr>
        <w:rPr>
          <w:lang w:eastAsia="en-US"/>
        </w:rPr>
        <w:alias w:val="Legislation"/>
        <w:tag w:val="Legislation"/>
        <w:id w:val="-13298432"/>
        <w:placeholder>
          <w:docPart w:val="DD50418ADF374728A41ED0F0210AE245"/>
        </w:placeholder>
      </w:sdtPr>
      <w:sdtEndPr>
        <w:rPr>
          <w:b/>
          <w:i w:val="0"/>
        </w:rPr>
      </w:sdtEndPr>
      <w:sdtContent>
        <w:p w:rsidR="007252B0" w:rsidRDefault="00FF511E" w:rsidP="00E616B9">
          <w:pPr>
            <w:pStyle w:val="CatchWords"/>
            <w:rPr>
              <w:b/>
              <w:i w:val="0"/>
              <w:lang w:eastAsia="en-US"/>
            </w:rPr>
          </w:pPr>
          <w:r w:rsidRPr="007252B0">
            <w:rPr>
              <w:b/>
              <w:i w:val="0"/>
              <w:lang w:eastAsia="en-US"/>
            </w:rPr>
            <w:t>Legislation</w:t>
          </w:r>
        </w:p>
        <w:p w:rsidR="005E5570" w:rsidRDefault="007252B0" w:rsidP="00E616B9">
          <w:pPr>
            <w:pStyle w:val="CatchWords"/>
            <w:rPr>
              <w:i w:val="0"/>
              <w:lang w:eastAsia="en-US"/>
            </w:rPr>
          </w:pPr>
          <w:r>
            <w:rPr>
              <w:lang w:eastAsia="en-US"/>
            </w:rPr>
            <w:t xml:space="preserve">Military Rehabilitation and Compensation Act 2004 </w:t>
          </w:r>
          <w:r>
            <w:rPr>
              <w:i w:val="0"/>
              <w:lang w:eastAsia="en-US"/>
            </w:rPr>
            <w:t>(Cth) s</w:t>
          </w:r>
          <w:r w:rsidR="005E5570">
            <w:rPr>
              <w:i w:val="0"/>
              <w:lang w:eastAsia="en-US"/>
            </w:rPr>
            <w:t>s 7;</w:t>
          </w:r>
          <w:r>
            <w:rPr>
              <w:i w:val="0"/>
              <w:lang w:eastAsia="en-US"/>
            </w:rPr>
            <w:t xml:space="preserve"> 28</w:t>
          </w:r>
        </w:p>
        <w:p w:rsidR="00F74ED6" w:rsidRPr="00F74ED6" w:rsidRDefault="00F74ED6" w:rsidP="001E60B4">
          <w:pPr>
            <w:pStyle w:val="CatchWords"/>
            <w:ind w:left="720" w:hanging="720"/>
            <w:rPr>
              <w:i w:val="0"/>
              <w:lang w:eastAsia="en-US"/>
            </w:rPr>
          </w:pPr>
          <w:r w:rsidRPr="008B36F6">
            <w:t xml:space="preserve">Military Rehabilitation and Compensation (Consequential and Transitional Provisions) </w:t>
          </w:r>
          <w:r w:rsidR="00634FF1">
            <w:br/>
          </w:r>
          <w:r w:rsidRPr="008B36F6">
            <w:t xml:space="preserve">Act 2004 </w:t>
          </w:r>
          <w:r w:rsidRPr="00F74ED6">
            <w:rPr>
              <w:i w:val="0"/>
            </w:rPr>
            <w:t>(Cth)</w:t>
          </w:r>
          <w:r>
            <w:t xml:space="preserve"> </w:t>
          </w:r>
          <w:r>
            <w:rPr>
              <w:i w:val="0"/>
            </w:rPr>
            <w:t>s 7</w:t>
          </w:r>
        </w:p>
        <w:p w:rsidR="005E5570" w:rsidRDefault="005E5570" w:rsidP="005E5570">
          <w:pPr>
            <w:pStyle w:val="CatchWords"/>
            <w:rPr>
              <w:i w:val="0"/>
              <w:lang w:eastAsia="en-US"/>
            </w:rPr>
          </w:pPr>
          <w:r>
            <w:rPr>
              <w:lang w:eastAsia="en-US"/>
            </w:rPr>
            <w:t xml:space="preserve">Safety, Rehabilitation and Compensation Act 1988 </w:t>
          </w:r>
          <w:r>
            <w:rPr>
              <w:i w:val="0"/>
              <w:lang w:eastAsia="en-US"/>
            </w:rPr>
            <w:t>(Cth)</w:t>
          </w:r>
        </w:p>
        <w:p w:rsidR="005E5570" w:rsidRDefault="005E5570" w:rsidP="00E616B9">
          <w:pPr>
            <w:pStyle w:val="CatchWords"/>
            <w:rPr>
              <w:i w:val="0"/>
              <w:lang w:eastAsia="en-US"/>
            </w:rPr>
          </w:pPr>
          <w:r>
            <w:rPr>
              <w:i w:val="0"/>
              <w:lang w:eastAsia="en-US"/>
            </w:rPr>
            <w:t>Statement of Principles concerning ischaemic heart disease No. 90 of 2007</w:t>
          </w:r>
        </w:p>
        <w:p w:rsidR="005E5570" w:rsidRDefault="005E5570" w:rsidP="00E616B9">
          <w:pPr>
            <w:pStyle w:val="CatchWords"/>
            <w:rPr>
              <w:i w:val="0"/>
              <w:lang w:eastAsia="en-US"/>
            </w:rPr>
          </w:pPr>
          <w:r>
            <w:rPr>
              <w:i w:val="0"/>
              <w:lang w:eastAsia="en-US"/>
            </w:rPr>
            <w:t>Statement of Principles concerning hypertension No. 64 of 2013</w:t>
          </w:r>
        </w:p>
      </w:sdtContent>
    </w:sdt>
    <w:p w:rsidR="00E616B9" w:rsidRPr="00BC2D09" w:rsidRDefault="00E616B9" w:rsidP="00E7349B">
      <w:pPr>
        <w:pStyle w:val="NoSpacing"/>
        <w:rPr>
          <w:lang w:eastAsia="en-US"/>
        </w:rPr>
      </w:pPr>
    </w:p>
    <w:bookmarkStart w:id="6" w:name="CasesTitle" w:displacedByCustomXml="next"/>
    <w:bookmarkEnd w:id="6" w:displacedByCustomXml="next"/>
    <w:sdt>
      <w:sdtPr>
        <w:rPr>
          <w:lang w:eastAsia="en-US"/>
        </w:rPr>
        <w:alias w:val="Cases"/>
        <w:tag w:val="Cases"/>
        <w:id w:val="-26403871"/>
        <w:placeholder>
          <w:docPart w:val="72151A60390E4C50B796F72F754C56BD"/>
        </w:placeholder>
      </w:sdtPr>
      <w:sdtEndPr/>
      <w:sdtContent>
        <w:p w:rsidR="00851A7D" w:rsidRPr="00851A7D" w:rsidRDefault="00FF511E" w:rsidP="005F2E99">
          <w:pPr>
            <w:pStyle w:val="CatchWords"/>
            <w:rPr>
              <w:b/>
              <w:i w:val="0"/>
              <w:lang w:eastAsia="en-US"/>
            </w:rPr>
          </w:pPr>
          <w:r w:rsidRPr="00851A7D">
            <w:rPr>
              <w:b/>
              <w:i w:val="0"/>
              <w:lang w:eastAsia="en-US"/>
            </w:rPr>
            <w:t>Cases</w:t>
          </w:r>
        </w:p>
        <w:p w:rsidR="004152C5" w:rsidRDefault="00851A7D" w:rsidP="005F2E99">
          <w:pPr>
            <w:pStyle w:val="CatchWords"/>
            <w:rPr>
              <w:lang w:eastAsia="en-US"/>
            </w:rPr>
          </w:pPr>
          <w:r w:rsidRPr="00851A7D">
            <w:t>Roncevich v Repatriation Commission</w:t>
          </w:r>
          <w:r w:rsidRPr="00B36AF2">
            <w:t xml:space="preserve"> </w:t>
          </w:r>
          <w:r w:rsidRPr="00851A7D">
            <w:rPr>
              <w:i w:val="0"/>
            </w:rPr>
            <w:t>(2005) 222 CLR 115</w:t>
          </w:r>
        </w:p>
      </w:sdtContent>
    </w:sdt>
    <w:p w:rsidR="00BC2D09" w:rsidRDefault="00BC2D09" w:rsidP="005F2E99">
      <w:pPr>
        <w:pStyle w:val="CatchWords"/>
      </w:pPr>
      <w:bookmarkStart w:id="7" w:name="SecondaryMaterialsTitle"/>
      <w:bookmarkEnd w:id="7"/>
    </w:p>
    <w:p w:rsidR="005F2E99" w:rsidRDefault="005F2E99" w:rsidP="009E2C76"/>
    <w:p w:rsidR="009E2C76" w:rsidRDefault="009E2C76" w:rsidP="00CA099E">
      <w:pPr>
        <w:pStyle w:val="Heading1"/>
        <w:rPr>
          <w:lang w:eastAsia="en-US"/>
        </w:rPr>
      </w:pPr>
      <w:r w:rsidRPr="009E2C76">
        <w:rPr>
          <w:lang w:eastAsia="en-US"/>
        </w:rPr>
        <w:t>REASONS FOR DECISION</w:t>
      </w:r>
    </w:p>
    <w:p w:rsidR="00CA099E" w:rsidRDefault="00CA099E" w:rsidP="00D750F5">
      <w:pPr>
        <w:pStyle w:val="NoSpacing"/>
        <w:rPr>
          <w:lang w:eastAsia="en-US"/>
        </w:rPr>
      </w:pPr>
    </w:p>
    <w:p w:rsidR="00D50614" w:rsidRDefault="00D50614" w:rsidP="00D750F5">
      <w:pPr>
        <w:pStyle w:val="NoSpacing"/>
        <w:rPr>
          <w:b/>
          <w:lang w:eastAsia="en-US"/>
        </w:rPr>
      </w:pPr>
      <w:r>
        <w:rPr>
          <w:b/>
          <w:lang w:eastAsia="en-US"/>
        </w:rPr>
        <w:fldChar w:fldCharType="begin"/>
      </w:r>
      <w:r>
        <w:rPr>
          <w:b/>
          <w:lang w:eastAsia="en-US"/>
        </w:rPr>
        <w:instrText xml:space="preserve"> DOCPROPERTY  TribunalSignee </w:instrText>
      </w:r>
      <w:r>
        <w:rPr>
          <w:b/>
          <w:lang w:eastAsia="en-US"/>
        </w:rPr>
        <w:fldChar w:fldCharType="separate"/>
      </w:r>
      <w:r w:rsidR="003E5564">
        <w:rPr>
          <w:b/>
          <w:lang w:eastAsia="en-US"/>
        </w:rPr>
        <w:t>Senior Member Bernard J McCabe</w:t>
      </w:r>
      <w:r>
        <w:rPr>
          <w:b/>
          <w:lang w:eastAsia="en-US"/>
        </w:rPr>
        <w:fldChar w:fldCharType="end"/>
      </w:r>
    </w:p>
    <w:p w:rsidR="00A74195" w:rsidRDefault="00A74195" w:rsidP="00D750F5">
      <w:pPr>
        <w:pStyle w:val="NoSpacing"/>
        <w:rPr>
          <w:b/>
          <w:lang w:eastAsia="en-US"/>
        </w:rPr>
      </w:pPr>
      <w:r w:rsidRPr="002A5BD8">
        <w:rPr>
          <w:b/>
          <w:lang w:eastAsia="en-US"/>
        </w:rPr>
        <w:fldChar w:fldCharType="begin"/>
      </w:r>
      <w:r w:rsidRPr="002A5BD8">
        <w:rPr>
          <w:b/>
          <w:lang w:eastAsia="en-US"/>
        </w:rPr>
        <w:instrText xml:space="preserve"> DOCPROPERTY  TribunalText </w:instrText>
      </w:r>
      <w:r w:rsidRPr="002A5BD8">
        <w:rPr>
          <w:b/>
          <w:lang w:eastAsia="en-US"/>
        </w:rPr>
        <w:fldChar w:fldCharType="end"/>
      </w:r>
    </w:p>
    <w:p w:rsidR="00A74195" w:rsidRDefault="00A74195" w:rsidP="00A74195">
      <w:pPr>
        <w:pStyle w:val="NoSpacing"/>
        <w:rPr>
          <w:lang w:eastAsia="en-US"/>
        </w:rPr>
      </w:pPr>
    </w:p>
    <w:p w:rsidR="00A74195" w:rsidRPr="00D50614" w:rsidRDefault="006D3300" w:rsidP="00D750F5">
      <w:pPr>
        <w:pStyle w:val="NoSpacing"/>
        <w:rPr>
          <w:b/>
          <w:lang w:eastAsia="en-US"/>
        </w:rPr>
      </w:pPr>
      <w:r w:rsidRPr="00D50614">
        <w:rPr>
          <w:b/>
          <w:lang w:eastAsia="en-US"/>
        </w:rPr>
        <w:fldChar w:fldCharType="begin"/>
      </w:r>
      <w:r w:rsidRPr="00D50614">
        <w:rPr>
          <w:b/>
          <w:lang w:eastAsia="en-US"/>
        </w:rPr>
        <w:instrText xml:space="preserve"> DOCPROPERTY  ReasonsforDecisionDate </w:instrText>
      </w:r>
      <w:r w:rsidRPr="00D50614">
        <w:rPr>
          <w:b/>
          <w:lang w:eastAsia="en-US"/>
        </w:rPr>
        <w:fldChar w:fldCharType="separate"/>
      </w:r>
      <w:r w:rsidR="00EA00B9">
        <w:rPr>
          <w:b/>
          <w:lang w:eastAsia="en-US"/>
        </w:rPr>
        <w:t>2</w:t>
      </w:r>
      <w:r w:rsidR="003E5564">
        <w:rPr>
          <w:b/>
          <w:lang w:eastAsia="en-US"/>
        </w:rPr>
        <w:t xml:space="preserve"> </w:t>
      </w:r>
      <w:r w:rsidR="00EA00B9">
        <w:rPr>
          <w:b/>
          <w:lang w:eastAsia="en-US"/>
        </w:rPr>
        <w:t>May</w:t>
      </w:r>
      <w:r w:rsidR="003E5564">
        <w:rPr>
          <w:b/>
          <w:lang w:eastAsia="en-US"/>
        </w:rPr>
        <w:t xml:space="preserve"> 2014</w:t>
      </w:r>
      <w:r w:rsidRPr="00D50614">
        <w:rPr>
          <w:b/>
          <w:lang w:eastAsia="en-US"/>
        </w:rPr>
        <w:fldChar w:fldCharType="end"/>
      </w:r>
    </w:p>
    <w:p w:rsidR="00A74195" w:rsidRPr="00CA099E" w:rsidRDefault="00A74195" w:rsidP="00D750F5">
      <w:pPr>
        <w:pStyle w:val="NoSpacing"/>
        <w:rPr>
          <w:lang w:eastAsia="en-US"/>
        </w:rPr>
      </w:pPr>
    </w:p>
    <w:p w:rsidR="000176A5" w:rsidRDefault="00616481" w:rsidP="00E52230">
      <w:pPr>
        <w:pStyle w:val="ListNumber"/>
        <w:numPr>
          <w:ilvl w:val="0"/>
          <w:numId w:val="35"/>
        </w:numPr>
      </w:pPr>
      <w:bookmarkStart w:id="8" w:name="Start"/>
      <w:bookmarkEnd w:id="8"/>
      <w:r>
        <w:t>Mr Greg</w:t>
      </w:r>
      <w:r w:rsidR="000960B0">
        <w:t>ory</w:t>
      </w:r>
      <w:r>
        <w:t xml:space="preserve"> Riley was a </w:t>
      </w:r>
      <w:r w:rsidRPr="000960B0">
        <w:t>full-time</w:t>
      </w:r>
      <w:r>
        <w:t xml:space="preserve"> member of the </w:t>
      </w:r>
      <w:r w:rsidRPr="000960B0">
        <w:t xml:space="preserve">Army </w:t>
      </w:r>
      <w:r w:rsidR="005E5570" w:rsidRPr="000960B0">
        <w:t>R</w:t>
      </w:r>
      <w:r w:rsidRPr="000960B0">
        <w:t>eserve</w:t>
      </w:r>
      <w:r>
        <w:t xml:space="preserve"> when he suffered a fatal </w:t>
      </w:r>
      <w:r w:rsidRPr="000960B0">
        <w:t>heart attack at work</w:t>
      </w:r>
      <w:r>
        <w:t xml:space="preserve"> on </w:t>
      </w:r>
      <w:r w:rsidRPr="000960B0">
        <w:t>27 February 2007</w:t>
      </w:r>
      <w:r>
        <w:t xml:space="preserve">. His widow, Mrs Kerri Riley, has applied for compensation under the </w:t>
      </w:r>
      <w:r w:rsidRPr="00E52230">
        <w:rPr>
          <w:i/>
        </w:rPr>
        <w:t>Military Rehabilitation and Compensation Act 2004</w:t>
      </w:r>
      <w:r w:rsidR="005C7FB7">
        <w:rPr>
          <w:i/>
        </w:rPr>
        <w:t xml:space="preserve"> </w:t>
      </w:r>
      <w:r w:rsidR="005C7FB7">
        <w:t>(Cth)</w:t>
      </w:r>
      <w:r>
        <w:t xml:space="preserve"> </w:t>
      </w:r>
      <w:r w:rsidR="0070743A">
        <w:br/>
      </w:r>
      <w:r>
        <w:t>(</w:t>
      </w:r>
      <w:r w:rsidR="005C7FB7">
        <w:t>“</w:t>
      </w:r>
      <w:r>
        <w:t>the MRC Act</w:t>
      </w:r>
      <w:r w:rsidR="005C7FB7">
        <w:t>”</w:t>
      </w:r>
      <w:r>
        <w:t xml:space="preserve">). Mrs Riley argues </w:t>
      </w:r>
      <w:r w:rsidR="00E52230">
        <w:t xml:space="preserve">the Commonwealth is liable for her husband’s death because it was a </w:t>
      </w:r>
      <w:r w:rsidR="00E52230" w:rsidRPr="000960B0">
        <w:t>“service death”</w:t>
      </w:r>
      <w:r w:rsidR="00E52230">
        <w:t xml:space="preserve"> within the meaning of </w:t>
      </w:r>
      <w:r w:rsidR="00E52230" w:rsidRPr="000960B0">
        <w:t>s 28 of the MRC Act</w:t>
      </w:r>
      <w:r w:rsidR="00E52230">
        <w:t xml:space="preserve"> – which </w:t>
      </w:r>
      <w:r w:rsidR="00E52230">
        <w:lastRenderedPageBreak/>
        <w:t xml:space="preserve">means, relevantly, it </w:t>
      </w:r>
      <w:r w:rsidR="00E52230" w:rsidRPr="000960B0">
        <w:t>“arose out of, or was attributable to, any defence service</w:t>
      </w:r>
      <w:r w:rsidR="00E52230" w:rsidRPr="003D37D6">
        <w:t xml:space="preserve"> rendered by the person w</w:t>
      </w:r>
      <w:r w:rsidR="00E52230" w:rsidRPr="000960B0">
        <w:t>hile a member”: s 28(1)(b).</w:t>
      </w:r>
      <w:r w:rsidR="00E52230">
        <w:t xml:space="preserve"> </w:t>
      </w:r>
    </w:p>
    <w:p w:rsidR="00E52230" w:rsidRDefault="00E52230" w:rsidP="00E52230">
      <w:pPr>
        <w:pStyle w:val="ListNumber"/>
        <w:numPr>
          <w:ilvl w:val="0"/>
          <w:numId w:val="35"/>
        </w:numPr>
      </w:pPr>
      <w:r>
        <w:t xml:space="preserve">There </w:t>
      </w:r>
      <w:r w:rsidR="00F74ED6">
        <w:t xml:space="preserve">is </w:t>
      </w:r>
      <w:r>
        <w:t xml:space="preserve">no dispute Mr Riley’s heart attack was the product of </w:t>
      </w:r>
      <w:r w:rsidRPr="000960B0">
        <w:t>coronary artery disease.</w:t>
      </w:r>
      <w:r>
        <w:t xml:space="preserve"> </w:t>
      </w:r>
      <w:r w:rsidR="00634FF1">
        <w:br/>
      </w:r>
      <w:r>
        <w:t xml:space="preserve">It follows the kind of death he suffered was </w:t>
      </w:r>
      <w:r w:rsidRPr="00E52230">
        <w:rPr>
          <w:i/>
        </w:rPr>
        <w:t>ischaemic heart disease</w:t>
      </w:r>
      <w:r>
        <w:t xml:space="preserve">. </w:t>
      </w:r>
      <w:r w:rsidR="00281997">
        <w:t xml:space="preserve">The medical evidence established the date of onset of that condition </w:t>
      </w:r>
      <w:r w:rsidR="00281997" w:rsidRPr="000960B0">
        <w:t xml:space="preserve">was </w:t>
      </w:r>
      <w:r w:rsidR="00281997" w:rsidRPr="007730D2">
        <w:t>27 February 2007.</w:t>
      </w:r>
      <w:r w:rsidR="00281997">
        <w:t xml:space="preserve"> </w:t>
      </w:r>
      <w:r>
        <w:t xml:space="preserve">I must have regard to the </w:t>
      </w:r>
      <w:r w:rsidR="005C7FB7">
        <w:t>S</w:t>
      </w:r>
      <w:r>
        <w:t xml:space="preserve">tatement of </w:t>
      </w:r>
      <w:r w:rsidR="005C7FB7">
        <w:t>P</w:t>
      </w:r>
      <w:r>
        <w:t xml:space="preserve">rinciples (“SoP”) </w:t>
      </w:r>
      <w:r w:rsidR="009254CE">
        <w:t>concerning</w:t>
      </w:r>
      <w:r>
        <w:t xml:space="preserve"> ischaemic heart disease (No 90 of 2007) to resolve the question over any link between that condition and </w:t>
      </w:r>
      <w:r w:rsidR="00634FF1">
        <w:br/>
      </w:r>
      <w:r>
        <w:t xml:space="preserve">Mr Riley’s service. </w:t>
      </w:r>
    </w:p>
    <w:p w:rsidR="00764E65" w:rsidRDefault="00AE32BC" w:rsidP="00E52230">
      <w:pPr>
        <w:pStyle w:val="ListNumber"/>
        <w:numPr>
          <w:ilvl w:val="0"/>
          <w:numId w:val="35"/>
        </w:numPr>
      </w:pPr>
      <w:r>
        <w:t xml:space="preserve">As I will explain, </w:t>
      </w:r>
      <w:r w:rsidR="00764E65">
        <w:t>the outcome of this case ultimately turns on a factual enquiry into</w:t>
      </w:r>
      <w:r w:rsidR="005C7FB7">
        <w:t>:</w:t>
      </w:r>
      <w:r w:rsidR="00764E65">
        <w:t xml:space="preserve"> </w:t>
      </w:r>
    </w:p>
    <w:p w:rsidR="00764E65" w:rsidRDefault="00764E65" w:rsidP="00764E65">
      <w:pPr>
        <w:pStyle w:val="ListNumber"/>
        <w:numPr>
          <w:ilvl w:val="0"/>
          <w:numId w:val="49"/>
        </w:numPr>
      </w:pPr>
      <w:r>
        <w:t>the quantity and circumstances of Mr Riley’s alcohol consumption</w:t>
      </w:r>
      <w:r w:rsidR="005C7FB7">
        <w:t>;</w:t>
      </w:r>
      <w:r>
        <w:t xml:space="preserve"> and</w:t>
      </w:r>
    </w:p>
    <w:p w:rsidR="00AE32BC" w:rsidRDefault="00764E65" w:rsidP="00764E65">
      <w:pPr>
        <w:pStyle w:val="ListNumber"/>
        <w:numPr>
          <w:ilvl w:val="0"/>
          <w:numId w:val="49"/>
        </w:numPr>
      </w:pPr>
      <w:r>
        <w:t xml:space="preserve"> his ability to undertake physical activity.</w:t>
      </w:r>
    </w:p>
    <w:p w:rsidR="00764E65" w:rsidRDefault="00764E65" w:rsidP="00764E65">
      <w:pPr>
        <w:pStyle w:val="ListNumber"/>
      </w:pPr>
      <w:r>
        <w:t>The applicant’s claim cannot succeed. I explain my reasons below.</w:t>
      </w:r>
    </w:p>
    <w:p w:rsidR="00764E65" w:rsidRDefault="00764E65" w:rsidP="00764E65">
      <w:pPr>
        <w:pStyle w:val="Heading1"/>
      </w:pPr>
      <w:r>
        <w:t>the statement</w:t>
      </w:r>
      <w:r w:rsidR="005D7845">
        <w:t>S</w:t>
      </w:r>
      <w:r>
        <w:t xml:space="preserve"> of principles</w:t>
      </w:r>
    </w:p>
    <w:p w:rsidR="00E52230" w:rsidRPr="003D37D6" w:rsidRDefault="00E52230" w:rsidP="00E52230">
      <w:pPr>
        <w:pStyle w:val="ListNumber"/>
        <w:numPr>
          <w:ilvl w:val="0"/>
          <w:numId w:val="35"/>
        </w:numPr>
      </w:pPr>
      <w:r>
        <w:t xml:space="preserve">The SoP </w:t>
      </w:r>
      <w:r w:rsidR="009254CE">
        <w:t>concerning</w:t>
      </w:r>
      <w:r w:rsidR="00764E65">
        <w:t xml:space="preserve"> ischaemic </w:t>
      </w:r>
      <w:r w:rsidR="009254CE">
        <w:t>h</w:t>
      </w:r>
      <w:r w:rsidR="00764E65">
        <w:t xml:space="preserve">eart </w:t>
      </w:r>
      <w:r w:rsidR="009254CE">
        <w:t>d</w:t>
      </w:r>
      <w:r w:rsidR="00764E65">
        <w:t xml:space="preserve">isease </w:t>
      </w:r>
      <w:r>
        <w:t>identi</w:t>
      </w:r>
      <w:r w:rsidR="00733819">
        <w:t xml:space="preserve">fies a number of factors which </w:t>
      </w:r>
      <w:r w:rsidRPr="003D37D6">
        <w:rPr>
          <w:i/>
        </w:rPr>
        <w:t>might</w:t>
      </w:r>
      <w:r w:rsidRPr="003D37D6">
        <w:t xml:space="preserve"> establish a link to service.</w:t>
      </w:r>
      <w:r w:rsidR="00733819" w:rsidRPr="003D37D6">
        <w:t xml:space="preserve"> An applicant need only identify one that is relevant.</w:t>
      </w:r>
      <w:r w:rsidRPr="003D37D6">
        <w:t xml:space="preserve"> In this case, the applicant relies on </w:t>
      </w:r>
      <w:r w:rsidR="00281997" w:rsidRPr="003D37D6">
        <w:t xml:space="preserve">any one of </w:t>
      </w:r>
      <w:r w:rsidRPr="003D37D6">
        <w:t>three factors that might be available:</w:t>
      </w:r>
    </w:p>
    <w:p w:rsidR="00281997" w:rsidRPr="003D37D6" w:rsidRDefault="00281997" w:rsidP="00AE32BC">
      <w:pPr>
        <w:pStyle w:val="ListBullet"/>
      </w:pPr>
      <w:r w:rsidRPr="003D37D6">
        <w:t>The late veteran experienced hypertension (high blood pressure) before the clinical onset of ischaemic heart disease</w:t>
      </w:r>
      <w:r w:rsidR="00AE32BC" w:rsidRPr="003D37D6">
        <w:t xml:space="preserve"> (factor 6(a))</w:t>
      </w:r>
      <w:r w:rsidRPr="003D37D6">
        <w:t>;</w:t>
      </w:r>
    </w:p>
    <w:p w:rsidR="00281997" w:rsidRPr="003D37D6" w:rsidRDefault="00281997" w:rsidP="00AE32BC">
      <w:pPr>
        <w:pStyle w:val="ListBullet"/>
      </w:pPr>
      <w:r w:rsidRPr="003D37D6">
        <w:t>The late veteran had dyslipidaemia (a disorder of the blood fats) before the clinical onset of ischaemic heart disease</w:t>
      </w:r>
      <w:r w:rsidR="00AE32BC" w:rsidRPr="003D37D6">
        <w:t xml:space="preserve"> (factor 6(f))</w:t>
      </w:r>
      <w:r w:rsidRPr="003D37D6">
        <w:t>; or</w:t>
      </w:r>
    </w:p>
    <w:p w:rsidR="00281997" w:rsidRPr="003D37D6" w:rsidRDefault="00281997" w:rsidP="00AE32BC">
      <w:pPr>
        <w:pStyle w:val="ListBullet"/>
      </w:pPr>
      <w:r w:rsidRPr="003D37D6">
        <w:t>The late veteran was unable to undertake any physical activity greater than three METs</w:t>
      </w:r>
      <w:r w:rsidRPr="003D37D6">
        <w:rPr>
          <w:rStyle w:val="FootnoteReference"/>
        </w:rPr>
        <w:footnoteReference w:id="1"/>
      </w:r>
      <w:r w:rsidRPr="003D37D6">
        <w:t xml:space="preserve"> for at least the seven years </w:t>
      </w:r>
      <w:r w:rsidR="007730D2" w:rsidRPr="003D37D6">
        <w:t>before</w:t>
      </w:r>
      <w:r w:rsidRPr="003D37D6">
        <w:t xml:space="preserve"> the </w:t>
      </w:r>
      <w:r w:rsidR="007730D2" w:rsidRPr="003D37D6">
        <w:t xml:space="preserve">clinical </w:t>
      </w:r>
      <w:r w:rsidRPr="003D37D6">
        <w:t>onset of ischaemic heart disease</w:t>
      </w:r>
      <w:r w:rsidR="00AE32BC" w:rsidRPr="003D37D6">
        <w:t xml:space="preserve"> (factor 6(j))</w:t>
      </w:r>
      <w:r w:rsidRPr="003D37D6">
        <w:t>.</w:t>
      </w:r>
    </w:p>
    <w:p w:rsidR="00764E65" w:rsidRDefault="00AE32BC" w:rsidP="00733819">
      <w:pPr>
        <w:pStyle w:val="ListNumber"/>
      </w:pPr>
      <w:r>
        <w:t xml:space="preserve">Mr </w:t>
      </w:r>
      <w:r w:rsidRPr="007730D2">
        <w:t xml:space="preserve">Riley </w:t>
      </w:r>
      <w:r w:rsidRPr="008B36F6">
        <w:t>was being treated for hypertension and experienced dyslipidaemia</w:t>
      </w:r>
      <w:r>
        <w:t xml:space="preserve"> in advance of the onset of ischaemic heart disease. But that does not mean the claim succeeds without more. I must still be satisfied there is a link between </w:t>
      </w:r>
      <w:r w:rsidRPr="00AE32BC">
        <w:rPr>
          <w:i/>
        </w:rPr>
        <w:t>those</w:t>
      </w:r>
      <w:r>
        <w:t xml:space="preserve"> conditions and </w:t>
      </w:r>
      <w:r w:rsidR="00634FF1">
        <w:br/>
      </w:r>
      <w:r>
        <w:t xml:space="preserve">Mr Riley’s service. </w:t>
      </w:r>
      <w:r w:rsidR="00764E65">
        <w:t>I will deal firstly with the argument in respect of hypertension.</w:t>
      </w:r>
    </w:p>
    <w:p w:rsidR="00764E65" w:rsidRDefault="00764E65" w:rsidP="00764E65">
      <w:pPr>
        <w:pStyle w:val="Heading2"/>
      </w:pPr>
      <w:r>
        <w:t>Was Mr Riley’s hypertension condition related to his service?</w:t>
      </w:r>
    </w:p>
    <w:p w:rsidR="00764E65" w:rsidRDefault="00AE32BC" w:rsidP="00733819">
      <w:pPr>
        <w:pStyle w:val="ListNumber"/>
      </w:pPr>
      <w:r>
        <w:t xml:space="preserve">In order to establish a link between service and the hypertension condition, I must consult the </w:t>
      </w:r>
      <w:r w:rsidR="005C7FB7">
        <w:t>S</w:t>
      </w:r>
      <w:r>
        <w:t xml:space="preserve">tatement of </w:t>
      </w:r>
      <w:r w:rsidR="005C7FB7">
        <w:t>P</w:t>
      </w:r>
      <w:r>
        <w:t xml:space="preserve">rinciples </w:t>
      </w:r>
      <w:r w:rsidR="009254CE">
        <w:t>concerning</w:t>
      </w:r>
      <w:r>
        <w:t xml:space="preserve"> hypertension (currently no 64 of 2013). </w:t>
      </w:r>
      <w:r w:rsidR="00764E65">
        <w:t xml:space="preserve">But the Commission says the applicant must first clear a hurdle </w:t>
      </w:r>
      <w:r w:rsidR="004607BB">
        <w:t xml:space="preserve">that arises out of the timing of the introduction of the MRC Act. Mr Dube, who appeared for the Commission, noted </w:t>
      </w:r>
      <w:r w:rsidR="00634FF1">
        <w:br/>
      </w:r>
      <w:r w:rsidR="004607BB" w:rsidRPr="008B36F6">
        <w:t xml:space="preserve">s 7(1) of the </w:t>
      </w:r>
      <w:r w:rsidR="004607BB" w:rsidRPr="008B36F6">
        <w:rPr>
          <w:i/>
        </w:rPr>
        <w:t>Military Rehabilitation and Compensation (Consequential and Transitional Provisions) Act 2004</w:t>
      </w:r>
      <w:r w:rsidR="004607BB" w:rsidRPr="008B36F6">
        <w:t xml:space="preserve"> </w:t>
      </w:r>
      <w:r w:rsidR="007730D2" w:rsidRPr="008B36F6">
        <w:t xml:space="preserve">(Cth) </w:t>
      </w:r>
      <w:r w:rsidR="004D7B22" w:rsidRPr="008B36F6">
        <w:t>sa</w:t>
      </w:r>
      <w:r w:rsidR="008B36F6" w:rsidRPr="008B36F6">
        <w:t>ys</w:t>
      </w:r>
      <w:r w:rsidR="004D7B22" w:rsidRPr="008B36F6">
        <w:t xml:space="preserve"> the MRC Act only applie</w:t>
      </w:r>
      <w:r w:rsidR="008B36F6" w:rsidRPr="008B36F6">
        <w:t>s</w:t>
      </w:r>
      <w:r w:rsidR="004D7B22" w:rsidRPr="008B36F6">
        <w:t xml:space="preserve"> to injuries sustained and diseases contracted</w:t>
      </w:r>
      <w:r w:rsidR="008B36F6" w:rsidRPr="008B36F6">
        <w:t xml:space="preserve"> on or</w:t>
      </w:r>
      <w:r w:rsidR="004D7B22" w:rsidRPr="008B36F6">
        <w:t xml:space="preserve"> after the commencement of the MRC Act on 1 July 2004.</w:t>
      </w:r>
      <w:r w:rsidR="004D7B22">
        <w:t xml:space="preserve"> </w:t>
      </w:r>
      <w:r w:rsidR="008262F4">
        <w:br/>
      </w:r>
      <w:r w:rsidR="004D7B22">
        <w:t xml:space="preserve">Mr Dube says that is a problem for the applicant as Mr Riley’s hypertension condition appears to pre-date the commencement date. If that is right, any claim in respect of that condition (or a death that resulted from it) would have to be brought under the </w:t>
      </w:r>
      <w:r w:rsidR="00634FF1">
        <w:br/>
      </w:r>
      <w:r w:rsidR="004D7B22" w:rsidRPr="004D7B22">
        <w:rPr>
          <w:i/>
        </w:rPr>
        <w:t>Safety</w:t>
      </w:r>
      <w:r w:rsidR="00450D40">
        <w:rPr>
          <w:i/>
        </w:rPr>
        <w:t>,</w:t>
      </w:r>
      <w:r w:rsidR="004D7B22" w:rsidRPr="004D7B22">
        <w:rPr>
          <w:i/>
        </w:rPr>
        <w:t xml:space="preserve"> Rehabilitation and Compensation Act 1988</w:t>
      </w:r>
      <w:r w:rsidR="005C7FB7">
        <w:rPr>
          <w:i/>
        </w:rPr>
        <w:t xml:space="preserve"> </w:t>
      </w:r>
      <w:r w:rsidR="005C7FB7">
        <w:t>(Cth) (“the SRC Act”)</w:t>
      </w:r>
      <w:r w:rsidR="004D7B22">
        <w:t xml:space="preserve">. </w:t>
      </w:r>
    </w:p>
    <w:p w:rsidR="004D7B22" w:rsidRDefault="001D5ED6" w:rsidP="00733819">
      <w:pPr>
        <w:pStyle w:val="ListNumber"/>
      </w:pPr>
      <w:r>
        <w:t xml:space="preserve">The latest iteration of the SoP </w:t>
      </w:r>
      <w:r w:rsidR="009254CE">
        <w:t>concerning</w:t>
      </w:r>
      <w:r>
        <w:t xml:space="preserve"> </w:t>
      </w:r>
      <w:r w:rsidR="009254CE">
        <w:t>h</w:t>
      </w:r>
      <w:r>
        <w:t xml:space="preserve">ypertension is no 64 of 2013. There are no relevant differences between that SoP and earlier iterations. </w:t>
      </w:r>
      <w:r w:rsidRPr="008B36F6">
        <w:t>Clause 3(b)</w:t>
      </w:r>
      <w:r>
        <w:t xml:space="preserve"> defines hypertension as </w:t>
      </w:r>
      <w:r w:rsidRPr="008B36F6">
        <w:t>“</w:t>
      </w:r>
      <w:r w:rsidR="008B36F6" w:rsidRPr="008B36F6">
        <w:t xml:space="preserve">persistently </w:t>
      </w:r>
      <w:r w:rsidRPr="008B36F6">
        <w:t>elevated blood pressure”</w:t>
      </w:r>
      <w:r>
        <w:t xml:space="preserve"> diagnosed by a medical practitioner and evidenced by </w:t>
      </w:r>
      <w:r w:rsidR="003045B6">
        <w:t xml:space="preserve">(i) </w:t>
      </w:r>
      <w:r>
        <w:t>blood pressure readings within a particular range</w:t>
      </w:r>
      <w:r w:rsidR="008262F4">
        <w:t>;</w:t>
      </w:r>
      <w:r>
        <w:t xml:space="preserve"> </w:t>
      </w:r>
      <w:r w:rsidRPr="008B36F6">
        <w:t xml:space="preserve">or </w:t>
      </w:r>
      <w:r w:rsidR="008262F4">
        <w:br/>
      </w:r>
      <w:r w:rsidR="003045B6">
        <w:t xml:space="preserve">(ii) </w:t>
      </w:r>
      <w:r w:rsidRPr="008B36F6">
        <w:t>“the regular administration of antihypertensive therapy to reduce blood pressure”.</w:t>
      </w:r>
      <w:r>
        <w:t xml:space="preserve"> </w:t>
      </w:r>
    </w:p>
    <w:p w:rsidR="001D5ED6" w:rsidRDefault="001D5ED6" w:rsidP="00733819">
      <w:pPr>
        <w:pStyle w:val="ListNumber"/>
      </w:pPr>
      <w:r>
        <w:t xml:space="preserve">The medical records clearly establish Mr Riley was diagnosed with hypertension on </w:t>
      </w:r>
      <w:r w:rsidR="008262F4">
        <w:br/>
      </w:r>
      <w:r w:rsidRPr="003D37D6">
        <w:t xml:space="preserve">23 March 2004: see </w:t>
      </w:r>
      <w:r w:rsidR="005C7FB7" w:rsidRPr="005D7845">
        <w:t>E</w:t>
      </w:r>
      <w:r w:rsidRPr="003D37D6">
        <w:t>xhibit A at p 2</w:t>
      </w:r>
      <w:r w:rsidR="00C341F9" w:rsidRPr="005D7845">
        <w:t>95</w:t>
      </w:r>
      <w:r w:rsidRPr="003D37D6">
        <w:t>.</w:t>
      </w:r>
      <w:r>
        <w:t xml:space="preserve"> His doctor prescribed </w:t>
      </w:r>
      <w:r w:rsidRPr="008830B6">
        <w:t>Propranolol</w:t>
      </w:r>
      <w:r w:rsidRPr="00C341F9">
        <w:t>,</w:t>
      </w:r>
      <w:r>
        <w:t xml:space="preserve"> a hypertensive medication, on that date</w:t>
      </w:r>
      <w:r w:rsidR="00C341F9">
        <w:t>: see Exhibit A at p 281</w:t>
      </w:r>
      <w:r>
        <w:t xml:space="preserve">. </w:t>
      </w:r>
      <w:r w:rsidRPr="008830B6">
        <w:t xml:space="preserve">When Mr Riley was seen for the purposes of a review on 6 July 2004, the clinical notes record he was </w:t>
      </w:r>
      <w:r w:rsidRPr="00C341F9">
        <w:t>“now on” a daily 40mg dose</w:t>
      </w:r>
      <w:r>
        <w:t xml:space="preserve"> of the medication</w:t>
      </w:r>
      <w:r w:rsidR="00C341F9">
        <w:t xml:space="preserve">: see </w:t>
      </w:r>
      <w:r w:rsidR="00C341F9" w:rsidRPr="008830B6">
        <w:t>E</w:t>
      </w:r>
      <w:r w:rsidR="00C341F9">
        <w:t>xhibit A at p 269.</w:t>
      </w:r>
    </w:p>
    <w:p w:rsidR="001D5ED6" w:rsidRDefault="001D5ED6" w:rsidP="00733819">
      <w:pPr>
        <w:pStyle w:val="ListNumber"/>
      </w:pPr>
      <w:r>
        <w:t>Mr Black, for the applicant, said I should construe the SoP</w:t>
      </w:r>
      <w:r w:rsidR="00E9425F">
        <w:t xml:space="preserve"> concerning hypertension</w:t>
      </w:r>
      <w:r>
        <w:t xml:space="preserve"> </w:t>
      </w:r>
      <w:r w:rsidRPr="001B25E7">
        <w:t>generously</w:t>
      </w:r>
      <w:r>
        <w:t xml:space="preserve"> given the beneficial nature of the legislation. Unfortunately for the applicant, the words of the SoP do not suggest any ambiguity that can be resolved in her favour. </w:t>
      </w:r>
      <w:r w:rsidR="008262F4">
        <w:br/>
      </w:r>
      <w:r w:rsidR="006C1689">
        <w:t xml:space="preserve">Mr Riley was diagnosed in </w:t>
      </w:r>
      <w:r w:rsidR="006C1689" w:rsidRPr="001B25E7">
        <w:t xml:space="preserve">March 2004 </w:t>
      </w:r>
      <w:r w:rsidR="006C1689" w:rsidRPr="007D061B">
        <w:t xml:space="preserve">and </w:t>
      </w:r>
      <w:r w:rsidR="003045B6">
        <w:t>was prescribed</w:t>
      </w:r>
      <w:r w:rsidR="006C1689" w:rsidRPr="007D061B">
        <w:t xml:space="preserve"> hypertensive medication at that point.</w:t>
      </w:r>
      <w:r w:rsidR="006C1689">
        <w:t xml:space="preserve"> While it is possible it took time for Mr Riley to settle into an established pattern of using the prescribed drugs, the clinical notes made in connection with his review soon after the beginning of July clearly </w:t>
      </w:r>
      <w:r w:rsidR="000C5B27">
        <w:t xml:space="preserve">indicate he was already being medicated at that point. Given that review was conducted only a matter of days after the commencement of the MRC Act, I am satisfied Mr Riley was already experiencing hypertension within the meaning of the SoP before the commencement of the legislation – which means his claim in respect of this condition would have to be made under the </w:t>
      </w:r>
      <w:r w:rsidR="00462655">
        <w:t>SRC Act</w:t>
      </w:r>
      <w:r w:rsidR="000C5B27">
        <w:t xml:space="preserve"> rather than the MRC Act. It follows Mr Riley’s ischaemic heart disease cannot be related to his service under the MRC Act by reason of hypertension.</w:t>
      </w:r>
    </w:p>
    <w:p w:rsidR="005F6D8B" w:rsidRDefault="005F6D8B" w:rsidP="005F6D8B">
      <w:pPr>
        <w:pStyle w:val="Heading2"/>
      </w:pPr>
      <w:r>
        <w:t>Can Mr Riley’s ischaemic heart disease be linked to his service in another way?</w:t>
      </w:r>
    </w:p>
    <w:p w:rsidR="00391759" w:rsidRDefault="005F6D8B" w:rsidP="005F6D8B">
      <w:pPr>
        <w:pStyle w:val="ListNumber"/>
      </w:pPr>
      <w:r>
        <w:t xml:space="preserve">I have already noted Mrs Riley says her late husband’s condition could be linked to his service by reason of his dyslipidaemia and his inability to undertake the requisite level of physical activity. Dyslipidaemia is defined </w:t>
      </w:r>
      <w:r w:rsidRPr="00214B1E">
        <w:t>in clause [9]</w:t>
      </w:r>
      <w:r w:rsidR="00C80874">
        <w:t xml:space="preserve"> of</w:t>
      </w:r>
      <w:r>
        <w:t xml:space="preserve"> the SoP </w:t>
      </w:r>
      <w:r w:rsidR="009254CE">
        <w:t>concerning</w:t>
      </w:r>
      <w:r>
        <w:t xml:space="preserve"> ischaemic heart disease as </w:t>
      </w:r>
      <w:r w:rsidR="00BC4E65">
        <w:t>“</w:t>
      </w:r>
      <w:r w:rsidRPr="005D7845">
        <w:t xml:space="preserve">persistently </w:t>
      </w:r>
      <w:r w:rsidR="00BC4E65" w:rsidRPr="005D7845">
        <w:t xml:space="preserve">abnormal </w:t>
      </w:r>
      <w:r w:rsidRPr="005D7845">
        <w:t>lipid</w:t>
      </w:r>
      <w:r w:rsidR="00BC4E65">
        <w:t>”</w:t>
      </w:r>
      <w:r>
        <w:t xml:space="preserve"> [</w:t>
      </w:r>
      <w:r w:rsidR="00012C58">
        <w:t>i.e.</w:t>
      </w:r>
      <w:r>
        <w:t xml:space="preserve"> cholesterol and triglyceride] levels. There is no doubt Mr Riley met this requirement – but why? If the cause can be related back to his service, the necessary link between his service and his death might be established.</w:t>
      </w:r>
    </w:p>
    <w:p w:rsidR="00CB78DA" w:rsidRDefault="005F6D8B" w:rsidP="005F6D8B">
      <w:pPr>
        <w:pStyle w:val="ListNumber"/>
      </w:pPr>
      <w:r>
        <w:t>I was provided with evidence of Mr Riley’</w:t>
      </w:r>
      <w:r w:rsidR="00CB78DA">
        <w:t xml:space="preserve">s drinking habits. </w:t>
      </w:r>
      <w:r w:rsidR="003045B6">
        <w:t xml:space="preserve">Excessive alcohol intake is known to increase the risk of dyslipidaemia. </w:t>
      </w:r>
      <w:r w:rsidR="00CB78DA">
        <w:t>Mr</w:t>
      </w:r>
      <w:r w:rsidR="00C80874">
        <w:t>s</w:t>
      </w:r>
      <w:r w:rsidR="00CB78DA">
        <w:t xml:space="preserve"> Riley said she recalled her husband consuming at least two four-litre casks of wine each week in the years before his death. She said he also routinely consumed spirits each evening. But that all happened at home, after hours. I need more if I am to connect that drinking habit with his work. </w:t>
      </w:r>
    </w:p>
    <w:p w:rsidR="00CB78DA" w:rsidRDefault="00CB78DA" w:rsidP="005F6D8B">
      <w:pPr>
        <w:pStyle w:val="ListNumber"/>
      </w:pPr>
      <w:r>
        <w:t xml:space="preserve">Mr Anthony </w:t>
      </w:r>
      <w:r w:rsidR="00D30CD5">
        <w:t>Cotroneo</w:t>
      </w:r>
      <w:r>
        <w:t xml:space="preserve"> gave evidence at the hearing and provided a statement. </w:t>
      </w:r>
      <w:r w:rsidR="008262F4">
        <w:br/>
      </w:r>
      <w:r>
        <w:t xml:space="preserve">Mr </w:t>
      </w:r>
      <w:r w:rsidR="00D30CD5">
        <w:t xml:space="preserve">Cotroneo </w:t>
      </w:r>
      <w:r>
        <w:t xml:space="preserve">was an Army officer. He supervised Mr Riley and knew him well. </w:t>
      </w:r>
      <w:r w:rsidR="008262F4">
        <w:br/>
      </w:r>
      <w:r>
        <w:t xml:space="preserve">Mr </w:t>
      </w:r>
      <w:r w:rsidR="00D30CD5">
        <w:t>Cotroneo</w:t>
      </w:r>
      <w:r>
        <w:t xml:space="preserve"> spoke highly of Mr Riley and said he was a capable and well-regarded soldier. But Mr </w:t>
      </w:r>
      <w:r w:rsidR="00D30CD5">
        <w:t>Cotroneo</w:t>
      </w:r>
      <w:r>
        <w:t xml:space="preserve"> also said he was aware Mr Riley drank and smoked excessively. </w:t>
      </w:r>
    </w:p>
    <w:p w:rsidR="005F6D8B" w:rsidRDefault="00CB78DA" w:rsidP="005F6D8B">
      <w:pPr>
        <w:pStyle w:val="ListNumber"/>
      </w:pPr>
      <w:r>
        <w:t xml:space="preserve">Mr </w:t>
      </w:r>
      <w:r w:rsidR="00D30CD5">
        <w:t>Cotroneo</w:t>
      </w:r>
      <w:r>
        <w:t xml:space="preserve"> gave valuable evidence about the consumption of alcohol on the </w:t>
      </w:r>
      <w:r w:rsidRPr="00D30CD5">
        <w:t>Army base at Oakey</w:t>
      </w:r>
      <w:r>
        <w:t xml:space="preserve"> where Mr Riley was posted. Mr </w:t>
      </w:r>
      <w:r w:rsidR="00D30CD5">
        <w:t>Cotroneo</w:t>
      </w:r>
      <w:r>
        <w:t xml:space="preserve"> pointed out</w:t>
      </w:r>
      <w:r w:rsidR="003045B6">
        <w:t xml:space="preserve"> in his oral evidence that</w:t>
      </w:r>
      <w:r>
        <w:t xml:space="preserve"> the mess did not commence serving alcohol until </w:t>
      </w:r>
      <w:r w:rsidRPr="00D30CD5">
        <w:t>4pm</w:t>
      </w:r>
      <w:r>
        <w:t xml:space="preserve"> each day, although it remained open until late in the evening. Soldiers did not have the opportunity to drink during the day in the ordinary course. (That had not always been the case, he explained</w:t>
      </w:r>
      <w:r w:rsidR="003045B6">
        <w:t xml:space="preserve"> from the witness box</w:t>
      </w:r>
      <w:r>
        <w:t xml:space="preserve">: in the past, the mess served alcohol during the day.) He agreed there was an expectation that soldiers like Mr Riley would attend a </w:t>
      </w:r>
      <w:r w:rsidRPr="00D30CD5">
        <w:t xml:space="preserve">formal mess once each quarter when alcohol was served. There was also an </w:t>
      </w:r>
      <w:r w:rsidR="007D368B" w:rsidRPr="00D30CD5">
        <w:t xml:space="preserve">informal </w:t>
      </w:r>
      <w:r w:rsidRPr="00D30CD5">
        <w:t>expectation one would visit the mess at least once a day – either for morning tea or lunch when alcohol was not served</w:t>
      </w:r>
      <w:r w:rsidRPr="009254CE">
        <w:t xml:space="preserve">, or in the afternoon – and </w:t>
      </w:r>
      <w:r w:rsidR="00F164E7" w:rsidRPr="009254CE">
        <w:t>for</w:t>
      </w:r>
      <w:r w:rsidRPr="009254CE">
        <w:t xml:space="preserve"> “happy hour” </w:t>
      </w:r>
      <w:r w:rsidR="00F164E7" w:rsidRPr="009254CE">
        <w:t xml:space="preserve">in the evening </w:t>
      </w:r>
      <w:r w:rsidRPr="009254CE">
        <w:t>on payday each fortnight</w:t>
      </w:r>
      <w:r w:rsidRPr="00D30CD5">
        <w:t>.</w:t>
      </w:r>
      <w:r>
        <w:t xml:space="preserve"> </w:t>
      </w:r>
      <w:r w:rsidR="0070743A">
        <w:br/>
      </w:r>
      <w:r w:rsidR="00F164E7">
        <w:t xml:space="preserve">He went on to say the culture of heavy drinking that pervaded the military in earlier years had faded with the introduction of random breath testing and tougher drink-driving laws. </w:t>
      </w:r>
    </w:p>
    <w:p w:rsidR="000356F9" w:rsidRDefault="000356F9" w:rsidP="005F6D8B">
      <w:pPr>
        <w:pStyle w:val="ListNumber"/>
      </w:pPr>
      <w:r>
        <w:t xml:space="preserve">The applicant referred me to the decision of the High Court in </w:t>
      </w:r>
      <w:r w:rsidRPr="00D41887">
        <w:rPr>
          <w:i/>
        </w:rPr>
        <w:t>Roncevich v Repatriation Commission</w:t>
      </w:r>
      <w:r w:rsidR="00C80874" w:rsidRPr="00D73CDF">
        <w:rPr>
          <w:i/>
        </w:rPr>
        <w:t xml:space="preserve"> </w:t>
      </w:r>
      <w:r w:rsidR="00C80874" w:rsidRPr="00D73CDF">
        <w:t>(2005) 222 CLR 115</w:t>
      </w:r>
      <w:r>
        <w:t>. In that case, a soldier was injured when he fell out of a window while intoxicated. He became intoxicated while attending a formal mess earlier that evening. The evidence established it was expected that soldiers like Mr Roncevich would attend the mess, and that they would imbibe. Soldiers would inevitably come into contact with (and effectively participate in) a strong culture of heavy drinking in the course of undertaking activities that were expected of them in</w:t>
      </w:r>
      <w:r w:rsidR="00834808">
        <w:t xml:space="preserve"> their work. The Court was satisfied the injury that was a consequence of Mr Roncevich’s intoxication “arose out of” the soldier’s service: at </w:t>
      </w:r>
      <w:r w:rsidR="002E5421">
        <w:t>125-126</w:t>
      </w:r>
      <w:r w:rsidR="00834808">
        <w:t xml:space="preserve"> per McHugh, Gummow, Callinan and Heydon JJ. </w:t>
      </w:r>
    </w:p>
    <w:p w:rsidR="00834808" w:rsidRDefault="00834808" w:rsidP="005F6D8B">
      <w:pPr>
        <w:pStyle w:val="ListNumber"/>
      </w:pPr>
      <w:r>
        <w:t xml:space="preserve">The causal connection between work and injury was easy enough to establish in </w:t>
      </w:r>
      <w:r w:rsidRPr="00834808">
        <w:rPr>
          <w:i/>
        </w:rPr>
        <w:t xml:space="preserve">Roncevich </w:t>
      </w:r>
      <w:r>
        <w:t xml:space="preserve">because the accident in question occurred while the soldier was still drunk as a result of the work event. But the facts are different in this case. Mr Riley did not sustain an injury while drunk. The applicant asserts her late husband developed dyslipidaemia over time because of persistent heavy alcohol intake. In order to succeed, I must be satisfied Mr Riley was effectively habituated to alcohol as a consequence of his work. </w:t>
      </w:r>
      <w:r w:rsidR="0070743A">
        <w:br/>
      </w:r>
      <w:r>
        <w:t>I do not think the evidence goes that far.</w:t>
      </w:r>
    </w:p>
    <w:p w:rsidR="00834808" w:rsidRDefault="00834808" w:rsidP="005F6D8B">
      <w:pPr>
        <w:pStyle w:val="ListNumber"/>
      </w:pPr>
      <w:r>
        <w:t xml:space="preserve">Mr Riley was expected to attend the mess each day, but it did not serve alcohol until the afternoon when he finished work. </w:t>
      </w:r>
      <w:r w:rsidR="001A144E">
        <w:t xml:space="preserve">He was expected to attend after work at least once a fortnight, and he also attended a formal mess once each quarter. The formal messes were not of sufficient frequency to promote habituation; </w:t>
      </w:r>
      <w:r w:rsidR="003045B6">
        <w:t>even</w:t>
      </w:r>
      <w:r w:rsidR="001A144E">
        <w:t xml:space="preserve"> the fortnightly visits to the mess that were expected on payday </w:t>
      </w:r>
      <w:r w:rsidR="003045B6">
        <w:t xml:space="preserve">were unlikely to </w:t>
      </w:r>
      <w:r w:rsidR="001A144E">
        <w:t>have had that effect.</w:t>
      </w:r>
      <w:r w:rsidR="003045B6">
        <w:t xml:space="preserve"> (I was not provided with any expert evidence to suggest infrequent visits to the mess would lead to habituation.)</w:t>
      </w:r>
      <w:r w:rsidR="001A144E">
        <w:t xml:space="preserve"> Importantly, Mr Cotroneo explained the heavy drinking culture – a culture that might have pervaded military establishments in the past and sucked in soldiers like Mr Riley</w:t>
      </w:r>
      <w:r w:rsidR="002E5421">
        <w:t xml:space="preserve"> –</w:t>
      </w:r>
      <w:r w:rsidR="001A144E">
        <w:t xml:space="preserve"> had faded, at least amongst the soldiers who lived off-base. I am not satisfied Mr Riley became a heavy drinker for cultural reasons</w:t>
      </w:r>
      <w:r w:rsidR="003045B6">
        <w:t xml:space="preserve"> associated with his work</w:t>
      </w:r>
      <w:r w:rsidR="001A144E">
        <w:t>.</w:t>
      </w:r>
    </w:p>
    <w:p w:rsidR="001A144E" w:rsidRDefault="001A144E" w:rsidP="005F6D8B">
      <w:pPr>
        <w:pStyle w:val="ListNumber"/>
      </w:pPr>
      <w:r>
        <w:t>There was also evidence to the effect that Mr Riley drank heavily to cope with stress associated with his work. It is difficult to know what to make of this</w:t>
      </w:r>
      <w:r w:rsidR="003045B6">
        <w:t>.</w:t>
      </w:r>
      <w:r>
        <w:t xml:space="preserve"> I accept </w:t>
      </w:r>
      <w:r w:rsidR="0070743A">
        <w:br/>
      </w:r>
      <w:r>
        <w:t xml:space="preserve">Mrs Riley’s evidence (and that given by her daughter, </w:t>
      </w:r>
      <w:r w:rsidRPr="003D08CD">
        <w:t>Ms</w:t>
      </w:r>
      <w:r>
        <w:t xml:space="preserve"> Mason) that Mr Riley was working long hours before his death, and that he was under pressure at work. But the evidence also appears to establish his drinking persisted over a long period. It is difficult to be sure of the genesis of that habit. I am not satisfied that aspect of the claim has been made out. </w:t>
      </w:r>
    </w:p>
    <w:p w:rsidR="00C33CC9" w:rsidRDefault="00C33CC9" w:rsidP="00D73CDF">
      <w:pPr>
        <w:pStyle w:val="Heading2"/>
      </w:pPr>
      <w:r>
        <w:t>Was Mr Riley’s ischaemic heart disease linked to an inability to undertake</w:t>
      </w:r>
      <w:r w:rsidR="00D73CDF">
        <w:t xml:space="preserve"> physical </w:t>
      </w:r>
      <w:r>
        <w:t>activity?</w:t>
      </w:r>
    </w:p>
    <w:p w:rsidR="00B96190" w:rsidRDefault="00B96190" w:rsidP="005F6D8B">
      <w:pPr>
        <w:pStyle w:val="ListNumber"/>
      </w:pPr>
      <w:r>
        <w:t>I turn to the claim Mr Riley was unable to undertake physical activity at the requisite level. The claim is relevant in two ways: firstly</w:t>
      </w:r>
      <w:r w:rsidR="0070743A">
        <w:t>,</w:t>
      </w:r>
      <w:r>
        <w:t xml:space="preserve"> because individuals who exercise regularly are likely to have lower level</w:t>
      </w:r>
      <w:r w:rsidR="0070743A">
        <w:t>s</w:t>
      </w:r>
      <w:r>
        <w:t xml:space="preserve"> of lipids (so that a failure to undertake </w:t>
      </w:r>
      <w:r w:rsidR="00636CA2">
        <w:t xml:space="preserve">regular physical activity is a factor in developing dyslipidaemia), and </w:t>
      </w:r>
      <w:r w:rsidR="0070743A">
        <w:t xml:space="preserve">secondly, </w:t>
      </w:r>
      <w:r w:rsidR="00636CA2">
        <w:t xml:space="preserve">because an inability to exercise is a factor in the development of ischaemic heart disease. </w:t>
      </w:r>
    </w:p>
    <w:p w:rsidR="00636CA2" w:rsidRDefault="00636CA2" w:rsidP="005F6D8B">
      <w:pPr>
        <w:pStyle w:val="ListNumber"/>
      </w:pPr>
      <w:r>
        <w:t xml:space="preserve">The respondent relies in particular on evidence showing Mr Riley passed the </w:t>
      </w:r>
      <w:r w:rsidR="001E4A50">
        <w:t>Defence Department’s</w:t>
      </w:r>
      <w:r w:rsidR="00F945AC">
        <w:t xml:space="preserve"> </w:t>
      </w:r>
      <w:r>
        <w:t xml:space="preserve">Basic Fitness Assessment (BFA) on a number of occasions in the relevant period before his death. Mr Dube argued I could not be satisfied Mr Riley was unable to engage in physical activity if he was able to pass a relatively demanding fitness test (albeit one that was not as demanding as the </w:t>
      </w:r>
      <w:r w:rsidRPr="003D08CD">
        <w:t>Combat Fitness Assessment</w:t>
      </w:r>
      <w:r w:rsidRPr="007C4C33">
        <w:t>,</w:t>
      </w:r>
      <w:r>
        <w:t xml:space="preserve"> or CFA, which soldiers on the front line were required to pass). </w:t>
      </w:r>
      <w:r w:rsidR="00066A67">
        <w:t>Mr Dube also p</w:t>
      </w:r>
      <w:r w:rsidR="0094456B">
        <w:t>ointed to the evidence of Mr Co</w:t>
      </w:r>
      <w:r w:rsidR="00066A67">
        <w:t xml:space="preserve">troneo, who supervised physical training activities and conducted informal BFAs for his unit. Mr Cotroneo </w:t>
      </w:r>
      <w:r w:rsidR="0094456B">
        <w:t xml:space="preserve">recalled Mr Riley – along with other soldiers in the unit – attended </w:t>
      </w:r>
      <w:r w:rsidR="00C33CC9">
        <w:t xml:space="preserve">personal training </w:t>
      </w:r>
      <w:r w:rsidR="0094456B">
        <w:t xml:space="preserve">sessions three times a week. He also recalled at least two occasions on which he watched Mr </w:t>
      </w:r>
      <w:r w:rsidR="00C33CC9">
        <w:t xml:space="preserve">Riley </w:t>
      </w:r>
      <w:r w:rsidR="0094456B">
        <w:t>running or walking in the course of an informal BFA. (Mr Billens, a witness called by the applicant, confirmed Mr Riley participated in a run or walk as part of an informal BFA</w:t>
      </w:r>
      <w:r w:rsidR="003045B6">
        <w:t>.</w:t>
      </w:r>
      <w:r w:rsidR="0094456B">
        <w:t xml:space="preserve"> Mr Billens recalled running with Mr Riley, who was towards the back of the group, in order to provide encouragement.) </w:t>
      </w:r>
    </w:p>
    <w:p w:rsidR="0094456B" w:rsidRDefault="0094456B" w:rsidP="005F6D8B">
      <w:pPr>
        <w:pStyle w:val="ListNumber"/>
      </w:pPr>
      <w:r>
        <w:t xml:space="preserve">Mr Cotroneo confirmed Mr Riley was subject to medical restrictions as a result of long standing service-related injuries. The applicant said these injuries made it impossible for him to exercise at the requisite level of intensity. Mr Cotroneo agreed soldiers in </w:t>
      </w:r>
      <w:r w:rsidR="005F326F">
        <w:br/>
      </w:r>
      <w:r>
        <w:t xml:space="preserve">Mr Riley’s position would participate in a modified program that was designed to accommodate their restrictions. He also agreed a soldier would pass the BFA provided </w:t>
      </w:r>
      <w:r w:rsidR="00C33CC9">
        <w:t xml:space="preserve">he or she </w:t>
      </w:r>
      <w:r>
        <w:t xml:space="preserve">did whatever was required of </w:t>
      </w:r>
      <w:r w:rsidR="00C33CC9">
        <w:t xml:space="preserve">him or her </w:t>
      </w:r>
      <w:r>
        <w:t xml:space="preserve">in light of those restrictions. Mr Black, for the applicant, pointed out it was impossible to be sure Mr Riley had actually completed a program that satisfied the minimum requirements in the SoP. In particular, Mr Black said it was impossible to be sure Mr Riley had completed a run or even a walk of the required duration and intensity. </w:t>
      </w:r>
    </w:p>
    <w:p w:rsidR="0094456B" w:rsidRDefault="001E4A50" w:rsidP="005F6D8B">
      <w:pPr>
        <w:pStyle w:val="ListNumber"/>
      </w:pPr>
      <w:r>
        <w:t xml:space="preserve">Dr Hossack, a cardiologist, said in his supplementary report of 30 July 2013 (Exhibit K) that he had reviewed the Department of Defence expectations of a BFA for a 42 year-old male in 2001 and 2004 (Exhibit M at p 7). He also reviewed Mr Riley’s BFA results showing he had obtained a ‘Pass’ or ‘Med Restricted Pass’ for BFAs attempted during the period from 27 February 2000 to 27 February 2007. Based on this material, </w:t>
      </w:r>
      <w:r w:rsidR="006A3B4D">
        <w:br/>
      </w:r>
      <w:r>
        <w:t>Dr Hossack concluded Mr Riley “had the ability to undertake physical activity greater than 3 METS in the seven years before the clinical onset of ischaemic heart disease”.</w:t>
      </w:r>
      <w:r w:rsidR="00D54E4F">
        <w:t xml:space="preserve"> </w:t>
      </w:r>
      <w:r w:rsidR="006A3B4D">
        <w:br/>
      </w:r>
      <w:r>
        <w:t>Dr Hossack agre</w:t>
      </w:r>
      <w:r w:rsidR="007C4C33">
        <w:t>ed during oral evidence he</w:t>
      </w:r>
      <w:r w:rsidR="00D54E4F">
        <w:t xml:space="preserve"> was unsure of what assessment to make if the evidence established Mr Riley had merely done push-ups or other activities without running or walking. Dr Hossack added that Mr Riley’s dyslipidaemia was suggestive of someone who did not regularly exercise (although that is not the test, of course: the test refers to an </w:t>
      </w:r>
      <w:r w:rsidR="00D54E4F" w:rsidRPr="00D73CDF">
        <w:rPr>
          <w:i/>
        </w:rPr>
        <w:t>inability</w:t>
      </w:r>
      <w:r w:rsidR="00D54E4F">
        <w:t xml:space="preserve"> to undertake activity, not a </w:t>
      </w:r>
      <w:r w:rsidR="00D54E4F" w:rsidRPr="00D73CDF">
        <w:rPr>
          <w:i/>
        </w:rPr>
        <w:t>failure</w:t>
      </w:r>
      <w:r w:rsidR="00D54E4F">
        <w:t xml:space="preserve"> to undertake the activity regularly). </w:t>
      </w:r>
    </w:p>
    <w:p w:rsidR="003B45B5" w:rsidRDefault="003B45B5" w:rsidP="005F6D8B">
      <w:pPr>
        <w:pStyle w:val="ListNumber"/>
      </w:pPr>
      <w:r>
        <w:t>While it is difficult to be sure of precisely what Mr Riley did by way of physical activity, or how often he did it, I am satisfied the evidence of Messrs Cotroneo and Billens confirms Mr Riley was able to complete a BFA incorporating a walk, if not a run, at a level suggesting he was capable of undertaking activity that met the three MET</w:t>
      </w:r>
      <w:r w:rsidR="006A3B4D">
        <w:t>s</w:t>
      </w:r>
      <w:r>
        <w:t xml:space="preserve"> standard on at least one occasion in the period before his death. Both Messrs Cotroneo and Billens confirmed Mr Riley was not very fit or athletic, and both noted he had difficulty meeting the required standard – but Mr Cotroneo noted Mr Riley was not the slowest or most unfit soldier, and that he did not perform so poorly that he was required to do remedial work to meet the BFA.</w:t>
      </w:r>
    </w:p>
    <w:p w:rsidR="003B45B5" w:rsidRDefault="003B45B5" w:rsidP="005F6D8B">
      <w:pPr>
        <w:pStyle w:val="ListNumber"/>
      </w:pPr>
      <w:r>
        <w:t xml:space="preserve">I accept Mr Riley experienced some impairment as a consequence of his work-related injuries. Those injuries necessitated medical restrictions on his ability to exercise. </w:t>
      </w:r>
      <w:r w:rsidR="00EA4EB0">
        <w:br/>
      </w:r>
      <w:r>
        <w:t>They undoubtedly made exercise more difficult and less attractive, and he may have exercised much less as a result – which may have contributed to the elevated lipid levels and the onset of dyslipidaemia. But I am satisfied the evidence establishes Mr Riley was able to undertake physical activity at the required level, even if it is doubtful he did it very often. It follows that his ischaemic heart disease cannot be attributed (directly or indirectly) to an inability to undertake physical activity.</w:t>
      </w:r>
    </w:p>
    <w:p w:rsidR="003B45B5" w:rsidRDefault="003B45B5" w:rsidP="003B45B5">
      <w:pPr>
        <w:pStyle w:val="Heading1"/>
      </w:pPr>
      <w:r>
        <w:t>conclusion</w:t>
      </w:r>
    </w:p>
    <w:p w:rsidR="003B45B5" w:rsidRDefault="003B45B5" w:rsidP="003E5564">
      <w:pPr>
        <w:pStyle w:val="ListNumber"/>
      </w:pPr>
      <w:r>
        <w:t>The decision under review must be affirmed for the reasons given.</w:t>
      </w:r>
    </w:p>
    <w:p w:rsidR="00EA4EB0" w:rsidRDefault="00EA4EB0">
      <w:pPr>
        <w:spacing w:before="0" w:line="240" w:lineRule="auto"/>
        <w:jc w:val="left"/>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70"/>
      </w:tblGrid>
      <w:tr w:rsidR="003E5564" w:rsidTr="00CB4733">
        <w:trPr>
          <w:trHeight w:val="1456"/>
        </w:trPr>
        <w:tc>
          <w:tcPr>
            <w:tcW w:w="3470" w:type="dxa"/>
          </w:tcPr>
          <w:p w:rsidR="003E5564" w:rsidRDefault="003E5564" w:rsidP="00CB4733">
            <w:pPr>
              <w:pStyle w:val="NoSpacing"/>
            </w:pPr>
            <w:r>
              <w:t xml:space="preserve">I </w:t>
            </w:r>
            <w:bookmarkStart w:id="9" w:name="StartStamp"/>
            <w:bookmarkEnd w:id="9"/>
            <w:r>
              <w:t xml:space="preserve">certify that the </w:t>
            </w:r>
            <w:r w:rsidRPr="000A3D70">
              <w:t>preceding</w:t>
            </w:r>
            <w:r>
              <w:t xml:space="preserve"> </w:t>
            </w:r>
            <w:bookmarkStart w:id="10" w:name="NumParas"/>
            <w:bookmarkEnd w:id="10"/>
            <w:r w:rsidR="00CB4733">
              <w:t>25 (twenty-five</w:t>
            </w:r>
            <w:r>
              <w:t xml:space="preserve">) </w:t>
            </w:r>
            <w:r w:rsidRPr="000A3D70">
              <w:t>paragraphs are a true copy of the reasons for the decision herein of</w:t>
            </w:r>
            <w:r>
              <w:t xml:space="preserve"> </w:t>
            </w:r>
            <w:r w:rsidRPr="00483D56">
              <w:fldChar w:fldCharType="begin"/>
            </w:r>
            <w:r w:rsidRPr="00483D56">
              <w:instrText xml:space="preserve"> DOCPROPERTY  Tribunal</w:instrText>
            </w:r>
            <w:r>
              <w:instrText>LastPgForm</w:instrText>
            </w:r>
            <w:r w:rsidRPr="00483D56">
              <w:fldChar w:fldCharType="separate"/>
            </w:r>
            <w:r>
              <w:t>Senior Member Bernard J McCabe</w:t>
            </w:r>
            <w:r w:rsidRPr="00483D56">
              <w:fldChar w:fldCharType="end"/>
            </w:r>
          </w:p>
        </w:tc>
      </w:tr>
    </w:tbl>
    <w:p w:rsidR="003E5564" w:rsidRPr="00BC2D09" w:rsidRDefault="00CB4733" w:rsidP="003E5564">
      <w:pPr>
        <w:keepNext/>
        <w:spacing w:before="960"/>
        <w:rPr>
          <w:lang w:eastAsia="en-US"/>
        </w:rPr>
      </w:pPr>
      <w:r>
        <w:rPr>
          <w:lang w:eastAsia="en-US"/>
        </w:rPr>
        <w:t>...............</w:t>
      </w:r>
      <w:r w:rsidR="003E5564" w:rsidRPr="00BC2D09">
        <w:rPr>
          <w:lang w:eastAsia="en-US"/>
        </w:rPr>
        <w:t>.......</w:t>
      </w:r>
      <w:r w:rsidR="003E5564">
        <w:rPr>
          <w:lang w:eastAsia="en-US"/>
        </w:rPr>
        <w:t>Sgd</w:t>
      </w:r>
      <w:r>
        <w:rPr>
          <w:lang w:eastAsia="en-US"/>
        </w:rPr>
        <w:t>.......................</w:t>
      </w:r>
      <w:r w:rsidR="003E5564" w:rsidRPr="00BC2D09">
        <w:rPr>
          <w:lang w:eastAsia="en-US"/>
        </w:rPr>
        <w:t>.....</w:t>
      </w:r>
    </w:p>
    <w:p w:rsidR="003E5564" w:rsidRPr="00D8769A" w:rsidRDefault="00B73154" w:rsidP="003E5564">
      <w:pPr>
        <w:pStyle w:val="NoSpacing"/>
      </w:pPr>
      <w:fldSimple w:instr=" DOCPROPERTY  SigneeDesignation ">
        <w:r w:rsidR="003E5564">
          <w:t>Associate</w:t>
        </w:r>
      </w:fldSimple>
    </w:p>
    <w:p w:rsidR="003E5564" w:rsidRDefault="003E5564" w:rsidP="003E5564">
      <w:r>
        <w:t xml:space="preserve">Dated </w:t>
      </w:r>
      <w:fldSimple w:instr=" DOCPROPERTY  StampDate ">
        <w:r w:rsidR="00EA00B9">
          <w:t>2</w:t>
        </w:r>
        <w:r>
          <w:t xml:space="preserve"> </w:t>
        </w:r>
        <w:r w:rsidR="00EA00B9">
          <w:t>May</w:t>
        </w:r>
        <w:r>
          <w:t xml:space="preserve"> 2014</w:t>
        </w:r>
      </w:fldSimple>
    </w:p>
    <w:p w:rsidR="003E5564" w:rsidRDefault="003E5564" w:rsidP="003E5564"/>
    <w:tbl>
      <w:tblPr>
        <w:tblW w:w="0" w:type="auto"/>
        <w:tblLayout w:type="fixed"/>
        <w:tblLook w:val="00A0" w:firstRow="1" w:lastRow="0" w:firstColumn="1" w:lastColumn="0" w:noHBand="0" w:noVBand="0"/>
      </w:tblPr>
      <w:tblGrid>
        <w:gridCol w:w="3510"/>
        <w:gridCol w:w="5279"/>
      </w:tblGrid>
      <w:tr w:rsidR="003E5564" w:rsidRPr="00BC2D09" w:rsidTr="008779DE">
        <w:trPr>
          <w:trHeight w:val="567"/>
        </w:trPr>
        <w:tc>
          <w:tcPr>
            <w:tcW w:w="3510" w:type="dxa"/>
          </w:tcPr>
          <w:p w:rsidR="003E5564" w:rsidRPr="00BC2D09" w:rsidRDefault="003E5564" w:rsidP="008779DE">
            <w:pPr>
              <w:pStyle w:val="NoSpacing"/>
              <w:rPr>
                <w:lang w:eastAsia="en-US"/>
              </w:rPr>
            </w:pPr>
            <w:r>
              <w:rPr>
                <w:lang w:eastAsia="en-US"/>
              </w:rPr>
              <w:t>Dates of hearing</w:t>
            </w:r>
          </w:p>
        </w:tc>
        <w:tc>
          <w:tcPr>
            <w:tcW w:w="5279" w:type="dxa"/>
          </w:tcPr>
          <w:p w:rsidR="003E5564" w:rsidRPr="00771CAC" w:rsidRDefault="003E5564" w:rsidP="003E5564">
            <w:pPr>
              <w:pStyle w:val="NoSpacing"/>
              <w:rPr>
                <w:b/>
                <w:bCs/>
                <w:lang w:eastAsia="en-US"/>
              </w:rPr>
            </w:pPr>
            <w:r>
              <w:rPr>
                <w:b/>
                <w:bCs/>
                <w:lang w:eastAsia="en-US"/>
              </w:rPr>
              <w:fldChar w:fldCharType="begin"/>
            </w:r>
            <w:r>
              <w:rPr>
                <w:b/>
                <w:bCs/>
                <w:lang w:eastAsia="en-US"/>
              </w:rPr>
              <w:instrText xml:space="preserve">DOCPROPERTY  DateOfHearing </w:instrText>
            </w:r>
            <w:r>
              <w:rPr>
                <w:b/>
                <w:bCs/>
                <w:lang w:eastAsia="en-US"/>
              </w:rPr>
              <w:fldChar w:fldCharType="separate"/>
            </w:r>
            <w:r>
              <w:rPr>
                <w:b/>
                <w:bCs/>
                <w:lang w:eastAsia="en-US"/>
              </w:rPr>
              <w:t>7 &amp; 8 April 2014</w:t>
            </w:r>
            <w:r>
              <w:rPr>
                <w:b/>
                <w:bCs/>
                <w:lang w:eastAsia="en-US"/>
              </w:rPr>
              <w:fldChar w:fldCharType="end"/>
            </w:r>
          </w:p>
        </w:tc>
      </w:tr>
      <w:tr w:rsidR="003E5564" w:rsidRPr="00BC2D09" w:rsidTr="008779DE">
        <w:trPr>
          <w:trHeight w:val="567"/>
        </w:trPr>
        <w:tc>
          <w:tcPr>
            <w:tcW w:w="3510" w:type="dxa"/>
          </w:tcPr>
          <w:p w:rsidR="003E5564" w:rsidRPr="00BC2D09" w:rsidRDefault="003E5564" w:rsidP="003E5564">
            <w:pPr>
              <w:pStyle w:val="NoSpacing"/>
              <w:rPr>
                <w:lang w:eastAsia="en-US"/>
              </w:rPr>
            </w:pPr>
            <w:bookmarkStart w:id="11" w:name="DateFinalSubmission"/>
            <w:bookmarkStart w:id="12" w:name="AppSelfRepresented"/>
            <w:bookmarkEnd w:id="11"/>
            <w:bookmarkEnd w:id="12"/>
            <w:r>
              <w:rPr>
                <w:lang w:eastAsia="en-US"/>
              </w:rPr>
              <w:t>Counsel for the Applicant</w:t>
            </w:r>
          </w:p>
        </w:tc>
        <w:tc>
          <w:tcPr>
            <w:tcW w:w="5279" w:type="dxa"/>
          </w:tcPr>
          <w:p w:rsidR="003E5564" w:rsidRPr="00771CAC" w:rsidRDefault="003E5564" w:rsidP="003E5564">
            <w:pPr>
              <w:pStyle w:val="NoSpacing"/>
              <w:rPr>
                <w:b/>
                <w:bCs/>
                <w:lang w:eastAsia="en-US"/>
              </w:rPr>
            </w:pPr>
            <w:r>
              <w:rPr>
                <w:b/>
                <w:bCs/>
                <w:lang w:eastAsia="en-US"/>
              </w:rPr>
              <w:fldChar w:fldCharType="begin"/>
            </w:r>
            <w:r>
              <w:rPr>
                <w:b/>
                <w:bCs/>
                <w:lang w:eastAsia="en-US"/>
              </w:rPr>
              <w:instrText xml:space="preserve">DOCPROPERTY  Respondent_Counsel </w:instrText>
            </w:r>
            <w:r>
              <w:rPr>
                <w:b/>
                <w:bCs/>
                <w:lang w:eastAsia="en-US"/>
              </w:rPr>
              <w:fldChar w:fldCharType="separate"/>
            </w:r>
            <w:r>
              <w:rPr>
                <w:b/>
                <w:bCs/>
                <w:lang w:eastAsia="en-US"/>
              </w:rPr>
              <w:t>Mr M Black</w:t>
            </w:r>
            <w:r>
              <w:rPr>
                <w:b/>
                <w:bCs/>
                <w:lang w:eastAsia="en-US"/>
              </w:rPr>
              <w:fldChar w:fldCharType="end"/>
            </w:r>
          </w:p>
        </w:tc>
      </w:tr>
      <w:tr w:rsidR="007D4180" w:rsidRPr="00BC2D09" w:rsidTr="008779DE">
        <w:trPr>
          <w:trHeight w:val="567"/>
        </w:trPr>
        <w:tc>
          <w:tcPr>
            <w:tcW w:w="3510" w:type="dxa"/>
          </w:tcPr>
          <w:p w:rsidR="007D4180" w:rsidRDefault="007D4180" w:rsidP="007D4180">
            <w:pPr>
              <w:pStyle w:val="NoSpacing"/>
              <w:rPr>
                <w:lang w:eastAsia="en-US"/>
              </w:rPr>
            </w:pPr>
            <w:bookmarkStart w:id="13" w:name="Respondent_Counsel"/>
            <w:bookmarkEnd w:id="13"/>
            <w:r>
              <w:rPr>
                <w:lang w:eastAsia="en-US"/>
              </w:rPr>
              <w:t>Solicitors for the Applicant</w:t>
            </w:r>
          </w:p>
        </w:tc>
        <w:tc>
          <w:tcPr>
            <w:tcW w:w="5279" w:type="dxa"/>
          </w:tcPr>
          <w:p w:rsidR="007D4180" w:rsidRPr="00771CAC" w:rsidRDefault="007D4180" w:rsidP="007D4180">
            <w:pPr>
              <w:pStyle w:val="NoSpacing"/>
              <w:rPr>
                <w:b/>
                <w:bCs/>
                <w:lang w:eastAsia="en-US"/>
              </w:rPr>
            </w:pPr>
            <w:r>
              <w:rPr>
                <w:b/>
                <w:bCs/>
                <w:lang w:eastAsia="en-US"/>
              </w:rPr>
              <w:fldChar w:fldCharType="begin"/>
            </w:r>
            <w:r>
              <w:rPr>
                <w:b/>
                <w:bCs/>
                <w:lang w:eastAsia="en-US"/>
              </w:rPr>
              <w:instrText xml:space="preserve">DOCPROPERTY  Respondent_Solicitors </w:instrText>
            </w:r>
            <w:r>
              <w:rPr>
                <w:b/>
                <w:bCs/>
                <w:lang w:eastAsia="en-US"/>
              </w:rPr>
              <w:fldChar w:fldCharType="separate"/>
            </w:r>
            <w:r>
              <w:rPr>
                <w:b/>
                <w:bCs/>
                <w:lang w:eastAsia="en-US"/>
              </w:rPr>
              <w:t>KCI Lawyers</w:t>
            </w:r>
            <w:r>
              <w:rPr>
                <w:b/>
                <w:bCs/>
                <w:lang w:eastAsia="en-US"/>
              </w:rPr>
              <w:fldChar w:fldCharType="end"/>
            </w:r>
          </w:p>
        </w:tc>
      </w:tr>
      <w:tr w:rsidR="007D4180" w:rsidRPr="00BC2D09" w:rsidTr="008779DE">
        <w:trPr>
          <w:trHeight w:val="567"/>
        </w:trPr>
        <w:tc>
          <w:tcPr>
            <w:tcW w:w="3510" w:type="dxa"/>
          </w:tcPr>
          <w:p w:rsidR="007D4180" w:rsidRDefault="007D4180" w:rsidP="008779DE">
            <w:pPr>
              <w:pStyle w:val="NoSpacing"/>
              <w:rPr>
                <w:lang w:eastAsia="en-US"/>
              </w:rPr>
            </w:pPr>
            <w:bookmarkStart w:id="14" w:name="Respondent_Solicitors"/>
            <w:bookmarkEnd w:id="14"/>
            <w:r>
              <w:rPr>
                <w:lang w:eastAsia="en-US"/>
              </w:rPr>
              <w:t>Solicitors for the Respondent</w:t>
            </w:r>
          </w:p>
        </w:tc>
        <w:tc>
          <w:tcPr>
            <w:tcW w:w="5279" w:type="dxa"/>
          </w:tcPr>
          <w:p w:rsidR="007D4180" w:rsidRDefault="007D4180" w:rsidP="007D4180">
            <w:pPr>
              <w:pStyle w:val="NoSpacing"/>
              <w:rPr>
                <w:b/>
                <w:bCs/>
                <w:lang w:eastAsia="en-US"/>
              </w:rPr>
            </w:pPr>
            <w:r>
              <w:rPr>
                <w:b/>
                <w:bCs/>
                <w:lang w:eastAsia="en-US"/>
              </w:rPr>
              <w:fldChar w:fldCharType="begin"/>
            </w:r>
            <w:r>
              <w:rPr>
                <w:b/>
                <w:bCs/>
                <w:lang w:eastAsia="en-US"/>
              </w:rPr>
              <w:instrText xml:space="preserve">DOCPROPERTY  Respondent_Solicitors </w:instrText>
            </w:r>
            <w:r>
              <w:rPr>
                <w:b/>
                <w:bCs/>
                <w:lang w:eastAsia="en-US"/>
              </w:rPr>
              <w:fldChar w:fldCharType="separate"/>
            </w:r>
            <w:r>
              <w:rPr>
                <w:b/>
                <w:bCs/>
                <w:lang w:eastAsia="en-US"/>
              </w:rPr>
              <w:t>Mr B Dube</w:t>
            </w:r>
          </w:p>
          <w:p w:rsidR="007D4180" w:rsidRPr="00771CAC" w:rsidRDefault="007D4180" w:rsidP="007D4180">
            <w:pPr>
              <w:pStyle w:val="NoSpacing"/>
              <w:rPr>
                <w:b/>
                <w:bCs/>
                <w:lang w:eastAsia="en-US"/>
              </w:rPr>
            </w:pPr>
            <w:r>
              <w:rPr>
                <w:b/>
                <w:bCs/>
                <w:lang w:eastAsia="en-US"/>
              </w:rPr>
              <w:t>Sparke Helmore Lawyers</w:t>
            </w:r>
            <w:r>
              <w:rPr>
                <w:b/>
                <w:bCs/>
                <w:lang w:eastAsia="en-US"/>
              </w:rPr>
              <w:fldChar w:fldCharType="end"/>
            </w:r>
          </w:p>
        </w:tc>
      </w:tr>
      <w:tr w:rsidR="007D4180" w:rsidRPr="00BC2D09" w:rsidTr="008779DE">
        <w:trPr>
          <w:trHeight w:val="567"/>
        </w:trPr>
        <w:tc>
          <w:tcPr>
            <w:tcW w:w="3510" w:type="dxa"/>
          </w:tcPr>
          <w:p w:rsidR="007D4180" w:rsidRDefault="007D4180" w:rsidP="008779DE">
            <w:pPr>
              <w:pStyle w:val="NoSpacing"/>
              <w:rPr>
                <w:lang w:eastAsia="en-US"/>
              </w:rPr>
            </w:pPr>
            <w:bookmarkStart w:id="15" w:name="Joined_Solicitors"/>
            <w:bookmarkEnd w:id="15"/>
          </w:p>
        </w:tc>
        <w:tc>
          <w:tcPr>
            <w:tcW w:w="5279" w:type="dxa"/>
          </w:tcPr>
          <w:p w:rsidR="007D4180" w:rsidRPr="00771CAC" w:rsidRDefault="007D4180" w:rsidP="008779DE">
            <w:pPr>
              <w:pStyle w:val="NoSpacing"/>
              <w:rPr>
                <w:b/>
                <w:bCs/>
                <w:lang w:eastAsia="en-US"/>
              </w:rPr>
            </w:pPr>
          </w:p>
        </w:tc>
      </w:tr>
    </w:tbl>
    <w:p w:rsidR="003E5564" w:rsidRDefault="003E5564" w:rsidP="003E5564"/>
    <w:p w:rsidR="003E5564" w:rsidRPr="003B45B5" w:rsidRDefault="003E5564" w:rsidP="003E5564">
      <w:pPr>
        <w:spacing w:before="0" w:line="240" w:lineRule="auto"/>
        <w:jc w:val="left"/>
      </w:pPr>
    </w:p>
    <w:sectPr w:rsidR="003E5564" w:rsidRPr="003B45B5" w:rsidSect="00531AA1">
      <w:headerReference w:type="even" r:id="rId9"/>
      <w:footerReference w:type="default" r:id="rId10"/>
      <w:headerReference w:type="first" r:id="rId11"/>
      <w:footerReference w:type="first" r:id="rId12"/>
      <w:type w:val="continuous"/>
      <w:pgSz w:w="11907" w:h="16834" w:code="9"/>
      <w:pgMar w:top="1758" w:right="1134" w:bottom="1758" w:left="2155" w:header="567" w:footer="17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239" w:rsidRDefault="001B1239">
      <w:r>
        <w:separator/>
      </w:r>
    </w:p>
    <w:p w:rsidR="001B1239" w:rsidRDefault="001B1239"/>
  </w:endnote>
  <w:endnote w:type="continuationSeparator" w:id="0">
    <w:p w:rsidR="001B1239" w:rsidRDefault="001B1239">
      <w:r>
        <w:continuationSeparator/>
      </w:r>
    </w:p>
    <w:p w:rsidR="001B1239" w:rsidRDefault="001B12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5E0F42" w:rsidRPr="006F16E0" w:rsidTr="00E53225">
      <w:tc>
        <w:tcPr>
          <w:tcW w:w="1447" w:type="dxa"/>
          <w:tcBorders>
            <w:right w:val="single" w:sz="4" w:space="0" w:color="auto"/>
          </w:tcBorders>
          <w:vAlign w:val="center"/>
        </w:tcPr>
        <w:p w:rsidR="005E0F42" w:rsidRPr="006F16E0" w:rsidRDefault="005E0F42" w:rsidP="006F16E0">
          <w:pPr>
            <w:pStyle w:val="Footer"/>
          </w:pPr>
          <w:r>
            <w:t xml:space="preserve">Page </w:t>
          </w:r>
          <w:r>
            <w:fldChar w:fldCharType="begin"/>
          </w:r>
          <w:r>
            <w:instrText xml:space="preserve"> PAGE  \* Arabic </w:instrText>
          </w:r>
          <w:r>
            <w:fldChar w:fldCharType="separate"/>
          </w:r>
          <w:r w:rsidR="00773057">
            <w:rPr>
              <w:noProof/>
            </w:rPr>
            <w:t>10</w:t>
          </w:r>
          <w:r>
            <w:fldChar w:fldCharType="end"/>
          </w:r>
          <w:r>
            <w:t xml:space="preserve"> of </w:t>
          </w:r>
          <w:r w:rsidR="00773057">
            <w:fldChar w:fldCharType="begin"/>
          </w:r>
          <w:r w:rsidR="00773057">
            <w:instrText xml:space="preserve"> NUMPAGES  \* Arabic </w:instrText>
          </w:r>
          <w:r w:rsidR="00773057">
            <w:fldChar w:fldCharType="separate"/>
          </w:r>
          <w:r w:rsidR="00773057">
            <w:rPr>
              <w:noProof/>
            </w:rPr>
            <w:t>10</w:t>
          </w:r>
          <w:r w:rsidR="00773057">
            <w:rPr>
              <w:noProof/>
            </w:rPr>
            <w:fldChar w:fldCharType="end"/>
          </w:r>
        </w:p>
      </w:tc>
      <w:tc>
        <w:tcPr>
          <w:tcW w:w="8763" w:type="dxa"/>
          <w:tcBorders>
            <w:left w:val="single" w:sz="4" w:space="0" w:color="auto"/>
          </w:tcBorders>
          <w:vAlign w:val="center"/>
        </w:tcPr>
        <w:p w:rsidR="005E0F42" w:rsidRPr="006F16E0" w:rsidRDefault="005E0F42" w:rsidP="006F16E0">
          <w:pPr>
            <w:pStyle w:val="Footer"/>
          </w:pPr>
        </w:p>
      </w:tc>
    </w:tr>
  </w:tbl>
  <w:p w:rsidR="005E0F42" w:rsidRDefault="005E0F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5E0F42" w:rsidTr="00C756F8">
      <w:tc>
        <w:tcPr>
          <w:tcW w:w="1447" w:type="dxa"/>
          <w:tcBorders>
            <w:right w:val="single" w:sz="4" w:space="0" w:color="auto"/>
          </w:tcBorders>
          <w:vAlign w:val="center"/>
        </w:tcPr>
        <w:p w:rsidR="005E0F42" w:rsidRDefault="005E0F42" w:rsidP="005D5DF5">
          <w:pPr>
            <w:pStyle w:val="FooterPage1"/>
          </w:pPr>
        </w:p>
      </w:tc>
      <w:tc>
        <w:tcPr>
          <w:tcW w:w="8763" w:type="dxa"/>
          <w:tcBorders>
            <w:left w:val="single" w:sz="4" w:space="0" w:color="auto"/>
          </w:tcBorders>
          <w:tcMar>
            <w:left w:w="85" w:type="dxa"/>
          </w:tcMar>
          <w:vAlign w:val="center"/>
        </w:tcPr>
        <w:p w:rsidR="005E0F42" w:rsidRDefault="005E0F42" w:rsidP="001F5B29">
          <w:pPr>
            <w:pStyle w:val="FooterPage1"/>
          </w:pPr>
          <w:r>
            <w:t>© Commonwealth of Australia 201</w:t>
          </w:r>
          <w:r w:rsidR="001F5B29">
            <w:t>4</w:t>
          </w:r>
        </w:p>
      </w:tc>
    </w:tr>
  </w:tbl>
  <w:p w:rsidR="005E0F42" w:rsidRDefault="005E0F42">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239" w:rsidRDefault="001B1239">
      <w:r>
        <w:separator/>
      </w:r>
    </w:p>
  </w:footnote>
  <w:footnote w:type="continuationSeparator" w:id="0">
    <w:p w:rsidR="001B1239" w:rsidRDefault="001B1239">
      <w:r>
        <w:continuationSeparator/>
      </w:r>
    </w:p>
    <w:p w:rsidR="001B1239" w:rsidRDefault="001B1239"/>
  </w:footnote>
  <w:footnote w:id="1">
    <w:p w:rsidR="00281997" w:rsidRDefault="00281997">
      <w:pPr>
        <w:pStyle w:val="FootnoteText"/>
      </w:pPr>
      <w:r>
        <w:rPr>
          <w:rStyle w:val="FootnoteReference"/>
        </w:rPr>
        <w:footnoteRef/>
      </w:r>
      <w:r>
        <w:t xml:space="preserve"> A MET is a unit of measurement of physical exertion.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F42" w:rsidRDefault="005E0F42">
    <w:pPr>
      <w:framePr w:wrap="around" w:vAnchor="text" w:hAnchor="margin" w:xAlign="center" w:y="1"/>
      <w:numPr>
        <w:ilvl w:val="12"/>
        <w:numId w:val="0"/>
      </w:numPr>
      <w:ind w:hanging="851"/>
    </w:pPr>
    <w:r>
      <w:fldChar w:fldCharType="begin"/>
    </w:r>
    <w:r>
      <w:instrText xml:space="preserve">PAGE  </w:instrText>
    </w:r>
    <w:r>
      <w:fldChar w:fldCharType="end"/>
    </w:r>
  </w:p>
  <w:p w:rsidR="005E0F42" w:rsidRDefault="005E0F42">
    <w:pPr>
      <w:numPr>
        <w:ilvl w:val="12"/>
        <w:numId w:val="0"/>
      </w:numPr>
      <w:ind w:hanging="851"/>
    </w:pPr>
  </w:p>
  <w:p w:rsidR="005E0F42" w:rsidRDefault="005E0F4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634"/>
      <w:gridCol w:w="3969"/>
    </w:tblGrid>
    <w:tr w:rsidR="005E0F42" w:rsidTr="00DD17FC">
      <w:trPr>
        <w:trHeight w:hRule="exact" w:val="1361"/>
      </w:trPr>
      <w:tc>
        <w:tcPr>
          <w:tcW w:w="6634" w:type="dxa"/>
          <w:vAlign w:val="bottom"/>
        </w:tcPr>
        <w:p w:rsidR="005E0F42" w:rsidRDefault="005E0F42">
          <w:pPr>
            <w:numPr>
              <w:ilvl w:val="12"/>
              <w:numId w:val="0"/>
            </w:numPr>
          </w:pPr>
          <w:r>
            <w:rPr>
              <w:noProof/>
            </w:rPr>
            <w:drawing>
              <wp:inline distT="0" distB="0" distL="0" distR="0" wp14:anchorId="2671C374" wp14:editId="75640989">
                <wp:extent cx="2447925" cy="576580"/>
                <wp:effectExtent l="0" t="0" r="9525" b="0"/>
                <wp:docPr id="1" name="Picture 1" descr="AAT-Presidents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T-Presidents BLAC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47925" cy="576580"/>
                        </a:xfrm>
                        <a:prstGeom prst="rect">
                          <a:avLst/>
                        </a:prstGeom>
                        <a:noFill/>
                        <a:ln>
                          <a:noFill/>
                        </a:ln>
                      </pic:spPr>
                    </pic:pic>
                  </a:graphicData>
                </a:graphic>
              </wp:inline>
            </w:drawing>
          </w:r>
        </w:p>
      </w:tc>
      <w:tc>
        <w:tcPr>
          <w:tcW w:w="3969" w:type="dxa"/>
          <w:vAlign w:val="bottom"/>
        </w:tcPr>
        <w:p w:rsidR="005E0F42" w:rsidRDefault="005E0F42" w:rsidP="005976AB">
          <w:pPr>
            <w:numPr>
              <w:ilvl w:val="12"/>
              <w:numId w:val="0"/>
            </w:numPr>
            <w:jc w:val="right"/>
          </w:pPr>
          <w:r>
            <w:rPr>
              <w:noProof/>
            </w:rPr>
            <w:drawing>
              <wp:inline distT="0" distB="0" distL="0" distR="0" wp14:anchorId="19CEC927" wp14:editId="2D07A4BA">
                <wp:extent cx="2145600" cy="313200"/>
                <wp:effectExtent l="0" t="0" r="7620" b="0"/>
                <wp:docPr id="5" name="Picture 5" descr="Decisions&amp;Reas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cisions&amp;Reasons"/>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45600" cy="313200"/>
                        </a:xfrm>
                        <a:prstGeom prst="rect">
                          <a:avLst/>
                        </a:prstGeom>
                        <a:noFill/>
                        <a:ln>
                          <a:noFill/>
                        </a:ln>
                      </pic:spPr>
                    </pic:pic>
                  </a:graphicData>
                </a:graphic>
              </wp:inline>
            </w:drawing>
          </w:r>
        </w:p>
      </w:tc>
    </w:tr>
  </w:tbl>
  <w:p w:rsidR="005E0F42" w:rsidRDefault="005E0F42" w:rsidP="00DD17FC">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A77AA538"/>
    <w:lvl w:ilvl="0">
      <w:start w:val="1"/>
      <w:numFmt w:val="lowerRoman"/>
      <w:lvlText w:val="(%1)"/>
      <w:lvlJc w:val="left"/>
      <w:pPr>
        <w:ind w:left="2203" w:hanging="360"/>
      </w:pPr>
      <w:rPr>
        <w:rFonts w:ascii="Times New Roman" w:hAnsi="Times New Roman" w:hint="default"/>
        <w:b w:val="0"/>
        <w:i w:val="0"/>
        <w:color w:val="auto"/>
        <w:kern w:val="0"/>
        <w:sz w:val="24"/>
      </w:rPr>
    </w:lvl>
  </w:abstractNum>
  <w:abstractNum w:abstractNumId="1">
    <w:nsid w:val="FFFFFF7F"/>
    <w:multiLevelType w:val="singleLevel"/>
    <w:tmpl w:val="BCA207A6"/>
    <w:lvl w:ilvl="0">
      <w:start w:val="1"/>
      <w:numFmt w:val="lowerLetter"/>
      <w:lvlText w:val="(%1)"/>
      <w:lvlJc w:val="left"/>
      <w:pPr>
        <w:ind w:left="1636" w:hanging="360"/>
      </w:pPr>
      <w:rPr>
        <w:rFonts w:ascii="Times New Roman" w:hAnsi="Times New Roman" w:hint="default"/>
        <w:b w:val="0"/>
        <w:i w:val="0"/>
        <w:color w:val="auto"/>
        <w:kern w:val="0"/>
        <w:sz w:val="24"/>
      </w:rPr>
    </w:lvl>
  </w:abstractNum>
  <w:abstractNum w:abstractNumId="2">
    <w:nsid w:val="FFFFFF83"/>
    <w:multiLevelType w:val="singleLevel"/>
    <w:tmpl w:val="6D62A518"/>
    <w:lvl w:ilvl="0">
      <w:start w:val="1"/>
      <w:numFmt w:val="bullet"/>
      <w:lvlText w:val="-"/>
      <w:lvlJc w:val="left"/>
      <w:pPr>
        <w:ind w:left="814" w:hanging="360"/>
      </w:pPr>
      <w:rPr>
        <w:rFonts w:ascii="Arial" w:hAnsi="Arial" w:hint="default"/>
        <w:color w:val="auto"/>
      </w:rPr>
    </w:lvl>
  </w:abstractNum>
  <w:abstractNum w:abstractNumId="3">
    <w:nsid w:val="FFFFFF88"/>
    <w:multiLevelType w:val="singleLevel"/>
    <w:tmpl w:val="445CE29A"/>
    <w:lvl w:ilvl="0">
      <w:start w:val="1"/>
      <w:numFmt w:val="decimal"/>
      <w:lvlText w:val="%1."/>
      <w:lvlJc w:val="left"/>
      <w:pPr>
        <w:ind w:left="-349" w:hanging="360"/>
      </w:pPr>
      <w:rPr>
        <w:rFonts w:ascii="Times New Roman" w:hAnsi="Times New Roman" w:hint="default"/>
        <w:b w:val="0"/>
        <w:i w:val="0"/>
        <w:color w:val="auto"/>
        <w:kern w:val="0"/>
        <w:sz w:val="24"/>
        <w:u w:val="none"/>
      </w:rPr>
    </w:lvl>
  </w:abstractNum>
  <w:abstractNum w:abstractNumId="4">
    <w:nsid w:val="FFFFFF89"/>
    <w:multiLevelType w:val="singleLevel"/>
    <w:tmpl w:val="BF2CABE6"/>
    <w:lvl w:ilvl="0">
      <w:start w:val="1"/>
      <w:numFmt w:val="bullet"/>
      <w:lvlText w:val=""/>
      <w:lvlJc w:val="left"/>
      <w:pPr>
        <w:tabs>
          <w:tab w:val="num" w:pos="454"/>
        </w:tabs>
        <w:ind w:left="454" w:hanging="454"/>
      </w:pPr>
      <w:rPr>
        <w:rFonts w:ascii="Symbol" w:hAnsi="Symbol" w:hint="default"/>
        <w:color w:val="auto"/>
      </w:rPr>
    </w:lvl>
  </w:abstractNum>
  <w:abstractNum w:abstractNumId="5">
    <w:nsid w:val="009C04F5"/>
    <w:multiLevelType w:val="multilevel"/>
    <w:tmpl w:val="2160D004"/>
    <w:numStyleLink w:val="Bullets"/>
  </w:abstractNum>
  <w:abstractNum w:abstractNumId="6">
    <w:nsid w:val="098C6666"/>
    <w:multiLevelType w:val="multilevel"/>
    <w:tmpl w:val="2160D004"/>
    <w:numStyleLink w:val="Bullets"/>
  </w:abstractNum>
  <w:abstractNum w:abstractNumId="7">
    <w:nsid w:val="0D164084"/>
    <w:multiLevelType w:val="multilevel"/>
    <w:tmpl w:val="41AE35B0"/>
    <w:styleLink w:val="ListNumbers"/>
    <w:lvl w:ilvl="0">
      <w:start w:val="1"/>
      <w:numFmt w:val="decimal"/>
      <w:pStyle w:val="ListNumber"/>
      <w:lvlText w:val="%1."/>
      <w:lvlJc w:val="left"/>
      <w:pPr>
        <w:tabs>
          <w:tab w:val="num" w:pos="0"/>
        </w:tabs>
        <w:ind w:left="0" w:hanging="709"/>
      </w:pPr>
      <w:rPr>
        <w:rFonts w:hint="default"/>
      </w:rPr>
    </w:lvl>
    <w:lvl w:ilvl="1">
      <w:start w:val="1"/>
      <w:numFmt w:val="lowerLetter"/>
      <w:lvlRestart w:val="0"/>
      <w:pStyle w:val="ListNumber2"/>
      <w:lvlText w:val="(%2)"/>
      <w:lvlJc w:val="left"/>
      <w:pPr>
        <w:tabs>
          <w:tab w:val="num" w:pos="709"/>
        </w:tabs>
        <w:ind w:left="709" w:hanging="709"/>
      </w:pPr>
      <w:rPr>
        <w:rFonts w:hint="default"/>
      </w:rPr>
    </w:lvl>
    <w:lvl w:ilvl="2">
      <w:start w:val="1"/>
      <w:numFmt w:val="lowerRoman"/>
      <w:lvlRestart w:val="0"/>
      <w:pStyle w:val="ListNumber3"/>
      <w:lvlText w:val="(%3)"/>
      <w:lvlJc w:val="left"/>
      <w:pPr>
        <w:tabs>
          <w:tab w:val="num" w:pos="1418"/>
        </w:tabs>
        <w:ind w:left="1418" w:hanging="709"/>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nsid w:val="133332D4"/>
    <w:multiLevelType w:val="multilevel"/>
    <w:tmpl w:val="385C9686"/>
    <w:lvl w:ilvl="0">
      <w:start w:val="1"/>
      <w:numFmt w:val="none"/>
      <w:lvlText w:val=""/>
      <w:lvlJc w:val="left"/>
      <w:pPr>
        <w:ind w:left="709" w:firstLine="0"/>
      </w:pPr>
      <w:rPr>
        <w:rFonts w:hint="default"/>
      </w:rPr>
    </w:lvl>
    <w:lvl w:ilvl="1">
      <w:start w:val="1"/>
      <w:numFmt w:val="decimal"/>
      <w:lvlText w:val="%2"/>
      <w:lvlJc w:val="left"/>
      <w:pPr>
        <w:tabs>
          <w:tab w:val="num" w:pos="1276"/>
        </w:tabs>
        <w:ind w:left="1276" w:hanging="567"/>
      </w:pPr>
      <w:rPr>
        <w:rFonts w:hint="default"/>
      </w:rPr>
    </w:lvl>
    <w:lvl w:ilvl="2">
      <w:start w:val="1"/>
      <w:numFmt w:val="lowerLetter"/>
      <w:lvlText w:val="(%3)"/>
      <w:lvlJc w:val="left"/>
      <w:pPr>
        <w:tabs>
          <w:tab w:val="num" w:pos="1843"/>
        </w:tabs>
        <w:ind w:left="1843" w:hanging="567"/>
      </w:pPr>
      <w:rPr>
        <w:rFonts w:hint="default"/>
      </w:rPr>
    </w:lvl>
    <w:lvl w:ilvl="3">
      <w:start w:val="1"/>
      <w:numFmt w:val="lowerRoman"/>
      <w:lvlText w:val="(%4)"/>
      <w:lvlJc w:val="left"/>
      <w:pPr>
        <w:tabs>
          <w:tab w:val="num" w:pos="2410"/>
        </w:tabs>
        <w:ind w:left="2410"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nsid w:val="141511BA"/>
    <w:multiLevelType w:val="multilevel"/>
    <w:tmpl w:val="0C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41D59FD"/>
    <w:multiLevelType w:val="multilevel"/>
    <w:tmpl w:val="90C8DE90"/>
    <w:lvl w:ilvl="0">
      <w:start w:val="1"/>
      <w:numFmt w:val="decimal"/>
      <w:lvlText w:val="%1."/>
      <w:lvlJc w:val="left"/>
      <w:pPr>
        <w:tabs>
          <w:tab w:val="num" w:pos="709"/>
        </w:tabs>
        <w:ind w:left="709" w:hanging="709"/>
      </w:pPr>
    </w:lvl>
    <w:lvl w:ilvl="1">
      <w:start w:val="1"/>
      <w:numFmt w:val="lowerLetter"/>
      <w:lvlText w:val="(%2)"/>
      <w:lvlJc w:val="left"/>
      <w:pPr>
        <w:tabs>
          <w:tab w:val="num" w:pos="1588"/>
        </w:tabs>
        <w:ind w:left="1588" w:hanging="879"/>
      </w:pPr>
    </w:lvl>
    <w:lvl w:ilvl="2">
      <w:start w:val="1"/>
      <w:numFmt w:val="lowerRoman"/>
      <w:lvlText w:val="(%3)"/>
      <w:lvlJc w:val="left"/>
      <w:pPr>
        <w:tabs>
          <w:tab w:val="num" w:pos="2211"/>
        </w:tabs>
        <w:ind w:left="2211" w:hanging="793"/>
      </w:pPr>
    </w:lvl>
    <w:lvl w:ilvl="3">
      <w:start w:val="1"/>
      <w:numFmt w:val="lowerLetter"/>
      <w:lvlText w:val="(%4)"/>
      <w:lvlJc w:val="left"/>
      <w:pPr>
        <w:tabs>
          <w:tab w:val="num" w:pos="3119"/>
        </w:tabs>
        <w:ind w:left="3119" w:hanging="993"/>
      </w:pPr>
    </w:lvl>
    <w:lvl w:ilvl="4">
      <w:start w:val="1"/>
      <w:numFmt w:val="lowerRoman"/>
      <w:lvlText w:val="(%5)"/>
      <w:lvlJc w:val="left"/>
      <w:pPr>
        <w:tabs>
          <w:tab w:val="num" w:pos="3742"/>
        </w:tabs>
        <w:ind w:left="3742" w:hanging="907"/>
      </w:pPr>
    </w:lvl>
    <w:lvl w:ilvl="5">
      <w:start w:val="1"/>
      <w:numFmt w:val="lowerLetter"/>
      <w:lvlText w:val="(%6)"/>
      <w:lvlJc w:val="left"/>
      <w:pPr>
        <w:tabs>
          <w:tab w:val="num" w:pos="4593"/>
        </w:tabs>
        <w:ind w:left="4593" w:hanging="1049"/>
      </w:pPr>
    </w:lvl>
    <w:lvl w:ilvl="6">
      <w:start w:val="1"/>
      <w:numFmt w:val="lowerRoman"/>
      <w:lvlText w:val="(%7)"/>
      <w:lvlJc w:val="left"/>
      <w:pPr>
        <w:tabs>
          <w:tab w:val="num" w:pos="5046"/>
        </w:tabs>
        <w:ind w:left="5046" w:hanging="793"/>
      </w:pPr>
    </w:lvl>
    <w:lvl w:ilvl="7">
      <w:start w:val="1"/>
      <w:numFmt w:val="lowerLetter"/>
      <w:lvlText w:val="(%8)"/>
      <w:lvlJc w:val="left"/>
      <w:pPr>
        <w:tabs>
          <w:tab w:val="num" w:pos="6010"/>
        </w:tabs>
        <w:ind w:left="6010" w:hanging="1049"/>
      </w:pPr>
    </w:lvl>
    <w:lvl w:ilvl="8">
      <w:start w:val="1"/>
      <w:numFmt w:val="lowerRoman"/>
      <w:lvlText w:val="(%9)"/>
      <w:lvlJc w:val="left"/>
      <w:pPr>
        <w:tabs>
          <w:tab w:val="num" w:pos="6577"/>
        </w:tabs>
        <w:ind w:left="6577" w:hanging="907"/>
      </w:pPr>
    </w:lvl>
  </w:abstractNum>
  <w:abstractNum w:abstractNumId="11">
    <w:nsid w:val="1D6B378B"/>
    <w:multiLevelType w:val="multilevel"/>
    <w:tmpl w:val="C38441E4"/>
    <w:numStyleLink w:val="Quotes"/>
  </w:abstractNum>
  <w:abstractNum w:abstractNumId="12">
    <w:nsid w:val="2D8E4DEF"/>
    <w:multiLevelType w:val="multilevel"/>
    <w:tmpl w:val="C38441E4"/>
    <w:styleLink w:val="Quotes"/>
    <w:lvl w:ilvl="0">
      <w:start w:val="1"/>
      <w:numFmt w:val="decimal"/>
      <w:pStyle w:val="NumberedQuote2"/>
      <w:lvlText w:val="%1"/>
      <w:lvlJc w:val="left"/>
      <w:pPr>
        <w:tabs>
          <w:tab w:val="num" w:pos="1276"/>
        </w:tabs>
        <w:ind w:left="1276" w:hanging="567"/>
      </w:pPr>
      <w:rPr>
        <w:rFonts w:hint="default"/>
      </w:rPr>
    </w:lvl>
    <w:lvl w:ilvl="1">
      <w:start w:val="1"/>
      <w:numFmt w:val="lowerLetter"/>
      <w:pStyle w:val="NumberedQuote3"/>
      <w:lvlText w:val="(%2)"/>
      <w:lvlJc w:val="left"/>
      <w:pPr>
        <w:tabs>
          <w:tab w:val="num" w:pos="1843"/>
        </w:tabs>
        <w:ind w:left="1843" w:hanging="567"/>
      </w:pPr>
      <w:rPr>
        <w:rFonts w:hint="default"/>
      </w:rPr>
    </w:lvl>
    <w:lvl w:ilvl="2">
      <w:start w:val="1"/>
      <w:numFmt w:val="lowerRoman"/>
      <w:pStyle w:val="NumberedQuote4"/>
      <w:lvlText w:val="(%3)"/>
      <w:lvlJc w:val="left"/>
      <w:pPr>
        <w:tabs>
          <w:tab w:val="num" w:pos="2410"/>
        </w:tabs>
        <w:ind w:left="2410" w:hanging="567"/>
      </w:pPr>
      <w:rPr>
        <w:rFonts w:hint="default"/>
      </w:rPr>
    </w:lvl>
    <w:lvl w:ilvl="3">
      <w:start w:val="1"/>
      <w:numFmt w:val="none"/>
      <w:lvlText w:val=""/>
      <w:lvlJc w:val="left"/>
      <w:pPr>
        <w:tabs>
          <w:tab w:val="num" w:pos="2410"/>
        </w:tabs>
        <w:ind w:left="2410"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nsid w:val="2DCE73BB"/>
    <w:multiLevelType w:val="multilevel"/>
    <w:tmpl w:val="41AE35B0"/>
    <w:numStyleLink w:val="ListNumbers"/>
  </w:abstractNum>
  <w:abstractNum w:abstractNumId="14">
    <w:nsid w:val="387A585C"/>
    <w:multiLevelType w:val="multilevel"/>
    <w:tmpl w:val="0C09001D"/>
    <w:styleLink w:val="Style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C95644A"/>
    <w:multiLevelType w:val="multilevel"/>
    <w:tmpl w:val="2160D004"/>
    <w:styleLink w:val="Bullets"/>
    <w:lvl w:ilvl="0">
      <w:start w:val="1"/>
      <w:numFmt w:val="bullet"/>
      <w:pStyle w:val="ListBullet"/>
      <w:lvlText w:val=""/>
      <w:lvlJc w:val="left"/>
      <w:pPr>
        <w:tabs>
          <w:tab w:val="num" w:pos="1276"/>
        </w:tabs>
        <w:ind w:left="709" w:hanging="709"/>
      </w:pPr>
      <w:rPr>
        <w:rFonts w:ascii="Symbol" w:hAnsi="Symbol" w:hint="default"/>
        <w:b w:val="0"/>
        <w:i w:val="0"/>
        <w:color w:val="auto"/>
        <w:sz w:val="24"/>
      </w:rPr>
    </w:lvl>
    <w:lvl w:ilvl="1">
      <w:start w:val="1"/>
      <w:numFmt w:val="bullet"/>
      <w:lvlRestart w:val="0"/>
      <w:pStyle w:val="ListBullet2"/>
      <w:lvlText w:val="o"/>
      <w:lvlJc w:val="left"/>
      <w:pPr>
        <w:tabs>
          <w:tab w:val="num" w:pos="1843"/>
        </w:tabs>
        <w:ind w:left="1418" w:hanging="709"/>
      </w:pPr>
      <w:rPr>
        <w:rFonts w:ascii="Courier New" w:hAnsi="Courier New" w:hint="default"/>
        <w:color w:val="auto"/>
      </w:rPr>
    </w:lvl>
    <w:lvl w:ilvl="2">
      <w:start w:val="1"/>
      <w:numFmt w:val="bullet"/>
      <w:lvlRestart w:val="0"/>
      <w:lvlText w:val=""/>
      <w:lvlJc w:val="left"/>
      <w:pPr>
        <w:tabs>
          <w:tab w:val="num" w:pos="2410"/>
        </w:tabs>
        <w:ind w:left="2410" w:hanging="567"/>
      </w:pPr>
      <w:rPr>
        <w:rFonts w:ascii="Symbol" w:hAnsi="Symbol" w:hint="default"/>
        <w:color w:val="auto"/>
      </w:rPr>
    </w:lvl>
    <w:lvl w:ilvl="3">
      <w:start w:val="1"/>
      <w:numFmt w:val="bullet"/>
      <w:lvlRestart w:val="0"/>
      <w:lvlText w:val=""/>
      <w:lvlJc w:val="left"/>
      <w:pPr>
        <w:tabs>
          <w:tab w:val="num" w:pos="2977"/>
        </w:tabs>
        <w:ind w:left="2977" w:hanging="567"/>
      </w:pPr>
      <w:rPr>
        <w:rFonts w:ascii="Symbol" w:hAnsi="Symbol" w:hint="default"/>
        <w:color w:val="auto"/>
      </w:rPr>
    </w:lvl>
    <w:lvl w:ilvl="4">
      <w:start w:val="1"/>
      <w:numFmt w:val="bullet"/>
      <w:lvlRestart w:val="0"/>
      <w:lvlText w:val=""/>
      <w:lvlJc w:val="left"/>
      <w:pPr>
        <w:tabs>
          <w:tab w:val="num" w:pos="3544"/>
        </w:tabs>
        <w:ind w:left="3544" w:hanging="567"/>
      </w:pPr>
      <w:rPr>
        <w:rFonts w:ascii="Symbol" w:hAnsi="Symbol" w:hint="default"/>
        <w:color w:val="auto"/>
      </w:rPr>
    </w:lvl>
    <w:lvl w:ilvl="5">
      <w:start w:val="1"/>
      <w:numFmt w:val="bullet"/>
      <w:lvlRestart w:val="0"/>
      <w:lvlText w:val=""/>
      <w:lvlJc w:val="left"/>
      <w:pPr>
        <w:tabs>
          <w:tab w:val="num" w:pos="4111"/>
        </w:tabs>
        <w:ind w:left="4111" w:hanging="567"/>
      </w:pPr>
      <w:rPr>
        <w:rFonts w:ascii="Symbol" w:hAnsi="Symbol" w:hint="default"/>
        <w:color w:val="auto"/>
      </w:rPr>
    </w:lvl>
    <w:lvl w:ilvl="6">
      <w:start w:val="1"/>
      <w:numFmt w:val="bullet"/>
      <w:lvlRestart w:val="0"/>
      <w:lvlText w:val=""/>
      <w:lvlJc w:val="left"/>
      <w:pPr>
        <w:tabs>
          <w:tab w:val="num" w:pos="4678"/>
        </w:tabs>
        <w:ind w:left="4678" w:hanging="567"/>
      </w:pPr>
      <w:rPr>
        <w:rFonts w:ascii="Symbol" w:hAnsi="Symbol" w:hint="default"/>
        <w:color w:val="auto"/>
      </w:rPr>
    </w:lvl>
    <w:lvl w:ilvl="7">
      <w:start w:val="1"/>
      <w:numFmt w:val="bullet"/>
      <w:lvlRestart w:val="0"/>
      <w:lvlText w:val=""/>
      <w:lvlJc w:val="left"/>
      <w:pPr>
        <w:tabs>
          <w:tab w:val="num" w:pos="5245"/>
        </w:tabs>
        <w:ind w:left="5245" w:hanging="567"/>
      </w:pPr>
      <w:rPr>
        <w:rFonts w:ascii="Symbol" w:hAnsi="Symbol" w:hint="default"/>
        <w:color w:val="auto"/>
      </w:rPr>
    </w:lvl>
    <w:lvl w:ilvl="8">
      <w:start w:val="1"/>
      <w:numFmt w:val="bullet"/>
      <w:lvlRestart w:val="0"/>
      <w:lvlText w:val=""/>
      <w:lvlJc w:val="left"/>
      <w:pPr>
        <w:tabs>
          <w:tab w:val="num" w:pos="5812"/>
        </w:tabs>
        <w:ind w:left="5812" w:hanging="567"/>
      </w:pPr>
      <w:rPr>
        <w:rFonts w:ascii="Symbol" w:hAnsi="Symbol" w:hint="default"/>
        <w:color w:val="auto"/>
      </w:rPr>
    </w:lvl>
  </w:abstractNum>
  <w:abstractNum w:abstractNumId="16">
    <w:nsid w:val="495036ED"/>
    <w:multiLevelType w:val="multilevel"/>
    <w:tmpl w:val="C38441E4"/>
    <w:numStyleLink w:val="Quotes"/>
  </w:abstractNum>
  <w:abstractNum w:abstractNumId="17">
    <w:nsid w:val="4C4E0F41"/>
    <w:multiLevelType w:val="hybridMultilevel"/>
    <w:tmpl w:val="C888B2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0FB74C1"/>
    <w:multiLevelType w:val="hybridMultilevel"/>
    <w:tmpl w:val="EB90778E"/>
    <w:lvl w:ilvl="0" w:tplc="D91245E6">
      <w:start w:val="1"/>
      <w:numFmt w:val="bullet"/>
      <w:lvlText w:val=""/>
      <w:lvlJc w:val="left"/>
      <w:pPr>
        <w:ind w:left="11" w:hanging="360"/>
      </w:pPr>
      <w:rPr>
        <w:rFonts w:ascii="Symbol" w:hAnsi="Symbol" w:hint="default"/>
      </w:rPr>
    </w:lvl>
    <w:lvl w:ilvl="1" w:tplc="0C090003" w:tentative="1">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19">
    <w:nsid w:val="55310AC7"/>
    <w:multiLevelType w:val="multilevel"/>
    <w:tmpl w:val="2160D004"/>
    <w:numStyleLink w:val="Bullets"/>
  </w:abstractNum>
  <w:abstractNum w:abstractNumId="20">
    <w:nsid w:val="572D1451"/>
    <w:multiLevelType w:val="multilevel"/>
    <w:tmpl w:val="F0AC8F22"/>
    <w:lvl w:ilvl="0">
      <w:start w:val="1"/>
      <w:numFmt w:val="decimal"/>
      <w:lvlText w:val="%1."/>
      <w:lvlJc w:val="left"/>
      <w:pPr>
        <w:tabs>
          <w:tab w:val="num" w:pos="709"/>
        </w:tabs>
        <w:ind w:left="709" w:hanging="709"/>
      </w:pPr>
    </w:lvl>
    <w:lvl w:ilvl="1">
      <w:start w:val="1"/>
      <w:numFmt w:val="lowerLetter"/>
      <w:lvlText w:val="(%2)"/>
      <w:lvlJc w:val="left"/>
      <w:pPr>
        <w:tabs>
          <w:tab w:val="num" w:pos="1418"/>
        </w:tabs>
        <w:ind w:left="1418" w:hanging="709"/>
      </w:pPr>
    </w:lvl>
    <w:lvl w:ilvl="2">
      <w:start w:val="1"/>
      <w:numFmt w:val="lowerRoman"/>
      <w:lvlText w:val="(%3)"/>
      <w:lvlJc w:val="left"/>
      <w:pPr>
        <w:tabs>
          <w:tab w:val="num" w:pos="2126"/>
        </w:tabs>
        <w:ind w:left="2126" w:hanging="708"/>
      </w:pPr>
    </w:lvl>
    <w:lvl w:ilvl="3">
      <w:start w:val="1"/>
      <w:numFmt w:val="lowerLetter"/>
      <w:lvlText w:val="(%4)"/>
      <w:lvlJc w:val="left"/>
      <w:pPr>
        <w:tabs>
          <w:tab w:val="num" w:pos="2835"/>
        </w:tabs>
        <w:ind w:left="2835" w:hanging="709"/>
      </w:pPr>
    </w:lvl>
    <w:lvl w:ilvl="4">
      <w:start w:val="1"/>
      <w:numFmt w:val="lowerRoman"/>
      <w:lvlText w:val="(%5)"/>
      <w:lvlJc w:val="left"/>
      <w:pPr>
        <w:tabs>
          <w:tab w:val="num" w:pos="3544"/>
        </w:tabs>
        <w:ind w:left="3544" w:hanging="709"/>
      </w:pPr>
    </w:lvl>
    <w:lvl w:ilvl="5">
      <w:start w:val="1"/>
      <w:numFmt w:val="lowerLetter"/>
      <w:lvlText w:val="(%6)"/>
      <w:lvlJc w:val="left"/>
      <w:pPr>
        <w:tabs>
          <w:tab w:val="num" w:pos="4253"/>
        </w:tabs>
        <w:ind w:left="4253" w:hanging="709"/>
      </w:pPr>
    </w:lvl>
    <w:lvl w:ilvl="6">
      <w:start w:val="1"/>
      <w:numFmt w:val="lowerRoman"/>
      <w:lvlText w:val="(%7)"/>
      <w:lvlJc w:val="left"/>
      <w:pPr>
        <w:tabs>
          <w:tab w:val="num" w:pos="4961"/>
        </w:tabs>
        <w:ind w:left="4961" w:hanging="708"/>
      </w:pPr>
    </w:lvl>
    <w:lvl w:ilvl="7">
      <w:start w:val="1"/>
      <w:numFmt w:val="lowerLetter"/>
      <w:lvlText w:val="(%8)"/>
      <w:lvlJc w:val="left"/>
      <w:pPr>
        <w:tabs>
          <w:tab w:val="num" w:pos="5670"/>
        </w:tabs>
        <w:ind w:left="5670" w:hanging="709"/>
      </w:pPr>
    </w:lvl>
    <w:lvl w:ilvl="8">
      <w:start w:val="1"/>
      <w:numFmt w:val="lowerRoman"/>
      <w:lvlText w:val="(%9)"/>
      <w:lvlJc w:val="left"/>
      <w:pPr>
        <w:tabs>
          <w:tab w:val="num" w:pos="6379"/>
        </w:tabs>
        <w:ind w:left="6379" w:hanging="709"/>
      </w:pPr>
    </w:lvl>
  </w:abstractNum>
  <w:abstractNum w:abstractNumId="21">
    <w:nsid w:val="641E12EB"/>
    <w:multiLevelType w:val="multilevel"/>
    <w:tmpl w:val="2160D004"/>
    <w:numStyleLink w:val="Bullets"/>
  </w:abstractNum>
  <w:abstractNum w:abstractNumId="22">
    <w:nsid w:val="6B060E1C"/>
    <w:multiLevelType w:val="multilevel"/>
    <w:tmpl w:val="41AE35B0"/>
    <w:numStyleLink w:val="ListNumbers"/>
  </w:abstractNum>
  <w:abstractNum w:abstractNumId="23">
    <w:nsid w:val="74DC79E0"/>
    <w:multiLevelType w:val="multilevel"/>
    <w:tmpl w:val="2160D004"/>
    <w:numStyleLink w:val="Bullets"/>
  </w:abstractNum>
  <w:abstractNum w:abstractNumId="24">
    <w:nsid w:val="7CAA5662"/>
    <w:multiLevelType w:val="multilevel"/>
    <w:tmpl w:val="29D6533E"/>
    <w:lvl w:ilvl="0">
      <w:start w:val="1"/>
      <w:numFmt w:val="decimal"/>
      <w:lvlText w:val="%1."/>
      <w:lvlJc w:val="left"/>
      <w:pPr>
        <w:tabs>
          <w:tab w:val="num" w:pos="709"/>
        </w:tabs>
        <w:ind w:left="709" w:hanging="709"/>
      </w:pPr>
    </w:lvl>
    <w:lvl w:ilvl="1">
      <w:start w:val="1"/>
      <w:numFmt w:val="lowerLetter"/>
      <w:lvlText w:val="(%2)"/>
      <w:lvlJc w:val="left"/>
      <w:pPr>
        <w:tabs>
          <w:tab w:val="num" w:pos="1418"/>
        </w:tabs>
        <w:ind w:left="1418" w:hanging="709"/>
      </w:pPr>
    </w:lvl>
    <w:lvl w:ilvl="2">
      <w:start w:val="1"/>
      <w:numFmt w:val="lowerRoman"/>
      <w:lvlText w:val="(%3)"/>
      <w:lvlJc w:val="left"/>
      <w:pPr>
        <w:tabs>
          <w:tab w:val="num" w:pos="2126"/>
        </w:tabs>
        <w:ind w:left="2126" w:hanging="708"/>
      </w:pPr>
    </w:lvl>
    <w:lvl w:ilvl="3">
      <w:start w:val="1"/>
      <w:numFmt w:val="lowerLetter"/>
      <w:lvlText w:val="(%4)"/>
      <w:lvlJc w:val="left"/>
      <w:pPr>
        <w:tabs>
          <w:tab w:val="num" w:pos="2835"/>
        </w:tabs>
        <w:ind w:left="2835" w:hanging="709"/>
      </w:pPr>
    </w:lvl>
    <w:lvl w:ilvl="4">
      <w:start w:val="1"/>
      <w:numFmt w:val="lowerRoman"/>
      <w:lvlText w:val="(%5)"/>
      <w:lvlJc w:val="left"/>
      <w:pPr>
        <w:tabs>
          <w:tab w:val="num" w:pos="3544"/>
        </w:tabs>
        <w:ind w:left="3544" w:hanging="709"/>
      </w:pPr>
    </w:lvl>
    <w:lvl w:ilvl="5">
      <w:start w:val="1"/>
      <w:numFmt w:val="lowerLetter"/>
      <w:lvlText w:val="(%6)"/>
      <w:lvlJc w:val="left"/>
      <w:pPr>
        <w:tabs>
          <w:tab w:val="num" w:pos="4253"/>
        </w:tabs>
        <w:ind w:left="4253" w:hanging="709"/>
      </w:pPr>
    </w:lvl>
    <w:lvl w:ilvl="6">
      <w:start w:val="1"/>
      <w:numFmt w:val="lowerRoman"/>
      <w:lvlText w:val="(%7)"/>
      <w:lvlJc w:val="left"/>
      <w:pPr>
        <w:tabs>
          <w:tab w:val="num" w:pos="4961"/>
        </w:tabs>
        <w:ind w:left="4961" w:hanging="708"/>
      </w:pPr>
    </w:lvl>
    <w:lvl w:ilvl="7">
      <w:start w:val="1"/>
      <w:numFmt w:val="lowerLetter"/>
      <w:lvlText w:val="(%8)"/>
      <w:lvlJc w:val="left"/>
      <w:pPr>
        <w:tabs>
          <w:tab w:val="num" w:pos="5670"/>
        </w:tabs>
        <w:ind w:left="5670" w:hanging="709"/>
      </w:pPr>
    </w:lvl>
    <w:lvl w:ilvl="8">
      <w:start w:val="1"/>
      <w:numFmt w:val="lowerRoman"/>
      <w:lvlText w:val="(%9)"/>
      <w:lvlJc w:val="left"/>
      <w:pPr>
        <w:tabs>
          <w:tab w:val="num" w:pos="6379"/>
        </w:tabs>
        <w:ind w:left="6379" w:hanging="709"/>
      </w:pPr>
    </w:lvl>
  </w:abstractNum>
  <w:abstractNum w:abstractNumId="25">
    <w:nsid w:val="7FAF2430"/>
    <w:multiLevelType w:val="multilevel"/>
    <w:tmpl w:val="2160D004"/>
    <w:numStyleLink w:val="Bullets"/>
  </w:abstractNum>
  <w:num w:numId="1">
    <w:abstractNumId w:val="10"/>
  </w:num>
  <w:num w:numId="2">
    <w:abstractNumId w:val="20"/>
  </w:num>
  <w:num w:numId="3">
    <w:abstractNumId w:val="20"/>
  </w:num>
  <w:num w:numId="4">
    <w:abstractNumId w:val="10"/>
  </w:num>
  <w:num w:numId="5">
    <w:abstractNumId w:val="24"/>
  </w:num>
  <w:num w:numId="6">
    <w:abstractNumId w:val="24"/>
  </w:num>
  <w:num w:numId="7">
    <w:abstractNumId w:val="24"/>
  </w:num>
  <w:num w:numId="8">
    <w:abstractNumId w:val="24"/>
  </w:num>
  <w:num w:numId="9">
    <w:abstractNumId w:val="9"/>
  </w:num>
  <w:num w:numId="10">
    <w:abstractNumId w:val="14"/>
  </w:num>
  <w:num w:numId="11">
    <w:abstractNumId w:val="4"/>
  </w:num>
  <w:num w:numId="12">
    <w:abstractNumId w:val="4"/>
  </w:num>
  <w:num w:numId="13">
    <w:abstractNumId w:val="2"/>
  </w:num>
  <w:num w:numId="14">
    <w:abstractNumId w:val="2"/>
  </w:num>
  <w:num w:numId="15">
    <w:abstractNumId w:val="3"/>
  </w:num>
  <w:num w:numId="16">
    <w:abstractNumId w:val="3"/>
  </w:num>
  <w:num w:numId="17">
    <w:abstractNumId w:val="1"/>
  </w:num>
  <w:num w:numId="18">
    <w:abstractNumId w:val="1"/>
  </w:num>
  <w:num w:numId="19">
    <w:abstractNumId w:val="0"/>
  </w:num>
  <w:num w:numId="20">
    <w:abstractNumId w:val="0"/>
  </w:num>
  <w:num w:numId="21">
    <w:abstractNumId w:val="15"/>
  </w:num>
  <w:num w:numId="22">
    <w:abstractNumId w:val="23"/>
  </w:num>
  <w:num w:numId="23">
    <w:abstractNumId w:val="25"/>
  </w:num>
  <w:num w:numId="24">
    <w:abstractNumId w:val="6"/>
  </w:num>
  <w:num w:numId="25">
    <w:abstractNumId w:val="5"/>
  </w:num>
  <w:num w:numId="26">
    <w:abstractNumId w:val="19"/>
  </w:num>
  <w:num w:numId="27">
    <w:abstractNumId w:val="21"/>
  </w:num>
  <w:num w:numId="28">
    <w:abstractNumId w:val="1"/>
  </w:num>
  <w:num w:numId="29">
    <w:abstractNumId w:val="3"/>
  </w:num>
  <w:num w:numId="30">
    <w:abstractNumId w:val="1"/>
  </w:num>
  <w:num w:numId="31">
    <w:abstractNumId w:val="0"/>
  </w:num>
  <w:num w:numId="32">
    <w:abstractNumId w:val="1"/>
  </w:num>
  <w:num w:numId="33">
    <w:abstractNumId w:val="1"/>
  </w:num>
  <w:num w:numId="34">
    <w:abstractNumId w:val="7"/>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22"/>
  </w:num>
  <w:num w:numId="38">
    <w:abstractNumId w:val="8"/>
  </w:num>
  <w:num w:numId="39">
    <w:abstractNumId w:val="8"/>
  </w:num>
  <w:num w:numId="40">
    <w:abstractNumId w:val="8"/>
  </w:num>
  <w:num w:numId="41">
    <w:abstractNumId w:val="8"/>
  </w:num>
  <w:num w:numId="42">
    <w:abstractNumId w:val="12"/>
  </w:num>
  <w:num w:numId="43">
    <w:abstractNumId w:val="16"/>
  </w:num>
  <w:num w:numId="44">
    <w:abstractNumId w:val="11"/>
  </w:num>
  <w:num w:numId="45">
    <w:abstractNumId w:val="18"/>
  </w:num>
  <w:num w:numId="46">
    <w:abstractNumId w:val="18"/>
  </w:num>
  <w:num w:numId="47">
    <w:abstractNumId w:val="7"/>
  </w:num>
  <w:num w:numId="48">
    <w:abstractNumId w:val="18"/>
  </w:num>
  <w:num w:numId="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rstRun" w:val="False"/>
    <w:docVar w:name="RunAlready" w:val="False"/>
  </w:docVars>
  <w:rsids>
    <w:rsidRoot w:val="00A82DD8"/>
    <w:rsid w:val="00000438"/>
    <w:rsid w:val="00000788"/>
    <w:rsid w:val="00004028"/>
    <w:rsid w:val="00004916"/>
    <w:rsid w:val="00005D43"/>
    <w:rsid w:val="00010D8F"/>
    <w:rsid w:val="00012C58"/>
    <w:rsid w:val="0001309B"/>
    <w:rsid w:val="00016E32"/>
    <w:rsid w:val="000176A5"/>
    <w:rsid w:val="00020FCA"/>
    <w:rsid w:val="00022CF0"/>
    <w:rsid w:val="00024EF9"/>
    <w:rsid w:val="00025EC9"/>
    <w:rsid w:val="00026072"/>
    <w:rsid w:val="00026A57"/>
    <w:rsid w:val="00030E12"/>
    <w:rsid w:val="00031D09"/>
    <w:rsid w:val="00034645"/>
    <w:rsid w:val="000356F9"/>
    <w:rsid w:val="0003647F"/>
    <w:rsid w:val="00036C03"/>
    <w:rsid w:val="00037306"/>
    <w:rsid w:val="00040997"/>
    <w:rsid w:val="00041993"/>
    <w:rsid w:val="00041DE0"/>
    <w:rsid w:val="000514EC"/>
    <w:rsid w:val="00051969"/>
    <w:rsid w:val="000533BE"/>
    <w:rsid w:val="00054765"/>
    <w:rsid w:val="0005765E"/>
    <w:rsid w:val="00066A67"/>
    <w:rsid w:val="00066A89"/>
    <w:rsid w:val="00072703"/>
    <w:rsid w:val="00074057"/>
    <w:rsid w:val="00076AE1"/>
    <w:rsid w:val="00077D8F"/>
    <w:rsid w:val="00077E34"/>
    <w:rsid w:val="0008091F"/>
    <w:rsid w:val="00082425"/>
    <w:rsid w:val="000852E6"/>
    <w:rsid w:val="0008639E"/>
    <w:rsid w:val="00086AFC"/>
    <w:rsid w:val="000903C8"/>
    <w:rsid w:val="0009045E"/>
    <w:rsid w:val="0009097C"/>
    <w:rsid w:val="000960B0"/>
    <w:rsid w:val="00096477"/>
    <w:rsid w:val="000A058C"/>
    <w:rsid w:val="000A2C43"/>
    <w:rsid w:val="000A3B7B"/>
    <w:rsid w:val="000A40FB"/>
    <w:rsid w:val="000A6277"/>
    <w:rsid w:val="000B05AB"/>
    <w:rsid w:val="000B41C7"/>
    <w:rsid w:val="000B799C"/>
    <w:rsid w:val="000B7E7F"/>
    <w:rsid w:val="000C0421"/>
    <w:rsid w:val="000C200E"/>
    <w:rsid w:val="000C5B27"/>
    <w:rsid w:val="000C716A"/>
    <w:rsid w:val="000D1F26"/>
    <w:rsid w:val="000E14C4"/>
    <w:rsid w:val="000E35BC"/>
    <w:rsid w:val="000E3B5A"/>
    <w:rsid w:val="000E4089"/>
    <w:rsid w:val="000E5FB6"/>
    <w:rsid w:val="000F18F4"/>
    <w:rsid w:val="000F6FDF"/>
    <w:rsid w:val="001064ED"/>
    <w:rsid w:val="00110450"/>
    <w:rsid w:val="00110C0F"/>
    <w:rsid w:val="00111F84"/>
    <w:rsid w:val="001131C2"/>
    <w:rsid w:val="00114BD8"/>
    <w:rsid w:val="0011681C"/>
    <w:rsid w:val="00117552"/>
    <w:rsid w:val="0012021D"/>
    <w:rsid w:val="001209DA"/>
    <w:rsid w:val="00122092"/>
    <w:rsid w:val="001220FF"/>
    <w:rsid w:val="00122EFA"/>
    <w:rsid w:val="001261DC"/>
    <w:rsid w:val="0013307E"/>
    <w:rsid w:val="00143874"/>
    <w:rsid w:val="0014665F"/>
    <w:rsid w:val="001466C7"/>
    <w:rsid w:val="00152EB0"/>
    <w:rsid w:val="00155013"/>
    <w:rsid w:val="00156035"/>
    <w:rsid w:val="00161B81"/>
    <w:rsid w:val="001623BA"/>
    <w:rsid w:val="001625D8"/>
    <w:rsid w:val="0016425D"/>
    <w:rsid w:val="0016773D"/>
    <w:rsid w:val="00170921"/>
    <w:rsid w:val="00170BEE"/>
    <w:rsid w:val="00174965"/>
    <w:rsid w:val="001761FE"/>
    <w:rsid w:val="00177ECF"/>
    <w:rsid w:val="001803FE"/>
    <w:rsid w:val="00183666"/>
    <w:rsid w:val="001851A9"/>
    <w:rsid w:val="00185304"/>
    <w:rsid w:val="0018598D"/>
    <w:rsid w:val="00187636"/>
    <w:rsid w:val="00194DBB"/>
    <w:rsid w:val="00197BFF"/>
    <w:rsid w:val="001A144E"/>
    <w:rsid w:val="001A2C68"/>
    <w:rsid w:val="001A3530"/>
    <w:rsid w:val="001A364D"/>
    <w:rsid w:val="001A364E"/>
    <w:rsid w:val="001A37DD"/>
    <w:rsid w:val="001A4085"/>
    <w:rsid w:val="001A4617"/>
    <w:rsid w:val="001B1239"/>
    <w:rsid w:val="001B25E7"/>
    <w:rsid w:val="001B7953"/>
    <w:rsid w:val="001C1058"/>
    <w:rsid w:val="001C59B1"/>
    <w:rsid w:val="001D0804"/>
    <w:rsid w:val="001D5528"/>
    <w:rsid w:val="001D5B26"/>
    <w:rsid w:val="001D5ED6"/>
    <w:rsid w:val="001D661E"/>
    <w:rsid w:val="001D734A"/>
    <w:rsid w:val="001E0794"/>
    <w:rsid w:val="001E1E9E"/>
    <w:rsid w:val="001E237C"/>
    <w:rsid w:val="001E4799"/>
    <w:rsid w:val="001E4A50"/>
    <w:rsid w:val="001E60B4"/>
    <w:rsid w:val="001F058C"/>
    <w:rsid w:val="001F2404"/>
    <w:rsid w:val="001F2C5D"/>
    <w:rsid w:val="001F3698"/>
    <w:rsid w:val="001F5B29"/>
    <w:rsid w:val="001F708A"/>
    <w:rsid w:val="001F711F"/>
    <w:rsid w:val="00200058"/>
    <w:rsid w:val="00200390"/>
    <w:rsid w:val="00201958"/>
    <w:rsid w:val="00202BDD"/>
    <w:rsid w:val="002037D9"/>
    <w:rsid w:val="00203F58"/>
    <w:rsid w:val="002044E0"/>
    <w:rsid w:val="002101C7"/>
    <w:rsid w:val="0021136A"/>
    <w:rsid w:val="00211543"/>
    <w:rsid w:val="002135E8"/>
    <w:rsid w:val="002137DF"/>
    <w:rsid w:val="00213896"/>
    <w:rsid w:val="00214B1E"/>
    <w:rsid w:val="00215BDF"/>
    <w:rsid w:val="00215E98"/>
    <w:rsid w:val="00217DAA"/>
    <w:rsid w:val="002216BD"/>
    <w:rsid w:val="002257FA"/>
    <w:rsid w:val="002260F4"/>
    <w:rsid w:val="002276C4"/>
    <w:rsid w:val="00230141"/>
    <w:rsid w:val="00237992"/>
    <w:rsid w:val="00242AEC"/>
    <w:rsid w:val="0024473D"/>
    <w:rsid w:val="0024549E"/>
    <w:rsid w:val="00253104"/>
    <w:rsid w:val="00256FC5"/>
    <w:rsid w:val="002607D3"/>
    <w:rsid w:val="00264A1D"/>
    <w:rsid w:val="00271135"/>
    <w:rsid w:val="002735B9"/>
    <w:rsid w:val="00273B5A"/>
    <w:rsid w:val="0027496E"/>
    <w:rsid w:val="002754F8"/>
    <w:rsid w:val="00275E2F"/>
    <w:rsid w:val="002801D9"/>
    <w:rsid w:val="00280F2B"/>
    <w:rsid w:val="00281997"/>
    <w:rsid w:val="002839BF"/>
    <w:rsid w:val="00287811"/>
    <w:rsid w:val="00287FE0"/>
    <w:rsid w:val="002944AA"/>
    <w:rsid w:val="0029482B"/>
    <w:rsid w:val="002954D6"/>
    <w:rsid w:val="00295ACC"/>
    <w:rsid w:val="00297BAC"/>
    <w:rsid w:val="00297EA1"/>
    <w:rsid w:val="002A40EA"/>
    <w:rsid w:val="002A5BD8"/>
    <w:rsid w:val="002A6D3A"/>
    <w:rsid w:val="002B1002"/>
    <w:rsid w:val="002B4F02"/>
    <w:rsid w:val="002B52FA"/>
    <w:rsid w:val="002C009A"/>
    <w:rsid w:val="002C1516"/>
    <w:rsid w:val="002C1D28"/>
    <w:rsid w:val="002C2118"/>
    <w:rsid w:val="002C501F"/>
    <w:rsid w:val="002C7E16"/>
    <w:rsid w:val="002D3429"/>
    <w:rsid w:val="002D7F26"/>
    <w:rsid w:val="002E5421"/>
    <w:rsid w:val="002E599F"/>
    <w:rsid w:val="002E6962"/>
    <w:rsid w:val="002E7FBA"/>
    <w:rsid w:val="002F0D19"/>
    <w:rsid w:val="002F0F50"/>
    <w:rsid w:val="002F3DDF"/>
    <w:rsid w:val="002F6956"/>
    <w:rsid w:val="002F7E7B"/>
    <w:rsid w:val="00301154"/>
    <w:rsid w:val="0030226A"/>
    <w:rsid w:val="003045B6"/>
    <w:rsid w:val="00305792"/>
    <w:rsid w:val="003058C9"/>
    <w:rsid w:val="003070FA"/>
    <w:rsid w:val="00307689"/>
    <w:rsid w:val="003152B2"/>
    <w:rsid w:val="00323B7B"/>
    <w:rsid w:val="00325D17"/>
    <w:rsid w:val="00325EC3"/>
    <w:rsid w:val="0032657E"/>
    <w:rsid w:val="00331390"/>
    <w:rsid w:val="003345C3"/>
    <w:rsid w:val="00336C16"/>
    <w:rsid w:val="0034191E"/>
    <w:rsid w:val="00342BEC"/>
    <w:rsid w:val="00343163"/>
    <w:rsid w:val="003436FA"/>
    <w:rsid w:val="00350976"/>
    <w:rsid w:val="00352348"/>
    <w:rsid w:val="00352381"/>
    <w:rsid w:val="003530AA"/>
    <w:rsid w:val="003579F7"/>
    <w:rsid w:val="00357F88"/>
    <w:rsid w:val="003739F4"/>
    <w:rsid w:val="00380425"/>
    <w:rsid w:val="00382E91"/>
    <w:rsid w:val="003868D3"/>
    <w:rsid w:val="00391759"/>
    <w:rsid w:val="00391A9B"/>
    <w:rsid w:val="00394A18"/>
    <w:rsid w:val="00395365"/>
    <w:rsid w:val="00395B38"/>
    <w:rsid w:val="00397AC3"/>
    <w:rsid w:val="003A5522"/>
    <w:rsid w:val="003B45B5"/>
    <w:rsid w:val="003B6DAC"/>
    <w:rsid w:val="003C12DE"/>
    <w:rsid w:val="003C3A2F"/>
    <w:rsid w:val="003C6C6D"/>
    <w:rsid w:val="003D08CD"/>
    <w:rsid w:val="003D2450"/>
    <w:rsid w:val="003D37D6"/>
    <w:rsid w:val="003D4BB1"/>
    <w:rsid w:val="003E1FE6"/>
    <w:rsid w:val="003E261A"/>
    <w:rsid w:val="003E45BA"/>
    <w:rsid w:val="003E5564"/>
    <w:rsid w:val="003E5E87"/>
    <w:rsid w:val="003E64EB"/>
    <w:rsid w:val="003F2BEB"/>
    <w:rsid w:val="003F3503"/>
    <w:rsid w:val="003F5488"/>
    <w:rsid w:val="00401581"/>
    <w:rsid w:val="004050E6"/>
    <w:rsid w:val="00406B68"/>
    <w:rsid w:val="00411738"/>
    <w:rsid w:val="004152C5"/>
    <w:rsid w:val="00416CE8"/>
    <w:rsid w:val="00417658"/>
    <w:rsid w:val="00426A4B"/>
    <w:rsid w:val="00434C15"/>
    <w:rsid w:val="00434C43"/>
    <w:rsid w:val="0044330A"/>
    <w:rsid w:val="00450D40"/>
    <w:rsid w:val="0045440C"/>
    <w:rsid w:val="00454437"/>
    <w:rsid w:val="004607BB"/>
    <w:rsid w:val="00462655"/>
    <w:rsid w:val="00463C53"/>
    <w:rsid w:val="00466655"/>
    <w:rsid w:val="0047066D"/>
    <w:rsid w:val="00472670"/>
    <w:rsid w:val="004727B7"/>
    <w:rsid w:val="00473144"/>
    <w:rsid w:val="00473AB1"/>
    <w:rsid w:val="00480DF4"/>
    <w:rsid w:val="004856B3"/>
    <w:rsid w:val="00485A89"/>
    <w:rsid w:val="004905BD"/>
    <w:rsid w:val="00490C0A"/>
    <w:rsid w:val="004A0002"/>
    <w:rsid w:val="004A4F2C"/>
    <w:rsid w:val="004A55A2"/>
    <w:rsid w:val="004A75CC"/>
    <w:rsid w:val="004B6924"/>
    <w:rsid w:val="004C4132"/>
    <w:rsid w:val="004C7483"/>
    <w:rsid w:val="004C74C6"/>
    <w:rsid w:val="004D0176"/>
    <w:rsid w:val="004D3365"/>
    <w:rsid w:val="004D7B22"/>
    <w:rsid w:val="004E5063"/>
    <w:rsid w:val="004E720A"/>
    <w:rsid w:val="004E7541"/>
    <w:rsid w:val="004F13F5"/>
    <w:rsid w:val="004F5034"/>
    <w:rsid w:val="004F62A5"/>
    <w:rsid w:val="004F63A1"/>
    <w:rsid w:val="0050054F"/>
    <w:rsid w:val="0050166A"/>
    <w:rsid w:val="00502ACA"/>
    <w:rsid w:val="00505CF1"/>
    <w:rsid w:val="0050670F"/>
    <w:rsid w:val="00513A55"/>
    <w:rsid w:val="0051593B"/>
    <w:rsid w:val="00520D65"/>
    <w:rsid w:val="00522817"/>
    <w:rsid w:val="00522908"/>
    <w:rsid w:val="00526022"/>
    <w:rsid w:val="0052665E"/>
    <w:rsid w:val="00531AA1"/>
    <w:rsid w:val="00531B56"/>
    <w:rsid w:val="0053335B"/>
    <w:rsid w:val="00552511"/>
    <w:rsid w:val="0055292B"/>
    <w:rsid w:val="0055307E"/>
    <w:rsid w:val="00554246"/>
    <w:rsid w:val="00556B39"/>
    <w:rsid w:val="00561B98"/>
    <w:rsid w:val="005632FA"/>
    <w:rsid w:val="005706B0"/>
    <w:rsid w:val="0057112B"/>
    <w:rsid w:val="00576A65"/>
    <w:rsid w:val="00581AFC"/>
    <w:rsid w:val="005833E8"/>
    <w:rsid w:val="00585C0F"/>
    <w:rsid w:val="0058690A"/>
    <w:rsid w:val="005921CA"/>
    <w:rsid w:val="00592DF7"/>
    <w:rsid w:val="00594020"/>
    <w:rsid w:val="005940BF"/>
    <w:rsid w:val="005964BE"/>
    <w:rsid w:val="005976AB"/>
    <w:rsid w:val="005A3DE1"/>
    <w:rsid w:val="005A4682"/>
    <w:rsid w:val="005A5149"/>
    <w:rsid w:val="005A51FD"/>
    <w:rsid w:val="005A5A37"/>
    <w:rsid w:val="005B23D4"/>
    <w:rsid w:val="005B3289"/>
    <w:rsid w:val="005B4862"/>
    <w:rsid w:val="005B5C21"/>
    <w:rsid w:val="005C01A0"/>
    <w:rsid w:val="005C2BEF"/>
    <w:rsid w:val="005C5785"/>
    <w:rsid w:val="005C6B79"/>
    <w:rsid w:val="005C7FB7"/>
    <w:rsid w:val="005D01F0"/>
    <w:rsid w:val="005D5DF5"/>
    <w:rsid w:val="005D6394"/>
    <w:rsid w:val="005D7845"/>
    <w:rsid w:val="005E0F42"/>
    <w:rsid w:val="005E1A25"/>
    <w:rsid w:val="005E4260"/>
    <w:rsid w:val="005E5570"/>
    <w:rsid w:val="005E7261"/>
    <w:rsid w:val="005F21C4"/>
    <w:rsid w:val="005F2E99"/>
    <w:rsid w:val="005F326F"/>
    <w:rsid w:val="005F4A5B"/>
    <w:rsid w:val="005F6D8B"/>
    <w:rsid w:val="005F7680"/>
    <w:rsid w:val="00600553"/>
    <w:rsid w:val="00602F9D"/>
    <w:rsid w:val="00605BAB"/>
    <w:rsid w:val="00607F3F"/>
    <w:rsid w:val="0061014E"/>
    <w:rsid w:val="00615503"/>
    <w:rsid w:val="00616481"/>
    <w:rsid w:val="00617636"/>
    <w:rsid w:val="00621408"/>
    <w:rsid w:val="00622FE3"/>
    <w:rsid w:val="0062609A"/>
    <w:rsid w:val="00634FF1"/>
    <w:rsid w:val="00635CEE"/>
    <w:rsid w:val="00635E9D"/>
    <w:rsid w:val="00636CA2"/>
    <w:rsid w:val="00645512"/>
    <w:rsid w:val="00647330"/>
    <w:rsid w:val="00653401"/>
    <w:rsid w:val="0066062A"/>
    <w:rsid w:val="00661217"/>
    <w:rsid w:val="00661270"/>
    <w:rsid w:val="00662B1E"/>
    <w:rsid w:val="00663243"/>
    <w:rsid w:val="00664295"/>
    <w:rsid w:val="00671D54"/>
    <w:rsid w:val="00681AA2"/>
    <w:rsid w:val="00682631"/>
    <w:rsid w:val="00690288"/>
    <w:rsid w:val="0069197D"/>
    <w:rsid w:val="006945BD"/>
    <w:rsid w:val="00696443"/>
    <w:rsid w:val="006970A2"/>
    <w:rsid w:val="006A3B4D"/>
    <w:rsid w:val="006A5846"/>
    <w:rsid w:val="006A586C"/>
    <w:rsid w:val="006A6494"/>
    <w:rsid w:val="006A7826"/>
    <w:rsid w:val="006B3EE8"/>
    <w:rsid w:val="006B5946"/>
    <w:rsid w:val="006B624A"/>
    <w:rsid w:val="006B7D30"/>
    <w:rsid w:val="006C1689"/>
    <w:rsid w:val="006C2314"/>
    <w:rsid w:val="006C4F5E"/>
    <w:rsid w:val="006C77A1"/>
    <w:rsid w:val="006D0EE2"/>
    <w:rsid w:val="006D2055"/>
    <w:rsid w:val="006D20BD"/>
    <w:rsid w:val="006D3300"/>
    <w:rsid w:val="006D3A70"/>
    <w:rsid w:val="006D4055"/>
    <w:rsid w:val="006D748E"/>
    <w:rsid w:val="006D7A2C"/>
    <w:rsid w:val="006D7A7B"/>
    <w:rsid w:val="006D7F83"/>
    <w:rsid w:val="006E183F"/>
    <w:rsid w:val="006E1CB3"/>
    <w:rsid w:val="006E467D"/>
    <w:rsid w:val="006E5759"/>
    <w:rsid w:val="006E5CA8"/>
    <w:rsid w:val="006F0A2D"/>
    <w:rsid w:val="006F16E0"/>
    <w:rsid w:val="006F4185"/>
    <w:rsid w:val="0070444D"/>
    <w:rsid w:val="00705F57"/>
    <w:rsid w:val="0070693C"/>
    <w:rsid w:val="0070743A"/>
    <w:rsid w:val="0070746A"/>
    <w:rsid w:val="00707C6C"/>
    <w:rsid w:val="00713462"/>
    <w:rsid w:val="00713ADF"/>
    <w:rsid w:val="0072102D"/>
    <w:rsid w:val="00721D66"/>
    <w:rsid w:val="00724C6E"/>
    <w:rsid w:val="007252B0"/>
    <w:rsid w:val="00726B2F"/>
    <w:rsid w:val="00726DEA"/>
    <w:rsid w:val="00727FBE"/>
    <w:rsid w:val="00731113"/>
    <w:rsid w:val="00733819"/>
    <w:rsid w:val="007339E9"/>
    <w:rsid w:val="00737A0D"/>
    <w:rsid w:val="007435BC"/>
    <w:rsid w:val="00746F7A"/>
    <w:rsid w:val="007511FE"/>
    <w:rsid w:val="00751737"/>
    <w:rsid w:val="00754290"/>
    <w:rsid w:val="00755234"/>
    <w:rsid w:val="007559DB"/>
    <w:rsid w:val="0075763B"/>
    <w:rsid w:val="00760AB6"/>
    <w:rsid w:val="00764E65"/>
    <w:rsid w:val="007651A6"/>
    <w:rsid w:val="00771CAC"/>
    <w:rsid w:val="0077250E"/>
    <w:rsid w:val="00773057"/>
    <w:rsid w:val="007730D2"/>
    <w:rsid w:val="00773CCF"/>
    <w:rsid w:val="00776FD2"/>
    <w:rsid w:val="007800EC"/>
    <w:rsid w:val="0078314E"/>
    <w:rsid w:val="007840EF"/>
    <w:rsid w:val="00785FFA"/>
    <w:rsid w:val="00797D4B"/>
    <w:rsid w:val="007B585F"/>
    <w:rsid w:val="007B6AC8"/>
    <w:rsid w:val="007B71FC"/>
    <w:rsid w:val="007C276C"/>
    <w:rsid w:val="007C2DF2"/>
    <w:rsid w:val="007C326A"/>
    <w:rsid w:val="007C4C33"/>
    <w:rsid w:val="007C7239"/>
    <w:rsid w:val="007C7784"/>
    <w:rsid w:val="007C7CFC"/>
    <w:rsid w:val="007D061B"/>
    <w:rsid w:val="007D1803"/>
    <w:rsid w:val="007D368B"/>
    <w:rsid w:val="007D4180"/>
    <w:rsid w:val="007D5ED6"/>
    <w:rsid w:val="007D7592"/>
    <w:rsid w:val="007E173D"/>
    <w:rsid w:val="007F41A6"/>
    <w:rsid w:val="007F50A2"/>
    <w:rsid w:val="0080210D"/>
    <w:rsid w:val="00803D8A"/>
    <w:rsid w:val="0081024C"/>
    <w:rsid w:val="00814E7C"/>
    <w:rsid w:val="00821074"/>
    <w:rsid w:val="008233C4"/>
    <w:rsid w:val="0082393D"/>
    <w:rsid w:val="0082514B"/>
    <w:rsid w:val="008262F4"/>
    <w:rsid w:val="00827793"/>
    <w:rsid w:val="0082795E"/>
    <w:rsid w:val="00830233"/>
    <w:rsid w:val="008337D5"/>
    <w:rsid w:val="00834808"/>
    <w:rsid w:val="00840060"/>
    <w:rsid w:val="008408EA"/>
    <w:rsid w:val="00840AB7"/>
    <w:rsid w:val="0084118E"/>
    <w:rsid w:val="00842ACE"/>
    <w:rsid w:val="0084301B"/>
    <w:rsid w:val="008509C7"/>
    <w:rsid w:val="00851A7D"/>
    <w:rsid w:val="008526D9"/>
    <w:rsid w:val="008535EE"/>
    <w:rsid w:val="00855BBF"/>
    <w:rsid w:val="00856D59"/>
    <w:rsid w:val="00857375"/>
    <w:rsid w:val="008579F6"/>
    <w:rsid w:val="00857DD6"/>
    <w:rsid w:val="00860F03"/>
    <w:rsid w:val="00860FEC"/>
    <w:rsid w:val="008625B1"/>
    <w:rsid w:val="008629EB"/>
    <w:rsid w:val="00862CFE"/>
    <w:rsid w:val="00864777"/>
    <w:rsid w:val="008720E5"/>
    <w:rsid w:val="008728CF"/>
    <w:rsid w:val="008764FB"/>
    <w:rsid w:val="00876A16"/>
    <w:rsid w:val="00880CF9"/>
    <w:rsid w:val="008812E5"/>
    <w:rsid w:val="008816AE"/>
    <w:rsid w:val="00881B39"/>
    <w:rsid w:val="008830B6"/>
    <w:rsid w:val="008862F7"/>
    <w:rsid w:val="00887918"/>
    <w:rsid w:val="00890614"/>
    <w:rsid w:val="0089622D"/>
    <w:rsid w:val="008A111A"/>
    <w:rsid w:val="008A238D"/>
    <w:rsid w:val="008A6374"/>
    <w:rsid w:val="008B0201"/>
    <w:rsid w:val="008B36F6"/>
    <w:rsid w:val="008B51F3"/>
    <w:rsid w:val="008B7170"/>
    <w:rsid w:val="008C1ACF"/>
    <w:rsid w:val="008C2C0A"/>
    <w:rsid w:val="008C4D87"/>
    <w:rsid w:val="008D0B03"/>
    <w:rsid w:val="008D1E16"/>
    <w:rsid w:val="008D75FE"/>
    <w:rsid w:val="008F0E23"/>
    <w:rsid w:val="008F49AD"/>
    <w:rsid w:val="008F4CE4"/>
    <w:rsid w:val="009003F4"/>
    <w:rsid w:val="00900A96"/>
    <w:rsid w:val="009030DC"/>
    <w:rsid w:val="0091202C"/>
    <w:rsid w:val="009151B2"/>
    <w:rsid w:val="00916850"/>
    <w:rsid w:val="009201DC"/>
    <w:rsid w:val="00921243"/>
    <w:rsid w:val="009254CE"/>
    <w:rsid w:val="00926EDE"/>
    <w:rsid w:val="00934AD0"/>
    <w:rsid w:val="00935401"/>
    <w:rsid w:val="009356EB"/>
    <w:rsid w:val="00943F4B"/>
    <w:rsid w:val="0094456B"/>
    <w:rsid w:val="00947603"/>
    <w:rsid w:val="00950B47"/>
    <w:rsid w:val="00952EBD"/>
    <w:rsid w:val="00954082"/>
    <w:rsid w:val="009602B5"/>
    <w:rsid w:val="0096159B"/>
    <w:rsid w:val="00963197"/>
    <w:rsid w:val="00963ABB"/>
    <w:rsid w:val="00964E99"/>
    <w:rsid w:val="00975559"/>
    <w:rsid w:val="00985BC9"/>
    <w:rsid w:val="00985FF8"/>
    <w:rsid w:val="00987A78"/>
    <w:rsid w:val="00990F29"/>
    <w:rsid w:val="00994A78"/>
    <w:rsid w:val="00994F17"/>
    <w:rsid w:val="009A124E"/>
    <w:rsid w:val="009A42E4"/>
    <w:rsid w:val="009B583E"/>
    <w:rsid w:val="009C22DF"/>
    <w:rsid w:val="009C3C5A"/>
    <w:rsid w:val="009C6540"/>
    <w:rsid w:val="009D05A1"/>
    <w:rsid w:val="009D1AEA"/>
    <w:rsid w:val="009D2B4D"/>
    <w:rsid w:val="009D2CC4"/>
    <w:rsid w:val="009D3CAC"/>
    <w:rsid w:val="009D7BFB"/>
    <w:rsid w:val="009E2C76"/>
    <w:rsid w:val="009E3C22"/>
    <w:rsid w:val="009E3EBA"/>
    <w:rsid w:val="009E4374"/>
    <w:rsid w:val="009F0642"/>
    <w:rsid w:val="009F1E36"/>
    <w:rsid w:val="009F2340"/>
    <w:rsid w:val="009F2F8F"/>
    <w:rsid w:val="009F3159"/>
    <w:rsid w:val="009F4415"/>
    <w:rsid w:val="009F547C"/>
    <w:rsid w:val="009F767D"/>
    <w:rsid w:val="00A026D9"/>
    <w:rsid w:val="00A063DF"/>
    <w:rsid w:val="00A1128D"/>
    <w:rsid w:val="00A11BDF"/>
    <w:rsid w:val="00A122F6"/>
    <w:rsid w:val="00A161A7"/>
    <w:rsid w:val="00A2060C"/>
    <w:rsid w:val="00A20674"/>
    <w:rsid w:val="00A237DD"/>
    <w:rsid w:val="00A240E9"/>
    <w:rsid w:val="00A27932"/>
    <w:rsid w:val="00A32543"/>
    <w:rsid w:val="00A336C1"/>
    <w:rsid w:val="00A33B0D"/>
    <w:rsid w:val="00A421E8"/>
    <w:rsid w:val="00A42C48"/>
    <w:rsid w:val="00A47435"/>
    <w:rsid w:val="00A51A9C"/>
    <w:rsid w:val="00A54AD6"/>
    <w:rsid w:val="00A55F5C"/>
    <w:rsid w:val="00A57111"/>
    <w:rsid w:val="00A66C12"/>
    <w:rsid w:val="00A71ACA"/>
    <w:rsid w:val="00A73971"/>
    <w:rsid w:val="00A74195"/>
    <w:rsid w:val="00A745B2"/>
    <w:rsid w:val="00A80A02"/>
    <w:rsid w:val="00A82DD8"/>
    <w:rsid w:val="00A82FFF"/>
    <w:rsid w:val="00A872CD"/>
    <w:rsid w:val="00A90658"/>
    <w:rsid w:val="00A93D28"/>
    <w:rsid w:val="00A9538E"/>
    <w:rsid w:val="00A95766"/>
    <w:rsid w:val="00A95F05"/>
    <w:rsid w:val="00A96474"/>
    <w:rsid w:val="00AA0FB6"/>
    <w:rsid w:val="00AA1597"/>
    <w:rsid w:val="00AA1E42"/>
    <w:rsid w:val="00AA299A"/>
    <w:rsid w:val="00AA34CF"/>
    <w:rsid w:val="00AA7310"/>
    <w:rsid w:val="00AB3C6B"/>
    <w:rsid w:val="00AC7595"/>
    <w:rsid w:val="00AC7DC0"/>
    <w:rsid w:val="00AD32FC"/>
    <w:rsid w:val="00AD35F4"/>
    <w:rsid w:val="00AD51F7"/>
    <w:rsid w:val="00AE32BC"/>
    <w:rsid w:val="00AE3896"/>
    <w:rsid w:val="00AE398A"/>
    <w:rsid w:val="00AE3CE3"/>
    <w:rsid w:val="00AE53C8"/>
    <w:rsid w:val="00AE5B4E"/>
    <w:rsid w:val="00AE7746"/>
    <w:rsid w:val="00AF5606"/>
    <w:rsid w:val="00B005D3"/>
    <w:rsid w:val="00B022ED"/>
    <w:rsid w:val="00B0420B"/>
    <w:rsid w:val="00B05153"/>
    <w:rsid w:val="00B05845"/>
    <w:rsid w:val="00B05942"/>
    <w:rsid w:val="00B05D80"/>
    <w:rsid w:val="00B06810"/>
    <w:rsid w:val="00B1158D"/>
    <w:rsid w:val="00B11896"/>
    <w:rsid w:val="00B123AA"/>
    <w:rsid w:val="00B13055"/>
    <w:rsid w:val="00B1367F"/>
    <w:rsid w:val="00B14334"/>
    <w:rsid w:val="00B144A6"/>
    <w:rsid w:val="00B15230"/>
    <w:rsid w:val="00B16F37"/>
    <w:rsid w:val="00B172F1"/>
    <w:rsid w:val="00B17623"/>
    <w:rsid w:val="00B21697"/>
    <w:rsid w:val="00B27588"/>
    <w:rsid w:val="00B276BA"/>
    <w:rsid w:val="00B33786"/>
    <w:rsid w:val="00B35EA7"/>
    <w:rsid w:val="00B36572"/>
    <w:rsid w:val="00B36E06"/>
    <w:rsid w:val="00B403FA"/>
    <w:rsid w:val="00B40E6C"/>
    <w:rsid w:val="00B43038"/>
    <w:rsid w:val="00B44205"/>
    <w:rsid w:val="00B46BDC"/>
    <w:rsid w:val="00B52E8C"/>
    <w:rsid w:val="00B53159"/>
    <w:rsid w:val="00B54990"/>
    <w:rsid w:val="00B64F68"/>
    <w:rsid w:val="00B71D27"/>
    <w:rsid w:val="00B7231F"/>
    <w:rsid w:val="00B72A14"/>
    <w:rsid w:val="00B73154"/>
    <w:rsid w:val="00B74FD0"/>
    <w:rsid w:val="00B761F4"/>
    <w:rsid w:val="00B8069B"/>
    <w:rsid w:val="00B816C9"/>
    <w:rsid w:val="00B819B4"/>
    <w:rsid w:val="00B825B3"/>
    <w:rsid w:val="00B907AB"/>
    <w:rsid w:val="00B91000"/>
    <w:rsid w:val="00B9254B"/>
    <w:rsid w:val="00B925DE"/>
    <w:rsid w:val="00B953C5"/>
    <w:rsid w:val="00B96190"/>
    <w:rsid w:val="00B967BC"/>
    <w:rsid w:val="00B96D9A"/>
    <w:rsid w:val="00BA0884"/>
    <w:rsid w:val="00BA0CEC"/>
    <w:rsid w:val="00BA0EE6"/>
    <w:rsid w:val="00BA1726"/>
    <w:rsid w:val="00BA1CFE"/>
    <w:rsid w:val="00BA1D11"/>
    <w:rsid w:val="00BA4651"/>
    <w:rsid w:val="00BA6247"/>
    <w:rsid w:val="00BB4097"/>
    <w:rsid w:val="00BB4D2F"/>
    <w:rsid w:val="00BB4DDC"/>
    <w:rsid w:val="00BB7405"/>
    <w:rsid w:val="00BB74E6"/>
    <w:rsid w:val="00BC1CC8"/>
    <w:rsid w:val="00BC2D09"/>
    <w:rsid w:val="00BC3D36"/>
    <w:rsid w:val="00BC4E65"/>
    <w:rsid w:val="00BC53EB"/>
    <w:rsid w:val="00BC75C3"/>
    <w:rsid w:val="00BD007E"/>
    <w:rsid w:val="00BD0F9A"/>
    <w:rsid w:val="00BD1CE4"/>
    <w:rsid w:val="00BD33AF"/>
    <w:rsid w:val="00BD40FE"/>
    <w:rsid w:val="00BE1AAE"/>
    <w:rsid w:val="00BE4DCE"/>
    <w:rsid w:val="00BF0304"/>
    <w:rsid w:val="00BF1A7B"/>
    <w:rsid w:val="00BF2524"/>
    <w:rsid w:val="00BF384D"/>
    <w:rsid w:val="00BF5513"/>
    <w:rsid w:val="00BF654D"/>
    <w:rsid w:val="00C00EAE"/>
    <w:rsid w:val="00C03EAA"/>
    <w:rsid w:val="00C05300"/>
    <w:rsid w:val="00C116C1"/>
    <w:rsid w:val="00C1753D"/>
    <w:rsid w:val="00C2072D"/>
    <w:rsid w:val="00C33CC9"/>
    <w:rsid w:val="00C33D54"/>
    <w:rsid w:val="00C341F9"/>
    <w:rsid w:val="00C34FCC"/>
    <w:rsid w:val="00C36FD6"/>
    <w:rsid w:val="00C40AD0"/>
    <w:rsid w:val="00C41CEB"/>
    <w:rsid w:val="00C4309C"/>
    <w:rsid w:val="00C435F7"/>
    <w:rsid w:val="00C45890"/>
    <w:rsid w:val="00C46F19"/>
    <w:rsid w:val="00C50E1B"/>
    <w:rsid w:val="00C519F0"/>
    <w:rsid w:val="00C52E97"/>
    <w:rsid w:val="00C5401C"/>
    <w:rsid w:val="00C54247"/>
    <w:rsid w:val="00C542ED"/>
    <w:rsid w:val="00C56C6C"/>
    <w:rsid w:val="00C57261"/>
    <w:rsid w:val="00C5781A"/>
    <w:rsid w:val="00C57B09"/>
    <w:rsid w:val="00C638C3"/>
    <w:rsid w:val="00C66CB9"/>
    <w:rsid w:val="00C70812"/>
    <w:rsid w:val="00C72F83"/>
    <w:rsid w:val="00C756F8"/>
    <w:rsid w:val="00C7661D"/>
    <w:rsid w:val="00C77C64"/>
    <w:rsid w:val="00C80874"/>
    <w:rsid w:val="00C83CA0"/>
    <w:rsid w:val="00C83E00"/>
    <w:rsid w:val="00C845EA"/>
    <w:rsid w:val="00C93672"/>
    <w:rsid w:val="00C94EDA"/>
    <w:rsid w:val="00C95193"/>
    <w:rsid w:val="00CA099E"/>
    <w:rsid w:val="00CA211B"/>
    <w:rsid w:val="00CA2EC5"/>
    <w:rsid w:val="00CA469B"/>
    <w:rsid w:val="00CA69DA"/>
    <w:rsid w:val="00CB18AE"/>
    <w:rsid w:val="00CB4124"/>
    <w:rsid w:val="00CB4733"/>
    <w:rsid w:val="00CB4DCF"/>
    <w:rsid w:val="00CB78DA"/>
    <w:rsid w:val="00CC1A6B"/>
    <w:rsid w:val="00CC2329"/>
    <w:rsid w:val="00CC370F"/>
    <w:rsid w:val="00CC7478"/>
    <w:rsid w:val="00CC7598"/>
    <w:rsid w:val="00CD03C5"/>
    <w:rsid w:val="00CD0A16"/>
    <w:rsid w:val="00CD2AD9"/>
    <w:rsid w:val="00CD497A"/>
    <w:rsid w:val="00CD4BDE"/>
    <w:rsid w:val="00CD6D47"/>
    <w:rsid w:val="00CE004E"/>
    <w:rsid w:val="00CE01F2"/>
    <w:rsid w:val="00CE08F6"/>
    <w:rsid w:val="00CE0B8E"/>
    <w:rsid w:val="00CE1622"/>
    <w:rsid w:val="00CE20EC"/>
    <w:rsid w:val="00CE5FF6"/>
    <w:rsid w:val="00CE68E5"/>
    <w:rsid w:val="00CF25D6"/>
    <w:rsid w:val="00CF3697"/>
    <w:rsid w:val="00CF5E0E"/>
    <w:rsid w:val="00CF7872"/>
    <w:rsid w:val="00D02DA5"/>
    <w:rsid w:val="00D03E1D"/>
    <w:rsid w:val="00D05215"/>
    <w:rsid w:val="00D0526C"/>
    <w:rsid w:val="00D05659"/>
    <w:rsid w:val="00D11646"/>
    <w:rsid w:val="00D11CBE"/>
    <w:rsid w:val="00D1397A"/>
    <w:rsid w:val="00D15C72"/>
    <w:rsid w:val="00D160CA"/>
    <w:rsid w:val="00D20486"/>
    <w:rsid w:val="00D20507"/>
    <w:rsid w:val="00D23357"/>
    <w:rsid w:val="00D23EFB"/>
    <w:rsid w:val="00D25909"/>
    <w:rsid w:val="00D27B06"/>
    <w:rsid w:val="00D30CD5"/>
    <w:rsid w:val="00D31091"/>
    <w:rsid w:val="00D32489"/>
    <w:rsid w:val="00D329F6"/>
    <w:rsid w:val="00D331AA"/>
    <w:rsid w:val="00D33F15"/>
    <w:rsid w:val="00D347D1"/>
    <w:rsid w:val="00D36E94"/>
    <w:rsid w:val="00D41258"/>
    <w:rsid w:val="00D41887"/>
    <w:rsid w:val="00D42207"/>
    <w:rsid w:val="00D430D1"/>
    <w:rsid w:val="00D474C1"/>
    <w:rsid w:val="00D50614"/>
    <w:rsid w:val="00D51FAF"/>
    <w:rsid w:val="00D54E4F"/>
    <w:rsid w:val="00D60E86"/>
    <w:rsid w:val="00D729CB"/>
    <w:rsid w:val="00D73168"/>
    <w:rsid w:val="00D73CDF"/>
    <w:rsid w:val="00D750F5"/>
    <w:rsid w:val="00D753E7"/>
    <w:rsid w:val="00D7573B"/>
    <w:rsid w:val="00D76EE5"/>
    <w:rsid w:val="00D832F6"/>
    <w:rsid w:val="00D83F73"/>
    <w:rsid w:val="00D86AF2"/>
    <w:rsid w:val="00D90A26"/>
    <w:rsid w:val="00D90A28"/>
    <w:rsid w:val="00D94FCE"/>
    <w:rsid w:val="00DA14A0"/>
    <w:rsid w:val="00DA5AA0"/>
    <w:rsid w:val="00DA5C23"/>
    <w:rsid w:val="00DA687F"/>
    <w:rsid w:val="00DA7DD9"/>
    <w:rsid w:val="00DB10BD"/>
    <w:rsid w:val="00DB36C6"/>
    <w:rsid w:val="00DB708A"/>
    <w:rsid w:val="00DC0CB0"/>
    <w:rsid w:val="00DC479C"/>
    <w:rsid w:val="00DC53C8"/>
    <w:rsid w:val="00DD17FC"/>
    <w:rsid w:val="00DD2834"/>
    <w:rsid w:val="00DD2DE4"/>
    <w:rsid w:val="00DD5FC5"/>
    <w:rsid w:val="00DD7AEB"/>
    <w:rsid w:val="00DE0DFC"/>
    <w:rsid w:val="00DE3378"/>
    <w:rsid w:val="00DE35A0"/>
    <w:rsid w:val="00DE6020"/>
    <w:rsid w:val="00DE67BB"/>
    <w:rsid w:val="00DE6F75"/>
    <w:rsid w:val="00DF1A18"/>
    <w:rsid w:val="00E01B62"/>
    <w:rsid w:val="00E02C96"/>
    <w:rsid w:val="00E050A6"/>
    <w:rsid w:val="00E05562"/>
    <w:rsid w:val="00E069C4"/>
    <w:rsid w:val="00E14A70"/>
    <w:rsid w:val="00E1533A"/>
    <w:rsid w:val="00E15377"/>
    <w:rsid w:val="00E20D75"/>
    <w:rsid w:val="00E219DF"/>
    <w:rsid w:val="00E21BB2"/>
    <w:rsid w:val="00E21F00"/>
    <w:rsid w:val="00E22DC4"/>
    <w:rsid w:val="00E22FD9"/>
    <w:rsid w:val="00E26F98"/>
    <w:rsid w:val="00E31B49"/>
    <w:rsid w:val="00E31B91"/>
    <w:rsid w:val="00E35425"/>
    <w:rsid w:val="00E41546"/>
    <w:rsid w:val="00E419D2"/>
    <w:rsid w:val="00E43144"/>
    <w:rsid w:val="00E52230"/>
    <w:rsid w:val="00E53225"/>
    <w:rsid w:val="00E537F4"/>
    <w:rsid w:val="00E53E11"/>
    <w:rsid w:val="00E548E2"/>
    <w:rsid w:val="00E56B7F"/>
    <w:rsid w:val="00E60680"/>
    <w:rsid w:val="00E616B9"/>
    <w:rsid w:val="00E657FE"/>
    <w:rsid w:val="00E67697"/>
    <w:rsid w:val="00E7349B"/>
    <w:rsid w:val="00E753BB"/>
    <w:rsid w:val="00E75F68"/>
    <w:rsid w:val="00E8215F"/>
    <w:rsid w:val="00E90C6F"/>
    <w:rsid w:val="00E92DDB"/>
    <w:rsid w:val="00E9425F"/>
    <w:rsid w:val="00E944CF"/>
    <w:rsid w:val="00E951D7"/>
    <w:rsid w:val="00E95A17"/>
    <w:rsid w:val="00E96669"/>
    <w:rsid w:val="00E969D1"/>
    <w:rsid w:val="00EA00B9"/>
    <w:rsid w:val="00EA0DB3"/>
    <w:rsid w:val="00EA0E51"/>
    <w:rsid w:val="00EA4EB0"/>
    <w:rsid w:val="00EA6C19"/>
    <w:rsid w:val="00EB1367"/>
    <w:rsid w:val="00EB53E3"/>
    <w:rsid w:val="00EB659E"/>
    <w:rsid w:val="00EC3388"/>
    <w:rsid w:val="00EC5C80"/>
    <w:rsid w:val="00ED04F9"/>
    <w:rsid w:val="00EE0F4C"/>
    <w:rsid w:val="00EE19C3"/>
    <w:rsid w:val="00EE24D8"/>
    <w:rsid w:val="00EE6F06"/>
    <w:rsid w:val="00EE7912"/>
    <w:rsid w:val="00EF123D"/>
    <w:rsid w:val="00EF1799"/>
    <w:rsid w:val="00EF31CA"/>
    <w:rsid w:val="00EF54FD"/>
    <w:rsid w:val="00EF7890"/>
    <w:rsid w:val="00F01667"/>
    <w:rsid w:val="00F0287F"/>
    <w:rsid w:val="00F061FA"/>
    <w:rsid w:val="00F067BB"/>
    <w:rsid w:val="00F06915"/>
    <w:rsid w:val="00F164E7"/>
    <w:rsid w:val="00F3279E"/>
    <w:rsid w:val="00F3428A"/>
    <w:rsid w:val="00F35E91"/>
    <w:rsid w:val="00F410ED"/>
    <w:rsid w:val="00F4176E"/>
    <w:rsid w:val="00F469C0"/>
    <w:rsid w:val="00F46B14"/>
    <w:rsid w:val="00F53D14"/>
    <w:rsid w:val="00F55943"/>
    <w:rsid w:val="00F55C20"/>
    <w:rsid w:val="00F562A1"/>
    <w:rsid w:val="00F56362"/>
    <w:rsid w:val="00F57817"/>
    <w:rsid w:val="00F57C3D"/>
    <w:rsid w:val="00F610DE"/>
    <w:rsid w:val="00F613D4"/>
    <w:rsid w:val="00F63CE5"/>
    <w:rsid w:val="00F66A79"/>
    <w:rsid w:val="00F72777"/>
    <w:rsid w:val="00F74ED6"/>
    <w:rsid w:val="00F75AAB"/>
    <w:rsid w:val="00F77901"/>
    <w:rsid w:val="00F83E86"/>
    <w:rsid w:val="00F945AC"/>
    <w:rsid w:val="00FA041A"/>
    <w:rsid w:val="00FA1573"/>
    <w:rsid w:val="00FB44F5"/>
    <w:rsid w:val="00FC1949"/>
    <w:rsid w:val="00FC2148"/>
    <w:rsid w:val="00FC43A5"/>
    <w:rsid w:val="00FC64FE"/>
    <w:rsid w:val="00FD391D"/>
    <w:rsid w:val="00FD3DB2"/>
    <w:rsid w:val="00FD72BB"/>
    <w:rsid w:val="00FE036A"/>
    <w:rsid w:val="00FE3C23"/>
    <w:rsid w:val="00FE435A"/>
    <w:rsid w:val="00FE72AC"/>
    <w:rsid w:val="00FF0105"/>
    <w:rsid w:val="00FF0F13"/>
    <w:rsid w:val="00FF1892"/>
    <w:rsid w:val="00FF2873"/>
    <w:rsid w:val="00FF2B2F"/>
    <w:rsid w:val="00FF3321"/>
    <w:rsid w:val="00FF511E"/>
    <w:rsid w:val="00FF74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List Bullet" w:qFormat="1"/>
    <w:lsdException w:name="List Number" w:qFormat="1"/>
    <w:lsdException w:name="List Bullet 2" w:qFormat="1"/>
    <w:lsdException w:name="List Number 2" w:qFormat="1"/>
    <w:lsdException w:name="List Number 3" w:qFormat="1"/>
    <w:lsdException w:name="Hyperlink"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A40FB"/>
    <w:pPr>
      <w:spacing w:before="240" w:line="360" w:lineRule="auto"/>
      <w:jc w:val="both"/>
    </w:pPr>
    <w:rPr>
      <w:sz w:val="24"/>
    </w:rPr>
  </w:style>
  <w:style w:type="paragraph" w:styleId="Heading1">
    <w:name w:val="heading 1"/>
    <w:basedOn w:val="Normal"/>
    <w:next w:val="ListNumber"/>
    <w:qFormat/>
    <w:rsid w:val="009003F4"/>
    <w:pPr>
      <w:keepNext/>
      <w:spacing w:before="360" w:line="240" w:lineRule="auto"/>
      <w:jc w:val="left"/>
      <w:outlineLvl w:val="0"/>
    </w:pPr>
    <w:rPr>
      <w:b/>
      <w:caps/>
    </w:rPr>
  </w:style>
  <w:style w:type="paragraph" w:styleId="Heading2">
    <w:name w:val="heading 2"/>
    <w:basedOn w:val="Normal"/>
    <w:next w:val="ListNumber"/>
    <w:qFormat/>
    <w:rsid w:val="009003F4"/>
    <w:pPr>
      <w:keepNext/>
      <w:spacing w:before="360" w:line="240" w:lineRule="auto"/>
      <w:jc w:val="left"/>
      <w:outlineLvl w:val="1"/>
    </w:pPr>
    <w:rPr>
      <w:b/>
    </w:rPr>
  </w:style>
  <w:style w:type="paragraph" w:styleId="Heading3">
    <w:name w:val="heading 3"/>
    <w:basedOn w:val="Normal"/>
    <w:next w:val="ListNumber"/>
    <w:link w:val="Heading3Char"/>
    <w:qFormat/>
    <w:rsid w:val="00773CCF"/>
    <w:pPr>
      <w:keepNext/>
      <w:spacing w:before="360" w:line="240" w:lineRule="auto"/>
      <w:jc w:val="left"/>
      <w:outlineLvl w:val="2"/>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ntinue">
    <w:name w:val="Normal Continue"/>
    <w:basedOn w:val="Normal"/>
    <w:next w:val="Normal"/>
  </w:style>
  <w:style w:type="paragraph" w:customStyle="1" w:styleId="CatchWords">
    <w:name w:val="CatchWords"/>
    <w:basedOn w:val="Normal"/>
    <w:qFormat/>
    <w:rsid w:val="00FF2873"/>
    <w:pPr>
      <w:spacing w:after="120"/>
      <w:contextualSpacing/>
    </w:pPr>
    <w:rPr>
      <w:i/>
      <w:sz w:val="22"/>
    </w:rPr>
  </w:style>
  <w:style w:type="paragraph" w:customStyle="1" w:styleId="FooterPage1">
    <w:name w:val="Footer Page1"/>
    <w:basedOn w:val="Footer"/>
    <w:rsid w:val="005D5DF5"/>
    <w:pPr>
      <w:jc w:val="left"/>
    </w:pPr>
    <w:rPr>
      <w:b w:val="0"/>
      <w:caps w:val="0"/>
      <w:sz w:val="13"/>
    </w:rPr>
  </w:style>
  <w:style w:type="paragraph" w:customStyle="1" w:styleId="NumberedQuote2">
    <w:name w:val="Numbered Quote 2"/>
    <w:basedOn w:val="Quote"/>
    <w:qFormat/>
    <w:rsid w:val="00BF384D"/>
    <w:pPr>
      <w:numPr>
        <w:numId w:val="44"/>
      </w:numPr>
    </w:pPr>
  </w:style>
  <w:style w:type="paragraph" w:styleId="Quote">
    <w:name w:val="Quote"/>
    <w:basedOn w:val="Normal"/>
    <w:qFormat/>
    <w:rsid w:val="009F2340"/>
    <w:pPr>
      <w:spacing w:before="120" w:line="240" w:lineRule="auto"/>
      <w:ind w:left="709"/>
    </w:pPr>
    <w:rPr>
      <w:i/>
      <w:sz w:val="22"/>
    </w:rPr>
  </w:style>
  <w:style w:type="paragraph" w:styleId="Footer">
    <w:name w:val="footer"/>
    <w:basedOn w:val="Normal"/>
    <w:rsid w:val="009D1AEA"/>
    <w:rPr>
      <w:rFonts w:ascii="Arial" w:hAnsi="Arial"/>
      <w:b/>
      <w:caps/>
      <w:sz w:val="16"/>
    </w:rPr>
  </w:style>
  <w:style w:type="numbering" w:customStyle="1" w:styleId="Style1">
    <w:name w:val="Style1"/>
    <w:basedOn w:val="NoList"/>
    <w:rsid w:val="007C7784"/>
    <w:pPr>
      <w:numPr>
        <w:numId w:val="9"/>
      </w:numPr>
    </w:pPr>
  </w:style>
  <w:style w:type="numbering" w:customStyle="1" w:styleId="Style2">
    <w:name w:val="Style2"/>
    <w:rsid w:val="007C7784"/>
    <w:pPr>
      <w:numPr>
        <w:numId w:val="10"/>
      </w:numPr>
    </w:pPr>
  </w:style>
  <w:style w:type="character" w:customStyle="1" w:styleId="Heading3Char">
    <w:name w:val="Heading 3 Char"/>
    <w:basedOn w:val="DefaultParagraphFont"/>
    <w:link w:val="Heading3"/>
    <w:rsid w:val="00773CCF"/>
    <w:rPr>
      <w:b/>
      <w:i/>
      <w:sz w:val="22"/>
    </w:rPr>
  </w:style>
  <w:style w:type="table" w:styleId="TableGrid">
    <w:name w:val="Table Grid"/>
    <w:basedOn w:val="TableNormal"/>
    <w:rsid w:val="003E45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Spacer">
    <w:name w:val="Table Spacer"/>
    <w:basedOn w:val="Normal"/>
    <w:qFormat/>
    <w:rsid w:val="003A5522"/>
    <w:pPr>
      <w:spacing w:after="240"/>
    </w:pPr>
  </w:style>
  <w:style w:type="paragraph" w:styleId="NormalIndent">
    <w:name w:val="Normal Indent"/>
    <w:basedOn w:val="Normal"/>
    <w:qFormat/>
    <w:rsid w:val="0066062A"/>
    <w:pPr>
      <w:ind w:left="709"/>
    </w:pPr>
  </w:style>
  <w:style w:type="paragraph" w:customStyle="1" w:styleId="NumberedQuote3">
    <w:name w:val="Numbered Quote 3"/>
    <w:basedOn w:val="Quote"/>
    <w:qFormat/>
    <w:rsid w:val="00BF384D"/>
    <w:pPr>
      <w:numPr>
        <w:ilvl w:val="1"/>
        <w:numId w:val="44"/>
      </w:numPr>
    </w:pPr>
  </w:style>
  <w:style w:type="paragraph" w:customStyle="1" w:styleId="NumberedQuote4">
    <w:name w:val="Numbered Quote 4"/>
    <w:basedOn w:val="Quote"/>
    <w:qFormat/>
    <w:rsid w:val="00BF384D"/>
    <w:pPr>
      <w:numPr>
        <w:ilvl w:val="2"/>
        <w:numId w:val="44"/>
      </w:numPr>
    </w:pPr>
  </w:style>
  <w:style w:type="paragraph" w:styleId="ListBullet">
    <w:name w:val="List Bullet"/>
    <w:basedOn w:val="Normal"/>
    <w:qFormat/>
    <w:rsid w:val="000903C8"/>
    <w:pPr>
      <w:numPr>
        <w:numId w:val="27"/>
      </w:numPr>
      <w:spacing w:before="120"/>
      <w:jc w:val="left"/>
    </w:pPr>
    <w:rPr>
      <w:rFonts w:eastAsia="MS Mincho"/>
      <w:szCs w:val="24"/>
      <w:lang w:eastAsia="ja-JP"/>
    </w:rPr>
  </w:style>
  <w:style w:type="paragraph" w:styleId="ListBullet2">
    <w:name w:val="List Bullet 2"/>
    <w:basedOn w:val="Normal"/>
    <w:qFormat/>
    <w:rsid w:val="000903C8"/>
    <w:pPr>
      <w:numPr>
        <w:ilvl w:val="1"/>
        <w:numId w:val="27"/>
      </w:numPr>
      <w:spacing w:before="120"/>
      <w:jc w:val="left"/>
    </w:pPr>
    <w:rPr>
      <w:rFonts w:eastAsia="MS Mincho"/>
      <w:szCs w:val="24"/>
      <w:lang w:eastAsia="ja-JP"/>
    </w:rPr>
  </w:style>
  <w:style w:type="paragraph" w:styleId="ListNumber">
    <w:name w:val="List Number"/>
    <w:basedOn w:val="Normal"/>
    <w:qFormat/>
    <w:rsid w:val="007B585F"/>
    <w:pPr>
      <w:numPr>
        <w:numId w:val="47"/>
      </w:numPr>
      <w:spacing w:before="360"/>
    </w:pPr>
    <w:rPr>
      <w:rFonts w:eastAsia="MS Mincho"/>
      <w:szCs w:val="24"/>
      <w:lang w:eastAsia="ja-JP"/>
    </w:rPr>
  </w:style>
  <w:style w:type="paragraph" w:styleId="ListNumber2">
    <w:name w:val="List Number 2"/>
    <w:basedOn w:val="Normal"/>
    <w:qFormat/>
    <w:rsid w:val="007B585F"/>
    <w:pPr>
      <w:numPr>
        <w:ilvl w:val="1"/>
        <w:numId w:val="47"/>
      </w:numPr>
    </w:pPr>
    <w:rPr>
      <w:rFonts w:eastAsia="MS Mincho"/>
      <w:szCs w:val="24"/>
      <w:lang w:eastAsia="ja-JP"/>
    </w:rPr>
  </w:style>
  <w:style w:type="paragraph" w:styleId="ListNumber3">
    <w:name w:val="List Number 3"/>
    <w:basedOn w:val="Normal"/>
    <w:qFormat/>
    <w:rsid w:val="007B585F"/>
    <w:pPr>
      <w:numPr>
        <w:ilvl w:val="2"/>
        <w:numId w:val="47"/>
      </w:numPr>
    </w:pPr>
    <w:rPr>
      <w:rFonts w:eastAsia="MS Mincho"/>
      <w:szCs w:val="24"/>
      <w:lang w:eastAsia="ja-JP"/>
    </w:rPr>
  </w:style>
  <w:style w:type="table" w:customStyle="1" w:styleId="TableAAT">
    <w:name w:val="Table AAT"/>
    <w:basedOn w:val="TableNormal"/>
    <w:qFormat/>
    <w:rsid w:val="003E261A"/>
    <w:pPr>
      <w:spacing w:before="60" w:after="60"/>
      <w:jc w:val="center"/>
    </w:pPr>
    <w:rPr>
      <w:rFonts w:eastAsia="MS Mincho"/>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StylePr w:type="firstRow">
      <w:pPr>
        <w:wordWrap/>
        <w:jc w:val="center"/>
      </w:pPr>
      <w:rPr>
        <w:rFonts w:ascii="Times New Roman" w:hAnsi="Times New Roman"/>
        <w:b/>
        <w:i w:val="0"/>
        <w:color w:val="auto"/>
        <w:kern w:val="0"/>
        <w:sz w:val="24"/>
      </w:rPr>
      <w:tblPr/>
      <w:tcPr>
        <w:tcBorders>
          <w:top w:val="single" w:sz="4" w:space="0" w:color="auto"/>
          <w:left w:val="single" w:sz="4" w:space="0" w:color="auto"/>
          <w:bottom w:val="nil"/>
          <w:right w:val="single" w:sz="4" w:space="0" w:color="auto"/>
          <w:insideH w:val="nil"/>
          <w:insideV w:val="single" w:sz="4" w:space="0" w:color="auto"/>
          <w:tl2br w:val="nil"/>
          <w:tr2bl w:val="nil"/>
        </w:tcBorders>
      </w:tcPr>
    </w:tblStylePr>
    <w:tblStylePr w:type="firstCol">
      <w:pPr>
        <w:wordWrap/>
        <w:jc w:val="left"/>
      </w:pPr>
    </w:tblStylePr>
  </w:style>
  <w:style w:type="numbering" w:customStyle="1" w:styleId="Bullets">
    <w:name w:val="Bullets"/>
    <w:uiPriority w:val="99"/>
    <w:rsid w:val="000903C8"/>
    <w:pPr>
      <w:numPr>
        <w:numId w:val="21"/>
      </w:numPr>
    </w:pPr>
  </w:style>
  <w:style w:type="paragraph" w:styleId="NoSpacing">
    <w:name w:val="No Spacing"/>
    <w:uiPriority w:val="1"/>
    <w:qFormat/>
    <w:rsid w:val="00D331AA"/>
    <w:pPr>
      <w:jc w:val="both"/>
    </w:pPr>
    <w:rPr>
      <w:sz w:val="24"/>
    </w:rPr>
  </w:style>
  <w:style w:type="paragraph" w:customStyle="1" w:styleId="Label">
    <w:name w:val="Label"/>
    <w:basedOn w:val="Normal"/>
    <w:rsid w:val="00AA34CF"/>
    <w:pPr>
      <w:spacing w:before="180" w:after="180" w:line="240" w:lineRule="auto"/>
    </w:pPr>
    <w:rPr>
      <w:sz w:val="20"/>
    </w:rPr>
  </w:style>
  <w:style w:type="paragraph" w:styleId="BalloonText">
    <w:name w:val="Balloon Text"/>
    <w:basedOn w:val="Normal"/>
    <w:link w:val="BalloonTextChar"/>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3D36"/>
    <w:rPr>
      <w:rFonts w:ascii="Tahoma" w:hAnsi="Tahoma" w:cs="Tahoma"/>
      <w:sz w:val="16"/>
      <w:szCs w:val="16"/>
    </w:rPr>
  </w:style>
  <w:style w:type="paragraph" w:styleId="Header">
    <w:name w:val="header"/>
    <w:basedOn w:val="Normal"/>
    <w:link w:val="HeaderChar"/>
    <w:rsid w:val="00DD17FC"/>
    <w:pPr>
      <w:tabs>
        <w:tab w:val="center" w:pos="4513"/>
        <w:tab w:val="right" w:pos="9026"/>
      </w:tabs>
      <w:spacing w:before="0" w:line="240" w:lineRule="auto"/>
    </w:pPr>
  </w:style>
  <w:style w:type="character" w:customStyle="1" w:styleId="HeaderChar">
    <w:name w:val="Header Char"/>
    <w:basedOn w:val="DefaultParagraphFont"/>
    <w:link w:val="Header"/>
    <w:rsid w:val="00DD17FC"/>
    <w:rPr>
      <w:sz w:val="24"/>
    </w:rPr>
  </w:style>
  <w:style w:type="paragraph" w:customStyle="1" w:styleId="Details">
    <w:name w:val="Details"/>
    <w:basedOn w:val="Normal"/>
    <w:qFormat/>
    <w:rsid w:val="00A9538E"/>
    <w:pPr>
      <w:contextualSpacing/>
    </w:pPr>
    <w:rPr>
      <w:b/>
      <w:bCs/>
    </w:rPr>
  </w:style>
  <w:style w:type="paragraph" w:styleId="FootnoteText">
    <w:name w:val="footnote text"/>
    <w:basedOn w:val="Normal"/>
    <w:link w:val="FootnoteTextChar"/>
    <w:qFormat/>
    <w:rsid w:val="003E5E87"/>
    <w:pPr>
      <w:spacing w:before="60" w:line="240" w:lineRule="auto"/>
    </w:pPr>
    <w:rPr>
      <w:i/>
      <w:sz w:val="18"/>
    </w:rPr>
  </w:style>
  <w:style w:type="character" w:customStyle="1" w:styleId="FootnoteTextChar">
    <w:name w:val="Footnote Text Char"/>
    <w:basedOn w:val="DefaultParagraphFont"/>
    <w:link w:val="FootnoteText"/>
    <w:rsid w:val="003E5E87"/>
    <w:rPr>
      <w:i/>
      <w:sz w:val="18"/>
    </w:rPr>
  </w:style>
  <w:style w:type="character" w:styleId="FootnoteReference">
    <w:name w:val="footnote reference"/>
    <w:basedOn w:val="DefaultParagraphFont"/>
    <w:rsid w:val="0012021D"/>
    <w:rPr>
      <w:vertAlign w:val="superscript"/>
    </w:rPr>
  </w:style>
  <w:style w:type="numbering" w:customStyle="1" w:styleId="ListNumbers">
    <w:name w:val="ListNumbers"/>
    <w:uiPriority w:val="99"/>
    <w:rsid w:val="007B585F"/>
    <w:pPr>
      <w:numPr>
        <w:numId w:val="34"/>
      </w:numPr>
    </w:pPr>
  </w:style>
  <w:style w:type="character" w:styleId="PlaceholderText">
    <w:name w:val="Placeholder Text"/>
    <w:basedOn w:val="DefaultParagraphFont"/>
    <w:uiPriority w:val="99"/>
    <w:semiHidden/>
    <w:rsid w:val="004A55A2"/>
    <w:rPr>
      <w:color w:val="808080"/>
    </w:rPr>
  </w:style>
  <w:style w:type="paragraph" w:styleId="Title">
    <w:name w:val="Title"/>
    <w:basedOn w:val="Normal"/>
    <w:next w:val="Normal"/>
    <w:link w:val="TitleChar"/>
    <w:rsid w:val="000D1F26"/>
    <w:pPr>
      <w:tabs>
        <w:tab w:val="left" w:pos="5681"/>
      </w:tabs>
    </w:pPr>
    <w:rPr>
      <w:rFonts w:eastAsiaTheme="majorEastAsia" w:cstheme="majorBidi"/>
      <w:b/>
      <w:szCs w:val="52"/>
    </w:rPr>
  </w:style>
  <w:style w:type="character" w:customStyle="1" w:styleId="TitleChar">
    <w:name w:val="Title Char"/>
    <w:basedOn w:val="DefaultParagraphFont"/>
    <w:link w:val="Title"/>
    <w:rsid w:val="000D1F26"/>
    <w:rPr>
      <w:rFonts w:eastAsiaTheme="majorEastAsia" w:cstheme="majorBidi"/>
      <w:b/>
      <w:sz w:val="24"/>
      <w:szCs w:val="52"/>
    </w:rPr>
  </w:style>
  <w:style w:type="numbering" w:customStyle="1" w:styleId="Quotes">
    <w:name w:val="Quotes"/>
    <w:uiPriority w:val="99"/>
    <w:rsid w:val="00BF384D"/>
    <w:pPr>
      <w:numPr>
        <w:numId w:val="42"/>
      </w:numPr>
    </w:pPr>
  </w:style>
  <w:style w:type="paragraph" w:customStyle="1" w:styleId="Quote2">
    <w:name w:val="Quote 2"/>
    <w:basedOn w:val="Quote"/>
    <w:qFormat/>
    <w:rsid w:val="009F2340"/>
    <w:pPr>
      <w:ind w:left="1276"/>
    </w:pPr>
  </w:style>
  <w:style w:type="paragraph" w:customStyle="1" w:styleId="Quote3">
    <w:name w:val="Quote 3"/>
    <w:basedOn w:val="Quote"/>
    <w:qFormat/>
    <w:rsid w:val="009F2340"/>
    <w:pPr>
      <w:ind w:left="1843"/>
    </w:pPr>
  </w:style>
  <w:style w:type="paragraph" w:customStyle="1" w:styleId="Quote4">
    <w:name w:val="Quote 4"/>
    <w:basedOn w:val="Quote"/>
    <w:qFormat/>
    <w:rsid w:val="009F2340"/>
    <w:pPr>
      <w:ind w:left="2410"/>
    </w:pPr>
  </w:style>
  <w:style w:type="paragraph" w:customStyle="1" w:styleId="FollowingPara">
    <w:name w:val="FollowingPara"/>
    <w:basedOn w:val="Normal"/>
    <w:qFormat/>
    <w:rsid w:val="00417658"/>
  </w:style>
  <w:style w:type="paragraph" w:customStyle="1" w:styleId="TableText">
    <w:name w:val="Table Text"/>
    <w:basedOn w:val="Normal"/>
    <w:qFormat/>
    <w:rsid w:val="00921243"/>
    <w:rPr>
      <w:sz w:val="22"/>
    </w:rPr>
  </w:style>
  <w:style w:type="character" w:styleId="Hyperlink">
    <w:name w:val="Hyperlink"/>
    <w:basedOn w:val="DefaultParagraphFont"/>
    <w:uiPriority w:val="99"/>
    <w:unhideWhenUsed/>
    <w:rsid w:val="00E52230"/>
    <w:rPr>
      <w:color w:val="0000FF"/>
      <w:u w:val="single"/>
    </w:rPr>
  </w:style>
  <w:style w:type="character" w:customStyle="1" w:styleId="legtitle1">
    <w:name w:val="legtitle1"/>
    <w:basedOn w:val="DefaultParagraphFont"/>
    <w:rsid w:val="005E5570"/>
    <w:rPr>
      <w:rFonts w:ascii="Arial" w:hAnsi="Arial" w:cs="Arial" w:hint="default"/>
      <w:b/>
      <w:bCs/>
      <w:color w:val="10418E"/>
      <w:sz w:val="40"/>
      <w:szCs w:val="40"/>
    </w:rPr>
  </w:style>
  <w:style w:type="character" w:styleId="CommentReference">
    <w:name w:val="annotation reference"/>
    <w:basedOn w:val="DefaultParagraphFont"/>
    <w:rsid w:val="005C7FB7"/>
    <w:rPr>
      <w:sz w:val="16"/>
      <w:szCs w:val="16"/>
    </w:rPr>
  </w:style>
  <w:style w:type="paragraph" w:styleId="CommentText">
    <w:name w:val="annotation text"/>
    <w:basedOn w:val="Normal"/>
    <w:link w:val="CommentTextChar"/>
    <w:rsid w:val="005C7FB7"/>
    <w:pPr>
      <w:spacing w:line="240" w:lineRule="auto"/>
    </w:pPr>
    <w:rPr>
      <w:sz w:val="20"/>
    </w:rPr>
  </w:style>
  <w:style w:type="character" w:customStyle="1" w:styleId="CommentTextChar">
    <w:name w:val="Comment Text Char"/>
    <w:basedOn w:val="DefaultParagraphFont"/>
    <w:link w:val="CommentText"/>
    <w:rsid w:val="005C7FB7"/>
  </w:style>
  <w:style w:type="paragraph" w:styleId="CommentSubject">
    <w:name w:val="annotation subject"/>
    <w:basedOn w:val="CommentText"/>
    <w:next w:val="CommentText"/>
    <w:link w:val="CommentSubjectChar"/>
    <w:rsid w:val="005C7FB7"/>
    <w:rPr>
      <w:b/>
      <w:bCs/>
    </w:rPr>
  </w:style>
  <w:style w:type="character" w:customStyle="1" w:styleId="CommentSubjectChar">
    <w:name w:val="Comment Subject Char"/>
    <w:basedOn w:val="CommentTextChar"/>
    <w:link w:val="CommentSubject"/>
    <w:rsid w:val="005C7FB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List Bullet" w:qFormat="1"/>
    <w:lsdException w:name="List Number" w:qFormat="1"/>
    <w:lsdException w:name="List Bullet 2" w:qFormat="1"/>
    <w:lsdException w:name="List Number 2" w:qFormat="1"/>
    <w:lsdException w:name="List Number 3" w:qFormat="1"/>
    <w:lsdException w:name="Hyperlink"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A40FB"/>
    <w:pPr>
      <w:spacing w:before="240" w:line="360" w:lineRule="auto"/>
      <w:jc w:val="both"/>
    </w:pPr>
    <w:rPr>
      <w:sz w:val="24"/>
    </w:rPr>
  </w:style>
  <w:style w:type="paragraph" w:styleId="Heading1">
    <w:name w:val="heading 1"/>
    <w:basedOn w:val="Normal"/>
    <w:next w:val="ListNumber"/>
    <w:qFormat/>
    <w:rsid w:val="009003F4"/>
    <w:pPr>
      <w:keepNext/>
      <w:spacing w:before="360" w:line="240" w:lineRule="auto"/>
      <w:jc w:val="left"/>
      <w:outlineLvl w:val="0"/>
    </w:pPr>
    <w:rPr>
      <w:b/>
      <w:caps/>
    </w:rPr>
  </w:style>
  <w:style w:type="paragraph" w:styleId="Heading2">
    <w:name w:val="heading 2"/>
    <w:basedOn w:val="Normal"/>
    <w:next w:val="ListNumber"/>
    <w:qFormat/>
    <w:rsid w:val="009003F4"/>
    <w:pPr>
      <w:keepNext/>
      <w:spacing w:before="360" w:line="240" w:lineRule="auto"/>
      <w:jc w:val="left"/>
      <w:outlineLvl w:val="1"/>
    </w:pPr>
    <w:rPr>
      <w:b/>
    </w:rPr>
  </w:style>
  <w:style w:type="paragraph" w:styleId="Heading3">
    <w:name w:val="heading 3"/>
    <w:basedOn w:val="Normal"/>
    <w:next w:val="ListNumber"/>
    <w:link w:val="Heading3Char"/>
    <w:qFormat/>
    <w:rsid w:val="00773CCF"/>
    <w:pPr>
      <w:keepNext/>
      <w:spacing w:before="360" w:line="240" w:lineRule="auto"/>
      <w:jc w:val="left"/>
      <w:outlineLvl w:val="2"/>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ntinue">
    <w:name w:val="Normal Continue"/>
    <w:basedOn w:val="Normal"/>
    <w:next w:val="Normal"/>
  </w:style>
  <w:style w:type="paragraph" w:customStyle="1" w:styleId="CatchWords">
    <w:name w:val="CatchWords"/>
    <w:basedOn w:val="Normal"/>
    <w:qFormat/>
    <w:rsid w:val="00FF2873"/>
    <w:pPr>
      <w:spacing w:after="120"/>
      <w:contextualSpacing/>
    </w:pPr>
    <w:rPr>
      <w:i/>
      <w:sz w:val="22"/>
    </w:rPr>
  </w:style>
  <w:style w:type="paragraph" w:customStyle="1" w:styleId="FooterPage1">
    <w:name w:val="Footer Page1"/>
    <w:basedOn w:val="Footer"/>
    <w:rsid w:val="005D5DF5"/>
    <w:pPr>
      <w:jc w:val="left"/>
    </w:pPr>
    <w:rPr>
      <w:b w:val="0"/>
      <w:caps w:val="0"/>
      <w:sz w:val="13"/>
    </w:rPr>
  </w:style>
  <w:style w:type="paragraph" w:customStyle="1" w:styleId="NumberedQuote2">
    <w:name w:val="Numbered Quote 2"/>
    <w:basedOn w:val="Quote"/>
    <w:qFormat/>
    <w:rsid w:val="00BF384D"/>
    <w:pPr>
      <w:numPr>
        <w:numId w:val="44"/>
      </w:numPr>
    </w:pPr>
  </w:style>
  <w:style w:type="paragraph" w:styleId="Quote">
    <w:name w:val="Quote"/>
    <w:basedOn w:val="Normal"/>
    <w:qFormat/>
    <w:rsid w:val="009F2340"/>
    <w:pPr>
      <w:spacing w:before="120" w:line="240" w:lineRule="auto"/>
      <w:ind w:left="709"/>
    </w:pPr>
    <w:rPr>
      <w:i/>
      <w:sz w:val="22"/>
    </w:rPr>
  </w:style>
  <w:style w:type="paragraph" w:styleId="Footer">
    <w:name w:val="footer"/>
    <w:basedOn w:val="Normal"/>
    <w:rsid w:val="009D1AEA"/>
    <w:rPr>
      <w:rFonts w:ascii="Arial" w:hAnsi="Arial"/>
      <w:b/>
      <w:caps/>
      <w:sz w:val="16"/>
    </w:rPr>
  </w:style>
  <w:style w:type="numbering" w:customStyle="1" w:styleId="Style1">
    <w:name w:val="Style1"/>
    <w:basedOn w:val="NoList"/>
    <w:rsid w:val="007C7784"/>
    <w:pPr>
      <w:numPr>
        <w:numId w:val="9"/>
      </w:numPr>
    </w:pPr>
  </w:style>
  <w:style w:type="numbering" w:customStyle="1" w:styleId="Style2">
    <w:name w:val="Style2"/>
    <w:rsid w:val="007C7784"/>
    <w:pPr>
      <w:numPr>
        <w:numId w:val="10"/>
      </w:numPr>
    </w:pPr>
  </w:style>
  <w:style w:type="character" w:customStyle="1" w:styleId="Heading3Char">
    <w:name w:val="Heading 3 Char"/>
    <w:basedOn w:val="DefaultParagraphFont"/>
    <w:link w:val="Heading3"/>
    <w:rsid w:val="00773CCF"/>
    <w:rPr>
      <w:b/>
      <w:i/>
      <w:sz w:val="22"/>
    </w:rPr>
  </w:style>
  <w:style w:type="table" w:styleId="TableGrid">
    <w:name w:val="Table Grid"/>
    <w:basedOn w:val="TableNormal"/>
    <w:rsid w:val="003E45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Spacer">
    <w:name w:val="Table Spacer"/>
    <w:basedOn w:val="Normal"/>
    <w:qFormat/>
    <w:rsid w:val="003A5522"/>
    <w:pPr>
      <w:spacing w:after="240"/>
    </w:pPr>
  </w:style>
  <w:style w:type="paragraph" w:styleId="NormalIndent">
    <w:name w:val="Normal Indent"/>
    <w:basedOn w:val="Normal"/>
    <w:qFormat/>
    <w:rsid w:val="0066062A"/>
    <w:pPr>
      <w:ind w:left="709"/>
    </w:pPr>
  </w:style>
  <w:style w:type="paragraph" w:customStyle="1" w:styleId="NumberedQuote3">
    <w:name w:val="Numbered Quote 3"/>
    <w:basedOn w:val="Quote"/>
    <w:qFormat/>
    <w:rsid w:val="00BF384D"/>
    <w:pPr>
      <w:numPr>
        <w:ilvl w:val="1"/>
        <w:numId w:val="44"/>
      </w:numPr>
    </w:pPr>
  </w:style>
  <w:style w:type="paragraph" w:customStyle="1" w:styleId="NumberedQuote4">
    <w:name w:val="Numbered Quote 4"/>
    <w:basedOn w:val="Quote"/>
    <w:qFormat/>
    <w:rsid w:val="00BF384D"/>
    <w:pPr>
      <w:numPr>
        <w:ilvl w:val="2"/>
        <w:numId w:val="44"/>
      </w:numPr>
    </w:pPr>
  </w:style>
  <w:style w:type="paragraph" w:styleId="ListBullet">
    <w:name w:val="List Bullet"/>
    <w:basedOn w:val="Normal"/>
    <w:qFormat/>
    <w:rsid w:val="000903C8"/>
    <w:pPr>
      <w:numPr>
        <w:numId w:val="27"/>
      </w:numPr>
      <w:spacing w:before="120"/>
      <w:jc w:val="left"/>
    </w:pPr>
    <w:rPr>
      <w:rFonts w:eastAsia="MS Mincho"/>
      <w:szCs w:val="24"/>
      <w:lang w:eastAsia="ja-JP"/>
    </w:rPr>
  </w:style>
  <w:style w:type="paragraph" w:styleId="ListBullet2">
    <w:name w:val="List Bullet 2"/>
    <w:basedOn w:val="Normal"/>
    <w:qFormat/>
    <w:rsid w:val="000903C8"/>
    <w:pPr>
      <w:numPr>
        <w:ilvl w:val="1"/>
        <w:numId w:val="27"/>
      </w:numPr>
      <w:spacing w:before="120"/>
      <w:jc w:val="left"/>
    </w:pPr>
    <w:rPr>
      <w:rFonts w:eastAsia="MS Mincho"/>
      <w:szCs w:val="24"/>
      <w:lang w:eastAsia="ja-JP"/>
    </w:rPr>
  </w:style>
  <w:style w:type="paragraph" w:styleId="ListNumber">
    <w:name w:val="List Number"/>
    <w:basedOn w:val="Normal"/>
    <w:qFormat/>
    <w:rsid w:val="007B585F"/>
    <w:pPr>
      <w:numPr>
        <w:numId w:val="47"/>
      </w:numPr>
      <w:spacing w:before="360"/>
    </w:pPr>
    <w:rPr>
      <w:rFonts w:eastAsia="MS Mincho"/>
      <w:szCs w:val="24"/>
      <w:lang w:eastAsia="ja-JP"/>
    </w:rPr>
  </w:style>
  <w:style w:type="paragraph" w:styleId="ListNumber2">
    <w:name w:val="List Number 2"/>
    <w:basedOn w:val="Normal"/>
    <w:qFormat/>
    <w:rsid w:val="007B585F"/>
    <w:pPr>
      <w:numPr>
        <w:ilvl w:val="1"/>
        <w:numId w:val="47"/>
      </w:numPr>
    </w:pPr>
    <w:rPr>
      <w:rFonts w:eastAsia="MS Mincho"/>
      <w:szCs w:val="24"/>
      <w:lang w:eastAsia="ja-JP"/>
    </w:rPr>
  </w:style>
  <w:style w:type="paragraph" w:styleId="ListNumber3">
    <w:name w:val="List Number 3"/>
    <w:basedOn w:val="Normal"/>
    <w:qFormat/>
    <w:rsid w:val="007B585F"/>
    <w:pPr>
      <w:numPr>
        <w:ilvl w:val="2"/>
        <w:numId w:val="47"/>
      </w:numPr>
    </w:pPr>
    <w:rPr>
      <w:rFonts w:eastAsia="MS Mincho"/>
      <w:szCs w:val="24"/>
      <w:lang w:eastAsia="ja-JP"/>
    </w:rPr>
  </w:style>
  <w:style w:type="table" w:customStyle="1" w:styleId="TableAAT">
    <w:name w:val="Table AAT"/>
    <w:basedOn w:val="TableNormal"/>
    <w:qFormat/>
    <w:rsid w:val="003E261A"/>
    <w:pPr>
      <w:spacing w:before="60" w:after="60"/>
      <w:jc w:val="center"/>
    </w:pPr>
    <w:rPr>
      <w:rFonts w:eastAsia="MS Mincho"/>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StylePr w:type="firstRow">
      <w:pPr>
        <w:wordWrap/>
        <w:jc w:val="center"/>
      </w:pPr>
      <w:rPr>
        <w:rFonts w:ascii="Times New Roman" w:hAnsi="Times New Roman"/>
        <w:b/>
        <w:i w:val="0"/>
        <w:color w:val="auto"/>
        <w:kern w:val="0"/>
        <w:sz w:val="24"/>
      </w:rPr>
      <w:tblPr/>
      <w:tcPr>
        <w:tcBorders>
          <w:top w:val="single" w:sz="4" w:space="0" w:color="auto"/>
          <w:left w:val="single" w:sz="4" w:space="0" w:color="auto"/>
          <w:bottom w:val="nil"/>
          <w:right w:val="single" w:sz="4" w:space="0" w:color="auto"/>
          <w:insideH w:val="nil"/>
          <w:insideV w:val="single" w:sz="4" w:space="0" w:color="auto"/>
          <w:tl2br w:val="nil"/>
          <w:tr2bl w:val="nil"/>
        </w:tcBorders>
      </w:tcPr>
    </w:tblStylePr>
    <w:tblStylePr w:type="firstCol">
      <w:pPr>
        <w:wordWrap/>
        <w:jc w:val="left"/>
      </w:pPr>
    </w:tblStylePr>
  </w:style>
  <w:style w:type="numbering" w:customStyle="1" w:styleId="Bullets">
    <w:name w:val="Bullets"/>
    <w:uiPriority w:val="99"/>
    <w:rsid w:val="000903C8"/>
    <w:pPr>
      <w:numPr>
        <w:numId w:val="21"/>
      </w:numPr>
    </w:pPr>
  </w:style>
  <w:style w:type="paragraph" w:styleId="NoSpacing">
    <w:name w:val="No Spacing"/>
    <w:uiPriority w:val="1"/>
    <w:qFormat/>
    <w:rsid w:val="00D331AA"/>
    <w:pPr>
      <w:jc w:val="both"/>
    </w:pPr>
    <w:rPr>
      <w:sz w:val="24"/>
    </w:rPr>
  </w:style>
  <w:style w:type="paragraph" w:customStyle="1" w:styleId="Label">
    <w:name w:val="Label"/>
    <w:basedOn w:val="Normal"/>
    <w:rsid w:val="00AA34CF"/>
    <w:pPr>
      <w:spacing w:before="180" w:after="180" w:line="240" w:lineRule="auto"/>
    </w:pPr>
    <w:rPr>
      <w:sz w:val="20"/>
    </w:rPr>
  </w:style>
  <w:style w:type="paragraph" w:styleId="BalloonText">
    <w:name w:val="Balloon Text"/>
    <w:basedOn w:val="Normal"/>
    <w:link w:val="BalloonTextChar"/>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3D36"/>
    <w:rPr>
      <w:rFonts w:ascii="Tahoma" w:hAnsi="Tahoma" w:cs="Tahoma"/>
      <w:sz w:val="16"/>
      <w:szCs w:val="16"/>
    </w:rPr>
  </w:style>
  <w:style w:type="paragraph" w:styleId="Header">
    <w:name w:val="header"/>
    <w:basedOn w:val="Normal"/>
    <w:link w:val="HeaderChar"/>
    <w:rsid w:val="00DD17FC"/>
    <w:pPr>
      <w:tabs>
        <w:tab w:val="center" w:pos="4513"/>
        <w:tab w:val="right" w:pos="9026"/>
      </w:tabs>
      <w:spacing w:before="0" w:line="240" w:lineRule="auto"/>
    </w:pPr>
  </w:style>
  <w:style w:type="character" w:customStyle="1" w:styleId="HeaderChar">
    <w:name w:val="Header Char"/>
    <w:basedOn w:val="DefaultParagraphFont"/>
    <w:link w:val="Header"/>
    <w:rsid w:val="00DD17FC"/>
    <w:rPr>
      <w:sz w:val="24"/>
    </w:rPr>
  </w:style>
  <w:style w:type="paragraph" w:customStyle="1" w:styleId="Details">
    <w:name w:val="Details"/>
    <w:basedOn w:val="Normal"/>
    <w:qFormat/>
    <w:rsid w:val="00A9538E"/>
    <w:pPr>
      <w:contextualSpacing/>
    </w:pPr>
    <w:rPr>
      <w:b/>
      <w:bCs/>
    </w:rPr>
  </w:style>
  <w:style w:type="paragraph" w:styleId="FootnoteText">
    <w:name w:val="footnote text"/>
    <w:basedOn w:val="Normal"/>
    <w:link w:val="FootnoteTextChar"/>
    <w:qFormat/>
    <w:rsid w:val="003E5E87"/>
    <w:pPr>
      <w:spacing w:before="60" w:line="240" w:lineRule="auto"/>
    </w:pPr>
    <w:rPr>
      <w:i/>
      <w:sz w:val="18"/>
    </w:rPr>
  </w:style>
  <w:style w:type="character" w:customStyle="1" w:styleId="FootnoteTextChar">
    <w:name w:val="Footnote Text Char"/>
    <w:basedOn w:val="DefaultParagraphFont"/>
    <w:link w:val="FootnoteText"/>
    <w:rsid w:val="003E5E87"/>
    <w:rPr>
      <w:i/>
      <w:sz w:val="18"/>
    </w:rPr>
  </w:style>
  <w:style w:type="character" w:styleId="FootnoteReference">
    <w:name w:val="footnote reference"/>
    <w:basedOn w:val="DefaultParagraphFont"/>
    <w:rsid w:val="0012021D"/>
    <w:rPr>
      <w:vertAlign w:val="superscript"/>
    </w:rPr>
  </w:style>
  <w:style w:type="numbering" w:customStyle="1" w:styleId="ListNumbers">
    <w:name w:val="ListNumbers"/>
    <w:uiPriority w:val="99"/>
    <w:rsid w:val="007B585F"/>
    <w:pPr>
      <w:numPr>
        <w:numId w:val="34"/>
      </w:numPr>
    </w:pPr>
  </w:style>
  <w:style w:type="character" w:styleId="PlaceholderText">
    <w:name w:val="Placeholder Text"/>
    <w:basedOn w:val="DefaultParagraphFont"/>
    <w:uiPriority w:val="99"/>
    <w:semiHidden/>
    <w:rsid w:val="004A55A2"/>
    <w:rPr>
      <w:color w:val="808080"/>
    </w:rPr>
  </w:style>
  <w:style w:type="paragraph" w:styleId="Title">
    <w:name w:val="Title"/>
    <w:basedOn w:val="Normal"/>
    <w:next w:val="Normal"/>
    <w:link w:val="TitleChar"/>
    <w:rsid w:val="000D1F26"/>
    <w:pPr>
      <w:tabs>
        <w:tab w:val="left" w:pos="5681"/>
      </w:tabs>
    </w:pPr>
    <w:rPr>
      <w:rFonts w:eastAsiaTheme="majorEastAsia" w:cstheme="majorBidi"/>
      <w:b/>
      <w:szCs w:val="52"/>
    </w:rPr>
  </w:style>
  <w:style w:type="character" w:customStyle="1" w:styleId="TitleChar">
    <w:name w:val="Title Char"/>
    <w:basedOn w:val="DefaultParagraphFont"/>
    <w:link w:val="Title"/>
    <w:rsid w:val="000D1F26"/>
    <w:rPr>
      <w:rFonts w:eastAsiaTheme="majorEastAsia" w:cstheme="majorBidi"/>
      <w:b/>
      <w:sz w:val="24"/>
      <w:szCs w:val="52"/>
    </w:rPr>
  </w:style>
  <w:style w:type="numbering" w:customStyle="1" w:styleId="Quotes">
    <w:name w:val="Quotes"/>
    <w:uiPriority w:val="99"/>
    <w:rsid w:val="00BF384D"/>
    <w:pPr>
      <w:numPr>
        <w:numId w:val="42"/>
      </w:numPr>
    </w:pPr>
  </w:style>
  <w:style w:type="paragraph" w:customStyle="1" w:styleId="Quote2">
    <w:name w:val="Quote 2"/>
    <w:basedOn w:val="Quote"/>
    <w:qFormat/>
    <w:rsid w:val="009F2340"/>
    <w:pPr>
      <w:ind w:left="1276"/>
    </w:pPr>
  </w:style>
  <w:style w:type="paragraph" w:customStyle="1" w:styleId="Quote3">
    <w:name w:val="Quote 3"/>
    <w:basedOn w:val="Quote"/>
    <w:qFormat/>
    <w:rsid w:val="009F2340"/>
    <w:pPr>
      <w:ind w:left="1843"/>
    </w:pPr>
  </w:style>
  <w:style w:type="paragraph" w:customStyle="1" w:styleId="Quote4">
    <w:name w:val="Quote 4"/>
    <w:basedOn w:val="Quote"/>
    <w:qFormat/>
    <w:rsid w:val="009F2340"/>
    <w:pPr>
      <w:ind w:left="2410"/>
    </w:pPr>
  </w:style>
  <w:style w:type="paragraph" w:customStyle="1" w:styleId="FollowingPara">
    <w:name w:val="FollowingPara"/>
    <w:basedOn w:val="Normal"/>
    <w:qFormat/>
    <w:rsid w:val="00417658"/>
  </w:style>
  <w:style w:type="paragraph" w:customStyle="1" w:styleId="TableText">
    <w:name w:val="Table Text"/>
    <w:basedOn w:val="Normal"/>
    <w:qFormat/>
    <w:rsid w:val="00921243"/>
    <w:rPr>
      <w:sz w:val="22"/>
    </w:rPr>
  </w:style>
  <w:style w:type="character" w:styleId="Hyperlink">
    <w:name w:val="Hyperlink"/>
    <w:basedOn w:val="DefaultParagraphFont"/>
    <w:uiPriority w:val="99"/>
    <w:unhideWhenUsed/>
    <w:rsid w:val="00E52230"/>
    <w:rPr>
      <w:color w:val="0000FF"/>
      <w:u w:val="single"/>
    </w:rPr>
  </w:style>
  <w:style w:type="character" w:customStyle="1" w:styleId="legtitle1">
    <w:name w:val="legtitle1"/>
    <w:basedOn w:val="DefaultParagraphFont"/>
    <w:rsid w:val="005E5570"/>
    <w:rPr>
      <w:rFonts w:ascii="Arial" w:hAnsi="Arial" w:cs="Arial" w:hint="default"/>
      <w:b/>
      <w:bCs/>
      <w:color w:val="10418E"/>
      <w:sz w:val="40"/>
      <w:szCs w:val="40"/>
    </w:rPr>
  </w:style>
  <w:style w:type="character" w:styleId="CommentReference">
    <w:name w:val="annotation reference"/>
    <w:basedOn w:val="DefaultParagraphFont"/>
    <w:rsid w:val="005C7FB7"/>
    <w:rPr>
      <w:sz w:val="16"/>
      <w:szCs w:val="16"/>
    </w:rPr>
  </w:style>
  <w:style w:type="paragraph" w:styleId="CommentText">
    <w:name w:val="annotation text"/>
    <w:basedOn w:val="Normal"/>
    <w:link w:val="CommentTextChar"/>
    <w:rsid w:val="005C7FB7"/>
    <w:pPr>
      <w:spacing w:line="240" w:lineRule="auto"/>
    </w:pPr>
    <w:rPr>
      <w:sz w:val="20"/>
    </w:rPr>
  </w:style>
  <w:style w:type="character" w:customStyle="1" w:styleId="CommentTextChar">
    <w:name w:val="Comment Text Char"/>
    <w:basedOn w:val="DefaultParagraphFont"/>
    <w:link w:val="CommentText"/>
    <w:rsid w:val="005C7FB7"/>
  </w:style>
  <w:style w:type="paragraph" w:styleId="CommentSubject">
    <w:name w:val="annotation subject"/>
    <w:basedOn w:val="CommentText"/>
    <w:next w:val="CommentText"/>
    <w:link w:val="CommentSubjectChar"/>
    <w:rsid w:val="005C7FB7"/>
    <w:rPr>
      <w:b/>
      <w:bCs/>
    </w:rPr>
  </w:style>
  <w:style w:type="character" w:customStyle="1" w:styleId="CommentSubjectChar">
    <w:name w:val="Comment Subject Char"/>
    <w:basedOn w:val="CommentTextChar"/>
    <w:link w:val="CommentSubject"/>
    <w:rsid w:val="005C7F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4896879">
      <w:bodyDiv w:val="1"/>
      <w:marLeft w:val="0"/>
      <w:marRight w:val="0"/>
      <w:marTop w:val="0"/>
      <w:marBottom w:val="0"/>
      <w:divBdr>
        <w:top w:val="none" w:sz="0" w:space="0" w:color="auto"/>
        <w:left w:val="none" w:sz="0" w:space="0" w:color="auto"/>
        <w:bottom w:val="none" w:sz="0" w:space="0" w:color="auto"/>
        <w:right w:val="none" w:sz="0" w:space="0" w:color="auto"/>
      </w:divBdr>
      <w:divsChild>
        <w:div w:id="1556700480">
          <w:marLeft w:val="0"/>
          <w:marRight w:val="0"/>
          <w:marTop w:val="0"/>
          <w:marBottom w:val="0"/>
          <w:divBdr>
            <w:top w:val="none" w:sz="0" w:space="0" w:color="auto"/>
            <w:left w:val="none" w:sz="0" w:space="0" w:color="auto"/>
            <w:bottom w:val="none" w:sz="0" w:space="0" w:color="auto"/>
            <w:right w:val="none" w:sz="0" w:space="0" w:color="auto"/>
          </w:divBdr>
          <w:divsChild>
            <w:div w:id="874541053">
              <w:marLeft w:val="0"/>
              <w:marRight w:val="0"/>
              <w:marTop w:val="0"/>
              <w:marBottom w:val="0"/>
              <w:divBdr>
                <w:top w:val="none" w:sz="0" w:space="0" w:color="auto"/>
                <w:left w:val="none" w:sz="0" w:space="0" w:color="auto"/>
                <w:bottom w:val="none" w:sz="0" w:space="0" w:color="auto"/>
                <w:right w:val="none" w:sz="0" w:space="0" w:color="auto"/>
              </w:divBdr>
              <w:divsChild>
                <w:div w:id="1668290086">
                  <w:marLeft w:val="0"/>
                  <w:marRight w:val="0"/>
                  <w:marTop w:val="0"/>
                  <w:marBottom w:val="0"/>
                  <w:divBdr>
                    <w:top w:val="none" w:sz="0" w:space="0" w:color="auto"/>
                    <w:left w:val="none" w:sz="0" w:space="0" w:color="auto"/>
                    <w:bottom w:val="none" w:sz="0" w:space="0" w:color="auto"/>
                    <w:right w:val="none" w:sz="0" w:space="0" w:color="auto"/>
                  </w:divBdr>
                  <w:divsChild>
                    <w:div w:id="137721657">
                      <w:marLeft w:val="0"/>
                      <w:marRight w:val="0"/>
                      <w:marTop w:val="0"/>
                      <w:marBottom w:val="0"/>
                      <w:divBdr>
                        <w:top w:val="none" w:sz="0" w:space="0" w:color="auto"/>
                        <w:left w:val="none" w:sz="0" w:space="0" w:color="auto"/>
                        <w:bottom w:val="none" w:sz="0" w:space="0" w:color="auto"/>
                        <w:right w:val="none" w:sz="0" w:space="0" w:color="auto"/>
                      </w:divBdr>
                      <w:divsChild>
                        <w:div w:id="355887652">
                          <w:marLeft w:val="0"/>
                          <w:marRight w:val="0"/>
                          <w:marTop w:val="0"/>
                          <w:marBottom w:val="0"/>
                          <w:divBdr>
                            <w:top w:val="none" w:sz="0" w:space="0" w:color="auto"/>
                            <w:left w:val="none" w:sz="0" w:space="0" w:color="auto"/>
                            <w:bottom w:val="none" w:sz="0" w:space="0" w:color="auto"/>
                            <w:right w:val="none" w:sz="0" w:space="0" w:color="auto"/>
                          </w:divBdr>
                          <w:divsChild>
                            <w:div w:id="157562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Decisions\DecisionAndReasons_AAT.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EB1424D14CD4D5EB2F1B5C419EBC075"/>
        <w:category>
          <w:name w:val="General"/>
          <w:gallery w:val="placeholder"/>
        </w:category>
        <w:types>
          <w:type w:val="bbPlcHdr"/>
        </w:types>
        <w:behaviors>
          <w:behavior w:val="content"/>
        </w:behaviors>
        <w:guid w:val="{7C7E76F1-623B-4D4C-AF2A-AACC97B5676D}"/>
      </w:docPartPr>
      <w:docPartBody>
        <w:p w:rsidR="00EE2B28" w:rsidRDefault="00752634">
          <w:pPr>
            <w:pStyle w:val="5EB1424D14CD4D5EB2F1B5C419EBC075"/>
          </w:pPr>
          <w:r w:rsidRPr="00CD5897">
            <w:rPr>
              <w:rStyle w:val="PlaceholderText"/>
            </w:rPr>
            <w:t>Click here to enter</w:t>
          </w:r>
          <w:r>
            <w:rPr>
              <w:rStyle w:val="PlaceholderText"/>
            </w:rPr>
            <w:t xml:space="preserve"> decision</w:t>
          </w:r>
          <w:r w:rsidRPr="00CD5897">
            <w:rPr>
              <w:rStyle w:val="PlaceholderText"/>
            </w:rPr>
            <w:t>.</w:t>
          </w:r>
        </w:p>
      </w:docPartBody>
    </w:docPart>
    <w:docPart>
      <w:docPartPr>
        <w:name w:val="ABCB742949B94EBFB6B5929E691FEACD"/>
        <w:category>
          <w:name w:val="General"/>
          <w:gallery w:val="placeholder"/>
        </w:category>
        <w:types>
          <w:type w:val="bbPlcHdr"/>
        </w:types>
        <w:behaviors>
          <w:behavior w:val="content"/>
        </w:behaviors>
        <w:guid w:val="{153D1E0C-B899-4423-AB40-A2CB2B1761A5}"/>
      </w:docPartPr>
      <w:docPartBody>
        <w:p w:rsidR="00EE2B28" w:rsidRDefault="00752634">
          <w:pPr>
            <w:pStyle w:val="ABCB742949B94EBFB6B5929E691FEACD"/>
          </w:pPr>
          <w:r w:rsidRPr="00CD5897">
            <w:rPr>
              <w:rStyle w:val="PlaceholderText"/>
            </w:rPr>
            <w:t>Click here to enter text.</w:t>
          </w:r>
        </w:p>
      </w:docPartBody>
    </w:docPart>
    <w:docPart>
      <w:docPartPr>
        <w:name w:val="DD50418ADF374728A41ED0F0210AE245"/>
        <w:category>
          <w:name w:val="General"/>
          <w:gallery w:val="placeholder"/>
        </w:category>
        <w:types>
          <w:type w:val="bbPlcHdr"/>
        </w:types>
        <w:behaviors>
          <w:behavior w:val="content"/>
        </w:behaviors>
        <w:guid w:val="{CD87FD86-C790-4457-B0C7-C83C6D90B268}"/>
      </w:docPartPr>
      <w:docPartBody>
        <w:p w:rsidR="00EE2B28" w:rsidRDefault="00752634">
          <w:pPr>
            <w:pStyle w:val="DD50418ADF374728A41ED0F0210AE245"/>
          </w:pPr>
          <w:r w:rsidRPr="00CD5897">
            <w:rPr>
              <w:rStyle w:val="PlaceholderText"/>
            </w:rPr>
            <w:t>Click here to enter text.</w:t>
          </w:r>
        </w:p>
      </w:docPartBody>
    </w:docPart>
    <w:docPart>
      <w:docPartPr>
        <w:name w:val="72151A60390E4C50B796F72F754C56BD"/>
        <w:category>
          <w:name w:val="General"/>
          <w:gallery w:val="placeholder"/>
        </w:category>
        <w:types>
          <w:type w:val="bbPlcHdr"/>
        </w:types>
        <w:behaviors>
          <w:behavior w:val="content"/>
        </w:behaviors>
        <w:guid w:val="{6F914FFE-B5B8-4CB3-B675-1B726CF949CC}"/>
      </w:docPartPr>
      <w:docPartBody>
        <w:p w:rsidR="00EE2B28" w:rsidRDefault="00752634">
          <w:pPr>
            <w:pStyle w:val="72151A60390E4C50B796F72F754C56BD"/>
          </w:pPr>
          <w:r w:rsidRPr="00CD58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B28"/>
    <w:rsid w:val="00752634"/>
    <w:rsid w:val="00EE2B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EB1424D14CD4D5EB2F1B5C419EBC075">
    <w:name w:val="5EB1424D14CD4D5EB2F1B5C419EBC075"/>
  </w:style>
  <w:style w:type="paragraph" w:customStyle="1" w:styleId="ABCB742949B94EBFB6B5929E691FEACD">
    <w:name w:val="ABCB742949B94EBFB6B5929E691FEACD"/>
  </w:style>
  <w:style w:type="paragraph" w:customStyle="1" w:styleId="DD50418ADF374728A41ED0F0210AE245">
    <w:name w:val="DD50418ADF374728A41ED0F0210AE245"/>
  </w:style>
  <w:style w:type="paragraph" w:customStyle="1" w:styleId="72151A60390E4C50B796F72F754C56BD">
    <w:name w:val="72151A60390E4C50B796F72F754C56BD"/>
  </w:style>
  <w:style w:type="paragraph" w:customStyle="1" w:styleId="EA377ACC8BA74208970C433E836A52BF">
    <w:name w:val="EA377ACC8BA74208970C433E836A52B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EB1424D14CD4D5EB2F1B5C419EBC075">
    <w:name w:val="5EB1424D14CD4D5EB2F1B5C419EBC075"/>
  </w:style>
  <w:style w:type="paragraph" w:customStyle="1" w:styleId="ABCB742949B94EBFB6B5929E691FEACD">
    <w:name w:val="ABCB742949B94EBFB6B5929E691FEACD"/>
  </w:style>
  <w:style w:type="paragraph" w:customStyle="1" w:styleId="DD50418ADF374728A41ED0F0210AE245">
    <w:name w:val="DD50418ADF374728A41ED0F0210AE245"/>
  </w:style>
  <w:style w:type="paragraph" w:customStyle="1" w:styleId="72151A60390E4C50B796F72F754C56BD">
    <w:name w:val="72151A60390E4C50B796F72F754C56BD"/>
  </w:style>
  <w:style w:type="paragraph" w:customStyle="1" w:styleId="EA377ACC8BA74208970C433E836A52BF">
    <w:name w:val="EA377ACC8BA74208970C433E836A52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EB2F8-1FAE-487F-9D04-D5EEBBE1F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DecisionAndReasons_AAT.dotm</Template>
  <TotalTime>0</TotalTime>
  <Pages>10</Pages>
  <Words>2860</Words>
  <Characters>15010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Administrative Appeals Tribunal</Company>
  <LinksUpToDate>false</LinksUpToDate>
  <CharactersWithSpaces>17835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Sarah</dc:creator>
  <cp:lastModifiedBy>Dalwood, Jacqui</cp:lastModifiedBy>
  <cp:revision>2</cp:revision>
  <cp:lastPrinted>2014-05-02T00:58:00Z</cp:lastPrinted>
  <dcterms:created xsi:type="dcterms:W3CDTF">2014-05-05T05:06:00Z</dcterms:created>
  <dcterms:modified xsi:type="dcterms:W3CDTF">2014-05-05T05:06:00Z</dcterms:modified>
  <cp:category>Decision and Reasons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cisionNumber">
    <vt:lpwstr> </vt:lpwstr>
  </property>
  <property fmtid="{D5CDD505-2E9C-101B-9397-08002B2CF9AE}" pid="3" name="TribunalText">
    <vt:lpwstr/>
  </property>
  <property fmtid="{D5CDD505-2E9C-101B-9397-08002B2CF9AE}" pid="4" name="ThirdParty5">
    <vt:lpwstr> </vt:lpwstr>
  </property>
  <property fmtid="{D5CDD505-2E9C-101B-9397-08002B2CF9AE}" pid="5" name="ThirdParty4">
    <vt:lpwstr> </vt:lpwstr>
  </property>
  <property fmtid="{D5CDD505-2E9C-101B-9397-08002B2CF9AE}" pid="6" name="ThirdParty3">
    <vt:lpwstr> </vt:lpwstr>
  </property>
  <property fmtid="{D5CDD505-2E9C-101B-9397-08002B2CF9AE}" pid="7" name="ThirdParty2">
    <vt:lpwstr> </vt:lpwstr>
  </property>
  <property fmtid="{D5CDD505-2E9C-101B-9397-08002B2CF9AE}" pid="8" name="OtherParty5">
    <vt:lpwstr> </vt:lpwstr>
  </property>
  <property fmtid="{D5CDD505-2E9C-101B-9397-08002B2CF9AE}" pid="9" name="OtherParty4">
    <vt:lpwstr> </vt:lpwstr>
  </property>
  <property fmtid="{D5CDD505-2E9C-101B-9397-08002B2CF9AE}" pid="10" name="OtherParty3">
    <vt:lpwstr> </vt:lpwstr>
  </property>
  <property fmtid="{D5CDD505-2E9C-101B-9397-08002B2CF9AE}" pid="11" name="OtherParty2">
    <vt:lpwstr> </vt:lpwstr>
  </property>
  <property fmtid="{D5CDD505-2E9C-101B-9397-08002B2CF9AE}" pid="12" name="Respondent5">
    <vt:lpwstr> </vt:lpwstr>
  </property>
  <property fmtid="{D5CDD505-2E9C-101B-9397-08002B2CF9AE}" pid="13" name="Respondent4">
    <vt:lpwstr> </vt:lpwstr>
  </property>
  <property fmtid="{D5CDD505-2E9C-101B-9397-08002B2CF9AE}" pid="14" name="Respondent3">
    <vt:lpwstr> </vt:lpwstr>
  </property>
  <property fmtid="{D5CDD505-2E9C-101B-9397-08002B2CF9AE}" pid="15" name="Respondent2">
    <vt:lpwstr> </vt:lpwstr>
  </property>
  <property fmtid="{D5CDD505-2E9C-101B-9397-08002B2CF9AE}" pid="16" name="Respondent">
    <vt:lpwstr>Military Rehabilitation and Compensation Commission</vt:lpwstr>
  </property>
  <property fmtid="{D5CDD505-2E9C-101B-9397-08002B2CF9AE}" pid="17" name="JoinedParty5">
    <vt:lpwstr> </vt:lpwstr>
  </property>
  <property fmtid="{D5CDD505-2E9C-101B-9397-08002B2CF9AE}" pid="18" name="JoinedParty4">
    <vt:lpwstr> </vt:lpwstr>
  </property>
  <property fmtid="{D5CDD505-2E9C-101B-9397-08002B2CF9AE}" pid="19" name="JoinedParty3">
    <vt:lpwstr> </vt:lpwstr>
  </property>
  <property fmtid="{D5CDD505-2E9C-101B-9397-08002B2CF9AE}" pid="20" name="JoinedParty2">
    <vt:lpwstr> </vt:lpwstr>
  </property>
  <property fmtid="{D5CDD505-2E9C-101B-9397-08002B2CF9AE}" pid="21" name="Applicant5">
    <vt:lpwstr> </vt:lpwstr>
  </property>
  <property fmtid="{D5CDD505-2E9C-101B-9397-08002B2CF9AE}" pid="22" name="Applicant4">
    <vt:lpwstr> </vt:lpwstr>
  </property>
  <property fmtid="{D5CDD505-2E9C-101B-9397-08002B2CF9AE}" pid="23" name="Applicant3">
    <vt:lpwstr> </vt:lpwstr>
  </property>
  <property fmtid="{D5CDD505-2E9C-101B-9397-08002B2CF9AE}" pid="24" name="Applicant2">
    <vt:lpwstr> </vt:lpwstr>
  </property>
  <property fmtid="{D5CDD505-2E9C-101B-9397-08002B2CF9AE}" pid="25" name="Applicant">
    <vt:lpwstr>Kerri Riley</vt:lpwstr>
  </property>
  <property fmtid="{D5CDD505-2E9C-101B-9397-08002B2CF9AE}" pid="26" name="FileNumber">
    <vt:lpwstr>2011/3352</vt:lpwstr>
  </property>
  <property fmtid="{D5CDD505-2E9C-101B-9397-08002B2CF9AE}" pid="27" name="FileNumber2">
    <vt:lpwstr> </vt:lpwstr>
  </property>
  <property fmtid="{D5CDD505-2E9C-101B-9397-08002B2CF9AE}" pid="28" name="FileNumber3">
    <vt:lpwstr> </vt:lpwstr>
  </property>
  <property fmtid="{D5CDD505-2E9C-101B-9397-08002B2CF9AE}" pid="29" name="FileNumber4">
    <vt:lpwstr> </vt:lpwstr>
  </property>
  <property fmtid="{D5CDD505-2E9C-101B-9397-08002B2CF9AE}" pid="30" name="FileNumber5">
    <vt:lpwstr> </vt:lpwstr>
  </property>
  <property fmtid="{D5CDD505-2E9C-101B-9397-08002B2CF9AE}" pid="31" name="FileNumber6">
    <vt:lpwstr> </vt:lpwstr>
  </property>
  <property fmtid="{D5CDD505-2E9C-101B-9397-08002B2CF9AE}" pid="32" name="FileNumber7">
    <vt:lpwstr> </vt:lpwstr>
  </property>
  <property fmtid="{D5CDD505-2E9C-101B-9397-08002B2CF9AE}" pid="33" name="FileNumber8">
    <vt:lpwstr> </vt:lpwstr>
  </property>
  <property fmtid="{D5CDD505-2E9C-101B-9397-08002B2CF9AE}" pid="34" name="FileNumber9">
    <vt:lpwstr> </vt:lpwstr>
  </property>
  <property fmtid="{D5CDD505-2E9C-101B-9397-08002B2CF9AE}" pid="35" name="FileNumber10">
    <vt:lpwstr> </vt:lpwstr>
  </property>
  <property fmtid="{D5CDD505-2E9C-101B-9397-08002B2CF9AE}" pid="36" name="FileNumber11">
    <vt:lpwstr> </vt:lpwstr>
  </property>
  <property fmtid="{D5CDD505-2E9C-101B-9397-08002B2CF9AE}" pid="37" name="Applicant6">
    <vt:lpwstr> </vt:lpwstr>
  </property>
  <property fmtid="{D5CDD505-2E9C-101B-9397-08002B2CF9AE}" pid="38" name="Applicant7">
    <vt:lpwstr> </vt:lpwstr>
  </property>
  <property fmtid="{D5CDD505-2E9C-101B-9397-08002B2CF9AE}" pid="39" name="Applicant8">
    <vt:lpwstr> </vt:lpwstr>
  </property>
  <property fmtid="{D5CDD505-2E9C-101B-9397-08002B2CF9AE}" pid="40" name="Applicant9">
    <vt:lpwstr> </vt:lpwstr>
  </property>
  <property fmtid="{D5CDD505-2E9C-101B-9397-08002B2CF9AE}" pid="41" name="Applicant10">
    <vt:lpwstr> </vt:lpwstr>
  </property>
  <property fmtid="{D5CDD505-2E9C-101B-9397-08002B2CF9AE}" pid="42" name="Applicant11">
    <vt:lpwstr> </vt:lpwstr>
  </property>
  <property fmtid="{D5CDD505-2E9C-101B-9397-08002B2CF9AE}" pid="43" name="Respondent6">
    <vt:lpwstr> </vt:lpwstr>
  </property>
  <property fmtid="{D5CDD505-2E9C-101B-9397-08002B2CF9AE}" pid="44" name="Respondent7">
    <vt:lpwstr> </vt:lpwstr>
  </property>
  <property fmtid="{D5CDD505-2E9C-101B-9397-08002B2CF9AE}" pid="45" name="Respondent8">
    <vt:lpwstr> </vt:lpwstr>
  </property>
  <property fmtid="{D5CDD505-2E9C-101B-9397-08002B2CF9AE}" pid="46" name="Respondent9">
    <vt:lpwstr> </vt:lpwstr>
  </property>
  <property fmtid="{D5CDD505-2E9C-101B-9397-08002B2CF9AE}" pid="47" name="Respondent10">
    <vt:lpwstr> </vt:lpwstr>
  </property>
  <property fmtid="{D5CDD505-2E9C-101B-9397-08002B2CF9AE}" pid="48" name="Respondent11">
    <vt:lpwstr> </vt:lpwstr>
  </property>
  <property fmtid="{D5CDD505-2E9C-101B-9397-08002B2CF9AE}" pid="49" name="JoinedParty6">
    <vt:lpwstr> </vt:lpwstr>
  </property>
  <property fmtid="{D5CDD505-2E9C-101B-9397-08002B2CF9AE}" pid="50" name="JoinedParty7">
    <vt:lpwstr> </vt:lpwstr>
  </property>
  <property fmtid="{D5CDD505-2E9C-101B-9397-08002B2CF9AE}" pid="51" name="JoinedParty8">
    <vt:lpwstr> </vt:lpwstr>
  </property>
  <property fmtid="{D5CDD505-2E9C-101B-9397-08002B2CF9AE}" pid="52" name="JoinedParty9">
    <vt:lpwstr> </vt:lpwstr>
  </property>
  <property fmtid="{D5CDD505-2E9C-101B-9397-08002B2CF9AE}" pid="53" name="JoinedParty10">
    <vt:lpwstr> </vt:lpwstr>
  </property>
  <property fmtid="{D5CDD505-2E9C-101B-9397-08002B2CF9AE}" pid="54" name="JoinedParty11">
    <vt:lpwstr> </vt:lpwstr>
  </property>
  <property fmtid="{D5CDD505-2E9C-101B-9397-08002B2CF9AE}" pid="55" name="OtherParty6">
    <vt:lpwstr> </vt:lpwstr>
  </property>
  <property fmtid="{D5CDD505-2E9C-101B-9397-08002B2CF9AE}" pid="56" name="OtherParty7">
    <vt:lpwstr> </vt:lpwstr>
  </property>
  <property fmtid="{D5CDD505-2E9C-101B-9397-08002B2CF9AE}" pid="57" name="OtherParty8">
    <vt:lpwstr> </vt:lpwstr>
  </property>
  <property fmtid="{D5CDD505-2E9C-101B-9397-08002B2CF9AE}" pid="58" name="OtherParty9">
    <vt:lpwstr> </vt:lpwstr>
  </property>
  <property fmtid="{D5CDD505-2E9C-101B-9397-08002B2CF9AE}" pid="59" name="OtherParty10">
    <vt:lpwstr> </vt:lpwstr>
  </property>
  <property fmtid="{D5CDD505-2E9C-101B-9397-08002B2CF9AE}" pid="60" name="OtherParty11">
    <vt:lpwstr> </vt:lpwstr>
  </property>
  <property fmtid="{D5CDD505-2E9C-101B-9397-08002B2CF9AE}" pid="61" name="ThirdParty6">
    <vt:lpwstr> </vt:lpwstr>
  </property>
  <property fmtid="{D5CDD505-2E9C-101B-9397-08002B2CF9AE}" pid="62" name="ThirdParty7">
    <vt:lpwstr> </vt:lpwstr>
  </property>
  <property fmtid="{D5CDD505-2E9C-101B-9397-08002B2CF9AE}" pid="63" name="ThirdParty8">
    <vt:lpwstr> </vt:lpwstr>
  </property>
  <property fmtid="{D5CDD505-2E9C-101B-9397-08002B2CF9AE}" pid="64" name="ThirdParty9">
    <vt:lpwstr> </vt:lpwstr>
  </property>
  <property fmtid="{D5CDD505-2E9C-101B-9397-08002B2CF9AE}" pid="65" name="ThirdParty10">
    <vt:lpwstr> </vt:lpwstr>
  </property>
  <property fmtid="{D5CDD505-2E9C-101B-9397-08002B2CF9AE}" pid="66" name="ThirdParty11">
    <vt:lpwstr> </vt:lpwstr>
  </property>
  <property fmtid="{D5CDD505-2E9C-101B-9397-08002B2CF9AE}" pid="67" name="ThirdParty">
    <vt:lpwstr> </vt:lpwstr>
  </property>
  <property fmtid="{D5CDD505-2E9C-101B-9397-08002B2CF9AE}" pid="68" name="OtherParty">
    <vt:lpwstr> </vt:lpwstr>
  </property>
  <property fmtid="{D5CDD505-2E9C-101B-9397-08002B2CF9AE}" pid="69" name="JoinedParty">
    <vt:lpwstr> </vt:lpwstr>
  </property>
  <property fmtid="{D5CDD505-2E9C-101B-9397-08002B2CF9AE}" pid="70" name="Division">
    <vt:lpwstr>Veterans' Appeals Division</vt:lpwstr>
  </property>
  <property fmtid="{D5CDD505-2E9C-101B-9397-08002B2CF9AE}" pid="71" name="TribunalSignee">
    <vt:lpwstr>Senior Member Bernard J McCabe</vt:lpwstr>
  </property>
  <property fmtid="{D5CDD505-2E9C-101B-9397-08002B2CF9AE}" pid="72" name="Catchwords">
    <vt:lpwstr> </vt:lpwstr>
  </property>
  <property fmtid="{D5CDD505-2E9C-101B-9397-08002B2CF9AE}" pid="73" name="Legislation">
    <vt:lpwstr> </vt:lpwstr>
  </property>
  <property fmtid="{D5CDD505-2E9C-101B-9397-08002B2CF9AE}" pid="74" name="Cases">
    <vt:lpwstr> </vt:lpwstr>
  </property>
  <property fmtid="{D5CDD505-2E9C-101B-9397-08002B2CF9AE}" pid="75" name="SecondaryMaterials">
    <vt:lpwstr> </vt:lpwstr>
  </property>
  <property fmtid="{D5CDD505-2E9C-101B-9397-08002B2CF9AE}" pid="76" name="DateOfHearing">
    <vt:lpwstr>7 &amp; 8 April 2014</vt:lpwstr>
  </property>
  <property fmtid="{D5CDD505-2E9C-101B-9397-08002B2CF9AE}" pid="77" name="DateFinalSubmission">
    <vt:lpwstr> </vt:lpwstr>
  </property>
  <property fmtid="{D5CDD505-2E9C-101B-9397-08002B2CF9AE}" pid="78" name="Applicant_Counsel">
    <vt:lpwstr>Mr M Black</vt:lpwstr>
  </property>
  <property fmtid="{D5CDD505-2E9C-101B-9397-08002B2CF9AE}" pid="79" name="Applicant_Advocate">
    <vt:lpwstr> </vt:lpwstr>
  </property>
  <property fmtid="{D5CDD505-2E9C-101B-9397-08002B2CF9AE}" pid="80" name="Applicant_Solicitors">
    <vt:lpwstr>KCI Lawyers</vt:lpwstr>
  </property>
  <property fmtid="{D5CDD505-2E9C-101B-9397-08002B2CF9AE}" pid="81" name="Respondent_Counsel">
    <vt:lpwstr> </vt:lpwstr>
  </property>
  <property fmtid="{D5CDD505-2E9C-101B-9397-08002B2CF9AE}" pid="82" name="Respondent_Advocate">
    <vt:lpwstr>Mr B Dube</vt:lpwstr>
  </property>
  <property fmtid="{D5CDD505-2E9C-101B-9397-08002B2CF9AE}" pid="83" name="Respondent_Solicitors">
    <vt:lpwstr>Sparke Helmore</vt:lpwstr>
  </property>
  <property fmtid="{D5CDD505-2E9C-101B-9397-08002B2CF9AE}" pid="84" name="Joined_Counsel">
    <vt:lpwstr> </vt:lpwstr>
  </property>
  <property fmtid="{D5CDD505-2E9C-101B-9397-08002B2CF9AE}" pid="85" name="Joined_Advocate">
    <vt:lpwstr> </vt:lpwstr>
  </property>
  <property fmtid="{D5CDD505-2E9C-101B-9397-08002B2CF9AE}" pid="86" name="OtherParty_Counsel">
    <vt:lpwstr> </vt:lpwstr>
  </property>
  <property fmtid="{D5CDD505-2E9C-101B-9397-08002B2CF9AE}" pid="87" name="OtherParty_Advocate">
    <vt:lpwstr> </vt:lpwstr>
  </property>
  <property fmtid="{D5CDD505-2E9C-101B-9397-08002B2CF9AE}" pid="88" name="OtherParty_Solicitors">
    <vt:lpwstr> </vt:lpwstr>
  </property>
  <property fmtid="{D5CDD505-2E9C-101B-9397-08002B2CF9AE}" pid="89" name="DecisionSummary">
    <vt:lpwstr> </vt:lpwstr>
  </property>
  <property fmtid="{D5CDD505-2E9C-101B-9397-08002B2CF9AE}" pid="90" name="Joined_Solicitors">
    <vt:lpwstr> </vt:lpwstr>
  </property>
  <property fmtid="{D5CDD505-2E9C-101B-9397-08002B2CF9AE}" pid="91" name="ThirdParty_Counsel">
    <vt:lpwstr> </vt:lpwstr>
  </property>
  <property fmtid="{D5CDD505-2E9C-101B-9397-08002B2CF9AE}" pid="92" name="ThirdParty_Solicitors">
    <vt:lpwstr> </vt:lpwstr>
  </property>
  <property fmtid="{D5CDD505-2E9C-101B-9397-08002B2CF9AE}" pid="93" name="ThirdParty_Advocate">
    <vt:lpwstr> </vt:lpwstr>
  </property>
  <property fmtid="{D5CDD505-2E9C-101B-9397-08002B2CF9AE}" pid="94" name="SigneeDesignation">
    <vt:lpwstr>Associate</vt:lpwstr>
  </property>
  <property fmtid="{D5CDD505-2E9C-101B-9397-08002B2CF9AE}" pid="95" name="DateWrittenReason">
    <vt:lpwstr/>
  </property>
  <property fmtid="{D5CDD505-2E9C-101B-9397-08002B2CF9AE}" pid="96" name="DecisionDate">
    <vt:lpwstr>29 April 2014</vt:lpwstr>
  </property>
  <property fmtid="{D5CDD505-2E9C-101B-9397-08002B2CF9AE}" pid="97" name="ReasonsforDecisionDate">
    <vt:lpwstr>29 April 2014</vt:lpwstr>
  </property>
  <property fmtid="{D5CDD505-2E9C-101B-9397-08002B2CF9AE}" pid="98" name="StampDate">
    <vt:lpwstr>29 April 2014</vt:lpwstr>
  </property>
  <property fmtid="{D5CDD505-2E9C-101B-9397-08002B2CF9AE}" pid="99" name="TribunalLastPgForm">
    <vt:lpwstr>xxx</vt:lpwstr>
  </property>
  <property fmtid="{D5CDD505-2E9C-101B-9397-08002B2CF9AE}" pid="100" name="InfoCDC">
    <vt:lpwstr> </vt:lpwstr>
  </property>
  <property fmtid="{D5CDD505-2E9C-101B-9397-08002B2CF9AE}" pid="101" name="Place">
    <vt:lpwstr>Adelaide</vt:lpwstr>
  </property>
</Properties>
</file>