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98899" w14:textId="09F142B5" w:rsidR="00531AA1" w:rsidRPr="000A40FB" w:rsidRDefault="00F35E91" w:rsidP="00F35E91">
      <w:pPr>
        <w:pStyle w:val="Title"/>
      </w:pPr>
      <w:bookmarkStart w:id="0" w:name="_GoBack"/>
      <w:bookmarkEnd w:id="0"/>
      <w:r>
        <w:tab/>
      </w:r>
      <w:r w:rsidR="00661270" w:rsidRPr="000A40FB">
        <w:t>[</w:t>
      </w:r>
      <w:r w:rsidR="00C77B0A">
        <w:t>2013</w:t>
      </w:r>
      <w:r w:rsidR="00661270" w:rsidRPr="000A40FB">
        <w:t xml:space="preserve">] </w:t>
      </w:r>
      <w:r w:rsidR="00531AA1" w:rsidRPr="000A40FB">
        <w:t xml:space="preserve">AATA </w:t>
      </w:r>
      <w:fldSimple w:instr=" DOCPROPERTY  DecisionNumber ">
        <w:r w:rsidR="00DE0E9D">
          <w:t xml:space="preserve"> </w:t>
        </w:r>
      </w:fldSimple>
      <w:r w:rsidR="00FE4299">
        <w:t>817</w:t>
      </w:r>
    </w:p>
    <w:p w14:paraId="58AA2BF9" w14:textId="77777777"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14:paraId="14DA1F63" w14:textId="77777777" w:rsidTr="00AA34CF">
        <w:trPr>
          <w:trHeight w:val="284"/>
        </w:trPr>
        <w:tc>
          <w:tcPr>
            <w:tcW w:w="1951" w:type="dxa"/>
          </w:tcPr>
          <w:p w14:paraId="1365D9DC" w14:textId="77777777" w:rsidR="00531AA1" w:rsidRPr="004B6924" w:rsidRDefault="00531AA1" w:rsidP="004B6924">
            <w:pPr>
              <w:spacing w:before="0"/>
            </w:pPr>
            <w:bookmarkStart w:id="1" w:name="SingleFile" w:colFirst="0" w:colLast="2"/>
            <w:r w:rsidRPr="004B6924">
              <w:t>Division</w:t>
            </w:r>
          </w:p>
        </w:tc>
        <w:tc>
          <w:tcPr>
            <w:tcW w:w="6838" w:type="dxa"/>
          </w:tcPr>
          <w:p w14:paraId="45637DB3" w14:textId="77777777"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DE0E9D">
              <w:rPr>
                <w:b/>
              </w:rPr>
              <w:t>GENERAL ADMINISTRATIVE DIVISION</w:t>
            </w:r>
            <w:r>
              <w:rPr>
                <w:b/>
              </w:rPr>
              <w:fldChar w:fldCharType="end"/>
            </w:r>
          </w:p>
        </w:tc>
      </w:tr>
      <w:tr w:rsidR="00531AA1" w:rsidRPr="00FA73B2" w14:paraId="305AE2B0" w14:textId="77777777" w:rsidTr="00AA34CF">
        <w:trPr>
          <w:trHeight w:val="284"/>
        </w:trPr>
        <w:tc>
          <w:tcPr>
            <w:tcW w:w="1951" w:type="dxa"/>
          </w:tcPr>
          <w:p w14:paraId="0EF2C6E6" w14:textId="77777777" w:rsidR="00531AA1" w:rsidRPr="002260F4" w:rsidRDefault="00531AA1" w:rsidP="007D1803">
            <w:r w:rsidRPr="002260F4">
              <w:t>File Number(s)</w:t>
            </w:r>
          </w:p>
        </w:tc>
        <w:tc>
          <w:tcPr>
            <w:tcW w:w="6838" w:type="dxa"/>
          </w:tcPr>
          <w:p w14:paraId="12C5264C" w14:textId="77777777"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DE0E9D">
              <w:t xml:space="preserve"> </w:t>
            </w:r>
            <w:r w:rsidRPr="00A9538E">
              <w:fldChar w:fldCharType="end"/>
            </w:r>
            <w:r w:rsidR="00D3240F">
              <w:t>2013/0831</w:t>
            </w:r>
          </w:p>
        </w:tc>
      </w:tr>
      <w:tr w:rsidR="00531AA1" w:rsidRPr="00FA73B2" w14:paraId="3A84DE8B" w14:textId="77777777" w:rsidTr="00AA34CF">
        <w:trPr>
          <w:trHeight w:val="284"/>
        </w:trPr>
        <w:tc>
          <w:tcPr>
            <w:tcW w:w="1951" w:type="dxa"/>
          </w:tcPr>
          <w:p w14:paraId="29B752CE" w14:textId="77777777" w:rsidR="00531AA1" w:rsidRPr="002260F4" w:rsidRDefault="00531AA1" w:rsidP="007D1803">
            <w:r w:rsidRPr="002260F4">
              <w:t>Re</w:t>
            </w:r>
          </w:p>
        </w:tc>
        <w:tc>
          <w:tcPr>
            <w:tcW w:w="6838" w:type="dxa"/>
          </w:tcPr>
          <w:p w14:paraId="78F06CA5" w14:textId="77777777" w:rsidR="00531AA1" w:rsidRPr="006D20BD" w:rsidRDefault="00FE4299" w:rsidP="00036C03">
            <w:pPr>
              <w:pStyle w:val="Details"/>
            </w:pPr>
            <w:fldSimple w:instr=" DOCPROPERTY  Applicant ">
              <w:r w:rsidR="00DE0E9D">
                <w:t xml:space="preserve"> </w:t>
              </w:r>
            </w:fldSimple>
            <w:r w:rsidR="00D3240F">
              <w:t>Julianna Lim</w:t>
            </w:r>
          </w:p>
        </w:tc>
      </w:tr>
      <w:tr w:rsidR="00531AA1" w:rsidRPr="00FA73B2" w14:paraId="68AB4273" w14:textId="77777777" w:rsidTr="00AA34CF">
        <w:trPr>
          <w:trHeight w:val="284"/>
        </w:trPr>
        <w:tc>
          <w:tcPr>
            <w:tcW w:w="1951" w:type="dxa"/>
          </w:tcPr>
          <w:p w14:paraId="165A43DB" w14:textId="77777777" w:rsidR="00531AA1" w:rsidRPr="00173896" w:rsidRDefault="00531AA1" w:rsidP="007D1803"/>
        </w:tc>
        <w:tc>
          <w:tcPr>
            <w:tcW w:w="6838" w:type="dxa"/>
          </w:tcPr>
          <w:p w14:paraId="1FE9D55E" w14:textId="77777777" w:rsidR="00531AA1" w:rsidRPr="0099661B" w:rsidRDefault="00531AA1" w:rsidP="00024EF9">
            <w:pPr>
              <w:pStyle w:val="Label"/>
            </w:pPr>
            <w:r w:rsidRPr="0099661B">
              <w:t>APPLICANT</w:t>
            </w:r>
          </w:p>
        </w:tc>
      </w:tr>
      <w:tr w:rsidR="00531AA1" w:rsidRPr="00FA73B2" w14:paraId="557DB134" w14:textId="77777777" w:rsidTr="00AA34CF">
        <w:trPr>
          <w:trHeight w:val="284"/>
        </w:trPr>
        <w:tc>
          <w:tcPr>
            <w:tcW w:w="1951" w:type="dxa"/>
          </w:tcPr>
          <w:p w14:paraId="0D2124AD" w14:textId="77777777" w:rsidR="00531AA1" w:rsidRPr="00110C0F" w:rsidRDefault="00531AA1" w:rsidP="007D1803">
            <w:pPr>
              <w:rPr>
                <w:bCs/>
              </w:rPr>
            </w:pPr>
            <w:r w:rsidRPr="00110C0F">
              <w:rPr>
                <w:bCs/>
              </w:rPr>
              <w:t>And</w:t>
            </w:r>
          </w:p>
        </w:tc>
        <w:tc>
          <w:tcPr>
            <w:tcW w:w="6838" w:type="dxa"/>
          </w:tcPr>
          <w:p w14:paraId="4B88ADBB" w14:textId="77777777" w:rsidR="00531AA1" w:rsidRPr="006D20BD" w:rsidRDefault="00FE4299" w:rsidP="00036C03">
            <w:pPr>
              <w:pStyle w:val="Details"/>
            </w:pPr>
            <w:fldSimple w:instr=" DOCPROPERTY  Respondent ">
              <w:r w:rsidR="00DE0E9D">
                <w:t xml:space="preserve"> </w:t>
              </w:r>
            </w:fldSimple>
            <w:r w:rsidR="00D3240F">
              <w:t>Secretary, Department of Social Services</w:t>
            </w:r>
          </w:p>
        </w:tc>
      </w:tr>
      <w:tr w:rsidR="00531AA1" w:rsidRPr="00FA73B2" w14:paraId="0012E2FE" w14:textId="77777777" w:rsidTr="00AA34CF">
        <w:trPr>
          <w:trHeight w:val="284"/>
        </w:trPr>
        <w:tc>
          <w:tcPr>
            <w:tcW w:w="1951" w:type="dxa"/>
          </w:tcPr>
          <w:p w14:paraId="520402AA" w14:textId="77777777" w:rsidR="00531AA1" w:rsidRPr="00173896" w:rsidRDefault="00531AA1" w:rsidP="007D1803"/>
        </w:tc>
        <w:tc>
          <w:tcPr>
            <w:tcW w:w="6838" w:type="dxa"/>
          </w:tcPr>
          <w:p w14:paraId="7EE70760" w14:textId="77777777" w:rsidR="00531AA1" w:rsidRPr="00771CAC" w:rsidRDefault="00531AA1" w:rsidP="00771CAC">
            <w:pPr>
              <w:pStyle w:val="Label"/>
            </w:pPr>
            <w:r w:rsidRPr="0099661B">
              <w:t>RESPONDENT</w:t>
            </w:r>
          </w:p>
        </w:tc>
      </w:tr>
      <w:bookmarkEnd w:id="1"/>
    </w:tbl>
    <w:p w14:paraId="6F9ADA26" w14:textId="77777777" w:rsidR="003D2450" w:rsidRDefault="003D2450" w:rsidP="005B3289"/>
    <w:p w14:paraId="22AFE6A2" w14:textId="77777777" w:rsidR="00BC2D09" w:rsidRDefault="00BC2D09" w:rsidP="00A161A7">
      <w:pPr>
        <w:pStyle w:val="Heading1"/>
        <w:rPr>
          <w:lang w:eastAsia="en-US"/>
        </w:rPr>
      </w:pPr>
      <w:r w:rsidRPr="00BC2D09">
        <w:rPr>
          <w:lang w:eastAsia="en-US"/>
        </w:rPr>
        <w:t>Decision</w:t>
      </w:r>
    </w:p>
    <w:p w14:paraId="512F9BA8" w14:textId="77777777"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14:paraId="62A248A1" w14:textId="77777777" w:rsidTr="00E92DDB">
        <w:trPr>
          <w:trHeight w:val="567"/>
        </w:trPr>
        <w:tc>
          <w:tcPr>
            <w:tcW w:w="1956" w:type="dxa"/>
          </w:tcPr>
          <w:p w14:paraId="2A736ED3" w14:textId="77777777" w:rsidR="00BC2D09" w:rsidRPr="00BC2D09" w:rsidRDefault="00BC2D09" w:rsidP="00A96474">
            <w:pPr>
              <w:pStyle w:val="NoSpacing"/>
              <w:rPr>
                <w:lang w:eastAsia="en-US"/>
              </w:rPr>
            </w:pPr>
            <w:r w:rsidRPr="00BC2D09">
              <w:rPr>
                <w:lang w:eastAsia="en-US"/>
              </w:rPr>
              <w:t>Tribunal</w:t>
            </w:r>
          </w:p>
        </w:tc>
        <w:tc>
          <w:tcPr>
            <w:tcW w:w="6833" w:type="dxa"/>
          </w:tcPr>
          <w:p w14:paraId="296F529F" w14:textId="77777777" w:rsidR="003058C9" w:rsidRDefault="003058C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DE0E9D">
              <w:rPr>
                <w:b/>
                <w:bCs/>
                <w:lang w:eastAsia="en-US"/>
              </w:rPr>
              <w:t xml:space="preserve"> </w:t>
            </w:r>
            <w:r>
              <w:rPr>
                <w:b/>
                <w:bCs/>
                <w:lang w:eastAsia="en-US"/>
              </w:rPr>
              <w:fldChar w:fldCharType="end"/>
            </w:r>
            <w:r w:rsidR="00D3240F">
              <w:rPr>
                <w:b/>
                <w:bCs/>
                <w:lang w:eastAsia="en-US"/>
              </w:rPr>
              <w:t>Senior Member A K Britton</w:t>
            </w:r>
          </w:p>
          <w:p w14:paraId="2EC1598E" w14:textId="77777777" w:rsidR="00BC2D09" w:rsidRDefault="005D01F0"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separate"/>
            </w:r>
            <w:r w:rsidR="00DE0E9D">
              <w:rPr>
                <w:b/>
                <w:bCs/>
                <w:lang w:eastAsia="en-US"/>
              </w:rPr>
              <w:t xml:space="preserve"> </w:t>
            </w:r>
            <w:r>
              <w:rPr>
                <w:b/>
                <w:bCs/>
                <w:lang w:eastAsia="en-US"/>
              </w:rPr>
              <w:fldChar w:fldCharType="end"/>
            </w:r>
          </w:p>
          <w:p w14:paraId="4A95747A" w14:textId="77777777" w:rsidR="00F66A79" w:rsidRPr="00771CAC" w:rsidRDefault="00F66A79" w:rsidP="00A96474">
            <w:pPr>
              <w:pStyle w:val="NoSpacing"/>
              <w:rPr>
                <w:b/>
                <w:bCs/>
                <w:lang w:eastAsia="en-US"/>
              </w:rPr>
            </w:pPr>
          </w:p>
        </w:tc>
      </w:tr>
      <w:tr w:rsidR="00BC2D09" w:rsidRPr="00BC2D09" w14:paraId="36C9F918" w14:textId="77777777" w:rsidTr="00E92DDB">
        <w:trPr>
          <w:trHeight w:val="567"/>
        </w:trPr>
        <w:tc>
          <w:tcPr>
            <w:tcW w:w="1956" w:type="dxa"/>
          </w:tcPr>
          <w:p w14:paraId="06C9404D" w14:textId="77777777" w:rsidR="00BC2D09" w:rsidRPr="00BC2D09" w:rsidRDefault="00BC2D09" w:rsidP="00A96474">
            <w:pPr>
              <w:pStyle w:val="NoSpacing"/>
              <w:rPr>
                <w:lang w:eastAsia="en-US"/>
              </w:rPr>
            </w:pPr>
            <w:r w:rsidRPr="00BC2D09">
              <w:rPr>
                <w:lang w:eastAsia="en-US"/>
              </w:rPr>
              <w:t>Date</w:t>
            </w:r>
          </w:p>
        </w:tc>
        <w:tc>
          <w:tcPr>
            <w:tcW w:w="6833" w:type="dxa"/>
          </w:tcPr>
          <w:p w14:paraId="71B48E74" w14:textId="5C3F245A" w:rsidR="00BC2D09" w:rsidRPr="00771CAC" w:rsidRDefault="009F0642"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DE0E9D">
              <w:rPr>
                <w:b/>
                <w:bCs/>
                <w:lang w:eastAsia="en-US"/>
              </w:rPr>
              <w:t xml:space="preserve">  </w:t>
            </w:r>
            <w:r>
              <w:rPr>
                <w:b/>
                <w:bCs/>
                <w:lang w:eastAsia="en-US"/>
              </w:rPr>
              <w:fldChar w:fldCharType="end"/>
            </w:r>
            <w:r w:rsidR="006C7BB9">
              <w:rPr>
                <w:b/>
                <w:bCs/>
                <w:lang w:eastAsia="en-US"/>
              </w:rPr>
              <w:t>18</w:t>
            </w:r>
            <w:r w:rsidR="00D3240F">
              <w:rPr>
                <w:b/>
                <w:bCs/>
                <w:lang w:eastAsia="en-US"/>
              </w:rPr>
              <w:t xml:space="preserve"> November 2013</w:t>
            </w:r>
          </w:p>
        </w:tc>
      </w:tr>
      <w:tr w:rsidR="00BC2D09" w:rsidRPr="00BC2D09" w14:paraId="11ED613E" w14:textId="77777777" w:rsidTr="00E92DDB">
        <w:trPr>
          <w:trHeight w:val="567"/>
        </w:trPr>
        <w:tc>
          <w:tcPr>
            <w:tcW w:w="1956" w:type="dxa"/>
          </w:tcPr>
          <w:p w14:paraId="7D65D86B" w14:textId="77777777" w:rsidR="00BC2D09" w:rsidRPr="00BC2D09" w:rsidRDefault="00BC2D09" w:rsidP="00A96474">
            <w:pPr>
              <w:pStyle w:val="NoSpacing"/>
              <w:rPr>
                <w:lang w:eastAsia="en-US"/>
              </w:rPr>
            </w:pPr>
            <w:r w:rsidRPr="00BC2D09">
              <w:rPr>
                <w:lang w:eastAsia="en-US"/>
              </w:rPr>
              <w:t>Place</w:t>
            </w:r>
          </w:p>
        </w:tc>
        <w:tc>
          <w:tcPr>
            <w:tcW w:w="6833" w:type="dxa"/>
          </w:tcPr>
          <w:p w14:paraId="472C84BF" w14:textId="77777777" w:rsidR="00BC2D09" w:rsidRPr="00771CAC" w:rsidRDefault="00D3240F" w:rsidP="00A96474">
            <w:pPr>
              <w:pStyle w:val="NoSpacing"/>
              <w:rPr>
                <w:b/>
                <w:bCs/>
                <w:lang w:eastAsia="en-US"/>
              </w:rPr>
            </w:pPr>
            <w:r>
              <w:rPr>
                <w:b/>
                <w:bCs/>
                <w:lang w:eastAsia="en-US"/>
              </w:rPr>
              <w:t>Sydney</w:t>
            </w:r>
          </w:p>
        </w:tc>
      </w:tr>
    </w:tbl>
    <w:sdt>
      <w:sdtPr>
        <w:rPr>
          <w:lang w:eastAsia="en-US"/>
        </w:rPr>
        <w:alias w:val="Decision Summary"/>
        <w:tag w:val="DecisionSummary"/>
        <w:id w:val="1959365562"/>
        <w:lock w:val="sdtLocked"/>
        <w:placeholder>
          <w:docPart w:val="0019FF3F697C43399DEC9F04C38BC7DB"/>
        </w:placeholder>
      </w:sdtPr>
      <w:sdtEndPr/>
      <w:sdtContent>
        <w:p w14:paraId="5AB8306F" w14:textId="77777777" w:rsidR="00BC2D09" w:rsidRPr="00BC2D09" w:rsidRDefault="008F02CD" w:rsidP="00BC2D09">
          <w:pPr>
            <w:rPr>
              <w:lang w:eastAsia="en-US"/>
            </w:rPr>
          </w:pPr>
          <w:r>
            <w:rPr>
              <w:lang w:eastAsia="en-US"/>
            </w:rPr>
            <w:t>The Decision under review is affirmed.</w:t>
          </w:r>
        </w:p>
      </w:sdtContent>
    </w:sdt>
    <w:p w14:paraId="6726F2E8" w14:textId="33C6DC84" w:rsidR="00BC2D09" w:rsidRPr="00BC2D09" w:rsidRDefault="00BC2D09" w:rsidP="001E4799">
      <w:pPr>
        <w:keepNext/>
        <w:spacing w:before="960"/>
        <w:rPr>
          <w:lang w:eastAsia="en-US"/>
        </w:rPr>
      </w:pPr>
      <w:r w:rsidRPr="00BC2D09">
        <w:rPr>
          <w:lang w:eastAsia="en-US"/>
        </w:rPr>
        <w:t>.........................</w:t>
      </w:r>
      <w:r w:rsidR="006628FA">
        <w:rPr>
          <w:lang w:eastAsia="en-US"/>
        </w:rPr>
        <w:t>[SGD]</w:t>
      </w:r>
      <w:r w:rsidRPr="00BC2D09">
        <w:rPr>
          <w:lang w:eastAsia="en-US"/>
        </w:rPr>
        <w:t>...............................................</w:t>
      </w:r>
    </w:p>
    <w:p w14:paraId="5C418D4A" w14:textId="77777777"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DE0E9D">
        <w:rPr>
          <w:b/>
          <w:lang w:eastAsia="en-US"/>
        </w:rPr>
        <w:t xml:space="preserve"> </w:t>
      </w:r>
      <w:r>
        <w:rPr>
          <w:b/>
          <w:lang w:eastAsia="en-US"/>
        </w:rPr>
        <w:fldChar w:fldCharType="end"/>
      </w:r>
    </w:p>
    <w:p w14:paraId="59D63602" w14:textId="77777777" w:rsidR="00BC2D09" w:rsidRDefault="005632FA" w:rsidP="00760AB6">
      <w:r>
        <w:br w:type="page"/>
      </w:r>
    </w:p>
    <w:bookmarkStart w:id="2" w:name="CatchwordsTitle" w:displacedByCustomXml="next"/>
    <w:bookmarkEnd w:id="2" w:displacedByCustomXml="next"/>
    <w:sdt>
      <w:sdtPr>
        <w:rPr>
          <w:lang w:eastAsia="en-US"/>
        </w:rPr>
        <w:alias w:val="Catchwords"/>
        <w:tag w:val="Catchwords"/>
        <w:id w:val="-1722664393"/>
        <w:lock w:val="sdtLocked"/>
        <w:placeholder>
          <w:docPart w:val="BD37113E4EFE4801A41BDB0FDDBCEECC"/>
        </w:placeholder>
      </w:sdtPr>
      <w:sdtEndPr/>
      <w:sdtContent>
        <w:p w14:paraId="09E2DAAC" w14:textId="77777777" w:rsidR="004152C5" w:rsidRDefault="00FF511E" w:rsidP="00551216">
          <w:pPr>
            <w:pStyle w:val="Heading1"/>
            <w:spacing w:before="0" w:line="360" w:lineRule="auto"/>
            <w:rPr>
              <w:lang w:eastAsia="en-US"/>
            </w:rPr>
          </w:pPr>
          <w:r>
            <w:rPr>
              <w:lang w:eastAsia="en-US"/>
            </w:rPr>
            <w:t>Catchwords</w:t>
          </w:r>
        </w:p>
      </w:sdtContent>
    </w:sdt>
    <w:p w14:paraId="5EEBBA32" w14:textId="0A5D42EE" w:rsidR="00CF5E0E" w:rsidRPr="00072EA6" w:rsidRDefault="00334ED2" w:rsidP="00551216">
      <w:pPr>
        <w:pStyle w:val="NoSpacing"/>
        <w:spacing w:line="360" w:lineRule="auto"/>
        <w:rPr>
          <w:i/>
          <w:lang w:eastAsia="en-US"/>
        </w:rPr>
      </w:pPr>
      <w:r w:rsidRPr="00072EA6">
        <w:rPr>
          <w:i/>
          <w:lang w:eastAsia="en-US"/>
        </w:rPr>
        <w:t>SOCIAL SECURITY—</w:t>
      </w:r>
      <w:r w:rsidRPr="00072EA6">
        <w:rPr>
          <w:i/>
        </w:rPr>
        <w:t>Parental Leave Pay—Whether the Australian residency test is satisfied—For what period the Australian residency test must be satisfied</w:t>
      </w:r>
      <w:r w:rsidR="00072EA6" w:rsidRPr="00072EA6">
        <w:rPr>
          <w:i/>
        </w:rPr>
        <w:t>—Special Category Visa—Applicant ineligible for Parental Leave Pay</w:t>
      </w:r>
    </w:p>
    <w:p w14:paraId="79656F99" w14:textId="77777777" w:rsidR="00334ED2" w:rsidRPr="00BC2D09" w:rsidRDefault="00334ED2" w:rsidP="00551216">
      <w:pPr>
        <w:pStyle w:val="NoSpacing"/>
        <w:spacing w:line="360" w:lineRule="auto"/>
        <w:rPr>
          <w:lang w:eastAsia="en-US"/>
        </w:rPr>
      </w:pPr>
    </w:p>
    <w:bookmarkStart w:id="3" w:name="LegislationTitle" w:displacedByCustomXml="next"/>
    <w:bookmarkEnd w:id="3" w:displacedByCustomXml="next"/>
    <w:sdt>
      <w:sdtPr>
        <w:rPr>
          <w:rFonts w:eastAsia="MS Mincho"/>
          <w:b w:val="0"/>
          <w:caps w:val="0"/>
          <w:szCs w:val="24"/>
          <w:lang w:eastAsia="en-US"/>
        </w:rPr>
        <w:alias w:val="Legislation"/>
        <w:tag w:val="Legislation"/>
        <w:id w:val="-13298432"/>
        <w:lock w:val="sdtLocked"/>
        <w:placeholder>
          <w:docPart w:val="57D4173E9E45481599376A0226F6BE29"/>
        </w:placeholder>
      </w:sdtPr>
      <w:sdtEndPr>
        <w:rPr>
          <w:i/>
        </w:rPr>
      </w:sdtEndPr>
      <w:sdtContent>
        <w:p w14:paraId="1452F578" w14:textId="77777777" w:rsidR="00097ECF" w:rsidRPr="00551216" w:rsidRDefault="00FF511E" w:rsidP="00551216">
          <w:pPr>
            <w:pStyle w:val="Heading1"/>
            <w:spacing w:before="0" w:line="360" w:lineRule="auto"/>
            <w:rPr>
              <w:lang w:eastAsia="en-US"/>
            </w:rPr>
          </w:pPr>
          <w:r>
            <w:rPr>
              <w:lang w:eastAsia="en-US"/>
            </w:rPr>
            <w:t>Legislation</w:t>
          </w:r>
        </w:p>
        <w:p w14:paraId="4D9FC63F" w14:textId="77777777" w:rsidR="00B72E33" w:rsidRDefault="00B72E33" w:rsidP="00551216">
          <w:pPr>
            <w:pStyle w:val="ListNumber"/>
            <w:numPr>
              <w:ilvl w:val="0"/>
              <w:numId w:val="0"/>
            </w:numPr>
            <w:spacing w:before="0"/>
          </w:pPr>
          <w:r w:rsidRPr="00D763FB">
            <w:rPr>
              <w:i/>
            </w:rPr>
            <w:t xml:space="preserve">Migration Act </w:t>
          </w:r>
          <w:r w:rsidRPr="00551216">
            <w:rPr>
              <w:i/>
            </w:rPr>
            <w:t>1958</w:t>
          </w:r>
          <w:r w:rsidR="005E0E85" w:rsidRPr="00551216">
            <w:rPr>
              <w:i/>
            </w:rPr>
            <w:t xml:space="preserve"> (Cth) </w:t>
          </w:r>
          <w:r w:rsidR="003D1BF0">
            <w:rPr>
              <w:i/>
            </w:rPr>
            <w:t>-</w:t>
          </w:r>
          <w:r w:rsidR="003D1BF0" w:rsidRPr="00551216">
            <w:rPr>
              <w:i/>
            </w:rPr>
            <w:t xml:space="preserve"> </w:t>
          </w:r>
          <w:r w:rsidR="005E0E85" w:rsidRPr="00551216">
            <w:rPr>
              <w:i/>
            </w:rPr>
            <w:t xml:space="preserve">ss </w:t>
          </w:r>
          <w:r w:rsidR="005E0E85">
            <w:rPr>
              <w:i/>
            </w:rPr>
            <w:t xml:space="preserve">5; </w:t>
          </w:r>
          <w:r w:rsidR="0050518F" w:rsidRPr="0050518F">
            <w:rPr>
              <w:i/>
            </w:rPr>
            <w:t>30(2)(c)</w:t>
          </w:r>
          <w:r w:rsidR="0050518F">
            <w:rPr>
              <w:i/>
            </w:rPr>
            <w:t>;</w:t>
          </w:r>
          <w:r w:rsidR="0050518F" w:rsidRPr="0050518F">
            <w:rPr>
              <w:i/>
            </w:rPr>
            <w:t xml:space="preserve"> </w:t>
          </w:r>
          <w:r w:rsidR="005E0E85" w:rsidRPr="00551216">
            <w:rPr>
              <w:i/>
            </w:rPr>
            <w:t>32;</w:t>
          </w:r>
          <w:r w:rsidR="0050518F">
            <w:rPr>
              <w:i/>
            </w:rPr>
            <w:t xml:space="preserve"> 32(1);</w:t>
          </w:r>
          <w:r w:rsidR="005E0E85" w:rsidRPr="00551216">
            <w:rPr>
              <w:i/>
            </w:rPr>
            <w:t xml:space="preserve"> 68(3); 77;</w:t>
          </w:r>
          <w:r>
            <w:t xml:space="preserve"> </w:t>
          </w:r>
          <w:r w:rsidR="005E0E85">
            <w:rPr>
              <w:i/>
            </w:rPr>
            <w:t xml:space="preserve">82; </w:t>
          </w:r>
        </w:p>
        <w:p w14:paraId="05854DEF" w14:textId="77777777" w:rsidR="007223F8" w:rsidRPr="009D24DE" w:rsidRDefault="007223F8" w:rsidP="00551216">
          <w:pPr>
            <w:pStyle w:val="ListNumber"/>
            <w:numPr>
              <w:ilvl w:val="0"/>
              <w:numId w:val="0"/>
            </w:numPr>
            <w:spacing w:before="0"/>
          </w:pPr>
          <w:r w:rsidRPr="00F62DCA">
            <w:rPr>
              <w:i/>
            </w:rPr>
            <w:t xml:space="preserve">Migration Regulations </w:t>
          </w:r>
          <w:r w:rsidRPr="00551216">
            <w:rPr>
              <w:i/>
            </w:rPr>
            <w:t>1994 (Cth)</w:t>
          </w:r>
          <w:r>
            <w:rPr>
              <w:i/>
            </w:rPr>
            <w:t xml:space="preserve"> </w:t>
          </w:r>
          <w:r w:rsidR="003D1BF0">
            <w:rPr>
              <w:i/>
            </w:rPr>
            <w:t xml:space="preserve">- </w:t>
          </w:r>
          <w:r>
            <w:rPr>
              <w:i/>
            </w:rPr>
            <w:t>Schedule 2</w:t>
          </w:r>
          <w:r w:rsidR="009B2AC5">
            <w:rPr>
              <w:i/>
            </w:rPr>
            <w:t>; reg 444.5; 444.511</w:t>
          </w:r>
        </w:p>
        <w:p w14:paraId="660B84A4" w14:textId="22FC02FD" w:rsidR="009B2AC5" w:rsidRDefault="00097ECF" w:rsidP="00551216">
          <w:pPr>
            <w:pStyle w:val="ListNumber"/>
            <w:numPr>
              <w:ilvl w:val="0"/>
              <w:numId w:val="0"/>
            </w:numPr>
            <w:spacing w:before="0"/>
          </w:pPr>
          <w:r w:rsidRPr="00832AD9">
            <w:rPr>
              <w:i/>
            </w:rPr>
            <w:t xml:space="preserve">Parental </w:t>
          </w:r>
          <w:r w:rsidRPr="00551216">
            <w:rPr>
              <w:i/>
            </w:rPr>
            <w:t>Leave Act 2010 (Cth)</w:t>
          </w:r>
          <w:r w:rsidR="003D1BF0">
            <w:rPr>
              <w:i/>
            </w:rPr>
            <w:t xml:space="preserve"> - </w:t>
          </w:r>
          <w:r>
            <w:rPr>
              <w:i/>
            </w:rPr>
            <w:t xml:space="preserve">ss </w:t>
          </w:r>
          <w:r w:rsidR="00FA36E1">
            <w:rPr>
              <w:i/>
            </w:rPr>
            <w:t>11</w:t>
          </w:r>
          <w:r>
            <w:rPr>
              <w:i/>
            </w:rPr>
            <w:t>;</w:t>
          </w:r>
          <w:r w:rsidR="003513CF">
            <w:rPr>
              <w:i/>
            </w:rPr>
            <w:t xml:space="preserve"> 13;</w:t>
          </w:r>
          <w:r>
            <w:rPr>
              <w:i/>
            </w:rPr>
            <w:t xml:space="preserve"> 31(2)(c</w:t>
          </w:r>
          <w:r w:rsidRPr="00551216">
            <w:rPr>
              <w:i/>
            </w:rPr>
            <w:t>);</w:t>
          </w:r>
          <w:r w:rsidR="002C7313">
            <w:rPr>
              <w:i/>
            </w:rPr>
            <w:t xml:space="preserve"> </w:t>
          </w:r>
          <w:r w:rsidR="0045303F">
            <w:rPr>
              <w:i/>
            </w:rPr>
            <w:t xml:space="preserve">45(1); </w:t>
          </w:r>
          <w:r w:rsidRPr="00551216">
            <w:rPr>
              <w:i/>
            </w:rPr>
            <w:t>46; 57(1)</w:t>
          </w:r>
        </w:p>
        <w:p w14:paraId="24C3509E" w14:textId="7F12EE16" w:rsidR="00E616B9" w:rsidRPr="00BC2D09" w:rsidRDefault="009B2AC5" w:rsidP="00A114EA">
          <w:pPr>
            <w:pStyle w:val="ListNumber"/>
            <w:numPr>
              <w:ilvl w:val="0"/>
              <w:numId w:val="0"/>
            </w:numPr>
            <w:spacing w:before="0"/>
            <w:rPr>
              <w:lang w:eastAsia="en-US"/>
            </w:rPr>
          </w:pPr>
          <w:r w:rsidRPr="009B2AC5">
            <w:rPr>
              <w:i/>
              <w:lang w:eastAsia="en-US"/>
            </w:rPr>
            <w:t>Social Security Act 1991 (Cth)</w:t>
          </w:r>
          <w:r w:rsidR="003D1BF0">
            <w:rPr>
              <w:i/>
              <w:lang w:eastAsia="en-US"/>
            </w:rPr>
            <w:t xml:space="preserve"> - </w:t>
          </w:r>
          <w:r>
            <w:rPr>
              <w:i/>
              <w:lang w:eastAsia="en-US"/>
            </w:rPr>
            <w:t>ss</w:t>
          </w:r>
          <w:r w:rsidRPr="00551216">
            <w:rPr>
              <w:i/>
              <w:lang w:eastAsia="en-US"/>
            </w:rPr>
            <w:t xml:space="preserve"> 7(2)</w:t>
          </w:r>
        </w:p>
      </w:sdtContent>
    </w:sdt>
    <w:bookmarkStart w:id="4" w:name="CasesTitle" w:displacedByCustomXml="next"/>
    <w:bookmarkEnd w:id="4" w:displacedByCustomXml="next"/>
    <w:sdt>
      <w:sdtPr>
        <w:rPr>
          <w:lang w:eastAsia="en-US"/>
        </w:rPr>
        <w:alias w:val="Cases"/>
        <w:tag w:val="Cases"/>
        <w:id w:val="-26403871"/>
        <w:lock w:val="sdtLocked"/>
        <w:placeholder>
          <w:docPart w:val="26EB74C379B241AA9A52DEE7CE7E9B40"/>
        </w:placeholder>
      </w:sdtPr>
      <w:sdtEndPr/>
      <w:sdtContent>
        <w:p w14:paraId="73F889F9" w14:textId="779F3105" w:rsidR="004152C5" w:rsidRDefault="00105FD9" w:rsidP="00551216">
          <w:pPr>
            <w:pStyle w:val="Heading1"/>
            <w:spacing w:before="0" w:line="360" w:lineRule="auto"/>
            <w:rPr>
              <w:lang w:eastAsia="en-US"/>
            </w:rPr>
          </w:pPr>
          <w:r>
            <w:rPr>
              <w:lang w:eastAsia="en-US"/>
            </w:rPr>
            <w:t xml:space="preserve"> </w:t>
          </w:r>
        </w:p>
      </w:sdtContent>
    </w:sdt>
    <w:p w14:paraId="20D207BA" w14:textId="77777777" w:rsidR="005F2E99" w:rsidRPr="00BC2D09" w:rsidRDefault="005F2E99" w:rsidP="00551216">
      <w:pPr>
        <w:pStyle w:val="NoSpacing"/>
        <w:spacing w:line="360" w:lineRule="auto"/>
        <w:rPr>
          <w:lang w:eastAsia="en-US"/>
        </w:rPr>
      </w:pPr>
    </w:p>
    <w:bookmarkStart w:id="5" w:name="SecondaryMaterialsTitle" w:displacedByCustomXml="next"/>
    <w:bookmarkEnd w:id="5" w:displacedByCustomXml="next"/>
    <w:sdt>
      <w:sdtPr>
        <w:alias w:val="SecondaryMaterials"/>
        <w:tag w:val="SecondaryMaterials"/>
        <w:id w:val="16523116"/>
        <w:lock w:val="sdtLocked"/>
        <w:placeholder>
          <w:docPart w:val="0019FF3F697C43399DEC9F04C38BC7DB"/>
        </w:placeholder>
      </w:sdtPr>
      <w:sdtEndPr/>
      <w:sdtContent>
        <w:p w14:paraId="0BB643C7" w14:textId="4B4D5E47" w:rsidR="005F2E99" w:rsidRDefault="00105FD9" w:rsidP="00A114EA">
          <w:pPr>
            <w:pStyle w:val="CatchWords"/>
            <w:spacing w:before="0" w:after="0"/>
          </w:pPr>
          <w:r>
            <w:rPr>
              <w:b/>
              <w:i w:val="0"/>
              <w:caps/>
              <w:sz w:val="24"/>
              <w:lang w:eastAsia="en-US"/>
            </w:rPr>
            <w:t xml:space="preserve"> </w:t>
          </w:r>
          <w:r w:rsidR="00395B38">
            <w:t xml:space="preserve"> </w:t>
          </w:r>
          <w:r>
            <w:rPr>
              <w:b/>
              <w:i w:val="0"/>
              <w:caps/>
              <w:sz w:val="24"/>
              <w:lang w:eastAsia="en-US"/>
            </w:rPr>
            <w:t xml:space="preserve"> </w:t>
          </w:r>
        </w:p>
      </w:sdtContent>
    </w:sdt>
    <w:p w14:paraId="6A52D413" w14:textId="77777777" w:rsidR="009E2C76" w:rsidRDefault="009E2C76" w:rsidP="00CA099E">
      <w:pPr>
        <w:pStyle w:val="Heading1"/>
        <w:rPr>
          <w:lang w:eastAsia="en-US"/>
        </w:rPr>
      </w:pPr>
      <w:r w:rsidRPr="009E2C76">
        <w:rPr>
          <w:lang w:eastAsia="en-US"/>
        </w:rPr>
        <w:t>REASONS FOR DECISION</w:t>
      </w:r>
    </w:p>
    <w:p w14:paraId="069ED23E" w14:textId="77777777" w:rsidR="00CA099E" w:rsidRDefault="00CA099E" w:rsidP="00D750F5">
      <w:pPr>
        <w:pStyle w:val="NoSpacing"/>
        <w:rPr>
          <w:lang w:eastAsia="en-US"/>
        </w:rPr>
      </w:pPr>
    </w:p>
    <w:p w14:paraId="15F4593C" w14:textId="77777777" w:rsidR="00A74195" w:rsidRDefault="00D3240F" w:rsidP="00D750F5">
      <w:pPr>
        <w:pStyle w:val="NoSpacing"/>
        <w:rPr>
          <w:b/>
          <w:lang w:eastAsia="en-US"/>
        </w:rPr>
      </w:pPr>
      <w:r>
        <w:rPr>
          <w:b/>
          <w:lang w:eastAsia="en-US"/>
        </w:rPr>
        <w:t>Senior Member A K Britton</w:t>
      </w:r>
    </w:p>
    <w:p w14:paraId="5A101BED" w14:textId="58C0D984" w:rsidR="00D3240F" w:rsidRDefault="00334ED2" w:rsidP="00D750F5">
      <w:pPr>
        <w:pStyle w:val="NoSpacing"/>
        <w:rPr>
          <w:b/>
          <w:lang w:eastAsia="en-US"/>
        </w:rPr>
      </w:pPr>
      <w:r>
        <w:rPr>
          <w:b/>
          <w:lang w:eastAsia="en-US"/>
        </w:rPr>
        <w:t>18</w:t>
      </w:r>
      <w:r w:rsidR="00D3240F">
        <w:rPr>
          <w:b/>
          <w:lang w:eastAsia="en-US"/>
        </w:rPr>
        <w:t xml:space="preserve"> November 2013</w:t>
      </w:r>
    </w:p>
    <w:p w14:paraId="370C37BA" w14:textId="77777777" w:rsidR="00A74195" w:rsidRDefault="00A74195" w:rsidP="00A74195">
      <w:pPr>
        <w:pStyle w:val="NoSpacing"/>
        <w:rPr>
          <w:lang w:eastAsia="en-US"/>
        </w:rPr>
      </w:pPr>
    </w:p>
    <w:p w14:paraId="6AC2B23C" w14:textId="77777777" w:rsidR="00272AAB" w:rsidRDefault="00272AAB" w:rsidP="00832AD9">
      <w:pPr>
        <w:pStyle w:val="ListNumber"/>
        <w:numPr>
          <w:ilvl w:val="0"/>
          <w:numId w:val="35"/>
        </w:numPr>
      </w:pPr>
      <w:bookmarkStart w:id="6" w:name="Start"/>
      <w:bookmarkEnd w:id="6"/>
      <w:r>
        <w:t>Julianna</w:t>
      </w:r>
      <w:r w:rsidR="00097ECF">
        <w:t> </w:t>
      </w:r>
      <w:r>
        <w:t>Lim seeks review of the decision made by a Centrelink Authorised Review Officer and affirmed by the S</w:t>
      </w:r>
      <w:r w:rsidR="00F62DCA">
        <w:t xml:space="preserve">ocial </w:t>
      </w:r>
      <w:r>
        <w:t>S</w:t>
      </w:r>
      <w:r w:rsidR="00F62DCA">
        <w:t xml:space="preserve">ecurity </w:t>
      </w:r>
      <w:r>
        <w:t>A</w:t>
      </w:r>
      <w:r w:rsidR="00F62DCA">
        <w:t xml:space="preserve">ppeals </w:t>
      </w:r>
      <w:r>
        <w:t>T</w:t>
      </w:r>
      <w:r w:rsidR="00F62DCA">
        <w:t>ribunal</w:t>
      </w:r>
      <w:r>
        <w:t xml:space="preserve">, to refuse her claim for </w:t>
      </w:r>
      <w:r w:rsidR="003D1BF0">
        <w:t xml:space="preserve">parental leave pay (PLP) </w:t>
      </w:r>
      <w:r w:rsidR="00832AD9">
        <w:t xml:space="preserve">made under </w:t>
      </w:r>
      <w:r>
        <w:t xml:space="preserve">the </w:t>
      </w:r>
      <w:r w:rsidRPr="00832AD9">
        <w:rPr>
          <w:i/>
        </w:rPr>
        <w:t xml:space="preserve">Parental Leave Act 2010 </w:t>
      </w:r>
      <w:r>
        <w:t xml:space="preserve">(Cth) (the Act). </w:t>
      </w:r>
      <w:r w:rsidR="00832AD9">
        <w:t>P</w:t>
      </w:r>
      <w:r w:rsidR="00832AD9" w:rsidRPr="00832AD9">
        <w:t xml:space="preserve">arental leave pay </w:t>
      </w:r>
      <w:r w:rsidR="003D1BF0">
        <w:t xml:space="preserve">is payable </w:t>
      </w:r>
      <w:r>
        <w:t xml:space="preserve">to eligible claimants for a maximum </w:t>
      </w:r>
      <w:r w:rsidR="003D1BF0">
        <w:t xml:space="preserve">period </w:t>
      </w:r>
      <w:r>
        <w:t>of 18 weeks at the national minimum wage.</w:t>
      </w:r>
    </w:p>
    <w:p w14:paraId="4A3C9591" w14:textId="77777777" w:rsidR="00272AAB" w:rsidRDefault="00272AAB" w:rsidP="00F62DCA">
      <w:pPr>
        <w:pStyle w:val="ListNumber"/>
        <w:numPr>
          <w:ilvl w:val="0"/>
          <w:numId w:val="35"/>
        </w:numPr>
      </w:pPr>
      <w:r>
        <w:t xml:space="preserve">To be eligible </w:t>
      </w:r>
      <w:r w:rsidR="00F62DCA">
        <w:t>to receive</w:t>
      </w:r>
      <w:r>
        <w:t xml:space="preserve"> </w:t>
      </w:r>
      <w:r w:rsidR="00F62DCA">
        <w:t>PLP</w:t>
      </w:r>
      <w:r>
        <w:t xml:space="preserve">, </w:t>
      </w:r>
      <w:r w:rsidRPr="00272AAB">
        <w:t xml:space="preserve">among </w:t>
      </w:r>
      <w:r w:rsidR="00097ECF">
        <w:t xml:space="preserve">other </w:t>
      </w:r>
      <w:r w:rsidRPr="00272AAB">
        <w:t>things</w:t>
      </w:r>
      <w:r w:rsidR="00F62DCA">
        <w:t>,</w:t>
      </w:r>
      <w:r>
        <w:t xml:space="preserve"> </w:t>
      </w:r>
      <w:r w:rsidR="00F62DCA">
        <w:t>the claimant</w:t>
      </w:r>
      <w:r w:rsidR="00F62DCA" w:rsidRPr="00F62DCA">
        <w:t xml:space="preserve"> </w:t>
      </w:r>
      <w:r>
        <w:t>must satisfy the “Australian residency test” (s</w:t>
      </w:r>
      <w:r w:rsidR="00F62DCA">
        <w:t> </w:t>
      </w:r>
      <w:r>
        <w:t>31(2)(c)). The Secretary contends that Ms</w:t>
      </w:r>
      <w:r w:rsidR="00097ECF">
        <w:t> </w:t>
      </w:r>
      <w:r>
        <w:t>Lim does not satisfy that test</w:t>
      </w:r>
      <w:r w:rsidR="00F62DCA">
        <w:t>.</w:t>
      </w:r>
      <w:r>
        <w:t xml:space="preserve"> Ms</w:t>
      </w:r>
      <w:r w:rsidR="00097ECF">
        <w:t> </w:t>
      </w:r>
      <w:r>
        <w:t>Lim disagrees.</w:t>
      </w:r>
    </w:p>
    <w:p w14:paraId="1142B97D" w14:textId="683A5445" w:rsidR="00272AAB" w:rsidRDefault="00272AAB" w:rsidP="00832AD9">
      <w:pPr>
        <w:pStyle w:val="ListNumber"/>
        <w:numPr>
          <w:ilvl w:val="0"/>
          <w:numId w:val="35"/>
        </w:numPr>
      </w:pPr>
      <w:r>
        <w:t>Whether Ms</w:t>
      </w:r>
      <w:r w:rsidR="00097ECF">
        <w:t> </w:t>
      </w:r>
      <w:r>
        <w:t xml:space="preserve">Lim </w:t>
      </w:r>
      <w:r w:rsidR="00AE5885">
        <w:t>satisfies</w:t>
      </w:r>
      <w:r>
        <w:t xml:space="preserve"> </w:t>
      </w:r>
      <w:r w:rsidR="00832AD9" w:rsidRPr="00832AD9">
        <w:t>Australian residency test</w:t>
      </w:r>
      <w:r>
        <w:t xml:space="preserve"> turns on </w:t>
      </w:r>
      <w:r w:rsidR="007F05BE">
        <w:t xml:space="preserve">the </w:t>
      </w:r>
      <w:r w:rsidR="003D1BF0">
        <w:t xml:space="preserve">answers to </w:t>
      </w:r>
      <w:r w:rsidR="002C7313">
        <w:t xml:space="preserve">the </w:t>
      </w:r>
      <w:r w:rsidR="00AE5885">
        <w:t>following questions</w:t>
      </w:r>
      <w:r>
        <w:t>:</w:t>
      </w:r>
    </w:p>
    <w:p w14:paraId="47D2B3C5" w14:textId="77777777" w:rsidR="00272AAB" w:rsidRPr="00551216" w:rsidRDefault="00272AAB" w:rsidP="00272AAB">
      <w:pPr>
        <w:pStyle w:val="Quote"/>
        <w:rPr>
          <w:i w:val="0"/>
          <w:sz w:val="24"/>
          <w:szCs w:val="24"/>
        </w:rPr>
      </w:pPr>
      <w:r w:rsidRPr="00551216">
        <w:rPr>
          <w:i w:val="0"/>
          <w:sz w:val="24"/>
          <w:szCs w:val="24"/>
        </w:rPr>
        <w:t>Wh</w:t>
      </w:r>
      <w:r w:rsidR="00AE5885" w:rsidRPr="00551216">
        <w:rPr>
          <w:i w:val="0"/>
          <w:sz w:val="24"/>
          <w:szCs w:val="24"/>
        </w:rPr>
        <w:t xml:space="preserve">at is the period during which </w:t>
      </w:r>
      <w:r w:rsidRPr="00551216">
        <w:rPr>
          <w:i w:val="0"/>
          <w:sz w:val="24"/>
          <w:szCs w:val="24"/>
        </w:rPr>
        <w:t>Ms</w:t>
      </w:r>
      <w:r w:rsidR="00097ECF">
        <w:rPr>
          <w:i w:val="0"/>
          <w:sz w:val="24"/>
          <w:szCs w:val="24"/>
        </w:rPr>
        <w:t> </w:t>
      </w:r>
      <w:r w:rsidRPr="00551216">
        <w:rPr>
          <w:i w:val="0"/>
          <w:sz w:val="24"/>
          <w:szCs w:val="24"/>
        </w:rPr>
        <w:t>Lim must satisfy the Australian residency test?</w:t>
      </w:r>
    </w:p>
    <w:p w14:paraId="794771B7" w14:textId="77777777" w:rsidR="00272AAB" w:rsidRPr="00551216" w:rsidRDefault="00272AAB" w:rsidP="00272AAB">
      <w:pPr>
        <w:pStyle w:val="Quote"/>
        <w:rPr>
          <w:i w:val="0"/>
          <w:sz w:val="24"/>
          <w:szCs w:val="24"/>
        </w:rPr>
      </w:pPr>
      <w:r w:rsidRPr="00551216">
        <w:rPr>
          <w:i w:val="0"/>
          <w:sz w:val="24"/>
          <w:szCs w:val="24"/>
        </w:rPr>
        <w:lastRenderedPageBreak/>
        <w:t>W</w:t>
      </w:r>
      <w:r w:rsidR="00F62DCA" w:rsidRPr="00551216">
        <w:rPr>
          <w:i w:val="0"/>
          <w:sz w:val="24"/>
          <w:szCs w:val="24"/>
        </w:rPr>
        <w:t>as</w:t>
      </w:r>
      <w:r w:rsidRPr="00551216">
        <w:rPr>
          <w:i w:val="0"/>
          <w:sz w:val="24"/>
          <w:szCs w:val="24"/>
        </w:rPr>
        <w:t xml:space="preserve"> Ms</w:t>
      </w:r>
      <w:r w:rsidR="00097ECF">
        <w:rPr>
          <w:i w:val="0"/>
          <w:sz w:val="24"/>
          <w:szCs w:val="24"/>
        </w:rPr>
        <w:t> </w:t>
      </w:r>
      <w:r w:rsidRPr="00551216">
        <w:rPr>
          <w:i w:val="0"/>
          <w:sz w:val="24"/>
          <w:szCs w:val="24"/>
        </w:rPr>
        <w:t xml:space="preserve">Lim a </w:t>
      </w:r>
      <w:r w:rsidR="00832AD9" w:rsidRPr="00551216">
        <w:rPr>
          <w:i w:val="0"/>
          <w:sz w:val="24"/>
          <w:szCs w:val="24"/>
        </w:rPr>
        <w:t>“</w:t>
      </w:r>
      <w:r w:rsidRPr="00551216">
        <w:rPr>
          <w:i w:val="0"/>
          <w:sz w:val="24"/>
          <w:szCs w:val="24"/>
        </w:rPr>
        <w:t>special category visa holder residing in Australia</w:t>
      </w:r>
      <w:r w:rsidR="00832AD9" w:rsidRPr="00551216">
        <w:rPr>
          <w:i w:val="0"/>
          <w:sz w:val="24"/>
          <w:szCs w:val="24"/>
        </w:rPr>
        <w:t>”</w:t>
      </w:r>
      <w:r w:rsidRPr="00551216">
        <w:rPr>
          <w:i w:val="0"/>
          <w:sz w:val="24"/>
          <w:szCs w:val="24"/>
        </w:rPr>
        <w:t xml:space="preserve">, or, an </w:t>
      </w:r>
      <w:r w:rsidR="00832AD9" w:rsidRPr="00551216">
        <w:rPr>
          <w:i w:val="0"/>
          <w:sz w:val="24"/>
          <w:szCs w:val="24"/>
        </w:rPr>
        <w:t>“</w:t>
      </w:r>
      <w:r w:rsidRPr="00551216">
        <w:rPr>
          <w:i w:val="0"/>
          <w:sz w:val="24"/>
          <w:szCs w:val="24"/>
        </w:rPr>
        <w:t>Australian resident</w:t>
      </w:r>
      <w:r w:rsidR="00832AD9" w:rsidRPr="00551216">
        <w:rPr>
          <w:i w:val="0"/>
          <w:sz w:val="24"/>
          <w:szCs w:val="24"/>
        </w:rPr>
        <w:t>”</w:t>
      </w:r>
      <w:r w:rsidRPr="00551216">
        <w:rPr>
          <w:i w:val="0"/>
          <w:sz w:val="24"/>
          <w:szCs w:val="24"/>
        </w:rPr>
        <w:t xml:space="preserve"> throughout that period?</w:t>
      </w:r>
    </w:p>
    <w:p w14:paraId="44E281ED" w14:textId="77777777" w:rsidR="00272AAB" w:rsidRPr="00551216" w:rsidRDefault="00272AAB" w:rsidP="00272AAB">
      <w:pPr>
        <w:pStyle w:val="Quote"/>
        <w:rPr>
          <w:sz w:val="24"/>
          <w:szCs w:val="24"/>
        </w:rPr>
      </w:pPr>
      <w:r w:rsidRPr="00551216">
        <w:rPr>
          <w:i w:val="0"/>
          <w:sz w:val="24"/>
          <w:szCs w:val="24"/>
        </w:rPr>
        <w:t>If so, by the operation of s</w:t>
      </w:r>
      <w:r w:rsidR="00097ECF">
        <w:rPr>
          <w:i w:val="0"/>
          <w:sz w:val="24"/>
          <w:szCs w:val="24"/>
        </w:rPr>
        <w:t> </w:t>
      </w:r>
      <w:r w:rsidRPr="00551216">
        <w:rPr>
          <w:i w:val="0"/>
          <w:sz w:val="24"/>
          <w:szCs w:val="24"/>
        </w:rPr>
        <w:t>46 of the Act does Ms</w:t>
      </w:r>
      <w:r w:rsidR="00097ECF">
        <w:rPr>
          <w:i w:val="0"/>
          <w:sz w:val="24"/>
          <w:szCs w:val="24"/>
        </w:rPr>
        <w:t> </w:t>
      </w:r>
      <w:r w:rsidRPr="00551216">
        <w:rPr>
          <w:i w:val="0"/>
          <w:sz w:val="24"/>
          <w:szCs w:val="24"/>
        </w:rPr>
        <w:t xml:space="preserve">Lim </w:t>
      </w:r>
      <w:r w:rsidR="00832AD9" w:rsidRPr="00551216">
        <w:rPr>
          <w:i w:val="0"/>
          <w:sz w:val="24"/>
          <w:szCs w:val="24"/>
        </w:rPr>
        <w:t>fail to</w:t>
      </w:r>
      <w:r w:rsidRPr="00551216">
        <w:rPr>
          <w:i w:val="0"/>
          <w:sz w:val="24"/>
          <w:szCs w:val="24"/>
        </w:rPr>
        <w:t xml:space="preserve"> satisfy the Australian residency test?</w:t>
      </w:r>
    </w:p>
    <w:p w14:paraId="409F3218" w14:textId="77777777" w:rsidR="00272AAB" w:rsidRDefault="00272AAB" w:rsidP="00551216">
      <w:pPr>
        <w:pStyle w:val="Heading2"/>
      </w:pPr>
      <w:r>
        <w:t>What is the period during which Ms</w:t>
      </w:r>
      <w:r w:rsidR="00097ECF">
        <w:t> </w:t>
      </w:r>
      <w:r>
        <w:t>Lim must satisfy the Australian residency test?</w:t>
      </w:r>
    </w:p>
    <w:p w14:paraId="3651AA1F" w14:textId="58F2B52E" w:rsidR="00272AAB" w:rsidRDefault="00272AAB" w:rsidP="00272AAB">
      <w:pPr>
        <w:pStyle w:val="ListNumber"/>
        <w:numPr>
          <w:ilvl w:val="0"/>
          <w:numId w:val="35"/>
        </w:numPr>
      </w:pPr>
      <w:r>
        <w:t xml:space="preserve">The parties disagree about the scope of the period </w:t>
      </w:r>
      <w:r w:rsidR="003D1BF0">
        <w:t xml:space="preserve">Ms Lim must satisfy </w:t>
      </w:r>
      <w:r>
        <w:t>the Australian residency test</w:t>
      </w:r>
      <w:r w:rsidR="003D1BF0">
        <w:t>.</w:t>
      </w:r>
      <w:r w:rsidR="00832AD9">
        <w:t xml:space="preserve"> </w:t>
      </w:r>
      <w:r>
        <w:t xml:space="preserve">The Secretary contends that </w:t>
      </w:r>
      <w:r w:rsidR="00832AD9">
        <w:t>it</w:t>
      </w:r>
      <w:r>
        <w:t xml:space="preserve"> commences on the date of </w:t>
      </w:r>
      <w:r w:rsidR="003D1BF0">
        <w:t>the</w:t>
      </w:r>
      <w:r w:rsidR="00832AD9">
        <w:t xml:space="preserve"> </w:t>
      </w:r>
      <w:r>
        <w:t>birth</w:t>
      </w:r>
      <w:r w:rsidR="003D1BF0">
        <w:t xml:space="preserve"> of </w:t>
      </w:r>
      <w:r w:rsidR="008615D9">
        <w:t>Ms </w:t>
      </w:r>
      <w:r w:rsidR="003D1BF0">
        <w:t>Lim’s daughter</w:t>
      </w:r>
      <w:r>
        <w:t>, 19</w:t>
      </w:r>
      <w:r w:rsidR="00097ECF">
        <w:t> </w:t>
      </w:r>
      <w:r>
        <w:t>April</w:t>
      </w:r>
      <w:r w:rsidR="00097ECF">
        <w:t> </w:t>
      </w:r>
      <w:r>
        <w:t>2012</w:t>
      </w:r>
      <w:r w:rsidR="00097ECF">
        <w:t>,</w:t>
      </w:r>
      <w:r>
        <w:t xml:space="preserve"> and ends on 3</w:t>
      </w:r>
      <w:r w:rsidR="00097ECF">
        <w:t> </w:t>
      </w:r>
      <w:r>
        <w:t>November</w:t>
      </w:r>
      <w:r w:rsidR="00097ECF">
        <w:t> </w:t>
      </w:r>
      <w:r>
        <w:t>2012.  (Ms</w:t>
      </w:r>
      <w:r w:rsidR="00097ECF">
        <w:t> </w:t>
      </w:r>
      <w:r>
        <w:t xml:space="preserve">Lim’s daughter </w:t>
      </w:r>
      <w:r w:rsidR="00AE5885">
        <w:t xml:space="preserve">will be referred to </w:t>
      </w:r>
      <w:r>
        <w:t>as “the child”</w:t>
      </w:r>
      <w:r w:rsidR="00AE5885">
        <w:t xml:space="preserve"> in the</w:t>
      </w:r>
      <w:r w:rsidR="00097ECF">
        <w:t>se</w:t>
      </w:r>
      <w:r w:rsidR="00AE5885">
        <w:t xml:space="preserve"> Reasons</w:t>
      </w:r>
      <w:r>
        <w:t>.) Ms</w:t>
      </w:r>
      <w:r w:rsidR="00097ECF">
        <w:t> </w:t>
      </w:r>
      <w:r>
        <w:t>Lim agrees that the period ends on 3</w:t>
      </w:r>
      <w:r w:rsidR="00097ECF">
        <w:t> </w:t>
      </w:r>
      <w:r>
        <w:t>November</w:t>
      </w:r>
      <w:r w:rsidR="00097ECF">
        <w:t> </w:t>
      </w:r>
      <w:r>
        <w:t>2012 but contends that it starts on the “nominated start date”, 1</w:t>
      </w:r>
      <w:r w:rsidR="00097ECF">
        <w:t> </w:t>
      </w:r>
      <w:r>
        <w:t>July</w:t>
      </w:r>
      <w:r w:rsidR="00097ECF">
        <w:t> </w:t>
      </w:r>
      <w:r>
        <w:t xml:space="preserve">2012. (The “nominated start date”, is the date nominated </w:t>
      </w:r>
      <w:r w:rsidR="00B84125">
        <w:t>by Ms</w:t>
      </w:r>
      <w:r w:rsidR="00097ECF">
        <w:t> </w:t>
      </w:r>
      <w:r w:rsidR="00B84125">
        <w:t xml:space="preserve">Lim in her claim </w:t>
      </w:r>
      <w:r w:rsidR="00832AD9">
        <w:t xml:space="preserve">for PLP </w:t>
      </w:r>
      <w:r>
        <w:t>as the date she want</w:t>
      </w:r>
      <w:r w:rsidR="00B84125">
        <w:t>ed</w:t>
      </w:r>
      <w:r>
        <w:t xml:space="preserve"> </w:t>
      </w:r>
      <w:r w:rsidR="00832AD9">
        <w:t>payments</w:t>
      </w:r>
      <w:r>
        <w:t xml:space="preserve"> to commence (s</w:t>
      </w:r>
      <w:r w:rsidR="00AE5885">
        <w:t> </w:t>
      </w:r>
      <w:r>
        <w:t>57(1)</w:t>
      </w:r>
      <w:r w:rsidR="008615D9">
        <w:t>.</w:t>
      </w:r>
      <w:r w:rsidR="00B84125">
        <w:t>)</w:t>
      </w:r>
      <w:r>
        <w:t xml:space="preserve"> As will become apparent</w:t>
      </w:r>
      <w:r w:rsidR="00AE5885">
        <w:t>,</w:t>
      </w:r>
      <w:r>
        <w:t xml:space="preserve"> this issue is critical to </w:t>
      </w:r>
      <w:r w:rsidR="00AE5885">
        <w:t xml:space="preserve">whether </w:t>
      </w:r>
      <w:r>
        <w:t>Ms</w:t>
      </w:r>
      <w:r w:rsidR="00097ECF">
        <w:t> </w:t>
      </w:r>
      <w:r>
        <w:t>Lim</w:t>
      </w:r>
      <w:r w:rsidR="00AE5885">
        <w:t xml:space="preserve"> i</w:t>
      </w:r>
      <w:r>
        <w:t xml:space="preserve">s </w:t>
      </w:r>
      <w:r w:rsidR="00AE5885">
        <w:t>eligible</w:t>
      </w:r>
      <w:r>
        <w:t xml:space="preserve"> to receive PL</w:t>
      </w:r>
      <w:r w:rsidR="00097ECF">
        <w:t>P</w:t>
      </w:r>
      <w:r>
        <w:t xml:space="preserve">.  </w:t>
      </w:r>
    </w:p>
    <w:p w14:paraId="75F83436" w14:textId="77777777" w:rsidR="00272AAB" w:rsidRDefault="00272AAB" w:rsidP="00272AAB">
      <w:pPr>
        <w:pStyle w:val="ListNumber"/>
        <w:numPr>
          <w:ilvl w:val="0"/>
          <w:numId w:val="35"/>
        </w:numPr>
      </w:pPr>
      <w:r>
        <w:t>Ms</w:t>
      </w:r>
      <w:r w:rsidR="00097ECF">
        <w:t> </w:t>
      </w:r>
      <w:r>
        <w:t>L</w:t>
      </w:r>
      <w:r w:rsidR="00F62DCA">
        <w:t>im</w:t>
      </w:r>
      <w:r>
        <w:t xml:space="preserve"> left Australia shortly before the birth of her daughter and returned on 1</w:t>
      </w:r>
      <w:r w:rsidR="00097ECF">
        <w:t> </w:t>
      </w:r>
      <w:r>
        <w:t>July</w:t>
      </w:r>
      <w:r w:rsidR="00097ECF">
        <w:t> </w:t>
      </w:r>
      <w:r>
        <w:t>2012. She remained in Australia until 11</w:t>
      </w:r>
      <w:r w:rsidR="00097ECF">
        <w:t> </w:t>
      </w:r>
      <w:r>
        <w:t>November</w:t>
      </w:r>
      <w:r w:rsidR="00097ECF">
        <w:t> </w:t>
      </w:r>
      <w:r>
        <w:t>2012.</w:t>
      </w:r>
    </w:p>
    <w:p w14:paraId="4DF7EA5C" w14:textId="34307BAA" w:rsidR="00272AAB" w:rsidRDefault="00410B62" w:rsidP="00D763FB">
      <w:pPr>
        <w:pStyle w:val="ListNumber"/>
        <w:numPr>
          <w:ilvl w:val="0"/>
          <w:numId w:val="35"/>
        </w:numPr>
      </w:pPr>
      <w:r>
        <w:t xml:space="preserve">Any </w:t>
      </w:r>
      <w:r w:rsidR="00272AAB">
        <w:t>determin</w:t>
      </w:r>
      <w:r>
        <w:t>ation</w:t>
      </w:r>
      <w:r w:rsidR="00272AAB">
        <w:t xml:space="preserve"> that PLP is payable to Ms</w:t>
      </w:r>
      <w:r w:rsidR="00097ECF">
        <w:t> </w:t>
      </w:r>
      <w:r w:rsidR="00272AAB">
        <w:t>Lim for her child, must specify the period for which PLP is payable, the “PPL period” (s</w:t>
      </w:r>
      <w:r w:rsidR="00AE5885">
        <w:t> </w:t>
      </w:r>
      <w:r w:rsidR="00272AAB">
        <w:t>11(1)). A person’s PPL period is the same as, or within, the maximum PPL period for their child (s</w:t>
      </w:r>
      <w:r>
        <w:t> </w:t>
      </w:r>
      <w:r w:rsidR="00272AAB">
        <w:t>11(2)). A child’s maximum PPL period is determined by identifying their “maximum PPL period start day” and “maximum PPL period end day”. Because Ms</w:t>
      </w:r>
      <w:r w:rsidR="00FA36E1">
        <w:t> </w:t>
      </w:r>
      <w:r w:rsidR="00272AAB">
        <w:t>Lim made a claim for PL</w:t>
      </w:r>
      <w:r w:rsidR="00FA36E1">
        <w:t>P</w:t>
      </w:r>
      <w:r w:rsidR="00272AAB">
        <w:t xml:space="preserve"> before the “relevant day” (28</w:t>
      </w:r>
      <w:r w:rsidR="00FA36E1">
        <w:t> </w:t>
      </w:r>
      <w:r w:rsidR="00272AAB">
        <w:t>days after the date of the birth of the child, 17</w:t>
      </w:r>
      <w:r w:rsidR="00FA36E1">
        <w:t> </w:t>
      </w:r>
      <w:r w:rsidR="00272AAB">
        <w:t>May</w:t>
      </w:r>
      <w:r w:rsidR="00FA36E1">
        <w:t> </w:t>
      </w:r>
      <w:r w:rsidR="00272AAB">
        <w:t xml:space="preserve">2012) </w:t>
      </w:r>
      <w:r>
        <w:t>but</w:t>
      </w:r>
      <w:r w:rsidR="00272AAB">
        <w:t xml:space="preserve"> did not “verify” the birth until after that day</w:t>
      </w:r>
      <w:r w:rsidR="00D763FB">
        <w:t xml:space="preserve"> </w:t>
      </w:r>
      <w:r w:rsidR="00D763FB" w:rsidRPr="00D763FB">
        <w:t>(4</w:t>
      </w:r>
      <w:r w:rsidR="00FA36E1">
        <w:t> </w:t>
      </w:r>
      <w:r w:rsidR="00D763FB" w:rsidRPr="00D763FB">
        <w:t>June</w:t>
      </w:r>
      <w:r w:rsidR="00FA36E1">
        <w:t> </w:t>
      </w:r>
      <w:r w:rsidR="00D763FB" w:rsidRPr="00D763FB">
        <w:t>2012)</w:t>
      </w:r>
      <w:r w:rsidR="00272AAB">
        <w:t xml:space="preserve">, the child’s maximum PPL start day is </w:t>
      </w:r>
      <w:r>
        <w:t xml:space="preserve">the </w:t>
      </w:r>
      <w:r w:rsidR="00272AAB">
        <w:t>nominated start date, 1</w:t>
      </w:r>
      <w:r w:rsidR="00FA36E1">
        <w:t> </w:t>
      </w:r>
      <w:r w:rsidR="00272AAB">
        <w:t>July</w:t>
      </w:r>
      <w:r w:rsidR="00FA36E1">
        <w:t> </w:t>
      </w:r>
      <w:r w:rsidR="00272AAB">
        <w:t xml:space="preserve">2012 </w:t>
      </w:r>
      <w:r>
        <w:t>(</w:t>
      </w:r>
      <w:r w:rsidRPr="00410B62">
        <w:t>s</w:t>
      </w:r>
      <w:r w:rsidR="00832AD9">
        <w:t> </w:t>
      </w:r>
      <w:r w:rsidRPr="00410B62">
        <w:t>11(4)(b) of the Act</w:t>
      </w:r>
      <w:r>
        <w:t>)</w:t>
      </w:r>
      <w:r w:rsidR="00272AAB">
        <w:t>.</w:t>
      </w:r>
    </w:p>
    <w:p w14:paraId="3AE6B73F" w14:textId="5AACD9E8" w:rsidR="00272AAB" w:rsidRDefault="00272AAB" w:rsidP="00AE5885">
      <w:pPr>
        <w:pStyle w:val="ListNumber"/>
        <w:numPr>
          <w:ilvl w:val="0"/>
          <w:numId w:val="35"/>
        </w:numPr>
      </w:pPr>
      <w:r>
        <w:t xml:space="preserve">The child’s “maximum PPL period end day” </w:t>
      </w:r>
      <w:r w:rsidR="00D763FB">
        <w:t xml:space="preserve">is </w:t>
      </w:r>
      <w:r>
        <w:t>125</w:t>
      </w:r>
      <w:r w:rsidR="001A20BC">
        <w:t> </w:t>
      </w:r>
      <w:r>
        <w:t>days after the child’s maximum PPL start day</w:t>
      </w:r>
      <w:r w:rsidR="00AE5885">
        <w:t xml:space="preserve">, </w:t>
      </w:r>
      <w:r w:rsidR="00D763FB">
        <w:t>i.e.</w:t>
      </w:r>
      <w:r w:rsidR="00AE5885">
        <w:t xml:space="preserve"> </w:t>
      </w:r>
      <w:r w:rsidR="00AE5885" w:rsidRPr="00AE5885">
        <w:t>3</w:t>
      </w:r>
      <w:r w:rsidR="003513CF">
        <w:t> </w:t>
      </w:r>
      <w:r w:rsidR="00AE5885" w:rsidRPr="00AE5885">
        <w:t>November</w:t>
      </w:r>
      <w:r w:rsidR="003513CF">
        <w:t> </w:t>
      </w:r>
      <w:r w:rsidR="00AE5885" w:rsidRPr="00AE5885">
        <w:t>2012</w:t>
      </w:r>
      <w:r>
        <w:t xml:space="preserve"> (s</w:t>
      </w:r>
      <w:r w:rsidR="00832AD9">
        <w:t> </w:t>
      </w:r>
      <w:r>
        <w:t>11(5)).</w:t>
      </w:r>
      <w:r w:rsidR="00AE5885">
        <w:t xml:space="preserve"> </w:t>
      </w:r>
      <w:r>
        <w:t xml:space="preserve">Therefore the child’s maximum PPL period </w:t>
      </w:r>
      <w:r w:rsidR="003D1BF0">
        <w:t xml:space="preserve">commenced </w:t>
      </w:r>
      <w:r>
        <w:t>on 1</w:t>
      </w:r>
      <w:r w:rsidR="003513CF">
        <w:t> </w:t>
      </w:r>
      <w:r>
        <w:t>July</w:t>
      </w:r>
      <w:r w:rsidR="003513CF">
        <w:t> </w:t>
      </w:r>
      <w:r>
        <w:t xml:space="preserve">2012 and </w:t>
      </w:r>
      <w:r w:rsidR="003D1BF0">
        <w:t xml:space="preserve">ended </w:t>
      </w:r>
      <w:r>
        <w:t>on 3</w:t>
      </w:r>
      <w:r w:rsidR="003513CF">
        <w:t> </w:t>
      </w:r>
      <w:r>
        <w:t>November</w:t>
      </w:r>
      <w:r w:rsidR="003513CF">
        <w:t> </w:t>
      </w:r>
      <w:r>
        <w:t>2012.</w:t>
      </w:r>
    </w:p>
    <w:p w14:paraId="4010ADF9" w14:textId="21581D4A" w:rsidR="00272AAB" w:rsidRDefault="00272AAB" w:rsidP="00832AD9">
      <w:pPr>
        <w:pStyle w:val="ListNumber"/>
        <w:numPr>
          <w:ilvl w:val="0"/>
          <w:numId w:val="35"/>
        </w:numPr>
      </w:pPr>
      <w:r>
        <w:t>Ms</w:t>
      </w:r>
      <w:r w:rsidR="003513CF">
        <w:t> </w:t>
      </w:r>
      <w:r>
        <w:t>Lim’s claim must be determined under s</w:t>
      </w:r>
      <w:r w:rsidR="003513CF">
        <w:t> </w:t>
      </w:r>
      <w:r>
        <w:t>13 of the Act because she made an effective claim for PLP and an effective secondary claim was not made at the same time (s</w:t>
      </w:r>
      <w:r w:rsidR="003513CF">
        <w:t> </w:t>
      </w:r>
      <w:r>
        <w:t>13(1) of the Act). Section</w:t>
      </w:r>
      <w:r w:rsidR="003513CF">
        <w:t> </w:t>
      </w:r>
      <w:r>
        <w:t>13(3) provides that Ms</w:t>
      </w:r>
      <w:r w:rsidR="003513CF">
        <w:t> </w:t>
      </w:r>
      <w:r>
        <w:t>Lim’s PPL period will correspond to the child’s maximum PPL period, 1</w:t>
      </w:r>
      <w:r w:rsidR="00F0484B">
        <w:t> </w:t>
      </w:r>
      <w:r>
        <w:t>July</w:t>
      </w:r>
      <w:r w:rsidR="00F0484B">
        <w:t> </w:t>
      </w:r>
      <w:r>
        <w:t>2012 to 3</w:t>
      </w:r>
      <w:r w:rsidR="00F0484B">
        <w:t> </w:t>
      </w:r>
      <w:r>
        <w:t>November</w:t>
      </w:r>
      <w:r w:rsidR="00F0484B">
        <w:t> </w:t>
      </w:r>
      <w:r>
        <w:t>2012, providing that the decision-maker is satisfied that she was eligible for P</w:t>
      </w:r>
      <w:r w:rsidR="00D763FB">
        <w:t>LP</w:t>
      </w:r>
      <w:r>
        <w:t xml:space="preserve"> on each day in that period (s</w:t>
      </w:r>
      <w:r w:rsidR="00F0484B">
        <w:t> </w:t>
      </w:r>
      <w:r>
        <w:t xml:space="preserve">13(3)). </w:t>
      </w:r>
      <w:r w:rsidR="00832AD9">
        <w:t>It is agreed that Ms</w:t>
      </w:r>
      <w:r w:rsidR="00F0484B">
        <w:t> </w:t>
      </w:r>
      <w:r w:rsidR="00832AD9">
        <w:t xml:space="preserve">Lim was eligible for PLP on each day in the period from </w:t>
      </w:r>
      <w:r w:rsidR="00832AD9" w:rsidRPr="00832AD9">
        <w:t>1</w:t>
      </w:r>
      <w:r w:rsidR="00F0484B">
        <w:t> </w:t>
      </w:r>
      <w:r w:rsidR="00832AD9" w:rsidRPr="00832AD9">
        <w:t>July</w:t>
      </w:r>
      <w:r w:rsidR="00F0484B">
        <w:t> </w:t>
      </w:r>
      <w:r w:rsidR="00832AD9" w:rsidRPr="00832AD9">
        <w:t>2012 to 3</w:t>
      </w:r>
      <w:r w:rsidR="00F0484B">
        <w:t> </w:t>
      </w:r>
      <w:r w:rsidR="00832AD9" w:rsidRPr="00832AD9">
        <w:t>November</w:t>
      </w:r>
      <w:r w:rsidR="00F0484B">
        <w:t> </w:t>
      </w:r>
      <w:r w:rsidR="00832AD9" w:rsidRPr="00832AD9">
        <w:t>2012</w:t>
      </w:r>
      <w:r w:rsidR="00832AD9">
        <w:t>.</w:t>
      </w:r>
    </w:p>
    <w:p w14:paraId="5AEF0B3D" w14:textId="7108A1F6" w:rsidR="00272AAB" w:rsidRDefault="00544C2F" w:rsidP="00272AAB">
      <w:pPr>
        <w:pStyle w:val="ListNumber"/>
        <w:numPr>
          <w:ilvl w:val="0"/>
          <w:numId w:val="35"/>
        </w:numPr>
      </w:pPr>
      <w:r>
        <w:t>However</w:t>
      </w:r>
      <w:r w:rsidR="00D763FB">
        <w:t xml:space="preserve"> </w:t>
      </w:r>
      <w:r w:rsidR="00272AAB">
        <w:t>before determining Ms</w:t>
      </w:r>
      <w:r w:rsidR="00A536F0">
        <w:t> </w:t>
      </w:r>
      <w:r w:rsidR="00272AAB">
        <w:t>Lim’s claim</w:t>
      </w:r>
      <w:r w:rsidR="00D763FB">
        <w:t>,</w:t>
      </w:r>
      <w:r w:rsidR="00272AAB">
        <w:t xml:space="preserve"> the decision-maker must </w:t>
      </w:r>
      <w:r>
        <w:t xml:space="preserve">also </w:t>
      </w:r>
      <w:r w:rsidR="00272AAB">
        <w:t xml:space="preserve">be satisfied that </w:t>
      </w:r>
      <w:r w:rsidR="00D763FB">
        <w:t>Ms</w:t>
      </w:r>
      <w:r w:rsidR="00F0484B">
        <w:t> </w:t>
      </w:r>
      <w:r w:rsidR="00D763FB">
        <w:t>Lim</w:t>
      </w:r>
      <w:r w:rsidR="00272AAB">
        <w:t xml:space="preserve"> was eligible for parental leave </w:t>
      </w:r>
      <w:r w:rsidR="00272AAB" w:rsidRPr="00D763FB">
        <w:rPr>
          <w:i/>
        </w:rPr>
        <w:t>on each day</w:t>
      </w:r>
      <w:r w:rsidR="00272AAB">
        <w:t xml:space="preserve"> commencing from the day the child was born and ending </w:t>
      </w:r>
      <w:r w:rsidR="00D763FB">
        <w:t xml:space="preserve">on </w:t>
      </w:r>
      <w:r w:rsidR="00272AAB">
        <w:t>the last day of Ms</w:t>
      </w:r>
      <w:r w:rsidR="00F0484B">
        <w:t> </w:t>
      </w:r>
      <w:r w:rsidR="00272AAB">
        <w:t>Lim’s PPL period (s</w:t>
      </w:r>
      <w:r w:rsidR="00D763FB">
        <w:t> </w:t>
      </w:r>
      <w:r w:rsidR="00272AAB">
        <w:t>13(2)). Section</w:t>
      </w:r>
      <w:r w:rsidR="00F0484B">
        <w:t> </w:t>
      </w:r>
      <w:r w:rsidR="00272AAB">
        <w:t>13(2) must be read together with s</w:t>
      </w:r>
      <w:r w:rsidR="00F0484B">
        <w:t> </w:t>
      </w:r>
      <w:r w:rsidR="00272AAB">
        <w:t xml:space="preserve">13(4). For convenience both provisions are set out in full below: </w:t>
      </w:r>
    </w:p>
    <w:p w14:paraId="1F8EFE93" w14:textId="77777777" w:rsidR="00272AAB" w:rsidRPr="00272AAB" w:rsidRDefault="00272AAB" w:rsidP="00272AAB">
      <w:pPr>
        <w:pStyle w:val="Quote"/>
        <w:rPr>
          <w:i w:val="0"/>
        </w:rPr>
      </w:pPr>
      <w:r w:rsidRPr="00272AAB">
        <w:rPr>
          <w:i w:val="0"/>
        </w:rPr>
        <w:t xml:space="preserve">When parental leave pay is payable to primary claimant </w:t>
      </w:r>
    </w:p>
    <w:p w14:paraId="4BC917F5" w14:textId="5A365285" w:rsidR="00272AAB" w:rsidRPr="00551216" w:rsidRDefault="00272AAB" w:rsidP="00551216">
      <w:pPr>
        <w:pStyle w:val="NumberedQuote2"/>
        <w:numPr>
          <w:ilvl w:val="0"/>
          <w:numId w:val="48"/>
        </w:numPr>
        <w:rPr>
          <w:i w:val="0"/>
        </w:rPr>
      </w:pPr>
      <w:r w:rsidRPr="00551216">
        <w:rPr>
          <w:i w:val="0"/>
        </w:rPr>
        <w:t xml:space="preserve">The Secretary must determine that parental leave pay is payable to the primary claimant for the primary claimant's PPL period if, when making the determination, the Secretary is satisfied that the primary claimant was or will be eligible for parental leave pay on each day in the period that: </w:t>
      </w:r>
    </w:p>
    <w:p w14:paraId="7CA8E193" w14:textId="77777777" w:rsidR="00272AAB" w:rsidRPr="00551216" w:rsidRDefault="00272AAB" w:rsidP="00551216">
      <w:pPr>
        <w:pStyle w:val="NumberedQuote3"/>
        <w:rPr>
          <w:i w:val="0"/>
        </w:rPr>
      </w:pPr>
      <w:r w:rsidRPr="00551216">
        <w:rPr>
          <w:i w:val="0"/>
        </w:rPr>
        <w:t xml:space="preserve">starts on the day the child was born; and </w:t>
      </w:r>
    </w:p>
    <w:p w14:paraId="75E2C0DB" w14:textId="77777777" w:rsidR="00272AAB" w:rsidRPr="00551216" w:rsidRDefault="00272AAB" w:rsidP="00551216">
      <w:pPr>
        <w:pStyle w:val="NumberedQuote3"/>
        <w:rPr>
          <w:i w:val="0"/>
        </w:rPr>
      </w:pPr>
      <w:r w:rsidRPr="00551216">
        <w:rPr>
          <w:i w:val="0"/>
        </w:rPr>
        <w:t>ends on the last day of the primary claimant's PPL period.</w:t>
      </w:r>
    </w:p>
    <w:p w14:paraId="170D8686" w14:textId="77777777" w:rsidR="00272AAB" w:rsidRPr="00272AAB" w:rsidRDefault="00272AAB" w:rsidP="00272AAB">
      <w:pPr>
        <w:pStyle w:val="Quote"/>
        <w:rPr>
          <w:i w:val="0"/>
        </w:rPr>
      </w:pPr>
      <w:r w:rsidRPr="00272AAB">
        <w:rPr>
          <w:i w:val="0"/>
        </w:rPr>
        <w:t xml:space="preserve">Note:          The Secretary is prevented from making a determination under this subsection in certain circumstances: see Division 3. </w:t>
      </w:r>
    </w:p>
    <w:p w14:paraId="7CEE8AFB" w14:textId="77777777" w:rsidR="00272AAB" w:rsidRPr="00272AAB" w:rsidRDefault="00272AAB" w:rsidP="00272AAB">
      <w:pPr>
        <w:pStyle w:val="Quote"/>
        <w:rPr>
          <w:i w:val="0"/>
        </w:rPr>
      </w:pPr>
      <w:r w:rsidRPr="00272AAB">
        <w:rPr>
          <w:i w:val="0"/>
        </w:rPr>
        <w:t>…</w:t>
      </w:r>
    </w:p>
    <w:p w14:paraId="6656CA40" w14:textId="77777777" w:rsidR="00272AAB" w:rsidRPr="00272AAB" w:rsidRDefault="00272AAB" w:rsidP="0045303F">
      <w:pPr>
        <w:pStyle w:val="Quote"/>
        <w:rPr>
          <w:i w:val="0"/>
        </w:rPr>
      </w:pPr>
      <w:r w:rsidRPr="00272AAB">
        <w:rPr>
          <w:i w:val="0"/>
        </w:rPr>
        <w:t xml:space="preserve">When parental leave pay is not payable to primary claimant </w:t>
      </w:r>
    </w:p>
    <w:p w14:paraId="2A99D7E3" w14:textId="77777777" w:rsidR="00272AAB" w:rsidRPr="00551216" w:rsidRDefault="00272AAB" w:rsidP="00551216">
      <w:pPr>
        <w:pStyle w:val="NumberedQuote2"/>
        <w:numPr>
          <w:ilvl w:val="0"/>
          <w:numId w:val="50"/>
        </w:numPr>
        <w:rPr>
          <w:i w:val="0"/>
        </w:rPr>
      </w:pPr>
      <w:r w:rsidRPr="009D24DE">
        <w:rPr>
          <w:i w:val="0"/>
        </w:rPr>
        <w:t>The Secretary must determine that parent</w:t>
      </w:r>
      <w:r w:rsidRPr="009B2AC5">
        <w:rPr>
          <w:i w:val="0"/>
        </w:rPr>
        <w:t>al leave pay is not payable to the primary claimant if the Secretary is not satisfied of the matters in subsection (2).</w:t>
      </w:r>
    </w:p>
    <w:p w14:paraId="6AFBE2C0" w14:textId="77777777" w:rsidR="00272AAB" w:rsidRDefault="00272AAB" w:rsidP="00272AAB">
      <w:pPr>
        <w:pStyle w:val="ListNumber"/>
        <w:numPr>
          <w:ilvl w:val="0"/>
          <w:numId w:val="35"/>
        </w:numPr>
      </w:pPr>
      <w:r>
        <w:t>Section</w:t>
      </w:r>
      <w:r w:rsidR="0024341E">
        <w:t> </w:t>
      </w:r>
      <w:r>
        <w:t xml:space="preserve">31 sets out </w:t>
      </w:r>
      <w:r w:rsidR="00D763FB">
        <w:t>the</w:t>
      </w:r>
      <w:r>
        <w:t xml:space="preserve"> </w:t>
      </w:r>
      <w:r w:rsidR="00D763FB">
        <w:t>eligibility</w:t>
      </w:r>
      <w:r>
        <w:t xml:space="preserve"> </w:t>
      </w:r>
      <w:r w:rsidR="00D763FB">
        <w:t xml:space="preserve">requirements </w:t>
      </w:r>
      <w:r>
        <w:t xml:space="preserve">for </w:t>
      </w:r>
      <w:r w:rsidR="003D1BF0">
        <w:t>PLP</w:t>
      </w:r>
      <w:r>
        <w:t>:</w:t>
      </w:r>
    </w:p>
    <w:p w14:paraId="5C36BDEF" w14:textId="77777777" w:rsidR="00272AAB" w:rsidRPr="00272AAB" w:rsidRDefault="00272AAB" w:rsidP="00272AAB">
      <w:pPr>
        <w:pStyle w:val="Quote"/>
        <w:rPr>
          <w:i w:val="0"/>
        </w:rPr>
      </w:pPr>
      <w:r w:rsidRPr="00272AAB">
        <w:rPr>
          <w:i w:val="0"/>
        </w:rPr>
        <w:t xml:space="preserve">When a person is eligible for parental leave pay </w:t>
      </w:r>
    </w:p>
    <w:p w14:paraId="3B21601A" w14:textId="77777777" w:rsidR="00272AAB" w:rsidRPr="00551216" w:rsidRDefault="00272AAB" w:rsidP="00551216">
      <w:pPr>
        <w:pStyle w:val="NumberedQuote2"/>
        <w:numPr>
          <w:ilvl w:val="0"/>
          <w:numId w:val="51"/>
        </w:numPr>
        <w:rPr>
          <w:i w:val="0"/>
        </w:rPr>
      </w:pPr>
      <w:r w:rsidRPr="00551216">
        <w:rPr>
          <w:i w:val="0"/>
        </w:rPr>
        <w:t xml:space="preserve">This section sets out when a person is eligible for parental leave pay for a child on a day. </w:t>
      </w:r>
    </w:p>
    <w:p w14:paraId="0A709CF7" w14:textId="77777777" w:rsidR="00272AAB" w:rsidRPr="00272AAB" w:rsidRDefault="00272AAB" w:rsidP="00272AAB">
      <w:pPr>
        <w:pStyle w:val="Quote"/>
        <w:rPr>
          <w:i w:val="0"/>
        </w:rPr>
      </w:pPr>
    </w:p>
    <w:p w14:paraId="1D426934" w14:textId="77777777" w:rsidR="00272AAB" w:rsidRPr="00272AAB" w:rsidRDefault="00272AAB" w:rsidP="0045303F">
      <w:pPr>
        <w:pStyle w:val="Quote"/>
        <w:rPr>
          <w:i w:val="0"/>
        </w:rPr>
      </w:pPr>
      <w:r w:rsidRPr="00272AAB">
        <w:rPr>
          <w:i w:val="0"/>
        </w:rPr>
        <w:t xml:space="preserve">Eligible </w:t>
      </w:r>
    </w:p>
    <w:p w14:paraId="17CAAF95" w14:textId="77777777" w:rsidR="00272AAB" w:rsidRPr="00551216" w:rsidRDefault="00272AAB" w:rsidP="00551216">
      <w:pPr>
        <w:pStyle w:val="NumberedQuote2"/>
        <w:rPr>
          <w:i w:val="0"/>
        </w:rPr>
      </w:pPr>
      <w:r w:rsidRPr="00551216">
        <w:rPr>
          <w:i w:val="0"/>
        </w:rPr>
        <w:t xml:space="preserve">First, a person is eligible for parental leave pay for a child on a day if, on that day: </w:t>
      </w:r>
    </w:p>
    <w:p w14:paraId="55BEA9BD" w14:textId="77777777" w:rsidR="00272AAB" w:rsidRPr="00551216" w:rsidRDefault="00272AAB" w:rsidP="00551216">
      <w:pPr>
        <w:pStyle w:val="Quote2"/>
        <w:rPr>
          <w:i w:val="0"/>
        </w:rPr>
      </w:pPr>
      <w:r w:rsidRPr="00551216">
        <w:rPr>
          <w:i w:val="0"/>
        </w:rPr>
        <w:t>…</w:t>
      </w:r>
    </w:p>
    <w:p w14:paraId="0E82A3DC" w14:textId="03986A53" w:rsidR="00272AAB" w:rsidRPr="00551216" w:rsidRDefault="00272AAB" w:rsidP="00551216">
      <w:pPr>
        <w:pStyle w:val="NumberedQuote3"/>
        <w:numPr>
          <w:ilvl w:val="1"/>
          <w:numId w:val="52"/>
        </w:numPr>
        <w:rPr>
          <w:i w:val="0"/>
        </w:rPr>
      </w:pPr>
      <w:r w:rsidRPr="00551216">
        <w:rPr>
          <w:i w:val="0"/>
        </w:rPr>
        <w:t xml:space="preserve">the person satisfies the Australian residency test (see Division 5); </w:t>
      </w:r>
    </w:p>
    <w:p w14:paraId="44D4ED7D" w14:textId="77777777" w:rsidR="00272AAB" w:rsidRPr="00551216" w:rsidRDefault="00272AAB" w:rsidP="00551216">
      <w:pPr>
        <w:pStyle w:val="Quote2"/>
        <w:rPr>
          <w:i w:val="0"/>
        </w:rPr>
      </w:pPr>
      <w:r w:rsidRPr="00551216">
        <w:rPr>
          <w:i w:val="0"/>
        </w:rPr>
        <w:t>…</w:t>
      </w:r>
    </w:p>
    <w:p w14:paraId="37A7A196" w14:textId="0933AC13" w:rsidR="00272AAB" w:rsidRDefault="00272AAB" w:rsidP="00D763FB">
      <w:pPr>
        <w:pStyle w:val="ListNumber"/>
        <w:numPr>
          <w:ilvl w:val="0"/>
          <w:numId w:val="35"/>
        </w:numPr>
      </w:pPr>
      <w:r>
        <w:t>By the combined operation of ss</w:t>
      </w:r>
      <w:r w:rsidR="00D763FB">
        <w:t> </w:t>
      </w:r>
      <w:r>
        <w:t>13(2), 13(4) and 31(2)</w:t>
      </w:r>
      <w:r w:rsidR="0045303F">
        <w:t>,</w:t>
      </w:r>
      <w:r>
        <w:t xml:space="preserve"> </w:t>
      </w:r>
      <w:r w:rsidR="00D763FB" w:rsidRPr="00D763FB">
        <w:t xml:space="preserve">before a decision can be made that </w:t>
      </w:r>
      <w:r w:rsidR="00D763FB">
        <w:t>Ms Lim</w:t>
      </w:r>
      <w:r w:rsidR="00D763FB" w:rsidRPr="00D763FB">
        <w:t xml:space="preserve"> is eligible for PLP </w:t>
      </w:r>
      <w:r w:rsidR="00D763FB">
        <w:t>she must satisfy</w:t>
      </w:r>
      <w:r>
        <w:t xml:space="preserve"> the Australian residency test on each day throughout the period commencing on the date of the child’s birth and ending on the last day of </w:t>
      </w:r>
      <w:r w:rsidR="00D763FB">
        <w:t>her</w:t>
      </w:r>
      <w:r>
        <w:t xml:space="preserve"> PPL period, 19</w:t>
      </w:r>
      <w:r w:rsidR="0045303F">
        <w:t> </w:t>
      </w:r>
      <w:r>
        <w:t>April</w:t>
      </w:r>
      <w:r w:rsidR="0045303F">
        <w:t> </w:t>
      </w:r>
      <w:r>
        <w:t>2012 to 3</w:t>
      </w:r>
      <w:r w:rsidR="0045303F">
        <w:t> </w:t>
      </w:r>
      <w:r>
        <w:t>November</w:t>
      </w:r>
      <w:r w:rsidR="0045303F">
        <w:t> </w:t>
      </w:r>
      <w:r>
        <w:t>2012. In these reasons I will refer to that period as “the relevant period”.</w:t>
      </w:r>
    </w:p>
    <w:p w14:paraId="34EED4C7" w14:textId="77777777" w:rsidR="00272AAB" w:rsidRDefault="00272AAB" w:rsidP="00272AAB">
      <w:pPr>
        <w:pStyle w:val="Heading3"/>
      </w:pPr>
      <w:r>
        <w:t>Did Ms</w:t>
      </w:r>
      <w:r w:rsidR="0045303F">
        <w:t> </w:t>
      </w:r>
      <w:r>
        <w:t>Lim satisfy the Australian residency test?</w:t>
      </w:r>
    </w:p>
    <w:p w14:paraId="4965B59A" w14:textId="77777777" w:rsidR="00272AAB" w:rsidRDefault="00272AAB" w:rsidP="00272AAB">
      <w:pPr>
        <w:pStyle w:val="ListNumber"/>
        <w:numPr>
          <w:ilvl w:val="0"/>
          <w:numId w:val="35"/>
        </w:numPr>
      </w:pPr>
      <w:r>
        <w:t>Section</w:t>
      </w:r>
      <w:r w:rsidR="0045303F">
        <w:t> </w:t>
      </w:r>
      <w:r>
        <w:t xml:space="preserve">45(1) of the Act </w:t>
      </w:r>
      <w:r w:rsidR="00544C2F">
        <w:t>states</w:t>
      </w:r>
      <w:r>
        <w:t>:</w:t>
      </w:r>
    </w:p>
    <w:p w14:paraId="5DF4B095" w14:textId="77777777" w:rsidR="00272AAB" w:rsidRPr="00272AAB" w:rsidRDefault="00272AAB" w:rsidP="00272AAB">
      <w:pPr>
        <w:pStyle w:val="Quote"/>
        <w:rPr>
          <w:i w:val="0"/>
        </w:rPr>
      </w:pPr>
      <w:r w:rsidRPr="00272AAB">
        <w:rPr>
          <w:i w:val="0"/>
        </w:rPr>
        <w:t xml:space="preserve">When a person satisfies the Australian residency test </w:t>
      </w:r>
    </w:p>
    <w:p w14:paraId="0F272397" w14:textId="77777777" w:rsidR="00272AAB" w:rsidRPr="00551216" w:rsidRDefault="00272AAB" w:rsidP="00551216">
      <w:pPr>
        <w:pStyle w:val="NumberedQuote2"/>
        <w:numPr>
          <w:ilvl w:val="0"/>
          <w:numId w:val="53"/>
        </w:numPr>
        <w:rPr>
          <w:i w:val="0"/>
        </w:rPr>
      </w:pPr>
      <w:r w:rsidRPr="00551216">
        <w:rPr>
          <w:i w:val="0"/>
        </w:rPr>
        <w:t>A person satisfies the Australian residency test on a day if, on that day, the person:</w:t>
      </w:r>
    </w:p>
    <w:p w14:paraId="6B8D1B10" w14:textId="77777777" w:rsidR="00272AAB" w:rsidRPr="00551216" w:rsidRDefault="00272AAB" w:rsidP="00551216">
      <w:pPr>
        <w:pStyle w:val="NumberedQuote3"/>
        <w:rPr>
          <w:i w:val="0"/>
        </w:rPr>
      </w:pPr>
      <w:r w:rsidRPr="00551216">
        <w:rPr>
          <w:i w:val="0"/>
        </w:rPr>
        <w:t xml:space="preserve">is an Australian resident; or </w:t>
      </w:r>
    </w:p>
    <w:p w14:paraId="1F543265" w14:textId="77777777" w:rsidR="00272AAB" w:rsidRPr="00551216" w:rsidRDefault="00272AAB" w:rsidP="00551216">
      <w:pPr>
        <w:pStyle w:val="NumberedQuote3"/>
        <w:rPr>
          <w:i w:val="0"/>
        </w:rPr>
      </w:pPr>
      <w:r w:rsidRPr="00551216">
        <w:rPr>
          <w:i w:val="0"/>
        </w:rPr>
        <w:t xml:space="preserve">is a special category visa holder residing in Australia; or </w:t>
      </w:r>
    </w:p>
    <w:p w14:paraId="7C1E10A6" w14:textId="77777777" w:rsidR="00272AAB" w:rsidRPr="00551216" w:rsidRDefault="00272AAB" w:rsidP="00551216">
      <w:pPr>
        <w:pStyle w:val="NumberedQuote3"/>
        <w:rPr>
          <w:i w:val="0"/>
        </w:rPr>
      </w:pPr>
      <w:r w:rsidRPr="00551216">
        <w:rPr>
          <w:i w:val="0"/>
        </w:rPr>
        <w:t>satisfies subsection (2).</w:t>
      </w:r>
    </w:p>
    <w:p w14:paraId="2871A6D8" w14:textId="77777777" w:rsidR="00272AAB" w:rsidRDefault="00272AAB" w:rsidP="00272AAB">
      <w:pPr>
        <w:pStyle w:val="ListNumber"/>
        <w:numPr>
          <w:ilvl w:val="0"/>
          <w:numId w:val="35"/>
        </w:numPr>
      </w:pPr>
      <w:r>
        <w:t xml:space="preserve">It is agreed that </w:t>
      </w:r>
      <w:r w:rsidR="00544C2F">
        <w:t>Ms</w:t>
      </w:r>
      <w:r w:rsidR="00E95886">
        <w:t> </w:t>
      </w:r>
      <w:r w:rsidR="00544C2F">
        <w:t>Lim</w:t>
      </w:r>
      <w:r>
        <w:t xml:space="preserve"> does not satisfy s</w:t>
      </w:r>
      <w:r w:rsidR="00E95886">
        <w:t> </w:t>
      </w:r>
      <w:r>
        <w:t>45(2).</w:t>
      </w:r>
    </w:p>
    <w:p w14:paraId="2B1A6DBC" w14:textId="77777777" w:rsidR="00272AAB" w:rsidRDefault="00272AAB" w:rsidP="00551216">
      <w:pPr>
        <w:pStyle w:val="Heading2"/>
      </w:pPr>
      <w:r>
        <w:t>Was Ms</w:t>
      </w:r>
      <w:r w:rsidR="00E95886">
        <w:t> </w:t>
      </w:r>
      <w:r>
        <w:t>Lim a special category visa holder on each day of the relevant period?</w:t>
      </w:r>
    </w:p>
    <w:p w14:paraId="2FF080CB" w14:textId="61F30C6C" w:rsidR="00272AAB" w:rsidRDefault="00272AAB" w:rsidP="00D763FB">
      <w:pPr>
        <w:pStyle w:val="ListNumber"/>
        <w:numPr>
          <w:ilvl w:val="0"/>
          <w:numId w:val="35"/>
        </w:numPr>
      </w:pPr>
      <w:r>
        <w:t>On her arrival in Australia in January</w:t>
      </w:r>
      <w:r w:rsidR="00B72E33">
        <w:t> </w:t>
      </w:r>
      <w:r>
        <w:t>2011 Ms</w:t>
      </w:r>
      <w:r w:rsidR="00B72E33">
        <w:t> </w:t>
      </w:r>
      <w:r>
        <w:t>L</w:t>
      </w:r>
      <w:r w:rsidR="00F62DCA">
        <w:t>im</w:t>
      </w:r>
      <w:r>
        <w:t xml:space="preserve"> was granted a Special Category Subclass 444 visa</w:t>
      </w:r>
      <w:r w:rsidR="00154FC1">
        <w:t xml:space="preserve"> (Subclass 444 visa)</w:t>
      </w:r>
      <w:r>
        <w:t>. While no issue that Ms</w:t>
      </w:r>
      <w:r w:rsidR="00B72E33">
        <w:t> </w:t>
      </w:r>
      <w:r>
        <w:t>L</w:t>
      </w:r>
      <w:r w:rsidR="00F62DCA">
        <w:t>im</w:t>
      </w:r>
      <w:r>
        <w:t xml:space="preserve"> </w:t>
      </w:r>
      <w:r w:rsidR="00154FC1">
        <w:t xml:space="preserve">was the holder of Subclass 444 </w:t>
      </w:r>
      <w:r>
        <w:t xml:space="preserve">visa during that part of the relevant period she was present in Australia the Secretary contends that </w:t>
      </w:r>
      <w:r w:rsidR="00AD765B">
        <w:t xml:space="preserve">Ms Lim </w:t>
      </w:r>
      <w:r>
        <w:t>did not hold that visa during that part of the relevant period she was absent from Australia. Ms</w:t>
      </w:r>
      <w:r w:rsidR="00B72E33">
        <w:t> </w:t>
      </w:r>
      <w:r>
        <w:t>Lim disagrees.</w:t>
      </w:r>
    </w:p>
    <w:p w14:paraId="3889A7C4" w14:textId="77777777" w:rsidR="00544C2F" w:rsidRDefault="00272AAB" w:rsidP="00272AAB">
      <w:pPr>
        <w:pStyle w:val="ListNumber"/>
        <w:numPr>
          <w:ilvl w:val="0"/>
          <w:numId w:val="35"/>
        </w:numPr>
      </w:pPr>
      <w:r>
        <w:t>The Act gives the term</w:t>
      </w:r>
      <w:r w:rsidR="00544C2F">
        <w:t>s</w:t>
      </w:r>
      <w:r>
        <w:t xml:space="preserve"> </w:t>
      </w:r>
      <w:r w:rsidR="00F62DCA">
        <w:t>“</w:t>
      </w:r>
      <w:r>
        <w:t>special category visa</w:t>
      </w:r>
      <w:r w:rsidR="00D763FB">
        <w:t>”</w:t>
      </w:r>
      <w:r>
        <w:t xml:space="preserve"> </w:t>
      </w:r>
      <w:r w:rsidR="00544C2F">
        <w:t xml:space="preserve">and “holder of a visa” </w:t>
      </w:r>
      <w:r>
        <w:t xml:space="preserve">the same meaning as </w:t>
      </w:r>
      <w:r w:rsidR="00D763FB">
        <w:t>given by</w:t>
      </w:r>
      <w:r>
        <w:t xml:space="preserve"> the </w:t>
      </w:r>
      <w:r w:rsidRPr="00D763FB">
        <w:rPr>
          <w:i/>
        </w:rPr>
        <w:t>Migration Act 1958</w:t>
      </w:r>
      <w:r>
        <w:t xml:space="preserve"> (Cth).</w:t>
      </w:r>
    </w:p>
    <w:p w14:paraId="13F5D0A4" w14:textId="77777777" w:rsidR="00272AAB" w:rsidRDefault="00544C2F" w:rsidP="00272AAB">
      <w:pPr>
        <w:pStyle w:val="ListNumber"/>
        <w:numPr>
          <w:ilvl w:val="0"/>
          <w:numId w:val="35"/>
        </w:numPr>
      </w:pPr>
      <w:r>
        <w:t>Section</w:t>
      </w:r>
      <w:r w:rsidR="00B72E33">
        <w:t> </w:t>
      </w:r>
      <w:r>
        <w:t>32 of</w:t>
      </w:r>
      <w:r w:rsidR="00272AAB">
        <w:t xml:space="preserve"> the Migration Act </w:t>
      </w:r>
      <w:r>
        <w:t>states</w:t>
      </w:r>
      <w:r w:rsidR="00272AAB">
        <w:t>:</w:t>
      </w:r>
    </w:p>
    <w:p w14:paraId="5851CD2A" w14:textId="77777777" w:rsidR="00272AAB" w:rsidRPr="00272AAB" w:rsidRDefault="00272AAB" w:rsidP="00272AAB">
      <w:pPr>
        <w:pStyle w:val="Quote"/>
        <w:rPr>
          <w:i w:val="0"/>
        </w:rPr>
      </w:pPr>
      <w:r w:rsidRPr="00272AAB">
        <w:rPr>
          <w:i w:val="0"/>
        </w:rPr>
        <w:t>Special category visas</w:t>
      </w:r>
    </w:p>
    <w:p w14:paraId="553896D4" w14:textId="77777777" w:rsidR="00272AAB" w:rsidRPr="00551216" w:rsidRDefault="00272AAB" w:rsidP="00551216">
      <w:pPr>
        <w:pStyle w:val="NumberedQuote2"/>
        <w:numPr>
          <w:ilvl w:val="0"/>
          <w:numId w:val="54"/>
        </w:numPr>
        <w:rPr>
          <w:i w:val="0"/>
        </w:rPr>
      </w:pPr>
      <w:r w:rsidRPr="00551216">
        <w:rPr>
          <w:i w:val="0"/>
        </w:rPr>
        <w:t xml:space="preserve">There is a class of temporary visas to be known as special category visas. </w:t>
      </w:r>
    </w:p>
    <w:p w14:paraId="76FF234C" w14:textId="77777777" w:rsidR="00272AAB" w:rsidRPr="00551216" w:rsidRDefault="00272AAB" w:rsidP="00551216">
      <w:pPr>
        <w:pStyle w:val="NumberedQuote2"/>
        <w:rPr>
          <w:i w:val="0"/>
        </w:rPr>
      </w:pPr>
      <w:r w:rsidRPr="00551216">
        <w:rPr>
          <w:i w:val="0"/>
        </w:rPr>
        <w:t xml:space="preserve">A criterion for a special category visa is that the Minister is satisfied the applicant is: </w:t>
      </w:r>
    </w:p>
    <w:p w14:paraId="34FA041C" w14:textId="77777777" w:rsidR="00272AAB" w:rsidRPr="00551216" w:rsidRDefault="00272AAB" w:rsidP="00551216">
      <w:pPr>
        <w:pStyle w:val="NumberedQuote3"/>
        <w:rPr>
          <w:i w:val="0"/>
        </w:rPr>
      </w:pPr>
      <w:r w:rsidRPr="00551216">
        <w:rPr>
          <w:i w:val="0"/>
        </w:rPr>
        <w:t>a non-citizen:</w:t>
      </w:r>
    </w:p>
    <w:p w14:paraId="767C766B" w14:textId="77777777" w:rsidR="00272AAB" w:rsidRPr="00551216" w:rsidRDefault="00272AAB" w:rsidP="00551216">
      <w:pPr>
        <w:pStyle w:val="NumberedQuote4"/>
        <w:rPr>
          <w:i w:val="0"/>
        </w:rPr>
      </w:pPr>
      <w:r w:rsidRPr="00551216">
        <w:rPr>
          <w:i w:val="0"/>
        </w:rPr>
        <w:t xml:space="preserve">who is a New Zealand citizen and holds, and has presented to an officer or an authorised system, a New Zealand passport that is in force; and </w:t>
      </w:r>
    </w:p>
    <w:p w14:paraId="1FD7D551" w14:textId="77777777" w:rsidR="00272AAB" w:rsidRPr="00551216" w:rsidRDefault="00272AAB" w:rsidP="00551216">
      <w:pPr>
        <w:pStyle w:val="NumberedQuote4"/>
        <w:rPr>
          <w:i w:val="0"/>
        </w:rPr>
      </w:pPr>
      <w:r w:rsidRPr="00551216">
        <w:rPr>
          <w:i w:val="0"/>
        </w:rPr>
        <w:t xml:space="preserve">is neither a behaviour concern non-citizen nor a health concern non-citizen; or </w:t>
      </w:r>
    </w:p>
    <w:p w14:paraId="361F5460" w14:textId="77777777" w:rsidR="00272AAB" w:rsidRPr="00551216" w:rsidRDefault="00272AAB" w:rsidP="00551216">
      <w:pPr>
        <w:pStyle w:val="Quote3"/>
        <w:rPr>
          <w:i w:val="0"/>
        </w:rPr>
      </w:pPr>
      <w:r w:rsidRPr="00551216">
        <w:rPr>
          <w:i w:val="0"/>
        </w:rPr>
        <w:t>…</w:t>
      </w:r>
    </w:p>
    <w:p w14:paraId="6AF4B972" w14:textId="77777777" w:rsidR="00272AAB" w:rsidRPr="00B84125" w:rsidRDefault="00272AAB" w:rsidP="00272AAB">
      <w:pPr>
        <w:pStyle w:val="ListNumber"/>
        <w:numPr>
          <w:ilvl w:val="0"/>
          <w:numId w:val="35"/>
        </w:numPr>
      </w:pPr>
      <w:r>
        <w:t xml:space="preserve">The Migration Act </w:t>
      </w:r>
      <w:r w:rsidR="00B84125">
        <w:t>defines holder</w:t>
      </w:r>
      <w:r w:rsidRPr="00B84125">
        <w:t xml:space="preserve"> in relation to a visa to mean, subject to s</w:t>
      </w:r>
      <w:r w:rsidR="005E0E85">
        <w:t> </w:t>
      </w:r>
      <w:r w:rsidRPr="00B84125">
        <w:t>77 (visas held during visa period)</w:t>
      </w:r>
      <w:r w:rsidR="005E0E85">
        <w:t>,</w:t>
      </w:r>
      <w:r w:rsidRPr="00B84125">
        <w:t xml:space="preserve"> the person to whom it was granted or a person included in it.</w:t>
      </w:r>
    </w:p>
    <w:p w14:paraId="497B2AB2" w14:textId="77777777" w:rsidR="00272AAB" w:rsidRDefault="00B84125" w:rsidP="00B84125">
      <w:pPr>
        <w:pStyle w:val="ListNumber"/>
        <w:numPr>
          <w:ilvl w:val="0"/>
          <w:numId w:val="35"/>
        </w:numPr>
      </w:pPr>
      <w:r>
        <w:t>A</w:t>
      </w:r>
      <w:r w:rsidR="00272AAB">
        <w:t xml:space="preserve"> visa is only in effect during the visa period</w:t>
      </w:r>
      <w:r w:rsidRPr="00B84125">
        <w:t xml:space="preserve"> </w:t>
      </w:r>
      <w:r>
        <w:t>(s </w:t>
      </w:r>
      <w:r w:rsidRPr="00B84125">
        <w:t xml:space="preserve">68(3) </w:t>
      </w:r>
      <w:r>
        <w:t>of the Migration Act)</w:t>
      </w:r>
      <w:r w:rsidR="00272AAB">
        <w:t>. The visa period runs from the time the visa is granted until it ceases to be in effect (s</w:t>
      </w:r>
      <w:r w:rsidR="005E0E85">
        <w:t> </w:t>
      </w:r>
      <w:r w:rsidR="00272AAB">
        <w:t xml:space="preserve">5 of the Migration Act). </w:t>
      </w:r>
      <w:r>
        <w:t>A</w:t>
      </w:r>
      <w:r w:rsidR="00272AAB">
        <w:t xml:space="preserve"> non-citizen holds a visa at all times during the visa period for the vis</w:t>
      </w:r>
      <w:r>
        <w:t>a</w:t>
      </w:r>
      <w:r w:rsidRPr="00B84125">
        <w:t xml:space="preserve"> </w:t>
      </w:r>
      <w:r>
        <w:t>(s </w:t>
      </w:r>
      <w:r w:rsidRPr="00B84125">
        <w:t>77 of the Migration Act</w:t>
      </w:r>
      <w:r>
        <w:t>).</w:t>
      </w:r>
    </w:p>
    <w:p w14:paraId="1521D83E" w14:textId="77777777" w:rsidR="00272AAB" w:rsidRDefault="00272AAB" w:rsidP="00272AAB">
      <w:pPr>
        <w:pStyle w:val="ListNumber"/>
        <w:numPr>
          <w:ilvl w:val="0"/>
          <w:numId w:val="35"/>
        </w:numPr>
      </w:pPr>
      <w:r>
        <w:t>Section</w:t>
      </w:r>
      <w:r w:rsidR="005E0E85">
        <w:t> </w:t>
      </w:r>
      <w:r>
        <w:t xml:space="preserve">82 </w:t>
      </w:r>
      <w:r w:rsidR="00544C2F">
        <w:t>of the Migration</w:t>
      </w:r>
      <w:r w:rsidR="005E0E85">
        <w:t xml:space="preserve"> Act</w:t>
      </w:r>
      <w:r w:rsidR="00544C2F">
        <w:t xml:space="preserve"> </w:t>
      </w:r>
      <w:r w:rsidR="007223F8">
        <w:t>addresses</w:t>
      </w:r>
      <w:r>
        <w:t xml:space="preserve"> when visas cease to be in effect and relevantly provides:</w:t>
      </w:r>
    </w:p>
    <w:p w14:paraId="4E717360" w14:textId="747007E1" w:rsidR="00272AAB" w:rsidRPr="00551216" w:rsidRDefault="00272AAB" w:rsidP="00551216">
      <w:pPr>
        <w:pStyle w:val="NumberedQuote2"/>
        <w:numPr>
          <w:ilvl w:val="0"/>
          <w:numId w:val="55"/>
        </w:numPr>
        <w:rPr>
          <w:i w:val="0"/>
        </w:rPr>
      </w:pPr>
      <w:r w:rsidRPr="00551216">
        <w:rPr>
          <w:i w:val="0"/>
        </w:rPr>
        <w:t>A visa to remain in, but not re</w:t>
      </w:r>
      <w:r w:rsidR="002F1203">
        <w:rPr>
          <w:i w:val="0"/>
        </w:rPr>
        <w:t>-</w:t>
      </w:r>
      <w:r w:rsidRPr="00551216">
        <w:rPr>
          <w:i w:val="0"/>
        </w:rPr>
        <w:t>enter, Australia that is granted to a non</w:t>
      </w:r>
      <w:r w:rsidR="002F1203">
        <w:rPr>
          <w:i w:val="0"/>
        </w:rPr>
        <w:t>-</w:t>
      </w:r>
      <w:r w:rsidRPr="00551216">
        <w:rPr>
          <w:i w:val="0"/>
        </w:rPr>
        <w:t>citizen in Australia ceases to be in effect if the holder leaves Australia.</w:t>
      </w:r>
    </w:p>
    <w:p w14:paraId="71641432" w14:textId="77777777" w:rsidR="00272AAB" w:rsidRDefault="00272AAB" w:rsidP="00272AAB">
      <w:pPr>
        <w:pStyle w:val="ListNumber"/>
        <w:numPr>
          <w:ilvl w:val="0"/>
          <w:numId w:val="35"/>
        </w:numPr>
      </w:pPr>
      <w:r>
        <w:t>Schedule</w:t>
      </w:r>
      <w:r w:rsidR="007223F8">
        <w:t> </w:t>
      </w:r>
      <w:r>
        <w:t xml:space="preserve">2 of the </w:t>
      </w:r>
      <w:r w:rsidRPr="00F62DCA">
        <w:rPr>
          <w:i/>
        </w:rPr>
        <w:t>Migration Regulations 1994</w:t>
      </w:r>
      <w:r>
        <w:t xml:space="preserve"> (Cth)</w:t>
      </w:r>
      <w:r w:rsidR="009B2AC5">
        <w:t xml:space="preserve"> (the Regulation)</w:t>
      </w:r>
      <w:r>
        <w:t xml:space="preserve"> sets out the criteria for, among other things, determining when a </w:t>
      </w:r>
      <w:r w:rsidR="003D1BF0">
        <w:t xml:space="preserve">Subclass 444 </w:t>
      </w:r>
      <w:r>
        <w:t>visa is in effect</w:t>
      </w:r>
      <w:r w:rsidR="00544C2F">
        <w:t xml:space="preserve"> and states</w:t>
      </w:r>
      <w:r>
        <w:t>:</w:t>
      </w:r>
    </w:p>
    <w:p w14:paraId="2767B8B4" w14:textId="77777777" w:rsidR="00544C2F" w:rsidRDefault="00544C2F" w:rsidP="00272AAB">
      <w:pPr>
        <w:pStyle w:val="Quote"/>
        <w:rPr>
          <w:i w:val="0"/>
        </w:rPr>
      </w:pPr>
      <w:r w:rsidRPr="00544C2F">
        <w:rPr>
          <w:i w:val="0"/>
        </w:rPr>
        <w:t>Subclass 444 -- Special Category</w:t>
      </w:r>
    </w:p>
    <w:p w14:paraId="512592A7" w14:textId="77777777" w:rsidR="00544C2F" w:rsidRDefault="00544C2F" w:rsidP="00272AAB">
      <w:pPr>
        <w:pStyle w:val="Quote"/>
        <w:rPr>
          <w:i w:val="0"/>
        </w:rPr>
      </w:pPr>
      <w:r>
        <w:rPr>
          <w:i w:val="0"/>
        </w:rPr>
        <w:t>…</w:t>
      </w:r>
    </w:p>
    <w:p w14:paraId="2977F287" w14:textId="77777777" w:rsidR="00272AAB" w:rsidRPr="00272AAB" w:rsidRDefault="00272AAB" w:rsidP="00272AAB">
      <w:pPr>
        <w:pStyle w:val="Quote"/>
        <w:rPr>
          <w:i w:val="0"/>
        </w:rPr>
      </w:pPr>
      <w:r w:rsidRPr="00272AAB">
        <w:rPr>
          <w:i w:val="0"/>
        </w:rPr>
        <w:t xml:space="preserve">444.5--When visa is in effect </w:t>
      </w:r>
    </w:p>
    <w:p w14:paraId="799FE10F" w14:textId="77777777" w:rsidR="00272AAB" w:rsidRPr="00272AAB" w:rsidRDefault="00272AAB" w:rsidP="00272AAB">
      <w:pPr>
        <w:pStyle w:val="Quote"/>
        <w:rPr>
          <w:i w:val="0"/>
        </w:rPr>
      </w:pPr>
      <w:r w:rsidRPr="00272AAB">
        <w:rPr>
          <w:i w:val="0"/>
        </w:rPr>
        <w:t xml:space="preserve">444.511   </w:t>
      </w:r>
    </w:p>
    <w:p w14:paraId="0589E940" w14:textId="77777777" w:rsidR="00272AAB" w:rsidRPr="00272AAB" w:rsidRDefault="00272AAB" w:rsidP="00272AAB">
      <w:pPr>
        <w:pStyle w:val="Quote"/>
        <w:rPr>
          <w:i w:val="0"/>
        </w:rPr>
      </w:pPr>
      <w:r w:rsidRPr="00272AAB">
        <w:rPr>
          <w:i w:val="0"/>
        </w:rPr>
        <w:t xml:space="preserve">Temporary visa permitting the holder to remain in Australia while the holder is a New Zealand citizen. </w:t>
      </w:r>
    </w:p>
    <w:p w14:paraId="16C5E5D7" w14:textId="77777777" w:rsidR="00272AAB" w:rsidRDefault="00272AAB" w:rsidP="005D405C">
      <w:pPr>
        <w:pStyle w:val="ListNumber"/>
        <w:numPr>
          <w:ilvl w:val="0"/>
          <w:numId w:val="35"/>
        </w:numPr>
      </w:pPr>
      <w:r>
        <w:t xml:space="preserve">Regulation 444.511 permits a </w:t>
      </w:r>
      <w:r w:rsidR="00B84125">
        <w:t>S</w:t>
      </w:r>
      <w:r>
        <w:t>ub-class 444 visa holder to remain in Australia. By the combined operation of ss</w:t>
      </w:r>
      <w:r w:rsidR="009B2AC5">
        <w:t> </w:t>
      </w:r>
      <w:r>
        <w:t xml:space="preserve">82(8) and 68(3) </w:t>
      </w:r>
      <w:r w:rsidR="005D405C">
        <w:t>of the Migration Act and reg</w:t>
      </w:r>
      <w:r w:rsidR="005D405C" w:rsidRPr="005D405C">
        <w:t xml:space="preserve"> 444.511 </w:t>
      </w:r>
      <w:r w:rsidR="005D405C">
        <w:t xml:space="preserve">of the Regulations </w:t>
      </w:r>
      <w:r>
        <w:t>Ms</w:t>
      </w:r>
      <w:r w:rsidR="009B2AC5">
        <w:t> </w:t>
      </w:r>
      <w:r>
        <w:t>Lim’s visa ceased to be in effect when she departed Australia on 2</w:t>
      </w:r>
      <w:r w:rsidR="009B2AC5">
        <w:t> </w:t>
      </w:r>
      <w:r>
        <w:t>March</w:t>
      </w:r>
      <w:r w:rsidR="009B2AC5">
        <w:t> </w:t>
      </w:r>
      <w:r>
        <w:t xml:space="preserve">2012. It follows that she did not hold a Subclass 444 visa </w:t>
      </w:r>
      <w:r w:rsidR="003D1BF0">
        <w:t xml:space="preserve">during that </w:t>
      </w:r>
      <w:r>
        <w:t xml:space="preserve">part of the relevant period </w:t>
      </w:r>
      <w:r w:rsidR="003D1BF0">
        <w:t>she was absent from Australia, 19 April to 1 July 2012</w:t>
      </w:r>
      <w:r>
        <w:t>. Accordingly she was not a special category visa holder residing in Australia on each day in the relevant period.</w:t>
      </w:r>
    </w:p>
    <w:p w14:paraId="410F1550" w14:textId="77777777" w:rsidR="00272AAB" w:rsidRDefault="00272AAB" w:rsidP="00272AAB">
      <w:pPr>
        <w:pStyle w:val="Heading3"/>
      </w:pPr>
      <w:r>
        <w:t>Was Ms</w:t>
      </w:r>
      <w:r w:rsidR="009B2AC5">
        <w:t> </w:t>
      </w:r>
      <w:r>
        <w:t xml:space="preserve">Lim an Australian resident on each day during the relevant period? </w:t>
      </w:r>
    </w:p>
    <w:p w14:paraId="7AB17E58" w14:textId="77777777" w:rsidR="00272AAB" w:rsidRDefault="00272AAB" w:rsidP="00272AAB">
      <w:pPr>
        <w:pStyle w:val="ListNumber"/>
        <w:numPr>
          <w:ilvl w:val="0"/>
          <w:numId w:val="35"/>
        </w:numPr>
      </w:pPr>
      <w:r>
        <w:t xml:space="preserve">In the interest of completeness I will consider whether </w:t>
      </w:r>
      <w:r w:rsidR="00B84125">
        <w:t xml:space="preserve">during the relevant period </w:t>
      </w:r>
      <w:r>
        <w:t>Ms</w:t>
      </w:r>
      <w:r w:rsidR="009B2AC5">
        <w:t> </w:t>
      </w:r>
      <w:r>
        <w:t xml:space="preserve">Lim </w:t>
      </w:r>
      <w:r w:rsidR="00B84125">
        <w:t>was</w:t>
      </w:r>
      <w:r>
        <w:t xml:space="preserve"> an “Australian resident”</w:t>
      </w:r>
      <w:r w:rsidR="00B84125">
        <w:t xml:space="preserve"> for the purpose of s 45(1)(a) of the Act</w:t>
      </w:r>
      <w:r>
        <w:t>.</w:t>
      </w:r>
    </w:p>
    <w:p w14:paraId="0648DF79" w14:textId="77777777" w:rsidR="00272AAB" w:rsidRDefault="00272AAB" w:rsidP="00272AAB">
      <w:pPr>
        <w:pStyle w:val="ListNumber"/>
        <w:numPr>
          <w:ilvl w:val="0"/>
          <w:numId w:val="35"/>
        </w:numPr>
      </w:pPr>
      <w:r>
        <w:t xml:space="preserve">The Act gives the term “Australian resident” the same meaning as in the </w:t>
      </w:r>
      <w:r w:rsidRPr="00B84125">
        <w:rPr>
          <w:i/>
        </w:rPr>
        <w:t>Social Security Act</w:t>
      </w:r>
      <w:r w:rsidR="00B84125" w:rsidRPr="00B84125">
        <w:rPr>
          <w:i/>
        </w:rPr>
        <w:t xml:space="preserve"> 1991</w:t>
      </w:r>
      <w:r w:rsidR="00B84125">
        <w:t xml:space="preserve"> (Cth)</w:t>
      </w:r>
      <w:r>
        <w:t>. Section</w:t>
      </w:r>
      <w:r w:rsidR="009B2AC5">
        <w:t> </w:t>
      </w:r>
      <w:r>
        <w:t xml:space="preserve">7(2) of the </w:t>
      </w:r>
      <w:r w:rsidR="00B84125" w:rsidRPr="00B84125">
        <w:t>Social Security</w:t>
      </w:r>
      <w:r>
        <w:t xml:space="preserve"> </w:t>
      </w:r>
      <w:r w:rsidR="009B2AC5">
        <w:t xml:space="preserve">Act </w:t>
      </w:r>
      <w:r>
        <w:t xml:space="preserve">defines an Australian resident to be a person who resides in Australia; and is one of the following: (i) an Australian citizen; (ii) the holder of a permanent visa; </w:t>
      </w:r>
      <w:r w:rsidR="003D1BF0">
        <w:t xml:space="preserve">or </w:t>
      </w:r>
      <w:r>
        <w:t xml:space="preserve">(iii) a special category visa holder who is a protected SCV holder. </w:t>
      </w:r>
      <w:r w:rsidR="00B84125">
        <w:t xml:space="preserve">During the relevant period </w:t>
      </w:r>
      <w:r>
        <w:t>Ms</w:t>
      </w:r>
      <w:r w:rsidR="009B2AC5">
        <w:t> </w:t>
      </w:r>
      <w:r>
        <w:t>Lim was n</w:t>
      </w:r>
      <w:r w:rsidR="00B84125">
        <w:t>either</w:t>
      </w:r>
      <w:r>
        <w:t xml:space="preserve"> an Australian citizen</w:t>
      </w:r>
      <w:r w:rsidR="00154FC1">
        <w:t>,</w:t>
      </w:r>
      <w:r>
        <w:t xml:space="preserve"> </w:t>
      </w:r>
      <w:r w:rsidR="00154FC1">
        <w:t>n</w:t>
      </w:r>
      <w:r>
        <w:t xml:space="preserve">or a special category visa holder who </w:t>
      </w:r>
      <w:r w:rsidR="003D1BF0">
        <w:t xml:space="preserve">was </w:t>
      </w:r>
      <w:r>
        <w:t>a protected SCV holder</w:t>
      </w:r>
      <w:r w:rsidR="00154FC1">
        <w:t>.</w:t>
      </w:r>
      <w:r>
        <w:t xml:space="preserve"> </w:t>
      </w:r>
      <w:r w:rsidR="003D1BF0">
        <w:t xml:space="preserve">Therefore whether </w:t>
      </w:r>
      <w:r>
        <w:t xml:space="preserve">she was </w:t>
      </w:r>
      <w:r w:rsidR="00154FC1">
        <w:t xml:space="preserve">an Australian resident during that period turns on whether she was </w:t>
      </w:r>
      <w:r>
        <w:t xml:space="preserve">the </w:t>
      </w:r>
      <w:r w:rsidR="003D1BF0">
        <w:t>“</w:t>
      </w:r>
      <w:r>
        <w:t>holder of a permanent visa</w:t>
      </w:r>
      <w:r w:rsidR="003D1BF0">
        <w:t>”</w:t>
      </w:r>
      <w:r w:rsidR="00154FC1">
        <w:t>.</w:t>
      </w:r>
    </w:p>
    <w:p w14:paraId="34B1CED8" w14:textId="77777777" w:rsidR="00272AAB" w:rsidRDefault="005D405C" w:rsidP="00154FC1">
      <w:pPr>
        <w:pStyle w:val="ListNumber"/>
        <w:numPr>
          <w:ilvl w:val="0"/>
          <w:numId w:val="35"/>
        </w:numPr>
      </w:pPr>
      <w:r>
        <w:t>T</w:t>
      </w:r>
      <w:r w:rsidR="00272AAB">
        <w:t xml:space="preserve">he Social Security Act </w:t>
      </w:r>
      <w:r w:rsidR="00154FC1">
        <w:t xml:space="preserve">gives </w:t>
      </w:r>
      <w:r w:rsidR="00272AAB">
        <w:t xml:space="preserve">the term </w:t>
      </w:r>
      <w:r w:rsidR="00154FC1">
        <w:t>“</w:t>
      </w:r>
      <w:r w:rsidR="00272AAB">
        <w:t xml:space="preserve">permanent visa” the same meaning as </w:t>
      </w:r>
      <w:r w:rsidR="00154FC1">
        <w:t xml:space="preserve">that </w:t>
      </w:r>
      <w:r w:rsidR="00272AAB">
        <w:t>in the Migration Act (s</w:t>
      </w:r>
      <w:r w:rsidR="0050518F">
        <w:t> </w:t>
      </w:r>
      <w:r w:rsidR="00272AAB">
        <w:t xml:space="preserve">7 of the </w:t>
      </w:r>
      <w:r>
        <w:t>Social Security</w:t>
      </w:r>
      <w:r w:rsidR="00272AAB">
        <w:t xml:space="preserve"> Act). Headed “Kinds of visas” s</w:t>
      </w:r>
      <w:r w:rsidR="0050518F">
        <w:t> </w:t>
      </w:r>
      <w:r w:rsidR="00272AAB">
        <w:t>30 of the Migration Act provides:</w:t>
      </w:r>
    </w:p>
    <w:p w14:paraId="2458FC8D" w14:textId="77777777" w:rsidR="00272AAB" w:rsidRPr="00551216" w:rsidRDefault="00272AAB" w:rsidP="00551216">
      <w:pPr>
        <w:pStyle w:val="NumberedQuote2"/>
        <w:numPr>
          <w:ilvl w:val="0"/>
          <w:numId w:val="56"/>
        </w:numPr>
        <w:rPr>
          <w:i w:val="0"/>
        </w:rPr>
      </w:pPr>
      <w:r w:rsidRPr="00551216">
        <w:rPr>
          <w:i w:val="0"/>
        </w:rPr>
        <w:t xml:space="preserve">A visa to remain in Australia (whether also a visa to travel to and enter Australia) may be a visa, to be known as a permanent visa, to remain indefinitely. </w:t>
      </w:r>
    </w:p>
    <w:p w14:paraId="04DD7D06" w14:textId="77777777" w:rsidR="00272AAB" w:rsidRPr="00551216" w:rsidRDefault="00272AAB" w:rsidP="00551216">
      <w:pPr>
        <w:pStyle w:val="NumberedQuote2"/>
        <w:rPr>
          <w:i w:val="0"/>
        </w:rPr>
      </w:pPr>
      <w:r w:rsidRPr="00551216">
        <w:rPr>
          <w:i w:val="0"/>
        </w:rPr>
        <w:t xml:space="preserve">A visa to remain in Australia (whether also a visa to travel to and enter Australia) may be a visa, to be known as a temporary visa, to remain: </w:t>
      </w:r>
    </w:p>
    <w:p w14:paraId="401213D0" w14:textId="77777777" w:rsidR="00272AAB" w:rsidRPr="00551216" w:rsidRDefault="00272AAB" w:rsidP="00551216">
      <w:pPr>
        <w:pStyle w:val="NumberedQuote3"/>
        <w:rPr>
          <w:i w:val="0"/>
        </w:rPr>
      </w:pPr>
      <w:r w:rsidRPr="00551216">
        <w:rPr>
          <w:i w:val="0"/>
        </w:rPr>
        <w:t xml:space="preserve">during a specified period; or </w:t>
      </w:r>
    </w:p>
    <w:p w14:paraId="108EFB17" w14:textId="77777777" w:rsidR="00272AAB" w:rsidRPr="00551216" w:rsidRDefault="00272AAB" w:rsidP="00551216">
      <w:pPr>
        <w:pStyle w:val="NumberedQuote3"/>
        <w:rPr>
          <w:i w:val="0"/>
        </w:rPr>
      </w:pPr>
      <w:r w:rsidRPr="00551216">
        <w:rPr>
          <w:i w:val="0"/>
        </w:rPr>
        <w:t xml:space="preserve">until a specified event happens; or </w:t>
      </w:r>
    </w:p>
    <w:p w14:paraId="584363BE" w14:textId="77777777" w:rsidR="00272AAB" w:rsidRPr="00551216" w:rsidRDefault="00272AAB" w:rsidP="00551216">
      <w:pPr>
        <w:pStyle w:val="NumberedQuote3"/>
        <w:rPr>
          <w:i w:val="0"/>
        </w:rPr>
      </w:pPr>
      <w:r w:rsidRPr="00551216">
        <w:rPr>
          <w:i w:val="0"/>
        </w:rPr>
        <w:t>while the holder has a specified status.</w:t>
      </w:r>
    </w:p>
    <w:p w14:paraId="2C564751" w14:textId="77777777" w:rsidR="00272AAB" w:rsidRDefault="00272AAB" w:rsidP="00154FC1">
      <w:pPr>
        <w:pStyle w:val="ListNumber"/>
        <w:numPr>
          <w:ilvl w:val="0"/>
          <w:numId w:val="35"/>
        </w:numPr>
      </w:pPr>
      <w:r>
        <w:t xml:space="preserve">A </w:t>
      </w:r>
      <w:r w:rsidR="00154FC1">
        <w:t>S</w:t>
      </w:r>
      <w:r>
        <w:t xml:space="preserve">ubclass 444 visa </w:t>
      </w:r>
      <w:r w:rsidR="005D405C">
        <w:t xml:space="preserve">does </w:t>
      </w:r>
      <w:r w:rsidR="00154FC1">
        <w:t>not</w:t>
      </w:r>
      <w:r>
        <w:t xml:space="preserve"> </w:t>
      </w:r>
      <w:r w:rsidR="0050518F">
        <w:t xml:space="preserve">constitute </w:t>
      </w:r>
      <w:r>
        <w:t>a permanent visa for the purposes of the Migration Act</w:t>
      </w:r>
      <w:r w:rsidR="00154FC1">
        <w:t xml:space="preserve"> because, f</w:t>
      </w:r>
      <w:r>
        <w:t>irst,</w:t>
      </w:r>
      <w:r w:rsidRPr="00272AAB">
        <w:t xml:space="preserve"> </w:t>
      </w:r>
      <w:r w:rsidR="00154FC1">
        <w:t>it</w:t>
      </w:r>
      <w:r w:rsidRPr="00272AAB">
        <w:t xml:space="preserve"> </w:t>
      </w:r>
      <w:r w:rsidR="00154FC1">
        <w:t xml:space="preserve">does not permit </w:t>
      </w:r>
      <w:r w:rsidRPr="00272AAB">
        <w:t xml:space="preserve">the holder to remain in Australia </w:t>
      </w:r>
      <w:r w:rsidR="00154FC1">
        <w:t xml:space="preserve">indefinitely but </w:t>
      </w:r>
      <w:r w:rsidRPr="00272AAB">
        <w:t xml:space="preserve">only while they have a specified status, namely New Zealand </w:t>
      </w:r>
      <w:r w:rsidR="005D405C">
        <w:t>c</w:t>
      </w:r>
      <w:r w:rsidRPr="00272AAB">
        <w:t>itizenship (s</w:t>
      </w:r>
      <w:r w:rsidR="0050518F">
        <w:t> </w:t>
      </w:r>
      <w:r w:rsidRPr="00272AAB">
        <w:t>30(2)(c) of the Migration Act and reg 444.511</w:t>
      </w:r>
      <w:r>
        <w:t xml:space="preserve"> </w:t>
      </w:r>
      <w:r w:rsidRPr="00272AAB">
        <w:t>of the Regulations)</w:t>
      </w:r>
      <w:r w:rsidR="00154FC1">
        <w:t>;</w:t>
      </w:r>
      <w:r>
        <w:t xml:space="preserve"> </w:t>
      </w:r>
      <w:r w:rsidR="00154FC1">
        <w:t>s</w:t>
      </w:r>
      <w:r>
        <w:t>econd</w:t>
      </w:r>
      <w:r w:rsidR="005D405C">
        <w:t>,</w:t>
      </w:r>
      <w:r>
        <w:t xml:space="preserve"> </w:t>
      </w:r>
      <w:r w:rsidR="00154FC1">
        <w:t>a</w:t>
      </w:r>
      <w:r w:rsidR="00154FC1" w:rsidRPr="00154FC1">
        <w:t xml:space="preserve"> Subclass 444 </w:t>
      </w:r>
      <w:r w:rsidR="00154FC1">
        <w:t xml:space="preserve">visa </w:t>
      </w:r>
      <w:r>
        <w:t xml:space="preserve">is described </w:t>
      </w:r>
      <w:r w:rsidR="00154FC1">
        <w:t>by</w:t>
      </w:r>
      <w:r>
        <w:t xml:space="preserve"> both the Migration Act and the Regulations as a </w:t>
      </w:r>
      <w:r w:rsidRPr="00154FC1">
        <w:rPr>
          <w:i/>
        </w:rPr>
        <w:t>temporary visa</w:t>
      </w:r>
      <w:r>
        <w:t xml:space="preserve"> (s</w:t>
      </w:r>
      <w:r w:rsidR="0050518F">
        <w:t> </w:t>
      </w:r>
      <w:r>
        <w:t>32(</w:t>
      </w:r>
      <w:r w:rsidR="00154FC1">
        <w:t>1</w:t>
      </w:r>
      <w:r>
        <w:t xml:space="preserve">) of the </w:t>
      </w:r>
      <w:r w:rsidR="00154FC1">
        <w:t xml:space="preserve">Migration </w:t>
      </w:r>
      <w:r>
        <w:t>Act and r</w:t>
      </w:r>
      <w:r w:rsidR="003D1BF0">
        <w:t>eg</w:t>
      </w:r>
      <w:r>
        <w:t xml:space="preserve"> 444.511 of the Regulations).</w:t>
      </w:r>
    </w:p>
    <w:p w14:paraId="04FAB95C" w14:textId="77777777" w:rsidR="00272AAB" w:rsidRDefault="00272AAB" w:rsidP="00154FC1">
      <w:pPr>
        <w:pStyle w:val="ListNumber"/>
        <w:numPr>
          <w:ilvl w:val="0"/>
          <w:numId w:val="35"/>
        </w:numPr>
      </w:pPr>
      <w:r>
        <w:t xml:space="preserve">Because a </w:t>
      </w:r>
      <w:r w:rsidR="00154FC1">
        <w:t>S</w:t>
      </w:r>
      <w:r>
        <w:t>ubclass 444 visa is not a permanent visa and, in any event, Ms</w:t>
      </w:r>
      <w:r w:rsidR="00823E22">
        <w:t> </w:t>
      </w:r>
      <w:r>
        <w:t xml:space="preserve">Lim was not the holder of </w:t>
      </w:r>
      <w:r w:rsidR="00154FC1" w:rsidRPr="00154FC1">
        <w:t xml:space="preserve">Subclass 444 visa </w:t>
      </w:r>
      <w:r>
        <w:t xml:space="preserve">on </w:t>
      </w:r>
      <w:r w:rsidR="00551216">
        <w:t xml:space="preserve">all </w:t>
      </w:r>
      <w:r>
        <w:t>day</w:t>
      </w:r>
      <w:r w:rsidR="005D405C">
        <w:t>s</w:t>
      </w:r>
      <w:r>
        <w:t xml:space="preserve"> </w:t>
      </w:r>
      <w:r w:rsidR="00551216">
        <w:t xml:space="preserve">throughout </w:t>
      </w:r>
      <w:r>
        <w:t xml:space="preserve">the relevant period, she </w:t>
      </w:r>
      <w:r w:rsidR="003D1BF0">
        <w:t xml:space="preserve">cannot be considered to be </w:t>
      </w:r>
      <w:r>
        <w:t>an Australian resident for the purpose of s 45(1)(a) of the Act.</w:t>
      </w:r>
    </w:p>
    <w:p w14:paraId="21A5A41D" w14:textId="77777777" w:rsidR="00272AAB" w:rsidRDefault="00272AAB" w:rsidP="00272AAB">
      <w:pPr>
        <w:pStyle w:val="Heading3"/>
      </w:pPr>
      <w:r>
        <w:t xml:space="preserve">Decision </w:t>
      </w:r>
    </w:p>
    <w:p w14:paraId="6A95AE05" w14:textId="77777777" w:rsidR="00272AAB" w:rsidRDefault="00272AAB" w:rsidP="00272AAB">
      <w:pPr>
        <w:pStyle w:val="ListNumber"/>
        <w:numPr>
          <w:ilvl w:val="0"/>
          <w:numId w:val="35"/>
        </w:numPr>
      </w:pPr>
      <w:r>
        <w:t>Ms</w:t>
      </w:r>
      <w:r w:rsidR="00823E22">
        <w:t> </w:t>
      </w:r>
      <w:r>
        <w:t>L</w:t>
      </w:r>
      <w:r w:rsidR="00F62DCA">
        <w:t>im</w:t>
      </w:r>
      <w:r>
        <w:t xml:space="preserve"> did not satisfy the Australian residen</w:t>
      </w:r>
      <w:r w:rsidR="00D42FB1">
        <w:t>cy</w:t>
      </w:r>
      <w:r>
        <w:t xml:space="preserve"> test </w:t>
      </w:r>
      <w:r w:rsidR="00D42FB1">
        <w:t>on</w:t>
      </w:r>
      <w:r>
        <w:t xml:space="preserve"> each day in the relevant period</w:t>
      </w:r>
      <w:r w:rsidR="00D42FB1">
        <w:t>.</w:t>
      </w:r>
      <w:r>
        <w:t xml:space="preserve"> </w:t>
      </w:r>
      <w:r w:rsidR="00D42FB1">
        <w:t xml:space="preserve">Therefore </w:t>
      </w:r>
      <w:r>
        <w:t xml:space="preserve">parental leave pay is not payable to </w:t>
      </w:r>
      <w:r w:rsidR="00FD0F5F">
        <w:t>her</w:t>
      </w:r>
      <w:r>
        <w:t xml:space="preserve"> in relation to her claim made on </w:t>
      </w:r>
      <w:r w:rsidR="00D42FB1">
        <w:t>20</w:t>
      </w:r>
      <w:r w:rsidR="00823E22">
        <w:t> </w:t>
      </w:r>
      <w:r w:rsidR="00D42FB1">
        <w:t>February</w:t>
      </w:r>
      <w:r w:rsidR="00823E22">
        <w:t> </w:t>
      </w:r>
      <w:r w:rsidR="00D42FB1">
        <w:t>2012 and</w:t>
      </w:r>
      <w:r>
        <w:t xml:space="preserve"> it is not necessary to consider whether by the operation of </w:t>
      </w:r>
      <w:r w:rsidR="00D42FB1">
        <w:t>s </w:t>
      </w:r>
      <w:r>
        <w:t xml:space="preserve">46 she does not satisfy the Australian residency test </w:t>
      </w:r>
      <w:r w:rsidR="005D405C">
        <w:t xml:space="preserve">on account </w:t>
      </w:r>
      <w:r>
        <w:t xml:space="preserve">of </w:t>
      </w:r>
      <w:r w:rsidR="00505B22">
        <w:t xml:space="preserve">being absent </w:t>
      </w:r>
      <w:r>
        <w:t>from Australia</w:t>
      </w:r>
      <w:r w:rsidR="00505B22">
        <w:t xml:space="preserve"> at various times before the relevant period</w:t>
      </w:r>
      <w:r>
        <w:t xml:space="preserve">. </w:t>
      </w:r>
      <w:r w:rsidR="00D42FB1">
        <w:t xml:space="preserve">It follows that the correct decision is to refuse to grant Ms Lim’s claim for </w:t>
      </w:r>
      <w:r w:rsidR="005D405C">
        <w:t>PLP</w:t>
      </w:r>
      <w:r w:rsidR="00D42FB1">
        <w:t xml:space="preserve"> and</w:t>
      </w:r>
      <w:r>
        <w:t xml:space="preserve"> to affirm the decision under review.  </w:t>
      </w:r>
    </w:p>
    <w:p w14:paraId="0B41EC95" w14:textId="77777777" w:rsidR="00BC1CC8" w:rsidRDefault="00BC1CC8" w:rsidP="00880C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1"/>
      </w:tblGrid>
      <w:tr w:rsidR="00DE0E9D" w14:paraId="3F534994" w14:textId="77777777" w:rsidTr="00A51BB5">
        <w:trPr>
          <w:trHeight w:val="1545"/>
        </w:trPr>
        <w:tc>
          <w:tcPr>
            <w:tcW w:w="3861" w:type="dxa"/>
          </w:tcPr>
          <w:p w14:paraId="7B1DBFC8" w14:textId="6F189964" w:rsidR="00DE0E9D" w:rsidRDefault="00DE0E9D" w:rsidP="008C0999">
            <w:pPr>
              <w:pStyle w:val="NoSpacing"/>
              <w:spacing w:before="360" w:line="260" w:lineRule="atLeast"/>
            </w:pPr>
            <w:r>
              <w:t xml:space="preserve">I </w:t>
            </w:r>
            <w:bookmarkStart w:id="7" w:name="StartStamp"/>
            <w:bookmarkEnd w:id="7"/>
            <w:r>
              <w:t xml:space="preserve">certify that the </w:t>
            </w:r>
            <w:r w:rsidRPr="000A3D70">
              <w:t>preceding</w:t>
            </w:r>
            <w:r>
              <w:t xml:space="preserve"> </w:t>
            </w:r>
            <w:bookmarkStart w:id="8" w:name="NumParas"/>
            <w:bookmarkEnd w:id="8"/>
            <w:r>
              <w:t xml:space="preserve">27 (twenty seven) </w:t>
            </w:r>
            <w:r w:rsidRPr="000A3D70">
              <w:t xml:space="preserve">paragraphs are a true copy of the reasons for the decision herein of </w:t>
            </w:r>
            <w:r>
              <w:fldChar w:fldCharType="begin"/>
            </w:r>
            <w:r>
              <w:instrText xml:space="preserve"> DOCPROPERTY  TribunalSignee</w:instrText>
            </w:r>
            <w:r>
              <w:fldChar w:fldCharType="separate"/>
            </w:r>
            <w:r>
              <w:t xml:space="preserve"> </w:t>
            </w:r>
            <w:r>
              <w:fldChar w:fldCharType="end"/>
            </w:r>
            <w:r w:rsidR="00AC20DE">
              <w:t>Senior Member A K Britton</w:t>
            </w:r>
            <w:r>
              <w:t>.</w:t>
            </w:r>
          </w:p>
        </w:tc>
      </w:tr>
    </w:tbl>
    <w:p w14:paraId="793A7839" w14:textId="6A96BC68" w:rsidR="00DE0E9D" w:rsidRPr="00BC2D09" w:rsidRDefault="00DE0E9D" w:rsidP="008C0999">
      <w:pPr>
        <w:keepNext/>
        <w:spacing w:before="960"/>
        <w:rPr>
          <w:lang w:eastAsia="en-US"/>
        </w:rPr>
      </w:pPr>
      <w:r w:rsidRPr="00BC2D09">
        <w:rPr>
          <w:lang w:eastAsia="en-US"/>
        </w:rPr>
        <w:t>.............................</w:t>
      </w:r>
      <w:r w:rsidR="006628FA">
        <w:rPr>
          <w:lang w:eastAsia="en-US"/>
        </w:rPr>
        <w:t>[SGD]</w:t>
      </w:r>
      <w:r w:rsidRPr="00BC2D09">
        <w:rPr>
          <w:lang w:eastAsia="en-US"/>
        </w:rPr>
        <w:t>...........................................</w:t>
      </w:r>
    </w:p>
    <w:p w14:paraId="53230B28" w14:textId="77777777" w:rsidR="00DE0E9D" w:rsidRPr="00D8769A" w:rsidRDefault="00FE4299" w:rsidP="00814E7C">
      <w:pPr>
        <w:pStyle w:val="NoSpacing"/>
      </w:pPr>
      <w:fldSimple w:instr=" DOCPROPERTY  SigneeDesignation ">
        <w:r w:rsidR="00DE0E9D">
          <w:t>Associate</w:t>
        </w:r>
      </w:fldSimple>
    </w:p>
    <w:p w14:paraId="026FDF77" w14:textId="604A90F0" w:rsidR="00DE0E9D" w:rsidRDefault="003D514F" w:rsidP="008C0999">
      <w:r>
        <w:t>Dated</w:t>
      </w:r>
      <w:r w:rsidR="00072EA6">
        <w:t xml:space="preserve"> 18</w:t>
      </w:r>
      <w:r w:rsidR="00DE0E9D">
        <w:t xml:space="preserve"> November 2013</w:t>
      </w:r>
    </w:p>
    <w:p w14:paraId="18DC9B38" w14:textId="77777777" w:rsidR="00DE0E9D" w:rsidRDefault="00DE0E9D" w:rsidP="008C0999"/>
    <w:tbl>
      <w:tblPr>
        <w:tblW w:w="0" w:type="auto"/>
        <w:tblLayout w:type="fixed"/>
        <w:tblLook w:val="00A0" w:firstRow="1" w:lastRow="0" w:firstColumn="1" w:lastColumn="0" w:noHBand="0" w:noVBand="0"/>
      </w:tblPr>
      <w:tblGrid>
        <w:gridCol w:w="3510"/>
        <w:gridCol w:w="5279"/>
      </w:tblGrid>
      <w:tr w:rsidR="00DE0E9D" w:rsidRPr="00BC2D09" w14:paraId="6FF7B067" w14:textId="77777777" w:rsidTr="008C0999">
        <w:trPr>
          <w:trHeight w:val="567"/>
        </w:trPr>
        <w:tc>
          <w:tcPr>
            <w:tcW w:w="3510" w:type="dxa"/>
          </w:tcPr>
          <w:p w14:paraId="623B75A8" w14:textId="77777777" w:rsidR="00DE0E9D" w:rsidRPr="00BC2D09" w:rsidRDefault="00DE0E9D" w:rsidP="008C0999">
            <w:pPr>
              <w:pStyle w:val="NoSpacing"/>
              <w:rPr>
                <w:lang w:eastAsia="en-US"/>
              </w:rPr>
            </w:pPr>
            <w:r>
              <w:rPr>
                <w:lang w:eastAsia="en-US"/>
              </w:rPr>
              <w:t>Date(s) of hearing</w:t>
            </w:r>
          </w:p>
        </w:tc>
        <w:tc>
          <w:tcPr>
            <w:tcW w:w="5279" w:type="dxa"/>
          </w:tcPr>
          <w:p w14:paraId="1E1D955C" w14:textId="77777777" w:rsidR="00DE0E9D" w:rsidRPr="00771CAC" w:rsidRDefault="00DE0E9D" w:rsidP="008C0999">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 xml:space="preserve">23 </w:t>
            </w:r>
            <w:r w:rsidR="00505B22">
              <w:rPr>
                <w:b/>
                <w:bCs/>
                <w:lang w:eastAsia="en-US"/>
              </w:rPr>
              <w:t>September</w:t>
            </w:r>
            <w:r>
              <w:rPr>
                <w:b/>
                <w:bCs/>
                <w:lang w:eastAsia="en-US"/>
              </w:rPr>
              <w:t xml:space="preserve"> 2013</w:t>
            </w:r>
            <w:r>
              <w:rPr>
                <w:b/>
                <w:bCs/>
                <w:lang w:eastAsia="en-US"/>
              </w:rPr>
              <w:fldChar w:fldCharType="end"/>
            </w:r>
          </w:p>
        </w:tc>
      </w:tr>
      <w:tr w:rsidR="00DE0E9D" w:rsidRPr="00BC2D09" w14:paraId="1495430D" w14:textId="77777777" w:rsidTr="008C0999">
        <w:trPr>
          <w:trHeight w:val="567"/>
        </w:trPr>
        <w:tc>
          <w:tcPr>
            <w:tcW w:w="3510" w:type="dxa"/>
          </w:tcPr>
          <w:p w14:paraId="0C375249" w14:textId="77777777" w:rsidR="00DE0E9D" w:rsidRPr="00BC2D09" w:rsidRDefault="00DE0E9D" w:rsidP="008C0999">
            <w:pPr>
              <w:pStyle w:val="NoSpacing"/>
              <w:rPr>
                <w:lang w:eastAsia="en-US"/>
              </w:rPr>
            </w:pPr>
            <w:bookmarkStart w:id="9" w:name="DateFinalSubmission"/>
            <w:bookmarkEnd w:id="9"/>
            <w:r>
              <w:rPr>
                <w:lang w:eastAsia="en-US"/>
              </w:rPr>
              <w:t>Date final submissions received</w:t>
            </w:r>
          </w:p>
        </w:tc>
        <w:tc>
          <w:tcPr>
            <w:tcW w:w="5279" w:type="dxa"/>
          </w:tcPr>
          <w:p w14:paraId="415C7F87" w14:textId="6A7048B2" w:rsidR="00DE0E9D" w:rsidRPr="00771CAC" w:rsidRDefault="00505B22" w:rsidP="00334ED2">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334ED2">
              <w:rPr>
                <w:b/>
                <w:bCs/>
                <w:lang w:eastAsia="en-US"/>
              </w:rPr>
              <w:t>2 October</w:t>
            </w:r>
            <w:r>
              <w:rPr>
                <w:b/>
                <w:bCs/>
                <w:lang w:eastAsia="en-US"/>
              </w:rPr>
              <w:t xml:space="preserve"> 2013</w:t>
            </w:r>
            <w:r>
              <w:rPr>
                <w:b/>
                <w:bCs/>
                <w:lang w:eastAsia="en-US"/>
              </w:rPr>
              <w:fldChar w:fldCharType="end"/>
            </w:r>
          </w:p>
        </w:tc>
      </w:tr>
      <w:tr w:rsidR="00DE0E9D" w:rsidRPr="00BC2D09" w14:paraId="63709139" w14:textId="77777777" w:rsidTr="008C0999">
        <w:trPr>
          <w:trHeight w:val="567"/>
        </w:trPr>
        <w:tc>
          <w:tcPr>
            <w:tcW w:w="3510" w:type="dxa"/>
          </w:tcPr>
          <w:p w14:paraId="3D39F781" w14:textId="77777777" w:rsidR="00DE0E9D" w:rsidRPr="00BC2D09" w:rsidRDefault="00DE0E9D" w:rsidP="008C0999">
            <w:pPr>
              <w:pStyle w:val="NoSpacing"/>
              <w:rPr>
                <w:lang w:eastAsia="en-US"/>
              </w:rPr>
            </w:pPr>
            <w:bookmarkStart w:id="10" w:name="AppSelfRepresented"/>
            <w:bookmarkStart w:id="11" w:name="Applicant_Counsel"/>
            <w:bookmarkStart w:id="12" w:name="Applicant_Advocate"/>
            <w:bookmarkStart w:id="13" w:name="Applicant_Solicitors"/>
            <w:bookmarkEnd w:id="10"/>
            <w:bookmarkEnd w:id="11"/>
            <w:bookmarkEnd w:id="12"/>
            <w:bookmarkEnd w:id="13"/>
            <w:r>
              <w:rPr>
                <w:lang w:eastAsia="en-US"/>
              </w:rPr>
              <w:t>Solicitors for the Applicant</w:t>
            </w:r>
          </w:p>
        </w:tc>
        <w:tc>
          <w:tcPr>
            <w:tcW w:w="5279" w:type="dxa"/>
          </w:tcPr>
          <w:p w14:paraId="73D8E906" w14:textId="77777777" w:rsidR="00DE0E9D" w:rsidRPr="00771CAC" w:rsidRDefault="00DE0E9D" w:rsidP="008C0999">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Pr>
                <w:b/>
                <w:bCs/>
                <w:lang w:eastAsia="en-US"/>
              </w:rPr>
              <w:t>Stephen Hodges Solicitor</w:t>
            </w:r>
            <w:r>
              <w:rPr>
                <w:b/>
                <w:bCs/>
                <w:lang w:eastAsia="en-US"/>
              </w:rPr>
              <w:fldChar w:fldCharType="end"/>
            </w:r>
          </w:p>
        </w:tc>
      </w:tr>
      <w:tr w:rsidR="00DE0E9D" w:rsidRPr="00BC2D09" w14:paraId="1D915E39" w14:textId="77777777" w:rsidTr="008C0999">
        <w:trPr>
          <w:trHeight w:val="567"/>
        </w:trPr>
        <w:tc>
          <w:tcPr>
            <w:tcW w:w="3510" w:type="dxa"/>
          </w:tcPr>
          <w:p w14:paraId="70803642" w14:textId="77777777" w:rsidR="00DE0E9D" w:rsidRDefault="00DE0E9D" w:rsidP="008C0999">
            <w:pPr>
              <w:pStyle w:val="NoSpacing"/>
              <w:rPr>
                <w:lang w:eastAsia="en-US"/>
              </w:rPr>
            </w:pPr>
            <w:bookmarkStart w:id="14" w:name="Respondent_SelfRepresented"/>
            <w:bookmarkStart w:id="15" w:name="Respondent_Counsel"/>
            <w:bookmarkStart w:id="16" w:name="Respondent_Advocate"/>
            <w:bookmarkStart w:id="17" w:name="Respondent_Solicitors"/>
            <w:bookmarkEnd w:id="14"/>
            <w:bookmarkEnd w:id="15"/>
            <w:bookmarkEnd w:id="16"/>
            <w:bookmarkEnd w:id="17"/>
            <w:r>
              <w:rPr>
                <w:lang w:eastAsia="en-US"/>
              </w:rPr>
              <w:t>Solicitors for the Respondent</w:t>
            </w:r>
          </w:p>
        </w:tc>
        <w:tc>
          <w:tcPr>
            <w:tcW w:w="5279" w:type="dxa"/>
          </w:tcPr>
          <w:p w14:paraId="01AE7A2A" w14:textId="77777777" w:rsidR="00DE0E9D" w:rsidRPr="00771CAC" w:rsidRDefault="00DE0E9D" w:rsidP="008C0999">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Department of Human Services (Program Litigation and Review)</w:t>
            </w:r>
            <w:r>
              <w:rPr>
                <w:b/>
                <w:bCs/>
                <w:lang w:eastAsia="en-US"/>
              </w:rPr>
              <w:fldChar w:fldCharType="end"/>
            </w:r>
          </w:p>
        </w:tc>
      </w:tr>
    </w:tbl>
    <w:p w14:paraId="6CD876B1" w14:textId="77777777" w:rsidR="00DE0E9D" w:rsidRDefault="00DE0E9D" w:rsidP="00DE0E9D">
      <w:bookmarkStart w:id="18" w:name="Joined_SelfRepresented"/>
      <w:bookmarkStart w:id="19" w:name="Joined_Counsel"/>
      <w:bookmarkStart w:id="20" w:name="Joined_Advocate"/>
      <w:bookmarkStart w:id="21" w:name="Joined_Solicitors"/>
      <w:bookmarkStart w:id="22" w:name="Third_SelfRepresented"/>
      <w:bookmarkStart w:id="23" w:name="Third_Counsel"/>
      <w:bookmarkStart w:id="24" w:name="Third_Advocate"/>
      <w:bookmarkStart w:id="25" w:name="Third_Solicitors"/>
      <w:bookmarkStart w:id="26" w:name="Other_SelfRepresented"/>
      <w:bookmarkStart w:id="27" w:name="OtherParty_Counsel"/>
      <w:bookmarkStart w:id="28" w:name="OtherParty_Advocate"/>
      <w:bookmarkStart w:id="29" w:name="OtherParty_Solicitors"/>
      <w:bookmarkEnd w:id="18"/>
      <w:bookmarkEnd w:id="19"/>
      <w:bookmarkEnd w:id="20"/>
      <w:bookmarkEnd w:id="21"/>
      <w:bookmarkEnd w:id="22"/>
      <w:bookmarkEnd w:id="23"/>
      <w:bookmarkEnd w:id="24"/>
      <w:bookmarkEnd w:id="25"/>
      <w:bookmarkEnd w:id="26"/>
      <w:bookmarkEnd w:id="27"/>
      <w:bookmarkEnd w:id="28"/>
      <w:bookmarkEnd w:id="29"/>
    </w:p>
    <w:sectPr w:rsidR="00DE0E9D"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DA344" w14:textId="77777777" w:rsidR="00AD765B" w:rsidRDefault="00AD765B">
      <w:r>
        <w:separator/>
      </w:r>
    </w:p>
    <w:p w14:paraId="331D2DB0" w14:textId="77777777" w:rsidR="00AD765B" w:rsidRDefault="00AD765B"/>
  </w:endnote>
  <w:endnote w:type="continuationSeparator" w:id="0">
    <w:p w14:paraId="080204FD" w14:textId="77777777" w:rsidR="00AD765B" w:rsidRDefault="00AD765B">
      <w:r>
        <w:continuationSeparator/>
      </w:r>
    </w:p>
    <w:p w14:paraId="50861595" w14:textId="77777777" w:rsidR="00AD765B" w:rsidRDefault="00AD7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AD765B" w:rsidRPr="006F16E0" w14:paraId="06FF5A49" w14:textId="77777777" w:rsidTr="00E53225">
      <w:tc>
        <w:tcPr>
          <w:tcW w:w="1447" w:type="dxa"/>
          <w:tcBorders>
            <w:right w:val="single" w:sz="4" w:space="0" w:color="auto"/>
          </w:tcBorders>
          <w:vAlign w:val="center"/>
        </w:tcPr>
        <w:p w14:paraId="360AA5D6" w14:textId="77777777" w:rsidR="00AD765B" w:rsidRPr="006F16E0" w:rsidRDefault="00AD765B" w:rsidP="006F16E0">
          <w:pPr>
            <w:pStyle w:val="Footer"/>
          </w:pPr>
          <w:r>
            <w:t xml:space="preserve">Page </w:t>
          </w:r>
          <w:r>
            <w:fldChar w:fldCharType="begin"/>
          </w:r>
          <w:r>
            <w:instrText xml:space="preserve"> PAGE  \* Arabic </w:instrText>
          </w:r>
          <w:r>
            <w:fldChar w:fldCharType="separate"/>
          </w:r>
          <w:r w:rsidR="00C67194">
            <w:rPr>
              <w:noProof/>
            </w:rPr>
            <w:t>8</w:t>
          </w:r>
          <w:r>
            <w:fldChar w:fldCharType="end"/>
          </w:r>
          <w:r>
            <w:t xml:space="preserve"> of </w:t>
          </w:r>
          <w:fldSimple w:instr=" NUMPAGES  \* Arabic ">
            <w:r w:rsidR="00C67194">
              <w:rPr>
                <w:noProof/>
              </w:rPr>
              <w:t>8</w:t>
            </w:r>
          </w:fldSimple>
        </w:p>
      </w:tc>
      <w:tc>
        <w:tcPr>
          <w:tcW w:w="8763" w:type="dxa"/>
          <w:tcBorders>
            <w:left w:val="single" w:sz="4" w:space="0" w:color="auto"/>
          </w:tcBorders>
          <w:vAlign w:val="center"/>
        </w:tcPr>
        <w:p w14:paraId="5188C521" w14:textId="77777777" w:rsidR="00AD765B" w:rsidRPr="006F16E0" w:rsidRDefault="00AD765B" w:rsidP="006F16E0">
          <w:pPr>
            <w:pStyle w:val="Footer"/>
          </w:pPr>
        </w:p>
      </w:tc>
    </w:tr>
  </w:tbl>
  <w:p w14:paraId="0D374717" w14:textId="77777777" w:rsidR="00AD765B" w:rsidRDefault="00AD7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AD765B" w14:paraId="5DF20A7C" w14:textId="77777777" w:rsidTr="00C756F8">
      <w:tc>
        <w:tcPr>
          <w:tcW w:w="1447" w:type="dxa"/>
          <w:tcBorders>
            <w:right w:val="single" w:sz="4" w:space="0" w:color="auto"/>
          </w:tcBorders>
          <w:vAlign w:val="center"/>
        </w:tcPr>
        <w:p w14:paraId="03A0D0D5" w14:textId="77777777" w:rsidR="00AD765B" w:rsidRDefault="00AD765B" w:rsidP="005D5DF5">
          <w:pPr>
            <w:pStyle w:val="FooterPage1"/>
          </w:pPr>
        </w:p>
      </w:tc>
      <w:tc>
        <w:tcPr>
          <w:tcW w:w="8763" w:type="dxa"/>
          <w:tcBorders>
            <w:left w:val="single" w:sz="4" w:space="0" w:color="auto"/>
          </w:tcBorders>
          <w:tcMar>
            <w:left w:w="85" w:type="dxa"/>
          </w:tcMar>
          <w:vAlign w:val="center"/>
        </w:tcPr>
        <w:p w14:paraId="4B783765" w14:textId="77777777" w:rsidR="00AD765B" w:rsidRDefault="00AD765B" w:rsidP="006C7B9D">
          <w:pPr>
            <w:pStyle w:val="FooterPage1"/>
          </w:pPr>
          <w:r>
            <w:t>© Commonwealth of Australia 2013</w:t>
          </w:r>
        </w:p>
      </w:tc>
    </w:tr>
  </w:tbl>
  <w:p w14:paraId="29892D5C" w14:textId="77777777" w:rsidR="00AD765B" w:rsidRDefault="00AD765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E47CE" w14:textId="77777777" w:rsidR="00AD765B" w:rsidRDefault="00AD765B">
      <w:r>
        <w:separator/>
      </w:r>
    </w:p>
  </w:footnote>
  <w:footnote w:type="continuationSeparator" w:id="0">
    <w:p w14:paraId="387B4709" w14:textId="77777777" w:rsidR="00AD765B" w:rsidRDefault="00AD765B">
      <w:r>
        <w:continuationSeparator/>
      </w:r>
    </w:p>
    <w:p w14:paraId="6C60FC75" w14:textId="77777777" w:rsidR="00AD765B" w:rsidRDefault="00AD76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BB098" w14:textId="77777777" w:rsidR="00AD765B" w:rsidRDefault="00AD765B">
    <w:pPr>
      <w:framePr w:wrap="around" w:vAnchor="text" w:hAnchor="margin" w:xAlign="center" w:y="1"/>
      <w:numPr>
        <w:ilvl w:val="12"/>
        <w:numId w:val="0"/>
      </w:numPr>
      <w:ind w:hanging="851"/>
    </w:pPr>
    <w:r>
      <w:fldChar w:fldCharType="begin"/>
    </w:r>
    <w:r>
      <w:instrText xml:space="preserve">PAGE  </w:instrText>
    </w:r>
    <w:r>
      <w:fldChar w:fldCharType="end"/>
    </w:r>
  </w:p>
  <w:p w14:paraId="76E2842B" w14:textId="77777777" w:rsidR="00AD765B" w:rsidRDefault="00AD765B">
    <w:pPr>
      <w:numPr>
        <w:ilvl w:val="12"/>
        <w:numId w:val="0"/>
      </w:numPr>
      <w:ind w:hanging="851"/>
    </w:pPr>
  </w:p>
  <w:p w14:paraId="6AF5545D" w14:textId="77777777" w:rsidR="00AD765B" w:rsidRDefault="00AD76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AD765B" w14:paraId="2E73B287" w14:textId="77777777" w:rsidTr="00DD17FC">
      <w:trPr>
        <w:trHeight w:hRule="exact" w:val="1361"/>
      </w:trPr>
      <w:tc>
        <w:tcPr>
          <w:tcW w:w="6634" w:type="dxa"/>
          <w:vAlign w:val="bottom"/>
        </w:tcPr>
        <w:p w14:paraId="7C4904D8" w14:textId="77777777" w:rsidR="00AD765B" w:rsidRDefault="00AD765B">
          <w:pPr>
            <w:numPr>
              <w:ilvl w:val="12"/>
              <w:numId w:val="0"/>
            </w:numPr>
          </w:pPr>
          <w:r>
            <w:rPr>
              <w:noProof/>
            </w:rPr>
            <w:drawing>
              <wp:inline distT="0" distB="0" distL="0" distR="0" wp14:anchorId="2F6BF516" wp14:editId="5BA61D3D">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14:paraId="184BC93C" w14:textId="77777777" w:rsidR="00AD765B" w:rsidRDefault="00AD765B" w:rsidP="005976AB">
          <w:pPr>
            <w:numPr>
              <w:ilvl w:val="12"/>
              <w:numId w:val="0"/>
            </w:numPr>
            <w:jc w:val="right"/>
          </w:pPr>
          <w:r>
            <w:rPr>
              <w:noProof/>
            </w:rPr>
            <w:drawing>
              <wp:inline distT="0" distB="0" distL="0" distR="0" wp14:anchorId="0EBC9B9C" wp14:editId="74AA591B">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14:paraId="2794B392" w14:textId="77777777" w:rsidR="00AD765B" w:rsidRDefault="00AD765B"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6503082"/>
    <w:multiLevelType w:val="multilevel"/>
    <w:tmpl w:val="8C8EB508"/>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1D6B378B"/>
    <w:multiLevelType w:val="multilevel"/>
    <w:tmpl w:val="405A42A0"/>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8E4DEF"/>
    <w:multiLevelType w:val="multilevel"/>
    <w:tmpl w:val="C38441E4"/>
    <w:styleLink w:val="Quotes"/>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DCE73BB"/>
    <w:multiLevelType w:val="multilevel"/>
    <w:tmpl w:val="41AE35B0"/>
    <w:numStyleLink w:val="ListNumbers"/>
  </w:abstractNum>
  <w:abstractNum w:abstractNumId="1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7">
    <w:nsid w:val="495036ED"/>
    <w:multiLevelType w:val="multilevel"/>
    <w:tmpl w:val="C38441E4"/>
    <w:numStyleLink w:val="Quotes"/>
  </w:abstractNum>
  <w:abstractNum w:abstractNumId="18">
    <w:nsid w:val="50FB74C1"/>
    <w:multiLevelType w:val="hybridMultilevel"/>
    <w:tmpl w:val="EB90778E"/>
    <w:lvl w:ilvl="0" w:tplc="D91245E6">
      <w:start w:val="1"/>
      <w:numFmt w:val="bullet"/>
      <w:pStyle w:val="FollowingPara"/>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9">
    <w:nsid w:val="55310AC7"/>
    <w:multiLevelType w:val="multilevel"/>
    <w:tmpl w:val="2160D004"/>
    <w:numStyleLink w:val="Bullets"/>
  </w:abstractNum>
  <w:abstractNum w:abstractNumId="20">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1">
    <w:nsid w:val="57F51287"/>
    <w:multiLevelType w:val="multilevel"/>
    <w:tmpl w:val="965A6056"/>
    <w:lvl w:ilvl="0">
      <w:start w:val="2"/>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nsid w:val="641E12EB"/>
    <w:multiLevelType w:val="multilevel"/>
    <w:tmpl w:val="2160D004"/>
    <w:numStyleLink w:val="Bullets"/>
  </w:abstractNum>
  <w:abstractNum w:abstractNumId="23">
    <w:nsid w:val="6B060E1C"/>
    <w:multiLevelType w:val="multilevel"/>
    <w:tmpl w:val="41AE35B0"/>
    <w:numStyleLink w:val="ListNumbers"/>
  </w:abstractNum>
  <w:abstractNum w:abstractNumId="24">
    <w:nsid w:val="74DC79E0"/>
    <w:multiLevelType w:val="multilevel"/>
    <w:tmpl w:val="2160D004"/>
    <w:numStyleLink w:val="Bullets"/>
  </w:abstractNum>
  <w:abstractNum w:abstractNumId="25">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6">
    <w:nsid w:val="7FAF2430"/>
    <w:multiLevelType w:val="multilevel"/>
    <w:tmpl w:val="2160D004"/>
    <w:numStyleLink w:val="Bullets"/>
  </w:abstractNum>
  <w:num w:numId="1">
    <w:abstractNumId w:val="10"/>
  </w:num>
  <w:num w:numId="2">
    <w:abstractNumId w:val="20"/>
  </w:num>
  <w:num w:numId="3">
    <w:abstractNumId w:val="20"/>
  </w:num>
  <w:num w:numId="4">
    <w:abstractNumId w:val="10"/>
  </w:num>
  <w:num w:numId="5">
    <w:abstractNumId w:val="25"/>
  </w:num>
  <w:num w:numId="6">
    <w:abstractNumId w:val="25"/>
  </w:num>
  <w:num w:numId="7">
    <w:abstractNumId w:val="25"/>
  </w:num>
  <w:num w:numId="8">
    <w:abstractNumId w:val="25"/>
  </w:num>
  <w:num w:numId="9">
    <w:abstractNumId w:val="9"/>
  </w:num>
  <w:num w:numId="10">
    <w:abstractNumId w:val="15"/>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6"/>
  </w:num>
  <w:num w:numId="22">
    <w:abstractNumId w:val="24"/>
  </w:num>
  <w:num w:numId="23">
    <w:abstractNumId w:val="26"/>
  </w:num>
  <w:num w:numId="24">
    <w:abstractNumId w:val="6"/>
  </w:num>
  <w:num w:numId="25">
    <w:abstractNumId w:val="5"/>
  </w:num>
  <w:num w:numId="26">
    <w:abstractNumId w:val="19"/>
  </w:num>
  <w:num w:numId="27">
    <w:abstractNumId w:val="22"/>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3"/>
  </w:num>
  <w:num w:numId="38">
    <w:abstractNumId w:val="8"/>
  </w:num>
  <w:num w:numId="39">
    <w:abstractNumId w:val="8"/>
  </w:num>
  <w:num w:numId="40">
    <w:abstractNumId w:val="8"/>
  </w:num>
  <w:num w:numId="41">
    <w:abstractNumId w:val="8"/>
  </w:num>
  <w:num w:numId="42">
    <w:abstractNumId w:val="13"/>
  </w:num>
  <w:num w:numId="43">
    <w:abstractNumId w:val="17"/>
  </w:num>
  <w:num w:numId="44">
    <w:abstractNumId w:val="12"/>
  </w:num>
  <w:num w:numId="45">
    <w:abstractNumId w:val="18"/>
  </w:num>
  <w:num w:numId="46">
    <w:abstractNumId w:val="18"/>
  </w:num>
  <w:num w:numId="47">
    <w:abstractNumId w:val="7"/>
  </w:num>
  <w:num w:numId="48">
    <w:abstractNumId w:val="2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C77B0A"/>
    <w:rsid w:val="00000438"/>
    <w:rsid w:val="00000788"/>
    <w:rsid w:val="00004028"/>
    <w:rsid w:val="00004916"/>
    <w:rsid w:val="00010D8F"/>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2EA6"/>
    <w:rsid w:val="00074057"/>
    <w:rsid w:val="00076AE1"/>
    <w:rsid w:val="00077E34"/>
    <w:rsid w:val="0008091F"/>
    <w:rsid w:val="000838CC"/>
    <w:rsid w:val="000852E6"/>
    <w:rsid w:val="0008639E"/>
    <w:rsid w:val="00086AFC"/>
    <w:rsid w:val="000903C8"/>
    <w:rsid w:val="0009097C"/>
    <w:rsid w:val="00096477"/>
    <w:rsid w:val="00097ECF"/>
    <w:rsid w:val="000A2C43"/>
    <w:rsid w:val="000A3B7B"/>
    <w:rsid w:val="000A40FB"/>
    <w:rsid w:val="000A6277"/>
    <w:rsid w:val="000B05AB"/>
    <w:rsid w:val="000B21C6"/>
    <w:rsid w:val="000C0421"/>
    <w:rsid w:val="000C200E"/>
    <w:rsid w:val="000D1F26"/>
    <w:rsid w:val="000E14C4"/>
    <w:rsid w:val="000E35BC"/>
    <w:rsid w:val="000E4089"/>
    <w:rsid w:val="000E5FB6"/>
    <w:rsid w:val="000F18F4"/>
    <w:rsid w:val="000F1C17"/>
    <w:rsid w:val="00105FD9"/>
    <w:rsid w:val="001064ED"/>
    <w:rsid w:val="00110450"/>
    <w:rsid w:val="00110C0F"/>
    <w:rsid w:val="00111F84"/>
    <w:rsid w:val="001131C2"/>
    <w:rsid w:val="00114BD8"/>
    <w:rsid w:val="00117552"/>
    <w:rsid w:val="0012021D"/>
    <w:rsid w:val="001209DA"/>
    <w:rsid w:val="00122092"/>
    <w:rsid w:val="001220FF"/>
    <w:rsid w:val="00122EFA"/>
    <w:rsid w:val="00143874"/>
    <w:rsid w:val="0014665F"/>
    <w:rsid w:val="001466C7"/>
    <w:rsid w:val="00154FC1"/>
    <w:rsid w:val="00156035"/>
    <w:rsid w:val="00161B81"/>
    <w:rsid w:val="001625D8"/>
    <w:rsid w:val="0016425D"/>
    <w:rsid w:val="0016773D"/>
    <w:rsid w:val="00170921"/>
    <w:rsid w:val="00170BEE"/>
    <w:rsid w:val="00174965"/>
    <w:rsid w:val="001761FE"/>
    <w:rsid w:val="00177ECF"/>
    <w:rsid w:val="001803FE"/>
    <w:rsid w:val="00183666"/>
    <w:rsid w:val="001851A9"/>
    <w:rsid w:val="0018598D"/>
    <w:rsid w:val="00187636"/>
    <w:rsid w:val="00197BFF"/>
    <w:rsid w:val="001A20BC"/>
    <w:rsid w:val="001A2C68"/>
    <w:rsid w:val="001A3530"/>
    <w:rsid w:val="001A364E"/>
    <w:rsid w:val="001A37DD"/>
    <w:rsid w:val="001A4085"/>
    <w:rsid w:val="001A4617"/>
    <w:rsid w:val="001C1058"/>
    <w:rsid w:val="001C59B1"/>
    <w:rsid w:val="001D5528"/>
    <w:rsid w:val="001D5B26"/>
    <w:rsid w:val="001D661E"/>
    <w:rsid w:val="001D734A"/>
    <w:rsid w:val="001E1E9E"/>
    <w:rsid w:val="001E4799"/>
    <w:rsid w:val="001F058C"/>
    <w:rsid w:val="001F2404"/>
    <w:rsid w:val="001F2C5D"/>
    <w:rsid w:val="001F3698"/>
    <w:rsid w:val="001F708A"/>
    <w:rsid w:val="00200058"/>
    <w:rsid w:val="00200390"/>
    <w:rsid w:val="00201958"/>
    <w:rsid w:val="00202BDD"/>
    <w:rsid w:val="002037D9"/>
    <w:rsid w:val="00203F58"/>
    <w:rsid w:val="002044E0"/>
    <w:rsid w:val="002101C7"/>
    <w:rsid w:val="0021136A"/>
    <w:rsid w:val="00211543"/>
    <w:rsid w:val="002135E8"/>
    <w:rsid w:val="002137DF"/>
    <w:rsid w:val="00213896"/>
    <w:rsid w:val="00215E98"/>
    <w:rsid w:val="002216BD"/>
    <w:rsid w:val="002260F4"/>
    <w:rsid w:val="002276C4"/>
    <w:rsid w:val="00230141"/>
    <w:rsid w:val="00237992"/>
    <w:rsid w:val="00242AEC"/>
    <w:rsid w:val="0024341E"/>
    <w:rsid w:val="0024473D"/>
    <w:rsid w:val="0024549E"/>
    <w:rsid w:val="00253104"/>
    <w:rsid w:val="00256FC5"/>
    <w:rsid w:val="002607D3"/>
    <w:rsid w:val="00272AAB"/>
    <w:rsid w:val="002735B9"/>
    <w:rsid w:val="00273B5A"/>
    <w:rsid w:val="0027496E"/>
    <w:rsid w:val="002754F8"/>
    <w:rsid w:val="00275E2F"/>
    <w:rsid w:val="002801D9"/>
    <w:rsid w:val="00280F2B"/>
    <w:rsid w:val="002839BF"/>
    <w:rsid w:val="00287811"/>
    <w:rsid w:val="00287FE0"/>
    <w:rsid w:val="002944AA"/>
    <w:rsid w:val="00295ACC"/>
    <w:rsid w:val="00297BAC"/>
    <w:rsid w:val="002A40EA"/>
    <w:rsid w:val="002A5BD8"/>
    <w:rsid w:val="002A6D3A"/>
    <w:rsid w:val="002B1002"/>
    <w:rsid w:val="002B52FA"/>
    <w:rsid w:val="002C2118"/>
    <w:rsid w:val="002C7313"/>
    <w:rsid w:val="002C7E16"/>
    <w:rsid w:val="002D7F26"/>
    <w:rsid w:val="002E6962"/>
    <w:rsid w:val="002E7FBA"/>
    <w:rsid w:val="002F0D19"/>
    <w:rsid w:val="002F1203"/>
    <w:rsid w:val="002F3DDF"/>
    <w:rsid w:val="002F6956"/>
    <w:rsid w:val="002F7E7B"/>
    <w:rsid w:val="00301154"/>
    <w:rsid w:val="0030226A"/>
    <w:rsid w:val="003058C9"/>
    <w:rsid w:val="003070FA"/>
    <w:rsid w:val="00307689"/>
    <w:rsid w:val="00310F2F"/>
    <w:rsid w:val="003152B2"/>
    <w:rsid w:val="00323B7B"/>
    <w:rsid w:val="00325D17"/>
    <w:rsid w:val="00325EC3"/>
    <w:rsid w:val="0032657E"/>
    <w:rsid w:val="00331390"/>
    <w:rsid w:val="00334ED2"/>
    <w:rsid w:val="0034191E"/>
    <w:rsid w:val="00342BEC"/>
    <w:rsid w:val="00350976"/>
    <w:rsid w:val="003513CF"/>
    <w:rsid w:val="00352381"/>
    <w:rsid w:val="003530AA"/>
    <w:rsid w:val="003579F7"/>
    <w:rsid w:val="00357F88"/>
    <w:rsid w:val="003739F4"/>
    <w:rsid w:val="00380425"/>
    <w:rsid w:val="00382E91"/>
    <w:rsid w:val="003868D3"/>
    <w:rsid w:val="00391A9B"/>
    <w:rsid w:val="00394A18"/>
    <w:rsid w:val="00395365"/>
    <w:rsid w:val="00395B38"/>
    <w:rsid w:val="00397AC3"/>
    <w:rsid w:val="003A5522"/>
    <w:rsid w:val="003B6DAC"/>
    <w:rsid w:val="003C12DE"/>
    <w:rsid w:val="003C3A2F"/>
    <w:rsid w:val="003C6C6D"/>
    <w:rsid w:val="003D1BF0"/>
    <w:rsid w:val="003D2450"/>
    <w:rsid w:val="003D4BB1"/>
    <w:rsid w:val="003D514F"/>
    <w:rsid w:val="003E1FE6"/>
    <w:rsid w:val="003E261A"/>
    <w:rsid w:val="003E45BA"/>
    <w:rsid w:val="003E5E87"/>
    <w:rsid w:val="003E64EB"/>
    <w:rsid w:val="003F2BEB"/>
    <w:rsid w:val="003F3503"/>
    <w:rsid w:val="00401581"/>
    <w:rsid w:val="004050E6"/>
    <w:rsid w:val="00406B68"/>
    <w:rsid w:val="00410B62"/>
    <w:rsid w:val="00411738"/>
    <w:rsid w:val="004152C5"/>
    <w:rsid w:val="00416CE8"/>
    <w:rsid w:val="00417658"/>
    <w:rsid w:val="00426A4B"/>
    <w:rsid w:val="00434C15"/>
    <w:rsid w:val="00434C43"/>
    <w:rsid w:val="0045303F"/>
    <w:rsid w:val="0045440C"/>
    <w:rsid w:val="00454437"/>
    <w:rsid w:val="00463C53"/>
    <w:rsid w:val="00466655"/>
    <w:rsid w:val="0047066D"/>
    <w:rsid w:val="004727B7"/>
    <w:rsid w:val="00473144"/>
    <w:rsid w:val="00473AB1"/>
    <w:rsid w:val="00480DF4"/>
    <w:rsid w:val="004856B3"/>
    <w:rsid w:val="00485A89"/>
    <w:rsid w:val="004905BD"/>
    <w:rsid w:val="00490C0A"/>
    <w:rsid w:val="004A0002"/>
    <w:rsid w:val="004A4F2C"/>
    <w:rsid w:val="004A55A2"/>
    <w:rsid w:val="004B6924"/>
    <w:rsid w:val="004C4132"/>
    <w:rsid w:val="004C74C6"/>
    <w:rsid w:val="004D0176"/>
    <w:rsid w:val="004D3365"/>
    <w:rsid w:val="004E4BB6"/>
    <w:rsid w:val="004E5063"/>
    <w:rsid w:val="004E720A"/>
    <w:rsid w:val="004E7541"/>
    <w:rsid w:val="004F13F5"/>
    <w:rsid w:val="004F5034"/>
    <w:rsid w:val="004F62A5"/>
    <w:rsid w:val="0050054F"/>
    <w:rsid w:val="0050166A"/>
    <w:rsid w:val="00502ACA"/>
    <w:rsid w:val="0050518F"/>
    <w:rsid w:val="00505B22"/>
    <w:rsid w:val="00505CF1"/>
    <w:rsid w:val="0050670F"/>
    <w:rsid w:val="00513A55"/>
    <w:rsid w:val="0051593B"/>
    <w:rsid w:val="00520D65"/>
    <w:rsid w:val="00522908"/>
    <w:rsid w:val="00531AA1"/>
    <w:rsid w:val="0053335B"/>
    <w:rsid w:val="005367D0"/>
    <w:rsid w:val="00544C2F"/>
    <w:rsid w:val="00551216"/>
    <w:rsid w:val="00552511"/>
    <w:rsid w:val="0055292B"/>
    <w:rsid w:val="0055307E"/>
    <w:rsid w:val="00556B39"/>
    <w:rsid w:val="005632FA"/>
    <w:rsid w:val="005706B0"/>
    <w:rsid w:val="0057112B"/>
    <w:rsid w:val="00576A65"/>
    <w:rsid w:val="005833E8"/>
    <w:rsid w:val="00585C0F"/>
    <w:rsid w:val="0058690A"/>
    <w:rsid w:val="00594020"/>
    <w:rsid w:val="005940BF"/>
    <w:rsid w:val="005964BE"/>
    <w:rsid w:val="005976AB"/>
    <w:rsid w:val="005A3DE1"/>
    <w:rsid w:val="005A4682"/>
    <w:rsid w:val="005A5149"/>
    <w:rsid w:val="005A51FD"/>
    <w:rsid w:val="005A5A37"/>
    <w:rsid w:val="005B3289"/>
    <w:rsid w:val="005B4862"/>
    <w:rsid w:val="005B5C21"/>
    <w:rsid w:val="005C01A0"/>
    <w:rsid w:val="005C2BEF"/>
    <w:rsid w:val="005C5785"/>
    <w:rsid w:val="005C6B79"/>
    <w:rsid w:val="005D01F0"/>
    <w:rsid w:val="005D405C"/>
    <w:rsid w:val="005D5DF5"/>
    <w:rsid w:val="005D6394"/>
    <w:rsid w:val="005E0E85"/>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2FE3"/>
    <w:rsid w:val="0062609A"/>
    <w:rsid w:val="00635CEE"/>
    <w:rsid w:val="00635E9D"/>
    <w:rsid w:val="00647330"/>
    <w:rsid w:val="00653401"/>
    <w:rsid w:val="0066062A"/>
    <w:rsid w:val="00661217"/>
    <w:rsid w:val="00661270"/>
    <w:rsid w:val="006628FA"/>
    <w:rsid w:val="00662B1E"/>
    <w:rsid w:val="00663243"/>
    <w:rsid w:val="00664295"/>
    <w:rsid w:val="00671D54"/>
    <w:rsid w:val="00682631"/>
    <w:rsid w:val="00690288"/>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C7B9D"/>
    <w:rsid w:val="006C7BB9"/>
    <w:rsid w:val="006D0EE2"/>
    <w:rsid w:val="006D2055"/>
    <w:rsid w:val="006D20BD"/>
    <w:rsid w:val="006D3300"/>
    <w:rsid w:val="006D3A70"/>
    <w:rsid w:val="006D4055"/>
    <w:rsid w:val="006D748E"/>
    <w:rsid w:val="006D7A2C"/>
    <w:rsid w:val="006D7F83"/>
    <w:rsid w:val="006E04B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23F8"/>
    <w:rsid w:val="00724C6E"/>
    <w:rsid w:val="00726B2F"/>
    <w:rsid w:val="00726DEA"/>
    <w:rsid w:val="00727FBE"/>
    <w:rsid w:val="00731113"/>
    <w:rsid w:val="007339E9"/>
    <w:rsid w:val="007435BC"/>
    <w:rsid w:val="007511FE"/>
    <w:rsid w:val="00751737"/>
    <w:rsid w:val="00754290"/>
    <w:rsid w:val="007559DB"/>
    <w:rsid w:val="0075763B"/>
    <w:rsid w:val="00760AB6"/>
    <w:rsid w:val="007651A6"/>
    <w:rsid w:val="00771CAC"/>
    <w:rsid w:val="0077250E"/>
    <w:rsid w:val="007800EC"/>
    <w:rsid w:val="0078314E"/>
    <w:rsid w:val="00785FFA"/>
    <w:rsid w:val="007B585F"/>
    <w:rsid w:val="007B6AC8"/>
    <w:rsid w:val="007B71FC"/>
    <w:rsid w:val="007C2DF2"/>
    <w:rsid w:val="007C326A"/>
    <w:rsid w:val="007C7239"/>
    <w:rsid w:val="007C7784"/>
    <w:rsid w:val="007C7CFC"/>
    <w:rsid w:val="007D1803"/>
    <w:rsid w:val="007D5ED6"/>
    <w:rsid w:val="007D7592"/>
    <w:rsid w:val="007E173D"/>
    <w:rsid w:val="007F05BE"/>
    <w:rsid w:val="007F50A2"/>
    <w:rsid w:val="0080210D"/>
    <w:rsid w:val="00803D8A"/>
    <w:rsid w:val="0081024C"/>
    <w:rsid w:val="00814E7C"/>
    <w:rsid w:val="008233C4"/>
    <w:rsid w:val="0082393D"/>
    <w:rsid w:val="00823E22"/>
    <w:rsid w:val="0082514B"/>
    <w:rsid w:val="0082795E"/>
    <w:rsid w:val="00830233"/>
    <w:rsid w:val="00832AD9"/>
    <w:rsid w:val="008337D5"/>
    <w:rsid w:val="008408EA"/>
    <w:rsid w:val="00840AB7"/>
    <w:rsid w:val="0084118E"/>
    <w:rsid w:val="00842ACE"/>
    <w:rsid w:val="0084301B"/>
    <w:rsid w:val="008526D9"/>
    <w:rsid w:val="008535EE"/>
    <w:rsid w:val="00855BBF"/>
    <w:rsid w:val="00856D59"/>
    <w:rsid w:val="00857375"/>
    <w:rsid w:val="008579F6"/>
    <w:rsid w:val="00860F03"/>
    <w:rsid w:val="00860FEC"/>
    <w:rsid w:val="008615D9"/>
    <w:rsid w:val="008629EB"/>
    <w:rsid w:val="00864777"/>
    <w:rsid w:val="008720E5"/>
    <w:rsid w:val="008728CF"/>
    <w:rsid w:val="008764FB"/>
    <w:rsid w:val="00876A16"/>
    <w:rsid w:val="00880CF9"/>
    <w:rsid w:val="008812E5"/>
    <w:rsid w:val="008816AE"/>
    <w:rsid w:val="00881B39"/>
    <w:rsid w:val="00887918"/>
    <w:rsid w:val="00890614"/>
    <w:rsid w:val="008A238D"/>
    <w:rsid w:val="008A6374"/>
    <w:rsid w:val="008B51F3"/>
    <w:rsid w:val="008B7170"/>
    <w:rsid w:val="008C0999"/>
    <w:rsid w:val="008C1ACF"/>
    <w:rsid w:val="008C2C0A"/>
    <w:rsid w:val="008C4D87"/>
    <w:rsid w:val="008D0B03"/>
    <w:rsid w:val="008D1E16"/>
    <w:rsid w:val="008D75FE"/>
    <w:rsid w:val="008F02CD"/>
    <w:rsid w:val="008F4CE4"/>
    <w:rsid w:val="009003F4"/>
    <w:rsid w:val="009030DC"/>
    <w:rsid w:val="0091202C"/>
    <w:rsid w:val="00916850"/>
    <w:rsid w:val="009201DC"/>
    <w:rsid w:val="00926EDE"/>
    <w:rsid w:val="00934AD0"/>
    <w:rsid w:val="009356EB"/>
    <w:rsid w:val="00943F4B"/>
    <w:rsid w:val="00950B47"/>
    <w:rsid w:val="00952EBD"/>
    <w:rsid w:val="009602B5"/>
    <w:rsid w:val="00963197"/>
    <w:rsid w:val="00963ABB"/>
    <w:rsid w:val="00964E99"/>
    <w:rsid w:val="00975559"/>
    <w:rsid w:val="00985BC9"/>
    <w:rsid w:val="00985FF8"/>
    <w:rsid w:val="00990F29"/>
    <w:rsid w:val="00994A78"/>
    <w:rsid w:val="009A42E4"/>
    <w:rsid w:val="009B2AC5"/>
    <w:rsid w:val="009B583E"/>
    <w:rsid w:val="009C22DF"/>
    <w:rsid w:val="009C3C5A"/>
    <w:rsid w:val="009C6540"/>
    <w:rsid w:val="009D05A1"/>
    <w:rsid w:val="009D1AEA"/>
    <w:rsid w:val="009D24DE"/>
    <w:rsid w:val="009D2CC4"/>
    <w:rsid w:val="009D7BFB"/>
    <w:rsid w:val="009E2C76"/>
    <w:rsid w:val="009E3EBA"/>
    <w:rsid w:val="009E4374"/>
    <w:rsid w:val="009F0642"/>
    <w:rsid w:val="009F1E36"/>
    <w:rsid w:val="009F2340"/>
    <w:rsid w:val="009F2F8F"/>
    <w:rsid w:val="009F3159"/>
    <w:rsid w:val="009F4415"/>
    <w:rsid w:val="009F547C"/>
    <w:rsid w:val="009F767D"/>
    <w:rsid w:val="00A063DF"/>
    <w:rsid w:val="00A1128D"/>
    <w:rsid w:val="00A114EA"/>
    <w:rsid w:val="00A11BDF"/>
    <w:rsid w:val="00A161A7"/>
    <w:rsid w:val="00A237DD"/>
    <w:rsid w:val="00A240E9"/>
    <w:rsid w:val="00A27932"/>
    <w:rsid w:val="00A32543"/>
    <w:rsid w:val="00A421E8"/>
    <w:rsid w:val="00A42C48"/>
    <w:rsid w:val="00A47435"/>
    <w:rsid w:val="00A51A9C"/>
    <w:rsid w:val="00A51BB5"/>
    <w:rsid w:val="00A536F0"/>
    <w:rsid w:val="00A55F5C"/>
    <w:rsid w:val="00A57111"/>
    <w:rsid w:val="00A66C12"/>
    <w:rsid w:val="00A71ACA"/>
    <w:rsid w:val="00A74195"/>
    <w:rsid w:val="00A80A02"/>
    <w:rsid w:val="00A82FFF"/>
    <w:rsid w:val="00A83F20"/>
    <w:rsid w:val="00A872CD"/>
    <w:rsid w:val="00A90658"/>
    <w:rsid w:val="00A9538E"/>
    <w:rsid w:val="00A96474"/>
    <w:rsid w:val="00AA0FB6"/>
    <w:rsid w:val="00AA1597"/>
    <w:rsid w:val="00AA1E42"/>
    <w:rsid w:val="00AA34CF"/>
    <w:rsid w:val="00AA7310"/>
    <w:rsid w:val="00AB3C6B"/>
    <w:rsid w:val="00AC20DE"/>
    <w:rsid w:val="00AC7595"/>
    <w:rsid w:val="00AC7DC0"/>
    <w:rsid w:val="00AD32FC"/>
    <w:rsid w:val="00AD35F4"/>
    <w:rsid w:val="00AD51F7"/>
    <w:rsid w:val="00AD765B"/>
    <w:rsid w:val="00AE53C8"/>
    <w:rsid w:val="00AE5885"/>
    <w:rsid w:val="00AE5B4E"/>
    <w:rsid w:val="00AF5606"/>
    <w:rsid w:val="00B005D3"/>
    <w:rsid w:val="00B022ED"/>
    <w:rsid w:val="00B0420B"/>
    <w:rsid w:val="00B05845"/>
    <w:rsid w:val="00B05942"/>
    <w:rsid w:val="00B05D80"/>
    <w:rsid w:val="00B06810"/>
    <w:rsid w:val="00B11896"/>
    <w:rsid w:val="00B123AA"/>
    <w:rsid w:val="00B13055"/>
    <w:rsid w:val="00B14334"/>
    <w:rsid w:val="00B144A6"/>
    <w:rsid w:val="00B172F1"/>
    <w:rsid w:val="00B17623"/>
    <w:rsid w:val="00B21697"/>
    <w:rsid w:val="00B27588"/>
    <w:rsid w:val="00B276BA"/>
    <w:rsid w:val="00B3043B"/>
    <w:rsid w:val="00B33786"/>
    <w:rsid w:val="00B35EA7"/>
    <w:rsid w:val="00B36572"/>
    <w:rsid w:val="00B36E06"/>
    <w:rsid w:val="00B40E6C"/>
    <w:rsid w:val="00B43038"/>
    <w:rsid w:val="00B44205"/>
    <w:rsid w:val="00B52E8C"/>
    <w:rsid w:val="00B53159"/>
    <w:rsid w:val="00B54990"/>
    <w:rsid w:val="00B64F68"/>
    <w:rsid w:val="00B71D27"/>
    <w:rsid w:val="00B72E33"/>
    <w:rsid w:val="00B761F4"/>
    <w:rsid w:val="00B8069B"/>
    <w:rsid w:val="00B816C9"/>
    <w:rsid w:val="00B819B4"/>
    <w:rsid w:val="00B84125"/>
    <w:rsid w:val="00B907AB"/>
    <w:rsid w:val="00B91000"/>
    <w:rsid w:val="00B925DE"/>
    <w:rsid w:val="00B953C5"/>
    <w:rsid w:val="00B967BC"/>
    <w:rsid w:val="00B96D9A"/>
    <w:rsid w:val="00BA0884"/>
    <w:rsid w:val="00BA0CEC"/>
    <w:rsid w:val="00BA0EE6"/>
    <w:rsid w:val="00BA1726"/>
    <w:rsid w:val="00BA1D11"/>
    <w:rsid w:val="00BA6247"/>
    <w:rsid w:val="00BB4097"/>
    <w:rsid w:val="00BB4D2F"/>
    <w:rsid w:val="00BB74E6"/>
    <w:rsid w:val="00BC1CC8"/>
    <w:rsid w:val="00BC2D09"/>
    <w:rsid w:val="00BC3D36"/>
    <w:rsid w:val="00BC53EB"/>
    <w:rsid w:val="00BC75C3"/>
    <w:rsid w:val="00BD007E"/>
    <w:rsid w:val="00BD0F9A"/>
    <w:rsid w:val="00BD40FE"/>
    <w:rsid w:val="00BE1AAE"/>
    <w:rsid w:val="00BF0304"/>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40AD0"/>
    <w:rsid w:val="00C41CEB"/>
    <w:rsid w:val="00C4309C"/>
    <w:rsid w:val="00C435F7"/>
    <w:rsid w:val="00C519F0"/>
    <w:rsid w:val="00C52E97"/>
    <w:rsid w:val="00C5401C"/>
    <w:rsid w:val="00C54247"/>
    <w:rsid w:val="00C56C6C"/>
    <w:rsid w:val="00C57261"/>
    <w:rsid w:val="00C5781A"/>
    <w:rsid w:val="00C57B09"/>
    <w:rsid w:val="00C638C3"/>
    <w:rsid w:val="00C66CB9"/>
    <w:rsid w:val="00C67194"/>
    <w:rsid w:val="00C70812"/>
    <w:rsid w:val="00C72F83"/>
    <w:rsid w:val="00C756F8"/>
    <w:rsid w:val="00C7661D"/>
    <w:rsid w:val="00C77588"/>
    <w:rsid w:val="00C77B0A"/>
    <w:rsid w:val="00C77C64"/>
    <w:rsid w:val="00C83CA0"/>
    <w:rsid w:val="00C83E00"/>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D03C5"/>
    <w:rsid w:val="00CD0A16"/>
    <w:rsid w:val="00CD2AD9"/>
    <w:rsid w:val="00CD497A"/>
    <w:rsid w:val="00CD4BDE"/>
    <w:rsid w:val="00CD6D47"/>
    <w:rsid w:val="00CE004E"/>
    <w:rsid w:val="00CE01F2"/>
    <w:rsid w:val="00CE20EC"/>
    <w:rsid w:val="00CE68E5"/>
    <w:rsid w:val="00CF3697"/>
    <w:rsid w:val="00CF5E0E"/>
    <w:rsid w:val="00CF7872"/>
    <w:rsid w:val="00D02DA5"/>
    <w:rsid w:val="00D03E1D"/>
    <w:rsid w:val="00D0526C"/>
    <w:rsid w:val="00D05659"/>
    <w:rsid w:val="00D11646"/>
    <w:rsid w:val="00D11CBE"/>
    <w:rsid w:val="00D15C72"/>
    <w:rsid w:val="00D160CA"/>
    <w:rsid w:val="00D20486"/>
    <w:rsid w:val="00D20507"/>
    <w:rsid w:val="00D31091"/>
    <w:rsid w:val="00D3240F"/>
    <w:rsid w:val="00D32489"/>
    <w:rsid w:val="00D329F6"/>
    <w:rsid w:val="00D331AA"/>
    <w:rsid w:val="00D33F15"/>
    <w:rsid w:val="00D347D1"/>
    <w:rsid w:val="00D347F1"/>
    <w:rsid w:val="00D36E94"/>
    <w:rsid w:val="00D41258"/>
    <w:rsid w:val="00D42207"/>
    <w:rsid w:val="00D42FB1"/>
    <w:rsid w:val="00D430D1"/>
    <w:rsid w:val="00D50614"/>
    <w:rsid w:val="00D73168"/>
    <w:rsid w:val="00D750F5"/>
    <w:rsid w:val="00D753E7"/>
    <w:rsid w:val="00D7573B"/>
    <w:rsid w:val="00D763F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0E9D"/>
    <w:rsid w:val="00DE3378"/>
    <w:rsid w:val="00DE35A0"/>
    <w:rsid w:val="00DE6020"/>
    <w:rsid w:val="00DE6F75"/>
    <w:rsid w:val="00DF1A18"/>
    <w:rsid w:val="00E02C96"/>
    <w:rsid w:val="00E05562"/>
    <w:rsid w:val="00E055C5"/>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3144"/>
    <w:rsid w:val="00E53225"/>
    <w:rsid w:val="00E537F4"/>
    <w:rsid w:val="00E56B7F"/>
    <w:rsid w:val="00E616B9"/>
    <w:rsid w:val="00E657FE"/>
    <w:rsid w:val="00E67697"/>
    <w:rsid w:val="00E7349B"/>
    <w:rsid w:val="00E753BB"/>
    <w:rsid w:val="00E8215F"/>
    <w:rsid w:val="00E90C6F"/>
    <w:rsid w:val="00E92DDB"/>
    <w:rsid w:val="00E95886"/>
    <w:rsid w:val="00E96669"/>
    <w:rsid w:val="00EA0DB3"/>
    <w:rsid w:val="00EA0E51"/>
    <w:rsid w:val="00EA6C19"/>
    <w:rsid w:val="00EB53E3"/>
    <w:rsid w:val="00EB659E"/>
    <w:rsid w:val="00EE19C3"/>
    <w:rsid w:val="00EE24D8"/>
    <w:rsid w:val="00EE7912"/>
    <w:rsid w:val="00EF123D"/>
    <w:rsid w:val="00EF1799"/>
    <w:rsid w:val="00EF31CA"/>
    <w:rsid w:val="00EF7890"/>
    <w:rsid w:val="00F01667"/>
    <w:rsid w:val="00F0484B"/>
    <w:rsid w:val="00F061FA"/>
    <w:rsid w:val="00F067BB"/>
    <w:rsid w:val="00F06915"/>
    <w:rsid w:val="00F3279E"/>
    <w:rsid w:val="00F3428A"/>
    <w:rsid w:val="00F35E91"/>
    <w:rsid w:val="00F410ED"/>
    <w:rsid w:val="00F4176E"/>
    <w:rsid w:val="00F469C0"/>
    <w:rsid w:val="00F46B14"/>
    <w:rsid w:val="00F55943"/>
    <w:rsid w:val="00F55C20"/>
    <w:rsid w:val="00F562A1"/>
    <w:rsid w:val="00F56362"/>
    <w:rsid w:val="00F610DE"/>
    <w:rsid w:val="00F613D4"/>
    <w:rsid w:val="00F62DCA"/>
    <w:rsid w:val="00F63CE5"/>
    <w:rsid w:val="00F66A79"/>
    <w:rsid w:val="00F72777"/>
    <w:rsid w:val="00F77901"/>
    <w:rsid w:val="00F83E86"/>
    <w:rsid w:val="00FA041A"/>
    <w:rsid w:val="00FA1573"/>
    <w:rsid w:val="00FA36E1"/>
    <w:rsid w:val="00FC1949"/>
    <w:rsid w:val="00FC2148"/>
    <w:rsid w:val="00FC43A5"/>
    <w:rsid w:val="00FD0F5F"/>
    <w:rsid w:val="00FD391D"/>
    <w:rsid w:val="00FD3DB2"/>
    <w:rsid w:val="00FD72BB"/>
    <w:rsid w:val="00FE036A"/>
    <w:rsid w:val="00FE3C23"/>
    <w:rsid w:val="00FE4299"/>
    <w:rsid w:val="00FE72AC"/>
    <w:rsid w:val="00FF0105"/>
    <w:rsid w:val="00FF1892"/>
    <w:rsid w:val="00FF2873"/>
    <w:rsid w:val="00FF2B2F"/>
    <w:rsid w:val="00FF51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94E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9"/>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9"/>
      </w:numPr>
    </w:pPr>
  </w:style>
  <w:style w:type="paragraph" w:customStyle="1" w:styleId="NumberedQuote4">
    <w:name w:val="Numbered Quote 4"/>
    <w:basedOn w:val="Quote"/>
    <w:qFormat/>
    <w:rsid w:val="00BF384D"/>
    <w:pPr>
      <w:numPr>
        <w:ilvl w:val="2"/>
        <w:numId w:val="49"/>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pPr>
      <w:numPr>
        <w:numId w:val="46"/>
      </w:numPr>
    </w:pPr>
  </w:style>
  <w:style w:type="character" w:styleId="CommentReference">
    <w:name w:val="annotation reference"/>
    <w:basedOn w:val="DefaultParagraphFont"/>
    <w:rsid w:val="002C7313"/>
    <w:rPr>
      <w:sz w:val="18"/>
      <w:szCs w:val="18"/>
    </w:rPr>
  </w:style>
  <w:style w:type="paragraph" w:styleId="CommentText">
    <w:name w:val="annotation text"/>
    <w:basedOn w:val="Normal"/>
    <w:link w:val="CommentTextChar"/>
    <w:rsid w:val="002C7313"/>
    <w:pPr>
      <w:spacing w:line="240" w:lineRule="auto"/>
    </w:pPr>
    <w:rPr>
      <w:szCs w:val="24"/>
    </w:rPr>
  </w:style>
  <w:style w:type="character" w:customStyle="1" w:styleId="CommentTextChar">
    <w:name w:val="Comment Text Char"/>
    <w:basedOn w:val="DefaultParagraphFont"/>
    <w:link w:val="CommentText"/>
    <w:rsid w:val="002C7313"/>
    <w:rPr>
      <w:sz w:val="24"/>
      <w:szCs w:val="24"/>
    </w:rPr>
  </w:style>
  <w:style w:type="paragraph" w:styleId="CommentSubject">
    <w:name w:val="annotation subject"/>
    <w:basedOn w:val="CommentText"/>
    <w:next w:val="CommentText"/>
    <w:link w:val="CommentSubjectChar"/>
    <w:rsid w:val="002C7313"/>
    <w:rPr>
      <w:b/>
      <w:bCs/>
      <w:sz w:val="20"/>
      <w:szCs w:val="20"/>
    </w:rPr>
  </w:style>
  <w:style w:type="character" w:customStyle="1" w:styleId="CommentSubjectChar">
    <w:name w:val="Comment Subject Char"/>
    <w:basedOn w:val="CommentTextChar"/>
    <w:link w:val="CommentSubject"/>
    <w:rsid w:val="002C731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9"/>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9"/>
      </w:numPr>
    </w:pPr>
  </w:style>
  <w:style w:type="paragraph" w:customStyle="1" w:styleId="NumberedQuote4">
    <w:name w:val="Numbered Quote 4"/>
    <w:basedOn w:val="Quote"/>
    <w:qFormat/>
    <w:rsid w:val="00BF384D"/>
    <w:pPr>
      <w:numPr>
        <w:ilvl w:val="2"/>
        <w:numId w:val="49"/>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pPr>
      <w:numPr>
        <w:numId w:val="46"/>
      </w:numPr>
    </w:pPr>
  </w:style>
  <w:style w:type="character" w:styleId="CommentReference">
    <w:name w:val="annotation reference"/>
    <w:basedOn w:val="DefaultParagraphFont"/>
    <w:rsid w:val="002C7313"/>
    <w:rPr>
      <w:sz w:val="18"/>
      <w:szCs w:val="18"/>
    </w:rPr>
  </w:style>
  <w:style w:type="paragraph" w:styleId="CommentText">
    <w:name w:val="annotation text"/>
    <w:basedOn w:val="Normal"/>
    <w:link w:val="CommentTextChar"/>
    <w:rsid w:val="002C7313"/>
    <w:pPr>
      <w:spacing w:line="240" w:lineRule="auto"/>
    </w:pPr>
    <w:rPr>
      <w:szCs w:val="24"/>
    </w:rPr>
  </w:style>
  <w:style w:type="character" w:customStyle="1" w:styleId="CommentTextChar">
    <w:name w:val="Comment Text Char"/>
    <w:basedOn w:val="DefaultParagraphFont"/>
    <w:link w:val="CommentText"/>
    <w:rsid w:val="002C7313"/>
    <w:rPr>
      <w:sz w:val="24"/>
      <w:szCs w:val="24"/>
    </w:rPr>
  </w:style>
  <w:style w:type="paragraph" w:styleId="CommentSubject">
    <w:name w:val="annotation subject"/>
    <w:basedOn w:val="CommentText"/>
    <w:next w:val="CommentText"/>
    <w:link w:val="CommentSubjectChar"/>
    <w:rsid w:val="002C7313"/>
    <w:rPr>
      <w:b/>
      <w:bCs/>
      <w:sz w:val="20"/>
      <w:szCs w:val="20"/>
    </w:rPr>
  </w:style>
  <w:style w:type="character" w:customStyle="1" w:styleId="CommentSubjectChar">
    <w:name w:val="Comment Subject Char"/>
    <w:basedOn w:val="CommentTextChar"/>
    <w:link w:val="CommentSubject"/>
    <w:rsid w:val="002C731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TANDARD\MEMBERS\new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19FF3F697C43399DEC9F04C38BC7DB"/>
        <w:category>
          <w:name w:val="General"/>
          <w:gallery w:val="placeholder"/>
        </w:category>
        <w:types>
          <w:type w:val="bbPlcHdr"/>
        </w:types>
        <w:behaviors>
          <w:behavior w:val="content"/>
        </w:behaviors>
        <w:guid w:val="{5D57557B-33A8-401B-90BD-7661FEED8BEF}"/>
      </w:docPartPr>
      <w:docPartBody>
        <w:p w:rsidR="00621A79" w:rsidRDefault="00621A79">
          <w:pPr>
            <w:pStyle w:val="0019FF3F697C43399DEC9F04C38BC7DB"/>
          </w:pPr>
          <w:r w:rsidRPr="00CD5897">
            <w:rPr>
              <w:rStyle w:val="PlaceholderText"/>
            </w:rPr>
            <w:t>Click here to enter text.</w:t>
          </w:r>
        </w:p>
      </w:docPartBody>
    </w:docPart>
    <w:docPart>
      <w:docPartPr>
        <w:name w:val="BD37113E4EFE4801A41BDB0FDDBCEECC"/>
        <w:category>
          <w:name w:val="General"/>
          <w:gallery w:val="placeholder"/>
        </w:category>
        <w:types>
          <w:type w:val="bbPlcHdr"/>
        </w:types>
        <w:behaviors>
          <w:behavior w:val="content"/>
        </w:behaviors>
        <w:guid w:val="{97F3BA44-4005-40BC-B3A4-12B7F5712654}"/>
      </w:docPartPr>
      <w:docPartBody>
        <w:p w:rsidR="00621A79" w:rsidRDefault="00621A79">
          <w:pPr>
            <w:pStyle w:val="BD37113E4EFE4801A41BDB0FDDBCEECC"/>
          </w:pPr>
          <w:r w:rsidRPr="00CD5897">
            <w:rPr>
              <w:rStyle w:val="PlaceholderText"/>
            </w:rPr>
            <w:t>Click here to enter text.</w:t>
          </w:r>
        </w:p>
      </w:docPartBody>
    </w:docPart>
    <w:docPart>
      <w:docPartPr>
        <w:name w:val="57D4173E9E45481599376A0226F6BE29"/>
        <w:category>
          <w:name w:val="General"/>
          <w:gallery w:val="placeholder"/>
        </w:category>
        <w:types>
          <w:type w:val="bbPlcHdr"/>
        </w:types>
        <w:behaviors>
          <w:behavior w:val="content"/>
        </w:behaviors>
        <w:guid w:val="{BB8AB062-D7BE-45E7-A027-9413D0AB4736}"/>
      </w:docPartPr>
      <w:docPartBody>
        <w:p w:rsidR="00621A79" w:rsidRDefault="00621A79">
          <w:pPr>
            <w:pStyle w:val="57D4173E9E45481599376A0226F6BE29"/>
          </w:pPr>
          <w:r w:rsidRPr="00CD5897">
            <w:rPr>
              <w:rStyle w:val="PlaceholderText"/>
            </w:rPr>
            <w:t>Click here to enter text.</w:t>
          </w:r>
        </w:p>
      </w:docPartBody>
    </w:docPart>
    <w:docPart>
      <w:docPartPr>
        <w:name w:val="26EB74C379B241AA9A52DEE7CE7E9B40"/>
        <w:category>
          <w:name w:val="General"/>
          <w:gallery w:val="placeholder"/>
        </w:category>
        <w:types>
          <w:type w:val="bbPlcHdr"/>
        </w:types>
        <w:behaviors>
          <w:behavior w:val="content"/>
        </w:behaviors>
        <w:guid w:val="{B2A10B98-6AA1-4ECE-8683-53CC36031F2E}"/>
      </w:docPartPr>
      <w:docPartBody>
        <w:p w:rsidR="00621A79" w:rsidRDefault="00621A79">
          <w:pPr>
            <w:pStyle w:val="26EB74C379B241AA9A52DEE7CE7E9B40"/>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79"/>
    <w:rsid w:val="001F0259"/>
    <w:rsid w:val="00621A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19FF3F697C43399DEC9F04C38BC7DB">
    <w:name w:val="0019FF3F697C43399DEC9F04C38BC7DB"/>
  </w:style>
  <w:style w:type="paragraph" w:customStyle="1" w:styleId="BD37113E4EFE4801A41BDB0FDDBCEECC">
    <w:name w:val="BD37113E4EFE4801A41BDB0FDDBCEECC"/>
  </w:style>
  <w:style w:type="paragraph" w:customStyle="1" w:styleId="57D4173E9E45481599376A0226F6BE29">
    <w:name w:val="57D4173E9E45481599376A0226F6BE29"/>
  </w:style>
  <w:style w:type="paragraph" w:customStyle="1" w:styleId="26EB74C379B241AA9A52DEE7CE7E9B40">
    <w:name w:val="26EB74C379B241AA9A52DEE7CE7E9B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19FF3F697C43399DEC9F04C38BC7DB">
    <w:name w:val="0019FF3F697C43399DEC9F04C38BC7DB"/>
  </w:style>
  <w:style w:type="paragraph" w:customStyle="1" w:styleId="BD37113E4EFE4801A41BDB0FDDBCEECC">
    <w:name w:val="BD37113E4EFE4801A41BDB0FDDBCEECC"/>
  </w:style>
  <w:style w:type="paragraph" w:customStyle="1" w:styleId="57D4173E9E45481599376A0226F6BE29">
    <w:name w:val="57D4173E9E45481599376A0226F6BE29"/>
  </w:style>
  <w:style w:type="paragraph" w:customStyle="1" w:styleId="26EB74C379B241AA9A52DEE7CE7E9B40">
    <w:name w:val="26EB74C379B241AA9A52DEE7CE7E9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7AF11-52A9-4947-9C0F-61844084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newDecisionAndReasons_AAT.dotm</Template>
  <TotalTime>0</TotalTime>
  <Pages>8</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Britton, Anne</dc:creator>
  <cp:lastModifiedBy>Dalwood, Jacqui</cp:lastModifiedBy>
  <cp:revision>2</cp:revision>
  <cp:lastPrinted>2013-11-18T02:58:00Z</cp:lastPrinted>
  <dcterms:created xsi:type="dcterms:W3CDTF">2013-11-19T04:12:00Z</dcterms:created>
  <dcterms:modified xsi:type="dcterms:W3CDTF">2013-11-19T04:12:00Z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 </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 </vt:lpwstr>
  </property>
  <property fmtid="{D5CDD505-2E9C-101B-9397-08002B2CF9AE}" pid="26" name="FileNumber">
    <vt:lpwstr> </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 </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23 Septemebr 2013</vt:lpwstr>
  </property>
  <property fmtid="{D5CDD505-2E9C-101B-9397-08002B2CF9AE}" pid="77" name="DateFinalSubmission">
    <vt:lpwstr>6 Novemebr 2013</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Stephen Hodges Solicitor</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Department of Human Services (Program Litigation and Review)</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vt:lpwstr>
  </property>
  <property fmtid="{D5CDD505-2E9C-101B-9397-08002B2CF9AE}" pid="96" name="DecisionDate">
    <vt:lpwstr>  </vt:lpwstr>
  </property>
  <property fmtid="{D5CDD505-2E9C-101B-9397-08002B2CF9AE}" pid="97" name="ReasonsforDecisionDate">
    <vt:lpwstr/>
  </property>
  <property fmtid="{D5CDD505-2E9C-101B-9397-08002B2CF9AE}" pid="98" name="StampDate">
    <vt:lpwstr/>
  </property>
</Properties>
</file>