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71AEE" w14:textId="77777777" w:rsidR="001A39BA" w:rsidRPr="0095388A" w:rsidRDefault="006C4359" w:rsidP="001A39BA">
      <w:pPr>
        <w:pStyle w:val="Heading"/>
        <w:spacing w:before="0" w:after="100" w:afterAutospacing="1" w:line="240" w:lineRule="auto"/>
        <w:jc w:val="center"/>
        <w:rPr>
          <w:rFonts w:cs="Arial"/>
        </w:rPr>
      </w:pPr>
      <w:bookmarkStart w:id="0" w:name="_GoBack"/>
      <w:bookmarkEnd w:id="0"/>
      <w:r>
        <w:rPr>
          <w:rFonts w:cs="Arial"/>
          <w:noProof/>
        </w:rPr>
        <w:pict w14:anchorId="6DB48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71.25pt;height:54pt;z-index:251663360;mso-position-horizontal:center">
            <v:imagedata r:id="rId9" o:title=""/>
            <w10:wrap type="square"/>
          </v:shape>
          <o:OLEObject Type="Embed" ProgID="Word.Document.8" ShapeID="_x0000_s1026" DrawAspect="Content" ObjectID="_1420460891" r:id="rId10">
            <o:FieldCodes>\s</o:FieldCodes>
          </o:OLEObject>
        </w:pict>
      </w:r>
    </w:p>
    <w:p w14:paraId="7F21080E" w14:textId="77777777" w:rsidR="001A39BA" w:rsidRPr="0095388A" w:rsidRDefault="001A39BA" w:rsidP="001A39BA">
      <w:pPr>
        <w:pStyle w:val="BodyTextIndent"/>
        <w:spacing w:after="0"/>
        <w:jc w:val="center"/>
        <w:rPr>
          <w:rFonts w:ascii="Arial" w:hAnsi="Arial" w:cs="Arial"/>
          <w:b/>
          <w:sz w:val="44"/>
          <w:szCs w:val="44"/>
        </w:rPr>
      </w:pPr>
    </w:p>
    <w:p w14:paraId="313EFAFF" w14:textId="77777777" w:rsidR="001A39BA" w:rsidRPr="0095388A" w:rsidRDefault="001A39BA" w:rsidP="001A39BA">
      <w:pPr>
        <w:pStyle w:val="BodyTextIndent"/>
        <w:spacing w:after="0"/>
        <w:jc w:val="center"/>
        <w:rPr>
          <w:rFonts w:ascii="Arial" w:hAnsi="Arial" w:cs="Arial"/>
          <w:b/>
          <w:sz w:val="44"/>
          <w:szCs w:val="44"/>
        </w:rPr>
      </w:pPr>
    </w:p>
    <w:p w14:paraId="582FD07E" w14:textId="77777777" w:rsidR="001A39BA" w:rsidRPr="0095388A" w:rsidRDefault="001A39BA" w:rsidP="001A39BA">
      <w:pPr>
        <w:pStyle w:val="BodyTextIndent"/>
        <w:spacing w:after="0"/>
        <w:ind w:left="0"/>
        <w:jc w:val="center"/>
        <w:rPr>
          <w:rFonts w:ascii="Arial" w:hAnsi="Arial" w:cs="Arial"/>
          <w:b/>
        </w:rPr>
      </w:pPr>
      <w:r w:rsidRPr="0095388A">
        <w:rPr>
          <w:rFonts w:ascii="Arial" w:hAnsi="Arial" w:cs="Arial"/>
          <w:b/>
          <w:sz w:val="44"/>
          <w:szCs w:val="44"/>
        </w:rPr>
        <w:t>Administrative Appeals Tribunal</w:t>
      </w:r>
    </w:p>
    <w:p w14:paraId="3D5E5308" w14:textId="77777777" w:rsidR="001A39BA" w:rsidRPr="0095388A" w:rsidRDefault="001A39BA" w:rsidP="001A39BA">
      <w:pPr>
        <w:pStyle w:val="BodyTextIndent"/>
        <w:spacing w:after="0"/>
        <w:ind w:left="0"/>
        <w:rPr>
          <w:rFonts w:ascii="Arial" w:hAnsi="Arial" w:cs="Arial"/>
          <w:b/>
        </w:rPr>
      </w:pPr>
    </w:p>
    <w:p w14:paraId="66A42AE7" w14:textId="77777777" w:rsidR="001A39BA" w:rsidRPr="0095388A" w:rsidRDefault="001A39BA" w:rsidP="001A39BA">
      <w:pPr>
        <w:pStyle w:val="BodyTextIndent"/>
        <w:spacing w:after="0"/>
        <w:ind w:left="0"/>
        <w:rPr>
          <w:rFonts w:ascii="Arial" w:hAnsi="Arial" w:cs="Arial"/>
          <w:b/>
        </w:rPr>
      </w:pPr>
    </w:p>
    <w:p w14:paraId="430EC752" w14:textId="77777777" w:rsidR="001A39BA" w:rsidRPr="0095388A" w:rsidRDefault="001A39BA" w:rsidP="001A39BA">
      <w:pPr>
        <w:pStyle w:val="BodyTextIndent"/>
        <w:tabs>
          <w:tab w:val="left" w:pos="5103"/>
        </w:tabs>
        <w:spacing w:after="0"/>
        <w:ind w:left="0"/>
        <w:rPr>
          <w:rFonts w:ascii="Arial" w:hAnsi="Arial" w:cs="Arial"/>
          <w:b/>
        </w:rPr>
      </w:pPr>
    </w:p>
    <w:p w14:paraId="290161BE" w14:textId="77777777" w:rsidR="001A39BA" w:rsidRPr="005D0ED9" w:rsidRDefault="001A39BA" w:rsidP="001A39BA">
      <w:pPr>
        <w:pStyle w:val="BodyTextIndent"/>
        <w:tabs>
          <w:tab w:val="left" w:pos="5103"/>
        </w:tabs>
        <w:spacing w:after="0"/>
        <w:ind w:left="0"/>
        <w:rPr>
          <w:rFonts w:ascii="Arial" w:hAnsi="Arial" w:cs="Arial"/>
          <w:b/>
          <w:sz w:val="22"/>
          <w:szCs w:val="22"/>
        </w:rPr>
      </w:pPr>
      <w:r w:rsidRPr="005D0ED9">
        <w:rPr>
          <w:rFonts w:ascii="Arial" w:hAnsi="Arial" w:cs="Arial"/>
          <w:b/>
          <w:sz w:val="22"/>
          <w:szCs w:val="22"/>
        </w:rPr>
        <w:t>ADMINISTRATIVE APPEALS TRIBUNAL</w:t>
      </w:r>
      <w:r w:rsidRPr="005D0ED9">
        <w:rPr>
          <w:rFonts w:ascii="Arial" w:hAnsi="Arial" w:cs="Arial"/>
          <w:b/>
          <w:sz w:val="22"/>
          <w:szCs w:val="22"/>
        </w:rPr>
        <w:tab/>
        <w:t>)</w:t>
      </w:r>
    </w:p>
    <w:p w14:paraId="350F7E68" w14:textId="77777777" w:rsidR="001A39BA" w:rsidRPr="005D0ED9" w:rsidRDefault="001A39BA" w:rsidP="001A39BA">
      <w:pPr>
        <w:pStyle w:val="BodyTextIndent"/>
        <w:tabs>
          <w:tab w:val="left" w:pos="5103"/>
        </w:tabs>
        <w:spacing w:after="0"/>
        <w:ind w:left="0"/>
        <w:rPr>
          <w:rFonts w:ascii="Arial" w:hAnsi="Arial" w:cs="Arial"/>
          <w:sz w:val="22"/>
          <w:szCs w:val="22"/>
        </w:rPr>
      </w:pPr>
      <w:r w:rsidRPr="005D0ED9">
        <w:rPr>
          <w:rFonts w:ascii="Arial" w:hAnsi="Arial" w:cs="Arial"/>
          <w:b/>
          <w:sz w:val="22"/>
          <w:szCs w:val="22"/>
        </w:rPr>
        <w:tab/>
        <w:t>)</w:t>
      </w:r>
      <w:r w:rsidRPr="005D0ED9">
        <w:rPr>
          <w:rFonts w:ascii="Arial" w:hAnsi="Arial" w:cs="Arial"/>
          <w:sz w:val="22"/>
          <w:szCs w:val="22"/>
        </w:rPr>
        <w:tab/>
        <w:t xml:space="preserve">No: </w:t>
      </w:r>
      <w:r>
        <w:rPr>
          <w:rFonts w:ascii="Arial" w:hAnsi="Arial" w:cs="Arial"/>
          <w:sz w:val="22"/>
          <w:szCs w:val="22"/>
        </w:rPr>
        <w:t>2012/1668</w:t>
      </w:r>
    </w:p>
    <w:p w14:paraId="2E712117" w14:textId="77777777" w:rsidR="001A39BA" w:rsidRPr="005D0ED9" w:rsidRDefault="001A39BA" w:rsidP="001A39BA">
      <w:pPr>
        <w:pStyle w:val="BodyTextIndent"/>
        <w:tabs>
          <w:tab w:val="left" w:pos="5103"/>
        </w:tabs>
        <w:spacing w:after="0"/>
        <w:ind w:left="0"/>
        <w:rPr>
          <w:rFonts w:ascii="Arial" w:hAnsi="Arial" w:cs="Arial"/>
          <w:b/>
          <w:caps/>
          <w:sz w:val="22"/>
          <w:szCs w:val="22"/>
        </w:rPr>
      </w:pPr>
      <w:r>
        <w:rPr>
          <w:rFonts w:ascii="Arial" w:hAnsi="Arial" w:cs="Arial"/>
          <w:b/>
          <w:caps/>
          <w:sz w:val="22"/>
          <w:szCs w:val="22"/>
        </w:rPr>
        <w:t>General Administrative Division</w:t>
      </w:r>
      <w:r w:rsidRPr="005D0ED9">
        <w:rPr>
          <w:rFonts w:ascii="Arial" w:hAnsi="Arial" w:cs="Arial"/>
          <w:b/>
          <w:caps/>
          <w:sz w:val="22"/>
          <w:szCs w:val="22"/>
        </w:rPr>
        <w:tab/>
        <w:t>)</w:t>
      </w:r>
    </w:p>
    <w:p w14:paraId="7691B3AB" w14:textId="77777777" w:rsidR="001A39BA" w:rsidRPr="005D0ED9" w:rsidRDefault="001A39BA" w:rsidP="001A39BA">
      <w:pPr>
        <w:spacing w:line="240" w:lineRule="auto"/>
        <w:jc w:val="right"/>
        <w:rPr>
          <w:rFonts w:ascii="Arial" w:hAnsi="Arial" w:cs="Arial"/>
          <w:sz w:val="22"/>
          <w:szCs w:val="22"/>
        </w:rPr>
      </w:pPr>
    </w:p>
    <w:p w14:paraId="4EA6A826" w14:textId="77777777" w:rsidR="001A39BA" w:rsidRPr="005D0ED9" w:rsidRDefault="001A39BA" w:rsidP="001A39BA">
      <w:pPr>
        <w:spacing w:before="0" w:line="240" w:lineRule="auto"/>
        <w:jc w:val="right"/>
        <w:rPr>
          <w:rFonts w:ascii="Arial" w:hAnsi="Arial" w:cs="Arial"/>
          <w:sz w:val="22"/>
          <w:szCs w:val="22"/>
        </w:rPr>
      </w:pPr>
    </w:p>
    <w:p w14:paraId="6A8D8B66" w14:textId="77777777" w:rsidR="001A39BA" w:rsidRPr="00C6744F" w:rsidRDefault="001A39BA" w:rsidP="001A39BA">
      <w:pPr>
        <w:spacing w:before="0" w:line="240" w:lineRule="auto"/>
        <w:jc w:val="right"/>
        <w:rPr>
          <w:rFonts w:ascii="Arial" w:hAnsi="Arial" w:cs="Arial"/>
          <w:b/>
          <w:sz w:val="22"/>
          <w:szCs w:val="22"/>
          <w:lang w:val="en-GB"/>
        </w:rPr>
      </w:pPr>
      <w:r w:rsidRPr="00C6744F">
        <w:rPr>
          <w:rFonts w:ascii="Arial" w:hAnsi="Arial" w:cs="Arial"/>
          <w:b/>
          <w:sz w:val="22"/>
          <w:szCs w:val="22"/>
        </w:rPr>
        <w:tab/>
      </w:r>
      <w:r w:rsidRPr="00C6744F">
        <w:rPr>
          <w:rFonts w:ascii="Arial" w:hAnsi="Arial" w:cs="Arial"/>
          <w:b/>
          <w:sz w:val="22"/>
          <w:szCs w:val="22"/>
          <w:lang w:val="en-GB"/>
        </w:rPr>
        <w:t>Re: Indra Thappa</w:t>
      </w:r>
    </w:p>
    <w:p w14:paraId="5329C0D7" w14:textId="77777777" w:rsidR="001A39BA" w:rsidRDefault="001A39BA" w:rsidP="001A39BA">
      <w:pPr>
        <w:spacing w:before="0" w:line="240" w:lineRule="auto"/>
        <w:jc w:val="right"/>
        <w:rPr>
          <w:rFonts w:ascii="Arial" w:hAnsi="Arial" w:cs="Arial"/>
          <w:sz w:val="22"/>
          <w:szCs w:val="22"/>
          <w:lang w:val="en-GB"/>
        </w:rPr>
      </w:pPr>
      <w:r>
        <w:rPr>
          <w:rFonts w:ascii="Arial" w:hAnsi="Arial" w:cs="Arial"/>
          <w:sz w:val="22"/>
          <w:szCs w:val="22"/>
          <w:lang w:val="en-GB"/>
        </w:rPr>
        <w:t>Applicant</w:t>
      </w:r>
    </w:p>
    <w:p w14:paraId="03D7CA75" w14:textId="77777777" w:rsidR="001A39BA" w:rsidRDefault="001A39BA" w:rsidP="001A39BA">
      <w:pPr>
        <w:spacing w:before="0" w:line="240" w:lineRule="auto"/>
        <w:jc w:val="right"/>
        <w:rPr>
          <w:rFonts w:ascii="Arial" w:hAnsi="Arial" w:cs="Arial"/>
          <w:sz w:val="22"/>
          <w:szCs w:val="22"/>
          <w:lang w:val="en-GB"/>
        </w:rPr>
      </w:pPr>
    </w:p>
    <w:p w14:paraId="087E8F86" w14:textId="77777777" w:rsidR="001A39BA" w:rsidRPr="00C6744F" w:rsidRDefault="001A39BA" w:rsidP="001A39BA">
      <w:pPr>
        <w:spacing w:before="0" w:line="240" w:lineRule="auto"/>
        <w:jc w:val="right"/>
        <w:rPr>
          <w:rFonts w:ascii="Arial" w:hAnsi="Arial" w:cs="Arial"/>
          <w:b/>
          <w:sz w:val="22"/>
          <w:szCs w:val="22"/>
          <w:lang w:val="en-GB"/>
        </w:rPr>
      </w:pPr>
      <w:r w:rsidRPr="00C6744F">
        <w:rPr>
          <w:rFonts w:ascii="Arial" w:hAnsi="Arial" w:cs="Arial"/>
          <w:b/>
          <w:sz w:val="22"/>
          <w:szCs w:val="22"/>
          <w:lang w:val="en-GB"/>
        </w:rPr>
        <w:t>And: Comcare</w:t>
      </w:r>
    </w:p>
    <w:p w14:paraId="7A54B0D0" w14:textId="77777777" w:rsidR="001A39BA" w:rsidRDefault="001A39BA" w:rsidP="001A39BA">
      <w:pPr>
        <w:spacing w:before="0" w:line="240" w:lineRule="auto"/>
        <w:jc w:val="right"/>
        <w:rPr>
          <w:rFonts w:ascii="Arial" w:hAnsi="Arial" w:cs="Arial"/>
          <w:sz w:val="22"/>
          <w:szCs w:val="22"/>
          <w:lang w:val="en-GB"/>
        </w:rPr>
      </w:pPr>
      <w:r>
        <w:rPr>
          <w:rFonts w:ascii="Arial" w:hAnsi="Arial" w:cs="Arial"/>
          <w:sz w:val="22"/>
          <w:szCs w:val="22"/>
          <w:lang w:val="en-GB"/>
        </w:rPr>
        <w:t>Respondent</w:t>
      </w:r>
    </w:p>
    <w:p w14:paraId="1E10110D" w14:textId="77777777" w:rsidR="001A39BA" w:rsidRPr="005D0ED9" w:rsidRDefault="001A39BA" w:rsidP="001A39BA">
      <w:pPr>
        <w:spacing w:before="0" w:line="240" w:lineRule="auto"/>
        <w:jc w:val="right"/>
        <w:rPr>
          <w:rFonts w:ascii="Arial" w:hAnsi="Arial" w:cs="Arial"/>
          <w:sz w:val="22"/>
          <w:szCs w:val="22"/>
        </w:rPr>
      </w:pPr>
    </w:p>
    <w:p w14:paraId="46E0E766" w14:textId="77777777" w:rsidR="001A39BA" w:rsidRPr="005D0ED9" w:rsidRDefault="001A39BA" w:rsidP="001A39BA">
      <w:pPr>
        <w:spacing w:before="0" w:line="240" w:lineRule="auto"/>
        <w:rPr>
          <w:rFonts w:ascii="Arial" w:hAnsi="Arial" w:cs="Arial"/>
          <w:b/>
          <w:sz w:val="22"/>
          <w:szCs w:val="22"/>
        </w:rPr>
      </w:pPr>
    </w:p>
    <w:p w14:paraId="3D1A196F" w14:textId="78B87002" w:rsidR="001A39BA" w:rsidRPr="005D0ED9" w:rsidRDefault="00E23F65" w:rsidP="001A39BA">
      <w:pPr>
        <w:spacing w:before="0" w:line="240" w:lineRule="auto"/>
        <w:jc w:val="center"/>
        <w:rPr>
          <w:rFonts w:ascii="Arial" w:hAnsi="Arial" w:cs="Arial"/>
          <w:b/>
          <w:sz w:val="22"/>
          <w:szCs w:val="22"/>
        </w:rPr>
      </w:pPr>
      <w:r>
        <w:rPr>
          <w:rFonts w:ascii="Arial" w:hAnsi="Arial" w:cs="Arial"/>
          <w:b/>
          <w:sz w:val="22"/>
          <w:szCs w:val="22"/>
        </w:rPr>
        <w:t>DIRECTION</w:t>
      </w:r>
    </w:p>
    <w:p w14:paraId="2D4E87F3" w14:textId="77777777" w:rsidR="001A39BA" w:rsidRPr="005D0ED9" w:rsidRDefault="001A39BA" w:rsidP="001A39BA">
      <w:pPr>
        <w:spacing w:before="0" w:line="240" w:lineRule="auto"/>
        <w:jc w:val="center"/>
        <w:rPr>
          <w:rFonts w:ascii="Arial" w:hAnsi="Arial" w:cs="Arial"/>
          <w:b/>
          <w:sz w:val="22"/>
          <w:szCs w:val="22"/>
        </w:rPr>
      </w:pPr>
    </w:p>
    <w:p w14:paraId="38C239D6" w14:textId="77777777" w:rsidR="001A39BA" w:rsidRPr="005D0ED9" w:rsidRDefault="001A39BA" w:rsidP="001A39BA">
      <w:pPr>
        <w:spacing w:before="0" w:line="240" w:lineRule="auto"/>
        <w:rPr>
          <w:rFonts w:ascii="Arial" w:hAnsi="Arial" w:cs="Arial"/>
          <w:sz w:val="22"/>
          <w:szCs w:val="22"/>
        </w:rPr>
      </w:pPr>
    </w:p>
    <w:p w14:paraId="0E31A84D" w14:textId="77777777" w:rsidR="001A39BA" w:rsidRPr="005D0ED9" w:rsidRDefault="001A39BA" w:rsidP="001A39BA">
      <w:pPr>
        <w:spacing w:before="0" w:line="240" w:lineRule="auto"/>
        <w:rPr>
          <w:rFonts w:ascii="Arial" w:hAnsi="Arial" w:cs="Arial"/>
          <w:sz w:val="22"/>
          <w:szCs w:val="22"/>
        </w:rPr>
      </w:pPr>
      <w:r w:rsidRPr="005D0ED9">
        <w:rPr>
          <w:rFonts w:ascii="Arial" w:hAnsi="Arial" w:cs="Arial"/>
          <w:b/>
          <w:sz w:val="22"/>
          <w:szCs w:val="22"/>
        </w:rPr>
        <w:t>TRIBUNAL:</w:t>
      </w:r>
      <w:r w:rsidRPr="005D0ED9">
        <w:rPr>
          <w:rFonts w:ascii="Arial" w:hAnsi="Arial" w:cs="Arial"/>
          <w:sz w:val="22"/>
          <w:szCs w:val="22"/>
        </w:rPr>
        <w:tab/>
      </w:r>
      <w:r w:rsidRPr="005D0ED9">
        <w:rPr>
          <w:rFonts w:ascii="Arial" w:hAnsi="Arial" w:cs="Arial"/>
          <w:sz w:val="22"/>
          <w:szCs w:val="22"/>
        </w:rPr>
        <w:tab/>
      </w:r>
      <w:r>
        <w:rPr>
          <w:rFonts w:ascii="Arial" w:hAnsi="Arial" w:cs="Arial"/>
          <w:sz w:val="22"/>
          <w:szCs w:val="22"/>
        </w:rPr>
        <w:t>Professor RM Creyke, Senior Member</w:t>
      </w:r>
    </w:p>
    <w:p w14:paraId="2212587B" w14:textId="77777777" w:rsidR="001A39BA" w:rsidRPr="005D0ED9" w:rsidRDefault="001A39BA" w:rsidP="001A39BA">
      <w:pPr>
        <w:spacing w:before="0" w:line="240" w:lineRule="auto"/>
        <w:rPr>
          <w:rFonts w:ascii="Arial" w:hAnsi="Arial" w:cs="Arial"/>
          <w:sz w:val="22"/>
          <w:szCs w:val="22"/>
        </w:rPr>
      </w:pPr>
    </w:p>
    <w:p w14:paraId="34D93D9A" w14:textId="77777777" w:rsidR="001A39BA" w:rsidRPr="005D0ED9" w:rsidRDefault="001A39BA" w:rsidP="001A39BA">
      <w:pPr>
        <w:spacing w:before="0" w:line="240" w:lineRule="auto"/>
        <w:rPr>
          <w:rFonts w:ascii="Arial" w:hAnsi="Arial" w:cs="Arial"/>
          <w:sz w:val="22"/>
          <w:szCs w:val="22"/>
        </w:rPr>
      </w:pPr>
      <w:r w:rsidRPr="005D0ED9">
        <w:rPr>
          <w:rFonts w:ascii="Arial" w:hAnsi="Arial" w:cs="Arial"/>
          <w:b/>
          <w:sz w:val="22"/>
          <w:szCs w:val="22"/>
        </w:rPr>
        <w:t>DATE:</w:t>
      </w:r>
      <w:r w:rsidRPr="005D0ED9">
        <w:rPr>
          <w:rFonts w:ascii="Arial" w:hAnsi="Arial" w:cs="Arial"/>
          <w:b/>
          <w:sz w:val="22"/>
          <w:szCs w:val="22"/>
        </w:rPr>
        <w:tab/>
      </w:r>
      <w:r w:rsidRPr="005D0ED9">
        <w:rPr>
          <w:rFonts w:ascii="Arial" w:hAnsi="Arial" w:cs="Arial"/>
          <w:sz w:val="22"/>
          <w:szCs w:val="22"/>
        </w:rPr>
        <w:tab/>
      </w:r>
      <w:r>
        <w:rPr>
          <w:rFonts w:ascii="Arial" w:hAnsi="Arial" w:cs="Arial"/>
          <w:sz w:val="22"/>
          <w:szCs w:val="22"/>
        </w:rPr>
        <w:tab/>
        <w:t>11 January 2013</w:t>
      </w:r>
    </w:p>
    <w:p w14:paraId="0D1D0B66" w14:textId="77777777" w:rsidR="001A39BA" w:rsidRPr="005D0ED9" w:rsidRDefault="001A39BA" w:rsidP="001A39BA">
      <w:pPr>
        <w:spacing w:before="0" w:line="240" w:lineRule="auto"/>
        <w:rPr>
          <w:rFonts w:ascii="Arial" w:hAnsi="Arial" w:cs="Arial"/>
          <w:sz w:val="22"/>
          <w:szCs w:val="22"/>
        </w:rPr>
      </w:pPr>
    </w:p>
    <w:p w14:paraId="2E4B025A" w14:textId="77777777" w:rsidR="001A39BA" w:rsidRPr="005D0ED9" w:rsidRDefault="001A39BA" w:rsidP="001A39BA">
      <w:pPr>
        <w:spacing w:before="0" w:line="240" w:lineRule="auto"/>
        <w:rPr>
          <w:rFonts w:ascii="Arial" w:hAnsi="Arial" w:cs="Arial"/>
          <w:sz w:val="22"/>
          <w:szCs w:val="22"/>
        </w:rPr>
      </w:pPr>
      <w:r w:rsidRPr="005D0ED9">
        <w:rPr>
          <w:rFonts w:ascii="Arial" w:hAnsi="Arial" w:cs="Arial"/>
          <w:b/>
          <w:sz w:val="22"/>
          <w:szCs w:val="22"/>
        </w:rPr>
        <w:t>PLACE:</w:t>
      </w:r>
      <w:r w:rsidRPr="005D0ED9">
        <w:rPr>
          <w:rFonts w:ascii="Arial" w:hAnsi="Arial" w:cs="Arial"/>
          <w:b/>
          <w:sz w:val="22"/>
          <w:szCs w:val="22"/>
        </w:rPr>
        <w:tab/>
      </w:r>
      <w:r w:rsidRPr="005D0ED9">
        <w:rPr>
          <w:rFonts w:ascii="Arial" w:hAnsi="Arial" w:cs="Arial"/>
          <w:sz w:val="22"/>
          <w:szCs w:val="22"/>
        </w:rPr>
        <w:tab/>
      </w:r>
      <w:r>
        <w:rPr>
          <w:rFonts w:ascii="Arial" w:hAnsi="Arial" w:cs="Arial"/>
          <w:sz w:val="22"/>
          <w:szCs w:val="22"/>
        </w:rPr>
        <w:t>Canberra</w:t>
      </w:r>
    </w:p>
    <w:p w14:paraId="0FE716B5" w14:textId="315110B2" w:rsidR="001A39BA" w:rsidRPr="005D0ED9" w:rsidRDefault="001A39BA" w:rsidP="001A39BA">
      <w:pPr>
        <w:tabs>
          <w:tab w:val="left" w:pos="-1417"/>
          <w:tab w:val="left" w:pos="0"/>
          <w:tab w:val="left" w:pos="1984"/>
        </w:tabs>
        <w:suppressAutoHyphens/>
        <w:spacing w:before="0" w:line="240" w:lineRule="auto"/>
        <w:ind w:left="1984" w:right="-483" w:hanging="1984"/>
        <w:rPr>
          <w:rFonts w:ascii="Arial" w:hAnsi="Arial" w:cs="Arial"/>
          <w:spacing w:val="-2"/>
          <w:sz w:val="22"/>
          <w:szCs w:val="22"/>
        </w:rPr>
      </w:pPr>
      <w:r w:rsidRPr="005D0ED9">
        <w:rPr>
          <w:rFonts w:ascii="Arial" w:hAnsi="Arial" w:cs="Arial"/>
          <w:spacing w:val="-2"/>
          <w:sz w:val="22"/>
          <w:szCs w:val="22"/>
        </w:rPr>
        <w:tab/>
      </w:r>
    </w:p>
    <w:p w14:paraId="2F5EE7B6" w14:textId="77777777" w:rsidR="001A39BA" w:rsidRPr="005D0ED9" w:rsidRDefault="001A39BA" w:rsidP="001A39BA">
      <w:pPr>
        <w:spacing w:before="0" w:line="240" w:lineRule="auto"/>
        <w:rPr>
          <w:rFonts w:ascii="Arial" w:hAnsi="Arial" w:cs="Arial"/>
          <w:spacing w:val="-2"/>
          <w:sz w:val="22"/>
          <w:szCs w:val="22"/>
        </w:rPr>
      </w:pPr>
    </w:p>
    <w:p w14:paraId="66EBEF4E" w14:textId="77777777" w:rsidR="001A39BA" w:rsidRDefault="001A39BA" w:rsidP="001A39BA">
      <w:pPr>
        <w:spacing w:before="0" w:line="240" w:lineRule="auto"/>
        <w:rPr>
          <w:rFonts w:ascii="Arial" w:hAnsi="Arial" w:cs="Arial"/>
          <w:sz w:val="22"/>
          <w:szCs w:val="22"/>
        </w:rPr>
      </w:pPr>
      <w:r w:rsidRPr="005D0ED9">
        <w:rPr>
          <w:rFonts w:ascii="Arial" w:hAnsi="Arial" w:cs="Arial"/>
          <w:spacing w:val="-2"/>
          <w:sz w:val="22"/>
          <w:szCs w:val="22"/>
        </w:rPr>
        <w:t xml:space="preserve">The Tribunal directs the Registrar, pursuant to subsection 43AA(1) of the </w:t>
      </w:r>
      <w:r w:rsidRPr="005D0ED9">
        <w:rPr>
          <w:rFonts w:ascii="Arial" w:hAnsi="Arial" w:cs="Arial"/>
          <w:i/>
          <w:sz w:val="22"/>
          <w:szCs w:val="22"/>
        </w:rPr>
        <w:t>Administrative Appeals Tribunal Act 1975</w:t>
      </w:r>
      <w:r w:rsidRPr="005D0ED9">
        <w:rPr>
          <w:rFonts w:ascii="Arial" w:hAnsi="Arial" w:cs="Arial"/>
          <w:sz w:val="22"/>
          <w:szCs w:val="22"/>
        </w:rPr>
        <w:t>, to alter the text of the decision in this application</w:t>
      </w:r>
      <w:r>
        <w:rPr>
          <w:rFonts w:ascii="Arial" w:hAnsi="Arial" w:cs="Arial"/>
          <w:sz w:val="22"/>
          <w:szCs w:val="22"/>
        </w:rPr>
        <w:t xml:space="preserve"> as follows:</w:t>
      </w:r>
    </w:p>
    <w:p w14:paraId="04487A67" w14:textId="77777777" w:rsidR="001A39BA" w:rsidRDefault="001A39BA" w:rsidP="001A39BA">
      <w:pPr>
        <w:spacing w:before="0" w:line="240" w:lineRule="auto"/>
        <w:rPr>
          <w:rFonts w:ascii="Arial" w:hAnsi="Arial" w:cs="Arial"/>
          <w:sz w:val="22"/>
          <w:szCs w:val="22"/>
        </w:rPr>
      </w:pPr>
    </w:p>
    <w:p w14:paraId="6B8C6694" w14:textId="77777777" w:rsidR="001A39BA" w:rsidRDefault="001A39BA" w:rsidP="001A39BA">
      <w:pPr>
        <w:numPr>
          <w:ilvl w:val="0"/>
          <w:numId w:val="10"/>
        </w:numPr>
        <w:spacing w:before="0" w:line="240" w:lineRule="auto"/>
        <w:rPr>
          <w:rFonts w:ascii="Arial" w:hAnsi="Arial" w:cs="Arial"/>
          <w:spacing w:val="-2"/>
          <w:sz w:val="22"/>
          <w:szCs w:val="22"/>
        </w:rPr>
      </w:pPr>
      <w:r>
        <w:rPr>
          <w:rFonts w:ascii="Arial" w:hAnsi="Arial" w:cs="Arial"/>
          <w:spacing w:val="-2"/>
          <w:sz w:val="22"/>
          <w:szCs w:val="22"/>
        </w:rPr>
        <w:t>the second footnote marked as “3” and its contents be deleted;</w:t>
      </w:r>
    </w:p>
    <w:p w14:paraId="04483F92" w14:textId="77777777" w:rsidR="001A39BA" w:rsidRDefault="001A39BA" w:rsidP="001A39BA">
      <w:pPr>
        <w:numPr>
          <w:ilvl w:val="0"/>
          <w:numId w:val="10"/>
        </w:numPr>
        <w:spacing w:before="0" w:line="240" w:lineRule="auto"/>
        <w:rPr>
          <w:rFonts w:ascii="Arial" w:hAnsi="Arial" w:cs="Arial"/>
          <w:spacing w:val="-2"/>
          <w:sz w:val="22"/>
          <w:szCs w:val="22"/>
        </w:rPr>
      </w:pPr>
      <w:r>
        <w:rPr>
          <w:rFonts w:ascii="Arial" w:hAnsi="Arial" w:cs="Arial"/>
          <w:spacing w:val="-2"/>
          <w:sz w:val="22"/>
          <w:szCs w:val="22"/>
        </w:rPr>
        <w:t>footnote “4” and its contents be deleted;</w:t>
      </w:r>
    </w:p>
    <w:p w14:paraId="62BB64A2" w14:textId="77777777" w:rsidR="001A39BA" w:rsidRDefault="001A39BA" w:rsidP="001A39BA">
      <w:pPr>
        <w:numPr>
          <w:ilvl w:val="0"/>
          <w:numId w:val="10"/>
        </w:numPr>
        <w:spacing w:before="0" w:line="240" w:lineRule="auto"/>
        <w:rPr>
          <w:rFonts w:ascii="Arial" w:hAnsi="Arial" w:cs="Arial"/>
          <w:spacing w:val="-2"/>
          <w:sz w:val="22"/>
          <w:szCs w:val="22"/>
        </w:rPr>
      </w:pPr>
      <w:r>
        <w:rPr>
          <w:rFonts w:ascii="Arial" w:hAnsi="Arial" w:cs="Arial"/>
          <w:spacing w:val="-2"/>
          <w:sz w:val="22"/>
          <w:szCs w:val="22"/>
        </w:rPr>
        <w:t>in paragraph 11, footnote “4” to be added after the words “finality in decision-making” with the reference “</w:t>
      </w:r>
      <w:r w:rsidRPr="00C6744F">
        <w:rPr>
          <w:rFonts w:ascii="Arial" w:hAnsi="Arial" w:cs="Arial"/>
          <w:i/>
          <w:spacing w:val="-2"/>
          <w:sz w:val="22"/>
          <w:szCs w:val="22"/>
        </w:rPr>
        <w:t>Lucic v Nolan and Others</w:t>
      </w:r>
      <w:r w:rsidRPr="00C6744F">
        <w:rPr>
          <w:rFonts w:ascii="Arial" w:hAnsi="Arial" w:cs="Arial"/>
          <w:spacing w:val="-2"/>
          <w:sz w:val="22"/>
          <w:szCs w:val="22"/>
        </w:rPr>
        <w:t xml:space="preserve"> (1982) 45 ALR 411 at 416</w:t>
      </w:r>
      <w:r>
        <w:rPr>
          <w:rFonts w:ascii="Arial" w:hAnsi="Arial" w:cs="Arial"/>
          <w:spacing w:val="-2"/>
          <w:sz w:val="22"/>
          <w:szCs w:val="22"/>
        </w:rPr>
        <w:t>.”</w:t>
      </w:r>
    </w:p>
    <w:p w14:paraId="4A107537" w14:textId="77777777" w:rsidR="001A39BA" w:rsidRPr="00C6744F" w:rsidRDefault="001A39BA" w:rsidP="001A39BA">
      <w:pPr>
        <w:numPr>
          <w:ilvl w:val="0"/>
          <w:numId w:val="10"/>
        </w:numPr>
        <w:spacing w:before="0" w:line="240" w:lineRule="auto"/>
        <w:rPr>
          <w:rFonts w:ascii="Arial" w:hAnsi="Arial" w:cs="Arial"/>
          <w:spacing w:val="-2"/>
          <w:sz w:val="22"/>
          <w:szCs w:val="22"/>
        </w:rPr>
      </w:pPr>
      <w:r>
        <w:rPr>
          <w:rFonts w:ascii="Arial" w:hAnsi="Arial" w:cs="Arial"/>
          <w:spacing w:val="-2"/>
          <w:sz w:val="22"/>
          <w:szCs w:val="22"/>
        </w:rPr>
        <w:t>in paragraph 11, footnote “5” to be added after the words “just outcome requires otherwise” with the reference “</w:t>
      </w:r>
      <w:r w:rsidRPr="00C6744F">
        <w:rPr>
          <w:rFonts w:ascii="Arial" w:hAnsi="Arial" w:cs="Arial"/>
          <w:i/>
          <w:spacing w:val="-2"/>
          <w:sz w:val="22"/>
          <w:szCs w:val="22"/>
        </w:rPr>
        <w:t>Duong v Australian Postal Corporation</w:t>
      </w:r>
      <w:r w:rsidRPr="00C6744F">
        <w:rPr>
          <w:rFonts w:ascii="Arial" w:hAnsi="Arial" w:cs="Arial"/>
          <w:spacing w:val="-2"/>
          <w:sz w:val="22"/>
          <w:szCs w:val="22"/>
        </w:rPr>
        <w:t xml:space="preserve"> (2005) 41 AAR 288 at 293-294</w:t>
      </w:r>
      <w:r>
        <w:rPr>
          <w:rFonts w:ascii="Arial" w:hAnsi="Arial" w:cs="Arial"/>
          <w:spacing w:val="-2"/>
          <w:sz w:val="22"/>
          <w:szCs w:val="22"/>
        </w:rPr>
        <w:t>.”</w:t>
      </w:r>
    </w:p>
    <w:p w14:paraId="6BBCADC8" w14:textId="77777777" w:rsidR="001A39BA" w:rsidRPr="005D0ED9" w:rsidRDefault="001A39BA" w:rsidP="001A39BA">
      <w:pPr>
        <w:tabs>
          <w:tab w:val="left" w:pos="1985"/>
        </w:tabs>
        <w:spacing w:before="0" w:line="240" w:lineRule="auto"/>
        <w:ind w:left="1985" w:right="-483" w:hanging="1985"/>
        <w:rPr>
          <w:rFonts w:ascii="Arial" w:hAnsi="Arial" w:cs="Arial"/>
          <w:spacing w:val="-2"/>
          <w:sz w:val="22"/>
          <w:szCs w:val="22"/>
        </w:rPr>
      </w:pPr>
    </w:p>
    <w:p w14:paraId="4063CD37" w14:textId="77777777" w:rsidR="001A39BA" w:rsidRDefault="001A39BA" w:rsidP="001A39BA">
      <w:pPr>
        <w:tabs>
          <w:tab w:val="left" w:pos="1985"/>
        </w:tabs>
        <w:spacing w:before="0" w:line="240" w:lineRule="auto"/>
        <w:ind w:left="1985" w:right="-483" w:hanging="1985"/>
        <w:rPr>
          <w:rFonts w:ascii="Arial" w:hAnsi="Arial" w:cs="Arial"/>
          <w:spacing w:val="-2"/>
          <w:sz w:val="22"/>
          <w:szCs w:val="22"/>
        </w:rPr>
      </w:pPr>
    </w:p>
    <w:p w14:paraId="0DFA3A55" w14:textId="77777777" w:rsidR="001A39BA" w:rsidRDefault="001A39BA" w:rsidP="001A39BA">
      <w:pPr>
        <w:tabs>
          <w:tab w:val="left" w:pos="1985"/>
        </w:tabs>
        <w:spacing w:before="0" w:line="240" w:lineRule="auto"/>
        <w:ind w:left="1985" w:right="-483" w:hanging="1985"/>
        <w:rPr>
          <w:rFonts w:ascii="Arial" w:hAnsi="Arial" w:cs="Arial"/>
          <w:spacing w:val="-2"/>
          <w:sz w:val="22"/>
          <w:szCs w:val="22"/>
        </w:rPr>
      </w:pPr>
    </w:p>
    <w:p w14:paraId="0ADF1406" w14:textId="77777777" w:rsidR="001A39BA" w:rsidRPr="005D0ED9" w:rsidRDefault="001A39BA" w:rsidP="001A39BA">
      <w:pPr>
        <w:tabs>
          <w:tab w:val="left" w:pos="1985"/>
        </w:tabs>
        <w:spacing w:before="0" w:line="240" w:lineRule="auto"/>
        <w:ind w:left="1985" w:right="-483" w:hanging="1985"/>
        <w:rPr>
          <w:rFonts w:ascii="Arial" w:hAnsi="Arial" w:cs="Arial"/>
          <w:spacing w:val="-2"/>
          <w:sz w:val="22"/>
          <w:szCs w:val="22"/>
        </w:rPr>
      </w:pPr>
    </w:p>
    <w:p w14:paraId="4FC47EB0" w14:textId="2B0FDDF5" w:rsidR="001A39BA" w:rsidRDefault="001A39BA" w:rsidP="001A39BA">
      <w:pPr>
        <w:tabs>
          <w:tab w:val="left" w:pos="-1440"/>
          <w:tab w:val="center" w:pos="6804"/>
        </w:tabs>
        <w:suppressAutoHyphens/>
        <w:spacing w:before="0" w:line="240" w:lineRule="auto"/>
        <w:ind w:right="-483"/>
        <w:jc w:val="right"/>
        <w:rPr>
          <w:rFonts w:ascii="Arial" w:hAnsi="Arial" w:cs="Arial"/>
          <w:spacing w:val="-2"/>
          <w:sz w:val="22"/>
          <w:szCs w:val="22"/>
        </w:rPr>
      </w:pPr>
      <w:r w:rsidRPr="005D0ED9">
        <w:rPr>
          <w:rFonts w:ascii="Arial" w:hAnsi="Arial" w:cs="Arial"/>
          <w:spacing w:val="-2"/>
          <w:sz w:val="22"/>
          <w:szCs w:val="22"/>
        </w:rPr>
        <w:t>.................................</w:t>
      </w:r>
      <w:r>
        <w:rPr>
          <w:rFonts w:ascii="Arial" w:hAnsi="Arial" w:cs="Arial"/>
          <w:spacing w:val="-2"/>
          <w:sz w:val="22"/>
          <w:szCs w:val="22"/>
        </w:rPr>
        <w:t>[sgd]</w:t>
      </w:r>
      <w:r w:rsidRPr="005D0ED9">
        <w:rPr>
          <w:rFonts w:ascii="Arial" w:hAnsi="Arial" w:cs="Arial"/>
          <w:spacing w:val="-2"/>
          <w:sz w:val="22"/>
          <w:szCs w:val="22"/>
        </w:rPr>
        <w:t>..................................</w:t>
      </w:r>
    </w:p>
    <w:p w14:paraId="320BCD6C" w14:textId="3D604558" w:rsidR="001A39BA" w:rsidRPr="001A39BA" w:rsidRDefault="001A39BA" w:rsidP="001A39BA">
      <w:pPr>
        <w:tabs>
          <w:tab w:val="left" w:pos="-1440"/>
          <w:tab w:val="center" w:pos="6804"/>
        </w:tabs>
        <w:suppressAutoHyphens/>
        <w:spacing w:before="0" w:line="240" w:lineRule="auto"/>
        <w:ind w:right="-483"/>
        <w:jc w:val="right"/>
        <w:rPr>
          <w:rFonts w:ascii="Arial" w:hAnsi="Arial" w:cs="Arial"/>
          <w:spacing w:val="-2"/>
          <w:sz w:val="22"/>
          <w:szCs w:val="22"/>
        </w:rPr>
      </w:pPr>
      <w:r>
        <w:rPr>
          <w:rFonts w:ascii="Arial" w:hAnsi="Arial" w:cs="Arial"/>
          <w:sz w:val="22"/>
          <w:szCs w:val="22"/>
        </w:rPr>
        <w:t>Professor RM Creyke, Senior Member</w:t>
      </w:r>
    </w:p>
    <w:p w14:paraId="13773C7F" w14:textId="23EF653E" w:rsidR="00531AA1" w:rsidRPr="000A40FB" w:rsidRDefault="00F35E91" w:rsidP="00F35E91">
      <w:pPr>
        <w:pStyle w:val="Title"/>
      </w:pPr>
      <w:r>
        <w:lastRenderedPageBreak/>
        <w:tab/>
      </w:r>
      <w:r w:rsidR="00661270" w:rsidRPr="000A40FB">
        <w:t>[</w:t>
      </w:r>
      <w:r w:rsidR="000E7C8D">
        <w:t>2012</w:t>
      </w:r>
      <w:r w:rsidR="00661270" w:rsidRPr="000A40FB">
        <w:t xml:space="preserve">] </w:t>
      </w:r>
      <w:r w:rsidR="00531AA1" w:rsidRPr="000A40FB">
        <w:t xml:space="preserve">AATA </w:t>
      </w:r>
      <w:r w:rsidR="006C4359">
        <w:fldChar w:fldCharType="begin"/>
      </w:r>
      <w:r w:rsidR="006C4359">
        <w:instrText xml:space="preserve"> DOCPROPERTY  DecisionNumber </w:instrText>
      </w:r>
      <w:r w:rsidR="006C4359">
        <w:fldChar w:fldCharType="separate"/>
      </w:r>
      <w:r w:rsidR="003E4E12">
        <w:t xml:space="preserve"> </w:t>
      </w:r>
      <w:r w:rsidR="006C4359">
        <w:fldChar w:fldCharType="end"/>
      </w:r>
      <w:r w:rsidR="00A647DA">
        <w:t>364</w:t>
      </w:r>
    </w:p>
    <w:p w14:paraId="13773C80" w14:textId="77777777"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14:paraId="13773C83" w14:textId="77777777" w:rsidTr="00AA34CF">
        <w:trPr>
          <w:trHeight w:val="284"/>
        </w:trPr>
        <w:tc>
          <w:tcPr>
            <w:tcW w:w="1951" w:type="dxa"/>
          </w:tcPr>
          <w:p w14:paraId="13773C81" w14:textId="77777777" w:rsidR="00531AA1" w:rsidRPr="004B6924" w:rsidRDefault="00531AA1" w:rsidP="004B6924">
            <w:pPr>
              <w:spacing w:before="0"/>
            </w:pPr>
            <w:bookmarkStart w:id="1" w:name="SingleFile" w:colFirst="0" w:colLast="2"/>
            <w:r w:rsidRPr="004B6924">
              <w:t>Division</w:t>
            </w:r>
          </w:p>
        </w:tc>
        <w:tc>
          <w:tcPr>
            <w:tcW w:w="6838" w:type="dxa"/>
          </w:tcPr>
          <w:p w14:paraId="13773C82" w14:textId="77777777"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3E4E12">
              <w:rPr>
                <w:b/>
              </w:rPr>
              <w:t>GENERAL ADMINISTRATIVE DIVISION</w:t>
            </w:r>
            <w:r>
              <w:rPr>
                <w:b/>
              </w:rPr>
              <w:fldChar w:fldCharType="end"/>
            </w:r>
          </w:p>
        </w:tc>
      </w:tr>
      <w:tr w:rsidR="00531AA1" w:rsidRPr="00FA73B2" w14:paraId="13773C86" w14:textId="77777777" w:rsidTr="00AA34CF">
        <w:trPr>
          <w:trHeight w:val="284"/>
        </w:trPr>
        <w:tc>
          <w:tcPr>
            <w:tcW w:w="1951" w:type="dxa"/>
          </w:tcPr>
          <w:p w14:paraId="13773C84" w14:textId="77777777" w:rsidR="00531AA1" w:rsidRPr="002260F4" w:rsidRDefault="00531AA1" w:rsidP="007D1803">
            <w:r w:rsidRPr="002260F4">
              <w:t>File Number(s)</w:t>
            </w:r>
          </w:p>
        </w:tc>
        <w:tc>
          <w:tcPr>
            <w:tcW w:w="6838" w:type="dxa"/>
          </w:tcPr>
          <w:p w14:paraId="13773C85" w14:textId="77777777"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3E4E12">
              <w:t>2012/1668</w:t>
            </w:r>
            <w:r w:rsidRPr="00A9538E">
              <w:fldChar w:fldCharType="end"/>
            </w:r>
          </w:p>
        </w:tc>
      </w:tr>
      <w:tr w:rsidR="00531AA1" w:rsidRPr="00FA73B2" w14:paraId="13773C89" w14:textId="77777777" w:rsidTr="00AA34CF">
        <w:trPr>
          <w:trHeight w:val="284"/>
        </w:trPr>
        <w:tc>
          <w:tcPr>
            <w:tcW w:w="1951" w:type="dxa"/>
          </w:tcPr>
          <w:p w14:paraId="13773C87" w14:textId="77777777" w:rsidR="00531AA1" w:rsidRPr="002260F4" w:rsidRDefault="00531AA1" w:rsidP="007D1803">
            <w:r w:rsidRPr="002260F4">
              <w:t>Re</w:t>
            </w:r>
          </w:p>
        </w:tc>
        <w:tc>
          <w:tcPr>
            <w:tcW w:w="6838" w:type="dxa"/>
          </w:tcPr>
          <w:p w14:paraId="13773C88" w14:textId="77777777" w:rsidR="00531AA1" w:rsidRPr="006D20BD" w:rsidRDefault="00E23F65" w:rsidP="00036C03">
            <w:pPr>
              <w:pStyle w:val="Details"/>
            </w:pPr>
            <w:fldSimple w:instr=" DOCPROPERTY  Applicant ">
              <w:r w:rsidR="003E4E12">
                <w:t>INDRA THAPPA</w:t>
              </w:r>
            </w:fldSimple>
          </w:p>
        </w:tc>
      </w:tr>
      <w:tr w:rsidR="00531AA1" w:rsidRPr="00FA73B2" w14:paraId="13773C8C" w14:textId="77777777" w:rsidTr="00AA34CF">
        <w:trPr>
          <w:trHeight w:val="284"/>
        </w:trPr>
        <w:tc>
          <w:tcPr>
            <w:tcW w:w="1951" w:type="dxa"/>
          </w:tcPr>
          <w:p w14:paraId="13773C8A" w14:textId="77777777" w:rsidR="00531AA1" w:rsidRPr="00173896" w:rsidRDefault="00531AA1" w:rsidP="007D1803"/>
        </w:tc>
        <w:tc>
          <w:tcPr>
            <w:tcW w:w="6838" w:type="dxa"/>
          </w:tcPr>
          <w:p w14:paraId="13773C8B" w14:textId="77777777" w:rsidR="00531AA1" w:rsidRPr="0099661B" w:rsidRDefault="00531AA1" w:rsidP="00024EF9">
            <w:pPr>
              <w:pStyle w:val="Label"/>
            </w:pPr>
            <w:r w:rsidRPr="0099661B">
              <w:t>APPLICANT</w:t>
            </w:r>
          </w:p>
        </w:tc>
      </w:tr>
      <w:tr w:rsidR="00531AA1" w:rsidRPr="00FA73B2" w14:paraId="13773C8F" w14:textId="77777777" w:rsidTr="00AA34CF">
        <w:trPr>
          <w:trHeight w:val="284"/>
        </w:trPr>
        <w:tc>
          <w:tcPr>
            <w:tcW w:w="1951" w:type="dxa"/>
          </w:tcPr>
          <w:p w14:paraId="13773C8D" w14:textId="77777777" w:rsidR="00531AA1" w:rsidRPr="00110C0F" w:rsidRDefault="00531AA1" w:rsidP="007D1803">
            <w:pPr>
              <w:rPr>
                <w:bCs/>
              </w:rPr>
            </w:pPr>
            <w:r w:rsidRPr="00110C0F">
              <w:rPr>
                <w:bCs/>
              </w:rPr>
              <w:t>And</w:t>
            </w:r>
          </w:p>
        </w:tc>
        <w:tc>
          <w:tcPr>
            <w:tcW w:w="6838" w:type="dxa"/>
          </w:tcPr>
          <w:p w14:paraId="13773C8E" w14:textId="77777777" w:rsidR="00531AA1" w:rsidRPr="006D20BD" w:rsidRDefault="008A3F27" w:rsidP="00036C03">
            <w:pPr>
              <w:pStyle w:val="Details"/>
            </w:pPr>
            <w:r>
              <w:t xml:space="preserve">COMCARE </w:t>
            </w:r>
          </w:p>
        </w:tc>
      </w:tr>
      <w:tr w:rsidR="00531AA1" w:rsidRPr="00FA73B2" w14:paraId="13773C92" w14:textId="77777777" w:rsidTr="00AA34CF">
        <w:trPr>
          <w:trHeight w:val="284"/>
        </w:trPr>
        <w:tc>
          <w:tcPr>
            <w:tcW w:w="1951" w:type="dxa"/>
          </w:tcPr>
          <w:p w14:paraId="13773C90" w14:textId="77777777" w:rsidR="00531AA1" w:rsidRPr="00173896" w:rsidRDefault="00531AA1" w:rsidP="007D1803"/>
        </w:tc>
        <w:tc>
          <w:tcPr>
            <w:tcW w:w="6838" w:type="dxa"/>
          </w:tcPr>
          <w:p w14:paraId="036624FD" w14:textId="77777777" w:rsidR="00531AA1" w:rsidRDefault="00531AA1" w:rsidP="00771CAC">
            <w:pPr>
              <w:pStyle w:val="Label"/>
            </w:pPr>
            <w:r w:rsidRPr="0099661B">
              <w:t>RESPONDENT</w:t>
            </w:r>
          </w:p>
          <w:p w14:paraId="13773C91" w14:textId="77777777" w:rsidR="00CB0546" w:rsidRPr="00771CAC" w:rsidRDefault="00CB0546" w:rsidP="00771CAC">
            <w:pPr>
              <w:pStyle w:val="Label"/>
            </w:pPr>
          </w:p>
        </w:tc>
      </w:tr>
    </w:tbl>
    <w:bookmarkEnd w:id="1"/>
    <w:p w14:paraId="13773C94" w14:textId="77777777" w:rsidR="00BC2D09" w:rsidRDefault="00BC2D09" w:rsidP="00A161A7">
      <w:pPr>
        <w:pStyle w:val="Heading1"/>
        <w:rPr>
          <w:lang w:eastAsia="en-US"/>
        </w:rPr>
      </w:pPr>
      <w:r w:rsidRPr="00BC2D09">
        <w:rPr>
          <w:lang w:eastAsia="en-US"/>
        </w:rPr>
        <w:t>Decision</w:t>
      </w:r>
    </w:p>
    <w:p w14:paraId="13773C95" w14:textId="77777777"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C2D09" w:rsidRPr="00BC2D09" w14:paraId="13773C9A" w14:textId="77777777" w:rsidTr="00E92DDB">
        <w:trPr>
          <w:trHeight w:val="567"/>
        </w:trPr>
        <w:tc>
          <w:tcPr>
            <w:tcW w:w="1956" w:type="dxa"/>
          </w:tcPr>
          <w:p w14:paraId="13773C96" w14:textId="77777777" w:rsidR="00BC2D09" w:rsidRPr="00BC2D09" w:rsidRDefault="00BC2D09" w:rsidP="00A96474">
            <w:pPr>
              <w:pStyle w:val="NoSpacing"/>
              <w:rPr>
                <w:lang w:eastAsia="en-US"/>
              </w:rPr>
            </w:pPr>
            <w:r w:rsidRPr="00BC2D09">
              <w:rPr>
                <w:lang w:eastAsia="en-US"/>
              </w:rPr>
              <w:t>Tribunal</w:t>
            </w:r>
          </w:p>
        </w:tc>
        <w:tc>
          <w:tcPr>
            <w:tcW w:w="6833" w:type="dxa"/>
          </w:tcPr>
          <w:p w14:paraId="13773C97" w14:textId="77777777" w:rsidR="003058C9" w:rsidRDefault="003058C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3E4E12">
              <w:rPr>
                <w:b/>
                <w:bCs/>
                <w:lang w:eastAsia="en-US"/>
              </w:rPr>
              <w:t>PROFESSOR RM CREYKE, SENIOR MEMBER</w:t>
            </w:r>
            <w:r>
              <w:rPr>
                <w:b/>
                <w:bCs/>
                <w:lang w:eastAsia="en-US"/>
              </w:rPr>
              <w:fldChar w:fldCharType="end"/>
            </w:r>
          </w:p>
          <w:p w14:paraId="13773C98" w14:textId="77777777" w:rsidR="00BC2D09" w:rsidRDefault="00BC2D09" w:rsidP="00A96474">
            <w:pPr>
              <w:pStyle w:val="NoSpacing"/>
              <w:rPr>
                <w:b/>
                <w:bCs/>
                <w:lang w:eastAsia="en-US"/>
              </w:rPr>
            </w:pPr>
          </w:p>
          <w:p w14:paraId="13773C99" w14:textId="77777777" w:rsidR="00F66A79" w:rsidRPr="00771CAC" w:rsidRDefault="00F66A79" w:rsidP="00A96474">
            <w:pPr>
              <w:pStyle w:val="NoSpacing"/>
              <w:rPr>
                <w:b/>
                <w:bCs/>
                <w:lang w:eastAsia="en-US"/>
              </w:rPr>
            </w:pPr>
          </w:p>
        </w:tc>
      </w:tr>
      <w:tr w:rsidR="00BC2D09" w:rsidRPr="00BC2D09" w14:paraId="13773C9D" w14:textId="77777777" w:rsidTr="00E92DDB">
        <w:trPr>
          <w:trHeight w:val="567"/>
        </w:trPr>
        <w:tc>
          <w:tcPr>
            <w:tcW w:w="1956" w:type="dxa"/>
          </w:tcPr>
          <w:p w14:paraId="13773C9B" w14:textId="77777777" w:rsidR="00BC2D09" w:rsidRPr="00BC2D09" w:rsidRDefault="00BC2D09" w:rsidP="00A96474">
            <w:pPr>
              <w:pStyle w:val="NoSpacing"/>
              <w:rPr>
                <w:lang w:eastAsia="en-US"/>
              </w:rPr>
            </w:pPr>
            <w:r w:rsidRPr="00BC2D09">
              <w:rPr>
                <w:lang w:eastAsia="en-US"/>
              </w:rPr>
              <w:t>Date</w:t>
            </w:r>
          </w:p>
        </w:tc>
        <w:tc>
          <w:tcPr>
            <w:tcW w:w="6833" w:type="dxa"/>
          </w:tcPr>
          <w:p w14:paraId="13773C9C" w14:textId="77777777" w:rsidR="00BC2D09" w:rsidRPr="00771CAC" w:rsidRDefault="009F0642"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3E4E12">
              <w:rPr>
                <w:b/>
                <w:bCs/>
                <w:lang w:eastAsia="en-US"/>
              </w:rPr>
              <w:t xml:space="preserve">  15 June 2012</w:t>
            </w:r>
            <w:r>
              <w:rPr>
                <w:b/>
                <w:bCs/>
                <w:lang w:eastAsia="en-US"/>
              </w:rPr>
              <w:fldChar w:fldCharType="end"/>
            </w:r>
          </w:p>
        </w:tc>
      </w:tr>
      <w:tr w:rsidR="00BC2D09" w:rsidRPr="00BC2D09" w14:paraId="13773CA0" w14:textId="77777777" w:rsidTr="00E92DDB">
        <w:trPr>
          <w:trHeight w:val="567"/>
        </w:trPr>
        <w:tc>
          <w:tcPr>
            <w:tcW w:w="1956" w:type="dxa"/>
          </w:tcPr>
          <w:p w14:paraId="13773C9E" w14:textId="77777777" w:rsidR="00BC2D09" w:rsidRPr="00BC2D09" w:rsidRDefault="00BC2D09" w:rsidP="00A96474">
            <w:pPr>
              <w:pStyle w:val="NoSpacing"/>
              <w:rPr>
                <w:lang w:eastAsia="en-US"/>
              </w:rPr>
            </w:pPr>
            <w:r w:rsidRPr="00BC2D09">
              <w:rPr>
                <w:lang w:eastAsia="en-US"/>
              </w:rPr>
              <w:t>Place</w:t>
            </w:r>
          </w:p>
        </w:tc>
        <w:tc>
          <w:tcPr>
            <w:tcW w:w="6833" w:type="dxa"/>
          </w:tcPr>
          <w:p w14:paraId="13773C9F" w14:textId="77777777" w:rsidR="00BC2D09" w:rsidRPr="00771CAC" w:rsidRDefault="000E7C8D" w:rsidP="00A96474">
            <w:pPr>
              <w:pStyle w:val="NoSpacing"/>
              <w:rPr>
                <w:b/>
                <w:bCs/>
                <w:lang w:eastAsia="en-US"/>
              </w:rPr>
            </w:pPr>
            <w:r>
              <w:rPr>
                <w:b/>
                <w:bCs/>
                <w:lang w:eastAsia="en-US"/>
              </w:rPr>
              <w:t>Canberra</w:t>
            </w:r>
          </w:p>
        </w:tc>
      </w:tr>
    </w:tbl>
    <w:sdt>
      <w:sdtPr>
        <w:rPr>
          <w:lang w:eastAsia="en-US"/>
        </w:rPr>
        <w:alias w:val="Decision Summary"/>
        <w:tag w:val="DecisionSummary"/>
        <w:id w:val="1959365562"/>
        <w:lock w:val="sdtLocked"/>
        <w:placeholder>
          <w:docPart w:val="EAF426F6F8454DA28A6DBF75283300EC"/>
        </w:placeholder>
      </w:sdtPr>
      <w:sdtEndPr/>
      <w:sdtContent>
        <w:p w14:paraId="13773CA1" w14:textId="77777777" w:rsidR="00BC2D09" w:rsidRPr="00BC2D09" w:rsidRDefault="008A3F27" w:rsidP="00BC2D09">
          <w:pPr>
            <w:rPr>
              <w:lang w:eastAsia="en-US"/>
            </w:rPr>
          </w:pPr>
          <w:r>
            <w:rPr>
              <w:lang w:eastAsia="en-US"/>
            </w:rPr>
            <w:t xml:space="preserve">The application for extension of time is granted under s29(7). </w:t>
          </w:r>
        </w:p>
      </w:sdtContent>
    </w:sdt>
    <w:p w14:paraId="13773CA2" w14:textId="56580D05" w:rsidR="00BC2D09" w:rsidRPr="00BC2D09" w:rsidRDefault="00BC2D09" w:rsidP="001E4799">
      <w:pPr>
        <w:keepNext/>
        <w:spacing w:before="960"/>
        <w:rPr>
          <w:lang w:eastAsia="en-US"/>
        </w:rPr>
      </w:pPr>
      <w:r w:rsidRPr="00BC2D09">
        <w:rPr>
          <w:lang w:eastAsia="en-US"/>
        </w:rPr>
        <w:t>.............................</w:t>
      </w:r>
      <w:r w:rsidR="00A647DA">
        <w:rPr>
          <w:lang w:eastAsia="en-US"/>
        </w:rPr>
        <w:t>[sgd]</w:t>
      </w:r>
      <w:r w:rsidRPr="00BC2D09">
        <w:rPr>
          <w:lang w:eastAsia="en-US"/>
        </w:rPr>
        <w:t>...........................................</w:t>
      </w:r>
    </w:p>
    <w:p w14:paraId="13773CA3" w14:textId="77777777"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3E4E12">
        <w:rPr>
          <w:b/>
          <w:lang w:eastAsia="en-US"/>
        </w:rPr>
        <w:t>PROFESSOR RM CREYKE, SENIOR MEMBER</w:t>
      </w:r>
      <w:r>
        <w:rPr>
          <w:b/>
          <w:lang w:eastAsia="en-US"/>
        </w:rPr>
        <w:fldChar w:fldCharType="end"/>
      </w:r>
    </w:p>
    <w:p w14:paraId="13773CA4" w14:textId="77777777" w:rsidR="00BC2D09" w:rsidRDefault="005632FA" w:rsidP="00760AB6">
      <w:r>
        <w:br w:type="page"/>
      </w:r>
    </w:p>
    <w:p w14:paraId="13773CA5" w14:textId="77777777" w:rsidR="00943964" w:rsidRDefault="00943964" w:rsidP="00B970E9">
      <w:pPr>
        <w:pStyle w:val="Heading1"/>
        <w:rPr>
          <w:lang w:eastAsia="en-US"/>
        </w:rPr>
      </w:pPr>
      <w:bookmarkStart w:id="2" w:name="CatchwordsTitle"/>
      <w:bookmarkEnd w:id="2"/>
      <w:r>
        <w:rPr>
          <w:lang w:eastAsia="en-US"/>
        </w:rPr>
        <w:lastRenderedPageBreak/>
        <w:t>Catchwords</w:t>
      </w:r>
    </w:p>
    <w:p w14:paraId="13773CA6" w14:textId="77777777" w:rsidR="004152C5" w:rsidRDefault="006C4359" w:rsidP="004A55A2">
      <w:pPr>
        <w:pStyle w:val="CatchWords"/>
        <w:rPr>
          <w:lang w:eastAsia="en-US"/>
        </w:rPr>
      </w:pPr>
      <w:sdt>
        <w:sdtPr>
          <w:rPr>
            <w:lang w:eastAsia="en-US"/>
          </w:rPr>
          <w:alias w:val="Catchwords"/>
          <w:tag w:val="Catchwords"/>
          <w:id w:val="-1722664393"/>
          <w:placeholder>
            <w:docPart w:val="1DF324D923F84261AB8FEEB9DAC2D526"/>
          </w:placeholder>
        </w:sdtPr>
        <w:sdtEndPr/>
        <w:sdtContent>
          <w:r w:rsidR="003E4E12">
            <w:rPr>
              <w:lang w:eastAsia="en-US"/>
            </w:rPr>
            <w:t>PRACTICE AND PROCEDURE – interlocutory hearing – application for extension of time – whether acceptable explanation of delay – whether applicant rested on rights - merits of the claim and public importance – whether external substantive review has occurred - extension of time granted</w:t>
          </w:r>
        </w:sdtContent>
      </w:sdt>
    </w:p>
    <w:p w14:paraId="13773CA7" w14:textId="77777777" w:rsidR="00CF5E0E" w:rsidRPr="00BC2D09" w:rsidRDefault="00CF5E0E" w:rsidP="00CF5E0E">
      <w:pPr>
        <w:pStyle w:val="NoSpacing"/>
        <w:rPr>
          <w:lang w:eastAsia="en-US"/>
        </w:rPr>
      </w:pPr>
    </w:p>
    <w:p w14:paraId="13773CA8" w14:textId="77777777" w:rsidR="00943964" w:rsidRDefault="00943964" w:rsidP="00B970E9">
      <w:pPr>
        <w:pStyle w:val="Heading1"/>
        <w:rPr>
          <w:lang w:eastAsia="en-US"/>
        </w:rPr>
      </w:pPr>
      <w:bookmarkStart w:id="3" w:name="LegislationTitle"/>
      <w:bookmarkEnd w:id="3"/>
      <w:r>
        <w:rPr>
          <w:lang w:eastAsia="en-US"/>
        </w:rPr>
        <w:t>Legislation</w:t>
      </w:r>
    </w:p>
    <w:sdt>
      <w:sdtPr>
        <w:rPr>
          <w:lang w:eastAsia="en-US"/>
        </w:rPr>
        <w:alias w:val="Legislation"/>
        <w:tag w:val="Legislation"/>
        <w:id w:val="-13298432"/>
        <w:placeholder>
          <w:docPart w:val="01C221FC75014C77AB8609C5D8C3F80D"/>
        </w:placeholder>
      </w:sdtPr>
      <w:sdtEndPr/>
      <w:sdtContent>
        <w:p w14:paraId="13773CA9" w14:textId="77777777" w:rsidR="003E4E12" w:rsidRDefault="003E4E12" w:rsidP="00E616B9">
          <w:pPr>
            <w:pStyle w:val="CatchWords"/>
            <w:rPr>
              <w:lang w:eastAsia="en-US"/>
            </w:rPr>
          </w:pPr>
          <w:r>
            <w:rPr>
              <w:lang w:eastAsia="en-US"/>
            </w:rPr>
            <w:t xml:space="preserve">Administrative Appeals Tribunal Act 1975 (Cth) ss 29(7)-(10). </w:t>
          </w:r>
        </w:p>
        <w:p w14:paraId="13773CAA" w14:textId="77777777" w:rsidR="003E4E12" w:rsidRDefault="003E4E12" w:rsidP="00E616B9">
          <w:pPr>
            <w:pStyle w:val="CatchWords"/>
            <w:rPr>
              <w:lang w:eastAsia="en-US"/>
            </w:rPr>
          </w:pPr>
          <w:r>
            <w:rPr>
              <w:lang w:eastAsia="en-US"/>
            </w:rPr>
            <w:t>Safety, Rehabilitation and Compensation Act 1988 (Cth) ss 5A, 5B, 14.</w:t>
          </w:r>
        </w:p>
        <w:p w14:paraId="13773CAB" w14:textId="77777777" w:rsidR="004152C5" w:rsidRDefault="006C4359" w:rsidP="00E616B9">
          <w:pPr>
            <w:pStyle w:val="CatchWords"/>
            <w:rPr>
              <w:lang w:eastAsia="en-US"/>
            </w:rPr>
          </w:pPr>
        </w:p>
      </w:sdtContent>
    </w:sdt>
    <w:p w14:paraId="13773CAC" w14:textId="77777777" w:rsidR="00E616B9" w:rsidRPr="00BC2D09" w:rsidRDefault="00E616B9" w:rsidP="00E7349B">
      <w:pPr>
        <w:pStyle w:val="NoSpacing"/>
        <w:rPr>
          <w:lang w:eastAsia="en-US"/>
        </w:rPr>
      </w:pPr>
    </w:p>
    <w:p w14:paraId="13773CAD" w14:textId="77777777" w:rsidR="00943964" w:rsidRDefault="00943964" w:rsidP="00B970E9">
      <w:pPr>
        <w:pStyle w:val="Heading1"/>
        <w:rPr>
          <w:lang w:eastAsia="en-US"/>
        </w:rPr>
      </w:pPr>
      <w:bookmarkStart w:id="4" w:name="CasesTitle"/>
      <w:bookmarkEnd w:id="4"/>
      <w:r>
        <w:rPr>
          <w:lang w:eastAsia="en-US"/>
        </w:rPr>
        <w:t>Cases</w:t>
      </w:r>
    </w:p>
    <w:sdt>
      <w:sdtPr>
        <w:rPr>
          <w:lang w:eastAsia="en-US"/>
        </w:rPr>
        <w:alias w:val="Cases"/>
        <w:tag w:val="Cases"/>
        <w:id w:val="-26403871"/>
        <w:placeholder>
          <w:docPart w:val="6F6FD01B42914DFDBA92D1DF289FDA7B"/>
        </w:placeholder>
      </w:sdtPr>
      <w:sdtEndPr/>
      <w:sdtContent>
        <w:p w14:paraId="13773CAE" w14:textId="77777777" w:rsidR="003E4E12" w:rsidRDefault="003E4E12" w:rsidP="005F2E99">
          <w:pPr>
            <w:pStyle w:val="CatchWords"/>
            <w:rPr>
              <w:lang w:eastAsia="en-US"/>
            </w:rPr>
          </w:pPr>
          <w:r>
            <w:rPr>
              <w:lang w:eastAsia="en-US"/>
            </w:rPr>
            <w:t>Comcare v A’Hearn (1993) 119 ALR 85</w:t>
          </w:r>
        </w:p>
        <w:p w14:paraId="13773CAF" w14:textId="77777777" w:rsidR="003E4E12" w:rsidRDefault="003E4E12" w:rsidP="005F2E99">
          <w:pPr>
            <w:pStyle w:val="CatchWords"/>
            <w:rPr>
              <w:lang w:eastAsia="en-US"/>
            </w:rPr>
          </w:pPr>
          <w:r>
            <w:rPr>
              <w:lang w:eastAsia="en-US"/>
            </w:rPr>
            <w:t xml:space="preserve">Duong v Australian Postal Corporation (2005) 41 AAR 288 </w:t>
          </w:r>
        </w:p>
        <w:p w14:paraId="13773CB0" w14:textId="77777777" w:rsidR="004152C5" w:rsidRDefault="003E4E12" w:rsidP="005F2E99">
          <w:pPr>
            <w:pStyle w:val="CatchWords"/>
            <w:rPr>
              <w:lang w:eastAsia="en-US"/>
            </w:rPr>
          </w:pPr>
          <w:r>
            <w:rPr>
              <w:lang w:eastAsia="en-US"/>
            </w:rPr>
            <w:t>Hunter Valley Developments Pty Ltd v Cohen (1984) 7 ALD 315</w:t>
          </w:r>
        </w:p>
      </w:sdtContent>
    </w:sdt>
    <w:p w14:paraId="13773CB1" w14:textId="77777777" w:rsidR="005F2E99" w:rsidRDefault="005F2E99" w:rsidP="009E2C76">
      <w:bookmarkStart w:id="5" w:name="SecondaryMaterialsTitle"/>
      <w:bookmarkEnd w:id="5"/>
    </w:p>
    <w:p w14:paraId="13773CB2" w14:textId="77777777" w:rsidR="009E2C76" w:rsidRDefault="009E2C76" w:rsidP="00CA099E">
      <w:pPr>
        <w:pStyle w:val="Heading1"/>
        <w:rPr>
          <w:lang w:eastAsia="en-US"/>
        </w:rPr>
      </w:pPr>
      <w:r w:rsidRPr="009E2C76">
        <w:rPr>
          <w:lang w:eastAsia="en-US"/>
        </w:rPr>
        <w:t xml:space="preserve">REASONS FOR </w:t>
      </w:r>
      <w:r w:rsidR="000E7C8D">
        <w:rPr>
          <w:lang w:eastAsia="en-US"/>
        </w:rPr>
        <w:t xml:space="preserve">interlocutory </w:t>
      </w:r>
      <w:r w:rsidRPr="009E2C76">
        <w:rPr>
          <w:lang w:eastAsia="en-US"/>
        </w:rPr>
        <w:t>DECISION</w:t>
      </w:r>
    </w:p>
    <w:p w14:paraId="13773CB3" w14:textId="77777777" w:rsidR="00CA099E" w:rsidRDefault="00CA099E" w:rsidP="00D750F5">
      <w:pPr>
        <w:pStyle w:val="NoSpacing"/>
        <w:rPr>
          <w:lang w:eastAsia="en-US"/>
        </w:rPr>
      </w:pPr>
    </w:p>
    <w:p w14:paraId="13773CB4" w14:textId="77777777"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3E4E12">
        <w:rPr>
          <w:b/>
          <w:lang w:eastAsia="en-US"/>
        </w:rPr>
        <w:t>PROFESSOR RM CREYKE, SENIOR MEMBER</w:t>
      </w:r>
      <w:r>
        <w:rPr>
          <w:b/>
          <w:lang w:eastAsia="en-US"/>
        </w:rPr>
        <w:fldChar w:fldCharType="end"/>
      </w:r>
    </w:p>
    <w:p w14:paraId="13773CB5" w14:textId="77777777" w:rsidR="00A74195" w:rsidRPr="00CA099E" w:rsidRDefault="00A74195" w:rsidP="00D750F5">
      <w:pPr>
        <w:pStyle w:val="NoSpacing"/>
        <w:rPr>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r w:rsidR="006D3300" w:rsidRPr="00D50614">
        <w:rPr>
          <w:b/>
          <w:lang w:eastAsia="en-US"/>
        </w:rPr>
        <w:fldChar w:fldCharType="begin"/>
      </w:r>
      <w:r w:rsidR="006D3300" w:rsidRPr="00D50614">
        <w:rPr>
          <w:b/>
          <w:lang w:eastAsia="en-US"/>
        </w:rPr>
        <w:instrText xml:space="preserve"> DOCPROPERTY  ReasonsforDecisionDate </w:instrText>
      </w:r>
      <w:r w:rsidR="00943964">
        <w:rPr>
          <w:b/>
          <w:lang w:eastAsia="en-US"/>
        </w:rPr>
        <w:instrText xml:space="preserve"> </w:instrText>
      </w:r>
      <w:r w:rsidR="006D3300" w:rsidRPr="00D50614">
        <w:rPr>
          <w:b/>
          <w:lang w:eastAsia="en-US"/>
        </w:rPr>
        <w:fldChar w:fldCharType="end"/>
      </w:r>
    </w:p>
    <w:p w14:paraId="13773CB6" w14:textId="77777777" w:rsidR="000176A5" w:rsidRDefault="000E7C8D" w:rsidP="00CB0546">
      <w:pPr>
        <w:pStyle w:val="ListNumber"/>
        <w:numPr>
          <w:ilvl w:val="0"/>
          <w:numId w:val="6"/>
        </w:numPr>
      </w:pPr>
      <w:bookmarkStart w:id="6" w:name="Start"/>
      <w:bookmarkEnd w:id="6"/>
      <w:r>
        <w:t>Mr Indra Thappa applied on 25 April 2012 for an extension of time to lodge an application to the Tribunal for review of a decision by AusAID. The decision</w:t>
      </w:r>
      <w:r w:rsidR="00B11806">
        <w:t xml:space="preserve">s </w:t>
      </w:r>
      <w:r w:rsidR="00E6740A">
        <w:t xml:space="preserve">to be reviewed </w:t>
      </w:r>
      <w:r w:rsidR="00B11806">
        <w:t>were</w:t>
      </w:r>
      <w:r>
        <w:t xml:space="preserve"> made</w:t>
      </w:r>
      <w:r w:rsidR="00B11806">
        <w:t xml:space="preserve"> in the period 9 to 20 February 2010</w:t>
      </w:r>
      <w:r w:rsidR="00C116A3">
        <w:t>.</w:t>
      </w:r>
      <w:r>
        <w:t xml:space="preserve"> </w:t>
      </w:r>
    </w:p>
    <w:p w14:paraId="13773CB7" w14:textId="77777777" w:rsidR="000E7C8D" w:rsidRDefault="000E7C8D" w:rsidP="00CB0546">
      <w:pPr>
        <w:pStyle w:val="ListNumber"/>
        <w:numPr>
          <w:ilvl w:val="0"/>
          <w:numId w:val="6"/>
        </w:numPr>
      </w:pPr>
      <w:r>
        <w:t>The application was resisted by Comcare on one ground only, namely, that the merits of the matter had been thoroughly canvassed by AusAID in a report prepared by an independent investigator, WISE Workplace Investigations, which had issued a report in September 2010.  Comcare submitted that the report was lengthy, was comprehensive and covered all the issues which could be raised before the Tribunal, namely, whether the action undertaken by AusAID was ‘</w:t>
      </w:r>
      <w:r w:rsidRPr="00C116A3">
        <w:rPr>
          <w:i/>
        </w:rPr>
        <w:t>reasonable administrative action’</w:t>
      </w:r>
      <w:r>
        <w:t xml:space="preserve"> and hence prevented any liability arising for any injury claimed by Mr Thappa.</w:t>
      </w:r>
      <w:r>
        <w:rPr>
          <w:rStyle w:val="FootnoteReference"/>
        </w:rPr>
        <w:footnoteReference w:id="1"/>
      </w:r>
    </w:p>
    <w:p w14:paraId="13773CB8" w14:textId="77777777" w:rsidR="000E7C8D" w:rsidRPr="00B11806" w:rsidRDefault="00B11806" w:rsidP="00943964">
      <w:pPr>
        <w:pStyle w:val="Heading1"/>
      </w:pPr>
      <w:r w:rsidRPr="00B11806">
        <w:t>Background</w:t>
      </w:r>
    </w:p>
    <w:p w14:paraId="13773CB9" w14:textId="77777777" w:rsidR="00B11806" w:rsidRDefault="00B11806" w:rsidP="00CB0546">
      <w:pPr>
        <w:pStyle w:val="ListNumber"/>
        <w:numPr>
          <w:ilvl w:val="0"/>
          <w:numId w:val="6"/>
        </w:numPr>
      </w:pPr>
      <w:r>
        <w:t xml:space="preserve">Mr Thappa first sought review of the results of the initial decisions on 22 </w:t>
      </w:r>
      <w:r w:rsidR="000C0F19">
        <w:t xml:space="preserve">April 2010 (AAT Application No </w:t>
      </w:r>
      <w:r>
        <w:t xml:space="preserve">2010/1638). </w:t>
      </w:r>
    </w:p>
    <w:p w14:paraId="13773CBA" w14:textId="77777777" w:rsidR="00B11806" w:rsidRDefault="00B11806" w:rsidP="00CB0546">
      <w:pPr>
        <w:pStyle w:val="ListNumber"/>
        <w:numPr>
          <w:ilvl w:val="0"/>
          <w:numId w:val="6"/>
        </w:numPr>
      </w:pPr>
      <w:r>
        <w:t>A stay of these proceedings was requested by Mr Thappa’s legal representative on 12 November 2010 pending the outcome of a s</w:t>
      </w:r>
      <w:r w:rsidR="00C116A3">
        <w:t xml:space="preserve">econdary review Mr Thappa was </w:t>
      </w:r>
      <w:r>
        <w:t>seeking through the Merit</w:t>
      </w:r>
      <w:r w:rsidR="00C116A3">
        <w:t xml:space="preserve"> Protection Review Commission. On 12 November 2010 t</w:t>
      </w:r>
      <w:r>
        <w:t>he Tribunal rejected t</w:t>
      </w:r>
      <w:r w:rsidR="00C116A3">
        <w:t xml:space="preserve">hat application for a stay </w:t>
      </w:r>
      <w:r>
        <w:t>on the ground that it was not known how long the secondary review would take.</w:t>
      </w:r>
    </w:p>
    <w:p w14:paraId="13773CBB" w14:textId="77777777" w:rsidR="00B11806" w:rsidRDefault="00B11806" w:rsidP="00CB0546">
      <w:pPr>
        <w:pStyle w:val="ListNumber"/>
        <w:numPr>
          <w:ilvl w:val="0"/>
          <w:numId w:val="6"/>
        </w:numPr>
      </w:pPr>
      <w:r>
        <w:t>Subs</w:t>
      </w:r>
      <w:r w:rsidR="00C116A3">
        <w:t>equently Mr Thappa’s applied</w:t>
      </w:r>
      <w:r>
        <w:t xml:space="preserve"> to the Merit Protection Review Commission on 9 January 2011.  Mr Thappa wa</w:t>
      </w:r>
      <w:r w:rsidR="001D63AD">
        <w:t>s notified on 30 September 2011</w:t>
      </w:r>
      <w:r>
        <w:t xml:space="preserve"> that the Commission would not review his application as it was submitted out of time, a decision affirmed by the Commission on 28 October 2011. A further review by the Merit Protection Review Commissioner was unsuccessful and the case was closed on 4 January 2012.</w:t>
      </w:r>
    </w:p>
    <w:p w14:paraId="13773CBC" w14:textId="77777777" w:rsidR="00B11806" w:rsidRDefault="00B11806" w:rsidP="00CB0546">
      <w:pPr>
        <w:pStyle w:val="ListNumber"/>
        <w:numPr>
          <w:ilvl w:val="0"/>
          <w:numId w:val="6"/>
        </w:numPr>
      </w:pPr>
      <w:r>
        <w:t>On 10 January 2012, Mr Thappa appealed to the Commonwealth Ombudsman for a</w:t>
      </w:r>
      <w:r w:rsidR="000C0F19">
        <w:t xml:space="preserve"> review of the decision </w:t>
      </w:r>
      <w:r w:rsidR="00C116A3">
        <w:t xml:space="preserve">by the Merit Protection Review Commissioner </w:t>
      </w:r>
      <w:r w:rsidR="000C0F19">
        <w:t>to close his application.  On 2 March 2012, Mr Thappa was advised that the Ombudsman would not investigate the matter.</w:t>
      </w:r>
    </w:p>
    <w:p w14:paraId="13773CBD" w14:textId="77777777" w:rsidR="000C0F19" w:rsidRDefault="000C0F19" w:rsidP="00CB0546">
      <w:pPr>
        <w:pStyle w:val="ListNumber"/>
        <w:numPr>
          <w:ilvl w:val="0"/>
          <w:numId w:val="6"/>
        </w:numPr>
      </w:pPr>
      <w:r>
        <w:t xml:space="preserve">During March 2012, Mr Thappa contacted the Fair Work Ombudsman to explore whether the matter could be reviewed by that body.  On 17 April 2012, Mr Thappa was advised that the matter was outside its jurisdiction. </w:t>
      </w:r>
    </w:p>
    <w:p w14:paraId="13773CBE" w14:textId="77777777" w:rsidR="000C0F19" w:rsidRDefault="000C0F19" w:rsidP="00CB0546">
      <w:pPr>
        <w:pStyle w:val="ListNumber"/>
        <w:numPr>
          <w:ilvl w:val="0"/>
          <w:numId w:val="6"/>
        </w:numPr>
      </w:pPr>
      <w:r>
        <w:t xml:space="preserve">Mr Thappa then approached the Tribunal </w:t>
      </w:r>
      <w:r w:rsidR="00C116A3">
        <w:t xml:space="preserve">on 25 April 2012 </w:t>
      </w:r>
      <w:r>
        <w:t>for an extension of time to pursue his claim through the Tribunal. An interlocutory hearing on the matter was held on 6 June 2012.</w:t>
      </w:r>
    </w:p>
    <w:p w14:paraId="13773CBF" w14:textId="77777777" w:rsidR="000C0F19" w:rsidRPr="000C0F19" w:rsidRDefault="000C0F19" w:rsidP="00943964">
      <w:pPr>
        <w:pStyle w:val="Heading1"/>
      </w:pPr>
      <w:r w:rsidRPr="000C0F19">
        <w:t>Consideration</w:t>
      </w:r>
    </w:p>
    <w:p w14:paraId="13773CC0" w14:textId="77777777" w:rsidR="000C0F19" w:rsidRDefault="001D63AD" w:rsidP="00CB0546">
      <w:pPr>
        <w:pStyle w:val="ListNumber"/>
        <w:numPr>
          <w:ilvl w:val="0"/>
          <w:numId w:val="6"/>
        </w:numPr>
      </w:pPr>
      <w:r>
        <w:t>The application to the Tribunal has been made over two years after the initial decision and 20 months after the results of the internal investigation conducted by AusAID.  It is out of time.</w:t>
      </w:r>
    </w:p>
    <w:p w14:paraId="13773CC1" w14:textId="77777777" w:rsidR="00336A2A" w:rsidRPr="00336A2A" w:rsidRDefault="001D63AD" w:rsidP="00CB0546">
      <w:pPr>
        <w:pStyle w:val="ListNumber"/>
        <w:numPr>
          <w:ilvl w:val="0"/>
          <w:numId w:val="6"/>
        </w:numPr>
      </w:pPr>
      <w:r>
        <w:t xml:space="preserve">However, the Tribunal has </w:t>
      </w:r>
      <w:r w:rsidR="00220C22">
        <w:t xml:space="preserve">the </w:t>
      </w:r>
      <w:r>
        <w:t>discretion to grant an extension of time.</w:t>
      </w:r>
      <w:r w:rsidR="00B63AC5">
        <w:rPr>
          <w:rStyle w:val="FootnoteReference"/>
        </w:rPr>
        <w:footnoteReference w:id="2"/>
      </w:r>
      <w:r>
        <w:t xml:space="preserve">  The principles which </w:t>
      </w:r>
      <w:r w:rsidR="00336A2A">
        <w:t xml:space="preserve">have been commonly used to </w:t>
      </w:r>
      <w:r>
        <w:t xml:space="preserve">guide the Tribunal in exercising its discretion </w:t>
      </w:r>
      <w:r w:rsidR="00B63AC5">
        <w:t>are</w:t>
      </w:r>
      <w:r w:rsidR="00336A2A">
        <w:t xml:space="preserve"> </w:t>
      </w:r>
      <w:r>
        <w:t xml:space="preserve">encapsulated in </w:t>
      </w:r>
      <w:r w:rsidR="00700F99">
        <w:t>certain</w:t>
      </w:r>
      <w:r w:rsidR="00B63AC5">
        <w:t xml:space="preserve"> cases</w:t>
      </w:r>
      <w:r w:rsidR="00336A2A">
        <w:rPr>
          <w:i/>
          <w:sz w:val="22"/>
        </w:rPr>
        <w:t>.</w:t>
      </w:r>
      <w:r w:rsidR="00336A2A" w:rsidRPr="00700F99">
        <w:rPr>
          <w:rStyle w:val="FootnoteReference"/>
          <w:sz w:val="22"/>
        </w:rPr>
        <w:footnoteReference w:id="3"/>
      </w:r>
      <w:r w:rsidR="00336A2A">
        <w:rPr>
          <w:i/>
          <w:sz w:val="22"/>
        </w:rPr>
        <w:t xml:space="preserve"> </w:t>
      </w:r>
    </w:p>
    <w:p w14:paraId="13773CC2" w14:textId="64561DF3" w:rsidR="00B63AC5" w:rsidRPr="005B2F33" w:rsidRDefault="00B63AC5" w:rsidP="00CB0546">
      <w:pPr>
        <w:pStyle w:val="ListNumber"/>
        <w:numPr>
          <w:ilvl w:val="0"/>
          <w:numId w:val="6"/>
        </w:numPr>
      </w:pPr>
      <w:r w:rsidRPr="005B2F33">
        <w:t>A key public interest factor for the Tribunal in exercising its discretion to extend time is the desirability of achieving finality of decision-making.</w:t>
      </w:r>
      <w:r w:rsidR="00C75136">
        <w:rPr>
          <w:rStyle w:val="FootnoteReference"/>
        </w:rPr>
        <w:footnoteReference w:id="4"/>
      </w:r>
      <w:r w:rsidRPr="005B2F33">
        <w:t xml:space="preserve"> At the same time, the Tribunal does not take an unduly strict approach to the limitation periods if a just outcome requires otherwise</w:t>
      </w:r>
      <w:r w:rsidR="00C75136">
        <w:t>.</w:t>
      </w:r>
      <w:r w:rsidR="00C75136">
        <w:rPr>
          <w:rStyle w:val="FootnoteReference"/>
        </w:rPr>
        <w:footnoteReference w:id="5"/>
      </w:r>
    </w:p>
    <w:p w14:paraId="13773CC3" w14:textId="77777777" w:rsidR="001D63AD" w:rsidRDefault="00336A2A" w:rsidP="00CB0546">
      <w:pPr>
        <w:pStyle w:val="ListNumber"/>
        <w:numPr>
          <w:ilvl w:val="0"/>
          <w:numId w:val="6"/>
        </w:numPr>
      </w:pPr>
      <w:r>
        <w:t>The Tribunal notes that although the delay in this case is extensive, Mr Thappa did attempt to appeal to the Tribunal in 2010</w:t>
      </w:r>
      <w:r w:rsidR="008A3F27">
        <w:t xml:space="preserve"> - </w:t>
      </w:r>
      <w:r>
        <w:t>an application which was not out of time</w:t>
      </w:r>
      <w:r w:rsidR="008A3F27">
        <w:t>. He has also</w:t>
      </w:r>
      <w:r>
        <w:t xml:space="preserve"> been pursuing his claim through alternative and appropriate avenues, namely, the Merit Protection Review Commission, the Commonwealth Ombudsman and the Fair Work Ombudsman in the interim.  In other words</w:t>
      </w:r>
      <w:r w:rsidR="008A3F27">
        <w:t>,</w:t>
      </w:r>
      <w:r>
        <w:t xml:space="preserve"> he has not rested on his rights.</w:t>
      </w:r>
    </w:p>
    <w:p w14:paraId="13773CC4" w14:textId="77777777" w:rsidR="00C116A3" w:rsidRDefault="00B63AC5" w:rsidP="00CB0546">
      <w:pPr>
        <w:pStyle w:val="ListNumber"/>
        <w:numPr>
          <w:ilvl w:val="0"/>
          <w:numId w:val="6"/>
        </w:numPr>
      </w:pPr>
      <w:r>
        <w:t xml:space="preserve">In relation to the merits of the application, the sole ground on which Comcare disputed the application for an extension of time, the Tribunal notes that although </w:t>
      </w:r>
      <w:r w:rsidR="00700F99">
        <w:t xml:space="preserve">the </w:t>
      </w:r>
      <w:r>
        <w:t>internal i</w:t>
      </w:r>
      <w:r w:rsidR="00C116A3">
        <w:t>nvestigation prima facie appears to be comprehensive</w:t>
      </w:r>
      <w:r>
        <w:t xml:space="preserve">, </w:t>
      </w:r>
      <w:r w:rsidR="00700F99">
        <w:t xml:space="preserve">it was an investigation on behalf of AusAID, </w:t>
      </w:r>
      <w:r>
        <w:t xml:space="preserve">there are aspects of the report which are disputed by Mr Thappa, </w:t>
      </w:r>
      <w:r w:rsidR="00700F99">
        <w:t xml:space="preserve">and </w:t>
      </w:r>
      <w:r>
        <w:t xml:space="preserve">these substantive issues were not considered by the Merit Protection Review Commissioner, the Commonwealth Ombudsman, nor by the Fair Work Ombudsman.  </w:t>
      </w:r>
    </w:p>
    <w:p w14:paraId="13773CC5" w14:textId="77777777" w:rsidR="00336A2A" w:rsidRDefault="00C116A3" w:rsidP="00CB0546">
      <w:pPr>
        <w:pStyle w:val="ListNumber"/>
        <w:numPr>
          <w:ilvl w:val="0"/>
          <w:numId w:val="6"/>
        </w:numPr>
      </w:pPr>
      <w:r>
        <w:t xml:space="preserve">In particular </w:t>
      </w:r>
      <w:r w:rsidR="00700F99">
        <w:t>Mr Thappa claims that ‘</w:t>
      </w:r>
      <w:r w:rsidR="00700F99" w:rsidRPr="00700F99">
        <w:rPr>
          <w:i/>
        </w:rPr>
        <w:t>the primary review failed to meet standards of evidentiary and investigative neutrality’</w:t>
      </w:r>
      <w:r w:rsidR="00700F99">
        <w:t xml:space="preserve">. </w:t>
      </w:r>
      <w:r w:rsidR="00B63AC5">
        <w:t>I</w:t>
      </w:r>
      <w:r w:rsidR="00700F99">
        <w:t>n other words, Mr Thappa’s issues in relation to the substantive application have not been aired before an independent body, external to and with no relationship to</w:t>
      </w:r>
      <w:r w:rsidR="00B970E9">
        <w:t>,</w:t>
      </w:r>
      <w:r w:rsidR="00700F99">
        <w:t xml:space="preserve"> the agency.</w:t>
      </w:r>
    </w:p>
    <w:p w14:paraId="13773CC6" w14:textId="77777777" w:rsidR="003E4E12" w:rsidRDefault="00700F99" w:rsidP="00CB0546">
      <w:pPr>
        <w:pStyle w:val="ListNumber"/>
        <w:numPr>
          <w:ilvl w:val="0"/>
          <w:numId w:val="6"/>
        </w:numPr>
      </w:pPr>
      <w:r>
        <w:t>In those circumstances,</w:t>
      </w:r>
      <w:r w:rsidR="00B970E9">
        <w:t xml:space="preserve"> as a matter of fairness,</w:t>
      </w:r>
      <w:r>
        <w:t xml:space="preserve"> the Tribunal is prepared to grant Mr Thappa an extension of time to lodge his application with the Tribunal.</w:t>
      </w:r>
    </w:p>
    <w:p w14:paraId="13773CC7" w14:textId="77777777" w:rsidR="003E4E12" w:rsidRDefault="003E4E12" w:rsidP="00B970E9">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8A3F27" w14:paraId="13773CCA" w14:textId="77777777" w:rsidTr="00591EF1">
        <w:tc>
          <w:tcPr>
            <w:tcW w:w="3651" w:type="dxa"/>
          </w:tcPr>
          <w:p w14:paraId="13773CC8" w14:textId="77777777" w:rsidR="008A3F27" w:rsidRDefault="008A3F27" w:rsidP="00483D56">
            <w:pPr>
              <w:pStyle w:val="NoSpacing"/>
            </w:pPr>
          </w:p>
          <w:p w14:paraId="13773CC9" w14:textId="77777777" w:rsidR="008A3F27" w:rsidRDefault="008A3F27" w:rsidP="008A3F27">
            <w:pPr>
              <w:pStyle w:val="NoSpacing"/>
            </w:pPr>
            <w:r>
              <w:t xml:space="preserve">I </w:t>
            </w:r>
            <w:bookmarkStart w:id="7" w:name="StartStamp"/>
            <w:bookmarkEnd w:id="7"/>
            <w:r>
              <w:t xml:space="preserve">certify that the </w:t>
            </w:r>
            <w:r w:rsidRPr="000A3D70">
              <w:t>preceding</w:t>
            </w:r>
            <w:r>
              <w:t xml:space="preserve"> </w:t>
            </w:r>
            <w:bookmarkStart w:id="8" w:name="NumParas"/>
            <w:bookmarkEnd w:id="8"/>
            <w:r>
              <w:t xml:space="preserve">15 (fifteen) </w:t>
            </w:r>
            <w:r w:rsidRPr="000A3D70">
              <w:t>paragraphs are a true copy of the reasons for the decision herein of</w:t>
            </w:r>
            <w:r>
              <w:t xml:space="preserve"> </w:t>
            </w:r>
          </w:p>
        </w:tc>
      </w:tr>
    </w:tbl>
    <w:p w14:paraId="13773CCB" w14:textId="77777777" w:rsidR="008A3F27" w:rsidRPr="00BC2D09" w:rsidRDefault="006E38D4" w:rsidP="004365B2">
      <w:pPr>
        <w:keepNext/>
        <w:spacing w:before="960"/>
        <w:rPr>
          <w:lang w:eastAsia="en-US"/>
        </w:rPr>
      </w:pPr>
      <w:r>
        <w:rPr>
          <w:noProof/>
        </w:rPr>
        <w:drawing>
          <wp:anchor distT="0" distB="0" distL="114300" distR="114300" simplePos="0" relativeHeight="251661312" behindDoc="1" locked="0" layoutInCell="1" allowOverlap="1" wp14:anchorId="13773CE1" wp14:editId="13773CE2">
            <wp:simplePos x="0" y="0"/>
            <wp:positionH relativeFrom="column">
              <wp:posOffset>660400</wp:posOffset>
            </wp:positionH>
            <wp:positionV relativeFrom="paragraph">
              <wp:posOffset>45720</wp:posOffset>
            </wp:positionV>
            <wp:extent cx="1367790" cy="1353185"/>
            <wp:effectExtent l="0" t="0" r="381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790" cy="13531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3773CE3" wp14:editId="13773CE4">
            <wp:simplePos x="0" y="0"/>
            <wp:positionH relativeFrom="column">
              <wp:posOffset>127000</wp:posOffset>
            </wp:positionH>
            <wp:positionV relativeFrom="paragraph">
              <wp:posOffset>6350000</wp:posOffset>
            </wp:positionV>
            <wp:extent cx="5472430" cy="135355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72430" cy="1353555"/>
                    </a:xfrm>
                    <a:prstGeom prst="rect">
                      <a:avLst/>
                    </a:prstGeom>
                  </pic:spPr>
                </pic:pic>
              </a:graphicData>
            </a:graphic>
            <wp14:sizeRelH relativeFrom="margin">
              <wp14:pctWidth>0</wp14:pctWidth>
            </wp14:sizeRelH>
            <wp14:sizeRelV relativeFrom="margin">
              <wp14:pctHeight>0</wp14:pctHeight>
            </wp14:sizeRelV>
          </wp:anchor>
        </w:drawing>
      </w:r>
      <w:r w:rsidR="008A3F27" w:rsidRPr="00BC2D09">
        <w:rPr>
          <w:lang w:eastAsia="en-US"/>
        </w:rPr>
        <w:t>............................</w:t>
      </w:r>
      <w:r>
        <w:rPr>
          <w:lang w:eastAsia="en-US"/>
        </w:rPr>
        <w:t>[sgd]</w:t>
      </w:r>
      <w:r w:rsidR="008A3F27" w:rsidRPr="00BC2D09">
        <w:rPr>
          <w:lang w:eastAsia="en-US"/>
        </w:rPr>
        <w:t>............................................</w:t>
      </w:r>
    </w:p>
    <w:p w14:paraId="13773CCC" w14:textId="77777777" w:rsidR="008A3F27" w:rsidRPr="00D8769A" w:rsidRDefault="00E23F65" w:rsidP="00814E7C">
      <w:pPr>
        <w:pStyle w:val="NoSpacing"/>
      </w:pPr>
      <w:fldSimple w:instr=" DOCPROPERTY  SigneeDesignation ">
        <w:r w:rsidR="003E4E12">
          <w:t>Associate</w:t>
        </w:r>
      </w:fldSimple>
    </w:p>
    <w:p w14:paraId="13773CCD" w14:textId="77777777" w:rsidR="008A3F27" w:rsidRDefault="008A3F27" w:rsidP="004365B2">
      <w:r>
        <w:t>Dated 15 June 2012</w:t>
      </w:r>
      <w:r>
        <w:fldChar w:fldCharType="begin"/>
      </w:r>
      <w:r>
        <w:instrText xml:space="preserve"> DOCPROPERTY  StampDate </w:instrText>
      </w:r>
      <w:r w:rsidR="003E4E12">
        <w:instrText xml:space="preserve"> </w:instrText>
      </w:r>
      <w:r>
        <w:fldChar w:fldCharType="end"/>
      </w:r>
    </w:p>
    <w:p w14:paraId="13773CCE" w14:textId="77777777" w:rsidR="008A3F27" w:rsidRDefault="008A3F27" w:rsidP="004365B2"/>
    <w:tbl>
      <w:tblPr>
        <w:tblW w:w="0" w:type="auto"/>
        <w:tblLayout w:type="fixed"/>
        <w:tblLook w:val="00A0" w:firstRow="1" w:lastRow="0" w:firstColumn="1" w:lastColumn="0" w:noHBand="0" w:noVBand="0"/>
      </w:tblPr>
      <w:tblGrid>
        <w:gridCol w:w="3510"/>
        <w:gridCol w:w="5279"/>
      </w:tblGrid>
      <w:tr w:rsidR="008A3F27" w:rsidRPr="00BC2D09" w14:paraId="13773CD1" w14:textId="77777777" w:rsidTr="004365B2">
        <w:trPr>
          <w:trHeight w:val="567"/>
        </w:trPr>
        <w:tc>
          <w:tcPr>
            <w:tcW w:w="3510" w:type="dxa"/>
          </w:tcPr>
          <w:p w14:paraId="13773CCF" w14:textId="77777777" w:rsidR="008A3F27" w:rsidRPr="00BC2D09" w:rsidRDefault="008A3F27" w:rsidP="004365B2">
            <w:pPr>
              <w:pStyle w:val="NoSpacing"/>
              <w:rPr>
                <w:lang w:eastAsia="en-US"/>
              </w:rPr>
            </w:pPr>
            <w:r>
              <w:rPr>
                <w:lang w:eastAsia="en-US"/>
              </w:rPr>
              <w:t>Date of hearing</w:t>
            </w:r>
          </w:p>
        </w:tc>
        <w:tc>
          <w:tcPr>
            <w:tcW w:w="5279" w:type="dxa"/>
          </w:tcPr>
          <w:p w14:paraId="13773CD0" w14:textId="77777777" w:rsidR="008A3F27" w:rsidRPr="00771CAC" w:rsidRDefault="008A3F27"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3E4E12">
              <w:rPr>
                <w:b/>
                <w:bCs/>
                <w:lang w:eastAsia="en-US"/>
              </w:rPr>
              <w:t>6 June 2012</w:t>
            </w:r>
            <w:r>
              <w:rPr>
                <w:b/>
                <w:bCs/>
                <w:lang w:eastAsia="en-US"/>
              </w:rPr>
              <w:fldChar w:fldCharType="end"/>
            </w:r>
          </w:p>
        </w:tc>
      </w:tr>
      <w:tr w:rsidR="008A3F27" w:rsidRPr="00BC2D09" w14:paraId="13773CD4" w14:textId="77777777" w:rsidTr="004365B2">
        <w:trPr>
          <w:trHeight w:val="567"/>
        </w:trPr>
        <w:tc>
          <w:tcPr>
            <w:tcW w:w="3510" w:type="dxa"/>
          </w:tcPr>
          <w:p w14:paraId="13773CD2" w14:textId="77777777" w:rsidR="008A3F27" w:rsidRPr="00BC2D09" w:rsidRDefault="008A3F27" w:rsidP="004365B2">
            <w:pPr>
              <w:pStyle w:val="NoSpacing"/>
              <w:rPr>
                <w:lang w:eastAsia="en-US"/>
              </w:rPr>
            </w:pPr>
            <w:bookmarkStart w:id="9" w:name="DateFinalSubmission"/>
            <w:bookmarkEnd w:id="9"/>
            <w:r>
              <w:rPr>
                <w:lang w:eastAsia="en-US"/>
              </w:rPr>
              <w:t>Date final submissions received</w:t>
            </w:r>
          </w:p>
        </w:tc>
        <w:tc>
          <w:tcPr>
            <w:tcW w:w="5279" w:type="dxa"/>
          </w:tcPr>
          <w:p w14:paraId="13773CD3" w14:textId="77777777" w:rsidR="008A3F27" w:rsidRPr="00771CAC" w:rsidRDefault="008A3F27" w:rsidP="004365B2">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sidR="003E4E12">
              <w:rPr>
                <w:b/>
                <w:bCs/>
                <w:lang w:eastAsia="en-US"/>
              </w:rPr>
              <w:t>8 June 2012</w:t>
            </w:r>
            <w:r>
              <w:rPr>
                <w:b/>
                <w:bCs/>
                <w:lang w:eastAsia="en-US"/>
              </w:rPr>
              <w:fldChar w:fldCharType="end"/>
            </w:r>
          </w:p>
        </w:tc>
      </w:tr>
      <w:tr w:rsidR="008A3F27" w:rsidRPr="00BC2D09" w14:paraId="13773CD7" w14:textId="77777777" w:rsidTr="004365B2">
        <w:trPr>
          <w:trHeight w:val="567"/>
        </w:trPr>
        <w:tc>
          <w:tcPr>
            <w:tcW w:w="3510" w:type="dxa"/>
          </w:tcPr>
          <w:p w14:paraId="13773CD5" w14:textId="77777777" w:rsidR="008A3F27" w:rsidRPr="00BC2D09" w:rsidRDefault="008A3F27" w:rsidP="004365B2">
            <w:pPr>
              <w:pStyle w:val="NoSpacing"/>
              <w:rPr>
                <w:lang w:eastAsia="en-US"/>
              </w:rPr>
            </w:pPr>
            <w:bookmarkStart w:id="10" w:name="AppSelfRepresented"/>
            <w:bookmarkEnd w:id="10"/>
            <w:r>
              <w:rPr>
                <w:lang w:eastAsia="en-US"/>
              </w:rPr>
              <w:t>Applicant</w:t>
            </w:r>
          </w:p>
        </w:tc>
        <w:tc>
          <w:tcPr>
            <w:tcW w:w="5279" w:type="dxa"/>
          </w:tcPr>
          <w:p w14:paraId="13773CD6" w14:textId="77777777" w:rsidR="008A3F27" w:rsidRPr="00771CAC" w:rsidRDefault="008A3F27" w:rsidP="004365B2">
            <w:pPr>
              <w:pStyle w:val="NoSpacing"/>
              <w:rPr>
                <w:b/>
                <w:bCs/>
                <w:lang w:eastAsia="en-US"/>
              </w:rPr>
            </w:pPr>
            <w:r>
              <w:rPr>
                <w:b/>
                <w:bCs/>
                <w:lang w:eastAsia="en-US"/>
              </w:rPr>
              <w:t>In person</w:t>
            </w:r>
          </w:p>
        </w:tc>
      </w:tr>
      <w:tr w:rsidR="008A3F27" w:rsidRPr="00BC2D09" w14:paraId="13773CDA" w14:textId="77777777" w:rsidTr="004365B2">
        <w:trPr>
          <w:trHeight w:val="567"/>
        </w:trPr>
        <w:tc>
          <w:tcPr>
            <w:tcW w:w="3510" w:type="dxa"/>
          </w:tcPr>
          <w:p w14:paraId="13773CD8" w14:textId="77777777" w:rsidR="008A3F27" w:rsidRDefault="008A3F27" w:rsidP="004365B2">
            <w:pPr>
              <w:pStyle w:val="NoSpacing"/>
              <w:rPr>
                <w:lang w:eastAsia="en-US"/>
              </w:rPr>
            </w:pPr>
            <w:bookmarkStart w:id="11" w:name="Respondent_SelfRepresented"/>
            <w:bookmarkEnd w:id="11"/>
            <w:r>
              <w:rPr>
                <w:lang w:eastAsia="en-US"/>
              </w:rPr>
              <w:t>Respondent</w:t>
            </w:r>
          </w:p>
        </w:tc>
        <w:tc>
          <w:tcPr>
            <w:tcW w:w="5279" w:type="dxa"/>
          </w:tcPr>
          <w:p w14:paraId="13773CD9" w14:textId="77777777" w:rsidR="008A3F27" w:rsidRPr="00771CAC" w:rsidRDefault="008A3F27" w:rsidP="004365B2">
            <w:pPr>
              <w:pStyle w:val="NoSpacing"/>
              <w:rPr>
                <w:b/>
                <w:bCs/>
                <w:lang w:eastAsia="en-US"/>
              </w:rPr>
            </w:pPr>
            <w:r>
              <w:rPr>
                <w:b/>
                <w:bCs/>
                <w:lang w:eastAsia="en-US"/>
              </w:rPr>
              <w:t>In person</w:t>
            </w:r>
          </w:p>
        </w:tc>
      </w:tr>
      <w:tr w:rsidR="008A3F27" w:rsidRPr="00BC2D09" w14:paraId="13773CDD" w14:textId="77777777" w:rsidTr="004365B2">
        <w:trPr>
          <w:trHeight w:val="567"/>
        </w:trPr>
        <w:tc>
          <w:tcPr>
            <w:tcW w:w="3510" w:type="dxa"/>
          </w:tcPr>
          <w:p w14:paraId="13773CDB" w14:textId="77777777" w:rsidR="008A3F27" w:rsidRDefault="008A3F27" w:rsidP="004365B2">
            <w:pPr>
              <w:pStyle w:val="NoSpacing"/>
              <w:rPr>
                <w:lang w:eastAsia="en-US"/>
              </w:rPr>
            </w:pPr>
            <w:bookmarkStart w:id="12" w:name="Respondent_Advocate"/>
            <w:bookmarkEnd w:id="12"/>
            <w:r>
              <w:rPr>
                <w:lang w:eastAsia="en-US"/>
              </w:rPr>
              <w:t>Advocate for the Respondent</w:t>
            </w:r>
          </w:p>
        </w:tc>
        <w:tc>
          <w:tcPr>
            <w:tcW w:w="5279" w:type="dxa"/>
          </w:tcPr>
          <w:p w14:paraId="13773CDC" w14:textId="77777777" w:rsidR="008A3F27" w:rsidRPr="00771CAC" w:rsidRDefault="008A3F27" w:rsidP="004365B2">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sidR="003E4E12">
              <w:rPr>
                <w:b/>
                <w:bCs/>
                <w:lang w:eastAsia="en-US"/>
              </w:rPr>
              <w:t xml:space="preserve">Kate Watson </w:t>
            </w:r>
            <w:r>
              <w:rPr>
                <w:b/>
                <w:bCs/>
                <w:lang w:eastAsia="en-US"/>
              </w:rPr>
              <w:fldChar w:fldCharType="end"/>
            </w:r>
          </w:p>
        </w:tc>
      </w:tr>
    </w:tbl>
    <w:p w14:paraId="13773CDE" w14:textId="77777777" w:rsidR="00391759" w:rsidRDefault="00391759" w:rsidP="008A3F27"/>
    <w:sectPr w:rsidR="00391759" w:rsidSect="00531AA1">
      <w:headerReference w:type="even" r:id="rId13"/>
      <w:footerReference w:type="default" r:id="rId14"/>
      <w:headerReference w:type="first" r:id="rId15"/>
      <w:footerReference w:type="first" r:id="rId16"/>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73CE8" w14:textId="77777777" w:rsidR="00B63AC5" w:rsidRDefault="00B63AC5">
      <w:r>
        <w:separator/>
      </w:r>
    </w:p>
    <w:p w14:paraId="13773CE9" w14:textId="77777777" w:rsidR="00B63AC5" w:rsidRDefault="00B63AC5"/>
  </w:endnote>
  <w:endnote w:type="continuationSeparator" w:id="0">
    <w:p w14:paraId="13773CEA" w14:textId="77777777" w:rsidR="00B63AC5" w:rsidRDefault="00B63AC5">
      <w:r>
        <w:continuationSeparator/>
      </w:r>
    </w:p>
    <w:p w14:paraId="13773CEB" w14:textId="77777777" w:rsidR="00B63AC5" w:rsidRDefault="00B63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B63AC5" w:rsidRPr="006F16E0" w14:paraId="13773CF1" w14:textId="77777777" w:rsidTr="00E53225">
      <w:tc>
        <w:tcPr>
          <w:tcW w:w="1447" w:type="dxa"/>
          <w:tcBorders>
            <w:right w:val="single" w:sz="4" w:space="0" w:color="auto"/>
          </w:tcBorders>
          <w:vAlign w:val="center"/>
        </w:tcPr>
        <w:p w14:paraId="13773CEF" w14:textId="77777777" w:rsidR="00B63AC5" w:rsidRPr="006F16E0" w:rsidRDefault="00B63AC5" w:rsidP="006F16E0">
          <w:pPr>
            <w:pStyle w:val="Footer"/>
          </w:pPr>
          <w:r>
            <w:t xml:space="preserve">Page </w:t>
          </w:r>
          <w:r>
            <w:fldChar w:fldCharType="begin"/>
          </w:r>
          <w:r>
            <w:instrText xml:space="preserve"> PAGE  \* Arabic </w:instrText>
          </w:r>
          <w:r>
            <w:fldChar w:fldCharType="separate"/>
          </w:r>
          <w:r w:rsidR="006C4359">
            <w:rPr>
              <w:noProof/>
            </w:rPr>
            <w:t>6</w:t>
          </w:r>
          <w:r>
            <w:fldChar w:fldCharType="end"/>
          </w:r>
          <w:r>
            <w:t xml:space="preserve"> of </w:t>
          </w:r>
          <w:r w:rsidR="006C4359">
            <w:fldChar w:fldCharType="begin"/>
          </w:r>
          <w:r w:rsidR="006C4359">
            <w:instrText xml:space="preserve"> NUMPAGES  \* Arabic </w:instrText>
          </w:r>
          <w:r w:rsidR="006C4359">
            <w:fldChar w:fldCharType="separate"/>
          </w:r>
          <w:r w:rsidR="006C4359">
            <w:rPr>
              <w:noProof/>
            </w:rPr>
            <w:t>6</w:t>
          </w:r>
          <w:r w:rsidR="006C4359">
            <w:rPr>
              <w:noProof/>
            </w:rPr>
            <w:fldChar w:fldCharType="end"/>
          </w:r>
        </w:p>
      </w:tc>
      <w:tc>
        <w:tcPr>
          <w:tcW w:w="8763" w:type="dxa"/>
          <w:tcBorders>
            <w:left w:val="single" w:sz="4" w:space="0" w:color="auto"/>
          </w:tcBorders>
          <w:vAlign w:val="center"/>
        </w:tcPr>
        <w:p w14:paraId="13773CF0" w14:textId="77777777" w:rsidR="00B63AC5" w:rsidRPr="006F16E0" w:rsidRDefault="00B63AC5" w:rsidP="006F16E0">
          <w:pPr>
            <w:pStyle w:val="Footer"/>
          </w:pPr>
        </w:p>
      </w:tc>
    </w:tr>
  </w:tbl>
  <w:p w14:paraId="13773CF2" w14:textId="77777777" w:rsidR="00B63AC5" w:rsidRDefault="00B63A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B63AC5" w14:paraId="13773CF9" w14:textId="77777777" w:rsidTr="00C756F8">
      <w:tc>
        <w:tcPr>
          <w:tcW w:w="1447" w:type="dxa"/>
          <w:tcBorders>
            <w:right w:val="single" w:sz="4" w:space="0" w:color="auto"/>
          </w:tcBorders>
          <w:vAlign w:val="center"/>
        </w:tcPr>
        <w:p w14:paraId="13773CF7" w14:textId="77777777" w:rsidR="00B63AC5" w:rsidRDefault="00B63AC5" w:rsidP="005D5DF5">
          <w:pPr>
            <w:pStyle w:val="FooterPage1"/>
          </w:pPr>
        </w:p>
      </w:tc>
      <w:tc>
        <w:tcPr>
          <w:tcW w:w="8763" w:type="dxa"/>
          <w:tcBorders>
            <w:left w:val="single" w:sz="4" w:space="0" w:color="auto"/>
          </w:tcBorders>
          <w:tcMar>
            <w:left w:w="85" w:type="dxa"/>
          </w:tcMar>
          <w:vAlign w:val="center"/>
        </w:tcPr>
        <w:p w14:paraId="13773CF8" w14:textId="77777777" w:rsidR="00B63AC5" w:rsidRDefault="00B63AC5" w:rsidP="005D5DF5">
          <w:pPr>
            <w:pStyle w:val="FooterPage1"/>
          </w:pPr>
          <w:r>
            <w:t>© Commonwealth of Australia 2012</w:t>
          </w:r>
        </w:p>
      </w:tc>
    </w:tr>
  </w:tbl>
  <w:p w14:paraId="13773CFA" w14:textId="77777777" w:rsidR="00B63AC5" w:rsidRDefault="00B63AC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73CE5" w14:textId="77777777" w:rsidR="00B63AC5" w:rsidRDefault="00B63AC5">
      <w:r>
        <w:separator/>
      </w:r>
    </w:p>
  </w:footnote>
  <w:footnote w:type="continuationSeparator" w:id="0">
    <w:p w14:paraId="13773CE6" w14:textId="77777777" w:rsidR="00B63AC5" w:rsidRDefault="00B63AC5">
      <w:r>
        <w:continuationSeparator/>
      </w:r>
    </w:p>
    <w:p w14:paraId="13773CE7" w14:textId="77777777" w:rsidR="00B63AC5" w:rsidRDefault="00B63AC5"/>
  </w:footnote>
  <w:footnote w:id="1">
    <w:p w14:paraId="13773CFF" w14:textId="77777777" w:rsidR="00B63AC5" w:rsidRDefault="00B63AC5">
      <w:pPr>
        <w:pStyle w:val="FootnoteText"/>
      </w:pPr>
      <w:r w:rsidRPr="00B970E9">
        <w:rPr>
          <w:rStyle w:val="FootnoteReference"/>
          <w:i w:val="0"/>
        </w:rPr>
        <w:footnoteRef/>
      </w:r>
      <w:r>
        <w:t xml:space="preserve"> Safety, Rehabilitation and Compensation Act 1988 </w:t>
      </w:r>
      <w:r w:rsidRPr="00B970E9">
        <w:rPr>
          <w:i w:val="0"/>
        </w:rPr>
        <w:t>(Cth)</w:t>
      </w:r>
      <w:r>
        <w:t xml:space="preserve"> </w:t>
      </w:r>
      <w:r w:rsidRPr="00B970E9">
        <w:rPr>
          <w:i w:val="0"/>
        </w:rPr>
        <w:t>ss 5A, 5B, 14.</w:t>
      </w:r>
    </w:p>
  </w:footnote>
  <w:footnote w:id="2">
    <w:p w14:paraId="13773D00" w14:textId="77777777" w:rsidR="00B63AC5" w:rsidRDefault="00B63AC5">
      <w:pPr>
        <w:pStyle w:val="FootnoteText"/>
      </w:pPr>
      <w:r w:rsidRPr="00B970E9">
        <w:rPr>
          <w:rStyle w:val="FootnoteReference"/>
          <w:i w:val="0"/>
        </w:rPr>
        <w:footnoteRef/>
      </w:r>
      <w:r w:rsidRPr="00B970E9">
        <w:rPr>
          <w:i w:val="0"/>
        </w:rPr>
        <w:t xml:space="preserve"> </w:t>
      </w:r>
      <w:r>
        <w:t xml:space="preserve">Administrative Appeals Tribunal Act 1975 </w:t>
      </w:r>
      <w:r w:rsidRPr="00B63AC5">
        <w:rPr>
          <w:i w:val="0"/>
        </w:rPr>
        <w:t>(Cth) s 29(7)-(10).</w:t>
      </w:r>
    </w:p>
  </w:footnote>
  <w:footnote w:id="3">
    <w:p w14:paraId="13773D02" w14:textId="1BCED431" w:rsidR="00B63AC5" w:rsidRPr="00C75136" w:rsidRDefault="00B63AC5" w:rsidP="00B63AC5">
      <w:pPr>
        <w:pStyle w:val="FootnoteText"/>
        <w:rPr>
          <w:i w:val="0"/>
        </w:rPr>
      </w:pPr>
      <w:r w:rsidRPr="00B970E9">
        <w:rPr>
          <w:rStyle w:val="FootnoteReference"/>
          <w:i w:val="0"/>
        </w:rPr>
        <w:footnoteRef/>
      </w:r>
      <w:r w:rsidRPr="00B970E9">
        <w:rPr>
          <w:i w:val="0"/>
        </w:rPr>
        <w:t xml:space="preserve"> </w:t>
      </w:r>
      <w:r>
        <w:t xml:space="preserve">Hunter Valley Developments Pty Ltd v Cohen </w:t>
      </w:r>
      <w:r w:rsidRPr="00336A2A">
        <w:rPr>
          <w:i w:val="0"/>
        </w:rPr>
        <w:t>(1984) 7 ALD 315</w:t>
      </w:r>
      <w:r>
        <w:rPr>
          <w:i w:val="0"/>
        </w:rPr>
        <w:t xml:space="preserve">; </w:t>
      </w:r>
      <w:r w:rsidRPr="00B63AC5">
        <w:t>Duong v Australian Postal Corporation</w:t>
      </w:r>
      <w:r>
        <w:t xml:space="preserve"> </w:t>
      </w:r>
      <w:r w:rsidRPr="00B63AC5">
        <w:rPr>
          <w:i w:val="0"/>
        </w:rPr>
        <w:t>(2005) 41 AAR 288 at 293-294</w:t>
      </w:r>
      <w:r w:rsidRPr="00C75136">
        <w:rPr>
          <w:i w:val="0"/>
        </w:rPr>
        <w:t>.</w:t>
      </w:r>
    </w:p>
  </w:footnote>
  <w:footnote w:id="4">
    <w:p w14:paraId="1280FE7A" w14:textId="58DAFE2E" w:rsidR="00C75136" w:rsidRPr="00C75136" w:rsidRDefault="00C75136">
      <w:pPr>
        <w:pStyle w:val="FootnoteText"/>
        <w:rPr>
          <w:i w:val="0"/>
        </w:rPr>
      </w:pPr>
      <w:r w:rsidRPr="00C75136">
        <w:rPr>
          <w:rStyle w:val="FootnoteReference"/>
          <w:i w:val="0"/>
        </w:rPr>
        <w:footnoteRef/>
      </w:r>
      <w:r w:rsidRPr="00C75136">
        <w:rPr>
          <w:i w:val="0"/>
        </w:rPr>
        <w:t xml:space="preserve"> </w:t>
      </w:r>
      <w:r w:rsidRPr="004962C9">
        <w:t>Lucic v Nolan and Others</w:t>
      </w:r>
      <w:r w:rsidRPr="004962C9">
        <w:rPr>
          <w:i w:val="0"/>
        </w:rPr>
        <w:t xml:space="preserve"> </w:t>
      </w:r>
      <w:r>
        <w:rPr>
          <w:i w:val="0"/>
        </w:rPr>
        <w:t xml:space="preserve">(1982) </w:t>
      </w:r>
      <w:r w:rsidRPr="004962C9">
        <w:rPr>
          <w:i w:val="0"/>
        </w:rPr>
        <w:t xml:space="preserve">45 ALR </w:t>
      </w:r>
      <w:r>
        <w:rPr>
          <w:i w:val="0"/>
        </w:rPr>
        <w:t>411 at 416.</w:t>
      </w:r>
    </w:p>
  </w:footnote>
  <w:footnote w:id="5">
    <w:p w14:paraId="56C7DB0D" w14:textId="68AF27DA" w:rsidR="00C75136" w:rsidRPr="00C75136" w:rsidRDefault="00C75136">
      <w:pPr>
        <w:pStyle w:val="FootnoteText"/>
        <w:rPr>
          <w:i w:val="0"/>
        </w:rPr>
      </w:pPr>
      <w:r w:rsidRPr="00C75136">
        <w:rPr>
          <w:rStyle w:val="FootnoteReference"/>
          <w:i w:val="0"/>
        </w:rPr>
        <w:footnoteRef/>
      </w:r>
      <w:r w:rsidRPr="00C75136">
        <w:rPr>
          <w:i w:val="0"/>
        </w:rPr>
        <w:t xml:space="preserve"> </w:t>
      </w:r>
      <w:r w:rsidRPr="00B63AC5">
        <w:t>Duong v Australian Postal Corporation</w:t>
      </w:r>
      <w:r>
        <w:t xml:space="preserve"> </w:t>
      </w:r>
      <w:r>
        <w:rPr>
          <w:i w:val="0"/>
        </w:rPr>
        <w:t>(2005) 41 AAR 288 at 293-294.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73CEC" w14:textId="77777777" w:rsidR="00B63AC5" w:rsidRDefault="00B63AC5">
    <w:pPr>
      <w:framePr w:wrap="around" w:vAnchor="text" w:hAnchor="margin" w:xAlign="center" w:y="1"/>
      <w:numPr>
        <w:ilvl w:val="12"/>
        <w:numId w:val="0"/>
      </w:numPr>
      <w:ind w:hanging="851"/>
    </w:pPr>
    <w:r>
      <w:fldChar w:fldCharType="begin"/>
    </w:r>
    <w:r>
      <w:instrText xml:space="preserve">PAGE  </w:instrText>
    </w:r>
    <w:r>
      <w:fldChar w:fldCharType="end"/>
    </w:r>
  </w:p>
  <w:p w14:paraId="13773CED" w14:textId="77777777" w:rsidR="00B63AC5" w:rsidRDefault="00B63AC5">
    <w:pPr>
      <w:numPr>
        <w:ilvl w:val="12"/>
        <w:numId w:val="0"/>
      </w:numPr>
      <w:ind w:hanging="851"/>
    </w:pPr>
  </w:p>
  <w:p w14:paraId="13773CEE" w14:textId="77777777" w:rsidR="00B63AC5" w:rsidRDefault="00B63A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B63AC5" w14:paraId="13773CF5" w14:textId="77777777" w:rsidTr="00DD17FC">
      <w:trPr>
        <w:trHeight w:hRule="exact" w:val="1361"/>
      </w:trPr>
      <w:tc>
        <w:tcPr>
          <w:tcW w:w="6634" w:type="dxa"/>
          <w:vAlign w:val="bottom"/>
        </w:tcPr>
        <w:p w14:paraId="13773CF3" w14:textId="77777777" w:rsidR="00B63AC5" w:rsidRDefault="00B63AC5">
          <w:pPr>
            <w:numPr>
              <w:ilvl w:val="12"/>
              <w:numId w:val="0"/>
            </w:numPr>
          </w:pPr>
          <w:r>
            <w:rPr>
              <w:noProof/>
            </w:rPr>
            <w:drawing>
              <wp:inline distT="0" distB="0" distL="0" distR="0" wp14:anchorId="13773CFB" wp14:editId="13773CFC">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14:paraId="13773CF4" w14:textId="77777777" w:rsidR="00B63AC5" w:rsidRDefault="00B63AC5" w:rsidP="005976AB">
          <w:pPr>
            <w:numPr>
              <w:ilvl w:val="12"/>
              <w:numId w:val="0"/>
            </w:numPr>
            <w:jc w:val="right"/>
          </w:pPr>
          <w:r>
            <w:rPr>
              <w:noProof/>
            </w:rPr>
            <w:drawing>
              <wp:inline distT="0" distB="0" distL="0" distR="0" wp14:anchorId="13773CFD" wp14:editId="13773CFE">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14:paraId="13773CF6" w14:textId="77777777" w:rsidR="00B63AC5" w:rsidRDefault="00B63AC5"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341"/>
    <w:multiLevelType w:val="hybridMultilevel"/>
    <w:tmpl w:val="2A7422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B378B"/>
    <w:multiLevelType w:val="multilevel"/>
    <w:tmpl w:val="C38441E4"/>
    <w:numStyleLink w:val="Quotes"/>
  </w:abstractNum>
  <w:abstractNum w:abstractNumId="4">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7">
    <w:nsid w:val="641E12EB"/>
    <w:multiLevelType w:val="multilevel"/>
    <w:tmpl w:val="2160D004"/>
    <w:numStyleLink w:val="Bullets"/>
  </w:abstractNum>
  <w:num w:numId="1">
    <w:abstractNumId w:val="2"/>
  </w:num>
  <w:num w:numId="2">
    <w:abstractNumId w:val="5"/>
  </w:num>
  <w:num w:numId="3">
    <w:abstractNumId w:val="6"/>
  </w:num>
  <w:num w:numId="4">
    <w:abstractNumId w:val="7"/>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0E7C8D"/>
    <w:rsid w:val="00000438"/>
    <w:rsid w:val="00000788"/>
    <w:rsid w:val="00004028"/>
    <w:rsid w:val="00004916"/>
    <w:rsid w:val="00010D8F"/>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E34"/>
    <w:rsid w:val="0008091F"/>
    <w:rsid w:val="00082425"/>
    <w:rsid w:val="000852E6"/>
    <w:rsid w:val="0008639E"/>
    <w:rsid w:val="00086AFC"/>
    <w:rsid w:val="000903C8"/>
    <w:rsid w:val="0009097C"/>
    <w:rsid w:val="00096477"/>
    <w:rsid w:val="000A058C"/>
    <w:rsid w:val="000A2C43"/>
    <w:rsid w:val="000A3B7B"/>
    <w:rsid w:val="000A40FB"/>
    <w:rsid w:val="000A6277"/>
    <w:rsid w:val="000B05AB"/>
    <w:rsid w:val="000B799C"/>
    <w:rsid w:val="000C0421"/>
    <w:rsid w:val="000C0F19"/>
    <w:rsid w:val="000C200E"/>
    <w:rsid w:val="000D1F26"/>
    <w:rsid w:val="000E14C4"/>
    <w:rsid w:val="000E35BC"/>
    <w:rsid w:val="000E4089"/>
    <w:rsid w:val="000E5FB6"/>
    <w:rsid w:val="000E7C8D"/>
    <w:rsid w:val="000F18F4"/>
    <w:rsid w:val="001064ED"/>
    <w:rsid w:val="00110450"/>
    <w:rsid w:val="00110C0F"/>
    <w:rsid w:val="00111F84"/>
    <w:rsid w:val="001131C2"/>
    <w:rsid w:val="00114BD8"/>
    <w:rsid w:val="00117552"/>
    <w:rsid w:val="0012021D"/>
    <w:rsid w:val="001209DA"/>
    <w:rsid w:val="00122092"/>
    <w:rsid w:val="001220FF"/>
    <w:rsid w:val="00122EFA"/>
    <w:rsid w:val="0013307E"/>
    <w:rsid w:val="00143874"/>
    <w:rsid w:val="0014665F"/>
    <w:rsid w:val="001466C7"/>
    <w:rsid w:val="00152EB0"/>
    <w:rsid w:val="00156035"/>
    <w:rsid w:val="00161B81"/>
    <w:rsid w:val="001625D8"/>
    <w:rsid w:val="0016425D"/>
    <w:rsid w:val="0016773D"/>
    <w:rsid w:val="00170921"/>
    <w:rsid w:val="00170BEE"/>
    <w:rsid w:val="00174965"/>
    <w:rsid w:val="001761FE"/>
    <w:rsid w:val="00177ECF"/>
    <w:rsid w:val="001803FE"/>
    <w:rsid w:val="00183666"/>
    <w:rsid w:val="001851A9"/>
    <w:rsid w:val="0018598D"/>
    <w:rsid w:val="00187636"/>
    <w:rsid w:val="00197BFF"/>
    <w:rsid w:val="001A2C68"/>
    <w:rsid w:val="001A3530"/>
    <w:rsid w:val="001A364E"/>
    <w:rsid w:val="001A37DD"/>
    <w:rsid w:val="001A39BA"/>
    <w:rsid w:val="001A4085"/>
    <w:rsid w:val="001A4617"/>
    <w:rsid w:val="001C1058"/>
    <w:rsid w:val="001C59B1"/>
    <w:rsid w:val="001D0804"/>
    <w:rsid w:val="001D5528"/>
    <w:rsid w:val="001D5B26"/>
    <w:rsid w:val="001D63AD"/>
    <w:rsid w:val="001D661E"/>
    <w:rsid w:val="001D734A"/>
    <w:rsid w:val="001E1E9E"/>
    <w:rsid w:val="001E4799"/>
    <w:rsid w:val="001F058C"/>
    <w:rsid w:val="001F2404"/>
    <w:rsid w:val="001F2C5D"/>
    <w:rsid w:val="001F3698"/>
    <w:rsid w:val="001F708A"/>
    <w:rsid w:val="00200058"/>
    <w:rsid w:val="00200390"/>
    <w:rsid w:val="00201958"/>
    <w:rsid w:val="00202BDD"/>
    <w:rsid w:val="002037D9"/>
    <w:rsid w:val="00203F58"/>
    <w:rsid w:val="002044E0"/>
    <w:rsid w:val="002101C7"/>
    <w:rsid w:val="0021136A"/>
    <w:rsid w:val="00211543"/>
    <w:rsid w:val="002135E8"/>
    <w:rsid w:val="002137DF"/>
    <w:rsid w:val="00213896"/>
    <w:rsid w:val="00215E98"/>
    <w:rsid w:val="00220C22"/>
    <w:rsid w:val="002216BD"/>
    <w:rsid w:val="002260F4"/>
    <w:rsid w:val="002276C4"/>
    <w:rsid w:val="00230141"/>
    <w:rsid w:val="00237992"/>
    <w:rsid w:val="00242AEC"/>
    <w:rsid w:val="0024473D"/>
    <w:rsid w:val="0024549E"/>
    <w:rsid w:val="00253104"/>
    <w:rsid w:val="00256FC5"/>
    <w:rsid w:val="002607D3"/>
    <w:rsid w:val="00264A1D"/>
    <w:rsid w:val="002735B9"/>
    <w:rsid w:val="00273B5A"/>
    <w:rsid w:val="0027496E"/>
    <w:rsid w:val="002754F8"/>
    <w:rsid w:val="00275E2F"/>
    <w:rsid w:val="002801D9"/>
    <w:rsid w:val="00280F2B"/>
    <w:rsid w:val="002839BF"/>
    <w:rsid w:val="00287811"/>
    <w:rsid w:val="00287FE0"/>
    <w:rsid w:val="002944AA"/>
    <w:rsid w:val="0029482B"/>
    <w:rsid w:val="00295ACC"/>
    <w:rsid w:val="00297BAC"/>
    <w:rsid w:val="00297EA1"/>
    <w:rsid w:val="002A40EA"/>
    <w:rsid w:val="002A5BD8"/>
    <w:rsid w:val="002A6D3A"/>
    <w:rsid w:val="002B1002"/>
    <w:rsid w:val="002B52FA"/>
    <w:rsid w:val="002C1516"/>
    <w:rsid w:val="002C2118"/>
    <w:rsid w:val="002C7E16"/>
    <w:rsid w:val="002D7F26"/>
    <w:rsid w:val="002E599F"/>
    <w:rsid w:val="002E6962"/>
    <w:rsid w:val="002E7FBA"/>
    <w:rsid w:val="002F0D19"/>
    <w:rsid w:val="002F3DDF"/>
    <w:rsid w:val="002F6956"/>
    <w:rsid w:val="002F7E7B"/>
    <w:rsid w:val="00301154"/>
    <w:rsid w:val="0030226A"/>
    <w:rsid w:val="003058C9"/>
    <w:rsid w:val="003070FA"/>
    <w:rsid w:val="00307689"/>
    <w:rsid w:val="003152B2"/>
    <w:rsid w:val="00323B7B"/>
    <w:rsid w:val="00325D17"/>
    <w:rsid w:val="00325EC3"/>
    <w:rsid w:val="0032657E"/>
    <w:rsid w:val="00331390"/>
    <w:rsid w:val="00336A2A"/>
    <w:rsid w:val="0034191E"/>
    <w:rsid w:val="00342BEC"/>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5522"/>
    <w:rsid w:val="003B6DAC"/>
    <w:rsid w:val="003C12DE"/>
    <w:rsid w:val="003C3A2F"/>
    <w:rsid w:val="003C6C6D"/>
    <w:rsid w:val="003D2450"/>
    <w:rsid w:val="003D4BB1"/>
    <w:rsid w:val="003E1FE6"/>
    <w:rsid w:val="003E261A"/>
    <w:rsid w:val="003E45BA"/>
    <w:rsid w:val="003E4E12"/>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5440C"/>
    <w:rsid w:val="00454437"/>
    <w:rsid w:val="00463C53"/>
    <w:rsid w:val="00466655"/>
    <w:rsid w:val="0047066D"/>
    <w:rsid w:val="004727B7"/>
    <w:rsid w:val="00473144"/>
    <w:rsid w:val="00473AB1"/>
    <w:rsid w:val="00480DF4"/>
    <w:rsid w:val="004856B3"/>
    <w:rsid w:val="00485A89"/>
    <w:rsid w:val="004905BD"/>
    <w:rsid w:val="00490C0A"/>
    <w:rsid w:val="004A0002"/>
    <w:rsid w:val="004A4F2C"/>
    <w:rsid w:val="004A55A2"/>
    <w:rsid w:val="004B6924"/>
    <w:rsid w:val="004C4132"/>
    <w:rsid w:val="004C7483"/>
    <w:rsid w:val="004C74C6"/>
    <w:rsid w:val="004D0176"/>
    <w:rsid w:val="004D3365"/>
    <w:rsid w:val="004E5063"/>
    <w:rsid w:val="004E720A"/>
    <w:rsid w:val="004E7541"/>
    <w:rsid w:val="004F13F5"/>
    <w:rsid w:val="004F5034"/>
    <w:rsid w:val="004F62A5"/>
    <w:rsid w:val="0050054F"/>
    <w:rsid w:val="0050166A"/>
    <w:rsid w:val="00502ACA"/>
    <w:rsid w:val="00505CF1"/>
    <w:rsid w:val="0050670F"/>
    <w:rsid w:val="00513A55"/>
    <w:rsid w:val="0051593B"/>
    <w:rsid w:val="00520D65"/>
    <w:rsid w:val="00522908"/>
    <w:rsid w:val="00526022"/>
    <w:rsid w:val="0052665E"/>
    <w:rsid w:val="00531AA1"/>
    <w:rsid w:val="0053335B"/>
    <w:rsid w:val="00552511"/>
    <w:rsid w:val="0055292B"/>
    <w:rsid w:val="0055307E"/>
    <w:rsid w:val="00554246"/>
    <w:rsid w:val="00556B39"/>
    <w:rsid w:val="00561B98"/>
    <w:rsid w:val="005632FA"/>
    <w:rsid w:val="005706B0"/>
    <w:rsid w:val="0057112B"/>
    <w:rsid w:val="00576A65"/>
    <w:rsid w:val="005833E8"/>
    <w:rsid w:val="00585C0F"/>
    <w:rsid w:val="0058690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2696"/>
    <w:rsid w:val="00615503"/>
    <w:rsid w:val="00617636"/>
    <w:rsid w:val="00622FE3"/>
    <w:rsid w:val="0062609A"/>
    <w:rsid w:val="00635CEE"/>
    <w:rsid w:val="00635E9D"/>
    <w:rsid w:val="00647330"/>
    <w:rsid w:val="00653401"/>
    <w:rsid w:val="0066062A"/>
    <w:rsid w:val="00661217"/>
    <w:rsid w:val="00661270"/>
    <w:rsid w:val="00662B1E"/>
    <w:rsid w:val="00663243"/>
    <w:rsid w:val="00664295"/>
    <w:rsid w:val="00671D54"/>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359"/>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38D4"/>
    <w:rsid w:val="006E467D"/>
    <w:rsid w:val="006E5759"/>
    <w:rsid w:val="006E5CA8"/>
    <w:rsid w:val="006F0A2D"/>
    <w:rsid w:val="006F16E0"/>
    <w:rsid w:val="006F4185"/>
    <w:rsid w:val="00700F99"/>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435BC"/>
    <w:rsid w:val="007511FE"/>
    <w:rsid w:val="00751737"/>
    <w:rsid w:val="00754290"/>
    <w:rsid w:val="007559DB"/>
    <w:rsid w:val="0075763B"/>
    <w:rsid w:val="00760AB6"/>
    <w:rsid w:val="007651A6"/>
    <w:rsid w:val="00771CAC"/>
    <w:rsid w:val="0077250E"/>
    <w:rsid w:val="00776FD2"/>
    <w:rsid w:val="007800EC"/>
    <w:rsid w:val="0078314E"/>
    <w:rsid w:val="007840EF"/>
    <w:rsid w:val="00785FFA"/>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50A2"/>
    <w:rsid w:val="0080210D"/>
    <w:rsid w:val="00803D8A"/>
    <w:rsid w:val="0081024C"/>
    <w:rsid w:val="00814E7C"/>
    <w:rsid w:val="008233C4"/>
    <w:rsid w:val="0082393D"/>
    <w:rsid w:val="0082514B"/>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60F03"/>
    <w:rsid w:val="00860FEC"/>
    <w:rsid w:val="008629EB"/>
    <w:rsid w:val="00864777"/>
    <w:rsid w:val="008720E5"/>
    <w:rsid w:val="008728CF"/>
    <w:rsid w:val="008764FB"/>
    <w:rsid w:val="00876A16"/>
    <w:rsid w:val="00880CF9"/>
    <w:rsid w:val="008812E5"/>
    <w:rsid w:val="008816AE"/>
    <w:rsid w:val="00881B39"/>
    <w:rsid w:val="00887918"/>
    <w:rsid w:val="00890614"/>
    <w:rsid w:val="008A238D"/>
    <w:rsid w:val="008A3F27"/>
    <w:rsid w:val="008A6374"/>
    <w:rsid w:val="008B0201"/>
    <w:rsid w:val="008B51F3"/>
    <w:rsid w:val="008B7170"/>
    <w:rsid w:val="008C1ACF"/>
    <w:rsid w:val="008C2C0A"/>
    <w:rsid w:val="008C4D87"/>
    <w:rsid w:val="008D0B03"/>
    <w:rsid w:val="008D1E16"/>
    <w:rsid w:val="008D75FE"/>
    <w:rsid w:val="008F0068"/>
    <w:rsid w:val="008F0E23"/>
    <w:rsid w:val="008F4CE4"/>
    <w:rsid w:val="009003F4"/>
    <w:rsid w:val="009030DC"/>
    <w:rsid w:val="0091202C"/>
    <w:rsid w:val="00916850"/>
    <w:rsid w:val="009201DC"/>
    <w:rsid w:val="00921243"/>
    <w:rsid w:val="00926EDE"/>
    <w:rsid w:val="00934AD0"/>
    <w:rsid w:val="009356EB"/>
    <w:rsid w:val="00943964"/>
    <w:rsid w:val="00943F4B"/>
    <w:rsid w:val="00947603"/>
    <w:rsid w:val="00950B47"/>
    <w:rsid w:val="00952EBD"/>
    <w:rsid w:val="009602B5"/>
    <w:rsid w:val="0096159B"/>
    <w:rsid w:val="00963197"/>
    <w:rsid w:val="00963ABB"/>
    <w:rsid w:val="00964E99"/>
    <w:rsid w:val="00975559"/>
    <w:rsid w:val="00981472"/>
    <w:rsid w:val="00985BC9"/>
    <w:rsid w:val="00985FF8"/>
    <w:rsid w:val="00990F29"/>
    <w:rsid w:val="00994A78"/>
    <w:rsid w:val="009A42E4"/>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61A7"/>
    <w:rsid w:val="00A2060C"/>
    <w:rsid w:val="00A237DD"/>
    <w:rsid w:val="00A240E9"/>
    <w:rsid w:val="00A27932"/>
    <w:rsid w:val="00A32543"/>
    <w:rsid w:val="00A421E8"/>
    <w:rsid w:val="00A42C48"/>
    <w:rsid w:val="00A47435"/>
    <w:rsid w:val="00A51A9C"/>
    <w:rsid w:val="00A55F5C"/>
    <w:rsid w:val="00A57111"/>
    <w:rsid w:val="00A647DA"/>
    <w:rsid w:val="00A66C12"/>
    <w:rsid w:val="00A71ACA"/>
    <w:rsid w:val="00A74195"/>
    <w:rsid w:val="00A80A02"/>
    <w:rsid w:val="00A82FFF"/>
    <w:rsid w:val="00A872CD"/>
    <w:rsid w:val="00A90658"/>
    <w:rsid w:val="00A9538E"/>
    <w:rsid w:val="00A96474"/>
    <w:rsid w:val="00AA0FB6"/>
    <w:rsid w:val="00AA1597"/>
    <w:rsid w:val="00AA1E42"/>
    <w:rsid w:val="00AA34CF"/>
    <w:rsid w:val="00AA7310"/>
    <w:rsid w:val="00AB3C6B"/>
    <w:rsid w:val="00AC7595"/>
    <w:rsid w:val="00AC7DC0"/>
    <w:rsid w:val="00AD32FC"/>
    <w:rsid w:val="00AD35F4"/>
    <w:rsid w:val="00AD51F7"/>
    <w:rsid w:val="00AE25A0"/>
    <w:rsid w:val="00AE3896"/>
    <w:rsid w:val="00AE398A"/>
    <w:rsid w:val="00AE3CE3"/>
    <w:rsid w:val="00AE53C8"/>
    <w:rsid w:val="00AE5B4E"/>
    <w:rsid w:val="00AF5606"/>
    <w:rsid w:val="00B005D3"/>
    <w:rsid w:val="00B022ED"/>
    <w:rsid w:val="00B0420B"/>
    <w:rsid w:val="00B05845"/>
    <w:rsid w:val="00B05942"/>
    <w:rsid w:val="00B05D80"/>
    <w:rsid w:val="00B06810"/>
    <w:rsid w:val="00B1158D"/>
    <w:rsid w:val="00B11806"/>
    <w:rsid w:val="00B11896"/>
    <w:rsid w:val="00B123AA"/>
    <w:rsid w:val="00B13055"/>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52E8C"/>
    <w:rsid w:val="00B53159"/>
    <w:rsid w:val="00B54990"/>
    <w:rsid w:val="00B63AC5"/>
    <w:rsid w:val="00B64F68"/>
    <w:rsid w:val="00B71D27"/>
    <w:rsid w:val="00B761F4"/>
    <w:rsid w:val="00B8069B"/>
    <w:rsid w:val="00B816C9"/>
    <w:rsid w:val="00B819B4"/>
    <w:rsid w:val="00B907AB"/>
    <w:rsid w:val="00B91000"/>
    <w:rsid w:val="00B9254B"/>
    <w:rsid w:val="00B925DE"/>
    <w:rsid w:val="00B953C5"/>
    <w:rsid w:val="00B967BC"/>
    <w:rsid w:val="00B96D9A"/>
    <w:rsid w:val="00B970E9"/>
    <w:rsid w:val="00BA0884"/>
    <w:rsid w:val="00BA0CEC"/>
    <w:rsid w:val="00BA0EE6"/>
    <w:rsid w:val="00BA1726"/>
    <w:rsid w:val="00BA1D11"/>
    <w:rsid w:val="00BA6247"/>
    <w:rsid w:val="00BB22A4"/>
    <w:rsid w:val="00BB4097"/>
    <w:rsid w:val="00BB4D2F"/>
    <w:rsid w:val="00BB7405"/>
    <w:rsid w:val="00BB74E6"/>
    <w:rsid w:val="00BC1CC8"/>
    <w:rsid w:val="00BC2D09"/>
    <w:rsid w:val="00BC3D36"/>
    <w:rsid w:val="00BC53EB"/>
    <w:rsid w:val="00BC75C3"/>
    <w:rsid w:val="00BD007E"/>
    <w:rsid w:val="00BD0F9A"/>
    <w:rsid w:val="00BD33AF"/>
    <w:rsid w:val="00BD40FE"/>
    <w:rsid w:val="00BE1AAE"/>
    <w:rsid w:val="00BE4DCE"/>
    <w:rsid w:val="00BF0304"/>
    <w:rsid w:val="00BF1A7B"/>
    <w:rsid w:val="00BF2524"/>
    <w:rsid w:val="00BF384D"/>
    <w:rsid w:val="00BF5513"/>
    <w:rsid w:val="00BF654D"/>
    <w:rsid w:val="00C00EAE"/>
    <w:rsid w:val="00C03EAA"/>
    <w:rsid w:val="00C05300"/>
    <w:rsid w:val="00C116A3"/>
    <w:rsid w:val="00C116C1"/>
    <w:rsid w:val="00C1753D"/>
    <w:rsid w:val="00C2072D"/>
    <w:rsid w:val="00C33D54"/>
    <w:rsid w:val="00C34FCC"/>
    <w:rsid w:val="00C36FD6"/>
    <w:rsid w:val="00C40AD0"/>
    <w:rsid w:val="00C41CEB"/>
    <w:rsid w:val="00C4309C"/>
    <w:rsid w:val="00C435F7"/>
    <w:rsid w:val="00C519F0"/>
    <w:rsid w:val="00C52E97"/>
    <w:rsid w:val="00C5401C"/>
    <w:rsid w:val="00C54247"/>
    <w:rsid w:val="00C56C6C"/>
    <w:rsid w:val="00C57261"/>
    <w:rsid w:val="00C5781A"/>
    <w:rsid w:val="00C57B09"/>
    <w:rsid w:val="00C638C3"/>
    <w:rsid w:val="00C66CB9"/>
    <w:rsid w:val="00C70812"/>
    <w:rsid w:val="00C72F83"/>
    <w:rsid w:val="00C75136"/>
    <w:rsid w:val="00C756F8"/>
    <w:rsid w:val="00C7661D"/>
    <w:rsid w:val="00C77C64"/>
    <w:rsid w:val="00C83CA0"/>
    <w:rsid w:val="00C83E00"/>
    <w:rsid w:val="00C94EDA"/>
    <w:rsid w:val="00C95193"/>
    <w:rsid w:val="00CA099E"/>
    <w:rsid w:val="00CA211B"/>
    <w:rsid w:val="00CA2EC5"/>
    <w:rsid w:val="00CA469B"/>
    <w:rsid w:val="00CA69DA"/>
    <w:rsid w:val="00CB0546"/>
    <w:rsid w:val="00CB18AE"/>
    <w:rsid w:val="00CB4124"/>
    <w:rsid w:val="00CB4DCF"/>
    <w:rsid w:val="00CC1A6B"/>
    <w:rsid w:val="00CC2329"/>
    <w:rsid w:val="00CC370F"/>
    <w:rsid w:val="00CC7478"/>
    <w:rsid w:val="00CD03C5"/>
    <w:rsid w:val="00CD0A16"/>
    <w:rsid w:val="00CD2AD9"/>
    <w:rsid w:val="00CD497A"/>
    <w:rsid w:val="00CD4BDE"/>
    <w:rsid w:val="00CD6D47"/>
    <w:rsid w:val="00CE004E"/>
    <w:rsid w:val="00CE01F2"/>
    <w:rsid w:val="00CE08F6"/>
    <w:rsid w:val="00CE0B8E"/>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7D01"/>
    <w:rsid w:val="00D31091"/>
    <w:rsid w:val="00D32489"/>
    <w:rsid w:val="00D329F6"/>
    <w:rsid w:val="00D331AA"/>
    <w:rsid w:val="00D33F15"/>
    <w:rsid w:val="00D347D1"/>
    <w:rsid w:val="00D36E94"/>
    <w:rsid w:val="00D41258"/>
    <w:rsid w:val="00D42207"/>
    <w:rsid w:val="00D430D1"/>
    <w:rsid w:val="00D474C1"/>
    <w:rsid w:val="00D50614"/>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3F65"/>
    <w:rsid w:val="00E26F98"/>
    <w:rsid w:val="00E31B49"/>
    <w:rsid w:val="00E31B91"/>
    <w:rsid w:val="00E35425"/>
    <w:rsid w:val="00E41546"/>
    <w:rsid w:val="00E43144"/>
    <w:rsid w:val="00E53225"/>
    <w:rsid w:val="00E537F4"/>
    <w:rsid w:val="00E53E11"/>
    <w:rsid w:val="00E56B7F"/>
    <w:rsid w:val="00E616B9"/>
    <w:rsid w:val="00E657FE"/>
    <w:rsid w:val="00E6740A"/>
    <w:rsid w:val="00E67697"/>
    <w:rsid w:val="00E7349B"/>
    <w:rsid w:val="00E753BB"/>
    <w:rsid w:val="00E8215F"/>
    <w:rsid w:val="00E90C6F"/>
    <w:rsid w:val="00E92DDB"/>
    <w:rsid w:val="00E951D7"/>
    <w:rsid w:val="00E96669"/>
    <w:rsid w:val="00EA0DB3"/>
    <w:rsid w:val="00EA0E51"/>
    <w:rsid w:val="00EA6C19"/>
    <w:rsid w:val="00EB1367"/>
    <w:rsid w:val="00EB53E3"/>
    <w:rsid w:val="00EB659E"/>
    <w:rsid w:val="00EC5C80"/>
    <w:rsid w:val="00EE0F4C"/>
    <w:rsid w:val="00EE19C3"/>
    <w:rsid w:val="00EE24D8"/>
    <w:rsid w:val="00EE6F06"/>
    <w:rsid w:val="00EE7912"/>
    <w:rsid w:val="00EF123D"/>
    <w:rsid w:val="00EF1799"/>
    <w:rsid w:val="00EF31CA"/>
    <w:rsid w:val="00EF7890"/>
    <w:rsid w:val="00F01667"/>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610DE"/>
    <w:rsid w:val="00F613D4"/>
    <w:rsid w:val="00F63CE5"/>
    <w:rsid w:val="00F66A79"/>
    <w:rsid w:val="00F72777"/>
    <w:rsid w:val="00F77901"/>
    <w:rsid w:val="00F83E86"/>
    <w:rsid w:val="00FA041A"/>
    <w:rsid w:val="00FA1573"/>
    <w:rsid w:val="00FC1949"/>
    <w:rsid w:val="00FC2148"/>
    <w:rsid w:val="00FC43A5"/>
    <w:rsid w:val="00FD391D"/>
    <w:rsid w:val="00FD3DB2"/>
    <w:rsid w:val="00FD72BB"/>
    <w:rsid w:val="00FE036A"/>
    <w:rsid w:val="00FE3C23"/>
    <w:rsid w:val="00FE72AC"/>
    <w:rsid w:val="00FF0105"/>
    <w:rsid w:val="00FF0F13"/>
    <w:rsid w:val="00FF1892"/>
    <w:rsid w:val="00FF2873"/>
    <w:rsid w:val="00FF2B2F"/>
    <w:rsid w:val="00FF5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377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SkipNumbering">
    <w:name w:val="SkipNumbering"/>
    <w:basedOn w:val="Normal"/>
    <w:rsid w:val="00336A2A"/>
    <w:pPr>
      <w:tabs>
        <w:tab w:val="num" w:pos="709"/>
      </w:tabs>
      <w:suppressAutoHyphens/>
      <w:spacing w:before="0" w:after="360"/>
    </w:pPr>
    <w:rPr>
      <w:rFonts w:ascii="Arial" w:hAnsi="Arial"/>
    </w:rPr>
  </w:style>
  <w:style w:type="paragraph" w:styleId="BodyTextIndent">
    <w:name w:val="Body Text Indent"/>
    <w:basedOn w:val="Normal"/>
    <w:link w:val="BodyTextIndentChar"/>
    <w:rsid w:val="001A39BA"/>
    <w:pPr>
      <w:spacing w:before="0" w:after="120" w:line="240" w:lineRule="auto"/>
      <w:ind w:left="283"/>
      <w:jc w:val="left"/>
    </w:pPr>
  </w:style>
  <w:style w:type="character" w:customStyle="1" w:styleId="BodyTextIndentChar">
    <w:name w:val="Body Text Indent Char"/>
    <w:basedOn w:val="DefaultParagraphFont"/>
    <w:link w:val="BodyTextIndent"/>
    <w:rsid w:val="001A39BA"/>
    <w:rPr>
      <w:sz w:val="24"/>
    </w:rPr>
  </w:style>
  <w:style w:type="paragraph" w:customStyle="1" w:styleId="Heading">
    <w:name w:val="Heading"/>
    <w:next w:val="Normal"/>
    <w:rsid w:val="001A39BA"/>
    <w:pPr>
      <w:keepNext/>
      <w:spacing w:before="120" w:after="240" w:line="360" w:lineRule="auto"/>
      <w:jc w:val="both"/>
    </w:pPr>
    <w:rPr>
      <w:rFonts w:ascii="Arial" w:hAnsi="Arial"/>
      <w:b/>
      <w:small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customStyle="1" w:styleId="SkipNumbering">
    <w:name w:val="SkipNumbering"/>
    <w:basedOn w:val="Normal"/>
    <w:rsid w:val="00336A2A"/>
    <w:pPr>
      <w:tabs>
        <w:tab w:val="num" w:pos="709"/>
      </w:tabs>
      <w:suppressAutoHyphens/>
      <w:spacing w:before="0" w:after="360"/>
    </w:pPr>
    <w:rPr>
      <w:rFonts w:ascii="Arial" w:hAnsi="Arial"/>
    </w:rPr>
  </w:style>
  <w:style w:type="paragraph" w:styleId="BodyTextIndent">
    <w:name w:val="Body Text Indent"/>
    <w:basedOn w:val="Normal"/>
    <w:link w:val="BodyTextIndentChar"/>
    <w:rsid w:val="001A39BA"/>
    <w:pPr>
      <w:spacing w:before="0" w:after="120" w:line="240" w:lineRule="auto"/>
      <w:ind w:left="283"/>
      <w:jc w:val="left"/>
    </w:pPr>
  </w:style>
  <w:style w:type="character" w:customStyle="1" w:styleId="BodyTextIndentChar">
    <w:name w:val="Body Text Indent Char"/>
    <w:basedOn w:val="DefaultParagraphFont"/>
    <w:link w:val="BodyTextIndent"/>
    <w:rsid w:val="001A39BA"/>
    <w:rPr>
      <w:sz w:val="24"/>
    </w:rPr>
  </w:style>
  <w:style w:type="paragraph" w:customStyle="1" w:styleId="Heading">
    <w:name w:val="Heading"/>
    <w:next w:val="Normal"/>
    <w:rsid w:val="001A39BA"/>
    <w:pPr>
      <w:keepNext/>
      <w:spacing w:before="120" w:after="240" w:line="360" w:lineRule="auto"/>
      <w:jc w:val="both"/>
    </w:pPr>
    <w:rPr>
      <w:rFonts w:ascii="Arial" w:hAnsi="Arial"/>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Microsoft_Word_97_-_2003_Document1.doc"/><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New%20Decision%20and%20Reas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F426F6F8454DA28A6DBF75283300EC"/>
        <w:category>
          <w:name w:val="General"/>
          <w:gallery w:val="placeholder"/>
        </w:category>
        <w:types>
          <w:type w:val="bbPlcHdr"/>
        </w:types>
        <w:behaviors>
          <w:behavior w:val="content"/>
        </w:behaviors>
        <w:guid w:val="{8308382A-27A2-453A-8EE4-B2A16F851FBC}"/>
      </w:docPartPr>
      <w:docPartBody>
        <w:p w14:paraId="259E5EEE" w14:textId="77777777" w:rsidR="00607260" w:rsidRDefault="00607260">
          <w:pPr>
            <w:pStyle w:val="EAF426F6F8454DA28A6DBF75283300EC"/>
          </w:pPr>
          <w:r w:rsidRPr="00CD5897">
            <w:rPr>
              <w:rStyle w:val="PlaceholderText"/>
            </w:rPr>
            <w:t>Click here to enter text.</w:t>
          </w:r>
        </w:p>
      </w:docPartBody>
    </w:docPart>
    <w:docPart>
      <w:docPartPr>
        <w:name w:val="1DF324D923F84261AB8FEEB9DAC2D526"/>
        <w:category>
          <w:name w:val="General"/>
          <w:gallery w:val="placeholder"/>
        </w:category>
        <w:types>
          <w:type w:val="bbPlcHdr"/>
        </w:types>
        <w:behaviors>
          <w:behavior w:val="content"/>
        </w:behaviors>
        <w:guid w:val="{C4026975-8F82-495E-88B6-7749A992A20C}"/>
      </w:docPartPr>
      <w:docPartBody>
        <w:p w14:paraId="259E5EEF" w14:textId="77777777" w:rsidR="00607260" w:rsidRDefault="00607260">
          <w:pPr>
            <w:pStyle w:val="1DF324D923F84261AB8FEEB9DAC2D526"/>
          </w:pPr>
          <w:r w:rsidRPr="00CD5897">
            <w:rPr>
              <w:rStyle w:val="PlaceholderText"/>
            </w:rPr>
            <w:t>Click here to enter text.</w:t>
          </w:r>
        </w:p>
      </w:docPartBody>
    </w:docPart>
    <w:docPart>
      <w:docPartPr>
        <w:name w:val="01C221FC75014C77AB8609C5D8C3F80D"/>
        <w:category>
          <w:name w:val="General"/>
          <w:gallery w:val="placeholder"/>
        </w:category>
        <w:types>
          <w:type w:val="bbPlcHdr"/>
        </w:types>
        <w:behaviors>
          <w:behavior w:val="content"/>
        </w:behaviors>
        <w:guid w:val="{316AA97F-D721-49A3-BB88-F542F368E618}"/>
      </w:docPartPr>
      <w:docPartBody>
        <w:p w14:paraId="259E5EF0" w14:textId="77777777" w:rsidR="00607260" w:rsidRDefault="00607260">
          <w:pPr>
            <w:pStyle w:val="01C221FC75014C77AB8609C5D8C3F80D"/>
          </w:pPr>
          <w:r w:rsidRPr="00CD5897">
            <w:rPr>
              <w:rStyle w:val="PlaceholderText"/>
            </w:rPr>
            <w:t>Click here to enter text.</w:t>
          </w:r>
        </w:p>
      </w:docPartBody>
    </w:docPart>
    <w:docPart>
      <w:docPartPr>
        <w:name w:val="6F6FD01B42914DFDBA92D1DF289FDA7B"/>
        <w:category>
          <w:name w:val="General"/>
          <w:gallery w:val="placeholder"/>
        </w:category>
        <w:types>
          <w:type w:val="bbPlcHdr"/>
        </w:types>
        <w:behaviors>
          <w:behavior w:val="content"/>
        </w:behaviors>
        <w:guid w:val="{8BCC1284-4F2D-4C81-BBD8-657E578BF4CC}"/>
      </w:docPartPr>
      <w:docPartBody>
        <w:p w14:paraId="259E5EF1" w14:textId="77777777" w:rsidR="00607260" w:rsidRDefault="00607260">
          <w:pPr>
            <w:pStyle w:val="6F6FD01B42914DFDBA92D1DF289FDA7B"/>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60"/>
    <w:rsid w:val="006072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59E5EE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F426F6F8454DA28A6DBF75283300EC">
    <w:name w:val="EAF426F6F8454DA28A6DBF75283300EC"/>
  </w:style>
  <w:style w:type="paragraph" w:customStyle="1" w:styleId="1DF324D923F84261AB8FEEB9DAC2D526">
    <w:name w:val="1DF324D923F84261AB8FEEB9DAC2D526"/>
  </w:style>
  <w:style w:type="paragraph" w:customStyle="1" w:styleId="01C221FC75014C77AB8609C5D8C3F80D">
    <w:name w:val="01C221FC75014C77AB8609C5D8C3F80D"/>
  </w:style>
  <w:style w:type="paragraph" w:customStyle="1" w:styleId="6F6FD01B42914DFDBA92D1DF289FDA7B">
    <w:name w:val="6F6FD01B42914DFDBA92D1DF289FDA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F426F6F8454DA28A6DBF75283300EC">
    <w:name w:val="EAF426F6F8454DA28A6DBF75283300EC"/>
  </w:style>
  <w:style w:type="paragraph" w:customStyle="1" w:styleId="1DF324D923F84261AB8FEEB9DAC2D526">
    <w:name w:val="1DF324D923F84261AB8FEEB9DAC2D526"/>
  </w:style>
  <w:style w:type="paragraph" w:customStyle="1" w:styleId="01C221FC75014C77AB8609C5D8C3F80D">
    <w:name w:val="01C221FC75014C77AB8609C5D8C3F80D"/>
  </w:style>
  <w:style w:type="paragraph" w:customStyle="1" w:styleId="6F6FD01B42914DFDBA92D1DF289FDA7B">
    <w:name w:val="6F6FD01B42914DFDBA92D1DF289FD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59E44-5B27-4DD1-ABBB-C1076043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Decision and Reasons.dotm</Template>
  <TotalTime>0</TotalTime>
  <Pages>6</Pages>
  <Words>1081</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Creyke, Robin</dc:creator>
  <cp:lastModifiedBy>Dalwood, Jacqui</cp:lastModifiedBy>
  <cp:revision>2</cp:revision>
  <cp:lastPrinted>2012-06-15T05:28:00Z</cp:lastPrinted>
  <dcterms:created xsi:type="dcterms:W3CDTF">2013-01-23T05:42:00Z</dcterms:created>
  <dcterms:modified xsi:type="dcterms:W3CDTF">2013-01-23T05:42:00Z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Comcare</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INDRA THAPPA</vt:lpwstr>
  </property>
  <property fmtid="{D5CDD505-2E9C-101B-9397-08002B2CF9AE}" pid="26" name="FileNumber">
    <vt:lpwstr>2012/1668</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PROFESSOR RM CREYKE,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6 June 2012</vt:lpwstr>
  </property>
  <property fmtid="{D5CDD505-2E9C-101B-9397-08002B2CF9AE}" pid="77" name="DateFinalSubmission">
    <vt:lpwstr>8 June 2012</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Kate Watson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vt:lpwstr>
  </property>
  <property fmtid="{D5CDD505-2E9C-101B-9397-08002B2CF9AE}" pid="96" name="DecisionDate">
    <vt:lpwstr>  15 June 2012</vt:lpwstr>
  </property>
  <property fmtid="{D5CDD505-2E9C-101B-9397-08002B2CF9AE}" pid="97" name="ReasonsforDecisionDate">
    <vt:lpwstr> </vt:lpwstr>
  </property>
  <property fmtid="{D5CDD505-2E9C-101B-9397-08002B2CF9AE}" pid="98" name="StampDate">
    <vt:lpwstr> </vt:lpwstr>
  </property>
  <property fmtid="{D5CDD505-2E9C-101B-9397-08002B2CF9AE}" pid="99" name="TribunalLastPgForm">
    <vt:lpwstr/>
  </property>
</Properties>
</file>