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585C5C">
        <w:t>2012</w:t>
      </w:r>
      <w:r w:rsidR="00661270" w:rsidRPr="000A40FB">
        <w:t xml:space="preserve">] </w:t>
      </w:r>
      <w:r w:rsidR="006C75B8">
        <w:t>AATA 559</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585C5C">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1F7B4B">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585C5C">
              <w:t>2011/4</w:t>
            </w:r>
            <w:r w:rsidR="001F7B4B">
              <w:t>002 - 4003</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AA1E7B" w:rsidP="001F7B4B">
            <w:pPr>
              <w:pStyle w:val="Details"/>
            </w:pPr>
            <w:r>
              <w:fldChar w:fldCharType="begin"/>
            </w:r>
            <w:r>
              <w:instrText xml:space="preserve"> DOCPROPERTY  Applicant </w:instrText>
            </w:r>
            <w:r>
              <w:fldChar w:fldCharType="separate"/>
            </w:r>
            <w:r w:rsidR="001F7B4B">
              <w:t>PETER FRIEDLANDER &amp; BILLIE FRIEDLANDER</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r w:rsidR="001F7B4B">
              <w:t>S</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AA1E7B" w:rsidP="00036C03">
            <w:pPr>
              <w:pStyle w:val="Details"/>
            </w:pPr>
            <w:r>
              <w:fldChar w:fldCharType="begin"/>
            </w:r>
            <w:r>
              <w:instrText xml:space="preserve"> DOCPROPERTY  Respondent </w:instrText>
            </w:r>
            <w:r>
              <w:fldChar w:fldCharType="separate"/>
            </w:r>
            <w:r w:rsidR="00585C5C">
              <w:t>REPATRIATION COMMISSION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BC2D09" w:rsidRDefault="003058C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585C5C">
              <w:rPr>
                <w:b/>
                <w:bCs/>
                <w:lang w:eastAsia="en-US"/>
              </w:rPr>
              <w:t>Senior Member C R Walsh</w:t>
            </w:r>
            <w:r>
              <w:rPr>
                <w:b/>
                <w:bCs/>
                <w:lang w:eastAsia="en-US"/>
              </w:rPr>
              <w:fldChar w:fldCharType="end"/>
            </w:r>
            <w:r w:rsidR="005D01F0">
              <w:rPr>
                <w:b/>
                <w:bCs/>
                <w:lang w:eastAsia="en-US"/>
              </w:rPr>
              <w:fldChar w:fldCharType="begin"/>
            </w:r>
            <w:r w:rsidR="005D01F0">
              <w:rPr>
                <w:b/>
                <w:bCs/>
                <w:lang w:eastAsia="en-US"/>
              </w:rPr>
              <w:instrText xml:space="preserve"> DOCPROPERTY  TribunalText </w:instrText>
            </w:r>
            <w:r w:rsidR="005D01F0">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BA18C9" w:rsidP="00795876">
            <w:pPr>
              <w:pStyle w:val="NoSpacing"/>
              <w:rPr>
                <w:b/>
                <w:bCs/>
                <w:lang w:eastAsia="en-US"/>
              </w:rPr>
            </w:pPr>
            <w:r>
              <w:rPr>
                <w:b/>
                <w:bCs/>
                <w:lang w:eastAsia="en-US"/>
              </w:rPr>
              <w:t>21</w:t>
            </w:r>
            <w:r w:rsidR="00C15792">
              <w:rPr>
                <w:b/>
                <w:bCs/>
                <w:lang w:eastAsia="en-US"/>
              </w:rPr>
              <w:t xml:space="preserve"> </w:t>
            </w:r>
            <w:r w:rsidR="001F7B4B">
              <w:rPr>
                <w:b/>
                <w:bCs/>
                <w:lang w:eastAsia="en-US"/>
              </w:rPr>
              <w:t>August</w:t>
            </w:r>
            <w:r w:rsidR="00585C5C">
              <w:rPr>
                <w:b/>
                <w:bCs/>
                <w:lang w:eastAsia="en-US"/>
              </w:rPr>
              <w:t xml:space="preserve"> 2012</w:t>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585C5C" w:rsidP="00A96474">
            <w:pPr>
              <w:pStyle w:val="NoSpacing"/>
              <w:rPr>
                <w:b/>
                <w:bCs/>
                <w:lang w:eastAsia="en-US"/>
              </w:rPr>
            </w:pPr>
            <w:r>
              <w:rPr>
                <w:b/>
                <w:bCs/>
                <w:lang w:eastAsia="en-US"/>
              </w:rPr>
              <w:t>Perth</w:t>
            </w:r>
          </w:p>
        </w:tc>
      </w:tr>
    </w:tbl>
    <w:sdt>
      <w:sdtPr>
        <w:rPr>
          <w:rFonts w:eastAsia="MS Mincho"/>
          <w:szCs w:val="24"/>
          <w:lang w:eastAsia="en-US"/>
        </w:rPr>
        <w:alias w:val="Decision Summary"/>
        <w:tag w:val="DecisionSummary"/>
        <w:id w:val="1959365562"/>
        <w:lock w:val="sdtLocked"/>
        <w:placeholder>
          <w:docPart w:val="C369290BD08647428CCABF3810B58829"/>
        </w:placeholder>
      </w:sdtPr>
      <w:sdtEndPr/>
      <w:sdtContent>
        <w:p w:rsidR="00C22AFE" w:rsidRDefault="00FC1949" w:rsidP="00BC2D09">
          <w:pPr>
            <w:rPr>
              <w:lang w:eastAsia="en-US"/>
            </w:rPr>
          </w:pPr>
          <w:r>
            <w:rPr>
              <w:lang w:eastAsia="en-US"/>
            </w:rPr>
            <w:t>Decision Summary</w:t>
          </w:r>
        </w:p>
        <w:p w:rsidR="00BC2D09" w:rsidRPr="00BC2D09" w:rsidRDefault="003B7DCC" w:rsidP="003B7DCC">
          <w:pPr>
            <w:pStyle w:val="ListNumber"/>
            <w:numPr>
              <w:ilvl w:val="0"/>
              <w:numId w:val="0"/>
            </w:numPr>
            <w:rPr>
              <w:lang w:eastAsia="en-US"/>
            </w:rPr>
          </w:pPr>
          <w:r>
            <w:t>T</w:t>
          </w:r>
          <w:r w:rsidR="009B0846">
            <w:t xml:space="preserve">he Tribunal </w:t>
          </w:r>
          <w:r w:rsidR="000646BA">
            <w:t>affirms the decision under review</w:t>
          </w:r>
          <w:r w:rsidR="009B0846">
            <w:t>.</w:t>
          </w:r>
        </w:p>
      </w:sdtContent>
    </w:sdt>
    <w:p w:rsidR="00BC2D09" w:rsidRPr="00BC2D09" w:rsidRDefault="00BC2D09" w:rsidP="001E4799">
      <w:pPr>
        <w:keepNext/>
        <w:spacing w:before="960"/>
        <w:rPr>
          <w:lang w:eastAsia="en-US"/>
        </w:rPr>
      </w:pPr>
      <w:proofErr w:type="gramStart"/>
      <w:r w:rsidRPr="00BC2D09">
        <w:rPr>
          <w:lang w:eastAsia="en-US"/>
        </w:rPr>
        <w:t>...</w:t>
      </w:r>
      <w:r w:rsidR="006C75B8">
        <w:rPr>
          <w:lang w:eastAsia="en-US"/>
        </w:rPr>
        <w:t>(</w:t>
      </w:r>
      <w:proofErr w:type="spellStart"/>
      <w:proofErr w:type="gramEnd"/>
      <w:r w:rsidR="006C75B8">
        <w:rPr>
          <w:lang w:eastAsia="en-US"/>
        </w:rPr>
        <w:t>sgd</w:t>
      </w:r>
      <w:proofErr w:type="spellEnd"/>
      <w:r w:rsidR="006C75B8">
        <w:rPr>
          <w:lang w:eastAsia="en-US"/>
        </w:rPr>
        <w:t>) C R Walsh</w:t>
      </w:r>
      <w:r w:rsidRPr="00BC2D09">
        <w:rPr>
          <w:lang w:eastAsia="en-US"/>
        </w:rPr>
        <w:t>.........................</w:t>
      </w:r>
    </w:p>
    <w:p w:rsidR="00BC2D09"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585C5C">
        <w:rPr>
          <w:b/>
          <w:lang w:eastAsia="en-US"/>
        </w:rPr>
        <w:t>Senior Member C R Walsh</w:t>
      </w:r>
      <w:r>
        <w:rPr>
          <w:b/>
          <w:lang w:eastAsia="en-US"/>
        </w:rPr>
        <w:fldChar w:fldCharType="end"/>
      </w:r>
    </w:p>
    <w:p w:rsidR="000646BA" w:rsidRDefault="000646BA" w:rsidP="00000788">
      <w:pPr>
        <w:spacing w:before="0"/>
        <w:rPr>
          <w:b/>
          <w:lang w:eastAsia="en-US"/>
        </w:rPr>
      </w:pPr>
    </w:p>
    <w:p w:rsidR="000646BA" w:rsidRDefault="000646BA" w:rsidP="00000788">
      <w:pPr>
        <w:spacing w:before="0"/>
        <w:rPr>
          <w:b/>
          <w:lang w:eastAsia="en-US"/>
        </w:rPr>
      </w:pPr>
    </w:p>
    <w:p w:rsidR="000646BA" w:rsidRDefault="000646BA" w:rsidP="00000788">
      <w:pPr>
        <w:spacing w:before="0"/>
        <w:rPr>
          <w:b/>
          <w:lang w:eastAsia="en-US"/>
        </w:rPr>
      </w:pPr>
    </w:p>
    <w:p w:rsidR="000646BA" w:rsidRDefault="000646BA" w:rsidP="00000788">
      <w:pPr>
        <w:spacing w:before="0"/>
        <w:rPr>
          <w:b/>
          <w:lang w:eastAsia="en-US"/>
        </w:rPr>
      </w:pPr>
    </w:p>
    <w:p w:rsidR="003B7DCC" w:rsidRPr="00713462" w:rsidRDefault="003B7DCC" w:rsidP="00000788">
      <w:pPr>
        <w:spacing w:before="0"/>
        <w:rPr>
          <w:b/>
          <w:lang w:eastAsia="en-US"/>
        </w:rPr>
      </w:pPr>
    </w:p>
    <w:bookmarkStart w:id="2" w:name="CatchwordsTitle" w:displacedByCustomXml="next"/>
    <w:bookmarkEnd w:id="2" w:displacedByCustomXml="next"/>
    <w:sdt>
      <w:sdtPr>
        <w:rPr>
          <w:lang w:eastAsia="en-US"/>
        </w:rPr>
        <w:alias w:val="Catchwords"/>
        <w:tag w:val="Catchwords"/>
        <w:id w:val="-1722664393"/>
        <w:lock w:val="sdtLocked"/>
        <w:placeholder>
          <w:docPart w:val="6B6E55BA9DD3485CBB7EB8B82AB420A6"/>
        </w:placeholder>
      </w:sdtPr>
      <w:sdtEndPr/>
      <w:sdtContent>
        <w:p w:rsidR="00D63507" w:rsidRDefault="00FF511E" w:rsidP="004A55A2">
          <w:pPr>
            <w:pStyle w:val="CatchWords"/>
            <w:rPr>
              <w:lang w:eastAsia="en-US"/>
            </w:rPr>
          </w:pPr>
          <w:r>
            <w:rPr>
              <w:lang w:eastAsia="en-US"/>
            </w:rPr>
            <w:t>Catchwords</w:t>
          </w:r>
        </w:p>
        <w:p w:rsidR="004152C5" w:rsidRDefault="00D63507" w:rsidP="004A55A2">
          <w:pPr>
            <w:pStyle w:val="CatchWords"/>
            <w:rPr>
              <w:lang w:eastAsia="en-US"/>
            </w:rPr>
          </w:pPr>
          <w:r>
            <w:rPr>
              <w:lang w:eastAsia="en-US"/>
            </w:rPr>
            <w:t xml:space="preserve">Veterans’ entitlements – </w:t>
          </w:r>
          <w:r w:rsidR="00CE2B03">
            <w:rPr>
              <w:lang w:eastAsia="en-US"/>
            </w:rPr>
            <w:t xml:space="preserve">service pension </w:t>
          </w:r>
          <w:r w:rsidR="00DC49EE">
            <w:rPr>
              <w:lang w:eastAsia="en-US"/>
            </w:rPr>
            <w:t xml:space="preserve">– </w:t>
          </w:r>
          <w:r w:rsidR="00E13BDE">
            <w:rPr>
              <w:lang w:eastAsia="en-US"/>
            </w:rPr>
            <w:t xml:space="preserve">investment in tree </w:t>
          </w:r>
          <w:r w:rsidR="000646BA">
            <w:rPr>
              <w:lang w:eastAsia="en-US"/>
            </w:rPr>
            <w:t>plantation project</w:t>
          </w:r>
          <w:r w:rsidR="00E13BDE">
            <w:rPr>
              <w:lang w:eastAsia="en-US"/>
            </w:rPr>
            <w:t xml:space="preserve"> </w:t>
          </w:r>
          <w:r w:rsidR="000646BA">
            <w:rPr>
              <w:lang w:eastAsia="en-US"/>
            </w:rPr>
            <w:t>–</w:t>
          </w:r>
          <w:r w:rsidR="00E13BDE">
            <w:rPr>
              <w:lang w:eastAsia="en-US"/>
            </w:rPr>
            <w:t xml:space="preserve"> </w:t>
          </w:r>
          <w:r w:rsidR="000646BA">
            <w:rPr>
              <w:lang w:eastAsia="en-US"/>
            </w:rPr>
            <w:t>investment incorrectly recorded by the Department of Veterans Affairs (DVA) as a “financial asset”</w:t>
          </w:r>
          <w:r w:rsidR="00BA18C9">
            <w:rPr>
              <w:lang w:eastAsia="en-US"/>
            </w:rPr>
            <w:t xml:space="preserve"> </w:t>
          </w:r>
          <w:r w:rsidR="000646BA">
            <w:rPr>
              <w:lang w:eastAsia="en-US"/>
            </w:rPr>
            <w:t xml:space="preserve">– applicants initially assessed by DVA under “assets test” instead of “income test” for service pension assessment purposes – applicants subsequently assessed under “income test” for service pension assessment purposes – distributions from investment in tree plantation project treated as “income” by DVA - overpayment raised by DVA against applicants – consideration of whether distributions from investment correctly treated as “income” for service pension assessment purposes </w:t>
          </w:r>
          <w:r w:rsidR="00BA18C9">
            <w:rPr>
              <w:lang w:eastAsia="en-US"/>
            </w:rPr>
            <w:t xml:space="preserve">by DVA </w:t>
          </w:r>
          <w:r w:rsidR="000646BA">
            <w:rPr>
              <w:lang w:eastAsia="en-US"/>
            </w:rPr>
            <w:t xml:space="preserve">- </w:t>
          </w:r>
          <w:r w:rsidR="001F7B4B">
            <w:rPr>
              <w:lang w:eastAsia="en-US"/>
            </w:rPr>
            <w:t>decision under review affirmed</w:t>
          </w:r>
        </w:p>
      </w:sdtContent>
    </w:sdt>
    <w:p w:rsidR="00CF5E0E" w:rsidRPr="00BC2D09" w:rsidRDefault="00CF5E0E" w:rsidP="00CF5E0E">
      <w:pPr>
        <w:pStyle w:val="NoSpacing"/>
        <w:rPr>
          <w:lang w:eastAsia="en-US"/>
        </w:rPr>
      </w:pPr>
    </w:p>
    <w:bookmarkStart w:id="3" w:name="LegislationTitle" w:displacedByCustomXml="next"/>
    <w:bookmarkEnd w:id="3" w:displacedByCustomXml="next"/>
    <w:sdt>
      <w:sdtPr>
        <w:rPr>
          <w:lang w:eastAsia="en-US"/>
        </w:rPr>
        <w:alias w:val="Legislation"/>
        <w:tag w:val="Legislation"/>
        <w:id w:val="-13298432"/>
        <w:lock w:val="sdtLocked"/>
        <w:placeholder>
          <w:docPart w:val="D5A6B7225367420FAF78F3EE248FC2F7"/>
        </w:placeholder>
      </w:sdtPr>
      <w:sdtEndPr/>
      <w:sdtContent>
        <w:p w:rsidR="00D63507" w:rsidRDefault="00FF511E" w:rsidP="00E616B9">
          <w:pPr>
            <w:pStyle w:val="CatchWords"/>
            <w:rPr>
              <w:lang w:eastAsia="en-US"/>
            </w:rPr>
          </w:pPr>
          <w:r>
            <w:rPr>
              <w:lang w:eastAsia="en-US"/>
            </w:rPr>
            <w:t>Legislation</w:t>
          </w:r>
        </w:p>
        <w:p w:rsidR="003B095A" w:rsidRDefault="00D63507" w:rsidP="00E616B9">
          <w:pPr>
            <w:pStyle w:val="CatchWords"/>
            <w:rPr>
              <w:lang w:eastAsia="en-US"/>
            </w:rPr>
          </w:pPr>
          <w:r>
            <w:rPr>
              <w:lang w:eastAsia="en-US"/>
            </w:rPr>
            <w:t xml:space="preserve">Veterans’ Entitlement Act 1986 –  </w:t>
          </w:r>
          <w:r w:rsidR="00BA18C9">
            <w:rPr>
              <w:lang w:eastAsia="en-US"/>
            </w:rPr>
            <w:t>section 5H – section 5J – section 5L – section 46 – section 46A – section 46B – section 46C – section 46E – Division 11 of Part IIIB</w:t>
          </w:r>
        </w:p>
        <w:p w:rsidR="003B095A" w:rsidRDefault="003B095A" w:rsidP="00E616B9">
          <w:pPr>
            <w:pStyle w:val="CatchWords"/>
            <w:rPr>
              <w:lang w:eastAsia="en-US"/>
            </w:rPr>
          </w:pPr>
          <w:r>
            <w:rPr>
              <w:lang w:eastAsia="en-US"/>
            </w:rPr>
            <w:t>Social Security Act 1991 – section 1237 – section 1237A – Division 1B of Part 3.10</w:t>
          </w:r>
        </w:p>
        <w:p w:rsidR="003B095A" w:rsidRDefault="003B095A" w:rsidP="00E616B9">
          <w:pPr>
            <w:pStyle w:val="CatchWords"/>
            <w:rPr>
              <w:lang w:eastAsia="en-US"/>
            </w:rPr>
          </w:pPr>
          <w:r>
            <w:rPr>
              <w:lang w:eastAsia="en-US"/>
            </w:rPr>
            <w:t>Social Security (Administration) Act 1999</w:t>
          </w:r>
        </w:p>
        <w:p w:rsidR="003B095A" w:rsidRDefault="003B095A" w:rsidP="00E616B9">
          <w:pPr>
            <w:pStyle w:val="CatchWords"/>
            <w:rPr>
              <w:lang w:eastAsia="en-US"/>
            </w:rPr>
          </w:pPr>
          <w:r>
            <w:rPr>
              <w:lang w:eastAsia="en-US"/>
            </w:rPr>
            <w:t xml:space="preserve">Income Tax Assessment Act 1936 – section 51 – section 54(1) – section </w:t>
          </w:r>
          <w:proofErr w:type="gramStart"/>
          <w:r>
            <w:rPr>
              <w:lang w:eastAsia="en-US"/>
            </w:rPr>
            <w:t>82AAC(</w:t>
          </w:r>
          <w:proofErr w:type="gramEnd"/>
          <w:r>
            <w:rPr>
              <w:lang w:eastAsia="en-US"/>
            </w:rPr>
            <w:t>1)</w:t>
          </w:r>
        </w:p>
        <w:p w:rsidR="003B095A" w:rsidRDefault="003B095A" w:rsidP="00E616B9">
          <w:pPr>
            <w:pStyle w:val="CatchWords"/>
            <w:rPr>
              <w:lang w:eastAsia="en-US"/>
            </w:rPr>
          </w:pPr>
          <w:r>
            <w:rPr>
              <w:lang w:eastAsia="en-US"/>
            </w:rPr>
            <w:t>Income Tax Assessment Act 1997 – section 6-5 – section 8-1 – section 290-60 – Subdivision 40-B – Division 36 – Division 42 – Part 2-25 – Part 3-1</w:t>
          </w:r>
        </w:p>
        <w:p w:rsidR="004152C5" w:rsidRDefault="003B095A" w:rsidP="00E616B9">
          <w:pPr>
            <w:pStyle w:val="CatchWords"/>
            <w:rPr>
              <w:lang w:eastAsia="en-US"/>
            </w:rPr>
          </w:pPr>
          <w:r>
            <w:rPr>
              <w:lang w:eastAsia="en-US"/>
            </w:rPr>
            <w:t>Corporations Law</w:t>
          </w:r>
        </w:p>
      </w:sdtContent>
    </w:sdt>
    <w:p w:rsidR="00E616B9" w:rsidRPr="00BC2D09" w:rsidRDefault="00E616B9" w:rsidP="00E7349B">
      <w:pPr>
        <w:pStyle w:val="NoSpacing"/>
        <w:rPr>
          <w:lang w:eastAsia="en-US"/>
        </w:rPr>
      </w:pPr>
    </w:p>
    <w:bookmarkStart w:id="4" w:name="CasesTitle" w:displacedByCustomXml="next"/>
    <w:bookmarkEnd w:id="4" w:displacedByCustomXml="next"/>
    <w:sdt>
      <w:sdtPr>
        <w:rPr>
          <w:lang w:eastAsia="en-US"/>
        </w:rPr>
        <w:alias w:val="Cases"/>
        <w:tag w:val="Cases"/>
        <w:id w:val="-26403871"/>
        <w:lock w:val="sdtLocked"/>
        <w:placeholder>
          <w:docPart w:val="2BF790089FE0460083AFB2CC2A1D9B93"/>
        </w:placeholder>
      </w:sdtPr>
      <w:sdtEndPr/>
      <w:sdtContent>
        <w:p w:rsidR="006971C2" w:rsidRDefault="00FF511E" w:rsidP="005F2E99">
          <w:pPr>
            <w:pStyle w:val="CatchWords"/>
            <w:rPr>
              <w:lang w:eastAsia="en-US"/>
            </w:rPr>
          </w:pPr>
          <w:r>
            <w:rPr>
              <w:lang w:eastAsia="en-US"/>
            </w:rPr>
            <w:t>Cases</w:t>
          </w:r>
        </w:p>
        <w:p w:rsidR="004152C5" w:rsidRDefault="006971C2" w:rsidP="005F2E99">
          <w:pPr>
            <w:pStyle w:val="CatchWords"/>
            <w:rPr>
              <w:lang w:eastAsia="en-US"/>
            </w:rPr>
          </w:pPr>
          <w:r>
            <w:rPr>
              <w:lang w:eastAsia="en-US"/>
            </w:rPr>
            <w:t>Nil</w:t>
          </w:r>
        </w:p>
      </w:sdtContent>
    </w:sdt>
    <w:p w:rsidR="005F2E99" w:rsidRPr="00BC2D09" w:rsidRDefault="005F2E99" w:rsidP="00E7349B">
      <w:pPr>
        <w:pStyle w:val="NoSpacing"/>
        <w:rPr>
          <w:lang w:eastAsia="en-US"/>
        </w:rPr>
      </w:pPr>
    </w:p>
    <w:bookmarkStart w:id="5" w:name="SecondaryMaterialsTitle" w:displacedByCustomXml="next"/>
    <w:bookmarkEnd w:id="5" w:displacedByCustomXml="next"/>
    <w:sdt>
      <w:sdtPr>
        <w:alias w:val="SecondaryMaterials"/>
        <w:tag w:val="SecondaryMaterials"/>
        <w:id w:val="16523116"/>
        <w:lock w:val="sdtLocked"/>
        <w:placeholder>
          <w:docPart w:val="C369290BD08647428CCABF3810B58829"/>
        </w:placeholder>
      </w:sdtPr>
      <w:sdtEndPr/>
      <w:sdtContent>
        <w:p w:rsidR="006971C2" w:rsidRDefault="00FF511E" w:rsidP="005F2E99">
          <w:pPr>
            <w:pStyle w:val="CatchWords"/>
          </w:pPr>
          <w:r>
            <w:t>Secondary</w:t>
          </w:r>
          <w:r w:rsidR="00395B38">
            <w:t xml:space="preserve"> </w:t>
          </w:r>
          <w:r>
            <w:t>Materials</w:t>
          </w:r>
        </w:p>
        <w:p w:rsidR="00BC2D09" w:rsidRDefault="006971C2" w:rsidP="005F2E99">
          <w:pPr>
            <w:pStyle w:val="CatchWords"/>
          </w:pPr>
          <w:r>
            <w:t>Nil</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585C5C">
        <w:rPr>
          <w:b/>
          <w:lang w:eastAsia="en-US"/>
        </w:rPr>
        <w:t>Senior Member C R Walsh</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795876" w:rsidP="00D750F5">
      <w:pPr>
        <w:pStyle w:val="NoSpacing"/>
        <w:rPr>
          <w:b/>
          <w:lang w:eastAsia="en-US"/>
        </w:rPr>
      </w:pPr>
      <w:r>
        <w:rPr>
          <w:b/>
          <w:lang w:eastAsia="en-US"/>
        </w:rPr>
        <w:t>2</w:t>
      </w:r>
      <w:r w:rsidR="003B095A">
        <w:rPr>
          <w:b/>
          <w:lang w:eastAsia="en-US"/>
        </w:rPr>
        <w:t>1</w:t>
      </w:r>
      <w:r w:rsidR="001F7B4B">
        <w:rPr>
          <w:b/>
          <w:lang w:eastAsia="en-US"/>
        </w:rPr>
        <w:t xml:space="preserve"> August </w:t>
      </w:r>
      <w:r w:rsidR="00585C5C">
        <w:rPr>
          <w:b/>
          <w:lang w:eastAsia="en-US"/>
        </w:rPr>
        <w:t>2012</w:t>
      </w:r>
    </w:p>
    <w:p w:rsidR="00A74195" w:rsidRPr="00CA099E" w:rsidRDefault="00A74195" w:rsidP="00D750F5">
      <w:pPr>
        <w:pStyle w:val="NoSpacing"/>
        <w:rPr>
          <w:lang w:eastAsia="en-US"/>
        </w:rPr>
      </w:pPr>
    </w:p>
    <w:p w:rsidR="00C22AFE" w:rsidRDefault="00C22AFE" w:rsidP="003D53D4">
      <w:pPr>
        <w:pStyle w:val="Heading1"/>
      </w:pPr>
      <w:bookmarkStart w:id="6" w:name="Start"/>
      <w:bookmarkEnd w:id="6"/>
      <w:r>
        <w:lastRenderedPageBreak/>
        <w:t>Introduction</w:t>
      </w:r>
    </w:p>
    <w:p w:rsidR="00D30D83" w:rsidRDefault="00C22AFE" w:rsidP="00D30D83">
      <w:pPr>
        <w:pStyle w:val="ListNumber"/>
        <w:numPr>
          <w:ilvl w:val="0"/>
          <w:numId w:val="6"/>
        </w:numPr>
      </w:pPr>
      <w:r>
        <w:t xml:space="preserve">Mr </w:t>
      </w:r>
      <w:r w:rsidR="001F7B4B">
        <w:t xml:space="preserve">and Mrs Friedlander </w:t>
      </w:r>
      <w:r>
        <w:t>seek a review of a decision of a Service Pension Review Officer, a delegate of the Repatriation Commission (</w:t>
      </w:r>
      <w:r w:rsidRPr="000D1838">
        <w:rPr>
          <w:b/>
        </w:rPr>
        <w:t>Commission</w:t>
      </w:r>
      <w:r>
        <w:t xml:space="preserve">), dated </w:t>
      </w:r>
      <w:r w:rsidR="00FF551D">
        <w:t>8 September 2011</w:t>
      </w:r>
      <w:r>
        <w:t xml:space="preserve">, affirming an earlier decision of a delegate of the Commission (dated </w:t>
      </w:r>
      <w:r w:rsidR="00FF551D">
        <w:t>3 August 2011</w:t>
      </w:r>
      <w:r>
        <w:t xml:space="preserve">) that </w:t>
      </w:r>
      <w:r w:rsidR="00755628">
        <w:t xml:space="preserve">certain </w:t>
      </w:r>
      <w:r w:rsidR="00D30D83">
        <w:t xml:space="preserve">distributions received by the </w:t>
      </w:r>
      <w:proofErr w:type="spellStart"/>
      <w:r w:rsidR="00D30D83">
        <w:t>Friedlanders</w:t>
      </w:r>
      <w:proofErr w:type="spellEnd"/>
      <w:r w:rsidR="00D30D83">
        <w:t xml:space="preserve"> </w:t>
      </w:r>
      <w:r w:rsidR="00755628">
        <w:t>from Elders Forestry Pty Ltd (</w:t>
      </w:r>
      <w:r w:rsidR="00755628" w:rsidRPr="00755628">
        <w:rPr>
          <w:b/>
        </w:rPr>
        <w:t>Elders</w:t>
      </w:r>
      <w:r w:rsidR="00755628">
        <w:t xml:space="preserve">) in respect of </w:t>
      </w:r>
      <w:r w:rsidR="00D30D83">
        <w:t xml:space="preserve">their </w:t>
      </w:r>
      <w:r w:rsidR="00E13BDE">
        <w:t xml:space="preserve">investment </w:t>
      </w:r>
      <w:r w:rsidR="003F49F9">
        <w:t xml:space="preserve">of $15,000 </w:t>
      </w:r>
      <w:r w:rsidR="00E13BDE">
        <w:t xml:space="preserve">in </w:t>
      </w:r>
      <w:r w:rsidR="003F49F9">
        <w:t xml:space="preserve">the </w:t>
      </w:r>
      <w:r w:rsidR="003F49F9" w:rsidRPr="00D30D83">
        <w:rPr>
          <w:i/>
        </w:rPr>
        <w:t>“ITC Eucalypts – 1999 West Australian Project”</w:t>
      </w:r>
      <w:r w:rsidR="003F49F9">
        <w:t xml:space="preserve"> </w:t>
      </w:r>
      <w:r w:rsidR="00074C81">
        <w:t>(</w:t>
      </w:r>
      <w:r w:rsidR="00074C81" w:rsidRPr="00074C81">
        <w:rPr>
          <w:b/>
        </w:rPr>
        <w:t>ITC</w:t>
      </w:r>
      <w:r w:rsidR="005C726F">
        <w:rPr>
          <w:b/>
        </w:rPr>
        <w:t xml:space="preserve"> Project</w:t>
      </w:r>
      <w:r w:rsidR="00074C81">
        <w:t xml:space="preserve">) </w:t>
      </w:r>
      <w:r w:rsidR="00D30D83">
        <w:t>should be treated as “income” for service pension assessment purposes</w:t>
      </w:r>
      <w:r w:rsidR="00755628">
        <w:t xml:space="preserve"> and held in their assessment for a 12 month period</w:t>
      </w:r>
      <w:r w:rsidR="00D30D83">
        <w:t xml:space="preserve">.  As a result, the </w:t>
      </w:r>
      <w:proofErr w:type="spellStart"/>
      <w:r w:rsidR="00D30D83">
        <w:t>Friedlanders</w:t>
      </w:r>
      <w:proofErr w:type="spellEnd"/>
      <w:r w:rsidR="00D30D83">
        <w:t xml:space="preserve">’ rate of service pension was reduced to $184.43 per fortnight and an overpayment of service pension (of $3,713.36) was raised against them. </w:t>
      </w:r>
    </w:p>
    <w:p w:rsidR="00755628" w:rsidRDefault="00755628" w:rsidP="00440F60">
      <w:pPr>
        <w:pStyle w:val="ListNumber"/>
        <w:numPr>
          <w:ilvl w:val="0"/>
          <w:numId w:val="6"/>
        </w:numPr>
      </w:pPr>
      <w:r>
        <w:t>It is not disputed that t</w:t>
      </w:r>
      <w:r w:rsidR="00D60AD5">
        <w:t>he Department of Veteran’s affairs (</w:t>
      </w:r>
      <w:r w:rsidR="00D60AD5" w:rsidRPr="00D60AD5">
        <w:rPr>
          <w:b/>
        </w:rPr>
        <w:t>DVA</w:t>
      </w:r>
      <w:r w:rsidR="00D60AD5">
        <w:t xml:space="preserve">) </w:t>
      </w:r>
      <w:r>
        <w:t xml:space="preserve">incorrectly recorded the Friedlander’s investment in the ITC Project </w:t>
      </w:r>
      <w:r w:rsidR="00D60AD5">
        <w:t xml:space="preserve">as a “financial asset” </w:t>
      </w:r>
      <w:r w:rsidR="00E13BDE">
        <w:t xml:space="preserve">for service pension </w:t>
      </w:r>
      <w:r w:rsidR="000646BA">
        <w:t xml:space="preserve">assessment </w:t>
      </w:r>
      <w:r w:rsidR="00E13BDE">
        <w:t xml:space="preserve">purposes </w:t>
      </w:r>
      <w:r>
        <w:t>from t</w:t>
      </w:r>
      <w:r w:rsidR="00E13BDE">
        <w:t xml:space="preserve">he date of grant of </w:t>
      </w:r>
      <w:r w:rsidR="005C726F">
        <w:t xml:space="preserve">their </w:t>
      </w:r>
      <w:r w:rsidR="00E13BDE">
        <w:t>service pension</w:t>
      </w:r>
      <w:r w:rsidR="005C726F">
        <w:t xml:space="preserve"> </w:t>
      </w:r>
      <w:r>
        <w:t xml:space="preserve">(in 2007) until the Commission’s decision on 3 August 2011, at which time it was decided that the </w:t>
      </w:r>
      <w:proofErr w:type="spellStart"/>
      <w:r>
        <w:t>Friedlanders</w:t>
      </w:r>
      <w:proofErr w:type="spellEnd"/>
      <w:r>
        <w:t xml:space="preserve"> should be assessed under the “income test”</w:t>
      </w:r>
      <w:r w:rsidR="003038A9">
        <w:t xml:space="preserve">, rather than </w:t>
      </w:r>
      <w:r>
        <w:t>the “assets test”</w:t>
      </w:r>
      <w:r w:rsidR="003038A9">
        <w:t>,</w:t>
      </w:r>
      <w:r>
        <w:t xml:space="preserve"> for service pension assessment purposes.</w:t>
      </w:r>
    </w:p>
    <w:p w:rsidR="003D53D4" w:rsidRPr="003D53D4" w:rsidRDefault="00F12D8B" w:rsidP="003D53D4">
      <w:pPr>
        <w:pStyle w:val="Heading1"/>
      </w:pPr>
      <w:r>
        <w:t xml:space="preserve">RELEVANT </w:t>
      </w:r>
      <w:r w:rsidR="00080F23">
        <w:t>FACT</w:t>
      </w:r>
      <w:r>
        <w:t>s</w:t>
      </w:r>
      <w:r w:rsidR="00D63507">
        <w:t xml:space="preserve"> </w:t>
      </w:r>
      <w:r w:rsidR="00420FA7">
        <w:t>&amp; EVIDENCE</w:t>
      </w:r>
    </w:p>
    <w:p w:rsidR="00647D37" w:rsidRDefault="00647D37" w:rsidP="00440F60">
      <w:pPr>
        <w:pStyle w:val="ListNumber"/>
        <w:numPr>
          <w:ilvl w:val="0"/>
          <w:numId w:val="6"/>
        </w:numPr>
      </w:pPr>
      <w:r>
        <w:t xml:space="preserve">In 1999 the </w:t>
      </w:r>
      <w:proofErr w:type="spellStart"/>
      <w:r>
        <w:t>Friedlanders</w:t>
      </w:r>
      <w:proofErr w:type="spellEnd"/>
      <w:r>
        <w:t xml:space="preserve"> invested $15,000 </w:t>
      </w:r>
      <w:r w:rsidR="000352C3">
        <w:t>in the</w:t>
      </w:r>
      <w:r>
        <w:t xml:space="preserve"> ITC</w:t>
      </w:r>
      <w:r w:rsidR="00046D20">
        <w:t xml:space="preserve"> Project</w:t>
      </w:r>
      <w:r>
        <w:t xml:space="preserve">.  </w:t>
      </w:r>
    </w:p>
    <w:p w:rsidR="00046D20" w:rsidRDefault="00E4637B" w:rsidP="00440F60">
      <w:pPr>
        <w:pStyle w:val="ListNumber"/>
        <w:numPr>
          <w:ilvl w:val="0"/>
          <w:numId w:val="6"/>
        </w:numPr>
      </w:pPr>
      <w:r>
        <w:t>On 17 July 2</w:t>
      </w:r>
      <w:r w:rsidR="00647D37">
        <w:t xml:space="preserve">007 the </w:t>
      </w:r>
      <w:proofErr w:type="spellStart"/>
      <w:r w:rsidR="00647D37">
        <w:t>Friedlanders</w:t>
      </w:r>
      <w:proofErr w:type="spellEnd"/>
      <w:r w:rsidR="00647D37">
        <w:t xml:space="preserve"> applied for and were grante</w:t>
      </w:r>
      <w:r w:rsidR="00DC7729">
        <w:t xml:space="preserve">d a service pension by the DVA.  </w:t>
      </w:r>
      <w:r w:rsidR="00046D20">
        <w:t>At th</w:t>
      </w:r>
      <w:r w:rsidR="000352C3">
        <w:t>e time of grant</w:t>
      </w:r>
      <w:r w:rsidR="00046D20">
        <w:t xml:space="preserve">, the DVA described the </w:t>
      </w:r>
      <w:proofErr w:type="spellStart"/>
      <w:r w:rsidR="00046D20">
        <w:t>Friedlanders</w:t>
      </w:r>
      <w:proofErr w:type="spellEnd"/>
      <w:r w:rsidR="00046D20">
        <w:t xml:space="preserve">’ investment </w:t>
      </w:r>
      <w:r w:rsidR="000352C3">
        <w:t xml:space="preserve">in the </w:t>
      </w:r>
      <w:r w:rsidR="00046D20">
        <w:t xml:space="preserve">ITC Project as </w:t>
      </w:r>
      <w:r w:rsidR="00DC7729">
        <w:t xml:space="preserve">an </w:t>
      </w:r>
      <w:r w:rsidR="00046D20">
        <w:t>“Other Financial Asset” and valued it at $15,000.</w:t>
      </w:r>
    </w:p>
    <w:p w:rsidR="00E4637B" w:rsidRDefault="00046D20" w:rsidP="00440F60">
      <w:pPr>
        <w:pStyle w:val="ListNumber"/>
        <w:numPr>
          <w:ilvl w:val="0"/>
          <w:numId w:val="6"/>
        </w:numPr>
      </w:pPr>
      <w:r>
        <w:t xml:space="preserve">Following advice from their financial advisors, the </w:t>
      </w:r>
      <w:proofErr w:type="spellStart"/>
      <w:r>
        <w:t>Friedlanders</w:t>
      </w:r>
      <w:proofErr w:type="spellEnd"/>
      <w:r>
        <w:t xml:space="preserve"> increased the value of their investment with ITC Project from $15,000 to $16,500.  </w:t>
      </w:r>
    </w:p>
    <w:p w:rsidR="00E4637B" w:rsidRDefault="00E4637B" w:rsidP="00440F60">
      <w:pPr>
        <w:pStyle w:val="ListNumber"/>
        <w:numPr>
          <w:ilvl w:val="0"/>
          <w:numId w:val="6"/>
        </w:numPr>
      </w:pPr>
      <w:r>
        <w:t xml:space="preserve">On 29 February 2008 the </w:t>
      </w:r>
      <w:proofErr w:type="spellStart"/>
      <w:r>
        <w:t>Friedlanders</w:t>
      </w:r>
      <w:proofErr w:type="spellEnd"/>
      <w:r>
        <w:t xml:space="preserve"> forwarded an income an asset statement to the DVA (</w:t>
      </w:r>
      <w:r w:rsidR="000352C3">
        <w:t xml:space="preserve">which was </w:t>
      </w:r>
      <w:r>
        <w:t>received on 27 March 2008)</w:t>
      </w:r>
      <w:r w:rsidR="000352C3">
        <w:t>,</w:t>
      </w:r>
      <w:r>
        <w:t xml:space="preserve"> recording the</w:t>
      </w:r>
      <w:r w:rsidR="000352C3">
        <w:t xml:space="preserve"> value of the</w:t>
      </w:r>
      <w:r>
        <w:t xml:space="preserve">ir investment </w:t>
      </w:r>
      <w:r w:rsidR="000352C3">
        <w:t xml:space="preserve">in the </w:t>
      </w:r>
      <w:r>
        <w:t xml:space="preserve">ITC Project </w:t>
      </w:r>
      <w:r w:rsidR="009D5B84">
        <w:t xml:space="preserve">as </w:t>
      </w:r>
      <w:r>
        <w:t>$16,500.</w:t>
      </w:r>
    </w:p>
    <w:p w:rsidR="00D06920" w:rsidRDefault="00046D20" w:rsidP="00440F60">
      <w:pPr>
        <w:pStyle w:val="ListNumber"/>
        <w:numPr>
          <w:ilvl w:val="0"/>
          <w:numId w:val="6"/>
        </w:numPr>
      </w:pPr>
      <w:r>
        <w:lastRenderedPageBreak/>
        <w:t xml:space="preserve">On 22 June 2008, the DVA acknowledged that the “asset amount” of the </w:t>
      </w:r>
      <w:proofErr w:type="spellStart"/>
      <w:r>
        <w:t>Friedlanders</w:t>
      </w:r>
      <w:proofErr w:type="spellEnd"/>
      <w:r>
        <w:t xml:space="preserve">’ investment </w:t>
      </w:r>
      <w:r w:rsidR="000352C3">
        <w:t xml:space="preserve">in the </w:t>
      </w:r>
      <w:r>
        <w:t xml:space="preserve">ITC Project was $16,500 and </w:t>
      </w:r>
      <w:r w:rsidR="000352C3">
        <w:t xml:space="preserve">it </w:t>
      </w:r>
      <w:r>
        <w:t>continued to record th</w:t>
      </w:r>
      <w:r w:rsidR="000352C3">
        <w:t>e</w:t>
      </w:r>
      <w:r>
        <w:t xml:space="preserve"> </w:t>
      </w:r>
      <w:r w:rsidR="00D06920">
        <w:t>investment as an “Other Financial Asset.”</w:t>
      </w:r>
    </w:p>
    <w:p w:rsidR="00E4637B" w:rsidRDefault="00E4637B" w:rsidP="00E4637B">
      <w:pPr>
        <w:pStyle w:val="ListNumber"/>
        <w:numPr>
          <w:ilvl w:val="0"/>
          <w:numId w:val="6"/>
        </w:numPr>
      </w:pPr>
      <w:r>
        <w:t xml:space="preserve">On 31 August 2008, 28 February 2009, 31 August 2009, 31 October 2009, 30 November 2009, 31 December 2009, 31 January 2010, 28 February 2010 and 30 April 2010 the </w:t>
      </w:r>
      <w:proofErr w:type="spellStart"/>
      <w:r>
        <w:t>Friedlanders</w:t>
      </w:r>
      <w:proofErr w:type="spellEnd"/>
      <w:r>
        <w:t xml:space="preserve"> forwarded income an asset statement</w:t>
      </w:r>
      <w:r w:rsidR="009D5B84">
        <w:t>s</w:t>
      </w:r>
      <w:r>
        <w:t xml:space="preserve"> to the DVA recording the</w:t>
      </w:r>
      <w:r w:rsidR="000352C3">
        <w:t xml:space="preserve"> value of the</w:t>
      </w:r>
      <w:r>
        <w:t xml:space="preserve">ir investment </w:t>
      </w:r>
      <w:r w:rsidR="000352C3">
        <w:t xml:space="preserve">in the </w:t>
      </w:r>
      <w:r>
        <w:t xml:space="preserve">ITC Project </w:t>
      </w:r>
      <w:r w:rsidR="009D5B84">
        <w:t xml:space="preserve">as </w:t>
      </w:r>
      <w:r>
        <w:t>$16,500.</w:t>
      </w:r>
    </w:p>
    <w:p w:rsidR="00D06920" w:rsidRDefault="00D06920" w:rsidP="00440F60">
      <w:pPr>
        <w:pStyle w:val="ListNumber"/>
        <w:numPr>
          <w:ilvl w:val="0"/>
          <w:numId w:val="6"/>
        </w:numPr>
      </w:pPr>
      <w:r>
        <w:t xml:space="preserve">On 11 June 2010 the </w:t>
      </w:r>
      <w:proofErr w:type="spellStart"/>
      <w:r>
        <w:t>Friedlanders</w:t>
      </w:r>
      <w:proofErr w:type="spellEnd"/>
      <w:r>
        <w:t xml:space="preserve"> forwarded a</w:t>
      </w:r>
      <w:r w:rsidR="00190460">
        <w:t xml:space="preserve">n income and assets </w:t>
      </w:r>
      <w:r>
        <w:t xml:space="preserve">statement (dated 31 May 2012) to the DVA </w:t>
      </w:r>
      <w:r w:rsidR="009D5B84">
        <w:t xml:space="preserve">recording their </w:t>
      </w:r>
      <w:r>
        <w:t xml:space="preserve">investment </w:t>
      </w:r>
      <w:r w:rsidR="000352C3">
        <w:t xml:space="preserve">in the </w:t>
      </w:r>
      <w:r>
        <w:t xml:space="preserve">ITC Project </w:t>
      </w:r>
      <w:r w:rsidR="009D5B84">
        <w:t xml:space="preserve">as having the </w:t>
      </w:r>
      <w:r>
        <w:t xml:space="preserve">reduced </w:t>
      </w:r>
      <w:r w:rsidR="00085289">
        <w:t xml:space="preserve">value </w:t>
      </w:r>
      <w:r w:rsidR="009D5B84">
        <w:t xml:space="preserve">of </w:t>
      </w:r>
      <w:r>
        <w:t>$14,412 as a result of $2088</w:t>
      </w:r>
      <w:r w:rsidR="00284917">
        <w:t>.14</w:t>
      </w:r>
      <w:r>
        <w:t xml:space="preserve"> </w:t>
      </w:r>
      <w:r w:rsidR="000352C3">
        <w:t xml:space="preserve">them receiving </w:t>
      </w:r>
      <w:r>
        <w:t>from the sale of t</w:t>
      </w:r>
      <w:r w:rsidR="000352C3">
        <w:t>imber</w:t>
      </w:r>
      <w:r>
        <w:t xml:space="preserve">.  </w:t>
      </w:r>
      <w:r w:rsidR="00261342">
        <w:t>T</w:t>
      </w:r>
      <w:r>
        <w:t>his reduction was acknowledged by the DVA</w:t>
      </w:r>
      <w:r w:rsidR="00261342">
        <w:t xml:space="preserve"> on 3 August 2010.</w:t>
      </w:r>
    </w:p>
    <w:p w:rsidR="009D5B84" w:rsidRDefault="00E4637B" w:rsidP="00E4637B">
      <w:pPr>
        <w:pStyle w:val="ListNumber"/>
        <w:numPr>
          <w:ilvl w:val="0"/>
          <w:numId w:val="6"/>
        </w:numPr>
      </w:pPr>
      <w:r>
        <w:t>On 14 July 2010</w:t>
      </w:r>
      <w:r w:rsidR="009D5B84">
        <w:t>, 30 September 2010, 30 October 2010 and 30 November 2010</w:t>
      </w:r>
      <w:r>
        <w:t xml:space="preserve"> the </w:t>
      </w:r>
      <w:proofErr w:type="spellStart"/>
      <w:r>
        <w:t>Friedlanders</w:t>
      </w:r>
      <w:proofErr w:type="spellEnd"/>
      <w:r>
        <w:t xml:space="preserve"> forwarded income and assets statement</w:t>
      </w:r>
      <w:r w:rsidR="009D5B84">
        <w:t>s</w:t>
      </w:r>
      <w:r>
        <w:t xml:space="preserve"> to the DVA </w:t>
      </w:r>
      <w:r w:rsidR="009D5B84">
        <w:t>recording the</w:t>
      </w:r>
      <w:r w:rsidR="000352C3">
        <w:t xml:space="preserve"> value of the</w:t>
      </w:r>
      <w:r w:rsidR="009D5B84">
        <w:t xml:space="preserve">ir </w:t>
      </w:r>
      <w:r>
        <w:t xml:space="preserve">investment </w:t>
      </w:r>
      <w:r w:rsidR="000352C3">
        <w:t xml:space="preserve">in </w:t>
      </w:r>
      <w:r>
        <w:t xml:space="preserve">ITC Project </w:t>
      </w:r>
      <w:r w:rsidR="009D5B84">
        <w:t xml:space="preserve">as </w:t>
      </w:r>
      <w:r>
        <w:t>$14,412</w:t>
      </w:r>
      <w:r w:rsidR="009D5B84">
        <w:t>.</w:t>
      </w:r>
    </w:p>
    <w:p w:rsidR="00085289" w:rsidRDefault="00261342" w:rsidP="00440F60">
      <w:pPr>
        <w:pStyle w:val="ListNumber"/>
        <w:numPr>
          <w:ilvl w:val="0"/>
          <w:numId w:val="6"/>
        </w:numPr>
      </w:pPr>
      <w:r>
        <w:t xml:space="preserve">On </w:t>
      </w:r>
      <w:r w:rsidR="00085289">
        <w:t xml:space="preserve">3 February 2011 the </w:t>
      </w:r>
      <w:proofErr w:type="spellStart"/>
      <w:r w:rsidR="00085289">
        <w:t>Friedlanders</w:t>
      </w:r>
      <w:proofErr w:type="spellEnd"/>
      <w:r w:rsidR="00085289">
        <w:t xml:space="preserve"> forwarded a</w:t>
      </w:r>
      <w:r w:rsidR="00190460">
        <w:t>n income and assets</w:t>
      </w:r>
      <w:r w:rsidR="00085289">
        <w:t xml:space="preserve"> statement (dated 31 December 2010) to the DVA </w:t>
      </w:r>
      <w:r w:rsidR="009D5B84">
        <w:t xml:space="preserve">recording their </w:t>
      </w:r>
      <w:r w:rsidR="00085289">
        <w:t xml:space="preserve">investment </w:t>
      </w:r>
      <w:r w:rsidR="000352C3">
        <w:t xml:space="preserve">in the </w:t>
      </w:r>
      <w:r w:rsidR="00085289">
        <w:t xml:space="preserve">ITC Project </w:t>
      </w:r>
      <w:r w:rsidR="009D5B84">
        <w:t xml:space="preserve">as having the </w:t>
      </w:r>
      <w:r w:rsidR="00085289">
        <w:t xml:space="preserve">reduced value </w:t>
      </w:r>
      <w:r w:rsidR="009D5B84">
        <w:t>of</w:t>
      </w:r>
      <w:r w:rsidR="00085289">
        <w:t xml:space="preserve"> $8</w:t>
      </w:r>
      <w:r w:rsidR="00755AE1">
        <w:t>,</w:t>
      </w:r>
      <w:r w:rsidR="00085289">
        <w:t>244.58</w:t>
      </w:r>
      <w:r w:rsidR="00755AE1">
        <w:t xml:space="preserve"> as a result of </w:t>
      </w:r>
      <w:r w:rsidR="000352C3">
        <w:t xml:space="preserve">them receiving </w:t>
      </w:r>
      <w:r w:rsidR="00755AE1">
        <w:t xml:space="preserve">$8,255 </w:t>
      </w:r>
      <w:r w:rsidR="000352C3">
        <w:t>f</w:t>
      </w:r>
      <w:r w:rsidR="00755AE1">
        <w:t>rom the sale of t</w:t>
      </w:r>
      <w:r w:rsidR="000352C3">
        <w:t>imber</w:t>
      </w:r>
      <w:r w:rsidR="00755AE1">
        <w:t>.</w:t>
      </w:r>
    </w:p>
    <w:p w:rsidR="009D5B84" w:rsidRDefault="009D5B84" w:rsidP="009D5B84">
      <w:pPr>
        <w:pStyle w:val="ListNumber"/>
        <w:numPr>
          <w:ilvl w:val="0"/>
          <w:numId w:val="6"/>
        </w:numPr>
      </w:pPr>
      <w:r>
        <w:t xml:space="preserve">On 31 January 2011, 31 March 2011 and 30 April 2011 the </w:t>
      </w:r>
      <w:proofErr w:type="spellStart"/>
      <w:r>
        <w:t>Friedlanders</w:t>
      </w:r>
      <w:proofErr w:type="spellEnd"/>
      <w:r>
        <w:t xml:space="preserve"> forwarded income and assets statements to the DVA recording the</w:t>
      </w:r>
      <w:r w:rsidR="000352C3">
        <w:t xml:space="preserve"> value of the</w:t>
      </w:r>
      <w:r>
        <w:t xml:space="preserve">ir investment </w:t>
      </w:r>
      <w:r w:rsidR="000352C3">
        <w:t xml:space="preserve">in </w:t>
      </w:r>
      <w:proofErr w:type="gramStart"/>
      <w:r w:rsidR="000352C3">
        <w:t xml:space="preserve">the </w:t>
      </w:r>
      <w:r>
        <w:t xml:space="preserve"> ITC</w:t>
      </w:r>
      <w:proofErr w:type="gramEnd"/>
      <w:r>
        <w:t xml:space="preserve"> Project as $8,244.58.</w:t>
      </w:r>
    </w:p>
    <w:p w:rsidR="001F7B4B" w:rsidRDefault="00755AE1" w:rsidP="00440F60">
      <w:pPr>
        <w:pStyle w:val="ListNumber"/>
        <w:numPr>
          <w:ilvl w:val="0"/>
          <w:numId w:val="6"/>
        </w:numPr>
      </w:pPr>
      <w:r>
        <w:t xml:space="preserve">On 31 May 2011 the </w:t>
      </w:r>
      <w:proofErr w:type="spellStart"/>
      <w:r>
        <w:t>Friedlanders</w:t>
      </w:r>
      <w:proofErr w:type="spellEnd"/>
      <w:r>
        <w:t xml:space="preserve"> forwarded a</w:t>
      </w:r>
      <w:r w:rsidR="00190460">
        <w:t>n income and assets</w:t>
      </w:r>
      <w:r>
        <w:t xml:space="preserve"> statement (of even date) to the DVA showing that their investment with ITC Project had been “Paid Out” as a result of </w:t>
      </w:r>
      <w:r w:rsidR="000352C3">
        <w:t xml:space="preserve">them </w:t>
      </w:r>
      <w:r>
        <w:t xml:space="preserve">having received </w:t>
      </w:r>
      <w:r w:rsidR="000352C3">
        <w:t>$8,599.15</w:t>
      </w:r>
      <w:r>
        <w:t xml:space="preserve"> from the sale of </w:t>
      </w:r>
      <w:r w:rsidR="000352C3">
        <w:t>timber</w:t>
      </w:r>
      <w:r>
        <w:t>.</w:t>
      </w:r>
      <w:r w:rsidR="00647D37">
        <w:t xml:space="preserve"> </w:t>
      </w:r>
    </w:p>
    <w:p w:rsidR="00BF7989" w:rsidRDefault="00755AE1" w:rsidP="00440F60">
      <w:pPr>
        <w:pStyle w:val="ListNumber"/>
        <w:numPr>
          <w:ilvl w:val="0"/>
          <w:numId w:val="6"/>
        </w:numPr>
      </w:pPr>
      <w:r>
        <w:t xml:space="preserve">The </w:t>
      </w:r>
      <w:proofErr w:type="spellStart"/>
      <w:r>
        <w:t>Friedlanders</w:t>
      </w:r>
      <w:proofErr w:type="spellEnd"/>
      <w:r>
        <w:t>’ statement</w:t>
      </w:r>
      <w:r w:rsidR="000352C3">
        <w:t>, dated 31 May 201,</w:t>
      </w:r>
      <w:r>
        <w:t xml:space="preserve"> prompted </w:t>
      </w:r>
      <w:r w:rsidR="00190460">
        <w:t xml:space="preserve">an investigation by the DVA </w:t>
      </w:r>
      <w:r w:rsidR="00BF7989">
        <w:t>into the</w:t>
      </w:r>
      <w:r w:rsidR="000352C3">
        <w:t xml:space="preserve"> nature of the Friedlander’s </w:t>
      </w:r>
      <w:r w:rsidR="00BF7989">
        <w:t xml:space="preserve">investment </w:t>
      </w:r>
      <w:r w:rsidR="000352C3">
        <w:t xml:space="preserve">in the </w:t>
      </w:r>
      <w:r w:rsidR="00BF7989">
        <w:t>ITC Project.</w:t>
      </w:r>
    </w:p>
    <w:p w:rsidR="00190460" w:rsidRDefault="00190460" w:rsidP="00440F60">
      <w:pPr>
        <w:pStyle w:val="ListNumber"/>
        <w:numPr>
          <w:ilvl w:val="0"/>
          <w:numId w:val="6"/>
        </w:numPr>
      </w:pPr>
      <w:r>
        <w:lastRenderedPageBreak/>
        <w:t xml:space="preserve">As part of this investigation, the DVA requested confirmation from Elders </w:t>
      </w:r>
      <w:r w:rsidR="00284917">
        <w:t xml:space="preserve">regarding the distributions made by it to the </w:t>
      </w:r>
      <w:proofErr w:type="spellStart"/>
      <w:r w:rsidR="00284917">
        <w:t>Friedlanders</w:t>
      </w:r>
      <w:proofErr w:type="spellEnd"/>
      <w:r w:rsidR="00284917">
        <w:t xml:space="preserve"> in respect of their investment </w:t>
      </w:r>
      <w:r w:rsidR="000352C3">
        <w:t>in the</w:t>
      </w:r>
      <w:r w:rsidR="00284917">
        <w:t xml:space="preserve"> ITC Project.  On 26 July 2011, the DVA received confirmation from Elders that the following 3 distributions were made </w:t>
      </w:r>
      <w:r w:rsidR="000352C3">
        <w:t xml:space="preserve">by it </w:t>
      </w:r>
      <w:r w:rsidR="00284917">
        <w:t>to Mrs Friedlander:</w:t>
      </w:r>
    </w:p>
    <w:p w:rsidR="00284917" w:rsidRDefault="00284917" w:rsidP="00284917">
      <w:pPr>
        <w:pStyle w:val="ListNumber"/>
        <w:numPr>
          <w:ilvl w:val="0"/>
          <w:numId w:val="0"/>
        </w:numPr>
      </w:pPr>
      <w:r>
        <w:t>(i)</w:t>
      </w:r>
      <w:r>
        <w:tab/>
        <w:t>$2,088.14 (paid on 25 May 2010);</w:t>
      </w:r>
    </w:p>
    <w:p w:rsidR="00284917" w:rsidRDefault="00284917" w:rsidP="00284917">
      <w:pPr>
        <w:pStyle w:val="ListNumber"/>
        <w:numPr>
          <w:ilvl w:val="0"/>
          <w:numId w:val="0"/>
        </w:numPr>
      </w:pPr>
      <w:r>
        <w:t>(ii)</w:t>
      </w:r>
      <w:r>
        <w:tab/>
        <w:t>$8,255.42 (paid on 30 November 2010); and</w:t>
      </w:r>
    </w:p>
    <w:p w:rsidR="00284917" w:rsidRDefault="00284917" w:rsidP="00284917">
      <w:pPr>
        <w:pStyle w:val="ListNumber"/>
        <w:numPr>
          <w:ilvl w:val="0"/>
          <w:numId w:val="0"/>
        </w:numPr>
      </w:pPr>
      <w:r>
        <w:t>(iii)</w:t>
      </w:r>
      <w:r>
        <w:tab/>
        <w:t>$8,599.15 (paid on 31 May 2011).</w:t>
      </w:r>
    </w:p>
    <w:p w:rsidR="00284917" w:rsidRDefault="000352C3" w:rsidP="00440F60">
      <w:pPr>
        <w:pStyle w:val="ListNumber"/>
        <w:numPr>
          <w:ilvl w:val="0"/>
          <w:numId w:val="6"/>
        </w:numPr>
      </w:pPr>
      <w:r>
        <w:t xml:space="preserve">As a result of its </w:t>
      </w:r>
      <w:r w:rsidR="00284917">
        <w:t xml:space="preserve">investigation, on 3 August 2011, the DVA wrote to the </w:t>
      </w:r>
      <w:proofErr w:type="spellStart"/>
      <w:r w:rsidR="00284917">
        <w:t>Friedlanders</w:t>
      </w:r>
      <w:proofErr w:type="spellEnd"/>
      <w:r w:rsidR="00284917">
        <w:t xml:space="preserve"> regarding their service pension.  That letter states, in part:</w:t>
      </w:r>
    </w:p>
    <w:p w:rsidR="001F7B4B" w:rsidRPr="00BF7989" w:rsidRDefault="00284917" w:rsidP="00BF7989">
      <w:pPr>
        <w:pStyle w:val="ListNumber"/>
        <w:numPr>
          <w:ilvl w:val="0"/>
          <w:numId w:val="0"/>
        </w:numPr>
        <w:ind w:left="720"/>
        <w:rPr>
          <w:i/>
          <w:sz w:val="22"/>
          <w:szCs w:val="22"/>
        </w:rPr>
      </w:pPr>
      <w:r w:rsidRPr="00BF7989">
        <w:rPr>
          <w:i/>
          <w:sz w:val="22"/>
          <w:szCs w:val="22"/>
        </w:rPr>
        <w:t xml:space="preserve">“Your letter dated 31 May 2011 prompted </w:t>
      </w:r>
      <w:r w:rsidR="00BF7989" w:rsidRPr="00BF7989">
        <w:rPr>
          <w:i/>
          <w:sz w:val="22"/>
          <w:szCs w:val="22"/>
        </w:rPr>
        <w:t xml:space="preserve">an investigation into your ITC tree lot investment.  </w:t>
      </w:r>
      <w:r w:rsidR="00BF7989" w:rsidRPr="000352C3">
        <w:rPr>
          <w:b/>
          <w:i/>
          <w:sz w:val="22"/>
          <w:szCs w:val="22"/>
        </w:rPr>
        <w:t>An examination of your file has revealed that this asset has been incorrectly recorded on your pension assessment since date of grant</w:t>
      </w:r>
      <w:r w:rsidR="00BF7989" w:rsidRPr="00BF7989">
        <w:rPr>
          <w:i/>
          <w:sz w:val="22"/>
          <w:szCs w:val="22"/>
        </w:rPr>
        <w:t>.</w:t>
      </w:r>
    </w:p>
    <w:p w:rsidR="00BF7989" w:rsidRPr="00BF7989" w:rsidRDefault="00BF7989" w:rsidP="00BF7989">
      <w:pPr>
        <w:pStyle w:val="ListNumber"/>
        <w:numPr>
          <w:ilvl w:val="0"/>
          <w:numId w:val="0"/>
        </w:numPr>
        <w:ind w:left="720"/>
        <w:rPr>
          <w:i/>
          <w:sz w:val="22"/>
          <w:szCs w:val="22"/>
        </w:rPr>
      </w:pPr>
      <w:r w:rsidRPr="00BF7989">
        <w:rPr>
          <w:i/>
          <w:sz w:val="22"/>
          <w:szCs w:val="22"/>
        </w:rPr>
        <w:t>This has now been corrected resulting in an overpayment of $1,856.68 each.  However, this overpayment only commenced from 30 November 2010 when you received a distribution of $8,255.42 from Elders Forestry in respect of your investment.  Any income received from your investment is held in your pension assessment for twelve months.  As at 30 November 2010, your rate of service pension, previously paid under the assets test, altered and became payable under the income test.</w:t>
      </w:r>
    </w:p>
    <w:p w:rsidR="00BF7989" w:rsidRPr="00BF7989" w:rsidRDefault="00BF7989" w:rsidP="00BF7989">
      <w:pPr>
        <w:pStyle w:val="ListNumber"/>
        <w:numPr>
          <w:ilvl w:val="0"/>
          <w:numId w:val="0"/>
        </w:numPr>
        <w:ind w:left="720"/>
        <w:rPr>
          <w:i/>
          <w:sz w:val="22"/>
          <w:szCs w:val="22"/>
        </w:rPr>
      </w:pPr>
      <w:r w:rsidRPr="00BF7989">
        <w:rPr>
          <w:i/>
          <w:sz w:val="22"/>
          <w:szCs w:val="22"/>
        </w:rPr>
        <w:t>Furthermore, another distribution of $8,599.15 was received on 31 May 2011.  This has been recorded in your pension assessment for twelve months.</w:t>
      </w:r>
    </w:p>
    <w:p w:rsidR="00BF7989" w:rsidRPr="00BF7989" w:rsidRDefault="00BF7989" w:rsidP="00BF7989">
      <w:pPr>
        <w:pStyle w:val="ListNumber"/>
        <w:numPr>
          <w:ilvl w:val="0"/>
          <w:numId w:val="0"/>
        </w:numPr>
        <w:ind w:left="720"/>
        <w:rPr>
          <w:i/>
          <w:sz w:val="22"/>
          <w:szCs w:val="22"/>
        </w:rPr>
      </w:pPr>
      <w:r w:rsidRPr="00BF7989">
        <w:rPr>
          <w:i/>
          <w:sz w:val="22"/>
          <w:szCs w:val="22"/>
        </w:rPr>
        <w:t>Your tree lots are still owned with the current value recorded as $6,257.29.  You are due to receive another distribution in November 2011.  This will be your final distribution at which time the asset value of your ITC investment will be reduced to nil.</w:t>
      </w:r>
    </w:p>
    <w:p w:rsidR="00BF7989" w:rsidRPr="00BF7989" w:rsidRDefault="00BF7989" w:rsidP="00BF7989">
      <w:pPr>
        <w:pStyle w:val="ListNumber"/>
        <w:numPr>
          <w:ilvl w:val="0"/>
          <w:numId w:val="0"/>
        </w:numPr>
        <w:ind w:left="720"/>
        <w:rPr>
          <w:i/>
          <w:sz w:val="22"/>
          <w:szCs w:val="22"/>
        </w:rPr>
      </w:pPr>
      <w:r w:rsidRPr="00BF7989">
        <w:rPr>
          <w:i/>
          <w:sz w:val="22"/>
          <w:szCs w:val="22"/>
        </w:rPr>
        <w:t>…………..</w:t>
      </w:r>
    </w:p>
    <w:p w:rsidR="00BF7989" w:rsidRPr="000352C3" w:rsidRDefault="00BF7989" w:rsidP="00BF7989">
      <w:pPr>
        <w:pStyle w:val="ListNumber"/>
        <w:numPr>
          <w:ilvl w:val="0"/>
          <w:numId w:val="0"/>
        </w:numPr>
        <w:ind w:left="720"/>
        <w:rPr>
          <w:sz w:val="22"/>
          <w:szCs w:val="22"/>
        </w:rPr>
      </w:pPr>
      <w:r w:rsidRPr="00BF7989">
        <w:rPr>
          <w:i/>
          <w:sz w:val="22"/>
          <w:szCs w:val="22"/>
        </w:rPr>
        <w:lastRenderedPageBreak/>
        <w:t>Please pay the amount of $3,713.36 to the Receiver of Public Money….no later than 28 days from the</w:t>
      </w:r>
      <w:r w:rsidR="000352C3">
        <w:rPr>
          <w:i/>
          <w:sz w:val="22"/>
          <w:szCs w:val="22"/>
        </w:rPr>
        <w:t xml:space="preserve"> date of this letter…” </w:t>
      </w:r>
      <w:r w:rsidR="000352C3">
        <w:rPr>
          <w:sz w:val="22"/>
          <w:szCs w:val="22"/>
        </w:rPr>
        <w:t>[Emphasis added]</w:t>
      </w:r>
    </w:p>
    <w:p w:rsidR="001F7B4B" w:rsidRDefault="0016135E" w:rsidP="00440F60">
      <w:pPr>
        <w:pStyle w:val="ListNumber"/>
        <w:numPr>
          <w:ilvl w:val="0"/>
          <w:numId w:val="6"/>
        </w:numPr>
      </w:pPr>
      <w:r>
        <w:t xml:space="preserve">On 2 September 2011 the </w:t>
      </w:r>
      <w:proofErr w:type="spellStart"/>
      <w:r>
        <w:t>Friedlanders</w:t>
      </w:r>
      <w:proofErr w:type="spellEnd"/>
      <w:r>
        <w:t xml:space="preserve"> received a final (cheque) payment of $2,378.85 from Elders in respect of their investment </w:t>
      </w:r>
      <w:r w:rsidR="000352C3">
        <w:t xml:space="preserve">in the </w:t>
      </w:r>
      <w:r>
        <w:t xml:space="preserve">ITC Project.  Mrs Friedlander immediately forwarded this cheque to the DVA to </w:t>
      </w:r>
      <w:r w:rsidR="000352C3">
        <w:t xml:space="preserve">have the moneys </w:t>
      </w:r>
      <w:r>
        <w:t xml:space="preserve">applied towards </w:t>
      </w:r>
      <w:r w:rsidR="000352C3">
        <w:t xml:space="preserve">her and her husband’s service pension </w:t>
      </w:r>
      <w:r>
        <w:t>overpayment of $3,713.36.  However, the cheque was subsequently returned to Mrs Friedlander by the DVA.</w:t>
      </w:r>
    </w:p>
    <w:p w:rsidR="00BF7989" w:rsidRDefault="0016135E" w:rsidP="00440F60">
      <w:pPr>
        <w:pStyle w:val="ListNumber"/>
        <w:numPr>
          <w:ilvl w:val="0"/>
          <w:numId w:val="6"/>
        </w:numPr>
      </w:pPr>
      <w:r>
        <w:t xml:space="preserve">On 14 August 2011 the </w:t>
      </w:r>
      <w:proofErr w:type="spellStart"/>
      <w:r>
        <w:t>Friedlanders</w:t>
      </w:r>
      <w:proofErr w:type="spellEnd"/>
      <w:r>
        <w:t xml:space="preserve"> applied for a review of the DVA’s decision dated 3 August 2011.  </w:t>
      </w:r>
    </w:p>
    <w:p w:rsidR="00BF7989" w:rsidRDefault="0016135E" w:rsidP="00440F60">
      <w:pPr>
        <w:pStyle w:val="ListNumber"/>
        <w:numPr>
          <w:ilvl w:val="0"/>
          <w:numId w:val="6"/>
        </w:numPr>
      </w:pPr>
      <w:r>
        <w:t>On 8 September 2011 a Service Pension Review Officer affirmed that decision.</w:t>
      </w:r>
    </w:p>
    <w:p w:rsidR="00E96826" w:rsidRDefault="0016135E" w:rsidP="00440F60">
      <w:pPr>
        <w:pStyle w:val="ListNumber"/>
        <w:numPr>
          <w:ilvl w:val="0"/>
          <w:numId w:val="6"/>
        </w:numPr>
      </w:pPr>
      <w:r>
        <w:t xml:space="preserve">On 20 September 2011 the </w:t>
      </w:r>
      <w:proofErr w:type="spellStart"/>
      <w:r>
        <w:t>Friedlanders</w:t>
      </w:r>
      <w:proofErr w:type="spellEnd"/>
      <w:r>
        <w:t xml:space="preserve"> applied to the Tribunal for a review of the Service Pension Review Officer’s decision dated 8 September 2011.</w:t>
      </w:r>
      <w:r w:rsidR="00AB5855">
        <w:t xml:space="preserve">  </w:t>
      </w:r>
    </w:p>
    <w:p w:rsidR="00BC634C" w:rsidRDefault="00BC634C" w:rsidP="00BC634C">
      <w:pPr>
        <w:pStyle w:val="ListNumber"/>
        <w:numPr>
          <w:ilvl w:val="0"/>
          <w:numId w:val="6"/>
        </w:numPr>
      </w:pPr>
      <w:r>
        <w:t xml:space="preserve">Mrs Friedlander </w:t>
      </w:r>
      <w:r w:rsidR="007F0629">
        <w:t xml:space="preserve">told the Tribunal that she </w:t>
      </w:r>
      <w:r>
        <w:t xml:space="preserve">referred </w:t>
      </w:r>
      <w:r w:rsidR="007F0629">
        <w:t xml:space="preserve">her and her husband’s </w:t>
      </w:r>
      <w:r>
        <w:t xml:space="preserve">matter to the Ombudsman for </w:t>
      </w:r>
      <w:r w:rsidR="007F0629">
        <w:t>investigation</w:t>
      </w:r>
      <w:r>
        <w:t xml:space="preserve"> about one month ago</w:t>
      </w:r>
      <w:r w:rsidR="007F0629">
        <w:t xml:space="preserve">.  That investigation </w:t>
      </w:r>
      <w:r>
        <w:t>is on hold pending the outcome of this review application.</w:t>
      </w:r>
    </w:p>
    <w:p w:rsidR="0016135E" w:rsidRPr="00E13BDE" w:rsidRDefault="00E13BDE" w:rsidP="00E13BDE">
      <w:pPr>
        <w:pStyle w:val="ListNumber"/>
        <w:numPr>
          <w:ilvl w:val="0"/>
          <w:numId w:val="0"/>
        </w:numPr>
        <w:rPr>
          <w:b/>
          <w:i/>
        </w:rPr>
      </w:pPr>
      <w:r w:rsidRPr="00E13BDE">
        <w:rPr>
          <w:b/>
          <w:i/>
        </w:rPr>
        <w:t>ITC Project Prospectus</w:t>
      </w:r>
    </w:p>
    <w:p w:rsidR="003F49F9" w:rsidRDefault="007F0629" w:rsidP="003F49F9">
      <w:pPr>
        <w:pStyle w:val="ListNumber"/>
        <w:numPr>
          <w:ilvl w:val="0"/>
          <w:numId w:val="6"/>
        </w:numPr>
      </w:pPr>
      <w:r>
        <w:t xml:space="preserve">The key features of the ITC Project, as described in the </w:t>
      </w:r>
      <w:r w:rsidR="003F49F9">
        <w:t>Prospectus for the ITC Project</w:t>
      </w:r>
      <w:r>
        <w:t>,</w:t>
      </w:r>
      <w:r w:rsidR="003F49F9">
        <w:t xml:space="preserve"> dated 13 November 1998</w:t>
      </w:r>
      <w:r>
        <w:t xml:space="preserve"> (</w:t>
      </w:r>
      <w:r w:rsidRPr="007F0629">
        <w:rPr>
          <w:b/>
        </w:rPr>
        <w:t>ITC Project Prospectus</w:t>
      </w:r>
      <w:r>
        <w:t>)</w:t>
      </w:r>
      <w:r w:rsidR="00F84AB6">
        <w:t xml:space="preserve"> are</w:t>
      </w:r>
      <w:r w:rsidR="00DC7729">
        <w:t xml:space="preserve"> </w:t>
      </w:r>
      <w:r w:rsidR="00C8016F">
        <w:t>as follows</w:t>
      </w:r>
      <w:r w:rsidR="003F49F9">
        <w:t>:</w:t>
      </w:r>
    </w:p>
    <w:p w:rsidR="003529AA" w:rsidRDefault="00F36717" w:rsidP="00815E49">
      <w:pPr>
        <w:pStyle w:val="ListNumber"/>
        <w:numPr>
          <w:ilvl w:val="0"/>
          <w:numId w:val="17"/>
        </w:numPr>
      </w:pPr>
      <w:r>
        <w:t xml:space="preserve">By entering into a </w:t>
      </w:r>
      <w:r w:rsidR="006A6B66">
        <w:t>by entering into a Lease and Management Agreement with ITC Project Management Limited (</w:t>
      </w:r>
      <w:r w:rsidR="006A6B66" w:rsidRPr="006A6B66">
        <w:rPr>
          <w:b/>
        </w:rPr>
        <w:t>ITCPM</w:t>
      </w:r>
      <w:r w:rsidR="006A6B66">
        <w:t>) and Integrated Tree Cropping Pty Ltd (</w:t>
      </w:r>
      <w:r w:rsidR="006A6B66" w:rsidRPr="006A6B66">
        <w:rPr>
          <w:b/>
        </w:rPr>
        <w:t>ITC</w:t>
      </w:r>
      <w:r w:rsidR="000A29C5">
        <w:rPr>
          <w:b/>
        </w:rPr>
        <w:t>PL</w:t>
      </w:r>
      <w:r w:rsidR="006A6B66">
        <w:t>), as lessor, an</w:t>
      </w:r>
      <w:r>
        <w:t xml:space="preserve"> investor, called a “Grower”, </w:t>
      </w:r>
      <w:r w:rsidR="00D94841">
        <w:t>obtain</w:t>
      </w:r>
      <w:r>
        <w:t>s</w:t>
      </w:r>
      <w:r w:rsidR="00BC634C">
        <w:t xml:space="preserve"> a</w:t>
      </w:r>
      <w:r>
        <w:t xml:space="preserve"> leasehold interest from ITCPL</w:t>
      </w:r>
      <w:r w:rsidR="00BC634C">
        <w:t xml:space="preserve"> </w:t>
      </w:r>
      <w:r w:rsidR="00D94841">
        <w:t>in a</w:t>
      </w:r>
      <w:r>
        <w:t xml:space="preserve"> specified </w:t>
      </w:r>
      <w:r w:rsidR="00D94841">
        <w:t xml:space="preserve">area of land located in the South West and Great Southern regions of Western Australia </w:t>
      </w:r>
      <w:r>
        <w:t xml:space="preserve">which is </w:t>
      </w:r>
      <w:r w:rsidR="00D94841">
        <w:t xml:space="preserve">suitable for the establishment </w:t>
      </w:r>
      <w:r w:rsidR="00815E49">
        <w:t>a Tasmanian blue gum plantation</w:t>
      </w:r>
      <w:r>
        <w:t xml:space="preserve">, called the “Leased Land” </w:t>
      </w:r>
      <w:r w:rsidR="00815E49">
        <w:t>(</w:t>
      </w:r>
      <w:r w:rsidR="00815E49" w:rsidRPr="00815E49">
        <w:rPr>
          <w:b/>
        </w:rPr>
        <w:t>Lease and Management Agreement</w:t>
      </w:r>
      <w:r w:rsidR="006A6B66">
        <w:t>).</w:t>
      </w:r>
      <w:r>
        <w:t xml:space="preserve">  </w:t>
      </w:r>
      <w:r w:rsidR="003529AA">
        <w:t xml:space="preserve">That is, ITCPL leases suitable plantation land from a </w:t>
      </w:r>
      <w:r w:rsidR="003529AA">
        <w:lastRenderedPageBreak/>
        <w:t>land-owner and then sub-leases a part of that land to a Grower under the Lease and Management Agreement.</w:t>
      </w:r>
    </w:p>
    <w:p w:rsidR="0016135E" w:rsidRDefault="00F36717" w:rsidP="00815E49">
      <w:pPr>
        <w:pStyle w:val="ListNumber"/>
        <w:numPr>
          <w:ilvl w:val="0"/>
          <w:numId w:val="17"/>
        </w:numPr>
      </w:pPr>
      <w:r>
        <w:t xml:space="preserve">The Lease and Management Agreement states that upon lease of the Leased Land from ITCPL, the Grower intends to carry on a “long-term afforestation business” and trees are to be planted on the Leased Land by ITCPM “on behalf of the Grower”.  </w:t>
      </w:r>
      <w:r w:rsidR="003529AA">
        <w:t xml:space="preserve">The Lease and Management Agreement further provides that </w:t>
      </w:r>
      <w:r>
        <w:t>ITCPM has expertise in relation to the planting, tending and maintaining of eucalyptus plantations and that the Grower appoints ITCPM to carry out plantation services on the Leased Land</w:t>
      </w:r>
      <w:r w:rsidR="003529AA">
        <w:t>.</w:t>
      </w:r>
      <w:r>
        <w:t xml:space="preserve"> </w:t>
      </w:r>
    </w:p>
    <w:p w:rsidR="00D94841" w:rsidRDefault="00D94841" w:rsidP="00815E49">
      <w:pPr>
        <w:pStyle w:val="ListNumber"/>
        <w:numPr>
          <w:ilvl w:val="0"/>
          <w:numId w:val="17"/>
        </w:numPr>
      </w:pPr>
      <w:r>
        <w:t xml:space="preserve">The cost of </w:t>
      </w:r>
      <w:r w:rsidR="00F36717">
        <w:t>a</w:t>
      </w:r>
      <w:r w:rsidR="00815E49">
        <w:t xml:space="preserve"> </w:t>
      </w:r>
      <w:r>
        <w:t>Grower participating in the ITC Project comprises:</w:t>
      </w:r>
    </w:p>
    <w:p w:rsidR="00D94841" w:rsidRDefault="00D94841" w:rsidP="00815E49">
      <w:pPr>
        <w:pStyle w:val="ListNumber"/>
        <w:numPr>
          <w:ilvl w:val="0"/>
          <w:numId w:val="0"/>
        </w:numPr>
        <w:ind w:left="1080" w:hanging="720"/>
      </w:pPr>
      <w:r>
        <w:t xml:space="preserve">(i) </w:t>
      </w:r>
      <w:r>
        <w:tab/>
      </w:r>
      <w:r w:rsidRPr="00B31484">
        <w:rPr>
          <w:i/>
        </w:rPr>
        <w:t>Lease rent</w:t>
      </w:r>
      <w:r>
        <w:t xml:space="preserve"> – being $250 per hectare</w:t>
      </w:r>
      <w:r w:rsidR="006A6B66">
        <w:t>,</w:t>
      </w:r>
      <w:r>
        <w:t xml:space="preserve"> payable annually </w:t>
      </w:r>
      <w:r w:rsidR="006A6B66">
        <w:t>in advance by the Grower to ITC</w:t>
      </w:r>
      <w:r w:rsidR="00BC634C">
        <w:t>PL</w:t>
      </w:r>
      <w:r w:rsidR="006A6B66">
        <w:t xml:space="preserve">, with the first payment due on 31 May  </w:t>
      </w:r>
      <w:r>
        <w:t>(as adjusted for inflation)</w:t>
      </w:r>
      <w:r w:rsidR="006A6B66">
        <w:t>,</w:t>
      </w:r>
      <w:r w:rsidR="00B31484">
        <w:t xml:space="preserve"> for the lease </w:t>
      </w:r>
      <w:r w:rsidR="003529AA">
        <w:t xml:space="preserve">by the </w:t>
      </w:r>
      <w:r w:rsidR="00BC634C">
        <w:t>Grower</w:t>
      </w:r>
      <w:r w:rsidR="003529AA">
        <w:t xml:space="preserve"> of the Leased Land</w:t>
      </w:r>
      <w:r>
        <w:t>;</w:t>
      </w:r>
    </w:p>
    <w:p w:rsidR="00D94841" w:rsidRDefault="00D94841" w:rsidP="00815E49">
      <w:pPr>
        <w:pStyle w:val="ListNumber"/>
        <w:numPr>
          <w:ilvl w:val="0"/>
          <w:numId w:val="0"/>
        </w:numPr>
        <w:ind w:left="1080" w:hanging="720"/>
      </w:pPr>
      <w:r>
        <w:t>(ii)</w:t>
      </w:r>
      <w:r>
        <w:tab/>
      </w:r>
      <w:r w:rsidRPr="00B31484">
        <w:rPr>
          <w:i/>
        </w:rPr>
        <w:t>Plantation establishment</w:t>
      </w:r>
      <w:r w:rsidR="00C8016F">
        <w:rPr>
          <w:i/>
        </w:rPr>
        <w:t xml:space="preserve"> costs</w:t>
      </w:r>
      <w:r>
        <w:t xml:space="preserve"> – </w:t>
      </w:r>
      <w:r w:rsidR="00B31484">
        <w:t xml:space="preserve">being </w:t>
      </w:r>
      <w:r w:rsidR="006A6B66">
        <w:t xml:space="preserve">an initial </w:t>
      </w:r>
      <w:r>
        <w:t>fixed charge of $3,</w:t>
      </w:r>
      <w:r w:rsidR="00B31484">
        <w:t>0</w:t>
      </w:r>
      <w:r>
        <w:t xml:space="preserve">00 for each Grower plus $2,000 for each hectare </w:t>
      </w:r>
      <w:r w:rsidR="006A6B66">
        <w:t>leased by the Grower</w:t>
      </w:r>
      <w:r w:rsidR="003529AA">
        <w:t>,</w:t>
      </w:r>
      <w:r w:rsidR="006A6B66">
        <w:t xml:space="preserve"> </w:t>
      </w:r>
      <w:r w:rsidR="003529AA">
        <w:t xml:space="preserve">payable to ITCPM </w:t>
      </w:r>
      <w:r w:rsidR="00B31484">
        <w:t xml:space="preserve">for the cost </w:t>
      </w:r>
      <w:r w:rsidR="003529AA">
        <w:t xml:space="preserve">of it </w:t>
      </w:r>
      <w:r w:rsidR="00B31484">
        <w:t xml:space="preserve">establishing </w:t>
      </w:r>
      <w:r w:rsidR="003529AA">
        <w:t>a</w:t>
      </w:r>
      <w:r w:rsidR="00B31484">
        <w:t xml:space="preserve"> plantation</w:t>
      </w:r>
      <w:r w:rsidR="003529AA">
        <w:t xml:space="preserve"> on the Leased Land</w:t>
      </w:r>
      <w:r w:rsidR="00B31484">
        <w:t>;</w:t>
      </w:r>
    </w:p>
    <w:p w:rsidR="00B31484" w:rsidRDefault="00B31484" w:rsidP="00815E49">
      <w:pPr>
        <w:pStyle w:val="ListNumber"/>
        <w:numPr>
          <w:ilvl w:val="0"/>
          <w:numId w:val="0"/>
        </w:numPr>
        <w:ind w:left="1080" w:hanging="720"/>
      </w:pPr>
      <w:r>
        <w:t>(iii)</w:t>
      </w:r>
      <w:r>
        <w:tab/>
      </w:r>
      <w:r w:rsidR="00C8016F">
        <w:rPr>
          <w:i/>
        </w:rPr>
        <w:t>M</w:t>
      </w:r>
      <w:r w:rsidRPr="00B31484">
        <w:rPr>
          <w:i/>
        </w:rPr>
        <w:t xml:space="preserve">anagement </w:t>
      </w:r>
      <w:r w:rsidR="00C8016F">
        <w:rPr>
          <w:i/>
        </w:rPr>
        <w:t>fees</w:t>
      </w:r>
      <w:r>
        <w:t xml:space="preserve"> – being a fixed annual charge of $200 per Grower plus an annual charge of $75 for each hectare (as adjusted for inflation) </w:t>
      </w:r>
      <w:r w:rsidR="003529AA">
        <w:t xml:space="preserve">of the </w:t>
      </w:r>
      <w:r>
        <w:t xml:space="preserve"> Grower’s </w:t>
      </w:r>
      <w:r w:rsidR="003529AA">
        <w:t>Leases Land</w:t>
      </w:r>
      <w:r w:rsidR="00BC634C">
        <w:t>,</w:t>
      </w:r>
      <w:r>
        <w:t xml:space="preserve"> </w:t>
      </w:r>
      <w:r w:rsidR="003529AA">
        <w:t xml:space="preserve">payable to ITCPM </w:t>
      </w:r>
      <w:r>
        <w:t xml:space="preserve">for the annual cost of </w:t>
      </w:r>
      <w:r w:rsidR="003529AA">
        <w:t xml:space="preserve">it </w:t>
      </w:r>
      <w:r>
        <w:t>maintaining the plantation;</w:t>
      </w:r>
    </w:p>
    <w:p w:rsidR="00B31484" w:rsidRDefault="00B31484" w:rsidP="00815E49">
      <w:pPr>
        <w:pStyle w:val="ListNumber"/>
        <w:numPr>
          <w:ilvl w:val="0"/>
          <w:numId w:val="0"/>
        </w:numPr>
        <w:ind w:left="1080" w:hanging="720"/>
      </w:pPr>
      <w:r>
        <w:t>(iv)</w:t>
      </w:r>
      <w:r>
        <w:tab/>
      </w:r>
      <w:r w:rsidRPr="00B31484">
        <w:rPr>
          <w:i/>
        </w:rPr>
        <w:t>Harvest management and marketing fee</w:t>
      </w:r>
      <w:r>
        <w:t xml:space="preserve"> – being a fee equal to 5% of harvest proceeds, from the sale of </w:t>
      </w:r>
      <w:r w:rsidR="006A6B66">
        <w:t>timber</w:t>
      </w:r>
      <w:r>
        <w:t>, payable to ITCPM for arranging the harv</w:t>
      </w:r>
      <w:r w:rsidR="00C8016F">
        <w:t xml:space="preserve">est and </w:t>
      </w:r>
      <w:r w:rsidR="00BC634C">
        <w:t xml:space="preserve">the </w:t>
      </w:r>
      <w:r w:rsidR="00C8016F">
        <w:t>marketing of the t</w:t>
      </w:r>
      <w:r w:rsidR="003529AA">
        <w:t>imber</w:t>
      </w:r>
      <w:r w:rsidR="00C8016F">
        <w:t>; and</w:t>
      </w:r>
    </w:p>
    <w:p w:rsidR="00C8016F" w:rsidRDefault="00C8016F" w:rsidP="00815E49">
      <w:pPr>
        <w:pStyle w:val="ListNumber"/>
        <w:numPr>
          <w:ilvl w:val="0"/>
          <w:numId w:val="0"/>
        </w:numPr>
        <w:ind w:left="1080" w:hanging="720"/>
      </w:pPr>
      <w:r>
        <w:t>(v)</w:t>
      </w:r>
      <w:r>
        <w:tab/>
      </w:r>
      <w:r w:rsidRPr="00815E49">
        <w:rPr>
          <w:i/>
        </w:rPr>
        <w:t>Insurance premiums</w:t>
      </w:r>
      <w:r>
        <w:t xml:space="preserve"> – paid by </w:t>
      </w:r>
      <w:r w:rsidR="003529AA">
        <w:t>the</w:t>
      </w:r>
      <w:r w:rsidR="00815E49">
        <w:t xml:space="preserve"> G</w:t>
      </w:r>
      <w:r>
        <w:t xml:space="preserve">rower for insurance against fire damage to the Grower’s </w:t>
      </w:r>
      <w:r w:rsidR="003529AA">
        <w:t>Leased Land</w:t>
      </w:r>
      <w:r>
        <w:t>.</w:t>
      </w:r>
    </w:p>
    <w:p w:rsidR="00E13BDE" w:rsidRDefault="00C8016F" w:rsidP="00815E49">
      <w:pPr>
        <w:pStyle w:val="ListNumber"/>
        <w:numPr>
          <w:ilvl w:val="0"/>
          <w:numId w:val="18"/>
        </w:numPr>
      </w:pPr>
      <w:r>
        <w:lastRenderedPageBreak/>
        <w:t xml:space="preserve">The plantation established under the ITC Project is ready to harvest in approximately 10 years after establishment.  At harvest, the plantation is </w:t>
      </w:r>
      <w:r w:rsidR="000352C3">
        <w:t>clear-felled</w:t>
      </w:r>
      <w:r>
        <w:t xml:space="preserve"> and ITCPM arrange</w:t>
      </w:r>
      <w:r w:rsidR="00BC634C">
        <w:t>s</w:t>
      </w:r>
      <w:r>
        <w:t xml:space="preserve"> for the timber to be sold.  The harvest proceeds from the sale of the timber </w:t>
      </w:r>
      <w:proofErr w:type="gramStart"/>
      <w:r w:rsidR="003529AA">
        <w:t>is</w:t>
      </w:r>
      <w:proofErr w:type="gramEnd"/>
      <w:r>
        <w:t xml:space="preserve"> paid </w:t>
      </w:r>
      <w:r w:rsidR="003529AA">
        <w:t xml:space="preserve">by ITCPM </w:t>
      </w:r>
      <w:r>
        <w:t>to the Growers in accordance with their respective interest in the sale proceeds from each planning year of the ITC Project.</w:t>
      </w:r>
    </w:p>
    <w:p w:rsidR="00A62FA4" w:rsidRDefault="00815E49" w:rsidP="00815E49">
      <w:pPr>
        <w:pStyle w:val="ListNumber"/>
        <w:numPr>
          <w:ilvl w:val="0"/>
          <w:numId w:val="18"/>
        </w:numPr>
      </w:pPr>
      <w:r>
        <w:t xml:space="preserve">For income tax purposes, a Grower is carrying on a business of silviculture for the purpose of producing assessable income, commencing </w:t>
      </w:r>
      <w:r w:rsidR="00931BE3">
        <w:t>up</w:t>
      </w:r>
      <w:r>
        <w:t xml:space="preserve">on execution of the Lease and Management Agreement.  The </w:t>
      </w:r>
      <w:r w:rsidR="00931BE3">
        <w:t xml:space="preserve">various </w:t>
      </w:r>
      <w:r>
        <w:t xml:space="preserve">expenses incurred by </w:t>
      </w:r>
      <w:r w:rsidR="00BC634C">
        <w:t>a Grower</w:t>
      </w:r>
      <w:r w:rsidR="00931BE3">
        <w:t xml:space="preserve"> (comprising lease rent to ITCPL, plantation establishment costs to ITCPM, management fees to ITCPM, harvest management and marketing fees to ITCPM and insurance premiums)</w:t>
      </w:r>
      <w:r w:rsidR="00BC634C">
        <w:t xml:space="preserve"> constitute</w:t>
      </w:r>
      <w:r>
        <w:t xml:space="preserve"> allowable deductions to a Grower, generally in the year of payment</w:t>
      </w:r>
      <w:r w:rsidR="00931BE3">
        <w:t xml:space="preserve">, under section 8-1 of the </w:t>
      </w:r>
      <w:r w:rsidR="00931BE3" w:rsidRPr="00931BE3">
        <w:rPr>
          <w:i/>
        </w:rPr>
        <w:t>Income Tax Assessment Act 1997</w:t>
      </w:r>
      <w:r w:rsidR="00931BE3">
        <w:rPr>
          <w:i/>
        </w:rPr>
        <w:t xml:space="preserve"> </w:t>
      </w:r>
      <w:r w:rsidR="00931BE3">
        <w:t>(</w:t>
      </w:r>
      <w:r w:rsidR="00931BE3" w:rsidRPr="00931BE3">
        <w:rPr>
          <w:b/>
        </w:rPr>
        <w:t>ITAA 1997</w:t>
      </w:r>
      <w:r w:rsidR="00931BE3">
        <w:t>)</w:t>
      </w:r>
      <w:r>
        <w:t xml:space="preserve">.  </w:t>
      </w:r>
    </w:p>
    <w:p w:rsidR="00A62FA4" w:rsidRDefault="00931BE3" w:rsidP="00815E49">
      <w:pPr>
        <w:pStyle w:val="ListNumber"/>
        <w:numPr>
          <w:ilvl w:val="0"/>
          <w:numId w:val="18"/>
        </w:numPr>
      </w:pPr>
      <w:r>
        <w:t>Further, for income tax purposes, t</w:t>
      </w:r>
      <w:r w:rsidR="00BC634C">
        <w:t>he n</w:t>
      </w:r>
      <w:r w:rsidR="00815E49">
        <w:t xml:space="preserve">et proceeds </w:t>
      </w:r>
      <w:r>
        <w:t xml:space="preserve">derived by the Growers </w:t>
      </w:r>
      <w:r w:rsidR="00815E49">
        <w:t xml:space="preserve">from the sale of the </w:t>
      </w:r>
      <w:r>
        <w:t>timber</w:t>
      </w:r>
      <w:r w:rsidR="00815E49">
        <w:t xml:space="preserve"> constitute assessable income of a Grower in the year </w:t>
      </w:r>
      <w:r>
        <w:t xml:space="preserve">the timber is </w:t>
      </w:r>
      <w:r w:rsidR="00815E49">
        <w:t>dispos</w:t>
      </w:r>
      <w:r>
        <w:t xml:space="preserve">ed of under section 6-5 of the ITAA 1997.  </w:t>
      </w:r>
    </w:p>
    <w:p w:rsidR="00A62FA4" w:rsidRDefault="00931BE3" w:rsidP="00815E49">
      <w:pPr>
        <w:pStyle w:val="ListNumber"/>
        <w:numPr>
          <w:ilvl w:val="0"/>
          <w:numId w:val="18"/>
        </w:numPr>
      </w:pPr>
      <w:r>
        <w:t xml:space="preserve">Once harvested, a Grower’s timber will generally represent trading stock of the Grower such that if timber is on-hand at the end of the income year, the Grower must account for that trading stock in accordance with the trading stock provisions in Pert 2-25 of the ITAA 1997.  </w:t>
      </w:r>
    </w:p>
    <w:p w:rsidR="00C8016F" w:rsidRDefault="00A62FA4" w:rsidP="00815E49">
      <w:pPr>
        <w:pStyle w:val="ListNumber"/>
        <w:numPr>
          <w:ilvl w:val="0"/>
          <w:numId w:val="18"/>
        </w:numPr>
      </w:pPr>
      <w:r>
        <w:t>A</w:t>
      </w:r>
      <w:r w:rsidR="00931BE3">
        <w:t xml:space="preserve">cquisition by the Grower of a lease interest in the Leased Land and associated contractual rights, together with the acquisition of other property by a Grower </w:t>
      </w:r>
      <w:r>
        <w:t>under the Lease and Management Agreement entered into by the Grower will constitute the acquisition of assets for the purposes of the capital gains tax provisions in Part 3-1 of the ITAA 1997.</w:t>
      </w:r>
      <w:r w:rsidR="00931BE3">
        <w:t xml:space="preserve"> </w:t>
      </w:r>
    </w:p>
    <w:p w:rsidR="00815E49" w:rsidRDefault="00815E49" w:rsidP="002126D7">
      <w:pPr>
        <w:pStyle w:val="ListNumber"/>
        <w:numPr>
          <w:ilvl w:val="0"/>
          <w:numId w:val="18"/>
        </w:numPr>
      </w:pPr>
      <w:r>
        <w:lastRenderedPageBreak/>
        <w:t xml:space="preserve">In addition to the Lease and Management Agreement, the ITC Project is governed by the following </w:t>
      </w:r>
      <w:r w:rsidR="00A62FA4">
        <w:t>material project agreements</w:t>
      </w:r>
      <w:r>
        <w:t>:</w:t>
      </w:r>
    </w:p>
    <w:p w:rsidR="00815E49" w:rsidRDefault="00815E49" w:rsidP="00795876">
      <w:pPr>
        <w:pStyle w:val="ListNumber"/>
        <w:numPr>
          <w:ilvl w:val="0"/>
          <w:numId w:val="0"/>
        </w:numPr>
        <w:ind w:left="1080" w:hanging="720"/>
      </w:pPr>
      <w:r>
        <w:t>(i)</w:t>
      </w:r>
      <w:r>
        <w:tab/>
      </w:r>
      <w:r w:rsidRPr="002126D7">
        <w:rPr>
          <w:i/>
        </w:rPr>
        <w:t>Constitution</w:t>
      </w:r>
      <w:r>
        <w:t xml:space="preserve"> </w:t>
      </w:r>
      <w:r w:rsidR="000A29C5">
        <w:t>–</w:t>
      </w:r>
      <w:r>
        <w:t xml:space="preserve"> </w:t>
      </w:r>
      <w:r w:rsidR="000A29C5">
        <w:t xml:space="preserve">the Constitution was </w:t>
      </w:r>
      <w:r>
        <w:t>executed by ITCPM on Oct</w:t>
      </w:r>
      <w:r w:rsidR="00795876">
        <w:t xml:space="preserve">ober 1998 and </w:t>
      </w:r>
      <w:r>
        <w:t xml:space="preserve">sets out the obligations imposed on ITCPM as a responsible entity of a “managed investment scheme” under the </w:t>
      </w:r>
      <w:r w:rsidRPr="00931BE3">
        <w:rPr>
          <w:i/>
        </w:rPr>
        <w:t>Corporations Law</w:t>
      </w:r>
      <w:r>
        <w:t>.</w:t>
      </w:r>
    </w:p>
    <w:p w:rsidR="002126D7" w:rsidRDefault="002126D7" w:rsidP="00795876">
      <w:pPr>
        <w:pStyle w:val="ListNumber"/>
        <w:numPr>
          <w:ilvl w:val="0"/>
          <w:numId w:val="0"/>
        </w:numPr>
        <w:ind w:left="1080" w:hanging="720"/>
      </w:pPr>
      <w:r>
        <w:t>(ii)</w:t>
      </w:r>
      <w:r>
        <w:tab/>
      </w:r>
      <w:r w:rsidRPr="002126D7">
        <w:rPr>
          <w:i/>
        </w:rPr>
        <w:t>Head Lease</w:t>
      </w:r>
      <w:r>
        <w:t xml:space="preserve"> </w:t>
      </w:r>
      <w:r w:rsidR="000A29C5">
        <w:t>–</w:t>
      </w:r>
      <w:r>
        <w:t xml:space="preserve"> </w:t>
      </w:r>
      <w:r w:rsidR="000A29C5">
        <w:t>the Head Lease, between ITCPM</w:t>
      </w:r>
      <w:r w:rsidR="00A62FA4">
        <w:t xml:space="preserve">, the landowner and </w:t>
      </w:r>
      <w:r w:rsidR="000A29C5">
        <w:t xml:space="preserve">ITCPL, as the lessee, broadly provides that ITCPL will lease a </w:t>
      </w:r>
      <w:r w:rsidR="00A62FA4">
        <w:t xml:space="preserve">specified area of </w:t>
      </w:r>
      <w:proofErr w:type="gramStart"/>
      <w:r w:rsidR="00A62FA4">
        <w:t>land  from</w:t>
      </w:r>
      <w:proofErr w:type="gramEnd"/>
      <w:r w:rsidR="00A62FA4">
        <w:t xml:space="preserve"> the landowner</w:t>
      </w:r>
      <w:r w:rsidR="000A29C5">
        <w:t xml:space="preserve">, all or part of which </w:t>
      </w:r>
      <w:r w:rsidR="00A62FA4">
        <w:t xml:space="preserve">ITCPL </w:t>
      </w:r>
      <w:r w:rsidR="000A29C5">
        <w:t xml:space="preserve">will sub-lease to Growers under the Lease and Management Agreements </w:t>
      </w:r>
      <w:r w:rsidR="00A62FA4">
        <w:t xml:space="preserve">for them </w:t>
      </w:r>
      <w:r w:rsidR="000A29C5">
        <w:t xml:space="preserve">to carry on </w:t>
      </w:r>
      <w:r w:rsidR="00A62FA4">
        <w:t xml:space="preserve">a </w:t>
      </w:r>
      <w:r w:rsidR="000A29C5">
        <w:t>long term afforestation businesses.</w:t>
      </w:r>
    </w:p>
    <w:p w:rsidR="002126D7" w:rsidRDefault="002126D7" w:rsidP="00795876">
      <w:pPr>
        <w:pStyle w:val="ListNumber"/>
        <w:numPr>
          <w:ilvl w:val="0"/>
          <w:numId w:val="0"/>
        </w:numPr>
        <w:ind w:left="1080" w:hanging="720"/>
      </w:pPr>
      <w:r>
        <w:t>(iii)</w:t>
      </w:r>
      <w:r>
        <w:tab/>
      </w:r>
      <w:r w:rsidRPr="000A29C5">
        <w:rPr>
          <w:i/>
        </w:rPr>
        <w:t>Contracting Agreement</w:t>
      </w:r>
      <w:r>
        <w:t xml:space="preserve"> </w:t>
      </w:r>
      <w:r w:rsidR="000A29C5">
        <w:t>–</w:t>
      </w:r>
      <w:r>
        <w:t xml:space="preserve"> </w:t>
      </w:r>
      <w:r w:rsidR="000A29C5">
        <w:t xml:space="preserve">the Contracting Agreement between ITCPM and ITCPL, as manager, broadly provides that </w:t>
      </w:r>
      <w:r w:rsidR="00AE5644">
        <w:t xml:space="preserve">ITCPL is appointed from the date of execution (being 4 November 1998) until completion of the harvest of the last plantations to be harvested to perform </w:t>
      </w:r>
      <w:r w:rsidR="00A62FA4">
        <w:t xml:space="preserve">specified </w:t>
      </w:r>
      <w:r w:rsidR="00AE5644">
        <w:t xml:space="preserve">initial services, annual services and marketing services associated with the ITC Project in </w:t>
      </w:r>
      <w:r w:rsidR="00A62FA4">
        <w:t>a</w:t>
      </w:r>
      <w:r w:rsidR="00AE5644">
        <w:t xml:space="preserve"> specified manner.</w:t>
      </w:r>
    </w:p>
    <w:p w:rsidR="00F01FD0" w:rsidRDefault="002126D7" w:rsidP="00795876">
      <w:pPr>
        <w:pStyle w:val="ListNumber"/>
        <w:numPr>
          <w:ilvl w:val="0"/>
          <w:numId w:val="0"/>
        </w:numPr>
        <w:ind w:left="1080" w:hanging="720"/>
      </w:pPr>
      <w:r>
        <w:t>(iv)</w:t>
      </w:r>
      <w:r>
        <w:tab/>
      </w:r>
      <w:r w:rsidRPr="00AE5644">
        <w:rPr>
          <w:i/>
        </w:rPr>
        <w:t>Service Agreement</w:t>
      </w:r>
      <w:r>
        <w:t xml:space="preserve"> </w:t>
      </w:r>
      <w:proofErr w:type="gramStart"/>
      <w:r>
        <w:t xml:space="preserve">-  </w:t>
      </w:r>
      <w:r w:rsidR="00815E49">
        <w:t>the</w:t>
      </w:r>
      <w:proofErr w:type="gramEnd"/>
      <w:r w:rsidR="00815E49">
        <w:t xml:space="preserve"> </w:t>
      </w:r>
      <w:r w:rsidR="00F75E49">
        <w:t xml:space="preserve">Service Agreement between </w:t>
      </w:r>
      <w:r w:rsidR="00F01FD0">
        <w:t xml:space="preserve">ITCPM and ITCPL (executed on 10 November 1998) broadly provides that ITCPL will provide its employees to ITCPM, as required by ITCPM, to assist </w:t>
      </w:r>
      <w:r w:rsidR="00A62FA4">
        <w:t xml:space="preserve">ITCPM in its </w:t>
      </w:r>
      <w:r w:rsidR="00F01FD0">
        <w:t>day-to-</w:t>
      </w:r>
      <w:r w:rsidR="00A62FA4">
        <w:t>day business and administration</w:t>
      </w:r>
      <w:r w:rsidR="00F01FD0">
        <w:t xml:space="preserve">, </w:t>
      </w:r>
      <w:r w:rsidR="00A62FA4">
        <w:t xml:space="preserve">to </w:t>
      </w:r>
      <w:r w:rsidR="00F01FD0">
        <w:t>implement decisions</w:t>
      </w:r>
      <w:r w:rsidR="00A62FA4">
        <w:t xml:space="preserve">, to </w:t>
      </w:r>
      <w:r w:rsidR="00F01FD0">
        <w:t>prepar</w:t>
      </w:r>
      <w:r w:rsidR="00A62FA4">
        <w:t>e</w:t>
      </w:r>
      <w:r w:rsidR="00F01FD0">
        <w:t xml:space="preserve"> and report</w:t>
      </w:r>
      <w:r w:rsidR="00240147">
        <w:t xml:space="preserve"> on an expenditure</w:t>
      </w:r>
      <w:r w:rsidR="00F01FD0">
        <w:t xml:space="preserve">, in strategic planning and policy formulation, </w:t>
      </w:r>
      <w:r w:rsidR="00240147">
        <w:t xml:space="preserve">to </w:t>
      </w:r>
      <w:r w:rsidR="00F01FD0">
        <w:t xml:space="preserve">audit </w:t>
      </w:r>
      <w:r w:rsidR="00240147">
        <w:t>its</w:t>
      </w:r>
      <w:r w:rsidR="00F01FD0">
        <w:t xml:space="preserve"> accounts and records and provide such other related services as ITCPM may reasonably require.</w:t>
      </w:r>
    </w:p>
    <w:p w:rsidR="00E13BDE" w:rsidRPr="00E13BDE" w:rsidRDefault="00E13BDE" w:rsidP="00E13BDE">
      <w:pPr>
        <w:pStyle w:val="ListNumber"/>
        <w:numPr>
          <w:ilvl w:val="0"/>
          <w:numId w:val="0"/>
        </w:numPr>
        <w:rPr>
          <w:b/>
        </w:rPr>
      </w:pPr>
      <w:r w:rsidRPr="00E13BDE">
        <w:rPr>
          <w:b/>
        </w:rPr>
        <w:t>RELEVANT LAW</w:t>
      </w:r>
    </w:p>
    <w:p w:rsidR="008E1C26" w:rsidRDefault="004A39D1" w:rsidP="00440F60">
      <w:pPr>
        <w:pStyle w:val="ListNumber"/>
        <w:numPr>
          <w:ilvl w:val="0"/>
          <w:numId w:val="6"/>
        </w:numPr>
      </w:pPr>
      <w:r>
        <w:t xml:space="preserve">Part </w:t>
      </w:r>
      <w:r w:rsidR="008E1C26">
        <w:t>III of t</w:t>
      </w:r>
      <w:r>
        <w:t xml:space="preserve">he </w:t>
      </w:r>
      <w:r w:rsidRPr="008E1C26">
        <w:rPr>
          <w:i/>
        </w:rPr>
        <w:t xml:space="preserve">Veteran’s Entitlement Act </w:t>
      </w:r>
      <w:r w:rsidR="008E1C26" w:rsidRPr="008E1C26">
        <w:rPr>
          <w:i/>
        </w:rPr>
        <w:t>1986</w:t>
      </w:r>
      <w:r w:rsidR="008E1C26">
        <w:t xml:space="preserve"> (</w:t>
      </w:r>
      <w:r w:rsidR="008E1C26" w:rsidRPr="008E1C26">
        <w:rPr>
          <w:b/>
        </w:rPr>
        <w:t>VEA</w:t>
      </w:r>
      <w:r w:rsidR="008E1C26">
        <w:t xml:space="preserve">) contains the service pension provisions which, to a large extent, mirror the provisions for age pension in the </w:t>
      </w:r>
      <w:r w:rsidR="008E1C26" w:rsidRPr="008E1C26">
        <w:rPr>
          <w:i/>
        </w:rPr>
        <w:t>Social Security Act 1991</w:t>
      </w:r>
      <w:r w:rsidR="008E1C26">
        <w:t xml:space="preserve"> and the </w:t>
      </w:r>
      <w:r w:rsidR="008E1C26" w:rsidRPr="008E1C26">
        <w:rPr>
          <w:i/>
        </w:rPr>
        <w:t>Social Security (Administration) Act 1999</w:t>
      </w:r>
      <w:r w:rsidR="008E1C26">
        <w:t>.</w:t>
      </w:r>
    </w:p>
    <w:p w:rsidR="0063464F" w:rsidRDefault="008E1C26" w:rsidP="00440F60">
      <w:pPr>
        <w:pStyle w:val="ListNumber"/>
        <w:numPr>
          <w:ilvl w:val="0"/>
          <w:numId w:val="6"/>
        </w:numPr>
      </w:pPr>
      <w:r>
        <w:lastRenderedPageBreak/>
        <w:t xml:space="preserve">Part IIIB of the VEA provides the </w:t>
      </w:r>
      <w:r w:rsidR="004A39D1">
        <w:t xml:space="preserve">key </w:t>
      </w:r>
      <w:proofErr w:type="spellStart"/>
      <w:r>
        <w:t>payability</w:t>
      </w:r>
      <w:proofErr w:type="spellEnd"/>
      <w:r>
        <w:t xml:space="preserve"> criteria for service pension, including the “assets test” and the “income test”</w:t>
      </w:r>
      <w:r w:rsidR="0063464F">
        <w:t xml:space="preserve">.  </w:t>
      </w:r>
    </w:p>
    <w:p w:rsidR="0063464F" w:rsidRDefault="0063464F" w:rsidP="0063464F">
      <w:pPr>
        <w:pStyle w:val="ListNumber"/>
        <w:numPr>
          <w:ilvl w:val="0"/>
          <w:numId w:val="6"/>
        </w:numPr>
      </w:pPr>
      <w:r>
        <w:t xml:space="preserve">The general provisions relating to the “assets test” are contained in Division 11 of Part IIIB of the VEA.  </w:t>
      </w:r>
    </w:p>
    <w:p w:rsidR="0063464F" w:rsidRDefault="0063464F" w:rsidP="0063464F">
      <w:pPr>
        <w:pStyle w:val="ListNumber"/>
        <w:numPr>
          <w:ilvl w:val="0"/>
          <w:numId w:val="6"/>
        </w:numPr>
      </w:pPr>
      <w:r>
        <w:t xml:space="preserve">Part I of the VEA sets out various preliminary matters, including many of the definitions of terms used in Part IIIB of the VEA.  </w:t>
      </w:r>
      <w:r w:rsidR="00240147">
        <w:t>Specifically, s</w:t>
      </w:r>
      <w:r>
        <w:t>ection 5L of Part I of the VEA contains the “</w:t>
      </w:r>
      <w:r w:rsidRPr="00D21A4A">
        <w:rPr>
          <w:i/>
        </w:rPr>
        <w:t>Assets test</w:t>
      </w:r>
      <w:r>
        <w:t xml:space="preserve"> definitions”.  Relevant to this review application is the following definition of “asset” in section 5L(1) of the VEA:</w:t>
      </w:r>
    </w:p>
    <w:p w:rsidR="0063464F" w:rsidRPr="0063464F" w:rsidRDefault="0063464F" w:rsidP="0063464F">
      <w:pPr>
        <w:pStyle w:val="ListNumber"/>
        <w:numPr>
          <w:ilvl w:val="0"/>
          <w:numId w:val="0"/>
        </w:numPr>
        <w:ind w:left="720"/>
        <w:rPr>
          <w:i/>
          <w:sz w:val="22"/>
          <w:szCs w:val="22"/>
        </w:rPr>
      </w:pPr>
      <w:r w:rsidRPr="0063464F">
        <w:rPr>
          <w:i/>
          <w:sz w:val="22"/>
          <w:szCs w:val="22"/>
        </w:rPr>
        <w:t>“</w:t>
      </w:r>
      <w:proofErr w:type="gramStart"/>
      <w:r w:rsidRPr="0063464F">
        <w:rPr>
          <w:b/>
          <w:i/>
          <w:sz w:val="22"/>
          <w:szCs w:val="22"/>
        </w:rPr>
        <w:t>asset</w:t>
      </w:r>
      <w:proofErr w:type="gramEnd"/>
      <w:r w:rsidRPr="0063464F">
        <w:rPr>
          <w:i/>
          <w:sz w:val="22"/>
          <w:szCs w:val="22"/>
        </w:rPr>
        <w:t xml:space="preserve"> means property or money (including property or money outside Australia).”</w:t>
      </w:r>
    </w:p>
    <w:p w:rsidR="0063464F" w:rsidRDefault="0063464F" w:rsidP="0063464F">
      <w:pPr>
        <w:pStyle w:val="ListNumber"/>
        <w:numPr>
          <w:ilvl w:val="0"/>
          <w:numId w:val="6"/>
        </w:numPr>
      </w:pPr>
      <w:r>
        <w:t>Division I of Part IIIB of the VEA sets out the “Ordinary income concept”, Division 2 of Part IIIB of the VEA deals with “Business income” and Division 3 of Part IIIB of the VEA covers “Deemed income from financial assets”.</w:t>
      </w:r>
    </w:p>
    <w:p w:rsidR="0063464F" w:rsidRDefault="00A30C56" w:rsidP="00440F60">
      <w:pPr>
        <w:pStyle w:val="ListNumber"/>
        <w:numPr>
          <w:ilvl w:val="0"/>
          <w:numId w:val="6"/>
        </w:numPr>
      </w:pPr>
      <w:r>
        <w:t xml:space="preserve">Sections 46 and 46A of Division 1 of Part IIIB </w:t>
      </w:r>
      <w:r w:rsidR="006D444E">
        <w:t xml:space="preserve">of the VEA </w:t>
      </w:r>
      <w:r>
        <w:t>(“Ordinary income concept”) relevantly provide:</w:t>
      </w:r>
    </w:p>
    <w:p w:rsidR="006D444E" w:rsidRPr="006D444E" w:rsidRDefault="006D444E" w:rsidP="006D444E">
      <w:pPr>
        <w:pStyle w:val="ListNumber"/>
        <w:numPr>
          <w:ilvl w:val="0"/>
          <w:numId w:val="0"/>
        </w:numPr>
        <w:ind w:left="720"/>
        <w:rPr>
          <w:i/>
          <w:sz w:val="22"/>
          <w:szCs w:val="22"/>
        </w:rPr>
      </w:pPr>
      <w:r w:rsidRPr="006D444E">
        <w:rPr>
          <w:i/>
          <w:sz w:val="22"/>
          <w:szCs w:val="22"/>
        </w:rPr>
        <w:t>“</w:t>
      </w:r>
      <w:r w:rsidRPr="006D444E">
        <w:rPr>
          <w:b/>
          <w:i/>
          <w:sz w:val="22"/>
          <w:szCs w:val="22"/>
        </w:rPr>
        <w:t>46</w:t>
      </w:r>
      <w:r w:rsidRPr="006D444E">
        <w:rPr>
          <w:b/>
          <w:i/>
          <w:sz w:val="22"/>
          <w:szCs w:val="22"/>
        </w:rPr>
        <w:tab/>
        <w:t>General meaning of ordinary income</w:t>
      </w:r>
    </w:p>
    <w:p w:rsidR="006D444E" w:rsidRPr="006D444E" w:rsidRDefault="006D444E" w:rsidP="006D444E">
      <w:pPr>
        <w:pStyle w:val="ListNumber"/>
        <w:numPr>
          <w:ilvl w:val="0"/>
          <w:numId w:val="0"/>
        </w:numPr>
        <w:ind w:left="1440"/>
        <w:rPr>
          <w:i/>
          <w:sz w:val="22"/>
          <w:szCs w:val="22"/>
        </w:rPr>
      </w:pPr>
      <w:r w:rsidRPr="006D444E">
        <w:rPr>
          <w:i/>
          <w:sz w:val="22"/>
          <w:szCs w:val="22"/>
        </w:rPr>
        <w:t>A reference in this Act to a person’s ordinary income for a period is a reference to the person’s gross ordinary income from all sources for the period without any reduction, other than a reduction under Division 2 [i.e. “Business income”].”</w:t>
      </w:r>
    </w:p>
    <w:p w:rsidR="006D444E" w:rsidRPr="00E15B22" w:rsidRDefault="006D444E" w:rsidP="00E15B22">
      <w:pPr>
        <w:pStyle w:val="ListNumber"/>
        <w:numPr>
          <w:ilvl w:val="0"/>
          <w:numId w:val="0"/>
        </w:numPr>
        <w:spacing w:before="240"/>
        <w:ind w:firstLine="720"/>
        <w:rPr>
          <w:i/>
          <w:sz w:val="22"/>
          <w:szCs w:val="22"/>
        </w:rPr>
      </w:pPr>
      <w:r w:rsidRPr="00E15B22">
        <w:rPr>
          <w:i/>
          <w:sz w:val="22"/>
          <w:szCs w:val="22"/>
        </w:rPr>
        <w:t>“</w:t>
      </w:r>
      <w:r w:rsidRPr="00E15B22">
        <w:rPr>
          <w:b/>
          <w:i/>
          <w:sz w:val="22"/>
          <w:szCs w:val="22"/>
        </w:rPr>
        <w:t xml:space="preserve">46A </w:t>
      </w:r>
      <w:r w:rsidRPr="00E15B22">
        <w:rPr>
          <w:b/>
          <w:i/>
          <w:sz w:val="22"/>
          <w:szCs w:val="22"/>
        </w:rPr>
        <w:tab/>
        <w:t>Certain amounts taken to be received over 12 months</w:t>
      </w:r>
    </w:p>
    <w:p w:rsidR="00E15B22" w:rsidRPr="00E15B22" w:rsidRDefault="006D444E" w:rsidP="00240147">
      <w:pPr>
        <w:pStyle w:val="ListNumber"/>
        <w:numPr>
          <w:ilvl w:val="0"/>
          <w:numId w:val="0"/>
        </w:numPr>
        <w:spacing w:before="240"/>
        <w:ind w:left="720" w:firstLine="720"/>
        <w:rPr>
          <w:i/>
          <w:sz w:val="22"/>
          <w:szCs w:val="22"/>
        </w:rPr>
      </w:pPr>
      <w:r w:rsidRPr="00E15B22">
        <w:rPr>
          <w:i/>
          <w:sz w:val="22"/>
          <w:szCs w:val="22"/>
        </w:rPr>
        <w:t>If a person receives……</w:t>
      </w:r>
      <w:r w:rsidR="00E15B22" w:rsidRPr="00E15B22">
        <w:rPr>
          <w:i/>
          <w:sz w:val="22"/>
          <w:szCs w:val="22"/>
        </w:rPr>
        <w:t>….an amount that:</w:t>
      </w:r>
    </w:p>
    <w:p w:rsidR="006D444E" w:rsidRPr="00E15B22" w:rsidRDefault="00E15B22" w:rsidP="00240147">
      <w:pPr>
        <w:pStyle w:val="ListNumber"/>
        <w:numPr>
          <w:ilvl w:val="0"/>
          <w:numId w:val="0"/>
        </w:numPr>
        <w:spacing w:before="240"/>
        <w:ind w:left="2160" w:hanging="720"/>
        <w:rPr>
          <w:i/>
          <w:sz w:val="22"/>
          <w:szCs w:val="22"/>
        </w:rPr>
      </w:pPr>
      <w:r w:rsidRPr="00E15B22">
        <w:rPr>
          <w:i/>
          <w:sz w:val="22"/>
          <w:szCs w:val="22"/>
        </w:rPr>
        <w:t>(a)</w:t>
      </w:r>
      <w:r w:rsidRPr="00E15B22">
        <w:rPr>
          <w:i/>
          <w:sz w:val="22"/>
          <w:szCs w:val="22"/>
        </w:rPr>
        <w:tab/>
        <w:t xml:space="preserve">is </w:t>
      </w:r>
      <w:r w:rsidRPr="00E15B22">
        <w:rPr>
          <w:b/>
          <w:i/>
          <w:sz w:val="22"/>
          <w:szCs w:val="22"/>
        </w:rPr>
        <w:t>not</w:t>
      </w:r>
      <w:r w:rsidRPr="00E15B22">
        <w:rPr>
          <w:i/>
          <w:sz w:val="22"/>
          <w:szCs w:val="22"/>
        </w:rPr>
        <w:t xml:space="preserve"> income within the meaning of Division 3 or 4 of this Part [i.e. “Deemed income from financial assets” and “Income from income streams”, respectively]; and</w:t>
      </w:r>
    </w:p>
    <w:p w:rsidR="00E15B22" w:rsidRPr="00E15B22" w:rsidRDefault="00E15B22" w:rsidP="00240147">
      <w:pPr>
        <w:pStyle w:val="ListNumber"/>
        <w:numPr>
          <w:ilvl w:val="0"/>
          <w:numId w:val="0"/>
        </w:numPr>
        <w:spacing w:before="240"/>
        <w:ind w:left="720" w:firstLine="720"/>
        <w:rPr>
          <w:i/>
          <w:sz w:val="22"/>
          <w:szCs w:val="22"/>
        </w:rPr>
      </w:pPr>
      <w:r w:rsidRPr="00E15B22">
        <w:rPr>
          <w:i/>
          <w:sz w:val="22"/>
          <w:szCs w:val="22"/>
        </w:rPr>
        <w:t>(b)</w:t>
      </w:r>
      <w:r w:rsidRPr="00E15B22">
        <w:rPr>
          <w:i/>
          <w:sz w:val="22"/>
          <w:szCs w:val="22"/>
        </w:rPr>
        <w:tab/>
        <w:t xml:space="preserve">is </w:t>
      </w:r>
      <w:r w:rsidRPr="00E15B22">
        <w:rPr>
          <w:b/>
          <w:i/>
          <w:sz w:val="22"/>
          <w:szCs w:val="22"/>
        </w:rPr>
        <w:t>not</w:t>
      </w:r>
      <w:r w:rsidRPr="00E15B22">
        <w:rPr>
          <w:i/>
          <w:sz w:val="22"/>
          <w:szCs w:val="22"/>
        </w:rPr>
        <w:t>:</w:t>
      </w:r>
    </w:p>
    <w:p w:rsidR="00E15B22" w:rsidRPr="00E15B22" w:rsidRDefault="00E15B22" w:rsidP="00240147">
      <w:pPr>
        <w:pStyle w:val="ListNumber"/>
        <w:numPr>
          <w:ilvl w:val="0"/>
          <w:numId w:val="0"/>
        </w:numPr>
        <w:spacing w:before="240"/>
        <w:ind w:left="720" w:firstLine="720"/>
        <w:rPr>
          <w:i/>
          <w:sz w:val="22"/>
          <w:szCs w:val="22"/>
        </w:rPr>
      </w:pPr>
      <w:r w:rsidRPr="00E15B22">
        <w:rPr>
          <w:b/>
          <w:i/>
          <w:sz w:val="22"/>
          <w:szCs w:val="22"/>
        </w:rPr>
        <w:lastRenderedPageBreak/>
        <w:tab/>
      </w:r>
      <w:r w:rsidRPr="00E15B22">
        <w:rPr>
          <w:i/>
          <w:sz w:val="22"/>
          <w:szCs w:val="22"/>
        </w:rPr>
        <w:t>(i)</w:t>
      </w:r>
      <w:r w:rsidRPr="00E15B22">
        <w:rPr>
          <w:i/>
          <w:sz w:val="22"/>
          <w:szCs w:val="22"/>
        </w:rPr>
        <w:tab/>
        <w:t>income in the form of periodic payments; or</w:t>
      </w:r>
    </w:p>
    <w:p w:rsidR="00E15B22" w:rsidRPr="00E15B22" w:rsidRDefault="00E15B22" w:rsidP="00240147">
      <w:pPr>
        <w:pStyle w:val="ListNumber"/>
        <w:numPr>
          <w:ilvl w:val="0"/>
          <w:numId w:val="0"/>
        </w:numPr>
        <w:spacing w:before="240"/>
        <w:ind w:left="2880" w:hanging="720"/>
        <w:rPr>
          <w:i/>
          <w:sz w:val="22"/>
          <w:szCs w:val="22"/>
        </w:rPr>
      </w:pPr>
      <w:r w:rsidRPr="00E15B22">
        <w:rPr>
          <w:i/>
          <w:sz w:val="22"/>
          <w:szCs w:val="22"/>
        </w:rPr>
        <w:t>(ii)</w:t>
      </w:r>
      <w:r w:rsidRPr="00E15B22">
        <w:rPr>
          <w:i/>
          <w:sz w:val="22"/>
          <w:szCs w:val="22"/>
        </w:rPr>
        <w:tab/>
        <w:t>ordinary income from remunerative work undertaken by the income in the form of periodic payments; or</w:t>
      </w:r>
    </w:p>
    <w:p w:rsidR="00E15B22" w:rsidRPr="00E15B22" w:rsidRDefault="00E15B22" w:rsidP="00240147">
      <w:pPr>
        <w:pStyle w:val="ListNumber"/>
        <w:numPr>
          <w:ilvl w:val="0"/>
          <w:numId w:val="0"/>
        </w:numPr>
        <w:spacing w:before="240"/>
        <w:ind w:left="2160"/>
        <w:rPr>
          <w:i/>
          <w:sz w:val="22"/>
          <w:szCs w:val="22"/>
        </w:rPr>
      </w:pPr>
      <w:r w:rsidRPr="00E15B22">
        <w:rPr>
          <w:i/>
          <w:sz w:val="22"/>
          <w:szCs w:val="22"/>
        </w:rPr>
        <w:t>(iii)</w:t>
      </w:r>
      <w:r w:rsidRPr="00E15B22">
        <w:rPr>
          <w:i/>
          <w:sz w:val="22"/>
          <w:szCs w:val="22"/>
        </w:rPr>
        <w:tab/>
        <w:t>an exempt lump sum,</w:t>
      </w:r>
    </w:p>
    <w:p w:rsidR="00E15B22" w:rsidRPr="00E15B22" w:rsidRDefault="00E15B22" w:rsidP="00240147">
      <w:pPr>
        <w:pStyle w:val="ListNumber"/>
        <w:numPr>
          <w:ilvl w:val="0"/>
          <w:numId w:val="0"/>
        </w:numPr>
        <w:spacing w:before="240"/>
        <w:ind w:left="1440" w:hanging="720"/>
        <w:rPr>
          <w:sz w:val="22"/>
          <w:szCs w:val="22"/>
        </w:rPr>
      </w:pPr>
      <w:r w:rsidRPr="00E15B22">
        <w:rPr>
          <w:i/>
          <w:sz w:val="22"/>
          <w:szCs w:val="22"/>
        </w:rPr>
        <w:tab/>
      </w:r>
      <w:proofErr w:type="gramStart"/>
      <w:r w:rsidRPr="00E15B22">
        <w:rPr>
          <w:i/>
          <w:sz w:val="22"/>
          <w:szCs w:val="22"/>
        </w:rPr>
        <w:t>the</w:t>
      </w:r>
      <w:proofErr w:type="gramEnd"/>
      <w:r w:rsidRPr="00E15B22">
        <w:rPr>
          <w:i/>
          <w:sz w:val="22"/>
          <w:szCs w:val="22"/>
        </w:rPr>
        <w:t xml:space="preserve"> person is, for the purposes of this Act, taken to receive one fifty-second of that amount as ordinary income of the person during each week in the 12 months commencing on the day on which the person becomes entitled to receive that amount.”</w:t>
      </w:r>
      <w:r>
        <w:rPr>
          <w:i/>
          <w:sz w:val="22"/>
          <w:szCs w:val="22"/>
        </w:rPr>
        <w:t xml:space="preserve"> </w:t>
      </w:r>
      <w:r>
        <w:rPr>
          <w:sz w:val="22"/>
          <w:szCs w:val="22"/>
        </w:rPr>
        <w:t>[Emphasis added]</w:t>
      </w:r>
    </w:p>
    <w:p w:rsidR="005649BE" w:rsidRDefault="00A30C56" w:rsidP="00440F60">
      <w:pPr>
        <w:pStyle w:val="ListNumber"/>
        <w:numPr>
          <w:ilvl w:val="0"/>
          <w:numId w:val="6"/>
        </w:numPr>
      </w:pPr>
      <w:r>
        <w:t xml:space="preserve">Section </w:t>
      </w:r>
      <w:proofErr w:type="gramStart"/>
      <w:r w:rsidR="006D444E">
        <w:t>46B</w:t>
      </w:r>
      <w:r w:rsidR="00795876">
        <w:t>(</w:t>
      </w:r>
      <w:proofErr w:type="gramEnd"/>
      <w:r w:rsidR="00795876">
        <w:t>1)</w:t>
      </w:r>
      <w:r w:rsidR="006D444E">
        <w:t xml:space="preserve"> of Division 2 of Part IIIB of th</w:t>
      </w:r>
      <w:r w:rsidR="00795876">
        <w:t xml:space="preserve">e VEA (“Business income”) provides that if a person carries on a business and the value of all the trading stock on hand at the end of a tax year is </w:t>
      </w:r>
      <w:r w:rsidR="00795876" w:rsidRPr="005649BE">
        <w:rPr>
          <w:i/>
        </w:rPr>
        <w:t>greater than</w:t>
      </w:r>
      <w:r w:rsidR="00795876">
        <w:t xml:space="preserve"> the value of all the stock on hand at the beginning of that tax year then the person’s “ordinary income”</w:t>
      </w:r>
      <w:r w:rsidR="005649BE">
        <w:t xml:space="preserve"> for that tax year</w:t>
      </w:r>
      <w:r w:rsidR="00795876">
        <w:t xml:space="preserve">, in the form of profits from the business, is to include the amount of the difference in values.  </w:t>
      </w:r>
    </w:p>
    <w:p w:rsidR="0011049E" w:rsidRDefault="005649BE" w:rsidP="00686F9F">
      <w:pPr>
        <w:pStyle w:val="ListNumber"/>
        <w:numPr>
          <w:ilvl w:val="0"/>
          <w:numId w:val="6"/>
        </w:numPr>
      </w:pPr>
      <w:r>
        <w:t xml:space="preserve">Further, section 46C(1) of Division 2 of Part IIIB of the VEA provides that </w:t>
      </w:r>
      <w:r w:rsidR="00686F9F">
        <w:t xml:space="preserve">(subject to section 46C(2) of the VEA) if a person carries on a business, the person’s “ordinary income” from the business is to be </w:t>
      </w:r>
      <w:r w:rsidR="00686F9F" w:rsidRPr="0011049E">
        <w:rPr>
          <w:i/>
        </w:rPr>
        <w:t>reduced by</w:t>
      </w:r>
      <w:r w:rsidR="0011049E">
        <w:t>:</w:t>
      </w:r>
    </w:p>
    <w:p w:rsidR="00686F9F" w:rsidRPr="00B437A7" w:rsidRDefault="0011049E" w:rsidP="00B437A7">
      <w:pPr>
        <w:pStyle w:val="ListNumber"/>
        <w:numPr>
          <w:ilvl w:val="0"/>
          <w:numId w:val="0"/>
        </w:numPr>
        <w:spacing w:before="240"/>
        <w:ind w:left="1440" w:hanging="720"/>
        <w:rPr>
          <w:i/>
          <w:sz w:val="22"/>
          <w:szCs w:val="22"/>
        </w:rPr>
      </w:pPr>
      <w:r w:rsidRPr="00B437A7">
        <w:rPr>
          <w:i/>
          <w:sz w:val="22"/>
          <w:szCs w:val="22"/>
        </w:rPr>
        <w:t>“(a)</w:t>
      </w:r>
      <w:r w:rsidRPr="00B437A7">
        <w:rPr>
          <w:i/>
          <w:sz w:val="22"/>
          <w:szCs w:val="22"/>
        </w:rPr>
        <w:tab/>
      </w:r>
      <w:r w:rsidR="00686F9F" w:rsidRPr="00B437A7">
        <w:rPr>
          <w:i/>
          <w:sz w:val="22"/>
          <w:szCs w:val="22"/>
        </w:rPr>
        <w:t>losses and outgoings that relate to the business and are allowable deductions for the purposes of section 51 of the Income Tax Assessment Act 1936 of section 8-1 of the Income Tax Assessment Act 1997</w:t>
      </w:r>
      <w:r w:rsidRPr="00B437A7">
        <w:rPr>
          <w:i/>
          <w:sz w:val="22"/>
          <w:szCs w:val="22"/>
        </w:rPr>
        <w:t>, as appropriate; and</w:t>
      </w:r>
    </w:p>
    <w:p w:rsidR="0011049E" w:rsidRPr="00B437A7" w:rsidRDefault="0011049E" w:rsidP="00B437A7">
      <w:pPr>
        <w:pStyle w:val="ListNumber"/>
        <w:numPr>
          <w:ilvl w:val="0"/>
          <w:numId w:val="0"/>
        </w:numPr>
        <w:spacing w:before="240"/>
        <w:ind w:left="1440" w:hanging="720"/>
        <w:rPr>
          <w:i/>
          <w:sz w:val="22"/>
          <w:szCs w:val="22"/>
        </w:rPr>
      </w:pPr>
      <w:r w:rsidRPr="00B437A7">
        <w:rPr>
          <w:i/>
          <w:sz w:val="22"/>
          <w:szCs w:val="22"/>
        </w:rPr>
        <w:t>(b)</w:t>
      </w:r>
      <w:r w:rsidRPr="00B437A7">
        <w:rPr>
          <w:i/>
          <w:sz w:val="22"/>
          <w:szCs w:val="22"/>
        </w:rPr>
        <w:tab/>
        <w:t>depreciation that relates to the business and is an allowable deduction for the purposes of subsection 54(1) of the Income Tax Assessment Act 1936 or Division 42 of the Income Tax Assessment Act 1997; and</w:t>
      </w:r>
    </w:p>
    <w:p w:rsidR="0011049E" w:rsidRPr="00B437A7" w:rsidRDefault="0011049E" w:rsidP="00B437A7">
      <w:pPr>
        <w:pStyle w:val="ListNumber"/>
        <w:numPr>
          <w:ilvl w:val="0"/>
          <w:numId w:val="0"/>
        </w:numPr>
        <w:spacing w:before="240"/>
        <w:ind w:left="1440" w:hanging="720"/>
        <w:rPr>
          <w:i/>
          <w:sz w:val="22"/>
          <w:szCs w:val="22"/>
        </w:rPr>
      </w:pPr>
      <w:r w:rsidRPr="00B437A7">
        <w:rPr>
          <w:i/>
          <w:sz w:val="22"/>
          <w:szCs w:val="22"/>
        </w:rPr>
        <w:t>(</w:t>
      </w:r>
      <w:proofErr w:type="spellStart"/>
      <w:r w:rsidRPr="00B437A7">
        <w:rPr>
          <w:i/>
          <w:sz w:val="22"/>
          <w:szCs w:val="22"/>
        </w:rPr>
        <w:t>ba</w:t>
      </w:r>
      <w:proofErr w:type="spellEnd"/>
      <w:r w:rsidRPr="00B437A7">
        <w:rPr>
          <w:i/>
          <w:sz w:val="22"/>
          <w:szCs w:val="22"/>
        </w:rPr>
        <w:t>)</w:t>
      </w:r>
      <w:r w:rsidRPr="00B437A7">
        <w:rPr>
          <w:i/>
          <w:sz w:val="22"/>
          <w:szCs w:val="22"/>
        </w:rPr>
        <w:tab/>
        <w:t>amounts that relate to the business and can be deducted for decline in value of depreciating assets under Subdivision 40-B of the Income Tax Assessment Act 1997;</w:t>
      </w:r>
    </w:p>
    <w:p w:rsidR="0011049E" w:rsidRPr="00B437A7" w:rsidRDefault="00B437A7" w:rsidP="00B437A7">
      <w:pPr>
        <w:pStyle w:val="ListNumber"/>
        <w:numPr>
          <w:ilvl w:val="0"/>
          <w:numId w:val="0"/>
        </w:numPr>
        <w:spacing w:before="240"/>
        <w:ind w:left="1440" w:hanging="720"/>
        <w:rPr>
          <w:i/>
          <w:sz w:val="22"/>
          <w:szCs w:val="22"/>
        </w:rPr>
      </w:pPr>
      <w:r w:rsidRPr="00B437A7">
        <w:rPr>
          <w:i/>
          <w:sz w:val="22"/>
          <w:szCs w:val="22"/>
        </w:rPr>
        <w:t>(</w:t>
      </w:r>
      <w:r w:rsidR="0011049E" w:rsidRPr="00B437A7">
        <w:rPr>
          <w:i/>
          <w:sz w:val="22"/>
          <w:szCs w:val="22"/>
        </w:rPr>
        <w:t>c)</w:t>
      </w:r>
      <w:r w:rsidR="0011049E" w:rsidRPr="00B437A7">
        <w:rPr>
          <w:i/>
          <w:sz w:val="22"/>
          <w:szCs w:val="22"/>
        </w:rPr>
        <w:tab/>
        <w:t xml:space="preserve">amounts that relate to the business and are allowable deductions under subsection </w:t>
      </w:r>
      <w:proofErr w:type="gramStart"/>
      <w:r w:rsidR="0011049E" w:rsidRPr="00B437A7">
        <w:rPr>
          <w:i/>
          <w:sz w:val="22"/>
          <w:szCs w:val="22"/>
        </w:rPr>
        <w:t>82AAC(</w:t>
      </w:r>
      <w:proofErr w:type="gramEnd"/>
      <w:r w:rsidR="0011049E" w:rsidRPr="00B437A7">
        <w:rPr>
          <w:i/>
          <w:sz w:val="22"/>
          <w:szCs w:val="22"/>
        </w:rPr>
        <w:t xml:space="preserve">1) </w:t>
      </w:r>
      <w:r w:rsidRPr="00B437A7">
        <w:rPr>
          <w:i/>
          <w:sz w:val="22"/>
          <w:szCs w:val="22"/>
        </w:rPr>
        <w:t>of the Income Tax Assessment Act 1936.”</w:t>
      </w:r>
    </w:p>
    <w:p w:rsidR="00686F9F" w:rsidRDefault="00DC3672" w:rsidP="00440F60">
      <w:pPr>
        <w:pStyle w:val="ListNumber"/>
        <w:numPr>
          <w:ilvl w:val="0"/>
          <w:numId w:val="6"/>
        </w:numPr>
      </w:pPr>
      <w:r>
        <w:lastRenderedPageBreak/>
        <w:t>S</w:t>
      </w:r>
      <w:r w:rsidR="00686F9F">
        <w:t xml:space="preserve">ection 46C(2) to the VEA provides that if a person is taken to receive “ordinary income” on a “financial investment” under the deeming provisions in Division 3 of Part IIIB of the VEA (considered immediately below), that “ordinary income” is </w:t>
      </w:r>
      <w:r w:rsidR="00686F9F">
        <w:rPr>
          <w:i/>
        </w:rPr>
        <w:t xml:space="preserve">not </w:t>
      </w:r>
      <w:r w:rsidR="00686F9F">
        <w:t>to be reduced by the amount of any expenses incurred by the person because of th</w:t>
      </w:r>
      <w:r w:rsidR="00B437A7">
        <w:t>at</w:t>
      </w:r>
      <w:r w:rsidR="00686F9F">
        <w:t xml:space="preserve"> investment.</w:t>
      </w:r>
    </w:p>
    <w:p w:rsidR="006D444E" w:rsidRDefault="006D444E" w:rsidP="00440F60">
      <w:pPr>
        <w:pStyle w:val="ListNumber"/>
        <w:numPr>
          <w:ilvl w:val="0"/>
          <w:numId w:val="6"/>
        </w:numPr>
      </w:pPr>
      <w:r>
        <w:t>Section 46E of Division 3 of Part IIIB of the VEA (“Deemed income from financial assets”) contains the income deeming provisions for members of a couple with “financial assets” (as defined in section 5J(1) of the VEA).</w:t>
      </w:r>
      <w:r w:rsidR="00B437A7">
        <w:t xml:space="preserve">  According to the “Method statement” in section 46E(3) of the VEA, the “ordinary income” that a couple are member of a couple with “financial assets” are deemed to receive is calculated as follows:</w:t>
      </w:r>
    </w:p>
    <w:p w:rsidR="00A75C03" w:rsidRPr="00F56618" w:rsidRDefault="00B437A7" w:rsidP="00F56618">
      <w:pPr>
        <w:pStyle w:val="ListNumber"/>
        <w:numPr>
          <w:ilvl w:val="0"/>
          <w:numId w:val="0"/>
        </w:numPr>
        <w:spacing w:before="240"/>
        <w:ind w:left="2160" w:hanging="1440"/>
        <w:rPr>
          <w:i/>
          <w:sz w:val="22"/>
          <w:szCs w:val="22"/>
        </w:rPr>
      </w:pPr>
      <w:r w:rsidRPr="00F56618">
        <w:rPr>
          <w:i/>
          <w:sz w:val="22"/>
          <w:szCs w:val="22"/>
        </w:rPr>
        <w:t>“</w:t>
      </w:r>
      <w:r w:rsidRPr="00F56618">
        <w:rPr>
          <w:b/>
          <w:i/>
          <w:sz w:val="22"/>
          <w:szCs w:val="22"/>
        </w:rPr>
        <w:t>Step 1.</w:t>
      </w:r>
      <w:r w:rsidRPr="00F56618">
        <w:rPr>
          <w:i/>
          <w:sz w:val="22"/>
          <w:szCs w:val="22"/>
        </w:rPr>
        <w:tab/>
        <w:t>Calculate the total value of the couple’s financial assets and compare it with the couple’s deeming threshold [being $50,000 as indexed annually]</w:t>
      </w:r>
      <w:r w:rsidR="00A75C03" w:rsidRPr="00F56618">
        <w:rPr>
          <w:i/>
          <w:sz w:val="22"/>
          <w:szCs w:val="22"/>
        </w:rPr>
        <w:t>.</w:t>
      </w:r>
    </w:p>
    <w:p w:rsidR="00A75C03" w:rsidRPr="00F56618" w:rsidRDefault="00A75C03" w:rsidP="00F56618">
      <w:pPr>
        <w:pStyle w:val="ListNumber"/>
        <w:numPr>
          <w:ilvl w:val="0"/>
          <w:numId w:val="0"/>
        </w:numPr>
        <w:spacing w:before="240"/>
        <w:ind w:left="2160" w:hanging="1440"/>
        <w:rPr>
          <w:i/>
          <w:sz w:val="22"/>
          <w:szCs w:val="22"/>
        </w:rPr>
      </w:pPr>
      <w:r w:rsidRPr="00F56618">
        <w:rPr>
          <w:i/>
          <w:sz w:val="22"/>
          <w:szCs w:val="22"/>
        </w:rPr>
        <w:tab/>
        <w:t>…………</w:t>
      </w:r>
      <w:r w:rsidR="00B437A7" w:rsidRPr="00F56618">
        <w:rPr>
          <w:i/>
          <w:sz w:val="22"/>
          <w:szCs w:val="22"/>
        </w:rPr>
        <w:tab/>
      </w:r>
    </w:p>
    <w:p w:rsidR="00B437A7" w:rsidRPr="00F56618" w:rsidRDefault="00B437A7" w:rsidP="00F56618">
      <w:pPr>
        <w:pStyle w:val="ListNumber"/>
        <w:numPr>
          <w:ilvl w:val="0"/>
          <w:numId w:val="0"/>
        </w:numPr>
        <w:spacing w:before="240"/>
        <w:ind w:left="2160" w:hanging="1440"/>
        <w:rPr>
          <w:i/>
          <w:sz w:val="22"/>
          <w:szCs w:val="22"/>
        </w:rPr>
      </w:pPr>
      <w:r w:rsidRPr="00F56618">
        <w:rPr>
          <w:b/>
          <w:i/>
          <w:sz w:val="22"/>
          <w:szCs w:val="22"/>
        </w:rPr>
        <w:t>Step 2.</w:t>
      </w:r>
      <w:r w:rsidRPr="00F56618">
        <w:rPr>
          <w:i/>
          <w:sz w:val="22"/>
          <w:szCs w:val="22"/>
        </w:rPr>
        <w:tab/>
        <w:t xml:space="preserve">……if the total value of the couple’s financial </w:t>
      </w:r>
      <w:proofErr w:type="gramStart"/>
      <w:r w:rsidRPr="00F56618">
        <w:rPr>
          <w:i/>
          <w:sz w:val="22"/>
          <w:szCs w:val="22"/>
        </w:rPr>
        <w:t>assets is</w:t>
      </w:r>
      <w:proofErr w:type="gramEnd"/>
      <w:r w:rsidRPr="00F56618">
        <w:rPr>
          <w:i/>
          <w:sz w:val="22"/>
          <w:szCs w:val="22"/>
        </w:rPr>
        <w:t xml:space="preserve"> equal to or less than the couple’s deeming threshold.  Multiply the total value of the financial assets by the below threshold rate [being the below threshold rate for the purposes of Division 1B of Part 3.10 of the Social Security Act 1991:  see section </w:t>
      </w:r>
      <w:proofErr w:type="gramStart"/>
      <w:r w:rsidRPr="00F56618">
        <w:rPr>
          <w:i/>
          <w:sz w:val="22"/>
          <w:szCs w:val="22"/>
        </w:rPr>
        <w:t>46J(</w:t>
      </w:r>
      <w:proofErr w:type="gramEnd"/>
      <w:r w:rsidRPr="00F56618">
        <w:rPr>
          <w:i/>
          <w:sz w:val="22"/>
          <w:szCs w:val="22"/>
        </w:rPr>
        <w:t>1) of the VEA].</w:t>
      </w:r>
    </w:p>
    <w:p w:rsidR="00A75C03" w:rsidRPr="00F56618" w:rsidRDefault="00A75C03" w:rsidP="00F56618">
      <w:pPr>
        <w:pStyle w:val="ListNumber"/>
        <w:numPr>
          <w:ilvl w:val="0"/>
          <w:numId w:val="0"/>
        </w:numPr>
        <w:spacing w:before="240"/>
        <w:ind w:left="2160" w:hanging="1440"/>
        <w:rPr>
          <w:i/>
          <w:sz w:val="22"/>
          <w:szCs w:val="22"/>
        </w:rPr>
      </w:pPr>
      <w:r w:rsidRPr="00F56618">
        <w:rPr>
          <w:b/>
          <w:i/>
          <w:sz w:val="22"/>
          <w:szCs w:val="22"/>
        </w:rPr>
        <w:tab/>
        <w:t>…</w:t>
      </w:r>
      <w:r w:rsidRPr="00F56618">
        <w:rPr>
          <w:i/>
          <w:sz w:val="22"/>
          <w:szCs w:val="22"/>
        </w:rPr>
        <w:t>………</w:t>
      </w:r>
    </w:p>
    <w:p w:rsidR="00B437A7" w:rsidRPr="00F56618" w:rsidRDefault="00A75C03" w:rsidP="00F56618">
      <w:pPr>
        <w:pStyle w:val="ListNumber"/>
        <w:numPr>
          <w:ilvl w:val="0"/>
          <w:numId w:val="0"/>
        </w:numPr>
        <w:spacing w:before="240"/>
        <w:ind w:left="2160" w:hanging="1440"/>
        <w:rPr>
          <w:i/>
          <w:sz w:val="22"/>
          <w:szCs w:val="22"/>
        </w:rPr>
      </w:pPr>
      <w:r w:rsidRPr="00F56618">
        <w:rPr>
          <w:b/>
          <w:i/>
          <w:sz w:val="22"/>
          <w:szCs w:val="22"/>
        </w:rPr>
        <w:t>Step 3.</w:t>
      </w:r>
      <w:r w:rsidRPr="00F56618">
        <w:rPr>
          <w:b/>
          <w:i/>
          <w:sz w:val="22"/>
          <w:szCs w:val="22"/>
        </w:rPr>
        <w:tab/>
        <w:t>…</w:t>
      </w:r>
      <w:r w:rsidRPr="00F56618">
        <w:rPr>
          <w:i/>
          <w:sz w:val="22"/>
          <w:szCs w:val="22"/>
        </w:rPr>
        <w:t>….if the total value of the couple’s financial assets is higher than the couple’s deeming threshold.  Work out the couple’s deemed income as follows:</w:t>
      </w:r>
    </w:p>
    <w:p w:rsidR="00A75C03" w:rsidRPr="00F56618" w:rsidRDefault="00A75C03" w:rsidP="00F56618">
      <w:pPr>
        <w:pStyle w:val="ListNumber"/>
        <w:numPr>
          <w:ilvl w:val="0"/>
          <w:numId w:val="0"/>
        </w:numPr>
        <w:spacing w:before="240"/>
        <w:ind w:left="2880" w:hanging="720"/>
        <w:rPr>
          <w:i/>
          <w:sz w:val="22"/>
          <w:szCs w:val="22"/>
        </w:rPr>
      </w:pPr>
      <w:r w:rsidRPr="00F56618">
        <w:rPr>
          <w:i/>
          <w:sz w:val="22"/>
          <w:szCs w:val="22"/>
        </w:rPr>
        <w:t>(a)</w:t>
      </w:r>
      <w:r w:rsidRPr="00F56618">
        <w:rPr>
          <w:i/>
          <w:sz w:val="22"/>
          <w:szCs w:val="22"/>
        </w:rPr>
        <w:tab/>
        <w:t>multiply the deeming threshold by the below threshold rate;</w:t>
      </w:r>
    </w:p>
    <w:p w:rsidR="00A75C03" w:rsidRPr="00F56618" w:rsidRDefault="00A75C03" w:rsidP="00F56618">
      <w:pPr>
        <w:pStyle w:val="ListNumber"/>
        <w:numPr>
          <w:ilvl w:val="0"/>
          <w:numId w:val="0"/>
        </w:numPr>
        <w:spacing w:before="240"/>
        <w:ind w:left="2880" w:hanging="720"/>
        <w:rPr>
          <w:i/>
          <w:sz w:val="22"/>
          <w:szCs w:val="22"/>
        </w:rPr>
      </w:pPr>
      <w:r w:rsidRPr="00F56618">
        <w:rPr>
          <w:i/>
          <w:sz w:val="22"/>
          <w:szCs w:val="22"/>
        </w:rPr>
        <w:t>(b)</w:t>
      </w:r>
      <w:r w:rsidRPr="00F56618">
        <w:rPr>
          <w:i/>
          <w:sz w:val="22"/>
          <w:szCs w:val="22"/>
        </w:rPr>
        <w:tab/>
        <w:t>subtract the deeming threshold from the total value of the couple’s assets;</w:t>
      </w:r>
    </w:p>
    <w:p w:rsidR="00A75C03" w:rsidRPr="00F56618" w:rsidRDefault="00A75C03" w:rsidP="00F56618">
      <w:pPr>
        <w:pStyle w:val="ListNumber"/>
        <w:numPr>
          <w:ilvl w:val="0"/>
          <w:numId w:val="0"/>
        </w:numPr>
        <w:spacing w:before="240"/>
        <w:ind w:left="2880" w:hanging="720"/>
        <w:rPr>
          <w:i/>
          <w:sz w:val="22"/>
          <w:szCs w:val="22"/>
        </w:rPr>
      </w:pPr>
      <w:r w:rsidRPr="00F56618">
        <w:rPr>
          <w:i/>
          <w:sz w:val="22"/>
          <w:szCs w:val="22"/>
        </w:rPr>
        <w:t>(c)</w:t>
      </w:r>
      <w:r w:rsidRPr="00F56618">
        <w:rPr>
          <w:i/>
          <w:sz w:val="22"/>
          <w:szCs w:val="22"/>
        </w:rPr>
        <w:tab/>
        <w:t xml:space="preserve">multiply the remainder the above threshold rate [being the above threshold rate for the purposes of Division 1B of Part </w:t>
      </w:r>
      <w:r w:rsidRPr="00F56618">
        <w:rPr>
          <w:i/>
          <w:sz w:val="22"/>
          <w:szCs w:val="22"/>
        </w:rPr>
        <w:lastRenderedPageBreak/>
        <w:t>3.10 of the Social Security Act 1991:  see section 46J(2) of the VEA];</w:t>
      </w:r>
    </w:p>
    <w:p w:rsidR="00A75C03" w:rsidRPr="00F56618" w:rsidRDefault="00A75C03" w:rsidP="00F56618">
      <w:pPr>
        <w:pStyle w:val="ListNumber"/>
        <w:numPr>
          <w:ilvl w:val="0"/>
          <w:numId w:val="0"/>
        </w:numPr>
        <w:spacing w:before="240"/>
        <w:ind w:firstLine="720"/>
        <w:rPr>
          <w:i/>
          <w:sz w:val="22"/>
          <w:szCs w:val="22"/>
        </w:rPr>
      </w:pPr>
      <w:r w:rsidRPr="00F56618">
        <w:rPr>
          <w:i/>
          <w:sz w:val="22"/>
          <w:szCs w:val="22"/>
        </w:rPr>
        <w:tab/>
      </w:r>
      <w:r w:rsidRPr="00F56618">
        <w:rPr>
          <w:i/>
          <w:sz w:val="22"/>
          <w:szCs w:val="22"/>
        </w:rPr>
        <w:tab/>
        <w:t>………</w:t>
      </w:r>
    </w:p>
    <w:p w:rsidR="00A75C03" w:rsidRPr="00F56618" w:rsidRDefault="00A75C03" w:rsidP="00F56618">
      <w:pPr>
        <w:pStyle w:val="ListNumber"/>
        <w:numPr>
          <w:ilvl w:val="0"/>
          <w:numId w:val="0"/>
        </w:numPr>
        <w:spacing w:before="240"/>
        <w:ind w:left="2880" w:hanging="720"/>
        <w:rPr>
          <w:sz w:val="22"/>
          <w:szCs w:val="22"/>
        </w:rPr>
      </w:pPr>
      <w:r w:rsidRPr="00F56618">
        <w:rPr>
          <w:i/>
          <w:sz w:val="22"/>
          <w:szCs w:val="22"/>
        </w:rPr>
        <w:t>(d)</w:t>
      </w:r>
      <w:r w:rsidRPr="00F56618">
        <w:rPr>
          <w:i/>
          <w:sz w:val="22"/>
          <w:szCs w:val="22"/>
        </w:rPr>
        <w:tab/>
        <w:t>add up the amounts worked out at paragraph (a) and (c):  the result represents the ordinary income that the couple is taken to receive per year on their financial assets.”</w:t>
      </w:r>
      <w:r w:rsidR="00F56618">
        <w:rPr>
          <w:i/>
          <w:sz w:val="22"/>
          <w:szCs w:val="22"/>
        </w:rPr>
        <w:t xml:space="preserve"> </w:t>
      </w:r>
      <w:r w:rsidR="00F56618">
        <w:rPr>
          <w:sz w:val="22"/>
          <w:szCs w:val="22"/>
        </w:rPr>
        <w:t>[Emphasis added]</w:t>
      </w:r>
    </w:p>
    <w:p w:rsidR="00E132D4" w:rsidRDefault="008E1C26" w:rsidP="00440F60">
      <w:pPr>
        <w:pStyle w:val="ListNumber"/>
        <w:numPr>
          <w:ilvl w:val="0"/>
          <w:numId w:val="6"/>
        </w:numPr>
      </w:pPr>
      <w:r>
        <w:t>Section 5H of Part I of the VEA contains the “</w:t>
      </w:r>
      <w:r w:rsidRPr="0063464F">
        <w:rPr>
          <w:i/>
        </w:rPr>
        <w:t>Income test</w:t>
      </w:r>
      <w:r>
        <w:t xml:space="preserve"> definitions”.  Relevant to this </w:t>
      </w:r>
      <w:r w:rsidR="00AA695B">
        <w:t xml:space="preserve">review </w:t>
      </w:r>
      <w:r>
        <w:t xml:space="preserve">application </w:t>
      </w:r>
      <w:r w:rsidR="00E132D4">
        <w:t xml:space="preserve">are </w:t>
      </w:r>
      <w:r>
        <w:t xml:space="preserve">the </w:t>
      </w:r>
      <w:r w:rsidR="00E132D4">
        <w:t>following definitions in section 5H(1) of the VEA:</w:t>
      </w:r>
    </w:p>
    <w:p w:rsidR="00E132D4" w:rsidRPr="00E132D4" w:rsidRDefault="00E132D4" w:rsidP="00E132D4">
      <w:pPr>
        <w:pStyle w:val="ListNumber"/>
        <w:numPr>
          <w:ilvl w:val="0"/>
          <w:numId w:val="0"/>
        </w:numPr>
        <w:spacing w:before="120"/>
        <w:ind w:left="720"/>
        <w:rPr>
          <w:i/>
          <w:sz w:val="22"/>
          <w:szCs w:val="22"/>
        </w:rPr>
      </w:pPr>
      <w:r w:rsidRPr="00E132D4">
        <w:rPr>
          <w:b/>
          <w:i/>
          <w:sz w:val="22"/>
          <w:szCs w:val="22"/>
        </w:rPr>
        <w:t>“income</w:t>
      </w:r>
      <w:r w:rsidRPr="00E132D4">
        <w:rPr>
          <w:i/>
          <w:sz w:val="22"/>
          <w:szCs w:val="22"/>
        </w:rPr>
        <w:t>, in relation to a person, means:</w:t>
      </w:r>
    </w:p>
    <w:p w:rsidR="00E132D4" w:rsidRPr="00E132D4" w:rsidRDefault="00E132D4" w:rsidP="00E132D4">
      <w:pPr>
        <w:pStyle w:val="ListNumber"/>
        <w:numPr>
          <w:ilvl w:val="0"/>
          <w:numId w:val="0"/>
        </w:numPr>
        <w:spacing w:before="120"/>
        <w:ind w:left="720"/>
        <w:rPr>
          <w:i/>
          <w:sz w:val="22"/>
          <w:szCs w:val="22"/>
        </w:rPr>
      </w:pPr>
      <w:r w:rsidRPr="00E132D4">
        <w:rPr>
          <w:i/>
          <w:sz w:val="22"/>
          <w:szCs w:val="22"/>
        </w:rPr>
        <w:t>(a)</w:t>
      </w:r>
      <w:r w:rsidRPr="00E132D4">
        <w:rPr>
          <w:i/>
          <w:sz w:val="22"/>
          <w:szCs w:val="22"/>
        </w:rPr>
        <w:tab/>
        <w:t>an income amount earned, derived, or received by the person for the person’s own use of benefit; or…….”</w:t>
      </w:r>
    </w:p>
    <w:p w:rsidR="00E132D4" w:rsidRPr="00E132D4" w:rsidRDefault="00E132D4" w:rsidP="00E132D4">
      <w:pPr>
        <w:pStyle w:val="ListNumber"/>
        <w:numPr>
          <w:ilvl w:val="0"/>
          <w:numId w:val="0"/>
        </w:numPr>
        <w:spacing w:before="120"/>
        <w:ind w:left="720"/>
        <w:rPr>
          <w:i/>
          <w:sz w:val="22"/>
          <w:szCs w:val="22"/>
        </w:rPr>
      </w:pPr>
      <w:r w:rsidRPr="00E132D4">
        <w:rPr>
          <w:i/>
          <w:sz w:val="22"/>
          <w:szCs w:val="22"/>
        </w:rPr>
        <w:t>“</w:t>
      </w:r>
      <w:r w:rsidRPr="00E132D4">
        <w:rPr>
          <w:b/>
          <w:i/>
          <w:sz w:val="22"/>
          <w:szCs w:val="22"/>
        </w:rPr>
        <w:t>income amount</w:t>
      </w:r>
      <w:r w:rsidRPr="00E132D4">
        <w:rPr>
          <w:i/>
          <w:sz w:val="22"/>
          <w:szCs w:val="22"/>
        </w:rPr>
        <w:t xml:space="preserve"> means:</w:t>
      </w:r>
    </w:p>
    <w:p w:rsidR="00E132D4" w:rsidRPr="00E132D4" w:rsidRDefault="00E132D4" w:rsidP="00E132D4">
      <w:pPr>
        <w:pStyle w:val="ListNumber"/>
        <w:numPr>
          <w:ilvl w:val="0"/>
          <w:numId w:val="0"/>
        </w:numPr>
        <w:spacing w:before="120"/>
        <w:ind w:left="720"/>
        <w:rPr>
          <w:i/>
          <w:sz w:val="22"/>
          <w:szCs w:val="22"/>
        </w:rPr>
      </w:pPr>
      <w:r w:rsidRPr="00E132D4">
        <w:rPr>
          <w:i/>
          <w:sz w:val="22"/>
          <w:szCs w:val="22"/>
        </w:rPr>
        <w:t>(a)</w:t>
      </w:r>
      <w:r w:rsidRPr="00E132D4">
        <w:rPr>
          <w:i/>
          <w:sz w:val="22"/>
          <w:szCs w:val="22"/>
        </w:rPr>
        <w:tab/>
        <w:t>valuable consideration; or</w:t>
      </w:r>
    </w:p>
    <w:p w:rsidR="00E132D4" w:rsidRPr="00E132D4" w:rsidRDefault="00E132D4" w:rsidP="00E132D4">
      <w:pPr>
        <w:pStyle w:val="ListNumber"/>
        <w:numPr>
          <w:ilvl w:val="0"/>
          <w:numId w:val="0"/>
        </w:numPr>
        <w:spacing w:before="240"/>
        <w:ind w:left="720"/>
        <w:rPr>
          <w:i/>
          <w:sz w:val="22"/>
          <w:szCs w:val="22"/>
        </w:rPr>
      </w:pPr>
      <w:r w:rsidRPr="00E132D4">
        <w:rPr>
          <w:i/>
          <w:sz w:val="22"/>
          <w:szCs w:val="22"/>
        </w:rPr>
        <w:t>(b)</w:t>
      </w:r>
      <w:r w:rsidRPr="00E132D4">
        <w:rPr>
          <w:i/>
          <w:sz w:val="22"/>
          <w:szCs w:val="22"/>
        </w:rPr>
        <w:tab/>
        <w:t>personal earnings; or</w:t>
      </w:r>
    </w:p>
    <w:p w:rsidR="00E132D4" w:rsidRPr="00E132D4" w:rsidRDefault="00E132D4" w:rsidP="00E132D4">
      <w:pPr>
        <w:pStyle w:val="ListNumber"/>
        <w:numPr>
          <w:ilvl w:val="0"/>
          <w:numId w:val="0"/>
        </w:numPr>
        <w:spacing w:before="120"/>
        <w:ind w:left="720"/>
        <w:rPr>
          <w:i/>
          <w:sz w:val="22"/>
          <w:szCs w:val="22"/>
        </w:rPr>
      </w:pPr>
      <w:r w:rsidRPr="00E132D4">
        <w:rPr>
          <w:i/>
          <w:sz w:val="22"/>
          <w:szCs w:val="22"/>
        </w:rPr>
        <w:t>(c)</w:t>
      </w:r>
      <w:r w:rsidRPr="00E132D4">
        <w:rPr>
          <w:i/>
          <w:sz w:val="22"/>
          <w:szCs w:val="22"/>
        </w:rPr>
        <w:tab/>
        <w:t>moneys; or</w:t>
      </w:r>
    </w:p>
    <w:p w:rsidR="00E132D4" w:rsidRPr="00E132D4" w:rsidRDefault="00E132D4" w:rsidP="00E132D4">
      <w:pPr>
        <w:pStyle w:val="ListNumber"/>
        <w:numPr>
          <w:ilvl w:val="0"/>
          <w:numId w:val="0"/>
        </w:numPr>
        <w:spacing w:before="120"/>
        <w:ind w:left="720"/>
        <w:rPr>
          <w:i/>
          <w:sz w:val="22"/>
          <w:szCs w:val="22"/>
        </w:rPr>
      </w:pPr>
      <w:r w:rsidRPr="00E132D4">
        <w:rPr>
          <w:i/>
          <w:sz w:val="22"/>
          <w:szCs w:val="22"/>
        </w:rPr>
        <w:t>(d)</w:t>
      </w:r>
      <w:r w:rsidRPr="00E132D4">
        <w:rPr>
          <w:i/>
          <w:sz w:val="22"/>
          <w:szCs w:val="22"/>
        </w:rPr>
        <w:tab/>
        <w:t>profits;</w:t>
      </w:r>
    </w:p>
    <w:p w:rsidR="00E132D4" w:rsidRPr="00E132D4" w:rsidRDefault="00E132D4" w:rsidP="00E132D4">
      <w:pPr>
        <w:pStyle w:val="ListNumber"/>
        <w:numPr>
          <w:ilvl w:val="0"/>
          <w:numId w:val="0"/>
        </w:numPr>
        <w:spacing w:before="120"/>
        <w:ind w:left="720"/>
        <w:rPr>
          <w:i/>
          <w:sz w:val="22"/>
          <w:szCs w:val="22"/>
        </w:rPr>
      </w:pPr>
      <w:r w:rsidRPr="00E132D4">
        <w:rPr>
          <w:i/>
          <w:sz w:val="22"/>
          <w:szCs w:val="22"/>
        </w:rPr>
        <w:t>(whether of a capital nature or not).”</w:t>
      </w:r>
    </w:p>
    <w:p w:rsidR="00E132D4" w:rsidRPr="00E132D4" w:rsidRDefault="00E132D4" w:rsidP="00E132D4">
      <w:pPr>
        <w:pStyle w:val="ListNumber"/>
        <w:numPr>
          <w:ilvl w:val="0"/>
          <w:numId w:val="0"/>
        </w:numPr>
        <w:spacing w:before="120"/>
        <w:ind w:left="720"/>
        <w:rPr>
          <w:i/>
          <w:sz w:val="22"/>
          <w:szCs w:val="22"/>
        </w:rPr>
      </w:pPr>
      <w:r w:rsidRPr="00E132D4">
        <w:rPr>
          <w:i/>
          <w:sz w:val="22"/>
          <w:szCs w:val="22"/>
        </w:rPr>
        <w:t>“</w:t>
      </w:r>
      <w:proofErr w:type="gramStart"/>
      <w:r w:rsidRPr="00E132D4">
        <w:rPr>
          <w:b/>
          <w:i/>
          <w:sz w:val="22"/>
          <w:szCs w:val="22"/>
        </w:rPr>
        <w:t>ordinary</w:t>
      </w:r>
      <w:proofErr w:type="gramEnd"/>
      <w:r w:rsidRPr="00E132D4">
        <w:rPr>
          <w:b/>
          <w:i/>
          <w:sz w:val="22"/>
          <w:szCs w:val="22"/>
        </w:rPr>
        <w:t xml:space="preserve"> income</w:t>
      </w:r>
      <w:r w:rsidRPr="00E132D4">
        <w:rPr>
          <w:i/>
          <w:sz w:val="22"/>
          <w:szCs w:val="22"/>
        </w:rPr>
        <w:t xml:space="preserve"> means that income that is not maintenance income or an exempt lump sum.”</w:t>
      </w:r>
    </w:p>
    <w:p w:rsidR="00E132D4" w:rsidRDefault="00E132D4" w:rsidP="00440F60">
      <w:pPr>
        <w:pStyle w:val="ListNumber"/>
        <w:numPr>
          <w:ilvl w:val="0"/>
          <w:numId w:val="6"/>
        </w:numPr>
      </w:pPr>
      <w:r>
        <w:t xml:space="preserve">Section 5H(2) of the VEA, headed </w:t>
      </w:r>
      <w:r w:rsidRPr="00E132D4">
        <w:rPr>
          <w:i/>
        </w:rPr>
        <w:t>“Earned, derived or received”</w:t>
      </w:r>
      <w:r>
        <w:t xml:space="preserve"> states:</w:t>
      </w:r>
    </w:p>
    <w:p w:rsidR="00E13BDE" w:rsidRPr="00E132D4" w:rsidRDefault="00E132D4" w:rsidP="00E132D4">
      <w:pPr>
        <w:pStyle w:val="ListNumber"/>
        <w:numPr>
          <w:ilvl w:val="0"/>
          <w:numId w:val="0"/>
        </w:numPr>
        <w:spacing w:before="240"/>
        <w:ind w:left="1440" w:hanging="720"/>
        <w:rPr>
          <w:i/>
          <w:sz w:val="22"/>
          <w:szCs w:val="22"/>
        </w:rPr>
      </w:pPr>
      <w:r w:rsidRPr="00E132D4">
        <w:rPr>
          <w:i/>
          <w:sz w:val="22"/>
          <w:szCs w:val="22"/>
        </w:rPr>
        <w:t>“(2)</w:t>
      </w:r>
      <w:r w:rsidRPr="00E132D4">
        <w:rPr>
          <w:i/>
          <w:sz w:val="22"/>
          <w:szCs w:val="22"/>
        </w:rPr>
        <w:tab/>
        <w:t xml:space="preserve">A reference in this Act to an income amount </w:t>
      </w:r>
      <w:r w:rsidRPr="00E132D4">
        <w:rPr>
          <w:b/>
          <w:i/>
          <w:sz w:val="22"/>
          <w:szCs w:val="22"/>
        </w:rPr>
        <w:t>earned, derived or received</w:t>
      </w:r>
      <w:r w:rsidRPr="00E132D4">
        <w:rPr>
          <w:i/>
          <w:sz w:val="22"/>
          <w:szCs w:val="22"/>
        </w:rPr>
        <w:t xml:space="preserve"> is a reference to:</w:t>
      </w:r>
    </w:p>
    <w:p w:rsidR="00E132D4" w:rsidRPr="00E132D4" w:rsidRDefault="00E132D4" w:rsidP="00E132D4">
      <w:pPr>
        <w:pStyle w:val="ListNumber"/>
        <w:numPr>
          <w:ilvl w:val="0"/>
          <w:numId w:val="0"/>
        </w:numPr>
        <w:spacing w:before="240"/>
        <w:ind w:left="1440"/>
        <w:rPr>
          <w:i/>
          <w:sz w:val="22"/>
          <w:szCs w:val="22"/>
        </w:rPr>
      </w:pPr>
      <w:r w:rsidRPr="00E132D4">
        <w:rPr>
          <w:i/>
          <w:sz w:val="22"/>
          <w:szCs w:val="22"/>
        </w:rPr>
        <w:t>(a)</w:t>
      </w:r>
      <w:r w:rsidRPr="00E132D4">
        <w:rPr>
          <w:i/>
          <w:sz w:val="22"/>
          <w:szCs w:val="22"/>
        </w:rPr>
        <w:tab/>
        <w:t>an income amount earned, derived or received by any means; and</w:t>
      </w:r>
    </w:p>
    <w:p w:rsidR="00E132D4" w:rsidRPr="00E132D4" w:rsidRDefault="00E132D4" w:rsidP="00E132D4">
      <w:pPr>
        <w:pStyle w:val="ListNumber"/>
        <w:numPr>
          <w:ilvl w:val="0"/>
          <w:numId w:val="0"/>
        </w:numPr>
        <w:spacing w:before="240"/>
        <w:ind w:left="2160" w:hanging="720"/>
        <w:rPr>
          <w:i/>
          <w:sz w:val="22"/>
          <w:szCs w:val="22"/>
        </w:rPr>
      </w:pPr>
      <w:r w:rsidRPr="00E132D4">
        <w:rPr>
          <w:i/>
          <w:sz w:val="22"/>
          <w:szCs w:val="22"/>
        </w:rPr>
        <w:t>(b)</w:t>
      </w:r>
      <w:r w:rsidRPr="00E132D4">
        <w:rPr>
          <w:i/>
          <w:sz w:val="22"/>
          <w:szCs w:val="22"/>
        </w:rPr>
        <w:tab/>
      </w:r>
      <w:proofErr w:type="gramStart"/>
      <w:r w:rsidRPr="00E132D4">
        <w:rPr>
          <w:i/>
          <w:sz w:val="22"/>
          <w:szCs w:val="22"/>
        </w:rPr>
        <w:t>an</w:t>
      </w:r>
      <w:proofErr w:type="gramEnd"/>
      <w:r w:rsidRPr="00E132D4">
        <w:rPr>
          <w:i/>
          <w:sz w:val="22"/>
          <w:szCs w:val="22"/>
        </w:rPr>
        <w:t xml:space="preserve"> income amount earned, derived or received from any source (whether within or outside Australia).”</w:t>
      </w:r>
    </w:p>
    <w:p w:rsidR="00AA695B" w:rsidRDefault="00AA695B" w:rsidP="00440F60">
      <w:pPr>
        <w:pStyle w:val="ListNumber"/>
        <w:numPr>
          <w:ilvl w:val="0"/>
          <w:numId w:val="6"/>
        </w:numPr>
      </w:pPr>
      <w:r>
        <w:lastRenderedPageBreak/>
        <w:t>Section 5J of Part I of the VEA contains the “</w:t>
      </w:r>
      <w:r w:rsidRPr="00AA695B">
        <w:rPr>
          <w:i/>
        </w:rPr>
        <w:t>Financial assets</w:t>
      </w:r>
      <w:r>
        <w:t xml:space="preserve"> and </w:t>
      </w:r>
      <w:r w:rsidRPr="00AA695B">
        <w:rPr>
          <w:i/>
        </w:rPr>
        <w:t>income streams</w:t>
      </w:r>
      <w:r>
        <w:t xml:space="preserve"> definitions.”  Relevant to this review application are the following definitions in section 5J(1) of the VEA:</w:t>
      </w:r>
    </w:p>
    <w:p w:rsidR="00E91B65" w:rsidRPr="008F0A11" w:rsidRDefault="00E91B65" w:rsidP="008F0A11">
      <w:pPr>
        <w:pStyle w:val="ListNumber"/>
        <w:numPr>
          <w:ilvl w:val="0"/>
          <w:numId w:val="0"/>
        </w:numPr>
        <w:spacing w:before="240"/>
        <w:ind w:left="720"/>
        <w:rPr>
          <w:i/>
          <w:sz w:val="22"/>
          <w:szCs w:val="22"/>
        </w:rPr>
      </w:pPr>
      <w:r w:rsidRPr="008F0A11">
        <w:rPr>
          <w:i/>
          <w:sz w:val="22"/>
          <w:szCs w:val="22"/>
        </w:rPr>
        <w:t>“</w:t>
      </w:r>
      <w:r w:rsidRPr="008F0A11">
        <w:rPr>
          <w:b/>
          <w:i/>
          <w:sz w:val="22"/>
          <w:szCs w:val="22"/>
        </w:rPr>
        <w:t>financial asset</w:t>
      </w:r>
      <w:r w:rsidRPr="008F0A11">
        <w:rPr>
          <w:i/>
          <w:sz w:val="22"/>
          <w:szCs w:val="22"/>
        </w:rPr>
        <w:t xml:space="preserve"> means:</w:t>
      </w:r>
    </w:p>
    <w:p w:rsidR="00E91B65" w:rsidRPr="008F0A11" w:rsidRDefault="00E91B65" w:rsidP="008F0A11">
      <w:pPr>
        <w:pStyle w:val="ListNumber"/>
        <w:numPr>
          <w:ilvl w:val="0"/>
          <w:numId w:val="0"/>
        </w:numPr>
        <w:spacing w:before="240"/>
        <w:ind w:left="720"/>
        <w:rPr>
          <w:i/>
          <w:sz w:val="22"/>
          <w:szCs w:val="22"/>
        </w:rPr>
      </w:pPr>
      <w:r w:rsidRPr="008F0A11">
        <w:rPr>
          <w:i/>
          <w:sz w:val="22"/>
          <w:szCs w:val="22"/>
        </w:rPr>
        <w:t>(a)</w:t>
      </w:r>
      <w:r w:rsidRPr="008F0A11">
        <w:rPr>
          <w:i/>
          <w:sz w:val="22"/>
          <w:szCs w:val="22"/>
        </w:rPr>
        <w:tab/>
        <w:t>a financial investment; or</w:t>
      </w:r>
    </w:p>
    <w:p w:rsidR="00E91B65" w:rsidRPr="008F0A11" w:rsidRDefault="00E91B65" w:rsidP="008F0A11">
      <w:pPr>
        <w:pStyle w:val="ListNumber"/>
        <w:numPr>
          <w:ilvl w:val="0"/>
          <w:numId w:val="0"/>
        </w:numPr>
        <w:spacing w:before="240"/>
        <w:ind w:left="720"/>
        <w:rPr>
          <w:i/>
          <w:sz w:val="22"/>
          <w:szCs w:val="22"/>
        </w:rPr>
      </w:pPr>
      <w:r w:rsidRPr="008F0A11">
        <w:rPr>
          <w:i/>
          <w:sz w:val="22"/>
          <w:szCs w:val="22"/>
        </w:rPr>
        <w:t>(b)</w:t>
      </w:r>
      <w:r w:rsidRPr="008F0A11">
        <w:rPr>
          <w:i/>
          <w:sz w:val="22"/>
          <w:szCs w:val="22"/>
        </w:rPr>
        <w:tab/>
      </w:r>
      <w:proofErr w:type="gramStart"/>
      <w:r w:rsidRPr="008F0A11">
        <w:rPr>
          <w:i/>
          <w:sz w:val="22"/>
          <w:szCs w:val="22"/>
        </w:rPr>
        <w:t>a</w:t>
      </w:r>
      <w:proofErr w:type="gramEnd"/>
      <w:r w:rsidRPr="008F0A11">
        <w:rPr>
          <w:i/>
          <w:sz w:val="22"/>
          <w:szCs w:val="22"/>
        </w:rPr>
        <w:t xml:space="preserve"> deprived asset.</w:t>
      </w:r>
    </w:p>
    <w:p w:rsidR="00F67CB1" w:rsidRPr="008F0A11" w:rsidRDefault="00F67CB1" w:rsidP="008F0A11">
      <w:pPr>
        <w:pStyle w:val="ListNumber"/>
        <w:numPr>
          <w:ilvl w:val="0"/>
          <w:numId w:val="0"/>
        </w:numPr>
        <w:spacing w:before="240"/>
        <w:ind w:left="720"/>
        <w:rPr>
          <w:i/>
          <w:sz w:val="22"/>
          <w:szCs w:val="22"/>
        </w:rPr>
      </w:pPr>
      <w:r w:rsidRPr="008F0A11">
        <w:rPr>
          <w:i/>
          <w:sz w:val="22"/>
          <w:szCs w:val="22"/>
        </w:rPr>
        <w:t xml:space="preserve">Note: </w:t>
      </w:r>
      <w:r w:rsidRPr="008F0A11">
        <w:rPr>
          <w:i/>
          <w:sz w:val="22"/>
          <w:szCs w:val="22"/>
        </w:rPr>
        <w:tab/>
        <w:t xml:space="preserve">For </w:t>
      </w:r>
      <w:r w:rsidRPr="008F0A11">
        <w:rPr>
          <w:b/>
          <w:i/>
          <w:sz w:val="22"/>
          <w:szCs w:val="22"/>
        </w:rPr>
        <w:t>deprived asset</w:t>
      </w:r>
      <w:r w:rsidRPr="008F0A11">
        <w:rPr>
          <w:i/>
          <w:sz w:val="22"/>
          <w:szCs w:val="22"/>
        </w:rPr>
        <w:t xml:space="preserve"> see subsection </w:t>
      </w:r>
      <w:proofErr w:type="gramStart"/>
      <w:r w:rsidRPr="008F0A11">
        <w:rPr>
          <w:i/>
          <w:sz w:val="22"/>
          <w:szCs w:val="22"/>
        </w:rPr>
        <w:t>5J(</w:t>
      </w:r>
      <w:proofErr w:type="gramEnd"/>
      <w:r w:rsidRPr="008F0A11">
        <w:rPr>
          <w:i/>
          <w:sz w:val="22"/>
          <w:szCs w:val="22"/>
        </w:rPr>
        <w:t>2B).”</w:t>
      </w:r>
    </w:p>
    <w:p w:rsidR="00F67CB1" w:rsidRPr="008F0A11" w:rsidRDefault="00F67CB1" w:rsidP="008F0A11">
      <w:pPr>
        <w:pStyle w:val="ListNumber"/>
        <w:numPr>
          <w:ilvl w:val="0"/>
          <w:numId w:val="0"/>
        </w:numPr>
        <w:spacing w:before="240"/>
        <w:ind w:left="720"/>
        <w:rPr>
          <w:i/>
          <w:sz w:val="22"/>
          <w:szCs w:val="22"/>
        </w:rPr>
      </w:pPr>
      <w:r w:rsidRPr="008F0A11">
        <w:rPr>
          <w:i/>
          <w:sz w:val="22"/>
          <w:szCs w:val="22"/>
        </w:rPr>
        <w:t>“</w:t>
      </w:r>
      <w:r w:rsidRPr="008F0A11">
        <w:rPr>
          <w:b/>
          <w:i/>
          <w:sz w:val="22"/>
          <w:szCs w:val="22"/>
        </w:rPr>
        <w:t>financial investment</w:t>
      </w:r>
      <w:r w:rsidRPr="008F0A11">
        <w:rPr>
          <w:i/>
          <w:sz w:val="22"/>
          <w:szCs w:val="22"/>
        </w:rPr>
        <w:t xml:space="preserve"> means:</w:t>
      </w:r>
    </w:p>
    <w:p w:rsidR="00F67CB1" w:rsidRPr="008F0A11" w:rsidRDefault="00F67CB1" w:rsidP="008F0A11">
      <w:pPr>
        <w:pStyle w:val="ListNumber"/>
        <w:numPr>
          <w:ilvl w:val="0"/>
          <w:numId w:val="0"/>
        </w:numPr>
        <w:spacing w:before="240"/>
        <w:ind w:left="720"/>
        <w:rPr>
          <w:i/>
          <w:sz w:val="22"/>
          <w:szCs w:val="22"/>
        </w:rPr>
      </w:pPr>
      <w:r w:rsidRPr="008F0A11">
        <w:rPr>
          <w:i/>
          <w:sz w:val="22"/>
          <w:szCs w:val="22"/>
        </w:rPr>
        <w:t>(a)</w:t>
      </w:r>
      <w:r w:rsidRPr="008F0A11">
        <w:rPr>
          <w:i/>
          <w:sz w:val="22"/>
          <w:szCs w:val="22"/>
        </w:rPr>
        <w:tab/>
        <w:t>available money; or</w:t>
      </w:r>
    </w:p>
    <w:p w:rsidR="00F67CB1" w:rsidRPr="008F0A11" w:rsidRDefault="00F67CB1" w:rsidP="008F0A11">
      <w:pPr>
        <w:pStyle w:val="ListNumber"/>
        <w:numPr>
          <w:ilvl w:val="0"/>
          <w:numId w:val="0"/>
        </w:numPr>
        <w:spacing w:before="240"/>
        <w:ind w:left="720"/>
        <w:rPr>
          <w:i/>
          <w:sz w:val="22"/>
          <w:szCs w:val="22"/>
        </w:rPr>
      </w:pPr>
      <w:r w:rsidRPr="008F0A11">
        <w:rPr>
          <w:i/>
          <w:sz w:val="22"/>
          <w:szCs w:val="22"/>
        </w:rPr>
        <w:t>(b)</w:t>
      </w:r>
      <w:r w:rsidRPr="008F0A11">
        <w:rPr>
          <w:i/>
          <w:sz w:val="22"/>
          <w:szCs w:val="22"/>
        </w:rPr>
        <w:tab/>
        <w:t>deposit money; or</w:t>
      </w:r>
    </w:p>
    <w:p w:rsidR="00F67CB1" w:rsidRPr="008F0A11" w:rsidRDefault="00F67CB1" w:rsidP="008F0A11">
      <w:pPr>
        <w:pStyle w:val="ListNumber"/>
        <w:numPr>
          <w:ilvl w:val="0"/>
          <w:numId w:val="0"/>
        </w:numPr>
        <w:spacing w:before="240"/>
        <w:ind w:left="720"/>
        <w:rPr>
          <w:i/>
          <w:sz w:val="22"/>
          <w:szCs w:val="22"/>
        </w:rPr>
      </w:pPr>
      <w:r w:rsidRPr="008F0A11">
        <w:rPr>
          <w:i/>
          <w:sz w:val="22"/>
          <w:szCs w:val="22"/>
        </w:rPr>
        <w:t>(c)</w:t>
      </w:r>
      <w:r w:rsidRPr="008F0A11">
        <w:rPr>
          <w:i/>
          <w:sz w:val="22"/>
          <w:szCs w:val="22"/>
        </w:rPr>
        <w:tab/>
        <w:t xml:space="preserve">a </w:t>
      </w:r>
      <w:r w:rsidRPr="008F0A11">
        <w:rPr>
          <w:b/>
          <w:i/>
          <w:sz w:val="22"/>
          <w:szCs w:val="22"/>
        </w:rPr>
        <w:t>managed investment</w:t>
      </w:r>
      <w:r w:rsidRPr="008F0A11">
        <w:rPr>
          <w:i/>
          <w:sz w:val="22"/>
          <w:szCs w:val="22"/>
        </w:rPr>
        <w:t>; or</w:t>
      </w:r>
    </w:p>
    <w:p w:rsidR="00F67CB1" w:rsidRPr="008F0A11" w:rsidRDefault="00F67CB1" w:rsidP="008F0A11">
      <w:pPr>
        <w:pStyle w:val="ListNumber"/>
        <w:numPr>
          <w:ilvl w:val="0"/>
          <w:numId w:val="0"/>
        </w:numPr>
        <w:spacing w:before="240"/>
        <w:ind w:left="720"/>
        <w:rPr>
          <w:i/>
          <w:sz w:val="22"/>
          <w:szCs w:val="22"/>
        </w:rPr>
      </w:pPr>
      <w:r w:rsidRPr="008F0A11">
        <w:rPr>
          <w:i/>
          <w:sz w:val="22"/>
          <w:szCs w:val="22"/>
        </w:rPr>
        <w:t>(d)</w:t>
      </w:r>
      <w:r w:rsidRPr="008F0A11">
        <w:rPr>
          <w:i/>
          <w:sz w:val="22"/>
          <w:szCs w:val="22"/>
        </w:rPr>
        <w:tab/>
        <w:t>a listed security;</w:t>
      </w:r>
    </w:p>
    <w:p w:rsidR="00F67CB1" w:rsidRPr="008F0A11" w:rsidRDefault="00F67CB1" w:rsidP="008F0A11">
      <w:pPr>
        <w:pStyle w:val="ListNumber"/>
        <w:numPr>
          <w:ilvl w:val="0"/>
          <w:numId w:val="0"/>
        </w:numPr>
        <w:spacing w:before="240"/>
        <w:ind w:left="720"/>
        <w:rPr>
          <w:i/>
          <w:sz w:val="22"/>
          <w:szCs w:val="22"/>
        </w:rPr>
      </w:pPr>
      <w:r w:rsidRPr="008F0A11">
        <w:rPr>
          <w:i/>
          <w:sz w:val="22"/>
          <w:szCs w:val="22"/>
        </w:rPr>
        <w:t>(e)</w:t>
      </w:r>
      <w:r w:rsidRPr="008F0A11">
        <w:rPr>
          <w:i/>
          <w:sz w:val="22"/>
          <w:szCs w:val="22"/>
        </w:rPr>
        <w:tab/>
        <w:t>a loan that has not been repaid in full; or</w:t>
      </w:r>
    </w:p>
    <w:p w:rsidR="00F67CB1" w:rsidRPr="008F0A11" w:rsidRDefault="00F67CB1" w:rsidP="008F0A11">
      <w:pPr>
        <w:pStyle w:val="ListNumber"/>
        <w:numPr>
          <w:ilvl w:val="0"/>
          <w:numId w:val="0"/>
        </w:numPr>
        <w:spacing w:before="240"/>
        <w:ind w:left="720"/>
        <w:rPr>
          <w:i/>
          <w:sz w:val="22"/>
          <w:szCs w:val="22"/>
        </w:rPr>
      </w:pPr>
      <w:r w:rsidRPr="008F0A11">
        <w:rPr>
          <w:i/>
          <w:sz w:val="22"/>
          <w:szCs w:val="22"/>
        </w:rPr>
        <w:t>(f)</w:t>
      </w:r>
      <w:r w:rsidRPr="008F0A11">
        <w:rPr>
          <w:i/>
          <w:sz w:val="22"/>
          <w:szCs w:val="22"/>
        </w:rPr>
        <w:tab/>
        <w:t>an unlisted public security; or</w:t>
      </w:r>
    </w:p>
    <w:p w:rsidR="00F67CB1" w:rsidRPr="008F0A11" w:rsidRDefault="00F67CB1" w:rsidP="008F0A11">
      <w:pPr>
        <w:pStyle w:val="ListNumber"/>
        <w:numPr>
          <w:ilvl w:val="0"/>
          <w:numId w:val="0"/>
        </w:numPr>
        <w:spacing w:before="240"/>
        <w:ind w:left="720"/>
        <w:rPr>
          <w:i/>
          <w:sz w:val="22"/>
          <w:szCs w:val="22"/>
        </w:rPr>
      </w:pPr>
      <w:r w:rsidRPr="008F0A11">
        <w:rPr>
          <w:i/>
          <w:sz w:val="22"/>
          <w:szCs w:val="22"/>
        </w:rPr>
        <w:t>(g)</w:t>
      </w:r>
      <w:r w:rsidRPr="008F0A11">
        <w:rPr>
          <w:i/>
          <w:sz w:val="22"/>
          <w:szCs w:val="22"/>
        </w:rPr>
        <w:tab/>
        <w:t>gold, silver or platinum bullion; or</w:t>
      </w:r>
    </w:p>
    <w:p w:rsidR="00F67CB1" w:rsidRPr="008F0A11" w:rsidRDefault="00F67CB1" w:rsidP="008F0A11">
      <w:pPr>
        <w:pStyle w:val="ListNumber"/>
        <w:numPr>
          <w:ilvl w:val="0"/>
          <w:numId w:val="0"/>
        </w:numPr>
        <w:spacing w:before="240"/>
        <w:ind w:left="720"/>
        <w:rPr>
          <w:sz w:val="22"/>
          <w:szCs w:val="22"/>
        </w:rPr>
      </w:pPr>
      <w:r w:rsidRPr="008F0A11">
        <w:rPr>
          <w:i/>
          <w:sz w:val="22"/>
          <w:szCs w:val="22"/>
        </w:rPr>
        <w:t>(h)</w:t>
      </w:r>
      <w:r w:rsidRPr="008F0A11">
        <w:rPr>
          <w:i/>
          <w:sz w:val="22"/>
          <w:szCs w:val="22"/>
        </w:rPr>
        <w:tab/>
      </w:r>
      <w:proofErr w:type="gramStart"/>
      <w:r w:rsidRPr="008F0A11">
        <w:rPr>
          <w:i/>
          <w:sz w:val="22"/>
          <w:szCs w:val="22"/>
        </w:rPr>
        <w:t>an</w:t>
      </w:r>
      <w:proofErr w:type="gramEnd"/>
      <w:r w:rsidRPr="008F0A11">
        <w:rPr>
          <w:i/>
          <w:sz w:val="22"/>
          <w:szCs w:val="22"/>
        </w:rPr>
        <w:t xml:space="preserve"> asset-tested income stream (short term).”</w:t>
      </w:r>
      <w:r w:rsidR="008F0A11">
        <w:rPr>
          <w:i/>
          <w:sz w:val="22"/>
          <w:szCs w:val="22"/>
        </w:rPr>
        <w:t xml:space="preserve"> </w:t>
      </w:r>
      <w:r w:rsidR="008F0A11">
        <w:rPr>
          <w:sz w:val="22"/>
          <w:szCs w:val="22"/>
        </w:rPr>
        <w:t>[Emphasis added]</w:t>
      </w:r>
    </w:p>
    <w:p w:rsidR="00E132D4" w:rsidRDefault="00F67CB1" w:rsidP="00440F60">
      <w:pPr>
        <w:pStyle w:val="ListNumber"/>
        <w:numPr>
          <w:ilvl w:val="0"/>
          <w:numId w:val="6"/>
        </w:numPr>
      </w:pPr>
      <w:r>
        <w:t xml:space="preserve">“Managed investment” is defined, for the purposes of the definition of “financial investment” in section </w:t>
      </w:r>
      <w:proofErr w:type="gramStart"/>
      <w:r>
        <w:t>5J(</w:t>
      </w:r>
      <w:proofErr w:type="gramEnd"/>
      <w:r>
        <w:t>1) of the VEA, in section 5J(1A), (1B) and (1C) of the VEA.  Of particular relevance to this review application is section 5J(1A) of the VEA which provides:</w:t>
      </w:r>
    </w:p>
    <w:p w:rsidR="00F67CB1" w:rsidRPr="008F0A11" w:rsidRDefault="00F67CB1" w:rsidP="008F0A11">
      <w:pPr>
        <w:pStyle w:val="ListNumber"/>
        <w:numPr>
          <w:ilvl w:val="0"/>
          <w:numId w:val="0"/>
        </w:numPr>
        <w:ind w:left="1440" w:hanging="720"/>
        <w:rPr>
          <w:i/>
          <w:sz w:val="22"/>
          <w:szCs w:val="22"/>
        </w:rPr>
      </w:pPr>
      <w:r w:rsidRPr="008F0A11">
        <w:rPr>
          <w:i/>
          <w:sz w:val="22"/>
          <w:szCs w:val="22"/>
        </w:rPr>
        <w:t>“(1A)</w:t>
      </w:r>
      <w:r w:rsidRPr="008F0A11">
        <w:rPr>
          <w:i/>
          <w:sz w:val="22"/>
          <w:szCs w:val="22"/>
        </w:rPr>
        <w:tab/>
        <w:t xml:space="preserve">Subject to subsections (1B) and (1C), an investment is a </w:t>
      </w:r>
      <w:r w:rsidRPr="008F0A11">
        <w:rPr>
          <w:b/>
          <w:i/>
          <w:sz w:val="22"/>
          <w:szCs w:val="22"/>
        </w:rPr>
        <w:t>managed investment</w:t>
      </w:r>
      <w:r w:rsidRPr="008F0A11">
        <w:rPr>
          <w:i/>
          <w:sz w:val="22"/>
          <w:szCs w:val="22"/>
        </w:rPr>
        <w:t xml:space="preserve"> for the purposes of this Act if:</w:t>
      </w:r>
    </w:p>
    <w:p w:rsidR="00F67CB1" w:rsidRPr="008F0A11" w:rsidRDefault="00F67CB1" w:rsidP="008F0A11">
      <w:pPr>
        <w:pStyle w:val="ListNumber"/>
        <w:numPr>
          <w:ilvl w:val="0"/>
          <w:numId w:val="0"/>
        </w:numPr>
        <w:ind w:left="2160" w:hanging="720"/>
        <w:rPr>
          <w:i/>
          <w:sz w:val="22"/>
          <w:szCs w:val="22"/>
        </w:rPr>
      </w:pPr>
      <w:r w:rsidRPr="008F0A11">
        <w:rPr>
          <w:i/>
          <w:sz w:val="22"/>
          <w:szCs w:val="22"/>
        </w:rPr>
        <w:lastRenderedPageBreak/>
        <w:t>(a)</w:t>
      </w:r>
      <w:r w:rsidRPr="008F0A11">
        <w:rPr>
          <w:i/>
          <w:sz w:val="22"/>
          <w:szCs w:val="22"/>
        </w:rPr>
        <w:tab/>
        <w:t xml:space="preserve">the money or property invested is paid by the investor directly or indirectly to a body corporate or into a trust fund; </w:t>
      </w:r>
      <w:r w:rsidRPr="008F0A11">
        <w:rPr>
          <w:b/>
          <w:i/>
          <w:sz w:val="22"/>
          <w:szCs w:val="22"/>
        </w:rPr>
        <w:t>and</w:t>
      </w:r>
    </w:p>
    <w:p w:rsidR="008F0A11" w:rsidRPr="008F0A11" w:rsidRDefault="00F67CB1" w:rsidP="008F0A11">
      <w:pPr>
        <w:pStyle w:val="ListNumber"/>
        <w:numPr>
          <w:ilvl w:val="0"/>
          <w:numId w:val="0"/>
        </w:numPr>
        <w:ind w:left="2160" w:hanging="720"/>
        <w:rPr>
          <w:i/>
          <w:sz w:val="22"/>
          <w:szCs w:val="22"/>
        </w:rPr>
      </w:pPr>
      <w:r w:rsidRPr="008F0A11">
        <w:rPr>
          <w:i/>
          <w:sz w:val="22"/>
          <w:szCs w:val="22"/>
        </w:rPr>
        <w:t>(b)</w:t>
      </w:r>
      <w:r w:rsidRPr="008F0A11">
        <w:rPr>
          <w:i/>
          <w:sz w:val="22"/>
          <w:szCs w:val="22"/>
        </w:rPr>
        <w:tab/>
      </w:r>
      <w:r w:rsidR="008F0A11" w:rsidRPr="008F0A11">
        <w:rPr>
          <w:b/>
          <w:i/>
          <w:sz w:val="22"/>
          <w:szCs w:val="22"/>
        </w:rPr>
        <w:t>the assets</w:t>
      </w:r>
      <w:r w:rsidR="008F0A11" w:rsidRPr="008F0A11">
        <w:rPr>
          <w:i/>
          <w:sz w:val="22"/>
          <w:szCs w:val="22"/>
        </w:rPr>
        <w:t xml:space="preserve"> that represent the money or property invested (the </w:t>
      </w:r>
      <w:r w:rsidR="008F0A11" w:rsidRPr="008F0A11">
        <w:rPr>
          <w:b/>
          <w:i/>
          <w:sz w:val="22"/>
          <w:szCs w:val="22"/>
        </w:rPr>
        <w:t>invested assets</w:t>
      </w:r>
      <w:r w:rsidR="008F0A11" w:rsidRPr="008F0A11">
        <w:rPr>
          <w:i/>
          <w:sz w:val="22"/>
          <w:szCs w:val="22"/>
        </w:rPr>
        <w:t xml:space="preserve">) </w:t>
      </w:r>
      <w:r w:rsidR="008F0A11" w:rsidRPr="008F0A11">
        <w:rPr>
          <w:b/>
          <w:i/>
          <w:sz w:val="22"/>
          <w:szCs w:val="22"/>
        </w:rPr>
        <w:t>are</w:t>
      </w:r>
      <w:r w:rsidR="008F0A11" w:rsidRPr="008F0A11">
        <w:rPr>
          <w:i/>
          <w:sz w:val="22"/>
          <w:szCs w:val="22"/>
        </w:rPr>
        <w:t xml:space="preserve"> </w:t>
      </w:r>
      <w:r w:rsidR="008F0A11" w:rsidRPr="008F0A11">
        <w:rPr>
          <w:b/>
          <w:i/>
          <w:sz w:val="22"/>
          <w:szCs w:val="22"/>
        </w:rPr>
        <w:t xml:space="preserve">not held in the names of the </w:t>
      </w:r>
      <w:r w:rsidR="008F0A11" w:rsidRPr="008F0A11">
        <w:rPr>
          <w:i/>
          <w:sz w:val="22"/>
          <w:szCs w:val="22"/>
        </w:rPr>
        <w:t xml:space="preserve">investors ; </w:t>
      </w:r>
      <w:r w:rsidR="008F0A11" w:rsidRPr="008F0A11">
        <w:rPr>
          <w:b/>
          <w:i/>
          <w:sz w:val="22"/>
          <w:szCs w:val="22"/>
        </w:rPr>
        <w:t xml:space="preserve">and </w:t>
      </w:r>
    </w:p>
    <w:p w:rsidR="008F0A11" w:rsidRPr="008F0A11" w:rsidRDefault="008F0A11" w:rsidP="008F0A11">
      <w:pPr>
        <w:pStyle w:val="ListNumber"/>
        <w:numPr>
          <w:ilvl w:val="0"/>
          <w:numId w:val="0"/>
        </w:numPr>
        <w:ind w:left="2160" w:hanging="720"/>
        <w:rPr>
          <w:i/>
          <w:sz w:val="22"/>
          <w:szCs w:val="22"/>
        </w:rPr>
      </w:pPr>
      <w:r w:rsidRPr="008F0A11">
        <w:rPr>
          <w:i/>
          <w:sz w:val="22"/>
          <w:szCs w:val="22"/>
        </w:rPr>
        <w:t>(c)</w:t>
      </w:r>
      <w:r w:rsidRPr="008F0A11">
        <w:rPr>
          <w:i/>
          <w:sz w:val="22"/>
          <w:szCs w:val="22"/>
        </w:rPr>
        <w:tab/>
        <w:t>the investor does not have effective control over the management of the invested assets; and</w:t>
      </w:r>
    </w:p>
    <w:p w:rsidR="00F67CB1" w:rsidRPr="008F0A11" w:rsidRDefault="008F0A11" w:rsidP="008F0A11">
      <w:pPr>
        <w:pStyle w:val="ListNumber"/>
        <w:numPr>
          <w:ilvl w:val="0"/>
          <w:numId w:val="0"/>
        </w:numPr>
        <w:ind w:left="2160" w:hanging="720"/>
        <w:rPr>
          <w:sz w:val="22"/>
          <w:szCs w:val="22"/>
        </w:rPr>
      </w:pPr>
      <w:r w:rsidRPr="008F0A11">
        <w:rPr>
          <w:i/>
          <w:sz w:val="22"/>
          <w:szCs w:val="22"/>
        </w:rPr>
        <w:t>(d)</w:t>
      </w:r>
      <w:r w:rsidRPr="008F0A11">
        <w:rPr>
          <w:i/>
          <w:sz w:val="22"/>
          <w:szCs w:val="22"/>
        </w:rPr>
        <w:tab/>
      </w:r>
      <w:proofErr w:type="gramStart"/>
      <w:r w:rsidRPr="008F0A11">
        <w:rPr>
          <w:i/>
          <w:sz w:val="22"/>
          <w:szCs w:val="22"/>
        </w:rPr>
        <w:t>the</w:t>
      </w:r>
      <w:proofErr w:type="gramEnd"/>
      <w:r w:rsidRPr="008F0A11">
        <w:rPr>
          <w:i/>
          <w:sz w:val="22"/>
          <w:szCs w:val="22"/>
        </w:rPr>
        <w:t xml:space="preserve"> investor has a legally enforceable right to share in any distribution of income or profits derived from the invested assets.”</w:t>
      </w:r>
      <w:r>
        <w:rPr>
          <w:i/>
          <w:sz w:val="22"/>
          <w:szCs w:val="22"/>
        </w:rPr>
        <w:t xml:space="preserve"> </w:t>
      </w:r>
      <w:r>
        <w:rPr>
          <w:sz w:val="22"/>
          <w:szCs w:val="22"/>
        </w:rPr>
        <w:t>[Emphasis added]</w:t>
      </w:r>
    </w:p>
    <w:p w:rsidR="008F0A11" w:rsidRDefault="008F0A11" w:rsidP="00440F60">
      <w:pPr>
        <w:pStyle w:val="ListNumber"/>
        <w:numPr>
          <w:ilvl w:val="0"/>
          <w:numId w:val="6"/>
        </w:numPr>
      </w:pPr>
      <w:r>
        <w:t>Section 5J(2B) of the VEA states an asset is a “deprived asset” for the purposes of the VEA if:</w:t>
      </w:r>
    </w:p>
    <w:p w:rsidR="008F0A11" w:rsidRPr="008F0A11" w:rsidRDefault="008F0A11" w:rsidP="008F0A11">
      <w:pPr>
        <w:pStyle w:val="ListNumber"/>
        <w:numPr>
          <w:ilvl w:val="0"/>
          <w:numId w:val="0"/>
        </w:numPr>
        <w:ind w:left="720"/>
        <w:rPr>
          <w:i/>
          <w:sz w:val="22"/>
          <w:szCs w:val="22"/>
        </w:rPr>
      </w:pPr>
      <w:r w:rsidRPr="008F0A11">
        <w:rPr>
          <w:i/>
          <w:sz w:val="22"/>
          <w:szCs w:val="22"/>
        </w:rPr>
        <w:t>“(a)</w:t>
      </w:r>
      <w:r w:rsidRPr="008F0A11">
        <w:rPr>
          <w:i/>
          <w:sz w:val="22"/>
          <w:szCs w:val="22"/>
        </w:rPr>
        <w:tab/>
        <w:t>a person has disposed of the asset; and</w:t>
      </w:r>
    </w:p>
    <w:p w:rsidR="008F0A11" w:rsidRPr="008F0A11" w:rsidRDefault="008F0A11" w:rsidP="008F0A11">
      <w:pPr>
        <w:pStyle w:val="ListNumber"/>
        <w:numPr>
          <w:ilvl w:val="0"/>
          <w:numId w:val="0"/>
        </w:numPr>
        <w:ind w:left="1440" w:hanging="720"/>
        <w:rPr>
          <w:i/>
          <w:sz w:val="22"/>
          <w:szCs w:val="22"/>
        </w:rPr>
      </w:pPr>
      <w:r w:rsidRPr="008F0A11">
        <w:rPr>
          <w:i/>
          <w:sz w:val="22"/>
          <w:szCs w:val="22"/>
        </w:rPr>
        <w:t>(b)</w:t>
      </w:r>
      <w:r w:rsidRPr="008F0A11">
        <w:rPr>
          <w:i/>
          <w:sz w:val="22"/>
          <w:szCs w:val="22"/>
        </w:rPr>
        <w:tab/>
      </w:r>
      <w:proofErr w:type="gramStart"/>
      <w:r w:rsidRPr="008F0A11">
        <w:rPr>
          <w:i/>
          <w:sz w:val="22"/>
          <w:szCs w:val="22"/>
        </w:rPr>
        <w:t>the</w:t>
      </w:r>
      <w:proofErr w:type="gramEnd"/>
      <w:r w:rsidRPr="008F0A11">
        <w:rPr>
          <w:i/>
          <w:sz w:val="22"/>
          <w:szCs w:val="22"/>
        </w:rPr>
        <w:t xml:space="preserve"> value of the asset is included in the value of the person’s assets by Subdivision BA or BB of Division 11 of Part IIIB [i.e. under the “assets test”].”</w:t>
      </w:r>
    </w:p>
    <w:p w:rsidR="00E13BDE" w:rsidRPr="008F0A11" w:rsidRDefault="008F0A11" w:rsidP="008F0A11">
      <w:pPr>
        <w:pStyle w:val="ListNumber"/>
        <w:numPr>
          <w:ilvl w:val="0"/>
          <w:numId w:val="0"/>
        </w:numPr>
        <w:rPr>
          <w:b/>
        </w:rPr>
      </w:pPr>
      <w:r w:rsidRPr="008F0A11">
        <w:rPr>
          <w:b/>
        </w:rPr>
        <w:t>ANALYSIS</w:t>
      </w:r>
    </w:p>
    <w:p w:rsidR="001935D4" w:rsidRDefault="002A6C8B" w:rsidP="001935D4">
      <w:pPr>
        <w:pStyle w:val="ListNumber"/>
        <w:numPr>
          <w:ilvl w:val="0"/>
          <w:numId w:val="6"/>
        </w:numPr>
      </w:pPr>
      <w:r>
        <w:t>T</w:t>
      </w:r>
      <w:r w:rsidR="001935D4">
        <w:t xml:space="preserve">he </w:t>
      </w:r>
      <w:proofErr w:type="spellStart"/>
      <w:r w:rsidR="001935D4">
        <w:t>Friedlanders</w:t>
      </w:r>
      <w:proofErr w:type="spellEnd"/>
      <w:r w:rsidR="001935D4">
        <w:t xml:space="preserve"> </w:t>
      </w:r>
      <w:r w:rsidR="00003A17">
        <w:t xml:space="preserve">main </w:t>
      </w:r>
      <w:r w:rsidR="001935D4">
        <w:t xml:space="preserve">contention is that the DVA’s conduct in incorrectly identifying and recording their investment with ITC Project as a “financial asset” from the date of grant of their service pension in 2007, which error resulted in </w:t>
      </w:r>
      <w:r>
        <w:t>a reduction in the</w:t>
      </w:r>
      <w:r w:rsidR="00003A17">
        <w:t>ir</w:t>
      </w:r>
      <w:r>
        <w:t xml:space="preserve"> rate </w:t>
      </w:r>
      <w:proofErr w:type="gramStart"/>
      <w:r>
        <w:t>of  service</w:t>
      </w:r>
      <w:proofErr w:type="gramEnd"/>
      <w:r>
        <w:t xml:space="preserve"> pension </w:t>
      </w:r>
      <w:r w:rsidR="00003A17">
        <w:t xml:space="preserve">(to $$184.43 per fortnight) </w:t>
      </w:r>
      <w:r>
        <w:t xml:space="preserve">and </w:t>
      </w:r>
      <w:r w:rsidR="001935D4">
        <w:t xml:space="preserve">an overpayment of service pension </w:t>
      </w:r>
      <w:r w:rsidR="00003A17">
        <w:t xml:space="preserve">(of $3,713.36) </w:t>
      </w:r>
      <w:r>
        <w:t>being raised against them</w:t>
      </w:r>
      <w:r w:rsidR="001935D4">
        <w:t>, constitutes defective administration</w:t>
      </w:r>
      <w:r w:rsidR="00003A17">
        <w:t xml:space="preserve"> by the DVA</w:t>
      </w:r>
      <w:r w:rsidR="001935D4">
        <w:t xml:space="preserve">, for which they should be compensated.  They also submit that any further repayments of the overpayment </w:t>
      </w:r>
      <w:r w:rsidR="00003A17">
        <w:t xml:space="preserve">by them should </w:t>
      </w:r>
      <w:r w:rsidR="001935D4">
        <w:t>be waived by the DVA.</w:t>
      </w:r>
    </w:p>
    <w:p w:rsidR="001935D4" w:rsidRDefault="001935D4" w:rsidP="001935D4">
      <w:pPr>
        <w:pStyle w:val="ListNumber"/>
        <w:numPr>
          <w:ilvl w:val="0"/>
          <w:numId w:val="6"/>
        </w:numPr>
      </w:pPr>
      <w:r>
        <w:t xml:space="preserve">Before the Tribunal the </w:t>
      </w:r>
      <w:r w:rsidR="00003A17">
        <w:t>Commission’</w:t>
      </w:r>
      <w:r>
        <w:t xml:space="preserve">s representative conceded that the </w:t>
      </w:r>
      <w:proofErr w:type="spellStart"/>
      <w:r>
        <w:t>Friedlanders</w:t>
      </w:r>
      <w:proofErr w:type="spellEnd"/>
      <w:r>
        <w:t xml:space="preserve"> are entirely “blameless people” in this matter and acknowledged the DVA’s error in recording the </w:t>
      </w:r>
      <w:proofErr w:type="spellStart"/>
      <w:r>
        <w:t>Friedlanders</w:t>
      </w:r>
      <w:proofErr w:type="spellEnd"/>
      <w:r>
        <w:t>’ investment with ITC Project as a “financial asset” for service pension assessment purposes</w:t>
      </w:r>
      <w:r w:rsidR="00003A17">
        <w:t xml:space="preserve"> from the date of grant of their service pension in 2007</w:t>
      </w:r>
      <w:r>
        <w:t xml:space="preserve">.  </w:t>
      </w:r>
      <w:r w:rsidR="00003A17">
        <w:t xml:space="preserve">The </w:t>
      </w:r>
      <w:r w:rsidR="00003A17">
        <w:lastRenderedPageBreak/>
        <w:t>Commission’s representative</w:t>
      </w:r>
      <w:r>
        <w:t xml:space="preserve"> also stated that the </w:t>
      </w:r>
      <w:proofErr w:type="spellStart"/>
      <w:r>
        <w:t>Friedlan</w:t>
      </w:r>
      <w:r w:rsidR="00003A17">
        <w:t>ders</w:t>
      </w:r>
      <w:proofErr w:type="spellEnd"/>
      <w:r w:rsidR="00003A17">
        <w:t xml:space="preserve"> had at all </w:t>
      </w:r>
      <w:r>
        <w:t xml:space="preserve">times been diligent in reporting any changes in their financial affairs to the DVA.  Further, he gave an assurance to Mrs Friedlander (who represented herself and her husband at the hearing of this </w:t>
      </w:r>
      <w:r w:rsidR="00003A17">
        <w:t xml:space="preserve">review </w:t>
      </w:r>
      <w:r>
        <w:t xml:space="preserve">application) that her and her husband’s case would be thoroughly </w:t>
      </w:r>
      <w:r w:rsidR="00003A17">
        <w:t>examined</w:t>
      </w:r>
      <w:r>
        <w:t xml:space="preserve"> by the DVA </w:t>
      </w:r>
      <w:r w:rsidR="00EE679D">
        <w:t xml:space="preserve">following </w:t>
      </w:r>
      <w:r w:rsidR="00003A17">
        <w:t xml:space="preserve">the decision in </w:t>
      </w:r>
      <w:r w:rsidR="00EE679D">
        <w:t>th</w:t>
      </w:r>
      <w:r>
        <w:t xml:space="preserve">is review application and </w:t>
      </w:r>
      <w:r w:rsidR="00EE679D">
        <w:t xml:space="preserve">the outcome of </w:t>
      </w:r>
      <w:r w:rsidR="00003A17">
        <w:t xml:space="preserve">any </w:t>
      </w:r>
      <w:r w:rsidR="00EE679D">
        <w:t>investigation by the Ombudsman.</w:t>
      </w:r>
    </w:p>
    <w:p w:rsidR="00B50537" w:rsidRDefault="00B50537" w:rsidP="00440F60">
      <w:pPr>
        <w:pStyle w:val="ListNumber"/>
        <w:numPr>
          <w:ilvl w:val="0"/>
          <w:numId w:val="6"/>
        </w:numPr>
      </w:pPr>
      <w:r>
        <w:t>A</w:t>
      </w:r>
      <w:r w:rsidR="00003A17">
        <w:t>s described above</w:t>
      </w:r>
      <w:r w:rsidR="00D274A1">
        <w:t xml:space="preserve"> (in paragraph 22)</w:t>
      </w:r>
      <w:r w:rsidR="00003A17">
        <w:t xml:space="preserve">, the </w:t>
      </w:r>
      <w:r>
        <w:t xml:space="preserve">ITC Project </w:t>
      </w:r>
      <w:r w:rsidR="00AE4F61">
        <w:t>P</w:t>
      </w:r>
      <w:r>
        <w:t>rospectus</w:t>
      </w:r>
      <w:r w:rsidR="00003A17">
        <w:t xml:space="preserve"> provides that under the Lease and Management Agreement a Grower sub-leases a specified area of land from ITCPL for the purpose of carrying on a long-term afforestation business.  However, the plantation services are then sub-contracted by the Grower to ITCPM.  That is, ITCPM</w:t>
      </w:r>
      <w:r w:rsidR="00484993">
        <w:t xml:space="preserve"> carr</w:t>
      </w:r>
      <w:r w:rsidR="00003A17">
        <w:t>ies</w:t>
      </w:r>
      <w:r w:rsidR="00484993">
        <w:t xml:space="preserve"> out the primary production </w:t>
      </w:r>
      <w:r w:rsidR="001C7C3D">
        <w:t xml:space="preserve">(afforestation) </w:t>
      </w:r>
      <w:r w:rsidR="00484993">
        <w:t>business on</w:t>
      </w:r>
      <w:r w:rsidR="001C7C3D">
        <w:t xml:space="preserve"> the Grower’s behalf on the Grower’s Leased Land</w:t>
      </w:r>
      <w:r w:rsidR="00484993">
        <w:t xml:space="preserve">.  </w:t>
      </w:r>
    </w:p>
    <w:p w:rsidR="00D274A1" w:rsidRDefault="00D274A1" w:rsidP="00D274A1">
      <w:pPr>
        <w:pStyle w:val="ListNumber"/>
        <w:numPr>
          <w:ilvl w:val="0"/>
          <w:numId w:val="6"/>
        </w:numPr>
      </w:pPr>
      <w:r>
        <w:t xml:space="preserve">Further, the ITC Project Prospectus makes it clear that the ITC Project was deliberately structured to enable investors (like the </w:t>
      </w:r>
      <w:proofErr w:type="spellStart"/>
      <w:r>
        <w:t>Friedlanders</w:t>
      </w:r>
      <w:proofErr w:type="spellEnd"/>
      <w:r>
        <w:t xml:space="preserve">), referred to as “Growers”, to be categorised for income tax purposes as primary producers who are carrying on the business of primary production:  refer to paragraph 22 above. </w:t>
      </w:r>
    </w:p>
    <w:p w:rsidR="008F0A11" w:rsidRDefault="00484993" w:rsidP="00440F60">
      <w:pPr>
        <w:pStyle w:val="ListNumber"/>
        <w:numPr>
          <w:ilvl w:val="0"/>
          <w:numId w:val="6"/>
        </w:numPr>
      </w:pPr>
      <w:r>
        <w:t xml:space="preserve">The costs of </w:t>
      </w:r>
      <w:r w:rsidR="00D274A1">
        <w:t xml:space="preserve">the Growers </w:t>
      </w:r>
      <w:r>
        <w:t xml:space="preserve">participating in the ITC Project </w:t>
      </w:r>
      <w:r w:rsidR="00D274A1">
        <w:t xml:space="preserve">(comprising lease rent payable to ITCPL, plantation establishment costs payable to ITCPM, management fees payable to ITCPM, harvest management and marketing fees payable to ITCPM and insurance premiums:  refer to paragraph 22 above) </w:t>
      </w:r>
      <w:r>
        <w:t xml:space="preserve">are expenses incurred for income producing purposes and, as such, are expenses </w:t>
      </w:r>
      <w:r w:rsidR="00D274A1">
        <w:t xml:space="preserve">which for income tax purposes are </w:t>
      </w:r>
      <w:r>
        <w:t xml:space="preserve">of an income and not a capital nature </w:t>
      </w:r>
      <w:r w:rsidR="00D274A1">
        <w:t>and are deductible to the Growers under section 8-1 of the ITAA, generally in the year of payment</w:t>
      </w:r>
      <w:r>
        <w:t xml:space="preserve">.  Consequently, those expenses are tax deductible in the year in which they are incurred by the Growers.  That is, those expenses are allowable deductions to </w:t>
      </w:r>
      <w:r w:rsidR="00B50537">
        <w:t>a</w:t>
      </w:r>
      <w:r>
        <w:t xml:space="preserve"> Grower which can be deducted from the assessable income of the Grower </w:t>
      </w:r>
      <w:r w:rsidR="00B50537">
        <w:t xml:space="preserve">in the income tax year in which they are incurred </w:t>
      </w:r>
      <w:r w:rsidR="00D274A1">
        <w:t xml:space="preserve">in order to </w:t>
      </w:r>
      <w:r w:rsidR="00B50537">
        <w:t>determin</w:t>
      </w:r>
      <w:r w:rsidR="00D274A1">
        <w:t>e</w:t>
      </w:r>
      <w:r w:rsidR="00B50537">
        <w:t xml:space="preserve"> the Grower’s taxable income for the relevant tax year.   </w:t>
      </w:r>
    </w:p>
    <w:p w:rsidR="008F0A11" w:rsidRDefault="00B50537" w:rsidP="00440F60">
      <w:pPr>
        <w:pStyle w:val="ListNumber"/>
        <w:numPr>
          <w:ilvl w:val="0"/>
          <w:numId w:val="6"/>
        </w:numPr>
      </w:pPr>
      <w:r>
        <w:t xml:space="preserve">The </w:t>
      </w:r>
      <w:proofErr w:type="gramStart"/>
      <w:r>
        <w:t xml:space="preserve">costs of participating in the ITC Project </w:t>
      </w:r>
      <w:r w:rsidR="00AE4F61">
        <w:t xml:space="preserve">are also deductible by the Growers for service pension assessment purposes, but only against income generated as a result of the </w:t>
      </w:r>
      <w:r w:rsidR="00AE4F61">
        <w:lastRenderedPageBreak/>
        <w:t>ITC Project in the same financial year as the relevant expense was</w:t>
      </w:r>
      <w:proofErr w:type="gramEnd"/>
      <w:r w:rsidR="00AE4F61">
        <w:t xml:space="preserve"> incurred.  If the expenses incurred in a particular year in relation to the ITC Project by a Grower exceed the income generated </w:t>
      </w:r>
      <w:r w:rsidR="005A6CC3">
        <w:t xml:space="preserve">by the Grower </w:t>
      </w:r>
      <w:r w:rsidR="00AE4F61">
        <w:t>in th</w:t>
      </w:r>
      <w:r w:rsidR="005A6CC3">
        <w:t xml:space="preserve">at </w:t>
      </w:r>
      <w:r w:rsidR="00AE4F61">
        <w:t xml:space="preserve">year </w:t>
      </w:r>
      <w:r w:rsidR="005A6CC3">
        <w:t xml:space="preserve">from the ITC Project, those expenses cannot be offset against other any other income of that individual </w:t>
      </w:r>
      <w:r w:rsidR="00D274A1">
        <w:t xml:space="preserve">(Grower) </w:t>
      </w:r>
      <w:r w:rsidR="005A6CC3">
        <w:t>for service pension assessment purposes.  That is, as detailed above</w:t>
      </w:r>
      <w:r w:rsidR="00B64B8D">
        <w:t xml:space="preserve"> in paragraph 30</w:t>
      </w:r>
      <w:r w:rsidR="005A6CC3">
        <w:t xml:space="preserve">, section 46C of the VEA permits the gross income from a business to be reduced for </w:t>
      </w:r>
      <w:r w:rsidR="001E5E22">
        <w:t>service pension assessment purposes</w:t>
      </w:r>
      <w:r w:rsidR="005A6CC3">
        <w:t xml:space="preserve"> by business losses or outgoings that are </w:t>
      </w:r>
      <w:r w:rsidR="001E5E22">
        <w:t xml:space="preserve">ordinarily </w:t>
      </w:r>
      <w:r w:rsidR="005A6CC3">
        <w:t xml:space="preserve">deductible under </w:t>
      </w:r>
      <w:r w:rsidR="001E5E22">
        <w:t>section 8-1 of the ITAA 1997, depreciation expenses that are deductible under Division 42 and section 40-B of the ITAA 1997</w:t>
      </w:r>
      <w:r w:rsidR="005A6CC3">
        <w:t xml:space="preserve"> </w:t>
      </w:r>
      <w:r w:rsidR="001E5E22">
        <w:t>and compulsory employer superannuation contributions under section 290-60 of the ITAA 1997.  Prior year tax losses under Division 36 of the ITAA 1997 are not included in the permissible reductions of business income contained in section 46C of the VEA for the purposes of the service pension “income test”.  There is also no provision in Part IIIB of the VEA which allows for business expenses to be deducted from other income streams.</w:t>
      </w:r>
    </w:p>
    <w:p w:rsidR="000F596B" w:rsidRDefault="000324BF" w:rsidP="00440F60">
      <w:pPr>
        <w:pStyle w:val="ListNumber"/>
        <w:numPr>
          <w:ilvl w:val="0"/>
          <w:numId w:val="6"/>
        </w:numPr>
      </w:pPr>
      <w:r>
        <w:t xml:space="preserve">The “asset” owned by the </w:t>
      </w:r>
      <w:proofErr w:type="spellStart"/>
      <w:r>
        <w:t>Friedlanders</w:t>
      </w:r>
      <w:proofErr w:type="spellEnd"/>
      <w:r>
        <w:t xml:space="preserve"> pursuant to the ITC Project </w:t>
      </w:r>
      <w:r w:rsidR="001E5E22">
        <w:t xml:space="preserve">(for the purposes of the definition of that term in section 5L of the VEA) </w:t>
      </w:r>
      <w:r>
        <w:t>comprises</w:t>
      </w:r>
      <w:r w:rsidR="000F596B">
        <w:t xml:space="preserve"> </w:t>
      </w:r>
      <w:r>
        <w:t>a bundle of legal rights, including a sub-lease over a specified area of land (</w:t>
      </w:r>
      <w:r w:rsidR="001E5E22">
        <w:t>their Leased Land)</w:t>
      </w:r>
      <w:r>
        <w:t xml:space="preserve">, </w:t>
      </w:r>
      <w:r w:rsidR="000F596B">
        <w:t xml:space="preserve">various </w:t>
      </w:r>
      <w:r>
        <w:t xml:space="preserve">contractual rights against the sub-contractor carrying out </w:t>
      </w:r>
      <w:r w:rsidR="000F596B">
        <w:t>specified plantation services on their Leased Land (i.e. ITCPM)</w:t>
      </w:r>
      <w:r>
        <w:t xml:space="preserve"> and a contractual entitlement to their </w:t>
      </w:r>
      <w:r w:rsidR="000F596B">
        <w:t xml:space="preserve">relevant </w:t>
      </w:r>
      <w:r>
        <w:t>share of the proceeds from the sale of the timber following harvest</w:t>
      </w:r>
      <w:r w:rsidR="000F596B">
        <w:t xml:space="preserve"> by ITCPM</w:t>
      </w:r>
      <w:r>
        <w:t xml:space="preserve">.  </w:t>
      </w:r>
    </w:p>
    <w:p w:rsidR="003E3581" w:rsidRDefault="000324BF" w:rsidP="00440F60">
      <w:pPr>
        <w:pStyle w:val="ListNumber"/>
        <w:numPr>
          <w:ilvl w:val="0"/>
          <w:numId w:val="6"/>
        </w:numPr>
      </w:pPr>
      <w:r>
        <w:t xml:space="preserve">This “asset” does not fall within the definitions of “financial asset” and “financial investment” in section </w:t>
      </w:r>
      <w:proofErr w:type="gramStart"/>
      <w:r>
        <w:t>5J(</w:t>
      </w:r>
      <w:proofErr w:type="gramEnd"/>
      <w:r>
        <w:t xml:space="preserve">1) of the VEA or “managed investment” section 5J(1A) of the VEA.  This is because, based on the ITC Project Prospectus, the </w:t>
      </w:r>
      <w:proofErr w:type="spellStart"/>
      <w:r>
        <w:t>Friedlanders</w:t>
      </w:r>
      <w:proofErr w:type="spellEnd"/>
      <w:r>
        <w:t xml:space="preserve">’ investment in the ITC Project is held in their individual names, they have “effective control” over the management of their investment </w:t>
      </w:r>
      <w:r w:rsidR="000F596B">
        <w:t xml:space="preserve">in the ITC Project (albeit it </w:t>
      </w:r>
      <w:r w:rsidR="003E3581">
        <w:t xml:space="preserve">somewhat tenuous) </w:t>
      </w:r>
      <w:r>
        <w:t xml:space="preserve">and they have a legally enforceable right to share in </w:t>
      </w:r>
      <w:r w:rsidR="000F596B">
        <w:t>any distribution of income/</w:t>
      </w:r>
      <w:r>
        <w:t xml:space="preserve">profits </w:t>
      </w:r>
      <w:r w:rsidR="000F596B">
        <w:t xml:space="preserve">arising out of </w:t>
      </w:r>
      <w:r>
        <w:t xml:space="preserve">their investment in </w:t>
      </w:r>
      <w:r w:rsidR="000F596B">
        <w:t xml:space="preserve">the ITC Project in </w:t>
      </w:r>
      <w:r>
        <w:t>the form of proceeds from the sale of the harvested timber.</w:t>
      </w:r>
      <w:r w:rsidR="003E3581">
        <w:t xml:space="preserve">  </w:t>
      </w:r>
    </w:p>
    <w:p w:rsidR="005A6CC3" w:rsidRDefault="003E3581" w:rsidP="00440F60">
      <w:pPr>
        <w:pStyle w:val="ListNumber"/>
        <w:numPr>
          <w:ilvl w:val="0"/>
          <w:numId w:val="6"/>
        </w:numPr>
      </w:pPr>
      <w:r>
        <w:lastRenderedPageBreak/>
        <w:t xml:space="preserve">As such, the </w:t>
      </w:r>
      <w:proofErr w:type="spellStart"/>
      <w:r>
        <w:t>Friedlanders</w:t>
      </w:r>
      <w:proofErr w:type="spellEnd"/>
      <w:r>
        <w:t>’ “asset” is not caught by the income deeming provisions in section 46E of the VEA (“Deemed income from financial assets – members of a couple)</w:t>
      </w:r>
      <w:r w:rsidR="000F596B">
        <w:t>: set out in paragraph 32 above</w:t>
      </w:r>
      <w:r>
        <w:t>.</w:t>
      </w:r>
    </w:p>
    <w:p w:rsidR="005A6CC3" w:rsidRDefault="005A6CC3" w:rsidP="00440F60">
      <w:pPr>
        <w:pStyle w:val="ListNumber"/>
        <w:numPr>
          <w:ilvl w:val="0"/>
          <w:numId w:val="6"/>
        </w:numPr>
      </w:pPr>
      <w:r>
        <w:t xml:space="preserve">Consequently, the Tribunal considers that the distributions received by the </w:t>
      </w:r>
      <w:proofErr w:type="spellStart"/>
      <w:r>
        <w:t>Friedlanders</w:t>
      </w:r>
      <w:proofErr w:type="spellEnd"/>
      <w:r>
        <w:t xml:space="preserve"> from </w:t>
      </w:r>
      <w:r w:rsidR="000F596B">
        <w:t xml:space="preserve">Elders in respect of </w:t>
      </w:r>
      <w:r>
        <w:t xml:space="preserve">their investment in the ITC Project </w:t>
      </w:r>
      <w:r w:rsidR="000F596B">
        <w:t>are</w:t>
      </w:r>
      <w:r>
        <w:t xml:space="preserve"> correctly </w:t>
      </w:r>
      <w:r w:rsidR="000F596B">
        <w:t xml:space="preserve">to be </w:t>
      </w:r>
      <w:r>
        <w:t xml:space="preserve">treated </w:t>
      </w:r>
      <w:r w:rsidR="000F596B">
        <w:t>a</w:t>
      </w:r>
      <w:r>
        <w:t xml:space="preserve">s “income” as defined in the VEA </w:t>
      </w:r>
      <w:r w:rsidR="001D6E67">
        <w:t xml:space="preserve">and </w:t>
      </w:r>
      <w:r>
        <w:t>for service pension assessment purposes.</w:t>
      </w:r>
    </w:p>
    <w:p w:rsidR="00000D6E" w:rsidRDefault="000F596B" w:rsidP="00440F60">
      <w:pPr>
        <w:pStyle w:val="ListNumber"/>
        <w:numPr>
          <w:ilvl w:val="0"/>
          <w:numId w:val="6"/>
        </w:numPr>
      </w:pPr>
      <w:r>
        <w:t>T</w:t>
      </w:r>
      <w:r w:rsidR="00000D6E">
        <w:t xml:space="preserve">here is no provision in the </w:t>
      </w:r>
      <w:r>
        <w:t>VEA</w:t>
      </w:r>
      <w:r w:rsidR="00000D6E">
        <w:t xml:space="preserve"> which enables an overpayment of service pension to be waived </w:t>
      </w:r>
      <w:r>
        <w:t xml:space="preserve">by the DVA </w:t>
      </w:r>
      <w:r w:rsidR="00000D6E">
        <w:t xml:space="preserve">as a consequence of defective administration </w:t>
      </w:r>
      <w:r w:rsidR="00E6291F">
        <w:t xml:space="preserve">or </w:t>
      </w:r>
      <w:r w:rsidR="00000D6E">
        <w:t xml:space="preserve">administrative error (as </w:t>
      </w:r>
      <w:r w:rsidR="00E6291F">
        <w:t>exists</w:t>
      </w:r>
      <w:r w:rsidR="00000D6E">
        <w:t>, for example</w:t>
      </w:r>
      <w:r w:rsidR="00AE4F61">
        <w:t>, in sections 1237 and 1237A o</w:t>
      </w:r>
      <w:r w:rsidR="00000D6E">
        <w:t xml:space="preserve">f the </w:t>
      </w:r>
      <w:r w:rsidR="00000D6E" w:rsidRPr="00000D6E">
        <w:rPr>
          <w:i/>
        </w:rPr>
        <w:t>Social Security Act 1991</w:t>
      </w:r>
      <w:r w:rsidR="00000D6E">
        <w:t xml:space="preserve">).  Further, the Tribunal </w:t>
      </w:r>
      <w:r w:rsidR="00ED75C7">
        <w:t xml:space="preserve">has no </w:t>
      </w:r>
      <w:r w:rsidR="00AE4F61">
        <w:t>jurisdiction</w:t>
      </w:r>
      <w:r w:rsidR="00000D6E">
        <w:t xml:space="preserve"> to compensate the </w:t>
      </w:r>
      <w:proofErr w:type="spellStart"/>
      <w:r w:rsidR="00000D6E">
        <w:t>Friedlanders</w:t>
      </w:r>
      <w:proofErr w:type="spellEnd"/>
      <w:r w:rsidR="00000D6E">
        <w:t xml:space="preserve"> for the DVA’s </w:t>
      </w:r>
      <w:r>
        <w:t xml:space="preserve">recording </w:t>
      </w:r>
      <w:r w:rsidR="00000D6E">
        <w:t>error as</w:t>
      </w:r>
      <w:r w:rsidR="004E1CE7">
        <w:t xml:space="preserve"> requested by Mrs Friedlander.  </w:t>
      </w:r>
      <w:r w:rsidR="00000D6E">
        <w:t xml:space="preserve">Mrs Friedlander has already pursued the </w:t>
      </w:r>
      <w:r>
        <w:t xml:space="preserve">best </w:t>
      </w:r>
      <w:r w:rsidR="00000D6E">
        <w:t>course of action avai</w:t>
      </w:r>
      <w:r w:rsidR="0048007A">
        <w:t>lable to her and her husband, namely to refer</w:t>
      </w:r>
      <w:r>
        <w:t xml:space="preserve"> </w:t>
      </w:r>
      <w:r w:rsidR="0048007A">
        <w:t xml:space="preserve">their matter to the Ombudsman for </w:t>
      </w:r>
      <w:r>
        <w:t>investigation</w:t>
      </w:r>
      <w:r w:rsidR="004E1CE7">
        <w:t>.</w:t>
      </w:r>
    </w:p>
    <w:p w:rsidR="006015AB" w:rsidRPr="006015AB" w:rsidRDefault="006015AB" w:rsidP="006015AB">
      <w:pPr>
        <w:pStyle w:val="ListNumber"/>
        <w:numPr>
          <w:ilvl w:val="0"/>
          <w:numId w:val="0"/>
        </w:numPr>
        <w:rPr>
          <w:b/>
        </w:rPr>
      </w:pPr>
      <w:r w:rsidRPr="006015AB">
        <w:rPr>
          <w:b/>
        </w:rPr>
        <w:t>DECISION</w:t>
      </w:r>
    </w:p>
    <w:p w:rsidR="001F7B4B" w:rsidRDefault="00741D6F" w:rsidP="00EE3D7A">
      <w:pPr>
        <w:pStyle w:val="ListNumber"/>
        <w:numPr>
          <w:ilvl w:val="0"/>
          <w:numId w:val="6"/>
        </w:numPr>
      </w:pPr>
      <w:r>
        <w:t xml:space="preserve">For the above reasons, the Tribunal affirms the </w:t>
      </w:r>
      <w:r w:rsidR="000F596B">
        <w:t xml:space="preserve">Commission’s </w:t>
      </w:r>
      <w:r w:rsidR="003B0580">
        <w:t xml:space="preserve">decision </w:t>
      </w:r>
      <w:r w:rsidR="000F596B">
        <w:t>dated 8 September 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F13E0A" w:rsidTr="00870577">
        <w:tc>
          <w:tcPr>
            <w:tcW w:w="3651" w:type="dxa"/>
          </w:tcPr>
          <w:p w:rsidR="00F13E0A" w:rsidRDefault="00F13E0A" w:rsidP="00B757E7">
            <w:pPr>
              <w:pStyle w:val="ListNumber"/>
              <w:numPr>
                <w:ilvl w:val="0"/>
                <w:numId w:val="6"/>
              </w:numPr>
              <w:spacing w:line="260" w:lineRule="atLeast"/>
            </w:pPr>
            <w:r>
              <w:t xml:space="preserve">I </w:t>
            </w:r>
            <w:bookmarkStart w:id="7" w:name="StartStamp"/>
            <w:bookmarkEnd w:id="7"/>
            <w:r>
              <w:t xml:space="preserve">certify that the </w:t>
            </w:r>
            <w:r w:rsidRPr="000A3D70">
              <w:t>preceding</w:t>
            </w:r>
            <w:r>
              <w:t xml:space="preserve"> </w:t>
            </w:r>
            <w:bookmarkStart w:id="8" w:name="NumParas"/>
            <w:bookmarkEnd w:id="8"/>
            <w:r w:rsidR="00735FB3">
              <w:t>forty</w:t>
            </w:r>
            <w:r w:rsidR="000F596B">
              <w:t xml:space="preserve"> nine</w:t>
            </w:r>
            <w:r>
              <w:t xml:space="preserve"> (</w:t>
            </w:r>
            <w:r w:rsidR="00B757E7">
              <w:t>49</w:t>
            </w:r>
            <w:r>
              <w:t xml:space="preserve">) </w:t>
            </w:r>
            <w:r w:rsidRPr="000A3D70">
              <w:t xml:space="preserve">paragraphs are a true copy of the reasons for the decision herein of </w:t>
            </w:r>
            <w:r>
              <w:fldChar w:fldCharType="begin"/>
            </w:r>
            <w:r>
              <w:instrText xml:space="preserve"> DOCPROPERTY  TribunalSignee</w:instrText>
            </w:r>
            <w:r>
              <w:fldChar w:fldCharType="separate"/>
            </w:r>
            <w:r>
              <w:t>Senior Member C R Walsh</w:t>
            </w:r>
            <w:r>
              <w:fldChar w:fldCharType="end"/>
            </w:r>
            <w:r>
              <w:t>.</w:t>
            </w:r>
          </w:p>
        </w:tc>
      </w:tr>
    </w:tbl>
    <w:p w:rsidR="00F13E0A" w:rsidRPr="00BC2D09" w:rsidRDefault="00F13E0A" w:rsidP="00F13E0A">
      <w:pPr>
        <w:keepNext/>
        <w:spacing w:before="960"/>
        <w:rPr>
          <w:lang w:eastAsia="en-US"/>
        </w:rPr>
      </w:pPr>
      <w:proofErr w:type="gramStart"/>
      <w:r w:rsidRPr="00BC2D09">
        <w:rPr>
          <w:lang w:eastAsia="en-US"/>
        </w:rPr>
        <w:t>....</w:t>
      </w:r>
      <w:r w:rsidR="006C75B8">
        <w:rPr>
          <w:lang w:eastAsia="en-US"/>
        </w:rPr>
        <w:t>(</w:t>
      </w:r>
      <w:proofErr w:type="spellStart"/>
      <w:proofErr w:type="gramEnd"/>
      <w:r w:rsidR="006C75B8">
        <w:rPr>
          <w:lang w:eastAsia="en-US"/>
        </w:rPr>
        <w:t>sgd</w:t>
      </w:r>
      <w:proofErr w:type="spellEnd"/>
      <w:r w:rsidR="006C75B8">
        <w:rPr>
          <w:lang w:eastAsia="en-US"/>
        </w:rPr>
        <w:t>) T Freeman</w:t>
      </w:r>
      <w:r w:rsidRPr="00BC2D09">
        <w:rPr>
          <w:lang w:eastAsia="en-US"/>
        </w:rPr>
        <w:t>........................</w:t>
      </w:r>
    </w:p>
    <w:p w:rsidR="00F13E0A" w:rsidRDefault="00F13E0A" w:rsidP="00F13E0A">
      <w:pPr>
        <w:pStyle w:val="NoSpacing"/>
      </w:pPr>
      <w:r>
        <w:t>Associate</w:t>
      </w:r>
    </w:p>
    <w:p w:rsidR="00F13E0A" w:rsidRDefault="00F13E0A" w:rsidP="00F13E0A">
      <w:r>
        <w:t xml:space="preserve">Dated </w:t>
      </w:r>
      <w:r w:rsidR="00AA1E7B">
        <w:fldChar w:fldCharType="begin"/>
      </w:r>
      <w:r w:rsidR="00AA1E7B">
        <w:instrText xml:space="preserve"> DOCPROPERTY  StampDate </w:instrText>
      </w:r>
      <w:r w:rsidR="00AA1E7B">
        <w:fldChar w:fldCharType="separate"/>
      </w:r>
      <w:r w:rsidR="003B095A">
        <w:t>21 August</w:t>
      </w:r>
      <w:r>
        <w:t xml:space="preserve"> 2012</w:t>
      </w:r>
      <w:r w:rsidR="00AA1E7B">
        <w:fldChar w:fldCharType="end"/>
      </w:r>
    </w:p>
    <w:p w:rsidR="00F13E0A" w:rsidRDefault="00F13E0A" w:rsidP="00F13E0A"/>
    <w:tbl>
      <w:tblPr>
        <w:tblW w:w="0" w:type="auto"/>
        <w:tblLayout w:type="fixed"/>
        <w:tblLook w:val="00A0" w:firstRow="1" w:lastRow="0" w:firstColumn="1" w:lastColumn="0" w:noHBand="0" w:noVBand="0"/>
      </w:tblPr>
      <w:tblGrid>
        <w:gridCol w:w="3510"/>
        <w:gridCol w:w="5279"/>
      </w:tblGrid>
      <w:tr w:rsidR="00F13E0A" w:rsidRPr="00BC2D09" w:rsidTr="00870577">
        <w:trPr>
          <w:trHeight w:val="567"/>
        </w:trPr>
        <w:tc>
          <w:tcPr>
            <w:tcW w:w="3510" w:type="dxa"/>
          </w:tcPr>
          <w:p w:rsidR="00F13E0A" w:rsidRPr="00BC2D09" w:rsidRDefault="00F13E0A" w:rsidP="00F13E0A">
            <w:pPr>
              <w:pStyle w:val="NoSpacing"/>
              <w:rPr>
                <w:lang w:eastAsia="en-US"/>
              </w:rPr>
            </w:pPr>
          </w:p>
        </w:tc>
        <w:tc>
          <w:tcPr>
            <w:tcW w:w="5279" w:type="dxa"/>
          </w:tcPr>
          <w:p w:rsidR="00F13E0A" w:rsidRPr="00771CAC" w:rsidRDefault="00F13E0A" w:rsidP="00690E32">
            <w:pPr>
              <w:pStyle w:val="NoSpacing"/>
              <w:rPr>
                <w:b/>
                <w:bCs/>
                <w:lang w:eastAsia="en-US"/>
              </w:rPr>
            </w:pPr>
          </w:p>
        </w:tc>
      </w:tr>
      <w:tr w:rsidR="00F13E0A" w:rsidRPr="00BC2D09" w:rsidTr="00870577">
        <w:trPr>
          <w:trHeight w:val="567"/>
        </w:trPr>
        <w:tc>
          <w:tcPr>
            <w:tcW w:w="3510" w:type="dxa"/>
          </w:tcPr>
          <w:p w:rsidR="00F13E0A" w:rsidRPr="00BC2D09" w:rsidRDefault="00690E32" w:rsidP="00870577">
            <w:pPr>
              <w:pStyle w:val="NoSpacing"/>
              <w:rPr>
                <w:lang w:eastAsia="en-US"/>
              </w:rPr>
            </w:pPr>
            <w:bookmarkStart w:id="9" w:name="DateFinalSubmission"/>
            <w:bookmarkEnd w:id="9"/>
            <w:r>
              <w:rPr>
                <w:lang w:eastAsia="en-US"/>
              </w:rPr>
              <w:lastRenderedPageBreak/>
              <w:t>Date of hearing</w:t>
            </w:r>
          </w:p>
        </w:tc>
        <w:tc>
          <w:tcPr>
            <w:tcW w:w="5279" w:type="dxa"/>
          </w:tcPr>
          <w:p w:rsidR="00F13E0A" w:rsidRPr="00771CAC" w:rsidRDefault="003B095A" w:rsidP="001F7B4B">
            <w:pPr>
              <w:pStyle w:val="NoSpacing"/>
              <w:rPr>
                <w:b/>
                <w:bCs/>
                <w:lang w:eastAsia="en-US"/>
              </w:rPr>
            </w:pPr>
            <w:r>
              <w:rPr>
                <w:b/>
                <w:bCs/>
                <w:lang w:eastAsia="en-US"/>
              </w:rPr>
              <w:t>9</w:t>
            </w:r>
            <w:r w:rsidR="001F7B4B">
              <w:rPr>
                <w:b/>
                <w:bCs/>
                <w:lang w:eastAsia="en-US"/>
              </w:rPr>
              <w:t xml:space="preserve"> August </w:t>
            </w:r>
            <w:r w:rsidR="00690E32">
              <w:rPr>
                <w:b/>
                <w:bCs/>
                <w:lang w:eastAsia="en-US"/>
              </w:rPr>
              <w:t>2012</w:t>
            </w:r>
          </w:p>
        </w:tc>
      </w:tr>
      <w:tr w:rsidR="00F13E0A" w:rsidRPr="00BC2D09" w:rsidTr="00870577">
        <w:trPr>
          <w:trHeight w:val="567"/>
        </w:trPr>
        <w:tc>
          <w:tcPr>
            <w:tcW w:w="3510" w:type="dxa"/>
          </w:tcPr>
          <w:p w:rsidR="00F13E0A" w:rsidRPr="00BC2D09" w:rsidRDefault="00F13E0A" w:rsidP="00870577">
            <w:pPr>
              <w:pStyle w:val="NoSpacing"/>
              <w:rPr>
                <w:lang w:eastAsia="en-US"/>
              </w:rPr>
            </w:pPr>
            <w:bookmarkStart w:id="10" w:name="AppSelfRepresented"/>
            <w:bookmarkStart w:id="11" w:name="Applicant_Counsel"/>
            <w:bookmarkEnd w:id="10"/>
            <w:bookmarkEnd w:id="11"/>
            <w:r>
              <w:rPr>
                <w:lang w:eastAsia="en-US"/>
              </w:rPr>
              <w:t>Applicant’s Representative</w:t>
            </w:r>
          </w:p>
        </w:tc>
        <w:tc>
          <w:tcPr>
            <w:tcW w:w="5279" w:type="dxa"/>
          </w:tcPr>
          <w:p w:rsidR="00F13E0A" w:rsidRPr="00771CAC" w:rsidRDefault="00F13E0A" w:rsidP="001F7B4B">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sidR="00690E32">
              <w:rPr>
                <w:b/>
                <w:bCs/>
                <w:lang w:eastAsia="en-US"/>
              </w:rPr>
              <w:t>Mr</w:t>
            </w:r>
            <w:r w:rsidR="001F7B4B">
              <w:rPr>
                <w:b/>
                <w:bCs/>
                <w:lang w:eastAsia="en-US"/>
              </w:rPr>
              <w:t>s Billie Friedlander</w:t>
            </w:r>
            <w:r>
              <w:rPr>
                <w:b/>
                <w:bCs/>
                <w:lang w:eastAsia="en-US"/>
              </w:rPr>
              <w:t xml:space="preserve"> (Self-represented)</w:t>
            </w:r>
            <w:r>
              <w:rPr>
                <w:b/>
                <w:bCs/>
                <w:lang w:eastAsia="en-US"/>
              </w:rPr>
              <w:fldChar w:fldCharType="end"/>
            </w:r>
          </w:p>
        </w:tc>
      </w:tr>
      <w:tr w:rsidR="00F13E0A" w:rsidRPr="00BC2D09" w:rsidTr="00870577">
        <w:trPr>
          <w:trHeight w:val="567"/>
        </w:trPr>
        <w:tc>
          <w:tcPr>
            <w:tcW w:w="3510" w:type="dxa"/>
          </w:tcPr>
          <w:p w:rsidR="00F13E0A" w:rsidRDefault="00F13E0A" w:rsidP="00870577">
            <w:pPr>
              <w:pStyle w:val="NoSpacing"/>
              <w:rPr>
                <w:lang w:eastAsia="en-US"/>
              </w:rPr>
            </w:pPr>
            <w:bookmarkStart w:id="12" w:name="Applicant_Advocate"/>
            <w:bookmarkStart w:id="13" w:name="Applicant_Solicitors"/>
            <w:bookmarkStart w:id="14" w:name="Respondent_SelfRepresented"/>
            <w:bookmarkStart w:id="15" w:name="Respondent_Counsel"/>
            <w:bookmarkEnd w:id="12"/>
            <w:bookmarkEnd w:id="13"/>
            <w:bookmarkEnd w:id="14"/>
            <w:bookmarkEnd w:id="15"/>
            <w:r>
              <w:rPr>
                <w:lang w:eastAsia="en-US"/>
              </w:rPr>
              <w:t xml:space="preserve">Respondent’s Representative </w:t>
            </w:r>
          </w:p>
        </w:tc>
        <w:tc>
          <w:tcPr>
            <w:tcW w:w="5279" w:type="dxa"/>
          </w:tcPr>
          <w:p w:rsidR="00F13E0A" w:rsidRPr="00771CAC" w:rsidRDefault="00F13E0A" w:rsidP="00F13E0A">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Mr C</w:t>
            </w:r>
            <w:r w:rsidR="001F7B4B">
              <w:rPr>
                <w:b/>
                <w:bCs/>
                <w:lang w:eastAsia="en-US"/>
              </w:rPr>
              <w:t>arl</w:t>
            </w:r>
            <w:r>
              <w:rPr>
                <w:b/>
                <w:bCs/>
                <w:lang w:eastAsia="en-US"/>
              </w:rPr>
              <w:t xml:space="preserve"> </w:t>
            </w:r>
            <w:proofErr w:type="spellStart"/>
            <w:r>
              <w:rPr>
                <w:b/>
                <w:bCs/>
                <w:lang w:eastAsia="en-US"/>
              </w:rPr>
              <w:t>Ponnuthurai</w:t>
            </w:r>
            <w:proofErr w:type="spellEnd"/>
            <w:r>
              <w:rPr>
                <w:b/>
                <w:bCs/>
                <w:lang w:eastAsia="en-US"/>
              </w:rPr>
              <w:fldChar w:fldCharType="end"/>
            </w:r>
          </w:p>
        </w:tc>
      </w:tr>
    </w:tbl>
    <w:p w:rsidR="00A974D5" w:rsidRDefault="00A974D5" w:rsidP="00A974D5">
      <w:pPr>
        <w:pStyle w:val="ListNumber"/>
        <w:numPr>
          <w:ilvl w:val="0"/>
          <w:numId w:val="0"/>
        </w:numPr>
      </w:pPr>
    </w:p>
    <w:p w:rsidR="00BC1CC8" w:rsidRDefault="00BC1CC8" w:rsidP="00880CF9"/>
    <w:sectPr w:rsidR="00BC1CC8"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CC" w:rsidRDefault="007579CC">
      <w:r>
        <w:separator/>
      </w:r>
    </w:p>
    <w:p w:rsidR="007579CC" w:rsidRDefault="007579CC"/>
  </w:endnote>
  <w:endnote w:type="continuationSeparator" w:id="0">
    <w:p w:rsidR="007579CC" w:rsidRDefault="007579CC">
      <w:r>
        <w:continuationSeparator/>
      </w:r>
    </w:p>
    <w:p w:rsidR="007579CC" w:rsidRDefault="0075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003A17" w:rsidRPr="006F16E0" w:rsidTr="00E53225">
      <w:tc>
        <w:tcPr>
          <w:tcW w:w="1447" w:type="dxa"/>
          <w:tcBorders>
            <w:right w:val="single" w:sz="4" w:space="0" w:color="auto"/>
          </w:tcBorders>
          <w:vAlign w:val="center"/>
        </w:tcPr>
        <w:p w:rsidR="00003A17" w:rsidRPr="006F16E0" w:rsidRDefault="00003A17" w:rsidP="006F16E0">
          <w:pPr>
            <w:pStyle w:val="Footer"/>
          </w:pPr>
          <w:r>
            <w:t xml:space="preserve">Page </w:t>
          </w:r>
          <w:r>
            <w:fldChar w:fldCharType="begin"/>
          </w:r>
          <w:r>
            <w:instrText xml:space="preserve"> PAGE  \* Arabic </w:instrText>
          </w:r>
          <w:r>
            <w:fldChar w:fldCharType="separate"/>
          </w:r>
          <w:r w:rsidR="00AA1E7B">
            <w:rPr>
              <w:noProof/>
            </w:rPr>
            <w:t>19</w:t>
          </w:r>
          <w:r>
            <w:fldChar w:fldCharType="end"/>
          </w:r>
          <w:r>
            <w:t xml:space="preserve"> of </w:t>
          </w:r>
          <w:r w:rsidR="00AA1E7B">
            <w:fldChar w:fldCharType="begin"/>
          </w:r>
          <w:r w:rsidR="00AA1E7B">
            <w:instrText xml:space="preserve"> NUMPAGES  \* Arabic </w:instrText>
          </w:r>
          <w:r w:rsidR="00AA1E7B">
            <w:fldChar w:fldCharType="separate"/>
          </w:r>
          <w:r w:rsidR="00AA1E7B">
            <w:rPr>
              <w:noProof/>
            </w:rPr>
            <w:t>19</w:t>
          </w:r>
          <w:r w:rsidR="00AA1E7B">
            <w:rPr>
              <w:noProof/>
            </w:rPr>
            <w:fldChar w:fldCharType="end"/>
          </w:r>
        </w:p>
      </w:tc>
      <w:tc>
        <w:tcPr>
          <w:tcW w:w="8763" w:type="dxa"/>
          <w:tcBorders>
            <w:left w:val="single" w:sz="4" w:space="0" w:color="auto"/>
          </w:tcBorders>
          <w:vAlign w:val="center"/>
        </w:tcPr>
        <w:p w:rsidR="00003A17" w:rsidRPr="006F16E0" w:rsidRDefault="00003A17" w:rsidP="006F16E0">
          <w:pPr>
            <w:pStyle w:val="Footer"/>
          </w:pPr>
        </w:p>
      </w:tc>
    </w:tr>
  </w:tbl>
  <w:p w:rsidR="00003A17" w:rsidRDefault="00003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003A17" w:rsidTr="00C756F8">
      <w:tc>
        <w:tcPr>
          <w:tcW w:w="1447" w:type="dxa"/>
          <w:tcBorders>
            <w:right w:val="single" w:sz="4" w:space="0" w:color="auto"/>
          </w:tcBorders>
          <w:vAlign w:val="center"/>
        </w:tcPr>
        <w:p w:rsidR="00003A17" w:rsidRDefault="00003A17" w:rsidP="005D5DF5">
          <w:pPr>
            <w:pStyle w:val="FooterPage1"/>
          </w:pPr>
        </w:p>
      </w:tc>
      <w:tc>
        <w:tcPr>
          <w:tcW w:w="8763" w:type="dxa"/>
          <w:tcBorders>
            <w:left w:val="single" w:sz="4" w:space="0" w:color="auto"/>
          </w:tcBorders>
          <w:tcMar>
            <w:left w:w="85" w:type="dxa"/>
          </w:tcMar>
          <w:vAlign w:val="center"/>
        </w:tcPr>
        <w:p w:rsidR="00003A17" w:rsidRDefault="00003A17" w:rsidP="006C7B9D">
          <w:pPr>
            <w:pStyle w:val="FooterPage1"/>
          </w:pPr>
          <w:r>
            <w:t>© Commonwealth of Australia 2012</w:t>
          </w:r>
        </w:p>
      </w:tc>
    </w:tr>
  </w:tbl>
  <w:p w:rsidR="00003A17" w:rsidRDefault="00003A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CC" w:rsidRDefault="007579CC">
      <w:r>
        <w:separator/>
      </w:r>
    </w:p>
  </w:footnote>
  <w:footnote w:type="continuationSeparator" w:id="0">
    <w:p w:rsidR="007579CC" w:rsidRDefault="007579CC">
      <w:r>
        <w:continuationSeparator/>
      </w:r>
    </w:p>
    <w:p w:rsidR="007579CC" w:rsidRDefault="007579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17" w:rsidRDefault="00003A17">
    <w:pPr>
      <w:framePr w:wrap="around" w:vAnchor="text" w:hAnchor="margin" w:xAlign="center" w:y="1"/>
      <w:numPr>
        <w:ilvl w:val="12"/>
        <w:numId w:val="0"/>
      </w:numPr>
      <w:ind w:hanging="851"/>
    </w:pPr>
    <w:r>
      <w:fldChar w:fldCharType="begin"/>
    </w:r>
    <w:r>
      <w:instrText xml:space="preserve">PAGE  </w:instrText>
    </w:r>
    <w:r>
      <w:fldChar w:fldCharType="end"/>
    </w:r>
  </w:p>
  <w:p w:rsidR="00003A17" w:rsidRDefault="00003A17">
    <w:pPr>
      <w:numPr>
        <w:ilvl w:val="12"/>
        <w:numId w:val="0"/>
      </w:numPr>
      <w:ind w:hanging="851"/>
    </w:pPr>
  </w:p>
  <w:p w:rsidR="00003A17" w:rsidRDefault="00003A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003A17" w:rsidTr="00DD17FC">
      <w:trPr>
        <w:trHeight w:hRule="exact" w:val="1361"/>
      </w:trPr>
      <w:tc>
        <w:tcPr>
          <w:tcW w:w="6634" w:type="dxa"/>
          <w:vAlign w:val="bottom"/>
        </w:tcPr>
        <w:p w:rsidR="00003A17" w:rsidRDefault="00003A17">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003A17" w:rsidRDefault="00003A17"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003A17" w:rsidRDefault="00003A17"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EA4"/>
    <w:multiLevelType w:val="hybridMultilevel"/>
    <w:tmpl w:val="B2FAC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72624"/>
    <w:multiLevelType w:val="hybridMultilevel"/>
    <w:tmpl w:val="CC1AA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11F46"/>
    <w:multiLevelType w:val="hybridMultilevel"/>
    <w:tmpl w:val="00EE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55224E"/>
    <w:multiLevelType w:val="hybridMultilevel"/>
    <w:tmpl w:val="5C0A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164084"/>
    <w:multiLevelType w:val="multilevel"/>
    <w:tmpl w:val="A51A84C6"/>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B378B"/>
    <w:multiLevelType w:val="multilevel"/>
    <w:tmpl w:val="C38441E4"/>
    <w:numStyleLink w:val="Quotes"/>
  </w:abstractNum>
  <w:abstractNum w:abstractNumId="7">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33DB05C9"/>
    <w:multiLevelType w:val="hybridMultilevel"/>
    <w:tmpl w:val="6746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457D02"/>
    <w:multiLevelType w:val="hybridMultilevel"/>
    <w:tmpl w:val="8E168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2">
    <w:nsid w:val="50FB74C1"/>
    <w:multiLevelType w:val="hybridMultilevel"/>
    <w:tmpl w:val="EB90778E"/>
    <w:lvl w:ilvl="0" w:tplc="D91245E6">
      <w:start w:val="1"/>
      <w:numFmt w:val="bullet"/>
      <w:pStyle w:val="FollowingPara"/>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nsid w:val="5AEA16AB"/>
    <w:multiLevelType w:val="hybridMultilevel"/>
    <w:tmpl w:val="2892B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1E12EB"/>
    <w:multiLevelType w:val="multilevel"/>
    <w:tmpl w:val="2160D004"/>
    <w:numStyleLink w:val="Bullets"/>
  </w:abstractNum>
  <w:abstractNum w:abstractNumId="15">
    <w:nsid w:val="6BE62C3C"/>
    <w:multiLevelType w:val="hybridMultilevel"/>
    <w:tmpl w:val="3DBCD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14"/>
  </w:num>
  <w:num w:numId="5">
    <w:abstractNumId w:val="4"/>
  </w:num>
  <w:num w:numId="6">
    <w:abstractNumId w:val="4"/>
    <w:lvlOverride w:ilvl="0">
      <w:startOverride w:val="1"/>
      <w:lvl w:ilvl="0">
        <w:start w:val="1"/>
        <w:numFmt w:val="decimal"/>
        <w:pStyle w:val="ListNumber"/>
        <w:lvlText w:val="%1."/>
        <w:lvlJc w:val="left"/>
        <w:pPr>
          <w:tabs>
            <w:tab w:val="num" w:pos="0"/>
          </w:tabs>
          <w:ind w:left="0" w:hanging="709"/>
        </w:pPr>
        <w:rPr>
          <w:rFonts w:hint="default"/>
          <w:b w:val="0"/>
        </w:rPr>
      </w:lvl>
    </w:lvlOverride>
  </w:num>
  <w:num w:numId="7">
    <w:abstractNumId w:val="7"/>
  </w:num>
  <w:num w:numId="8">
    <w:abstractNumId w:val="6"/>
  </w:num>
  <w:num w:numId="9">
    <w:abstractNumId w:val="12"/>
  </w:num>
  <w:num w:numId="10">
    <w:abstractNumId w:val="4"/>
  </w:num>
  <w:num w:numId="11">
    <w:abstractNumId w:val="2"/>
  </w:num>
  <w:num w:numId="12">
    <w:abstractNumId w:val="3"/>
  </w:num>
  <w:num w:numId="13">
    <w:abstractNumId w:val="8"/>
  </w:num>
  <w:num w:numId="14">
    <w:abstractNumId w:val="9"/>
  </w:num>
  <w:num w:numId="15">
    <w:abstractNumId w:val="1"/>
  </w:num>
  <w:num w:numId="16">
    <w:abstractNumId w:val="0"/>
  </w:num>
  <w:num w:numId="17">
    <w:abstractNumId w:val="15"/>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True"/>
    <w:docVar w:name="RunAlready" w:val="False"/>
  </w:docVars>
  <w:rsids>
    <w:rsidRoot w:val="00585C5C"/>
    <w:rsid w:val="00000438"/>
    <w:rsid w:val="00000788"/>
    <w:rsid w:val="00000D6E"/>
    <w:rsid w:val="00003A17"/>
    <w:rsid w:val="00004028"/>
    <w:rsid w:val="00004916"/>
    <w:rsid w:val="0001084D"/>
    <w:rsid w:val="00010D8F"/>
    <w:rsid w:val="000176A5"/>
    <w:rsid w:val="00020FCA"/>
    <w:rsid w:val="00022CF0"/>
    <w:rsid w:val="00024EF9"/>
    <w:rsid w:val="00025EC9"/>
    <w:rsid w:val="00026072"/>
    <w:rsid w:val="00026A57"/>
    <w:rsid w:val="00030E12"/>
    <w:rsid w:val="00031D09"/>
    <w:rsid w:val="000324BF"/>
    <w:rsid w:val="00034645"/>
    <w:rsid w:val="000352C3"/>
    <w:rsid w:val="0003647F"/>
    <w:rsid w:val="00036C03"/>
    <w:rsid w:val="00037306"/>
    <w:rsid w:val="00040997"/>
    <w:rsid w:val="00041993"/>
    <w:rsid w:val="00041DE0"/>
    <w:rsid w:val="00046D20"/>
    <w:rsid w:val="00051969"/>
    <w:rsid w:val="000533BE"/>
    <w:rsid w:val="00054765"/>
    <w:rsid w:val="0005765E"/>
    <w:rsid w:val="00060364"/>
    <w:rsid w:val="000646BA"/>
    <w:rsid w:val="00066A89"/>
    <w:rsid w:val="000723BD"/>
    <w:rsid w:val="00072703"/>
    <w:rsid w:val="00074057"/>
    <w:rsid w:val="00074C81"/>
    <w:rsid w:val="00076AE1"/>
    <w:rsid w:val="00077E34"/>
    <w:rsid w:val="0008091F"/>
    <w:rsid w:val="00080F23"/>
    <w:rsid w:val="00085289"/>
    <w:rsid w:val="000852E6"/>
    <w:rsid w:val="0008639E"/>
    <w:rsid w:val="00086AFC"/>
    <w:rsid w:val="00086E86"/>
    <w:rsid w:val="000903C8"/>
    <w:rsid w:val="0009097C"/>
    <w:rsid w:val="00096477"/>
    <w:rsid w:val="000A126B"/>
    <w:rsid w:val="000A29C5"/>
    <w:rsid w:val="000A2C43"/>
    <w:rsid w:val="000A3B7B"/>
    <w:rsid w:val="000A40FB"/>
    <w:rsid w:val="000A6277"/>
    <w:rsid w:val="000A647E"/>
    <w:rsid w:val="000B05AB"/>
    <w:rsid w:val="000B48B5"/>
    <w:rsid w:val="000B7426"/>
    <w:rsid w:val="000C0421"/>
    <w:rsid w:val="000C200E"/>
    <w:rsid w:val="000D1838"/>
    <w:rsid w:val="000D1F26"/>
    <w:rsid w:val="000E14C4"/>
    <w:rsid w:val="000E35BC"/>
    <w:rsid w:val="000E4089"/>
    <w:rsid w:val="000E5FB6"/>
    <w:rsid w:val="000E625A"/>
    <w:rsid w:val="000F18F4"/>
    <w:rsid w:val="000F596B"/>
    <w:rsid w:val="001064ED"/>
    <w:rsid w:val="00110450"/>
    <w:rsid w:val="0011049E"/>
    <w:rsid w:val="00110C0F"/>
    <w:rsid w:val="00111F84"/>
    <w:rsid w:val="001131C2"/>
    <w:rsid w:val="00114BD8"/>
    <w:rsid w:val="00117552"/>
    <w:rsid w:val="0012021D"/>
    <w:rsid w:val="001209DA"/>
    <w:rsid w:val="00122092"/>
    <w:rsid w:val="001220FF"/>
    <w:rsid w:val="00122EFA"/>
    <w:rsid w:val="00143874"/>
    <w:rsid w:val="001438DD"/>
    <w:rsid w:val="00144294"/>
    <w:rsid w:val="0014665F"/>
    <w:rsid w:val="001466C7"/>
    <w:rsid w:val="00146BD5"/>
    <w:rsid w:val="00150D5A"/>
    <w:rsid w:val="00156035"/>
    <w:rsid w:val="0016135E"/>
    <w:rsid w:val="00161B81"/>
    <w:rsid w:val="001625D8"/>
    <w:rsid w:val="0016425D"/>
    <w:rsid w:val="0016773D"/>
    <w:rsid w:val="00170921"/>
    <w:rsid w:val="00170BEE"/>
    <w:rsid w:val="00174965"/>
    <w:rsid w:val="001761FE"/>
    <w:rsid w:val="00177ECF"/>
    <w:rsid w:val="001803FE"/>
    <w:rsid w:val="00183666"/>
    <w:rsid w:val="001851A9"/>
    <w:rsid w:val="0018598D"/>
    <w:rsid w:val="00187636"/>
    <w:rsid w:val="00190460"/>
    <w:rsid w:val="001935D4"/>
    <w:rsid w:val="00195B0B"/>
    <w:rsid w:val="00197BFF"/>
    <w:rsid w:val="001A2C68"/>
    <w:rsid w:val="001A2D54"/>
    <w:rsid w:val="001A3530"/>
    <w:rsid w:val="001A364E"/>
    <w:rsid w:val="001A37DD"/>
    <w:rsid w:val="001A4085"/>
    <w:rsid w:val="001A4617"/>
    <w:rsid w:val="001C1058"/>
    <w:rsid w:val="001C59B1"/>
    <w:rsid w:val="001C7C3D"/>
    <w:rsid w:val="001D035F"/>
    <w:rsid w:val="001D53F7"/>
    <w:rsid w:val="001D5528"/>
    <w:rsid w:val="001D5B26"/>
    <w:rsid w:val="001D661E"/>
    <w:rsid w:val="001D6E67"/>
    <w:rsid w:val="001D734A"/>
    <w:rsid w:val="001E1E9E"/>
    <w:rsid w:val="001E4799"/>
    <w:rsid w:val="001E5E22"/>
    <w:rsid w:val="001F058C"/>
    <w:rsid w:val="001F2404"/>
    <w:rsid w:val="001F2C5D"/>
    <w:rsid w:val="001F3698"/>
    <w:rsid w:val="001F708A"/>
    <w:rsid w:val="001F7B4B"/>
    <w:rsid w:val="00200058"/>
    <w:rsid w:val="00200187"/>
    <w:rsid w:val="00200390"/>
    <w:rsid w:val="00201958"/>
    <w:rsid w:val="0020277E"/>
    <w:rsid w:val="00202BDD"/>
    <w:rsid w:val="002037D9"/>
    <w:rsid w:val="00203F58"/>
    <w:rsid w:val="002044E0"/>
    <w:rsid w:val="002101C7"/>
    <w:rsid w:val="0021136A"/>
    <w:rsid w:val="00211543"/>
    <w:rsid w:val="00211FC5"/>
    <w:rsid w:val="002126D7"/>
    <w:rsid w:val="002135E8"/>
    <w:rsid w:val="002137DF"/>
    <w:rsid w:val="00213896"/>
    <w:rsid w:val="00215E98"/>
    <w:rsid w:val="002216BD"/>
    <w:rsid w:val="002228E0"/>
    <w:rsid w:val="002260F4"/>
    <w:rsid w:val="002276C4"/>
    <w:rsid w:val="00230141"/>
    <w:rsid w:val="00237992"/>
    <w:rsid w:val="00240147"/>
    <w:rsid w:val="00242AEC"/>
    <w:rsid w:val="0024473D"/>
    <w:rsid w:val="0024549E"/>
    <w:rsid w:val="00253104"/>
    <w:rsid w:val="00254787"/>
    <w:rsid w:val="00256FC5"/>
    <w:rsid w:val="00257FC4"/>
    <w:rsid w:val="002607D3"/>
    <w:rsid w:val="00261342"/>
    <w:rsid w:val="002735B9"/>
    <w:rsid w:val="00273B5A"/>
    <w:rsid w:val="0027496E"/>
    <w:rsid w:val="002754F8"/>
    <w:rsid w:val="00275BDB"/>
    <w:rsid w:val="00275E2F"/>
    <w:rsid w:val="002768CC"/>
    <w:rsid w:val="002801D9"/>
    <w:rsid w:val="00280F2B"/>
    <w:rsid w:val="00281285"/>
    <w:rsid w:val="00281679"/>
    <w:rsid w:val="002839BF"/>
    <w:rsid w:val="00284917"/>
    <w:rsid w:val="00284C1A"/>
    <w:rsid w:val="00285F25"/>
    <w:rsid w:val="00287811"/>
    <w:rsid w:val="00287FE0"/>
    <w:rsid w:val="00290500"/>
    <w:rsid w:val="002944AA"/>
    <w:rsid w:val="00295ACC"/>
    <w:rsid w:val="00297BAC"/>
    <w:rsid w:val="002A40EA"/>
    <w:rsid w:val="002A5BD8"/>
    <w:rsid w:val="002A6C8B"/>
    <w:rsid w:val="002A6D3A"/>
    <w:rsid w:val="002B1002"/>
    <w:rsid w:val="002B52FA"/>
    <w:rsid w:val="002C2118"/>
    <w:rsid w:val="002C7E16"/>
    <w:rsid w:val="002D1CF7"/>
    <w:rsid w:val="002D45F4"/>
    <w:rsid w:val="002D4C46"/>
    <w:rsid w:val="002D5879"/>
    <w:rsid w:val="002D7F26"/>
    <w:rsid w:val="002E6962"/>
    <w:rsid w:val="002E7FBA"/>
    <w:rsid w:val="002F0D19"/>
    <w:rsid w:val="002F3DDF"/>
    <w:rsid w:val="002F6956"/>
    <w:rsid w:val="002F7C5F"/>
    <w:rsid w:val="002F7E7B"/>
    <w:rsid w:val="00301154"/>
    <w:rsid w:val="0030226A"/>
    <w:rsid w:val="003038A9"/>
    <w:rsid w:val="003058C9"/>
    <w:rsid w:val="003070FA"/>
    <w:rsid w:val="00307689"/>
    <w:rsid w:val="003108C6"/>
    <w:rsid w:val="003152B2"/>
    <w:rsid w:val="00323B7B"/>
    <w:rsid w:val="00325D17"/>
    <w:rsid w:val="00325EC3"/>
    <w:rsid w:val="0032657E"/>
    <w:rsid w:val="00331390"/>
    <w:rsid w:val="0034191E"/>
    <w:rsid w:val="003426A7"/>
    <w:rsid w:val="00342BEC"/>
    <w:rsid w:val="00350976"/>
    <w:rsid w:val="00352381"/>
    <w:rsid w:val="003529AA"/>
    <w:rsid w:val="003530AA"/>
    <w:rsid w:val="003557CF"/>
    <w:rsid w:val="003579F7"/>
    <w:rsid w:val="00357F88"/>
    <w:rsid w:val="00363EB2"/>
    <w:rsid w:val="00365B53"/>
    <w:rsid w:val="003739F4"/>
    <w:rsid w:val="00380425"/>
    <w:rsid w:val="00382E91"/>
    <w:rsid w:val="003868D3"/>
    <w:rsid w:val="00391A9B"/>
    <w:rsid w:val="00394A18"/>
    <w:rsid w:val="00395365"/>
    <w:rsid w:val="00395B38"/>
    <w:rsid w:val="00397AC3"/>
    <w:rsid w:val="003A5522"/>
    <w:rsid w:val="003A5ED1"/>
    <w:rsid w:val="003B031B"/>
    <w:rsid w:val="003B0580"/>
    <w:rsid w:val="003B095A"/>
    <w:rsid w:val="003B6024"/>
    <w:rsid w:val="003B6DAC"/>
    <w:rsid w:val="003B7DCC"/>
    <w:rsid w:val="003C12DE"/>
    <w:rsid w:val="003C3A2F"/>
    <w:rsid w:val="003C6C6D"/>
    <w:rsid w:val="003D2450"/>
    <w:rsid w:val="003D4BB1"/>
    <w:rsid w:val="003D53D4"/>
    <w:rsid w:val="003D6FD6"/>
    <w:rsid w:val="003E1FE6"/>
    <w:rsid w:val="003E261A"/>
    <w:rsid w:val="003E3581"/>
    <w:rsid w:val="003E45BA"/>
    <w:rsid w:val="003E5E87"/>
    <w:rsid w:val="003E64EB"/>
    <w:rsid w:val="003F2BEB"/>
    <w:rsid w:val="003F3503"/>
    <w:rsid w:val="003F4703"/>
    <w:rsid w:val="003F49F9"/>
    <w:rsid w:val="00401581"/>
    <w:rsid w:val="004050E6"/>
    <w:rsid w:val="00406B68"/>
    <w:rsid w:val="00411738"/>
    <w:rsid w:val="004152C5"/>
    <w:rsid w:val="00416CE8"/>
    <w:rsid w:val="00417658"/>
    <w:rsid w:val="00420FA7"/>
    <w:rsid w:val="00426A4B"/>
    <w:rsid w:val="00432DB3"/>
    <w:rsid w:val="00433374"/>
    <w:rsid w:val="00434753"/>
    <w:rsid w:val="00434C15"/>
    <w:rsid w:val="00434C43"/>
    <w:rsid w:val="004377D5"/>
    <w:rsid w:val="00440F60"/>
    <w:rsid w:val="00445D9F"/>
    <w:rsid w:val="0045440C"/>
    <w:rsid w:val="00454437"/>
    <w:rsid w:val="0045685E"/>
    <w:rsid w:val="004627B8"/>
    <w:rsid w:val="00463C53"/>
    <w:rsid w:val="00466655"/>
    <w:rsid w:val="0047066D"/>
    <w:rsid w:val="004727B7"/>
    <w:rsid w:val="00473144"/>
    <w:rsid w:val="00473AB1"/>
    <w:rsid w:val="0048007A"/>
    <w:rsid w:val="00480DF4"/>
    <w:rsid w:val="00484993"/>
    <w:rsid w:val="004856B3"/>
    <w:rsid w:val="00485A89"/>
    <w:rsid w:val="004905BD"/>
    <w:rsid w:val="00490C0A"/>
    <w:rsid w:val="004A0002"/>
    <w:rsid w:val="004A39D1"/>
    <w:rsid w:val="004A4F2C"/>
    <w:rsid w:val="004A55A2"/>
    <w:rsid w:val="004B23BF"/>
    <w:rsid w:val="004B6924"/>
    <w:rsid w:val="004C4132"/>
    <w:rsid w:val="004C74C6"/>
    <w:rsid w:val="004D0176"/>
    <w:rsid w:val="004D311B"/>
    <w:rsid w:val="004D3365"/>
    <w:rsid w:val="004E1CE7"/>
    <w:rsid w:val="004E5063"/>
    <w:rsid w:val="004E720A"/>
    <w:rsid w:val="004E7541"/>
    <w:rsid w:val="004F13F5"/>
    <w:rsid w:val="004F5034"/>
    <w:rsid w:val="004F62A5"/>
    <w:rsid w:val="0050054F"/>
    <w:rsid w:val="0050166A"/>
    <w:rsid w:val="00502ACA"/>
    <w:rsid w:val="00505CF1"/>
    <w:rsid w:val="0050670F"/>
    <w:rsid w:val="00513A55"/>
    <w:rsid w:val="0051593B"/>
    <w:rsid w:val="00520D65"/>
    <w:rsid w:val="00522908"/>
    <w:rsid w:val="00531AA1"/>
    <w:rsid w:val="0053263D"/>
    <w:rsid w:val="0053335B"/>
    <w:rsid w:val="00552511"/>
    <w:rsid w:val="0055292B"/>
    <w:rsid w:val="0055307E"/>
    <w:rsid w:val="00556B39"/>
    <w:rsid w:val="00557561"/>
    <w:rsid w:val="005632FA"/>
    <w:rsid w:val="005649BE"/>
    <w:rsid w:val="00566BEA"/>
    <w:rsid w:val="005706B0"/>
    <w:rsid w:val="0057112B"/>
    <w:rsid w:val="00576A65"/>
    <w:rsid w:val="005833E8"/>
    <w:rsid w:val="00585C0F"/>
    <w:rsid w:val="00585C5C"/>
    <w:rsid w:val="0058690A"/>
    <w:rsid w:val="00594020"/>
    <w:rsid w:val="005940BF"/>
    <w:rsid w:val="00595512"/>
    <w:rsid w:val="005964BE"/>
    <w:rsid w:val="005976AB"/>
    <w:rsid w:val="005A3DE1"/>
    <w:rsid w:val="005A4682"/>
    <w:rsid w:val="005A5149"/>
    <w:rsid w:val="005A51FD"/>
    <w:rsid w:val="005A5A37"/>
    <w:rsid w:val="005A6CC3"/>
    <w:rsid w:val="005B3289"/>
    <w:rsid w:val="005B4862"/>
    <w:rsid w:val="005B5C21"/>
    <w:rsid w:val="005C01A0"/>
    <w:rsid w:val="005C2BEF"/>
    <w:rsid w:val="005C5785"/>
    <w:rsid w:val="005C6B79"/>
    <w:rsid w:val="005C726F"/>
    <w:rsid w:val="005D01F0"/>
    <w:rsid w:val="005D5DF5"/>
    <w:rsid w:val="005D6394"/>
    <w:rsid w:val="005E0F42"/>
    <w:rsid w:val="005E1A25"/>
    <w:rsid w:val="005E4260"/>
    <w:rsid w:val="005E7261"/>
    <w:rsid w:val="005F21C4"/>
    <w:rsid w:val="005F2E99"/>
    <w:rsid w:val="005F4A5B"/>
    <w:rsid w:val="005F7680"/>
    <w:rsid w:val="00600553"/>
    <w:rsid w:val="006015AB"/>
    <w:rsid w:val="00602F9D"/>
    <w:rsid w:val="00605BAB"/>
    <w:rsid w:val="00607F3F"/>
    <w:rsid w:val="0061014E"/>
    <w:rsid w:val="00615503"/>
    <w:rsid w:val="00617636"/>
    <w:rsid w:val="00622FE3"/>
    <w:rsid w:val="00625999"/>
    <w:rsid w:val="0062609A"/>
    <w:rsid w:val="0063464F"/>
    <w:rsid w:val="00635CEE"/>
    <w:rsid w:val="00635E9D"/>
    <w:rsid w:val="00647330"/>
    <w:rsid w:val="00647D37"/>
    <w:rsid w:val="00653401"/>
    <w:rsid w:val="0066062A"/>
    <w:rsid w:val="00661217"/>
    <w:rsid w:val="00661270"/>
    <w:rsid w:val="00662677"/>
    <w:rsid w:val="00662B1E"/>
    <w:rsid w:val="00663243"/>
    <w:rsid w:val="00664295"/>
    <w:rsid w:val="00664EE6"/>
    <w:rsid w:val="00665023"/>
    <w:rsid w:val="00670B7F"/>
    <w:rsid w:val="00671D54"/>
    <w:rsid w:val="0067416F"/>
    <w:rsid w:val="00682631"/>
    <w:rsid w:val="0068693C"/>
    <w:rsid w:val="00686F9F"/>
    <w:rsid w:val="00690288"/>
    <w:rsid w:val="00690E32"/>
    <w:rsid w:val="006945BD"/>
    <w:rsid w:val="00696443"/>
    <w:rsid w:val="006970A2"/>
    <w:rsid w:val="006971C2"/>
    <w:rsid w:val="006A582E"/>
    <w:rsid w:val="006A5846"/>
    <w:rsid w:val="006A586C"/>
    <w:rsid w:val="006A6494"/>
    <w:rsid w:val="006A6B66"/>
    <w:rsid w:val="006A7826"/>
    <w:rsid w:val="006B12D4"/>
    <w:rsid w:val="006B3EE8"/>
    <w:rsid w:val="006B5946"/>
    <w:rsid w:val="006B624A"/>
    <w:rsid w:val="006B7D30"/>
    <w:rsid w:val="006C2314"/>
    <w:rsid w:val="006C4F5E"/>
    <w:rsid w:val="006C75B8"/>
    <w:rsid w:val="006C77A1"/>
    <w:rsid w:val="006C7B9D"/>
    <w:rsid w:val="006D0EE2"/>
    <w:rsid w:val="006D2055"/>
    <w:rsid w:val="006D20BD"/>
    <w:rsid w:val="006D3300"/>
    <w:rsid w:val="006D3A70"/>
    <w:rsid w:val="006D4055"/>
    <w:rsid w:val="006D444E"/>
    <w:rsid w:val="006D5A16"/>
    <w:rsid w:val="006D748E"/>
    <w:rsid w:val="006D7A2C"/>
    <w:rsid w:val="006D7F83"/>
    <w:rsid w:val="006E183F"/>
    <w:rsid w:val="006E1CB3"/>
    <w:rsid w:val="006E28E5"/>
    <w:rsid w:val="006E467D"/>
    <w:rsid w:val="006E5759"/>
    <w:rsid w:val="006E5CA8"/>
    <w:rsid w:val="006F0A2D"/>
    <w:rsid w:val="006F16E0"/>
    <w:rsid w:val="006F4185"/>
    <w:rsid w:val="006F50BB"/>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5FB3"/>
    <w:rsid w:val="00740CCE"/>
    <w:rsid w:val="00741D6F"/>
    <w:rsid w:val="007426D0"/>
    <w:rsid w:val="007435BC"/>
    <w:rsid w:val="00747001"/>
    <w:rsid w:val="007511FE"/>
    <w:rsid w:val="00751737"/>
    <w:rsid w:val="00754290"/>
    <w:rsid w:val="00755628"/>
    <w:rsid w:val="007559DB"/>
    <w:rsid w:val="00755AE1"/>
    <w:rsid w:val="0075763B"/>
    <w:rsid w:val="007579CC"/>
    <w:rsid w:val="00760AB6"/>
    <w:rsid w:val="007651A6"/>
    <w:rsid w:val="00771CAC"/>
    <w:rsid w:val="0077250E"/>
    <w:rsid w:val="00776E6C"/>
    <w:rsid w:val="007800EC"/>
    <w:rsid w:val="0078314E"/>
    <w:rsid w:val="00785FFA"/>
    <w:rsid w:val="00792C24"/>
    <w:rsid w:val="00795876"/>
    <w:rsid w:val="007B2419"/>
    <w:rsid w:val="007B585F"/>
    <w:rsid w:val="007B6AC8"/>
    <w:rsid w:val="007B71FC"/>
    <w:rsid w:val="007C2DF2"/>
    <w:rsid w:val="007C326A"/>
    <w:rsid w:val="007C5A66"/>
    <w:rsid w:val="007C7239"/>
    <w:rsid w:val="007C7784"/>
    <w:rsid w:val="007C7CFC"/>
    <w:rsid w:val="007D1803"/>
    <w:rsid w:val="007D5ED6"/>
    <w:rsid w:val="007D7592"/>
    <w:rsid w:val="007E173D"/>
    <w:rsid w:val="007F0629"/>
    <w:rsid w:val="007F1ED0"/>
    <w:rsid w:val="007F3268"/>
    <w:rsid w:val="007F50A2"/>
    <w:rsid w:val="0080210D"/>
    <w:rsid w:val="008025A8"/>
    <w:rsid w:val="00803D8A"/>
    <w:rsid w:val="0081024C"/>
    <w:rsid w:val="00814E7C"/>
    <w:rsid w:val="00815E49"/>
    <w:rsid w:val="008233C4"/>
    <w:rsid w:val="0082393D"/>
    <w:rsid w:val="0082514B"/>
    <w:rsid w:val="0082795E"/>
    <w:rsid w:val="00830233"/>
    <w:rsid w:val="008337D5"/>
    <w:rsid w:val="008408EA"/>
    <w:rsid w:val="00840AB7"/>
    <w:rsid w:val="0084118E"/>
    <w:rsid w:val="00842ACE"/>
    <w:rsid w:val="0084301B"/>
    <w:rsid w:val="008526D9"/>
    <w:rsid w:val="008535EE"/>
    <w:rsid w:val="00853814"/>
    <w:rsid w:val="00855BBF"/>
    <w:rsid w:val="00856D59"/>
    <w:rsid w:val="00857375"/>
    <w:rsid w:val="008579F6"/>
    <w:rsid w:val="00860F03"/>
    <w:rsid w:val="00860FEC"/>
    <w:rsid w:val="008629EB"/>
    <w:rsid w:val="00864777"/>
    <w:rsid w:val="008656A5"/>
    <w:rsid w:val="00870577"/>
    <w:rsid w:val="008720E5"/>
    <w:rsid w:val="008728CF"/>
    <w:rsid w:val="008764FB"/>
    <w:rsid w:val="00876A16"/>
    <w:rsid w:val="008770CD"/>
    <w:rsid w:val="00880CF9"/>
    <w:rsid w:val="008812E5"/>
    <w:rsid w:val="008816AE"/>
    <w:rsid w:val="00881B39"/>
    <w:rsid w:val="00887918"/>
    <w:rsid w:val="00890614"/>
    <w:rsid w:val="0089534A"/>
    <w:rsid w:val="00896224"/>
    <w:rsid w:val="008A238D"/>
    <w:rsid w:val="008A5558"/>
    <w:rsid w:val="008A6374"/>
    <w:rsid w:val="008B51F3"/>
    <w:rsid w:val="008B7133"/>
    <w:rsid w:val="008B7170"/>
    <w:rsid w:val="008C087D"/>
    <w:rsid w:val="008C1ACF"/>
    <w:rsid w:val="008C2C0A"/>
    <w:rsid w:val="008C4102"/>
    <w:rsid w:val="008C4D87"/>
    <w:rsid w:val="008D0B03"/>
    <w:rsid w:val="008D1E16"/>
    <w:rsid w:val="008D75FE"/>
    <w:rsid w:val="008E1C26"/>
    <w:rsid w:val="008F0A11"/>
    <w:rsid w:val="008F4CE4"/>
    <w:rsid w:val="008F6EB3"/>
    <w:rsid w:val="009003F4"/>
    <w:rsid w:val="009030DC"/>
    <w:rsid w:val="00910B8F"/>
    <w:rsid w:val="0091202C"/>
    <w:rsid w:val="00916850"/>
    <w:rsid w:val="009201DC"/>
    <w:rsid w:val="00924776"/>
    <w:rsid w:val="00926EDE"/>
    <w:rsid w:val="00931BE3"/>
    <w:rsid w:val="00934AD0"/>
    <w:rsid w:val="009356EB"/>
    <w:rsid w:val="00943CE1"/>
    <w:rsid w:val="00943F4B"/>
    <w:rsid w:val="00946EC1"/>
    <w:rsid w:val="00950B47"/>
    <w:rsid w:val="00952EBD"/>
    <w:rsid w:val="009602B5"/>
    <w:rsid w:val="00963197"/>
    <w:rsid w:val="00963ABB"/>
    <w:rsid w:val="00964E99"/>
    <w:rsid w:val="00975559"/>
    <w:rsid w:val="00985BC9"/>
    <w:rsid w:val="00985FF8"/>
    <w:rsid w:val="00990F29"/>
    <w:rsid w:val="00994A78"/>
    <w:rsid w:val="009A42E4"/>
    <w:rsid w:val="009B0846"/>
    <w:rsid w:val="009B543B"/>
    <w:rsid w:val="009B583E"/>
    <w:rsid w:val="009C22DF"/>
    <w:rsid w:val="009C3C5A"/>
    <w:rsid w:val="009C6540"/>
    <w:rsid w:val="009D05A1"/>
    <w:rsid w:val="009D1AEA"/>
    <w:rsid w:val="009D2CC4"/>
    <w:rsid w:val="009D5B84"/>
    <w:rsid w:val="009D7BFB"/>
    <w:rsid w:val="009E2C76"/>
    <w:rsid w:val="009E3EBA"/>
    <w:rsid w:val="009E4374"/>
    <w:rsid w:val="009E4B2C"/>
    <w:rsid w:val="009F0642"/>
    <w:rsid w:val="009F1E36"/>
    <w:rsid w:val="009F2340"/>
    <w:rsid w:val="009F2F8F"/>
    <w:rsid w:val="009F3159"/>
    <w:rsid w:val="009F4415"/>
    <w:rsid w:val="009F547C"/>
    <w:rsid w:val="009F58E7"/>
    <w:rsid w:val="009F767D"/>
    <w:rsid w:val="00A063DF"/>
    <w:rsid w:val="00A1128D"/>
    <w:rsid w:val="00A11BDF"/>
    <w:rsid w:val="00A161A7"/>
    <w:rsid w:val="00A16355"/>
    <w:rsid w:val="00A17EFD"/>
    <w:rsid w:val="00A237DD"/>
    <w:rsid w:val="00A240E9"/>
    <w:rsid w:val="00A27932"/>
    <w:rsid w:val="00A30C56"/>
    <w:rsid w:val="00A32543"/>
    <w:rsid w:val="00A33471"/>
    <w:rsid w:val="00A421E8"/>
    <w:rsid w:val="00A42C48"/>
    <w:rsid w:val="00A47435"/>
    <w:rsid w:val="00A5116A"/>
    <w:rsid w:val="00A51A9C"/>
    <w:rsid w:val="00A55F5C"/>
    <w:rsid w:val="00A57111"/>
    <w:rsid w:val="00A62FA4"/>
    <w:rsid w:val="00A66C12"/>
    <w:rsid w:val="00A71ACA"/>
    <w:rsid w:val="00A7260F"/>
    <w:rsid w:val="00A74195"/>
    <w:rsid w:val="00A75C03"/>
    <w:rsid w:val="00A80A02"/>
    <w:rsid w:val="00A80F6E"/>
    <w:rsid w:val="00A82FFF"/>
    <w:rsid w:val="00A872CD"/>
    <w:rsid w:val="00A90658"/>
    <w:rsid w:val="00A9083E"/>
    <w:rsid w:val="00A942F1"/>
    <w:rsid w:val="00A9538E"/>
    <w:rsid w:val="00A95948"/>
    <w:rsid w:val="00A96474"/>
    <w:rsid w:val="00A974D5"/>
    <w:rsid w:val="00AA0FB6"/>
    <w:rsid w:val="00AA1597"/>
    <w:rsid w:val="00AA1E42"/>
    <w:rsid w:val="00AA1E7B"/>
    <w:rsid w:val="00AA34CF"/>
    <w:rsid w:val="00AA695B"/>
    <w:rsid w:val="00AA7310"/>
    <w:rsid w:val="00AB0665"/>
    <w:rsid w:val="00AB27A4"/>
    <w:rsid w:val="00AB3C6B"/>
    <w:rsid w:val="00AB5855"/>
    <w:rsid w:val="00AC7595"/>
    <w:rsid w:val="00AC7DC0"/>
    <w:rsid w:val="00AD2CFC"/>
    <w:rsid w:val="00AD32FC"/>
    <w:rsid w:val="00AD35F4"/>
    <w:rsid w:val="00AD51F7"/>
    <w:rsid w:val="00AE4F61"/>
    <w:rsid w:val="00AE53C8"/>
    <w:rsid w:val="00AE5644"/>
    <w:rsid w:val="00AE5B4E"/>
    <w:rsid w:val="00AE67E3"/>
    <w:rsid w:val="00AF5606"/>
    <w:rsid w:val="00B005D3"/>
    <w:rsid w:val="00B01B32"/>
    <w:rsid w:val="00B022ED"/>
    <w:rsid w:val="00B0420B"/>
    <w:rsid w:val="00B05845"/>
    <w:rsid w:val="00B05942"/>
    <w:rsid w:val="00B05D80"/>
    <w:rsid w:val="00B06810"/>
    <w:rsid w:val="00B0788B"/>
    <w:rsid w:val="00B1006E"/>
    <w:rsid w:val="00B11896"/>
    <w:rsid w:val="00B123AA"/>
    <w:rsid w:val="00B13055"/>
    <w:rsid w:val="00B14334"/>
    <w:rsid w:val="00B144A6"/>
    <w:rsid w:val="00B172F1"/>
    <w:rsid w:val="00B17623"/>
    <w:rsid w:val="00B21304"/>
    <w:rsid w:val="00B21697"/>
    <w:rsid w:val="00B27412"/>
    <w:rsid w:val="00B27588"/>
    <w:rsid w:val="00B276BA"/>
    <w:rsid w:val="00B31484"/>
    <w:rsid w:val="00B327AC"/>
    <w:rsid w:val="00B33786"/>
    <w:rsid w:val="00B35D99"/>
    <w:rsid w:val="00B35EA7"/>
    <w:rsid w:val="00B36572"/>
    <w:rsid w:val="00B36E06"/>
    <w:rsid w:val="00B40E6C"/>
    <w:rsid w:val="00B4297C"/>
    <w:rsid w:val="00B43038"/>
    <w:rsid w:val="00B437A7"/>
    <w:rsid w:val="00B44205"/>
    <w:rsid w:val="00B50537"/>
    <w:rsid w:val="00B52E8C"/>
    <w:rsid w:val="00B53159"/>
    <w:rsid w:val="00B54990"/>
    <w:rsid w:val="00B638E9"/>
    <w:rsid w:val="00B64B8D"/>
    <w:rsid w:val="00B64F68"/>
    <w:rsid w:val="00B66C6A"/>
    <w:rsid w:val="00B71D27"/>
    <w:rsid w:val="00B71EFE"/>
    <w:rsid w:val="00B757E7"/>
    <w:rsid w:val="00B761F4"/>
    <w:rsid w:val="00B8069B"/>
    <w:rsid w:val="00B816C9"/>
    <w:rsid w:val="00B819B4"/>
    <w:rsid w:val="00B907AB"/>
    <w:rsid w:val="00B91000"/>
    <w:rsid w:val="00B925DE"/>
    <w:rsid w:val="00B953C5"/>
    <w:rsid w:val="00B967BC"/>
    <w:rsid w:val="00B96D9A"/>
    <w:rsid w:val="00B97578"/>
    <w:rsid w:val="00BA0884"/>
    <w:rsid w:val="00BA0CEC"/>
    <w:rsid w:val="00BA0EE6"/>
    <w:rsid w:val="00BA1726"/>
    <w:rsid w:val="00BA18C9"/>
    <w:rsid w:val="00BA1D11"/>
    <w:rsid w:val="00BA6247"/>
    <w:rsid w:val="00BB4097"/>
    <w:rsid w:val="00BB4D2F"/>
    <w:rsid w:val="00BB74E6"/>
    <w:rsid w:val="00BC1CC8"/>
    <w:rsid w:val="00BC2D09"/>
    <w:rsid w:val="00BC3D36"/>
    <w:rsid w:val="00BC53EB"/>
    <w:rsid w:val="00BC634C"/>
    <w:rsid w:val="00BC6B08"/>
    <w:rsid w:val="00BC75C3"/>
    <w:rsid w:val="00BD007E"/>
    <w:rsid w:val="00BD0F9A"/>
    <w:rsid w:val="00BD40FE"/>
    <w:rsid w:val="00BE1AAE"/>
    <w:rsid w:val="00BF0304"/>
    <w:rsid w:val="00BF1A7B"/>
    <w:rsid w:val="00BF1A92"/>
    <w:rsid w:val="00BF2524"/>
    <w:rsid w:val="00BF384D"/>
    <w:rsid w:val="00BF5513"/>
    <w:rsid w:val="00BF654D"/>
    <w:rsid w:val="00BF7989"/>
    <w:rsid w:val="00C00EAE"/>
    <w:rsid w:val="00C03EAA"/>
    <w:rsid w:val="00C05300"/>
    <w:rsid w:val="00C11534"/>
    <w:rsid w:val="00C116C1"/>
    <w:rsid w:val="00C15792"/>
    <w:rsid w:val="00C1753D"/>
    <w:rsid w:val="00C2072D"/>
    <w:rsid w:val="00C22AFE"/>
    <w:rsid w:val="00C313ED"/>
    <w:rsid w:val="00C31A13"/>
    <w:rsid w:val="00C33D54"/>
    <w:rsid w:val="00C34FCC"/>
    <w:rsid w:val="00C36FD6"/>
    <w:rsid w:val="00C40AD0"/>
    <w:rsid w:val="00C41CEB"/>
    <w:rsid w:val="00C4309C"/>
    <w:rsid w:val="00C435F7"/>
    <w:rsid w:val="00C519F0"/>
    <w:rsid w:val="00C52E97"/>
    <w:rsid w:val="00C5401C"/>
    <w:rsid w:val="00C54247"/>
    <w:rsid w:val="00C55501"/>
    <w:rsid w:val="00C56C6C"/>
    <w:rsid w:val="00C57261"/>
    <w:rsid w:val="00C5781A"/>
    <w:rsid w:val="00C57B09"/>
    <w:rsid w:val="00C60799"/>
    <w:rsid w:val="00C62741"/>
    <w:rsid w:val="00C638C3"/>
    <w:rsid w:val="00C66CB9"/>
    <w:rsid w:val="00C70812"/>
    <w:rsid w:val="00C72F83"/>
    <w:rsid w:val="00C756F8"/>
    <w:rsid w:val="00C7661D"/>
    <w:rsid w:val="00C77C64"/>
    <w:rsid w:val="00C8016F"/>
    <w:rsid w:val="00C828D7"/>
    <w:rsid w:val="00C83CA0"/>
    <w:rsid w:val="00C83E00"/>
    <w:rsid w:val="00C87B0F"/>
    <w:rsid w:val="00C94EDA"/>
    <w:rsid w:val="00C95193"/>
    <w:rsid w:val="00CA099E"/>
    <w:rsid w:val="00CA211B"/>
    <w:rsid w:val="00CA2EC5"/>
    <w:rsid w:val="00CA469B"/>
    <w:rsid w:val="00CA69DA"/>
    <w:rsid w:val="00CB18AE"/>
    <w:rsid w:val="00CB4124"/>
    <w:rsid w:val="00CB4DCF"/>
    <w:rsid w:val="00CC1A6B"/>
    <w:rsid w:val="00CC2329"/>
    <w:rsid w:val="00CC370F"/>
    <w:rsid w:val="00CC5ADA"/>
    <w:rsid w:val="00CC7478"/>
    <w:rsid w:val="00CD03C5"/>
    <w:rsid w:val="00CD0A16"/>
    <w:rsid w:val="00CD2AD9"/>
    <w:rsid w:val="00CD497A"/>
    <w:rsid w:val="00CD4BDE"/>
    <w:rsid w:val="00CD6D47"/>
    <w:rsid w:val="00CE004E"/>
    <w:rsid w:val="00CE01F2"/>
    <w:rsid w:val="00CE20EC"/>
    <w:rsid w:val="00CE2B03"/>
    <w:rsid w:val="00CE4BF0"/>
    <w:rsid w:val="00CE68E5"/>
    <w:rsid w:val="00CF3697"/>
    <w:rsid w:val="00CF3ECE"/>
    <w:rsid w:val="00CF5E0E"/>
    <w:rsid w:val="00CF7872"/>
    <w:rsid w:val="00D02DA5"/>
    <w:rsid w:val="00D03B70"/>
    <w:rsid w:val="00D03E1D"/>
    <w:rsid w:val="00D0526C"/>
    <w:rsid w:val="00D05659"/>
    <w:rsid w:val="00D06920"/>
    <w:rsid w:val="00D11646"/>
    <w:rsid w:val="00D11CBE"/>
    <w:rsid w:val="00D15C72"/>
    <w:rsid w:val="00D160CA"/>
    <w:rsid w:val="00D20486"/>
    <w:rsid w:val="00D20507"/>
    <w:rsid w:val="00D21A4A"/>
    <w:rsid w:val="00D2271F"/>
    <w:rsid w:val="00D274A1"/>
    <w:rsid w:val="00D30D83"/>
    <w:rsid w:val="00D31091"/>
    <w:rsid w:val="00D32489"/>
    <w:rsid w:val="00D329F6"/>
    <w:rsid w:val="00D331AA"/>
    <w:rsid w:val="00D33F15"/>
    <w:rsid w:val="00D347D1"/>
    <w:rsid w:val="00D36E94"/>
    <w:rsid w:val="00D41258"/>
    <w:rsid w:val="00D42207"/>
    <w:rsid w:val="00D430D1"/>
    <w:rsid w:val="00D50614"/>
    <w:rsid w:val="00D54194"/>
    <w:rsid w:val="00D60AD5"/>
    <w:rsid w:val="00D6292B"/>
    <w:rsid w:val="00D63507"/>
    <w:rsid w:val="00D73168"/>
    <w:rsid w:val="00D750F5"/>
    <w:rsid w:val="00D753E7"/>
    <w:rsid w:val="00D7573B"/>
    <w:rsid w:val="00D76EE5"/>
    <w:rsid w:val="00D832F6"/>
    <w:rsid w:val="00D83F73"/>
    <w:rsid w:val="00D86AF2"/>
    <w:rsid w:val="00D90A26"/>
    <w:rsid w:val="00D90A28"/>
    <w:rsid w:val="00D94841"/>
    <w:rsid w:val="00D94E80"/>
    <w:rsid w:val="00D94FCE"/>
    <w:rsid w:val="00DA14A0"/>
    <w:rsid w:val="00DA5AA0"/>
    <w:rsid w:val="00DA5C23"/>
    <w:rsid w:val="00DA687F"/>
    <w:rsid w:val="00DA7DD9"/>
    <w:rsid w:val="00DB10BD"/>
    <w:rsid w:val="00DB25FA"/>
    <w:rsid w:val="00DB36C6"/>
    <w:rsid w:val="00DB708A"/>
    <w:rsid w:val="00DC0CB0"/>
    <w:rsid w:val="00DC3672"/>
    <w:rsid w:val="00DC479C"/>
    <w:rsid w:val="00DC49EE"/>
    <w:rsid w:val="00DC53C8"/>
    <w:rsid w:val="00DC7729"/>
    <w:rsid w:val="00DD17FC"/>
    <w:rsid w:val="00DD2834"/>
    <w:rsid w:val="00DD2DE4"/>
    <w:rsid w:val="00DD5FC5"/>
    <w:rsid w:val="00DD7AEB"/>
    <w:rsid w:val="00DE0DFC"/>
    <w:rsid w:val="00DE3378"/>
    <w:rsid w:val="00DE35A0"/>
    <w:rsid w:val="00DE6020"/>
    <w:rsid w:val="00DE6F75"/>
    <w:rsid w:val="00DF0A59"/>
    <w:rsid w:val="00DF1A18"/>
    <w:rsid w:val="00E01946"/>
    <w:rsid w:val="00E02C96"/>
    <w:rsid w:val="00E05562"/>
    <w:rsid w:val="00E069C4"/>
    <w:rsid w:val="00E101E7"/>
    <w:rsid w:val="00E132D4"/>
    <w:rsid w:val="00E13BDE"/>
    <w:rsid w:val="00E14A70"/>
    <w:rsid w:val="00E1533A"/>
    <w:rsid w:val="00E15377"/>
    <w:rsid w:val="00E15B22"/>
    <w:rsid w:val="00E20D75"/>
    <w:rsid w:val="00E219DF"/>
    <w:rsid w:val="00E21BB2"/>
    <w:rsid w:val="00E21F00"/>
    <w:rsid w:val="00E22DC4"/>
    <w:rsid w:val="00E22FD9"/>
    <w:rsid w:val="00E26F98"/>
    <w:rsid w:val="00E31B49"/>
    <w:rsid w:val="00E31B91"/>
    <w:rsid w:val="00E35425"/>
    <w:rsid w:val="00E41546"/>
    <w:rsid w:val="00E43144"/>
    <w:rsid w:val="00E4637B"/>
    <w:rsid w:val="00E47FC5"/>
    <w:rsid w:val="00E50BF3"/>
    <w:rsid w:val="00E53225"/>
    <w:rsid w:val="00E537F4"/>
    <w:rsid w:val="00E549B3"/>
    <w:rsid w:val="00E56B7F"/>
    <w:rsid w:val="00E616B9"/>
    <w:rsid w:val="00E6291F"/>
    <w:rsid w:val="00E657FE"/>
    <w:rsid w:val="00E67697"/>
    <w:rsid w:val="00E7349B"/>
    <w:rsid w:val="00E74F79"/>
    <w:rsid w:val="00E753BB"/>
    <w:rsid w:val="00E81C59"/>
    <w:rsid w:val="00E8215F"/>
    <w:rsid w:val="00E90C6F"/>
    <w:rsid w:val="00E91B65"/>
    <w:rsid w:val="00E92DDB"/>
    <w:rsid w:val="00E96669"/>
    <w:rsid w:val="00E96826"/>
    <w:rsid w:val="00EA0DB3"/>
    <w:rsid w:val="00EA0E51"/>
    <w:rsid w:val="00EA6C19"/>
    <w:rsid w:val="00EA7D77"/>
    <w:rsid w:val="00EB53E3"/>
    <w:rsid w:val="00EB659E"/>
    <w:rsid w:val="00EC6994"/>
    <w:rsid w:val="00ED75C7"/>
    <w:rsid w:val="00EE19C3"/>
    <w:rsid w:val="00EE24D8"/>
    <w:rsid w:val="00EE3D7A"/>
    <w:rsid w:val="00EE679D"/>
    <w:rsid w:val="00EE7912"/>
    <w:rsid w:val="00EF123D"/>
    <w:rsid w:val="00EF1799"/>
    <w:rsid w:val="00EF31CA"/>
    <w:rsid w:val="00EF7890"/>
    <w:rsid w:val="00F01667"/>
    <w:rsid w:val="00F01FD0"/>
    <w:rsid w:val="00F02078"/>
    <w:rsid w:val="00F061FA"/>
    <w:rsid w:val="00F067BB"/>
    <w:rsid w:val="00F06915"/>
    <w:rsid w:val="00F12D8B"/>
    <w:rsid w:val="00F13E0A"/>
    <w:rsid w:val="00F3279E"/>
    <w:rsid w:val="00F3428A"/>
    <w:rsid w:val="00F348C6"/>
    <w:rsid w:val="00F35E91"/>
    <w:rsid w:val="00F36717"/>
    <w:rsid w:val="00F410ED"/>
    <w:rsid w:val="00F4176E"/>
    <w:rsid w:val="00F469C0"/>
    <w:rsid w:val="00F46B14"/>
    <w:rsid w:val="00F46D90"/>
    <w:rsid w:val="00F5111C"/>
    <w:rsid w:val="00F55943"/>
    <w:rsid w:val="00F55C20"/>
    <w:rsid w:val="00F562A1"/>
    <w:rsid w:val="00F56362"/>
    <w:rsid w:val="00F56618"/>
    <w:rsid w:val="00F610DE"/>
    <w:rsid w:val="00F613D4"/>
    <w:rsid w:val="00F63CE5"/>
    <w:rsid w:val="00F66A79"/>
    <w:rsid w:val="00F67CB1"/>
    <w:rsid w:val="00F72777"/>
    <w:rsid w:val="00F75E49"/>
    <w:rsid w:val="00F772EE"/>
    <w:rsid w:val="00F77901"/>
    <w:rsid w:val="00F83E86"/>
    <w:rsid w:val="00F84AB6"/>
    <w:rsid w:val="00FA041A"/>
    <w:rsid w:val="00FA1573"/>
    <w:rsid w:val="00FC1949"/>
    <w:rsid w:val="00FC2148"/>
    <w:rsid w:val="00FC43A5"/>
    <w:rsid w:val="00FC4F36"/>
    <w:rsid w:val="00FD391D"/>
    <w:rsid w:val="00FD3DB2"/>
    <w:rsid w:val="00FD72BB"/>
    <w:rsid w:val="00FE036A"/>
    <w:rsid w:val="00FE3C23"/>
    <w:rsid w:val="00FE72AC"/>
    <w:rsid w:val="00FF0105"/>
    <w:rsid w:val="00FF1892"/>
    <w:rsid w:val="00FF1A32"/>
    <w:rsid w:val="00FF2873"/>
    <w:rsid w:val="00FF2B2F"/>
    <w:rsid w:val="00FF511E"/>
    <w:rsid w:val="00FF5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10"/>
      </w:numPr>
      <w:spacing w:before="360"/>
    </w:pPr>
    <w:rPr>
      <w:rFonts w:eastAsia="MS Mincho"/>
      <w:szCs w:val="24"/>
      <w:lang w:eastAsia="ja-JP"/>
    </w:rPr>
  </w:style>
  <w:style w:type="paragraph" w:styleId="ListNumber2">
    <w:name w:val="List Number 2"/>
    <w:basedOn w:val="Normal"/>
    <w:qFormat/>
    <w:rsid w:val="007B585F"/>
    <w:pPr>
      <w:numPr>
        <w:ilvl w:val="1"/>
        <w:numId w:val="10"/>
      </w:numPr>
    </w:pPr>
    <w:rPr>
      <w:rFonts w:eastAsia="MS Mincho"/>
      <w:szCs w:val="24"/>
      <w:lang w:eastAsia="ja-JP"/>
    </w:rPr>
  </w:style>
  <w:style w:type="paragraph" w:styleId="ListNumber3">
    <w:name w:val="List Number 3"/>
    <w:basedOn w:val="Normal"/>
    <w:qFormat/>
    <w:rsid w:val="007B585F"/>
    <w:pPr>
      <w:numPr>
        <w:ilvl w:val="2"/>
        <w:numId w:val="10"/>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9"/>
      </w:numPr>
    </w:pPr>
  </w:style>
  <w:style w:type="paragraph" w:styleId="ListParagraph">
    <w:name w:val="List Paragraph"/>
    <w:basedOn w:val="Normal"/>
    <w:uiPriority w:val="34"/>
    <w:qFormat/>
    <w:rsid w:val="003B6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10"/>
      </w:numPr>
      <w:spacing w:before="360"/>
    </w:pPr>
    <w:rPr>
      <w:rFonts w:eastAsia="MS Mincho"/>
      <w:szCs w:val="24"/>
      <w:lang w:eastAsia="ja-JP"/>
    </w:rPr>
  </w:style>
  <w:style w:type="paragraph" w:styleId="ListNumber2">
    <w:name w:val="List Number 2"/>
    <w:basedOn w:val="Normal"/>
    <w:qFormat/>
    <w:rsid w:val="007B585F"/>
    <w:pPr>
      <w:numPr>
        <w:ilvl w:val="1"/>
        <w:numId w:val="10"/>
      </w:numPr>
    </w:pPr>
    <w:rPr>
      <w:rFonts w:eastAsia="MS Mincho"/>
      <w:szCs w:val="24"/>
      <w:lang w:eastAsia="ja-JP"/>
    </w:rPr>
  </w:style>
  <w:style w:type="paragraph" w:styleId="ListNumber3">
    <w:name w:val="List Number 3"/>
    <w:basedOn w:val="Normal"/>
    <w:qFormat/>
    <w:rsid w:val="007B585F"/>
    <w:pPr>
      <w:numPr>
        <w:ilvl w:val="2"/>
        <w:numId w:val="10"/>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9"/>
      </w:numPr>
    </w:pPr>
  </w:style>
  <w:style w:type="paragraph" w:styleId="ListParagraph">
    <w:name w:val="List Paragraph"/>
    <w:basedOn w:val="Normal"/>
    <w:uiPriority w:val="34"/>
    <w:qFormat/>
    <w:rsid w:val="003B6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TANDARD\MEMBERS\new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69290BD08647428CCABF3810B58829"/>
        <w:category>
          <w:name w:val="General"/>
          <w:gallery w:val="placeholder"/>
        </w:category>
        <w:types>
          <w:type w:val="bbPlcHdr"/>
        </w:types>
        <w:behaviors>
          <w:behavior w:val="content"/>
        </w:behaviors>
        <w:guid w:val="{2D073F7C-128A-48E3-9057-3035809D5F3C}"/>
      </w:docPartPr>
      <w:docPartBody>
        <w:p w:rsidR="00DC5556" w:rsidRDefault="00961A7F">
          <w:pPr>
            <w:pStyle w:val="C369290BD08647428CCABF3810B58829"/>
          </w:pPr>
          <w:r w:rsidRPr="00CD5897">
            <w:rPr>
              <w:rStyle w:val="PlaceholderText"/>
            </w:rPr>
            <w:t>Click here to enter text.</w:t>
          </w:r>
        </w:p>
      </w:docPartBody>
    </w:docPart>
    <w:docPart>
      <w:docPartPr>
        <w:name w:val="6B6E55BA9DD3485CBB7EB8B82AB420A6"/>
        <w:category>
          <w:name w:val="General"/>
          <w:gallery w:val="placeholder"/>
        </w:category>
        <w:types>
          <w:type w:val="bbPlcHdr"/>
        </w:types>
        <w:behaviors>
          <w:behavior w:val="content"/>
        </w:behaviors>
        <w:guid w:val="{61F86E68-116F-4A4C-9754-7C8324A6EF58}"/>
      </w:docPartPr>
      <w:docPartBody>
        <w:p w:rsidR="00DC5556" w:rsidRDefault="00961A7F">
          <w:pPr>
            <w:pStyle w:val="6B6E55BA9DD3485CBB7EB8B82AB420A6"/>
          </w:pPr>
          <w:r w:rsidRPr="00CD5897">
            <w:rPr>
              <w:rStyle w:val="PlaceholderText"/>
            </w:rPr>
            <w:t>Click here to enter text.</w:t>
          </w:r>
        </w:p>
      </w:docPartBody>
    </w:docPart>
    <w:docPart>
      <w:docPartPr>
        <w:name w:val="D5A6B7225367420FAF78F3EE248FC2F7"/>
        <w:category>
          <w:name w:val="General"/>
          <w:gallery w:val="placeholder"/>
        </w:category>
        <w:types>
          <w:type w:val="bbPlcHdr"/>
        </w:types>
        <w:behaviors>
          <w:behavior w:val="content"/>
        </w:behaviors>
        <w:guid w:val="{448FC573-132D-47AE-B782-A51BE230F2B0}"/>
      </w:docPartPr>
      <w:docPartBody>
        <w:p w:rsidR="00DC5556" w:rsidRDefault="00961A7F">
          <w:pPr>
            <w:pStyle w:val="D5A6B7225367420FAF78F3EE248FC2F7"/>
          </w:pPr>
          <w:r w:rsidRPr="00CD5897">
            <w:rPr>
              <w:rStyle w:val="PlaceholderText"/>
            </w:rPr>
            <w:t>Click here to enter text.</w:t>
          </w:r>
        </w:p>
      </w:docPartBody>
    </w:docPart>
    <w:docPart>
      <w:docPartPr>
        <w:name w:val="2BF790089FE0460083AFB2CC2A1D9B93"/>
        <w:category>
          <w:name w:val="General"/>
          <w:gallery w:val="placeholder"/>
        </w:category>
        <w:types>
          <w:type w:val="bbPlcHdr"/>
        </w:types>
        <w:behaviors>
          <w:behavior w:val="content"/>
        </w:behaviors>
        <w:guid w:val="{64BCA242-4817-409B-9652-B2F3C18A68A7}"/>
      </w:docPartPr>
      <w:docPartBody>
        <w:p w:rsidR="00DC5556" w:rsidRDefault="00961A7F">
          <w:pPr>
            <w:pStyle w:val="2BF790089FE0460083AFB2CC2A1D9B93"/>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56"/>
    <w:rsid w:val="00035591"/>
    <w:rsid w:val="00176F21"/>
    <w:rsid w:val="00206371"/>
    <w:rsid w:val="0039531B"/>
    <w:rsid w:val="003C1228"/>
    <w:rsid w:val="008F1038"/>
    <w:rsid w:val="00961A7F"/>
    <w:rsid w:val="00A12AB2"/>
    <w:rsid w:val="00AC1AD0"/>
    <w:rsid w:val="00B90DA4"/>
    <w:rsid w:val="00C3685D"/>
    <w:rsid w:val="00C40606"/>
    <w:rsid w:val="00D95C88"/>
    <w:rsid w:val="00DC5556"/>
    <w:rsid w:val="00E421A4"/>
    <w:rsid w:val="00E77B6C"/>
    <w:rsid w:val="00F07FDA"/>
    <w:rsid w:val="00F97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69290BD08647428CCABF3810B58829">
    <w:name w:val="C369290BD08647428CCABF3810B58829"/>
  </w:style>
  <w:style w:type="paragraph" w:customStyle="1" w:styleId="6B6E55BA9DD3485CBB7EB8B82AB420A6">
    <w:name w:val="6B6E55BA9DD3485CBB7EB8B82AB420A6"/>
  </w:style>
  <w:style w:type="paragraph" w:customStyle="1" w:styleId="D5A6B7225367420FAF78F3EE248FC2F7">
    <w:name w:val="D5A6B7225367420FAF78F3EE248FC2F7"/>
  </w:style>
  <w:style w:type="paragraph" w:customStyle="1" w:styleId="2BF790089FE0460083AFB2CC2A1D9B93">
    <w:name w:val="2BF790089FE0460083AFB2CC2A1D9B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69290BD08647428CCABF3810B58829">
    <w:name w:val="C369290BD08647428CCABF3810B58829"/>
  </w:style>
  <w:style w:type="paragraph" w:customStyle="1" w:styleId="6B6E55BA9DD3485CBB7EB8B82AB420A6">
    <w:name w:val="6B6E55BA9DD3485CBB7EB8B82AB420A6"/>
  </w:style>
  <w:style w:type="paragraph" w:customStyle="1" w:styleId="D5A6B7225367420FAF78F3EE248FC2F7">
    <w:name w:val="D5A6B7225367420FAF78F3EE248FC2F7"/>
  </w:style>
  <w:style w:type="paragraph" w:customStyle="1" w:styleId="2BF790089FE0460083AFB2CC2A1D9B93">
    <w:name w:val="2BF790089FE0460083AFB2CC2A1D9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E21CB-6B61-4C6C-A567-7B9853E9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newDecisionAndReasons_AAT.dotm</Template>
  <TotalTime>1</TotalTime>
  <Pages>19</Pages>
  <Words>4824</Words>
  <Characters>24910</Characters>
  <Application>Microsoft Office Word</Application>
  <DocSecurity>4</DocSecurity>
  <Lines>207</Lines>
  <Paragraphs>59</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Tracey</dc:creator>
  <cp:lastModifiedBy>Wunsch, Lechelle</cp:lastModifiedBy>
  <cp:revision>2</cp:revision>
  <cp:lastPrinted>2012-08-21T06:15:00Z</cp:lastPrinted>
  <dcterms:created xsi:type="dcterms:W3CDTF">2012-08-27T05:38:00Z</dcterms:created>
  <dcterms:modified xsi:type="dcterms:W3CDTF">2012-08-27T05:38:00Z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DOUGLAS TINK</vt:lpwstr>
  </property>
  <property fmtid="{D5CDD505-2E9C-101B-9397-08002B2CF9AE}" pid="26" name="FileNumber">
    <vt:lpwstr>2011/4109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Senior Member C R Walsh</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 </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 </vt:lpwstr>
  </property>
  <property fmtid="{D5CDD505-2E9C-101B-9397-08002B2CF9AE}" pid="95" name="DateWrittenReason">
    <vt:lpwstr> </vt:lpwstr>
  </property>
  <property fmtid="{D5CDD505-2E9C-101B-9397-08002B2CF9AE}" pid="96" name="DecisionDate">
    <vt:lpwstr>29 March 2012</vt:lpwstr>
  </property>
  <property fmtid="{D5CDD505-2E9C-101B-9397-08002B2CF9AE}" pid="97" name="ReasonsforDecisionDate">
    <vt:lpwstr>29 March 2012</vt:lpwstr>
  </property>
  <property fmtid="{D5CDD505-2E9C-101B-9397-08002B2CF9AE}" pid="98" name="StampDate">
    <vt:lpwstr>29 March 2012</vt:lpwstr>
  </property>
</Properties>
</file>