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815DE" w14:textId="63CA6B8A" w:rsidR="00395B24" w:rsidRDefault="00D363B2" w:rsidP="00A22932">
      <w:pPr>
        <w:pStyle w:val="CourtTitle"/>
      </w:pPr>
      <w:r>
        <w:fldChar w:fldCharType="begin" w:fldLock="1"/>
      </w:r>
      <w:r>
        <w:instrText xml:space="preserve"> DOCPROPERTY  Court  \* MERGEFORMAT </w:instrText>
      </w:r>
      <w:r>
        <w:fldChar w:fldCharType="separate"/>
      </w:r>
      <w:r>
        <w:t>Federal Court of Australia</w:t>
      </w:r>
      <w:r>
        <w:fldChar w:fldCharType="end"/>
      </w:r>
    </w:p>
    <w:p w14:paraId="7F4BCCE7" w14:textId="77777777" w:rsidR="004D7950" w:rsidRDefault="004D7950">
      <w:pPr>
        <w:pStyle w:val="NormalHeadings"/>
        <w:jc w:val="center"/>
        <w:rPr>
          <w:sz w:val="32"/>
        </w:rPr>
      </w:pPr>
    </w:p>
    <w:bookmarkStart w:id="0" w:name="MNC"/>
    <w:p w14:paraId="1A00B148" w14:textId="0F3215CF" w:rsidR="00374CC4" w:rsidRDefault="00824A1E" w:rsidP="001A2B40">
      <w:pPr>
        <w:pStyle w:val="MNC"/>
      </w:pPr>
      <w:sdt>
        <w:sdtPr>
          <w:alias w:val="MNC"/>
          <w:tag w:val="MNC"/>
          <w:id w:val="343289786"/>
          <w:lock w:val="sdtLocked"/>
          <w:placeholder>
            <w:docPart w:val="E822A38CFA764A4EBB93A20D0267FAC2"/>
          </w:placeholder>
          <w:dataBinding w:prefixMappings="xmlns:ns0='http://schemas.globalmacros.com/FCA'" w:xpath="/ns0:root[1]/ns0:Name[1]" w:storeItemID="{687E7CCB-4AA5-44E7-B148-17BA2B6F57C0}"/>
          <w:text w:multiLine="1"/>
        </w:sdtPr>
        <w:sdtEndPr/>
        <w:sdtContent>
          <w:r w:rsidR="005E0FDA">
            <w:t xml:space="preserve">CUP17 v Minister for Immigration and </w:t>
          </w:r>
          <w:r w:rsidR="00D363B2">
            <w:t>Multicultural Affairs</w:t>
          </w:r>
          <w:r w:rsidR="005E0FDA">
            <w:t xml:space="preserve"> [2025] FCA</w:t>
          </w:r>
          <w:r w:rsidR="004D03E1">
            <w:t xml:space="preserve"> 183</w:t>
          </w:r>
          <w:r w:rsidR="005E0FDA">
            <w:t xml:space="preserve">  </w:t>
          </w:r>
        </w:sdtContent>
      </w:sdt>
      <w:bookmarkEnd w:id="0"/>
      <w:r w:rsidR="005C185C">
        <w:t xml:space="preserve"> </w:t>
      </w:r>
    </w:p>
    <w:tbl>
      <w:tblPr>
        <w:tblW w:w="9072" w:type="dxa"/>
        <w:tblLayout w:type="fixed"/>
        <w:tblLook w:val="01E0" w:firstRow="1" w:lastRow="1" w:firstColumn="1" w:lastColumn="1" w:noHBand="0" w:noVBand="0"/>
        <w:tblCaption w:val="Cover Table"/>
        <w:tblDescription w:val="Cover Table"/>
      </w:tblPr>
      <w:tblGrid>
        <w:gridCol w:w="3083"/>
        <w:gridCol w:w="5989"/>
      </w:tblGrid>
      <w:tr w:rsidR="00D363B2" w14:paraId="01398617" w14:textId="77777777" w:rsidTr="007D26C1">
        <w:tc>
          <w:tcPr>
            <w:tcW w:w="3083" w:type="dxa"/>
            <w:shd w:val="clear" w:color="auto" w:fill="auto"/>
          </w:tcPr>
          <w:p w14:paraId="0ED64BD9" w14:textId="77777777" w:rsidR="00D363B2" w:rsidRDefault="00D363B2" w:rsidP="002539B3">
            <w:pPr>
              <w:pStyle w:val="Normal1linespace"/>
              <w:widowControl w:val="0"/>
              <w:spacing w:after="60"/>
              <w:jc w:val="left"/>
            </w:pPr>
            <w:bookmarkStart w:id="1" w:name="AppealFrom_row" w:colFirst="0" w:colLast="1"/>
            <w:r>
              <w:t>Appeal from:</w:t>
            </w:r>
          </w:p>
        </w:tc>
        <w:tc>
          <w:tcPr>
            <w:tcW w:w="5989" w:type="dxa"/>
            <w:shd w:val="clear" w:color="auto" w:fill="auto"/>
          </w:tcPr>
          <w:p w14:paraId="4E2875BC" w14:textId="7E4B7BFE" w:rsidR="00D363B2" w:rsidRDefault="00D363B2" w:rsidP="002539B3">
            <w:pPr>
              <w:pStyle w:val="CasesLegislationAppealFrom"/>
              <w:spacing w:after="60"/>
            </w:pPr>
            <w:fldSimple w:instr=" DOCPROPERTY  AppealFrom  \* MERGEFORMAT " w:fldLock="1">
              <w:r w:rsidRPr="00D363B2">
                <w:rPr>
                  <w:i/>
                  <w:iCs/>
                </w:rPr>
                <w:t>CUP17 v Minister for Immigration, Citizenship, Migrant Services and Multicultural Affairs</w:t>
              </w:r>
              <w:r>
                <w:t xml:space="preserve"> [2020] FCCA 3119</w:t>
              </w:r>
            </w:fldSimple>
          </w:p>
        </w:tc>
      </w:tr>
      <w:tr w:rsidR="00D363B2" w14:paraId="258CDFF3" w14:textId="77777777" w:rsidTr="007D26C1">
        <w:tc>
          <w:tcPr>
            <w:tcW w:w="3083" w:type="dxa"/>
            <w:shd w:val="clear" w:color="auto" w:fill="auto"/>
          </w:tcPr>
          <w:p w14:paraId="16D9DD33" w14:textId="77777777" w:rsidR="00D363B2" w:rsidRDefault="00D363B2" w:rsidP="00663878">
            <w:pPr>
              <w:pStyle w:val="Normal1linespace"/>
              <w:widowControl w:val="0"/>
              <w:jc w:val="left"/>
            </w:pPr>
          </w:p>
        </w:tc>
        <w:tc>
          <w:tcPr>
            <w:tcW w:w="5989" w:type="dxa"/>
            <w:shd w:val="clear" w:color="auto" w:fill="auto"/>
          </w:tcPr>
          <w:p w14:paraId="3F07B3E3" w14:textId="77777777" w:rsidR="00D363B2" w:rsidRDefault="00D363B2" w:rsidP="00663878">
            <w:pPr>
              <w:pStyle w:val="Normal1linespace"/>
              <w:widowControl w:val="0"/>
              <w:jc w:val="left"/>
            </w:pPr>
          </w:p>
        </w:tc>
      </w:tr>
      <w:bookmarkEnd w:id="1"/>
      <w:tr w:rsidR="00395B24" w14:paraId="2D0ADDF2" w14:textId="77777777" w:rsidTr="007D26C1">
        <w:tc>
          <w:tcPr>
            <w:tcW w:w="3083" w:type="dxa"/>
            <w:shd w:val="clear" w:color="auto" w:fill="auto"/>
          </w:tcPr>
          <w:p w14:paraId="7EDAB7BB" w14:textId="77777777" w:rsidR="00395B24" w:rsidRDefault="002C7385" w:rsidP="00663878">
            <w:pPr>
              <w:pStyle w:val="Normal1linespace"/>
              <w:widowControl w:val="0"/>
              <w:jc w:val="left"/>
            </w:pPr>
            <w:r>
              <w:t>File number(s):</w:t>
            </w:r>
          </w:p>
        </w:tc>
        <w:tc>
          <w:tcPr>
            <w:tcW w:w="5989" w:type="dxa"/>
            <w:shd w:val="clear" w:color="auto" w:fill="auto"/>
          </w:tcPr>
          <w:p w14:paraId="27C78A21" w14:textId="2AAF3C41" w:rsidR="00395B24" w:rsidRPr="00D363B2" w:rsidRDefault="00D363B2" w:rsidP="00D363B2">
            <w:pPr>
              <w:pStyle w:val="Normal1linespace"/>
              <w:jc w:val="left"/>
            </w:pPr>
            <w:fldSimple w:instr=" REF  FileNo  \* MERGEFORMAT " w:fldLock="1">
              <w:r w:rsidRPr="00D363B2">
                <w:t>NSD 1334 of 2020</w:t>
              </w:r>
            </w:fldSimple>
          </w:p>
        </w:tc>
      </w:tr>
      <w:tr w:rsidR="00395B24" w14:paraId="7BBB15C0" w14:textId="77777777" w:rsidTr="007D26C1">
        <w:tc>
          <w:tcPr>
            <w:tcW w:w="3083" w:type="dxa"/>
            <w:shd w:val="clear" w:color="auto" w:fill="auto"/>
          </w:tcPr>
          <w:p w14:paraId="14F14B1C" w14:textId="77777777" w:rsidR="00395B24" w:rsidRDefault="00395B24" w:rsidP="00663878">
            <w:pPr>
              <w:pStyle w:val="Normal1linespace"/>
              <w:widowControl w:val="0"/>
              <w:jc w:val="left"/>
            </w:pPr>
          </w:p>
        </w:tc>
        <w:tc>
          <w:tcPr>
            <w:tcW w:w="5989" w:type="dxa"/>
            <w:shd w:val="clear" w:color="auto" w:fill="auto"/>
          </w:tcPr>
          <w:p w14:paraId="07DB1B83" w14:textId="77777777" w:rsidR="00395B24" w:rsidRDefault="00395B24" w:rsidP="00663878">
            <w:pPr>
              <w:pStyle w:val="Normal1linespace"/>
              <w:widowControl w:val="0"/>
              <w:jc w:val="left"/>
            </w:pPr>
          </w:p>
        </w:tc>
      </w:tr>
      <w:tr w:rsidR="00395B24" w14:paraId="05184114" w14:textId="77777777" w:rsidTr="007D26C1">
        <w:tc>
          <w:tcPr>
            <w:tcW w:w="3083" w:type="dxa"/>
            <w:shd w:val="clear" w:color="auto" w:fill="auto"/>
          </w:tcPr>
          <w:p w14:paraId="533E6A8C" w14:textId="77777777" w:rsidR="00395B24" w:rsidRDefault="002C7385" w:rsidP="00663878">
            <w:pPr>
              <w:pStyle w:val="Normal1linespace"/>
              <w:widowControl w:val="0"/>
              <w:jc w:val="left"/>
            </w:pPr>
            <w:r>
              <w:t>Judg</w:t>
            </w:r>
            <w:r w:rsidR="005724F6">
              <w:t>ment of</w:t>
            </w:r>
            <w:r>
              <w:t>:</w:t>
            </w:r>
          </w:p>
        </w:tc>
        <w:tc>
          <w:tcPr>
            <w:tcW w:w="5989" w:type="dxa"/>
            <w:shd w:val="clear" w:color="auto" w:fill="auto"/>
          </w:tcPr>
          <w:p w14:paraId="1C8A6A2F" w14:textId="60F5C18C" w:rsidR="00395B24" w:rsidRDefault="002C7385" w:rsidP="00663878">
            <w:pPr>
              <w:pStyle w:val="Normal1linespace"/>
              <w:widowControl w:val="0"/>
              <w:jc w:val="left"/>
              <w:rPr>
                <w:b/>
              </w:rPr>
            </w:pPr>
            <w:r w:rsidRPr="00D363B2">
              <w:rPr>
                <w:b/>
              </w:rPr>
              <w:fldChar w:fldCharType="begin" w:fldLock="1"/>
            </w:r>
            <w:r w:rsidRPr="00D363B2">
              <w:rPr>
                <w:b/>
              </w:rPr>
              <w:instrText xml:space="preserve"> REF  Judge  \* MERGEFORMAT </w:instrText>
            </w:r>
            <w:r w:rsidRPr="00D363B2">
              <w:rPr>
                <w:b/>
              </w:rPr>
              <w:fldChar w:fldCharType="separate"/>
            </w:r>
            <w:r w:rsidR="00D363B2" w:rsidRPr="00D363B2">
              <w:rPr>
                <w:b/>
                <w:caps/>
                <w:szCs w:val="24"/>
              </w:rPr>
              <w:t>BROMWICH J</w:t>
            </w:r>
            <w:r w:rsidRPr="00D363B2">
              <w:rPr>
                <w:b/>
              </w:rPr>
              <w:fldChar w:fldCharType="end"/>
            </w:r>
          </w:p>
        </w:tc>
      </w:tr>
      <w:tr w:rsidR="00395B24" w14:paraId="4961D7C6" w14:textId="77777777" w:rsidTr="007D26C1">
        <w:tc>
          <w:tcPr>
            <w:tcW w:w="3083" w:type="dxa"/>
            <w:shd w:val="clear" w:color="auto" w:fill="auto"/>
          </w:tcPr>
          <w:p w14:paraId="0E8551FE" w14:textId="77777777" w:rsidR="00395B24" w:rsidRDefault="00395B24" w:rsidP="00663878">
            <w:pPr>
              <w:pStyle w:val="Normal1linespace"/>
              <w:widowControl w:val="0"/>
              <w:jc w:val="left"/>
            </w:pPr>
          </w:p>
        </w:tc>
        <w:tc>
          <w:tcPr>
            <w:tcW w:w="5989" w:type="dxa"/>
            <w:shd w:val="clear" w:color="auto" w:fill="auto"/>
          </w:tcPr>
          <w:p w14:paraId="2BA739D1" w14:textId="77777777" w:rsidR="00395B24" w:rsidRDefault="00395B24" w:rsidP="00663878">
            <w:pPr>
              <w:pStyle w:val="Normal1linespace"/>
              <w:widowControl w:val="0"/>
              <w:jc w:val="left"/>
            </w:pPr>
          </w:p>
        </w:tc>
      </w:tr>
      <w:tr w:rsidR="00395B24" w14:paraId="22762719" w14:textId="77777777" w:rsidTr="007D26C1">
        <w:tc>
          <w:tcPr>
            <w:tcW w:w="3083" w:type="dxa"/>
            <w:shd w:val="clear" w:color="auto" w:fill="auto"/>
          </w:tcPr>
          <w:p w14:paraId="499FA065" w14:textId="77777777" w:rsidR="00395B24" w:rsidRDefault="002C7385" w:rsidP="00663878">
            <w:pPr>
              <w:pStyle w:val="Normal1linespace"/>
              <w:widowControl w:val="0"/>
              <w:jc w:val="left"/>
            </w:pPr>
            <w:r>
              <w:t>Date of judgment:</w:t>
            </w:r>
          </w:p>
        </w:tc>
        <w:tc>
          <w:tcPr>
            <w:tcW w:w="5989" w:type="dxa"/>
            <w:shd w:val="clear" w:color="auto" w:fill="auto"/>
          </w:tcPr>
          <w:p w14:paraId="0BD917E3" w14:textId="013D7589" w:rsidR="00395B24" w:rsidRDefault="00382B43" w:rsidP="00663878">
            <w:pPr>
              <w:pStyle w:val="Normal1linespace"/>
              <w:widowControl w:val="0"/>
              <w:jc w:val="left"/>
            </w:pPr>
            <w:bookmarkStart w:id="2" w:name="JudgmentDate"/>
            <w:r>
              <w:t>12 March 2025</w:t>
            </w:r>
            <w:bookmarkEnd w:id="2"/>
          </w:p>
        </w:tc>
      </w:tr>
      <w:tr w:rsidR="00395B24" w14:paraId="211B28DB" w14:textId="77777777" w:rsidTr="007D26C1">
        <w:tc>
          <w:tcPr>
            <w:tcW w:w="3083" w:type="dxa"/>
            <w:shd w:val="clear" w:color="auto" w:fill="auto"/>
          </w:tcPr>
          <w:p w14:paraId="29C6B670" w14:textId="77777777" w:rsidR="00395B24" w:rsidRDefault="00395B24" w:rsidP="00663878">
            <w:pPr>
              <w:pStyle w:val="Normal1linespace"/>
              <w:widowControl w:val="0"/>
              <w:jc w:val="left"/>
            </w:pPr>
          </w:p>
        </w:tc>
        <w:tc>
          <w:tcPr>
            <w:tcW w:w="5989" w:type="dxa"/>
            <w:shd w:val="clear" w:color="auto" w:fill="auto"/>
          </w:tcPr>
          <w:p w14:paraId="47519DAF" w14:textId="77777777" w:rsidR="00395B24" w:rsidRDefault="00395B24" w:rsidP="00663878">
            <w:pPr>
              <w:pStyle w:val="Normal1linespace"/>
              <w:widowControl w:val="0"/>
              <w:jc w:val="left"/>
            </w:pPr>
          </w:p>
        </w:tc>
      </w:tr>
      <w:tr w:rsidR="00395B24" w14:paraId="30C19B55" w14:textId="77777777" w:rsidTr="007D26C1">
        <w:tc>
          <w:tcPr>
            <w:tcW w:w="3083" w:type="dxa"/>
            <w:shd w:val="clear" w:color="auto" w:fill="auto"/>
          </w:tcPr>
          <w:p w14:paraId="29FB0AB7" w14:textId="77777777" w:rsidR="00395B24" w:rsidRDefault="002C7385" w:rsidP="00663878">
            <w:pPr>
              <w:pStyle w:val="Normal1linespace"/>
              <w:widowControl w:val="0"/>
              <w:jc w:val="left"/>
            </w:pPr>
            <w:r>
              <w:t>Catchwords:</w:t>
            </w:r>
          </w:p>
        </w:tc>
        <w:tc>
          <w:tcPr>
            <w:tcW w:w="5989" w:type="dxa"/>
            <w:shd w:val="clear" w:color="auto" w:fill="auto"/>
          </w:tcPr>
          <w:p w14:paraId="1ED6C7F4" w14:textId="4D2841D0" w:rsidR="00395B24" w:rsidRDefault="00EB55B3" w:rsidP="00663878">
            <w:pPr>
              <w:pStyle w:val="Normal1linespace"/>
              <w:widowControl w:val="0"/>
              <w:jc w:val="left"/>
            </w:pPr>
            <w:bookmarkStart w:id="3" w:name="Catchwords"/>
            <w:r w:rsidRPr="00EB55B3">
              <w:rPr>
                <w:b/>
                <w:bCs/>
              </w:rPr>
              <w:t>MIGRATION</w:t>
            </w:r>
            <w:r>
              <w:t xml:space="preserve"> – </w:t>
            </w:r>
            <w:r w:rsidR="006568EF">
              <w:t xml:space="preserve">application </w:t>
            </w:r>
            <w:r w:rsidR="00E63618">
              <w:t>for leave to file amended notice of appeal</w:t>
            </w:r>
            <w:r w:rsidR="004D4F1B">
              <w:t xml:space="preserve"> </w:t>
            </w:r>
            <w:r w:rsidR="00442A96">
              <w:t xml:space="preserve">– whether </w:t>
            </w:r>
            <w:r w:rsidR="00E52819">
              <w:t>amended</w:t>
            </w:r>
            <w:r w:rsidR="00442A96">
              <w:t xml:space="preserve"> notice of appeal</w:t>
            </w:r>
            <w:r w:rsidR="00E52819">
              <w:t xml:space="preserve"> has merits – whether</w:t>
            </w:r>
            <w:r w:rsidR="00D87E20">
              <w:t xml:space="preserve"> the Immigration Assessment Authority </w:t>
            </w:r>
            <w:r w:rsidR="000D1969">
              <w:t>committed jurisdictional error in concluding that</w:t>
            </w:r>
            <w:r w:rsidR="005B4010">
              <w:t xml:space="preserve"> the appellant’s scarring would not</w:t>
            </w:r>
            <w:r w:rsidR="000D1969">
              <w:t xml:space="preserve"> bring him to the adverse attention of the Sri Lankan government</w:t>
            </w:r>
            <w:r w:rsidR="00E52819">
              <w:t xml:space="preserve"> – HELD: </w:t>
            </w:r>
            <w:r w:rsidR="009A151D">
              <w:t xml:space="preserve">leave granted except as to one ground of appeal; </w:t>
            </w:r>
            <w:r w:rsidR="00D87E20">
              <w:t>appeal</w:t>
            </w:r>
            <w:r w:rsidR="00E52819">
              <w:t xml:space="preserve"> dismissed</w:t>
            </w:r>
            <w:r w:rsidR="00D87E20">
              <w:t xml:space="preserve"> with costs</w:t>
            </w:r>
            <w:r w:rsidR="00442A96">
              <w:t xml:space="preserve"> </w:t>
            </w:r>
            <w:r w:rsidR="002C7385">
              <w:t xml:space="preserve"> </w:t>
            </w:r>
            <w:bookmarkEnd w:id="3"/>
          </w:p>
        </w:tc>
      </w:tr>
      <w:tr w:rsidR="00395B24" w14:paraId="7915883C" w14:textId="77777777" w:rsidTr="007D26C1">
        <w:tc>
          <w:tcPr>
            <w:tcW w:w="3083" w:type="dxa"/>
            <w:shd w:val="clear" w:color="auto" w:fill="auto"/>
          </w:tcPr>
          <w:p w14:paraId="0E70CE7E" w14:textId="77777777" w:rsidR="00395B24" w:rsidRDefault="00395B24" w:rsidP="00663878">
            <w:pPr>
              <w:pStyle w:val="Normal1linespace"/>
              <w:widowControl w:val="0"/>
              <w:jc w:val="left"/>
            </w:pPr>
          </w:p>
        </w:tc>
        <w:tc>
          <w:tcPr>
            <w:tcW w:w="5989" w:type="dxa"/>
            <w:shd w:val="clear" w:color="auto" w:fill="auto"/>
          </w:tcPr>
          <w:p w14:paraId="18AE7D9C" w14:textId="77777777" w:rsidR="00395B24" w:rsidRDefault="00395B24" w:rsidP="00663878">
            <w:pPr>
              <w:pStyle w:val="Normal1linespace"/>
              <w:widowControl w:val="0"/>
              <w:jc w:val="left"/>
            </w:pPr>
          </w:p>
        </w:tc>
      </w:tr>
      <w:tr w:rsidR="00395B24" w14:paraId="53D47B18" w14:textId="77777777" w:rsidTr="007D26C1">
        <w:tc>
          <w:tcPr>
            <w:tcW w:w="3083" w:type="dxa"/>
            <w:shd w:val="clear" w:color="auto" w:fill="auto"/>
          </w:tcPr>
          <w:p w14:paraId="4A185956" w14:textId="77777777" w:rsidR="00395B24" w:rsidRDefault="002C7385" w:rsidP="00663878">
            <w:pPr>
              <w:pStyle w:val="Normal1linespace"/>
              <w:widowControl w:val="0"/>
              <w:jc w:val="left"/>
            </w:pPr>
            <w:r>
              <w:t>Legislation:</w:t>
            </w:r>
          </w:p>
        </w:tc>
        <w:tc>
          <w:tcPr>
            <w:tcW w:w="5989" w:type="dxa"/>
            <w:shd w:val="clear" w:color="auto" w:fill="auto"/>
          </w:tcPr>
          <w:p w14:paraId="41525913" w14:textId="54D0EF89" w:rsidR="005D6DE1" w:rsidRDefault="005D6DE1" w:rsidP="006C458A">
            <w:pPr>
              <w:pStyle w:val="CasesLegislationAppealFrom"/>
              <w:spacing w:after="60"/>
              <w:rPr>
                <w:i/>
                <w:iCs/>
              </w:rPr>
            </w:pPr>
            <w:bookmarkStart w:id="4" w:name="Legislation"/>
            <w:r w:rsidRPr="00DA1B8B">
              <w:rPr>
                <w:i/>
                <w:iCs/>
              </w:rPr>
              <w:t>Migration Act 1958</w:t>
            </w:r>
            <w:r>
              <w:t xml:space="preserve"> (Cth) </w:t>
            </w:r>
            <w:r w:rsidR="00B132F2">
              <w:t>ss 473DC, 473DD</w:t>
            </w:r>
          </w:p>
          <w:p w14:paraId="232815AE" w14:textId="1AA1C75E" w:rsidR="00395B24" w:rsidRPr="006C458A" w:rsidRDefault="006C458A" w:rsidP="006C458A">
            <w:pPr>
              <w:pStyle w:val="CasesLegislationAppealFrom"/>
              <w:spacing w:after="60"/>
            </w:pPr>
            <w:r w:rsidRPr="004D03E1">
              <w:rPr>
                <w:i/>
                <w:iCs/>
              </w:rPr>
              <w:t xml:space="preserve">Federal Court Rules 2011 </w:t>
            </w:r>
            <w:r w:rsidRPr="004D03E1">
              <w:t>(Cth) r 36.10</w:t>
            </w:r>
            <w:bookmarkEnd w:id="4"/>
          </w:p>
        </w:tc>
      </w:tr>
      <w:tr w:rsidR="00395B24" w14:paraId="7699E68D" w14:textId="77777777" w:rsidTr="007D26C1">
        <w:tc>
          <w:tcPr>
            <w:tcW w:w="3083" w:type="dxa"/>
            <w:shd w:val="clear" w:color="auto" w:fill="auto"/>
          </w:tcPr>
          <w:p w14:paraId="19831B1E" w14:textId="77777777" w:rsidR="00395B24" w:rsidRDefault="00395B24" w:rsidP="00663878">
            <w:pPr>
              <w:pStyle w:val="Normal1linespace"/>
              <w:widowControl w:val="0"/>
              <w:jc w:val="left"/>
            </w:pPr>
          </w:p>
        </w:tc>
        <w:tc>
          <w:tcPr>
            <w:tcW w:w="5989" w:type="dxa"/>
            <w:shd w:val="clear" w:color="auto" w:fill="auto"/>
          </w:tcPr>
          <w:p w14:paraId="55B407BE" w14:textId="77777777" w:rsidR="00395B24" w:rsidRDefault="00395B24" w:rsidP="00663878">
            <w:pPr>
              <w:pStyle w:val="Normal1linespace"/>
              <w:widowControl w:val="0"/>
              <w:jc w:val="left"/>
            </w:pPr>
          </w:p>
        </w:tc>
      </w:tr>
      <w:tr w:rsidR="00395B24" w14:paraId="1444502F" w14:textId="77777777" w:rsidTr="007D26C1">
        <w:tc>
          <w:tcPr>
            <w:tcW w:w="3083" w:type="dxa"/>
            <w:shd w:val="clear" w:color="auto" w:fill="auto"/>
          </w:tcPr>
          <w:p w14:paraId="092EA9F5" w14:textId="77777777" w:rsidR="00395B24" w:rsidRDefault="002C7385" w:rsidP="00663878">
            <w:pPr>
              <w:pStyle w:val="Normal1linespace"/>
              <w:widowControl w:val="0"/>
              <w:jc w:val="left"/>
            </w:pPr>
            <w:r>
              <w:t>Cases cited:</w:t>
            </w:r>
          </w:p>
        </w:tc>
        <w:tc>
          <w:tcPr>
            <w:tcW w:w="5989" w:type="dxa"/>
            <w:shd w:val="clear" w:color="auto" w:fill="auto"/>
          </w:tcPr>
          <w:p w14:paraId="5E3AE3DC" w14:textId="407DA619" w:rsidR="00395B24" w:rsidRPr="006C458A" w:rsidRDefault="006C458A" w:rsidP="006C458A">
            <w:pPr>
              <w:pStyle w:val="CasesLegislationAppealFrom"/>
              <w:spacing w:after="60"/>
            </w:pPr>
            <w:bookmarkStart w:id="5" w:name="Cases_Cited"/>
            <w:r w:rsidRPr="004D03E1">
              <w:rPr>
                <w:i/>
                <w:iCs/>
                <w:lang w:val="en-US"/>
              </w:rPr>
              <w:t xml:space="preserve">CUP17 v Minister for Immigration, Citizenship, Migrant Services and Multicultural Affairs </w:t>
            </w:r>
            <w:r w:rsidRPr="004D03E1">
              <w:rPr>
                <w:lang w:val="en-US"/>
              </w:rPr>
              <w:t>[2020] FCCA 3119</w:t>
            </w:r>
            <w:bookmarkEnd w:id="5"/>
          </w:p>
        </w:tc>
      </w:tr>
      <w:tr w:rsidR="00D363B2" w14:paraId="52FCE7B0" w14:textId="77777777" w:rsidTr="007D26C1">
        <w:tc>
          <w:tcPr>
            <w:tcW w:w="3083" w:type="dxa"/>
            <w:shd w:val="clear" w:color="auto" w:fill="auto"/>
          </w:tcPr>
          <w:p w14:paraId="7F966AA3" w14:textId="77777777" w:rsidR="00D363B2" w:rsidRDefault="00D363B2" w:rsidP="002F7154">
            <w:pPr>
              <w:pStyle w:val="Normal1linespace"/>
              <w:widowControl w:val="0"/>
            </w:pPr>
          </w:p>
        </w:tc>
        <w:tc>
          <w:tcPr>
            <w:tcW w:w="5989" w:type="dxa"/>
            <w:shd w:val="clear" w:color="auto" w:fill="auto"/>
          </w:tcPr>
          <w:p w14:paraId="4885E05B" w14:textId="77777777" w:rsidR="00D363B2" w:rsidRDefault="00D363B2" w:rsidP="002F7154">
            <w:pPr>
              <w:pStyle w:val="Normal1linespace"/>
              <w:widowControl w:val="0"/>
              <w:jc w:val="left"/>
            </w:pPr>
          </w:p>
        </w:tc>
      </w:tr>
      <w:tr w:rsidR="00D363B2" w14:paraId="3630594B" w14:textId="77777777" w:rsidTr="007D26C1">
        <w:tc>
          <w:tcPr>
            <w:tcW w:w="3083" w:type="dxa"/>
            <w:shd w:val="clear" w:color="auto" w:fill="auto"/>
          </w:tcPr>
          <w:p w14:paraId="4B51229A" w14:textId="77777777" w:rsidR="00D363B2" w:rsidRDefault="00D363B2" w:rsidP="00501A12">
            <w:pPr>
              <w:pStyle w:val="Normal1linespace"/>
              <w:widowControl w:val="0"/>
            </w:pPr>
            <w:r>
              <w:t>Division:</w:t>
            </w:r>
          </w:p>
        </w:tc>
        <w:tc>
          <w:tcPr>
            <w:tcW w:w="5989" w:type="dxa"/>
            <w:shd w:val="clear" w:color="auto" w:fill="auto"/>
          </w:tcPr>
          <w:p w14:paraId="02A95BB8" w14:textId="0DFEB350" w:rsidR="00D363B2" w:rsidRPr="00F17599" w:rsidRDefault="00D363B2" w:rsidP="00501A12">
            <w:pPr>
              <w:pStyle w:val="Normal1linespace"/>
              <w:widowControl w:val="0"/>
              <w:jc w:val="left"/>
            </w:pPr>
            <w:r>
              <w:fldChar w:fldCharType="begin" w:fldLock="1"/>
            </w:r>
            <w:r>
              <w:instrText xml:space="preserve"> DOCPROPERTY  Division </w:instrText>
            </w:r>
            <w:r>
              <w:fldChar w:fldCharType="separate"/>
            </w:r>
            <w:r>
              <w:t>General Division</w:t>
            </w:r>
            <w:r>
              <w:fldChar w:fldCharType="end"/>
            </w:r>
          </w:p>
        </w:tc>
      </w:tr>
      <w:tr w:rsidR="00D363B2" w14:paraId="049C0953" w14:textId="77777777" w:rsidTr="007D26C1">
        <w:tc>
          <w:tcPr>
            <w:tcW w:w="3083" w:type="dxa"/>
            <w:shd w:val="clear" w:color="auto" w:fill="auto"/>
          </w:tcPr>
          <w:p w14:paraId="77DE559B" w14:textId="77777777" w:rsidR="00D363B2" w:rsidRDefault="00D363B2" w:rsidP="00501A12">
            <w:pPr>
              <w:pStyle w:val="Normal1linespace"/>
              <w:widowControl w:val="0"/>
            </w:pPr>
            <w:bookmarkStart w:id="6" w:name="Registry_rows" w:colFirst="0" w:colLast="1"/>
          </w:p>
        </w:tc>
        <w:tc>
          <w:tcPr>
            <w:tcW w:w="5989" w:type="dxa"/>
            <w:shd w:val="clear" w:color="auto" w:fill="auto"/>
          </w:tcPr>
          <w:p w14:paraId="27871777" w14:textId="77777777" w:rsidR="00D363B2" w:rsidRDefault="00D363B2" w:rsidP="00501A12">
            <w:pPr>
              <w:pStyle w:val="Normal1linespace"/>
              <w:widowControl w:val="0"/>
              <w:jc w:val="left"/>
            </w:pPr>
          </w:p>
        </w:tc>
      </w:tr>
      <w:tr w:rsidR="00D363B2" w14:paraId="58F25BFF" w14:textId="77777777" w:rsidTr="007D26C1">
        <w:tc>
          <w:tcPr>
            <w:tcW w:w="3083" w:type="dxa"/>
            <w:shd w:val="clear" w:color="auto" w:fill="auto"/>
          </w:tcPr>
          <w:p w14:paraId="711E6780" w14:textId="77777777" w:rsidR="00D363B2" w:rsidRDefault="00D363B2" w:rsidP="00501A12">
            <w:pPr>
              <w:pStyle w:val="Normal1linespace"/>
              <w:widowControl w:val="0"/>
            </w:pPr>
            <w:r>
              <w:t>Registry:</w:t>
            </w:r>
          </w:p>
        </w:tc>
        <w:tc>
          <w:tcPr>
            <w:tcW w:w="5989" w:type="dxa"/>
            <w:shd w:val="clear" w:color="auto" w:fill="auto"/>
          </w:tcPr>
          <w:p w14:paraId="36759C1A" w14:textId="2FE26BBF" w:rsidR="00D363B2" w:rsidRPr="00F17599" w:rsidRDefault="00D363B2" w:rsidP="00501A12">
            <w:pPr>
              <w:pStyle w:val="Normal1linespace"/>
              <w:widowControl w:val="0"/>
              <w:jc w:val="left"/>
            </w:pPr>
            <w:r>
              <w:fldChar w:fldCharType="begin" w:fldLock="1"/>
            </w:r>
            <w:r>
              <w:instrText xml:space="preserve"> DOCPROPERTY  Registry </w:instrText>
            </w:r>
            <w:r>
              <w:fldChar w:fldCharType="separate"/>
            </w:r>
            <w:r>
              <w:t>New South Wales</w:t>
            </w:r>
            <w:r>
              <w:fldChar w:fldCharType="end"/>
            </w:r>
          </w:p>
        </w:tc>
      </w:tr>
      <w:tr w:rsidR="00D363B2" w14:paraId="46C5025E" w14:textId="77777777" w:rsidTr="007D26C1">
        <w:tc>
          <w:tcPr>
            <w:tcW w:w="3083" w:type="dxa"/>
            <w:shd w:val="clear" w:color="auto" w:fill="auto"/>
          </w:tcPr>
          <w:p w14:paraId="09267E69" w14:textId="77777777" w:rsidR="00D363B2" w:rsidRDefault="00D363B2" w:rsidP="00501A12">
            <w:pPr>
              <w:pStyle w:val="Normal1linespace"/>
              <w:widowControl w:val="0"/>
            </w:pPr>
            <w:bookmarkStart w:id="7" w:name="NPARow" w:colFirst="0" w:colLast="1"/>
            <w:bookmarkEnd w:id="6"/>
          </w:p>
        </w:tc>
        <w:tc>
          <w:tcPr>
            <w:tcW w:w="5989" w:type="dxa"/>
            <w:shd w:val="clear" w:color="auto" w:fill="auto"/>
          </w:tcPr>
          <w:p w14:paraId="24CC2570" w14:textId="77777777" w:rsidR="00D363B2" w:rsidRPr="00F17599" w:rsidRDefault="00D363B2" w:rsidP="00501A12">
            <w:pPr>
              <w:pStyle w:val="Normal1linespace"/>
              <w:widowControl w:val="0"/>
              <w:jc w:val="left"/>
              <w:rPr>
                <w:b/>
              </w:rPr>
            </w:pPr>
          </w:p>
        </w:tc>
      </w:tr>
      <w:tr w:rsidR="00D363B2" w14:paraId="284956CE" w14:textId="77777777" w:rsidTr="007D26C1">
        <w:tc>
          <w:tcPr>
            <w:tcW w:w="3083" w:type="dxa"/>
            <w:shd w:val="clear" w:color="auto" w:fill="auto"/>
          </w:tcPr>
          <w:p w14:paraId="0EF8B155" w14:textId="77777777" w:rsidR="00D363B2" w:rsidRDefault="00D363B2" w:rsidP="00501A12">
            <w:pPr>
              <w:pStyle w:val="Normal1linespace"/>
              <w:widowControl w:val="0"/>
            </w:pPr>
            <w:r>
              <w:t>National Practice Area:</w:t>
            </w:r>
          </w:p>
        </w:tc>
        <w:tc>
          <w:tcPr>
            <w:tcW w:w="5989" w:type="dxa"/>
            <w:shd w:val="clear" w:color="auto" w:fill="auto"/>
          </w:tcPr>
          <w:p w14:paraId="75B7D3E8" w14:textId="383D769B" w:rsidR="00D363B2" w:rsidRPr="00F17599" w:rsidRDefault="00D363B2" w:rsidP="00171DBB">
            <w:pPr>
              <w:pStyle w:val="Normal1linespace"/>
              <w:widowControl w:val="0"/>
              <w:jc w:val="left"/>
              <w:rPr>
                <w:b/>
              </w:rPr>
            </w:pPr>
            <w:fldSimple w:instr=" DOCPROPERTY  &quot;Practice Area&quot;  \* MERGEFORMAT " w:fldLock="1">
              <w:r>
                <w:t>Administrative and Constitutional Law and Human Rights</w:t>
              </w:r>
            </w:fldSimple>
          </w:p>
        </w:tc>
      </w:tr>
      <w:tr w:rsidR="00D363B2" w14:paraId="42C926F3" w14:textId="77777777" w:rsidTr="007D26C1">
        <w:tc>
          <w:tcPr>
            <w:tcW w:w="3083" w:type="dxa"/>
            <w:shd w:val="clear" w:color="auto" w:fill="auto"/>
          </w:tcPr>
          <w:p w14:paraId="2093E97D" w14:textId="77777777" w:rsidR="00D363B2" w:rsidRDefault="00D363B2" w:rsidP="00501A12">
            <w:pPr>
              <w:pStyle w:val="Normal1linespace"/>
              <w:widowControl w:val="0"/>
            </w:pPr>
            <w:bookmarkStart w:id="8" w:name="SubAreaRow" w:colFirst="0" w:colLast="1"/>
            <w:bookmarkEnd w:id="7"/>
          </w:p>
        </w:tc>
        <w:tc>
          <w:tcPr>
            <w:tcW w:w="5989" w:type="dxa"/>
            <w:shd w:val="clear" w:color="auto" w:fill="auto"/>
          </w:tcPr>
          <w:p w14:paraId="65713347" w14:textId="77777777" w:rsidR="00D363B2" w:rsidRDefault="00D363B2" w:rsidP="00171DBB">
            <w:pPr>
              <w:pStyle w:val="Normal1linespace"/>
              <w:widowControl w:val="0"/>
              <w:jc w:val="left"/>
            </w:pPr>
          </w:p>
        </w:tc>
      </w:tr>
      <w:bookmarkEnd w:id="8"/>
      <w:tr w:rsidR="005E0FDA" w14:paraId="11254441" w14:textId="77777777" w:rsidTr="007D26C1">
        <w:tc>
          <w:tcPr>
            <w:tcW w:w="3083" w:type="dxa"/>
            <w:shd w:val="clear" w:color="auto" w:fill="auto"/>
          </w:tcPr>
          <w:p w14:paraId="00D6DC0E" w14:textId="77777777" w:rsidR="005E0FDA" w:rsidRDefault="005E0FDA" w:rsidP="00501A12">
            <w:pPr>
              <w:pStyle w:val="Normal1linespace"/>
              <w:widowControl w:val="0"/>
            </w:pPr>
            <w:r>
              <w:t>Number of paragraphs:</w:t>
            </w:r>
          </w:p>
        </w:tc>
        <w:tc>
          <w:tcPr>
            <w:tcW w:w="5989" w:type="dxa"/>
            <w:shd w:val="clear" w:color="auto" w:fill="auto"/>
          </w:tcPr>
          <w:p w14:paraId="4DC4C779" w14:textId="75040EC4" w:rsidR="005E0FDA" w:rsidRDefault="007D26C1" w:rsidP="00501A12">
            <w:pPr>
              <w:pStyle w:val="Normal1linespace"/>
              <w:widowControl w:val="0"/>
              <w:jc w:val="left"/>
            </w:pPr>
            <w:bookmarkStart w:id="9" w:name="PlaceCategoryParagraphs"/>
            <w:r>
              <w:t>22</w:t>
            </w:r>
            <w:bookmarkEnd w:id="9"/>
          </w:p>
        </w:tc>
      </w:tr>
      <w:tr w:rsidR="005E0FDA" w14:paraId="68B4B433" w14:textId="77777777" w:rsidTr="007D26C1">
        <w:tc>
          <w:tcPr>
            <w:tcW w:w="3083" w:type="dxa"/>
            <w:shd w:val="clear" w:color="auto" w:fill="auto"/>
          </w:tcPr>
          <w:p w14:paraId="54832F50" w14:textId="77777777" w:rsidR="005E0FDA" w:rsidRDefault="005E0FDA" w:rsidP="005E0FDA">
            <w:pPr>
              <w:pStyle w:val="Normal1linespace"/>
              <w:widowControl w:val="0"/>
              <w:jc w:val="left"/>
            </w:pPr>
          </w:p>
        </w:tc>
        <w:tc>
          <w:tcPr>
            <w:tcW w:w="5989" w:type="dxa"/>
            <w:shd w:val="clear" w:color="auto" w:fill="auto"/>
          </w:tcPr>
          <w:p w14:paraId="47BAEA20" w14:textId="77777777" w:rsidR="005E0FDA" w:rsidRDefault="005E0FDA" w:rsidP="005E0FDA">
            <w:pPr>
              <w:pStyle w:val="Normal1linespace"/>
              <w:widowControl w:val="0"/>
              <w:jc w:val="left"/>
            </w:pPr>
          </w:p>
        </w:tc>
      </w:tr>
      <w:tr w:rsidR="005E0FDA" w14:paraId="6F908DA9" w14:textId="77777777" w:rsidTr="007D26C1">
        <w:tc>
          <w:tcPr>
            <w:tcW w:w="3083" w:type="dxa"/>
            <w:shd w:val="clear" w:color="auto" w:fill="auto"/>
          </w:tcPr>
          <w:p w14:paraId="5D459FAA" w14:textId="77777777" w:rsidR="005E0FDA" w:rsidRDefault="005E0FDA" w:rsidP="005E0FDA">
            <w:pPr>
              <w:pStyle w:val="Normal1linespace"/>
              <w:widowControl w:val="0"/>
              <w:jc w:val="left"/>
            </w:pPr>
            <w:bookmarkStart w:id="10" w:name="CounselDate" w:colFirst="0" w:colLast="2"/>
            <w:r w:rsidRPr="006A24E3">
              <w:t>Date of hearing:</w:t>
            </w:r>
          </w:p>
        </w:tc>
        <w:tc>
          <w:tcPr>
            <w:tcW w:w="5989" w:type="dxa"/>
            <w:shd w:val="clear" w:color="auto" w:fill="auto"/>
          </w:tcPr>
          <w:p w14:paraId="530B322B" w14:textId="58995F83" w:rsidR="005E0FDA" w:rsidRDefault="005E0FDA" w:rsidP="005E0FDA">
            <w:pPr>
              <w:pStyle w:val="Normal1linespace"/>
              <w:widowControl w:val="0"/>
              <w:jc w:val="left"/>
            </w:pPr>
            <w:bookmarkStart w:id="11" w:name="HearingDate"/>
            <w:r>
              <w:t xml:space="preserve">12 March 2025 </w:t>
            </w:r>
            <w:bookmarkEnd w:id="11"/>
          </w:p>
        </w:tc>
      </w:tr>
      <w:tr w:rsidR="005E0FDA" w14:paraId="6151C844" w14:textId="77777777" w:rsidTr="007D26C1">
        <w:tc>
          <w:tcPr>
            <w:tcW w:w="3083" w:type="dxa"/>
            <w:shd w:val="clear" w:color="auto" w:fill="auto"/>
          </w:tcPr>
          <w:p w14:paraId="179777C5" w14:textId="77777777" w:rsidR="005E0FDA" w:rsidRDefault="005E0FDA" w:rsidP="005E0FDA">
            <w:pPr>
              <w:pStyle w:val="Normal1linespace"/>
              <w:widowControl w:val="0"/>
              <w:jc w:val="left"/>
            </w:pPr>
          </w:p>
        </w:tc>
        <w:tc>
          <w:tcPr>
            <w:tcW w:w="5989" w:type="dxa"/>
            <w:shd w:val="clear" w:color="auto" w:fill="auto"/>
          </w:tcPr>
          <w:p w14:paraId="28DA7F48" w14:textId="77777777" w:rsidR="005E0FDA" w:rsidRDefault="005E0FDA" w:rsidP="005E0FDA">
            <w:pPr>
              <w:pStyle w:val="Normal1linespace"/>
              <w:widowControl w:val="0"/>
              <w:jc w:val="left"/>
            </w:pPr>
          </w:p>
        </w:tc>
      </w:tr>
      <w:tr w:rsidR="007D26C1" w14:paraId="611B2B9B" w14:textId="77777777" w:rsidTr="007D26C1">
        <w:tc>
          <w:tcPr>
            <w:tcW w:w="3083" w:type="dxa"/>
            <w:shd w:val="clear" w:color="auto" w:fill="auto"/>
          </w:tcPr>
          <w:p w14:paraId="0AF9DA3B" w14:textId="48BA20AA" w:rsidR="007D26C1" w:rsidRDefault="007D26C1" w:rsidP="007D26C1">
            <w:pPr>
              <w:pStyle w:val="Normal1linespace"/>
              <w:widowControl w:val="0"/>
              <w:jc w:val="left"/>
            </w:pPr>
            <w:bookmarkStart w:id="12" w:name="Counsel" w:colFirst="0" w:colLast="2"/>
            <w:bookmarkStart w:id="13" w:name="CompletionTable"/>
            <w:bookmarkEnd w:id="10"/>
            <w:r>
              <w:t>Counsel for the Appellant:</w:t>
            </w:r>
          </w:p>
        </w:tc>
        <w:tc>
          <w:tcPr>
            <w:tcW w:w="5989" w:type="dxa"/>
            <w:shd w:val="clear" w:color="auto" w:fill="auto"/>
          </w:tcPr>
          <w:p w14:paraId="2E35CD8B" w14:textId="2C997AC7" w:rsidR="007D26C1" w:rsidRDefault="007D26C1" w:rsidP="007D26C1">
            <w:pPr>
              <w:pStyle w:val="Normal1linespace"/>
              <w:widowControl w:val="0"/>
              <w:jc w:val="left"/>
            </w:pPr>
            <w:bookmarkStart w:id="14" w:name="AppCounsel"/>
            <w:bookmarkEnd w:id="14"/>
            <w:r>
              <w:t>Mr G Foster</w:t>
            </w:r>
          </w:p>
        </w:tc>
      </w:tr>
      <w:tr w:rsidR="007D26C1" w14:paraId="496EA750" w14:textId="77777777" w:rsidTr="007D26C1">
        <w:tc>
          <w:tcPr>
            <w:tcW w:w="3083" w:type="dxa"/>
            <w:shd w:val="clear" w:color="auto" w:fill="auto"/>
          </w:tcPr>
          <w:p w14:paraId="6DB21CF1" w14:textId="77777777" w:rsidR="007D26C1" w:rsidRDefault="007D26C1" w:rsidP="007D26C1">
            <w:pPr>
              <w:pStyle w:val="Normal1linespace"/>
              <w:widowControl w:val="0"/>
              <w:jc w:val="left"/>
            </w:pPr>
          </w:p>
        </w:tc>
        <w:tc>
          <w:tcPr>
            <w:tcW w:w="5989" w:type="dxa"/>
            <w:shd w:val="clear" w:color="auto" w:fill="auto"/>
          </w:tcPr>
          <w:p w14:paraId="650D4721" w14:textId="77777777" w:rsidR="007D26C1" w:rsidRDefault="007D26C1" w:rsidP="007D26C1">
            <w:pPr>
              <w:pStyle w:val="Normal1linespace"/>
              <w:widowControl w:val="0"/>
              <w:jc w:val="left"/>
            </w:pPr>
          </w:p>
        </w:tc>
      </w:tr>
      <w:tr w:rsidR="007D26C1" w14:paraId="1F7AC6B1" w14:textId="77777777" w:rsidTr="007D26C1">
        <w:tc>
          <w:tcPr>
            <w:tcW w:w="3083" w:type="dxa"/>
            <w:shd w:val="clear" w:color="auto" w:fill="auto"/>
          </w:tcPr>
          <w:p w14:paraId="417CBA5A" w14:textId="4801BF85" w:rsidR="007D26C1" w:rsidRDefault="007D26C1" w:rsidP="007D26C1">
            <w:pPr>
              <w:pStyle w:val="Normal1linespace"/>
              <w:widowControl w:val="0"/>
              <w:jc w:val="left"/>
            </w:pPr>
            <w:r>
              <w:t>Solicitor for the Appellant:</w:t>
            </w:r>
          </w:p>
        </w:tc>
        <w:tc>
          <w:tcPr>
            <w:tcW w:w="5989" w:type="dxa"/>
            <w:shd w:val="clear" w:color="auto" w:fill="auto"/>
          </w:tcPr>
          <w:p w14:paraId="6905D2F4" w14:textId="600693E1" w:rsidR="007D26C1" w:rsidRDefault="007D26C1" w:rsidP="007D26C1">
            <w:pPr>
              <w:pStyle w:val="Normal1linespace"/>
              <w:widowControl w:val="0"/>
              <w:jc w:val="left"/>
            </w:pPr>
            <w:r>
              <w:t>Sentil Solicitor</w:t>
            </w:r>
          </w:p>
        </w:tc>
      </w:tr>
      <w:tr w:rsidR="007D26C1" w14:paraId="59A0E897" w14:textId="77777777" w:rsidTr="007D26C1">
        <w:tc>
          <w:tcPr>
            <w:tcW w:w="3083" w:type="dxa"/>
            <w:shd w:val="clear" w:color="auto" w:fill="auto"/>
          </w:tcPr>
          <w:p w14:paraId="3E2AE14B" w14:textId="77777777" w:rsidR="007D26C1" w:rsidRDefault="007D26C1" w:rsidP="007D26C1">
            <w:pPr>
              <w:pStyle w:val="Normal1linespace"/>
              <w:widowControl w:val="0"/>
              <w:jc w:val="left"/>
            </w:pPr>
          </w:p>
        </w:tc>
        <w:tc>
          <w:tcPr>
            <w:tcW w:w="5989" w:type="dxa"/>
            <w:shd w:val="clear" w:color="auto" w:fill="auto"/>
          </w:tcPr>
          <w:p w14:paraId="0E11BD89" w14:textId="77777777" w:rsidR="007D26C1" w:rsidRDefault="007D26C1" w:rsidP="007D26C1">
            <w:pPr>
              <w:pStyle w:val="Normal1linespace"/>
              <w:widowControl w:val="0"/>
              <w:jc w:val="left"/>
            </w:pPr>
          </w:p>
        </w:tc>
      </w:tr>
      <w:tr w:rsidR="008B0CE4" w14:paraId="549A6E86" w14:textId="77777777" w:rsidTr="007D26C1">
        <w:tc>
          <w:tcPr>
            <w:tcW w:w="3083" w:type="dxa"/>
            <w:shd w:val="clear" w:color="auto" w:fill="auto"/>
          </w:tcPr>
          <w:p w14:paraId="4276112B" w14:textId="22FEA429" w:rsidR="008B0CE4" w:rsidRDefault="008B0CE4" w:rsidP="008B0CE4">
            <w:pPr>
              <w:pStyle w:val="Normal1linespace"/>
              <w:widowControl w:val="0"/>
              <w:jc w:val="left"/>
            </w:pPr>
            <w:r>
              <w:t>Counsel for the Respondents:</w:t>
            </w:r>
          </w:p>
        </w:tc>
        <w:tc>
          <w:tcPr>
            <w:tcW w:w="5989" w:type="dxa"/>
            <w:shd w:val="clear" w:color="auto" w:fill="auto"/>
          </w:tcPr>
          <w:p w14:paraId="467D6BB9" w14:textId="1DEC7D02" w:rsidR="008B0CE4" w:rsidRDefault="008B0CE4" w:rsidP="008B0CE4">
            <w:pPr>
              <w:pStyle w:val="Normal1linespace"/>
              <w:widowControl w:val="0"/>
              <w:jc w:val="left"/>
            </w:pPr>
            <w:r>
              <w:t>Mr T Reilly</w:t>
            </w:r>
          </w:p>
        </w:tc>
      </w:tr>
      <w:tr w:rsidR="008B0CE4" w14:paraId="2A655908" w14:textId="77777777" w:rsidTr="007D26C1">
        <w:tc>
          <w:tcPr>
            <w:tcW w:w="3083" w:type="dxa"/>
            <w:shd w:val="clear" w:color="auto" w:fill="auto"/>
          </w:tcPr>
          <w:p w14:paraId="43D15D1C" w14:textId="77777777" w:rsidR="008B0CE4" w:rsidRDefault="008B0CE4" w:rsidP="007D26C1">
            <w:pPr>
              <w:pStyle w:val="Normal1linespace"/>
              <w:widowControl w:val="0"/>
              <w:jc w:val="left"/>
            </w:pPr>
          </w:p>
        </w:tc>
        <w:tc>
          <w:tcPr>
            <w:tcW w:w="5989" w:type="dxa"/>
            <w:shd w:val="clear" w:color="auto" w:fill="auto"/>
          </w:tcPr>
          <w:p w14:paraId="51EDC9D9" w14:textId="77777777" w:rsidR="008B0CE4" w:rsidRDefault="008B0CE4" w:rsidP="007D26C1">
            <w:pPr>
              <w:pStyle w:val="Normal1linespace"/>
              <w:widowControl w:val="0"/>
              <w:jc w:val="left"/>
            </w:pPr>
          </w:p>
        </w:tc>
      </w:tr>
      <w:tr w:rsidR="007D26C1" w14:paraId="07F06FA6" w14:textId="77777777" w:rsidTr="007D26C1">
        <w:tc>
          <w:tcPr>
            <w:tcW w:w="3083" w:type="dxa"/>
            <w:shd w:val="clear" w:color="auto" w:fill="auto"/>
          </w:tcPr>
          <w:p w14:paraId="1BDA1498" w14:textId="2DF7DF24" w:rsidR="007D26C1" w:rsidRDefault="007D26C1" w:rsidP="007D26C1">
            <w:pPr>
              <w:pStyle w:val="Normal1linespace"/>
              <w:widowControl w:val="0"/>
              <w:jc w:val="left"/>
            </w:pPr>
            <w:r>
              <w:t>Solicitor for the Respondents:</w:t>
            </w:r>
          </w:p>
        </w:tc>
        <w:tc>
          <w:tcPr>
            <w:tcW w:w="5989" w:type="dxa"/>
            <w:shd w:val="clear" w:color="auto" w:fill="auto"/>
          </w:tcPr>
          <w:p w14:paraId="1854CAB0" w14:textId="19382586" w:rsidR="007D26C1" w:rsidRDefault="007D26C1" w:rsidP="007D26C1">
            <w:pPr>
              <w:pStyle w:val="Normal1linespace"/>
              <w:widowControl w:val="0"/>
              <w:jc w:val="left"/>
            </w:pPr>
            <w:r>
              <w:t>Mills Oakley</w:t>
            </w:r>
          </w:p>
        </w:tc>
      </w:tr>
      <w:bookmarkEnd w:id="12"/>
      <w:bookmarkEnd w:id="13"/>
    </w:tbl>
    <w:p w14:paraId="13F7F77F" w14:textId="77777777" w:rsidR="00395B24" w:rsidRDefault="00395B24">
      <w:pPr>
        <w:pStyle w:val="Normal1linespace"/>
        <w:sectPr w:rsidR="00395B24" w:rsidSect="00E77422">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7" w:h="16840" w:code="9"/>
          <w:pgMar w:top="1440" w:right="1440" w:bottom="1440" w:left="1440" w:header="851" w:footer="768" w:gutter="0"/>
          <w:pgNumType w:start="1"/>
          <w:cols w:space="720"/>
          <w:noEndnote/>
          <w:titlePg/>
        </w:sectPr>
      </w:pPr>
    </w:p>
    <w:p w14:paraId="2ADE75A4"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25A16014" w14:textId="77777777" w:rsidTr="00E81DA6">
        <w:tc>
          <w:tcPr>
            <w:tcW w:w="6912" w:type="dxa"/>
            <w:gridSpan w:val="2"/>
          </w:tcPr>
          <w:p w14:paraId="3353D864" w14:textId="77777777" w:rsidR="00A46CCC" w:rsidRPr="001765E0" w:rsidRDefault="00A46CCC" w:rsidP="00525A49">
            <w:pPr>
              <w:pStyle w:val="NormalHeadings"/>
            </w:pPr>
          </w:p>
        </w:tc>
        <w:tc>
          <w:tcPr>
            <w:tcW w:w="2330" w:type="dxa"/>
          </w:tcPr>
          <w:p w14:paraId="6DB72207" w14:textId="5BBEE93F" w:rsidR="00A46CCC" w:rsidRDefault="00D363B2" w:rsidP="00F92355">
            <w:pPr>
              <w:pStyle w:val="NormalHeadings"/>
              <w:jc w:val="right"/>
            </w:pPr>
            <w:bookmarkStart w:id="15" w:name="FileNo"/>
            <w:r>
              <w:t>NSD 1334 of 2020</w:t>
            </w:r>
            <w:bookmarkEnd w:id="15"/>
          </w:p>
        </w:tc>
      </w:tr>
      <w:tr w:rsidR="00A76C13" w14:paraId="17752B50" w14:textId="77777777" w:rsidTr="00F461A4">
        <w:tc>
          <w:tcPr>
            <w:tcW w:w="9242" w:type="dxa"/>
            <w:gridSpan w:val="3"/>
          </w:tcPr>
          <w:p w14:paraId="3AEFAAB8" w14:textId="546CC334" w:rsidR="00A76C13" w:rsidRPr="00A76C13" w:rsidRDefault="00D363B2" w:rsidP="00D363B2">
            <w:pPr>
              <w:pStyle w:val="NormalHeadings"/>
              <w:jc w:val="left"/>
            </w:pPr>
            <w:bookmarkStart w:id="16" w:name="InTheMatterOf"/>
            <w:r>
              <w:t xml:space="preserve"> </w:t>
            </w:r>
            <w:bookmarkEnd w:id="16"/>
          </w:p>
        </w:tc>
      </w:tr>
      <w:tr w:rsidR="00A46CCC" w14:paraId="71C2C3E4" w14:textId="77777777" w:rsidTr="005041F0">
        <w:trPr>
          <w:trHeight w:val="386"/>
        </w:trPr>
        <w:tc>
          <w:tcPr>
            <w:tcW w:w="2376" w:type="dxa"/>
          </w:tcPr>
          <w:p w14:paraId="050B6712" w14:textId="77777777" w:rsidR="00A46CCC" w:rsidRDefault="00A46CCC" w:rsidP="005041F0">
            <w:pPr>
              <w:pStyle w:val="NormalHeadings"/>
              <w:jc w:val="left"/>
              <w:rPr>
                <w:caps/>
                <w:szCs w:val="24"/>
              </w:rPr>
            </w:pPr>
            <w:bookmarkStart w:id="17" w:name="Parties"/>
            <w:r>
              <w:rPr>
                <w:caps/>
                <w:szCs w:val="24"/>
              </w:rPr>
              <w:t>BETWEEN:</w:t>
            </w:r>
          </w:p>
        </w:tc>
        <w:tc>
          <w:tcPr>
            <w:tcW w:w="6866" w:type="dxa"/>
            <w:gridSpan w:val="2"/>
          </w:tcPr>
          <w:p w14:paraId="5231AD86" w14:textId="77777777" w:rsidR="00D363B2" w:rsidRDefault="00D363B2" w:rsidP="00D363B2">
            <w:pPr>
              <w:pStyle w:val="NormalHeadings"/>
              <w:jc w:val="left"/>
            </w:pPr>
            <w:bookmarkStart w:id="18" w:name="Applicant"/>
            <w:r>
              <w:t>CUP17</w:t>
            </w:r>
          </w:p>
          <w:p w14:paraId="219B1133" w14:textId="730565D4" w:rsidR="00D363B2" w:rsidRDefault="00D363B2" w:rsidP="00D363B2">
            <w:pPr>
              <w:pStyle w:val="PartyType"/>
            </w:pPr>
            <w:r>
              <w:t>App</w:t>
            </w:r>
            <w:r w:rsidR="008531DB">
              <w:t>ellant</w:t>
            </w:r>
          </w:p>
          <w:bookmarkEnd w:id="18"/>
          <w:p w14:paraId="217DCA33" w14:textId="56DAC3EC" w:rsidR="00A46CCC" w:rsidRPr="006555B4" w:rsidRDefault="00A46CCC" w:rsidP="005041F0">
            <w:pPr>
              <w:pStyle w:val="NormalHeadings"/>
              <w:jc w:val="left"/>
            </w:pPr>
          </w:p>
        </w:tc>
      </w:tr>
      <w:tr w:rsidR="00A46CCC" w14:paraId="3E7DC020" w14:textId="77777777" w:rsidTr="005041F0">
        <w:trPr>
          <w:trHeight w:val="386"/>
        </w:trPr>
        <w:tc>
          <w:tcPr>
            <w:tcW w:w="2376" w:type="dxa"/>
          </w:tcPr>
          <w:p w14:paraId="57E1F8F7" w14:textId="77777777" w:rsidR="00A46CCC" w:rsidRDefault="00A46CCC" w:rsidP="005041F0">
            <w:pPr>
              <w:pStyle w:val="NormalHeadings"/>
              <w:jc w:val="left"/>
              <w:rPr>
                <w:caps/>
                <w:szCs w:val="24"/>
              </w:rPr>
            </w:pPr>
            <w:r>
              <w:rPr>
                <w:caps/>
                <w:szCs w:val="24"/>
              </w:rPr>
              <w:t>AND:</w:t>
            </w:r>
          </w:p>
        </w:tc>
        <w:tc>
          <w:tcPr>
            <w:tcW w:w="6866" w:type="dxa"/>
            <w:gridSpan w:val="2"/>
          </w:tcPr>
          <w:p w14:paraId="7AF2C7FF" w14:textId="77777777" w:rsidR="00D363B2" w:rsidRDefault="00D363B2" w:rsidP="00D363B2">
            <w:pPr>
              <w:pStyle w:val="NormalHeadings"/>
              <w:jc w:val="left"/>
            </w:pPr>
            <w:bookmarkStart w:id="19" w:name="Respondent"/>
            <w:r>
              <w:t>MINISTER FOR IMMIGRATION AND MULTICULTURAL AFFAIRS</w:t>
            </w:r>
          </w:p>
          <w:p w14:paraId="5706F366" w14:textId="77777777" w:rsidR="00D363B2" w:rsidRDefault="00D363B2" w:rsidP="00D363B2">
            <w:pPr>
              <w:pStyle w:val="PartyType"/>
            </w:pPr>
            <w:r>
              <w:t>First Respondent</w:t>
            </w:r>
          </w:p>
          <w:p w14:paraId="650FDF32" w14:textId="77777777" w:rsidR="00D363B2" w:rsidRDefault="00D363B2" w:rsidP="005041F0">
            <w:pPr>
              <w:pStyle w:val="NormalHeadings"/>
              <w:jc w:val="left"/>
            </w:pPr>
          </w:p>
          <w:p w14:paraId="6D2632A8" w14:textId="77777777" w:rsidR="00D363B2" w:rsidRDefault="00D363B2" w:rsidP="00D363B2">
            <w:pPr>
              <w:pStyle w:val="NormalHeadings"/>
              <w:jc w:val="left"/>
            </w:pPr>
            <w:r>
              <w:t>IMMIGRATION ASSESSMENT AUTHORITY</w:t>
            </w:r>
          </w:p>
          <w:p w14:paraId="538FACE4" w14:textId="77777777" w:rsidR="00D363B2" w:rsidRDefault="00D363B2" w:rsidP="00D363B2">
            <w:pPr>
              <w:pStyle w:val="PartyType"/>
            </w:pPr>
            <w:r>
              <w:t>Second Respondent</w:t>
            </w:r>
          </w:p>
          <w:bookmarkEnd w:id="19"/>
          <w:p w14:paraId="1318EE61" w14:textId="6D724360" w:rsidR="00A46CCC" w:rsidRPr="006555B4" w:rsidRDefault="00A46CCC" w:rsidP="005041F0">
            <w:pPr>
              <w:pStyle w:val="NormalHeadings"/>
              <w:jc w:val="left"/>
            </w:pPr>
          </w:p>
        </w:tc>
      </w:tr>
    </w:tbl>
    <w:p w14:paraId="79407100" w14:textId="77777777" w:rsidR="00395B24" w:rsidRDefault="00395B24">
      <w:pPr>
        <w:pStyle w:val="NormalHeadings"/>
      </w:pPr>
      <w:bookmarkStart w:id="20" w:name="CrossClaimPosition"/>
      <w:bookmarkEnd w:id="17"/>
      <w:bookmarkEnd w:id="20"/>
    </w:p>
    <w:tbl>
      <w:tblPr>
        <w:tblW w:w="0" w:type="auto"/>
        <w:tblLayout w:type="fixed"/>
        <w:tblLook w:val="0000" w:firstRow="0" w:lastRow="0" w:firstColumn="0" w:lastColumn="0" w:noHBand="0" w:noVBand="0"/>
        <w:tblCaption w:val="Judge"/>
        <w:tblDescription w:val="Judge"/>
      </w:tblPr>
      <w:tblGrid>
        <w:gridCol w:w="2376"/>
        <w:gridCol w:w="6866"/>
      </w:tblGrid>
      <w:tr w:rsidR="00395B24" w14:paraId="34B16E27" w14:textId="77777777">
        <w:tc>
          <w:tcPr>
            <w:tcW w:w="2376" w:type="dxa"/>
          </w:tcPr>
          <w:p w14:paraId="383C03FD" w14:textId="77777777" w:rsidR="00395B24" w:rsidRDefault="00974709">
            <w:pPr>
              <w:pStyle w:val="NormalHeadings"/>
              <w:spacing w:after="120"/>
              <w:jc w:val="left"/>
              <w:rPr>
                <w:caps/>
                <w:szCs w:val="24"/>
              </w:rPr>
            </w:pPr>
            <w:bookmarkStart w:id="21" w:name="JudgeText"/>
            <w:r>
              <w:rPr>
                <w:caps/>
                <w:szCs w:val="24"/>
              </w:rPr>
              <w:t>order made by</w:t>
            </w:r>
            <w:bookmarkEnd w:id="21"/>
            <w:r w:rsidR="002C7385">
              <w:rPr>
                <w:caps/>
                <w:szCs w:val="24"/>
              </w:rPr>
              <w:t>:</w:t>
            </w:r>
          </w:p>
        </w:tc>
        <w:tc>
          <w:tcPr>
            <w:tcW w:w="6866" w:type="dxa"/>
          </w:tcPr>
          <w:p w14:paraId="7171C578" w14:textId="143E57B3" w:rsidR="00395B24" w:rsidRDefault="00D363B2">
            <w:pPr>
              <w:pStyle w:val="NormalHeadings"/>
              <w:jc w:val="left"/>
              <w:rPr>
                <w:caps/>
                <w:szCs w:val="24"/>
              </w:rPr>
            </w:pPr>
            <w:bookmarkStart w:id="22" w:name="Judge"/>
            <w:r>
              <w:rPr>
                <w:caps/>
                <w:szCs w:val="24"/>
              </w:rPr>
              <w:t>BROMWICH J</w:t>
            </w:r>
            <w:bookmarkEnd w:id="22"/>
          </w:p>
        </w:tc>
      </w:tr>
      <w:tr w:rsidR="00395B24" w14:paraId="47690C6F" w14:textId="77777777">
        <w:tc>
          <w:tcPr>
            <w:tcW w:w="2376" w:type="dxa"/>
          </w:tcPr>
          <w:p w14:paraId="15DB94D4" w14:textId="77777777" w:rsidR="00395B24" w:rsidRDefault="002C7385">
            <w:pPr>
              <w:pStyle w:val="NormalHeadings"/>
              <w:spacing w:after="120"/>
              <w:jc w:val="left"/>
              <w:rPr>
                <w:caps/>
                <w:szCs w:val="24"/>
              </w:rPr>
            </w:pPr>
            <w:r>
              <w:rPr>
                <w:caps/>
                <w:szCs w:val="24"/>
              </w:rPr>
              <w:t>DATE OF ORDER:</w:t>
            </w:r>
          </w:p>
        </w:tc>
        <w:tc>
          <w:tcPr>
            <w:tcW w:w="6866" w:type="dxa"/>
          </w:tcPr>
          <w:p w14:paraId="23E94782" w14:textId="169293C1" w:rsidR="00395B24" w:rsidRDefault="00382B43">
            <w:pPr>
              <w:pStyle w:val="NormalHeadings"/>
              <w:jc w:val="left"/>
              <w:rPr>
                <w:caps/>
                <w:szCs w:val="24"/>
              </w:rPr>
            </w:pPr>
            <w:bookmarkStart w:id="23" w:name="Judgment_Dated"/>
            <w:r w:rsidRPr="000A0FA5">
              <w:rPr>
                <w:caps/>
                <w:szCs w:val="24"/>
              </w:rPr>
              <w:t>12</w:t>
            </w:r>
            <w:r>
              <w:rPr>
                <w:caps/>
                <w:szCs w:val="24"/>
              </w:rPr>
              <w:t xml:space="preserve"> March 2025</w:t>
            </w:r>
            <w:bookmarkEnd w:id="23"/>
          </w:p>
        </w:tc>
      </w:tr>
    </w:tbl>
    <w:p w14:paraId="240EDFBC" w14:textId="355A13E3" w:rsidR="00395B24" w:rsidRDefault="00395B24">
      <w:pPr>
        <w:pStyle w:val="NormalHeadings"/>
        <w:rPr>
          <w:b w:val="0"/>
        </w:rPr>
      </w:pPr>
    </w:p>
    <w:p w14:paraId="69A9E7DE" w14:textId="77777777" w:rsidR="008D1617" w:rsidRDefault="008D1617">
      <w:pPr>
        <w:pStyle w:val="NormalHeadings"/>
        <w:rPr>
          <w:b w:val="0"/>
        </w:rPr>
      </w:pPr>
    </w:p>
    <w:p w14:paraId="36310ECF" w14:textId="77777777" w:rsidR="00395B24" w:rsidRDefault="002C7385">
      <w:pPr>
        <w:pStyle w:val="NormalHeadings"/>
      </w:pPr>
      <w:r>
        <w:t>THE COURT ORDERS THAT:</w:t>
      </w:r>
    </w:p>
    <w:p w14:paraId="1311E8E7" w14:textId="77777777" w:rsidR="007F60DF" w:rsidRDefault="007F60DF" w:rsidP="00243E5E">
      <w:pPr>
        <w:pStyle w:val="NormalHeadings"/>
      </w:pPr>
    </w:p>
    <w:p w14:paraId="5F74B87E" w14:textId="77777777" w:rsidR="00CD11D3" w:rsidRDefault="00CD11D3" w:rsidP="00CD11D3">
      <w:pPr>
        <w:pStyle w:val="Order1"/>
      </w:pPr>
      <w:r w:rsidRPr="00FB12BD">
        <w:t>The name of the first respondent be changed to Minister for Immigration and Multicultural Affairs.</w:t>
      </w:r>
    </w:p>
    <w:p w14:paraId="14AEB4BC" w14:textId="3F1D17E0" w:rsidR="000406F7" w:rsidRDefault="000406F7" w:rsidP="00CD11D3">
      <w:pPr>
        <w:pStyle w:val="Order1"/>
      </w:pPr>
      <w:r>
        <w:t xml:space="preserve">Leave be granted to the appellant </w:t>
      </w:r>
      <w:proofErr w:type="spellStart"/>
      <w:r w:rsidR="00171132">
        <w:t>nunc</w:t>
      </w:r>
      <w:proofErr w:type="spellEnd"/>
      <w:r w:rsidR="00171132">
        <w:t xml:space="preserve"> pro </w:t>
      </w:r>
      <w:proofErr w:type="spellStart"/>
      <w:r w:rsidR="00171132">
        <w:t>tunc</w:t>
      </w:r>
      <w:proofErr w:type="spellEnd"/>
      <w:r w:rsidR="00171132">
        <w:t xml:space="preserve"> </w:t>
      </w:r>
      <w:r>
        <w:t xml:space="preserve">to </w:t>
      </w:r>
      <w:r w:rsidR="00171132">
        <w:t xml:space="preserve">file </w:t>
      </w:r>
      <w:r>
        <w:t xml:space="preserve">the amended notice of appeal </w:t>
      </w:r>
      <w:r w:rsidR="009F1181">
        <w:t xml:space="preserve">dated </w:t>
      </w:r>
      <w:r w:rsidR="001F5015">
        <w:t xml:space="preserve">23 January 2024, </w:t>
      </w:r>
      <w:r w:rsidR="00171132">
        <w:t xml:space="preserve">lodged for </w:t>
      </w:r>
      <w:r w:rsidR="00097065">
        <w:t>filing</w:t>
      </w:r>
      <w:r w:rsidR="00171132">
        <w:t xml:space="preserve"> </w:t>
      </w:r>
      <w:r>
        <w:t>out of time</w:t>
      </w:r>
      <w:r w:rsidR="001F5015">
        <w:t xml:space="preserve"> on 4 March </w:t>
      </w:r>
      <w:r w:rsidR="00727725">
        <w:t>2024</w:t>
      </w:r>
      <w:r>
        <w:t>.</w:t>
      </w:r>
    </w:p>
    <w:p w14:paraId="121D0624" w14:textId="03F2E659" w:rsidR="000406F7" w:rsidRDefault="008C4257" w:rsidP="00CD11D3">
      <w:pPr>
        <w:pStyle w:val="Order1"/>
      </w:pPr>
      <w:r>
        <w:t>Leave be refused to rely upon proposed ground 3 in the amended notice of appeal.</w:t>
      </w:r>
    </w:p>
    <w:p w14:paraId="543FD3ED" w14:textId="18CB3A63" w:rsidR="00097065" w:rsidRDefault="00097065" w:rsidP="00CD11D3">
      <w:pPr>
        <w:pStyle w:val="Order1"/>
      </w:pPr>
      <w:r>
        <w:t xml:space="preserve">The </w:t>
      </w:r>
      <w:r w:rsidR="00727725">
        <w:t xml:space="preserve">amended </w:t>
      </w:r>
      <w:r>
        <w:t>notice of appeal otherwise be dismissed.</w:t>
      </w:r>
    </w:p>
    <w:p w14:paraId="6EF0C551" w14:textId="77777777" w:rsidR="008531DB" w:rsidRDefault="00097065" w:rsidP="00CD11D3">
      <w:pPr>
        <w:pStyle w:val="Order1"/>
      </w:pPr>
      <w:r>
        <w:t xml:space="preserve">The appellant </w:t>
      </w:r>
      <w:proofErr w:type="gramStart"/>
      <w:r w:rsidR="008531DB">
        <w:t>pay</w:t>
      </w:r>
      <w:proofErr w:type="gramEnd"/>
      <w:r w:rsidR="008531DB">
        <w:t xml:space="preserve"> the first respondent’s costs as taxed or agreed.</w:t>
      </w:r>
    </w:p>
    <w:p w14:paraId="4CBD5170" w14:textId="77777777" w:rsidR="001A6C52" w:rsidRDefault="001A6C52" w:rsidP="001A6C52">
      <w:pPr>
        <w:pStyle w:val="BodyText"/>
      </w:pPr>
    </w:p>
    <w:p w14:paraId="15EA13F3" w14:textId="77777777" w:rsidR="00A431E6" w:rsidRDefault="00A431E6" w:rsidP="001A6C52">
      <w:pPr>
        <w:pStyle w:val="BodyText"/>
      </w:pPr>
    </w:p>
    <w:p w14:paraId="500C1815" w14:textId="57237331" w:rsidR="0050309C" w:rsidRDefault="00D363B2" w:rsidP="004D53E5">
      <w:pPr>
        <w:pStyle w:val="SingleSpace"/>
      </w:pPr>
      <w:bookmarkStart w:id="24" w:name="OrdersStatement"/>
      <w:r>
        <w:t>Note:</w:t>
      </w:r>
      <w:r>
        <w:tab/>
        <w:t xml:space="preserve">Entry of orders is dealt with in Rule 39.32 of the </w:t>
      </w:r>
      <w:r>
        <w:rPr>
          <w:i/>
        </w:rPr>
        <w:t>Federal Court Rules 2011</w:t>
      </w:r>
      <w:r>
        <w:t>.</w:t>
      </w:r>
      <w:bookmarkEnd w:id="24"/>
    </w:p>
    <w:p w14:paraId="7B04D06A" w14:textId="77777777" w:rsidR="003E728D" w:rsidRDefault="003E728D">
      <w:pPr>
        <w:spacing w:line="240" w:lineRule="auto"/>
        <w:jc w:val="left"/>
      </w:pPr>
    </w:p>
    <w:p w14:paraId="02BC7D34" w14:textId="77777777" w:rsidR="00B710F2" w:rsidRDefault="00B710F2" w:rsidP="002B0E91">
      <w:pPr>
        <w:pStyle w:val="BodyText"/>
      </w:pPr>
    </w:p>
    <w:p w14:paraId="141BEFC3" w14:textId="77777777" w:rsidR="00395B24" w:rsidRDefault="00395B24">
      <w:pPr>
        <w:pStyle w:val="NormalHeadings"/>
        <w:spacing w:before="240" w:after="120"/>
        <w:rPr>
          <w:b w:val="0"/>
        </w:rPr>
        <w:sectPr w:rsidR="00395B24" w:rsidSect="00E77422">
          <w:headerReference w:type="default" r:id="rId15"/>
          <w:footerReference w:type="default" r:id="rId16"/>
          <w:headerReference w:type="first" r:id="rId17"/>
          <w:footerReference w:type="first" r:id="rId18"/>
          <w:endnotePr>
            <w:numFmt w:val="decimal"/>
          </w:endnotePr>
          <w:pgSz w:w="11907" w:h="16840" w:code="9"/>
          <w:pgMar w:top="1440" w:right="1440" w:bottom="1440" w:left="1440" w:header="851" w:footer="851" w:gutter="0"/>
          <w:pgNumType w:fmt="lowerRoman" w:start="1"/>
          <w:cols w:space="720"/>
          <w:noEndnote/>
          <w:titlePg/>
        </w:sectPr>
      </w:pPr>
    </w:p>
    <w:p w14:paraId="0EC9C457" w14:textId="77777777" w:rsidR="00484F6D" w:rsidRPr="00045BB7" w:rsidRDefault="00484F6D" w:rsidP="00045BB7">
      <w:pPr>
        <w:pStyle w:val="NormalHeadings"/>
        <w:spacing w:line="480" w:lineRule="auto"/>
        <w:jc w:val="center"/>
        <w:rPr>
          <w:sz w:val="28"/>
          <w:szCs w:val="28"/>
        </w:rPr>
      </w:pPr>
      <w:bookmarkStart w:id="25" w:name="ReasonsPage"/>
      <w:bookmarkEnd w:id="25"/>
      <w:r w:rsidRPr="00045BB7">
        <w:rPr>
          <w:sz w:val="28"/>
          <w:szCs w:val="28"/>
        </w:rPr>
        <w:lastRenderedPageBreak/>
        <w:t>REASONS FOR JUDGMENT</w:t>
      </w:r>
    </w:p>
    <w:p w14:paraId="6D7E066F" w14:textId="44488F30" w:rsidR="00694BEB" w:rsidRDefault="005E0FDA" w:rsidP="005E0510">
      <w:pPr>
        <w:pStyle w:val="NormalHeadings"/>
        <w:spacing w:line="360" w:lineRule="auto"/>
        <w:jc w:val="left"/>
        <w:rPr>
          <w:sz w:val="26"/>
          <w:szCs w:val="26"/>
        </w:rPr>
      </w:pPr>
      <w:r>
        <w:rPr>
          <w:sz w:val="26"/>
          <w:szCs w:val="26"/>
        </w:rPr>
        <w:t xml:space="preserve">BROMWICH J: </w:t>
      </w:r>
    </w:p>
    <w:p w14:paraId="382C9FB1" w14:textId="417DC3AE" w:rsidR="00F919CF" w:rsidRDefault="00823B95" w:rsidP="0080292B">
      <w:pPr>
        <w:pStyle w:val="ParaNumbering"/>
      </w:pPr>
      <w:r>
        <w:t>This is an a</w:t>
      </w:r>
      <w:r w:rsidR="00CE6484">
        <w:t xml:space="preserve">ppeal from the orders and judgment of the Federal </w:t>
      </w:r>
      <w:r w:rsidR="00E44519">
        <w:t xml:space="preserve">Circuit Court, now the Federal Circuit and Family Court of Australia (Division 2): </w:t>
      </w:r>
      <w:r w:rsidR="007D38A8" w:rsidRPr="006C458A">
        <w:rPr>
          <w:i/>
          <w:iCs/>
          <w:lang w:val="en-US"/>
        </w:rPr>
        <w:t xml:space="preserve">CUP17 v Minister for Immigration, Citizenship, Migrant Services and Multicultural Affairs </w:t>
      </w:r>
      <w:r w:rsidR="007D38A8" w:rsidRPr="006C458A">
        <w:rPr>
          <w:lang w:val="en-US"/>
        </w:rPr>
        <w:t>[2020] FCCA 3119</w:t>
      </w:r>
      <w:r w:rsidR="007D38A8">
        <w:rPr>
          <w:lang w:val="en-US"/>
        </w:rPr>
        <w:t xml:space="preserve">. </w:t>
      </w:r>
      <w:r w:rsidR="00BD1733">
        <w:rPr>
          <w:lang w:val="en-US"/>
        </w:rPr>
        <w:t xml:space="preserve"> </w:t>
      </w:r>
      <w:r w:rsidR="00645D67">
        <w:rPr>
          <w:lang w:val="en-US"/>
        </w:rPr>
        <w:t>On 6 May 2020, t</w:t>
      </w:r>
      <w:r w:rsidR="007D38A8">
        <w:rPr>
          <w:lang w:val="en-US"/>
        </w:rPr>
        <w:t xml:space="preserve">he primary judge dismissed the appellant’s application </w:t>
      </w:r>
      <w:r w:rsidR="006C7792">
        <w:rPr>
          <w:lang w:val="en-US"/>
        </w:rPr>
        <w:t xml:space="preserve">for </w:t>
      </w:r>
      <w:r w:rsidR="00F420D7">
        <w:rPr>
          <w:lang w:val="en-US"/>
        </w:rPr>
        <w:t xml:space="preserve">judicial </w:t>
      </w:r>
      <w:r w:rsidR="006C7792">
        <w:rPr>
          <w:lang w:val="en-US"/>
        </w:rPr>
        <w:t>review of</w:t>
      </w:r>
      <w:r w:rsidR="00626A1D">
        <w:rPr>
          <w:lang w:val="en-US"/>
        </w:rPr>
        <w:t xml:space="preserve"> a decision of</w:t>
      </w:r>
      <w:r w:rsidR="006C7792">
        <w:rPr>
          <w:lang w:val="en-US"/>
        </w:rPr>
        <w:t xml:space="preserve"> the Immigration Assessment </w:t>
      </w:r>
      <w:r w:rsidR="006C7792" w:rsidRPr="00DD2AFC">
        <w:rPr>
          <w:b/>
          <w:bCs/>
          <w:lang w:val="en-US"/>
        </w:rPr>
        <w:t>Authority</w:t>
      </w:r>
      <w:r w:rsidR="006C7792">
        <w:rPr>
          <w:lang w:val="en-US"/>
        </w:rPr>
        <w:t xml:space="preserve"> dated </w:t>
      </w:r>
      <w:r w:rsidR="00C902E8" w:rsidRPr="00C902E8">
        <w:rPr>
          <w:lang w:val="en-US"/>
        </w:rPr>
        <w:t>30 May 2017</w:t>
      </w:r>
      <w:r w:rsidR="006C7792">
        <w:rPr>
          <w:lang w:val="en-US"/>
        </w:rPr>
        <w:t xml:space="preserve">. </w:t>
      </w:r>
      <w:r w:rsidR="00BD1733">
        <w:rPr>
          <w:lang w:val="en-US"/>
        </w:rPr>
        <w:t xml:space="preserve"> </w:t>
      </w:r>
      <w:r w:rsidR="00C902E8">
        <w:rPr>
          <w:lang w:val="en-US"/>
        </w:rPr>
        <w:t>The Authority</w:t>
      </w:r>
      <w:r w:rsidR="006954BE">
        <w:rPr>
          <w:lang w:val="en-US"/>
        </w:rPr>
        <w:t xml:space="preserve"> </w:t>
      </w:r>
      <w:r w:rsidR="0063322B">
        <w:rPr>
          <w:lang w:val="en-US"/>
        </w:rPr>
        <w:t>had</w:t>
      </w:r>
      <w:r w:rsidR="00D978CC">
        <w:rPr>
          <w:lang w:val="en-US"/>
        </w:rPr>
        <w:t xml:space="preserve"> affirmed a decision of a delegate of the </w:t>
      </w:r>
      <w:r w:rsidR="00D978CC" w:rsidRPr="009E6E78">
        <w:rPr>
          <w:b/>
          <w:bCs/>
          <w:lang w:val="en-US"/>
        </w:rPr>
        <w:t>Minister</w:t>
      </w:r>
      <w:r w:rsidR="00D978CC">
        <w:rPr>
          <w:lang w:val="en-US"/>
        </w:rPr>
        <w:t xml:space="preserve"> for Immigration and Multicultural Affairs to refuse the a</w:t>
      </w:r>
      <w:r w:rsidR="0001280F">
        <w:rPr>
          <w:lang w:val="en-US"/>
        </w:rPr>
        <w:t xml:space="preserve">ppellant’s application for a Safe Haven Enterprise Visa. </w:t>
      </w:r>
    </w:p>
    <w:p w14:paraId="63E7F86A" w14:textId="4613ED46" w:rsidR="003120D9" w:rsidRDefault="001C488D" w:rsidP="001C488D">
      <w:pPr>
        <w:pStyle w:val="Heading2"/>
      </w:pPr>
      <w:r>
        <w:t xml:space="preserve">Before the primary judge </w:t>
      </w:r>
    </w:p>
    <w:p w14:paraId="4C22A5BA" w14:textId="47712A63" w:rsidR="004F33CB" w:rsidRDefault="00D64484" w:rsidP="008027D6">
      <w:pPr>
        <w:pStyle w:val="ParaNumbering"/>
      </w:pPr>
      <w:r>
        <w:t xml:space="preserve">It is convenient to reproduce </w:t>
      </w:r>
      <w:r w:rsidR="00B9297D">
        <w:t>aspects of the primary judge’s reasons as to the Authority</w:t>
      </w:r>
      <w:r w:rsidR="00D73E6D">
        <w:t xml:space="preserve">’s decision, the case advanced </w:t>
      </w:r>
      <w:r w:rsidR="004F33CB">
        <w:t xml:space="preserve">in support of the judicial review application and </w:t>
      </w:r>
      <w:r w:rsidR="00D73E6D">
        <w:t>his Honour</w:t>
      </w:r>
      <w:r w:rsidR="004F33CB">
        <w:t>’s rejection of that case.</w:t>
      </w:r>
      <w:r w:rsidR="00F96BD8">
        <w:t xml:space="preserve">  </w:t>
      </w:r>
      <w:r w:rsidR="009251B4">
        <w:t>The primary judge</w:t>
      </w:r>
      <w:r w:rsidR="00F96BD8" w:rsidRPr="00F96BD8">
        <w:t xml:space="preserve"> </w:t>
      </w:r>
      <w:r w:rsidR="00F96BD8">
        <w:t>succinctly</w:t>
      </w:r>
      <w:r w:rsidR="008027D6">
        <w:t xml:space="preserve"> </w:t>
      </w:r>
      <w:r w:rsidR="009251B4">
        <w:t xml:space="preserve">summarised the relevant portions of the </w:t>
      </w:r>
      <w:r w:rsidR="007B3942">
        <w:t>Authority’s detailed reasons as follows:</w:t>
      </w:r>
    </w:p>
    <w:p w14:paraId="2DD73A83" w14:textId="24D9C7F7" w:rsidR="0023486B" w:rsidRDefault="008027D6" w:rsidP="008027D6">
      <w:pPr>
        <w:pStyle w:val="Quote2"/>
        <w:ind w:left="720"/>
      </w:pPr>
      <w:r>
        <w:t>[5]</w:t>
      </w:r>
      <w:r>
        <w:tab/>
      </w:r>
      <w:r w:rsidR="0023486B">
        <w:t>After the Authority identified the information before it, including what (with one exception) the Authority accepted as new information in relation to which it found there were exceptional circumstances justifying its consideration of it, the Authority identified and considered the applicant’s claims for protection. The Authority:</w:t>
      </w:r>
    </w:p>
    <w:p w14:paraId="34EC8483" w14:textId="629B485E" w:rsidR="0023486B" w:rsidRDefault="00491635" w:rsidP="008027D6">
      <w:pPr>
        <w:pStyle w:val="Quote2"/>
        <w:ind w:hanging="720"/>
      </w:pPr>
      <w:r>
        <w:t>(a)</w:t>
      </w:r>
      <w:r>
        <w:tab/>
      </w:r>
      <w:r w:rsidR="0023486B">
        <w:t>accepted</w:t>
      </w:r>
      <w:r w:rsidR="0023486B">
        <w:rPr>
          <w:spacing w:val="-3"/>
        </w:rPr>
        <w:t xml:space="preserve"> </w:t>
      </w:r>
      <w:r w:rsidR="0023486B">
        <w:t>the</w:t>
      </w:r>
      <w:r w:rsidR="0023486B">
        <w:rPr>
          <w:spacing w:val="-1"/>
        </w:rPr>
        <w:t xml:space="preserve"> </w:t>
      </w:r>
      <w:r w:rsidR="0023486B">
        <w:t>applicant</w:t>
      </w:r>
      <w:r w:rsidR="0023486B">
        <w:rPr>
          <w:spacing w:val="-1"/>
        </w:rPr>
        <w:t xml:space="preserve"> </w:t>
      </w:r>
      <w:r w:rsidR="0023486B">
        <w:t>is a</w:t>
      </w:r>
      <w:r w:rsidR="0023486B">
        <w:rPr>
          <w:spacing w:val="-2"/>
        </w:rPr>
        <w:t xml:space="preserve"> </w:t>
      </w:r>
      <w:r w:rsidR="0023486B">
        <w:t>Tamil male</w:t>
      </w:r>
      <w:r w:rsidR="0023486B">
        <w:rPr>
          <w:spacing w:val="-1"/>
        </w:rPr>
        <w:t xml:space="preserve"> </w:t>
      </w:r>
      <w:r w:rsidR="0023486B">
        <w:t>from</w:t>
      </w:r>
      <w:r w:rsidR="0023486B">
        <w:rPr>
          <w:spacing w:val="-1"/>
        </w:rPr>
        <w:t xml:space="preserve"> </w:t>
      </w:r>
      <w:r w:rsidR="0023486B">
        <w:t>a</w:t>
      </w:r>
      <w:r w:rsidR="0023486B">
        <w:rPr>
          <w:spacing w:val="-2"/>
        </w:rPr>
        <w:t xml:space="preserve"> </w:t>
      </w:r>
      <w:r w:rsidR="0023486B">
        <w:t>particular village</w:t>
      </w:r>
      <w:r w:rsidR="0023486B">
        <w:rPr>
          <w:spacing w:val="-2"/>
        </w:rPr>
        <w:t xml:space="preserve"> </w:t>
      </w:r>
      <w:r w:rsidR="0023486B">
        <w:t>in the</w:t>
      </w:r>
      <w:r w:rsidR="0023486B">
        <w:rPr>
          <w:spacing w:val="-2"/>
        </w:rPr>
        <w:t xml:space="preserve"> </w:t>
      </w:r>
      <w:r w:rsidR="0023486B">
        <w:t>Jaffna</w:t>
      </w:r>
      <w:r w:rsidR="0023486B">
        <w:rPr>
          <w:spacing w:val="-1"/>
        </w:rPr>
        <w:t xml:space="preserve"> </w:t>
      </w:r>
      <w:proofErr w:type="gramStart"/>
      <w:r w:rsidR="0023486B">
        <w:rPr>
          <w:spacing w:val="-2"/>
        </w:rPr>
        <w:t>district;</w:t>
      </w:r>
      <w:proofErr w:type="gramEnd"/>
    </w:p>
    <w:p w14:paraId="70A47605" w14:textId="5F4DFE9C" w:rsidR="0023486B" w:rsidRDefault="007E503D" w:rsidP="008027D6">
      <w:pPr>
        <w:pStyle w:val="Quote2"/>
        <w:ind w:hanging="720"/>
      </w:pPr>
      <w:r>
        <w:t>(b)</w:t>
      </w:r>
      <w:r>
        <w:tab/>
      </w:r>
      <w:r w:rsidR="0023486B">
        <w:t xml:space="preserve">accepted the applicant grew up in a LTTE controlled area until it was captured by the </w:t>
      </w:r>
      <w:proofErr w:type="gramStart"/>
      <w:r w:rsidR="0023486B">
        <w:rPr>
          <w:spacing w:val="-2"/>
        </w:rPr>
        <w:t>SLA;</w:t>
      </w:r>
      <w:proofErr w:type="gramEnd"/>
    </w:p>
    <w:p w14:paraId="70509540" w14:textId="4B43B352" w:rsidR="0023486B" w:rsidRDefault="007E503D" w:rsidP="008027D6">
      <w:pPr>
        <w:pStyle w:val="Quote2"/>
        <w:ind w:hanging="720"/>
      </w:pPr>
      <w:r>
        <w:t>(c)</w:t>
      </w:r>
      <w:r>
        <w:tab/>
      </w:r>
      <w:r w:rsidR="0023486B">
        <w:t xml:space="preserve">accepted that several army camps remain today, and that military and security forces maintain a significant presence in the Northern </w:t>
      </w:r>
      <w:proofErr w:type="gramStart"/>
      <w:r w:rsidR="0023486B">
        <w:t>Province;</w:t>
      </w:r>
      <w:proofErr w:type="gramEnd"/>
    </w:p>
    <w:p w14:paraId="5E7AA6C5" w14:textId="6FF8B03A" w:rsidR="0023486B" w:rsidRPr="00AA4DFA" w:rsidRDefault="007E503D" w:rsidP="008027D6">
      <w:pPr>
        <w:pStyle w:val="Quote2"/>
        <w:ind w:hanging="720"/>
      </w:pPr>
      <w:r>
        <w:t>(d)</w:t>
      </w:r>
      <w:r>
        <w:tab/>
      </w:r>
      <w:r w:rsidR="0023486B">
        <w:t xml:space="preserve">accepted the applicant was attacked with a knife in 2007, and three other drivers were attacked and killed on the same </w:t>
      </w:r>
      <w:proofErr w:type="gramStart"/>
      <w:r w:rsidR="0023486B">
        <w:t>day;</w:t>
      </w:r>
      <w:proofErr w:type="gramEnd"/>
    </w:p>
    <w:p w14:paraId="5DD6B2FA" w14:textId="3BCE66BC" w:rsidR="0096204E" w:rsidRDefault="007E503D" w:rsidP="008027D6">
      <w:pPr>
        <w:pStyle w:val="Quote2"/>
        <w:ind w:hanging="720"/>
      </w:pPr>
      <w:r>
        <w:t>(e)</w:t>
      </w:r>
      <w:r>
        <w:tab/>
      </w:r>
      <w:r w:rsidR="0023486B" w:rsidRPr="00AA4DFA">
        <w:t>although</w:t>
      </w:r>
      <w:r w:rsidR="0023486B" w:rsidRPr="00AA4DFA">
        <w:rPr>
          <w:spacing w:val="39"/>
        </w:rPr>
        <w:t xml:space="preserve"> </w:t>
      </w:r>
      <w:r w:rsidR="0023486B" w:rsidRPr="00AA4DFA">
        <w:t>it</w:t>
      </w:r>
      <w:r w:rsidR="0023486B" w:rsidRPr="00AA4DFA">
        <w:rPr>
          <w:spacing w:val="40"/>
        </w:rPr>
        <w:t xml:space="preserve"> </w:t>
      </w:r>
      <w:r w:rsidR="0023486B" w:rsidRPr="00AA4DFA">
        <w:t>was</w:t>
      </w:r>
      <w:r w:rsidR="0023486B" w:rsidRPr="00AA4DFA">
        <w:rPr>
          <w:spacing w:val="40"/>
        </w:rPr>
        <w:t xml:space="preserve"> </w:t>
      </w:r>
      <w:r w:rsidR="0023486B" w:rsidRPr="00AA4DFA">
        <w:t>not</w:t>
      </w:r>
      <w:r w:rsidR="0023486B" w:rsidRPr="00AA4DFA">
        <w:rPr>
          <w:spacing w:val="40"/>
        </w:rPr>
        <w:t xml:space="preserve"> </w:t>
      </w:r>
      <w:r w:rsidR="0023486B" w:rsidRPr="00AA4DFA">
        <w:t>satisfied</w:t>
      </w:r>
      <w:r w:rsidR="0023486B" w:rsidRPr="00AA4DFA">
        <w:rPr>
          <w:spacing w:val="39"/>
        </w:rPr>
        <w:t xml:space="preserve"> </w:t>
      </w:r>
      <w:r w:rsidR="0023486B" w:rsidRPr="00AA4DFA">
        <w:t>the</w:t>
      </w:r>
      <w:r w:rsidR="0023486B" w:rsidRPr="00AA4DFA">
        <w:rPr>
          <w:spacing w:val="39"/>
        </w:rPr>
        <w:t xml:space="preserve"> </w:t>
      </w:r>
      <w:r w:rsidR="0023486B" w:rsidRPr="00AA4DFA">
        <w:t>identity</w:t>
      </w:r>
      <w:r w:rsidR="0023486B" w:rsidRPr="00AA4DFA">
        <w:rPr>
          <w:spacing w:val="39"/>
        </w:rPr>
        <w:t xml:space="preserve"> </w:t>
      </w:r>
      <w:r w:rsidR="0023486B" w:rsidRPr="00AA4DFA">
        <w:t>of</w:t>
      </w:r>
      <w:r w:rsidR="0023486B" w:rsidRPr="00AA4DFA">
        <w:rPr>
          <w:spacing w:val="39"/>
        </w:rPr>
        <w:t xml:space="preserve"> </w:t>
      </w:r>
      <w:r w:rsidR="0023486B" w:rsidRPr="00AA4DFA">
        <w:t>the</w:t>
      </w:r>
      <w:r w:rsidR="0023486B" w:rsidRPr="00AA4DFA">
        <w:rPr>
          <w:spacing w:val="39"/>
        </w:rPr>
        <w:t xml:space="preserve"> </w:t>
      </w:r>
      <w:r w:rsidR="0023486B" w:rsidRPr="00AA4DFA">
        <w:t>attackers</w:t>
      </w:r>
      <w:r w:rsidR="0023486B" w:rsidRPr="00AA4DFA">
        <w:rPr>
          <w:spacing w:val="39"/>
        </w:rPr>
        <w:t xml:space="preserve"> </w:t>
      </w:r>
      <w:r w:rsidR="0023486B" w:rsidRPr="00AA4DFA">
        <w:t>responsible</w:t>
      </w:r>
      <w:r w:rsidR="0023486B" w:rsidRPr="00AA4DFA">
        <w:rPr>
          <w:spacing w:val="39"/>
        </w:rPr>
        <w:t xml:space="preserve"> </w:t>
      </w:r>
      <w:r w:rsidR="0023486B" w:rsidRPr="00AA4DFA">
        <w:t>for</w:t>
      </w:r>
      <w:r w:rsidR="0023486B" w:rsidRPr="00AA4DFA">
        <w:rPr>
          <w:spacing w:val="39"/>
        </w:rPr>
        <w:t xml:space="preserve"> </w:t>
      </w:r>
      <w:r w:rsidR="0023486B" w:rsidRPr="00AA4DFA">
        <w:t>the</w:t>
      </w:r>
      <w:r w:rsidR="0023486B" w:rsidRPr="00AA4DFA">
        <w:rPr>
          <w:spacing w:val="39"/>
        </w:rPr>
        <w:t xml:space="preserve"> </w:t>
      </w:r>
      <w:r w:rsidR="0023486B" w:rsidRPr="00AA4DFA">
        <w:t>2007 attack</w:t>
      </w:r>
      <w:r w:rsidR="0023486B" w:rsidRPr="00AA4DFA">
        <w:rPr>
          <w:spacing w:val="40"/>
        </w:rPr>
        <w:t xml:space="preserve"> </w:t>
      </w:r>
      <w:r w:rsidR="0023486B" w:rsidRPr="00AA4DFA">
        <w:t>is</w:t>
      </w:r>
      <w:r w:rsidR="0023486B" w:rsidRPr="00AA4DFA">
        <w:rPr>
          <w:spacing w:val="40"/>
        </w:rPr>
        <w:t xml:space="preserve"> </w:t>
      </w:r>
      <w:r w:rsidR="0023486B" w:rsidRPr="00AA4DFA">
        <w:t>known,</w:t>
      </w:r>
      <w:r w:rsidR="0023486B" w:rsidRPr="00AA4DFA">
        <w:rPr>
          <w:spacing w:val="40"/>
        </w:rPr>
        <w:t xml:space="preserve"> </w:t>
      </w:r>
      <w:r w:rsidR="0023486B" w:rsidRPr="00AA4DFA">
        <w:t>relying</w:t>
      </w:r>
      <w:r w:rsidR="0023486B" w:rsidRPr="00AA4DFA">
        <w:rPr>
          <w:spacing w:val="40"/>
        </w:rPr>
        <w:t xml:space="preserve"> </w:t>
      </w:r>
      <w:r w:rsidR="0023486B" w:rsidRPr="00AA4DFA">
        <w:t>on</w:t>
      </w:r>
      <w:r w:rsidR="0023486B" w:rsidRPr="00AA4DFA">
        <w:rPr>
          <w:spacing w:val="40"/>
        </w:rPr>
        <w:t xml:space="preserve"> </w:t>
      </w:r>
      <w:r w:rsidR="0023486B" w:rsidRPr="00AA4DFA">
        <w:t>country</w:t>
      </w:r>
      <w:r w:rsidR="0023486B" w:rsidRPr="00AA4DFA">
        <w:rPr>
          <w:spacing w:val="40"/>
        </w:rPr>
        <w:t xml:space="preserve"> </w:t>
      </w:r>
      <w:r w:rsidR="0023486B" w:rsidRPr="00AA4DFA">
        <w:t>information</w:t>
      </w:r>
      <w:r w:rsidR="0023486B" w:rsidRPr="00AA4DFA">
        <w:rPr>
          <w:spacing w:val="40"/>
        </w:rPr>
        <w:t xml:space="preserve"> </w:t>
      </w:r>
      <w:r w:rsidR="0023486B" w:rsidRPr="00AA4DFA">
        <w:t>the</w:t>
      </w:r>
      <w:r w:rsidR="0023486B" w:rsidRPr="00AA4DFA">
        <w:rPr>
          <w:spacing w:val="40"/>
        </w:rPr>
        <w:t xml:space="preserve"> </w:t>
      </w:r>
      <w:r w:rsidR="0023486B" w:rsidRPr="00AA4DFA">
        <w:t>Authority</w:t>
      </w:r>
      <w:r w:rsidR="0023486B" w:rsidRPr="00AA4DFA">
        <w:rPr>
          <w:spacing w:val="40"/>
        </w:rPr>
        <w:t xml:space="preserve"> </w:t>
      </w:r>
      <w:r w:rsidR="0023486B" w:rsidRPr="00AA4DFA">
        <w:t>found</w:t>
      </w:r>
      <w:r w:rsidR="0023486B" w:rsidRPr="00AA4DFA">
        <w:rPr>
          <w:spacing w:val="40"/>
        </w:rPr>
        <w:t xml:space="preserve"> </w:t>
      </w:r>
      <w:r w:rsidR="0023486B" w:rsidRPr="00AA4DFA">
        <w:t>it</w:t>
      </w:r>
      <w:r w:rsidR="0023486B" w:rsidRPr="00AA4DFA">
        <w:rPr>
          <w:spacing w:val="40"/>
        </w:rPr>
        <w:t xml:space="preserve"> </w:t>
      </w:r>
      <w:r w:rsidR="0023486B" w:rsidRPr="00AA4DFA">
        <w:t>plausible</w:t>
      </w:r>
      <w:r w:rsidR="00AA4DFA">
        <w:t xml:space="preserve"> </w:t>
      </w:r>
      <w:r w:rsidR="0096204E">
        <w:t>attacks on the applicant and the three other drivers were carried out by persons affiliated with the SLA government for reasons of Tamil ethnicity; and</w:t>
      </w:r>
    </w:p>
    <w:p w14:paraId="171BC7AC" w14:textId="39AED878" w:rsidR="0023486B" w:rsidRDefault="007E503D" w:rsidP="008027D6">
      <w:pPr>
        <w:pStyle w:val="Quote2"/>
        <w:ind w:hanging="720"/>
      </w:pPr>
      <w:r>
        <w:t>(f)</w:t>
      </w:r>
      <w:r>
        <w:tab/>
      </w:r>
      <w:r w:rsidR="0096204E" w:rsidRPr="0096204E">
        <w:t xml:space="preserve">accepted the applicant received medical treatment for three days following the 2007 </w:t>
      </w:r>
      <w:r w:rsidR="0096204E" w:rsidRPr="0096204E">
        <w:rPr>
          <w:spacing w:val="-2"/>
        </w:rPr>
        <w:t>attack.</w:t>
      </w:r>
    </w:p>
    <w:p w14:paraId="19157DFB" w14:textId="1AFBF2C4" w:rsidR="003D31B5" w:rsidRDefault="008027D6" w:rsidP="008027D6">
      <w:pPr>
        <w:pStyle w:val="Quote2"/>
        <w:ind w:left="720"/>
        <w:rPr>
          <w:vertAlign w:val="superscript"/>
        </w:rPr>
      </w:pPr>
      <w:r>
        <w:t>[6]</w:t>
      </w:r>
      <w:r>
        <w:tab/>
      </w:r>
      <w:r w:rsidR="003D31B5">
        <w:t>The Authority, however, found unconvincing the applicant’s evidence in relation to the</w:t>
      </w:r>
      <w:r w:rsidR="003D31B5">
        <w:rPr>
          <w:spacing w:val="40"/>
        </w:rPr>
        <w:t xml:space="preserve"> </w:t>
      </w:r>
      <w:r w:rsidR="003D31B5">
        <w:t xml:space="preserve">events that occurred after the 2007, and, therefore, the Authority did not accept: the applicant was a person of adverse interest to the CID after the 2007 attack; or that the applicant was required to report to the CID between 2007 and 2012; or that </w:t>
      </w:r>
      <w:r w:rsidR="003D31B5">
        <w:lastRenderedPageBreak/>
        <w:t>the CID came to the applicant’s home during that period; or that the applicant has an adverse profile because</w:t>
      </w:r>
      <w:r w:rsidR="003D31B5">
        <w:rPr>
          <w:spacing w:val="40"/>
        </w:rPr>
        <w:t xml:space="preserve"> </w:t>
      </w:r>
      <w:r w:rsidR="003D31B5">
        <w:t>of his truck driving activities, or due to an actual or imputed involvement with the LTTE; or that the CID had gone to the applicant’s home and enquired about him after he left Sri Lanka.</w:t>
      </w:r>
      <w:r w:rsidR="003D31B5">
        <w:rPr>
          <w:spacing w:val="-1"/>
        </w:rPr>
        <w:t xml:space="preserve"> </w:t>
      </w:r>
      <w:r w:rsidR="003D31B5">
        <w:t>The Authority relied on the applicant’s having given inconsistent evidence about: where he lived and worked; when the CID began targeting him; whether he had been previously arrested by the CID and the duration of any such detention; whether he had transported weapons for the LTTE or worked for Mr U;</w:t>
      </w:r>
      <w:r w:rsidR="003D31B5">
        <w:rPr>
          <w:spacing w:val="-1"/>
        </w:rPr>
        <w:t xml:space="preserve"> </w:t>
      </w:r>
      <w:r w:rsidR="003D31B5">
        <w:t>whether he attended the CID camp for questioning or was questioned by the CID at home;</w:t>
      </w:r>
      <w:r w:rsidR="003D31B5">
        <w:rPr>
          <w:spacing w:val="-1"/>
        </w:rPr>
        <w:t xml:space="preserve"> </w:t>
      </w:r>
      <w:r w:rsidR="003D31B5">
        <w:t>and about the way in which the CID contacted the applicant in 2012 and asked him to report to the CID office.</w:t>
      </w:r>
    </w:p>
    <w:p w14:paraId="3462D7FA" w14:textId="247EACFE" w:rsidR="003D31B5" w:rsidRDefault="008027D6" w:rsidP="008027D6">
      <w:pPr>
        <w:pStyle w:val="Quote2"/>
        <w:ind w:left="720"/>
      </w:pPr>
      <w:r>
        <w:t>[7]</w:t>
      </w:r>
      <w:r>
        <w:tab/>
      </w:r>
      <w:r w:rsidR="00DF1C30">
        <w:t>The</w:t>
      </w:r>
      <w:r w:rsidR="00DF1C30">
        <w:rPr>
          <w:spacing w:val="-2"/>
        </w:rPr>
        <w:t xml:space="preserve"> </w:t>
      </w:r>
      <w:r w:rsidR="00DF1C30">
        <w:t>Authority</w:t>
      </w:r>
      <w:r w:rsidR="00DF1C30">
        <w:rPr>
          <w:spacing w:val="-1"/>
        </w:rPr>
        <w:t xml:space="preserve"> </w:t>
      </w:r>
      <w:r w:rsidR="00DF1C30">
        <w:t>accepted</w:t>
      </w:r>
      <w:r w:rsidR="00DF1C30">
        <w:rPr>
          <w:spacing w:val="-1"/>
        </w:rPr>
        <w:t xml:space="preserve"> </w:t>
      </w:r>
      <w:r w:rsidR="00DF1C30">
        <w:t>there</w:t>
      </w:r>
      <w:r w:rsidR="00DF1C30">
        <w:rPr>
          <w:spacing w:val="-2"/>
        </w:rPr>
        <w:t xml:space="preserve"> </w:t>
      </w:r>
      <w:r w:rsidR="00DF1C30">
        <w:t>was country</w:t>
      </w:r>
      <w:r w:rsidR="00DF1C30">
        <w:rPr>
          <w:spacing w:val="-2"/>
        </w:rPr>
        <w:t xml:space="preserve"> </w:t>
      </w:r>
      <w:r w:rsidR="00DF1C30">
        <w:t>information</w:t>
      </w:r>
      <w:r w:rsidR="00DF1C30">
        <w:rPr>
          <w:spacing w:val="-1"/>
        </w:rPr>
        <w:t xml:space="preserve"> </w:t>
      </w:r>
      <w:r w:rsidR="00DF1C30">
        <w:t>that</w:t>
      </w:r>
      <w:r w:rsidR="00DF1C30">
        <w:rPr>
          <w:spacing w:val="-1"/>
        </w:rPr>
        <w:t xml:space="preserve"> </w:t>
      </w:r>
      <w:r w:rsidR="00DF1C30">
        <w:t>confirmed</w:t>
      </w:r>
      <w:r w:rsidR="00DF1C30">
        <w:rPr>
          <w:spacing w:val="-2"/>
        </w:rPr>
        <w:t xml:space="preserve"> </w:t>
      </w:r>
      <w:r w:rsidR="00DF1C30">
        <w:t>scarring</w:t>
      </w:r>
      <w:r w:rsidR="00DF1C30">
        <w:rPr>
          <w:spacing w:val="-2"/>
        </w:rPr>
        <w:t xml:space="preserve"> </w:t>
      </w:r>
      <w:r w:rsidR="00DF1C30">
        <w:t>has</w:t>
      </w:r>
      <w:r w:rsidR="00DF1C30">
        <w:rPr>
          <w:spacing w:val="-1"/>
        </w:rPr>
        <w:t xml:space="preserve"> </w:t>
      </w:r>
      <w:r w:rsidR="00DF1C30">
        <w:t>been</w:t>
      </w:r>
      <w:r w:rsidR="00DF1C30">
        <w:rPr>
          <w:spacing w:val="-1"/>
        </w:rPr>
        <w:t xml:space="preserve"> </w:t>
      </w:r>
      <w:r w:rsidR="00DF1C30">
        <w:t>a</w:t>
      </w:r>
      <w:r w:rsidR="00DF1C30">
        <w:rPr>
          <w:spacing w:val="-2"/>
        </w:rPr>
        <w:t xml:space="preserve"> </w:t>
      </w:r>
      <w:r w:rsidR="00DF1C30">
        <w:t>risk factor in the past for returnees. The Authority, however, noted two things. First, the “</w:t>
      </w:r>
      <w:r w:rsidR="00DF1C30">
        <w:rPr>
          <w:i/>
        </w:rPr>
        <w:t>scars could be easily covered by sleaves of a shirt</w:t>
      </w:r>
      <w:r w:rsidR="00DF1C30">
        <w:t>”. Second, the Authority found country information does not indicate that body scars “</w:t>
      </w:r>
      <w:r w:rsidR="00DF1C30">
        <w:rPr>
          <w:i/>
        </w:rPr>
        <w:t>are now likely to attract the attention of the authorities</w:t>
      </w:r>
      <w:r w:rsidR="00DF1C30">
        <w:t>”. The Authority referred to a decision of the UK Tribunal that the issue of</w:t>
      </w:r>
      <w:r w:rsidR="00DF1C30">
        <w:rPr>
          <w:spacing w:val="40"/>
        </w:rPr>
        <w:t xml:space="preserve"> </w:t>
      </w:r>
      <w:r w:rsidR="00DF1C30">
        <w:t>scarring was only relevant in circumstances where the person was being detained and stripped. The Authority was not satisfied the applicant is at risk of being detained and</w:t>
      </w:r>
      <w:r w:rsidR="00DF1C30">
        <w:rPr>
          <w:spacing w:val="40"/>
        </w:rPr>
        <w:t xml:space="preserve"> </w:t>
      </w:r>
      <w:r w:rsidR="00DF1C30">
        <w:t>stripped on his return to Sri Lanka; and it was not satisfied the applicant is at risk of coming</w:t>
      </w:r>
      <w:r w:rsidR="00991577">
        <w:t xml:space="preserve"> to the adverse attention of the authorities on his return because of his scars on his left and right arms.</w:t>
      </w:r>
    </w:p>
    <w:p w14:paraId="40A3619A" w14:textId="6F2855FB" w:rsidR="0023486B" w:rsidRDefault="008027D6" w:rsidP="008027D6">
      <w:pPr>
        <w:pStyle w:val="Quote2"/>
        <w:ind w:left="720"/>
        <w:rPr>
          <w:vertAlign w:val="superscript"/>
        </w:rPr>
      </w:pPr>
      <w:r>
        <w:t>[8]</w:t>
      </w:r>
      <w:r>
        <w:tab/>
      </w:r>
      <w:r w:rsidR="002E3492">
        <w:t>The</w:t>
      </w:r>
      <w:r w:rsidR="002E3492">
        <w:rPr>
          <w:spacing w:val="-2"/>
        </w:rPr>
        <w:t xml:space="preserve"> </w:t>
      </w:r>
      <w:r w:rsidR="002E3492">
        <w:t>Authority</w:t>
      </w:r>
      <w:r w:rsidR="002E3492">
        <w:rPr>
          <w:spacing w:val="-1"/>
        </w:rPr>
        <w:t xml:space="preserve"> </w:t>
      </w:r>
      <w:r w:rsidR="002E3492">
        <w:t>was also not</w:t>
      </w:r>
      <w:r w:rsidR="002E3492">
        <w:rPr>
          <w:spacing w:val="-1"/>
        </w:rPr>
        <w:t xml:space="preserve"> </w:t>
      </w:r>
      <w:r w:rsidR="002E3492">
        <w:t>satisfied</w:t>
      </w:r>
      <w:r w:rsidR="002E3492">
        <w:rPr>
          <w:spacing w:val="-1"/>
        </w:rPr>
        <w:t xml:space="preserve"> </w:t>
      </w:r>
      <w:r w:rsidR="002E3492">
        <w:t>the</w:t>
      </w:r>
      <w:r w:rsidR="002E3492">
        <w:rPr>
          <w:spacing w:val="-1"/>
        </w:rPr>
        <w:t xml:space="preserve"> </w:t>
      </w:r>
      <w:r w:rsidR="002E3492">
        <w:t>applicant</w:t>
      </w:r>
      <w:r w:rsidR="002E3492">
        <w:rPr>
          <w:spacing w:val="-2"/>
        </w:rPr>
        <w:t xml:space="preserve"> </w:t>
      </w:r>
      <w:r w:rsidR="002E3492">
        <w:t>faces</w:t>
      </w:r>
      <w:r w:rsidR="002E3492">
        <w:rPr>
          <w:spacing w:val="-1"/>
        </w:rPr>
        <w:t xml:space="preserve"> </w:t>
      </w:r>
      <w:r w:rsidR="002E3492">
        <w:t>a</w:t>
      </w:r>
      <w:r w:rsidR="002E3492">
        <w:rPr>
          <w:spacing w:val="-1"/>
        </w:rPr>
        <w:t xml:space="preserve"> </w:t>
      </w:r>
      <w:r w:rsidR="002E3492">
        <w:t>real</w:t>
      </w:r>
      <w:r w:rsidR="002E3492">
        <w:rPr>
          <w:spacing w:val="-1"/>
        </w:rPr>
        <w:t xml:space="preserve"> </w:t>
      </w:r>
      <w:r w:rsidR="002E3492">
        <w:t>chance</w:t>
      </w:r>
      <w:r w:rsidR="002E3492">
        <w:rPr>
          <w:spacing w:val="-1"/>
        </w:rPr>
        <w:t xml:space="preserve"> </w:t>
      </w:r>
      <w:r w:rsidR="002E3492">
        <w:t>of</w:t>
      </w:r>
      <w:r w:rsidR="002E3492">
        <w:rPr>
          <w:spacing w:val="-2"/>
        </w:rPr>
        <w:t xml:space="preserve"> </w:t>
      </w:r>
      <w:r w:rsidR="002E3492">
        <w:t>serious</w:t>
      </w:r>
      <w:r w:rsidR="002E3492">
        <w:rPr>
          <w:spacing w:val="-1"/>
        </w:rPr>
        <w:t xml:space="preserve"> </w:t>
      </w:r>
      <w:r w:rsidR="002E3492">
        <w:t>harm</w:t>
      </w:r>
      <w:r w:rsidR="002E3492">
        <w:rPr>
          <w:spacing w:val="-1"/>
        </w:rPr>
        <w:t xml:space="preserve"> </w:t>
      </w:r>
      <w:r w:rsidR="002E3492">
        <w:t>because of his Tamil ethnicity or because of any actual or imputed connections with the LTTE, or because of the place at which he lived, or because of his age, or for any other reason. The Authority relied on findings it had already made, and country information which the Authority was satisfied indicated that: (a) the overall situation of Tamils in Sri Lanka had improved considerably since the end of the civil war in 2009; (b) there are no official laws or policies that discriminate on the basis of race, language, or social status; and (c) there is no longer a presumption of a requirement for protection because a person is a Tamil from a former LTTE controlled area.</w:t>
      </w:r>
    </w:p>
    <w:p w14:paraId="404AB97B" w14:textId="5E267C6B" w:rsidR="00924FC4" w:rsidRDefault="008027D6" w:rsidP="008027D6">
      <w:pPr>
        <w:pStyle w:val="Quote2"/>
        <w:ind w:left="720"/>
      </w:pPr>
      <w:r>
        <w:t>[9]</w:t>
      </w:r>
      <w:r>
        <w:tab/>
      </w:r>
      <w:r w:rsidR="00924FC4">
        <w:t>The Authority accepted that, if he returned to Sri Lanka, the applicant would be identifiable</w:t>
      </w:r>
      <w:r w:rsidR="00924FC4">
        <w:rPr>
          <w:spacing w:val="40"/>
        </w:rPr>
        <w:t xml:space="preserve"> </w:t>
      </w:r>
      <w:r w:rsidR="00924FC4">
        <w:t>to the authorities as a failed asylum seeker who departed Sri Lanka illegally. The Authority assessed this risk by reference to two matters. The first was the applicant’s being a failed asylum seeker with scars. The Authority was not satisfied the applicant faces a real chance of serious harm because he is a failed asylum seeker from Australia, or because of his scarring, now or in the reasonably foreseeable future. The Authority relied on its not being satisfied that, on the basis of country information that was before it, the applicant would be harmed by the Sri Lankan authorities because he is a Tamil asylum seeker, and there being no information before the Authority to indicate the applicant is at risk of coming to the attention of the authorities “</w:t>
      </w:r>
      <w:r w:rsidR="00924FC4">
        <w:rPr>
          <w:i/>
        </w:rPr>
        <w:t>on account of bodily scarring</w:t>
      </w:r>
      <w:r w:rsidR="00924FC4">
        <w:t>”.</w:t>
      </w:r>
    </w:p>
    <w:p w14:paraId="0CAB9747" w14:textId="3CDFA09F" w:rsidR="0023486B" w:rsidRDefault="008027D6" w:rsidP="008027D6">
      <w:pPr>
        <w:pStyle w:val="Quote2"/>
        <w:ind w:left="720"/>
        <w:rPr>
          <w:vertAlign w:val="superscript"/>
        </w:rPr>
      </w:pPr>
      <w:r>
        <w:t>[10]</w:t>
      </w:r>
      <w:r>
        <w:tab/>
      </w:r>
      <w:r w:rsidR="00942CF6">
        <w:t xml:space="preserve">The second matter by reference to which the Authority assessed risk of harm to the applicant is its finding that on his return to Sri Lanka the applicant will be exposed to penalties for having breached the Sri Lankan </w:t>
      </w:r>
      <w:r w:rsidR="00942CF6">
        <w:rPr>
          <w:i/>
        </w:rPr>
        <w:t>Immigrants and Emigrants Act</w:t>
      </w:r>
      <w:r w:rsidR="00942CF6">
        <w:t>. The Authority referred to a DFAT report that states “</w:t>
      </w:r>
      <w:r w:rsidR="00942CF6">
        <w:rPr>
          <w:i/>
        </w:rPr>
        <w:t>most returnees will be fingerprinted and photographed, transported to the nearest Magistrates Court at the first available opportunity</w:t>
      </w:r>
      <w:r w:rsidR="00942CF6">
        <w:t>” after which “</w:t>
      </w:r>
      <w:r w:rsidR="00942CF6">
        <w:rPr>
          <w:i/>
        </w:rPr>
        <w:t>custody and responsibility for the individual shifts to the courts or prison services</w:t>
      </w:r>
      <w:r w:rsidR="00942CF6">
        <w:t>.”</w:t>
      </w:r>
      <w:r w:rsidR="00942CF6">
        <w:rPr>
          <w:spacing w:val="-1"/>
        </w:rPr>
        <w:t xml:space="preserve"> </w:t>
      </w:r>
      <w:r w:rsidR="00942CF6">
        <w:t>Relying on country information,</w:t>
      </w:r>
      <w:r w:rsidR="00942CF6">
        <w:rPr>
          <w:spacing w:val="17"/>
        </w:rPr>
        <w:t xml:space="preserve"> </w:t>
      </w:r>
      <w:r w:rsidR="00942CF6">
        <w:t>the</w:t>
      </w:r>
      <w:r w:rsidR="00942CF6">
        <w:rPr>
          <w:spacing w:val="16"/>
        </w:rPr>
        <w:t xml:space="preserve"> </w:t>
      </w:r>
      <w:r w:rsidR="00942CF6">
        <w:t>Authority</w:t>
      </w:r>
      <w:r w:rsidR="00942CF6">
        <w:rPr>
          <w:spacing w:val="16"/>
        </w:rPr>
        <w:t xml:space="preserve"> </w:t>
      </w:r>
      <w:r w:rsidR="00942CF6">
        <w:t>found</w:t>
      </w:r>
      <w:r w:rsidR="00942CF6">
        <w:rPr>
          <w:spacing w:val="16"/>
        </w:rPr>
        <w:t xml:space="preserve"> </w:t>
      </w:r>
      <w:r w:rsidR="00942CF6">
        <w:t>that</w:t>
      </w:r>
      <w:r w:rsidR="00942CF6">
        <w:rPr>
          <w:spacing w:val="16"/>
        </w:rPr>
        <w:t xml:space="preserve"> </w:t>
      </w:r>
      <w:r w:rsidR="00942CF6">
        <w:t>on</w:t>
      </w:r>
      <w:r w:rsidR="00942CF6">
        <w:rPr>
          <w:spacing w:val="16"/>
        </w:rPr>
        <w:t xml:space="preserve"> </w:t>
      </w:r>
      <w:r w:rsidR="00942CF6">
        <w:t>his</w:t>
      </w:r>
      <w:r w:rsidR="00942CF6">
        <w:rPr>
          <w:spacing w:val="17"/>
        </w:rPr>
        <w:t xml:space="preserve"> </w:t>
      </w:r>
      <w:r w:rsidR="00942CF6">
        <w:t>arrival</w:t>
      </w:r>
      <w:r w:rsidR="00942CF6">
        <w:rPr>
          <w:spacing w:val="17"/>
        </w:rPr>
        <w:t xml:space="preserve"> </w:t>
      </w:r>
      <w:r w:rsidR="00942CF6">
        <w:t>the</w:t>
      </w:r>
      <w:r w:rsidR="00942CF6">
        <w:rPr>
          <w:spacing w:val="16"/>
        </w:rPr>
        <w:t xml:space="preserve"> </w:t>
      </w:r>
      <w:r w:rsidR="00942CF6">
        <w:t>applicant</w:t>
      </w:r>
      <w:r w:rsidR="00942CF6">
        <w:rPr>
          <w:spacing w:val="17"/>
        </w:rPr>
        <w:t xml:space="preserve"> </w:t>
      </w:r>
      <w:r w:rsidR="00942CF6">
        <w:t>will</w:t>
      </w:r>
      <w:r w:rsidR="00942CF6">
        <w:rPr>
          <w:spacing w:val="17"/>
        </w:rPr>
        <w:t xml:space="preserve"> </w:t>
      </w:r>
      <w:r w:rsidR="00942CF6">
        <w:t>be</w:t>
      </w:r>
      <w:r w:rsidR="00942CF6">
        <w:rPr>
          <w:spacing w:val="18"/>
        </w:rPr>
        <w:t xml:space="preserve"> </w:t>
      </w:r>
      <w:r w:rsidR="00942CF6">
        <w:t>charged</w:t>
      </w:r>
      <w:r w:rsidR="00942CF6">
        <w:rPr>
          <w:spacing w:val="16"/>
        </w:rPr>
        <w:t xml:space="preserve"> </w:t>
      </w:r>
      <w:r w:rsidR="00942CF6">
        <w:t>and</w:t>
      </w:r>
      <w:r w:rsidR="00942CF6">
        <w:rPr>
          <w:spacing w:val="16"/>
        </w:rPr>
        <w:t xml:space="preserve"> </w:t>
      </w:r>
      <w:proofErr w:type="gramStart"/>
      <w:r w:rsidR="00942CF6">
        <w:t xml:space="preserve">fined, </w:t>
      </w:r>
      <w:r w:rsidR="00483CD3">
        <w:t>and</w:t>
      </w:r>
      <w:proofErr w:type="gramEnd"/>
      <w:r w:rsidR="00483CD3">
        <w:t xml:space="preserve"> potentially detained for a brief period of time; and, if the applicant pleads not guilty, he will either be granted bail on personal surety or have a family member act as guarantor. The Authority further </w:t>
      </w:r>
      <w:proofErr w:type="gramStart"/>
      <w:r w:rsidR="00483CD3">
        <w:t>found:</w:t>
      </w:r>
      <w:proofErr w:type="gramEnd"/>
      <w:r w:rsidR="00483CD3">
        <w:t xml:space="preserve"> there is no real chance the applicant will face imprisonment; the imposition of a fine, surety or guarantee would not amount to serious harm; and, </w:t>
      </w:r>
      <w:r w:rsidR="00483CD3">
        <w:lastRenderedPageBreak/>
        <w:t>while the applicant may be briefly detained in poor prison conditions, that would not amount to serious harm.</w:t>
      </w:r>
      <w:r w:rsidR="00483CD3">
        <w:rPr>
          <w:spacing w:val="-20"/>
        </w:rPr>
        <w:t xml:space="preserve"> </w:t>
      </w:r>
    </w:p>
    <w:p w14:paraId="0C31FC78" w14:textId="7D1D95D2" w:rsidR="00483CD3" w:rsidRDefault="008027D6" w:rsidP="008027D6">
      <w:pPr>
        <w:pStyle w:val="Quote2"/>
        <w:spacing w:after="360"/>
        <w:ind w:left="720"/>
      </w:pPr>
      <w:r>
        <w:t>[11]</w:t>
      </w:r>
      <w:r>
        <w:tab/>
      </w:r>
      <w:r w:rsidR="00151F58">
        <w:t>Relying on these findings, the Authority was not satisfied the applicant was a “</w:t>
      </w:r>
      <w:r w:rsidR="00151F58">
        <w:rPr>
          <w:i/>
        </w:rPr>
        <w:t xml:space="preserve">refugee” </w:t>
      </w:r>
      <w:r w:rsidR="00151F58">
        <w:t>because it was not satisfied the applicant faces a real chance of suffering significant harm upon return to Sri Lanka, and was not satisfied the applicant met the complementary protection criterion provided for by s.36(</w:t>
      </w:r>
      <w:proofErr w:type="gramStart"/>
      <w:r w:rsidR="00151F58">
        <w:t>2)(</w:t>
      </w:r>
      <w:proofErr w:type="gramEnd"/>
      <w:r w:rsidR="00151F58">
        <w:t>aa) of the Act.</w:t>
      </w:r>
    </w:p>
    <w:p w14:paraId="0206F4FB" w14:textId="7E4C1183" w:rsidR="00F96BD8" w:rsidRDefault="008027D6" w:rsidP="008027D6">
      <w:pPr>
        <w:pStyle w:val="ParaNumbering"/>
      </w:pPr>
      <w:r>
        <w:t xml:space="preserve">The primary judge </w:t>
      </w:r>
      <w:r w:rsidR="00F96BD8">
        <w:t xml:space="preserve">reproduced the sole ground of review </w:t>
      </w:r>
      <w:r w:rsidR="006F6576">
        <w:t>pressed at the hearing</w:t>
      </w:r>
      <w:r w:rsidR="009B3A5E">
        <w:t xml:space="preserve"> before his Honour</w:t>
      </w:r>
      <w:r w:rsidR="00004E32">
        <w:t>,</w:t>
      </w:r>
      <w:r w:rsidR="006F6576">
        <w:t xml:space="preserve"> which </w:t>
      </w:r>
      <w:r w:rsidR="00F96BD8">
        <w:t>assert</w:t>
      </w:r>
      <w:r w:rsidR="006F6576">
        <w:t>ed</w:t>
      </w:r>
      <w:r w:rsidR="00F96BD8">
        <w:t xml:space="preserve"> </w:t>
      </w:r>
      <w:r w:rsidR="000E127F">
        <w:t xml:space="preserve">jurisdictional error on the part of the Authority by failing to provide </w:t>
      </w:r>
      <w:r w:rsidR="00FE40A8">
        <w:t>adequate reasons, and the particulars to that ground</w:t>
      </w:r>
      <w:r w:rsidR="00E4179A">
        <w:t xml:space="preserve">.  His Honour </w:t>
      </w:r>
      <w:r w:rsidR="002201A1">
        <w:t xml:space="preserve">then </w:t>
      </w:r>
      <w:r w:rsidR="005A25F1">
        <w:t xml:space="preserve">briefly but thoroughly </w:t>
      </w:r>
      <w:r w:rsidR="002201A1">
        <w:t xml:space="preserve">summarised the submissions advanced in support of </w:t>
      </w:r>
      <w:r w:rsidR="00E4179A">
        <w:t xml:space="preserve">that ground of review </w:t>
      </w:r>
      <w:r w:rsidR="00136B55">
        <w:t>and explained why they were not successful</w:t>
      </w:r>
      <w:r w:rsidR="001F272C">
        <w:t xml:space="preserve"> as follows</w:t>
      </w:r>
      <w:r w:rsidR="00136B55">
        <w:t>:</w:t>
      </w:r>
    </w:p>
    <w:p w14:paraId="7A8D3BD5" w14:textId="2AF24DBA" w:rsidR="001F272C" w:rsidRDefault="00E30873" w:rsidP="00E30873">
      <w:pPr>
        <w:pStyle w:val="Quote1"/>
      </w:pPr>
      <w:r>
        <w:t>[13]</w:t>
      </w:r>
      <w:r>
        <w:tab/>
      </w:r>
      <w:r w:rsidR="008E383A">
        <w:t>In his written submissions the applicant submits that the Authority “assumes/conjects that during the initial processing at the airport, subsequent transfer to the court and or prison system, the applicant would not be searched”, but “no reasons are advanced as to how that conclusion is reached”, and “no evidence is cited to support it”.</w:t>
      </w:r>
      <w:r w:rsidR="008E383A">
        <w:rPr>
          <w:spacing w:val="-2"/>
        </w:rPr>
        <w:t xml:space="preserve"> </w:t>
      </w:r>
      <w:r w:rsidR="008E383A">
        <w:t>Mr Hodges, who appeared for the applicant, repeated the substance of this submission. He submitted there was no evidence to support the Authority’s assumption that the applicant would not be detained and searched before the Authority.</w:t>
      </w:r>
    </w:p>
    <w:p w14:paraId="728A7376" w14:textId="541ACBCE" w:rsidR="008E383A" w:rsidRDefault="00E30873" w:rsidP="00E30873">
      <w:pPr>
        <w:pStyle w:val="Quote1"/>
      </w:pPr>
      <w:r>
        <w:t>[14]</w:t>
      </w:r>
      <w:r>
        <w:tab/>
      </w:r>
      <w:r w:rsidR="007B3F08">
        <w:t xml:space="preserve">There are two difficulties with the applicant’s submissions. </w:t>
      </w:r>
      <w:r w:rsidR="007B3F08" w:rsidRPr="002243AD">
        <w:t xml:space="preserve">First, it assumes that the Authority’s accepting that the applicant would be charged and detained necessarily entailed a real risk the applicant would be </w:t>
      </w:r>
      <w:proofErr w:type="gramStart"/>
      <w:r w:rsidR="007B3F08" w:rsidRPr="002243AD">
        <w:t>searched, and</w:t>
      </w:r>
      <w:proofErr w:type="gramEnd"/>
      <w:r w:rsidR="007B3F08" w:rsidRPr="002243AD">
        <w:t xml:space="preserve"> thus would be exposed to the risk of his scars being revealed. But the applicant does not identify any material that was before the Authority that could render this assumption reasonable.</w:t>
      </w:r>
      <w:r w:rsidR="007B3F08">
        <w:t xml:space="preserve"> Second, the applicant ignores the findings and country information on which the Authority relied. The Authority relied on its finding that</w:t>
      </w:r>
      <w:r w:rsidR="007B3F08">
        <w:rPr>
          <w:spacing w:val="80"/>
        </w:rPr>
        <w:t xml:space="preserve"> </w:t>
      </w:r>
      <w:r w:rsidR="007B3F08">
        <w:t xml:space="preserve">the applicant did not have a profile that would expose him to adverse interest by the authorities, and on country information the Authority accepted showed that the risk of mistreatment for the majority of returning asylum seekers was low; and which showed that most returnees who had departed Sri Lanka illegally will be fingerprinted and photographed, and transported to the nearest magistrates court at the first available opportunity once investigations are complete, after which the custody and responsibility for such returnees would shift to the courts and prison authorities. The Authority also referred to country information about poor prison conditions in Sri Lanka. The applicant has not identified country information that was before the Authority that </w:t>
      </w:r>
      <w:proofErr w:type="spellStart"/>
      <w:r w:rsidR="007B3F08">
        <w:t>refe</w:t>
      </w:r>
      <w:proofErr w:type="spellEnd"/>
      <w:r w:rsidR="0060184C">
        <w:t>[r]</w:t>
      </w:r>
      <w:r w:rsidR="007B3F08">
        <w:t>s to persons being stripped and searched, or of the circumstances in which persons may be stripped and searched.</w:t>
      </w:r>
    </w:p>
    <w:p w14:paraId="28E9CDF1" w14:textId="37030088" w:rsidR="00752858" w:rsidRDefault="00E30873" w:rsidP="002243AD">
      <w:pPr>
        <w:pStyle w:val="Quote1"/>
        <w:spacing w:after="360"/>
      </w:pPr>
      <w:r>
        <w:t>[15]</w:t>
      </w:r>
      <w:r>
        <w:tab/>
      </w:r>
      <w:r w:rsidR="00752858">
        <w:t xml:space="preserve">The Authority did not rely on an assumption that the applicant would not be stripped and searched while in detention. The Authority made findings about the risk profile of the applicant, and consulted country information about what occurs to returnees who share the risk profile the Authority found the applicant had who had left Sri Lanka illegally. There was </w:t>
      </w:r>
      <w:r w:rsidR="00491635">
        <w:t>nothing in that material that could reasonably have suggested to the Authority that such persons would be processed on his or her return in a manner other than that revealed by the country information to which the Authority referred,</w:t>
      </w:r>
      <w:r w:rsidR="00D94C6F">
        <w:t xml:space="preserve"> </w:t>
      </w:r>
      <w:r w:rsidR="00D94C6F">
        <w:rPr>
          <w:szCs w:val="24"/>
          <w:lang w:eastAsia="en-AU"/>
        </w:rPr>
        <w:t xml:space="preserve">none of which </w:t>
      </w:r>
      <w:r w:rsidR="00F53C54">
        <w:rPr>
          <w:szCs w:val="24"/>
          <w:lang w:eastAsia="en-AU"/>
        </w:rPr>
        <w:t>suggested that such persons face a real chance of being stripped and searched</w:t>
      </w:r>
      <w:r w:rsidR="00D94C6F">
        <w:rPr>
          <w:szCs w:val="24"/>
          <w:lang w:eastAsia="en-AU"/>
        </w:rPr>
        <w:t xml:space="preserve">. </w:t>
      </w:r>
      <w:r w:rsidR="00491635">
        <w:t>The ground on which the applicant relies, therefore, fails.</w:t>
      </w:r>
    </w:p>
    <w:p w14:paraId="62FE9B65" w14:textId="58DFEF78" w:rsidR="00C40910" w:rsidRDefault="00C40910" w:rsidP="00C40910">
      <w:pPr>
        <w:pStyle w:val="ParaNumbering"/>
      </w:pPr>
      <w:r>
        <w:lastRenderedPageBreak/>
        <w:t>Additionally, the Authority’s reasons at [36] warrant reproduction as follows (footnote omitted):</w:t>
      </w:r>
    </w:p>
    <w:p w14:paraId="5C9C5173" w14:textId="77777777" w:rsidR="00C40910" w:rsidRDefault="00C40910" w:rsidP="00C40910">
      <w:pPr>
        <w:pStyle w:val="Quote1"/>
        <w:spacing w:after="360"/>
      </w:pPr>
      <w:r>
        <w:t xml:space="preserve">I have also accepted that the applicant has scarring on his arms </w:t>
      </w:r>
      <w:proofErr w:type="gramStart"/>
      <w:r>
        <w:t>as a result of</w:t>
      </w:r>
      <w:proofErr w:type="gramEnd"/>
      <w:r>
        <w:t xml:space="preserve"> the June 2007 attack.</w:t>
      </w:r>
      <w:r>
        <w:rPr>
          <w:spacing w:val="-1"/>
        </w:rPr>
        <w:t xml:space="preserve"> </w:t>
      </w:r>
      <w:r>
        <w:t>Given</w:t>
      </w:r>
      <w:r>
        <w:rPr>
          <w:spacing w:val="-1"/>
        </w:rPr>
        <w:t xml:space="preserve"> </w:t>
      </w:r>
      <w:r>
        <w:t>the</w:t>
      </w:r>
      <w:r>
        <w:rPr>
          <w:spacing w:val="-2"/>
        </w:rPr>
        <w:t xml:space="preserve"> </w:t>
      </w:r>
      <w:r>
        <w:t>location</w:t>
      </w:r>
      <w:r>
        <w:rPr>
          <w:spacing w:val="-1"/>
        </w:rPr>
        <w:t xml:space="preserve"> </w:t>
      </w:r>
      <w:r>
        <w:t>of</w:t>
      </w:r>
      <w:r>
        <w:rPr>
          <w:spacing w:val="-2"/>
        </w:rPr>
        <w:t xml:space="preserve"> </w:t>
      </w:r>
      <w:r>
        <w:t>the</w:t>
      </w:r>
      <w:r>
        <w:rPr>
          <w:spacing w:val="-2"/>
        </w:rPr>
        <w:t xml:space="preserve"> </w:t>
      </w:r>
      <w:r>
        <w:t>scars,</w:t>
      </w:r>
      <w:r>
        <w:rPr>
          <w:spacing w:val="-2"/>
        </w:rPr>
        <w:t xml:space="preserve"> </w:t>
      </w:r>
      <w:r>
        <w:t>I</w:t>
      </w:r>
      <w:r>
        <w:rPr>
          <w:spacing w:val="-2"/>
        </w:rPr>
        <w:t xml:space="preserve"> </w:t>
      </w:r>
      <w:r>
        <w:t>consider</w:t>
      </w:r>
      <w:r>
        <w:rPr>
          <w:spacing w:val="-1"/>
        </w:rPr>
        <w:t xml:space="preserve"> </w:t>
      </w:r>
      <w:r>
        <w:t>the</w:t>
      </w:r>
      <w:r>
        <w:rPr>
          <w:spacing w:val="-2"/>
        </w:rPr>
        <w:t xml:space="preserve"> </w:t>
      </w:r>
      <w:r>
        <w:t>scars</w:t>
      </w:r>
      <w:r>
        <w:rPr>
          <w:spacing w:val="-2"/>
        </w:rPr>
        <w:t xml:space="preserve"> </w:t>
      </w:r>
      <w:r>
        <w:t>could</w:t>
      </w:r>
      <w:r>
        <w:rPr>
          <w:spacing w:val="-1"/>
        </w:rPr>
        <w:t xml:space="preserve"> </w:t>
      </w:r>
      <w:r>
        <w:t>be</w:t>
      </w:r>
      <w:r>
        <w:rPr>
          <w:spacing w:val="-2"/>
        </w:rPr>
        <w:t xml:space="preserve"> </w:t>
      </w:r>
      <w:r>
        <w:t>easily</w:t>
      </w:r>
      <w:r>
        <w:rPr>
          <w:spacing w:val="-2"/>
        </w:rPr>
        <w:t xml:space="preserve"> </w:t>
      </w:r>
      <w:r>
        <w:t>covered</w:t>
      </w:r>
      <w:r>
        <w:rPr>
          <w:spacing w:val="-1"/>
        </w:rPr>
        <w:t xml:space="preserve"> </w:t>
      </w:r>
      <w:r>
        <w:t>by</w:t>
      </w:r>
      <w:r>
        <w:rPr>
          <w:spacing w:val="-2"/>
        </w:rPr>
        <w:t xml:space="preserve"> </w:t>
      </w:r>
      <w:r>
        <w:t>sleaves</w:t>
      </w:r>
      <w:r>
        <w:rPr>
          <w:spacing w:val="-2"/>
        </w:rPr>
        <w:t xml:space="preserve"> </w:t>
      </w:r>
      <w:r>
        <w:t>of a shirt. Country information in the referred materials confirms that scarring has been a risk factor in the past for returnees. However, country information does not indicate that body scars alone are now likely to attract the attention of the authorities. The UK Tribunal opined that the issue of scarring was only relevant in circumstances where the person was being detained and stripped.</w:t>
      </w:r>
      <w:r>
        <w:rPr>
          <w:vertAlign w:val="superscript"/>
        </w:rPr>
        <w:t xml:space="preserve"> </w:t>
      </w:r>
      <w:r>
        <w:t>While I accept the applicant has scarring as claimed, in his circumstances, I am not satisfied he will be at risk of being detained and stripped upon his return to Sri Lanka. Nor am I satisfied that the applicant is at risk of coming to the adverse attention of the authorities on his return due to scars on his left and right arm.</w:t>
      </w:r>
    </w:p>
    <w:p w14:paraId="789B49EB" w14:textId="21CD3AD9" w:rsidR="001C488D" w:rsidRDefault="001C488D" w:rsidP="001C488D">
      <w:pPr>
        <w:pStyle w:val="Heading2"/>
      </w:pPr>
      <w:r>
        <w:t>Th</w:t>
      </w:r>
      <w:r w:rsidR="006349C0">
        <w:t>e grounds of a</w:t>
      </w:r>
      <w:r>
        <w:t>ppeal</w:t>
      </w:r>
    </w:p>
    <w:p w14:paraId="725CF8EE" w14:textId="6AA4BD09" w:rsidR="008C379B" w:rsidRDefault="00893A3F" w:rsidP="008C379B">
      <w:pPr>
        <w:pStyle w:val="ParaNumbering"/>
      </w:pPr>
      <w:r>
        <w:t>On 14 December 2020, t</w:t>
      </w:r>
      <w:r w:rsidR="008C379B">
        <w:t>he appellant filed a notice of appeal</w:t>
      </w:r>
      <w:r w:rsidR="00AA1C90">
        <w:t xml:space="preserve"> containing </w:t>
      </w:r>
      <w:r w:rsidR="0003738E">
        <w:t>a</w:t>
      </w:r>
      <w:r w:rsidR="00AA1C90">
        <w:t xml:space="preserve"> s</w:t>
      </w:r>
      <w:r>
        <w:t>ing</w:t>
      </w:r>
      <w:r w:rsidR="00FF4706">
        <w:t xml:space="preserve">le </w:t>
      </w:r>
      <w:r>
        <w:t>ground of appeal</w:t>
      </w:r>
      <w:r w:rsidR="001F272C">
        <w:t xml:space="preserve">, which replicates the </w:t>
      </w:r>
      <w:r w:rsidR="00100CE1">
        <w:t>ground of review</w:t>
      </w:r>
      <w:r w:rsidR="00910DB7">
        <w:t xml:space="preserve"> pressed</w:t>
      </w:r>
      <w:r w:rsidR="00100CE1">
        <w:t xml:space="preserve"> before the primary judge</w:t>
      </w:r>
      <w:r w:rsidR="00157351">
        <w:t xml:space="preserve">: </w:t>
      </w:r>
    </w:p>
    <w:p w14:paraId="6FBB900C" w14:textId="60BAFC31" w:rsidR="00A70D77" w:rsidRDefault="00A70D77" w:rsidP="00FF4706">
      <w:pPr>
        <w:pStyle w:val="Quote1"/>
        <w:spacing w:after="360"/>
      </w:pPr>
      <w:r>
        <w:t>The IAA it committed jurisdictional error by failing to provide adequate reasons for its decisions.</w:t>
      </w:r>
    </w:p>
    <w:p w14:paraId="58D29225" w14:textId="549E7A5A" w:rsidR="00B40989" w:rsidRPr="00B40989" w:rsidRDefault="00EE2D31" w:rsidP="00CD1346">
      <w:pPr>
        <w:pStyle w:val="ParaNumbering"/>
      </w:pPr>
      <w:r>
        <w:t xml:space="preserve">On </w:t>
      </w:r>
      <w:r w:rsidR="00273051">
        <w:t xml:space="preserve">4 March 2024, </w:t>
      </w:r>
      <w:r>
        <w:t>the appellant filed an amended notice of appeal</w:t>
      </w:r>
      <w:r w:rsidR="007620E9">
        <w:t xml:space="preserve"> </w:t>
      </w:r>
      <w:r w:rsidR="00D03134">
        <w:t xml:space="preserve">which substantially </w:t>
      </w:r>
      <w:r w:rsidR="0041767A">
        <w:t>amended the initial notice of appeal</w:t>
      </w:r>
      <w:r w:rsidR="0009078A">
        <w:t xml:space="preserve">. </w:t>
      </w:r>
      <w:r w:rsidR="00163DD2">
        <w:t xml:space="preserve"> </w:t>
      </w:r>
      <w:r w:rsidR="003D2860" w:rsidRPr="0009078A">
        <w:rPr>
          <w:lang w:val="en-US"/>
        </w:rPr>
        <w:t xml:space="preserve">The </w:t>
      </w:r>
      <w:r w:rsidR="00B40989" w:rsidRPr="0009078A">
        <w:rPr>
          <w:lang w:val="en-US"/>
        </w:rPr>
        <w:t xml:space="preserve">grounds of appeal, with the particulars removed, are (verbatim): </w:t>
      </w:r>
    </w:p>
    <w:p w14:paraId="63548CA0" w14:textId="6720D512" w:rsidR="003D2860" w:rsidRDefault="00763B14" w:rsidP="00763B14">
      <w:pPr>
        <w:pStyle w:val="Quote1"/>
        <w:ind w:left="2160" w:hanging="1423"/>
        <w:rPr>
          <w:lang w:val="en-US"/>
        </w:rPr>
      </w:pPr>
      <w:r>
        <w:rPr>
          <w:lang w:val="en-US"/>
        </w:rPr>
        <w:t>Ground 1</w:t>
      </w:r>
      <w:r>
        <w:rPr>
          <w:lang w:val="en-US"/>
        </w:rPr>
        <w:tab/>
      </w:r>
      <w:r w:rsidR="000D5D1C" w:rsidRPr="008F5F4D">
        <w:rPr>
          <w:lang w:val="en-US"/>
        </w:rPr>
        <w:t>The Federal Circuit Court erred when failed to actively engage in intellectual process, when it ignored relevant material, when it failed to find that the IAA committed jurisdictional error, and when the Federal Circuit Court unreasonably dismissed the Applicant</w:t>
      </w:r>
      <w:r w:rsidR="00155FA8">
        <w:rPr>
          <w:lang w:val="en-US"/>
        </w:rPr>
        <w:t>’</w:t>
      </w:r>
      <w:r w:rsidR="000D5D1C" w:rsidRPr="008F5F4D">
        <w:rPr>
          <w:lang w:val="en-US"/>
        </w:rPr>
        <w:t xml:space="preserve">s Review Application. </w:t>
      </w:r>
    </w:p>
    <w:p w14:paraId="79E8404D" w14:textId="2571D790" w:rsidR="00E26163" w:rsidRDefault="00763B14" w:rsidP="00763B14">
      <w:pPr>
        <w:pStyle w:val="Quote1"/>
        <w:ind w:left="2160" w:hanging="1423"/>
      </w:pPr>
      <w:r>
        <w:rPr>
          <w:lang w:val="en-US"/>
        </w:rPr>
        <w:t>Ground 2</w:t>
      </w:r>
      <w:r>
        <w:rPr>
          <w:lang w:val="en-US"/>
        </w:rPr>
        <w:tab/>
      </w:r>
      <w:r w:rsidR="00E26163" w:rsidRPr="00E26163">
        <w:t>The Lower Court erred when it found the sole Ground on which the Applicant</w:t>
      </w:r>
      <w:r w:rsidR="00E26163">
        <w:t xml:space="preserve"> </w:t>
      </w:r>
      <w:r w:rsidR="00E26163" w:rsidRPr="00E26163">
        <w:t>relied failed and proceeded to dismiss the Application.</w:t>
      </w:r>
    </w:p>
    <w:p w14:paraId="010B3AD8" w14:textId="63F1E7AB" w:rsidR="00B77806" w:rsidRDefault="00763B14" w:rsidP="00B77806">
      <w:pPr>
        <w:pStyle w:val="Quote1"/>
        <w:spacing w:after="0"/>
        <w:ind w:left="2160" w:hanging="1423"/>
      </w:pPr>
      <w:r>
        <w:t xml:space="preserve">Proposed </w:t>
      </w:r>
      <w:r w:rsidR="00B77806">
        <w:tab/>
        <w:t>The Authority was in error when the Authority did not consider getting</w:t>
      </w:r>
    </w:p>
    <w:p w14:paraId="13ED4517" w14:textId="6B562C64" w:rsidR="00DD6F0A" w:rsidRPr="00163DD2" w:rsidRDefault="00763B14" w:rsidP="00B77806">
      <w:pPr>
        <w:pStyle w:val="Quote1"/>
        <w:spacing w:after="360"/>
        <w:ind w:left="2160" w:hanging="1423"/>
        <w:rPr>
          <w:lang w:val="en-US"/>
        </w:rPr>
      </w:pPr>
      <w:r>
        <w:t>Ground 3</w:t>
      </w:r>
      <w:r>
        <w:tab/>
      </w:r>
      <w:r w:rsidR="00FA1DCB">
        <w:t xml:space="preserve">more information pursuant to s 473DC concerning the likelihood of the Applicant being examined prior to being brought before the magistrate. </w:t>
      </w:r>
    </w:p>
    <w:p w14:paraId="55CB9050" w14:textId="7735E4D3" w:rsidR="003B60B4" w:rsidRDefault="00B32536" w:rsidP="003B60B4">
      <w:pPr>
        <w:pStyle w:val="ParaNumbering"/>
      </w:pPr>
      <w:r>
        <w:t xml:space="preserve">As </w:t>
      </w:r>
      <w:r w:rsidR="00FD1207">
        <w:t xml:space="preserve">the </w:t>
      </w:r>
      <w:r w:rsidR="005E7C9C">
        <w:t>amended notice of appeal</w:t>
      </w:r>
      <w:r w:rsidR="00FD1207">
        <w:t xml:space="preserve"> was filed more than 28 days after the </w:t>
      </w:r>
      <w:r w:rsidR="0041767A">
        <w:t xml:space="preserve">initial </w:t>
      </w:r>
      <w:r w:rsidR="00FD1207">
        <w:t xml:space="preserve">notice of appeal, </w:t>
      </w:r>
      <w:r w:rsidR="00507A60">
        <w:t xml:space="preserve">the appellant requires </w:t>
      </w:r>
      <w:r w:rsidR="00DF7A6F">
        <w:t>leave from the Court to rely</w:t>
      </w:r>
      <w:r w:rsidR="000522AB">
        <w:t xml:space="preserve"> u</w:t>
      </w:r>
      <w:r w:rsidR="00155FA8">
        <w:t>pon it</w:t>
      </w:r>
      <w:r w:rsidR="00896210">
        <w:t xml:space="preserve">: </w:t>
      </w:r>
      <w:r w:rsidR="00E278C2" w:rsidRPr="006C458A">
        <w:rPr>
          <w:i/>
          <w:iCs/>
        </w:rPr>
        <w:t xml:space="preserve">Federal Court Rules 2011 </w:t>
      </w:r>
      <w:r w:rsidR="00E278C2" w:rsidRPr="006C458A">
        <w:t>(Cth) r</w:t>
      </w:r>
      <w:r w:rsidR="000F08D3" w:rsidRPr="006C458A">
        <w:t> </w:t>
      </w:r>
      <w:r w:rsidR="00E278C2" w:rsidRPr="006C458A">
        <w:t>36.</w:t>
      </w:r>
      <w:r w:rsidR="00D03134" w:rsidRPr="006C458A">
        <w:t>10</w:t>
      </w:r>
      <w:r w:rsidR="00E278C2">
        <w:t>.</w:t>
      </w:r>
      <w:r w:rsidR="00FE23CC">
        <w:t xml:space="preserve"> </w:t>
      </w:r>
      <w:r w:rsidR="0081527A">
        <w:t xml:space="preserve"> </w:t>
      </w:r>
      <w:r w:rsidR="00DB6213">
        <w:t xml:space="preserve">This is reflected in </w:t>
      </w:r>
      <w:r w:rsidR="0098313C">
        <w:t>order 4 of the orders sought by the appellant</w:t>
      </w:r>
      <w:r w:rsidR="000522AB">
        <w:t>.</w:t>
      </w:r>
      <w:r w:rsidR="0098313C">
        <w:t xml:space="preserve"> </w:t>
      </w:r>
      <w:r w:rsidR="00B77806">
        <w:t xml:space="preserve"> The reference to ground 3 as “proposed” reflects </w:t>
      </w:r>
      <w:r w:rsidR="008530CD">
        <w:t xml:space="preserve">an acknowledgement that </w:t>
      </w:r>
      <w:r w:rsidR="00130430">
        <w:t xml:space="preserve">it </w:t>
      </w:r>
      <w:r w:rsidR="008530CD">
        <w:t xml:space="preserve">was </w:t>
      </w:r>
      <w:r w:rsidR="00ED01A3">
        <w:t xml:space="preserve">a </w:t>
      </w:r>
      <w:r w:rsidR="00B77806">
        <w:t xml:space="preserve">ground </w:t>
      </w:r>
      <w:r w:rsidR="00ED01A3">
        <w:t xml:space="preserve">that was not advanced before the </w:t>
      </w:r>
      <w:r w:rsidR="006349C0">
        <w:t>primary judge.</w:t>
      </w:r>
      <w:r w:rsidR="000D7912">
        <w:t xml:space="preserve">  </w:t>
      </w:r>
    </w:p>
    <w:p w14:paraId="7204B48F" w14:textId="3482B694" w:rsidR="00137902" w:rsidRDefault="00137902" w:rsidP="00137902">
      <w:pPr>
        <w:pStyle w:val="Heading2"/>
      </w:pPr>
      <w:r>
        <w:lastRenderedPageBreak/>
        <w:t xml:space="preserve">Leave to rely upon the late amended notice of appeal </w:t>
      </w:r>
    </w:p>
    <w:p w14:paraId="66A0691A" w14:textId="0DB359A5" w:rsidR="005F48A6" w:rsidRDefault="000F08D3" w:rsidP="003B60B4">
      <w:pPr>
        <w:pStyle w:val="ParaNumbering"/>
      </w:pPr>
      <w:r>
        <w:t xml:space="preserve">I consider that </w:t>
      </w:r>
      <w:r w:rsidR="007D5AC7">
        <w:t xml:space="preserve">the </w:t>
      </w:r>
      <w:r w:rsidR="00812D9F">
        <w:t>appellant should be granted leave to rely upon the amended notice of appeal filed out of time, to enable the real issues in dispute to be addressed</w:t>
      </w:r>
      <w:r w:rsidR="005A795D">
        <w:t>, rather than reverting to the original notice of appeal</w:t>
      </w:r>
      <w:r w:rsidR="00812D9F">
        <w:t>.  This does not entail the grant of leave to re</w:t>
      </w:r>
      <w:r w:rsidR="00E870BC">
        <w:t>ly upon ground 3</w:t>
      </w:r>
      <w:r w:rsidR="00605524">
        <w:t xml:space="preserve"> </w:t>
      </w:r>
      <w:r w:rsidR="008E592E">
        <w:t xml:space="preserve">as proposed </w:t>
      </w:r>
      <w:r w:rsidR="001629C0">
        <w:t xml:space="preserve">in the </w:t>
      </w:r>
      <w:r w:rsidR="00605524">
        <w:t>amended notice of appeal</w:t>
      </w:r>
      <w:r w:rsidR="00E870BC">
        <w:t xml:space="preserve"> as that requires another level of leave to rely upon a point not raised below, for which sufficient merit </w:t>
      </w:r>
      <w:r w:rsidR="00137902">
        <w:t>needs to be established.</w:t>
      </w:r>
      <w:r>
        <w:t xml:space="preserve"> </w:t>
      </w:r>
    </w:p>
    <w:p w14:paraId="07016A4C" w14:textId="251692FC" w:rsidR="00EB4C4E" w:rsidRDefault="00633AC4" w:rsidP="0060184C">
      <w:pPr>
        <w:pStyle w:val="Heading2"/>
      </w:pPr>
      <w:r>
        <w:t xml:space="preserve">Ground 1 </w:t>
      </w:r>
    </w:p>
    <w:p w14:paraId="4A42E944" w14:textId="3F6E3E24" w:rsidR="00E365B3" w:rsidRDefault="0027159D" w:rsidP="00961728">
      <w:pPr>
        <w:pStyle w:val="ParaNumbering"/>
      </w:pPr>
      <w:r>
        <w:t xml:space="preserve">This </w:t>
      </w:r>
      <w:proofErr w:type="gramStart"/>
      <w:r>
        <w:t>ground</w:t>
      </w:r>
      <w:proofErr w:type="gramEnd"/>
      <w:r>
        <w:t xml:space="preserve"> asserts that the </w:t>
      </w:r>
      <w:r w:rsidR="002E3932">
        <w:t>primary judge</w:t>
      </w:r>
      <w:r w:rsidR="00AA6CDA">
        <w:t xml:space="preserve"> failed</w:t>
      </w:r>
      <w:r w:rsidR="002E3932">
        <w:t xml:space="preserve"> </w:t>
      </w:r>
      <w:r w:rsidR="00AA6CDA">
        <w:t xml:space="preserve">to </w:t>
      </w:r>
      <w:r w:rsidR="002E3932">
        <w:t xml:space="preserve">actively engage in intellectual process, </w:t>
      </w:r>
      <w:r w:rsidR="00AA6CDA">
        <w:t>ignored</w:t>
      </w:r>
      <w:r w:rsidR="00216A46">
        <w:t xml:space="preserve"> relevant material, and </w:t>
      </w:r>
      <w:r w:rsidR="00CE4909">
        <w:t xml:space="preserve">unreasonably dismissed the appellant’s review application by failing </w:t>
      </w:r>
      <w:r w:rsidR="00E365B3">
        <w:t xml:space="preserve">to find that the Authority had committed jurisdictional error. </w:t>
      </w:r>
      <w:r w:rsidR="00273828">
        <w:t xml:space="preserve"> The particulars </w:t>
      </w:r>
      <w:r w:rsidR="005B4718">
        <w:t xml:space="preserve">in the amended notice of appeal </w:t>
      </w:r>
      <w:r w:rsidR="00081691">
        <w:t xml:space="preserve">trawl through the information that was before the Authority </w:t>
      </w:r>
      <w:r w:rsidR="000B253A">
        <w:t xml:space="preserve">and the reasons in addressing that material, suggesting that different conclusions could have been reached, or </w:t>
      </w:r>
      <w:r w:rsidR="008550C7">
        <w:t>assessments made.  The appellant</w:t>
      </w:r>
      <w:r w:rsidR="00271898">
        <w:t xml:space="preserve">’s submissions go further down this path by quoting from material that is </w:t>
      </w:r>
      <w:r w:rsidR="00A87920">
        <w:t xml:space="preserve">footnoted by the Authority, and </w:t>
      </w:r>
      <w:r w:rsidR="005E4A6B">
        <w:t xml:space="preserve">not </w:t>
      </w:r>
      <w:r w:rsidR="00A87920">
        <w:t xml:space="preserve">contained in the appeal book, suggesting that different conclusions </w:t>
      </w:r>
      <w:r w:rsidR="00E24281">
        <w:t xml:space="preserve">should </w:t>
      </w:r>
      <w:r w:rsidR="00A87920">
        <w:t>have been reached</w:t>
      </w:r>
      <w:r w:rsidR="00E24281">
        <w:t xml:space="preserve"> by the Authority </w:t>
      </w:r>
      <w:r w:rsidR="007B44BD">
        <w:t xml:space="preserve">from </w:t>
      </w:r>
      <w:r w:rsidR="00E24281">
        <w:t>the material that was before it</w:t>
      </w:r>
      <w:r w:rsidR="00A87920">
        <w:t xml:space="preserve">.  There is no suggestion that anything of this kind was raised before the primary judge.  </w:t>
      </w:r>
      <w:r w:rsidR="00741988">
        <w:t xml:space="preserve">Had they been </w:t>
      </w:r>
      <w:proofErr w:type="gramStart"/>
      <w:r w:rsidR="00741988">
        <w:t>raised,</w:t>
      </w:r>
      <w:proofErr w:type="gramEnd"/>
      <w:r w:rsidR="00741988">
        <w:t xml:space="preserve"> they likely would have </w:t>
      </w:r>
      <w:r w:rsidR="00BF3657">
        <w:t>been given short shrift as constituting nothing more than impermissible merits review.</w:t>
      </w:r>
    </w:p>
    <w:p w14:paraId="1CC7EED9" w14:textId="421E3087" w:rsidR="00783688" w:rsidRDefault="00783688" w:rsidP="00961728">
      <w:pPr>
        <w:pStyle w:val="ParaNumbering"/>
      </w:pPr>
      <w:r>
        <w:t>The reference to the primary judge having failed to engage in an active intellectual process, a</w:t>
      </w:r>
      <w:r w:rsidR="00663F58">
        <w:t>n obligation</w:t>
      </w:r>
      <w:r w:rsidR="00300BDE">
        <w:t xml:space="preserve"> sometimes </w:t>
      </w:r>
      <w:r>
        <w:t xml:space="preserve">applied to </w:t>
      </w:r>
      <w:r w:rsidR="00240AB8">
        <w:t>executive decision-makers</w:t>
      </w:r>
      <w:r w:rsidR="00663F58">
        <w:t xml:space="preserve"> to identify jurisdictional error</w:t>
      </w:r>
      <w:r w:rsidR="00240AB8">
        <w:t xml:space="preserve">, and </w:t>
      </w:r>
      <w:r w:rsidR="002B1163">
        <w:t xml:space="preserve">the reference to </w:t>
      </w:r>
      <w:r w:rsidR="00240AB8">
        <w:t xml:space="preserve">ignoring relevant material, as though </w:t>
      </w:r>
      <w:r w:rsidR="002B1163">
        <w:t xml:space="preserve">his Honour </w:t>
      </w:r>
      <w:r w:rsidR="00240AB8">
        <w:t xml:space="preserve">had some obligation to go beyond the arguments and materials that </w:t>
      </w:r>
      <w:r w:rsidR="00AC5765">
        <w:t xml:space="preserve">were raised in the course of judicial review of the Authority’s decision, in order to assert that </w:t>
      </w:r>
      <w:r w:rsidR="00CF3B6E">
        <w:t xml:space="preserve">this led to a failure to find jurisdictional error, </w:t>
      </w:r>
      <w:r w:rsidR="002B1163">
        <w:t xml:space="preserve">is misconceived, inappropriate and </w:t>
      </w:r>
      <w:r w:rsidR="00741988">
        <w:t xml:space="preserve">in any event a doomed enterprise.  </w:t>
      </w:r>
      <w:r w:rsidR="00AD1803">
        <w:t>There is no discernible error on the part of his Honour</w:t>
      </w:r>
      <w:r w:rsidR="00293ABC">
        <w:t xml:space="preserve"> and no failure to find </w:t>
      </w:r>
      <w:r w:rsidR="00300BDE">
        <w:t>jurisdictional</w:t>
      </w:r>
      <w:r w:rsidR="00293ABC">
        <w:t xml:space="preserve"> error</w:t>
      </w:r>
      <w:r w:rsidR="00DC1A28">
        <w:t xml:space="preserve"> on the part of the Authority</w:t>
      </w:r>
      <w:r w:rsidR="00293ABC">
        <w:t xml:space="preserve">, not least because none in substance was </w:t>
      </w:r>
      <w:r w:rsidR="00DC1A28">
        <w:t xml:space="preserve">in fact </w:t>
      </w:r>
      <w:r w:rsidR="00293ABC">
        <w:t>alleged, much less proven.</w:t>
      </w:r>
    </w:p>
    <w:p w14:paraId="004E5FB0" w14:textId="123CAD4A" w:rsidR="0080430C" w:rsidRDefault="0080430C" w:rsidP="00961728">
      <w:pPr>
        <w:pStyle w:val="ParaNumbering"/>
      </w:pPr>
      <w:r>
        <w:t>This ground of appeal must fail.</w:t>
      </w:r>
    </w:p>
    <w:p w14:paraId="35A21027" w14:textId="6848B189" w:rsidR="00C66EFB" w:rsidRPr="00DC1A28" w:rsidRDefault="00C66EFB" w:rsidP="00DC1A28">
      <w:pPr>
        <w:pStyle w:val="Heading2"/>
      </w:pPr>
      <w:r w:rsidRPr="00DC1A28">
        <w:t>Ground 2</w:t>
      </w:r>
    </w:p>
    <w:p w14:paraId="51D99081" w14:textId="612F3041" w:rsidR="008C261E" w:rsidRDefault="002A07F9" w:rsidP="00C66EFB">
      <w:pPr>
        <w:pStyle w:val="ParaNumbering"/>
      </w:pPr>
      <w:r>
        <w:t>Ground 2 asse</w:t>
      </w:r>
      <w:r w:rsidR="00B13CE1">
        <w:t>r</w:t>
      </w:r>
      <w:r>
        <w:t xml:space="preserve">ts that the </w:t>
      </w:r>
      <w:r w:rsidR="009233BF">
        <w:t>primary judge erred</w:t>
      </w:r>
      <w:r w:rsidR="00A0641F">
        <w:t xml:space="preserve"> in dismissing the </w:t>
      </w:r>
      <w:r w:rsidR="00B34F46">
        <w:t xml:space="preserve">review application after finding that the appellant had not succeeded in establishing the sole ground advanced. </w:t>
      </w:r>
      <w:r w:rsidR="004604EB">
        <w:t xml:space="preserve"> This ground is </w:t>
      </w:r>
      <w:r w:rsidR="00FC78EE">
        <w:t xml:space="preserve">not advanced by a single reference to the primary judge’s reasons.  </w:t>
      </w:r>
      <w:r w:rsidR="00101E8B">
        <w:t xml:space="preserve">Instead, it is </w:t>
      </w:r>
      <w:r w:rsidR="004604EB">
        <w:t xml:space="preserve">sought to be </w:t>
      </w:r>
      <w:r w:rsidR="004604EB">
        <w:lastRenderedPageBreak/>
        <w:t xml:space="preserve">advanced by running a version of the arguments </w:t>
      </w:r>
      <w:r w:rsidR="00B547EE">
        <w:t xml:space="preserve">apparently </w:t>
      </w:r>
      <w:r w:rsidR="004604EB">
        <w:t xml:space="preserve">advanced </w:t>
      </w:r>
      <w:r w:rsidR="00B547EE">
        <w:t>before the primary judge, but significantly embellish</w:t>
      </w:r>
      <w:r w:rsidR="00101E8B">
        <w:t xml:space="preserve">ing them </w:t>
      </w:r>
      <w:r w:rsidR="00B547EE">
        <w:t xml:space="preserve">by </w:t>
      </w:r>
      <w:r w:rsidR="00CA03E7">
        <w:t xml:space="preserve">reference to </w:t>
      </w:r>
      <w:r w:rsidR="001B7D86">
        <w:t xml:space="preserve">parts of the </w:t>
      </w:r>
      <w:r w:rsidR="00CA03E7">
        <w:t xml:space="preserve">contents of country information that was before </w:t>
      </w:r>
      <w:r w:rsidR="001B7D86">
        <w:t>the Authority</w:t>
      </w:r>
      <w:r w:rsidR="00523606">
        <w:t xml:space="preserve">, suggesting that it was jurisdictional error </w:t>
      </w:r>
      <w:r w:rsidR="002D55CF">
        <w:t xml:space="preserve">on the part of the Authority </w:t>
      </w:r>
      <w:r w:rsidR="00523606">
        <w:t>to refer to parts of that material, but not the parts that are quoted</w:t>
      </w:r>
      <w:r w:rsidR="00E33243">
        <w:t xml:space="preserve"> and relied upon.  This too is flagrant merits review.</w:t>
      </w:r>
      <w:r w:rsidR="00D17640">
        <w:t xml:space="preserve">  </w:t>
      </w:r>
    </w:p>
    <w:p w14:paraId="026364F9" w14:textId="6A5B0919" w:rsidR="00DF3881" w:rsidRDefault="008C261E" w:rsidP="00C66EFB">
      <w:pPr>
        <w:pStyle w:val="ParaNumbering"/>
      </w:pPr>
      <w:r>
        <w:t xml:space="preserve">In any event, I am satisfied, that there was no failure on the part of the primary judge to detect any jurisdictional error on the part of the </w:t>
      </w:r>
      <w:r w:rsidR="00DF3881">
        <w:t>Authority</w:t>
      </w:r>
      <w:r w:rsidR="00DC1A28">
        <w:t xml:space="preserve"> in relation to the appellant’s asserted fears arising from his scars</w:t>
      </w:r>
      <w:r w:rsidR="00DF3881">
        <w:t>.</w:t>
      </w:r>
    </w:p>
    <w:p w14:paraId="227A9A96" w14:textId="78B80148" w:rsidR="00DF3881" w:rsidRDefault="00DF3881" w:rsidP="00DF3881">
      <w:pPr>
        <w:pStyle w:val="ParaNumbering"/>
      </w:pPr>
      <w:r>
        <w:t>This ground of appeal must also fail.</w:t>
      </w:r>
    </w:p>
    <w:p w14:paraId="27802207" w14:textId="2682A21A" w:rsidR="00C66EFB" w:rsidRPr="00DC1A28" w:rsidRDefault="00C66EFB" w:rsidP="00DC1A28">
      <w:pPr>
        <w:pStyle w:val="Heading2"/>
      </w:pPr>
      <w:r w:rsidRPr="00DC1A28">
        <w:t>Ground 3</w:t>
      </w:r>
    </w:p>
    <w:p w14:paraId="396C2DD6" w14:textId="67318708" w:rsidR="00C44A09" w:rsidRDefault="00517B5C" w:rsidP="00B909A0">
      <w:pPr>
        <w:pStyle w:val="ParaNumbering"/>
      </w:pPr>
      <w:r>
        <w:t xml:space="preserve">The appellant contends that </w:t>
      </w:r>
      <w:r w:rsidR="00D962E3">
        <w:t>t</w:t>
      </w:r>
      <w:r w:rsidR="00B909A0" w:rsidRPr="00B909A0">
        <w:t xml:space="preserve">he Authority </w:t>
      </w:r>
      <w:r w:rsidR="00D962E3">
        <w:t>erred by not</w:t>
      </w:r>
      <w:r w:rsidR="00B909A0" w:rsidRPr="00B909A0">
        <w:t xml:space="preserve"> getting more information pursuant to s</w:t>
      </w:r>
      <w:r w:rsidR="00DF3881">
        <w:t> </w:t>
      </w:r>
      <w:r w:rsidR="00B909A0" w:rsidRPr="00B909A0">
        <w:t xml:space="preserve">473DC </w:t>
      </w:r>
      <w:r w:rsidR="00D962E3">
        <w:t>of the</w:t>
      </w:r>
      <w:r w:rsidR="0067092A">
        <w:t xml:space="preserve"> </w:t>
      </w:r>
      <w:r w:rsidR="0067092A" w:rsidRPr="00CF4AF4">
        <w:rPr>
          <w:i/>
          <w:iCs/>
        </w:rPr>
        <w:t>Migration</w:t>
      </w:r>
      <w:r w:rsidR="00D962E3" w:rsidRPr="00CF4AF4">
        <w:rPr>
          <w:i/>
          <w:iCs/>
        </w:rPr>
        <w:t xml:space="preserve"> Act</w:t>
      </w:r>
      <w:r w:rsidR="0067092A" w:rsidRPr="00CF4AF4">
        <w:rPr>
          <w:i/>
          <w:iCs/>
        </w:rPr>
        <w:t xml:space="preserve"> 1958</w:t>
      </w:r>
      <w:r w:rsidR="0067092A">
        <w:t xml:space="preserve"> (Cth) (</w:t>
      </w:r>
      <w:r w:rsidR="0067092A" w:rsidRPr="00CF4AF4">
        <w:rPr>
          <w:b/>
          <w:bCs/>
        </w:rPr>
        <w:t>Act</w:t>
      </w:r>
      <w:r w:rsidR="0067092A">
        <w:t>)</w:t>
      </w:r>
      <w:r w:rsidR="00D962E3">
        <w:t>, in relation to</w:t>
      </w:r>
      <w:r w:rsidR="00B909A0" w:rsidRPr="00B909A0">
        <w:t xml:space="preserve"> the likelihood of the </w:t>
      </w:r>
      <w:r w:rsidR="00D962E3">
        <w:t>appellant</w:t>
      </w:r>
      <w:r w:rsidR="00B909A0" w:rsidRPr="00B909A0">
        <w:t xml:space="preserve"> being examined prior to being brought before the magistrate. </w:t>
      </w:r>
      <w:r w:rsidR="008317CF">
        <w:t xml:space="preserve"> </w:t>
      </w:r>
      <w:r w:rsidR="007C26D8" w:rsidRPr="007D26C1">
        <w:t xml:space="preserve">This complaint has two aspects: </w:t>
      </w:r>
      <w:r w:rsidR="00EF37F6" w:rsidRPr="007D26C1">
        <w:t xml:space="preserve">the use that was made of </w:t>
      </w:r>
      <w:r w:rsidR="00D93F14" w:rsidRPr="007D26C1">
        <w:t xml:space="preserve">information that was received, and </w:t>
      </w:r>
      <w:r w:rsidR="00896557" w:rsidRPr="007D26C1">
        <w:t xml:space="preserve">upon consideration </w:t>
      </w:r>
      <w:r w:rsidR="009E40F5" w:rsidRPr="007D26C1">
        <w:t xml:space="preserve">that </w:t>
      </w:r>
      <w:r w:rsidR="00E71F7C" w:rsidRPr="007D26C1">
        <w:t>it is said should have taken place</w:t>
      </w:r>
      <w:r w:rsidR="00D774FA" w:rsidRPr="007D26C1">
        <w:t xml:space="preserve"> revealing an inconsistency with the material that was considered</w:t>
      </w:r>
      <w:r w:rsidR="00E71F7C" w:rsidRPr="007D26C1">
        <w:t xml:space="preserve">, </w:t>
      </w:r>
      <w:r w:rsidR="00330F44" w:rsidRPr="007D26C1">
        <w:t xml:space="preserve">failing to obtain </w:t>
      </w:r>
      <w:r w:rsidR="00D774FA" w:rsidRPr="007D26C1">
        <w:t>further information of a vague and general kind.</w:t>
      </w:r>
    </w:p>
    <w:p w14:paraId="1D84B748" w14:textId="0D6A2B39" w:rsidR="005E3430" w:rsidRDefault="00AB1ABA" w:rsidP="00B909A0">
      <w:pPr>
        <w:pStyle w:val="ParaNumbering"/>
      </w:pPr>
      <w:r>
        <w:t>Section 473DC confers a discretionary power on the Authority to get new documents or information that were not before the Minister.  However, s 473</w:t>
      </w:r>
      <w:proofErr w:type="gramStart"/>
      <w:r>
        <w:t>DC(</w:t>
      </w:r>
      <w:proofErr w:type="gramEnd"/>
      <w:r>
        <w:t xml:space="preserve">2) is clear in stating that the Authority does not have a duty to get or accept any new information, even if the Authority is requested to do so by an applicant.  Further, </w:t>
      </w:r>
      <w:r w:rsidRPr="005F404B">
        <w:t>new information must</w:t>
      </w:r>
      <w:r w:rsidR="00DF2448">
        <w:t xml:space="preserve"> </w:t>
      </w:r>
      <w:r w:rsidRPr="005F404B">
        <w:t>not be considered unless it meets the criteria in both sub-ss 473DD(a) and (b).</w:t>
      </w:r>
      <w:r>
        <w:t xml:space="preserve"> </w:t>
      </w:r>
      <w:r w:rsidR="0069679A">
        <w:t xml:space="preserve"> Importantly, the Authority exercised that power in the appellant’s favour by </w:t>
      </w:r>
      <w:r w:rsidR="005E3430">
        <w:t xml:space="preserve">allowing </w:t>
      </w:r>
      <w:r w:rsidR="00610FA8">
        <w:t>certain</w:t>
      </w:r>
      <w:r w:rsidR="005E3430">
        <w:t xml:space="preserve"> information relied upon to be considered, namely an undated report by the United Nations Committee Against Torture (</w:t>
      </w:r>
      <w:r w:rsidR="005E3430" w:rsidRPr="00915C6F">
        <w:rPr>
          <w:b/>
          <w:bCs/>
        </w:rPr>
        <w:t>CAT</w:t>
      </w:r>
      <w:r w:rsidR="005E3430">
        <w:t xml:space="preserve">) titled </w:t>
      </w:r>
      <w:r w:rsidR="0068371A">
        <w:t>“</w:t>
      </w:r>
      <w:r w:rsidR="00EC155D">
        <w:t xml:space="preserve">Concluding </w:t>
      </w:r>
      <w:r w:rsidR="005E3430">
        <w:t>observations on the fifth periodic report of Sri Lanka</w:t>
      </w:r>
      <w:r w:rsidR="0068371A">
        <w:t>”</w:t>
      </w:r>
      <w:r w:rsidR="00191135">
        <w:t>.  That was because the Authority was satisfied that there were exceptional circumstances to justify the consideration of this new information as it contained up to date information regarding torture in Sri Lanka.</w:t>
      </w:r>
      <w:r w:rsidR="002C2FD9">
        <w:t xml:space="preserve">  However</w:t>
      </w:r>
      <w:r w:rsidR="009F50D2">
        <w:t>,</w:t>
      </w:r>
      <w:r w:rsidR="002C2FD9">
        <w:t xml:space="preserve"> </w:t>
      </w:r>
      <w:r w:rsidR="009F50D2">
        <w:t xml:space="preserve">the Authority expressly found that </w:t>
      </w:r>
      <w:r w:rsidR="002D1B8C">
        <w:t xml:space="preserve">the report was not credible personal information that would have affected consideration of </w:t>
      </w:r>
      <w:r w:rsidR="003E0067">
        <w:t xml:space="preserve">the appellant’s claims: </w:t>
      </w:r>
      <w:proofErr w:type="gramStart"/>
      <w:r w:rsidR="003E0067">
        <w:t>IAA[</w:t>
      </w:r>
      <w:proofErr w:type="gramEnd"/>
      <w:r w:rsidR="003E0067">
        <w:t>6].</w:t>
      </w:r>
      <w:r w:rsidR="001B3366">
        <w:t xml:space="preserve">  </w:t>
      </w:r>
      <w:r w:rsidR="009A7E4C">
        <w:t>Understandably</w:t>
      </w:r>
      <w:r w:rsidR="002620A2">
        <w:t>,</w:t>
      </w:r>
      <w:r w:rsidR="009A7E4C">
        <w:t xml:space="preserve"> n</w:t>
      </w:r>
      <w:r w:rsidR="001B3366">
        <w:t>o attempt is made to establish error on the part of the Authority in giving the CAT report that characterisation</w:t>
      </w:r>
      <w:r w:rsidR="009A7E4C">
        <w:t>, because it is plainly correct</w:t>
      </w:r>
      <w:r w:rsidR="001B3366">
        <w:t xml:space="preserve">.  </w:t>
      </w:r>
    </w:p>
    <w:p w14:paraId="2A5F5DE9" w14:textId="3C6B16DA" w:rsidR="001A50F4" w:rsidRDefault="006A18A3" w:rsidP="00B909A0">
      <w:pPr>
        <w:pStyle w:val="ParaNumbering"/>
      </w:pPr>
      <w:r>
        <w:lastRenderedPageBreak/>
        <w:t xml:space="preserve">The </w:t>
      </w:r>
      <w:r w:rsidR="009A7E4C">
        <w:t xml:space="preserve">appellant’s </w:t>
      </w:r>
      <w:r>
        <w:t xml:space="preserve">real </w:t>
      </w:r>
      <w:r w:rsidR="00E92CF0">
        <w:t xml:space="preserve">complaint is </w:t>
      </w:r>
      <w:r w:rsidR="00E85492">
        <w:t xml:space="preserve">twofold.  The first complaint is </w:t>
      </w:r>
      <w:r w:rsidR="00E92CF0">
        <w:t xml:space="preserve">not that the </w:t>
      </w:r>
      <w:r w:rsidR="00002094">
        <w:t xml:space="preserve">Authority </w:t>
      </w:r>
      <w:r w:rsidR="00CE57EF">
        <w:t xml:space="preserve">did not receive </w:t>
      </w:r>
      <w:r w:rsidR="002C2FD9">
        <w:t xml:space="preserve">the </w:t>
      </w:r>
      <w:r w:rsidR="00CE57EF">
        <w:t>information</w:t>
      </w:r>
      <w:r w:rsidR="00457784">
        <w:t xml:space="preserve"> relied upon</w:t>
      </w:r>
      <w:r w:rsidR="00CE57EF">
        <w:t>, but rather that this information</w:t>
      </w:r>
      <w:r w:rsidR="002313C7">
        <w:t>,</w:t>
      </w:r>
      <w:r w:rsidR="00CE57EF">
        <w:t xml:space="preserve"> </w:t>
      </w:r>
      <w:r w:rsidR="00457784">
        <w:t>once received</w:t>
      </w:r>
      <w:r w:rsidR="002313C7">
        <w:t>,</w:t>
      </w:r>
      <w:r w:rsidR="00457784">
        <w:t xml:space="preserve"> </w:t>
      </w:r>
      <w:r w:rsidR="00CE57EF">
        <w:t xml:space="preserve">was not considered in the </w:t>
      </w:r>
      <w:proofErr w:type="gramStart"/>
      <w:r w:rsidR="00CE57EF">
        <w:t>particular way</w:t>
      </w:r>
      <w:proofErr w:type="gramEnd"/>
      <w:r w:rsidR="00CE57EF">
        <w:t xml:space="preserve"> that the appellant contends that it should have been</w:t>
      </w:r>
      <w:r w:rsidR="00AE26EF">
        <w:t xml:space="preserve">, namely by considering the part of the CAT report that addressed </w:t>
      </w:r>
      <w:r w:rsidR="000963A9">
        <w:t xml:space="preserve">medical examinations for the purposes of </w:t>
      </w:r>
      <w:r w:rsidR="00826D33">
        <w:t xml:space="preserve">showing evidence of mistreatment in detention. </w:t>
      </w:r>
      <w:r w:rsidR="00B652B2">
        <w:t xml:space="preserve"> The CAT report was not directed to the issue of </w:t>
      </w:r>
      <w:r w:rsidR="00B54F62">
        <w:t xml:space="preserve">such examinations being </w:t>
      </w:r>
      <w:proofErr w:type="gramStart"/>
      <w:r w:rsidR="00B54F62">
        <w:t>the means by which</w:t>
      </w:r>
      <w:proofErr w:type="gramEnd"/>
      <w:r w:rsidR="00B54F62">
        <w:t xml:space="preserve"> pre-detention injury or abuse </w:t>
      </w:r>
      <w:r w:rsidR="00C47AB3">
        <w:t xml:space="preserve">in the form of scarring </w:t>
      </w:r>
      <w:r w:rsidR="00B54F62">
        <w:t xml:space="preserve">might be </w:t>
      </w:r>
      <w:r w:rsidR="00912EB0">
        <w:t>seen and somehow interpreted</w:t>
      </w:r>
      <w:r w:rsidR="008F105B">
        <w:t xml:space="preserve"> </w:t>
      </w:r>
      <w:r w:rsidR="00687D97">
        <w:t>by a detaining official,</w:t>
      </w:r>
      <w:r w:rsidR="00B54F62">
        <w:t xml:space="preserve"> as a sign of </w:t>
      </w:r>
      <w:r w:rsidR="00996A4F">
        <w:t xml:space="preserve">previously having come to the attention of authorities.  </w:t>
      </w:r>
      <w:r w:rsidR="003E5284">
        <w:t xml:space="preserve">Rather, the CAT report </w:t>
      </w:r>
      <w:r w:rsidR="008428A1">
        <w:t>discussed</w:t>
      </w:r>
      <w:r w:rsidR="009460A8">
        <w:t xml:space="preserve"> medical examinations</w:t>
      </w:r>
      <w:r w:rsidR="00667025">
        <w:t xml:space="preserve"> </w:t>
      </w:r>
      <w:r w:rsidR="00EE6532">
        <w:t>by do</w:t>
      </w:r>
      <w:r w:rsidR="00DB200A">
        <w:t>ctors</w:t>
      </w:r>
      <w:r w:rsidR="00087865">
        <w:t xml:space="preserve"> </w:t>
      </w:r>
      <w:r w:rsidR="001465FD">
        <w:t xml:space="preserve">with reference </w:t>
      </w:r>
      <w:r w:rsidR="00B61BBF">
        <w:t xml:space="preserve">to people </w:t>
      </w:r>
      <w:r w:rsidR="008765D7">
        <w:t>already</w:t>
      </w:r>
      <w:r w:rsidR="00B61BBF">
        <w:t xml:space="preserve"> in detention </w:t>
      </w:r>
      <w:r w:rsidR="00792D99">
        <w:t xml:space="preserve">and as evidence for </w:t>
      </w:r>
      <w:r w:rsidR="00AD1A9F">
        <w:t>showing ill-treatment in detention</w:t>
      </w:r>
      <w:r w:rsidR="00DB6706">
        <w:t>, apparently from the point of arrest onwards</w:t>
      </w:r>
      <w:r w:rsidR="00E15C2B">
        <w:t>.</w:t>
      </w:r>
      <w:r w:rsidR="00DB200A">
        <w:t xml:space="preserve"> </w:t>
      </w:r>
      <w:r w:rsidR="009460A8">
        <w:t xml:space="preserve"> </w:t>
      </w:r>
      <w:r w:rsidR="001F2480">
        <w:t xml:space="preserve">It is not concerned with historic events, such as </w:t>
      </w:r>
      <w:r w:rsidR="00FD424E">
        <w:t xml:space="preserve">those which </w:t>
      </w:r>
      <w:r w:rsidR="001F2480">
        <w:t xml:space="preserve">may have given rise to scarring, but </w:t>
      </w:r>
      <w:r w:rsidR="005A364A">
        <w:t xml:space="preserve">rather mistreatment, perhaps rising to the level of torture, </w:t>
      </w:r>
      <w:r w:rsidR="009B3B23">
        <w:t xml:space="preserve">from the time of arrest or other detention then occurring.  </w:t>
      </w:r>
      <w:r w:rsidR="00996A4F">
        <w:t xml:space="preserve">The complaint </w:t>
      </w:r>
      <w:r w:rsidR="009B3B23">
        <w:t xml:space="preserve">about that </w:t>
      </w:r>
      <w:r w:rsidR="00996A4F">
        <w:t xml:space="preserve">is therefore wholly misconceived, </w:t>
      </w:r>
      <w:r w:rsidR="00AB1ABA">
        <w:t xml:space="preserve">beyond the obvious vice of engaging in </w:t>
      </w:r>
      <w:r w:rsidR="005C2F34">
        <w:t xml:space="preserve">impermissible </w:t>
      </w:r>
      <w:r w:rsidR="00AB1ABA">
        <w:t xml:space="preserve">merits review. </w:t>
      </w:r>
    </w:p>
    <w:p w14:paraId="239139BC" w14:textId="77777777" w:rsidR="0074295F" w:rsidRDefault="009B3B23" w:rsidP="00B909A0">
      <w:pPr>
        <w:pStyle w:val="ParaNumbering"/>
      </w:pPr>
      <w:r>
        <w:t xml:space="preserve">The second complaint is that the Authority did not obtain further information about what would happen </w:t>
      </w:r>
      <w:r w:rsidR="00ED5022">
        <w:t xml:space="preserve">to the appellant if his case was to </w:t>
      </w:r>
      <w:proofErr w:type="gramStart"/>
      <w:r w:rsidR="00ED5022">
        <w:t>fail</w:t>
      </w:r>
      <w:proofErr w:type="gramEnd"/>
      <w:r w:rsidR="00ED5022">
        <w:t xml:space="preserve"> and he was to be returned to Sri Lanka as a failed asylum-seeker.  There are </w:t>
      </w:r>
      <w:proofErr w:type="gramStart"/>
      <w:r w:rsidR="00ED5022">
        <w:t>a number of</w:t>
      </w:r>
      <w:proofErr w:type="gramEnd"/>
      <w:r w:rsidR="00ED5022">
        <w:t xml:space="preserve"> problems with this complaint</w:t>
      </w:r>
      <w:r w:rsidR="0074295F">
        <w:t>:</w:t>
      </w:r>
    </w:p>
    <w:p w14:paraId="5822CDC6" w14:textId="4ACCED07" w:rsidR="0074295F" w:rsidRDefault="00B438CD" w:rsidP="0074295F">
      <w:pPr>
        <w:pStyle w:val="ListNo1alt"/>
      </w:pPr>
      <w:r>
        <w:t>t</w:t>
      </w:r>
      <w:r w:rsidR="00855726">
        <w:t xml:space="preserve">here was no obligation to seek such </w:t>
      </w:r>
      <w:proofErr w:type="gramStart"/>
      <w:r w:rsidR="00855726">
        <w:t>information</w:t>
      </w:r>
      <w:r>
        <w:t>;</w:t>
      </w:r>
      <w:proofErr w:type="gramEnd"/>
      <w:r w:rsidR="00855726">
        <w:t xml:space="preserve">  </w:t>
      </w:r>
    </w:p>
    <w:p w14:paraId="23B59E55" w14:textId="12336F81" w:rsidR="0074295F" w:rsidRDefault="00855726" w:rsidP="0074295F">
      <w:pPr>
        <w:pStyle w:val="ListNo1alt"/>
      </w:pPr>
      <w:r>
        <w:t>no such information was asked to be obtained (other information having been furnished by the appellant</w:t>
      </w:r>
      <w:proofErr w:type="gramStart"/>
      <w:r>
        <w:t>)</w:t>
      </w:r>
      <w:r w:rsidR="00B438CD">
        <w:t>;</w:t>
      </w:r>
      <w:proofErr w:type="gramEnd"/>
      <w:r w:rsidR="00D22C2E">
        <w:t xml:space="preserve">  </w:t>
      </w:r>
    </w:p>
    <w:p w14:paraId="7AEA8D74" w14:textId="29F6BD0F" w:rsidR="009B3B23" w:rsidRDefault="00D22C2E" w:rsidP="0074295F">
      <w:pPr>
        <w:pStyle w:val="ListNo1alt"/>
      </w:pPr>
      <w:r>
        <w:t xml:space="preserve">the complaint depends upon, per the appellant’s written submissions, </w:t>
      </w:r>
      <w:r w:rsidR="00FC306B">
        <w:t xml:space="preserve">the CAT report constituting a direct challenge to the Authorities </w:t>
      </w:r>
      <w:r w:rsidR="00E717FF">
        <w:t xml:space="preserve">assumptions and findings on the issue of strip searches, which is plainly incorrect.  As already noted, the </w:t>
      </w:r>
      <w:r w:rsidR="006D45D7">
        <w:t xml:space="preserve">CAT </w:t>
      </w:r>
      <w:r w:rsidR="00E717FF">
        <w:t xml:space="preserve">report is </w:t>
      </w:r>
      <w:r w:rsidR="006D45D7">
        <w:t xml:space="preserve">relevantly </w:t>
      </w:r>
      <w:r w:rsidR="00E717FF">
        <w:t xml:space="preserve">about medical examinations to detect </w:t>
      </w:r>
      <w:r w:rsidR="006D45D7">
        <w:t xml:space="preserve">current </w:t>
      </w:r>
      <w:r w:rsidR="00E717FF">
        <w:t xml:space="preserve">mistreatment </w:t>
      </w:r>
      <w:r w:rsidR="00F802B6">
        <w:t xml:space="preserve">of </w:t>
      </w:r>
      <w:r w:rsidR="00E717FF">
        <w:t xml:space="preserve">persons </w:t>
      </w:r>
      <w:r w:rsidR="00F802B6">
        <w:t>since they have been detai</w:t>
      </w:r>
      <w:r w:rsidR="0072432A">
        <w:t>n</w:t>
      </w:r>
      <w:r w:rsidR="00F802B6">
        <w:t xml:space="preserve">ed, </w:t>
      </w:r>
      <w:r w:rsidR="00E717FF">
        <w:t xml:space="preserve">which may rise to the level of torture.  </w:t>
      </w:r>
      <w:r w:rsidR="006D45D7">
        <w:t xml:space="preserve">The issue raised by the appellant is the </w:t>
      </w:r>
      <w:r w:rsidR="00F802B6">
        <w:t xml:space="preserve">detection upon his return </w:t>
      </w:r>
      <w:r w:rsidR="00C67161">
        <w:t xml:space="preserve">as </w:t>
      </w:r>
      <w:r w:rsidR="00136E15">
        <w:t xml:space="preserve">a </w:t>
      </w:r>
      <w:r w:rsidR="00C67161">
        <w:t>failed asylum-</w:t>
      </w:r>
      <w:proofErr w:type="gramStart"/>
      <w:r w:rsidR="00C67161">
        <w:t xml:space="preserve">seeker, </w:t>
      </w:r>
      <w:r w:rsidR="00277109">
        <w:t>and</w:t>
      </w:r>
      <w:proofErr w:type="gramEnd"/>
      <w:r w:rsidR="00277109">
        <w:t xml:space="preserve"> being stripped searched and </w:t>
      </w:r>
      <w:r w:rsidR="00FF1CAC">
        <w:t xml:space="preserve">exposing </w:t>
      </w:r>
      <w:r w:rsidR="00277109">
        <w:t>scarring reflecting historic injuries (in 2007)</w:t>
      </w:r>
      <w:r w:rsidR="004C5F55">
        <w:t>,</w:t>
      </w:r>
      <w:r w:rsidR="005C011E">
        <w:t xml:space="preserve"> causing him to be identified as someone who had come to the attention </w:t>
      </w:r>
      <w:r w:rsidR="00A80D16">
        <w:t xml:space="preserve">of the </w:t>
      </w:r>
      <w:r w:rsidR="005C011E">
        <w:t>authorities in the past</w:t>
      </w:r>
      <w:r w:rsidR="00872438">
        <w:t>.</w:t>
      </w:r>
    </w:p>
    <w:p w14:paraId="250B0F9F" w14:textId="1E095FC0" w:rsidR="00872438" w:rsidRDefault="007E4767" w:rsidP="00B909A0">
      <w:pPr>
        <w:pStyle w:val="ParaNumbering"/>
      </w:pPr>
      <w:r>
        <w:t>In my view, reliance on the CAT report in the way suggested by the appellant is fanciful.  It was not raised below and there is no compelling reason to allow it to be raised now.</w:t>
      </w:r>
    </w:p>
    <w:p w14:paraId="127A2708" w14:textId="52F1E5D5" w:rsidR="007515DE" w:rsidRDefault="001A50F4" w:rsidP="00B909A0">
      <w:pPr>
        <w:pStyle w:val="ParaNumbering"/>
      </w:pPr>
      <w:r>
        <w:t>No error</w:t>
      </w:r>
      <w:r w:rsidR="007515DE">
        <w:t>, let alone jurisdictional error, has been established on the part of the Authority in the use and assessment of the CAT report.</w:t>
      </w:r>
      <w:r w:rsidR="002B0663">
        <w:t xml:space="preserve">  </w:t>
      </w:r>
    </w:p>
    <w:p w14:paraId="7DEB4BAA" w14:textId="4FA13563" w:rsidR="00475D39" w:rsidRDefault="00475D39" w:rsidP="00B909A0">
      <w:pPr>
        <w:pStyle w:val="ParaNumbering"/>
      </w:pPr>
      <w:r>
        <w:lastRenderedPageBreak/>
        <w:t>As this was not a ground of review that was raised before the primary judge, and as it is devoid of merit, leave to rely upon it for the first time on appeal must be refused.</w:t>
      </w:r>
      <w:r w:rsidR="000406F7">
        <w:t xml:space="preserve">  Even if leave had been granted, the ground would have been dismissed in any event.</w:t>
      </w:r>
    </w:p>
    <w:p w14:paraId="45416C90" w14:textId="58DB2284" w:rsidR="00633AC4" w:rsidRDefault="003E7BAB" w:rsidP="003E7BAB">
      <w:pPr>
        <w:pStyle w:val="Heading2"/>
      </w:pPr>
      <w:r>
        <w:t xml:space="preserve">Conclusion </w:t>
      </w:r>
    </w:p>
    <w:p w14:paraId="3C605AE3" w14:textId="77230430" w:rsidR="003E7BAB" w:rsidRDefault="000406F7" w:rsidP="003863E2">
      <w:pPr>
        <w:pStyle w:val="ParaNumbering"/>
      </w:pPr>
      <w:r>
        <w:t>The appeal must be dismissed with costs.</w:t>
      </w:r>
    </w:p>
    <w:p w14:paraId="0D7031A5" w14:textId="77777777" w:rsidR="007D26C1" w:rsidRDefault="007D26C1" w:rsidP="00815065">
      <w:pPr>
        <w:pStyle w:val="BodyText"/>
      </w:pPr>
      <w:bookmarkStart w:id="26" w:name="Certification"/>
    </w:p>
    <w:tbl>
      <w:tblPr>
        <w:tblW w:w="0" w:type="auto"/>
        <w:tblLook w:val="04A0" w:firstRow="1" w:lastRow="0" w:firstColumn="1" w:lastColumn="0" w:noHBand="0" w:noVBand="1"/>
      </w:tblPr>
      <w:tblGrid>
        <w:gridCol w:w="3794"/>
      </w:tblGrid>
      <w:tr w:rsidR="007D26C1" w:rsidRPr="007D26C1" w14:paraId="751E7870" w14:textId="77777777">
        <w:tc>
          <w:tcPr>
            <w:tcW w:w="3794" w:type="dxa"/>
            <w:shd w:val="clear" w:color="auto" w:fill="auto"/>
          </w:tcPr>
          <w:p w14:paraId="242D3387" w14:textId="0C72E0F8" w:rsidR="007D26C1" w:rsidRPr="007D26C1" w:rsidRDefault="007D26C1" w:rsidP="007D26C1">
            <w:pPr>
              <w:pStyle w:val="Normal1linespace"/>
            </w:pPr>
            <w:r w:rsidRPr="007D26C1">
              <w:t xml:space="preserve">I certify that the preceding </w:t>
            </w:r>
            <w:bookmarkStart w:id="27" w:name="NumberWord"/>
            <w:r>
              <w:t>twenty-two</w:t>
            </w:r>
            <w:bookmarkEnd w:id="27"/>
            <w:r w:rsidRPr="007D26C1">
              <w:t xml:space="preserve"> (</w:t>
            </w:r>
            <w:bookmarkStart w:id="28" w:name="NumberNumeral"/>
            <w:r>
              <w:t>22</w:t>
            </w:r>
            <w:bookmarkEnd w:id="28"/>
            <w:r w:rsidRPr="007D26C1">
              <w:t xml:space="preserve">) numbered </w:t>
            </w:r>
            <w:bookmarkStart w:id="29" w:name="CertPara"/>
            <w:r>
              <w:t>paragraphs are</w:t>
            </w:r>
            <w:bookmarkEnd w:id="29"/>
            <w:r w:rsidRPr="007D26C1">
              <w:t xml:space="preserve"> a true copy of the Reasons for Judgment of </w:t>
            </w:r>
            <w:bookmarkStart w:id="30" w:name="bkHonourable"/>
            <w:r w:rsidRPr="007D26C1">
              <w:t xml:space="preserve">the Honourable </w:t>
            </w:r>
            <w:bookmarkStart w:id="31" w:name="Justice"/>
            <w:bookmarkEnd w:id="30"/>
            <w:r>
              <w:t>Justice Bromwich</w:t>
            </w:r>
            <w:bookmarkEnd w:id="31"/>
            <w:r w:rsidRPr="007D26C1">
              <w:t>.</w:t>
            </w:r>
          </w:p>
        </w:tc>
      </w:tr>
    </w:tbl>
    <w:p w14:paraId="2CFF5BF2" w14:textId="77777777" w:rsidR="007D26C1" w:rsidRDefault="007D26C1" w:rsidP="00815065">
      <w:pPr>
        <w:pStyle w:val="BodyText"/>
      </w:pPr>
    </w:p>
    <w:p w14:paraId="04D786FB" w14:textId="77777777" w:rsidR="007D26C1" w:rsidRDefault="007D26C1" w:rsidP="00815065">
      <w:pPr>
        <w:pStyle w:val="BodyText"/>
      </w:pPr>
    </w:p>
    <w:p w14:paraId="5B61FC8F" w14:textId="7171933C" w:rsidR="007D26C1" w:rsidRDefault="007D26C1" w:rsidP="00815065">
      <w:pPr>
        <w:pStyle w:val="BodyText"/>
      </w:pPr>
      <w:r>
        <w:t xml:space="preserve">Associate: </w:t>
      </w:r>
    </w:p>
    <w:p w14:paraId="5922EEB0" w14:textId="77777777" w:rsidR="007D26C1" w:rsidRDefault="007D26C1" w:rsidP="00815065">
      <w:pPr>
        <w:pStyle w:val="BodyText"/>
      </w:pPr>
    </w:p>
    <w:p w14:paraId="2C2BAFA1" w14:textId="4FCF059F" w:rsidR="007D26C1" w:rsidRDefault="007D26C1" w:rsidP="00815065">
      <w:pPr>
        <w:pStyle w:val="BodyText"/>
        <w:tabs>
          <w:tab w:val="left" w:pos="1134"/>
        </w:tabs>
      </w:pPr>
      <w:r>
        <w:t>Dated:</w:t>
      </w:r>
      <w:r>
        <w:tab/>
        <w:t>12 March 2025</w:t>
      </w:r>
    </w:p>
    <w:p w14:paraId="22FD773A" w14:textId="77777777" w:rsidR="007D26C1" w:rsidRDefault="007D26C1" w:rsidP="00815065">
      <w:pPr>
        <w:pStyle w:val="BodyText"/>
      </w:pPr>
    </w:p>
    <w:bookmarkEnd w:id="26"/>
    <w:p w14:paraId="33D50010" w14:textId="77777777" w:rsidR="007D26C1" w:rsidRPr="003E7BAB" w:rsidRDefault="007D26C1" w:rsidP="007D26C1">
      <w:pPr>
        <w:pStyle w:val="BodyText"/>
      </w:pPr>
    </w:p>
    <w:sectPr w:rsidR="007D26C1" w:rsidRPr="003E7BAB" w:rsidSect="00E77422">
      <w:headerReference w:type="even" r:id="rId19"/>
      <w:headerReference w:type="default" r:id="rId20"/>
      <w:footerReference w:type="default" r:id="rId21"/>
      <w:headerReference w:type="first" r:id="rId22"/>
      <w:footerReference w:type="first" r:id="rId23"/>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C59460" w14:textId="77777777" w:rsidR="00857A24" w:rsidRDefault="00857A24">
      <w:pPr>
        <w:spacing w:line="20" w:lineRule="exact"/>
      </w:pPr>
    </w:p>
    <w:p w14:paraId="71DA262D" w14:textId="77777777" w:rsidR="00857A24" w:rsidRDefault="00857A24"/>
    <w:p w14:paraId="58F77D90" w14:textId="77777777" w:rsidR="00857A24" w:rsidRDefault="00857A24"/>
  </w:endnote>
  <w:endnote w:type="continuationSeparator" w:id="0">
    <w:p w14:paraId="6A292651" w14:textId="77777777" w:rsidR="00857A24" w:rsidRDefault="00857A24">
      <w:r>
        <w:t xml:space="preserve"> </w:t>
      </w:r>
    </w:p>
    <w:p w14:paraId="47AFE3B1" w14:textId="77777777" w:rsidR="00857A24" w:rsidRDefault="00857A24"/>
    <w:p w14:paraId="41BED737" w14:textId="77777777" w:rsidR="00857A24" w:rsidRDefault="00857A24"/>
  </w:endnote>
  <w:endnote w:type="continuationNotice" w:id="1">
    <w:p w14:paraId="7FA37607" w14:textId="77777777" w:rsidR="00857A24" w:rsidRDefault="00857A24">
      <w:r>
        <w:t xml:space="preserve"> </w:t>
      </w:r>
    </w:p>
    <w:p w14:paraId="3CF3DF82" w14:textId="77777777" w:rsidR="00857A24" w:rsidRDefault="00857A24"/>
    <w:p w14:paraId="72D24688" w14:textId="77777777" w:rsidR="00857A24" w:rsidRDefault="00857A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B5CD0" w14:textId="77777777" w:rsidR="007D26C1" w:rsidRDefault="007D26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06314" w14:textId="41880F2F"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8240" behindDoc="0" locked="0" layoutInCell="1" allowOverlap="1" wp14:anchorId="4168A29E" wp14:editId="66335B9E">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FA88E3"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4D03E1">
          <w:rPr>
            <w:bCs/>
            <w:sz w:val="18"/>
            <w:szCs w:val="18"/>
          </w:rPr>
          <w:t xml:space="preserve">CUP17 v Minister for Immigration and Multicultural Affairs [2025] FCA 183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E0C11" w14:textId="76F3F112" w:rsidR="00395B24" w:rsidRPr="007D26C1" w:rsidRDefault="00395B24" w:rsidP="007D26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6BF68" w14:textId="7AC1595A" w:rsidR="00A84FD0" w:rsidRPr="00C47B9D" w:rsidRDefault="00A84FD0"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8242" behindDoc="0" locked="0" layoutInCell="1" allowOverlap="1" wp14:anchorId="5B4E9C88" wp14:editId="71D7E8F7">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F41F8E"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831216538"/>
        <w:dataBinding w:prefixMappings="xmlns:ns0='http://schemas.globalmacros.com/FCA'" w:xpath="/ns0:root[1]/ns0:Name[1]" w:storeItemID="{687E7CCB-4AA5-44E7-B148-17BA2B6F57C0}"/>
        <w:text w:multiLine="1"/>
      </w:sdtPr>
      <w:sdtEndPr/>
      <w:sdtContent>
        <w:r w:rsidR="004D03E1">
          <w:rPr>
            <w:bCs/>
            <w:sz w:val="18"/>
            <w:szCs w:val="18"/>
          </w:rPr>
          <w:t xml:space="preserve">CUP17 v Minister for Immigration and Multicultural Affairs [2025] FCA 183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040D9" w14:textId="6997B7DA"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8241" behindDoc="0" locked="0" layoutInCell="1" allowOverlap="1" wp14:anchorId="03114A97" wp14:editId="496723E6">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23E37A"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510263260"/>
        <w:dataBinding w:prefixMappings="xmlns:ns0='http://schemas.globalmacros.com/FCA'" w:xpath="/ns0:root[1]/ns0:Name[1]" w:storeItemID="{687E7CCB-4AA5-44E7-B148-17BA2B6F57C0}"/>
        <w:text w:multiLine="1"/>
      </w:sdtPr>
      <w:sdtEndPr/>
      <w:sdtContent>
        <w:r w:rsidR="004D03E1">
          <w:rPr>
            <w:bCs/>
            <w:sz w:val="18"/>
            <w:szCs w:val="18"/>
          </w:rPr>
          <w:t xml:space="preserve">CUP17 v Minister for Immigration and Multicultural Affairs [2025] FCA 183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w:t>
    </w:r>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DDB55" w14:textId="3232AC8D"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8244" behindDoc="0" locked="0" layoutInCell="1" allowOverlap="1" wp14:anchorId="14D90C5F" wp14:editId="65BC4C83">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36794F"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095746746"/>
        <w:dataBinding w:prefixMappings="xmlns:ns0='http://schemas.globalmacros.com/FCA'" w:xpath="/ns0:root[1]/ns0:Name[1]" w:storeItemID="{687E7CCB-4AA5-44E7-B148-17BA2B6F57C0}"/>
        <w:text w:multiLine="1"/>
      </w:sdtPr>
      <w:sdtEndPr/>
      <w:sdtContent>
        <w:r w:rsidR="004D03E1">
          <w:rPr>
            <w:bCs/>
            <w:sz w:val="18"/>
            <w:szCs w:val="18"/>
          </w:rPr>
          <w:t xml:space="preserve">CUP17 v Minister for Immigration and Multicultural Affairs [2025] FCA 183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2</w:t>
    </w:r>
    <w:r w:rsidRPr="00EA7F6D">
      <w:rPr>
        <w:bCs/>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A216C" w14:textId="26F8C34C"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8243" behindDoc="0" locked="0" layoutInCell="1" allowOverlap="1" wp14:anchorId="03D019AE" wp14:editId="6175E4C0">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D04A05"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532949365"/>
        <w:dataBinding w:prefixMappings="xmlns:ns0='http://schemas.globalmacros.com/FCA'" w:xpath="/ns0:root[1]/ns0:Name[1]" w:storeItemID="{687E7CCB-4AA5-44E7-B148-17BA2B6F57C0}"/>
        <w:text w:multiLine="1"/>
      </w:sdtPr>
      <w:sdtEndPr/>
      <w:sdtContent>
        <w:r w:rsidR="004D03E1">
          <w:rPr>
            <w:bCs/>
            <w:sz w:val="18"/>
            <w:szCs w:val="18"/>
          </w:rPr>
          <w:t xml:space="preserve">CUP17 v Minister for Immigration and Multicultural Affairs [2025] FCA 183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2C6691" w14:textId="77777777" w:rsidR="00857A24" w:rsidRDefault="00857A24"/>
  </w:footnote>
  <w:footnote w:type="continuationSeparator" w:id="0">
    <w:p w14:paraId="4C011F98" w14:textId="77777777" w:rsidR="00857A24" w:rsidRDefault="00857A24">
      <w:r>
        <w:continuationSeparator/>
      </w:r>
    </w:p>
    <w:p w14:paraId="6225F7B0" w14:textId="77777777" w:rsidR="00857A24" w:rsidRDefault="00857A24"/>
    <w:p w14:paraId="659C033C" w14:textId="77777777" w:rsidR="00857A24" w:rsidRDefault="00857A24"/>
  </w:footnote>
  <w:footnote w:type="continuationNotice" w:id="1">
    <w:p w14:paraId="678D7D04" w14:textId="77777777" w:rsidR="00857A24" w:rsidRDefault="00857A2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A33C5" w14:textId="77777777" w:rsidR="007D26C1" w:rsidRDefault="007D26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F091D" w14:textId="77777777" w:rsidR="007D26C1" w:rsidRDefault="007D26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DE982" w14:textId="77777777" w:rsidR="007D26C1" w:rsidRDefault="007D26C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DDDE3" w14:textId="77777777" w:rsidR="00395B24" w:rsidRDefault="00395B24">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AF0A3" w14:textId="77777777" w:rsidR="00395B24" w:rsidRDefault="00395B24">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70EDD" w14:textId="77777777" w:rsidR="00395B24" w:rsidRDefault="00395B24"/>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2F7B3" w14:textId="77777777" w:rsidR="00395B24" w:rsidRDefault="00395B24">
    <w:pPr>
      <w:tabs>
        <w:tab w:val="center" w:pos="4512"/>
      </w:tabs>
      <w:suppressAutoHyphens/>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EE41F" w14:textId="77777777" w:rsidR="00395B24" w:rsidRDefault="00395B24"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21E3BC4"/>
    <w:multiLevelType w:val="hybridMultilevel"/>
    <w:tmpl w:val="8D568744"/>
    <w:lvl w:ilvl="0" w:tplc="D00600C0">
      <w:start w:val="1"/>
      <w:numFmt w:val="decimal"/>
      <w:lvlText w:val="%1."/>
      <w:lvlJc w:val="left"/>
      <w:pPr>
        <w:ind w:left="1097" w:hanging="360"/>
      </w:pPr>
      <w:rPr>
        <w:rFonts w:ascii="Times New Roman" w:eastAsia="Batang" w:hAnsi="Times New Roman" w:cs="Times New Roman"/>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3"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4"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5"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6"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7"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8"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0" w15:restartNumberingAfterBreak="0">
    <w:nsid w:val="494817A7"/>
    <w:multiLevelType w:val="multilevel"/>
    <w:tmpl w:val="0F0EC90E"/>
    <w:numStyleLink w:val="FCListNo"/>
  </w:abstractNum>
  <w:abstractNum w:abstractNumId="21"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680D039D"/>
    <w:multiLevelType w:val="hybridMultilevel"/>
    <w:tmpl w:val="8C6ED840"/>
    <w:lvl w:ilvl="0" w:tplc="91F613EE">
      <w:start w:val="1"/>
      <w:numFmt w:val="decimal"/>
      <w:lvlText w:val="%1"/>
      <w:lvlJc w:val="left"/>
      <w:pPr>
        <w:ind w:left="820" w:hanging="721"/>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EDF08E84">
      <w:start w:val="1"/>
      <w:numFmt w:val="lowerLetter"/>
      <w:lvlText w:val="(%2)"/>
      <w:lvlJc w:val="left"/>
      <w:pPr>
        <w:ind w:left="1540" w:hanging="720"/>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2" w:tplc="08F88DBA">
      <w:numFmt w:val="bullet"/>
      <w:lvlText w:val="•"/>
      <w:lvlJc w:val="left"/>
      <w:pPr>
        <w:ind w:left="2480" w:hanging="720"/>
      </w:pPr>
      <w:rPr>
        <w:rFonts w:hint="default"/>
        <w:lang w:val="en-US" w:eastAsia="en-US" w:bidi="ar-SA"/>
      </w:rPr>
    </w:lvl>
    <w:lvl w:ilvl="3" w:tplc="8A6A76E0">
      <w:numFmt w:val="bullet"/>
      <w:lvlText w:val="•"/>
      <w:lvlJc w:val="left"/>
      <w:pPr>
        <w:ind w:left="3421" w:hanging="720"/>
      </w:pPr>
      <w:rPr>
        <w:rFonts w:hint="default"/>
        <w:lang w:val="en-US" w:eastAsia="en-US" w:bidi="ar-SA"/>
      </w:rPr>
    </w:lvl>
    <w:lvl w:ilvl="4" w:tplc="D146E776">
      <w:numFmt w:val="bullet"/>
      <w:lvlText w:val="•"/>
      <w:lvlJc w:val="left"/>
      <w:pPr>
        <w:ind w:left="4362" w:hanging="720"/>
      </w:pPr>
      <w:rPr>
        <w:rFonts w:hint="default"/>
        <w:lang w:val="en-US" w:eastAsia="en-US" w:bidi="ar-SA"/>
      </w:rPr>
    </w:lvl>
    <w:lvl w:ilvl="5" w:tplc="5CEE7354">
      <w:numFmt w:val="bullet"/>
      <w:lvlText w:val="•"/>
      <w:lvlJc w:val="left"/>
      <w:pPr>
        <w:ind w:left="5302" w:hanging="720"/>
      </w:pPr>
      <w:rPr>
        <w:rFonts w:hint="default"/>
        <w:lang w:val="en-US" w:eastAsia="en-US" w:bidi="ar-SA"/>
      </w:rPr>
    </w:lvl>
    <w:lvl w:ilvl="6" w:tplc="E8941094">
      <w:numFmt w:val="bullet"/>
      <w:lvlText w:val="•"/>
      <w:lvlJc w:val="left"/>
      <w:pPr>
        <w:ind w:left="6243" w:hanging="720"/>
      </w:pPr>
      <w:rPr>
        <w:rFonts w:hint="default"/>
        <w:lang w:val="en-US" w:eastAsia="en-US" w:bidi="ar-SA"/>
      </w:rPr>
    </w:lvl>
    <w:lvl w:ilvl="7" w:tplc="6F2ECBA6">
      <w:numFmt w:val="bullet"/>
      <w:lvlText w:val="•"/>
      <w:lvlJc w:val="left"/>
      <w:pPr>
        <w:ind w:left="7184" w:hanging="720"/>
      </w:pPr>
      <w:rPr>
        <w:rFonts w:hint="default"/>
        <w:lang w:val="en-US" w:eastAsia="en-US" w:bidi="ar-SA"/>
      </w:rPr>
    </w:lvl>
    <w:lvl w:ilvl="8" w:tplc="21C61F7C">
      <w:numFmt w:val="bullet"/>
      <w:lvlText w:val="•"/>
      <w:lvlJc w:val="left"/>
      <w:pPr>
        <w:ind w:left="8124" w:hanging="720"/>
      </w:pPr>
      <w:rPr>
        <w:rFonts w:hint="default"/>
        <w:lang w:val="en-US" w:eastAsia="en-US" w:bidi="ar-SA"/>
      </w:rPr>
    </w:lvl>
  </w:abstractNum>
  <w:abstractNum w:abstractNumId="25"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6"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16cid:durableId="89857556">
    <w:abstractNumId w:val="15"/>
  </w:num>
  <w:num w:numId="2" w16cid:durableId="1916935382">
    <w:abstractNumId w:val="9"/>
  </w:num>
  <w:num w:numId="3" w16cid:durableId="2036536598">
    <w:abstractNumId w:val="7"/>
  </w:num>
  <w:num w:numId="4" w16cid:durableId="1380781412">
    <w:abstractNumId w:val="6"/>
  </w:num>
  <w:num w:numId="5" w16cid:durableId="1048186967">
    <w:abstractNumId w:val="5"/>
  </w:num>
  <w:num w:numId="6" w16cid:durableId="1891991157">
    <w:abstractNumId w:val="4"/>
  </w:num>
  <w:num w:numId="7" w16cid:durableId="465046151">
    <w:abstractNumId w:val="8"/>
  </w:num>
  <w:num w:numId="8" w16cid:durableId="2031448497">
    <w:abstractNumId w:val="3"/>
  </w:num>
  <w:num w:numId="9" w16cid:durableId="1998998953">
    <w:abstractNumId w:val="2"/>
  </w:num>
  <w:num w:numId="10" w16cid:durableId="176891129">
    <w:abstractNumId w:val="1"/>
  </w:num>
  <w:num w:numId="11" w16cid:durableId="506746220">
    <w:abstractNumId w:val="0"/>
  </w:num>
  <w:num w:numId="12" w16cid:durableId="45955029">
    <w:abstractNumId w:val="23"/>
  </w:num>
  <w:num w:numId="13" w16cid:durableId="252708425">
    <w:abstractNumId w:val="21"/>
  </w:num>
  <w:num w:numId="14" w16cid:durableId="2100633326">
    <w:abstractNumId w:val="22"/>
  </w:num>
  <w:num w:numId="15" w16cid:durableId="1773933925">
    <w:abstractNumId w:val="26"/>
  </w:num>
  <w:num w:numId="16" w16cid:durableId="527645899">
    <w:abstractNumId w:val="14"/>
  </w:num>
  <w:num w:numId="17" w16cid:durableId="120267876">
    <w:abstractNumId w:val="25"/>
  </w:num>
  <w:num w:numId="18" w16cid:durableId="1374574243">
    <w:abstractNumId w:val="11"/>
  </w:num>
  <w:num w:numId="19" w16cid:durableId="657348185">
    <w:abstractNumId w:val="19"/>
  </w:num>
  <w:num w:numId="20" w16cid:durableId="1955017147">
    <w:abstractNumId w:val="16"/>
  </w:num>
  <w:num w:numId="21" w16cid:durableId="615910588">
    <w:abstractNumId w:val="17"/>
  </w:num>
  <w:num w:numId="22" w16cid:durableId="2031373324">
    <w:abstractNumId w:val="20"/>
  </w:num>
  <w:num w:numId="23" w16cid:durableId="348877071">
    <w:abstractNumId w:val="10"/>
  </w:num>
  <w:num w:numId="24" w16cid:durableId="1818379752">
    <w:abstractNumId w:val="10"/>
  </w:num>
  <w:num w:numId="25" w16cid:durableId="975523684">
    <w:abstractNumId w:val="13"/>
  </w:num>
  <w:num w:numId="26" w16cid:durableId="1805997716">
    <w:abstractNumId w:val="18"/>
  </w:num>
  <w:num w:numId="27" w16cid:durableId="1787187973">
    <w:abstractNumId w:val="18"/>
  </w:num>
  <w:num w:numId="28" w16cid:durableId="2119329858">
    <w:abstractNumId w:val="18"/>
  </w:num>
  <w:num w:numId="29" w16cid:durableId="992567782">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68230425">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01850544">
    <w:abstractNumId w:val="12"/>
  </w:num>
  <w:num w:numId="32" w16cid:durableId="845440692">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92366012">
    <w:abstractNumId w:val="24"/>
  </w:num>
  <w:num w:numId="34" w16cid:durableId="941761257">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00569417">
    <w:abstractNumId w:val="16"/>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AU" w:vendorID="8" w:dllVersion="513"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PAndAnother" w:val="True"/>
    <w:docVar w:name="APPAndOthers" w:val="False"/>
    <w:docVar w:name="AppealText" w:val="CUP17 v Minister for Immigration, Citizenship, Migrant Services and Multicultural Affairs [2020] FCCA 3119"/>
    <w:docVar w:name="Applicant" w:val="CUP17"/>
    <w:docVar w:name="CounselParties" w:val="Respondent"/>
    <w:docVar w:name="CounselType" w:val="Counsel for the "/>
    <w:docVar w:name="Court" w:val="Federal Court of Australia (FCA)"/>
    <w:docVar w:name="Cross1AndAnother" w:val="True"/>
    <w:docVar w:name="Cross1AndOthers" w:val="False"/>
    <w:docVar w:name="Cross2AndAnother" w:val="True"/>
    <w:docVar w:name="Cross2AndOthers" w:val="False"/>
    <w:docVar w:name="Defenders" w:val="(and another named in the Schedule)"/>
    <w:docVar w:name="Division" w:val="FCA General Division"/>
    <w:docVar w:name="DocCreated" w:val="True"/>
    <w:docVar w:name="FileNumbers" w:val="NSD 1334 of 2020"/>
    <w:docVar w:name="Initiators" w:val="(and another named in the Schedule)"/>
    <w:docVar w:name="Judgdate" w:val="##"/>
    <w:docVar w:name="Judge" w:val="Bromwich"/>
    <w:docVar w:name="JudgeType" w:val="Justice"/>
    <w:docVar w:name="lstEntryList" w:val="-1"/>
    <w:docVar w:name="myEntryList" w:val="Counsel for the Applicant=Mr G Foster|Solicitor for the Applicant=Sentil Solicitor|Solicitor for the Respondents=Mills Oakley|Counsel for the Respondents=Mr T Reilly"/>
    <w:docVar w:name="NSD" w:val="NSD "/>
    <w:docVar w:name="NumApps" w:val="1"/>
    <w:docVar w:name="NumApps_" w:val="2"/>
    <w:docVar w:name="NumCrossResps" w:val="0"/>
    <w:docVar w:name="NumDefs" w:val="2"/>
    <w:docVar w:name="NumOthers" w:val="0"/>
    <w:docVar w:name="OtherNum" w:val="0"/>
    <w:docVar w:name="Parties1" w:val="Applicant"/>
    <w:docVar w:name="Parties2" w:val="Respondent"/>
    <w:docVar w:name="Parties3" w:val="Cross-Appellant"/>
    <w:docVar w:name="Parties4" w:val="Cross-Defendant"/>
    <w:docVar w:name="Parties5" w:val="Intervener"/>
    <w:docVar w:name="Place" w:val="N/A FCA"/>
    <w:docVar w:name="PracticeArea" w:val="Administrative and Constitutional Law and Human Rights"/>
    <w:docVar w:name="RESAndAnother" w:val="True"/>
    <w:docVar w:name="RESAndOthers" w:val="False"/>
    <w:docVar w:name="Respondent" w:val="Minister for Immigration and Multicultural Affairs|Immigration Assessment Authority"/>
    <w:docVar w:name="ResState" w:val="New South Wales"/>
    <w:docVar w:name="SubArea" w:val="(none)"/>
    <w:docVar w:name="Template" w:val="Judgment"/>
  </w:docVars>
  <w:rsids>
    <w:rsidRoot w:val="005E0FDA"/>
    <w:rsid w:val="00000747"/>
    <w:rsid w:val="00002094"/>
    <w:rsid w:val="00004C56"/>
    <w:rsid w:val="00004E32"/>
    <w:rsid w:val="00006AE9"/>
    <w:rsid w:val="00006C2C"/>
    <w:rsid w:val="0001057E"/>
    <w:rsid w:val="000115C5"/>
    <w:rsid w:val="0001280F"/>
    <w:rsid w:val="0001469E"/>
    <w:rsid w:val="00015993"/>
    <w:rsid w:val="00021CCB"/>
    <w:rsid w:val="00022289"/>
    <w:rsid w:val="000237E9"/>
    <w:rsid w:val="0002487D"/>
    <w:rsid w:val="00027398"/>
    <w:rsid w:val="000274C1"/>
    <w:rsid w:val="0003201A"/>
    <w:rsid w:val="0003207A"/>
    <w:rsid w:val="00032F9F"/>
    <w:rsid w:val="00034257"/>
    <w:rsid w:val="0003738E"/>
    <w:rsid w:val="000406F7"/>
    <w:rsid w:val="00041C07"/>
    <w:rsid w:val="00045BB7"/>
    <w:rsid w:val="000461B8"/>
    <w:rsid w:val="00046538"/>
    <w:rsid w:val="00047630"/>
    <w:rsid w:val="00050AAC"/>
    <w:rsid w:val="000522AB"/>
    <w:rsid w:val="00055719"/>
    <w:rsid w:val="0005641B"/>
    <w:rsid w:val="00061209"/>
    <w:rsid w:val="0006196A"/>
    <w:rsid w:val="000650F0"/>
    <w:rsid w:val="0007037F"/>
    <w:rsid w:val="00071FB3"/>
    <w:rsid w:val="00072433"/>
    <w:rsid w:val="00074240"/>
    <w:rsid w:val="00077768"/>
    <w:rsid w:val="00081497"/>
    <w:rsid w:val="00081691"/>
    <w:rsid w:val="000831EC"/>
    <w:rsid w:val="00084126"/>
    <w:rsid w:val="00085255"/>
    <w:rsid w:val="00087865"/>
    <w:rsid w:val="0009078A"/>
    <w:rsid w:val="000963A9"/>
    <w:rsid w:val="00097065"/>
    <w:rsid w:val="000A0FA5"/>
    <w:rsid w:val="000A1081"/>
    <w:rsid w:val="000A1A6B"/>
    <w:rsid w:val="000A2E76"/>
    <w:rsid w:val="000A4450"/>
    <w:rsid w:val="000A4807"/>
    <w:rsid w:val="000A4BE4"/>
    <w:rsid w:val="000A5B76"/>
    <w:rsid w:val="000B253A"/>
    <w:rsid w:val="000B4296"/>
    <w:rsid w:val="000B453D"/>
    <w:rsid w:val="000B6FE4"/>
    <w:rsid w:val="000B7C20"/>
    <w:rsid w:val="000C023E"/>
    <w:rsid w:val="000C405D"/>
    <w:rsid w:val="000C5195"/>
    <w:rsid w:val="000C62EF"/>
    <w:rsid w:val="000D1969"/>
    <w:rsid w:val="000D2137"/>
    <w:rsid w:val="000D3FD2"/>
    <w:rsid w:val="000D4B2E"/>
    <w:rsid w:val="000D4DD1"/>
    <w:rsid w:val="000D5321"/>
    <w:rsid w:val="000D5D1C"/>
    <w:rsid w:val="000D7912"/>
    <w:rsid w:val="000E127F"/>
    <w:rsid w:val="000E3FC8"/>
    <w:rsid w:val="000E7BAE"/>
    <w:rsid w:val="000F08D3"/>
    <w:rsid w:val="000F133D"/>
    <w:rsid w:val="000F544E"/>
    <w:rsid w:val="00100CE1"/>
    <w:rsid w:val="00101E8B"/>
    <w:rsid w:val="0010536B"/>
    <w:rsid w:val="0011145C"/>
    <w:rsid w:val="001128BD"/>
    <w:rsid w:val="0011419D"/>
    <w:rsid w:val="00114B02"/>
    <w:rsid w:val="00115940"/>
    <w:rsid w:val="001226C0"/>
    <w:rsid w:val="0012614C"/>
    <w:rsid w:val="00126EC8"/>
    <w:rsid w:val="0012725E"/>
    <w:rsid w:val="0012731C"/>
    <w:rsid w:val="00130430"/>
    <w:rsid w:val="00132054"/>
    <w:rsid w:val="00133C3B"/>
    <w:rsid w:val="00134964"/>
    <w:rsid w:val="001351B9"/>
    <w:rsid w:val="00135A6B"/>
    <w:rsid w:val="00136B55"/>
    <w:rsid w:val="00136E15"/>
    <w:rsid w:val="00137902"/>
    <w:rsid w:val="001407FF"/>
    <w:rsid w:val="00140DAD"/>
    <w:rsid w:val="001465FD"/>
    <w:rsid w:val="00151F58"/>
    <w:rsid w:val="00154F7D"/>
    <w:rsid w:val="00155CD2"/>
    <w:rsid w:val="00155FA8"/>
    <w:rsid w:val="0015628F"/>
    <w:rsid w:val="00157351"/>
    <w:rsid w:val="001601BF"/>
    <w:rsid w:val="001629C0"/>
    <w:rsid w:val="00163DD2"/>
    <w:rsid w:val="00171132"/>
    <w:rsid w:val="00171F1B"/>
    <w:rsid w:val="001727A4"/>
    <w:rsid w:val="0017376C"/>
    <w:rsid w:val="001738AB"/>
    <w:rsid w:val="00174807"/>
    <w:rsid w:val="001765E0"/>
    <w:rsid w:val="00177759"/>
    <w:rsid w:val="00177DC3"/>
    <w:rsid w:val="00180BB3"/>
    <w:rsid w:val="0018319E"/>
    <w:rsid w:val="00185DD6"/>
    <w:rsid w:val="00185E6B"/>
    <w:rsid w:val="00187BBC"/>
    <w:rsid w:val="00191135"/>
    <w:rsid w:val="001932F3"/>
    <w:rsid w:val="001A2B40"/>
    <w:rsid w:val="001A4309"/>
    <w:rsid w:val="001A46AE"/>
    <w:rsid w:val="001A50F4"/>
    <w:rsid w:val="001A6C52"/>
    <w:rsid w:val="001B1053"/>
    <w:rsid w:val="001B14AC"/>
    <w:rsid w:val="001B2101"/>
    <w:rsid w:val="001B3366"/>
    <w:rsid w:val="001B3898"/>
    <w:rsid w:val="001B7940"/>
    <w:rsid w:val="001B7D86"/>
    <w:rsid w:val="001C1234"/>
    <w:rsid w:val="001C171A"/>
    <w:rsid w:val="001C2FE0"/>
    <w:rsid w:val="001C37CA"/>
    <w:rsid w:val="001C4085"/>
    <w:rsid w:val="001C488D"/>
    <w:rsid w:val="001C4DA4"/>
    <w:rsid w:val="001C6EC9"/>
    <w:rsid w:val="001D0D47"/>
    <w:rsid w:val="001D4303"/>
    <w:rsid w:val="001D515B"/>
    <w:rsid w:val="001D53DC"/>
    <w:rsid w:val="001D6746"/>
    <w:rsid w:val="001E0C61"/>
    <w:rsid w:val="001E1A70"/>
    <w:rsid w:val="001E3B49"/>
    <w:rsid w:val="001E4A05"/>
    <w:rsid w:val="001E6A19"/>
    <w:rsid w:val="001E7388"/>
    <w:rsid w:val="001E7F75"/>
    <w:rsid w:val="001F13DD"/>
    <w:rsid w:val="001F1A48"/>
    <w:rsid w:val="001F2473"/>
    <w:rsid w:val="001F2480"/>
    <w:rsid w:val="001F272C"/>
    <w:rsid w:val="001F2DBC"/>
    <w:rsid w:val="001F3DC5"/>
    <w:rsid w:val="001F5015"/>
    <w:rsid w:val="001F73E8"/>
    <w:rsid w:val="0020262C"/>
    <w:rsid w:val="00202723"/>
    <w:rsid w:val="00211A3E"/>
    <w:rsid w:val="00213F20"/>
    <w:rsid w:val="00214055"/>
    <w:rsid w:val="00214F57"/>
    <w:rsid w:val="00215BCA"/>
    <w:rsid w:val="002160F5"/>
    <w:rsid w:val="00216A46"/>
    <w:rsid w:val="00217AC4"/>
    <w:rsid w:val="002201A1"/>
    <w:rsid w:val="00220712"/>
    <w:rsid w:val="00221316"/>
    <w:rsid w:val="00221421"/>
    <w:rsid w:val="00221461"/>
    <w:rsid w:val="002243AD"/>
    <w:rsid w:val="00224537"/>
    <w:rsid w:val="002313C7"/>
    <w:rsid w:val="0023486B"/>
    <w:rsid w:val="00235956"/>
    <w:rsid w:val="00235CBF"/>
    <w:rsid w:val="00237000"/>
    <w:rsid w:val="00237267"/>
    <w:rsid w:val="00240AB8"/>
    <w:rsid w:val="002421D4"/>
    <w:rsid w:val="00243E5E"/>
    <w:rsid w:val="002467A6"/>
    <w:rsid w:val="00247C9A"/>
    <w:rsid w:val="0025160C"/>
    <w:rsid w:val="002535D0"/>
    <w:rsid w:val="002539B3"/>
    <w:rsid w:val="00256336"/>
    <w:rsid w:val="00256812"/>
    <w:rsid w:val="0025744F"/>
    <w:rsid w:val="00257C3E"/>
    <w:rsid w:val="002602C2"/>
    <w:rsid w:val="00260E94"/>
    <w:rsid w:val="002620A2"/>
    <w:rsid w:val="00262496"/>
    <w:rsid w:val="002666C9"/>
    <w:rsid w:val="00270136"/>
    <w:rsid w:val="00270FD7"/>
    <w:rsid w:val="0027159D"/>
    <w:rsid w:val="00271898"/>
    <w:rsid w:val="00273051"/>
    <w:rsid w:val="00273828"/>
    <w:rsid w:val="0027491E"/>
    <w:rsid w:val="00274F5B"/>
    <w:rsid w:val="00277109"/>
    <w:rsid w:val="00280836"/>
    <w:rsid w:val="00282E1A"/>
    <w:rsid w:val="002840F1"/>
    <w:rsid w:val="00285922"/>
    <w:rsid w:val="0029101D"/>
    <w:rsid w:val="0029113B"/>
    <w:rsid w:val="00291E46"/>
    <w:rsid w:val="00291F7D"/>
    <w:rsid w:val="002934C0"/>
    <w:rsid w:val="00293ABC"/>
    <w:rsid w:val="00293E1F"/>
    <w:rsid w:val="0029764C"/>
    <w:rsid w:val="002A07F9"/>
    <w:rsid w:val="002A0D40"/>
    <w:rsid w:val="002A1B50"/>
    <w:rsid w:val="002A37E3"/>
    <w:rsid w:val="002A43EB"/>
    <w:rsid w:val="002B0663"/>
    <w:rsid w:val="002B0E91"/>
    <w:rsid w:val="002B1163"/>
    <w:rsid w:val="002B132C"/>
    <w:rsid w:val="002B3F23"/>
    <w:rsid w:val="002B4EB5"/>
    <w:rsid w:val="002B5AF5"/>
    <w:rsid w:val="002B6779"/>
    <w:rsid w:val="002B71C0"/>
    <w:rsid w:val="002B7A34"/>
    <w:rsid w:val="002C2FD9"/>
    <w:rsid w:val="002C31AD"/>
    <w:rsid w:val="002C7385"/>
    <w:rsid w:val="002C75AA"/>
    <w:rsid w:val="002C7DA5"/>
    <w:rsid w:val="002D1B8C"/>
    <w:rsid w:val="002D2DBB"/>
    <w:rsid w:val="002D37D8"/>
    <w:rsid w:val="002D54A6"/>
    <w:rsid w:val="002D55CF"/>
    <w:rsid w:val="002E3492"/>
    <w:rsid w:val="002E3779"/>
    <w:rsid w:val="002E3932"/>
    <w:rsid w:val="002E5BF9"/>
    <w:rsid w:val="002E6A7A"/>
    <w:rsid w:val="002E7725"/>
    <w:rsid w:val="002F1E49"/>
    <w:rsid w:val="002F4E9C"/>
    <w:rsid w:val="002F6E15"/>
    <w:rsid w:val="00300BDE"/>
    <w:rsid w:val="00302B53"/>
    <w:rsid w:val="00302F4E"/>
    <w:rsid w:val="00304B3C"/>
    <w:rsid w:val="00306AA0"/>
    <w:rsid w:val="0031067E"/>
    <w:rsid w:val="003120D9"/>
    <w:rsid w:val="0031256C"/>
    <w:rsid w:val="003147FB"/>
    <w:rsid w:val="003149A2"/>
    <w:rsid w:val="00314D6C"/>
    <w:rsid w:val="00316D2A"/>
    <w:rsid w:val="00322A7C"/>
    <w:rsid w:val="00322EEC"/>
    <w:rsid w:val="00323061"/>
    <w:rsid w:val="00324462"/>
    <w:rsid w:val="003262D7"/>
    <w:rsid w:val="00330F44"/>
    <w:rsid w:val="00335F8F"/>
    <w:rsid w:val="003402D3"/>
    <w:rsid w:val="0034068E"/>
    <w:rsid w:val="00343ABC"/>
    <w:rsid w:val="003463FE"/>
    <w:rsid w:val="003472FC"/>
    <w:rsid w:val="00347D41"/>
    <w:rsid w:val="003554B3"/>
    <w:rsid w:val="00356632"/>
    <w:rsid w:val="00357C7E"/>
    <w:rsid w:val="00360279"/>
    <w:rsid w:val="0036279D"/>
    <w:rsid w:val="0036379A"/>
    <w:rsid w:val="00364DCD"/>
    <w:rsid w:val="003653B6"/>
    <w:rsid w:val="00370327"/>
    <w:rsid w:val="00374CC4"/>
    <w:rsid w:val="003774B2"/>
    <w:rsid w:val="00380F2D"/>
    <w:rsid w:val="00382B43"/>
    <w:rsid w:val="0038393A"/>
    <w:rsid w:val="003845A9"/>
    <w:rsid w:val="003850C9"/>
    <w:rsid w:val="003863E2"/>
    <w:rsid w:val="00390883"/>
    <w:rsid w:val="003922F8"/>
    <w:rsid w:val="00395B24"/>
    <w:rsid w:val="003A2D38"/>
    <w:rsid w:val="003A5011"/>
    <w:rsid w:val="003A7628"/>
    <w:rsid w:val="003A7ECC"/>
    <w:rsid w:val="003B0ECF"/>
    <w:rsid w:val="003B2C72"/>
    <w:rsid w:val="003B489D"/>
    <w:rsid w:val="003B5336"/>
    <w:rsid w:val="003B58B4"/>
    <w:rsid w:val="003B60B4"/>
    <w:rsid w:val="003B6648"/>
    <w:rsid w:val="003C1333"/>
    <w:rsid w:val="003C20FF"/>
    <w:rsid w:val="003C550A"/>
    <w:rsid w:val="003C6055"/>
    <w:rsid w:val="003D2650"/>
    <w:rsid w:val="003D2860"/>
    <w:rsid w:val="003D31B5"/>
    <w:rsid w:val="003D560C"/>
    <w:rsid w:val="003D5C00"/>
    <w:rsid w:val="003E0067"/>
    <w:rsid w:val="003E3154"/>
    <w:rsid w:val="003E5284"/>
    <w:rsid w:val="003E5874"/>
    <w:rsid w:val="003E728D"/>
    <w:rsid w:val="003E72D3"/>
    <w:rsid w:val="003E7BAB"/>
    <w:rsid w:val="003F193E"/>
    <w:rsid w:val="003F242C"/>
    <w:rsid w:val="003F34F1"/>
    <w:rsid w:val="004031D8"/>
    <w:rsid w:val="00405C5D"/>
    <w:rsid w:val="00407318"/>
    <w:rsid w:val="004078EF"/>
    <w:rsid w:val="00407ED3"/>
    <w:rsid w:val="004104B6"/>
    <w:rsid w:val="00411AE8"/>
    <w:rsid w:val="00413B74"/>
    <w:rsid w:val="00413FF5"/>
    <w:rsid w:val="0041767A"/>
    <w:rsid w:val="00422B3E"/>
    <w:rsid w:val="004317B9"/>
    <w:rsid w:val="004331E0"/>
    <w:rsid w:val="004342F3"/>
    <w:rsid w:val="00435151"/>
    <w:rsid w:val="00435C5F"/>
    <w:rsid w:val="00436155"/>
    <w:rsid w:val="00436411"/>
    <w:rsid w:val="00436460"/>
    <w:rsid w:val="00440BC3"/>
    <w:rsid w:val="00441A44"/>
    <w:rsid w:val="00441E98"/>
    <w:rsid w:val="00442A96"/>
    <w:rsid w:val="00443184"/>
    <w:rsid w:val="00450F3A"/>
    <w:rsid w:val="004532F7"/>
    <w:rsid w:val="00457784"/>
    <w:rsid w:val="004604EB"/>
    <w:rsid w:val="00460D2E"/>
    <w:rsid w:val="0046366C"/>
    <w:rsid w:val="00464D51"/>
    <w:rsid w:val="00471CBE"/>
    <w:rsid w:val="00472027"/>
    <w:rsid w:val="00475D39"/>
    <w:rsid w:val="00477816"/>
    <w:rsid w:val="004804CF"/>
    <w:rsid w:val="00483314"/>
    <w:rsid w:val="00483905"/>
    <w:rsid w:val="00483CD3"/>
    <w:rsid w:val="00484962"/>
    <w:rsid w:val="00484F6D"/>
    <w:rsid w:val="00484FB7"/>
    <w:rsid w:val="0048554D"/>
    <w:rsid w:val="00491635"/>
    <w:rsid w:val="0049338A"/>
    <w:rsid w:val="00493C06"/>
    <w:rsid w:val="0049417F"/>
    <w:rsid w:val="00496D41"/>
    <w:rsid w:val="004A5713"/>
    <w:rsid w:val="004A6602"/>
    <w:rsid w:val="004B3885"/>
    <w:rsid w:val="004B3EFA"/>
    <w:rsid w:val="004C2A87"/>
    <w:rsid w:val="004C4D7B"/>
    <w:rsid w:val="004C4ED3"/>
    <w:rsid w:val="004C5F55"/>
    <w:rsid w:val="004C667B"/>
    <w:rsid w:val="004C7ECD"/>
    <w:rsid w:val="004D03E1"/>
    <w:rsid w:val="004D2EA5"/>
    <w:rsid w:val="004D32A6"/>
    <w:rsid w:val="004D4F1B"/>
    <w:rsid w:val="004D53E5"/>
    <w:rsid w:val="004D5852"/>
    <w:rsid w:val="004D618B"/>
    <w:rsid w:val="004D7950"/>
    <w:rsid w:val="004E3DAF"/>
    <w:rsid w:val="004E6DC4"/>
    <w:rsid w:val="004F21C1"/>
    <w:rsid w:val="004F33CB"/>
    <w:rsid w:val="00500244"/>
    <w:rsid w:val="00501A12"/>
    <w:rsid w:val="00502941"/>
    <w:rsid w:val="0050309C"/>
    <w:rsid w:val="00507A60"/>
    <w:rsid w:val="0051327C"/>
    <w:rsid w:val="0051346D"/>
    <w:rsid w:val="00513EAE"/>
    <w:rsid w:val="00514345"/>
    <w:rsid w:val="0051434F"/>
    <w:rsid w:val="00516806"/>
    <w:rsid w:val="00517B5C"/>
    <w:rsid w:val="0052098C"/>
    <w:rsid w:val="00522916"/>
    <w:rsid w:val="00523606"/>
    <w:rsid w:val="00525A49"/>
    <w:rsid w:val="00525D6E"/>
    <w:rsid w:val="005262D1"/>
    <w:rsid w:val="00530876"/>
    <w:rsid w:val="00535613"/>
    <w:rsid w:val="005359EB"/>
    <w:rsid w:val="00536339"/>
    <w:rsid w:val="0054254A"/>
    <w:rsid w:val="0054500B"/>
    <w:rsid w:val="005466B5"/>
    <w:rsid w:val="00550655"/>
    <w:rsid w:val="00551FD6"/>
    <w:rsid w:val="00554314"/>
    <w:rsid w:val="0056276E"/>
    <w:rsid w:val="00562829"/>
    <w:rsid w:val="005629B3"/>
    <w:rsid w:val="00562B45"/>
    <w:rsid w:val="00565C37"/>
    <w:rsid w:val="0057128A"/>
    <w:rsid w:val="005724F6"/>
    <w:rsid w:val="00573AC4"/>
    <w:rsid w:val="00574469"/>
    <w:rsid w:val="005801FC"/>
    <w:rsid w:val="005819F3"/>
    <w:rsid w:val="00583698"/>
    <w:rsid w:val="005838AE"/>
    <w:rsid w:val="00583DF2"/>
    <w:rsid w:val="00585BA9"/>
    <w:rsid w:val="00587359"/>
    <w:rsid w:val="00590F55"/>
    <w:rsid w:val="00592697"/>
    <w:rsid w:val="00595016"/>
    <w:rsid w:val="00597AAE"/>
    <w:rsid w:val="005A222C"/>
    <w:rsid w:val="005A25F1"/>
    <w:rsid w:val="005A364A"/>
    <w:rsid w:val="005A4DF8"/>
    <w:rsid w:val="005A78C8"/>
    <w:rsid w:val="005A795D"/>
    <w:rsid w:val="005B06A9"/>
    <w:rsid w:val="005B108D"/>
    <w:rsid w:val="005B1426"/>
    <w:rsid w:val="005B1E12"/>
    <w:rsid w:val="005B4010"/>
    <w:rsid w:val="005B4718"/>
    <w:rsid w:val="005B5859"/>
    <w:rsid w:val="005C011E"/>
    <w:rsid w:val="005C0A8E"/>
    <w:rsid w:val="005C1767"/>
    <w:rsid w:val="005C185C"/>
    <w:rsid w:val="005C2F34"/>
    <w:rsid w:val="005C42EF"/>
    <w:rsid w:val="005C4F26"/>
    <w:rsid w:val="005D529B"/>
    <w:rsid w:val="005D5678"/>
    <w:rsid w:val="005D6DE1"/>
    <w:rsid w:val="005E02F5"/>
    <w:rsid w:val="005E0510"/>
    <w:rsid w:val="005E0FDA"/>
    <w:rsid w:val="005E176E"/>
    <w:rsid w:val="005E218E"/>
    <w:rsid w:val="005E3430"/>
    <w:rsid w:val="005E35A0"/>
    <w:rsid w:val="005E4A6B"/>
    <w:rsid w:val="005E7C9C"/>
    <w:rsid w:val="005F0D1B"/>
    <w:rsid w:val="005F1865"/>
    <w:rsid w:val="005F274E"/>
    <w:rsid w:val="005F404B"/>
    <w:rsid w:val="005F48A6"/>
    <w:rsid w:val="005F52E5"/>
    <w:rsid w:val="00600486"/>
    <w:rsid w:val="006007BD"/>
    <w:rsid w:val="006013C8"/>
    <w:rsid w:val="0060184C"/>
    <w:rsid w:val="0060270D"/>
    <w:rsid w:val="00603997"/>
    <w:rsid w:val="00604342"/>
    <w:rsid w:val="00604611"/>
    <w:rsid w:val="00605524"/>
    <w:rsid w:val="00610FA8"/>
    <w:rsid w:val="00611586"/>
    <w:rsid w:val="006116DA"/>
    <w:rsid w:val="00612D26"/>
    <w:rsid w:val="00615855"/>
    <w:rsid w:val="00620DA8"/>
    <w:rsid w:val="00621887"/>
    <w:rsid w:val="00624520"/>
    <w:rsid w:val="00626A1D"/>
    <w:rsid w:val="006271F5"/>
    <w:rsid w:val="00632300"/>
    <w:rsid w:val="00632BB7"/>
    <w:rsid w:val="00632D94"/>
    <w:rsid w:val="0063322B"/>
    <w:rsid w:val="00633AC4"/>
    <w:rsid w:val="006349C0"/>
    <w:rsid w:val="00635B36"/>
    <w:rsid w:val="00636871"/>
    <w:rsid w:val="00636FAE"/>
    <w:rsid w:val="00640EE1"/>
    <w:rsid w:val="00640F4E"/>
    <w:rsid w:val="00642154"/>
    <w:rsid w:val="00643728"/>
    <w:rsid w:val="00643DE0"/>
    <w:rsid w:val="0064437D"/>
    <w:rsid w:val="00644E85"/>
    <w:rsid w:val="00645D67"/>
    <w:rsid w:val="006479B4"/>
    <w:rsid w:val="006516D8"/>
    <w:rsid w:val="00651F76"/>
    <w:rsid w:val="00652C52"/>
    <w:rsid w:val="006568EF"/>
    <w:rsid w:val="0066063F"/>
    <w:rsid w:val="00662BB0"/>
    <w:rsid w:val="00663878"/>
    <w:rsid w:val="00663F58"/>
    <w:rsid w:val="00667025"/>
    <w:rsid w:val="00667773"/>
    <w:rsid w:val="00670743"/>
    <w:rsid w:val="0067092A"/>
    <w:rsid w:val="00680A85"/>
    <w:rsid w:val="00681ADF"/>
    <w:rsid w:val="0068371A"/>
    <w:rsid w:val="00687D97"/>
    <w:rsid w:val="00690EE2"/>
    <w:rsid w:val="00693854"/>
    <w:rsid w:val="00694BEB"/>
    <w:rsid w:val="006954BE"/>
    <w:rsid w:val="0069679A"/>
    <w:rsid w:val="00697B9C"/>
    <w:rsid w:val="006A0E20"/>
    <w:rsid w:val="006A18A3"/>
    <w:rsid w:val="006A24E3"/>
    <w:rsid w:val="006A5695"/>
    <w:rsid w:val="006B0439"/>
    <w:rsid w:val="006B3904"/>
    <w:rsid w:val="006B3A36"/>
    <w:rsid w:val="006B5B7D"/>
    <w:rsid w:val="006C458A"/>
    <w:rsid w:val="006C48A1"/>
    <w:rsid w:val="006C5B46"/>
    <w:rsid w:val="006C5CCF"/>
    <w:rsid w:val="006C6E39"/>
    <w:rsid w:val="006C7792"/>
    <w:rsid w:val="006D0ECF"/>
    <w:rsid w:val="006D193F"/>
    <w:rsid w:val="006D3D5B"/>
    <w:rsid w:val="006D45D7"/>
    <w:rsid w:val="006D4C92"/>
    <w:rsid w:val="006D4EB6"/>
    <w:rsid w:val="006D7FBC"/>
    <w:rsid w:val="006E0457"/>
    <w:rsid w:val="006E35BF"/>
    <w:rsid w:val="006E58A7"/>
    <w:rsid w:val="006E7850"/>
    <w:rsid w:val="006F1882"/>
    <w:rsid w:val="006F19D8"/>
    <w:rsid w:val="006F46D6"/>
    <w:rsid w:val="006F4BBB"/>
    <w:rsid w:val="006F6576"/>
    <w:rsid w:val="006F690C"/>
    <w:rsid w:val="007028D9"/>
    <w:rsid w:val="0070589A"/>
    <w:rsid w:val="00707218"/>
    <w:rsid w:val="00710D04"/>
    <w:rsid w:val="00712B1D"/>
    <w:rsid w:val="00715751"/>
    <w:rsid w:val="007171BA"/>
    <w:rsid w:val="00717616"/>
    <w:rsid w:val="007216AB"/>
    <w:rsid w:val="0072432A"/>
    <w:rsid w:val="00727725"/>
    <w:rsid w:val="007325D9"/>
    <w:rsid w:val="00733E01"/>
    <w:rsid w:val="0073413F"/>
    <w:rsid w:val="0073583B"/>
    <w:rsid w:val="007360CA"/>
    <w:rsid w:val="00741988"/>
    <w:rsid w:val="00742422"/>
    <w:rsid w:val="0074295F"/>
    <w:rsid w:val="00744FCF"/>
    <w:rsid w:val="0074667B"/>
    <w:rsid w:val="007470BD"/>
    <w:rsid w:val="007515DE"/>
    <w:rsid w:val="00752858"/>
    <w:rsid w:val="00760EC0"/>
    <w:rsid w:val="007620E9"/>
    <w:rsid w:val="00763B14"/>
    <w:rsid w:val="0076414B"/>
    <w:rsid w:val="007711BD"/>
    <w:rsid w:val="00771355"/>
    <w:rsid w:val="0077139F"/>
    <w:rsid w:val="00771B92"/>
    <w:rsid w:val="00771F3E"/>
    <w:rsid w:val="007750D8"/>
    <w:rsid w:val="0078003A"/>
    <w:rsid w:val="00780771"/>
    <w:rsid w:val="007831D1"/>
    <w:rsid w:val="00783688"/>
    <w:rsid w:val="00785138"/>
    <w:rsid w:val="007929CF"/>
    <w:rsid w:val="00792D99"/>
    <w:rsid w:val="00797BA8"/>
    <w:rsid w:val="007A081D"/>
    <w:rsid w:val="007A49E7"/>
    <w:rsid w:val="007A5815"/>
    <w:rsid w:val="007A6F28"/>
    <w:rsid w:val="007B03C6"/>
    <w:rsid w:val="007B0DB1"/>
    <w:rsid w:val="007B3452"/>
    <w:rsid w:val="007B3942"/>
    <w:rsid w:val="007B3F08"/>
    <w:rsid w:val="007B44BD"/>
    <w:rsid w:val="007B5673"/>
    <w:rsid w:val="007B7238"/>
    <w:rsid w:val="007B76FF"/>
    <w:rsid w:val="007B7DC4"/>
    <w:rsid w:val="007C2086"/>
    <w:rsid w:val="007C26D8"/>
    <w:rsid w:val="007C3BF6"/>
    <w:rsid w:val="007C652C"/>
    <w:rsid w:val="007C67B3"/>
    <w:rsid w:val="007D003A"/>
    <w:rsid w:val="007D0FD2"/>
    <w:rsid w:val="007D26C1"/>
    <w:rsid w:val="007D2EF8"/>
    <w:rsid w:val="007D38A8"/>
    <w:rsid w:val="007D561F"/>
    <w:rsid w:val="007D590D"/>
    <w:rsid w:val="007D5AC7"/>
    <w:rsid w:val="007D7FD2"/>
    <w:rsid w:val="007E13D9"/>
    <w:rsid w:val="007E2AEC"/>
    <w:rsid w:val="007E41BE"/>
    <w:rsid w:val="007E4767"/>
    <w:rsid w:val="007E4DB6"/>
    <w:rsid w:val="007E503D"/>
    <w:rsid w:val="007E6733"/>
    <w:rsid w:val="007E7CD4"/>
    <w:rsid w:val="007F0325"/>
    <w:rsid w:val="007F12AC"/>
    <w:rsid w:val="007F4501"/>
    <w:rsid w:val="007F60DF"/>
    <w:rsid w:val="007F71A3"/>
    <w:rsid w:val="007F7E73"/>
    <w:rsid w:val="00801800"/>
    <w:rsid w:val="00801861"/>
    <w:rsid w:val="00801B5B"/>
    <w:rsid w:val="008027D6"/>
    <w:rsid w:val="0080292B"/>
    <w:rsid w:val="00802E2D"/>
    <w:rsid w:val="0080430C"/>
    <w:rsid w:val="00805A30"/>
    <w:rsid w:val="00812D9F"/>
    <w:rsid w:val="0081527A"/>
    <w:rsid w:val="008216E7"/>
    <w:rsid w:val="00823B95"/>
    <w:rsid w:val="00824A1E"/>
    <w:rsid w:val="00825BE6"/>
    <w:rsid w:val="00826C71"/>
    <w:rsid w:val="00826D33"/>
    <w:rsid w:val="008276B4"/>
    <w:rsid w:val="008317CF"/>
    <w:rsid w:val="00831927"/>
    <w:rsid w:val="00837288"/>
    <w:rsid w:val="0083749B"/>
    <w:rsid w:val="00841BD3"/>
    <w:rsid w:val="0084273D"/>
    <w:rsid w:val="008428A1"/>
    <w:rsid w:val="00843632"/>
    <w:rsid w:val="00844E3F"/>
    <w:rsid w:val="00845A83"/>
    <w:rsid w:val="00845F20"/>
    <w:rsid w:val="00846BB9"/>
    <w:rsid w:val="008530CD"/>
    <w:rsid w:val="008531DB"/>
    <w:rsid w:val="00854532"/>
    <w:rsid w:val="008550C7"/>
    <w:rsid w:val="00855726"/>
    <w:rsid w:val="008559F3"/>
    <w:rsid w:val="00856A0C"/>
    <w:rsid w:val="00857A24"/>
    <w:rsid w:val="008649D5"/>
    <w:rsid w:val="008712BB"/>
    <w:rsid w:val="00872438"/>
    <w:rsid w:val="008765D7"/>
    <w:rsid w:val="008830E7"/>
    <w:rsid w:val="0088648E"/>
    <w:rsid w:val="00890EDE"/>
    <w:rsid w:val="00892B38"/>
    <w:rsid w:val="00893A3F"/>
    <w:rsid w:val="0089427D"/>
    <w:rsid w:val="00896210"/>
    <w:rsid w:val="00896557"/>
    <w:rsid w:val="008A1741"/>
    <w:rsid w:val="008A2484"/>
    <w:rsid w:val="008A4A47"/>
    <w:rsid w:val="008A52F3"/>
    <w:rsid w:val="008B0CE4"/>
    <w:rsid w:val="008C15C6"/>
    <w:rsid w:val="008C261E"/>
    <w:rsid w:val="008C26D9"/>
    <w:rsid w:val="008C379B"/>
    <w:rsid w:val="008C4257"/>
    <w:rsid w:val="008C6687"/>
    <w:rsid w:val="008C6D50"/>
    <w:rsid w:val="008C7167"/>
    <w:rsid w:val="008C7503"/>
    <w:rsid w:val="008D0DD2"/>
    <w:rsid w:val="008D1617"/>
    <w:rsid w:val="008D330F"/>
    <w:rsid w:val="008D48C1"/>
    <w:rsid w:val="008E383A"/>
    <w:rsid w:val="008E592E"/>
    <w:rsid w:val="008E6315"/>
    <w:rsid w:val="008E787C"/>
    <w:rsid w:val="008F0480"/>
    <w:rsid w:val="008F07FC"/>
    <w:rsid w:val="008F0EA8"/>
    <w:rsid w:val="008F105B"/>
    <w:rsid w:val="008F11E0"/>
    <w:rsid w:val="008F1414"/>
    <w:rsid w:val="008F3EA7"/>
    <w:rsid w:val="008F5B9E"/>
    <w:rsid w:val="008F5F4D"/>
    <w:rsid w:val="008F78BC"/>
    <w:rsid w:val="008F7B63"/>
    <w:rsid w:val="008F7D6A"/>
    <w:rsid w:val="009015A5"/>
    <w:rsid w:val="00901C86"/>
    <w:rsid w:val="00903603"/>
    <w:rsid w:val="009054CB"/>
    <w:rsid w:val="00910DB7"/>
    <w:rsid w:val="00911F8D"/>
    <w:rsid w:val="00912EB0"/>
    <w:rsid w:val="00912F94"/>
    <w:rsid w:val="00913E15"/>
    <w:rsid w:val="00914033"/>
    <w:rsid w:val="00915A73"/>
    <w:rsid w:val="00915C6F"/>
    <w:rsid w:val="009171BC"/>
    <w:rsid w:val="009233BF"/>
    <w:rsid w:val="0092497E"/>
    <w:rsid w:val="00924FC4"/>
    <w:rsid w:val="009251B4"/>
    <w:rsid w:val="0092590B"/>
    <w:rsid w:val="00925BF3"/>
    <w:rsid w:val="00925E60"/>
    <w:rsid w:val="009264B3"/>
    <w:rsid w:val="00931E4C"/>
    <w:rsid w:val="009365E0"/>
    <w:rsid w:val="00942BA2"/>
    <w:rsid w:val="00942CF6"/>
    <w:rsid w:val="009432B7"/>
    <w:rsid w:val="00944C86"/>
    <w:rsid w:val="009460A8"/>
    <w:rsid w:val="00947C02"/>
    <w:rsid w:val="00950BE6"/>
    <w:rsid w:val="00953382"/>
    <w:rsid w:val="00953EA8"/>
    <w:rsid w:val="009561B3"/>
    <w:rsid w:val="00957DE8"/>
    <w:rsid w:val="00960ECB"/>
    <w:rsid w:val="009615D6"/>
    <w:rsid w:val="00961728"/>
    <w:rsid w:val="0096204E"/>
    <w:rsid w:val="00965223"/>
    <w:rsid w:val="00966980"/>
    <w:rsid w:val="00967855"/>
    <w:rsid w:val="00971CD1"/>
    <w:rsid w:val="00974709"/>
    <w:rsid w:val="00974E06"/>
    <w:rsid w:val="009801AE"/>
    <w:rsid w:val="00980736"/>
    <w:rsid w:val="00981A39"/>
    <w:rsid w:val="00982D56"/>
    <w:rsid w:val="0098313C"/>
    <w:rsid w:val="00983DBF"/>
    <w:rsid w:val="00987097"/>
    <w:rsid w:val="00991123"/>
    <w:rsid w:val="00991336"/>
    <w:rsid w:val="00991577"/>
    <w:rsid w:val="00991CAB"/>
    <w:rsid w:val="00996A4F"/>
    <w:rsid w:val="009A11D5"/>
    <w:rsid w:val="009A151D"/>
    <w:rsid w:val="009A3A9C"/>
    <w:rsid w:val="009A7E4C"/>
    <w:rsid w:val="009B046C"/>
    <w:rsid w:val="009B0CA8"/>
    <w:rsid w:val="009B13FA"/>
    <w:rsid w:val="009B1E2D"/>
    <w:rsid w:val="009B3A5E"/>
    <w:rsid w:val="009B3B23"/>
    <w:rsid w:val="009C3F82"/>
    <w:rsid w:val="009C59FB"/>
    <w:rsid w:val="009C6F3B"/>
    <w:rsid w:val="009C76C7"/>
    <w:rsid w:val="009D1467"/>
    <w:rsid w:val="009D2819"/>
    <w:rsid w:val="009D328D"/>
    <w:rsid w:val="009D625D"/>
    <w:rsid w:val="009D6A3E"/>
    <w:rsid w:val="009E02EB"/>
    <w:rsid w:val="009E160D"/>
    <w:rsid w:val="009E40F5"/>
    <w:rsid w:val="009E4FA6"/>
    <w:rsid w:val="009E6E78"/>
    <w:rsid w:val="009E7D93"/>
    <w:rsid w:val="009F1181"/>
    <w:rsid w:val="009F1329"/>
    <w:rsid w:val="009F3C34"/>
    <w:rsid w:val="009F462C"/>
    <w:rsid w:val="009F50D2"/>
    <w:rsid w:val="009F5C33"/>
    <w:rsid w:val="00A026F0"/>
    <w:rsid w:val="00A03EAC"/>
    <w:rsid w:val="00A042BA"/>
    <w:rsid w:val="00A04DBB"/>
    <w:rsid w:val="00A05647"/>
    <w:rsid w:val="00A0641F"/>
    <w:rsid w:val="00A071C7"/>
    <w:rsid w:val="00A077BC"/>
    <w:rsid w:val="00A07EA0"/>
    <w:rsid w:val="00A10BB8"/>
    <w:rsid w:val="00A11CA6"/>
    <w:rsid w:val="00A177B2"/>
    <w:rsid w:val="00A2096F"/>
    <w:rsid w:val="00A20C49"/>
    <w:rsid w:val="00A22932"/>
    <w:rsid w:val="00A269CA"/>
    <w:rsid w:val="00A336EE"/>
    <w:rsid w:val="00A33BA6"/>
    <w:rsid w:val="00A33F46"/>
    <w:rsid w:val="00A3427E"/>
    <w:rsid w:val="00A359AC"/>
    <w:rsid w:val="00A40F83"/>
    <w:rsid w:val="00A410FB"/>
    <w:rsid w:val="00A41413"/>
    <w:rsid w:val="00A431E6"/>
    <w:rsid w:val="00A436E8"/>
    <w:rsid w:val="00A45FB1"/>
    <w:rsid w:val="00A46A0F"/>
    <w:rsid w:val="00A46CCC"/>
    <w:rsid w:val="00A47996"/>
    <w:rsid w:val="00A47AA5"/>
    <w:rsid w:val="00A51CFE"/>
    <w:rsid w:val="00A5204D"/>
    <w:rsid w:val="00A56706"/>
    <w:rsid w:val="00A56E77"/>
    <w:rsid w:val="00A574FC"/>
    <w:rsid w:val="00A61605"/>
    <w:rsid w:val="00A65F97"/>
    <w:rsid w:val="00A70D77"/>
    <w:rsid w:val="00A73B04"/>
    <w:rsid w:val="00A76C13"/>
    <w:rsid w:val="00A80D16"/>
    <w:rsid w:val="00A84FD0"/>
    <w:rsid w:val="00A87920"/>
    <w:rsid w:val="00A92E79"/>
    <w:rsid w:val="00A950B6"/>
    <w:rsid w:val="00A95D04"/>
    <w:rsid w:val="00A95D45"/>
    <w:rsid w:val="00AA1C90"/>
    <w:rsid w:val="00AA3EA8"/>
    <w:rsid w:val="00AA4DFA"/>
    <w:rsid w:val="00AA6CDA"/>
    <w:rsid w:val="00AB0E80"/>
    <w:rsid w:val="00AB1ABA"/>
    <w:rsid w:val="00AB41C1"/>
    <w:rsid w:val="00AB4CF2"/>
    <w:rsid w:val="00AB6CCA"/>
    <w:rsid w:val="00AB799A"/>
    <w:rsid w:val="00AC12F4"/>
    <w:rsid w:val="00AC223F"/>
    <w:rsid w:val="00AC33B1"/>
    <w:rsid w:val="00AC5765"/>
    <w:rsid w:val="00AD12A8"/>
    <w:rsid w:val="00AD1803"/>
    <w:rsid w:val="00AD1821"/>
    <w:rsid w:val="00AD1A9F"/>
    <w:rsid w:val="00AD1ACE"/>
    <w:rsid w:val="00AD5E35"/>
    <w:rsid w:val="00AE023F"/>
    <w:rsid w:val="00AE26EF"/>
    <w:rsid w:val="00AE5E60"/>
    <w:rsid w:val="00AE6346"/>
    <w:rsid w:val="00AF3577"/>
    <w:rsid w:val="00AF35F9"/>
    <w:rsid w:val="00AF69C3"/>
    <w:rsid w:val="00B01D94"/>
    <w:rsid w:val="00B0424C"/>
    <w:rsid w:val="00B04F70"/>
    <w:rsid w:val="00B05C7D"/>
    <w:rsid w:val="00B12636"/>
    <w:rsid w:val="00B132F2"/>
    <w:rsid w:val="00B13CE1"/>
    <w:rsid w:val="00B14FD4"/>
    <w:rsid w:val="00B15D57"/>
    <w:rsid w:val="00B16347"/>
    <w:rsid w:val="00B17D6E"/>
    <w:rsid w:val="00B23F59"/>
    <w:rsid w:val="00B2435E"/>
    <w:rsid w:val="00B256FF"/>
    <w:rsid w:val="00B25D5D"/>
    <w:rsid w:val="00B32536"/>
    <w:rsid w:val="00B33F78"/>
    <w:rsid w:val="00B343E6"/>
    <w:rsid w:val="00B346C3"/>
    <w:rsid w:val="00B34F46"/>
    <w:rsid w:val="00B4005C"/>
    <w:rsid w:val="00B40989"/>
    <w:rsid w:val="00B4227E"/>
    <w:rsid w:val="00B438CD"/>
    <w:rsid w:val="00B4471C"/>
    <w:rsid w:val="00B451A6"/>
    <w:rsid w:val="00B547EE"/>
    <w:rsid w:val="00B54F62"/>
    <w:rsid w:val="00B56353"/>
    <w:rsid w:val="00B56D6E"/>
    <w:rsid w:val="00B61BBF"/>
    <w:rsid w:val="00B63C2D"/>
    <w:rsid w:val="00B63F2B"/>
    <w:rsid w:val="00B64347"/>
    <w:rsid w:val="00B652B2"/>
    <w:rsid w:val="00B65DC6"/>
    <w:rsid w:val="00B67AC2"/>
    <w:rsid w:val="00B710F2"/>
    <w:rsid w:val="00B722DE"/>
    <w:rsid w:val="00B751E3"/>
    <w:rsid w:val="00B75BA6"/>
    <w:rsid w:val="00B76C44"/>
    <w:rsid w:val="00B772DE"/>
    <w:rsid w:val="00B77806"/>
    <w:rsid w:val="00B8184A"/>
    <w:rsid w:val="00B82283"/>
    <w:rsid w:val="00B828D8"/>
    <w:rsid w:val="00B83F87"/>
    <w:rsid w:val="00B8737E"/>
    <w:rsid w:val="00B87CDC"/>
    <w:rsid w:val="00B909A0"/>
    <w:rsid w:val="00B910C1"/>
    <w:rsid w:val="00B9297D"/>
    <w:rsid w:val="00BA2CA4"/>
    <w:rsid w:val="00BA2EFA"/>
    <w:rsid w:val="00BA3DBC"/>
    <w:rsid w:val="00BA424B"/>
    <w:rsid w:val="00BA707A"/>
    <w:rsid w:val="00BB1AFB"/>
    <w:rsid w:val="00BB2110"/>
    <w:rsid w:val="00BB2512"/>
    <w:rsid w:val="00BB27AE"/>
    <w:rsid w:val="00BB2DA2"/>
    <w:rsid w:val="00BB3ECF"/>
    <w:rsid w:val="00BB56DC"/>
    <w:rsid w:val="00BC4D0F"/>
    <w:rsid w:val="00BD1733"/>
    <w:rsid w:val="00BD46C0"/>
    <w:rsid w:val="00BE183D"/>
    <w:rsid w:val="00BE4616"/>
    <w:rsid w:val="00BF24C2"/>
    <w:rsid w:val="00BF2922"/>
    <w:rsid w:val="00BF3657"/>
    <w:rsid w:val="00BF3AA7"/>
    <w:rsid w:val="00BF5D7A"/>
    <w:rsid w:val="00C01C2E"/>
    <w:rsid w:val="00C02522"/>
    <w:rsid w:val="00C02D33"/>
    <w:rsid w:val="00C0412E"/>
    <w:rsid w:val="00C04B53"/>
    <w:rsid w:val="00C1232C"/>
    <w:rsid w:val="00C238DE"/>
    <w:rsid w:val="00C27C6B"/>
    <w:rsid w:val="00C34A7F"/>
    <w:rsid w:val="00C3594D"/>
    <w:rsid w:val="00C36442"/>
    <w:rsid w:val="00C400CE"/>
    <w:rsid w:val="00C40910"/>
    <w:rsid w:val="00C410FD"/>
    <w:rsid w:val="00C420AC"/>
    <w:rsid w:val="00C436B9"/>
    <w:rsid w:val="00C44A09"/>
    <w:rsid w:val="00C457DE"/>
    <w:rsid w:val="00C47AB3"/>
    <w:rsid w:val="00C47DD3"/>
    <w:rsid w:val="00C5316F"/>
    <w:rsid w:val="00C53562"/>
    <w:rsid w:val="00C539FB"/>
    <w:rsid w:val="00C563BF"/>
    <w:rsid w:val="00C56AB4"/>
    <w:rsid w:val="00C65B76"/>
    <w:rsid w:val="00C66991"/>
    <w:rsid w:val="00C66AA3"/>
    <w:rsid w:val="00C66E57"/>
    <w:rsid w:val="00C66EFB"/>
    <w:rsid w:val="00C67161"/>
    <w:rsid w:val="00C71B91"/>
    <w:rsid w:val="00C724D7"/>
    <w:rsid w:val="00C73D6F"/>
    <w:rsid w:val="00C74150"/>
    <w:rsid w:val="00C75594"/>
    <w:rsid w:val="00C766F0"/>
    <w:rsid w:val="00C80EC1"/>
    <w:rsid w:val="00C81ED4"/>
    <w:rsid w:val="00C82227"/>
    <w:rsid w:val="00C85982"/>
    <w:rsid w:val="00C902E8"/>
    <w:rsid w:val="00CA03E7"/>
    <w:rsid w:val="00CA0466"/>
    <w:rsid w:val="00CA246D"/>
    <w:rsid w:val="00CA2841"/>
    <w:rsid w:val="00CA50D9"/>
    <w:rsid w:val="00CA6682"/>
    <w:rsid w:val="00CB3054"/>
    <w:rsid w:val="00CB5636"/>
    <w:rsid w:val="00CB5F30"/>
    <w:rsid w:val="00CB6726"/>
    <w:rsid w:val="00CC3EE5"/>
    <w:rsid w:val="00CC5038"/>
    <w:rsid w:val="00CC6E47"/>
    <w:rsid w:val="00CD11D3"/>
    <w:rsid w:val="00CD1346"/>
    <w:rsid w:val="00CD2EBF"/>
    <w:rsid w:val="00CD7BE6"/>
    <w:rsid w:val="00CE425C"/>
    <w:rsid w:val="00CE4909"/>
    <w:rsid w:val="00CE5197"/>
    <w:rsid w:val="00CE56FC"/>
    <w:rsid w:val="00CE57EF"/>
    <w:rsid w:val="00CE58AC"/>
    <w:rsid w:val="00CE6484"/>
    <w:rsid w:val="00CF3B6E"/>
    <w:rsid w:val="00CF4AF4"/>
    <w:rsid w:val="00CF5A80"/>
    <w:rsid w:val="00D00BF9"/>
    <w:rsid w:val="00D03134"/>
    <w:rsid w:val="00D03F80"/>
    <w:rsid w:val="00D045EE"/>
    <w:rsid w:val="00D05091"/>
    <w:rsid w:val="00D0550D"/>
    <w:rsid w:val="00D10CA6"/>
    <w:rsid w:val="00D10F21"/>
    <w:rsid w:val="00D134CF"/>
    <w:rsid w:val="00D1573B"/>
    <w:rsid w:val="00D17640"/>
    <w:rsid w:val="00D22C2E"/>
    <w:rsid w:val="00D23A51"/>
    <w:rsid w:val="00D24806"/>
    <w:rsid w:val="00D268AD"/>
    <w:rsid w:val="00D30B8C"/>
    <w:rsid w:val="00D317A1"/>
    <w:rsid w:val="00D34040"/>
    <w:rsid w:val="00D34E69"/>
    <w:rsid w:val="00D363B2"/>
    <w:rsid w:val="00D36784"/>
    <w:rsid w:val="00D36C78"/>
    <w:rsid w:val="00D375EE"/>
    <w:rsid w:val="00D41D8C"/>
    <w:rsid w:val="00D43903"/>
    <w:rsid w:val="00D54852"/>
    <w:rsid w:val="00D5545A"/>
    <w:rsid w:val="00D55AE8"/>
    <w:rsid w:val="00D56056"/>
    <w:rsid w:val="00D6085F"/>
    <w:rsid w:val="00D60C21"/>
    <w:rsid w:val="00D60EA9"/>
    <w:rsid w:val="00D62699"/>
    <w:rsid w:val="00D63D81"/>
    <w:rsid w:val="00D64484"/>
    <w:rsid w:val="00D73E6D"/>
    <w:rsid w:val="00D760D3"/>
    <w:rsid w:val="00D774FA"/>
    <w:rsid w:val="00D778E9"/>
    <w:rsid w:val="00D812BF"/>
    <w:rsid w:val="00D82620"/>
    <w:rsid w:val="00D85707"/>
    <w:rsid w:val="00D87E20"/>
    <w:rsid w:val="00D92424"/>
    <w:rsid w:val="00D9364D"/>
    <w:rsid w:val="00D93F14"/>
    <w:rsid w:val="00D94C6F"/>
    <w:rsid w:val="00D95711"/>
    <w:rsid w:val="00D958E0"/>
    <w:rsid w:val="00D962E3"/>
    <w:rsid w:val="00D9725F"/>
    <w:rsid w:val="00D978CC"/>
    <w:rsid w:val="00DA01B1"/>
    <w:rsid w:val="00DA10D8"/>
    <w:rsid w:val="00DA11A2"/>
    <w:rsid w:val="00DA14ED"/>
    <w:rsid w:val="00DA26D6"/>
    <w:rsid w:val="00DB200A"/>
    <w:rsid w:val="00DB2EF1"/>
    <w:rsid w:val="00DB2FE3"/>
    <w:rsid w:val="00DB3DE1"/>
    <w:rsid w:val="00DB5714"/>
    <w:rsid w:val="00DB5DA0"/>
    <w:rsid w:val="00DB6213"/>
    <w:rsid w:val="00DB6706"/>
    <w:rsid w:val="00DB716C"/>
    <w:rsid w:val="00DC1A28"/>
    <w:rsid w:val="00DC2980"/>
    <w:rsid w:val="00DC4A79"/>
    <w:rsid w:val="00DC5C85"/>
    <w:rsid w:val="00DC7C5D"/>
    <w:rsid w:val="00DD2AFC"/>
    <w:rsid w:val="00DD4236"/>
    <w:rsid w:val="00DD44F1"/>
    <w:rsid w:val="00DD6957"/>
    <w:rsid w:val="00DD6E7A"/>
    <w:rsid w:val="00DD6F0A"/>
    <w:rsid w:val="00DE3067"/>
    <w:rsid w:val="00DF1C30"/>
    <w:rsid w:val="00DF2448"/>
    <w:rsid w:val="00DF3881"/>
    <w:rsid w:val="00DF3EEE"/>
    <w:rsid w:val="00DF75E1"/>
    <w:rsid w:val="00DF7A6F"/>
    <w:rsid w:val="00E027BC"/>
    <w:rsid w:val="00E045BE"/>
    <w:rsid w:val="00E05F02"/>
    <w:rsid w:val="00E10F0D"/>
    <w:rsid w:val="00E14EA5"/>
    <w:rsid w:val="00E15C2B"/>
    <w:rsid w:val="00E2070E"/>
    <w:rsid w:val="00E21133"/>
    <w:rsid w:val="00E2327E"/>
    <w:rsid w:val="00E23577"/>
    <w:rsid w:val="00E24281"/>
    <w:rsid w:val="00E253DD"/>
    <w:rsid w:val="00E26163"/>
    <w:rsid w:val="00E266EF"/>
    <w:rsid w:val="00E278C2"/>
    <w:rsid w:val="00E30873"/>
    <w:rsid w:val="00E326A8"/>
    <w:rsid w:val="00E32720"/>
    <w:rsid w:val="00E33243"/>
    <w:rsid w:val="00E34132"/>
    <w:rsid w:val="00E365B3"/>
    <w:rsid w:val="00E4179A"/>
    <w:rsid w:val="00E42CDB"/>
    <w:rsid w:val="00E44519"/>
    <w:rsid w:val="00E465BC"/>
    <w:rsid w:val="00E47428"/>
    <w:rsid w:val="00E50709"/>
    <w:rsid w:val="00E52819"/>
    <w:rsid w:val="00E54C7B"/>
    <w:rsid w:val="00E5507B"/>
    <w:rsid w:val="00E56C8E"/>
    <w:rsid w:val="00E5716B"/>
    <w:rsid w:val="00E57F1F"/>
    <w:rsid w:val="00E63618"/>
    <w:rsid w:val="00E659EF"/>
    <w:rsid w:val="00E66A76"/>
    <w:rsid w:val="00E66B9F"/>
    <w:rsid w:val="00E674A7"/>
    <w:rsid w:val="00E70624"/>
    <w:rsid w:val="00E70A6A"/>
    <w:rsid w:val="00E710D6"/>
    <w:rsid w:val="00E717FF"/>
    <w:rsid w:val="00E71F7C"/>
    <w:rsid w:val="00E73DA4"/>
    <w:rsid w:val="00E76E45"/>
    <w:rsid w:val="00E77422"/>
    <w:rsid w:val="00E777C9"/>
    <w:rsid w:val="00E819A9"/>
    <w:rsid w:val="00E81DA6"/>
    <w:rsid w:val="00E82C53"/>
    <w:rsid w:val="00E83F56"/>
    <w:rsid w:val="00E84212"/>
    <w:rsid w:val="00E84723"/>
    <w:rsid w:val="00E853C1"/>
    <w:rsid w:val="00E85492"/>
    <w:rsid w:val="00E870BC"/>
    <w:rsid w:val="00E9080F"/>
    <w:rsid w:val="00E9086C"/>
    <w:rsid w:val="00E90AAA"/>
    <w:rsid w:val="00E918CD"/>
    <w:rsid w:val="00E91A0F"/>
    <w:rsid w:val="00E92CF0"/>
    <w:rsid w:val="00E94A71"/>
    <w:rsid w:val="00E94CBF"/>
    <w:rsid w:val="00EA03CE"/>
    <w:rsid w:val="00EA23C7"/>
    <w:rsid w:val="00EA23E5"/>
    <w:rsid w:val="00EA2E48"/>
    <w:rsid w:val="00EA4C4B"/>
    <w:rsid w:val="00EA4E2E"/>
    <w:rsid w:val="00EA7818"/>
    <w:rsid w:val="00EB1A9A"/>
    <w:rsid w:val="00EB2417"/>
    <w:rsid w:val="00EB2CCB"/>
    <w:rsid w:val="00EB4C4E"/>
    <w:rsid w:val="00EB55B3"/>
    <w:rsid w:val="00EB7A25"/>
    <w:rsid w:val="00EC0F3E"/>
    <w:rsid w:val="00EC0F69"/>
    <w:rsid w:val="00EC155D"/>
    <w:rsid w:val="00EC57A7"/>
    <w:rsid w:val="00ED01A3"/>
    <w:rsid w:val="00ED0817"/>
    <w:rsid w:val="00ED257C"/>
    <w:rsid w:val="00ED3400"/>
    <w:rsid w:val="00ED5022"/>
    <w:rsid w:val="00ED7DD9"/>
    <w:rsid w:val="00EE2D31"/>
    <w:rsid w:val="00EE445B"/>
    <w:rsid w:val="00EE6532"/>
    <w:rsid w:val="00EF3113"/>
    <w:rsid w:val="00EF37F6"/>
    <w:rsid w:val="00EF3F84"/>
    <w:rsid w:val="00F157AD"/>
    <w:rsid w:val="00F16DEB"/>
    <w:rsid w:val="00F176AC"/>
    <w:rsid w:val="00F24CBA"/>
    <w:rsid w:val="00F26F28"/>
    <w:rsid w:val="00F27714"/>
    <w:rsid w:val="00F3110F"/>
    <w:rsid w:val="00F3276E"/>
    <w:rsid w:val="00F33D3C"/>
    <w:rsid w:val="00F37A91"/>
    <w:rsid w:val="00F408A0"/>
    <w:rsid w:val="00F420D7"/>
    <w:rsid w:val="00F42551"/>
    <w:rsid w:val="00F45CF5"/>
    <w:rsid w:val="00F47DB0"/>
    <w:rsid w:val="00F501A3"/>
    <w:rsid w:val="00F50C3F"/>
    <w:rsid w:val="00F50E34"/>
    <w:rsid w:val="00F51AFB"/>
    <w:rsid w:val="00F53C54"/>
    <w:rsid w:val="00F53EF7"/>
    <w:rsid w:val="00F54BF2"/>
    <w:rsid w:val="00F61A7F"/>
    <w:rsid w:val="00F723BA"/>
    <w:rsid w:val="00F775AC"/>
    <w:rsid w:val="00F802B1"/>
    <w:rsid w:val="00F802B6"/>
    <w:rsid w:val="00F8792F"/>
    <w:rsid w:val="00F919CF"/>
    <w:rsid w:val="00F9214D"/>
    <w:rsid w:val="00F92355"/>
    <w:rsid w:val="00F93963"/>
    <w:rsid w:val="00F94291"/>
    <w:rsid w:val="00F96BD8"/>
    <w:rsid w:val="00FA1DCB"/>
    <w:rsid w:val="00FA298A"/>
    <w:rsid w:val="00FA29D0"/>
    <w:rsid w:val="00FA5B66"/>
    <w:rsid w:val="00FB0B9C"/>
    <w:rsid w:val="00FB1CF6"/>
    <w:rsid w:val="00FB30EB"/>
    <w:rsid w:val="00FB5DA9"/>
    <w:rsid w:val="00FB7107"/>
    <w:rsid w:val="00FB7333"/>
    <w:rsid w:val="00FB7982"/>
    <w:rsid w:val="00FC0734"/>
    <w:rsid w:val="00FC0FC5"/>
    <w:rsid w:val="00FC138B"/>
    <w:rsid w:val="00FC306B"/>
    <w:rsid w:val="00FC588F"/>
    <w:rsid w:val="00FC6879"/>
    <w:rsid w:val="00FC78EE"/>
    <w:rsid w:val="00FD1207"/>
    <w:rsid w:val="00FD424E"/>
    <w:rsid w:val="00FD43C2"/>
    <w:rsid w:val="00FD57CC"/>
    <w:rsid w:val="00FE1B30"/>
    <w:rsid w:val="00FE23CC"/>
    <w:rsid w:val="00FE40A8"/>
    <w:rsid w:val="00FE653A"/>
    <w:rsid w:val="00FE7489"/>
    <w:rsid w:val="00FE7B44"/>
    <w:rsid w:val="00FF1AE1"/>
    <w:rsid w:val="00FF1CAC"/>
    <w:rsid w:val="00FF47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3DEE93"/>
  <w15:docId w15:val="{8A2EDD1B-9817-4DCC-8824-9D9B8838F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link w:val="Heading2Char"/>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8"/>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paragraph" w:styleId="ListParagraph">
    <w:name w:val="List Paragraph"/>
    <w:basedOn w:val="Normal"/>
    <w:uiPriority w:val="1"/>
    <w:qFormat/>
    <w:rsid w:val="001F272C"/>
    <w:pPr>
      <w:ind w:left="720"/>
      <w:contextualSpacing/>
    </w:pPr>
  </w:style>
  <w:style w:type="character" w:customStyle="1" w:styleId="Heading2Char">
    <w:name w:val="Heading 2 Char"/>
    <w:basedOn w:val="DefaultParagraphFont"/>
    <w:link w:val="Heading2"/>
    <w:rsid w:val="009E160D"/>
    <w:rPr>
      <w:b/>
      <w:sz w:val="24"/>
      <w:szCs w:val="24"/>
      <w:lang w:eastAsia="en-US"/>
    </w:rPr>
  </w:style>
  <w:style w:type="paragraph" w:styleId="Revision">
    <w:name w:val="Revision"/>
    <w:hidden/>
    <w:uiPriority w:val="99"/>
    <w:semiHidden/>
    <w:rsid w:val="008D0DD2"/>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murad\AppData\Roaming\Microsoft\Template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822A38CFA764A4EBB93A20D0267FAC2"/>
        <w:category>
          <w:name w:val="General"/>
          <w:gallery w:val="placeholder"/>
        </w:category>
        <w:types>
          <w:type w:val="bbPlcHdr"/>
        </w:types>
        <w:behaviors>
          <w:behavior w:val="content"/>
        </w:behaviors>
        <w:guid w:val="{7025E8E8-B89B-4777-A913-4E3A276704B3}"/>
      </w:docPartPr>
      <w:docPartBody>
        <w:p w:rsidR="00A30CB2" w:rsidRDefault="00A30CB2">
          <w:pPr>
            <w:pStyle w:val="E822A38CFA764A4EBB93A20D0267FAC2"/>
          </w:pPr>
          <w:r>
            <w:rPr>
              <w:rStyle w:val="PlaceholderText"/>
            </w:rPr>
            <w:t>MNC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F46"/>
    <w:rsid w:val="000071F0"/>
    <w:rsid w:val="00133C3B"/>
    <w:rsid w:val="00436411"/>
    <w:rsid w:val="007235A6"/>
    <w:rsid w:val="007D590D"/>
    <w:rsid w:val="00802E2D"/>
    <w:rsid w:val="00930F75"/>
    <w:rsid w:val="009408CB"/>
    <w:rsid w:val="00974E06"/>
    <w:rsid w:val="00A30CB2"/>
    <w:rsid w:val="00B772DE"/>
    <w:rsid w:val="00C238DE"/>
    <w:rsid w:val="00D71F46"/>
    <w:rsid w:val="00E805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822A38CFA764A4EBB93A20D0267FAC2">
    <w:name w:val="E822A38CFA764A4EBB93A20D0267FA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root xmlns="http://schemas.globalmacros.com/FCA">
  <Name>CUP17 v Minister for Immigration and Multicultural Affairs [2025] FCA 183  </Name>
</root>
</file>

<file path=customXml/itemProps1.xml><?xml version="1.0" encoding="utf-8"?>
<ds:datastoreItem xmlns:ds="http://schemas.openxmlformats.org/officeDocument/2006/customXml" ds:itemID="{D2491BDD-2516-4911-AD38-40105538EAAB}">
  <ds:schemaRefs>
    <ds:schemaRef ds:uri="http://schemas.openxmlformats.org/officeDocument/2006/bibliography"/>
  </ds:schemaRefs>
</ds:datastoreItem>
</file>

<file path=customXml/itemProps2.xml><?xml version="1.0" encoding="utf-8"?>
<ds:datastoreItem xmlns:ds="http://schemas.openxmlformats.org/officeDocument/2006/customXml" ds:itemID="{687E7CCB-4AA5-44E7-B148-17BA2B6F57C0}">
  <ds:schemaRefs>
    <ds:schemaRef ds:uri="http://schemas.globalmacros.com/FCA"/>
  </ds:schemaRefs>
</ds:datastoreItem>
</file>

<file path=docProps/app.xml><?xml version="1.0" encoding="utf-8"?>
<Properties xmlns="http://schemas.openxmlformats.org/officeDocument/2006/extended-properties" xmlns:vt="http://schemas.openxmlformats.org/officeDocument/2006/docPropsVTypes">
  <Template>Judgment.dotx</Template>
  <TotalTime>1</TotalTime>
  <Pages>10</Pages>
  <Words>3833</Words>
  <Characters>19914</Characters>
  <Application>Microsoft Office Word</Application>
  <DocSecurity>0</DocSecurity>
  <Lines>406</Lines>
  <Paragraphs>138</Paragraphs>
  <ScaleCrop>false</ScaleCrop>
  <HeadingPairs>
    <vt:vector size="2" baseType="variant">
      <vt:variant>
        <vt:lpstr>Title</vt:lpstr>
      </vt:variant>
      <vt:variant>
        <vt:i4>1</vt:i4>
      </vt:variant>
    </vt:vector>
  </HeadingPairs>
  <TitlesOfParts>
    <vt:vector size="1" baseType="lpstr">
      <vt:lpstr>CUP17 v Minister for Immigration and Multicultural Affairs [2025] FCA 183</vt:lpstr>
    </vt:vector>
  </TitlesOfParts>
  <Company>Federal Court of Australia</Company>
  <LinksUpToDate>false</LinksUpToDate>
  <CharactersWithSpaces>23609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CUP17 v Minister for Immigration and Multicultural Affairs [2025] FCA 183</dc:title>
  <dc:creator>Federal Court of Australia</dc:creator>
  <dc:description>v1.5</dc:description>
  <cp:lastModifiedBy>Federal Court of Australia</cp:lastModifiedBy>
  <cp:revision>4</cp:revision>
  <cp:lastPrinted>2006-02-06T01:31:00Z</cp:lastPrinted>
  <dcterms:created xsi:type="dcterms:W3CDTF">2025-03-12T03:36:00Z</dcterms:created>
  <dcterms:modified xsi:type="dcterms:W3CDTF">2025-03-12T03:37:00Z</dcterms:modified>
  <cp:version>v1.5</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3</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1.4</vt:lpwstr>
  </property>
  <property fmtid="{D5CDD505-2E9C-101B-9397-08002B2CF9AE}" pid="12" name="Registry">
    <vt:lpwstr>New South Wales</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Administrative and Constitutional Law and Human Rights</vt:lpwstr>
  </property>
  <property fmtid="{D5CDD505-2E9C-101B-9397-08002B2CF9AE}" pid="16" name="Court">
    <vt:lpwstr>Federal Court of Australia</vt:lpwstr>
  </property>
  <property fmtid="{D5CDD505-2E9C-101B-9397-08002B2CF9AE}" pid="17" name="Sub Area">
    <vt:lpwstr>(none)</vt:lpwstr>
  </property>
  <property fmtid="{D5CDD505-2E9C-101B-9397-08002B2CF9AE}" pid="18" name="AppealFrom">
    <vt:lpwstr>CUP17 v Minister for Immigration, Citizenship, Migrant Services and Multicultural Affairs [2020] FCCA 3119</vt:lpwstr>
  </property>
  <property fmtid="{D5CDD505-2E9C-101B-9397-08002B2CF9AE}" pid="19" name="DivisionTitle">
    <vt:lpwstr>none</vt:lpwstr>
  </property>
  <property fmtid="{D5CDD505-2E9C-101B-9397-08002B2CF9AE}" pid="20" name="Judge">
    <vt:lpwstr>Judge</vt:lpwstr>
  </property>
  <property fmtid="{D5CDD505-2E9C-101B-9397-08002B2CF9AE}" pid="21" name="Judgment_dated">
    <vt:lpwstr>Judgment_dated</vt:lpwstr>
  </property>
  <property fmtid="{D5CDD505-2E9C-101B-9397-08002B2CF9AE}" pid="22" name="Legislation">
    <vt:lpwstr>Legislation</vt:lpwstr>
  </property>
  <property fmtid="{D5CDD505-2E9C-101B-9397-08002B2CF9AE}" pid="23" name="Catchwords">
    <vt:lpwstr>Catchwords</vt:lpwstr>
  </property>
  <property fmtid="{D5CDD505-2E9C-101B-9397-08002B2CF9AE}" pid="24" name="Words_Phrases">
    <vt:lpwstr>WordsPhrases</vt:lpwstr>
  </property>
  <property fmtid="{D5CDD505-2E9C-101B-9397-08002B2CF9AE}" pid="25" name="Cases_Cited">
    <vt:lpwstr>CasesCited</vt:lpwstr>
  </property>
  <property fmtid="{D5CDD505-2E9C-101B-9397-08002B2CF9AE}" pid="26" name="File_Number">
    <vt:lpwstr>Num</vt:lpwstr>
  </property>
  <property fmtid="{D5CDD505-2E9C-101B-9397-08002B2CF9AE}" pid="27" name="State">
    <vt:lpwstr>State</vt:lpwstr>
  </property>
</Properties>
</file>