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3CEDF" w14:textId="2DDB124C" w:rsidR="0080622B" w:rsidRDefault="00C241CD" w:rsidP="00C44903">
      <w:pPr>
        <w:pStyle w:val="TitlePage1"/>
      </w:pPr>
      <w:r>
        <w:rPr>
          <w:noProof/>
        </w:rPr>
        <w:drawing>
          <wp:anchor distT="0" distB="0" distL="114300" distR="114300" simplePos="0" relativeHeight="251658240" behindDoc="1" locked="0" layoutInCell="1" allowOverlap="1" wp14:anchorId="4859A92D" wp14:editId="4BB09317">
            <wp:simplePos x="0" y="0"/>
            <wp:positionH relativeFrom="column">
              <wp:posOffset>5183505</wp:posOffset>
            </wp:positionH>
            <wp:positionV relativeFrom="paragraph">
              <wp:posOffset>8459470</wp:posOffset>
            </wp:positionV>
            <wp:extent cx="1080000" cy="1080000"/>
            <wp:effectExtent l="0" t="0" r="6350" b="6350"/>
            <wp:wrapNone/>
            <wp:docPr id="1945948152" name="VCAT Seal1"/>
            <wp:cNvGraphicFramePr/>
            <a:graphic xmlns:a="http://schemas.openxmlformats.org/drawingml/2006/main">
              <a:graphicData uri="http://schemas.openxmlformats.org/drawingml/2006/picture">
                <pic:pic xmlns:pic="http://schemas.openxmlformats.org/drawingml/2006/picture">
                  <pic:nvPicPr>
                    <pic:cNvPr id="1945948152" name="VCAT Seal1"/>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0622B">
        <w:t>VICTORIAN CIVIL AND ADMINISTRATIVE TRIBUNAL</w:t>
      </w:r>
    </w:p>
    <w:p w14:paraId="17E427E4" w14:textId="77777777" w:rsidR="0080622B" w:rsidRDefault="0080622B" w:rsidP="00C44903">
      <w:pPr>
        <w:pStyle w:val="TitlePage1"/>
      </w:pPr>
      <w:r>
        <w:t>CIVIL DIVISION</w:t>
      </w:r>
    </w:p>
    <w:tbl>
      <w:tblPr>
        <w:tblW w:w="5000" w:type="pct"/>
        <w:tblLook w:val="0000" w:firstRow="0" w:lastRow="0" w:firstColumn="0" w:lastColumn="0" w:noHBand="0" w:noVBand="0"/>
      </w:tblPr>
      <w:tblGrid>
        <w:gridCol w:w="3498"/>
        <w:gridCol w:w="892"/>
        <w:gridCol w:w="4256"/>
      </w:tblGrid>
      <w:tr w:rsidR="0080622B" w14:paraId="21EE52E2" w14:textId="77777777" w:rsidTr="008605BD">
        <w:trPr>
          <w:cantSplit/>
        </w:trPr>
        <w:tc>
          <w:tcPr>
            <w:tcW w:w="2539" w:type="pct"/>
            <w:gridSpan w:val="2"/>
          </w:tcPr>
          <w:p w14:paraId="26DB185E" w14:textId="77777777" w:rsidR="0080622B" w:rsidRDefault="0080622B" w:rsidP="00FD22AE">
            <w:pPr>
              <w:pStyle w:val="TitlePage2"/>
              <w:spacing w:before="0" w:after="0"/>
              <w:ind w:left="-105"/>
            </w:pPr>
            <w:r>
              <w:t>BUILDING AND PROPERTY LIST</w:t>
            </w:r>
          </w:p>
        </w:tc>
        <w:tc>
          <w:tcPr>
            <w:tcW w:w="2461" w:type="pct"/>
          </w:tcPr>
          <w:p w14:paraId="3E428D04" w14:textId="77777777" w:rsidR="0080622B" w:rsidRDefault="0080622B" w:rsidP="008605BD">
            <w:pPr>
              <w:pStyle w:val="TitlePage3"/>
            </w:pPr>
          </w:p>
          <w:p w14:paraId="1A289524" w14:textId="506A79C0" w:rsidR="0080622B" w:rsidRDefault="0080622B" w:rsidP="008605BD">
            <w:pPr>
              <w:pStyle w:val="TitlePage3"/>
            </w:pPr>
            <w:r>
              <w:t xml:space="preserve">vcat reference No. </w:t>
            </w:r>
            <w:r w:rsidRPr="00450A6F">
              <w:rPr>
                <w:bCs/>
                <w:noProof/>
              </w:rPr>
              <w:t>BP</w:t>
            </w:r>
            <w:r w:rsidR="005955A5">
              <w:rPr>
                <w:bCs/>
                <w:noProof/>
              </w:rPr>
              <w:t>1396/2019</w:t>
            </w:r>
          </w:p>
        </w:tc>
      </w:tr>
      <w:tr w:rsidR="0080622B" w14:paraId="2A476269" w14:textId="77777777" w:rsidTr="008605BD">
        <w:tblPrEx>
          <w:jc w:val="center"/>
        </w:tblPrEx>
        <w:trPr>
          <w:cantSplit/>
          <w:jc w:val="center"/>
        </w:trPr>
        <w:tc>
          <w:tcPr>
            <w:tcW w:w="5000" w:type="pct"/>
            <w:gridSpan w:val="3"/>
          </w:tcPr>
          <w:p w14:paraId="4EEE628C" w14:textId="77777777" w:rsidR="0080622B" w:rsidRDefault="0080622B" w:rsidP="008605BD">
            <w:pPr>
              <w:pStyle w:val="TitlePage2"/>
              <w:jc w:val="center"/>
            </w:pPr>
            <w:r>
              <w:t>CATCHWORDS</w:t>
            </w:r>
          </w:p>
        </w:tc>
      </w:tr>
      <w:tr w:rsidR="0080622B" w14:paraId="3615C859" w14:textId="77777777" w:rsidTr="008605BD">
        <w:tblPrEx>
          <w:jc w:val="center"/>
        </w:tblPrEx>
        <w:trPr>
          <w:cantSplit/>
          <w:jc w:val="center"/>
        </w:trPr>
        <w:tc>
          <w:tcPr>
            <w:tcW w:w="5000" w:type="pct"/>
            <w:gridSpan w:val="3"/>
          </w:tcPr>
          <w:p w14:paraId="0F972FE9" w14:textId="577F709F" w:rsidR="0080622B" w:rsidRDefault="003D740F" w:rsidP="008605BD">
            <w:pPr>
              <w:pStyle w:val="Catchwords"/>
              <w:rPr>
                <w:color w:val="000000"/>
              </w:rPr>
            </w:pPr>
            <w:r w:rsidRPr="003D740F">
              <w:t xml:space="preserve">Domestic building dispute and project management </w:t>
            </w:r>
            <w:r w:rsidR="0080622B" w:rsidRPr="003D740F">
              <w:t xml:space="preserve">dispute – proceeding previously determined in applicants’ favour and respondent ordered to pay applicants damages </w:t>
            </w:r>
            <w:r w:rsidR="006D167D">
              <w:t>–</w:t>
            </w:r>
            <w:r w:rsidR="0080622B" w:rsidRPr="003D740F">
              <w:t xml:space="preserve"> application for costs </w:t>
            </w:r>
            <w:r w:rsidR="00E72B6E">
              <w:t xml:space="preserve">and interest </w:t>
            </w:r>
            <w:r w:rsidR="0080622B" w:rsidRPr="003D740F">
              <w:t xml:space="preserve">by applicants </w:t>
            </w:r>
            <w:r w:rsidR="006D167D" w:rsidRPr="003D740F">
              <w:t xml:space="preserve">– </w:t>
            </w:r>
            <w:r w:rsidR="006D167D">
              <w:t xml:space="preserve">whether applicants require leave of the Court due to respondent’s bankruptcy – application for interest struck out – </w:t>
            </w:r>
            <w:r w:rsidR="0080622B" w:rsidRPr="003D740F">
              <w:rPr>
                <w:i/>
                <w:iCs/>
              </w:rPr>
              <w:t>Victorian Civil and Administrative Tribunal Act 1998</w:t>
            </w:r>
            <w:r w:rsidR="0080622B" w:rsidRPr="003D740F">
              <w:t> (Vic) – ss.109, and 114 whether fair to order costs – order made for respondent to pay applicants’ costs.</w:t>
            </w:r>
          </w:p>
        </w:tc>
      </w:tr>
      <w:tr w:rsidR="0080622B" w14:paraId="5B62845B" w14:textId="77777777" w:rsidTr="5414A663">
        <w:tc>
          <w:tcPr>
            <w:tcW w:w="2023" w:type="pct"/>
          </w:tcPr>
          <w:p w14:paraId="45F00823" w14:textId="68ADD94D" w:rsidR="0080622B" w:rsidRPr="0080622B" w:rsidRDefault="0080622B" w:rsidP="005900EE">
            <w:pPr>
              <w:pStyle w:val="TitlePage2"/>
              <w:spacing w:before="240"/>
            </w:pPr>
            <w:r>
              <w:t>first APPLICANT</w:t>
            </w:r>
          </w:p>
        </w:tc>
        <w:tc>
          <w:tcPr>
            <w:tcW w:w="2977" w:type="pct"/>
            <w:gridSpan w:val="2"/>
          </w:tcPr>
          <w:p w14:paraId="39B12198" w14:textId="03C806CE" w:rsidR="0080622B" w:rsidRDefault="00F07499" w:rsidP="005900EE">
            <w:pPr>
              <w:pStyle w:val="TitlePagetext"/>
              <w:spacing w:before="240"/>
            </w:pPr>
            <w:r>
              <w:rPr>
                <w:color w:val="000000"/>
                <w:sz w:val="27"/>
                <w:szCs w:val="27"/>
              </w:rPr>
              <w:t>Axia Building Group (Australia) Pty Ltd (ACN 610 590 415)</w:t>
            </w:r>
          </w:p>
        </w:tc>
      </w:tr>
      <w:tr w:rsidR="00E94A6D" w14:paraId="518A5815" w14:textId="77777777" w:rsidTr="5414A663">
        <w:tc>
          <w:tcPr>
            <w:tcW w:w="2023" w:type="pct"/>
          </w:tcPr>
          <w:p w14:paraId="5E5B54BF" w14:textId="2C79948C" w:rsidR="00E94A6D" w:rsidRDefault="00E94A6D" w:rsidP="008605BD">
            <w:pPr>
              <w:pStyle w:val="TitlePage2"/>
            </w:pPr>
            <w:r>
              <w:t>SECOND APPLICANT</w:t>
            </w:r>
          </w:p>
        </w:tc>
        <w:tc>
          <w:tcPr>
            <w:tcW w:w="2977" w:type="pct"/>
            <w:gridSpan w:val="2"/>
          </w:tcPr>
          <w:p w14:paraId="70CF089D" w14:textId="5C9A4A86" w:rsidR="00E94A6D" w:rsidRDefault="005955A5" w:rsidP="008605BD">
            <w:pPr>
              <w:pStyle w:val="TitlePagetext"/>
              <w:rPr>
                <w:noProof/>
              </w:rPr>
            </w:pPr>
            <w:r>
              <w:rPr>
                <w:color w:val="000000"/>
                <w:sz w:val="27"/>
                <w:szCs w:val="27"/>
              </w:rPr>
              <w:t>Theodoros Papadopoulos</w:t>
            </w:r>
          </w:p>
        </w:tc>
      </w:tr>
      <w:tr w:rsidR="0080622B" w14:paraId="39B3947F" w14:textId="77777777" w:rsidTr="5414A663">
        <w:tc>
          <w:tcPr>
            <w:tcW w:w="2023" w:type="pct"/>
          </w:tcPr>
          <w:p w14:paraId="6D7C837A" w14:textId="77777777" w:rsidR="0080622B" w:rsidRDefault="0080622B" w:rsidP="008605BD">
            <w:pPr>
              <w:pStyle w:val="TitlePage2"/>
            </w:pPr>
            <w:r>
              <w:t>RESPONDENT</w:t>
            </w:r>
          </w:p>
        </w:tc>
        <w:tc>
          <w:tcPr>
            <w:tcW w:w="2977" w:type="pct"/>
            <w:gridSpan w:val="2"/>
          </w:tcPr>
          <w:p w14:paraId="5CCCD927" w14:textId="0981BADA" w:rsidR="0080622B" w:rsidRDefault="005955A5" w:rsidP="008605BD">
            <w:pPr>
              <w:pStyle w:val="TitlePagetext"/>
            </w:pPr>
            <w:r>
              <w:rPr>
                <w:color w:val="000000"/>
                <w:sz w:val="27"/>
                <w:szCs w:val="27"/>
              </w:rPr>
              <w:t>Julia Lo</w:t>
            </w:r>
          </w:p>
        </w:tc>
      </w:tr>
      <w:tr w:rsidR="0080622B" w14:paraId="72ADF33E" w14:textId="77777777" w:rsidTr="5414A663">
        <w:tc>
          <w:tcPr>
            <w:tcW w:w="2023" w:type="pct"/>
          </w:tcPr>
          <w:p w14:paraId="318EC3C0" w14:textId="77777777" w:rsidR="0080622B" w:rsidRDefault="0080622B" w:rsidP="008605BD">
            <w:pPr>
              <w:pStyle w:val="TitlePage2"/>
            </w:pPr>
            <w:r>
              <w:t>BEFORE</w:t>
            </w:r>
          </w:p>
        </w:tc>
        <w:tc>
          <w:tcPr>
            <w:tcW w:w="2977" w:type="pct"/>
            <w:gridSpan w:val="2"/>
          </w:tcPr>
          <w:p w14:paraId="4CF87504" w14:textId="77777777" w:rsidR="0080622B" w:rsidRDefault="0080622B" w:rsidP="008605BD">
            <w:pPr>
              <w:pStyle w:val="TitlePagetext"/>
            </w:pPr>
            <w:r>
              <w:t>Member</w:t>
            </w:r>
            <w:r w:rsidR="00832CA3">
              <w:t xml:space="preserve"> N Feeney</w:t>
            </w:r>
          </w:p>
        </w:tc>
      </w:tr>
      <w:tr w:rsidR="0080622B" w14:paraId="2A12363A" w14:textId="77777777" w:rsidTr="5414A663">
        <w:tc>
          <w:tcPr>
            <w:tcW w:w="2023" w:type="pct"/>
          </w:tcPr>
          <w:p w14:paraId="165974BB" w14:textId="77777777" w:rsidR="0080622B" w:rsidRDefault="0080622B" w:rsidP="008605BD">
            <w:pPr>
              <w:pStyle w:val="TitlePage2"/>
            </w:pPr>
            <w:r>
              <w:t>HEARING TYPE</w:t>
            </w:r>
          </w:p>
        </w:tc>
        <w:tc>
          <w:tcPr>
            <w:tcW w:w="2977" w:type="pct"/>
            <w:gridSpan w:val="2"/>
          </w:tcPr>
          <w:p w14:paraId="00DFF04C" w14:textId="3D817094" w:rsidR="0080622B" w:rsidRDefault="0080622B" w:rsidP="008605BD">
            <w:pPr>
              <w:pStyle w:val="TitlePagetext"/>
            </w:pPr>
            <w:r>
              <w:t>Hearing</w:t>
            </w:r>
            <w:r w:rsidR="006F4B95">
              <w:t xml:space="preserve"> On the papers</w:t>
            </w:r>
          </w:p>
        </w:tc>
      </w:tr>
      <w:tr w:rsidR="0080622B" w14:paraId="2ADA8D8F" w14:textId="77777777" w:rsidTr="5414A663">
        <w:tc>
          <w:tcPr>
            <w:tcW w:w="2023" w:type="pct"/>
          </w:tcPr>
          <w:p w14:paraId="17B725C4" w14:textId="037A4401" w:rsidR="0080622B" w:rsidRDefault="0080622B" w:rsidP="008605BD">
            <w:pPr>
              <w:pStyle w:val="TitlePage2"/>
            </w:pPr>
            <w:r>
              <w:t>DATE OF SUBMISSION</w:t>
            </w:r>
            <w:r w:rsidR="000117CB">
              <w:t>s</w:t>
            </w:r>
          </w:p>
        </w:tc>
        <w:tc>
          <w:tcPr>
            <w:tcW w:w="2977" w:type="pct"/>
            <w:gridSpan w:val="2"/>
          </w:tcPr>
          <w:p w14:paraId="08E9BBCE" w14:textId="77777777" w:rsidR="002E4E89" w:rsidRDefault="00140979" w:rsidP="0088790D">
            <w:pPr>
              <w:pStyle w:val="TitlePagetext"/>
              <w:spacing w:before="0"/>
            </w:pPr>
            <w:r>
              <w:t>Applicant:</w:t>
            </w:r>
            <w:r w:rsidR="002E4E89">
              <w:tab/>
            </w:r>
            <w:r w:rsidR="002E4E89">
              <w:tab/>
              <w:t>13 May 2024</w:t>
            </w:r>
          </w:p>
          <w:p w14:paraId="6830953F" w14:textId="418E4662" w:rsidR="0080622B" w:rsidRDefault="002E4E89" w:rsidP="0088790D">
            <w:pPr>
              <w:pStyle w:val="TitlePagetext"/>
              <w:spacing w:before="0"/>
            </w:pPr>
            <w:r>
              <w:tab/>
            </w:r>
            <w:r>
              <w:tab/>
            </w:r>
            <w:r>
              <w:tab/>
              <w:t xml:space="preserve">16 September 2024 and 11 </w:t>
            </w:r>
            <w:r>
              <w:tab/>
            </w:r>
            <w:r>
              <w:tab/>
            </w:r>
            <w:r>
              <w:tab/>
              <w:t xml:space="preserve">November 2024 in reply </w:t>
            </w:r>
            <w:r>
              <w:tab/>
            </w:r>
            <w:r>
              <w:tab/>
            </w:r>
            <w:r>
              <w:tab/>
            </w:r>
            <w:r>
              <w:tab/>
              <w:t>(bankruptcy issue)</w:t>
            </w:r>
          </w:p>
        </w:tc>
      </w:tr>
      <w:tr w:rsidR="00140979" w14:paraId="39CA8A60" w14:textId="77777777" w:rsidTr="5414A663">
        <w:tc>
          <w:tcPr>
            <w:tcW w:w="2023" w:type="pct"/>
          </w:tcPr>
          <w:p w14:paraId="7C223F05" w14:textId="5938C30D" w:rsidR="00140979" w:rsidRDefault="00140979" w:rsidP="008605BD">
            <w:pPr>
              <w:pStyle w:val="TitlePage2"/>
            </w:pPr>
          </w:p>
        </w:tc>
        <w:tc>
          <w:tcPr>
            <w:tcW w:w="2977" w:type="pct"/>
            <w:gridSpan w:val="2"/>
          </w:tcPr>
          <w:p w14:paraId="09D6DA51" w14:textId="77777777" w:rsidR="00140979" w:rsidRDefault="00140979" w:rsidP="0088790D">
            <w:pPr>
              <w:pStyle w:val="TitlePagetext"/>
              <w:spacing w:before="0"/>
            </w:pPr>
            <w:r>
              <w:t>Respondent:</w:t>
            </w:r>
            <w:r w:rsidR="002E4E89">
              <w:tab/>
              <w:t>2 September 2024</w:t>
            </w:r>
          </w:p>
          <w:p w14:paraId="48D8A1F8" w14:textId="364CCE9E" w:rsidR="002E4E89" w:rsidRDefault="002E4E89" w:rsidP="001A38CE">
            <w:pPr>
              <w:pStyle w:val="TitlePagetext"/>
              <w:spacing w:before="0"/>
              <w:ind w:left="1645"/>
            </w:pPr>
            <w:r>
              <w:t>11 November 2024 (bankruptcy issue)</w:t>
            </w:r>
          </w:p>
        </w:tc>
      </w:tr>
      <w:tr w:rsidR="0080622B" w14:paraId="399CB49A" w14:textId="77777777" w:rsidTr="5414A663">
        <w:tc>
          <w:tcPr>
            <w:tcW w:w="2023" w:type="pct"/>
          </w:tcPr>
          <w:p w14:paraId="349016C1" w14:textId="2D20E12A" w:rsidR="0080622B" w:rsidRDefault="0080622B" w:rsidP="008605BD">
            <w:pPr>
              <w:pStyle w:val="TitlePage2"/>
            </w:pPr>
            <w:r>
              <w:t>DATE OF ORDER</w:t>
            </w:r>
            <w:r w:rsidR="00815292">
              <w:t xml:space="preserve"> and REASON</w:t>
            </w:r>
            <w:r w:rsidR="00D26D8F">
              <w:t>s</w:t>
            </w:r>
          </w:p>
        </w:tc>
        <w:tc>
          <w:tcPr>
            <w:tcW w:w="2977" w:type="pct"/>
            <w:gridSpan w:val="2"/>
          </w:tcPr>
          <w:p w14:paraId="16C5B425" w14:textId="6B3779E1" w:rsidR="0080622B" w:rsidRDefault="00A21E0D" w:rsidP="00815292">
            <w:pPr>
              <w:pStyle w:val="TitlePagetext"/>
              <w:spacing w:before="360"/>
            </w:pPr>
            <w:r w:rsidRPr="00A21E0D">
              <w:t>8</w:t>
            </w:r>
            <w:r w:rsidR="00B61BFB" w:rsidRPr="00A21E0D">
              <w:t xml:space="preserve"> </w:t>
            </w:r>
            <w:r w:rsidR="00C11FD4" w:rsidRPr="00A21E0D">
              <w:t>January 2025</w:t>
            </w:r>
          </w:p>
        </w:tc>
      </w:tr>
      <w:tr w:rsidR="0080622B" w14:paraId="2B8EF20B" w14:textId="77777777" w:rsidTr="5414A663">
        <w:tc>
          <w:tcPr>
            <w:tcW w:w="2023" w:type="pct"/>
          </w:tcPr>
          <w:p w14:paraId="4BC94486" w14:textId="77777777" w:rsidR="0080622B" w:rsidRDefault="0080622B" w:rsidP="008605BD">
            <w:pPr>
              <w:pStyle w:val="TitlePage2"/>
            </w:pPr>
            <w:r>
              <w:t>CITATION</w:t>
            </w:r>
          </w:p>
        </w:tc>
        <w:tc>
          <w:tcPr>
            <w:tcW w:w="2977" w:type="pct"/>
            <w:gridSpan w:val="2"/>
          </w:tcPr>
          <w:p w14:paraId="03569496" w14:textId="6638080A" w:rsidR="0080622B" w:rsidRDefault="00C11FD4" w:rsidP="008605BD">
            <w:pPr>
              <w:pStyle w:val="TitlePagetext"/>
            </w:pPr>
            <w:r w:rsidRPr="00FB5058">
              <w:rPr>
                <w:noProof/>
              </w:rPr>
              <w:t>Axia Building Group (Australia) Pty Ltd</w:t>
            </w:r>
            <w:r>
              <w:rPr>
                <w:noProof/>
              </w:rPr>
              <w:t xml:space="preserve"> v </w:t>
            </w:r>
            <w:r w:rsidRPr="00C11FD4">
              <w:rPr>
                <w:noProof/>
              </w:rPr>
              <w:t>Papadopoulos</w:t>
            </w:r>
            <w:r>
              <w:rPr>
                <w:noProof/>
              </w:rPr>
              <w:t xml:space="preserve"> (Building and Property)</w:t>
            </w:r>
            <w:r w:rsidR="00C241CD">
              <w:rPr>
                <w:noProof/>
              </w:rPr>
              <w:t xml:space="preserve"> (Costs)</w:t>
            </w:r>
            <w:r>
              <w:rPr>
                <w:noProof/>
              </w:rPr>
              <w:t xml:space="preserve"> [202</w:t>
            </w:r>
            <w:r w:rsidR="00FB5058">
              <w:rPr>
                <w:noProof/>
              </w:rPr>
              <w:t>5</w:t>
            </w:r>
            <w:r>
              <w:rPr>
                <w:noProof/>
              </w:rPr>
              <w:t xml:space="preserve">] VCAT </w:t>
            </w:r>
            <w:r w:rsidR="00A21E0D">
              <w:rPr>
                <w:noProof/>
              </w:rPr>
              <w:t>27</w:t>
            </w:r>
          </w:p>
        </w:tc>
      </w:tr>
    </w:tbl>
    <w:p w14:paraId="25E868A3" w14:textId="77777777" w:rsidR="0080622B" w:rsidRDefault="0080622B" w:rsidP="00C44903"/>
    <w:p w14:paraId="60030A7B" w14:textId="77777777" w:rsidR="0080622B" w:rsidRDefault="0080622B" w:rsidP="00C11FD4">
      <w:pPr>
        <w:pStyle w:val="Heading1"/>
        <w:spacing w:before="0"/>
      </w:pPr>
      <w:r>
        <w:t>Order</w:t>
      </w:r>
    </w:p>
    <w:p w14:paraId="6FB605A5" w14:textId="05933BE1" w:rsidR="008F30A6" w:rsidRPr="00DC289F" w:rsidRDefault="008F30A6" w:rsidP="00CC4EA7">
      <w:pPr>
        <w:pStyle w:val="Order2"/>
        <w:numPr>
          <w:ilvl w:val="0"/>
          <w:numId w:val="9"/>
        </w:numPr>
      </w:pPr>
      <w:r w:rsidRPr="00CA5BEA">
        <w:t>The respondent is to pay the applicants</w:t>
      </w:r>
      <w:r w:rsidR="002B3D08" w:rsidRPr="00CA5BEA">
        <w:t>’</w:t>
      </w:r>
      <w:r w:rsidRPr="00CA5BEA">
        <w:t xml:space="preserve"> costs of the proceeding</w:t>
      </w:r>
      <w:r w:rsidR="00CA5BEA" w:rsidRPr="00CA5BEA">
        <w:t xml:space="preserve"> </w:t>
      </w:r>
      <w:r w:rsidRPr="00CA5BEA">
        <w:t xml:space="preserve">in an amount to be </w:t>
      </w:r>
      <w:r w:rsidR="00A21E0D">
        <w:t xml:space="preserve">agreed </w:t>
      </w:r>
      <w:r w:rsidR="00063490" w:rsidRPr="00DC289F">
        <w:t>between the par</w:t>
      </w:r>
      <w:r w:rsidR="008513B6" w:rsidRPr="00DC289F">
        <w:t>ties and failing agreement</w:t>
      </w:r>
      <w:r w:rsidR="004C2705">
        <w:t>, in an amount</w:t>
      </w:r>
      <w:r w:rsidR="008513B6" w:rsidRPr="00DC289F">
        <w:t xml:space="preserve"> to be </w:t>
      </w:r>
      <w:r w:rsidRPr="00DC289F">
        <w:t xml:space="preserve">assessed by the Costs Court on the standard basis pursuant to the </w:t>
      </w:r>
      <w:r w:rsidRPr="00067AF5">
        <w:rPr>
          <w:i/>
          <w:iCs/>
        </w:rPr>
        <w:t xml:space="preserve">County Court </w:t>
      </w:r>
      <w:r w:rsidR="00383B99" w:rsidRPr="00067AF5">
        <w:rPr>
          <w:i/>
          <w:iCs/>
        </w:rPr>
        <w:t>cost</w:t>
      </w:r>
      <w:r w:rsidR="00067AF5" w:rsidRPr="00067AF5">
        <w:rPr>
          <w:i/>
          <w:iCs/>
        </w:rPr>
        <w:t>s s</w:t>
      </w:r>
      <w:r w:rsidRPr="00067AF5">
        <w:rPr>
          <w:i/>
          <w:iCs/>
        </w:rPr>
        <w:t>cale</w:t>
      </w:r>
      <w:r w:rsidR="00DC289F" w:rsidRPr="00DC289F">
        <w:t xml:space="preserve"> as defined in Rule 1.13 of Chapter I of the Rules of the County Court as in force on 31 December 2024</w:t>
      </w:r>
      <w:r w:rsidRPr="00DC289F">
        <w:t>.</w:t>
      </w:r>
    </w:p>
    <w:p w14:paraId="7293D2AC" w14:textId="2C254298" w:rsidR="00476B47" w:rsidRDefault="00476B47" w:rsidP="00096965">
      <w:pPr>
        <w:pStyle w:val="Order2"/>
        <w:numPr>
          <w:ilvl w:val="0"/>
          <w:numId w:val="9"/>
        </w:numPr>
        <w:rPr>
          <w:rStyle w:val="normaltextrun"/>
          <w:color w:val="000000"/>
          <w:shd w:val="clear" w:color="auto" w:fill="FFFFFF"/>
        </w:rPr>
      </w:pPr>
      <w:r>
        <w:rPr>
          <w:rStyle w:val="normaltextrun"/>
          <w:color w:val="000000"/>
          <w:shd w:val="clear" w:color="auto" w:fill="FFFFFF"/>
        </w:rPr>
        <w:t xml:space="preserve">That part of the applicants’ application dated </w:t>
      </w:r>
      <w:r w:rsidR="00203B65">
        <w:rPr>
          <w:rStyle w:val="normaltextrun"/>
          <w:color w:val="000000"/>
          <w:shd w:val="clear" w:color="auto" w:fill="FFFFFF"/>
        </w:rPr>
        <w:t xml:space="preserve">14 May 2024 </w:t>
      </w:r>
      <w:r>
        <w:rPr>
          <w:rStyle w:val="normaltextrun"/>
          <w:color w:val="000000"/>
          <w:shd w:val="clear" w:color="auto" w:fill="FFFFFF"/>
        </w:rPr>
        <w:t>seeking order</w:t>
      </w:r>
      <w:r w:rsidR="00C01A2D">
        <w:rPr>
          <w:rStyle w:val="normaltextrun"/>
          <w:color w:val="000000"/>
          <w:shd w:val="clear" w:color="auto" w:fill="FFFFFF"/>
        </w:rPr>
        <w:t>s</w:t>
      </w:r>
      <w:r>
        <w:rPr>
          <w:rStyle w:val="normaltextrun"/>
          <w:color w:val="000000"/>
          <w:shd w:val="clear" w:color="auto" w:fill="FFFFFF"/>
        </w:rPr>
        <w:t xml:space="preserve"> for interest is struck out.</w:t>
      </w:r>
    </w:p>
    <w:p w14:paraId="355C76C4" w14:textId="541BC3B2" w:rsidR="00476B47" w:rsidRDefault="00C241CD" w:rsidP="007311A9">
      <w:pPr>
        <w:pStyle w:val="Order2"/>
        <w:keepNext/>
        <w:numPr>
          <w:ilvl w:val="0"/>
          <w:numId w:val="9"/>
        </w:numPr>
        <w:spacing w:after="240" w:line="240" w:lineRule="auto"/>
      </w:pPr>
      <w:r>
        <w:rPr>
          <w:noProof/>
        </w:rPr>
        <w:lastRenderedPageBreak/>
        <w:drawing>
          <wp:anchor distT="0" distB="0" distL="114300" distR="114300" simplePos="0" relativeHeight="251659264" behindDoc="1" locked="0" layoutInCell="1" allowOverlap="1" wp14:anchorId="482F60F3" wp14:editId="15B07727">
            <wp:simplePos x="0" y="0"/>
            <wp:positionH relativeFrom="column">
              <wp:posOffset>5183505</wp:posOffset>
            </wp:positionH>
            <wp:positionV relativeFrom="paragraph">
              <wp:posOffset>8459470</wp:posOffset>
            </wp:positionV>
            <wp:extent cx="1080000" cy="1080000"/>
            <wp:effectExtent l="0" t="0" r="6350" b="6350"/>
            <wp:wrapNone/>
            <wp:docPr id="1706830975" name="VCAT Seal2"/>
            <wp:cNvGraphicFramePr/>
            <a:graphic xmlns:a="http://schemas.openxmlformats.org/drawingml/2006/main">
              <a:graphicData uri="http://schemas.openxmlformats.org/drawingml/2006/picture">
                <pic:pic xmlns:pic="http://schemas.openxmlformats.org/drawingml/2006/picture">
                  <pic:nvPicPr>
                    <pic:cNvPr id="1706830975" name="VCAT Seal2"/>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76B47" w:rsidRPr="006523D1">
        <w:t xml:space="preserve">Any </w:t>
      </w:r>
      <w:r w:rsidR="00476B47">
        <w:t xml:space="preserve">further </w:t>
      </w:r>
      <w:r w:rsidR="00476B47" w:rsidRPr="006523D1">
        <w:t xml:space="preserve">application for interest is reserved, with liberty to apply. </w:t>
      </w:r>
      <w:r w:rsidR="00476B47" w:rsidRPr="00813181">
        <w:rPr>
          <w:b/>
          <w:bCs/>
        </w:rPr>
        <w:t xml:space="preserve">I direct the principal registrar to refer any </w:t>
      </w:r>
      <w:r w:rsidR="00C73D1A">
        <w:rPr>
          <w:b/>
          <w:bCs/>
        </w:rPr>
        <w:t xml:space="preserve">further </w:t>
      </w:r>
      <w:r w:rsidR="00476B47" w:rsidRPr="00813181">
        <w:rPr>
          <w:b/>
          <w:bCs/>
        </w:rPr>
        <w:t>application for interest to Member Feeney</w:t>
      </w:r>
      <w:r w:rsidR="00476B47" w:rsidRPr="006523D1">
        <w:t>.</w:t>
      </w:r>
    </w:p>
    <w:p w14:paraId="7943C1EC" w14:textId="77777777" w:rsidR="00971B37" w:rsidRPr="006523D1" w:rsidRDefault="00971B37" w:rsidP="00971B37">
      <w:pPr>
        <w:pStyle w:val="Order2"/>
        <w:keepNext/>
        <w:numPr>
          <w:ilvl w:val="0"/>
          <w:numId w:val="0"/>
        </w:numPr>
        <w:spacing w:after="240" w:line="240" w:lineRule="auto"/>
        <w:ind w:left="567" w:hanging="567"/>
      </w:pPr>
    </w:p>
    <w:tbl>
      <w:tblPr>
        <w:tblW w:w="5000" w:type="pct"/>
        <w:tblLook w:val="0000" w:firstRow="0" w:lastRow="0" w:firstColumn="0" w:lastColumn="0" w:noHBand="0" w:noVBand="0"/>
      </w:tblPr>
      <w:tblGrid>
        <w:gridCol w:w="2882"/>
        <w:gridCol w:w="2883"/>
        <w:gridCol w:w="2881"/>
      </w:tblGrid>
      <w:tr w:rsidR="0080622B" w14:paraId="0D00C793" w14:textId="77777777" w:rsidTr="00C11FD4">
        <w:trPr>
          <w:trHeight w:val="551"/>
        </w:trPr>
        <w:tc>
          <w:tcPr>
            <w:tcW w:w="1667" w:type="pct"/>
          </w:tcPr>
          <w:p w14:paraId="04664A91" w14:textId="77777777" w:rsidR="0080622B" w:rsidRDefault="0080622B" w:rsidP="00C11FD4">
            <w:r>
              <w:t>N</w:t>
            </w:r>
            <w:r w:rsidR="008F30A6">
              <w:t xml:space="preserve"> Feeney</w:t>
            </w:r>
          </w:p>
          <w:p w14:paraId="63474583" w14:textId="77777777" w:rsidR="0080622B" w:rsidRDefault="0080622B" w:rsidP="00C11FD4">
            <w:pPr>
              <w:tabs>
                <w:tab w:val="left" w:pos="1515"/>
              </w:tabs>
              <w:rPr>
                <w:b/>
              </w:rPr>
            </w:pPr>
            <w:r>
              <w:rPr>
                <w:b/>
              </w:rPr>
              <w:t>Member</w:t>
            </w:r>
          </w:p>
        </w:tc>
        <w:tc>
          <w:tcPr>
            <w:tcW w:w="1667" w:type="pct"/>
          </w:tcPr>
          <w:p w14:paraId="40428C34" w14:textId="77777777" w:rsidR="0080622B" w:rsidRDefault="0080622B" w:rsidP="00C11FD4"/>
        </w:tc>
        <w:tc>
          <w:tcPr>
            <w:tcW w:w="1666" w:type="pct"/>
          </w:tcPr>
          <w:p w14:paraId="54098A05" w14:textId="77777777" w:rsidR="0080622B" w:rsidRDefault="0080622B" w:rsidP="00C11FD4"/>
        </w:tc>
      </w:tr>
    </w:tbl>
    <w:p w14:paraId="71F4F923" w14:textId="495CC014" w:rsidR="0080622B" w:rsidRDefault="0080622B" w:rsidP="00C44903">
      <w:pPr>
        <w:pStyle w:val="Heading1"/>
      </w:pPr>
      <w:r>
        <w:br w:type="page"/>
      </w:r>
      <w:r w:rsidR="00C241CD">
        <w:rPr>
          <w:noProof/>
        </w:rPr>
        <w:drawing>
          <wp:anchor distT="0" distB="0" distL="114300" distR="114300" simplePos="0" relativeHeight="251660288" behindDoc="1" locked="0" layoutInCell="1" allowOverlap="1" wp14:anchorId="0641A6E5" wp14:editId="26EB3703">
            <wp:simplePos x="0" y="0"/>
            <wp:positionH relativeFrom="column">
              <wp:posOffset>5183505</wp:posOffset>
            </wp:positionH>
            <wp:positionV relativeFrom="paragraph">
              <wp:posOffset>8459470</wp:posOffset>
            </wp:positionV>
            <wp:extent cx="1080000" cy="1080000"/>
            <wp:effectExtent l="0" t="0" r="6350" b="6350"/>
            <wp:wrapNone/>
            <wp:docPr id="1722802516" name="VCAT Seal3"/>
            <wp:cNvGraphicFramePr/>
            <a:graphic xmlns:a="http://schemas.openxmlformats.org/drawingml/2006/main">
              <a:graphicData uri="http://schemas.openxmlformats.org/drawingml/2006/picture">
                <pic:pic xmlns:pic="http://schemas.openxmlformats.org/drawingml/2006/picture">
                  <pic:nvPicPr>
                    <pic:cNvPr id="1722802516" name="VCAT Seal3"/>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p>
    <w:p w14:paraId="3216C477" w14:textId="0BA1A3AA" w:rsidR="00D94CDD" w:rsidRDefault="005A6978" w:rsidP="001A6269">
      <w:pPr>
        <w:pStyle w:val="Para1"/>
      </w:pPr>
      <w:r w:rsidRPr="005F50D7">
        <w:t xml:space="preserve">This is an application </w:t>
      </w:r>
      <w:r w:rsidR="00332F61">
        <w:t xml:space="preserve">dated 14 May 2024 </w:t>
      </w:r>
      <w:r w:rsidR="00EC6897">
        <w:t xml:space="preserve">by the </w:t>
      </w:r>
      <w:r w:rsidR="00EC6897" w:rsidRPr="00DA238F">
        <w:t xml:space="preserve">applicants </w:t>
      </w:r>
      <w:r w:rsidR="00046660">
        <w:t xml:space="preserve">for an order </w:t>
      </w:r>
      <w:r w:rsidR="004E7060">
        <w:t xml:space="preserve">that the respondent pay their </w:t>
      </w:r>
      <w:r w:rsidRPr="00DA238F">
        <w:t>costs</w:t>
      </w:r>
      <w:r w:rsidRPr="005F50D7">
        <w:t xml:space="preserve"> </w:t>
      </w:r>
      <w:r w:rsidR="0063188F">
        <w:t xml:space="preserve">of the proceeding and interest </w:t>
      </w:r>
      <w:r w:rsidR="00332F61">
        <w:t xml:space="preserve">(‘application’) </w:t>
      </w:r>
      <w:r w:rsidR="00D86817">
        <w:t>f</w:t>
      </w:r>
      <w:r w:rsidRPr="005F50D7">
        <w:t>ollowing the determination of</w:t>
      </w:r>
      <w:r w:rsidR="002030D3">
        <w:t xml:space="preserve"> the proceeding </w:t>
      </w:r>
      <w:r w:rsidR="00E24389">
        <w:t xml:space="preserve">by orders </w:t>
      </w:r>
      <w:r w:rsidR="007B1E02">
        <w:t xml:space="preserve">and reasons </w:t>
      </w:r>
      <w:r w:rsidR="002030D3">
        <w:t xml:space="preserve">dated </w:t>
      </w:r>
      <w:r w:rsidR="00EC6897">
        <w:t>26 March 2024</w:t>
      </w:r>
      <w:r w:rsidR="00E85874">
        <w:rPr>
          <w:rStyle w:val="FootnoteReference"/>
        </w:rPr>
        <w:footnoteReference w:id="2"/>
      </w:r>
      <w:r w:rsidR="00BE78C1">
        <w:t xml:space="preserve"> (‘decision’)</w:t>
      </w:r>
      <w:r w:rsidR="00EC6897">
        <w:t>.</w:t>
      </w:r>
    </w:p>
    <w:p w14:paraId="0BC7DF59" w14:textId="57E2B4BA" w:rsidR="001A2CC4" w:rsidRDefault="001A2CC4" w:rsidP="00FA2EDC">
      <w:pPr>
        <w:pStyle w:val="Para1"/>
      </w:pPr>
      <w:r>
        <w:t xml:space="preserve">In </w:t>
      </w:r>
      <w:r w:rsidR="00BE78C1">
        <w:t xml:space="preserve">the </w:t>
      </w:r>
      <w:r>
        <w:t xml:space="preserve">decision I </w:t>
      </w:r>
      <w:r w:rsidR="00140DE8">
        <w:t xml:space="preserve">ordered </w:t>
      </w:r>
      <w:r w:rsidR="00864F25">
        <w:t>the responden</w:t>
      </w:r>
      <w:r w:rsidR="004D3176">
        <w:t>t</w:t>
      </w:r>
      <w:r w:rsidR="00864F25">
        <w:t xml:space="preserve"> pay the first applicant </w:t>
      </w:r>
      <w:r w:rsidRPr="00376F29">
        <w:t xml:space="preserve">the amount of </w:t>
      </w:r>
      <w:r>
        <w:t xml:space="preserve">$216,812.74 </w:t>
      </w:r>
      <w:r w:rsidR="002953C3">
        <w:t xml:space="preserve">(‘amount payable’) </w:t>
      </w:r>
      <w:r w:rsidRPr="00376F29">
        <w:t>c</w:t>
      </w:r>
      <w:r w:rsidR="00BE78C1">
        <w:t xml:space="preserve">omprised </w:t>
      </w:r>
      <w:r w:rsidRPr="00376F29">
        <w:t>as follows:</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707"/>
        <w:gridCol w:w="1516"/>
      </w:tblGrid>
      <w:tr w:rsidR="00245ECC" w14:paraId="1A1985A9" w14:textId="77777777" w:rsidTr="00C02A2C">
        <w:tc>
          <w:tcPr>
            <w:tcW w:w="992" w:type="dxa"/>
          </w:tcPr>
          <w:p w14:paraId="1D582B7A" w14:textId="77777777" w:rsidR="00245ECC" w:rsidRDefault="00245ECC" w:rsidP="00303C0C">
            <w:pPr>
              <w:pStyle w:val="Para1"/>
              <w:numPr>
                <w:ilvl w:val="1"/>
                <w:numId w:val="2"/>
              </w:numPr>
              <w:tabs>
                <w:tab w:val="clear" w:pos="1440"/>
                <w:tab w:val="num" w:pos="459"/>
              </w:tabs>
              <w:ind w:left="1134" w:hanging="1100"/>
            </w:pPr>
          </w:p>
        </w:tc>
        <w:tc>
          <w:tcPr>
            <w:tcW w:w="5707" w:type="dxa"/>
          </w:tcPr>
          <w:p w14:paraId="5A889D1E" w14:textId="31C53CF9" w:rsidR="00245ECC" w:rsidRDefault="00245ECC" w:rsidP="00245ECC">
            <w:pPr>
              <w:pStyle w:val="Para1"/>
              <w:numPr>
                <w:ilvl w:val="0"/>
                <w:numId w:val="0"/>
              </w:numPr>
            </w:pPr>
            <w:r>
              <w:t xml:space="preserve">In respect of the building contract (after allowing a set off for amounts payable by the first applicant to the respondent): </w:t>
            </w:r>
          </w:p>
        </w:tc>
        <w:tc>
          <w:tcPr>
            <w:tcW w:w="1516" w:type="dxa"/>
            <w:vAlign w:val="bottom"/>
          </w:tcPr>
          <w:p w14:paraId="460071C6" w14:textId="42AE03E2" w:rsidR="00245ECC" w:rsidRDefault="00245ECC" w:rsidP="00303C0C">
            <w:pPr>
              <w:pStyle w:val="Para1"/>
              <w:numPr>
                <w:ilvl w:val="0"/>
                <w:numId w:val="0"/>
              </w:numPr>
              <w:jc w:val="right"/>
            </w:pPr>
            <w:r>
              <w:t>$15,716.57</w:t>
            </w:r>
          </w:p>
        </w:tc>
      </w:tr>
      <w:tr w:rsidR="00245ECC" w14:paraId="646F2AF4" w14:textId="77777777" w:rsidTr="00C02A2C">
        <w:tc>
          <w:tcPr>
            <w:tcW w:w="992" w:type="dxa"/>
          </w:tcPr>
          <w:p w14:paraId="602957DE" w14:textId="77777777" w:rsidR="00245ECC" w:rsidRDefault="00245ECC" w:rsidP="00303C0C">
            <w:pPr>
              <w:pStyle w:val="Para1"/>
              <w:numPr>
                <w:ilvl w:val="1"/>
                <w:numId w:val="2"/>
              </w:numPr>
              <w:tabs>
                <w:tab w:val="clear" w:pos="1440"/>
                <w:tab w:val="num" w:pos="459"/>
              </w:tabs>
              <w:ind w:left="1134" w:hanging="1100"/>
            </w:pPr>
          </w:p>
        </w:tc>
        <w:tc>
          <w:tcPr>
            <w:tcW w:w="5707" w:type="dxa"/>
          </w:tcPr>
          <w:p w14:paraId="2D1CD7AF" w14:textId="271F4C98" w:rsidR="00245ECC" w:rsidRDefault="00245ECC" w:rsidP="00245ECC">
            <w:pPr>
              <w:pStyle w:val="Para1"/>
              <w:numPr>
                <w:ilvl w:val="0"/>
                <w:numId w:val="0"/>
              </w:numPr>
            </w:pPr>
            <w:r>
              <w:t xml:space="preserve">In respect of the variation agreement: </w:t>
            </w:r>
          </w:p>
        </w:tc>
        <w:tc>
          <w:tcPr>
            <w:tcW w:w="1516" w:type="dxa"/>
            <w:vAlign w:val="bottom"/>
          </w:tcPr>
          <w:p w14:paraId="468B2DF7" w14:textId="3ED94BD5" w:rsidR="00245ECC" w:rsidRDefault="00245ECC" w:rsidP="00303C0C">
            <w:pPr>
              <w:pStyle w:val="Para1"/>
              <w:numPr>
                <w:ilvl w:val="0"/>
                <w:numId w:val="0"/>
              </w:numPr>
              <w:jc w:val="right"/>
            </w:pPr>
            <w:r>
              <w:t>$98,500.00</w:t>
            </w:r>
          </w:p>
        </w:tc>
      </w:tr>
      <w:tr w:rsidR="00245ECC" w14:paraId="25F233B3" w14:textId="77777777" w:rsidTr="00C02A2C">
        <w:tc>
          <w:tcPr>
            <w:tcW w:w="992" w:type="dxa"/>
          </w:tcPr>
          <w:p w14:paraId="17CFC4C2" w14:textId="77777777" w:rsidR="00245ECC" w:rsidRDefault="00245ECC" w:rsidP="00303C0C">
            <w:pPr>
              <w:pStyle w:val="Para1"/>
              <w:numPr>
                <w:ilvl w:val="1"/>
                <w:numId w:val="2"/>
              </w:numPr>
              <w:tabs>
                <w:tab w:val="clear" w:pos="1440"/>
                <w:tab w:val="num" w:pos="459"/>
              </w:tabs>
              <w:ind w:left="1134" w:hanging="1100"/>
            </w:pPr>
          </w:p>
        </w:tc>
        <w:tc>
          <w:tcPr>
            <w:tcW w:w="5707" w:type="dxa"/>
          </w:tcPr>
          <w:p w14:paraId="18BC1275" w14:textId="190609D9" w:rsidR="00245ECC" w:rsidRDefault="00245ECC" w:rsidP="00245ECC">
            <w:pPr>
              <w:pStyle w:val="Para1"/>
              <w:numPr>
                <w:ilvl w:val="0"/>
                <w:numId w:val="0"/>
              </w:numPr>
            </w:pPr>
            <w:r>
              <w:t>In respect of the project management agreement between the first applicant and the respondent:</w:t>
            </w:r>
            <w:r w:rsidRPr="00BE78C1">
              <w:t xml:space="preserve"> </w:t>
            </w:r>
          </w:p>
        </w:tc>
        <w:tc>
          <w:tcPr>
            <w:tcW w:w="1516" w:type="dxa"/>
            <w:vAlign w:val="bottom"/>
          </w:tcPr>
          <w:p w14:paraId="021CCD07" w14:textId="06644793" w:rsidR="00245ECC" w:rsidRDefault="00245ECC" w:rsidP="00303C0C">
            <w:pPr>
              <w:pStyle w:val="Para1"/>
              <w:numPr>
                <w:ilvl w:val="0"/>
                <w:numId w:val="0"/>
              </w:numPr>
              <w:jc w:val="right"/>
            </w:pPr>
            <w:r>
              <w:fldChar w:fldCharType="begin"/>
            </w:r>
            <w:r>
              <w:instrText xml:space="preserve"> =SUM(ABOVE) </w:instrText>
            </w:r>
            <w:r>
              <w:fldChar w:fldCharType="separate"/>
            </w:r>
            <w:r>
              <w:rPr>
                <w:noProof/>
              </w:rPr>
              <w:t>$102,596.17</w:t>
            </w:r>
            <w:r>
              <w:fldChar w:fldCharType="end"/>
            </w:r>
          </w:p>
        </w:tc>
      </w:tr>
    </w:tbl>
    <w:p w14:paraId="2FA7FADF" w14:textId="45F9B3C1" w:rsidR="00370046" w:rsidRDefault="00370046" w:rsidP="00520637">
      <w:pPr>
        <w:pStyle w:val="Para1"/>
        <w:spacing w:before="120"/>
      </w:pPr>
      <w:r>
        <w:t>In the application the applicants advised the Tribunal that they have received notice that the respondent is a bankrupt</w:t>
      </w:r>
      <w:r w:rsidR="0003726F">
        <w:t xml:space="preserve">. </w:t>
      </w:r>
    </w:p>
    <w:p w14:paraId="6DFFB9C6" w14:textId="77777777" w:rsidR="00CE2E36" w:rsidRPr="00E937DA" w:rsidRDefault="00CE2E36" w:rsidP="00CE2E36">
      <w:pPr>
        <w:pStyle w:val="Para1"/>
      </w:pPr>
      <w:r>
        <w:t>The applicants requested that the application be determined on the papers and the respondent did not object to the application being determined on the papers.</w:t>
      </w:r>
    </w:p>
    <w:p w14:paraId="21B94EFB" w14:textId="5A170A20" w:rsidR="002D2ED3" w:rsidRDefault="002D2ED3" w:rsidP="001A6269">
      <w:pPr>
        <w:pStyle w:val="Para1"/>
      </w:pPr>
      <w:r w:rsidRPr="00E937DA">
        <w:t xml:space="preserve">The applicants and the respondent have filed submissions in relation to the application </w:t>
      </w:r>
      <w:r w:rsidR="003507C3">
        <w:t xml:space="preserve">including the effect of </w:t>
      </w:r>
      <w:r w:rsidRPr="00E937DA">
        <w:t xml:space="preserve">the </w:t>
      </w:r>
      <w:r w:rsidR="00C14D0E">
        <w:t>bankruptcy</w:t>
      </w:r>
      <w:r w:rsidR="003507C3">
        <w:t xml:space="preserve"> (‘bankruptcy issue’)</w:t>
      </w:r>
      <w:r w:rsidR="00C14D0E">
        <w:t xml:space="preserve">, and the </w:t>
      </w:r>
      <w:r w:rsidRPr="00E937DA">
        <w:t>applicant</w:t>
      </w:r>
      <w:r w:rsidR="00EF0F8E">
        <w:t>s</w:t>
      </w:r>
      <w:r w:rsidRPr="00E937DA">
        <w:t xml:space="preserve"> also rel</w:t>
      </w:r>
      <w:r w:rsidR="00EF0F8E">
        <w:t>y</w:t>
      </w:r>
      <w:r w:rsidRPr="00E937DA">
        <w:t xml:space="preserve"> upon an affidavit of </w:t>
      </w:r>
      <w:r w:rsidR="00EF0F8E">
        <w:t xml:space="preserve">their lawyer </w:t>
      </w:r>
      <w:r w:rsidRPr="00E937DA">
        <w:t>Chris</w:t>
      </w:r>
      <w:r w:rsidR="00E937DA" w:rsidRPr="00E937DA">
        <w:t xml:space="preserve"> Papadopoulos</w:t>
      </w:r>
      <w:r w:rsidR="00EF0F8E">
        <w:t xml:space="preserve"> </w:t>
      </w:r>
      <w:r w:rsidR="00E937DA" w:rsidRPr="00E937DA">
        <w:t>dated 30 April 2024.</w:t>
      </w:r>
    </w:p>
    <w:p w14:paraId="3DE1F3F9" w14:textId="4CD59230" w:rsidR="006A500B" w:rsidRDefault="00943D25" w:rsidP="008F30A6">
      <w:pPr>
        <w:pStyle w:val="Heading2"/>
      </w:pPr>
      <w:bookmarkStart w:id="0" w:name="_Hlk78900778"/>
      <w:r>
        <w:t>B</w:t>
      </w:r>
      <w:r w:rsidR="006A500B">
        <w:t>ankruptcy issue</w:t>
      </w:r>
    </w:p>
    <w:p w14:paraId="1EFFBDA4" w14:textId="004BB9F8" w:rsidR="00E413CA" w:rsidRPr="00E201AE" w:rsidRDefault="00E413CA" w:rsidP="00E413CA">
      <w:pPr>
        <w:pStyle w:val="Para1"/>
        <w:rPr>
          <w:sz w:val="27"/>
          <w:szCs w:val="27"/>
          <w:lang w:eastAsia="en-AU"/>
        </w:rPr>
      </w:pPr>
      <w:r>
        <w:t xml:space="preserve">Section 58(3)(b) of the </w:t>
      </w:r>
      <w:r w:rsidRPr="00E937DA">
        <w:rPr>
          <w:i/>
          <w:iCs/>
        </w:rPr>
        <w:t>Bankruptcy Act 1966</w:t>
      </w:r>
      <w:r>
        <w:t xml:space="preserve"> (Cth) (‘</w:t>
      </w:r>
      <w:r w:rsidRPr="00E937DA">
        <w:rPr>
          <w:i/>
          <w:iCs/>
        </w:rPr>
        <w:t>Bankruptcy Act</w:t>
      </w:r>
      <w:r w:rsidRPr="006F098A">
        <w:t>’</w:t>
      </w:r>
      <w:r>
        <w:t>) provides as follows:</w:t>
      </w:r>
    </w:p>
    <w:p w14:paraId="541AEF01" w14:textId="77777777" w:rsidR="00E413CA" w:rsidRPr="00E8557A" w:rsidRDefault="00E413CA" w:rsidP="00E413CA">
      <w:pPr>
        <w:pStyle w:val="Quote1"/>
      </w:pPr>
      <w:r w:rsidRPr="00E8557A">
        <w:t>Except as provided by this Act, after a debtor has become a bankrupt, it is not competent for a creditor:</w:t>
      </w:r>
    </w:p>
    <w:p w14:paraId="284FDC92" w14:textId="77777777" w:rsidR="00E413CA" w:rsidRDefault="00E413CA" w:rsidP="00E413CA">
      <w:pPr>
        <w:pStyle w:val="Quote1"/>
      </w:pPr>
      <w:r w:rsidRPr="00E8557A">
        <w:t>(a)</w:t>
      </w:r>
      <w:r>
        <w:tab/>
        <w:t>…</w:t>
      </w:r>
    </w:p>
    <w:p w14:paraId="1ACD9366" w14:textId="77777777" w:rsidR="00E413CA" w:rsidRPr="00E8557A" w:rsidRDefault="00E413CA" w:rsidP="00E413CA">
      <w:pPr>
        <w:pStyle w:val="Quote1"/>
        <w:ind w:left="1701" w:hanging="567"/>
      </w:pPr>
      <w:r w:rsidRPr="00E8557A">
        <w:t>(b)</w:t>
      </w:r>
      <w:r>
        <w:tab/>
      </w:r>
      <w:r w:rsidRPr="00E8557A">
        <w:t xml:space="preserve">except with the leave of the Court and on such terms as the </w:t>
      </w:r>
      <w:r w:rsidRPr="00B269D1">
        <w:t>Court thinks fit, to commence any legal proceeding in respect of a provable debt or take any fresh step in such a proceeding</w:t>
      </w:r>
      <w:r w:rsidRPr="00E8557A">
        <w:t>.</w:t>
      </w:r>
    </w:p>
    <w:p w14:paraId="34604F1C" w14:textId="4D049F25" w:rsidR="002F747C" w:rsidRPr="002F747C" w:rsidRDefault="00234ABD" w:rsidP="00916C1C">
      <w:pPr>
        <w:pStyle w:val="Para1"/>
        <w:rPr>
          <w:sz w:val="27"/>
          <w:szCs w:val="27"/>
          <w:lang w:eastAsia="en-AU"/>
        </w:rPr>
      </w:pPr>
      <w:r>
        <w:t>I</w:t>
      </w:r>
      <w:r w:rsidR="00E937DA">
        <w:t>n the covering email from their lawyers</w:t>
      </w:r>
      <w:r>
        <w:t xml:space="preserve"> enclosing the application</w:t>
      </w:r>
      <w:r w:rsidR="00E937DA">
        <w:t xml:space="preserve">, the applicants advised that they would be seeking leave from the Court </w:t>
      </w:r>
      <w:r w:rsidR="00A605F1">
        <w:t xml:space="preserve">under s 58(3)(b) of the </w:t>
      </w:r>
      <w:r w:rsidR="00A605F1" w:rsidRPr="00E413CA">
        <w:rPr>
          <w:i/>
          <w:iCs/>
        </w:rPr>
        <w:t>Bankruptcy Act</w:t>
      </w:r>
      <w:r w:rsidR="00A605F1">
        <w:t xml:space="preserve"> </w:t>
      </w:r>
      <w:r w:rsidR="00E937DA">
        <w:t>to proceed with the application.</w:t>
      </w:r>
      <w:r w:rsidR="00E413CA">
        <w:t xml:space="preserve"> </w:t>
      </w:r>
    </w:p>
    <w:p w14:paraId="3CAC5926" w14:textId="501A2F44" w:rsidR="00E937DA" w:rsidRPr="00E413CA" w:rsidRDefault="00E937DA" w:rsidP="00916C1C">
      <w:pPr>
        <w:pStyle w:val="Para1"/>
        <w:rPr>
          <w:sz w:val="27"/>
          <w:szCs w:val="27"/>
          <w:lang w:eastAsia="en-AU"/>
        </w:rPr>
      </w:pPr>
      <w:r w:rsidRPr="00E937DA">
        <w:t>Subsequently</w:t>
      </w:r>
      <w:r w:rsidR="00E0310C">
        <w:t>,</w:t>
      </w:r>
      <w:r w:rsidRPr="00E937DA">
        <w:t xml:space="preserve"> by email dated 16 September 2024</w:t>
      </w:r>
      <w:r w:rsidR="00E0310C">
        <w:t>,</w:t>
      </w:r>
      <w:r w:rsidRPr="00E937DA">
        <w:t xml:space="preserve"> the applicants’ lawyers advised that they were not of the view that the applicants required leave under the </w:t>
      </w:r>
      <w:r w:rsidRPr="00E413CA">
        <w:rPr>
          <w:i/>
          <w:iCs/>
        </w:rPr>
        <w:t>Bankruptcy Act</w:t>
      </w:r>
      <w:r w:rsidRPr="00E937DA">
        <w:t xml:space="preserve"> on the grounds that:</w:t>
      </w:r>
    </w:p>
    <w:p w14:paraId="3BB8BAC5" w14:textId="27B025F8" w:rsidR="003B1A32" w:rsidRPr="00E201AE" w:rsidRDefault="00085003" w:rsidP="00E0310C">
      <w:pPr>
        <w:pStyle w:val="Para1"/>
        <w:numPr>
          <w:ilvl w:val="1"/>
          <w:numId w:val="2"/>
        </w:numPr>
        <w:tabs>
          <w:tab w:val="clear" w:pos="1440"/>
          <w:tab w:val="num" w:pos="1134"/>
        </w:tabs>
        <w:ind w:left="1134" w:hanging="567"/>
        <w:rPr>
          <w:sz w:val="27"/>
          <w:szCs w:val="27"/>
          <w:lang w:eastAsia="en-AU"/>
        </w:rPr>
      </w:pPr>
      <w:r>
        <w:t>T</w:t>
      </w:r>
      <w:r w:rsidR="00E937DA" w:rsidRPr="00A85EC7">
        <w:t xml:space="preserve">he order </w:t>
      </w:r>
      <w:r w:rsidR="00A85EC7" w:rsidRPr="00A85EC7">
        <w:t xml:space="preserve">for costs and interest </w:t>
      </w:r>
      <w:r w:rsidR="00E937DA" w:rsidRPr="00A85EC7">
        <w:t xml:space="preserve">would be made after the commencement of the bankruptcy and would therefore not be a provable debt as defined in the </w:t>
      </w:r>
      <w:r w:rsidR="00E937DA" w:rsidRPr="00A85EC7">
        <w:rPr>
          <w:i/>
          <w:iCs/>
        </w:rPr>
        <w:t>Bankruptcy Act</w:t>
      </w:r>
      <w:r w:rsidR="00E937DA" w:rsidRPr="00A85EC7">
        <w:t xml:space="preserve"> and as such, bringing </w:t>
      </w:r>
      <w:r w:rsidR="00C241CD">
        <w:rPr>
          <w:noProof/>
        </w:rPr>
        <w:drawing>
          <wp:anchor distT="0" distB="0" distL="114300" distR="114300" simplePos="0" relativeHeight="251661312" behindDoc="1" locked="0" layoutInCell="1" allowOverlap="1" wp14:anchorId="2BAD75C2" wp14:editId="42E367B4">
            <wp:simplePos x="0" y="0"/>
            <wp:positionH relativeFrom="column">
              <wp:posOffset>5183505</wp:posOffset>
            </wp:positionH>
            <wp:positionV relativeFrom="paragraph">
              <wp:posOffset>8459470</wp:posOffset>
            </wp:positionV>
            <wp:extent cx="1080000" cy="1080000"/>
            <wp:effectExtent l="0" t="0" r="6350" b="6350"/>
            <wp:wrapNone/>
            <wp:docPr id="381968605" name="VCAT Seal4"/>
            <wp:cNvGraphicFramePr/>
            <a:graphic xmlns:a="http://schemas.openxmlformats.org/drawingml/2006/main">
              <a:graphicData uri="http://schemas.openxmlformats.org/drawingml/2006/picture">
                <pic:pic xmlns:pic="http://schemas.openxmlformats.org/drawingml/2006/picture">
                  <pic:nvPicPr>
                    <pic:cNvPr id="381968605" name="VCAT Seal4"/>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937DA" w:rsidRPr="00A85EC7">
        <w:t>the application would not infringe s</w:t>
      </w:r>
      <w:r w:rsidR="00A85EC7">
        <w:t> </w:t>
      </w:r>
      <w:r w:rsidR="00E937DA" w:rsidRPr="00A85EC7">
        <w:t>58(3)</w:t>
      </w:r>
      <w:r w:rsidR="00A85EC7" w:rsidRPr="00A85EC7">
        <w:t xml:space="preserve">. </w:t>
      </w:r>
      <w:r w:rsidR="003B1A32" w:rsidRPr="00A85EC7">
        <w:t xml:space="preserve">They referred to the decision of </w:t>
      </w:r>
      <w:r w:rsidR="003B1A32" w:rsidRPr="00A85EC7">
        <w:rPr>
          <w:i/>
          <w:iCs/>
        </w:rPr>
        <w:t xml:space="preserve">Wakeling v Wade </w:t>
      </w:r>
      <w:r w:rsidR="003B1A32" w:rsidRPr="008A0939">
        <w:rPr>
          <w:rFonts w:cs="Arial"/>
        </w:rPr>
        <w:t>[2011] FCA 1452</w:t>
      </w:r>
      <w:r w:rsidR="003B1A32" w:rsidRPr="00A85EC7">
        <w:t> </w:t>
      </w:r>
      <w:r w:rsidR="003B1A32">
        <w:t>(‘</w:t>
      </w:r>
      <w:r w:rsidR="003B1A32" w:rsidRPr="00832EA1">
        <w:rPr>
          <w:i/>
          <w:iCs/>
        </w:rPr>
        <w:t>Wakeling</w:t>
      </w:r>
      <w:r w:rsidR="003B1A32">
        <w:t xml:space="preserve">’) </w:t>
      </w:r>
      <w:r w:rsidR="003B1A32" w:rsidRPr="00A85EC7">
        <w:t>at [12] and</w:t>
      </w:r>
      <w:r w:rsidR="00842B28">
        <w:t xml:space="preserve"> </w:t>
      </w:r>
      <w:r w:rsidR="003B1A32" w:rsidRPr="00A85EC7">
        <w:rPr>
          <w:i/>
          <w:iCs/>
        </w:rPr>
        <w:t>Da Vesi Construction Group Pty Ltd v De Andrade</w:t>
      </w:r>
      <w:r w:rsidR="003B1A32" w:rsidRPr="00A85EC7">
        <w:t> </w:t>
      </w:r>
      <w:r w:rsidR="003B1A32" w:rsidRPr="008A0939">
        <w:rPr>
          <w:rFonts w:cs="Arial"/>
        </w:rPr>
        <w:t>[2021] FCA 1033</w:t>
      </w:r>
      <w:r w:rsidR="003B1A32" w:rsidRPr="00A85EC7">
        <w:t> </w:t>
      </w:r>
      <w:r w:rsidR="003B1A32">
        <w:t>(‘</w:t>
      </w:r>
      <w:r w:rsidR="003B1A32" w:rsidRPr="003B1A32">
        <w:rPr>
          <w:i/>
          <w:iCs/>
        </w:rPr>
        <w:t>Da Vesi Construction Group</w:t>
      </w:r>
      <w:r w:rsidR="003B1A32">
        <w:t xml:space="preserve">’) </w:t>
      </w:r>
      <w:r w:rsidR="003B1A32" w:rsidRPr="00A85EC7">
        <w:t xml:space="preserve">at [32] in support of this </w:t>
      </w:r>
      <w:r>
        <w:t>submission.</w:t>
      </w:r>
    </w:p>
    <w:p w14:paraId="0EEAB80C" w14:textId="789DD32B" w:rsidR="00E937DA" w:rsidRPr="00A85EC7" w:rsidRDefault="00085003" w:rsidP="00E0310C">
      <w:pPr>
        <w:pStyle w:val="Para1"/>
        <w:numPr>
          <w:ilvl w:val="1"/>
          <w:numId w:val="2"/>
        </w:numPr>
        <w:tabs>
          <w:tab w:val="clear" w:pos="1440"/>
          <w:tab w:val="num" w:pos="1134"/>
        </w:tabs>
        <w:ind w:left="1134" w:hanging="567"/>
        <w:rPr>
          <w:sz w:val="27"/>
          <w:szCs w:val="27"/>
        </w:rPr>
      </w:pPr>
      <w:r>
        <w:t>A</w:t>
      </w:r>
      <w:r w:rsidR="00E937DA" w:rsidRPr="00A85EC7">
        <w:t xml:space="preserve">n </w:t>
      </w:r>
      <w:r w:rsidR="00E937DA" w:rsidRPr="00BD2539">
        <w:t>application for costs and interest is not a “fresh step” in the proceeding within the meaning of s 58(3)(b), given that final judgment has already been delivered</w:t>
      </w:r>
      <w:r w:rsidR="00E937DA" w:rsidRPr="00A85EC7">
        <w:t>.</w:t>
      </w:r>
    </w:p>
    <w:p w14:paraId="510C1319" w14:textId="79D6A6D8" w:rsidR="00E413CA" w:rsidRPr="00E413CA" w:rsidRDefault="001F1693" w:rsidP="00386C7C">
      <w:pPr>
        <w:pStyle w:val="Para1"/>
        <w:rPr>
          <w:sz w:val="27"/>
          <w:szCs w:val="27"/>
          <w:lang w:eastAsia="en-AU"/>
        </w:rPr>
      </w:pPr>
      <w:r>
        <w:t xml:space="preserve">The respondent submits that leave </w:t>
      </w:r>
      <w:r w:rsidR="00000D09">
        <w:t>of the Court is required</w:t>
      </w:r>
      <w:r w:rsidR="00E413CA">
        <w:t xml:space="preserve"> as the </w:t>
      </w:r>
      <w:r>
        <w:t xml:space="preserve">debt arose </w:t>
      </w:r>
      <w:r w:rsidR="00837DD0">
        <w:t>from the claims made in the pre</w:t>
      </w:r>
      <w:r w:rsidR="00085003">
        <w:t>-</w:t>
      </w:r>
      <w:r>
        <w:t>bankruptcy</w:t>
      </w:r>
      <w:r w:rsidR="00837DD0">
        <w:t xml:space="preserve"> proceeding</w:t>
      </w:r>
      <w:r w:rsidR="00E413CA">
        <w:t>.</w:t>
      </w:r>
    </w:p>
    <w:p w14:paraId="406FF6EB" w14:textId="4D3F07AF" w:rsidR="006F4642" w:rsidRPr="00261E47" w:rsidRDefault="00E413CA" w:rsidP="00261E47">
      <w:pPr>
        <w:pStyle w:val="Para1"/>
      </w:pPr>
      <w:r w:rsidRPr="00261E47">
        <w:t xml:space="preserve">The </w:t>
      </w:r>
      <w:r w:rsidR="006F4642" w:rsidRPr="00261E47">
        <w:t xml:space="preserve">issue is whether the applicants </w:t>
      </w:r>
      <w:r w:rsidRPr="00261E47">
        <w:t>claim for cost</w:t>
      </w:r>
      <w:r w:rsidR="006F4642" w:rsidRPr="00261E47">
        <w:t>s</w:t>
      </w:r>
      <w:r w:rsidRPr="00261E47">
        <w:t xml:space="preserve"> and interest </w:t>
      </w:r>
      <w:r w:rsidR="006F4642" w:rsidRPr="00261E47">
        <w:t xml:space="preserve">is </w:t>
      </w:r>
      <w:r w:rsidRPr="00261E47">
        <w:t xml:space="preserve">a </w:t>
      </w:r>
      <w:r w:rsidR="00653ABE">
        <w:t xml:space="preserve">proceeding in respect of a </w:t>
      </w:r>
      <w:r w:rsidRPr="00261E47">
        <w:t>provable debt</w:t>
      </w:r>
      <w:r w:rsidR="00057F69" w:rsidRPr="00261E47">
        <w:t xml:space="preserve"> as defined in the </w:t>
      </w:r>
      <w:r w:rsidR="00057F69" w:rsidRPr="00261E47">
        <w:rPr>
          <w:i/>
          <w:iCs/>
        </w:rPr>
        <w:t>Bankruptcy Act</w:t>
      </w:r>
      <w:r w:rsidR="00837DD0" w:rsidRPr="00261E47">
        <w:t xml:space="preserve"> which would require leave under s 58(3)(b)</w:t>
      </w:r>
      <w:r w:rsidR="00653ABE">
        <w:t xml:space="preserve"> to </w:t>
      </w:r>
      <w:r w:rsidR="000B2ADD">
        <w:t>either commence or continue as a fresh step</w:t>
      </w:r>
      <w:r w:rsidR="006F4642" w:rsidRPr="00261E47">
        <w:t>.</w:t>
      </w:r>
    </w:p>
    <w:p w14:paraId="55F24135" w14:textId="38D66AD8" w:rsidR="00837DD0" w:rsidRPr="00261E47" w:rsidRDefault="00837DD0" w:rsidP="00261E47">
      <w:pPr>
        <w:pStyle w:val="Para1"/>
      </w:pPr>
      <w:r w:rsidRPr="00261E47">
        <w:t>That the relief sought in the application is tied to the pre</w:t>
      </w:r>
      <w:r w:rsidR="003450AC">
        <w:t>-</w:t>
      </w:r>
      <w:r w:rsidRPr="00261E47">
        <w:t xml:space="preserve">bankruptcy claims made in the proceedings is not determinative as to whether the claim is </w:t>
      </w:r>
      <w:r w:rsidR="004051AF">
        <w:t>in respect of a</w:t>
      </w:r>
      <w:r w:rsidR="003450AC">
        <w:t xml:space="preserve"> </w:t>
      </w:r>
      <w:r w:rsidRPr="00261E47">
        <w:t>provable debt.</w:t>
      </w:r>
    </w:p>
    <w:p w14:paraId="668A15B7" w14:textId="5F8D957B" w:rsidR="003B1A32" w:rsidRPr="00261E47" w:rsidRDefault="003B1A32" w:rsidP="00261E47">
      <w:pPr>
        <w:pStyle w:val="Para1"/>
      </w:pPr>
      <w:r w:rsidRPr="00261E47">
        <w:t>In</w:t>
      </w:r>
      <w:r w:rsidR="00D17268">
        <w:t xml:space="preserve"> the Federal Court decision of </w:t>
      </w:r>
      <w:r w:rsidRPr="00261E47">
        <w:rPr>
          <w:i/>
          <w:iCs/>
        </w:rPr>
        <w:t>Wakeling</w:t>
      </w:r>
      <w:r w:rsidRPr="00261E47">
        <w:t>, it was held that costs orders made after the commencement of bankruptcy are not considered provable debts and, consequently, do not require leave under s</w:t>
      </w:r>
      <w:r w:rsidR="00D17268">
        <w:t> </w:t>
      </w:r>
      <w:r w:rsidRPr="00261E47">
        <w:t xml:space="preserve">58(3)(b). This principle was further reaffirmed in </w:t>
      </w:r>
      <w:r w:rsidRPr="00261E47">
        <w:rPr>
          <w:i/>
          <w:iCs/>
        </w:rPr>
        <w:t>Da Vesi Construction Group</w:t>
      </w:r>
      <w:r w:rsidRPr="00261E47">
        <w:t xml:space="preserve">, where the </w:t>
      </w:r>
      <w:r w:rsidR="00261E47">
        <w:t>Federal C</w:t>
      </w:r>
      <w:r w:rsidRPr="00261E47">
        <w:t>ourt confirmed that costs orders made post-bankruptcy are not provable debts and do not require leave to be pursued.</w:t>
      </w:r>
    </w:p>
    <w:p w14:paraId="400C6283" w14:textId="77777777" w:rsidR="00D17268" w:rsidRDefault="00D17268" w:rsidP="00261E47">
      <w:pPr>
        <w:pStyle w:val="Para1"/>
      </w:pPr>
      <w:r>
        <w:t>Whilst not referred to by the parties, I note that these Federal Court decisions are consistent with the High Court decision i</w:t>
      </w:r>
      <w:r w:rsidR="00261E47">
        <w:t xml:space="preserve">n </w:t>
      </w:r>
      <w:r w:rsidR="00261E47" w:rsidRPr="00837DD0">
        <w:rPr>
          <w:i/>
          <w:iCs/>
        </w:rPr>
        <w:t>Foots v Southern Cross Mine Management Pty Ltd</w:t>
      </w:r>
      <w:r w:rsidR="00261E47">
        <w:t xml:space="preserve"> [2007] HCA 56 (‘</w:t>
      </w:r>
      <w:r w:rsidR="00261E47" w:rsidRPr="003B1A32">
        <w:rPr>
          <w:i/>
          <w:iCs/>
        </w:rPr>
        <w:t>Foots</w:t>
      </w:r>
      <w:r w:rsidR="00261E47">
        <w:t xml:space="preserve">’), </w:t>
      </w:r>
      <w:r>
        <w:t xml:space="preserve">which </w:t>
      </w:r>
      <w:r w:rsidR="00261E47">
        <w:t>established that a court order requiring a person to pay costs is a provable debt in that person's bankruptcy only if the order is made prior to the date of bankruptcy</w:t>
      </w:r>
      <w:r>
        <w:t xml:space="preserve">. </w:t>
      </w:r>
    </w:p>
    <w:p w14:paraId="010B42C3" w14:textId="228165A7" w:rsidR="003B1A32" w:rsidRPr="00261E47" w:rsidRDefault="003B1A32" w:rsidP="00261E47">
      <w:pPr>
        <w:pStyle w:val="Para1"/>
      </w:pPr>
      <w:r w:rsidRPr="00261E47">
        <w:t xml:space="preserve">Therefore, </w:t>
      </w:r>
      <w:r w:rsidR="003D3A01">
        <w:t>as an</w:t>
      </w:r>
      <w:r w:rsidR="00320E84">
        <w:t>y</w:t>
      </w:r>
      <w:r w:rsidR="003D3A01">
        <w:t xml:space="preserve"> order for costs will be made after the date of bankruptcy</w:t>
      </w:r>
      <w:r w:rsidR="003066C4">
        <w:rPr>
          <w:rStyle w:val="FootnoteReference"/>
        </w:rPr>
        <w:footnoteReference w:id="3"/>
      </w:r>
      <w:r w:rsidR="003D3A01">
        <w:t xml:space="preserve">, </w:t>
      </w:r>
      <w:r w:rsidRPr="00261E47">
        <w:t xml:space="preserve">I accept the applicants’ submissions that </w:t>
      </w:r>
      <w:r w:rsidR="00261E47">
        <w:t>their</w:t>
      </w:r>
      <w:r w:rsidRPr="00261E47">
        <w:t xml:space="preserve"> application for costs is not</w:t>
      </w:r>
      <w:r w:rsidR="004C02AA">
        <w:t xml:space="preserve"> in respect of</w:t>
      </w:r>
      <w:r w:rsidRPr="00261E47">
        <w:t xml:space="preserve"> a provable debt and they can make their application without first seeking leave of the Court.</w:t>
      </w:r>
      <w:r w:rsidR="000D2AFE">
        <w:t xml:space="preserve"> </w:t>
      </w:r>
    </w:p>
    <w:p w14:paraId="24B446D1" w14:textId="257B78C7" w:rsidR="00C351F8" w:rsidRDefault="00261E47" w:rsidP="003446AC">
      <w:pPr>
        <w:pStyle w:val="Para1"/>
      </w:pPr>
      <w:r>
        <w:t>However, n</w:t>
      </w:r>
      <w:r w:rsidR="00832EA1">
        <w:t xml:space="preserve">either of the authorities referred to by the applicants consider whether an </w:t>
      </w:r>
      <w:r>
        <w:t>application for interest is, or is not, a</w:t>
      </w:r>
      <w:r w:rsidR="00FF09F5">
        <w:t>n application in relation to a</w:t>
      </w:r>
      <w:r w:rsidR="00C062FA">
        <w:t xml:space="preserve"> </w:t>
      </w:r>
      <w:r>
        <w:t>provable debt.</w:t>
      </w:r>
      <w:r w:rsidR="002953C3">
        <w:t xml:space="preserve"> </w:t>
      </w:r>
    </w:p>
    <w:p w14:paraId="28BA4971" w14:textId="2F0F43D4" w:rsidR="00C351F8" w:rsidRDefault="00A35D74" w:rsidP="00BB5842">
      <w:pPr>
        <w:pStyle w:val="Para1"/>
      </w:pPr>
      <w:r>
        <w:t xml:space="preserve">The applicants seek interest on the amount payable under either the building contract, the project management agreement, s 53(2)(b)(ii) of the </w:t>
      </w:r>
      <w:r w:rsidRPr="002A1AB6">
        <w:rPr>
          <w:i/>
          <w:iCs/>
        </w:rPr>
        <w:t>Domestic Building Contracts Act 1995</w:t>
      </w:r>
      <w:r>
        <w:t xml:space="preserve"> (‘</w:t>
      </w:r>
      <w:r w:rsidRPr="002A1AB6">
        <w:rPr>
          <w:i/>
          <w:iCs/>
        </w:rPr>
        <w:t>DBC Act</w:t>
      </w:r>
      <w:r>
        <w:t xml:space="preserve">’), </w:t>
      </w:r>
      <w:r w:rsidRPr="00370046">
        <w:t xml:space="preserve">and </w:t>
      </w:r>
      <w:r>
        <w:t xml:space="preserve">s </w:t>
      </w:r>
      <w:r w:rsidRPr="00370046">
        <w:t>184(2)(b)(ii) of</w:t>
      </w:r>
      <w:r w:rsidRPr="002A1AB6">
        <w:rPr>
          <w:sz w:val="23"/>
          <w:szCs w:val="23"/>
        </w:rPr>
        <w:t xml:space="preserve"> </w:t>
      </w:r>
      <w:r>
        <w:t xml:space="preserve">the </w:t>
      </w:r>
      <w:r w:rsidRPr="002A1AB6">
        <w:rPr>
          <w:i/>
          <w:iCs/>
        </w:rPr>
        <w:t>Australian Consumer Law and Fair Trading Act 2012</w:t>
      </w:r>
      <w:r>
        <w:t xml:space="preserve"> (‘</w:t>
      </w:r>
      <w:r w:rsidRPr="002A1AB6">
        <w:rPr>
          <w:i/>
          <w:iCs/>
        </w:rPr>
        <w:t>ACLFT Act</w:t>
      </w:r>
      <w:r>
        <w:t xml:space="preserve">’). </w:t>
      </w:r>
      <w:r w:rsidR="0038493C">
        <w:t>The applicants claim</w:t>
      </w:r>
      <w:r w:rsidR="00FC20ED">
        <w:t xml:space="preserve"> </w:t>
      </w:r>
      <w:r w:rsidR="00F95AC0">
        <w:t xml:space="preserve">for </w:t>
      </w:r>
      <w:r w:rsidR="0038493C">
        <w:t xml:space="preserve">interest </w:t>
      </w:r>
      <w:r w:rsidR="00FC20ED">
        <w:t xml:space="preserve">accrued from the date that the respondent was required to make payments under the </w:t>
      </w:r>
      <w:r w:rsidR="00731356">
        <w:t xml:space="preserve">building contract and the project management agreement </w:t>
      </w:r>
      <w:r w:rsidR="009A154F">
        <w:t xml:space="preserve">or </w:t>
      </w:r>
      <w:r w:rsidR="003F7485">
        <w:t xml:space="preserve">alternatively </w:t>
      </w:r>
      <w:r w:rsidR="009A154F">
        <w:t>from the commencement of the proceeding.</w:t>
      </w:r>
      <w:r>
        <w:t xml:space="preserve"> </w:t>
      </w:r>
    </w:p>
    <w:p w14:paraId="42F51C21" w14:textId="2305E8A4" w:rsidR="004A0260" w:rsidRDefault="00C241CD" w:rsidP="00C27ECD">
      <w:pPr>
        <w:pStyle w:val="Para1"/>
      </w:pPr>
      <w:r>
        <w:rPr>
          <w:noProof/>
        </w:rPr>
        <w:drawing>
          <wp:anchor distT="0" distB="0" distL="114300" distR="114300" simplePos="0" relativeHeight="251662336" behindDoc="1" locked="0" layoutInCell="1" allowOverlap="1" wp14:anchorId="34BAA6BB" wp14:editId="510E0ACF">
            <wp:simplePos x="0" y="0"/>
            <wp:positionH relativeFrom="column">
              <wp:posOffset>5183505</wp:posOffset>
            </wp:positionH>
            <wp:positionV relativeFrom="paragraph">
              <wp:posOffset>8459470</wp:posOffset>
            </wp:positionV>
            <wp:extent cx="1080000" cy="1080000"/>
            <wp:effectExtent l="0" t="0" r="6350" b="6350"/>
            <wp:wrapNone/>
            <wp:docPr id="1172415260" name="VCAT Seal5"/>
            <wp:cNvGraphicFramePr/>
            <a:graphic xmlns:a="http://schemas.openxmlformats.org/drawingml/2006/main">
              <a:graphicData uri="http://schemas.openxmlformats.org/drawingml/2006/picture">
                <pic:pic xmlns:pic="http://schemas.openxmlformats.org/drawingml/2006/picture">
                  <pic:nvPicPr>
                    <pic:cNvPr id="1172415260" name="VCAT Seal5"/>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953C3">
        <w:t xml:space="preserve">I am not persuaded that an application </w:t>
      </w:r>
      <w:r w:rsidR="000D2AFE">
        <w:t xml:space="preserve">for interest </w:t>
      </w:r>
      <w:r w:rsidR="002953C3">
        <w:t xml:space="preserve">can be made, </w:t>
      </w:r>
      <w:r w:rsidR="000D2AFE">
        <w:t xml:space="preserve">without obtaining the leave of the Court under s 58(3)(b) of the </w:t>
      </w:r>
      <w:r w:rsidR="000D2AFE" w:rsidRPr="00E413CA">
        <w:rPr>
          <w:i/>
          <w:iCs/>
        </w:rPr>
        <w:t>Bankruptcy Act</w:t>
      </w:r>
      <w:r w:rsidR="004A0260">
        <w:t>.</w:t>
      </w:r>
    </w:p>
    <w:p w14:paraId="16AB6726" w14:textId="50A53B9B" w:rsidR="00C27ECD" w:rsidRPr="009D1798" w:rsidRDefault="004A0260" w:rsidP="00C27ECD">
      <w:pPr>
        <w:pStyle w:val="Para1"/>
      </w:pPr>
      <w:r>
        <w:t xml:space="preserve">In the </w:t>
      </w:r>
      <w:r w:rsidR="000D2AFE">
        <w:t xml:space="preserve">decision of the South Australian Court of Appeal in </w:t>
      </w:r>
      <w:r w:rsidR="000D2AFE" w:rsidRPr="000D2AFE">
        <w:rPr>
          <w:i/>
          <w:iCs/>
        </w:rPr>
        <w:t>Leadenhall Australia Pty Ltd v Doma &amp; Anor</w:t>
      </w:r>
      <w:r w:rsidR="000D2AFE">
        <w:t xml:space="preserve"> [2024] SASCA 77</w:t>
      </w:r>
      <w:r w:rsidR="00B273D9">
        <w:t xml:space="preserve"> the Court held</w:t>
      </w:r>
      <w:r w:rsidR="00421BAB" w:rsidRPr="009C5F8B">
        <w:t xml:space="preserve"> that</w:t>
      </w:r>
      <w:r w:rsidR="00E41D13" w:rsidRPr="009C5F8B">
        <w:rPr>
          <w:color w:val="000000"/>
          <w:shd w:val="clear" w:color="auto" w:fill="FFFFFF"/>
        </w:rPr>
        <w:t xml:space="preserve"> bankruptcy-period interest forms part of a single debt which is a provable debt for the purposes of s</w:t>
      </w:r>
      <w:r w:rsidR="002A2208">
        <w:rPr>
          <w:color w:val="000000"/>
          <w:shd w:val="clear" w:color="auto" w:fill="FFFFFF"/>
        </w:rPr>
        <w:t> </w:t>
      </w:r>
      <w:r w:rsidR="00E41D13" w:rsidRPr="009C5F8B">
        <w:rPr>
          <w:color w:val="000000"/>
          <w:shd w:val="clear" w:color="auto" w:fill="FFFFFF"/>
        </w:rPr>
        <w:t>58(3)</w:t>
      </w:r>
      <w:r w:rsidR="00751E96">
        <w:rPr>
          <w:color w:val="000000"/>
          <w:shd w:val="clear" w:color="auto" w:fill="FFFFFF"/>
        </w:rPr>
        <w:t xml:space="preserve"> of the </w:t>
      </w:r>
      <w:r w:rsidR="00751E96" w:rsidRPr="00751E96">
        <w:rPr>
          <w:i/>
          <w:iCs/>
          <w:color w:val="000000"/>
          <w:shd w:val="clear" w:color="auto" w:fill="FFFFFF"/>
        </w:rPr>
        <w:t>Bankruptcy Act</w:t>
      </w:r>
      <w:r w:rsidR="009C5F8B" w:rsidRPr="009C5F8B">
        <w:rPr>
          <w:color w:val="000000"/>
          <w:shd w:val="clear" w:color="auto" w:fill="FFFFFF"/>
        </w:rPr>
        <w:t>.</w:t>
      </w:r>
      <w:r w:rsidR="00C27ECD">
        <w:rPr>
          <w:rStyle w:val="FootnoteReference"/>
        </w:rPr>
        <w:footnoteReference w:id="4"/>
      </w:r>
    </w:p>
    <w:p w14:paraId="5F9FAEC0" w14:textId="6D7BF99F" w:rsidR="009D1798" w:rsidRPr="00C27ECD" w:rsidRDefault="005D680B" w:rsidP="00C27ECD">
      <w:pPr>
        <w:pStyle w:val="Para1"/>
        <w:rPr>
          <w:rStyle w:val="FootnoteReference"/>
          <w:vertAlign w:val="baseline"/>
        </w:rPr>
      </w:pPr>
      <w:r>
        <w:rPr>
          <w:color w:val="000000"/>
          <w:shd w:val="clear" w:color="auto" w:fill="FFFFFF"/>
        </w:rPr>
        <w:t xml:space="preserve">Further </w:t>
      </w:r>
      <w:r w:rsidR="009D1798">
        <w:rPr>
          <w:color w:val="000000"/>
          <w:shd w:val="clear" w:color="auto" w:fill="FFFFFF"/>
        </w:rPr>
        <w:t xml:space="preserve">I do not accept the submission that the delivery of the decision </w:t>
      </w:r>
      <w:r w:rsidR="00A3340F">
        <w:rPr>
          <w:color w:val="000000"/>
          <w:shd w:val="clear" w:color="auto" w:fill="FFFFFF"/>
        </w:rPr>
        <w:t xml:space="preserve">means that the claim for interest is not a fresh step in the proceeding, in circumstances where </w:t>
      </w:r>
      <w:r w:rsidR="009557B4">
        <w:rPr>
          <w:color w:val="000000"/>
          <w:shd w:val="clear" w:color="auto" w:fill="FFFFFF"/>
        </w:rPr>
        <w:t xml:space="preserve">it was one of the claims made in the proceeding and I reserved that claim </w:t>
      </w:r>
      <w:r w:rsidR="003E2916">
        <w:rPr>
          <w:color w:val="000000"/>
          <w:shd w:val="clear" w:color="auto" w:fill="FFFFFF"/>
        </w:rPr>
        <w:t xml:space="preserve">in the proceeding </w:t>
      </w:r>
      <w:r w:rsidR="009557B4">
        <w:rPr>
          <w:color w:val="000000"/>
          <w:shd w:val="clear" w:color="auto" w:fill="FFFFFF"/>
        </w:rPr>
        <w:t xml:space="preserve">pending a future application. </w:t>
      </w:r>
    </w:p>
    <w:p w14:paraId="2AC59802" w14:textId="10846194" w:rsidR="006E2EBA" w:rsidRDefault="006E2EBA" w:rsidP="003446AC">
      <w:pPr>
        <w:pStyle w:val="Para1"/>
      </w:pPr>
      <w:r>
        <w:t>As such I will strike out that part of the application seeking orders for interest. There will be liberty to make a further application</w:t>
      </w:r>
      <w:r w:rsidR="0041317F">
        <w:t>,</w:t>
      </w:r>
      <w:r>
        <w:t xml:space="preserve"> should leave of the Court be given at a future time.</w:t>
      </w:r>
    </w:p>
    <w:p w14:paraId="413E9C87" w14:textId="2965B51D" w:rsidR="008F30A6" w:rsidRDefault="008F30A6" w:rsidP="008F30A6">
      <w:pPr>
        <w:pStyle w:val="Heading2"/>
      </w:pPr>
      <w:r>
        <w:t>Costs sought by the Applicants</w:t>
      </w:r>
    </w:p>
    <w:bookmarkEnd w:id="0"/>
    <w:p w14:paraId="3F8EB4EB" w14:textId="5CEBC873" w:rsidR="00872CA3" w:rsidRDefault="0047652B" w:rsidP="0047652B">
      <w:pPr>
        <w:pStyle w:val="Para1"/>
        <w:spacing w:before="120"/>
      </w:pPr>
      <w:r>
        <w:t xml:space="preserve">Both applicants seek their costs. </w:t>
      </w:r>
      <w:r w:rsidR="00D12D8C">
        <w:t>The second applicant is the director of the first applicant and any claims by the second applicant were made in the alternative to the first applicant’s claim</w:t>
      </w:r>
      <w:r w:rsidR="00F4041E">
        <w:t>s</w:t>
      </w:r>
      <w:r w:rsidR="00603657">
        <w:t xml:space="preserve"> all the claims of the proceeding were intertwined</w:t>
      </w:r>
      <w:r w:rsidR="00D12D8C">
        <w:t xml:space="preserve">. </w:t>
      </w:r>
      <w:r w:rsidR="00CF1439">
        <w:t>T</w:t>
      </w:r>
      <w:r>
        <w:t xml:space="preserve">here are no submissions </w:t>
      </w:r>
      <w:r w:rsidR="00CF1439">
        <w:t xml:space="preserve">made </w:t>
      </w:r>
      <w:r w:rsidR="00484D85">
        <w:t xml:space="preserve">by the respondent </w:t>
      </w:r>
      <w:r>
        <w:t>that I should only make orders in relation to the cost</w:t>
      </w:r>
      <w:r w:rsidR="00F4041E">
        <w:t>s</w:t>
      </w:r>
      <w:r>
        <w:t xml:space="preserve"> of the first applicant</w:t>
      </w:r>
      <w:r w:rsidR="00CF1439">
        <w:t xml:space="preserve">. </w:t>
      </w:r>
      <w:r w:rsidR="00D12D8C">
        <w:t xml:space="preserve">I </w:t>
      </w:r>
      <w:r w:rsidR="008060DE">
        <w:t xml:space="preserve">am </w:t>
      </w:r>
      <w:r w:rsidR="000640D1">
        <w:t xml:space="preserve">therefore </w:t>
      </w:r>
      <w:r w:rsidR="008060DE">
        <w:t xml:space="preserve">satisfied that it is appropriate to consider both </w:t>
      </w:r>
      <w:r w:rsidR="00872CA3">
        <w:t>applicants</w:t>
      </w:r>
      <w:r w:rsidR="004A4385">
        <w:t>’</w:t>
      </w:r>
      <w:r w:rsidR="00872CA3">
        <w:t xml:space="preserve"> costs of the proceeding.</w:t>
      </w:r>
    </w:p>
    <w:p w14:paraId="5BFD97C8" w14:textId="1F455DF1" w:rsidR="00A35D74" w:rsidRDefault="00A35D74" w:rsidP="00A35D74">
      <w:pPr>
        <w:pStyle w:val="Para1"/>
        <w:spacing w:before="120"/>
      </w:pPr>
      <w:r>
        <w:t xml:space="preserve">The applicants seek their costs of the proceeding under s 109 of the </w:t>
      </w:r>
      <w:r w:rsidRPr="002953C3">
        <w:rPr>
          <w:i/>
          <w:iCs/>
        </w:rPr>
        <w:t>Victorian Civil and Administrative Tribunal Act 199</w:t>
      </w:r>
      <w:r>
        <w:rPr>
          <w:i/>
          <w:iCs/>
        </w:rPr>
        <w:t>8</w:t>
      </w:r>
      <w:r>
        <w:t xml:space="preserve"> (</w:t>
      </w:r>
      <w:r w:rsidRPr="00370046">
        <w:t>‘</w:t>
      </w:r>
      <w:r w:rsidRPr="002953C3">
        <w:rPr>
          <w:i/>
          <w:iCs/>
        </w:rPr>
        <w:t>VCAT Act</w:t>
      </w:r>
      <w:r w:rsidRPr="00370046">
        <w:t>’</w:t>
      </w:r>
      <w:r>
        <w:t>).</w:t>
      </w:r>
    </w:p>
    <w:p w14:paraId="57CC355E" w14:textId="4636407E" w:rsidR="00C02BC5" w:rsidRPr="00F07C0C" w:rsidRDefault="00C02BC5" w:rsidP="001A6269">
      <w:pPr>
        <w:pStyle w:val="Para1"/>
      </w:pPr>
      <w:r w:rsidRPr="00F07C0C">
        <w:t>The primary position</w:t>
      </w:r>
      <w:r w:rsidR="007255A2">
        <w:t xml:space="preserve"> under s 109</w:t>
      </w:r>
      <w:r w:rsidR="00832EA1">
        <w:t xml:space="preserve"> of the </w:t>
      </w:r>
      <w:r w:rsidR="00832EA1" w:rsidRPr="00832EA1">
        <w:rPr>
          <w:i/>
          <w:iCs/>
        </w:rPr>
        <w:t>VCAT Act</w:t>
      </w:r>
      <w:r w:rsidRPr="00F07C0C">
        <w:t xml:space="preserve"> is that parties bear their own costs of a proceeding in the Tribunal. Unlike in the courts, success in a proceeding does not by itself justify an order for costs</w:t>
      </w:r>
      <w:r>
        <w:t>, s</w:t>
      </w:r>
      <w:r w:rsidRPr="00F07C0C">
        <w:t>omething further must be shown.</w:t>
      </w:r>
      <w:r w:rsidRPr="00F07C0C">
        <w:rPr>
          <w:rStyle w:val="FootnoteReference"/>
        </w:rPr>
        <w:footnoteReference w:id="5"/>
      </w:r>
      <w:r>
        <w:t xml:space="preserve"> </w:t>
      </w:r>
      <w:r w:rsidRPr="00F07C0C">
        <w:t>The Tribunal does have a discretion to order costs but only if it is satisfied that it is fair to do so and, in determining whether it is fair to do so, the Tribunal must have regard to the matters in s</w:t>
      </w:r>
      <w:r w:rsidR="007255A2">
        <w:t> 10</w:t>
      </w:r>
      <w:r w:rsidRPr="00F07C0C">
        <w:t>9(3).</w:t>
      </w:r>
      <w:r w:rsidRPr="00F07C0C">
        <w:rPr>
          <w:rStyle w:val="FootnoteReference"/>
        </w:rPr>
        <w:footnoteReference w:id="6"/>
      </w:r>
      <w:r w:rsidRPr="00F07C0C">
        <w:t xml:space="preserve"> </w:t>
      </w:r>
    </w:p>
    <w:p w14:paraId="6A58002C" w14:textId="6599B8D7" w:rsidR="00B26256" w:rsidRDefault="0079789B" w:rsidP="001A6269">
      <w:pPr>
        <w:pStyle w:val="Para1"/>
      </w:pPr>
      <w:r>
        <w:rPr>
          <w:shd w:val="clear" w:color="auto" w:fill="FFFFFF"/>
        </w:rPr>
        <w:t>F</w:t>
      </w:r>
      <w:r w:rsidR="00B26256">
        <w:rPr>
          <w:shd w:val="clear" w:color="auto" w:fill="FFFFFF"/>
        </w:rPr>
        <w:t xml:space="preserve">or conduct to fall within s109(3), it is required to be more than simply </w:t>
      </w:r>
      <w:r w:rsidR="00935AFB">
        <w:rPr>
          <w:shd w:val="clear" w:color="auto" w:fill="FFFFFF"/>
        </w:rPr>
        <w:t xml:space="preserve">being successful in </w:t>
      </w:r>
      <w:r w:rsidR="00B26256">
        <w:rPr>
          <w:shd w:val="clear" w:color="auto" w:fill="FFFFFF"/>
        </w:rPr>
        <w:t>defending or bringing a claim.</w:t>
      </w:r>
      <w:r w:rsidR="00B26256">
        <w:rPr>
          <w:rStyle w:val="FootnoteReference"/>
          <w:shd w:val="clear" w:color="auto" w:fill="FFFFFF"/>
        </w:rPr>
        <w:footnoteReference w:id="7"/>
      </w:r>
    </w:p>
    <w:p w14:paraId="236D17DC" w14:textId="77777777" w:rsidR="00832EA1" w:rsidRDefault="00CA25EF" w:rsidP="001A6269">
      <w:pPr>
        <w:pStyle w:val="Para1"/>
      </w:pPr>
      <w:r>
        <w:t>The applicant</w:t>
      </w:r>
      <w:r w:rsidR="00832EA1">
        <w:t>s submit it is fair that the respondent pay their costs because:</w:t>
      </w:r>
    </w:p>
    <w:p w14:paraId="0C801762" w14:textId="41140AFD" w:rsidR="003F188A" w:rsidRPr="00832EA1" w:rsidRDefault="008D3E6F" w:rsidP="0088790D">
      <w:pPr>
        <w:pStyle w:val="Para1"/>
        <w:numPr>
          <w:ilvl w:val="1"/>
          <w:numId w:val="2"/>
        </w:numPr>
        <w:tabs>
          <w:tab w:val="clear" w:pos="1440"/>
        </w:tabs>
        <w:ind w:left="1134" w:hanging="567"/>
      </w:pPr>
      <w:bookmarkStart w:id="1" w:name="_Hlk186455056"/>
      <w:r>
        <w:t>t</w:t>
      </w:r>
      <w:r w:rsidR="00832EA1">
        <w:t>he</w:t>
      </w:r>
      <w:r w:rsidR="007B01E2">
        <w:t xml:space="preserve"> applicants </w:t>
      </w:r>
      <w:r w:rsidR="00832EA1">
        <w:t xml:space="preserve">had a </w:t>
      </w:r>
      <w:r w:rsidR="003F188A" w:rsidRPr="00832EA1">
        <w:t xml:space="preserve">relatively strong case (as articulated from the beginning of the proceeding) based on the documents, compared to the incredibly weak counterfactual (not backed by documents) of the respondent. </w:t>
      </w:r>
      <w:r w:rsidR="00832EA1">
        <w:t>The</w:t>
      </w:r>
      <w:r w:rsidR="007B01E2">
        <w:t>y</w:t>
      </w:r>
      <w:r w:rsidR="00832EA1">
        <w:t xml:space="preserve"> submit that the </w:t>
      </w:r>
      <w:r w:rsidR="003F188A" w:rsidRPr="00832EA1">
        <w:t>respondent put forward numerous defences that had no tenable basis (including her alleged difficulties with English);</w:t>
      </w:r>
    </w:p>
    <w:p w14:paraId="290DD156" w14:textId="757D22EC" w:rsidR="003F188A" w:rsidRPr="00832EA1" w:rsidRDefault="008D3E6F" w:rsidP="0088790D">
      <w:pPr>
        <w:pStyle w:val="Para1"/>
        <w:numPr>
          <w:ilvl w:val="1"/>
          <w:numId w:val="2"/>
        </w:numPr>
        <w:tabs>
          <w:tab w:val="clear" w:pos="1440"/>
        </w:tabs>
        <w:ind w:left="1134" w:hanging="567"/>
      </w:pPr>
      <w:r>
        <w:t>t</w:t>
      </w:r>
      <w:r w:rsidR="003F188A" w:rsidRPr="007B01E2">
        <w:t>he proceeding</w:t>
      </w:r>
      <w:r w:rsidR="003F188A" w:rsidRPr="00832EA1">
        <w:t xml:space="preserve"> was made unnecessarily complex by the respondent's decision to run a counterfactual, together with numerous defences in </w:t>
      </w:r>
      <w:r w:rsidR="00C241CD">
        <w:rPr>
          <w:noProof/>
        </w:rPr>
        <w:drawing>
          <wp:anchor distT="0" distB="0" distL="114300" distR="114300" simplePos="0" relativeHeight="251663360" behindDoc="1" locked="0" layoutInCell="1" allowOverlap="1" wp14:anchorId="5CB1A61A" wp14:editId="39874C21">
            <wp:simplePos x="0" y="0"/>
            <wp:positionH relativeFrom="column">
              <wp:posOffset>5183505</wp:posOffset>
            </wp:positionH>
            <wp:positionV relativeFrom="paragraph">
              <wp:posOffset>8459470</wp:posOffset>
            </wp:positionV>
            <wp:extent cx="1080000" cy="1080000"/>
            <wp:effectExtent l="0" t="0" r="6350" b="6350"/>
            <wp:wrapNone/>
            <wp:docPr id="51029555" name="VCAT Seal6"/>
            <wp:cNvGraphicFramePr/>
            <a:graphic xmlns:a="http://schemas.openxmlformats.org/drawingml/2006/main">
              <a:graphicData uri="http://schemas.openxmlformats.org/drawingml/2006/picture">
                <pic:pic xmlns:pic="http://schemas.openxmlformats.org/drawingml/2006/picture">
                  <pic:nvPicPr>
                    <pic:cNvPr id="51029555" name="VCAT Seal6"/>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F188A" w:rsidRPr="00832EA1">
        <w:t xml:space="preserve">law that required substantial work (as exemplified in her tediously lengthy closing submissions, which demanded a thorough response); </w:t>
      </w:r>
      <w:r w:rsidR="0088790D">
        <w:t>and</w:t>
      </w:r>
    </w:p>
    <w:p w14:paraId="08822C02" w14:textId="3E4F0093" w:rsidR="001B3EB9" w:rsidRDefault="007B01E2" w:rsidP="0088790D">
      <w:pPr>
        <w:pStyle w:val="Para1"/>
        <w:numPr>
          <w:ilvl w:val="1"/>
          <w:numId w:val="2"/>
        </w:numPr>
        <w:tabs>
          <w:tab w:val="clear" w:pos="1440"/>
        </w:tabs>
        <w:ind w:left="1134" w:hanging="567"/>
      </w:pPr>
      <w:r w:rsidRPr="007B01E2">
        <w:t>T</w:t>
      </w:r>
      <w:r w:rsidR="00832EA1" w:rsidRPr="007B01E2">
        <w:t>he respo</w:t>
      </w:r>
      <w:r w:rsidR="00832EA1">
        <w:t xml:space="preserve">ndent failed to accept </w:t>
      </w:r>
      <w:r w:rsidR="003F188A" w:rsidRPr="00832EA1">
        <w:t>the applicants</w:t>
      </w:r>
      <w:r w:rsidR="0088790D">
        <w:t>’</w:t>
      </w:r>
      <w:r w:rsidR="003F188A" w:rsidRPr="00832EA1">
        <w:t xml:space="preserve"> Calderbank offer of 11 March 2021</w:t>
      </w:r>
      <w:r w:rsidR="002D327C">
        <w:t xml:space="preserve">. The offer was to settle the proceedings for a payment by the respondent to the </w:t>
      </w:r>
      <w:r w:rsidR="001B3EB9" w:rsidRPr="00832EA1">
        <w:t>applicants</w:t>
      </w:r>
      <w:r w:rsidR="002D327C">
        <w:t xml:space="preserve"> </w:t>
      </w:r>
      <w:r w:rsidR="001B3EB9" w:rsidRPr="00832EA1">
        <w:t xml:space="preserve">of $219,766.60 </w:t>
      </w:r>
      <w:r w:rsidR="002D327C">
        <w:t xml:space="preserve">which they submit is a </w:t>
      </w:r>
      <w:r w:rsidR="001B3EB9" w:rsidRPr="00832EA1">
        <w:t xml:space="preserve">position agreed to be more favourable than what </w:t>
      </w:r>
      <w:r w:rsidR="002D327C">
        <w:t xml:space="preserve">the respondent </w:t>
      </w:r>
      <w:r w:rsidR="001B3EB9" w:rsidRPr="00832EA1">
        <w:t xml:space="preserve">now finds herself in, including after her costs of the hearing that were subsequently incurred are taken into account. </w:t>
      </w:r>
    </w:p>
    <w:bookmarkEnd w:id="1"/>
    <w:p w14:paraId="5268733A" w14:textId="51BB8E4D" w:rsidR="00B47001" w:rsidRDefault="004A009C" w:rsidP="00B47001">
      <w:pPr>
        <w:pStyle w:val="Para1"/>
      </w:pPr>
      <w:r>
        <w:t>In respon</w:t>
      </w:r>
      <w:r w:rsidR="007B01E2">
        <w:t>se</w:t>
      </w:r>
      <w:r>
        <w:t xml:space="preserve"> t</w:t>
      </w:r>
      <w:r w:rsidR="00B47001">
        <w:t xml:space="preserve">he respondent submits it is not fair that she </w:t>
      </w:r>
      <w:r w:rsidR="00210E4C">
        <w:t>pays</w:t>
      </w:r>
      <w:r w:rsidR="00B47001">
        <w:t xml:space="preserve"> the </w:t>
      </w:r>
      <w:r>
        <w:t>applicant</w:t>
      </w:r>
      <w:r w:rsidR="00B47001">
        <w:t>s’ costs because:</w:t>
      </w:r>
    </w:p>
    <w:p w14:paraId="45D21FB8" w14:textId="3C5424E6" w:rsidR="00B47001" w:rsidRDefault="00810B83" w:rsidP="00810B83">
      <w:pPr>
        <w:pStyle w:val="Para1"/>
        <w:numPr>
          <w:ilvl w:val="1"/>
          <w:numId w:val="2"/>
        </w:numPr>
        <w:tabs>
          <w:tab w:val="clear" w:pos="1440"/>
        </w:tabs>
        <w:ind w:left="1134" w:hanging="567"/>
      </w:pPr>
      <w:r>
        <w:t>t</w:t>
      </w:r>
      <w:r w:rsidR="004A009C">
        <w:t>he applicants caused the parties to incur additional costs because of a number of amendments of their pleadings.</w:t>
      </w:r>
      <w:r w:rsidR="004A009C" w:rsidRPr="004A009C">
        <w:t xml:space="preserve"> </w:t>
      </w:r>
      <w:r w:rsidR="004A009C">
        <w:t xml:space="preserve">The hearing originally listed for 24 November 2020 was adjourned at a directions hearing held on 28 October 2020 by reason of the late discovery of a substantial volume of materials by the applicants. The applicants were </w:t>
      </w:r>
      <w:r w:rsidR="007B01E2">
        <w:t xml:space="preserve">ordered </w:t>
      </w:r>
      <w:r w:rsidR="004A009C">
        <w:t xml:space="preserve">to pay the respondent’s costs of the directions hearing of $750. </w:t>
      </w:r>
      <w:r w:rsidR="00B47001">
        <w:t>The duration of the hearing was substantially extended because of the manner of cross-examination by the applicants’ counsel</w:t>
      </w:r>
      <w:r>
        <w:t>;</w:t>
      </w:r>
      <w:r w:rsidR="00987D2F">
        <w:t xml:space="preserve"> </w:t>
      </w:r>
    </w:p>
    <w:p w14:paraId="35EE3068" w14:textId="0E20AAF5" w:rsidR="00476B47" w:rsidRDefault="00810B83" w:rsidP="00810B83">
      <w:pPr>
        <w:pStyle w:val="Para1"/>
        <w:numPr>
          <w:ilvl w:val="1"/>
          <w:numId w:val="2"/>
        </w:numPr>
        <w:tabs>
          <w:tab w:val="clear" w:pos="1440"/>
        </w:tabs>
        <w:ind w:left="1134" w:hanging="567"/>
      </w:pPr>
      <w:r>
        <w:t>t</w:t>
      </w:r>
      <w:r w:rsidR="00B47001">
        <w:t xml:space="preserve">he applicants ultimately only succeeded in respect of approximately 50% of the value of their claim and abandoned various aspects of their claim (in particular, in respect of the substantial claim for a profit share) at </w:t>
      </w:r>
      <w:r w:rsidR="00476B47">
        <w:t xml:space="preserve">the hearing. The respondent </w:t>
      </w:r>
      <w:r w:rsidR="00B47001">
        <w:t xml:space="preserve">succeeded in respect of part of </w:t>
      </w:r>
      <w:r w:rsidR="00476B47">
        <w:t xml:space="preserve">her </w:t>
      </w:r>
      <w:r w:rsidR="00B47001">
        <w:t>counterclaim, and the applicants made other concessions that further reduced the damages awarded.</w:t>
      </w:r>
      <w:r w:rsidR="00476B47">
        <w:t xml:space="preserve"> Whilst she </w:t>
      </w:r>
      <w:r w:rsidR="00B47001">
        <w:t xml:space="preserve">ultimately was not successful in defending the claims, </w:t>
      </w:r>
      <w:r w:rsidR="00476B47">
        <w:t xml:space="preserve">she </w:t>
      </w:r>
      <w:r w:rsidR="00DF0603">
        <w:t>did not</w:t>
      </w:r>
      <w:r w:rsidR="00B47001">
        <w:t xml:space="preserve"> conduct the proceeding in a way that caused any substantial increase in costs, nor did I run defences that were without merit</w:t>
      </w:r>
      <w:r>
        <w:t>;</w:t>
      </w:r>
    </w:p>
    <w:p w14:paraId="63CD9478" w14:textId="17F25C9E" w:rsidR="00B47001" w:rsidRDefault="00810B83" w:rsidP="00810B83">
      <w:pPr>
        <w:pStyle w:val="Para1"/>
        <w:numPr>
          <w:ilvl w:val="1"/>
          <w:numId w:val="2"/>
        </w:numPr>
        <w:tabs>
          <w:tab w:val="clear" w:pos="1440"/>
        </w:tabs>
        <w:ind w:left="1134" w:hanging="567"/>
      </w:pPr>
      <w:r>
        <w:t>t</w:t>
      </w:r>
      <w:r w:rsidR="00B47001">
        <w:t>he proceeding was not one of substantial quantum</w:t>
      </w:r>
      <w:r>
        <w:t>; and</w:t>
      </w:r>
    </w:p>
    <w:p w14:paraId="18DDFA84" w14:textId="1DD80CC6" w:rsidR="00B47001" w:rsidRDefault="00810B83" w:rsidP="00810B83">
      <w:pPr>
        <w:pStyle w:val="Para1"/>
        <w:numPr>
          <w:ilvl w:val="1"/>
          <w:numId w:val="2"/>
        </w:numPr>
        <w:tabs>
          <w:tab w:val="clear" w:pos="1440"/>
        </w:tabs>
        <w:ind w:left="1134" w:hanging="567"/>
      </w:pPr>
      <w:r>
        <w:t>w</w:t>
      </w:r>
      <w:r w:rsidR="00476B47">
        <w:t xml:space="preserve">hilst she accepts the result of the hearing </w:t>
      </w:r>
      <w:r w:rsidR="00B47001">
        <w:t xml:space="preserve">was worse than the Calderbank </w:t>
      </w:r>
      <w:r w:rsidR="00476B47">
        <w:t xml:space="preserve">offer of </w:t>
      </w:r>
      <w:r w:rsidR="00B47001">
        <w:t xml:space="preserve">11 March 2021, </w:t>
      </w:r>
      <w:r w:rsidR="00476B47">
        <w:t xml:space="preserve">the offer was made </w:t>
      </w:r>
      <w:r w:rsidR="00B47001">
        <w:t xml:space="preserve">less than a month before </w:t>
      </w:r>
      <w:r w:rsidR="00476B47">
        <w:t xml:space="preserve">the hearing, </w:t>
      </w:r>
      <w:r w:rsidR="00B47001">
        <w:t xml:space="preserve">Even if such an offer was effective to give rise to a costs liability, it could only have been effective from the date of expiry of the offer. </w:t>
      </w:r>
      <w:r w:rsidR="00476B47">
        <w:t xml:space="preserve">However, </w:t>
      </w:r>
      <w:r w:rsidR="00B47001">
        <w:t>the offer was only expressed by the letter to be open for 7 days</w:t>
      </w:r>
      <w:r w:rsidR="00476B47">
        <w:t xml:space="preserve"> and s </w:t>
      </w:r>
      <w:r w:rsidR="00B47001">
        <w:t xml:space="preserve">114(2) of the </w:t>
      </w:r>
      <w:r w:rsidR="00B47001" w:rsidRPr="00476B47">
        <w:rPr>
          <w:i/>
          <w:iCs/>
        </w:rPr>
        <w:t>VCAT Act</w:t>
      </w:r>
      <w:r w:rsidR="00B47001">
        <w:t xml:space="preserve"> provides that the minimum period for an offer is 14 days. </w:t>
      </w:r>
      <w:r w:rsidR="00476B47">
        <w:t>A</w:t>
      </w:r>
      <w:r w:rsidR="00B47001">
        <w:t xml:space="preserve">ccordingly, the </w:t>
      </w:r>
      <w:r w:rsidR="00476B47">
        <w:t xml:space="preserve">offer of </w:t>
      </w:r>
      <w:r w:rsidR="00B47001">
        <w:t xml:space="preserve">11 March 2021 cannot form the basis of an order by the Tribunal that </w:t>
      </w:r>
      <w:r w:rsidR="00476B47">
        <w:t xml:space="preserve">she </w:t>
      </w:r>
      <w:r w:rsidR="00210E4C">
        <w:t>pays</w:t>
      </w:r>
      <w:r w:rsidR="00B47001">
        <w:t xml:space="preserve"> the applicants’ costs.</w:t>
      </w:r>
    </w:p>
    <w:p w14:paraId="0FA8B0E8" w14:textId="4D910173" w:rsidR="008F30A6" w:rsidRDefault="008F30A6" w:rsidP="008F30A6">
      <w:pPr>
        <w:pStyle w:val="Heading3"/>
        <w:rPr>
          <w:lang w:eastAsia="en-AU"/>
        </w:rPr>
      </w:pPr>
      <w:r>
        <w:rPr>
          <w:lang w:eastAsia="en-AU"/>
        </w:rPr>
        <w:t>Whether a party has conducted the proceeding in a way that unnecessarily disadvantaged another party to the proceeding – s109(3)(a)</w:t>
      </w:r>
    </w:p>
    <w:p w14:paraId="400DC66E" w14:textId="77777777" w:rsidR="0023286B" w:rsidRDefault="00B47001" w:rsidP="00B47001">
      <w:pPr>
        <w:pStyle w:val="Para1"/>
        <w:rPr>
          <w:lang w:eastAsia="en-AU"/>
        </w:rPr>
      </w:pPr>
      <w:r>
        <w:rPr>
          <w:lang w:eastAsia="en-AU"/>
        </w:rPr>
        <w:t xml:space="preserve">The respondent </w:t>
      </w:r>
      <w:r w:rsidR="0023286B">
        <w:rPr>
          <w:lang w:eastAsia="en-AU"/>
        </w:rPr>
        <w:t xml:space="preserve">submits that additional costs were incurred due to the applicants amending their claims. </w:t>
      </w:r>
    </w:p>
    <w:p w14:paraId="71BF5A8A" w14:textId="550DF95A" w:rsidR="00B47001" w:rsidRDefault="00C5502A" w:rsidP="00234F12">
      <w:pPr>
        <w:pStyle w:val="Para1"/>
        <w:rPr>
          <w:lang w:eastAsia="en-AU"/>
        </w:rPr>
      </w:pPr>
      <w:r>
        <w:rPr>
          <w:lang w:eastAsia="en-AU"/>
        </w:rPr>
        <w:t>A</w:t>
      </w:r>
      <w:r w:rsidR="0023286B">
        <w:rPr>
          <w:lang w:eastAsia="en-AU"/>
        </w:rPr>
        <w:t>t the commencement of hearing the applicants</w:t>
      </w:r>
      <w:r w:rsidR="00DB591F">
        <w:rPr>
          <w:lang w:eastAsia="en-AU"/>
        </w:rPr>
        <w:t>’</w:t>
      </w:r>
      <w:r w:rsidR="0023286B">
        <w:rPr>
          <w:lang w:eastAsia="en-AU"/>
        </w:rPr>
        <w:t xml:space="preserve"> claim</w:t>
      </w:r>
      <w:r w:rsidR="00DB591F">
        <w:rPr>
          <w:lang w:eastAsia="en-AU"/>
        </w:rPr>
        <w:t>s were</w:t>
      </w:r>
      <w:r w:rsidR="0023286B">
        <w:rPr>
          <w:lang w:eastAsia="en-AU"/>
        </w:rPr>
        <w:t xml:space="preserve"> contained in an Amended Points of Claim dated 3 April 2020 </w:t>
      </w:r>
      <w:r w:rsidR="00E07A0D">
        <w:rPr>
          <w:lang w:eastAsia="en-AU"/>
        </w:rPr>
        <w:t>in accordance with orders dated 10 February 2020. O</w:t>
      </w:r>
      <w:r w:rsidR="0023286B">
        <w:rPr>
          <w:lang w:eastAsia="en-AU"/>
        </w:rPr>
        <w:t xml:space="preserve">n the </w:t>
      </w:r>
      <w:r w:rsidR="00E07A0D">
        <w:rPr>
          <w:lang w:eastAsia="en-AU"/>
        </w:rPr>
        <w:t xml:space="preserve">third </w:t>
      </w:r>
      <w:r w:rsidR="0023286B">
        <w:rPr>
          <w:lang w:eastAsia="en-AU"/>
        </w:rPr>
        <w:t>day of the hearing I gave leave</w:t>
      </w:r>
      <w:r w:rsidR="00E07A0D">
        <w:rPr>
          <w:lang w:eastAsia="en-AU"/>
        </w:rPr>
        <w:t xml:space="preserve">, by </w:t>
      </w:r>
      <w:r w:rsidR="00C241CD">
        <w:rPr>
          <w:noProof/>
          <w:lang w:eastAsia="en-AU"/>
        </w:rPr>
        <w:drawing>
          <wp:anchor distT="0" distB="0" distL="114300" distR="114300" simplePos="0" relativeHeight="251664384" behindDoc="1" locked="0" layoutInCell="1" allowOverlap="1" wp14:anchorId="1423E457" wp14:editId="680D43B6">
            <wp:simplePos x="0" y="0"/>
            <wp:positionH relativeFrom="column">
              <wp:posOffset>5183505</wp:posOffset>
            </wp:positionH>
            <wp:positionV relativeFrom="paragraph">
              <wp:posOffset>8459470</wp:posOffset>
            </wp:positionV>
            <wp:extent cx="1080000" cy="1080000"/>
            <wp:effectExtent l="0" t="0" r="6350" b="6350"/>
            <wp:wrapNone/>
            <wp:docPr id="744223789" name="VCAT Seal7"/>
            <wp:cNvGraphicFramePr/>
            <a:graphic xmlns:a="http://schemas.openxmlformats.org/drawingml/2006/main">
              <a:graphicData uri="http://schemas.openxmlformats.org/drawingml/2006/picture">
                <pic:pic xmlns:pic="http://schemas.openxmlformats.org/drawingml/2006/picture">
                  <pic:nvPicPr>
                    <pic:cNvPr id="744223789" name="VCAT Seal7"/>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07A0D">
        <w:rPr>
          <w:lang w:eastAsia="en-AU"/>
        </w:rPr>
        <w:t>consent,</w:t>
      </w:r>
      <w:r w:rsidR="0023286B">
        <w:rPr>
          <w:lang w:eastAsia="en-AU"/>
        </w:rPr>
        <w:t xml:space="preserve"> for the applicants to file and serve Further Amended Points of Claim dated 7 April 2021. </w:t>
      </w:r>
      <w:r w:rsidR="00E07A0D">
        <w:rPr>
          <w:lang w:eastAsia="en-AU"/>
        </w:rPr>
        <w:t xml:space="preserve">I did not require the respondent to file Points of Defence to the Amended Points of Claim on the basis that anything not admitted </w:t>
      </w:r>
      <w:r w:rsidR="00187319">
        <w:rPr>
          <w:lang w:eastAsia="en-AU"/>
        </w:rPr>
        <w:t xml:space="preserve">during the hearing </w:t>
      </w:r>
      <w:r w:rsidR="00E07A0D">
        <w:rPr>
          <w:lang w:eastAsia="en-AU"/>
        </w:rPr>
        <w:t xml:space="preserve">would be taken to be in </w:t>
      </w:r>
      <w:r w:rsidR="00761558">
        <w:rPr>
          <w:lang w:eastAsia="en-AU"/>
        </w:rPr>
        <w:t>issue</w:t>
      </w:r>
      <w:r w:rsidR="00E07A0D">
        <w:rPr>
          <w:lang w:eastAsia="en-AU"/>
        </w:rPr>
        <w:t>.</w:t>
      </w:r>
      <w:r>
        <w:rPr>
          <w:lang w:eastAsia="en-AU"/>
        </w:rPr>
        <w:t xml:space="preserve"> </w:t>
      </w:r>
      <w:r w:rsidR="0023286B">
        <w:rPr>
          <w:lang w:eastAsia="en-AU"/>
        </w:rPr>
        <w:t xml:space="preserve">Before the hearing concluded the applicants </w:t>
      </w:r>
      <w:r w:rsidR="0091170A">
        <w:rPr>
          <w:lang w:eastAsia="en-AU"/>
        </w:rPr>
        <w:t xml:space="preserve">made an application </w:t>
      </w:r>
      <w:r w:rsidR="0023286B">
        <w:rPr>
          <w:lang w:eastAsia="en-AU"/>
        </w:rPr>
        <w:t>to amend the Further Amended Points of Claim, however at a directions hearing on 9 September 2021</w:t>
      </w:r>
      <w:r w:rsidR="009C2FA1">
        <w:rPr>
          <w:lang w:eastAsia="en-AU"/>
        </w:rPr>
        <w:t>,</w:t>
      </w:r>
      <w:r w:rsidR="0023286B">
        <w:rPr>
          <w:lang w:eastAsia="en-AU"/>
        </w:rPr>
        <w:t xml:space="preserve"> I refused them leave to do so. I also made </w:t>
      </w:r>
      <w:r w:rsidR="00E07A0D">
        <w:rPr>
          <w:lang w:eastAsia="en-AU"/>
        </w:rPr>
        <w:t xml:space="preserve">an </w:t>
      </w:r>
      <w:r w:rsidR="0023286B">
        <w:rPr>
          <w:lang w:eastAsia="en-AU"/>
        </w:rPr>
        <w:t>order</w:t>
      </w:r>
      <w:r w:rsidR="00E07A0D">
        <w:rPr>
          <w:lang w:eastAsia="en-AU"/>
        </w:rPr>
        <w:t xml:space="preserve"> for </w:t>
      </w:r>
      <w:r w:rsidR="0023286B">
        <w:rPr>
          <w:lang w:eastAsia="en-AU"/>
        </w:rPr>
        <w:t xml:space="preserve">costs </w:t>
      </w:r>
      <w:r w:rsidR="0091170A">
        <w:rPr>
          <w:lang w:eastAsia="en-AU"/>
        </w:rPr>
        <w:t xml:space="preserve">in respect of the application </w:t>
      </w:r>
      <w:r w:rsidR="0023286B">
        <w:rPr>
          <w:lang w:eastAsia="en-AU"/>
        </w:rPr>
        <w:t>in favour of the respondent.</w:t>
      </w:r>
    </w:p>
    <w:p w14:paraId="4AD46AA4" w14:textId="0AF951FA" w:rsidR="00B56CF8" w:rsidRDefault="00E07A0D" w:rsidP="00BA3C07">
      <w:pPr>
        <w:pStyle w:val="Para1"/>
      </w:pPr>
      <w:r w:rsidRPr="004F6E37">
        <w:rPr>
          <w:lang w:eastAsia="en-AU"/>
        </w:rPr>
        <w:t xml:space="preserve">It is </w:t>
      </w:r>
      <w:r w:rsidR="00DF0603" w:rsidRPr="004F6E37">
        <w:rPr>
          <w:lang w:eastAsia="en-AU"/>
        </w:rPr>
        <w:t>common</w:t>
      </w:r>
      <w:r w:rsidRPr="004F6E37">
        <w:rPr>
          <w:lang w:eastAsia="en-AU"/>
        </w:rPr>
        <w:t xml:space="preserve"> for claims, and also defences, to be amended during proceedings and where appropriate</w:t>
      </w:r>
      <w:r w:rsidR="00727FB1">
        <w:rPr>
          <w:lang w:eastAsia="en-AU"/>
        </w:rPr>
        <w:t>,</w:t>
      </w:r>
      <w:r w:rsidRPr="004F6E37">
        <w:rPr>
          <w:lang w:eastAsia="en-AU"/>
        </w:rPr>
        <w:t xml:space="preserve"> orders for costs may be made</w:t>
      </w:r>
      <w:r w:rsidR="00132D50">
        <w:rPr>
          <w:lang w:eastAsia="en-AU"/>
        </w:rPr>
        <w:t xml:space="preserve">. </w:t>
      </w:r>
    </w:p>
    <w:p w14:paraId="79439A57" w14:textId="14DFB73B" w:rsidR="00C12E69" w:rsidRDefault="00B56CF8" w:rsidP="00BA3C07">
      <w:pPr>
        <w:pStyle w:val="Para1"/>
      </w:pPr>
      <w:r>
        <w:rPr>
          <w:lang w:eastAsia="en-AU"/>
        </w:rPr>
        <w:t xml:space="preserve">However, </w:t>
      </w:r>
      <w:r w:rsidR="00C87E9B" w:rsidRPr="004F6E37">
        <w:rPr>
          <w:lang w:eastAsia="en-AU"/>
        </w:rPr>
        <w:t>I am not satisfied that this reason alone weighs in favour against an order for costs</w:t>
      </w:r>
      <w:r w:rsidR="00C12E69">
        <w:rPr>
          <w:lang w:eastAsia="en-AU"/>
        </w:rPr>
        <w:t>.</w:t>
      </w:r>
    </w:p>
    <w:p w14:paraId="10CF0E7F" w14:textId="77777777" w:rsidR="008F30A6" w:rsidRDefault="008F30A6" w:rsidP="008F30A6">
      <w:pPr>
        <w:pStyle w:val="Heading3"/>
        <w:rPr>
          <w:lang w:eastAsia="en-AU"/>
        </w:rPr>
      </w:pPr>
      <w:r w:rsidRPr="00FD22AE">
        <w:rPr>
          <w:lang w:eastAsia="en-AU"/>
        </w:rPr>
        <w:t>Whether a</w:t>
      </w:r>
      <w:r w:rsidR="00C00A71">
        <w:rPr>
          <w:lang w:eastAsia="en-AU"/>
        </w:rPr>
        <w:t xml:space="preserve"> </w:t>
      </w:r>
      <w:hyperlink r:id="rId9" w:anchor="party" w:history="1">
        <w:r w:rsidRPr="00FD22AE">
          <w:rPr>
            <w:rStyle w:val="Hyperlink"/>
            <w:color w:val="auto"/>
            <w:u w:val="none"/>
            <w:lang w:eastAsia="en-AU"/>
          </w:rPr>
          <w:t>party</w:t>
        </w:r>
      </w:hyperlink>
      <w:r w:rsidR="00C00A71">
        <w:rPr>
          <w:lang w:eastAsia="en-AU"/>
        </w:rPr>
        <w:t xml:space="preserve"> </w:t>
      </w:r>
      <w:r w:rsidRPr="00FD22AE">
        <w:rPr>
          <w:lang w:eastAsia="en-AU"/>
        </w:rPr>
        <w:t>has been responsible for prolonging unreasonably the time taken to complete the proceeding – s109(3)(b)</w:t>
      </w:r>
    </w:p>
    <w:p w14:paraId="649D4BDD" w14:textId="28513571" w:rsidR="004F6E37" w:rsidRDefault="004F6E37" w:rsidP="004A009C">
      <w:pPr>
        <w:pStyle w:val="Para1"/>
        <w:rPr>
          <w:lang w:eastAsia="en-AU"/>
        </w:rPr>
      </w:pPr>
      <w:r>
        <w:rPr>
          <w:lang w:eastAsia="en-AU"/>
        </w:rPr>
        <w:t>The respondent submits that the hearing was adjourned due to the applicants providing late discovery and then the</w:t>
      </w:r>
      <w:r w:rsidR="00F55687">
        <w:rPr>
          <w:lang w:eastAsia="en-AU"/>
        </w:rPr>
        <w:t xml:space="preserve"> length of the </w:t>
      </w:r>
      <w:r>
        <w:rPr>
          <w:lang w:eastAsia="en-AU"/>
        </w:rPr>
        <w:t xml:space="preserve">hearing was substantially due to </w:t>
      </w:r>
      <w:r>
        <w:t>the manner of cross-examination by the applicants’ counsel.</w:t>
      </w:r>
    </w:p>
    <w:p w14:paraId="661F8E01" w14:textId="569FDBBE" w:rsidR="004F6E37" w:rsidRDefault="004F6E37" w:rsidP="004A009C">
      <w:pPr>
        <w:pStyle w:val="Para1"/>
        <w:rPr>
          <w:lang w:eastAsia="en-AU"/>
        </w:rPr>
      </w:pPr>
      <w:r>
        <w:rPr>
          <w:lang w:eastAsia="en-AU"/>
        </w:rPr>
        <w:t xml:space="preserve">I note that the applicants were ordered to pay some costs </w:t>
      </w:r>
      <w:r w:rsidR="00BD2539">
        <w:rPr>
          <w:lang w:eastAsia="en-AU"/>
        </w:rPr>
        <w:t xml:space="preserve">of the </w:t>
      </w:r>
      <w:r>
        <w:rPr>
          <w:lang w:eastAsia="en-AU"/>
        </w:rPr>
        <w:t xml:space="preserve">respondent </w:t>
      </w:r>
      <w:r w:rsidR="00BD2539">
        <w:rPr>
          <w:lang w:eastAsia="en-AU"/>
        </w:rPr>
        <w:t xml:space="preserve">for </w:t>
      </w:r>
      <w:r>
        <w:rPr>
          <w:lang w:eastAsia="en-AU"/>
        </w:rPr>
        <w:t>the directions hearing at which the hearing was adjourned.</w:t>
      </w:r>
    </w:p>
    <w:p w14:paraId="7A3E1B14" w14:textId="1C80107F" w:rsidR="002D0889" w:rsidRDefault="004F6E37" w:rsidP="004A009C">
      <w:pPr>
        <w:pStyle w:val="Para1"/>
        <w:rPr>
          <w:lang w:eastAsia="en-AU"/>
        </w:rPr>
      </w:pPr>
      <w:r>
        <w:rPr>
          <w:lang w:eastAsia="en-AU"/>
        </w:rPr>
        <w:t xml:space="preserve">I made no findings </w:t>
      </w:r>
      <w:r w:rsidR="0053662E">
        <w:rPr>
          <w:lang w:eastAsia="en-AU"/>
        </w:rPr>
        <w:t xml:space="preserve">in the decision </w:t>
      </w:r>
      <w:r>
        <w:rPr>
          <w:lang w:eastAsia="en-AU"/>
        </w:rPr>
        <w:t xml:space="preserve">about the nature and extent of the cross-examination of the </w:t>
      </w:r>
      <w:r>
        <w:t>by the applicants’ counsel</w:t>
      </w:r>
      <w:r w:rsidR="00AD2788">
        <w:t xml:space="preserve">. </w:t>
      </w:r>
      <w:r w:rsidR="007E33C6">
        <w:t>W</w:t>
      </w:r>
      <w:r w:rsidR="000D6259">
        <w:t xml:space="preserve">hilst Ms Lo was subject to </w:t>
      </w:r>
      <w:r w:rsidR="007E33C6">
        <w:t xml:space="preserve">lengthy cross examination this was </w:t>
      </w:r>
      <w:r w:rsidR="00DF0603">
        <w:t>reasonable</w:t>
      </w:r>
      <w:r w:rsidR="007E33C6">
        <w:t xml:space="preserve"> </w:t>
      </w:r>
      <w:r w:rsidR="00727FB1">
        <w:t>because</w:t>
      </w:r>
      <w:r w:rsidR="007E33C6">
        <w:t>:</w:t>
      </w:r>
    </w:p>
    <w:p w14:paraId="7E5EABF2" w14:textId="77777777" w:rsidR="007332EE" w:rsidRDefault="007332EE" w:rsidP="007332EE">
      <w:pPr>
        <w:pStyle w:val="Para1"/>
        <w:numPr>
          <w:ilvl w:val="1"/>
          <w:numId w:val="2"/>
        </w:numPr>
        <w:tabs>
          <w:tab w:val="clear" w:pos="1440"/>
        </w:tabs>
        <w:ind w:left="1134" w:hanging="567"/>
        <w:rPr>
          <w:lang w:eastAsia="en-AU"/>
        </w:rPr>
      </w:pPr>
      <w:r>
        <w:t>much of the evidence was about conversations between the parties.</w:t>
      </w:r>
    </w:p>
    <w:p w14:paraId="10F77195" w14:textId="77777777" w:rsidR="007332EE" w:rsidRDefault="007332EE" w:rsidP="007332EE">
      <w:pPr>
        <w:pStyle w:val="Para1"/>
        <w:numPr>
          <w:ilvl w:val="1"/>
          <w:numId w:val="2"/>
        </w:numPr>
        <w:tabs>
          <w:tab w:val="clear" w:pos="1440"/>
        </w:tabs>
        <w:ind w:left="1134" w:hanging="567"/>
        <w:rPr>
          <w:lang w:eastAsia="en-AU"/>
        </w:rPr>
      </w:pPr>
      <w:r>
        <w:t>the difficulties in interpreting the emails between the parties;</w:t>
      </w:r>
    </w:p>
    <w:p w14:paraId="7FCD0E9B" w14:textId="77777777" w:rsidR="007332EE" w:rsidRDefault="007332EE" w:rsidP="007332EE">
      <w:pPr>
        <w:pStyle w:val="Para1"/>
        <w:numPr>
          <w:ilvl w:val="1"/>
          <w:numId w:val="2"/>
        </w:numPr>
        <w:tabs>
          <w:tab w:val="clear" w:pos="1440"/>
        </w:tabs>
        <w:ind w:left="1134" w:hanging="567"/>
        <w:rPr>
          <w:lang w:eastAsia="en-AU"/>
        </w:rPr>
      </w:pPr>
      <w:r>
        <w:t>Ms Lo’s evidence that she sometimes agrees to things to be polite even if she does not mean what she said; and</w:t>
      </w:r>
    </w:p>
    <w:p w14:paraId="78B65A53" w14:textId="77777777" w:rsidR="007332EE" w:rsidRDefault="007332EE" w:rsidP="007332EE">
      <w:pPr>
        <w:pStyle w:val="Para1"/>
        <w:numPr>
          <w:ilvl w:val="1"/>
          <w:numId w:val="2"/>
        </w:numPr>
        <w:tabs>
          <w:tab w:val="clear" w:pos="1440"/>
        </w:tabs>
        <w:ind w:left="1134" w:hanging="567"/>
        <w:rPr>
          <w:lang w:eastAsia="en-AU"/>
        </w:rPr>
      </w:pPr>
      <w:r>
        <w:t>that Ms Lo did not always answer directly questions put to her.</w:t>
      </w:r>
    </w:p>
    <w:p w14:paraId="42372697" w14:textId="77777777" w:rsidR="003D766A" w:rsidRDefault="004F6E37" w:rsidP="004F6E37">
      <w:pPr>
        <w:pStyle w:val="Para1"/>
      </w:pPr>
      <w:r w:rsidRPr="004F6E37">
        <w:rPr>
          <w:lang w:eastAsia="en-AU"/>
        </w:rPr>
        <w:t>I am not satisfied that this reason alone weighs in favour against an order for costs</w:t>
      </w:r>
      <w:r w:rsidR="003D766A">
        <w:rPr>
          <w:lang w:eastAsia="en-AU"/>
        </w:rPr>
        <w:t>.</w:t>
      </w:r>
    </w:p>
    <w:p w14:paraId="70B0EAA2" w14:textId="77777777" w:rsidR="008F30A6" w:rsidRDefault="008F30A6" w:rsidP="008F30A6">
      <w:pPr>
        <w:pStyle w:val="Heading3"/>
        <w:rPr>
          <w:lang w:eastAsia="en-AU"/>
        </w:rPr>
      </w:pPr>
      <w:r>
        <w:rPr>
          <w:lang w:eastAsia="en-AU"/>
        </w:rPr>
        <w:t xml:space="preserve">The relative strengths of the claims made by each of the parties, including </w:t>
      </w:r>
      <w:r w:rsidRPr="00FD22AE">
        <w:rPr>
          <w:lang w:eastAsia="en-AU"/>
        </w:rPr>
        <w:t>whether a</w:t>
      </w:r>
      <w:r w:rsidR="00665CB4">
        <w:rPr>
          <w:lang w:eastAsia="en-AU"/>
        </w:rPr>
        <w:t xml:space="preserve"> </w:t>
      </w:r>
      <w:hyperlink r:id="rId10" w:anchor="party" w:history="1">
        <w:r w:rsidRPr="00FD22AE">
          <w:rPr>
            <w:rStyle w:val="Hyperlink"/>
            <w:color w:val="auto"/>
            <w:u w:val="none"/>
            <w:lang w:eastAsia="en-AU"/>
          </w:rPr>
          <w:t>party</w:t>
        </w:r>
      </w:hyperlink>
      <w:r w:rsidR="00665CB4">
        <w:rPr>
          <w:lang w:eastAsia="en-AU"/>
        </w:rPr>
        <w:t xml:space="preserve"> </w:t>
      </w:r>
      <w:r w:rsidRPr="00FD22AE">
        <w:rPr>
          <w:lang w:eastAsia="en-AU"/>
        </w:rPr>
        <w:t xml:space="preserve">has </w:t>
      </w:r>
      <w:r>
        <w:rPr>
          <w:lang w:eastAsia="en-AU"/>
        </w:rPr>
        <w:t>made a claim that has no tenable basis in fact or law – s109(3)(c)</w:t>
      </w:r>
    </w:p>
    <w:p w14:paraId="05CEE13F" w14:textId="51D5C8B8" w:rsidR="00544492" w:rsidRPr="00A949A6" w:rsidRDefault="00544492" w:rsidP="001A6269">
      <w:pPr>
        <w:pStyle w:val="Para1"/>
      </w:pPr>
      <w:r w:rsidRPr="00A949A6">
        <w:t>The applicants submit that an order for costs should be made due to the relative strengths of the claims made by each of the parties.</w:t>
      </w:r>
    </w:p>
    <w:p w14:paraId="48E43247" w14:textId="771CF504" w:rsidR="00544492" w:rsidRPr="00A949A6" w:rsidRDefault="00A949A6" w:rsidP="001A6269">
      <w:pPr>
        <w:pStyle w:val="Para1"/>
      </w:pPr>
      <w:r w:rsidRPr="00A949A6">
        <w:t xml:space="preserve">That I accepted many of the claims made by the applicants and only some of the claims being made by the respondent does not of itself </w:t>
      </w:r>
      <w:r w:rsidR="003B3951">
        <w:t>establish t</w:t>
      </w:r>
      <w:r w:rsidRPr="00A949A6">
        <w:t>hat any particular claims were stronger or not tenable. Both the applicants and the respondent put their claims and defences on many alternate bas</w:t>
      </w:r>
      <w:r w:rsidR="000A6526">
        <w:t>e</w:t>
      </w:r>
      <w:r w:rsidRPr="00A949A6">
        <w:t>s.</w:t>
      </w:r>
    </w:p>
    <w:p w14:paraId="5FA4574F" w14:textId="6B139A93" w:rsidR="00A949A6" w:rsidRDefault="00A949A6" w:rsidP="00DD7285">
      <w:pPr>
        <w:pStyle w:val="Para1"/>
      </w:pPr>
      <w:r w:rsidRPr="00A949A6">
        <w:t>However, ultimately the applicants did enjoy a significant amount of success with their claims.</w:t>
      </w:r>
      <w:r w:rsidR="000636C8">
        <w:t xml:space="preserve"> In</w:t>
      </w:r>
      <w:r>
        <w:t xml:space="preserve"> their amended points of claim the applicants sought an order for $421,141.60</w:t>
      </w:r>
      <w:r w:rsidR="005367A2">
        <w:t xml:space="preserve">, </w:t>
      </w:r>
      <w:r w:rsidR="00FE6201">
        <w:t xml:space="preserve">in their closing reply submissions this amount was reduced to </w:t>
      </w:r>
      <w:r w:rsidR="00FE6201" w:rsidRPr="00EC2375">
        <w:rPr>
          <w:lang w:eastAsia="en-AU"/>
        </w:rPr>
        <w:t>$257,343.60</w:t>
      </w:r>
      <w:r w:rsidR="00FE6201">
        <w:rPr>
          <w:lang w:eastAsia="en-AU"/>
        </w:rPr>
        <w:t xml:space="preserve"> and I found after allowing for </w:t>
      </w:r>
      <w:r w:rsidR="00FB3821">
        <w:rPr>
          <w:lang w:eastAsia="en-AU"/>
        </w:rPr>
        <w:t xml:space="preserve">some small </w:t>
      </w:r>
      <w:r w:rsidR="00FE6201">
        <w:rPr>
          <w:lang w:eastAsia="en-AU"/>
        </w:rPr>
        <w:t xml:space="preserve">amounts </w:t>
      </w:r>
      <w:r w:rsidR="00C241CD">
        <w:rPr>
          <w:noProof/>
          <w:lang w:eastAsia="en-AU"/>
        </w:rPr>
        <w:drawing>
          <wp:anchor distT="0" distB="0" distL="114300" distR="114300" simplePos="0" relativeHeight="251665408" behindDoc="1" locked="0" layoutInCell="1" allowOverlap="1" wp14:anchorId="6A1DE0F3" wp14:editId="7F185133">
            <wp:simplePos x="0" y="0"/>
            <wp:positionH relativeFrom="column">
              <wp:posOffset>5183505</wp:posOffset>
            </wp:positionH>
            <wp:positionV relativeFrom="paragraph">
              <wp:posOffset>8459470</wp:posOffset>
            </wp:positionV>
            <wp:extent cx="1080000" cy="1080000"/>
            <wp:effectExtent l="0" t="0" r="6350" b="6350"/>
            <wp:wrapNone/>
            <wp:docPr id="576612117" name="VCAT Seal8"/>
            <wp:cNvGraphicFramePr/>
            <a:graphic xmlns:a="http://schemas.openxmlformats.org/drawingml/2006/main">
              <a:graphicData uri="http://schemas.openxmlformats.org/drawingml/2006/picture">
                <pic:pic xmlns:pic="http://schemas.openxmlformats.org/drawingml/2006/picture">
                  <pic:nvPicPr>
                    <pic:cNvPr id="576612117" name="VCAT Seal8"/>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E6201">
        <w:rPr>
          <w:lang w:eastAsia="en-AU"/>
        </w:rPr>
        <w:t>payable to the respondent, that the respondent must pay $216,812.74. This is a considerable amount for which the respondent denied liability</w:t>
      </w:r>
      <w:r w:rsidR="00577C32">
        <w:rPr>
          <w:lang w:eastAsia="en-AU"/>
        </w:rPr>
        <w:t>,</w:t>
      </w:r>
      <w:r w:rsidR="00FE6201">
        <w:rPr>
          <w:lang w:eastAsia="en-AU"/>
        </w:rPr>
        <w:t xml:space="preserve"> except </w:t>
      </w:r>
      <w:r w:rsidR="00577C32">
        <w:rPr>
          <w:lang w:eastAsia="en-AU"/>
        </w:rPr>
        <w:t xml:space="preserve">in relation to </w:t>
      </w:r>
      <w:r w:rsidR="00FE6201">
        <w:rPr>
          <w:lang w:eastAsia="en-AU"/>
        </w:rPr>
        <w:t xml:space="preserve">a </w:t>
      </w:r>
      <w:r w:rsidR="00577C32">
        <w:rPr>
          <w:lang w:eastAsia="en-AU"/>
        </w:rPr>
        <w:t xml:space="preserve">relatively </w:t>
      </w:r>
      <w:r w:rsidR="00FE6201">
        <w:rPr>
          <w:lang w:eastAsia="en-AU"/>
        </w:rPr>
        <w:t xml:space="preserve">small amount </w:t>
      </w:r>
      <w:r w:rsidR="00F850D7">
        <w:rPr>
          <w:lang w:eastAsia="en-AU"/>
        </w:rPr>
        <w:t xml:space="preserve">of about </w:t>
      </w:r>
      <w:r w:rsidR="003E50A9">
        <w:rPr>
          <w:lang w:eastAsia="en-AU"/>
        </w:rPr>
        <w:t xml:space="preserve">$12,000 for the building contract </w:t>
      </w:r>
      <w:r w:rsidR="00354666">
        <w:rPr>
          <w:lang w:eastAsia="en-AU"/>
        </w:rPr>
        <w:t>(</w:t>
      </w:r>
      <w:r w:rsidR="003E50A9">
        <w:rPr>
          <w:lang w:eastAsia="en-AU"/>
        </w:rPr>
        <w:t>after allowing a set off to her</w:t>
      </w:r>
      <w:r w:rsidR="00354666">
        <w:rPr>
          <w:lang w:eastAsia="en-AU"/>
        </w:rPr>
        <w:t>).</w:t>
      </w:r>
      <w:r w:rsidR="00577C32">
        <w:rPr>
          <w:lang w:eastAsia="en-AU"/>
        </w:rPr>
        <w:t xml:space="preserve"> </w:t>
      </w:r>
      <w:r w:rsidR="00BC5C7E">
        <w:rPr>
          <w:lang w:eastAsia="en-AU"/>
        </w:rPr>
        <w:t>However, w</w:t>
      </w:r>
      <w:r w:rsidRPr="00A949A6">
        <w:t>hilst I did not accept many of the defences or explanations given by the respondent I made no finding</w:t>
      </w:r>
      <w:r w:rsidR="00FE6201">
        <w:t>s</w:t>
      </w:r>
      <w:r w:rsidRPr="00A949A6">
        <w:t xml:space="preserve"> that they were without merit.</w:t>
      </w:r>
    </w:p>
    <w:p w14:paraId="3DCBF341" w14:textId="5F05E456" w:rsidR="007C4C43" w:rsidRPr="00A949A6" w:rsidRDefault="00FA51BA" w:rsidP="00DD7285">
      <w:pPr>
        <w:pStyle w:val="Para1"/>
      </w:pPr>
      <w:r>
        <w:t xml:space="preserve">The </w:t>
      </w:r>
      <w:r w:rsidR="007C4C43">
        <w:rPr>
          <w:lang w:eastAsia="en-AU"/>
        </w:rPr>
        <w:t>applicants’ claim was based on documentation signed by the respondent</w:t>
      </w:r>
      <w:r>
        <w:rPr>
          <w:lang w:eastAsia="en-AU"/>
        </w:rPr>
        <w:t>.</w:t>
      </w:r>
      <w:r w:rsidR="007C4C43">
        <w:rPr>
          <w:lang w:eastAsia="en-AU"/>
        </w:rPr>
        <w:t xml:space="preserve"> which I accepted to a greater extent that the respondent’s verbal evidence.</w:t>
      </w:r>
    </w:p>
    <w:p w14:paraId="04D7FF50" w14:textId="3E0D8E72" w:rsidR="00CD1547" w:rsidRDefault="006C53B6" w:rsidP="00356DAD">
      <w:pPr>
        <w:pStyle w:val="Para1"/>
      </w:pPr>
      <w:r>
        <w:rPr>
          <w:lang w:eastAsia="en-AU"/>
        </w:rPr>
        <w:t>W</w:t>
      </w:r>
      <w:r w:rsidR="007C4C43">
        <w:rPr>
          <w:lang w:eastAsia="en-AU"/>
        </w:rPr>
        <w:t>eighing the claims I am satisfied that the applicants’ claim was relatively stronger than the defences of the respondent</w:t>
      </w:r>
      <w:r w:rsidR="00CD1547">
        <w:rPr>
          <w:lang w:eastAsia="en-AU"/>
        </w:rPr>
        <w:t xml:space="preserve"> and </w:t>
      </w:r>
      <w:r w:rsidR="00E125D1">
        <w:rPr>
          <w:lang w:eastAsia="en-AU"/>
        </w:rPr>
        <w:t>does weigh in favour of an order for costs in favour of the applicants.</w:t>
      </w:r>
    </w:p>
    <w:p w14:paraId="32A6F292" w14:textId="0BD823AB" w:rsidR="008F30A6" w:rsidRDefault="008F30A6" w:rsidP="00EF11A6">
      <w:pPr>
        <w:pStyle w:val="Heading3"/>
        <w:rPr>
          <w:lang w:eastAsia="en-AU"/>
        </w:rPr>
      </w:pPr>
      <w:r>
        <w:rPr>
          <w:lang w:eastAsia="en-AU"/>
        </w:rPr>
        <w:t>The nature and complexity of the proceeding – s109(3)(d)</w:t>
      </w:r>
    </w:p>
    <w:p w14:paraId="0A560EAD" w14:textId="51394D13" w:rsidR="00EF11A6" w:rsidRDefault="00EF11A6" w:rsidP="00577C32">
      <w:pPr>
        <w:pStyle w:val="Para1"/>
        <w:rPr>
          <w:lang w:eastAsia="en-AU"/>
        </w:rPr>
      </w:pPr>
      <w:r>
        <w:rPr>
          <w:lang w:eastAsia="en-AU"/>
        </w:rPr>
        <w:t xml:space="preserve">The hearing lasted </w:t>
      </w:r>
      <w:r w:rsidR="00E125D1">
        <w:rPr>
          <w:lang w:eastAsia="en-AU"/>
        </w:rPr>
        <w:t xml:space="preserve">five </w:t>
      </w:r>
      <w:r>
        <w:rPr>
          <w:lang w:eastAsia="en-AU"/>
        </w:rPr>
        <w:t>days and the closing written submissions made by the parties were extensive and numbered over 170 pages.</w:t>
      </w:r>
    </w:p>
    <w:p w14:paraId="0B05A0DF" w14:textId="62304D38" w:rsidR="00B05716" w:rsidRDefault="00CB27F7" w:rsidP="00577C32">
      <w:pPr>
        <w:pStyle w:val="Para1"/>
        <w:rPr>
          <w:lang w:eastAsia="en-AU"/>
        </w:rPr>
      </w:pPr>
      <w:r>
        <w:rPr>
          <w:lang w:eastAsia="en-AU"/>
        </w:rPr>
        <w:t>The claims, counterclaims and defences in the proceeding were relatively complex.</w:t>
      </w:r>
      <w:r w:rsidR="00B05716">
        <w:rPr>
          <w:lang w:eastAsia="en-AU"/>
        </w:rPr>
        <w:t xml:space="preserve"> There were three written agreements</w:t>
      </w:r>
      <w:r w:rsidR="00614049">
        <w:rPr>
          <w:lang w:eastAsia="en-AU"/>
        </w:rPr>
        <w:t xml:space="preserve"> in dispute</w:t>
      </w:r>
      <w:r w:rsidR="00B05716">
        <w:rPr>
          <w:lang w:eastAsia="en-AU"/>
        </w:rPr>
        <w:t xml:space="preserve">, a building contract, a variation agreement and a project management agreement, as well as claims about other verbal agreements that were all in dispute. There were also allegations </w:t>
      </w:r>
      <w:r w:rsidR="00CD26BF">
        <w:rPr>
          <w:lang w:eastAsia="en-AU"/>
        </w:rPr>
        <w:t xml:space="preserve">made by Ms Lo </w:t>
      </w:r>
      <w:r w:rsidR="00B05716">
        <w:rPr>
          <w:lang w:eastAsia="en-AU"/>
        </w:rPr>
        <w:t xml:space="preserve">of misrepresentation, unilateral mistake, unconscionability, past consideration and whether sections of the </w:t>
      </w:r>
      <w:r w:rsidR="00B05716" w:rsidRPr="00B05716">
        <w:rPr>
          <w:i/>
          <w:iCs/>
          <w:lang w:eastAsia="en-AU"/>
        </w:rPr>
        <w:t>DBC Act</w:t>
      </w:r>
      <w:r w:rsidR="00B05716">
        <w:rPr>
          <w:lang w:eastAsia="en-AU"/>
        </w:rPr>
        <w:t xml:space="preserve"> had been complied with.</w:t>
      </w:r>
      <w:r w:rsidR="00724BDE">
        <w:rPr>
          <w:lang w:eastAsia="en-AU"/>
        </w:rPr>
        <w:t xml:space="preserve"> There was extensive evidence given about the interactions between the parties and other relevant person</w:t>
      </w:r>
      <w:r w:rsidR="009F44A0">
        <w:rPr>
          <w:lang w:eastAsia="en-AU"/>
        </w:rPr>
        <w:t>s</w:t>
      </w:r>
      <w:r w:rsidR="00724BDE">
        <w:rPr>
          <w:lang w:eastAsia="en-AU"/>
        </w:rPr>
        <w:t xml:space="preserve"> over a </w:t>
      </w:r>
      <w:r w:rsidR="00210E4C">
        <w:rPr>
          <w:lang w:eastAsia="en-AU"/>
        </w:rPr>
        <w:t>three-to-four-year</w:t>
      </w:r>
      <w:r w:rsidR="00724BDE">
        <w:rPr>
          <w:lang w:eastAsia="en-AU"/>
        </w:rPr>
        <w:t xml:space="preserve"> period</w:t>
      </w:r>
      <w:r w:rsidR="009F44A0">
        <w:rPr>
          <w:lang w:eastAsia="en-AU"/>
        </w:rPr>
        <w:t xml:space="preserve"> up to eight years before the hearing commenced.</w:t>
      </w:r>
    </w:p>
    <w:p w14:paraId="5E1CFEF9" w14:textId="7905BE7E" w:rsidR="00A0279B" w:rsidRDefault="00A0279B" w:rsidP="00577C32">
      <w:pPr>
        <w:pStyle w:val="Para1"/>
        <w:rPr>
          <w:lang w:eastAsia="en-AU"/>
        </w:rPr>
      </w:pPr>
      <w:r>
        <w:rPr>
          <w:lang w:eastAsia="en-AU"/>
        </w:rPr>
        <w:t>Both the applicants and respondent put their claims and defences on a number of alternate bas</w:t>
      </w:r>
      <w:r w:rsidR="00E56923">
        <w:rPr>
          <w:lang w:eastAsia="en-AU"/>
        </w:rPr>
        <w:t>e</w:t>
      </w:r>
      <w:r>
        <w:rPr>
          <w:lang w:eastAsia="en-AU"/>
        </w:rPr>
        <w:t>s.</w:t>
      </w:r>
    </w:p>
    <w:p w14:paraId="40CAB7C2" w14:textId="71F0D28F" w:rsidR="00A0279B" w:rsidRDefault="00A0279B" w:rsidP="00577C32">
      <w:pPr>
        <w:pStyle w:val="Para1"/>
        <w:rPr>
          <w:lang w:eastAsia="en-AU"/>
        </w:rPr>
      </w:pPr>
      <w:r>
        <w:rPr>
          <w:lang w:eastAsia="en-AU"/>
        </w:rPr>
        <w:t>The respondent submits says that the proceeding was not one of substantial quantum but I am satisfied that the amount</w:t>
      </w:r>
      <w:r w:rsidR="004B726B">
        <w:rPr>
          <w:lang w:eastAsia="en-AU"/>
        </w:rPr>
        <w:t xml:space="preserve"> the respondent was</w:t>
      </w:r>
      <w:r>
        <w:rPr>
          <w:lang w:eastAsia="en-AU"/>
        </w:rPr>
        <w:t xml:space="preserve"> ultimately </w:t>
      </w:r>
      <w:r w:rsidR="004B726B">
        <w:rPr>
          <w:lang w:eastAsia="en-AU"/>
        </w:rPr>
        <w:t xml:space="preserve">ordered to pay the </w:t>
      </w:r>
      <w:r w:rsidR="00A1009C">
        <w:rPr>
          <w:lang w:eastAsia="en-AU"/>
        </w:rPr>
        <w:t xml:space="preserve">first </w:t>
      </w:r>
      <w:r w:rsidR="004B726B">
        <w:rPr>
          <w:lang w:eastAsia="en-AU"/>
        </w:rPr>
        <w:t>applicant</w:t>
      </w:r>
      <w:r>
        <w:rPr>
          <w:lang w:eastAsia="en-AU"/>
        </w:rPr>
        <w:t xml:space="preserve"> of $216,812.74 is reasonably substantial.</w:t>
      </w:r>
    </w:p>
    <w:p w14:paraId="2D5C2480" w14:textId="77777777" w:rsidR="00B91F83" w:rsidRDefault="008F30A6" w:rsidP="001A6269">
      <w:pPr>
        <w:pStyle w:val="Para1"/>
      </w:pPr>
      <w:r w:rsidRPr="00A0279B">
        <w:t xml:space="preserve">For these reasons, I am satisfied that the nature and complexity of the proceeding weighs in favour of an </w:t>
      </w:r>
      <w:r w:rsidR="00B91F83">
        <w:t xml:space="preserve">order for </w:t>
      </w:r>
      <w:r w:rsidRPr="00A0279B">
        <w:t xml:space="preserve">costs </w:t>
      </w:r>
      <w:r w:rsidR="00FB4BA8">
        <w:t>in favour of the applicants</w:t>
      </w:r>
      <w:r w:rsidR="00B91F83">
        <w:t>.</w:t>
      </w:r>
    </w:p>
    <w:p w14:paraId="569F67CA" w14:textId="612208A3" w:rsidR="00645CD8" w:rsidRDefault="00645CD8" w:rsidP="00645CD8">
      <w:pPr>
        <w:pStyle w:val="Heading3"/>
        <w:rPr>
          <w:lang w:eastAsia="en-AU"/>
        </w:rPr>
      </w:pPr>
      <w:r>
        <w:rPr>
          <w:lang w:eastAsia="en-AU"/>
        </w:rPr>
        <w:t>Any other matter the Tribunal considers relevant – s109(3)(e)</w:t>
      </w:r>
    </w:p>
    <w:p w14:paraId="324C8089" w14:textId="77777777" w:rsidR="00A0279B" w:rsidRDefault="00A0279B" w:rsidP="00112F64">
      <w:pPr>
        <w:pStyle w:val="Para1"/>
        <w:rPr>
          <w:lang w:eastAsia="en-AU"/>
        </w:rPr>
      </w:pPr>
      <w:r>
        <w:rPr>
          <w:lang w:eastAsia="en-AU"/>
        </w:rPr>
        <w:t>The parties agree that:</w:t>
      </w:r>
    </w:p>
    <w:p w14:paraId="3E76FEC8" w14:textId="77777777" w:rsidR="00A0279B" w:rsidRDefault="00A0279B" w:rsidP="00BA552E">
      <w:pPr>
        <w:pStyle w:val="Para1"/>
        <w:numPr>
          <w:ilvl w:val="1"/>
          <w:numId w:val="2"/>
        </w:numPr>
        <w:tabs>
          <w:tab w:val="clear" w:pos="1440"/>
        </w:tabs>
        <w:ind w:left="1134" w:hanging="567"/>
        <w:rPr>
          <w:lang w:eastAsia="en-AU"/>
        </w:rPr>
      </w:pPr>
      <w:r>
        <w:rPr>
          <w:lang w:eastAsia="en-AU"/>
        </w:rPr>
        <w:t xml:space="preserve">the applicants made an offer to the respondent in a </w:t>
      </w:r>
      <w:r w:rsidR="00236231" w:rsidRPr="002D327C">
        <w:rPr>
          <w:lang w:eastAsia="en-AU"/>
        </w:rPr>
        <w:t>Calderbank offer</w:t>
      </w:r>
      <w:r>
        <w:rPr>
          <w:lang w:eastAsia="en-AU"/>
        </w:rPr>
        <w:t xml:space="preserve"> of </w:t>
      </w:r>
      <w:r w:rsidRPr="00832EA1">
        <w:t>11 March 2021</w:t>
      </w:r>
      <w:r>
        <w:t xml:space="preserve">, to settle the proceedings for a payment by the respondent to the </w:t>
      </w:r>
      <w:r w:rsidRPr="00832EA1">
        <w:t>applicants</w:t>
      </w:r>
      <w:r>
        <w:t xml:space="preserve"> </w:t>
      </w:r>
      <w:r w:rsidRPr="00832EA1">
        <w:t>of $219,766.60</w:t>
      </w:r>
      <w:r>
        <w:t>;</w:t>
      </w:r>
    </w:p>
    <w:p w14:paraId="71BF84BC" w14:textId="7EF36798" w:rsidR="00A0279B" w:rsidRDefault="00A0279B" w:rsidP="00BA552E">
      <w:pPr>
        <w:pStyle w:val="Para1"/>
        <w:numPr>
          <w:ilvl w:val="1"/>
          <w:numId w:val="2"/>
        </w:numPr>
        <w:tabs>
          <w:tab w:val="clear" w:pos="1440"/>
        </w:tabs>
        <w:ind w:left="1134" w:hanging="567"/>
        <w:rPr>
          <w:lang w:eastAsia="en-AU"/>
        </w:rPr>
      </w:pPr>
      <w:r>
        <w:t>the offer was open for acceptance for 7 days;</w:t>
      </w:r>
    </w:p>
    <w:p w14:paraId="4E51DB66" w14:textId="77777777" w:rsidR="00A0279B" w:rsidRDefault="00A0279B" w:rsidP="00BA552E">
      <w:pPr>
        <w:pStyle w:val="Para1"/>
        <w:numPr>
          <w:ilvl w:val="1"/>
          <w:numId w:val="2"/>
        </w:numPr>
        <w:tabs>
          <w:tab w:val="clear" w:pos="1440"/>
        </w:tabs>
        <w:ind w:left="1134" w:hanging="567"/>
        <w:rPr>
          <w:lang w:eastAsia="en-AU"/>
        </w:rPr>
      </w:pPr>
      <w:r>
        <w:t>the respondent did not accept the offer; and</w:t>
      </w:r>
    </w:p>
    <w:p w14:paraId="50066E27" w14:textId="0FDB28A4" w:rsidR="00A0279B" w:rsidRDefault="00A0279B" w:rsidP="00BA552E">
      <w:pPr>
        <w:pStyle w:val="Para1"/>
        <w:numPr>
          <w:ilvl w:val="1"/>
          <w:numId w:val="2"/>
        </w:numPr>
        <w:tabs>
          <w:tab w:val="clear" w:pos="1440"/>
        </w:tabs>
        <w:ind w:left="1134" w:hanging="567"/>
        <w:rPr>
          <w:lang w:eastAsia="en-AU"/>
        </w:rPr>
      </w:pPr>
      <w:r>
        <w:t>the outcome of the proceeding was not more favourable to the respondent.</w:t>
      </w:r>
    </w:p>
    <w:p w14:paraId="71B12C9A" w14:textId="2DBCF1ED" w:rsidR="009D5734" w:rsidRDefault="009D5734" w:rsidP="00112F64">
      <w:pPr>
        <w:pStyle w:val="Para1"/>
        <w:rPr>
          <w:lang w:eastAsia="en-AU"/>
        </w:rPr>
      </w:pPr>
      <w:r>
        <w:t xml:space="preserve">I accept the respondent’s submission that the offer does not comply with the provisions of s 114 of the </w:t>
      </w:r>
      <w:r w:rsidRPr="009D5734">
        <w:rPr>
          <w:i/>
          <w:iCs/>
        </w:rPr>
        <w:t>VCAT Act</w:t>
      </w:r>
      <w:r>
        <w:t xml:space="preserve">. Therefore, there is no presumption that the applicants will be awarded their costs if the outcome of the proceeding is </w:t>
      </w:r>
      <w:r w:rsidR="00C241CD">
        <w:rPr>
          <w:noProof/>
        </w:rPr>
        <w:drawing>
          <wp:anchor distT="0" distB="0" distL="114300" distR="114300" simplePos="0" relativeHeight="251666432" behindDoc="1" locked="0" layoutInCell="1" allowOverlap="1" wp14:anchorId="4499ECF6" wp14:editId="329B6010">
            <wp:simplePos x="0" y="0"/>
            <wp:positionH relativeFrom="column">
              <wp:posOffset>5183505</wp:posOffset>
            </wp:positionH>
            <wp:positionV relativeFrom="paragraph">
              <wp:posOffset>8459470</wp:posOffset>
            </wp:positionV>
            <wp:extent cx="1080000" cy="1080000"/>
            <wp:effectExtent l="0" t="0" r="6350" b="6350"/>
            <wp:wrapNone/>
            <wp:docPr id="1806130022" name="VCAT Seal9"/>
            <wp:cNvGraphicFramePr/>
            <a:graphic xmlns:a="http://schemas.openxmlformats.org/drawingml/2006/main">
              <a:graphicData uri="http://schemas.openxmlformats.org/drawingml/2006/picture">
                <pic:pic xmlns:pic="http://schemas.openxmlformats.org/drawingml/2006/picture">
                  <pic:nvPicPr>
                    <pic:cNvPr id="1806130022" name="VCAT Seal9"/>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not more favourable to the respondent. However </w:t>
      </w:r>
      <w:r w:rsidR="0033460D">
        <w:t xml:space="preserve">an offer that is unreasonably rejected </w:t>
      </w:r>
      <w:r>
        <w:t xml:space="preserve">it is still a matter that can be taken into account under s 109(e) of the </w:t>
      </w:r>
      <w:r w:rsidRPr="009D5734">
        <w:rPr>
          <w:i/>
          <w:iCs/>
        </w:rPr>
        <w:t>VCAT Act</w:t>
      </w:r>
      <w:r>
        <w:t xml:space="preserve"> in consideration whether it is fair </w:t>
      </w:r>
      <w:r w:rsidRPr="0033460D">
        <w:t>to award costs.</w:t>
      </w:r>
      <w:r w:rsidR="0033460D" w:rsidRPr="0033460D">
        <w:rPr>
          <w:vertAlign w:val="superscript"/>
          <w:lang w:eastAsia="en-AU"/>
        </w:rPr>
        <w:footnoteReference w:id="8"/>
      </w:r>
    </w:p>
    <w:p w14:paraId="3C664371" w14:textId="1E6F6433" w:rsidR="007C4C43" w:rsidRPr="007C4C43" w:rsidRDefault="007C4C43" w:rsidP="007C4C43">
      <w:pPr>
        <w:pStyle w:val="Para1"/>
        <w:rPr>
          <w:lang w:eastAsia="en-AU"/>
        </w:rPr>
      </w:pPr>
      <w:r w:rsidRPr="007C4C43">
        <w:rPr>
          <w:lang w:eastAsia="en-AU"/>
        </w:rPr>
        <w:t xml:space="preserve">To determine whether the rejection of the offer was unreasonable in the circumstances, the Tribunal may be guided by the principles discussed in </w:t>
      </w:r>
      <w:r w:rsidRPr="007C4C43">
        <w:rPr>
          <w:i/>
          <w:iCs/>
          <w:lang w:eastAsia="en-AU"/>
        </w:rPr>
        <w:t xml:space="preserve">Hazeldene’s Chicken Farm Pty Ltd v Victorian Workcover Authority (No.2) </w:t>
      </w:r>
      <w:r w:rsidRPr="007C4C43">
        <w:rPr>
          <w:lang w:eastAsia="en-AU"/>
        </w:rPr>
        <w:t>[2005] VSCA 298 (</w:t>
      </w:r>
      <w:r w:rsidR="0088790D">
        <w:rPr>
          <w:lang w:eastAsia="en-AU"/>
        </w:rPr>
        <w:t>‘</w:t>
      </w:r>
      <w:r w:rsidRPr="002C17EA">
        <w:rPr>
          <w:i/>
          <w:iCs/>
          <w:lang w:eastAsia="en-AU"/>
        </w:rPr>
        <w:t>Hazeldene’s</w:t>
      </w:r>
      <w:r w:rsidR="0088790D">
        <w:rPr>
          <w:lang w:eastAsia="en-AU"/>
        </w:rPr>
        <w:t>’</w:t>
      </w:r>
      <w:r w:rsidRPr="007C4C43">
        <w:rPr>
          <w:lang w:eastAsia="en-AU"/>
        </w:rPr>
        <w:t>) at [25]</w:t>
      </w:r>
      <w:r w:rsidR="0088790D">
        <w:rPr>
          <w:lang w:eastAsia="en-AU"/>
        </w:rPr>
        <w:t>.</w:t>
      </w:r>
      <w:r w:rsidRPr="007C4C43">
        <w:rPr>
          <w:vertAlign w:val="superscript"/>
          <w:lang w:eastAsia="en-AU"/>
        </w:rPr>
        <w:footnoteReference w:id="9"/>
      </w:r>
    </w:p>
    <w:p w14:paraId="3A36104E" w14:textId="77777777" w:rsidR="007C4C43" w:rsidRPr="007C4C43" w:rsidRDefault="007C4C43" w:rsidP="007C4C43">
      <w:pPr>
        <w:pStyle w:val="Para1"/>
        <w:rPr>
          <w:lang w:eastAsia="en-AU"/>
        </w:rPr>
      </w:pPr>
      <w:r w:rsidRPr="007C4C43">
        <w:rPr>
          <w:lang w:eastAsia="en-AU"/>
        </w:rPr>
        <w:t>Those principles are:</w:t>
      </w:r>
    </w:p>
    <w:p w14:paraId="471C5A66" w14:textId="77777777" w:rsidR="007C4C43" w:rsidRPr="007C4C43" w:rsidRDefault="007C4C43" w:rsidP="001B684F">
      <w:pPr>
        <w:numPr>
          <w:ilvl w:val="1"/>
          <w:numId w:val="2"/>
        </w:numPr>
        <w:tabs>
          <w:tab w:val="clear" w:pos="1440"/>
          <w:tab w:val="num" w:pos="1134"/>
        </w:tabs>
        <w:spacing w:after="120" w:line="300" w:lineRule="atLeast"/>
        <w:ind w:left="1134" w:hanging="567"/>
        <w:rPr>
          <w:lang w:eastAsia="en-AU"/>
        </w:rPr>
      </w:pPr>
      <w:r w:rsidRPr="007C4C43">
        <w:rPr>
          <w:lang w:eastAsia="en-AU"/>
        </w:rPr>
        <w:t>the stage of the proceeding at which the offer was received;</w:t>
      </w:r>
    </w:p>
    <w:p w14:paraId="25C4E1A2" w14:textId="77777777" w:rsidR="007C4C43" w:rsidRPr="007C4C43" w:rsidRDefault="007C4C43" w:rsidP="001B684F">
      <w:pPr>
        <w:numPr>
          <w:ilvl w:val="1"/>
          <w:numId w:val="2"/>
        </w:numPr>
        <w:tabs>
          <w:tab w:val="clear" w:pos="1440"/>
          <w:tab w:val="num" w:pos="1134"/>
        </w:tabs>
        <w:spacing w:after="120" w:line="300" w:lineRule="atLeast"/>
        <w:ind w:left="1134" w:hanging="567"/>
        <w:rPr>
          <w:lang w:eastAsia="en-AU"/>
        </w:rPr>
      </w:pPr>
      <w:r w:rsidRPr="007C4C43">
        <w:rPr>
          <w:lang w:eastAsia="en-AU"/>
        </w:rPr>
        <w:t>the time allowed to the offeree to consider the offer;</w:t>
      </w:r>
    </w:p>
    <w:p w14:paraId="0D10D0E2" w14:textId="77777777" w:rsidR="007C4C43" w:rsidRPr="007C4C43" w:rsidRDefault="007C4C43" w:rsidP="001B684F">
      <w:pPr>
        <w:numPr>
          <w:ilvl w:val="1"/>
          <w:numId w:val="2"/>
        </w:numPr>
        <w:tabs>
          <w:tab w:val="clear" w:pos="1440"/>
          <w:tab w:val="num" w:pos="1134"/>
        </w:tabs>
        <w:spacing w:after="120" w:line="300" w:lineRule="atLeast"/>
        <w:ind w:left="1134" w:hanging="567"/>
        <w:rPr>
          <w:lang w:eastAsia="en-AU"/>
        </w:rPr>
      </w:pPr>
      <w:r w:rsidRPr="007C4C43">
        <w:rPr>
          <w:lang w:eastAsia="en-AU"/>
        </w:rPr>
        <w:t>the extent of the compromise offered;</w:t>
      </w:r>
    </w:p>
    <w:p w14:paraId="592A1716" w14:textId="77777777" w:rsidR="007C4C43" w:rsidRPr="007C4C43" w:rsidRDefault="007C4C43" w:rsidP="001B684F">
      <w:pPr>
        <w:numPr>
          <w:ilvl w:val="1"/>
          <w:numId w:val="2"/>
        </w:numPr>
        <w:tabs>
          <w:tab w:val="clear" w:pos="1440"/>
          <w:tab w:val="num" w:pos="1134"/>
        </w:tabs>
        <w:spacing w:after="120" w:line="300" w:lineRule="atLeast"/>
        <w:ind w:left="1134" w:hanging="567"/>
        <w:rPr>
          <w:lang w:eastAsia="en-AU"/>
        </w:rPr>
      </w:pPr>
      <w:r w:rsidRPr="007C4C43">
        <w:rPr>
          <w:lang w:eastAsia="en-AU"/>
        </w:rPr>
        <w:t>the offeree’s prospects of success, assessed as at the date of the offer;</w:t>
      </w:r>
    </w:p>
    <w:p w14:paraId="3EC48E8B" w14:textId="368F6190" w:rsidR="007C4C43" w:rsidRPr="007C4C43" w:rsidRDefault="007C4C43" w:rsidP="001B684F">
      <w:pPr>
        <w:numPr>
          <w:ilvl w:val="1"/>
          <w:numId w:val="2"/>
        </w:numPr>
        <w:tabs>
          <w:tab w:val="clear" w:pos="1440"/>
          <w:tab w:val="num" w:pos="1134"/>
        </w:tabs>
        <w:spacing w:after="120" w:line="300" w:lineRule="atLeast"/>
        <w:ind w:left="1134" w:hanging="567"/>
        <w:rPr>
          <w:lang w:eastAsia="en-AU"/>
        </w:rPr>
      </w:pPr>
      <w:r w:rsidRPr="007C4C43">
        <w:rPr>
          <w:lang w:eastAsia="en-AU"/>
        </w:rPr>
        <w:t>the clarity with which the terms of the offer were expressed;</w:t>
      </w:r>
      <w:r w:rsidR="00A02148">
        <w:rPr>
          <w:lang w:eastAsia="en-AU"/>
        </w:rPr>
        <w:t xml:space="preserve"> and</w:t>
      </w:r>
    </w:p>
    <w:p w14:paraId="159D4563" w14:textId="17417D78" w:rsidR="007C4C43" w:rsidRPr="007C4C43" w:rsidRDefault="007C4C43" w:rsidP="001B684F">
      <w:pPr>
        <w:numPr>
          <w:ilvl w:val="1"/>
          <w:numId w:val="2"/>
        </w:numPr>
        <w:tabs>
          <w:tab w:val="clear" w:pos="1440"/>
          <w:tab w:val="num" w:pos="1134"/>
        </w:tabs>
        <w:spacing w:after="120" w:line="300" w:lineRule="atLeast"/>
        <w:ind w:left="1134" w:hanging="567"/>
        <w:rPr>
          <w:lang w:eastAsia="en-AU"/>
        </w:rPr>
      </w:pPr>
      <w:r w:rsidRPr="007C4C43">
        <w:rPr>
          <w:lang w:eastAsia="en-AU"/>
        </w:rPr>
        <w:t xml:space="preserve">whether the offer foreshadowed an application for </w:t>
      </w:r>
      <w:r w:rsidR="00A02148">
        <w:rPr>
          <w:lang w:eastAsia="en-AU"/>
        </w:rPr>
        <w:t>[</w:t>
      </w:r>
      <w:r w:rsidRPr="007C4C43">
        <w:rPr>
          <w:lang w:eastAsia="en-AU"/>
        </w:rPr>
        <w:t>indemnity</w:t>
      </w:r>
      <w:r w:rsidR="00A02148">
        <w:rPr>
          <w:lang w:eastAsia="en-AU"/>
        </w:rPr>
        <w:t>]</w:t>
      </w:r>
      <w:r w:rsidRPr="007C4C43">
        <w:rPr>
          <w:lang w:eastAsia="en-AU"/>
        </w:rPr>
        <w:t xml:space="preserve"> costs in the event of the offeree’s rejecting it.</w:t>
      </w:r>
    </w:p>
    <w:p w14:paraId="3DA6216E" w14:textId="77777777" w:rsidR="007C4C43" w:rsidRDefault="007C4C43" w:rsidP="007C4C43">
      <w:pPr>
        <w:pStyle w:val="Para1"/>
        <w:rPr>
          <w:lang w:eastAsia="en-AU"/>
        </w:rPr>
      </w:pPr>
      <w:r w:rsidRPr="007C4C43">
        <w:rPr>
          <w:lang w:eastAsia="en-AU"/>
        </w:rPr>
        <w:t>At the time the offer was made the applicants claim was for the amount</w:t>
      </w:r>
      <w:r>
        <w:rPr>
          <w:lang w:eastAsia="en-AU"/>
        </w:rPr>
        <w:t xml:space="preserve"> of </w:t>
      </w:r>
      <w:r w:rsidRPr="007C4C43">
        <w:t>$421,141.60</w:t>
      </w:r>
      <w:r>
        <w:t>, therefore the offer was a significant compromise.</w:t>
      </w:r>
    </w:p>
    <w:p w14:paraId="53C6787F" w14:textId="77777777" w:rsidR="005D2908" w:rsidRDefault="0087202F" w:rsidP="007C4C43">
      <w:pPr>
        <w:pStyle w:val="Para1"/>
        <w:rPr>
          <w:lang w:eastAsia="en-AU"/>
        </w:rPr>
      </w:pPr>
      <w:r>
        <w:rPr>
          <w:lang w:eastAsia="en-AU"/>
        </w:rPr>
        <w:t xml:space="preserve">The offer was made reasonably close to the hearing which commenced on 6 April 2021. At that time, the respondent was legally represented and initial witness statements and discovery had been exchanged between the parties. I am satisfied that the respondent was in a position to assess her prospects of success by the time the offer was made. </w:t>
      </w:r>
    </w:p>
    <w:p w14:paraId="46751734" w14:textId="5EA3FA4E" w:rsidR="007C4C43" w:rsidRDefault="0087202F" w:rsidP="007C4C43">
      <w:pPr>
        <w:pStyle w:val="Para1"/>
        <w:rPr>
          <w:lang w:eastAsia="en-AU"/>
        </w:rPr>
      </w:pPr>
      <w:r>
        <w:rPr>
          <w:lang w:eastAsia="en-AU"/>
        </w:rPr>
        <w:t xml:space="preserve">The affidavit </w:t>
      </w:r>
      <w:r w:rsidRPr="0087202F">
        <w:t>of Chris Papadopoulos</w:t>
      </w:r>
      <w:r>
        <w:t xml:space="preserve"> states</w:t>
      </w:r>
      <w:r w:rsidR="007C4C43">
        <w:t>:</w:t>
      </w:r>
      <w:r>
        <w:t xml:space="preserve"> </w:t>
      </w:r>
    </w:p>
    <w:p w14:paraId="0405B7EE" w14:textId="3F961A6A" w:rsidR="007C4C43" w:rsidRPr="007C4C43" w:rsidRDefault="007C4C43" w:rsidP="007C4C43">
      <w:pPr>
        <w:pStyle w:val="Quote1"/>
      </w:pPr>
      <w:r>
        <w:t xml:space="preserve">8. </w:t>
      </w:r>
      <w:r w:rsidRPr="007C4C43">
        <w:t>I have no record of the respondent or her solicitor responding to this letter, and I</w:t>
      </w:r>
      <w:r>
        <w:t xml:space="preserve"> </w:t>
      </w:r>
      <w:r w:rsidRPr="007C4C43">
        <w:t>do not believe that she did, in the nature of a counteroffer, requesting an</w:t>
      </w:r>
      <w:r>
        <w:t xml:space="preserve"> </w:t>
      </w:r>
      <w:r w:rsidRPr="007C4C43">
        <w:t>extension of time, or at all.</w:t>
      </w:r>
    </w:p>
    <w:p w14:paraId="6F439698" w14:textId="6C111E52" w:rsidR="007C4C43" w:rsidRPr="007C4C43" w:rsidRDefault="007C4C43" w:rsidP="007C4C43">
      <w:pPr>
        <w:pStyle w:val="Quote1"/>
      </w:pPr>
      <w:r w:rsidRPr="007C4C43">
        <w:t>9. I further have no record, and do not recall, the respondent making any offer to</w:t>
      </w:r>
      <w:r>
        <w:t xml:space="preserve"> </w:t>
      </w:r>
      <w:r w:rsidRPr="007C4C43">
        <w:t>pay my clients a sum of money throughout the proceeding</w:t>
      </w:r>
    </w:p>
    <w:p w14:paraId="705AF0B9" w14:textId="288EA078" w:rsidR="007C4C43" w:rsidRDefault="007C4C43" w:rsidP="007C4C43">
      <w:pPr>
        <w:pStyle w:val="Para1"/>
        <w:rPr>
          <w:lang w:eastAsia="en-AU"/>
        </w:rPr>
      </w:pPr>
      <w:r>
        <w:rPr>
          <w:lang w:eastAsia="en-AU"/>
        </w:rPr>
        <w:t xml:space="preserve">Given the upcoming hearing, and that no response to the offer </w:t>
      </w:r>
      <w:r w:rsidR="008F3D02">
        <w:rPr>
          <w:lang w:eastAsia="en-AU"/>
        </w:rPr>
        <w:t xml:space="preserve">or request for further time to consider the offer </w:t>
      </w:r>
      <w:r>
        <w:rPr>
          <w:lang w:eastAsia="en-AU"/>
        </w:rPr>
        <w:t xml:space="preserve">was </w:t>
      </w:r>
      <w:r w:rsidR="008F3D02">
        <w:rPr>
          <w:lang w:eastAsia="en-AU"/>
        </w:rPr>
        <w:t>received</w:t>
      </w:r>
      <w:r>
        <w:rPr>
          <w:lang w:eastAsia="en-AU"/>
        </w:rPr>
        <w:t xml:space="preserve">, I am satisfied that 7 days was a reasonable time to consider the offer. </w:t>
      </w:r>
    </w:p>
    <w:p w14:paraId="054E79A3" w14:textId="77777777" w:rsidR="00B91F83" w:rsidRDefault="007C4C43" w:rsidP="00B83FDA">
      <w:pPr>
        <w:pStyle w:val="Para1"/>
        <w:rPr>
          <w:lang w:eastAsia="en-AU"/>
        </w:rPr>
      </w:pPr>
      <w:r w:rsidRPr="00E176FE">
        <w:t xml:space="preserve">I am satisfied that the offer made in April 2021 weighs in favour of it being fair to make an award </w:t>
      </w:r>
      <w:r w:rsidR="00B91F83">
        <w:t xml:space="preserve">for </w:t>
      </w:r>
      <w:r w:rsidRPr="00E176FE">
        <w:t xml:space="preserve">costs </w:t>
      </w:r>
      <w:r w:rsidR="00B91F83">
        <w:t>in favour of the applicants.</w:t>
      </w:r>
    </w:p>
    <w:p w14:paraId="19B0CC29" w14:textId="77777777" w:rsidR="00DA49AF" w:rsidRPr="003D31BF" w:rsidRDefault="00DA49AF" w:rsidP="00DA49AF">
      <w:pPr>
        <w:keepNext/>
        <w:spacing w:before="240" w:after="120"/>
        <w:outlineLvl w:val="2"/>
        <w:rPr>
          <w:rFonts w:ascii="Arial" w:hAnsi="Arial"/>
          <w:b/>
          <w:bCs/>
          <w:iCs/>
          <w:sz w:val="24"/>
          <w:szCs w:val="24"/>
        </w:rPr>
      </w:pPr>
      <w:r w:rsidRPr="003D31BF">
        <w:rPr>
          <w:rFonts w:ascii="Arial" w:hAnsi="Arial"/>
          <w:b/>
          <w:bCs/>
          <w:iCs/>
          <w:sz w:val="24"/>
          <w:szCs w:val="24"/>
        </w:rPr>
        <w:t xml:space="preserve">Conclusion </w:t>
      </w:r>
      <w:r>
        <w:rPr>
          <w:rFonts w:ascii="Arial" w:hAnsi="Arial"/>
          <w:b/>
          <w:bCs/>
          <w:iCs/>
          <w:sz w:val="24"/>
          <w:szCs w:val="24"/>
        </w:rPr>
        <w:t>as whether it is fair to make an order under s 109</w:t>
      </w:r>
    </w:p>
    <w:p w14:paraId="76B6BA5E" w14:textId="77777777" w:rsidR="002D6445" w:rsidRPr="004C7E44" w:rsidRDefault="002D6445" w:rsidP="001A6269">
      <w:pPr>
        <w:pStyle w:val="Para1"/>
      </w:pPr>
      <w:r w:rsidRPr="004C7E44">
        <w:t xml:space="preserve">In </w:t>
      </w:r>
      <w:r w:rsidRPr="004C7E44">
        <w:rPr>
          <w:i/>
          <w:iCs/>
        </w:rPr>
        <w:t xml:space="preserve">Vero Insurance Limited v The Gombac Group Pty Ltd </w:t>
      </w:r>
      <w:r w:rsidRPr="004C7E44">
        <w:t xml:space="preserve">[2007] VSC 117 Justice Gillard said at [22], said: </w:t>
      </w:r>
    </w:p>
    <w:p w14:paraId="5B18A2E1" w14:textId="4241B9DC" w:rsidR="002D6445" w:rsidRPr="005A0E44" w:rsidRDefault="002D6445" w:rsidP="002D6445">
      <w:pPr>
        <w:pStyle w:val="Quote1"/>
      </w:pPr>
      <w:r w:rsidRPr="004C7E44">
        <w:t xml:space="preserve">Whilst it is appropriate for the Tribunal to consider each of the specified matters in s.109(3) and express a view as to the weight that should be attached to the particular matters relied upon, in the end it is important </w:t>
      </w:r>
      <w:r w:rsidR="00C241CD">
        <w:rPr>
          <w:noProof/>
        </w:rPr>
        <w:drawing>
          <wp:anchor distT="0" distB="0" distL="114300" distR="114300" simplePos="0" relativeHeight="251667456" behindDoc="1" locked="0" layoutInCell="1" allowOverlap="1" wp14:anchorId="6E8413CC" wp14:editId="0ED66918">
            <wp:simplePos x="0" y="0"/>
            <wp:positionH relativeFrom="column">
              <wp:posOffset>5183505</wp:posOffset>
            </wp:positionH>
            <wp:positionV relativeFrom="paragraph">
              <wp:posOffset>8459470</wp:posOffset>
            </wp:positionV>
            <wp:extent cx="1080000" cy="1080000"/>
            <wp:effectExtent l="0" t="0" r="6350" b="6350"/>
            <wp:wrapNone/>
            <wp:docPr id="1805421833" name="VCAT Seal10"/>
            <wp:cNvGraphicFramePr/>
            <a:graphic xmlns:a="http://schemas.openxmlformats.org/drawingml/2006/main">
              <a:graphicData uri="http://schemas.openxmlformats.org/drawingml/2006/picture">
                <pic:pic xmlns:pic="http://schemas.openxmlformats.org/drawingml/2006/picture">
                  <pic:nvPicPr>
                    <pic:cNvPr id="1805421833" name="VCAT Seal10"/>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4C7E44">
        <w:t>that the Tribunal consider all the matters together and determine whether it is fair to make an order for costs. When dealt with in isolation, each of the matters may lead to the conclusion that it is not fair to make an order for costs, but when taken together, the Tribunal may be satisfied that it is fair to do so. It is the totality of all relevant matters under s.109(3) that must be considered in the context of the prima facie rule.</w:t>
      </w:r>
    </w:p>
    <w:p w14:paraId="492C6AD9" w14:textId="4A648020" w:rsidR="00E169EF" w:rsidRDefault="002D6445" w:rsidP="001A6269">
      <w:pPr>
        <w:pStyle w:val="Para1"/>
      </w:pPr>
      <w:r w:rsidRPr="00E169EF">
        <w:t xml:space="preserve">After considering the totality of all the matters, I am satisfied, particularly due to the </w:t>
      </w:r>
      <w:r w:rsidR="007C4C43" w:rsidRPr="00E169EF">
        <w:t>complexity of the proceeding</w:t>
      </w:r>
      <w:r w:rsidR="00F640DB">
        <w:t xml:space="preserve"> but also to a lesser extent </w:t>
      </w:r>
      <w:r w:rsidR="00E169EF">
        <w:t>the unreasonable failure to accept the offer</w:t>
      </w:r>
      <w:r w:rsidR="007C4C43" w:rsidRPr="00E169EF">
        <w:t xml:space="preserve"> and the </w:t>
      </w:r>
      <w:r w:rsidRPr="00E169EF">
        <w:t xml:space="preserve">strength of the </w:t>
      </w:r>
      <w:r w:rsidR="007C4C43" w:rsidRPr="00E169EF">
        <w:t xml:space="preserve">applicants’ </w:t>
      </w:r>
      <w:r w:rsidRPr="00E169EF">
        <w:t xml:space="preserve">claims </w:t>
      </w:r>
      <w:r w:rsidR="00CD1547" w:rsidRPr="00E169EF">
        <w:t xml:space="preserve">based on documents </w:t>
      </w:r>
      <w:r w:rsidRPr="00E169EF">
        <w:t xml:space="preserve">being relatively stronger than the </w:t>
      </w:r>
      <w:r w:rsidR="00CD1547" w:rsidRPr="00E169EF">
        <w:t xml:space="preserve">respondent’s </w:t>
      </w:r>
      <w:r w:rsidRPr="00E169EF">
        <w:t>defence and counterclaim, that it is fair to exercise the Tribunal’s discretion under s</w:t>
      </w:r>
      <w:r w:rsidR="00FB5058">
        <w:t> </w:t>
      </w:r>
      <w:r w:rsidRPr="00E169EF">
        <w:t xml:space="preserve">109(2) and </w:t>
      </w:r>
      <w:r w:rsidR="00E169EF">
        <w:t xml:space="preserve">make an </w:t>
      </w:r>
      <w:r w:rsidRPr="00E169EF">
        <w:t xml:space="preserve">order the </w:t>
      </w:r>
      <w:r w:rsidR="00CD1547" w:rsidRPr="00E169EF">
        <w:t xml:space="preserve">respondent </w:t>
      </w:r>
      <w:r w:rsidRPr="00E169EF">
        <w:t xml:space="preserve">pay the </w:t>
      </w:r>
      <w:r w:rsidR="00CD1547" w:rsidRPr="00E169EF">
        <w:t>applicants</w:t>
      </w:r>
      <w:r w:rsidRPr="00E169EF">
        <w:t>’ costs</w:t>
      </w:r>
      <w:r w:rsidR="00E169EF">
        <w:t>.</w:t>
      </w:r>
    </w:p>
    <w:p w14:paraId="69807DC7" w14:textId="1186F83A" w:rsidR="008F30A6" w:rsidRDefault="008E0C7D" w:rsidP="004801D9">
      <w:pPr>
        <w:pStyle w:val="Heading2"/>
      </w:pPr>
      <w:r>
        <w:t>W</w:t>
      </w:r>
      <w:r w:rsidR="008F30A6">
        <w:t>hat costs orders should be made</w:t>
      </w:r>
    </w:p>
    <w:p w14:paraId="4EC94A74" w14:textId="77777777" w:rsidR="00764A07" w:rsidRPr="00DA49AF" w:rsidRDefault="00764A07" w:rsidP="00764A07">
      <w:pPr>
        <w:pStyle w:val="Para1"/>
      </w:pPr>
      <w:r w:rsidRPr="00DA49AF">
        <w:t>The standard basis is the usual basis upon which costs are ordered.</w:t>
      </w:r>
      <w:r>
        <w:rPr>
          <w:rStyle w:val="FootnoteReference"/>
        </w:rPr>
        <w:footnoteReference w:id="10"/>
      </w:r>
    </w:p>
    <w:p w14:paraId="065A3003" w14:textId="37D82FCE" w:rsidR="00E169EF" w:rsidRPr="00F640DB" w:rsidRDefault="00E169EF" w:rsidP="007556D8">
      <w:pPr>
        <w:pStyle w:val="Para1"/>
      </w:pPr>
      <w:r>
        <w:rPr>
          <w:rStyle w:val="jade-ts-9"/>
        </w:rPr>
        <w:t xml:space="preserve">The applicants seek </w:t>
      </w:r>
      <w:r w:rsidRPr="00E169EF">
        <w:rPr>
          <w:rStyle w:val="jade-ts-9"/>
        </w:rPr>
        <w:t>their costs of the proceeding on a standard basis to 18 March 2021 (being</w:t>
      </w:r>
      <w:r>
        <w:rPr>
          <w:rStyle w:val="jade-ts-9"/>
        </w:rPr>
        <w:t xml:space="preserve"> </w:t>
      </w:r>
      <w:r w:rsidRPr="00E169EF">
        <w:rPr>
          <w:rStyle w:val="jade-ts-9"/>
        </w:rPr>
        <w:t>the expiry of the Calderbank offer), and thereafter on an</w:t>
      </w:r>
      <w:r>
        <w:rPr>
          <w:rStyle w:val="jade-ts-9"/>
        </w:rPr>
        <w:t xml:space="preserve"> </w:t>
      </w:r>
      <w:r w:rsidRPr="00E169EF">
        <w:rPr>
          <w:rStyle w:val="jade-ts-9"/>
        </w:rPr>
        <w:t>indemnity basis</w:t>
      </w:r>
      <w:r>
        <w:rPr>
          <w:rStyle w:val="jade-ts-9"/>
        </w:rPr>
        <w:t>.</w:t>
      </w:r>
      <w:r w:rsidR="003C0923">
        <w:rPr>
          <w:rStyle w:val="jade-ts-9"/>
        </w:rPr>
        <w:t xml:space="preserve"> </w:t>
      </w:r>
      <w:r w:rsidRPr="00F640DB">
        <w:t>Costs on an indemnity basis are warranted only in exceptional</w:t>
      </w:r>
      <w:r w:rsidR="00F640DB">
        <w:t xml:space="preserve"> </w:t>
      </w:r>
      <w:r w:rsidRPr="00F640DB">
        <w:t>circumstances</w:t>
      </w:r>
      <w:r w:rsidR="00BA60AE">
        <w:t xml:space="preserve">, for example where a party has engaged in contumelious or </w:t>
      </w:r>
      <w:r w:rsidR="00E474E5">
        <w:t>high-handed</w:t>
      </w:r>
      <w:r w:rsidR="00BA60AE">
        <w:t xml:space="preserve"> conduct</w:t>
      </w:r>
      <w:r w:rsidRPr="00F640DB">
        <w:t>.</w:t>
      </w:r>
      <w:r w:rsidRPr="00F640DB">
        <w:rPr>
          <w:rStyle w:val="FootnoteReference"/>
        </w:rPr>
        <w:footnoteReference w:id="11"/>
      </w:r>
    </w:p>
    <w:p w14:paraId="79822652" w14:textId="59A65C86" w:rsidR="00F640DB" w:rsidRPr="00F640DB" w:rsidRDefault="00F640DB" w:rsidP="00E169EF">
      <w:pPr>
        <w:pStyle w:val="Para1"/>
      </w:pPr>
      <w:r w:rsidRPr="00F640DB">
        <w:t>The failure to accept the Calderbank offer and the failure of the respondent to make any offers to settle the proceeding does not satisf</w:t>
      </w:r>
      <w:r w:rsidR="0082064A">
        <w:t>y</w:t>
      </w:r>
      <w:r w:rsidRPr="00F640DB">
        <w:t xml:space="preserve"> me that indemnity costs should be ordered in circumstances where the ordinary position </w:t>
      </w:r>
      <w:r w:rsidR="00764A07">
        <w:t xml:space="preserve">in the Tribunal </w:t>
      </w:r>
      <w:r w:rsidRPr="00F640DB">
        <w:t xml:space="preserve">is that the parties bear their own costs. I am not satisfied that exceptional circumstances exist and that costs should be awarded on an indemnity basis. </w:t>
      </w:r>
    </w:p>
    <w:p w14:paraId="35622D98" w14:textId="6358C1BA" w:rsidR="00764A07" w:rsidRPr="00E176FE" w:rsidRDefault="00764A07" w:rsidP="00764A07">
      <w:pPr>
        <w:pStyle w:val="Para1"/>
        <w:rPr>
          <w:lang w:eastAsia="en-AU"/>
        </w:rPr>
      </w:pPr>
      <w:r w:rsidRPr="00E176FE">
        <w:rPr>
          <w:lang w:eastAsia="en-AU"/>
        </w:rPr>
        <w:t xml:space="preserve">The respondent submits that if costs are awarded, it should only be costs incurred after the Calderbank offer expired – that is from 18 March 2021. I accept that this might be a relevant consideration in determining </w:t>
      </w:r>
      <w:r w:rsidR="0017453D" w:rsidRPr="00E176FE">
        <w:rPr>
          <w:lang w:eastAsia="en-AU"/>
        </w:rPr>
        <w:t xml:space="preserve">what cost orders </w:t>
      </w:r>
      <w:r w:rsidRPr="00E176FE">
        <w:rPr>
          <w:lang w:eastAsia="en-AU"/>
        </w:rPr>
        <w:t xml:space="preserve">it might be fair </w:t>
      </w:r>
      <w:r w:rsidR="0017453D" w:rsidRPr="00E176FE">
        <w:rPr>
          <w:lang w:eastAsia="en-AU"/>
        </w:rPr>
        <w:t xml:space="preserve">to make </w:t>
      </w:r>
      <w:r w:rsidRPr="00E176FE">
        <w:rPr>
          <w:lang w:eastAsia="en-AU"/>
        </w:rPr>
        <w:t xml:space="preserve">if </w:t>
      </w:r>
      <w:r w:rsidR="00177ADF">
        <w:rPr>
          <w:lang w:eastAsia="en-AU"/>
        </w:rPr>
        <w:t xml:space="preserve">this </w:t>
      </w:r>
      <w:r w:rsidRPr="00E176FE">
        <w:rPr>
          <w:lang w:eastAsia="en-AU"/>
        </w:rPr>
        <w:t>is the only relevant ground which weighs in favour of an order for costs.</w:t>
      </w:r>
      <w:r w:rsidR="0017453D" w:rsidRPr="00E176FE">
        <w:rPr>
          <w:lang w:eastAsia="en-AU"/>
        </w:rPr>
        <w:t xml:space="preserve"> However </w:t>
      </w:r>
      <w:r w:rsidR="00291F1E" w:rsidRPr="00E176FE">
        <w:rPr>
          <w:lang w:eastAsia="en-AU"/>
        </w:rPr>
        <w:t xml:space="preserve">as I am satisfied that there are other bases upon which also weigh in favour of an </w:t>
      </w:r>
      <w:r w:rsidR="00E176FE" w:rsidRPr="00E176FE">
        <w:rPr>
          <w:lang w:eastAsia="en-AU"/>
        </w:rPr>
        <w:t>order for costs, I am satisfied that an order should be made for the costs of the proceeding.</w:t>
      </w:r>
    </w:p>
    <w:p w14:paraId="5FBECCB2" w14:textId="1F1F4932" w:rsidR="0095107C" w:rsidRPr="0095107C" w:rsidRDefault="0095107C" w:rsidP="0095107C">
      <w:pPr>
        <w:pStyle w:val="Para1"/>
      </w:pPr>
      <w:r w:rsidRPr="00DA49AF">
        <w:t>In accordance with rule 1.07 of the</w:t>
      </w:r>
      <w:r>
        <w:t xml:space="preserve"> </w:t>
      </w:r>
      <w:r w:rsidRPr="00173C35">
        <w:rPr>
          <w:i/>
          <w:iCs/>
        </w:rPr>
        <w:t>VCAT Act</w:t>
      </w:r>
      <w:r>
        <w:t xml:space="preserve">, </w:t>
      </w:r>
      <w:r w:rsidRPr="00DA49AF">
        <w:t xml:space="preserve">unless </w:t>
      </w:r>
      <w:r w:rsidRPr="0095107C">
        <w:t>the Tribunal otherwise orders, the applicable scale of costs is the </w:t>
      </w:r>
      <w:r w:rsidRPr="00C456DC">
        <w:rPr>
          <w:i/>
          <w:iCs/>
        </w:rPr>
        <w:t>County Court costs scale</w:t>
      </w:r>
      <w:r w:rsidRPr="0095107C">
        <w:t> as defined in Rule 1.13 of Chapter I of the Rules of the County Court as in force on 31 December 2024, being a fee, charge or amount that is 80 per cent of the applicable rate set out in Appendix A to Chapter I of the Rules of the Supreme Court as in force on 31 December 2024.</w:t>
      </w:r>
    </w:p>
    <w:p w14:paraId="74FADDAA" w14:textId="511ADDC6" w:rsidR="00F640DB" w:rsidRPr="00DA49AF" w:rsidRDefault="00F640DB" w:rsidP="00E54984">
      <w:pPr>
        <w:pStyle w:val="Para1"/>
      </w:pPr>
      <w:r w:rsidRPr="00DA49AF">
        <w:t xml:space="preserve">Section 111 of the </w:t>
      </w:r>
      <w:r w:rsidRPr="00173C35">
        <w:rPr>
          <w:i/>
          <w:iCs/>
        </w:rPr>
        <w:t>VCAT Act</w:t>
      </w:r>
      <w:r w:rsidRPr="00DA49AF">
        <w:t xml:space="preserve"> provides that the Tribunal may order that the costs be assessed by the Costs Court.</w:t>
      </w:r>
    </w:p>
    <w:p w14:paraId="7B687626" w14:textId="2502B2E1" w:rsidR="00F640DB" w:rsidRPr="00DA49AF" w:rsidRDefault="00C241CD" w:rsidP="00F640DB">
      <w:pPr>
        <w:pStyle w:val="Para1"/>
      </w:pPr>
      <w:r>
        <w:rPr>
          <w:noProof/>
        </w:rPr>
        <w:drawing>
          <wp:anchor distT="0" distB="0" distL="114300" distR="114300" simplePos="0" relativeHeight="251668480" behindDoc="1" locked="0" layoutInCell="1" allowOverlap="1" wp14:anchorId="739530B6" wp14:editId="16BAB07F">
            <wp:simplePos x="0" y="0"/>
            <wp:positionH relativeFrom="column">
              <wp:posOffset>5183505</wp:posOffset>
            </wp:positionH>
            <wp:positionV relativeFrom="paragraph">
              <wp:posOffset>8459470</wp:posOffset>
            </wp:positionV>
            <wp:extent cx="1080000" cy="1080000"/>
            <wp:effectExtent l="0" t="0" r="6350" b="6350"/>
            <wp:wrapNone/>
            <wp:docPr id="598909682" name="VCAT Seal11"/>
            <wp:cNvGraphicFramePr/>
            <a:graphic xmlns:a="http://schemas.openxmlformats.org/drawingml/2006/main">
              <a:graphicData uri="http://schemas.openxmlformats.org/drawingml/2006/picture">
                <pic:pic xmlns:pic="http://schemas.openxmlformats.org/drawingml/2006/picture">
                  <pic:nvPicPr>
                    <pic:cNvPr id="598909682" name="VCAT Seal11"/>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640DB">
        <w:t>Therefore</w:t>
      </w:r>
      <w:r w:rsidR="007F27F2">
        <w:t>,</w:t>
      </w:r>
      <w:r w:rsidR="00F640DB">
        <w:t xml:space="preserve"> </w:t>
      </w:r>
      <w:r w:rsidR="00F640DB" w:rsidRPr="00DA49AF">
        <w:t>I will make orders that the respondent pay the applicant</w:t>
      </w:r>
      <w:r w:rsidR="00F640DB">
        <w:t xml:space="preserve">s’ cost of the proceeding </w:t>
      </w:r>
      <w:r w:rsidR="007F27F2">
        <w:t>and</w:t>
      </w:r>
      <w:r w:rsidR="00DD461F">
        <w:t>,</w:t>
      </w:r>
      <w:r w:rsidR="007F27F2">
        <w:t xml:space="preserve"> if the parties </w:t>
      </w:r>
      <w:r w:rsidR="00EA5811">
        <w:t>cannot</w:t>
      </w:r>
      <w:r w:rsidR="007F27F2">
        <w:t xml:space="preserve"> agree on the amount of those costs, that the </w:t>
      </w:r>
      <w:r w:rsidR="00F640DB" w:rsidRPr="00DA49AF">
        <w:t xml:space="preserve">amount </w:t>
      </w:r>
      <w:r w:rsidR="00DD461F">
        <w:t xml:space="preserve">is </w:t>
      </w:r>
      <w:r w:rsidR="00F640DB" w:rsidRPr="00DA49AF">
        <w:t xml:space="preserve">to be assessed by the Costs Court on the standard basis pursuant to the </w:t>
      </w:r>
      <w:r w:rsidR="00F640DB" w:rsidRPr="007B56D5">
        <w:rPr>
          <w:i/>
          <w:iCs/>
        </w:rPr>
        <w:t xml:space="preserve">County Court </w:t>
      </w:r>
      <w:r w:rsidR="007B56D5" w:rsidRPr="007B56D5">
        <w:rPr>
          <w:i/>
          <w:iCs/>
        </w:rPr>
        <w:t>costs s</w:t>
      </w:r>
      <w:r w:rsidR="00F640DB" w:rsidRPr="007B56D5">
        <w:rPr>
          <w:i/>
          <w:iCs/>
        </w:rPr>
        <w:t>cale</w:t>
      </w:r>
      <w:r w:rsidR="00F640DB" w:rsidRPr="00DA49AF">
        <w:t>.</w:t>
      </w:r>
    </w:p>
    <w:p w14:paraId="729196F1" w14:textId="77777777" w:rsidR="006946AD" w:rsidRDefault="006946AD" w:rsidP="006946AD">
      <w:pPr>
        <w:pStyle w:val="Heading2"/>
      </w:pPr>
      <w:r>
        <w:t>Conclusion</w:t>
      </w:r>
    </w:p>
    <w:p w14:paraId="416B01E8" w14:textId="3039F4A0" w:rsidR="006946AD" w:rsidRPr="006946AD" w:rsidRDefault="006946AD" w:rsidP="001A6269">
      <w:pPr>
        <w:pStyle w:val="Para1"/>
      </w:pPr>
      <w:r w:rsidRPr="006946AD">
        <w:t>I will make orders in accordance with these reasons.</w:t>
      </w:r>
    </w:p>
    <w:tbl>
      <w:tblPr>
        <w:tblW w:w="9621" w:type="dxa"/>
        <w:tblLayout w:type="fixed"/>
        <w:tblLook w:val="0000" w:firstRow="0" w:lastRow="0" w:firstColumn="0" w:lastColumn="0" w:noHBand="0" w:noVBand="0"/>
      </w:tblPr>
      <w:tblGrid>
        <w:gridCol w:w="3207"/>
        <w:gridCol w:w="3207"/>
        <w:gridCol w:w="3207"/>
      </w:tblGrid>
      <w:tr w:rsidR="00484678" w14:paraId="13F7F69D" w14:textId="77777777" w:rsidTr="00933D8F">
        <w:tc>
          <w:tcPr>
            <w:tcW w:w="3207" w:type="dxa"/>
          </w:tcPr>
          <w:p w14:paraId="00C1FBEC" w14:textId="77777777" w:rsidR="00484678" w:rsidRDefault="00484678" w:rsidP="00173C35">
            <w:pPr>
              <w:spacing w:before="360"/>
            </w:pPr>
            <w:r>
              <w:t>N Feeney</w:t>
            </w:r>
          </w:p>
          <w:p w14:paraId="2CEA4B3A" w14:textId="77777777" w:rsidR="00484678" w:rsidRDefault="00484678" w:rsidP="00933D8F">
            <w:pPr>
              <w:rPr>
                <w:b/>
              </w:rPr>
            </w:pPr>
            <w:r>
              <w:rPr>
                <w:b/>
              </w:rPr>
              <w:t>Member</w:t>
            </w:r>
          </w:p>
        </w:tc>
        <w:tc>
          <w:tcPr>
            <w:tcW w:w="3207" w:type="dxa"/>
          </w:tcPr>
          <w:p w14:paraId="3354B648" w14:textId="77777777" w:rsidR="00484678" w:rsidRDefault="00484678" w:rsidP="00933D8F"/>
        </w:tc>
        <w:tc>
          <w:tcPr>
            <w:tcW w:w="3207" w:type="dxa"/>
          </w:tcPr>
          <w:p w14:paraId="53E1AEB3" w14:textId="77777777" w:rsidR="00484678" w:rsidRDefault="00484678" w:rsidP="00933D8F"/>
        </w:tc>
      </w:tr>
    </w:tbl>
    <w:p w14:paraId="3DE58649" w14:textId="77777777" w:rsidR="00E12AB3" w:rsidRDefault="00E12AB3" w:rsidP="00173C35">
      <w:pPr>
        <w:tabs>
          <w:tab w:val="left" w:pos="2145"/>
        </w:tabs>
      </w:pPr>
    </w:p>
    <w:sectPr w:rsidR="00E12AB3" w:rsidSect="0088790D">
      <w:footerReference w:type="default" r:id="rId11"/>
      <w:type w:val="continuous"/>
      <w:pgSz w:w="11907" w:h="16840" w:code="9"/>
      <w:pgMar w:top="1135" w:right="1701" w:bottom="993" w:left="156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24892" w14:textId="77777777" w:rsidR="00DE79A1" w:rsidRDefault="00DE79A1">
      <w:r>
        <w:separator/>
      </w:r>
    </w:p>
  </w:endnote>
  <w:endnote w:type="continuationSeparator" w:id="0">
    <w:p w14:paraId="3D140C05" w14:textId="77777777" w:rsidR="00DE79A1" w:rsidRDefault="00DE79A1">
      <w:r>
        <w:continuationSeparator/>
      </w:r>
    </w:p>
  </w:endnote>
  <w:endnote w:type="continuationNotice" w:id="1">
    <w:p w14:paraId="27C81254" w14:textId="77777777" w:rsidR="00DE79A1" w:rsidRDefault="00DE7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000" w:firstRow="0" w:lastRow="0" w:firstColumn="0" w:lastColumn="0" w:noHBand="0" w:noVBand="0"/>
    </w:tblPr>
    <w:tblGrid>
      <w:gridCol w:w="6716"/>
      <w:gridCol w:w="1930"/>
    </w:tblGrid>
    <w:tr w:rsidR="007F601B" w14:paraId="44351FE2" w14:textId="77777777">
      <w:trPr>
        <w:cantSplit/>
      </w:trPr>
      <w:tc>
        <w:tcPr>
          <w:tcW w:w="3884" w:type="pct"/>
          <w:tcBorders>
            <w:top w:val="single" w:sz="4" w:space="0" w:color="auto"/>
          </w:tcBorders>
        </w:tcPr>
        <w:p w14:paraId="70180EA5" w14:textId="7BF51CDC" w:rsidR="007F601B" w:rsidRDefault="007F601B">
          <w:pPr>
            <w:pStyle w:val="Footer"/>
            <w:spacing w:beforeLines="60" w:before="144"/>
            <w:rPr>
              <w:rFonts w:cs="Arial"/>
              <w:sz w:val="18"/>
              <w:szCs w:val="18"/>
            </w:rPr>
          </w:pPr>
          <w:bookmarkStart w:id="2" w:name="FooterDescription"/>
          <w:bookmarkStart w:id="3" w:name="FooterFileNo1"/>
          <w:bookmarkEnd w:id="2"/>
          <w:bookmarkEnd w:id="3"/>
          <w:r>
            <w:rPr>
              <w:rFonts w:cs="Arial"/>
              <w:sz w:val="18"/>
              <w:szCs w:val="18"/>
            </w:rPr>
            <w:t>VCAT Reference No.</w:t>
          </w:r>
          <w:r w:rsidR="00C44903">
            <w:rPr>
              <w:rFonts w:cs="Arial"/>
              <w:sz w:val="18"/>
              <w:szCs w:val="18"/>
            </w:rPr>
            <w:t xml:space="preserve"> </w:t>
          </w:r>
          <w:r w:rsidR="00971B37" w:rsidRPr="00450A6F">
            <w:rPr>
              <w:bCs/>
              <w:noProof/>
            </w:rPr>
            <w:t>BP</w:t>
          </w:r>
          <w:r w:rsidR="00971B37">
            <w:rPr>
              <w:bCs/>
              <w:noProof/>
            </w:rPr>
            <w:t>1396/2019</w:t>
          </w:r>
        </w:p>
      </w:tc>
      <w:tc>
        <w:tcPr>
          <w:tcW w:w="1116" w:type="pct"/>
          <w:tcBorders>
            <w:top w:val="single" w:sz="4" w:space="0" w:color="auto"/>
          </w:tcBorders>
        </w:tcPr>
        <w:p w14:paraId="65F6B2C5"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071BD5">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071BD5">
            <w:rPr>
              <w:rFonts w:cs="Arial"/>
              <w:noProof/>
              <w:sz w:val="18"/>
              <w:szCs w:val="18"/>
            </w:rPr>
            <w:t>2</w:t>
          </w:r>
          <w:r>
            <w:rPr>
              <w:rFonts w:cs="Arial"/>
              <w:sz w:val="18"/>
              <w:szCs w:val="18"/>
            </w:rPr>
            <w:fldChar w:fldCharType="end"/>
          </w:r>
        </w:p>
      </w:tc>
    </w:tr>
  </w:tbl>
  <w:p w14:paraId="451505A8" w14:textId="77777777" w:rsidR="007F601B" w:rsidRDefault="007F601B" w:rsidP="0088790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6FA5F" w14:textId="77777777" w:rsidR="00DE79A1" w:rsidRDefault="00DE79A1">
      <w:pPr>
        <w:pStyle w:val="Footer"/>
        <w:pBdr>
          <w:top w:val="single" w:sz="4" w:space="1" w:color="auto"/>
        </w:pBdr>
        <w:rPr>
          <w:sz w:val="12"/>
        </w:rPr>
      </w:pPr>
    </w:p>
  </w:footnote>
  <w:footnote w:type="continuationSeparator" w:id="0">
    <w:p w14:paraId="27780CBA" w14:textId="77777777" w:rsidR="00DE79A1" w:rsidRDefault="00DE79A1">
      <w:r>
        <w:continuationSeparator/>
      </w:r>
    </w:p>
  </w:footnote>
  <w:footnote w:type="continuationNotice" w:id="1">
    <w:p w14:paraId="1624F2B3" w14:textId="77777777" w:rsidR="00DE79A1" w:rsidRDefault="00DE79A1"/>
  </w:footnote>
  <w:footnote w:id="2">
    <w:p w14:paraId="1F225223" w14:textId="70E9167D" w:rsidR="00E85874" w:rsidRPr="00E85874" w:rsidRDefault="00E85874" w:rsidP="00677DC0">
      <w:pPr>
        <w:pStyle w:val="FootnoteText"/>
      </w:pPr>
      <w:r>
        <w:rPr>
          <w:rStyle w:val="FootnoteReference"/>
        </w:rPr>
        <w:footnoteRef/>
      </w:r>
      <w:r>
        <w:t xml:space="preserve"> </w:t>
      </w:r>
      <w:r w:rsidR="00677DC0" w:rsidRPr="00677DC0">
        <w:rPr>
          <w:i/>
          <w:iCs/>
        </w:rPr>
        <w:t>Axia Building Group (Australia) Pty Ltd v Lo</w:t>
      </w:r>
      <w:r w:rsidR="00677DC0" w:rsidRPr="00677DC0">
        <w:t xml:space="preserve"> [2024] VCAT 278</w:t>
      </w:r>
      <w:r w:rsidR="007B380C">
        <w:t>.</w:t>
      </w:r>
    </w:p>
  </w:footnote>
  <w:footnote w:id="3">
    <w:p w14:paraId="334D6E19" w14:textId="754975BC" w:rsidR="003066C4" w:rsidRDefault="003066C4" w:rsidP="00F919DF">
      <w:pPr>
        <w:pStyle w:val="FootnoteText"/>
        <w:ind w:left="0" w:firstLine="0"/>
      </w:pPr>
      <w:r>
        <w:rPr>
          <w:rStyle w:val="FootnoteReference"/>
        </w:rPr>
        <w:footnoteRef/>
      </w:r>
      <w:r>
        <w:t xml:space="preserve"> The parties did not disclose the date of bankruptcy however it was not disputed it occurred prior to the application being made.</w:t>
      </w:r>
    </w:p>
  </w:footnote>
  <w:footnote w:id="4">
    <w:p w14:paraId="53073EEE" w14:textId="6AC456AF" w:rsidR="00C27ECD" w:rsidRDefault="00C27ECD">
      <w:pPr>
        <w:pStyle w:val="FootnoteText"/>
      </w:pPr>
      <w:r>
        <w:rPr>
          <w:rStyle w:val="FootnoteReference"/>
        </w:rPr>
        <w:footnoteRef/>
      </w:r>
      <w:r>
        <w:t xml:space="preserve"> </w:t>
      </w:r>
      <w:r w:rsidR="007D4121" w:rsidRPr="000D2AFE">
        <w:rPr>
          <w:i/>
          <w:iCs/>
        </w:rPr>
        <w:t>Leadenhall Australia Pty Ltd v Doma &amp; Anor</w:t>
      </w:r>
      <w:r w:rsidR="007D4121">
        <w:t xml:space="preserve"> [2024] SASCA 77, [414].</w:t>
      </w:r>
    </w:p>
  </w:footnote>
  <w:footnote w:id="5">
    <w:p w14:paraId="50284EA9" w14:textId="4183FBA0" w:rsidR="00C02BC5" w:rsidRDefault="00C02BC5" w:rsidP="00C02BC5">
      <w:pPr>
        <w:pStyle w:val="FootnoteText"/>
      </w:pPr>
      <w:r>
        <w:rPr>
          <w:rStyle w:val="FootnoteReference"/>
        </w:rPr>
        <w:footnoteRef/>
      </w:r>
      <w:r>
        <w:t xml:space="preserve"> </w:t>
      </w:r>
      <w:r>
        <w:rPr>
          <w:i/>
          <w:iCs/>
          <w:spacing w:val="-5"/>
          <w:kern w:val="36"/>
        </w:rPr>
        <w:t>Fasham Johnson Pty Ltd v Ware</w:t>
      </w:r>
      <w:r>
        <w:rPr>
          <w:spacing w:val="-5"/>
          <w:kern w:val="36"/>
        </w:rPr>
        <w:t xml:space="preserve"> [2004] VCAT 1708, [12] per SM D Cremean</w:t>
      </w:r>
      <w:r w:rsidR="0088790D">
        <w:rPr>
          <w:spacing w:val="-5"/>
          <w:kern w:val="36"/>
        </w:rPr>
        <w:t>.</w:t>
      </w:r>
    </w:p>
  </w:footnote>
  <w:footnote w:id="6">
    <w:p w14:paraId="355E785F" w14:textId="77777777" w:rsidR="00C02BC5" w:rsidRDefault="00C02BC5" w:rsidP="00C02BC5">
      <w:pPr>
        <w:pStyle w:val="FootnoteText"/>
        <w:ind w:left="0" w:firstLine="0"/>
      </w:pPr>
      <w:r>
        <w:rPr>
          <w:rStyle w:val="FootnoteReference"/>
        </w:rPr>
        <w:footnoteRef/>
      </w:r>
      <w:r>
        <w:t xml:space="preserve"> </w:t>
      </w:r>
      <w:r w:rsidRPr="00E85630">
        <w:rPr>
          <w:i/>
          <w:iCs/>
        </w:rPr>
        <w:t>Vero Insurance Ltd v The Gombac Group</w:t>
      </w:r>
      <w:r>
        <w:t xml:space="preserve"> [2007] VSC 117, [20] – [22] per Gillard J.</w:t>
      </w:r>
    </w:p>
  </w:footnote>
  <w:footnote w:id="7">
    <w:p w14:paraId="4D0B8F0C" w14:textId="77777777" w:rsidR="00B26256" w:rsidRPr="008D3E6F" w:rsidRDefault="00B26256" w:rsidP="008D3E6F">
      <w:pPr>
        <w:pStyle w:val="Heading1"/>
        <w:shd w:val="clear" w:color="auto" w:fill="FFFFFF"/>
        <w:spacing w:before="0" w:after="0"/>
        <w:jc w:val="left"/>
        <w:rPr>
          <w:b w:val="0"/>
          <w:bCs w:val="0"/>
          <w:sz w:val="20"/>
          <w:szCs w:val="20"/>
        </w:rPr>
      </w:pPr>
      <w:r w:rsidRPr="008D3E6F">
        <w:rPr>
          <w:rStyle w:val="FootnoteReference"/>
          <w:b w:val="0"/>
          <w:bCs w:val="0"/>
          <w:sz w:val="20"/>
          <w:szCs w:val="20"/>
        </w:rPr>
        <w:footnoteRef/>
      </w:r>
      <w:r>
        <w:rPr>
          <w:b w:val="0"/>
          <w:bCs w:val="0"/>
        </w:rPr>
        <w:t xml:space="preserve"> </w:t>
      </w:r>
      <w:r>
        <w:rPr>
          <w:rFonts w:ascii="Times New Roman" w:hAnsi="Times New Roman"/>
          <w:b w:val="0"/>
          <w:bCs w:val="0"/>
          <w:i/>
          <w:iCs/>
          <w:caps w:val="0"/>
          <w:sz w:val="20"/>
          <w:szCs w:val="20"/>
        </w:rPr>
        <w:t>Fotopoulos v Landmark Building Design Pty Ltd</w:t>
      </w:r>
      <w:r>
        <w:rPr>
          <w:rFonts w:ascii="Times New Roman" w:hAnsi="Times New Roman"/>
          <w:b w:val="0"/>
          <w:bCs w:val="0"/>
          <w:caps w:val="0"/>
          <w:sz w:val="20"/>
          <w:szCs w:val="20"/>
        </w:rPr>
        <w:t xml:space="preserve"> [2021] VCAT 656 at [47].</w:t>
      </w:r>
    </w:p>
  </w:footnote>
  <w:footnote w:id="8">
    <w:p w14:paraId="79CCDB99" w14:textId="3B21A217" w:rsidR="0033460D" w:rsidRDefault="0033460D" w:rsidP="0033460D">
      <w:pPr>
        <w:pStyle w:val="FootnoteText"/>
      </w:pPr>
      <w:r>
        <w:rPr>
          <w:rStyle w:val="FootnoteReference"/>
        </w:rPr>
        <w:footnoteRef/>
      </w:r>
      <w:r>
        <w:t xml:space="preserve"> </w:t>
      </w:r>
      <w:r w:rsidRPr="008B1D02">
        <w:rPr>
          <w:i/>
          <w:iCs/>
          <w:lang w:eastAsia="en-AU"/>
        </w:rPr>
        <w:t>Parkins v Procycles (Hornsby) Pty Ltd</w:t>
      </w:r>
      <w:r w:rsidRPr="00796A80">
        <w:rPr>
          <w:lang w:eastAsia="en-AU"/>
        </w:rPr>
        <w:t xml:space="preserve"> [2022] VCAT 421 at [10</w:t>
      </w:r>
      <w:r>
        <w:rPr>
          <w:lang w:eastAsia="en-AU"/>
        </w:rPr>
        <w:t>3</w:t>
      </w:r>
      <w:r w:rsidRPr="00796A80">
        <w:rPr>
          <w:lang w:eastAsia="en-AU"/>
        </w:rPr>
        <w:t>]</w:t>
      </w:r>
      <w:r w:rsidR="008004AB">
        <w:rPr>
          <w:lang w:eastAsia="en-AU"/>
        </w:rPr>
        <w:t>.</w:t>
      </w:r>
    </w:p>
  </w:footnote>
  <w:footnote w:id="9">
    <w:p w14:paraId="1BC67CDE" w14:textId="295B901F" w:rsidR="007C4C43" w:rsidRDefault="007C4C43" w:rsidP="0088790D">
      <w:pPr>
        <w:pStyle w:val="FootnoteText"/>
      </w:pPr>
      <w:r>
        <w:rPr>
          <w:rStyle w:val="FootnoteReference"/>
        </w:rPr>
        <w:footnoteRef/>
      </w:r>
      <w:r>
        <w:t xml:space="preserve"> </w:t>
      </w:r>
      <w:r w:rsidRPr="008B1D02">
        <w:rPr>
          <w:i/>
          <w:iCs/>
          <w:lang w:eastAsia="en-AU"/>
        </w:rPr>
        <w:t>Parkins v Procycles (Hornsby) Pty Ltd</w:t>
      </w:r>
      <w:r w:rsidRPr="00796A80">
        <w:rPr>
          <w:lang w:eastAsia="en-AU"/>
        </w:rPr>
        <w:t xml:space="preserve"> [2022] VCAT 421 at [10</w:t>
      </w:r>
      <w:r>
        <w:rPr>
          <w:lang w:eastAsia="en-AU"/>
        </w:rPr>
        <w:t>5</w:t>
      </w:r>
      <w:r w:rsidRPr="00796A80">
        <w:rPr>
          <w:lang w:eastAsia="en-AU"/>
        </w:rPr>
        <w:t>]</w:t>
      </w:r>
      <w:r>
        <w:rPr>
          <w:lang w:eastAsia="en-AU"/>
        </w:rPr>
        <w:t xml:space="preserve"> – [106]</w:t>
      </w:r>
      <w:r w:rsidR="008004AB">
        <w:rPr>
          <w:lang w:eastAsia="en-AU"/>
        </w:rPr>
        <w:t>.</w:t>
      </w:r>
    </w:p>
  </w:footnote>
  <w:footnote w:id="10">
    <w:p w14:paraId="1B3A1A16" w14:textId="77777777" w:rsidR="00764A07" w:rsidRDefault="00764A07" w:rsidP="00764A07">
      <w:pPr>
        <w:pStyle w:val="FootnoteText"/>
        <w:ind w:left="0" w:firstLine="0"/>
      </w:pPr>
      <w:r w:rsidRPr="00A93362">
        <w:rPr>
          <w:rStyle w:val="FootnoteReference"/>
        </w:rPr>
        <w:footnoteRef/>
      </w:r>
      <w:r w:rsidRPr="00A93362">
        <w:t xml:space="preserve"> </w:t>
      </w:r>
      <w:r>
        <w:t>Ibid.</w:t>
      </w:r>
    </w:p>
  </w:footnote>
  <w:footnote w:id="11">
    <w:p w14:paraId="4CF0966A" w14:textId="77777777" w:rsidR="00E169EF" w:rsidRDefault="00E169EF" w:rsidP="00E169EF">
      <w:pPr>
        <w:pStyle w:val="FootnoteText"/>
        <w:ind w:left="0" w:firstLine="0"/>
      </w:pPr>
      <w:r w:rsidRPr="00A93362">
        <w:rPr>
          <w:rStyle w:val="FootnoteReference"/>
        </w:rPr>
        <w:footnoteRef/>
      </w:r>
      <w:r w:rsidRPr="00A93362">
        <w:t xml:space="preserve"> </w:t>
      </w:r>
      <w:hyperlink r:id="rId1" w:tgtFrame="_blank" w:history="1">
        <w:r w:rsidRPr="00A93362">
          <w:rPr>
            <w:rStyle w:val="Hyperlink"/>
            <w:i/>
            <w:iCs/>
            <w:color w:val="auto"/>
            <w:u w:val="none"/>
          </w:rPr>
          <w:t>Pacific Indemnity Underwriting Agency Pty Ltd v Maclaw No 651 Pty Ltd</w:t>
        </w:r>
      </w:hyperlink>
      <w:r w:rsidRPr="00A93362">
        <w:t> (2005) 13 VR 483; [2005] VSCA 165 at [92]; </w:t>
      </w:r>
      <w:hyperlink r:id="rId2" w:tgtFrame="_blank" w:history="1">
        <w:r w:rsidRPr="00A93362">
          <w:rPr>
            <w:rStyle w:val="Hyperlink"/>
            <w:i/>
            <w:iCs/>
            <w:color w:val="auto"/>
            <w:u w:val="none"/>
          </w:rPr>
          <w:t>Seachange Management Pty Ltd v Bevnol Constructions &amp; Developments Pty Ltd</w:t>
        </w:r>
      </w:hyperlink>
      <w:r w:rsidRPr="00A93362">
        <w:rPr>
          <w:i/>
          <w:iCs/>
        </w:rPr>
        <w:t> </w:t>
      </w:r>
      <w:r w:rsidRPr="00A93362">
        <w:t>[2011] VCAT 1406 at [13]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4CCF1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8D19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E6123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4995D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9971C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D1303B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05F0FB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107C2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B1797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A86836"/>
    <w:multiLevelType w:val="hybridMultilevel"/>
    <w:tmpl w:val="FADA1FD6"/>
    <w:lvl w:ilvl="0" w:tplc="FFFFFFFF">
      <w:start w:val="1"/>
      <w:numFmt w:val="decimal"/>
      <w:lvlText w:val="%1."/>
      <w:lvlJc w:val="left"/>
      <w:pPr>
        <w:ind w:left="720" w:hanging="72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73A4DF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0AA62D53"/>
    <w:multiLevelType w:val="multilevel"/>
    <w:tmpl w:val="BED225BA"/>
    <w:lvl w:ilvl="0">
      <w:start w:val="1"/>
      <w:numFmt w:val="decimal"/>
      <w:pStyle w:val="Order2"/>
      <w:lvlText w:val="%1"/>
      <w:lvlJc w:val="left"/>
      <w:pPr>
        <w:ind w:left="567" w:hanging="567"/>
      </w:pPr>
      <w:rPr>
        <w:rFonts w:cs="Times New Roman" w:hint="default"/>
      </w:rPr>
    </w:lvl>
    <w:lvl w:ilvl="1">
      <w:start w:val="1"/>
      <w:numFmt w:val="lowerLetter"/>
      <w:lvlText w:val="(%2)"/>
      <w:lvlJc w:val="left"/>
      <w:pPr>
        <w:ind w:left="1134" w:hanging="567"/>
      </w:pPr>
      <w:rPr>
        <w:rFonts w:cs="Times New Roman" w:hint="default"/>
      </w:rPr>
    </w:lvl>
    <w:lvl w:ilvl="2">
      <w:start w:val="1"/>
      <w:numFmt w:val="lowerRoman"/>
      <w:lvlText w:val="%3"/>
      <w:lvlJc w:val="left"/>
      <w:pPr>
        <w:ind w:left="1701" w:hanging="567"/>
      </w:pPr>
      <w:rPr>
        <w:rFonts w:cs="Times New Roman" w:hint="default"/>
      </w:rPr>
    </w:lvl>
    <w:lvl w:ilvl="3">
      <w:start w:val="1"/>
      <w:numFmt w:val="decimal"/>
      <w:lvlText w:val="(%4)"/>
      <w:lvlJc w:val="left"/>
      <w:pPr>
        <w:ind w:left="2268" w:hanging="567"/>
      </w:pPr>
      <w:rPr>
        <w:rFonts w:cs="Times New Roman" w:hint="default"/>
        <w:sz w:val="22"/>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11" w15:restartNumberingAfterBreak="1">
    <w:nsid w:val="0AA81283"/>
    <w:multiLevelType w:val="hybridMultilevel"/>
    <w:tmpl w:val="555AE15E"/>
    <w:lvl w:ilvl="0" w:tplc="2F485D76">
      <w:start w:val="1"/>
      <w:numFmt w:val="decimal"/>
      <w:pStyle w:val="Para1"/>
      <w:lvlText w:val="%1"/>
      <w:lvlJc w:val="left"/>
      <w:pPr>
        <w:tabs>
          <w:tab w:val="num" w:pos="567"/>
        </w:tabs>
        <w:ind w:left="567" w:hanging="567"/>
      </w:pPr>
      <w:rPr>
        <w:rFonts w:hint="default"/>
      </w:rPr>
    </w:lvl>
    <w:lvl w:ilvl="1" w:tplc="9258AB3C">
      <w:start w:val="1"/>
      <w:numFmt w:val="lowerLetter"/>
      <w:lvlText w:val="%2."/>
      <w:lvlJc w:val="left"/>
      <w:pPr>
        <w:tabs>
          <w:tab w:val="num" w:pos="1440"/>
        </w:tabs>
        <w:ind w:left="1440" w:hanging="360"/>
      </w:pPr>
      <w:rPr>
        <w:rFonts w:ascii="Times New Roman" w:hAnsi="Times New Roman" w:cs="Times New Roman" w:hint="default"/>
        <w:sz w:val="26"/>
        <w:szCs w:val="2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cs="Times New Roman"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E0188D08">
      <w:start w:val="1"/>
      <w:numFmt w:val="lowerLetter"/>
      <w:pStyle w:val="Para4"/>
      <w:lvlText w:val="%5."/>
      <w:lvlJc w:val="left"/>
      <w:pPr>
        <w:tabs>
          <w:tab w:val="num" w:pos="1134"/>
        </w:tabs>
        <w:ind w:left="1134" w:hanging="567"/>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6028BE"/>
    <w:multiLevelType w:val="hybridMultilevel"/>
    <w:tmpl w:val="34B8E838"/>
    <w:lvl w:ilvl="0" w:tplc="FFFFFFFF">
      <w:start w:val="1"/>
      <w:numFmt w:val="lowerLetter"/>
      <w:lvlText w:val="%1."/>
      <w:lvlJc w:val="left"/>
      <w:pPr>
        <w:tabs>
          <w:tab w:val="num" w:pos="1440"/>
        </w:tabs>
        <w:ind w:left="1440" w:hanging="360"/>
      </w:pPr>
      <w:rPr>
        <w:rFonts w:ascii="Times New Roman" w:hAnsi="Times New Roman" w:cs="Times New Roman"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cs="Times New Roman" w:hint="default"/>
      </w:rPr>
    </w:lvl>
    <w:lvl w:ilvl="1" w:tplc="04090019" w:tentative="1">
      <w:start w:val="1"/>
      <w:numFmt w:val="lowerLetter"/>
      <w:lvlText w:val="%2."/>
      <w:lvlJc w:val="left"/>
      <w:pPr>
        <w:tabs>
          <w:tab w:val="num" w:pos="307"/>
        </w:tabs>
        <w:ind w:left="307" w:hanging="360"/>
      </w:pPr>
      <w:rPr>
        <w:rFonts w:cs="Times New Roman"/>
      </w:rPr>
    </w:lvl>
    <w:lvl w:ilvl="2" w:tplc="0409001B" w:tentative="1">
      <w:start w:val="1"/>
      <w:numFmt w:val="lowerRoman"/>
      <w:lvlText w:val="%3."/>
      <w:lvlJc w:val="right"/>
      <w:pPr>
        <w:tabs>
          <w:tab w:val="num" w:pos="1027"/>
        </w:tabs>
        <w:ind w:left="1027" w:hanging="180"/>
      </w:pPr>
      <w:rPr>
        <w:rFonts w:cs="Times New Roman"/>
      </w:rPr>
    </w:lvl>
    <w:lvl w:ilvl="3" w:tplc="0409000F" w:tentative="1">
      <w:start w:val="1"/>
      <w:numFmt w:val="decimal"/>
      <w:lvlText w:val="%4."/>
      <w:lvlJc w:val="left"/>
      <w:pPr>
        <w:tabs>
          <w:tab w:val="num" w:pos="1747"/>
        </w:tabs>
        <w:ind w:left="1747" w:hanging="360"/>
      </w:pPr>
      <w:rPr>
        <w:rFonts w:cs="Times New Roman"/>
      </w:rPr>
    </w:lvl>
    <w:lvl w:ilvl="4" w:tplc="04090019" w:tentative="1">
      <w:start w:val="1"/>
      <w:numFmt w:val="lowerLetter"/>
      <w:lvlText w:val="%5."/>
      <w:lvlJc w:val="left"/>
      <w:pPr>
        <w:tabs>
          <w:tab w:val="num" w:pos="2467"/>
        </w:tabs>
        <w:ind w:left="2467" w:hanging="360"/>
      </w:pPr>
      <w:rPr>
        <w:rFonts w:cs="Times New Roman"/>
      </w:rPr>
    </w:lvl>
    <w:lvl w:ilvl="5" w:tplc="0409001B" w:tentative="1">
      <w:start w:val="1"/>
      <w:numFmt w:val="lowerRoman"/>
      <w:lvlText w:val="%6."/>
      <w:lvlJc w:val="right"/>
      <w:pPr>
        <w:tabs>
          <w:tab w:val="num" w:pos="3187"/>
        </w:tabs>
        <w:ind w:left="3187" w:hanging="180"/>
      </w:pPr>
      <w:rPr>
        <w:rFonts w:cs="Times New Roman"/>
      </w:rPr>
    </w:lvl>
    <w:lvl w:ilvl="6" w:tplc="0409000F" w:tentative="1">
      <w:start w:val="1"/>
      <w:numFmt w:val="decimal"/>
      <w:lvlText w:val="%7."/>
      <w:lvlJc w:val="left"/>
      <w:pPr>
        <w:tabs>
          <w:tab w:val="num" w:pos="3907"/>
        </w:tabs>
        <w:ind w:left="3907" w:hanging="360"/>
      </w:pPr>
      <w:rPr>
        <w:rFonts w:cs="Times New Roman"/>
      </w:rPr>
    </w:lvl>
    <w:lvl w:ilvl="7" w:tplc="04090019" w:tentative="1">
      <w:start w:val="1"/>
      <w:numFmt w:val="lowerLetter"/>
      <w:lvlText w:val="%8."/>
      <w:lvlJc w:val="left"/>
      <w:pPr>
        <w:tabs>
          <w:tab w:val="num" w:pos="4627"/>
        </w:tabs>
        <w:ind w:left="4627" w:hanging="360"/>
      </w:pPr>
      <w:rPr>
        <w:rFonts w:cs="Times New Roman"/>
      </w:rPr>
    </w:lvl>
    <w:lvl w:ilvl="8" w:tplc="0409001B" w:tentative="1">
      <w:start w:val="1"/>
      <w:numFmt w:val="lowerRoman"/>
      <w:lvlText w:val="%9."/>
      <w:lvlJc w:val="right"/>
      <w:pPr>
        <w:tabs>
          <w:tab w:val="num" w:pos="5347"/>
        </w:tabs>
        <w:ind w:left="5347" w:hanging="180"/>
      </w:pPr>
      <w:rPr>
        <w:rFonts w:cs="Times New Roman"/>
      </w:rPr>
    </w:lvl>
  </w:abstractNum>
  <w:abstractNum w:abstractNumId="15" w15:restartNumberingAfterBreak="1">
    <w:nsid w:val="15341DF6"/>
    <w:multiLevelType w:val="multilevel"/>
    <w:tmpl w:val="0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155865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AEA3652"/>
    <w:multiLevelType w:val="hybridMultilevel"/>
    <w:tmpl w:val="34B8E838"/>
    <w:lvl w:ilvl="0" w:tplc="9258AB3C">
      <w:start w:val="1"/>
      <w:numFmt w:val="lowerLetter"/>
      <w:lvlText w:val="%1."/>
      <w:lvlJc w:val="left"/>
      <w:pPr>
        <w:tabs>
          <w:tab w:val="num" w:pos="1440"/>
        </w:tabs>
        <w:ind w:left="1440" w:hanging="360"/>
      </w:pPr>
      <w:rPr>
        <w:rFonts w:ascii="Times New Roman" w:hAnsi="Times New Roman" w:cs="Times New Roman" w:hint="default"/>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B07CF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AC456CB"/>
    <w:multiLevelType w:val="multilevel"/>
    <w:tmpl w:val="1DD82E34"/>
    <w:lvl w:ilvl="0">
      <w:start w:val="1"/>
      <w:numFmt w:val="decimal"/>
      <w:pStyle w:val="Condition2"/>
      <w:lvlText w:val="%1"/>
      <w:lvlJc w:val="left"/>
      <w:pPr>
        <w:ind w:left="567" w:hanging="567"/>
      </w:pPr>
      <w:rPr>
        <w:rFonts w:cs="Times New Roman" w:hint="default"/>
      </w:rPr>
    </w:lvl>
    <w:lvl w:ilvl="1">
      <w:start w:val="1"/>
      <w:numFmt w:val="lowerLetter"/>
      <w:lvlText w:val="(%2)"/>
      <w:lvlJc w:val="left"/>
      <w:pPr>
        <w:ind w:left="1134" w:hanging="567"/>
      </w:pPr>
      <w:rPr>
        <w:rFonts w:cs="Times New Roman" w:hint="default"/>
      </w:rPr>
    </w:lvl>
    <w:lvl w:ilvl="2">
      <w:start w:val="1"/>
      <w:numFmt w:val="lowerRoman"/>
      <w:lvlText w:val="%3"/>
      <w:lvlJc w:val="left"/>
      <w:pPr>
        <w:tabs>
          <w:tab w:val="num" w:pos="1134"/>
        </w:tabs>
        <w:ind w:left="1701" w:hanging="567"/>
      </w:pPr>
      <w:rPr>
        <w:rFonts w:cs="Times New Roman" w:hint="default"/>
      </w:rPr>
    </w:lvl>
    <w:lvl w:ilvl="3">
      <w:start w:val="1"/>
      <w:numFmt w:val="decimal"/>
      <w:lvlText w:val="(%4)"/>
      <w:lvlJc w:val="left"/>
      <w:pPr>
        <w:ind w:left="2268" w:hanging="567"/>
      </w:pPr>
      <w:rPr>
        <w:rFonts w:cs="Times New Roman" w:hint="default"/>
        <w:sz w:val="2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2EE67C5E"/>
    <w:multiLevelType w:val="hybridMultilevel"/>
    <w:tmpl w:val="802486AC"/>
    <w:lvl w:ilvl="0" w:tplc="9CBAF2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D2BC1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1F48CA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474812"/>
    <w:multiLevelType w:val="multilevel"/>
    <w:tmpl w:val="8D2094BC"/>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4CB579E3"/>
    <w:multiLevelType w:val="hybridMultilevel"/>
    <w:tmpl w:val="34B8E838"/>
    <w:lvl w:ilvl="0" w:tplc="FFFFFFFF">
      <w:start w:val="1"/>
      <w:numFmt w:val="lowerLetter"/>
      <w:lvlText w:val="%1."/>
      <w:lvlJc w:val="left"/>
      <w:pPr>
        <w:tabs>
          <w:tab w:val="num" w:pos="1440"/>
        </w:tabs>
        <w:ind w:left="1440" w:hanging="360"/>
      </w:pPr>
      <w:rPr>
        <w:rFonts w:ascii="Times New Roman" w:hAnsi="Times New Roman" w:cs="Times New Roman"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62B24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F4A723F"/>
    <w:multiLevelType w:val="multilevel"/>
    <w:tmpl w:val="8D2094BC"/>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609A3BA4"/>
    <w:multiLevelType w:val="multilevel"/>
    <w:tmpl w:val="8D2094BC"/>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02E94"/>
    <w:multiLevelType w:val="hybridMultilevel"/>
    <w:tmpl w:val="5CD017F6"/>
    <w:lvl w:ilvl="0" w:tplc="04090019">
      <w:start w:val="1"/>
      <w:numFmt w:val="lowerLetter"/>
      <w:lvlText w:val="%1."/>
      <w:lvlJc w:val="left"/>
      <w:pPr>
        <w:tabs>
          <w:tab w:val="num" w:pos="1440"/>
        </w:tabs>
        <w:ind w:left="144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2208AA"/>
    <w:multiLevelType w:val="multilevel"/>
    <w:tmpl w:val="04B88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DA7B0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B955F28"/>
    <w:multiLevelType w:val="hybridMultilevel"/>
    <w:tmpl w:val="5CD017F6"/>
    <w:lvl w:ilvl="0" w:tplc="FFFFFFFF">
      <w:start w:val="1"/>
      <w:numFmt w:val="lowerLetter"/>
      <w:lvlText w:val="%1."/>
      <w:lvlJc w:val="left"/>
      <w:pPr>
        <w:tabs>
          <w:tab w:val="num" w:pos="927"/>
        </w:tabs>
        <w:ind w:left="927" w:hanging="360"/>
      </w:pPr>
      <w:rPr>
        <w:rFonts w:cs="Times New Roman"/>
      </w:r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num w:numId="1" w16cid:durableId="1843931088">
    <w:abstractNumId w:val="12"/>
  </w:num>
  <w:num w:numId="2" w16cid:durableId="1218391542">
    <w:abstractNumId w:val="11"/>
  </w:num>
  <w:num w:numId="3" w16cid:durableId="2070423045">
    <w:abstractNumId w:val="21"/>
  </w:num>
  <w:num w:numId="4" w16cid:durableId="448278636">
    <w:abstractNumId w:val="29"/>
  </w:num>
  <w:num w:numId="5" w16cid:durableId="1250890291">
    <w:abstractNumId w:val="14"/>
  </w:num>
  <w:num w:numId="6" w16cid:durableId="185756648">
    <w:abstractNumId w:val="15"/>
  </w:num>
  <w:num w:numId="7" w16cid:durableId="949436193">
    <w:abstractNumId w:val="19"/>
  </w:num>
  <w:num w:numId="8" w16cid:durableId="1474713872">
    <w:abstractNumId w:val="10"/>
  </w:num>
  <w:num w:numId="9" w16cid:durableId="1600529833">
    <w:abstractNumId w:val="24"/>
  </w:num>
  <w:num w:numId="10" w16cid:durableId="152839589">
    <w:abstractNumId w:val="30"/>
  </w:num>
  <w:num w:numId="11" w16cid:durableId="2130395039">
    <w:abstractNumId w:val="33"/>
  </w:num>
  <w:num w:numId="12" w16cid:durableId="1625117794">
    <w:abstractNumId w:val="9"/>
  </w:num>
  <w:num w:numId="13" w16cid:durableId="862716041">
    <w:abstractNumId w:val="28"/>
  </w:num>
  <w:num w:numId="14" w16cid:durableId="935556943">
    <w:abstractNumId w:val="27"/>
  </w:num>
  <w:num w:numId="15" w16cid:durableId="359166573">
    <w:abstractNumId w:val="11"/>
  </w:num>
  <w:num w:numId="16" w16cid:durableId="356662069">
    <w:abstractNumId w:val="11"/>
  </w:num>
  <w:num w:numId="17" w16cid:durableId="645821634">
    <w:abstractNumId w:val="11"/>
  </w:num>
  <w:num w:numId="18" w16cid:durableId="1976830876">
    <w:abstractNumId w:val="11"/>
  </w:num>
  <w:num w:numId="19" w16cid:durableId="1590577995">
    <w:abstractNumId w:val="11"/>
  </w:num>
  <w:num w:numId="20" w16cid:durableId="917205743">
    <w:abstractNumId w:val="26"/>
  </w:num>
  <w:num w:numId="21" w16cid:durableId="924075399">
    <w:abstractNumId w:val="22"/>
  </w:num>
  <w:num w:numId="22" w16cid:durableId="1708289366">
    <w:abstractNumId w:val="3"/>
  </w:num>
  <w:num w:numId="23" w16cid:durableId="1111894479">
    <w:abstractNumId w:val="23"/>
  </w:num>
  <w:num w:numId="24" w16cid:durableId="932277188">
    <w:abstractNumId w:val="18"/>
  </w:num>
  <w:num w:numId="25" w16cid:durableId="1324314294">
    <w:abstractNumId w:val="1"/>
  </w:num>
  <w:num w:numId="26" w16cid:durableId="616987277">
    <w:abstractNumId w:val="7"/>
  </w:num>
  <w:num w:numId="27" w16cid:durableId="1001931084">
    <w:abstractNumId w:val="16"/>
  </w:num>
  <w:num w:numId="28" w16cid:durableId="1239367693">
    <w:abstractNumId w:val="2"/>
  </w:num>
  <w:num w:numId="29" w16cid:durableId="374238680">
    <w:abstractNumId w:val="8"/>
  </w:num>
  <w:num w:numId="30" w16cid:durableId="94444729">
    <w:abstractNumId w:val="6"/>
  </w:num>
  <w:num w:numId="31" w16cid:durableId="1806581584">
    <w:abstractNumId w:val="5"/>
  </w:num>
  <w:num w:numId="32" w16cid:durableId="678627148">
    <w:abstractNumId w:val="32"/>
  </w:num>
  <w:num w:numId="33" w16cid:durableId="756561479">
    <w:abstractNumId w:val="4"/>
  </w:num>
  <w:num w:numId="34" w16cid:durableId="2035030841">
    <w:abstractNumId w:val="0"/>
  </w:num>
  <w:num w:numId="35" w16cid:durableId="379287661">
    <w:abstractNumId w:val="20"/>
  </w:num>
  <w:num w:numId="36" w16cid:durableId="152569930">
    <w:abstractNumId w:val="11"/>
  </w:num>
  <w:num w:numId="37" w16cid:durableId="1843277382">
    <w:abstractNumId w:val="31"/>
  </w:num>
  <w:num w:numId="38" w16cid:durableId="1003893423">
    <w:abstractNumId w:val="17"/>
  </w:num>
  <w:num w:numId="39" w16cid:durableId="1400399992">
    <w:abstractNumId w:val="25"/>
  </w:num>
  <w:num w:numId="40" w16cid:durableId="1211380060">
    <w:abstractNumId w:val="13"/>
  </w:num>
  <w:num w:numId="41" w16cid:durableId="2075856750">
    <w:abstractNumId w:val="11"/>
  </w:num>
  <w:num w:numId="42" w16cid:durableId="3327575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4PckTXm+jtucA+zHBVbIkaY28y/anlV5uag5R0whNIKVqI+hd4F0f2ij5Eg43NIzpZ6v0MBOIxApdnEdgsyHCw==" w:salt="0xyp+a9XTHhth88B8TDeJg=="/>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C44903"/>
    <w:rsid w:val="00000D09"/>
    <w:rsid w:val="00006E94"/>
    <w:rsid w:val="0001113F"/>
    <w:rsid w:val="000117CB"/>
    <w:rsid w:val="00014A9B"/>
    <w:rsid w:val="0002351C"/>
    <w:rsid w:val="000262FC"/>
    <w:rsid w:val="00026DCE"/>
    <w:rsid w:val="00027F01"/>
    <w:rsid w:val="00030366"/>
    <w:rsid w:val="00032FE3"/>
    <w:rsid w:val="000361F5"/>
    <w:rsid w:val="0003726F"/>
    <w:rsid w:val="0003778E"/>
    <w:rsid w:val="00037B20"/>
    <w:rsid w:val="00040797"/>
    <w:rsid w:val="00041D71"/>
    <w:rsid w:val="000462C2"/>
    <w:rsid w:val="00046660"/>
    <w:rsid w:val="00052A10"/>
    <w:rsid w:val="000546B8"/>
    <w:rsid w:val="00057004"/>
    <w:rsid w:val="00057F69"/>
    <w:rsid w:val="00061FEB"/>
    <w:rsid w:val="00062780"/>
    <w:rsid w:val="00062E51"/>
    <w:rsid w:val="00063490"/>
    <w:rsid w:val="000636C8"/>
    <w:rsid w:val="00063C31"/>
    <w:rsid w:val="000640D1"/>
    <w:rsid w:val="00067AF5"/>
    <w:rsid w:val="00071186"/>
    <w:rsid w:val="00071BD5"/>
    <w:rsid w:val="00077C3D"/>
    <w:rsid w:val="00085003"/>
    <w:rsid w:val="000854CC"/>
    <w:rsid w:val="00087974"/>
    <w:rsid w:val="00091FDC"/>
    <w:rsid w:val="000945F9"/>
    <w:rsid w:val="0009483E"/>
    <w:rsid w:val="00094A20"/>
    <w:rsid w:val="00096965"/>
    <w:rsid w:val="00096F6D"/>
    <w:rsid w:val="00097F20"/>
    <w:rsid w:val="000A2B5D"/>
    <w:rsid w:val="000A6526"/>
    <w:rsid w:val="000B2ADD"/>
    <w:rsid w:val="000C296D"/>
    <w:rsid w:val="000C5917"/>
    <w:rsid w:val="000D191F"/>
    <w:rsid w:val="000D2AFE"/>
    <w:rsid w:val="000D6259"/>
    <w:rsid w:val="000E4531"/>
    <w:rsid w:val="000F4E28"/>
    <w:rsid w:val="001002B6"/>
    <w:rsid w:val="001007E5"/>
    <w:rsid w:val="001054FB"/>
    <w:rsid w:val="00124C1E"/>
    <w:rsid w:val="00124F92"/>
    <w:rsid w:val="00125599"/>
    <w:rsid w:val="00127218"/>
    <w:rsid w:val="00130281"/>
    <w:rsid w:val="001329E4"/>
    <w:rsid w:val="00132D50"/>
    <w:rsid w:val="00133853"/>
    <w:rsid w:val="00135912"/>
    <w:rsid w:val="00136E5A"/>
    <w:rsid w:val="00140979"/>
    <w:rsid w:val="00140DE8"/>
    <w:rsid w:val="00152541"/>
    <w:rsid w:val="001567AE"/>
    <w:rsid w:val="00156ACE"/>
    <w:rsid w:val="00156AED"/>
    <w:rsid w:val="0016093F"/>
    <w:rsid w:val="00163377"/>
    <w:rsid w:val="00163D1E"/>
    <w:rsid w:val="00167876"/>
    <w:rsid w:val="00167A2D"/>
    <w:rsid w:val="001708C4"/>
    <w:rsid w:val="00173C35"/>
    <w:rsid w:val="0017453D"/>
    <w:rsid w:val="00177ADF"/>
    <w:rsid w:val="0018119A"/>
    <w:rsid w:val="0018330C"/>
    <w:rsid w:val="001867A5"/>
    <w:rsid w:val="00187319"/>
    <w:rsid w:val="0019055B"/>
    <w:rsid w:val="001950AE"/>
    <w:rsid w:val="001A053E"/>
    <w:rsid w:val="001A23C1"/>
    <w:rsid w:val="001A2CC4"/>
    <w:rsid w:val="001A38CE"/>
    <w:rsid w:val="001A6269"/>
    <w:rsid w:val="001A76A5"/>
    <w:rsid w:val="001B3EB9"/>
    <w:rsid w:val="001B44F8"/>
    <w:rsid w:val="001B684F"/>
    <w:rsid w:val="001C2D25"/>
    <w:rsid w:val="001D63A4"/>
    <w:rsid w:val="001E342C"/>
    <w:rsid w:val="001E49C7"/>
    <w:rsid w:val="001F1693"/>
    <w:rsid w:val="001F2D3D"/>
    <w:rsid w:val="00201B95"/>
    <w:rsid w:val="002030D3"/>
    <w:rsid w:val="00203B65"/>
    <w:rsid w:val="00204586"/>
    <w:rsid w:val="00205940"/>
    <w:rsid w:val="00210981"/>
    <w:rsid w:val="00210E4C"/>
    <w:rsid w:val="0021247E"/>
    <w:rsid w:val="00213E1B"/>
    <w:rsid w:val="00220309"/>
    <w:rsid w:val="002203F8"/>
    <w:rsid w:val="00221783"/>
    <w:rsid w:val="0023286B"/>
    <w:rsid w:val="00233620"/>
    <w:rsid w:val="0023468B"/>
    <w:rsid w:val="0023472F"/>
    <w:rsid w:val="00234ABD"/>
    <w:rsid w:val="00234CB1"/>
    <w:rsid w:val="00236231"/>
    <w:rsid w:val="00245ECC"/>
    <w:rsid w:val="0025364F"/>
    <w:rsid w:val="002563BE"/>
    <w:rsid w:val="00261E47"/>
    <w:rsid w:val="002753E1"/>
    <w:rsid w:val="0028144B"/>
    <w:rsid w:val="002821F9"/>
    <w:rsid w:val="0028244B"/>
    <w:rsid w:val="002830AC"/>
    <w:rsid w:val="00290F9B"/>
    <w:rsid w:val="00291F1E"/>
    <w:rsid w:val="00293A03"/>
    <w:rsid w:val="002953C3"/>
    <w:rsid w:val="002A0350"/>
    <w:rsid w:val="002A1AB6"/>
    <w:rsid w:val="002A2208"/>
    <w:rsid w:val="002A47E1"/>
    <w:rsid w:val="002A52E0"/>
    <w:rsid w:val="002B3D08"/>
    <w:rsid w:val="002B7051"/>
    <w:rsid w:val="002C17EA"/>
    <w:rsid w:val="002C247D"/>
    <w:rsid w:val="002C55E3"/>
    <w:rsid w:val="002D05B6"/>
    <w:rsid w:val="002D0889"/>
    <w:rsid w:val="002D2ED3"/>
    <w:rsid w:val="002D327C"/>
    <w:rsid w:val="002D4592"/>
    <w:rsid w:val="002D6445"/>
    <w:rsid w:val="002D6529"/>
    <w:rsid w:val="002E061D"/>
    <w:rsid w:val="002E1190"/>
    <w:rsid w:val="002E4E89"/>
    <w:rsid w:val="002E54DA"/>
    <w:rsid w:val="002E74EB"/>
    <w:rsid w:val="002F10DA"/>
    <w:rsid w:val="002F27B5"/>
    <w:rsid w:val="002F747C"/>
    <w:rsid w:val="00302F9E"/>
    <w:rsid w:val="00303C0C"/>
    <w:rsid w:val="003066C4"/>
    <w:rsid w:val="00312D8A"/>
    <w:rsid w:val="0031301B"/>
    <w:rsid w:val="00315EE5"/>
    <w:rsid w:val="003171E1"/>
    <w:rsid w:val="00320E84"/>
    <w:rsid w:val="0032102D"/>
    <w:rsid w:val="00322661"/>
    <w:rsid w:val="0033172B"/>
    <w:rsid w:val="003322CF"/>
    <w:rsid w:val="00332F61"/>
    <w:rsid w:val="0033460D"/>
    <w:rsid w:val="003346EA"/>
    <w:rsid w:val="0034213D"/>
    <w:rsid w:val="003450AC"/>
    <w:rsid w:val="00345E9F"/>
    <w:rsid w:val="00350577"/>
    <w:rsid w:val="003507C3"/>
    <w:rsid w:val="00351B35"/>
    <w:rsid w:val="00354666"/>
    <w:rsid w:val="00361E5C"/>
    <w:rsid w:val="00361EF0"/>
    <w:rsid w:val="003662DF"/>
    <w:rsid w:val="00370046"/>
    <w:rsid w:val="003807C1"/>
    <w:rsid w:val="003813E9"/>
    <w:rsid w:val="00383B99"/>
    <w:rsid w:val="0038493C"/>
    <w:rsid w:val="003B1A32"/>
    <w:rsid w:val="003B3951"/>
    <w:rsid w:val="003B5E75"/>
    <w:rsid w:val="003C0923"/>
    <w:rsid w:val="003C7BC5"/>
    <w:rsid w:val="003D3A01"/>
    <w:rsid w:val="003D4270"/>
    <w:rsid w:val="003D546E"/>
    <w:rsid w:val="003D7278"/>
    <w:rsid w:val="003D740F"/>
    <w:rsid w:val="003D766A"/>
    <w:rsid w:val="003E11C8"/>
    <w:rsid w:val="003E2916"/>
    <w:rsid w:val="003E4195"/>
    <w:rsid w:val="003E50A9"/>
    <w:rsid w:val="003F188A"/>
    <w:rsid w:val="003F319B"/>
    <w:rsid w:val="003F7485"/>
    <w:rsid w:val="00404778"/>
    <w:rsid w:val="004051AF"/>
    <w:rsid w:val="004120E1"/>
    <w:rsid w:val="0041317F"/>
    <w:rsid w:val="00421BAB"/>
    <w:rsid w:val="004230A1"/>
    <w:rsid w:val="00431140"/>
    <w:rsid w:val="00434AC2"/>
    <w:rsid w:val="00434BAA"/>
    <w:rsid w:val="0044013E"/>
    <w:rsid w:val="00443CED"/>
    <w:rsid w:val="00445ECC"/>
    <w:rsid w:val="00450A6F"/>
    <w:rsid w:val="0045146D"/>
    <w:rsid w:val="00467540"/>
    <w:rsid w:val="00467B86"/>
    <w:rsid w:val="00474699"/>
    <w:rsid w:val="0047652B"/>
    <w:rsid w:val="00476B47"/>
    <w:rsid w:val="00477574"/>
    <w:rsid w:val="004801D9"/>
    <w:rsid w:val="00484678"/>
    <w:rsid w:val="00484D85"/>
    <w:rsid w:val="004908EE"/>
    <w:rsid w:val="004919B5"/>
    <w:rsid w:val="00495762"/>
    <w:rsid w:val="004A009C"/>
    <w:rsid w:val="004A0260"/>
    <w:rsid w:val="004A201D"/>
    <w:rsid w:val="004A4385"/>
    <w:rsid w:val="004B3605"/>
    <w:rsid w:val="004B726B"/>
    <w:rsid w:val="004B7821"/>
    <w:rsid w:val="004C02AA"/>
    <w:rsid w:val="004C2705"/>
    <w:rsid w:val="004D0391"/>
    <w:rsid w:val="004D1535"/>
    <w:rsid w:val="004D2122"/>
    <w:rsid w:val="004D3176"/>
    <w:rsid w:val="004E16A8"/>
    <w:rsid w:val="004E64EB"/>
    <w:rsid w:val="004E7060"/>
    <w:rsid w:val="004F54C1"/>
    <w:rsid w:val="004F6E37"/>
    <w:rsid w:val="0050289E"/>
    <w:rsid w:val="0050702F"/>
    <w:rsid w:val="00507771"/>
    <w:rsid w:val="00510802"/>
    <w:rsid w:val="005113C9"/>
    <w:rsid w:val="00513CEA"/>
    <w:rsid w:val="00517F8D"/>
    <w:rsid w:val="00520637"/>
    <w:rsid w:val="005231DE"/>
    <w:rsid w:val="00530FC8"/>
    <w:rsid w:val="0053662E"/>
    <w:rsid w:val="005367A2"/>
    <w:rsid w:val="00544492"/>
    <w:rsid w:val="00545C4C"/>
    <w:rsid w:val="0055656E"/>
    <w:rsid w:val="00561865"/>
    <w:rsid w:val="00564C6E"/>
    <w:rsid w:val="00573C0E"/>
    <w:rsid w:val="00577C32"/>
    <w:rsid w:val="0058084D"/>
    <w:rsid w:val="00581A6C"/>
    <w:rsid w:val="00581D73"/>
    <w:rsid w:val="005834D2"/>
    <w:rsid w:val="005900EE"/>
    <w:rsid w:val="0059145F"/>
    <w:rsid w:val="005955A5"/>
    <w:rsid w:val="005A08CA"/>
    <w:rsid w:val="005A4758"/>
    <w:rsid w:val="005A6978"/>
    <w:rsid w:val="005B0DDC"/>
    <w:rsid w:val="005B3D5D"/>
    <w:rsid w:val="005B7DDF"/>
    <w:rsid w:val="005D0A53"/>
    <w:rsid w:val="005D0E87"/>
    <w:rsid w:val="005D2587"/>
    <w:rsid w:val="005D2908"/>
    <w:rsid w:val="005D408F"/>
    <w:rsid w:val="005D428A"/>
    <w:rsid w:val="005D5520"/>
    <w:rsid w:val="005D680B"/>
    <w:rsid w:val="005D6C47"/>
    <w:rsid w:val="005D75FE"/>
    <w:rsid w:val="005D77CE"/>
    <w:rsid w:val="005E1511"/>
    <w:rsid w:val="005E2D20"/>
    <w:rsid w:val="005E3CA9"/>
    <w:rsid w:val="005E4824"/>
    <w:rsid w:val="005F39E6"/>
    <w:rsid w:val="005F3CC6"/>
    <w:rsid w:val="005F50D7"/>
    <w:rsid w:val="005F6FDD"/>
    <w:rsid w:val="005F7DAF"/>
    <w:rsid w:val="00603657"/>
    <w:rsid w:val="00604881"/>
    <w:rsid w:val="00606FC4"/>
    <w:rsid w:val="00614049"/>
    <w:rsid w:val="00616B3F"/>
    <w:rsid w:val="0063188F"/>
    <w:rsid w:val="00645CD8"/>
    <w:rsid w:val="00647F43"/>
    <w:rsid w:val="006514CA"/>
    <w:rsid w:val="0065338E"/>
    <w:rsid w:val="00653ABE"/>
    <w:rsid w:val="00656150"/>
    <w:rsid w:val="00665CB4"/>
    <w:rsid w:val="00665EA9"/>
    <w:rsid w:val="00677DC0"/>
    <w:rsid w:val="00680AFF"/>
    <w:rsid w:val="00682C14"/>
    <w:rsid w:val="00683190"/>
    <w:rsid w:val="00684058"/>
    <w:rsid w:val="00687033"/>
    <w:rsid w:val="00687672"/>
    <w:rsid w:val="006926BC"/>
    <w:rsid w:val="00693274"/>
    <w:rsid w:val="006946AD"/>
    <w:rsid w:val="00695B73"/>
    <w:rsid w:val="00697776"/>
    <w:rsid w:val="006A500B"/>
    <w:rsid w:val="006B5106"/>
    <w:rsid w:val="006B6629"/>
    <w:rsid w:val="006C07B7"/>
    <w:rsid w:val="006C53B6"/>
    <w:rsid w:val="006C7549"/>
    <w:rsid w:val="006D167D"/>
    <w:rsid w:val="006D5343"/>
    <w:rsid w:val="006E2049"/>
    <w:rsid w:val="006E2EBA"/>
    <w:rsid w:val="006E5774"/>
    <w:rsid w:val="006E7914"/>
    <w:rsid w:val="006E7DD1"/>
    <w:rsid w:val="006F098A"/>
    <w:rsid w:val="006F4642"/>
    <w:rsid w:val="006F4B95"/>
    <w:rsid w:val="006F6954"/>
    <w:rsid w:val="00700CFC"/>
    <w:rsid w:val="00705098"/>
    <w:rsid w:val="00711BB9"/>
    <w:rsid w:val="007236AE"/>
    <w:rsid w:val="00724BDE"/>
    <w:rsid w:val="007255A2"/>
    <w:rsid w:val="00726365"/>
    <w:rsid w:val="00727FB1"/>
    <w:rsid w:val="007301D6"/>
    <w:rsid w:val="007311A9"/>
    <w:rsid w:val="00731356"/>
    <w:rsid w:val="007332EE"/>
    <w:rsid w:val="00745E58"/>
    <w:rsid w:val="007463DC"/>
    <w:rsid w:val="00751E96"/>
    <w:rsid w:val="00761558"/>
    <w:rsid w:val="00763504"/>
    <w:rsid w:val="00764A07"/>
    <w:rsid w:val="00764EDD"/>
    <w:rsid w:val="00776999"/>
    <w:rsid w:val="00780572"/>
    <w:rsid w:val="007862C7"/>
    <w:rsid w:val="00794470"/>
    <w:rsid w:val="0079593A"/>
    <w:rsid w:val="00796305"/>
    <w:rsid w:val="0079789B"/>
    <w:rsid w:val="007B01E2"/>
    <w:rsid w:val="007B1E02"/>
    <w:rsid w:val="007B380C"/>
    <w:rsid w:val="007B56D5"/>
    <w:rsid w:val="007B6B46"/>
    <w:rsid w:val="007C40A2"/>
    <w:rsid w:val="007C4C43"/>
    <w:rsid w:val="007C7CFB"/>
    <w:rsid w:val="007D0F82"/>
    <w:rsid w:val="007D28C0"/>
    <w:rsid w:val="007D4121"/>
    <w:rsid w:val="007D487A"/>
    <w:rsid w:val="007D5E9D"/>
    <w:rsid w:val="007E33C6"/>
    <w:rsid w:val="007F27F2"/>
    <w:rsid w:val="007F3223"/>
    <w:rsid w:val="007F601B"/>
    <w:rsid w:val="007F77A1"/>
    <w:rsid w:val="008004AB"/>
    <w:rsid w:val="008060DE"/>
    <w:rsid w:val="0080622B"/>
    <w:rsid w:val="00810B83"/>
    <w:rsid w:val="008128BB"/>
    <w:rsid w:val="00812BED"/>
    <w:rsid w:val="00812EEA"/>
    <w:rsid w:val="00815292"/>
    <w:rsid w:val="00820560"/>
    <w:rsid w:val="0082064A"/>
    <w:rsid w:val="008265B7"/>
    <w:rsid w:val="00830459"/>
    <w:rsid w:val="00832CA3"/>
    <w:rsid w:val="00832EA1"/>
    <w:rsid w:val="00837DD0"/>
    <w:rsid w:val="008428ED"/>
    <w:rsid w:val="00842B28"/>
    <w:rsid w:val="0084488B"/>
    <w:rsid w:val="0084497D"/>
    <w:rsid w:val="008468E1"/>
    <w:rsid w:val="008513B6"/>
    <w:rsid w:val="008602F8"/>
    <w:rsid w:val="008605BD"/>
    <w:rsid w:val="008622F9"/>
    <w:rsid w:val="00864F25"/>
    <w:rsid w:val="0086690E"/>
    <w:rsid w:val="0087202F"/>
    <w:rsid w:val="00872CA3"/>
    <w:rsid w:val="00887447"/>
    <w:rsid w:val="0088790D"/>
    <w:rsid w:val="00893A78"/>
    <w:rsid w:val="008A0939"/>
    <w:rsid w:val="008A247D"/>
    <w:rsid w:val="008A46EC"/>
    <w:rsid w:val="008A5793"/>
    <w:rsid w:val="008B2713"/>
    <w:rsid w:val="008B4936"/>
    <w:rsid w:val="008B7EB8"/>
    <w:rsid w:val="008C15D4"/>
    <w:rsid w:val="008C1674"/>
    <w:rsid w:val="008C643D"/>
    <w:rsid w:val="008C684E"/>
    <w:rsid w:val="008D3E6F"/>
    <w:rsid w:val="008E0C7D"/>
    <w:rsid w:val="008E251D"/>
    <w:rsid w:val="008E2BA1"/>
    <w:rsid w:val="008E595A"/>
    <w:rsid w:val="008F1A7A"/>
    <w:rsid w:val="008F30A6"/>
    <w:rsid w:val="008F3D02"/>
    <w:rsid w:val="009067DE"/>
    <w:rsid w:val="0091170A"/>
    <w:rsid w:val="00911E42"/>
    <w:rsid w:val="0091360A"/>
    <w:rsid w:val="00921B1E"/>
    <w:rsid w:val="00924205"/>
    <w:rsid w:val="00924DBF"/>
    <w:rsid w:val="00926A96"/>
    <w:rsid w:val="00932AF9"/>
    <w:rsid w:val="00935AFB"/>
    <w:rsid w:val="0094148C"/>
    <w:rsid w:val="00943D25"/>
    <w:rsid w:val="0095107C"/>
    <w:rsid w:val="00951C9D"/>
    <w:rsid w:val="009557B4"/>
    <w:rsid w:val="00956463"/>
    <w:rsid w:val="00971B37"/>
    <w:rsid w:val="00971E7B"/>
    <w:rsid w:val="009804A9"/>
    <w:rsid w:val="00987985"/>
    <w:rsid w:val="00987D2F"/>
    <w:rsid w:val="00993294"/>
    <w:rsid w:val="009950B3"/>
    <w:rsid w:val="00996799"/>
    <w:rsid w:val="009A154F"/>
    <w:rsid w:val="009A2099"/>
    <w:rsid w:val="009B190D"/>
    <w:rsid w:val="009C0134"/>
    <w:rsid w:val="009C06C7"/>
    <w:rsid w:val="009C2FA1"/>
    <w:rsid w:val="009C5F8B"/>
    <w:rsid w:val="009C6F8B"/>
    <w:rsid w:val="009D0685"/>
    <w:rsid w:val="009D1798"/>
    <w:rsid w:val="009D5734"/>
    <w:rsid w:val="009D7E8A"/>
    <w:rsid w:val="009E1652"/>
    <w:rsid w:val="009F44A0"/>
    <w:rsid w:val="009F66BA"/>
    <w:rsid w:val="00A01980"/>
    <w:rsid w:val="00A02148"/>
    <w:rsid w:val="00A0279B"/>
    <w:rsid w:val="00A1009C"/>
    <w:rsid w:val="00A150D3"/>
    <w:rsid w:val="00A21E0D"/>
    <w:rsid w:val="00A22522"/>
    <w:rsid w:val="00A233A2"/>
    <w:rsid w:val="00A30D6A"/>
    <w:rsid w:val="00A3340F"/>
    <w:rsid w:val="00A33A16"/>
    <w:rsid w:val="00A33D53"/>
    <w:rsid w:val="00A34DBA"/>
    <w:rsid w:val="00A34EC2"/>
    <w:rsid w:val="00A35800"/>
    <w:rsid w:val="00A35D74"/>
    <w:rsid w:val="00A51BFD"/>
    <w:rsid w:val="00A5231B"/>
    <w:rsid w:val="00A53144"/>
    <w:rsid w:val="00A53783"/>
    <w:rsid w:val="00A605F1"/>
    <w:rsid w:val="00A72582"/>
    <w:rsid w:val="00A85EC7"/>
    <w:rsid w:val="00A93362"/>
    <w:rsid w:val="00A949A6"/>
    <w:rsid w:val="00AA587E"/>
    <w:rsid w:val="00AA6C35"/>
    <w:rsid w:val="00AB2845"/>
    <w:rsid w:val="00AB29FA"/>
    <w:rsid w:val="00AB79E7"/>
    <w:rsid w:val="00AC3A72"/>
    <w:rsid w:val="00AD2788"/>
    <w:rsid w:val="00AE3B49"/>
    <w:rsid w:val="00AF7215"/>
    <w:rsid w:val="00B01A5A"/>
    <w:rsid w:val="00B01DC8"/>
    <w:rsid w:val="00B05716"/>
    <w:rsid w:val="00B11C29"/>
    <w:rsid w:val="00B134F7"/>
    <w:rsid w:val="00B160AF"/>
    <w:rsid w:val="00B24B9B"/>
    <w:rsid w:val="00B24E08"/>
    <w:rsid w:val="00B26256"/>
    <w:rsid w:val="00B269D1"/>
    <w:rsid w:val="00B273D9"/>
    <w:rsid w:val="00B273F8"/>
    <w:rsid w:val="00B30FB4"/>
    <w:rsid w:val="00B349AB"/>
    <w:rsid w:val="00B355D6"/>
    <w:rsid w:val="00B36ACB"/>
    <w:rsid w:val="00B371E4"/>
    <w:rsid w:val="00B41776"/>
    <w:rsid w:val="00B454B5"/>
    <w:rsid w:val="00B47001"/>
    <w:rsid w:val="00B54E2E"/>
    <w:rsid w:val="00B56CF8"/>
    <w:rsid w:val="00B61BFB"/>
    <w:rsid w:val="00B73D1E"/>
    <w:rsid w:val="00B8000D"/>
    <w:rsid w:val="00B850EB"/>
    <w:rsid w:val="00B876A2"/>
    <w:rsid w:val="00B91F83"/>
    <w:rsid w:val="00B95608"/>
    <w:rsid w:val="00BA1951"/>
    <w:rsid w:val="00BA552E"/>
    <w:rsid w:val="00BA60AE"/>
    <w:rsid w:val="00BB36F9"/>
    <w:rsid w:val="00BB5056"/>
    <w:rsid w:val="00BB574F"/>
    <w:rsid w:val="00BB60CF"/>
    <w:rsid w:val="00BB7851"/>
    <w:rsid w:val="00BC1B0B"/>
    <w:rsid w:val="00BC219D"/>
    <w:rsid w:val="00BC2B7F"/>
    <w:rsid w:val="00BC5C7E"/>
    <w:rsid w:val="00BC6D6A"/>
    <w:rsid w:val="00BD0C39"/>
    <w:rsid w:val="00BD2539"/>
    <w:rsid w:val="00BE78C1"/>
    <w:rsid w:val="00BF16A3"/>
    <w:rsid w:val="00C00A71"/>
    <w:rsid w:val="00C01A2D"/>
    <w:rsid w:val="00C02A2C"/>
    <w:rsid w:val="00C02BC5"/>
    <w:rsid w:val="00C062FA"/>
    <w:rsid w:val="00C10150"/>
    <w:rsid w:val="00C10388"/>
    <w:rsid w:val="00C11FD4"/>
    <w:rsid w:val="00C12E69"/>
    <w:rsid w:val="00C14D0E"/>
    <w:rsid w:val="00C241CD"/>
    <w:rsid w:val="00C26EBF"/>
    <w:rsid w:val="00C27ECD"/>
    <w:rsid w:val="00C329FF"/>
    <w:rsid w:val="00C34EDC"/>
    <w:rsid w:val="00C351F8"/>
    <w:rsid w:val="00C44903"/>
    <w:rsid w:val="00C456DC"/>
    <w:rsid w:val="00C5502A"/>
    <w:rsid w:val="00C56C9E"/>
    <w:rsid w:val="00C73D1A"/>
    <w:rsid w:val="00C7408F"/>
    <w:rsid w:val="00C77F63"/>
    <w:rsid w:val="00C80D23"/>
    <w:rsid w:val="00C86578"/>
    <w:rsid w:val="00C86951"/>
    <w:rsid w:val="00C876AE"/>
    <w:rsid w:val="00C87E9B"/>
    <w:rsid w:val="00C911E9"/>
    <w:rsid w:val="00C953A8"/>
    <w:rsid w:val="00CA2144"/>
    <w:rsid w:val="00CA2170"/>
    <w:rsid w:val="00CA25EF"/>
    <w:rsid w:val="00CA2642"/>
    <w:rsid w:val="00CA5BEA"/>
    <w:rsid w:val="00CB08F2"/>
    <w:rsid w:val="00CB27F7"/>
    <w:rsid w:val="00CC19B1"/>
    <w:rsid w:val="00CC201F"/>
    <w:rsid w:val="00CC46BC"/>
    <w:rsid w:val="00CC4EA7"/>
    <w:rsid w:val="00CC6FF1"/>
    <w:rsid w:val="00CD1547"/>
    <w:rsid w:val="00CD1F2A"/>
    <w:rsid w:val="00CD26BF"/>
    <w:rsid w:val="00CD421E"/>
    <w:rsid w:val="00CE2838"/>
    <w:rsid w:val="00CE2E36"/>
    <w:rsid w:val="00CE59F2"/>
    <w:rsid w:val="00CF1439"/>
    <w:rsid w:val="00CF326D"/>
    <w:rsid w:val="00CF4162"/>
    <w:rsid w:val="00D028E9"/>
    <w:rsid w:val="00D029F7"/>
    <w:rsid w:val="00D03F21"/>
    <w:rsid w:val="00D12D8C"/>
    <w:rsid w:val="00D13BA6"/>
    <w:rsid w:val="00D14A42"/>
    <w:rsid w:val="00D14EEC"/>
    <w:rsid w:val="00D17268"/>
    <w:rsid w:val="00D204A8"/>
    <w:rsid w:val="00D23389"/>
    <w:rsid w:val="00D237C1"/>
    <w:rsid w:val="00D24AFE"/>
    <w:rsid w:val="00D24B15"/>
    <w:rsid w:val="00D26D8F"/>
    <w:rsid w:val="00D50183"/>
    <w:rsid w:val="00D520F8"/>
    <w:rsid w:val="00D52202"/>
    <w:rsid w:val="00D6081F"/>
    <w:rsid w:val="00D616BA"/>
    <w:rsid w:val="00D64D3E"/>
    <w:rsid w:val="00D713F0"/>
    <w:rsid w:val="00D75439"/>
    <w:rsid w:val="00D86817"/>
    <w:rsid w:val="00D86AE5"/>
    <w:rsid w:val="00D9480D"/>
    <w:rsid w:val="00D94CDD"/>
    <w:rsid w:val="00DA1EDC"/>
    <w:rsid w:val="00DA238F"/>
    <w:rsid w:val="00DA49AF"/>
    <w:rsid w:val="00DA4D4D"/>
    <w:rsid w:val="00DB591F"/>
    <w:rsid w:val="00DC289F"/>
    <w:rsid w:val="00DC2DD8"/>
    <w:rsid w:val="00DC48F2"/>
    <w:rsid w:val="00DC7C16"/>
    <w:rsid w:val="00DD06B6"/>
    <w:rsid w:val="00DD07A8"/>
    <w:rsid w:val="00DD0B4C"/>
    <w:rsid w:val="00DD240D"/>
    <w:rsid w:val="00DD461F"/>
    <w:rsid w:val="00DE142B"/>
    <w:rsid w:val="00DE79A1"/>
    <w:rsid w:val="00DF0603"/>
    <w:rsid w:val="00DF1A49"/>
    <w:rsid w:val="00DF6F52"/>
    <w:rsid w:val="00E002C5"/>
    <w:rsid w:val="00E0310C"/>
    <w:rsid w:val="00E06FB4"/>
    <w:rsid w:val="00E07A0D"/>
    <w:rsid w:val="00E10306"/>
    <w:rsid w:val="00E125D1"/>
    <w:rsid w:val="00E12AB3"/>
    <w:rsid w:val="00E1589A"/>
    <w:rsid w:val="00E169EF"/>
    <w:rsid w:val="00E176FE"/>
    <w:rsid w:val="00E200CF"/>
    <w:rsid w:val="00E201AE"/>
    <w:rsid w:val="00E22A2C"/>
    <w:rsid w:val="00E24389"/>
    <w:rsid w:val="00E24E45"/>
    <w:rsid w:val="00E31D79"/>
    <w:rsid w:val="00E3201B"/>
    <w:rsid w:val="00E413CA"/>
    <w:rsid w:val="00E41D13"/>
    <w:rsid w:val="00E474E5"/>
    <w:rsid w:val="00E56923"/>
    <w:rsid w:val="00E6015D"/>
    <w:rsid w:val="00E6173D"/>
    <w:rsid w:val="00E62037"/>
    <w:rsid w:val="00E63D89"/>
    <w:rsid w:val="00E67279"/>
    <w:rsid w:val="00E706F5"/>
    <w:rsid w:val="00E70D10"/>
    <w:rsid w:val="00E72B6E"/>
    <w:rsid w:val="00E8557A"/>
    <w:rsid w:val="00E85874"/>
    <w:rsid w:val="00E937DA"/>
    <w:rsid w:val="00E94A6D"/>
    <w:rsid w:val="00EA3868"/>
    <w:rsid w:val="00EA4007"/>
    <w:rsid w:val="00EA432F"/>
    <w:rsid w:val="00EA5010"/>
    <w:rsid w:val="00EA5811"/>
    <w:rsid w:val="00EA5975"/>
    <w:rsid w:val="00EB3F1C"/>
    <w:rsid w:val="00EB73CF"/>
    <w:rsid w:val="00EC26AB"/>
    <w:rsid w:val="00EC6897"/>
    <w:rsid w:val="00ED56ED"/>
    <w:rsid w:val="00EE2CE2"/>
    <w:rsid w:val="00EE5E8E"/>
    <w:rsid w:val="00EF0F8E"/>
    <w:rsid w:val="00EF11A6"/>
    <w:rsid w:val="00F06DE7"/>
    <w:rsid w:val="00F07499"/>
    <w:rsid w:val="00F075EE"/>
    <w:rsid w:val="00F15C25"/>
    <w:rsid w:val="00F2670B"/>
    <w:rsid w:val="00F33470"/>
    <w:rsid w:val="00F338E1"/>
    <w:rsid w:val="00F4041E"/>
    <w:rsid w:val="00F4215E"/>
    <w:rsid w:val="00F55687"/>
    <w:rsid w:val="00F55C68"/>
    <w:rsid w:val="00F56663"/>
    <w:rsid w:val="00F568B1"/>
    <w:rsid w:val="00F60617"/>
    <w:rsid w:val="00F61230"/>
    <w:rsid w:val="00F640DB"/>
    <w:rsid w:val="00F65B62"/>
    <w:rsid w:val="00F773CF"/>
    <w:rsid w:val="00F850D7"/>
    <w:rsid w:val="00F9058C"/>
    <w:rsid w:val="00F90CB7"/>
    <w:rsid w:val="00F919DF"/>
    <w:rsid w:val="00F94FD0"/>
    <w:rsid w:val="00F95AC0"/>
    <w:rsid w:val="00FA0444"/>
    <w:rsid w:val="00FA0B23"/>
    <w:rsid w:val="00FA51BA"/>
    <w:rsid w:val="00FA7712"/>
    <w:rsid w:val="00FB133B"/>
    <w:rsid w:val="00FB3821"/>
    <w:rsid w:val="00FB4BA8"/>
    <w:rsid w:val="00FB5058"/>
    <w:rsid w:val="00FB7833"/>
    <w:rsid w:val="00FC20ED"/>
    <w:rsid w:val="00FD04CC"/>
    <w:rsid w:val="00FD22AE"/>
    <w:rsid w:val="00FE4E68"/>
    <w:rsid w:val="00FE61D7"/>
    <w:rsid w:val="00FE6201"/>
    <w:rsid w:val="00FF0413"/>
    <w:rsid w:val="00FF09F5"/>
    <w:rsid w:val="00FF2098"/>
    <w:rsid w:val="00FF6DDD"/>
    <w:rsid w:val="0ECC3CE1"/>
    <w:rsid w:val="5414A6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8DDDE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0B3"/>
    <w:rPr>
      <w:sz w:val="26"/>
      <w:szCs w:val="26"/>
      <w:lang w:eastAsia="en-US"/>
    </w:rPr>
  </w:style>
  <w:style w:type="paragraph" w:styleId="Heading1">
    <w:name w:val="heading 1"/>
    <w:basedOn w:val="Normal"/>
    <w:next w:val="Para1"/>
    <w:link w:val="Heading1Char"/>
    <w:qFormat/>
    <w:rsid w:val="009950B3"/>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rsid w:val="009950B3"/>
    <w:pPr>
      <w:jc w:val="left"/>
      <w:outlineLvl w:val="1"/>
    </w:pPr>
    <w:rPr>
      <w:bCs w:val="0"/>
      <w:iCs/>
    </w:rPr>
  </w:style>
  <w:style w:type="paragraph" w:styleId="Heading3">
    <w:name w:val="heading 3"/>
    <w:basedOn w:val="Heading2"/>
    <w:next w:val="Para1"/>
    <w:link w:val="Heading3Char"/>
    <w:qFormat/>
    <w:rsid w:val="009950B3"/>
    <w:pPr>
      <w:outlineLvl w:val="2"/>
    </w:pPr>
    <w:rPr>
      <w:bCs/>
      <w:caps w:val="0"/>
    </w:rPr>
  </w:style>
  <w:style w:type="paragraph" w:styleId="Heading4">
    <w:name w:val="heading 4"/>
    <w:basedOn w:val="Heading3"/>
    <w:next w:val="Normal"/>
    <w:link w:val="Heading4Char"/>
    <w:qFormat/>
    <w:rsid w:val="009950B3"/>
    <w:pPr>
      <w:outlineLvl w:val="3"/>
    </w:pPr>
    <w:rPr>
      <w:b w:val="0"/>
      <w:bCs w:val="0"/>
      <w:szCs w:val="28"/>
      <w:u w:val="single"/>
    </w:rPr>
  </w:style>
  <w:style w:type="paragraph" w:styleId="Heading5">
    <w:name w:val="heading 5"/>
    <w:basedOn w:val="Heading4"/>
    <w:next w:val="Para1"/>
    <w:link w:val="Heading5Char"/>
    <w:qFormat/>
    <w:rsid w:val="009950B3"/>
    <w:pPr>
      <w:spacing w:after="60"/>
      <w:outlineLvl w:val="4"/>
    </w:pPr>
    <w:rPr>
      <w:bCs/>
      <w:iCs w:val="0"/>
      <w:u w:val="none"/>
    </w:rPr>
  </w:style>
  <w:style w:type="paragraph" w:styleId="Heading6">
    <w:name w:val="heading 6"/>
    <w:basedOn w:val="Normal"/>
    <w:next w:val="Normal"/>
    <w:link w:val="Heading6Char"/>
    <w:uiPriority w:val="9"/>
    <w:semiHidden/>
    <w:unhideWhenUsed/>
    <w:qFormat/>
    <w:rsid w:val="009950B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24C1E"/>
    <w:rPr>
      <w:rFonts w:ascii="Arial" w:hAnsi="Arial"/>
      <w:b/>
      <w:bCs/>
      <w:caps/>
      <w:sz w:val="24"/>
      <w:szCs w:val="24"/>
      <w:lang w:eastAsia="en-US"/>
    </w:rPr>
  </w:style>
  <w:style w:type="character" w:customStyle="1" w:styleId="Heading2Char">
    <w:name w:val="Heading 2 Char"/>
    <w:basedOn w:val="DefaultParagraphFont"/>
    <w:link w:val="Heading2"/>
    <w:locked/>
    <w:rsid w:val="002A52E0"/>
    <w:rPr>
      <w:rFonts w:ascii="Arial" w:hAnsi="Arial"/>
      <w:b/>
      <w:iCs/>
      <w:caps/>
      <w:sz w:val="24"/>
      <w:szCs w:val="24"/>
      <w:lang w:eastAsia="en-US"/>
    </w:rPr>
  </w:style>
  <w:style w:type="character" w:customStyle="1" w:styleId="Heading3Char">
    <w:name w:val="Heading 3 Char"/>
    <w:basedOn w:val="DefaultParagraphFont"/>
    <w:link w:val="Heading3"/>
    <w:locked/>
    <w:rsid w:val="009950B3"/>
    <w:rPr>
      <w:rFonts w:ascii="Arial" w:hAnsi="Arial"/>
      <w:b/>
      <w:bCs/>
      <w:iCs/>
      <w:sz w:val="24"/>
      <w:szCs w:val="24"/>
      <w:lang w:eastAsia="en-US"/>
    </w:rPr>
  </w:style>
  <w:style w:type="character" w:customStyle="1" w:styleId="Heading4Char">
    <w:name w:val="Heading 4 Char"/>
    <w:basedOn w:val="DefaultParagraphFont"/>
    <w:link w:val="Heading4"/>
    <w:locked/>
    <w:rsid w:val="008F30A6"/>
    <w:rPr>
      <w:rFonts w:ascii="Arial" w:hAnsi="Arial"/>
      <w:iCs/>
      <w:sz w:val="24"/>
      <w:szCs w:val="28"/>
      <w:u w:val="single"/>
      <w:lang w:eastAsia="en-US"/>
    </w:rPr>
  </w:style>
  <w:style w:type="character" w:customStyle="1" w:styleId="Heading5Char">
    <w:name w:val="Heading 5 Char"/>
    <w:basedOn w:val="DefaultParagraphFont"/>
    <w:link w:val="Heading5"/>
    <w:locked/>
    <w:rsid w:val="001708C4"/>
    <w:rPr>
      <w:rFonts w:ascii="Arial" w:hAnsi="Arial"/>
      <w:bCs/>
      <w:sz w:val="24"/>
      <w:szCs w:val="28"/>
      <w:lang w:eastAsia="en-US"/>
    </w:rPr>
  </w:style>
  <w:style w:type="paragraph" w:styleId="Footer">
    <w:name w:val="footer"/>
    <w:basedOn w:val="Normal"/>
    <w:link w:val="FooterChar"/>
    <w:uiPriority w:val="99"/>
    <w:pPr>
      <w:tabs>
        <w:tab w:val="center" w:pos="4896"/>
        <w:tab w:val="right" w:pos="9792"/>
      </w:tabs>
      <w:spacing w:before="60"/>
    </w:pPr>
    <w:rPr>
      <w:rFonts w:ascii="Arial" w:hAnsi="Arial"/>
      <w:sz w:val="20"/>
      <w:szCs w:val="20"/>
    </w:rPr>
  </w:style>
  <w:style w:type="character" w:customStyle="1" w:styleId="FooterChar">
    <w:name w:val="Footer Char"/>
    <w:basedOn w:val="DefaultParagraphFont"/>
    <w:link w:val="Footer"/>
    <w:uiPriority w:val="99"/>
    <w:semiHidden/>
    <w:locked/>
    <w:rPr>
      <w:rFonts w:cs="Times New Roman"/>
      <w:sz w:val="26"/>
      <w:szCs w:val="26"/>
      <w:lang w:val="x-none" w:eastAsia="en-US"/>
    </w:rPr>
  </w:style>
  <w:style w:type="paragraph" w:customStyle="1" w:styleId="Para1">
    <w:name w:val="Para 1"/>
    <w:basedOn w:val="Normal"/>
    <w:link w:val="Para1Char"/>
    <w:qFormat/>
    <w:rsid w:val="001A6269"/>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pPr>
      <w:numPr>
        <w:numId w:val="3"/>
      </w:numPr>
    </w:pPr>
  </w:style>
  <w:style w:type="paragraph" w:customStyle="1" w:styleId="Para4">
    <w:name w:val="Para 4"/>
    <w:basedOn w:val="Para2"/>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6"/>
      <w:szCs w:val="26"/>
      <w:lang w:val="x-none" w:eastAsia="en-US"/>
    </w:rPr>
  </w:style>
  <w:style w:type="paragraph" w:styleId="FootnoteText">
    <w:name w:val="footnote text"/>
    <w:basedOn w:val="Normal"/>
    <w:link w:val="FootnoteTextChar"/>
    <w:uiPriority w:val="99"/>
    <w:semiHidden/>
    <w:pPr>
      <w:ind w:left="567" w:hanging="567"/>
    </w:pPr>
    <w:rPr>
      <w:sz w:val="20"/>
      <w:szCs w:val="20"/>
    </w:rPr>
  </w:style>
  <w:style w:type="character" w:customStyle="1" w:styleId="FootnoteTextChar">
    <w:name w:val="Footnote Text Char"/>
    <w:basedOn w:val="DefaultParagraphFont"/>
    <w:link w:val="FootnoteText"/>
    <w:uiPriority w:val="99"/>
    <w:semiHidden/>
    <w:locked/>
    <w:rsid w:val="0079593A"/>
    <w:rPr>
      <w:rFonts w:cs="Times New Roman"/>
      <w:lang w:val="x-none" w:eastAsia="en-US"/>
    </w:rPr>
  </w:style>
  <w:style w:type="character" w:styleId="FootnoteReference">
    <w:name w:val="footnote reference"/>
    <w:basedOn w:val="DefaultParagraphFont"/>
    <w:uiPriority w:val="99"/>
    <w:semiHidden/>
    <w:rPr>
      <w:rFonts w:cs="Times New Roman"/>
      <w:vertAlign w:val="superscript"/>
    </w:rPr>
  </w:style>
  <w:style w:type="paragraph" w:customStyle="1" w:styleId="Order1">
    <w:name w:val="Order 1"/>
    <w:basedOn w:val="Normal"/>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rsid w:val="008128BB"/>
    <w:pPr>
      <w:numPr>
        <w:numId w:val="5"/>
      </w:numPr>
    </w:pPr>
  </w:style>
  <w:style w:type="paragraph" w:customStyle="1" w:styleId="Heading6figures">
    <w:name w:val="Heading 6 figures"/>
    <w:basedOn w:val="Normal"/>
    <w:next w:val="Para1"/>
    <w:rsid w:val="0016093F"/>
    <w:pPr>
      <w:spacing w:before="120" w:after="120"/>
      <w:jc w:val="center"/>
      <w:outlineLvl w:val="5"/>
    </w:pPr>
    <w:rPr>
      <w:rFonts w:ascii="Arial" w:hAnsi="Arial" w:cs="Arial"/>
      <w:sz w:val="20"/>
      <w:szCs w:val="20"/>
    </w:rPr>
  </w:style>
  <w:style w:type="paragraph" w:customStyle="1" w:styleId="Quote3">
    <w:name w:val="Quote 3"/>
    <w:basedOn w:val="Quote2"/>
    <w:pPr>
      <w:numPr>
        <w:numId w:val="4"/>
      </w:numPr>
    </w:pPr>
  </w:style>
  <w:style w:type="paragraph" w:customStyle="1" w:styleId="TitlePage3">
    <w:name w:val="Title Page 3"/>
    <w:basedOn w:val="TitlePage2"/>
    <w:pPr>
      <w:spacing w:before="20" w:after="0"/>
      <w:jc w:val="right"/>
    </w:pPr>
    <w:rPr>
      <w:b w:val="0"/>
      <w:sz w:val="16"/>
    </w:rPr>
  </w:style>
  <w:style w:type="paragraph" w:customStyle="1" w:styleId="FigureTitle">
    <w:name w:val="Figure Title"/>
    <w:basedOn w:val="Heading5"/>
    <w:rsid w:val="00DC7C16"/>
    <w:pPr>
      <w:jc w:val="center"/>
    </w:pPr>
    <w:rPr>
      <w:sz w:val="22"/>
      <w:szCs w:val="22"/>
    </w:rPr>
  </w:style>
  <w:style w:type="paragraph" w:customStyle="1" w:styleId="Heading6para">
    <w:name w:val="Heading 6 para"/>
    <w:basedOn w:val="Heading6figures"/>
    <w:next w:val="Para1"/>
    <w:rsid w:val="008A46EC"/>
    <w:pPr>
      <w:ind w:left="567"/>
      <w:jc w:val="left"/>
    </w:pPr>
    <w:rPr>
      <w:sz w:val="24"/>
      <w:szCs w:val="24"/>
    </w:rPr>
  </w:style>
  <w:style w:type="table" w:styleId="TableGrid">
    <w:name w:val="Table Grid"/>
    <w:basedOn w:val="TableNormal"/>
    <w:uiPriority w:val="3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813E9"/>
    <w:rPr>
      <w:rFonts w:ascii="Segoe UI" w:hAnsi="Segoe UI" w:cs="Times New Roman"/>
      <w:sz w:val="18"/>
      <w:lang w:val="x-none" w:eastAsia="en-US"/>
    </w:rPr>
  </w:style>
  <w:style w:type="paragraph" w:customStyle="1" w:styleId="Condition1">
    <w:name w:val="Condition 1"/>
    <w:basedOn w:val="Normal"/>
    <w:rsid w:val="00763504"/>
    <w:pPr>
      <w:spacing w:after="120" w:line="300" w:lineRule="atLeast"/>
    </w:pPr>
  </w:style>
  <w:style w:type="paragraph" w:customStyle="1" w:styleId="Condition2">
    <w:name w:val="Condition 2"/>
    <w:basedOn w:val="Condition1"/>
    <w:rsid w:val="00812EEA"/>
    <w:pPr>
      <w:numPr>
        <w:numId w:val="7"/>
      </w:numPr>
    </w:pPr>
  </w:style>
  <w:style w:type="paragraph" w:customStyle="1" w:styleId="Condition3">
    <w:name w:val="Condition 3"/>
    <w:basedOn w:val="Condition1"/>
    <w:rsid w:val="00812EEA"/>
    <w:pPr>
      <w:ind w:left="567"/>
    </w:pPr>
  </w:style>
  <w:style w:type="paragraph" w:customStyle="1" w:styleId="Order3">
    <w:name w:val="Order 3"/>
    <w:basedOn w:val="Order1"/>
    <w:rsid w:val="00EA5010"/>
    <w:pPr>
      <w:ind w:left="567"/>
    </w:pPr>
  </w:style>
  <w:style w:type="character" w:customStyle="1" w:styleId="normaltextrun">
    <w:name w:val="normaltextrun"/>
    <w:basedOn w:val="DefaultParagraphFont"/>
    <w:rsid w:val="008F30A6"/>
    <w:rPr>
      <w:rFonts w:cs="Times New Roman"/>
    </w:rPr>
  </w:style>
  <w:style w:type="character" w:customStyle="1" w:styleId="Para1Char">
    <w:name w:val="Para 1 Char"/>
    <w:link w:val="Para1"/>
    <w:locked/>
    <w:rsid w:val="001A6269"/>
    <w:rPr>
      <w:sz w:val="26"/>
      <w:szCs w:val="26"/>
      <w:lang w:eastAsia="en-US"/>
    </w:rPr>
  </w:style>
  <w:style w:type="character" w:customStyle="1" w:styleId="Quote1Char">
    <w:name w:val="Quote 1 Char"/>
    <w:basedOn w:val="DefaultParagraphFont"/>
    <w:link w:val="Quote1"/>
    <w:locked/>
    <w:rsid w:val="008F30A6"/>
    <w:rPr>
      <w:rFonts w:cs="Times New Roman"/>
      <w:sz w:val="24"/>
      <w:szCs w:val="24"/>
      <w:lang w:val="x-none" w:eastAsia="en-US"/>
    </w:rPr>
  </w:style>
  <w:style w:type="paragraph" w:customStyle="1" w:styleId="DraftHeading3">
    <w:name w:val="Draft Heading 3"/>
    <w:basedOn w:val="Normal"/>
    <w:next w:val="Normal"/>
    <w:rsid w:val="008F30A6"/>
    <w:pPr>
      <w:overflowPunct w:val="0"/>
      <w:autoSpaceDE w:val="0"/>
      <w:autoSpaceDN w:val="0"/>
      <w:adjustRightInd w:val="0"/>
      <w:spacing w:before="120"/>
    </w:pPr>
    <w:rPr>
      <w:sz w:val="24"/>
      <w:szCs w:val="20"/>
    </w:rPr>
  </w:style>
  <w:style w:type="character" w:customStyle="1" w:styleId="DraftHeading2Char">
    <w:name w:val="Draft Heading 2 Char"/>
    <w:basedOn w:val="DefaultParagraphFont"/>
    <w:link w:val="DraftHeading2"/>
    <w:locked/>
    <w:rsid w:val="008F30A6"/>
    <w:rPr>
      <w:rFonts w:cs="Times New Roman"/>
      <w:sz w:val="24"/>
      <w:lang w:val="x-none" w:eastAsia="en-US"/>
    </w:rPr>
  </w:style>
  <w:style w:type="paragraph" w:customStyle="1" w:styleId="DraftHeading2">
    <w:name w:val="Draft Heading 2"/>
    <w:basedOn w:val="Normal"/>
    <w:next w:val="Normal"/>
    <w:link w:val="DraftHeading2Char"/>
    <w:rsid w:val="008F30A6"/>
    <w:pPr>
      <w:overflowPunct w:val="0"/>
      <w:autoSpaceDE w:val="0"/>
      <w:autoSpaceDN w:val="0"/>
      <w:adjustRightInd w:val="0"/>
      <w:spacing w:before="120"/>
    </w:pPr>
    <w:rPr>
      <w:sz w:val="24"/>
      <w:szCs w:val="20"/>
    </w:rPr>
  </w:style>
  <w:style w:type="character" w:customStyle="1" w:styleId="eop">
    <w:name w:val="eop"/>
    <w:basedOn w:val="DefaultParagraphFont"/>
    <w:rsid w:val="008F30A6"/>
    <w:rPr>
      <w:rFonts w:cs="Times New Roman"/>
    </w:rPr>
  </w:style>
  <w:style w:type="character" w:styleId="Hyperlink">
    <w:name w:val="Hyperlink"/>
    <w:basedOn w:val="DefaultParagraphFont"/>
    <w:uiPriority w:val="99"/>
    <w:unhideWhenUsed/>
    <w:rsid w:val="008F30A6"/>
    <w:rPr>
      <w:rFonts w:cs="Times New Roman"/>
      <w:color w:val="0000FF"/>
      <w:u w:val="single"/>
    </w:rPr>
  </w:style>
  <w:style w:type="numbering" w:customStyle="1" w:styleId="Style1">
    <w:name w:val="Style1"/>
    <w:pPr>
      <w:numPr>
        <w:numId w:val="6"/>
      </w:numPr>
    </w:pPr>
  </w:style>
  <w:style w:type="character" w:styleId="CommentReference">
    <w:name w:val="annotation reference"/>
    <w:basedOn w:val="DefaultParagraphFont"/>
    <w:uiPriority w:val="99"/>
    <w:semiHidden/>
    <w:unhideWhenUsed/>
    <w:rsid w:val="00A33A16"/>
    <w:rPr>
      <w:sz w:val="16"/>
      <w:szCs w:val="16"/>
    </w:rPr>
  </w:style>
  <w:style w:type="paragraph" w:styleId="CommentText">
    <w:name w:val="annotation text"/>
    <w:basedOn w:val="Normal"/>
    <w:link w:val="CommentTextChar"/>
    <w:uiPriority w:val="99"/>
    <w:semiHidden/>
    <w:unhideWhenUsed/>
    <w:rsid w:val="00A33A16"/>
    <w:rPr>
      <w:sz w:val="20"/>
      <w:szCs w:val="20"/>
    </w:rPr>
  </w:style>
  <w:style w:type="character" w:customStyle="1" w:styleId="CommentTextChar">
    <w:name w:val="Comment Text Char"/>
    <w:basedOn w:val="DefaultParagraphFont"/>
    <w:link w:val="CommentText"/>
    <w:uiPriority w:val="99"/>
    <w:semiHidden/>
    <w:rsid w:val="00A33A16"/>
    <w:rPr>
      <w:lang w:eastAsia="en-US"/>
    </w:rPr>
  </w:style>
  <w:style w:type="character" w:customStyle="1" w:styleId="Heading6Char">
    <w:name w:val="Heading 6 Char"/>
    <w:basedOn w:val="DefaultParagraphFont"/>
    <w:link w:val="Heading6"/>
    <w:uiPriority w:val="9"/>
    <w:semiHidden/>
    <w:rsid w:val="009950B3"/>
    <w:rPr>
      <w:rFonts w:asciiTheme="majorHAnsi" w:eastAsiaTheme="majorEastAsia" w:hAnsiTheme="majorHAnsi" w:cstheme="majorBidi"/>
      <w:color w:val="1F4D78" w:themeColor="accent1" w:themeShade="7F"/>
      <w:sz w:val="26"/>
      <w:szCs w:val="26"/>
      <w:lang w:eastAsia="en-US"/>
    </w:rPr>
  </w:style>
  <w:style w:type="paragraph" w:styleId="BodyText">
    <w:name w:val="Body Text"/>
    <w:basedOn w:val="Normal"/>
    <w:link w:val="BodyTextChar"/>
    <w:uiPriority w:val="1"/>
    <w:qFormat/>
    <w:rsid w:val="009950B3"/>
    <w:pPr>
      <w:widowControl w:val="0"/>
      <w:autoSpaceDE w:val="0"/>
      <w:autoSpaceDN w:val="0"/>
    </w:pPr>
    <w:rPr>
      <w:rFonts w:ascii="Consolas" w:eastAsia="Consolas" w:hAnsi="Consolas" w:cs="Consolas"/>
      <w:sz w:val="18"/>
      <w:szCs w:val="18"/>
      <w:lang w:val="en-US"/>
    </w:rPr>
  </w:style>
  <w:style w:type="character" w:customStyle="1" w:styleId="BodyTextChar">
    <w:name w:val="Body Text Char"/>
    <w:basedOn w:val="DefaultParagraphFont"/>
    <w:link w:val="BodyText"/>
    <w:uiPriority w:val="1"/>
    <w:rsid w:val="009950B3"/>
    <w:rPr>
      <w:rFonts w:ascii="Consolas" w:eastAsia="Consolas" w:hAnsi="Consolas" w:cs="Consolas"/>
      <w:sz w:val="18"/>
      <w:szCs w:val="18"/>
      <w:lang w:val="en-US" w:eastAsia="en-US"/>
    </w:rPr>
  </w:style>
  <w:style w:type="character" w:styleId="Strong">
    <w:name w:val="Strong"/>
    <w:basedOn w:val="DefaultParagraphFont"/>
    <w:uiPriority w:val="22"/>
    <w:qFormat/>
    <w:rsid w:val="009950B3"/>
    <w:rPr>
      <w:b/>
      <w:bCs/>
    </w:rPr>
  </w:style>
  <w:style w:type="paragraph" w:styleId="NoSpacing">
    <w:name w:val="No Spacing"/>
    <w:uiPriority w:val="1"/>
    <w:qFormat/>
    <w:rsid w:val="009950B3"/>
    <w:rPr>
      <w:sz w:val="26"/>
      <w:szCs w:val="26"/>
      <w:lang w:eastAsia="en-US"/>
    </w:rPr>
  </w:style>
  <w:style w:type="paragraph" w:styleId="ListParagraph">
    <w:name w:val="List Paragraph"/>
    <w:basedOn w:val="Normal"/>
    <w:uiPriority w:val="34"/>
    <w:qFormat/>
    <w:rsid w:val="009950B3"/>
    <w:pPr>
      <w:spacing w:after="160" w:line="259" w:lineRule="auto"/>
      <w:ind w:left="720"/>
      <w:contextualSpacing/>
    </w:pPr>
    <w:rPr>
      <w:rFonts w:asciiTheme="minorHAnsi" w:eastAsiaTheme="minorHAnsi" w:hAnsiTheme="minorHAnsi" w:cstheme="minorBidi"/>
      <w:sz w:val="22"/>
      <w:szCs w:val="22"/>
      <w:lang w:val="en-US"/>
    </w:rPr>
  </w:style>
  <w:style w:type="character" w:styleId="UnresolvedMention">
    <w:name w:val="Unresolved Mention"/>
    <w:basedOn w:val="DefaultParagraphFont"/>
    <w:uiPriority w:val="99"/>
    <w:semiHidden/>
    <w:unhideWhenUsed/>
    <w:rsid w:val="00052A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007E5"/>
    <w:rPr>
      <w:b/>
      <w:bCs/>
    </w:rPr>
  </w:style>
  <w:style w:type="character" w:customStyle="1" w:styleId="CommentSubjectChar">
    <w:name w:val="Comment Subject Char"/>
    <w:basedOn w:val="CommentTextChar"/>
    <w:link w:val="CommentSubject"/>
    <w:uiPriority w:val="99"/>
    <w:semiHidden/>
    <w:rsid w:val="001007E5"/>
    <w:rPr>
      <w:b/>
      <w:bCs/>
      <w:lang w:eastAsia="en-US"/>
    </w:rPr>
  </w:style>
  <w:style w:type="paragraph" w:customStyle="1" w:styleId="Default">
    <w:name w:val="Default"/>
    <w:rsid w:val="002203F8"/>
    <w:pPr>
      <w:autoSpaceDE w:val="0"/>
      <w:autoSpaceDN w:val="0"/>
      <w:adjustRightInd w:val="0"/>
    </w:pPr>
    <w:rPr>
      <w:rFonts w:ascii="Garamond" w:hAnsi="Garamond" w:cs="Garamond"/>
      <w:color w:val="000000"/>
      <w:sz w:val="24"/>
      <w:szCs w:val="24"/>
    </w:rPr>
  </w:style>
  <w:style w:type="paragraph" w:styleId="NormalWeb">
    <w:name w:val="Normal (Web)"/>
    <w:basedOn w:val="Normal"/>
    <w:uiPriority w:val="99"/>
    <w:semiHidden/>
    <w:unhideWhenUsed/>
    <w:rsid w:val="00000D09"/>
    <w:pPr>
      <w:spacing w:before="100" w:beforeAutospacing="1" w:after="100" w:afterAutospacing="1"/>
    </w:pPr>
    <w:rPr>
      <w:sz w:val="24"/>
      <w:szCs w:val="24"/>
      <w:lang w:eastAsia="en-AU"/>
    </w:rPr>
  </w:style>
  <w:style w:type="paragraph" w:customStyle="1" w:styleId="jade-outdent">
    <w:name w:val="jade-outdent"/>
    <w:basedOn w:val="Normal"/>
    <w:rsid w:val="00D028E9"/>
    <w:pPr>
      <w:spacing w:before="100" w:beforeAutospacing="1" w:after="100" w:afterAutospacing="1"/>
    </w:pPr>
    <w:rPr>
      <w:sz w:val="24"/>
      <w:szCs w:val="24"/>
      <w:lang w:eastAsia="en-AU"/>
    </w:rPr>
  </w:style>
  <w:style w:type="character" w:customStyle="1" w:styleId="jade-ts-q-9">
    <w:name w:val="jade-ts-q-9"/>
    <w:basedOn w:val="DefaultParagraphFont"/>
    <w:rsid w:val="00D028E9"/>
  </w:style>
  <w:style w:type="character" w:customStyle="1" w:styleId="jade-ts-10">
    <w:name w:val="jade-ts-10"/>
    <w:basedOn w:val="DefaultParagraphFont"/>
    <w:rsid w:val="00D028E9"/>
  </w:style>
  <w:style w:type="character" w:customStyle="1" w:styleId="jade-ts-9">
    <w:name w:val="jade-ts-9"/>
    <w:basedOn w:val="DefaultParagraphFont"/>
    <w:rsid w:val="00D028E9"/>
  </w:style>
  <w:style w:type="character" w:customStyle="1" w:styleId="bnwrappedspan">
    <w:name w:val="bn_wrapped_span"/>
    <w:basedOn w:val="DefaultParagraphFont"/>
    <w:rsid w:val="00D028E9"/>
  </w:style>
  <w:style w:type="character" w:customStyle="1" w:styleId="jade-ts-8">
    <w:name w:val="jade-ts-8"/>
    <w:basedOn w:val="DefaultParagraphFont"/>
    <w:rsid w:val="00D028E9"/>
  </w:style>
  <w:style w:type="paragraph" w:styleId="Revision">
    <w:name w:val="Revision"/>
    <w:hidden/>
    <w:uiPriority w:val="99"/>
    <w:semiHidden/>
    <w:rsid w:val="00C11FD4"/>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155056">
      <w:marLeft w:val="0"/>
      <w:marRight w:val="0"/>
      <w:marTop w:val="0"/>
      <w:marBottom w:val="0"/>
      <w:divBdr>
        <w:top w:val="none" w:sz="0" w:space="0" w:color="auto"/>
        <w:left w:val="none" w:sz="0" w:space="0" w:color="auto"/>
        <w:bottom w:val="none" w:sz="0" w:space="0" w:color="auto"/>
        <w:right w:val="none" w:sz="0" w:space="0" w:color="auto"/>
      </w:divBdr>
    </w:div>
    <w:div w:id="355155057">
      <w:marLeft w:val="0"/>
      <w:marRight w:val="0"/>
      <w:marTop w:val="0"/>
      <w:marBottom w:val="0"/>
      <w:divBdr>
        <w:top w:val="none" w:sz="0" w:space="0" w:color="auto"/>
        <w:left w:val="none" w:sz="0" w:space="0" w:color="auto"/>
        <w:bottom w:val="none" w:sz="0" w:space="0" w:color="auto"/>
        <w:right w:val="none" w:sz="0" w:space="0" w:color="auto"/>
      </w:divBdr>
    </w:div>
    <w:div w:id="355155058">
      <w:marLeft w:val="0"/>
      <w:marRight w:val="0"/>
      <w:marTop w:val="0"/>
      <w:marBottom w:val="0"/>
      <w:divBdr>
        <w:top w:val="none" w:sz="0" w:space="0" w:color="auto"/>
        <w:left w:val="none" w:sz="0" w:space="0" w:color="auto"/>
        <w:bottom w:val="none" w:sz="0" w:space="0" w:color="auto"/>
        <w:right w:val="none" w:sz="0" w:space="0" w:color="auto"/>
      </w:divBdr>
    </w:div>
    <w:div w:id="355155059">
      <w:marLeft w:val="0"/>
      <w:marRight w:val="0"/>
      <w:marTop w:val="0"/>
      <w:marBottom w:val="0"/>
      <w:divBdr>
        <w:top w:val="none" w:sz="0" w:space="0" w:color="auto"/>
        <w:left w:val="none" w:sz="0" w:space="0" w:color="auto"/>
        <w:bottom w:val="none" w:sz="0" w:space="0" w:color="auto"/>
        <w:right w:val="none" w:sz="0" w:space="0" w:color="auto"/>
      </w:divBdr>
    </w:div>
    <w:div w:id="355155060">
      <w:marLeft w:val="0"/>
      <w:marRight w:val="0"/>
      <w:marTop w:val="0"/>
      <w:marBottom w:val="0"/>
      <w:divBdr>
        <w:top w:val="none" w:sz="0" w:space="0" w:color="auto"/>
        <w:left w:val="none" w:sz="0" w:space="0" w:color="auto"/>
        <w:bottom w:val="none" w:sz="0" w:space="0" w:color="auto"/>
        <w:right w:val="none" w:sz="0" w:space="0" w:color="auto"/>
      </w:divBdr>
    </w:div>
    <w:div w:id="355155061">
      <w:marLeft w:val="0"/>
      <w:marRight w:val="0"/>
      <w:marTop w:val="0"/>
      <w:marBottom w:val="0"/>
      <w:divBdr>
        <w:top w:val="none" w:sz="0" w:space="0" w:color="auto"/>
        <w:left w:val="none" w:sz="0" w:space="0" w:color="auto"/>
        <w:bottom w:val="none" w:sz="0" w:space="0" w:color="auto"/>
        <w:right w:val="none" w:sz="0" w:space="0" w:color="auto"/>
      </w:divBdr>
    </w:div>
    <w:div w:id="355155062">
      <w:marLeft w:val="0"/>
      <w:marRight w:val="0"/>
      <w:marTop w:val="0"/>
      <w:marBottom w:val="0"/>
      <w:divBdr>
        <w:top w:val="none" w:sz="0" w:space="0" w:color="auto"/>
        <w:left w:val="none" w:sz="0" w:space="0" w:color="auto"/>
        <w:bottom w:val="none" w:sz="0" w:space="0" w:color="auto"/>
        <w:right w:val="none" w:sz="0" w:space="0" w:color="auto"/>
      </w:divBdr>
    </w:div>
    <w:div w:id="355155063">
      <w:marLeft w:val="0"/>
      <w:marRight w:val="0"/>
      <w:marTop w:val="0"/>
      <w:marBottom w:val="0"/>
      <w:divBdr>
        <w:top w:val="none" w:sz="0" w:space="0" w:color="auto"/>
        <w:left w:val="none" w:sz="0" w:space="0" w:color="auto"/>
        <w:bottom w:val="none" w:sz="0" w:space="0" w:color="auto"/>
        <w:right w:val="none" w:sz="0" w:space="0" w:color="auto"/>
      </w:divBdr>
    </w:div>
    <w:div w:id="355155064">
      <w:marLeft w:val="0"/>
      <w:marRight w:val="0"/>
      <w:marTop w:val="0"/>
      <w:marBottom w:val="0"/>
      <w:divBdr>
        <w:top w:val="none" w:sz="0" w:space="0" w:color="auto"/>
        <w:left w:val="none" w:sz="0" w:space="0" w:color="auto"/>
        <w:bottom w:val="none" w:sz="0" w:space="0" w:color="auto"/>
        <w:right w:val="none" w:sz="0" w:space="0" w:color="auto"/>
      </w:divBdr>
    </w:div>
    <w:div w:id="355155065">
      <w:marLeft w:val="0"/>
      <w:marRight w:val="0"/>
      <w:marTop w:val="0"/>
      <w:marBottom w:val="0"/>
      <w:divBdr>
        <w:top w:val="none" w:sz="0" w:space="0" w:color="auto"/>
        <w:left w:val="none" w:sz="0" w:space="0" w:color="auto"/>
        <w:bottom w:val="none" w:sz="0" w:space="0" w:color="auto"/>
        <w:right w:val="none" w:sz="0" w:space="0" w:color="auto"/>
      </w:divBdr>
    </w:div>
    <w:div w:id="355155066">
      <w:marLeft w:val="0"/>
      <w:marRight w:val="0"/>
      <w:marTop w:val="0"/>
      <w:marBottom w:val="0"/>
      <w:divBdr>
        <w:top w:val="none" w:sz="0" w:space="0" w:color="auto"/>
        <w:left w:val="none" w:sz="0" w:space="0" w:color="auto"/>
        <w:bottom w:val="none" w:sz="0" w:space="0" w:color="auto"/>
        <w:right w:val="none" w:sz="0" w:space="0" w:color="auto"/>
      </w:divBdr>
    </w:div>
    <w:div w:id="355155067">
      <w:marLeft w:val="0"/>
      <w:marRight w:val="0"/>
      <w:marTop w:val="0"/>
      <w:marBottom w:val="0"/>
      <w:divBdr>
        <w:top w:val="none" w:sz="0" w:space="0" w:color="auto"/>
        <w:left w:val="none" w:sz="0" w:space="0" w:color="auto"/>
        <w:bottom w:val="none" w:sz="0" w:space="0" w:color="auto"/>
        <w:right w:val="none" w:sz="0" w:space="0" w:color="auto"/>
      </w:divBdr>
    </w:div>
    <w:div w:id="355155068">
      <w:marLeft w:val="0"/>
      <w:marRight w:val="0"/>
      <w:marTop w:val="0"/>
      <w:marBottom w:val="0"/>
      <w:divBdr>
        <w:top w:val="none" w:sz="0" w:space="0" w:color="auto"/>
        <w:left w:val="none" w:sz="0" w:space="0" w:color="auto"/>
        <w:bottom w:val="none" w:sz="0" w:space="0" w:color="auto"/>
        <w:right w:val="none" w:sz="0" w:space="0" w:color="auto"/>
      </w:divBdr>
    </w:div>
    <w:div w:id="355155069">
      <w:marLeft w:val="0"/>
      <w:marRight w:val="0"/>
      <w:marTop w:val="0"/>
      <w:marBottom w:val="0"/>
      <w:divBdr>
        <w:top w:val="none" w:sz="0" w:space="0" w:color="auto"/>
        <w:left w:val="none" w:sz="0" w:space="0" w:color="auto"/>
        <w:bottom w:val="none" w:sz="0" w:space="0" w:color="auto"/>
        <w:right w:val="none" w:sz="0" w:space="0" w:color="auto"/>
      </w:divBdr>
    </w:div>
    <w:div w:id="355155070">
      <w:marLeft w:val="0"/>
      <w:marRight w:val="0"/>
      <w:marTop w:val="0"/>
      <w:marBottom w:val="0"/>
      <w:divBdr>
        <w:top w:val="none" w:sz="0" w:space="0" w:color="auto"/>
        <w:left w:val="none" w:sz="0" w:space="0" w:color="auto"/>
        <w:bottom w:val="none" w:sz="0" w:space="0" w:color="auto"/>
        <w:right w:val="none" w:sz="0" w:space="0" w:color="auto"/>
      </w:divBdr>
    </w:div>
    <w:div w:id="355155071">
      <w:marLeft w:val="0"/>
      <w:marRight w:val="0"/>
      <w:marTop w:val="0"/>
      <w:marBottom w:val="0"/>
      <w:divBdr>
        <w:top w:val="none" w:sz="0" w:space="0" w:color="auto"/>
        <w:left w:val="none" w:sz="0" w:space="0" w:color="auto"/>
        <w:bottom w:val="none" w:sz="0" w:space="0" w:color="auto"/>
        <w:right w:val="none" w:sz="0" w:space="0" w:color="auto"/>
      </w:divBdr>
    </w:div>
    <w:div w:id="355155072">
      <w:marLeft w:val="0"/>
      <w:marRight w:val="0"/>
      <w:marTop w:val="0"/>
      <w:marBottom w:val="0"/>
      <w:divBdr>
        <w:top w:val="none" w:sz="0" w:space="0" w:color="auto"/>
        <w:left w:val="none" w:sz="0" w:space="0" w:color="auto"/>
        <w:bottom w:val="none" w:sz="0" w:space="0" w:color="auto"/>
        <w:right w:val="none" w:sz="0" w:space="0" w:color="auto"/>
      </w:divBdr>
    </w:div>
    <w:div w:id="355155073">
      <w:marLeft w:val="0"/>
      <w:marRight w:val="0"/>
      <w:marTop w:val="0"/>
      <w:marBottom w:val="0"/>
      <w:divBdr>
        <w:top w:val="none" w:sz="0" w:space="0" w:color="auto"/>
        <w:left w:val="none" w:sz="0" w:space="0" w:color="auto"/>
        <w:bottom w:val="none" w:sz="0" w:space="0" w:color="auto"/>
        <w:right w:val="none" w:sz="0" w:space="0" w:color="auto"/>
      </w:divBdr>
    </w:div>
    <w:div w:id="355155074">
      <w:marLeft w:val="0"/>
      <w:marRight w:val="0"/>
      <w:marTop w:val="0"/>
      <w:marBottom w:val="0"/>
      <w:divBdr>
        <w:top w:val="none" w:sz="0" w:space="0" w:color="auto"/>
        <w:left w:val="none" w:sz="0" w:space="0" w:color="auto"/>
        <w:bottom w:val="none" w:sz="0" w:space="0" w:color="auto"/>
        <w:right w:val="none" w:sz="0" w:space="0" w:color="auto"/>
      </w:divBdr>
    </w:div>
    <w:div w:id="355155075">
      <w:marLeft w:val="0"/>
      <w:marRight w:val="0"/>
      <w:marTop w:val="0"/>
      <w:marBottom w:val="0"/>
      <w:divBdr>
        <w:top w:val="none" w:sz="0" w:space="0" w:color="auto"/>
        <w:left w:val="none" w:sz="0" w:space="0" w:color="auto"/>
        <w:bottom w:val="none" w:sz="0" w:space="0" w:color="auto"/>
        <w:right w:val="none" w:sz="0" w:space="0" w:color="auto"/>
      </w:divBdr>
    </w:div>
    <w:div w:id="355155076">
      <w:marLeft w:val="0"/>
      <w:marRight w:val="0"/>
      <w:marTop w:val="0"/>
      <w:marBottom w:val="0"/>
      <w:divBdr>
        <w:top w:val="none" w:sz="0" w:space="0" w:color="auto"/>
        <w:left w:val="none" w:sz="0" w:space="0" w:color="auto"/>
        <w:bottom w:val="none" w:sz="0" w:space="0" w:color="auto"/>
        <w:right w:val="none" w:sz="0" w:space="0" w:color="auto"/>
      </w:divBdr>
    </w:div>
    <w:div w:id="355155077">
      <w:marLeft w:val="0"/>
      <w:marRight w:val="0"/>
      <w:marTop w:val="0"/>
      <w:marBottom w:val="0"/>
      <w:divBdr>
        <w:top w:val="none" w:sz="0" w:space="0" w:color="auto"/>
        <w:left w:val="none" w:sz="0" w:space="0" w:color="auto"/>
        <w:bottom w:val="none" w:sz="0" w:space="0" w:color="auto"/>
        <w:right w:val="none" w:sz="0" w:space="0" w:color="auto"/>
      </w:divBdr>
    </w:div>
    <w:div w:id="355155078">
      <w:marLeft w:val="0"/>
      <w:marRight w:val="0"/>
      <w:marTop w:val="0"/>
      <w:marBottom w:val="0"/>
      <w:divBdr>
        <w:top w:val="none" w:sz="0" w:space="0" w:color="auto"/>
        <w:left w:val="none" w:sz="0" w:space="0" w:color="auto"/>
        <w:bottom w:val="none" w:sz="0" w:space="0" w:color="auto"/>
        <w:right w:val="none" w:sz="0" w:space="0" w:color="auto"/>
      </w:divBdr>
    </w:div>
    <w:div w:id="523061141">
      <w:bodyDiv w:val="1"/>
      <w:marLeft w:val="0"/>
      <w:marRight w:val="0"/>
      <w:marTop w:val="0"/>
      <w:marBottom w:val="0"/>
      <w:divBdr>
        <w:top w:val="none" w:sz="0" w:space="0" w:color="auto"/>
        <w:left w:val="none" w:sz="0" w:space="0" w:color="auto"/>
        <w:bottom w:val="none" w:sz="0" w:space="0" w:color="auto"/>
        <w:right w:val="none" w:sz="0" w:space="0" w:color="auto"/>
      </w:divBdr>
      <w:divsChild>
        <w:div w:id="1945192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0406504">
      <w:bodyDiv w:val="1"/>
      <w:marLeft w:val="0"/>
      <w:marRight w:val="0"/>
      <w:marTop w:val="0"/>
      <w:marBottom w:val="0"/>
      <w:divBdr>
        <w:top w:val="none" w:sz="0" w:space="0" w:color="auto"/>
        <w:left w:val="none" w:sz="0" w:space="0" w:color="auto"/>
        <w:bottom w:val="none" w:sz="0" w:space="0" w:color="auto"/>
        <w:right w:val="none" w:sz="0" w:space="0" w:color="auto"/>
      </w:divBdr>
    </w:div>
    <w:div w:id="1005786706">
      <w:bodyDiv w:val="1"/>
      <w:marLeft w:val="0"/>
      <w:marRight w:val="0"/>
      <w:marTop w:val="0"/>
      <w:marBottom w:val="0"/>
      <w:divBdr>
        <w:top w:val="none" w:sz="0" w:space="0" w:color="auto"/>
        <w:left w:val="none" w:sz="0" w:space="0" w:color="auto"/>
        <w:bottom w:val="none" w:sz="0" w:space="0" w:color="auto"/>
        <w:right w:val="none" w:sz="0" w:space="0" w:color="auto"/>
      </w:divBdr>
      <w:divsChild>
        <w:div w:id="958874787">
          <w:marLeft w:val="0"/>
          <w:marRight w:val="0"/>
          <w:marTop w:val="0"/>
          <w:marBottom w:val="0"/>
          <w:divBdr>
            <w:top w:val="none" w:sz="0" w:space="0" w:color="auto"/>
            <w:left w:val="none" w:sz="0" w:space="0" w:color="auto"/>
            <w:bottom w:val="none" w:sz="0" w:space="0" w:color="auto"/>
            <w:right w:val="none" w:sz="0" w:space="0" w:color="auto"/>
          </w:divBdr>
          <w:divsChild>
            <w:div w:id="15972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132">
      <w:bodyDiv w:val="1"/>
      <w:marLeft w:val="0"/>
      <w:marRight w:val="0"/>
      <w:marTop w:val="0"/>
      <w:marBottom w:val="0"/>
      <w:divBdr>
        <w:top w:val="none" w:sz="0" w:space="0" w:color="auto"/>
        <w:left w:val="none" w:sz="0" w:space="0" w:color="auto"/>
        <w:bottom w:val="none" w:sz="0" w:space="0" w:color="auto"/>
        <w:right w:val="none" w:sz="0" w:space="0" w:color="auto"/>
      </w:divBdr>
    </w:div>
    <w:div w:id="1485783074">
      <w:bodyDiv w:val="1"/>
      <w:marLeft w:val="0"/>
      <w:marRight w:val="0"/>
      <w:marTop w:val="0"/>
      <w:marBottom w:val="0"/>
      <w:divBdr>
        <w:top w:val="none" w:sz="0" w:space="0" w:color="auto"/>
        <w:left w:val="none" w:sz="0" w:space="0" w:color="auto"/>
        <w:bottom w:val="none" w:sz="0" w:space="0" w:color="auto"/>
        <w:right w:val="none" w:sz="0" w:space="0" w:color="auto"/>
      </w:divBdr>
    </w:div>
    <w:div w:id="2037459436">
      <w:bodyDiv w:val="1"/>
      <w:marLeft w:val="0"/>
      <w:marRight w:val="0"/>
      <w:marTop w:val="0"/>
      <w:marBottom w:val="0"/>
      <w:divBdr>
        <w:top w:val="none" w:sz="0" w:space="0" w:color="auto"/>
        <w:left w:val="none" w:sz="0" w:space="0" w:color="auto"/>
        <w:bottom w:val="none" w:sz="0" w:space="0" w:color="auto"/>
        <w:right w:val="none" w:sz="0" w:space="0" w:color="auto"/>
      </w:divBdr>
      <w:divsChild>
        <w:div w:id="8769712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30649090">
              <w:blockQuote w:val="1"/>
              <w:marLeft w:val="768"/>
              <w:marRight w:val="720"/>
              <w:marTop w:val="0"/>
              <w:marBottom w:val="0"/>
              <w:divBdr>
                <w:top w:val="none" w:sz="0" w:space="0" w:color="auto"/>
                <w:left w:val="none" w:sz="0" w:space="0" w:color="auto"/>
                <w:bottom w:val="none" w:sz="0" w:space="0" w:color="auto"/>
                <w:right w:val="none" w:sz="0" w:space="0" w:color="auto"/>
              </w:divBdr>
              <w:divsChild>
                <w:div w:id="63780884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89007211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97667908">
              <w:blockQuote w:val="1"/>
              <w:marLeft w:val="768"/>
              <w:marRight w:val="720"/>
              <w:marTop w:val="0"/>
              <w:marBottom w:val="0"/>
              <w:divBdr>
                <w:top w:val="none" w:sz="0" w:space="0" w:color="auto"/>
                <w:left w:val="none" w:sz="0" w:space="0" w:color="auto"/>
                <w:bottom w:val="none" w:sz="0" w:space="0" w:color="auto"/>
                <w:right w:val="none" w:sz="0" w:space="0" w:color="auto"/>
              </w:divBdr>
              <w:divsChild>
                <w:div w:id="1113548611">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548569482">
          <w:blockQuote w:val="1"/>
          <w:marLeft w:val="768"/>
          <w:marRight w:val="720"/>
          <w:marTop w:val="0"/>
          <w:marBottom w:val="0"/>
          <w:divBdr>
            <w:top w:val="none" w:sz="0" w:space="0" w:color="auto"/>
            <w:left w:val="none" w:sz="0" w:space="0" w:color="auto"/>
            <w:bottom w:val="none" w:sz="0" w:space="0" w:color="auto"/>
            <w:right w:val="none" w:sz="0" w:space="0" w:color="auto"/>
          </w:divBdr>
          <w:divsChild>
            <w:div w:id="52953870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9928135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9485713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ustlii.edu.au/cgi-bin/viewdoc/au/legis/vic/consol_act/vcaata1998428/s115a.html" TargetMode="External"/><Relationship Id="rId4" Type="http://schemas.openxmlformats.org/officeDocument/2006/relationships/settings" Target="settings.xml"/><Relationship Id="rId9" Type="http://schemas.openxmlformats.org/officeDocument/2006/relationships/hyperlink" Target="http://www.austlii.edu.au/cgi-bin/viewdoc/au/legis/vic/consol_act/vcaata1998428/s115a.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westlaw.com.au/maf/app/link/doc?cite=%5B2011%5D%20VCAT%201406&amp;type=FirstPoint" TargetMode="External"/><Relationship Id="rId1" Type="http://schemas.openxmlformats.org/officeDocument/2006/relationships/hyperlink" Target="http://www.westlaw.com.au/maf/app/link/doc?cite=13%20VR%20483&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6B20-9C1B-4B73-B687-21CF919F19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4021</Words>
  <Characters>19671</Characters>
  <Application>Microsoft Office Word</Application>
  <DocSecurity>8</DocSecurity>
  <Lines>163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2025-01-08T05:48:00Z</dcterms:created>
  <dcterms:modified xsi:type="dcterms:W3CDTF">2025-01-08T05:59:00Z</dcterms:modified>
</cp:coreProperties>
</file>