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24BB" w14:textId="7588919B" w:rsidR="00395B24" w:rsidRDefault="00E75035" w:rsidP="00A22932">
      <w:pPr>
        <w:pStyle w:val="CourtTitle"/>
      </w:pPr>
      <w:r>
        <w:rPr>
          <w:caps w:val="0"/>
        </w:rPr>
        <w:t>FEDERAL COURT OF AUSTRALIA</w:t>
      </w:r>
    </w:p>
    <w:p w14:paraId="32AE1673" w14:textId="77777777" w:rsidR="004D7950" w:rsidRDefault="004D7950">
      <w:pPr>
        <w:pStyle w:val="NormalHeadings"/>
        <w:jc w:val="center"/>
        <w:rPr>
          <w:sz w:val="32"/>
        </w:rPr>
      </w:pPr>
    </w:p>
    <w:bookmarkStart w:id="0" w:name="MNC"/>
    <w:p w14:paraId="5BA00C6C" w14:textId="2D4B99A9" w:rsidR="00374CC4" w:rsidRDefault="00E75035" w:rsidP="001A2B40">
      <w:pPr>
        <w:pStyle w:val="MNC"/>
      </w:pPr>
      <w:sdt>
        <w:sdtPr>
          <w:alias w:val="MNC"/>
          <w:tag w:val="MNC"/>
          <w:id w:val="343289786"/>
          <w:lock w:val="sdtLocked"/>
          <w:placeholder>
            <w:docPart w:val="9A45A3C2C1384B669E37771909346888"/>
          </w:placeholder>
          <w:dataBinding w:prefixMappings="xmlns:ns0='http://schemas.globalmacros.com/FCA'" w:xpath="/ns0:root[1]/ns0:Name[1]" w:storeItemID="{687E7CCB-4AA5-44E7-B148-17BA2B6F57C0}"/>
          <w:text w:multiLine="1"/>
        </w:sdtPr>
        <w:sdtEndPr/>
        <w:sdtContent>
          <w:r w:rsidR="00D769B2">
            <w:t>Australian Energy Regulator v AGL Retail Energy L</w:t>
          </w:r>
          <w:r w:rsidR="00F27E41">
            <w:t>imi</w:t>
          </w:r>
          <w:r w:rsidR="00D769B2">
            <w:t>t</w:t>
          </w:r>
          <w:r w:rsidR="00F27E41">
            <w:t>e</w:t>
          </w:r>
          <w:r w:rsidR="00D769B2">
            <w:t xml:space="preserve">d (Relief Hearing) [2024] FCA </w:t>
          </w:r>
          <w:r w:rsidR="00F75999">
            <w:t>1500</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16672653" w14:textId="77777777" w:rsidTr="00AC2C59">
        <w:tc>
          <w:tcPr>
            <w:tcW w:w="3083" w:type="dxa"/>
            <w:shd w:val="clear" w:color="auto" w:fill="auto"/>
          </w:tcPr>
          <w:p w14:paraId="30E099F1" w14:textId="77777777" w:rsidR="00395B24" w:rsidRDefault="002C7385" w:rsidP="00663878">
            <w:pPr>
              <w:pStyle w:val="Normal1linespace"/>
              <w:widowControl w:val="0"/>
              <w:jc w:val="left"/>
            </w:pPr>
            <w:r>
              <w:t>File number(s):</w:t>
            </w:r>
          </w:p>
        </w:tc>
        <w:tc>
          <w:tcPr>
            <w:tcW w:w="5990" w:type="dxa"/>
            <w:shd w:val="clear" w:color="auto" w:fill="auto"/>
          </w:tcPr>
          <w:p w14:paraId="337E7BFB" w14:textId="367E9BE4" w:rsidR="00395B24" w:rsidRPr="00F52C1C" w:rsidRDefault="00F52C1C" w:rsidP="00F52C1C">
            <w:pPr>
              <w:pStyle w:val="Normal1linespace"/>
              <w:jc w:val="left"/>
            </w:pPr>
            <w:r w:rsidRPr="00F52C1C">
              <w:t>VID 749 of 2022</w:t>
            </w:r>
          </w:p>
        </w:tc>
      </w:tr>
      <w:tr w:rsidR="00395B24" w14:paraId="0808EA88" w14:textId="77777777" w:rsidTr="00AC2C59">
        <w:tc>
          <w:tcPr>
            <w:tcW w:w="3083" w:type="dxa"/>
            <w:shd w:val="clear" w:color="auto" w:fill="auto"/>
          </w:tcPr>
          <w:p w14:paraId="0E360556" w14:textId="77777777" w:rsidR="00395B24" w:rsidRDefault="00395B24" w:rsidP="00663878">
            <w:pPr>
              <w:pStyle w:val="Normal1linespace"/>
              <w:widowControl w:val="0"/>
              <w:jc w:val="left"/>
            </w:pPr>
          </w:p>
        </w:tc>
        <w:tc>
          <w:tcPr>
            <w:tcW w:w="5990" w:type="dxa"/>
            <w:shd w:val="clear" w:color="auto" w:fill="auto"/>
          </w:tcPr>
          <w:p w14:paraId="49777D26" w14:textId="77777777" w:rsidR="00395B24" w:rsidRDefault="00395B24" w:rsidP="00663878">
            <w:pPr>
              <w:pStyle w:val="Normal1linespace"/>
              <w:widowControl w:val="0"/>
              <w:jc w:val="left"/>
            </w:pPr>
          </w:p>
        </w:tc>
      </w:tr>
      <w:tr w:rsidR="00395B24" w14:paraId="203B9F74" w14:textId="77777777" w:rsidTr="00AC2C59">
        <w:tc>
          <w:tcPr>
            <w:tcW w:w="3083" w:type="dxa"/>
            <w:shd w:val="clear" w:color="auto" w:fill="auto"/>
          </w:tcPr>
          <w:p w14:paraId="591A2112"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5A739C2F" w14:textId="30848641" w:rsidR="00395B24" w:rsidRDefault="00F52C1C" w:rsidP="00663878">
            <w:pPr>
              <w:pStyle w:val="Normal1linespace"/>
              <w:widowControl w:val="0"/>
              <w:jc w:val="left"/>
              <w:rPr>
                <w:b/>
              </w:rPr>
            </w:pPr>
            <w:r w:rsidRPr="00F52C1C">
              <w:rPr>
                <w:b/>
                <w:caps/>
                <w:szCs w:val="24"/>
              </w:rPr>
              <w:t>DOWNES J</w:t>
            </w:r>
          </w:p>
        </w:tc>
      </w:tr>
      <w:tr w:rsidR="00395B24" w14:paraId="6940A781" w14:textId="77777777" w:rsidTr="00AC2C59">
        <w:tc>
          <w:tcPr>
            <w:tcW w:w="3083" w:type="dxa"/>
            <w:shd w:val="clear" w:color="auto" w:fill="auto"/>
          </w:tcPr>
          <w:p w14:paraId="2A60D998" w14:textId="77777777" w:rsidR="00395B24" w:rsidRDefault="00395B24" w:rsidP="00663878">
            <w:pPr>
              <w:pStyle w:val="Normal1linespace"/>
              <w:widowControl w:val="0"/>
              <w:jc w:val="left"/>
            </w:pPr>
          </w:p>
        </w:tc>
        <w:tc>
          <w:tcPr>
            <w:tcW w:w="5990" w:type="dxa"/>
            <w:shd w:val="clear" w:color="auto" w:fill="auto"/>
          </w:tcPr>
          <w:p w14:paraId="60885563" w14:textId="77777777" w:rsidR="00395B24" w:rsidRDefault="00395B24" w:rsidP="00663878">
            <w:pPr>
              <w:pStyle w:val="Normal1linespace"/>
              <w:widowControl w:val="0"/>
              <w:jc w:val="left"/>
            </w:pPr>
          </w:p>
        </w:tc>
      </w:tr>
      <w:tr w:rsidR="00395B24" w14:paraId="3EADED10" w14:textId="77777777" w:rsidTr="00AC2C59">
        <w:tc>
          <w:tcPr>
            <w:tcW w:w="3083" w:type="dxa"/>
            <w:shd w:val="clear" w:color="auto" w:fill="auto"/>
          </w:tcPr>
          <w:p w14:paraId="7066F952" w14:textId="77777777" w:rsidR="00395B24" w:rsidRDefault="002C7385" w:rsidP="00663878">
            <w:pPr>
              <w:pStyle w:val="Normal1linespace"/>
              <w:widowControl w:val="0"/>
              <w:jc w:val="left"/>
            </w:pPr>
            <w:r>
              <w:t>Date of judgment:</w:t>
            </w:r>
          </w:p>
        </w:tc>
        <w:tc>
          <w:tcPr>
            <w:tcW w:w="5990" w:type="dxa"/>
            <w:shd w:val="clear" w:color="auto" w:fill="auto"/>
          </w:tcPr>
          <w:p w14:paraId="3977A97D" w14:textId="6A342949" w:rsidR="00395B24" w:rsidRDefault="00F52C1C" w:rsidP="00663878">
            <w:pPr>
              <w:pStyle w:val="Normal1linespace"/>
              <w:widowControl w:val="0"/>
              <w:jc w:val="left"/>
            </w:pPr>
            <w:bookmarkStart w:id="1" w:name="JudgmentDate"/>
            <w:r>
              <w:t>19 December 2024</w:t>
            </w:r>
            <w:bookmarkEnd w:id="1"/>
          </w:p>
        </w:tc>
      </w:tr>
      <w:tr w:rsidR="00395B24" w14:paraId="795DFB29" w14:textId="77777777" w:rsidTr="00AC2C59">
        <w:tc>
          <w:tcPr>
            <w:tcW w:w="3083" w:type="dxa"/>
            <w:shd w:val="clear" w:color="auto" w:fill="auto"/>
          </w:tcPr>
          <w:p w14:paraId="316C51AF" w14:textId="77777777" w:rsidR="00395B24" w:rsidRDefault="00395B24" w:rsidP="00663878">
            <w:pPr>
              <w:pStyle w:val="Normal1linespace"/>
              <w:widowControl w:val="0"/>
              <w:jc w:val="left"/>
            </w:pPr>
          </w:p>
        </w:tc>
        <w:tc>
          <w:tcPr>
            <w:tcW w:w="5990" w:type="dxa"/>
            <w:shd w:val="clear" w:color="auto" w:fill="auto"/>
          </w:tcPr>
          <w:p w14:paraId="23867C5F" w14:textId="77777777" w:rsidR="00395B24" w:rsidRDefault="00395B24" w:rsidP="00663878">
            <w:pPr>
              <w:pStyle w:val="Normal1linespace"/>
              <w:widowControl w:val="0"/>
              <w:jc w:val="left"/>
            </w:pPr>
          </w:p>
        </w:tc>
      </w:tr>
      <w:tr w:rsidR="00395B24" w14:paraId="0B233D2F" w14:textId="77777777" w:rsidTr="00AC2C59">
        <w:tc>
          <w:tcPr>
            <w:tcW w:w="3083" w:type="dxa"/>
            <w:shd w:val="clear" w:color="auto" w:fill="auto"/>
          </w:tcPr>
          <w:p w14:paraId="25794C02" w14:textId="77777777" w:rsidR="00395B24" w:rsidRDefault="002C7385" w:rsidP="00663878">
            <w:pPr>
              <w:pStyle w:val="Normal1linespace"/>
              <w:widowControl w:val="0"/>
              <w:jc w:val="left"/>
            </w:pPr>
            <w:r>
              <w:t>Catchwords:</w:t>
            </w:r>
          </w:p>
        </w:tc>
        <w:tc>
          <w:tcPr>
            <w:tcW w:w="5990" w:type="dxa"/>
            <w:shd w:val="clear" w:color="auto" w:fill="auto"/>
          </w:tcPr>
          <w:p w14:paraId="3965A2CC" w14:textId="3AEAE562" w:rsidR="00395B24" w:rsidRDefault="00BD2A47" w:rsidP="00663878">
            <w:pPr>
              <w:pStyle w:val="Normal1linespace"/>
              <w:widowControl w:val="0"/>
              <w:jc w:val="left"/>
            </w:pPr>
            <w:bookmarkStart w:id="2" w:name="Catchwords"/>
            <w:r>
              <w:rPr>
                <w:b/>
                <w:bCs/>
              </w:rPr>
              <w:t xml:space="preserve">CONSUMER </w:t>
            </w:r>
            <w:r w:rsidRPr="00F41634">
              <w:rPr>
                <w:b/>
              </w:rPr>
              <w:t>LAW</w:t>
            </w:r>
            <w:r>
              <w:t xml:space="preserve"> – </w:t>
            </w:r>
            <w:r w:rsidRPr="00BD2A47">
              <w:t>established</w:t>
            </w:r>
            <w:r>
              <w:t xml:space="preserve"> contraventions of rule</w:t>
            </w:r>
            <w:r w:rsidR="009E3E47">
              <w:t> </w:t>
            </w:r>
            <w:r>
              <w:t xml:space="preserve">31 of the </w:t>
            </w:r>
            <w:r>
              <w:rPr>
                <w:i/>
                <w:iCs/>
              </w:rPr>
              <w:t xml:space="preserve">National Energy Retail Rules </w:t>
            </w:r>
            <w:r>
              <w:t>and section</w:t>
            </w:r>
            <w:r w:rsidR="009E3E47">
              <w:t> </w:t>
            </w:r>
            <w:r>
              <w:t xml:space="preserve">273 of the </w:t>
            </w:r>
            <w:r>
              <w:rPr>
                <w:i/>
                <w:iCs/>
              </w:rPr>
              <w:t xml:space="preserve">National Energy Retail Law </w:t>
            </w:r>
            <w:r>
              <w:t xml:space="preserve">– respondents contravened law over 16,000 times during four year period – respondents received, processed and retained amounts deducted from welfare payments after welfare recipients ceased to be customers, final bill had </w:t>
            </w:r>
            <w:r w:rsidR="009E3E47">
              <w:t xml:space="preserve">been </w:t>
            </w:r>
            <w:r>
              <w:t xml:space="preserve">issued and no money was payable to respondents – </w:t>
            </w:r>
            <w:r w:rsidR="00F41634">
              <w:t>similar</w:t>
            </w:r>
            <w:r>
              <w:t xml:space="preserve"> conduct had occurred </w:t>
            </w:r>
            <w:r w:rsidR="00F41634">
              <w:t>in the past</w:t>
            </w:r>
            <w:r w:rsidR="009E3E47">
              <w:t xml:space="preserve"> </w:t>
            </w:r>
            <w:r>
              <w:t>– no apology offered to customers – money repaid to customers without interest – dispute as to form of declaratory relief – dispute as to quantum of penalty to be imposed</w:t>
            </w:r>
            <w:bookmarkEnd w:id="2"/>
          </w:p>
        </w:tc>
      </w:tr>
      <w:tr w:rsidR="00395B24" w14:paraId="25EBC9A0" w14:textId="77777777" w:rsidTr="00AC2C59">
        <w:tc>
          <w:tcPr>
            <w:tcW w:w="3083" w:type="dxa"/>
            <w:shd w:val="clear" w:color="auto" w:fill="auto"/>
          </w:tcPr>
          <w:p w14:paraId="61EEFC14" w14:textId="77777777" w:rsidR="00395B24" w:rsidRDefault="00395B24" w:rsidP="00663878">
            <w:pPr>
              <w:pStyle w:val="Normal1linespace"/>
              <w:widowControl w:val="0"/>
              <w:jc w:val="left"/>
            </w:pPr>
          </w:p>
        </w:tc>
        <w:tc>
          <w:tcPr>
            <w:tcW w:w="5990" w:type="dxa"/>
            <w:shd w:val="clear" w:color="auto" w:fill="auto"/>
          </w:tcPr>
          <w:p w14:paraId="28497A76" w14:textId="77777777" w:rsidR="00395B24" w:rsidRDefault="00395B24" w:rsidP="00663878">
            <w:pPr>
              <w:pStyle w:val="Normal1linespace"/>
              <w:widowControl w:val="0"/>
              <w:jc w:val="left"/>
            </w:pPr>
          </w:p>
        </w:tc>
      </w:tr>
      <w:tr w:rsidR="00395B24" w14:paraId="25DD7AE8" w14:textId="77777777" w:rsidTr="00AC2C59">
        <w:tc>
          <w:tcPr>
            <w:tcW w:w="3083" w:type="dxa"/>
            <w:shd w:val="clear" w:color="auto" w:fill="auto"/>
          </w:tcPr>
          <w:p w14:paraId="61A2C0E9" w14:textId="77777777" w:rsidR="00395B24" w:rsidRDefault="002C7385" w:rsidP="00663878">
            <w:pPr>
              <w:pStyle w:val="Normal1linespace"/>
              <w:widowControl w:val="0"/>
              <w:jc w:val="left"/>
            </w:pPr>
            <w:r>
              <w:t>Legislation:</w:t>
            </w:r>
          </w:p>
        </w:tc>
        <w:tc>
          <w:tcPr>
            <w:tcW w:w="5990" w:type="dxa"/>
            <w:shd w:val="clear" w:color="auto" w:fill="auto"/>
          </w:tcPr>
          <w:p w14:paraId="1D27E03D" w14:textId="16B47F75" w:rsidR="00A72AA3" w:rsidRDefault="00A72AA3" w:rsidP="00A72AA3">
            <w:pPr>
              <w:pStyle w:val="CasesLegislationAppealFrom"/>
              <w:spacing w:after="60"/>
            </w:pPr>
            <w:bookmarkStart w:id="3" w:name="Legislation"/>
            <w:r w:rsidRPr="00A72AA3">
              <w:rPr>
                <w:i/>
                <w:iCs/>
              </w:rPr>
              <w:t>Competition and Consumer Act 2010</w:t>
            </w:r>
            <w:r w:rsidRPr="00A72AA3">
              <w:t xml:space="preserve"> (Cth)</w:t>
            </w:r>
            <w:r w:rsidR="00E1262E">
              <w:t xml:space="preserve"> s 44AAG</w:t>
            </w:r>
          </w:p>
          <w:p w14:paraId="7702BF2F" w14:textId="443CB069" w:rsidR="006B0B09" w:rsidRPr="00A72AA3" w:rsidRDefault="004F6E28" w:rsidP="006B0B09">
            <w:pPr>
              <w:pStyle w:val="CasesLegislationAppealFrom"/>
              <w:spacing w:after="60"/>
            </w:pPr>
            <w:r w:rsidRPr="004F6E28">
              <w:rPr>
                <w:i/>
                <w:iCs/>
              </w:rPr>
              <w:t>National Energy Retail Law (South Australia) Act 2011</w:t>
            </w:r>
            <w:r w:rsidRPr="004F6E28">
              <w:t xml:space="preserve"> (SA) Sch (</w:t>
            </w:r>
            <w:r w:rsidRPr="004F6E28">
              <w:rPr>
                <w:i/>
                <w:iCs/>
              </w:rPr>
              <w:t>National Energy Retail Law</w:t>
            </w:r>
            <w:r w:rsidRPr="004F6E28">
              <w:t>) ss 2</w:t>
            </w:r>
            <w:r w:rsidR="006B0B09">
              <w:t>73, 294, 296</w:t>
            </w:r>
          </w:p>
          <w:p w14:paraId="3BCF96EB" w14:textId="28340FB2" w:rsidR="00A72AA3" w:rsidRPr="00A72AA3" w:rsidRDefault="006B0B09" w:rsidP="00A72AA3">
            <w:pPr>
              <w:pStyle w:val="CasesLegislationAppealFrom"/>
              <w:spacing w:after="60"/>
            </w:pPr>
            <w:r w:rsidRPr="006B0B09">
              <w:rPr>
                <w:i/>
                <w:iCs/>
              </w:rPr>
              <w:t>National Energy Retail Rules (Version 30)</w:t>
            </w:r>
            <w:r>
              <w:t xml:space="preserve"> r 31</w:t>
            </w:r>
            <w:bookmarkEnd w:id="3"/>
          </w:p>
        </w:tc>
      </w:tr>
      <w:tr w:rsidR="00395B24" w14:paraId="3F1C50B5" w14:textId="77777777" w:rsidTr="00AC2C59">
        <w:tc>
          <w:tcPr>
            <w:tcW w:w="3083" w:type="dxa"/>
            <w:shd w:val="clear" w:color="auto" w:fill="auto"/>
          </w:tcPr>
          <w:p w14:paraId="3CC0DF56" w14:textId="77777777" w:rsidR="00395B24" w:rsidRDefault="00395B24" w:rsidP="00663878">
            <w:pPr>
              <w:pStyle w:val="Normal1linespace"/>
              <w:widowControl w:val="0"/>
              <w:jc w:val="left"/>
            </w:pPr>
          </w:p>
        </w:tc>
        <w:tc>
          <w:tcPr>
            <w:tcW w:w="5990" w:type="dxa"/>
            <w:shd w:val="clear" w:color="auto" w:fill="auto"/>
          </w:tcPr>
          <w:p w14:paraId="4E44C3E7" w14:textId="77777777" w:rsidR="00395B24" w:rsidRDefault="00395B24" w:rsidP="00663878">
            <w:pPr>
              <w:pStyle w:val="Normal1linespace"/>
              <w:widowControl w:val="0"/>
              <w:jc w:val="left"/>
            </w:pPr>
          </w:p>
        </w:tc>
      </w:tr>
      <w:tr w:rsidR="00395B24" w14:paraId="06E87AAA" w14:textId="77777777" w:rsidTr="00AC2C59">
        <w:tc>
          <w:tcPr>
            <w:tcW w:w="3083" w:type="dxa"/>
            <w:shd w:val="clear" w:color="auto" w:fill="auto"/>
          </w:tcPr>
          <w:p w14:paraId="3C50F6C9" w14:textId="77777777" w:rsidR="00395B24" w:rsidRDefault="002C7385" w:rsidP="00663878">
            <w:pPr>
              <w:pStyle w:val="Normal1linespace"/>
              <w:widowControl w:val="0"/>
              <w:jc w:val="left"/>
            </w:pPr>
            <w:r>
              <w:t>Cases cited:</w:t>
            </w:r>
          </w:p>
        </w:tc>
        <w:tc>
          <w:tcPr>
            <w:tcW w:w="5990" w:type="dxa"/>
            <w:shd w:val="clear" w:color="auto" w:fill="auto"/>
          </w:tcPr>
          <w:p w14:paraId="6AA9B5AE" w14:textId="77777777" w:rsidR="00A72AA3" w:rsidRDefault="00A72AA3" w:rsidP="00A72AA3">
            <w:pPr>
              <w:pStyle w:val="CasesLegislationAppealFrom"/>
              <w:spacing w:after="60"/>
            </w:pPr>
            <w:bookmarkStart w:id="4" w:name="Cases_Cited"/>
            <w:r w:rsidRPr="00A72AA3">
              <w:rPr>
                <w:i/>
              </w:rPr>
              <w:t xml:space="preserve">Australian Building and Construction Commissioner v </w:t>
            </w:r>
            <w:r w:rsidRPr="00A72AA3">
              <w:rPr>
                <w:bCs/>
                <w:i/>
              </w:rPr>
              <w:t>Pattinson</w:t>
            </w:r>
            <w:r w:rsidRPr="00A72AA3">
              <w:t xml:space="preserve"> (2022) 274 CLR 450; [2022] HCA 13</w:t>
            </w:r>
          </w:p>
          <w:p w14:paraId="50200065" w14:textId="76BBF08A" w:rsidR="00AC3767" w:rsidRPr="00A72AA3" w:rsidRDefault="00AC3767" w:rsidP="00A72AA3">
            <w:pPr>
              <w:pStyle w:val="CasesLegislationAppealFrom"/>
              <w:spacing w:after="60"/>
            </w:pPr>
            <w:r>
              <w:rPr>
                <w:i/>
                <w:iCs/>
              </w:rPr>
              <w:t xml:space="preserve">Australian Communications and Media Authority v Clarity1 Pty Ltd (No 2) </w:t>
            </w:r>
            <w:r>
              <w:t>(2006) 155 FCR 377; [2006] FCA 1399</w:t>
            </w:r>
          </w:p>
          <w:p w14:paraId="0BABCBA6" w14:textId="1024B30F" w:rsidR="00A72AA3" w:rsidRPr="00A72AA3" w:rsidRDefault="00A72AA3" w:rsidP="00A72AA3">
            <w:pPr>
              <w:pStyle w:val="CasesLegislationAppealFrom"/>
              <w:spacing w:after="60"/>
            </w:pPr>
            <w:r w:rsidRPr="00A72AA3">
              <w:rPr>
                <w:i/>
                <w:iCs/>
              </w:rPr>
              <w:t>Australian Competition and Consumer Commission v ACM Group Ltd (No 3)</w:t>
            </w:r>
            <w:r w:rsidR="00690789">
              <w:t xml:space="preserve"> </w:t>
            </w:r>
            <w:r w:rsidRPr="00A72AA3">
              <w:t>[2018] FCA 2059</w:t>
            </w:r>
          </w:p>
          <w:p w14:paraId="58B0674F" w14:textId="77777777" w:rsidR="00A72AA3" w:rsidRPr="00A72AA3" w:rsidRDefault="00A72AA3" w:rsidP="00A72AA3">
            <w:pPr>
              <w:pStyle w:val="CasesLegislationAppealFrom"/>
              <w:spacing w:after="60"/>
            </w:pPr>
            <w:r w:rsidRPr="00A72AA3">
              <w:rPr>
                <w:i/>
                <w:iCs/>
              </w:rPr>
              <w:t xml:space="preserve">Australian Competition and Consumer Commission v BlueScope Steel Ltd (No 6) </w:t>
            </w:r>
            <w:r w:rsidRPr="00A72AA3">
              <w:t>[2023] FCA 1029</w:t>
            </w:r>
          </w:p>
          <w:p w14:paraId="027830E6" w14:textId="77777777" w:rsidR="00A72AA3" w:rsidRPr="00A72AA3" w:rsidRDefault="00A72AA3" w:rsidP="00A72AA3">
            <w:pPr>
              <w:pStyle w:val="CasesLegislationAppealFrom"/>
              <w:spacing w:after="60"/>
            </w:pPr>
            <w:r w:rsidRPr="00A72AA3">
              <w:rPr>
                <w:i/>
                <w:iCs/>
              </w:rPr>
              <w:t>Australian Competition and Consumer Commission v Employsure Pty Ltd</w:t>
            </w:r>
            <w:r w:rsidRPr="00A72AA3">
              <w:t xml:space="preserve"> (2023) 164 ACSR 103; [2023] FCAFC 5</w:t>
            </w:r>
          </w:p>
          <w:p w14:paraId="57F889F2" w14:textId="77777777" w:rsidR="00A72AA3" w:rsidRPr="00A72AA3" w:rsidRDefault="00A72AA3" w:rsidP="00A72AA3">
            <w:pPr>
              <w:pStyle w:val="CasesLegislationAppealFrom"/>
              <w:spacing w:after="60"/>
            </w:pPr>
            <w:r w:rsidRPr="00A72AA3">
              <w:rPr>
                <w:i/>
                <w:iCs/>
              </w:rPr>
              <w:t xml:space="preserve">Australian Competition and Consumer Commission v Singtel Optus Pty Ltd (No 4) </w:t>
            </w:r>
            <w:r w:rsidRPr="00A72AA3">
              <w:t>[2011] ATPR 42-362; [2011] FCA 761</w:t>
            </w:r>
          </w:p>
          <w:p w14:paraId="74D0F110" w14:textId="77777777" w:rsidR="00A72AA3" w:rsidRPr="00A72AA3" w:rsidRDefault="00A72AA3" w:rsidP="00A72AA3">
            <w:pPr>
              <w:pStyle w:val="CasesLegislationAppealFrom"/>
              <w:spacing w:after="60"/>
            </w:pPr>
            <w:r w:rsidRPr="00A72AA3">
              <w:rPr>
                <w:i/>
                <w:iCs/>
              </w:rPr>
              <w:t xml:space="preserve">Australian Energy Regulator v AGL Retail Energy Limited </w:t>
            </w:r>
            <w:r w:rsidRPr="00A72AA3">
              <w:t>[2024] FCA 969</w:t>
            </w:r>
          </w:p>
          <w:p w14:paraId="0EBCF617" w14:textId="77777777" w:rsidR="00A72AA3" w:rsidRPr="00A72AA3" w:rsidRDefault="00A72AA3" w:rsidP="00D2548C">
            <w:pPr>
              <w:pStyle w:val="CasesLegislationAppealFrom"/>
              <w:keepLines/>
              <w:spacing w:after="60"/>
            </w:pPr>
            <w:r w:rsidRPr="00A72AA3">
              <w:rPr>
                <w:i/>
                <w:iCs/>
              </w:rPr>
              <w:lastRenderedPageBreak/>
              <w:t>Australian Energy Regulator v AGL Sales Pty Limited</w:t>
            </w:r>
            <w:r w:rsidRPr="00A72AA3">
              <w:t xml:space="preserve"> [2020] FCA 1623</w:t>
            </w:r>
          </w:p>
          <w:p w14:paraId="02398CD4" w14:textId="5EC2B457" w:rsidR="00A72AA3" w:rsidRPr="00A72AA3" w:rsidRDefault="00A72AA3" w:rsidP="00146916">
            <w:pPr>
              <w:pStyle w:val="CasesLegislationAppealFrom"/>
              <w:keepLines/>
              <w:spacing w:after="60"/>
            </w:pPr>
            <w:r w:rsidRPr="00A72AA3">
              <w:rPr>
                <w:i/>
                <w:iCs/>
              </w:rPr>
              <w:t>Australian Securities and Investments Commission v Westpac Securities Administration Limited</w:t>
            </w:r>
            <w:r w:rsidRPr="00A72AA3">
              <w:t xml:space="preserve"> (2021) 156 ACSR 614; [2021] FCA 1008</w:t>
            </w:r>
          </w:p>
          <w:p w14:paraId="74DC4487" w14:textId="77777777" w:rsidR="00A72AA3" w:rsidRPr="00A72AA3" w:rsidRDefault="00A72AA3" w:rsidP="00A72AA3">
            <w:pPr>
              <w:pStyle w:val="CasesLegislationAppealFrom"/>
              <w:spacing w:after="60"/>
            </w:pPr>
            <w:r w:rsidRPr="00A72AA3">
              <w:rPr>
                <w:i/>
                <w:iCs/>
              </w:rPr>
              <w:t>Singtel Optus Pty Ltd v Australian Competition and Consumer Commission</w:t>
            </w:r>
            <w:r w:rsidRPr="00A72AA3">
              <w:t xml:space="preserve"> [2012] FCAFC 20</w:t>
            </w:r>
          </w:p>
          <w:p w14:paraId="413DF2FF" w14:textId="52BC4D9F" w:rsidR="00A72AA3" w:rsidRPr="00A72AA3" w:rsidRDefault="00A72AA3" w:rsidP="00A72AA3">
            <w:pPr>
              <w:pStyle w:val="CasesLegislationAppealFrom"/>
              <w:spacing w:after="60"/>
            </w:pPr>
            <w:r w:rsidRPr="00A72AA3">
              <w:rPr>
                <w:i/>
              </w:rPr>
              <w:t xml:space="preserve">Trade Practices Commission v </w:t>
            </w:r>
            <w:r w:rsidRPr="00A72AA3">
              <w:rPr>
                <w:bCs/>
                <w:i/>
              </w:rPr>
              <w:t>CSR</w:t>
            </w:r>
            <w:r w:rsidRPr="00A72AA3">
              <w:rPr>
                <w:b/>
                <w:i/>
              </w:rPr>
              <w:t xml:space="preserve"> </w:t>
            </w:r>
            <w:r w:rsidRPr="00A72AA3">
              <w:rPr>
                <w:i/>
              </w:rPr>
              <w:t>Ltd</w:t>
            </w:r>
            <w:r w:rsidRPr="00A72AA3">
              <w:t xml:space="preserve"> [1991] ATPR 41</w:t>
            </w:r>
            <w:r w:rsidR="00885557">
              <w:noBreakHyphen/>
            </w:r>
            <w:r w:rsidRPr="00A72AA3">
              <w:t>076</w:t>
            </w:r>
          </w:p>
          <w:p w14:paraId="09185E5B" w14:textId="009FE619" w:rsidR="00A72AA3" w:rsidRPr="00A72AA3" w:rsidRDefault="00A72AA3" w:rsidP="00A72AA3">
            <w:pPr>
              <w:pStyle w:val="CasesLegislationAppealFrom"/>
              <w:spacing w:after="60"/>
            </w:pPr>
            <w:r w:rsidRPr="00A72AA3">
              <w:rPr>
                <w:i/>
                <w:iCs/>
              </w:rPr>
              <w:t>Volkswagen Aktiengesellschaft v Australian Competition and Consumer Commission</w:t>
            </w:r>
            <w:r w:rsidRPr="00A72AA3">
              <w:t xml:space="preserve"> (2021) 284 FCR 24; [2021] FCAFC 49</w:t>
            </w:r>
            <w:bookmarkEnd w:id="4"/>
          </w:p>
        </w:tc>
      </w:tr>
      <w:tr w:rsidR="00F52C1C" w14:paraId="59E0614A" w14:textId="77777777" w:rsidTr="00AC2C59">
        <w:tc>
          <w:tcPr>
            <w:tcW w:w="3083" w:type="dxa"/>
            <w:shd w:val="clear" w:color="auto" w:fill="auto"/>
          </w:tcPr>
          <w:p w14:paraId="2980FD56" w14:textId="77777777" w:rsidR="00F52C1C" w:rsidRDefault="00F52C1C">
            <w:pPr>
              <w:pStyle w:val="Normal1linespace"/>
              <w:widowControl w:val="0"/>
            </w:pPr>
          </w:p>
        </w:tc>
        <w:tc>
          <w:tcPr>
            <w:tcW w:w="5990" w:type="dxa"/>
            <w:shd w:val="clear" w:color="auto" w:fill="auto"/>
          </w:tcPr>
          <w:p w14:paraId="5483A867" w14:textId="77777777" w:rsidR="00F52C1C" w:rsidRDefault="00F52C1C">
            <w:pPr>
              <w:pStyle w:val="Normal1linespace"/>
              <w:widowControl w:val="0"/>
              <w:jc w:val="left"/>
            </w:pPr>
          </w:p>
        </w:tc>
      </w:tr>
      <w:tr w:rsidR="00F52C1C" w14:paraId="2A3B6D48" w14:textId="77777777" w:rsidTr="00AC2C59">
        <w:tc>
          <w:tcPr>
            <w:tcW w:w="3083" w:type="dxa"/>
            <w:shd w:val="clear" w:color="auto" w:fill="auto"/>
          </w:tcPr>
          <w:p w14:paraId="100146FA" w14:textId="77777777" w:rsidR="00F52C1C" w:rsidRDefault="00F52C1C" w:rsidP="00501A12">
            <w:pPr>
              <w:pStyle w:val="Normal1linespace"/>
              <w:widowControl w:val="0"/>
            </w:pPr>
            <w:r>
              <w:t>Division:</w:t>
            </w:r>
          </w:p>
        </w:tc>
        <w:tc>
          <w:tcPr>
            <w:tcW w:w="5990" w:type="dxa"/>
            <w:shd w:val="clear" w:color="auto" w:fill="auto"/>
          </w:tcPr>
          <w:p w14:paraId="1C0C984C" w14:textId="2908124E" w:rsidR="00F52C1C" w:rsidRPr="00F17599" w:rsidRDefault="00F52C1C" w:rsidP="00501A12">
            <w:pPr>
              <w:pStyle w:val="Normal1linespace"/>
              <w:widowControl w:val="0"/>
              <w:jc w:val="left"/>
            </w:pPr>
            <w:r>
              <w:t>General Division</w:t>
            </w:r>
          </w:p>
        </w:tc>
      </w:tr>
      <w:tr w:rsidR="00F52C1C" w14:paraId="676338BE" w14:textId="77777777" w:rsidTr="00AC2C59">
        <w:tc>
          <w:tcPr>
            <w:tcW w:w="3083" w:type="dxa"/>
            <w:shd w:val="clear" w:color="auto" w:fill="auto"/>
          </w:tcPr>
          <w:p w14:paraId="44DC3C8C" w14:textId="77777777" w:rsidR="00F52C1C" w:rsidRDefault="00F52C1C" w:rsidP="00501A12">
            <w:pPr>
              <w:pStyle w:val="Normal1linespace"/>
              <w:widowControl w:val="0"/>
            </w:pPr>
            <w:bookmarkStart w:id="5" w:name="Registry_rows" w:colFirst="0" w:colLast="1"/>
          </w:p>
        </w:tc>
        <w:tc>
          <w:tcPr>
            <w:tcW w:w="5990" w:type="dxa"/>
            <w:shd w:val="clear" w:color="auto" w:fill="auto"/>
          </w:tcPr>
          <w:p w14:paraId="500B9515" w14:textId="77777777" w:rsidR="00F52C1C" w:rsidRDefault="00F52C1C" w:rsidP="00501A12">
            <w:pPr>
              <w:pStyle w:val="Normal1linespace"/>
              <w:widowControl w:val="0"/>
              <w:jc w:val="left"/>
            </w:pPr>
          </w:p>
        </w:tc>
      </w:tr>
      <w:tr w:rsidR="00F52C1C" w14:paraId="5BF81FA4" w14:textId="77777777" w:rsidTr="00AC2C59">
        <w:tc>
          <w:tcPr>
            <w:tcW w:w="3083" w:type="dxa"/>
            <w:shd w:val="clear" w:color="auto" w:fill="auto"/>
          </w:tcPr>
          <w:p w14:paraId="6484C35D" w14:textId="77777777" w:rsidR="00F52C1C" w:rsidRDefault="00F52C1C" w:rsidP="00501A12">
            <w:pPr>
              <w:pStyle w:val="Normal1linespace"/>
              <w:widowControl w:val="0"/>
            </w:pPr>
            <w:r>
              <w:t>Registry:</w:t>
            </w:r>
          </w:p>
        </w:tc>
        <w:tc>
          <w:tcPr>
            <w:tcW w:w="5990" w:type="dxa"/>
            <w:shd w:val="clear" w:color="auto" w:fill="auto"/>
          </w:tcPr>
          <w:p w14:paraId="5447A7AB" w14:textId="36F93575" w:rsidR="00F52C1C" w:rsidRPr="00F17599" w:rsidRDefault="00F52C1C" w:rsidP="00501A12">
            <w:pPr>
              <w:pStyle w:val="Normal1linespace"/>
              <w:widowControl w:val="0"/>
              <w:jc w:val="left"/>
            </w:pPr>
            <w:r>
              <w:t>Victoria</w:t>
            </w:r>
          </w:p>
        </w:tc>
      </w:tr>
      <w:tr w:rsidR="00F52C1C" w14:paraId="7300BD66" w14:textId="77777777" w:rsidTr="00AC2C59">
        <w:tc>
          <w:tcPr>
            <w:tcW w:w="3083" w:type="dxa"/>
            <w:shd w:val="clear" w:color="auto" w:fill="auto"/>
          </w:tcPr>
          <w:p w14:paraId="470E345B" w14:textId="77777777" w:rsidR="00F52C1C" w:rsidRDefault="00F52C1C" w:rsidP="00501A12">
            <w:pPr>
              <w:pStyle w:val="Normal1linespace"/>
              <w:widowControl w:val="0"/>
            </w:pPr>
            <w:bookmarkStart w:id="6" w:name="NPARow" w:colFirst="0" w:colLast="1"/>
            <w:bookmarkEnd w:id="5"/>
          </w:p>
        </w:tc>
        <w:tc>
          <w:tcPr>
            <w:tcW w:w="5990" w:type="dxa"/>
            <w:shd w:val="clear" w:color="auto" w:fill="auto"/>
          </w:tcPr>
          <w:p w14:paraId="06FB5536" w14:textId="77777777" w:rsidR="00F52C1C" w:rsidRPr="00F17599" w:rsidRDefault="00F52C1C" w:rsidP="00501A12">
            <w:pPr>
              <w:pStyle w:val="Normal1linespace"/>
              <w:widowControl w:val="0"/>
              <w:jc w:val="left"/>
              <w:rPr>
                <w:b/>
              </w:rPr>
            </w:pPr>
          </w:p>
        </w:tc>
      </w:tr>
      <w:tr w:rsidR="00F52C1C" w14:paraId="0D4A96DB" w14:textId="77777777" w:rsidTr="00AC2C59">
        <w:tc>
          <w:tcPr>
            <w:tcW w:w="3083" w:type="dxa"/>
            <w:shd w:val="clear" w:color="auto" w:fill="auto"/>
          </w:tcPr>
          <w:p w14:paraId="7E6EE883" w14:textId="77777777" w:rsidR="00F52C1C" w:rsidRDefault="00F52C1C" w:rsidP="00501A12">
            <w:pPr>
              <w:pStyle w:val="Normal1linespace"/>
              <w:widowControl w:val="0"/>
            </w:pPr>
            <w:r>
              <w:t>National Practice Area:</w:t>
            </w:r>
          </w:p>
        </w:tc>
        <w:tc>
          <w:tcPr>
            <w:tcW w:w="5990" w:type="dxa"/>
            <w:shd w:val="clear" w:color="auto" w:fill="auto"/>
          </w:tcPr>
          <w:p w14:paraId="7FDAF088" w14:textId="7409D3B5" w:rsidR="00F52C1C" w:rsidRPr="00F17599" w:rsidRDefault="00F52C1C">
            <w:pPr>
              <w:pStyle w:val="Normal1linespace"/>
              <w:widowControl w:val="0"/>
              <w:jc w:val="left"/>
              <w:rPr>
                <w:b/>
              </w:rPr>
            </w:pPr>
            <w:r>
              <w:t>Commercial and Corporations</w:t>
            </w:r>
          </w:p>
        </w:tc>
      </w:tr>
      <w:tr w:rsidR="00F52C1C" w14:paraId="031C4BBD" w14:textId="77777777" w:rsidTr="00AC2C59">
        <w:tc>
          <w:tcPr>
            <w:tcW w:w="3083" w:type="dxa"/>
            <w:shd w:val="clear" w:color="auto" w:fill="auto"/>
          </w:tcPr>
          <w:p w14:paraId="018A165F" w14:textId="77777777" w:rsidR="00F52C1C" w:rsidRDefault="00F52C1C" w:rsidP="00501A12">
            <w:pPr>
              <w:pStyle w:val="Normal1linespace"/>
              <w:widowControl w:val="0"/>
            </w:pPr>
            <w:bookmarkStart w:id="7" w:name="SubAreaRow" w:colFirst="0" w:colLast="1"/>
            <w:bookmarkEnd w:id="6"/>
          </w:p>
        </w:tc>
        <w:tc>
          <w:tcPr>
            <w:tcW w:w="5990" w:type="dxa"/>
            <w:shd w:val="clear" w:color="auto" w:fill="auto"/>
          </w:tcPr>
          <w:p w14:paraId="2988E094" w14:textId="77777777" w:rsidR="00F52C1C" w:rsidRDefault="00F52C1C">
            <w:pPr>
              <w:pStyle w:val="Normal1linespace"/>
              <w:widowControl w:val="0"/>
              <w:jc w:val="left"/>
            </w:pPr>
          </w:p>
        </w:tc>
      </w:tr>
      <w:tr w:rsidR="00F52C1C" w14:paraId="13C16375" w14:textId="77777777" w:rsidTr="00AC2C59">
        <w:tc>
          <w:tcPr>
            <w:tcW w:w="3083" w:type="dxa"/>
            <w:shd w:val="clear" w:color="auto" w:fill="auto"/>
          </w:tcPr>
          <w:p w14:paraId="6F923297" w14:textId="77777777" w:rsidR="00F52C1C" w:rsidRDefault="00F52C1C" w:rsidP="00501A12">
            <w:pPr>
              <w:pStyle w:val="Normal1linespace"/>
              <w:widowControl w:val="0"/>
            </w:pPr>
            <w:r>
              <w:t>Sub-area:</w:t>
            </w:r>
          </w:p>
        </w:tc>
        <w:tc>
          <w:tcPr>
            <w:tcW w:w="5990" w:type="dxa"/>
            <w:shd w:val="clear" w:color="auto" w:fill="auto"/>
          </w:tcPr>
          <w:p w14:paraId="56ABB165" w14:textId="2861F05B" w:rsidR="00F52C1C" w:rsidRPr="00837288" w:rsidRDefault="00F52C1C">
            <w:pPr>
              <w:pStyle w:val="Normal1linespace"/>
              <w:widowControl w:val="0"/>
              <w:jc w:val="left"/>
            </w:pPr>
            <w:r w:rsidRPr="00F52C1C">
              <w:rPr>
                <w:lang w:val="en-US"/>
              </w:rPr>
              <w:t>Regulator and Consumer</w:t>
            </w:r>
            <w:r>
              <w:t xml:space="preserve"> Protection</w:t>
            </w:r>
          </w:p>
        </w:tc>
      </w:tr>
      <w:bookmarkEnd w:id="7"/>
      <w:tr w:rsidR="00D769B2" w14:paraId="2D5795B0" w14:textId="77777777" w:rsidTr="00AC2C59">
        <w:tc>
          <w:tcPr>
            <w:tcW w:w="3083" w:type="dxa"/>
            <w:shd w:val="clear" w:color="auto" w:fill="auto"/>
          </w:tcPr>
          <w:p w14:paraId="6CF6C4D8" w14:textId="77777777" w:rsidR="00D769B2" w:rsidRDefault="00D769B2">
            <w:pPr>
              <w:pStyle w:val="Normal1linespace"/>
              <w:widowControl w:val="0"/>
            </w:pPr>
          </w:p>
        </w:tc>
        <w:tc>
          <w:tcPr>
            <w:tcW w:w="5990" w:type="dxa"/>
            <w:shd w:val="clear" w:color="auto" w:fill="auto"/>
          </w:tcPr>
          <w:p w14:paraId="51EA875B" w14:textId="77777777" w:rsidR="00D769B2" w:rsidRDefault="00D769B2">
            <w:pPr>
              <w:pStyle w:val="Normal1linespace"/>
              <w:widowControl w:val="0"/>
              <w:jc w:val="left"/>
            </w:pPr>
          </w:p>
        </w:tc>
      </w:tr>
      <w:tr w:rsidR="00082A1E" w14:paraId="1084CEBC" w14:textId="77777777" w:rsidTr="00AC2C59">
        <w:tc>
          <w:tcPr>
            <w:tcW w:w="3083" w:type="dxa"/>
            <w:shd w:val="clear" w:color="auto" w:fill="auto"/>
          </w:tcPr>
          <w:p w14:paraId="465F3976" w14:textId="77777777" w:rsidR="00082A1E" w:rsidRDefault="00082A1E" w:rsidP="00501A12">
            <w:pPr>
              <w:pStyle w:val="Normal1linespace"/>
              <w:widowControl w:val="0"/>
            </w:pPr>
            <w:r>
              <w:t>Number of paragraphs:</w:t>
            </w:r>
          </w:p>
        </w:tc>
        <w:tc>
          <w:tcPr>
            <w:tcW w:w="5990" w:type="dxa"/>
            <w:shd w:val="clear" w:color="auto" w:fill="auto"/>
          </w:tcPr>
          <w:p w14:paraId="4E2C31F1" w14:textId="6ABD5A7D" w:rsidR="00082A1E" w:rsidRDefault="00AC2C59" w:rsidP="00501A12">
            <w:pPr>
              <w:pStyle w:val="Normal1linespace"/>
              <w:widowControl w:val="0"/>
              <w:jc w:val="left"/>
            </w:pPr>
            <w:bookmarkStart w:id="8" w:name="PlaceCategoryParagraphs"/>
            <w:r>
              <w:t>90</w:t>
            </w:r>
            <w:bookmarkEnd w:id="8"/>
          </w:p>
        </w:tc>
      </w:tr>
      <w:tr w:rsidR="00082A1E" w14:paraId="7CA94383" w14:textId="77777777" w:rsidTr="00AC2C59">
        <w:tc>
          <w:tcPr>
            <w:tcW w:w="3083" w:type="dxa"/>
            <w:shd w:val="clear" w:color="auto" w:fill="auto"/>
          </w:tcPr>
          <w:p w14:paraId="33BBB0B9" w14:textId="77777777" w:rsidR="00082A1E" w:rsidRDefault="00082A1E" w:rsidP="00082A1E">
            <w:pPr>
              <w:pStyle w:val="Normal1linespace"/>
              <w:widowControl w:val="0"/>
              <w:jc w:val="left"/>
            </w:pPr>
          </w:p>
        </w:tc>
        <w:tc>
          <w:tcPr>
            <w:tcW w:w="5990" w:type="dxa"/>
            <w:shd w:val="clear" w:color="auto" w:fill="auto"/>
          </w:tcPr>
          <w:p w14:paraId="42777AA7" w14:textId="77777777" w:rsidR="00082A1E" w:rsidRDefault="00082A1E" w:rsidP="00082A1E">
            <w:pPr>
              <w:pStyle w:val="Normal1linespace"/>
              <w:widowControl w:val="0"/>
              <w:jc w:val="left"/>
            </w:pPr>
          </w:p>
        </w:tc>
      </w:tr>
      <w:tr w:rsidR="00082A1E" w14:paraId="1AC4C60A" w14:textId="77777777" w:rsidTr="00AC2C59">
        <w:tc>
          <w:tcPr>
            <w:tcW w:w="3083" w:type="dxa"/>
            <w:shd w:val="clear" w:color="auto" w:fill="auto"/>
          </w:tcPr>
          <w:p w14:paraId="048FF98C" w14:textId="77777777" w:rsidR="00082A1E" w:rsidRDefault="00082A1E" w:rsidP="00082A1E">
            <w:pPr>
              <w:pStyle w:val="Normal1linespace"/>
              <w:widowControl w:val="0"/>
              <w:jc w:val="left"/>
            </w:pPr>
            <w:bookmarkStart w:id="9" w:name="CounselDate" w:colFirst="0" w:colLast="2"/>
            <w:r w:rsidRPr="006A24E3">
              <w:t>Date of hearing:</w:t>
            </w:r>
          </w:p>
        </w:tc>
        <w:tc>
          <w:tcPr>
            <w:tcW w:w="5990" w:type="dxa"/>
            <w:shd w:val="clear" w:color="auto" w:fill="auto"/>
          </w:tcPr>
          <w:p w14:paraId="22651434" w14:textId="605B2503" w:rsidR="00082A1E" w:rsidRDefault="00D769B2" w:rsidP="00082A1E">
            <w:pPr>
              <w:pStyle w:val="Normal1linespace"/>
              <w:widowControl w:val="0"/>
              <w:jc w:val="left"/>
            </w:pPr>
            <w:bookmarkStart w:id="10" w:name="HearingDate"/>
            <w:r>
              <w:t>11 December 2024</w:t>
            </w:r>
            <w:bookmarkEnd w:id="10"/>
          </w:p>
        </w:tc>
      </w:tr>
      <w:tr w:rsidR="00082A1E" w14:paraId="50F3D15F" w14:textId="77777777" w:rsidTr="00AC2C59">
        <w:tc>
          <w:tcPr>
            <w:tcW w:w="3083" w:type="dxa"/>
            <w:shd w:val="clear" w:color="auto" w:fill="auto"/>
          </w:tcPr>
          <w:p w14:paraId="09EE3B7D" w14:textId="77777777" w:rsidR="00082A1E" w:rsidRDefault="00082A1E" w:rsidP="00082A1E">
            <w:pPr>
              <w:pStyle w:val="Normal1linespace"/>
              <w:widowControl w:val="0"/>
              <w:jc w:val="left"/>
            </w:pPr>
          </w:p>
        </w:tc>
        <w:tc>
          <w:tcPr>
            <w:tcW w:w="5990" w:type="dxa"/>
            <w:shd w:val="clear" w:color="auto" w:fill="auto"/>
          </w:tcPr>
          <w:p w14:paraId="136CD353" w14:textId="77777777" w:rsidR="00082A1E" w:rsidRDefault="00082A1E" w:rsidP="00082A1E">
            <w:pPr>
              <w:pStyle w:val="Normal1linespace"/>
              <w:widowControl w:val="0"/>
              <w:jc w:val="left"/>
            </w:pPr>
          </w:p>
        </w:tc>
      </w:tr>
      <w:tr w:rsidR="00AC2C59" w14:paraId="4E5D2372" w14:textId="77777777" w:rsidTr="00AC2C59">
        <w:tc>
          <w:tcPr>
            <w:tcW w:w="3083" w:type="dxa"/>
            <w:shd w:val="clear" w:color="auto" w:fill="auto"/>
          </w:tcPr>
          <w:p w14:paraId="3878D717" w14:textId="20428BA7" w:rsidR="00AC2C59" w:rsidRDefault="00AC2C59" w:rsidP="00AC2C59">
            <w:pPr>
              <w:pStyle w:val="Normal1linespace"/>
              <w:widowControl w:val="0"/>
              <w:jc w:val="left"/>
            </w:pPr>
            <w:bookmarkStart w:id="11" w:name="Counsel" w:colFirst="0" w:colLast="2"/>
            <w:bookmarkEnd w:id="9"/>
            <w:r>
              <w:t>Counsel for the Applicant:</w:t>
            </w:r>
          </w:p>
        </w:tc>
        <w:tc>
          <w:tcPr>
            <w:tcW w:w="5990" w:type="dxa"/>
            <w:shd w:val="clear" w:color="auto" w:fill="auto"/>
          </w:tcPr>
          <w:p w14:paraId="0EE04FAC" w14:textId="2C4D2175" w:rsidR="00AC2C59" w:rsidRDefault="00AC2C59" w:rsidP="00AC2C59">
            <w:pPr>
              <w:pStyle w:val="Normal1linespace"/>
              <w:widowControl w:val="0"/>
              <w:jc w:val="left"/>
            </w:pPr>
            <w:bookmarkStart w:id="12" w:name="AppCounsel"/>
            <w:bookmarkEnd w:id="12"/>
            <w:r>
              <w:t>Mr J Arnott SC with Mr D Rowe</w:t>
            </w:r>
          </w:p>
        </w:tc>
      </w:tr>
      <w:tr w:rsidR="00AC2C59" w14:paraId="23965EA3" w14:textId="77777777" w:rsidTr="00AC2C59">
        <w:tc>
          <w:tcPr>
            <w:tcW w:w="3083" w:type="dxa"/>
            <w:shd w:val="clear" w:color="auto" w:fill="auto"/>
          </w:tcPr>
          <w:p w14:paraId="56D825DB" w14:textId="77777777" w:rsidR="00AC2C59" w:rsidRDefault="00AC2C59" w:rsidP="00AC2C59">
            <w:pPr>
              <w:pStyle w:val="Normal1linespace"/>
              <w:widowControl w:val="0"/>
              <w:jc w:val="left"/>
            </w:pPr>
          </w:p>
        </w:tc>
        <w:tc>
          <w:tcPr>
            <w:tcW w:w="5989" w:type="dxa"/>
            <w:shd w:val="clear" w:color="auto" w:fill="auto"/>
          </w:tcPr>
          <w:p w14:paraId="3D3133A0" w14:textId="77777777" w:rsidR="00AC2C59" w:rsidRDefault="00AC2C59" w:rsidP="00AC2C59">
            <w:pPr>
              <w:pStyle w:val="Normal1linespace"/>
              <w:widowControl w:val="0"/>
              <w:jc w:val="left"/>
            </w:pPr>
          </w:p>
        </w:tc>
      </w:tr>
      <w:tr w:rsidR="00AC2C59" w14:paraId="20D05E17" w14:textId="77777777" w:rsidTr="00AC2C59">
        <w:tc>
          <w:tcPr>
            <w:tcW w:w="3083" w:type="dxa"/>
            <w:shd w:val="clear" w:color="auto" w:fill="auto"/>
          </w:tcPr>
          <w:p w14:paraId="2E5E545C" w14:textId="74B66202" w:rsidR="00AC2C59" w:rsidRDefault="00AC2C59" w:rsidP="00AC2C59">
            <w:pPr>
              <w:pStyle w:val="Normal1linespace"/>
              <w:widowControl w:val="0"/>
              <w:jc w:val="left"/>
            </w:pPr>
            <w:r>
              <w:t>Solicitor for the Applicant:</w:t>
            </w:r>
          </w:p>
        </w:tc>
        <w:tc>
          <w:tcPr>
            <w:tcW w:w="5989" w:type="dxa"/>
            <w:shd w:val="clear" w:color="auto" w:fill="auto"/>
          </w:tcPr>
          <w:p w14:paraId="73D72C6E" w14:textId="13DAD5C6" w:rsidR="00AC2C59" w:rsidRDefault="00AC2C59" w:rsidP="00AC2C59">
            <w:pPr>
              <w:pStyle w:val="Normal1linespace"/>
              <w:widowControl w:val="0"/>
              <w:jc w:val="left"/>
            </w:pPr>
            <w:r>
              <w:t>Baker McKenzie</w:t>
            </w:r>
          </w:p>
        </w:tc>
      </w:tr>
      <w:tr w:rsidR="00AC2C59" w14:paraId="2E265C81" w14:textId="77777777" w:rsidTr="00AC2C59">
        <w:tc>
          <w:tcPr>
            <w:tcW w:w="3083" w:type="dxa"/>
            <w:shd w:val="clear" w:color="auto" w:fill="auto"/>
          </w:tcPr>
          <w:p w14:paraId="2550C399" w14:textId="77777777" w:rsidR="00AC2C59" w:rsidRDefault="00AC2C59" w:rsidP="00AC2C59">
            <w:pPr>
              <w:pStyle w:val="Normal1linespace"/>
              <w:widowControl w:val="0"/>
              <w:jc w:val="left"/>
            </w:pPr>
          </w:p>
        </w:tc>
        <w:tc>
          <w:tcPr>
            <w:tcW w:w="5989" w:type="dxa"/>
            <w:shd w:val="clear" w:color="auto" w:fill="auto"/>
          </w:tcPr>
          <w:p w14:paraId="266C91E9" w14:textId="77777777" w:rsidR="00AC2C59" w:rsidRDefault="00AC2C59" w:rsidP="00AC2C59">
            <w:pPr>
              <w:pStyle w:val="Normal1linespace"/>
              <w:widowControl w:val="0"/>
              <w:jc w:val="left"/>
            </w:pPr>
          </w:p>
        </w:tc>
      </w:tr>
      <w:tr w:rsidR="00AC2C59" w14:paraId="40B8E700" w14:textId="77777777" w:rsidTr="00AC2C59">
        <w:tc>
          <w:tcPr>
            <w:tcW w:w="3083" w:type="dxa"/>
            <w:shd w:val="clear" w:color="auto" w:fill="auto"/>
          </w:tcPr>
          <w:p w14:paraId="03529A40" w14:textId="1082C91D" w:rsidR="00AC2C59" w:rsidRDefault="00AC2C59" w:rsidP="00AC2C59">
            <w:pPr>
              <w:pStyle w:val="Normal1linespace"/>
              <w:widowControl w:val="0"/>
              <w:jc w:val="left"/>
            </w:pPr>
            <w:r>
              <w:t>Counsel for the Respondents:</w:t>
            </w:r>
          </w:p>
        </w:tc>
        <w:tc>
          <w:tcPr>
            <w:tcW w:w="5989" w:type="dxa"/>
            <w:shd w:val="clear" w:color="auto" w:fill="auto"/>
          </w:tcPr>
          <w:p w14:paraId="12F4499E" w14:textId="046A1669" w:rsidR="00AC2C59" w:rsidRDefault="00AC2C59" w:rsidP="00AC2C59">
            <w:pPr>
              <w:pStyle w:val="Normal1linespace"/>
              <w:widowControl w:val="0"/>
              <w:jc w:val="left"/>
            </w:pPr>
            <w:r>
              <w:t>Mr N De Young KC with Ms C Dermody and Ms J Nikolic</w:t>
            </w:r>
          </w:p>
        </w:tc>
      </w:tr>
      <w:tr w:rsidR="00AC2C59" w14:paraId="761F23EF" w14:textId="77777777" w:rsidTr="00AC2C59">
        <w:tc>
          <w:tcPr>
            <w:tcW w:w="3083" w:type="dxa"/>
            <w:shd w:val="clear" w:color="auto" w:fill="auto"/>
          </w:tcPr>
          <w:p w14:paraId="60797755" w14:textId="77777777" w:rsidR="00AC2C59" w:rsidRDefault="00AC2C59" w:rsidP="00AC2C59">
            <w:pPr>
              <w:pStyle w:val="Normal1linespace"/>
              <w:widowControl w:val="0"/>
              <w:jc w:val="left"/>
            </w:pPr>
          </w:p>
        </w:tc>
        <w:tc>
          <w:tcPr>
            <w:tcW w:w="5989" w:type="dxa"/>
            <w:shd w:val="clear" w:color="auto" w:fill="auto"/>
          </w:tcPr>
          <w:p w14:paraId="2EE3D996" w14:textId="77777777" w:rsidR="00AC2C59" w:rsidRDefault="00AC2C59" w:rsidP="00AC2C59">
            <w:pPr>
              <w:pStyle w:val="Normal1linespace"/>
              <w:widowControl w:val="0"/>
              <w:jc w:val="left"/>
            </w:pPr>
          </w:p>
        </w:tc>
      </w:tr>
      <w:tr w:rsidR="00AC2C59" w14:paraId="712B73D6" w14:textId="77777777" w:rsidTr="00AC2C59">
        <w:tc>
          <w:tcPr>
            <w:tcW w:w="3083" w:type="dxa"/>
            <w:shd w:val="clear" w:color="auto" w:fill="auto"/>
          </w:tcPr>
          <w:p w14:paraId="1CB1A368" w14:textId="2B07C52A" w:rsidR="00AC2C59" w:rsidRDefault="00AC2C59" w:rsidP="00AC2C59">
            <w:pPr>
              <w:pStyle w:val="Normal1linespace"/>
              <w:widowControl w:val="0"/>
              <w:jc w:val="left"/>
            </w:pPr>
            <w:r>
              <w:t>Solicitor for the Respondents:</w:t>
            </w:r>
          </w:p>
        </w:tc>
        <w:tc>
          <w:tcPr>
            <w:tcW w:w="5989" w:type="dxa"/>
            <w:shd w:val="clear" w:color="auto" w:fill="auto"/>
          </w:tcPr>
          <w:p w14:paraId="65D6814E" w14:textId="6423AFCD" w:rsidR="00AC2C59" w:rsidRDefault="00AC2C59" w:rsidP="00AC2C59">
            <w:pPr>
              <w:pStyle w:val="Normal1linespace"/>
              <w:widowControl w:val="0"/>
              <w:jc w:val="left"/>
            </w:pPr>
            <w:r>
              <w:t>King &amp; Wood Mallesons</w:t>
            </w:r>
          </w:p>
        </w:tc>
      </w:tr>
      <w:bookmarkEnd w:id="11"/>
    </w:tbl>
    <w:p w14:paraId="17DCBDC4" w14:textId="77777777" w:rsidR="007470BD" w:rsidRDefault="007470BD">
      <w:pPr>
        <w:pStyle w:val="Normal1linespace"/>
      </w:pPr>
    </w:p>
    <w:p w14:paraId="0A68C892" w14:textId="77777777" w:rsidR="0077139F" w:rsidRDefault="0077139F">
      <w:pPr>
        <w:pStyle w:val="Normal1linespace"/>
      </w:pPr>
    </w:p>
    <w:p w14:paraId="70E33DA3"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58C083AF"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72E2702" w14:textId="77777777" w:rsidTr="00E81DA6">
        <w:tc>
          <w:tcPr>
            <w:tcW w:w="6912" w:type="dxa"/>
            <w:gridSpan w:val="2"/>
          </w:tcPr>
          <w:p w14:paraId="6C88B8F2" w14:textId="77777777" w:rsidR="00A46CCC" w:rsidRPr="001765E0" w:rsidRDefault="00A46CCC" w:rsidP="00525A49">
            <w:pPr>
              <w:pStyle w:val="NormalHeadings"/>
            </w:pPr>
          </w:p>
        </w:tc>
        <w:tc>
          <w:tcPr>
            <w:tcW w:w="2330" w:type="dxa"/>
          </w:tcPr>
          <w:p w14:paraId="3B64DAE4" w14:textId="7D6F1460" w:rsidR="00A46CCC" w:rsidRDefault="00F52C1C" w:rsidP="00F92355">
            <w:pPr>
              <w:pStyle w:val="NormalHeadings"/>
              <w:jc w:val="right"/>
            </w:pPr>
            <w:bookmarkStart w:id="13" w:name="FileNo"/>
            <w:r>
              <w:t>VID 749 of 2022</w:t>
            </w:r>
            <w:bookmarkEnd w:id="13"/>
          </w:p>
        </w:tc>
      </w:tr>
      <w:tr w:rsidR="00A76C13" w14:paraId="509244FC" w14:textId="77777777">
        <w:tc>
          <w:tcPr>
            <w:tcW w:w="9242" w:type="dxa"/>
            <w:gridSpan w:val="3"/>
          </w:tcPr>
          <w:p w14:paraId="309B4AD3" w14:textId="65B507FE" w:rsidR="00A76C13" w:rsidRPr="00A76C13" w:rsidRDefault="00F52C1C" w:rsidP="00F52C1C">
            <w:pPr>
              <w:pStyle w:val="NormalHeadings"/>
              <w:jc w:val="left"/>
            </w:pPr>
            <w:bookmarkStart w:id="14" w:name="InTheMatterOf"/>
            <w:r>
              <w:t xml:space="preserve"> </w:t>
            </w:r>
            <w:bookmarkEnd w:id="14"/>
          </w:p>
        </w:tc>
      </w:tr>
      <w:tr w:rsidR="00A46CCC" w14:paraId="0B0785DF" w14:textId="77777777">
        <w:trPr>
          <w:trHeight w:val="386"/>
        </w:trPr>
        <w:tc>
          <w:tcPr>
            <w:tcW w:w="2376" w:type="dxa"/>
          </w:tcPr>
          <w:p w14:paraId="166D6A91" w14:textId="77777777" w:rsidR="00A46CCC" w:rsidRDefault="00A46CCC">
            <w:pPr>
              <w:pStyle w:val="NormalHeadings"/>
              <w:jc w:val="left"/>
              <w:rPr>
                <w:caps/>
                <w:szCs w:val="24"/>
              </w:rPr>
            </w:pPr>
            <w:bookmarkStart w:id="15" w:name="Parties"/>
            <w:r>
              <w:rPr>
                <w:caps/>
                <w:szCs w:val="24"/>
              </w:rPr>
              <w:t>BETWEEN:</w:t>
            </w:r>
          </w:p>
        </w:tc>
        <w:tc>
          <w:tcPr>
            <w:tcW w:w="6866" w:type="dxa"/>
            <w:gridSpan w:val="2"/>
          </w:tcPr>
          <w:p w14:paraId="76A49CA6" w14:textId="77777777" w:rsidR="00F52C1C" w:rsidRDefault="00F52C1C" w:rsidP="00F52C1C">
            <w:pPr>
              <w:pStyle w:val="NormalHeadings"/>
              <w:jc w:val="left"/>
            </w:pPr>
            <w:bookmarkStart w:id="16" w:name="Applicant"/>
            <w:r>
              <w:t>AUSTRALIAN ENERGY REGULATOR</w:t>
            </w:r>
          </w:p>
          <w:p w14:paraId="27EC5BCD" w14:textId="77777777" w:rsidR="00F52C1C" w:rsidRDefault="00F52C1C" w:rsidP="00F52C1C">
            <w:pPr>
              <w:pStyle w:val="PartyType"/>
            </w:pPr>
            <w:r>
              <w:t>Applicant</w:t>
            </w:r>
          </w:p>
          <w:bookmarkEnd w:id="16"/>
          <w:p w14:paraId="7E9DE92E" w14:textId="241A81A5" w:rsidR="00A46CCC" w:rsidRPr="006555B4" w:rsidRDefault="00A46CCC">
            <w:pPr>
              <w:pStyle w:val="NormalHeadings"/>
              <w:jc w:val="left"/>
            </w:pPr>
          </w:p>
        </w:tc>
      </w:tr>
      <w:tr w:rsidR="00A46CCC" w14:paraId="511D3C1C" w14:textId="77777777">
        <w:trPr>
          <w:trHeight w:val="386"/>
        </w:trPr>
        <w:tc>
          <w:tcPr>
            <w:tcW w:w="2376" w:type="dxa"/>
          </w:tcPr>
          <w:p w14:paraId="3AA76EBD" w14:textId="77777777" w:rsidR="00A46CCC" w:rsidRDefault="00A46CCC">
            <w:pPr>
              <w:pStyle w:val="NormalHeadings"/>
              <w:jc w:val="left"/>
              <w:rPr>
                <w:caps/>
                <w:szCs w:val="24"/>
              </w:rPr>
            </w:pPr>
            <w:r>
              <w:rPr>
                <w:caps/>
                <w:szCs w:val="24"/>
              </w:rPr>
              <w:t>AND:</w:t>
            </w:r>
          </w:p>
        </w:tc>
        <w:tc>
          <w:tcPr>
            <w:tcW w:w="6866" w:type="dxa"/>
            <w:gridSpan w:val="2"/>
          </w:tcPr>
          <w:p w14:paraId="2288BC74" w14:textId="77777777" w:rsidR="00F52C1C" w:rsidRDefault="00F52C1C" w:rsidP="00F52C1C">
            <w:pPr>
              <w:pStyle w:val="NormalHeadings"/>
              <w:jc w:val="left"/>
            </w:pPr>
            <w:bookmarkStart w:id="17" w:name="Respondent"/>
            <w:r>
              <w:t>AGL RETAIL ENERGY LIMITED (ACN 074 839 464)</w:t>
            </w:r>
          </w:p>
          <w:p w14:paraId="41EFE9B5" w14:textId="77777777" w:rsidR="00F52C1C" w:rsidRDefault="00F52C1C" w:rsidP="00F52C1C">
            <w:pPr>
              <w:pStyle w:val="PartyType"/>
            </w:pPr>
            <w:r>
              <w:t>First Respondent</w:t>
            </w:r>
          </w:p>
          <w:p w14:paraId="217B107B" w14:textId="77777777" w:rsidR="00F52C1C" w:rsidRDefault="00F52C1C">
            <w:pPr>
              <w:pStyle w:val="NormalHeadings"/>
              <w:jc w:val="left"/>
            </w:pPr>
          </w:p>
          <w:p w14:paraId="2C4D78FF" w14:textId="77777777" w:rsidR="00F52C1C" w:rsidRDefault="00F52C1C" w:rsidP="00F52C1C">
            <w:pPr>
              <w:pStyle w:val="NormalHeadings"/>
              <w:jc w:val="left"/>
            </w:pPr>
            <w:r>
              <w:t>AGL SALES PTY LTD (ACN 090 538 337)</w:t>
            </w:r>
          </w:p>
          <w:p w14:paraId="0E63DC73" w14:textId="77777777" w:rsidR="00F52C1C" w:rsidRDefault="00F52C1C" w:rsidP="00F52C1C">
            <w:pPr>
              <w:pStyle w:val="PartyType"/>
            </w:pPr>
            <w:r>
              <w:t>Second Respondent</w:t>
            </w:r>
          </w:p>
          <w:p w14:paraId="13633A56" w14:textId="77777777" w:rsidR="00F52C1C" w:rsidRDefault="00F52C1C">
            <w:pPr>
              <w:pStyle w:val="NormalHeadings"/>
              <w:jc w:val="left"/>
            </w:pPr>
          </w:p>
          <w:p w14:paraId="012A643E" w14:textId="5C4D2FAD" w:rsidR="00F52C1C" w:rsidRDefault="00F52C1C" w:rsidP="00F52C1C">
            <w:pPr>
              <w:pStyle w:val="NormalHeadings"/>
              <w:jc w:val="left"/>
            </w:pPr>
            <w:r>
              <w:t xml:space="preserve">AGL SOUTH AUSTRALIA PTY LTD (ACN 091 105 092) </w:t>
            </w:r>
            <w:r w:rsidRPr="00F52C1C">
              <w:rPr>
                <w:b w:val="0"/>
              </w:rPr>
              <w:t>(and another named in the Schedule)</w:t>
            </w:r>
          </w:p>
          <w:p w14:paraId="0881542D" w14:textId="77777777" w:rsidR="00F52C1C" w:rsidRDefault="00F52C1C" w:rsidP="00F52C1C">
            <w:pPr>
              <w:pStyle w:val="PartyType"/>
            </w:pPr>
            <w:r>
              <w:t>Third Respondent</w:t>
            </w:r>
          </w:p>
          <w:bookmarkEnd w:id="17"/>
          <w:p w14:paraId="44502160" w14:textId="52545658" w:rsidR="00A46CCC" w:rsidRPr="006555B4" w:rsidRDefault="00A46CCC">
            <w:pPr>
              <w:pStyle w:val="NormalHeadings"/>
              <w:jc w:val="left"/>
            </w:pPr>
          </w:p>
        </w:tc>
      </w:tr>
    </w:tbl>
    <w:p w14:paraId="6997EF03"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29E3F9E9" w14:textId="77777777">
        <w:tc>
          <w:tcPr>
            <w:tcW w:w="2376" w:type="dxa"/>
          </w:tcPr>
          <w:p w14:paraId="04B93510"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50355AAA" w14:textId="6EB53BC0" w:rsidR="00395B24" w:rsidRDefault="00F52C1C">
            <w:pPr>
              <w:pStyle w:val="NormalHeadings"/>
              <w:jc w:val="left"/>
              <w:rPr>
                <w:caps/>
                <w:szCs w:val="24"/>
              </w:rPr>
            </w:pPr>
            <w:bookmarkStart w:id="20" w:name="Judge"/>
            <w:r>
              <w:rPr>
                <w:caps/>
                <w:szCs w:val="24"/>
              </w:rPr>
              <w:t>DOWNES J</w:t>
            </w:r>
            <w:bookmarkEnd w:id="20"/>
          </w:p>
        </w:tc>
      </w:tr>
      <w:tr w:rsidR="00395B24" w14:paraId="129AFFF6" w14:textId="77777777">
        <w:tc>
          <w:tcPr>
            <w:tcW w:w="2376" w:type="dxa"/>
          </w:tcPr>
          <w:p w14:paraId="29F7246E" w14:textId="77777777" w:rsidR="00395B24" w:rsidRDefault="002C7385">
            <w:pPr>
              <w:pStyle w:val="NormalHeadings"/>
              <w:spacing w:after="120"/>
              <w:jc w:val="left"/>
              <w:rPr>
                <w:caps/>
                <w:szCs w:val="24"/>
              </w:rPr>
            </w:pPr>
            <w:r>
              <w:rPr>
                <w:caps/>
                <w:szCs w:val="24"/>
              </w:rPr>
              <w:t>DATE OF ORDER:</w:t>
            </w:r>
          </w:p>
        </w:tc>
        <w:tc>
          <w:tcPr>
            <w:tcW w:w="6866" w:type="dxa"/>
          </w:tcPr>
          <w:p w14:paraId="093D6010" w14:textId="7997AFB3" w:rsidR="00395B24" w:rsidRDefault="00F52C1C">
            <w:pPr>
              <w:pStyle w:val="NormalHeadings"/>
              <w:jc w:val="left"/>
              <w:rPr>
                <w:caps/>
                <w:szCs w:val="24"/>
              </w:rPr>
            </w:pPr>
            <w:bookmarkStart w:id="21" w:name="Judgment_Dated"/>
            <w:r>
              <w:rPr>
                <w:caps/>
                <w:szCs w:val="24"/>
              </w:rPr>
              <w:t>19 DECEMBER 2024</w:t>
            </w:r>
            <w:bookmarkEnd w:id="21"/>
          </w:p>
        </w:tc>
      </w:tr>
    </w:tbl>
    <w:p w14:paraId="5F5A320B" w14:textId="77777777" w:rsidR="00395B24" w:rsidRDefault="00395B24">
      <w:pPr>
        <w:pStyle w:val="NormalHeadings"/>
        <w:rPr>
          <w:b w:val="0"/>
        </w:rPr>
      </w:pPr>
    </w:p>
    <w:p w14:paraId="6C29C866" w14:textId="20F8CC1A" w:rsidR="00DC0066" w:rsidRDefault="00E75035" w:rsidP="00443CBE">
      <w:pPr>
        <w:pStyle w:val="OrdersHeading1"/>
      </w:pPr>
      <w:r>
        <w:rPr>
          <w:caps w:val="0"/>
        </w:rPr>
        <w:t xml:space="preserve">THE COURT DECLARES THAT: </w:t>
      </w:r>
    </w:p>
    <w:p w14:paraId="4E909154" w14:textId="0A633625" w:rsidR="00DC0066" w:rsidRPr="00CD4631" w:rsidRDefault="00E75035" w:rsidP="00E75035">
      <w:pPr>
        <w:pStyle w:val="Order1"/>
        <w:numPr>
          <w:ilvl w:val="0"/>
          <w:numId w:val="0"/>
        </w:numPr>
        <w:ind w:left="720" w:hanging="720"/>
        <w:rPr>
          <w:b/>
        </w:rPr>
      </w:pPr>
      <w:r w:rsidRPr="00CD4631">
        <w:rPr>
          <w:bCs/>
        </w:rPr>
        <w:t>1.</w:t>
      </w:r>
      <w:r w:rsidRPr="00CD4631">
        <w:rPr>
          <w:bCs/>
        </w:rPr>
        <w:tab/>
      </w:r>
      <w:r w:rsidR="00DC0066" w:rsidRPr="00CD4631">
        <w:t xml:space="preserve">Pursuant to s 44AAG(1) of the </w:t>
      </w:r>
      <w:r w:rsidR="00DC0066" w:rsidRPr="003912A5">
        <w:rPr>
          <w:i/>
        </w:rPr>
        <w:t>Competition and Consumer Act 2010</w:t>
      </w:r>
      <w:r w:rsidR="00DC0066" w:rsidRPr="00CD4631">
        <w:t xml:space="preserve"> </w:t>
      </w:r>
      <w:r w:rsidR="003912A5">
        <w:rPr>
          <w:b/>
        </w:rPr>
        <w:t>(</w:t>
      </w:r>
      <w:r w:rsidR="00DC0066" w:rsidRPr="00CD4631">
        <w:t>Cth</w:t>
      </w:r>
      <w:r w:rsidR="003912A5">
        <w:rPr>
          <w:b/>
        </w:rPr>
        <w:t>)</w:t>
      </w:r>
      <w:r w:rsidR="00DC0066" w:rsidRPr="00CD4631">
        <w:t xml:space="preserve"> (</w:t>
      </w:r>
      <w:r w:rsidR="00DC0066" w:rsidRPr="009B7BC2">
        <w:rPr>
          <w:b/>
        </w:rPr>
        <w:t>CCA</w:t>
      </w:r>
      <w:r w:rsidR="00DC0066" w:rsidRPr="00CD4631">
        <w:t>), the Court declares that by continuing to receive Centrepay deductions in respect of the customers identified in Schedule 1 to the Further Amended Statement of Claim filed 10 May 2024 and processing and retaining those deductions in circumstances where:</w:t>
      </w:r>
    </w:p>
    <w:p w14:paraId="1B242AC5" w14:textId="22469F8A" w:rsidR="00DC0066" w:rsidRPr="00CD4631" w:rsidRDefault="00E75035" w:rsidP="00E75035">
      <w:pPr>
        <w:pStyle w:val="Order2"/>
        <w:numPr>
          <w:ilvl w:val="0"/>
          <w:numId w:val="0"/>
        </w:numPr>
        <w:ind w:left="1440" w:hanging="720"/>
        <w:rPr>
          <w:b/>
        </w:rPr>
      </w:pPr>
      <w:r w:rsidRPr="00CD4631">
        <w:rPr>
          <w:bCs/>
        </w:rPr>
        <w:t>(a)</w:t>
      </w:r>
      <w:r w:rsidRPr="00CD4631">
        <w:rPr>
          <w:bCs/>
        </w:rPr>
        <w:tab/>
      </w:r>
      <w:r w:rsidR="00DC0066" w:rsidRPr="00CD4631">
        <w:t xml:space="preserve">the customer had ceased to be a customer of the relevant </w:t>
      </w:r>
      <w:r w:rsidR="00755D89">
        <w:t>r</w:t>
      </w:r>
      <w:r w:rsidR="00DC0066" w:rsidRPr="00CD4631">
        <w:t>espondent and a final bill had been issued;</w:t>
      </w:r>
    </w:p>
    <w:p w14:paraId="55898695" w14:textId="5E98AD8B" w:rsidR="00DC0066" w:rsidRPr="00CD4631" w:rsidRDefault="00E75035" w:rsidP="00E75035">
      <w:pPr>
        <w:pStyle w:val="Order2"/>
        <w:numPr>
          <w:ilvl w:val="0"/>
          <w:numId w:val="0"/>
        </w:numPr>
        <w:ind w:left="1440" w:hanging="720"/>
        <w:rPr>
          <w:b/>
        </w:rPr>
      </w:pPr>
      <w:r w:rsidRPr="00CD4631">
        <w:rPr>
          <w:bCs/>
        </w:rPr>
        <w:t>(b)</w:t>
      </w:r>
      <w:r w:rsidRPr="00CD4631">
        <w:rPr>
          <w:bCs/>
        </w:rPr>
        <w:tab/>
      </w:r>
      <w:r w:rsidR="00DC0066" w:rsidRPr="00CD4631">
        <w:t xml:space="preserve">the customer did not have any other active account with the relevant </w:t>
      </w:r>
      <w:r w:rsidR="00755D89">
        <w:t>re</w:t>
      </w:r>
      <w:r w:rsidR="00DC0066" w:rsidRPr="00CD4631">
        <w:t>spondent; and</w:t>
      </w:r>
    </w:p>
    <w:p w14:paraId="17FCD2C1" w14:textId="1E8E928B" w:rsidR="00DC0066" w:rsidRPr="00CD4631" w:rsidRDefault="00E75035" w:rsidP="00E75035">
      <w:pPr>
        <w:pStyle w:val="Order2"/>
        <w:numPr>
          <w:ilvl w:val="0"/>
          <w:numId w:val="0"/>
        </w:numPr>
        <w:ind w:left="1440" w:hanging="720"/>
        <w:rPr>
          <w:b/>
        </w:rPr>
      </w:pPr>
      <w:r w:rsidRPr="00CD4631">
        <w:rPr>
          <w:bCs/>
        </w:rPr>
        <w:t>(c)</w:t>
      </w:r>
      <w:r w:rsidRPr="00CD4631">
        <w:rPr>
          <w:bCs/>
        </w:rPr>
        <w:tab/>
      </w:r>
      <w:r w:rsidR="00DC0066" w:rsidRPr="00CD4631">
        <w:t xml:space="preserve">the customer did not owe any amount to the relevant </w:t>
      </w:r>
      <w:r w:rsidR="00755D89">
        <w:t>r</w:t>
      </w:r>
      <w:r w:rsidR="00DC0066" w:rsidRPr="00CD4631">
        <w:t>espondent in respect of their closed account,</w:t>
      </w:r>
    </w:p>
    <w:p w14:paraId="592DFAAC" w14:textId="371BC1AC" w:rsidR="00DC0066" w:rsidRPr="00CD4631" w:rsidRDefault="00DC0066" w:rsidP="00443CBE">
      <w:pPr>
        <w:pStyle w:val="Order1"/>
        <w:numPr>
          <w:ilvl w:val="0"/>
          <w:numId w:val="0"/>
        </w:numPr>
        <w:ind w:left="720"/>
        <w:rPr>
          <w:b/>
        </w:rPr>
      </w:pPr>
      <w:r w:rsidRPr="00CD4631">
        <w:t xml:space="preserve">such that the amount received exceeded the amount the </w:t>
      </w:r>
      <w:r w:rsidR="003C78E0">
        <w:t xml:space="preserve">relevant </w:t>
      </w:r>
      <w:r w:rsidR="00755D89">
        <w:t>r</w:t>
      </w:r>
      <w:r w:rsidRPr="00CD4631">
        <w:t>espondent w</w:t>
      </w:r>
      <w:r w:rsidR="003C78E0">
        <w:t>as</w:t>
      </w:r>
      <w:r w:rsidRPr="00CD4631">
        <w:t xml:space="preserve"> in fact entitled to charge the customer under any contract that th</w:t>
      </w:r>
      <w:r w:rsidR="003C78E0">
        <w:t>at</w:t>
      </w:r>
      <w:r w:rsidRPr="00CD4631">
        <w:t xml:space="preserve"> </w:t>
      </w:r>
      <w:r w:rsidR="00755D89">
        <w:t>r</w:t>
      </w:r>
      <w:r w:rsidRPr="00CD4631">
        <w:t>espondent had with that customer</w:t>
      </w:r>
      <w:r w:rsidR="00025562">
        <w:t>,</w:t>
      </w:r>
      <w:r w:rsidRPr="00CD4631">
        <w:t xml:space="preserve"> and th</w:t>
      </w:r>
      <w:r w:rsidR="003C78E0">
        <w:t>at</w:t>
      </w:r>
      <w:r w:rsidRPr="00CD4631">
        <w:t xml:space="preserve"> </w:t>
      </w:r>
      <w:r w:rsidR="00755D89">
        <w:t>r</w:t>
      </w:r>
      <w:r w:rsidRPr="00CD4631">
        <w:t>espondent received and w</w:t>
      </w:r>
      <w:r w:rsidR="00FF1075">
        <w:t>as</w:t>
      </w:r>
      <w:r w:rsidRPr="00CD4631">
        <w:t xml:space="preserve"> in possession of sums of money that belonged to the customer and which th</w:t>
      </w:r>
      <w:r w:rsidR="003C78E0">
        <w:t>at</w:t>
      </w:r>
      <w:r w:rsidRPr="00CD4631">
        <w:t xml:space="preserve"> </w:t>
      </w:r>
      <w:r w:rsidR="00755D89">
        <w:t>r</w:t>
      </w:r>
      <w:r w:rsidRPr="00CD4631">
        <w:t xml:space="preserve">espondent did not have any contractual entitlement to retain, the </w:t>
      </w:r>
      <w:r w:rsidR="00755D89">
        <w:t>r</w:t>
      </w:r>
      <w:r w:rsidRPr="00CD4631">
        <w:t xml:space="preserve">espondents contravened rules 31(1), 31(2) and 31(3) of the </w:t>
      </w:r>
      <w:r w:rsidRPr="00EE5C75">
        <w:rPr>
          <w:i/>
        </w:rPr>
        <w:lastRenderedPageBreak/>
        <w:t>National Energy Retail Rules</w:t>
      </w:r>
      <w:r w:rsidRPr="00CD4631">
        <w:t xml:space="preserve"> (as in force during the periods of contravention identified below) (the </w:t>
      </w:r>
      <w:r w:rsidRPr="001749FF">
        <w:rPr>
          <w:b/>
        </w:rPr>
        <w:t>Retail Rules</w:t>
      </w:r>
      <w:r w:rsidRPr="00CD4631">
        <w:t>), with the consequence that:</w:t>
      </w:r>
    </w:p>
    <w:p w14:paraId="1C574F9B" w14:textId="74BD55B9" w:rsidR="00315A67" w:rsidRPr="008458E6" w:rsidRDefault="00E75035" w:rsidP="00E75035">
      <w:pPr>
        <w:pStyle w:val="Order2"/>
        <w:numPr>
          <w:ilvl w:val="0"/>
          <w:numId w:val="0"/>
        </w:numPr>
        <w:ind w:left="1440" w:hanging="720"/>
      </w:pPr>
      <w:r w:rsidRPr="008458E6">
        <w:rPr>
          <w:bCs/>
        </w:rPr>
        <w:t>(d)</w:t>
      </w:r>
      <w:r w:rsidRPr="008458E6">
        <w:rPr>
          <w:bCs/>
        </w:rPr>
        <w:tab/>
      </w:r>
      <w:r w:rsidR="00DC0066" w:rsidRPr="00CD4631">
        <w:t>AGL Retail Energy Limited</w:t>
      </w:r>
      <w:r w:rsidR="00EE5C75">
        <w:t>,</w:t>
      </w:r>
      <w:r w:rsidR="00DC0066" w:rsidRPr="00CD4631">
        <w:t xml:space="preserve"> during the period from 3 September 2020 to 4 March 2021</w:t>
      </w:r>
      <w:r w:rsidR="00EE5C75">
        <w:t>,</w:t>
      </w:r>
      <w:r w:rsidR="00DC0066" w:rsidRPr="00CD4631">
        <w:t xml:space="preserve"> engaged in:</w:t>
      </w:r>
    </w:p>
    <w:p w14:paraId="5C959CA9" w14:textId="39044AFB" w:rsidR="00315A67" w:rsidRPr="008458E6" w:rsidRDefault="00E75035" w:rsidP="00E75035">
      <w:pPr>
        <w:pStyle w:val="Order3"/>
        <w:numPr>
          <w:ilvl w:val="0"/>
          <w:numId w:val="0"/>
        </w:numPr>
        <w:tabs>
          <w:tab w:val="left" w:pos="1440"/>
        </w:tabs>
        <w:ind w:left="2160" w:hanging="720"/>
      </w:pPr>
      <w:r w:rsidRPr="008458E6">
        <w:rPr>
          <w:bCs/>
        </w:rPr>
        <w:t>(i)</w:t>
      </w:r>
      <w:r w:rsidRPr="008458E6">
        <w:rPr>
          <w:bCs/>
        </w:rPr>
        <w:tab/>
      </w:r>
      <w:r w:rsidR="00315A67" w:rsidRPr="00315A67">
        <w:t>14 contraventions of rule 31(1) of the Retail Rules by failing to notify a small customer on each of the 14 occasions on which that customer had been overcharged by an amount equal to or above $50 within 10 business days of becoming aware of each amount overcharged;</w:t>
      </w:r>
    </w:p>
    <w:p w14:paraId="72A7F7CD" w14:textId="54C58821" w:rsidR="00315A67" w:rsidRPr="008458E6" w:rsidRDefault="00E75035" w:rsidP="00E75035">
      <w:pPr>
        <w:pStyle w:val="Order3"/>
        <w:numPr>
          <w:ilvl w:val="0"/>
          <w:numId w:val="0"/>
        </w:numPr>
        <w:tabs>
          <w:tab w:val="left" w:pos="1440"/>
        </w:tabs>
        <w:ind w:left="2160" w:hanging="720"/>
      </w:pPr>
      <w:r w:rsidRPr="008458E6">
        <w:rPr>
          <w:bCs/>
        </w:rPr>
        <w:t>(ii)</w:t>
      </w:r>
      <w:r w:rsidRPr="008458E6">
        <w:rPr>
          <w:bCs/>
        </w:rPr>
        <w:tab/>
      </w:r>
      <w:r w:rsidR="00315A67" w:rsidRPr="00315A67">
        <w:t xml:space="preserve">14 contraventions of rule 31(2) of the Retail Rules by failing, on each of the 14 occasions on which that small customer had been overcharged by $50 or more, to use its best endeavours to refund the amounts overcharged within 10 business days; and </w:t>
      </w:r>
    </w:p>
    <w:p w14:paraId="30DA6FB4" w14:textId="43BA1507" w:rsidR="00315A67" w:rsidRPr="008458E6" w:rsidRDefault="00E75035" w:rsidP="00E75035">
      <w:pPr>
        <w:pStyle w:val="Order3"/>
        <w:numPr>
          <w:ilvl w:val="0"/>
          <w:numId w:val="0"/>
        </w:numPr>
        <w:tabs>
          <w:tab w:val="left" w:pos="1440"/>
        </w:tabs>
        <w:ind w:left="2160" w:hanging="720"/>
      </w:pPr>
      <w:r w:rsidRPr="008458E6">
        <w:rPr>
          <w:bCs/>
        </w:rPr>
        <w:t>(iii)</w:t>
      </w:r>
      <w:r w:rsidRPr="008458E6">
        <w:rPr>
          <w:bCs/>
        </w:rPr>
        <w:tab/>
      </w:r>
      <w:r w:rsidR="00315A67" w:rsidRPr="00315A67">
        <w:t xml:space="preserve">7 contraventions of rule 31(3) of the Retail Rules by failing, on each of the 7 occasions on which a small customer was overcharged by less than $50, to use its best endeavours to refund the small customer the amount overcharged within 10 business days; </w:t>
      </w:r>
    </w:p>
    <w:p w14:paraId="46FC2C86" w14:textId="67911406" w:rsidR="00315A67" w:rsidRPr="008458E6" w:rsidRDefault="00E75035" w:rsidP="00E75035">
      <w:pPr>
        <w:pStyle w:val="Order2"/>
        <w:numPr>
          <w:ilvl w:val="0"/>
          <w:numId w:val="0"/>
        </w:numPr>
        <w:ind w:left="1440" w:hanging="720"/>
        <w:rPr>
          <w:szCs w:val="24"/>
        </w:rPr>
      </w:pPr>
      <w:r w:rsidRPr="008458E6">
        <w:rPr>
          <w:bCs/>
          <w:szCs w:val="24"/>
        </w:rPr>
        <w:t>(e)</w:t>
      </w:r>
      <w:r w:rsidRPr="008458E6">
        <w:rPr>
          <w:bCs/>
          <w:szCs w:val="24"/>
        </w:rPr>
        <w:tab/>
      </w:r>
      <w:r w:rsidR="00315A67" w:rsidRPr="00364FE7">
        <w:t>AGL Sales Pty Ltd</w:t>
      </w:r>
      <w:r w:rsidR="000F3B95">
        <w:t>,</w:t>
      </w:r>
      <w:r w:rsidR="00315A67" w:rsidRPr="00364FE7">
        <w:t xml:space="preserve"> during the period from 9 January 2017 to 28 October 2021</w:t>
      </w:r>
      <w:r w:rsidR="000F3B95">
        <w:t>,</w:t>
      </w:r>
      <w:r w:rsidR="00315A67" w:rsidRPr="00364FE7">
        <w:t xml:space="preserve"> engaged in: </w:t>
      </w:r>
    </w:p>
    <w:p w14:paraId="5344EC3E" w14:textId="68217BA3" w:rsidR="00315A67" w:rsidRPr="008458E6" w:rsidRDefault="00E75035" w:rsidP="00E75035">
      <w:pPr>
        <w:pStyle w:val="Order3"/>
        <w:numPr>
          <w:ilvl w:val="0"/>
          <w:numId w:val="0"/>
        </w:numPr>
        <w:tabs>
          <w:tab w:val="left" w:pos="1440"/>
        </w:tabs>
        <w:ind w:left="2160" w:hanging="720"/>
      </w:pPr>
      <w:r w:rsidRPr="008458E6">
        <w:rPr>
          <w:bCs/>
        </w:rPr>
        <w:t>(i)</w:t>
      </w:r>
      <w:r w:rsidRPr="008458E6">
        <w:rPr>
          <w:bCs/>
        </w:rPr>
        <w:tab/>
      </w:r>
      <w:r w:rsidR="00315A67" w:rsidRPr="00315A67">
        <w:t>2,547 contraventions of rule 31(1) of the Retail Rules by failing to notify 126 small customers on each of the 2,547 occasions on which those customers had been overcharged by an amount equal to or above $50 within 10 business days of becoming aware of each amount overcharged;</w:t>
      </w:r>
    </w:p>
    <w:p w14:paraId="1627DF04" w14:textId="571BFF64" w:rsidR="00315A67" w:rsidRPr="008458E6" w:rsidRDefault="00E75035" w:rsidP="00E75035">
      <w:pPr>
        <w:pStyle w:val="Order3"/>
        <w:numPr>
          <w:ilvl w:val="0"/>
          <w:numId w:val="0"/>
        </w:numPr>
        <w:tabs>
          <w:tab w:val="left" w:pos="1440"/>
        </w:tabs>
        <w:ind w:left="2160" w:hanging="720"/>
      </w:pPr>
      <w:r w:rsidRPr="008458E6">
        <w:rPr>
          <w:bCs/>
        </w:rPr>
        <w:t>(ii)</w:t>
      </w:r>
      <w:r w:rsidRPr="008458E6">
        <w:rPr>
          <w:bCs/>
        </w:rPr>
        <w:tab/>
      </w:r>
      <w:r w:rsidR="00315A67" w:rsidRPr="00315A67">
        <w:t xml:space="preserve">2,547 contraventions of rule 31(2) of the Retail Rules by failing, on each of the 2,547 occasions that the 126 small customers had been overcharged by $50 or more, to use its best endeavours to refund the amounts overcharged within 10 business days; and </w:t>
      </w:r>
    </w:p>
    <w:p w14:paraId="12A363CA" w14:textId="471A4D80" w:rsidR="00315A67" w:rsidRPr="008458E6" w:rsidRDefault="00E75035" w:rsidP="00E75035">
      <w:pPr>
        <w:pStyle w:val="Order3"/>
        <w:numPr>
          <w:ilvl w:val="0"/>
          <w:numId w:val="0"/>
        </w:numPr>
        <w:tabs>
          <w:tab w:val="left" w:pos="1440"/>
        </w:tabs>
        <w:ind w:left="2160" w:hanging="720"/>
      </w:pPr>
      <w:r w:rsidRPr="008458E6">
        <w:rPr>
          <w:bCs/>
        </w:rPr>
        <w:t>(iii)</w:t>
      </w:r>
      <w:r w:rsidRPr="008458E6">
        <w:rPr>
          <w:bCs/>
        </w:rPr>
        <w:tab/>
      </w:r>
      <w:r w:rsidR="00315A67" w:rsidRPr="00315A67">
        <w:t xml:space="preserve">5,679 contraventions of rule 31(3) of the Retail Rules by failing, on each of the 5,679 occasions that 250 small customers had been overcharged by less than $50, to use its best endeavours to refund the small customers the amounts overcharged within 10 business days; </w:t>
      </w:r>
    </w:p>
    <w:p w14:paraId="2137ECDD" w14:textId="1EDAB339" w:rsidR="00315A67" w:rsidRPr="008458E6" w:rsidRDefault="00E75035" w:rsidP="00E75035">
      <w:pPr>
        <w:pStyle w:val="Order2"/>
        <w:numPr>
          <w:ilvl w:val="0"/>
          <w:numId w:val="0"/>
        </w:numPr>
        <w:ind w:left="1440" w:hanging="720"/>
      </w:pPr>
      <w:r w:rsidRPr="008458E6">
        <w:rPr>
          <w:bCs/>
        </w:rPr>
        <w:lastRenderedPageBreak/>
        <w:t>(f)</w:t>
      </w:r>
      <w:r w:rsidRPr="008458E6">
        <w:rPr>
          <w:bCs/>
        </w:rPr>
        <w:tab/>
      </w:r>
      <w:r w:rsidR="00315A67" w:rsidRPr="00315A67">
        <w:t>AGL South Australia Pty Ltd</w:t>
      </w:r>
      <w:r w:rsidR="008B2349">
        <w:t>,</w:t>
      </w:r>
      <w:r w:rsidR="00315A67" w:rsidRPr="00315A67">
        <w:t xml:space="preserve"> during the period from 11 April 2017 to 6 July 2021</w:t>
      </w:r>
      <w:r w:rsidR="008B2349">
        <w:t>,</w:t>
      </w:r>
      <w:r w:rsidR="00315A67" w:rsidRPr="00315A67">
        <w:t xml:space="preserve"> engaged in: </w:t>
      </w:r>
    </w:p>
    <w:p w14:paraId="7986A1C3" w14:textId="11F5D435" w:rsidR="00315A67" w:rsidRPr="008458E6" w:rsidRDefault="00E75035" w:rsidP="00E75035">
      <w:pPr>
        <w:pStyle w:val="Order3"/>
        <w:numPr>
          <w:ilvl w:val="0"/>
          <w:numId w:val="0"/>
        </w:numPr>
        <w:tabs>
          <w:tab w:val="left" w:pos="1440"/>
        </w:tabs>
        <w:ind w:left="2160" w:hanging="720"/>
      </w:pPr>
      <w:r w:rsidRPr="008458E6">
        <w:rPr>
          <w:bCs/>
        </w:rPr>
        <w:t>(i)</w:t>
      </w:r>
      <w:r w:rsidRPr="008458E6">
        <w:rPr>
          <w:bCs/>
        </w:rPr>
        <w:tab/>
      </w:r>
      <w:r w:rsidR="00315A67" w:rsidRPr="00315A67">
        <w:t xml:space="preserve">931 contraventions of rule 31(1) of the Retail Rules by failing to notify 52 small customers on each of the 931 occasions on which those customers had been overcharged by an amount equal to or above $50 within 10 business days of becoming aware of each amount overcharged; </w:t>
      </w:r>
    </w:p>
    <w:p w14:paraId="74AB1628" w14:textId="53A23C72" w:rsidR="00315A67" w:rsidRPr="008458E6" w:rsidRDefault="00E75035" w:rsidP="00E75035">
      <w:pPr>
        <w:pStyle w:val="Order3"/>
        <w:numPr>
          <w:ilvl w:val="0"/>
          <w:numId w:val="0"/>
        </w:numPr>
        <w:tabs>
          <w:tab w:val="left" w:pos="1440"/>
        </w:tabs>
        <w:ind w:left="2160" w:hanging="720"/>
      </w:pPr>
      <w:r w:rsidRPr="008458E6">
        <w:rPr>
          <w:bCs/>
        </w:rPr>
        <w:t>(ii)</w:t>
      </w:r>
      <w:r w:rsidRPr="008458E6">
        <w:rPr>
          <w:bCs/>
        </w:rPr>
        <w:tab/>
      </w:r>
      <w:r w:rsidR="00315A67" w:rsidRPr="00315A67">
        <w:t xml:space="preserve">931 contraventions of rule 31(2) of the Retail Rules by failing, on each of the 931 occasions that the 52 small customers had been overcharged by $50 or more, to use its best endeavours to refund the amounts overcharged within 10 business days; and </w:t>
      </w:r>
    </w:p>
    <w:p w14:paraId="627DFCCF" w14:textId="3EBC29F4" w:rsidR="00315A67" w:rsidRPr="008458E6" w:rsidRDefault="00E75035" w:rsidP="00E75035">
      <w:pPr>
        <w:pStyle w:val="Order3"/>
        <w:numPr>
          <w:ilvl w:val="0"/>
          <w:numId w:val="0"/>
        </w:numPr>
        <w:tabs>
          <w:tab w:val="left" w:pos="1440"/>
        </w:tabs>
        <w:ind w:left="2160" w:hanging="720"/>
      </w:pPr>
      <w:r w:rsidRPr="008458E6">
        <w:rPr>
          <w:bCs/>
        </w:rPr>
        <w:t>(iii)</w:t>
      </w:r>
      <w:r w:rsidRPr="008458E6">
        <w:rPr>
          <w:bCs/>
        </w:rPr>
        <w:tab/>
      </w:r>
      <w:r w:rsidR="00315A67" w:rsidRPr="00315A67">
        <w:t xml:space="preserve">3,106 contraventions of rule 31(3) of the Retail Rules by failing, on each of the 3,106 occasions that 120 small customers had been overcharged by less than $50, to use its best endeavours to refund the small customers the amounts overcharged within 10 business days; </w:t>
      </w:r>
    </w:p>
    <w:p w14:paraId="165869D8" w14:textId="64AC3D65" w:rsidR="00315A67" w:rsidRPr="008458E6" w:rsidRDefault="00E75035" w:rsidP="00E75035">
      <w:pPr>
        <w:pStyle w:val="Order2"/>
        <w:numPr>
          <w:ilvl w:val="0"/>
          <w:numId w:val="0"/>
        </w:numPr>
        <w:ind w:left="1440" w:hanging="720"/>
      </w:pPr>
      <w:r w:rsidRPr="008458E6">
        <w:rPr>
          <w:bCs/>
        </w:rPr>
        <w:t>(g)</w:t>
      </w:r>
      <w:r w:rsidRPr="008458E6">
        <w:rPr>
          <w:bCs/>
        </w:rPr>
        <w:tab/>
      </w:r>
      <w:r w:rsidR="00315A67" w:rsidRPr="00315A67">
        <w:t>Powerdirect Pty Ltd</w:t>
      </w:r>
      <w:r w:rsidR="00D01C79">
        <w:t>,</w:t>
      </w:r>
      <w:r w:rsidR="00315A67" w:rsidRPr="00315A67">
        <w:t xml:space="preserve"> during the period from 28 May 2018 to 24 December 2020</w:t>
      </w:r>
      <w:r w:rsidR="00D01C79">
        <w:t>,</w:t>
      </w:r>
      <w:r w:rsidR="00315A67" w:rsidRPr="00315A67">
        <w:t xml:space="preserve"> engaged in: </w:t>
      </w:r>
    </w:p>
    <w:p w14:paraId="58E1325F" w14:textId="2BCFF9BB" w:rsidR="00315A67" w:rsidRPr="008458E6" w:rsidRDefault="00E75035" w:rsidP="00E75035">
      <w:pPr>
        <w:pStyle w:val="Order3"/>
        <w:numPr>
          <w:ilvl w:val="0"/>
          <w:numId w:val="0"/>
        </w:numPr>
        <w:tabs>
          <w:tab w:val="left" w:pos="1440"/>
        </w:tabs>
        <w:ind w:left="2160" w:hanging="720"/>
      </w:pPr>
      <w:r w:rsidRPr="008458E6">
        <w:rPr>
          <w:bCs/>
        </w:rPr>
        <w:t>(i)</w:t>
      </w:r>
      <w:r w:rsidRPr="008458E6">
        <w:rPr>
          <w:bCs/>
        </w:rPr>
        <w:tab/>
      </w:r>
      <w:r w:rsidR="00315A67" w:rsidRPr="00315A67">
        <w:t xml:space="preserve">39 contraventions of rule 31(1) of the Retail Rules by failing to notify 4 small customers on each of the 39 occasions on which those customers had been overcharged by an amount equal to or above $50 within 10 business days of becoming aware of each amount overcharged; </w:t>
      </w:r>
    </w:p>
    <w:p w14:paraId="52565B79" w14:textId="6B3D5AC4" w:rsidR="00315A67" w:rsidRPr="008458E6" w:rsidRDefault="00E75035" w:rsidP="00E75035">
      <w:pPr>
        <w:pStyle w:val="Order3"/>
        <w:numPr>
          <w:ilvl w:val="0"/>
          <w:numId w:val="0"/>
        </w:numPr>
        <w:tabs>
          <w:tab w:val="left" w:pos="1440"/>
        </w:tabs>
        <w:ind w:left="2160" w:hanging="720"/>
      </w:pPr>
      <w:r w:rsidRPr="008458E6">
        <w:rPr>
          <w:bCs/>
        </w:rPr>
        <w:t>(ii)</w:t>
      </w:r>
      <w:r w:rsidRPr="008458E6">
        <w:rPr>
          <w:bCs/>
        </w:rPr>
        <w:tab/>
      </w:r>
      <w:r w:rsidR="00315A67" w:rsidRPr="00315A67">
        <w:t xml:space="preserve">39 contraventions of rule 31(2) of the Retail Rules by failing, on each of the 39 occasions that the 4 small customers had been overcharged by $50 or more, to use its best endeavours to refund the amounts overcharged within 10 business days; and </w:t>
      </w:r>
    </w:p>
    <w:p w14:paraId="56001F8D" w14:textId="29FD088A" w:rsidR="00315A67" w:rsidRPr="008458E6" w:rsidRDefault="00E75035" w:rsidP="00E75035">
      <w:pPr>
        <w:pStyle w:val="Order3"/>
        <w:numPr>
          <w:ilvl w:val="0"/>
          <w:numId w:val="0"/>
        </w:numPr>
        <w:tabs>
          <w:tab w:val="left" w:pos="1440"/>
        </w:tabs>
        <w:ind w:left="2160" w:hanging="720"/>
      </w:pPr>
      <w:r w:rsidRPr="008458E6">
        <w:rPr>
          <w:bCs/>
        </w:rPr>
        <w:t>(iii)</w:t>
      </w:r>
      <w:r w:rsidRPr="008458E6">
        <w:rPr>
          <w:bCs/>
        </w:rPr>
        <w:tab/>
      </w:r>
      <w:r w:rsidR="00315A67" w:rsidRPr="00315A67">
        <w:t>302 contraventions of rule 31(3) of the Retail Rules by failing, on each of the 302 occasions that 12 small customers had been overcharged by less than $50, to use its best endeavours to refund the small customers the amounts overcharged within 10 business days.</w:t>
      </w:r>
    </w:p>
    <w:p w14:paraId="5DC741F5" w14:textId="51FE75E1" w:rsidR="00315A67" w:rsidRPr="00315A67" w:rsidRDefault="00E75035" w:rsidP="00E75035">
      <w:pPr>
        <w:pStyle w:val="Order1"/>
        <w:numPr>
          <w:ilvl w:val="0"/>
          <w:numId w:val="0"/>
        </w:numPr>
        <w:ind w:left="720" w:hanging="720"/>
        <w:rPr>
          <w:b/>
        </w:rPr>
      </w:pPr>
      <w:r w:rsidRPr="00315A67">
        <w:rPr>
          <w:bCs/>
        </w:rPr>
        <w:t>2.</w:t>
      </w:r>
      <w:r w:rsidRPr="00315A67">
        <w:rPr>
          <w:bCs/>
        </w:rPr>
        <w:tab/>
      </w:r>
      <w:r w:rsidR="00315A67" w:rsidRPr="00315A67">
        <w:t xml:space="preserve">Pursuant to s 44AAG(1) of the CCA, the Court declares that, during the period from 9 January 2017 to 28 October 2021, in the circumstances referred to in paragraph 1 above, the </w:t>
      </w:r>
      <w:r w:rsidR="00755D89">
        <w:t>r</w:t>
      </w:r>
      <w:r w:rsidR="00315A67" w:rsidRPr="00315A67">
        <w:t xml:space="preserve">espondents contravened s 273(1) of the </w:t>
      </w:r>
      <w:r w:rsidR="00315A67" w:rsidRPr="00315A67">
        <w:rPr>
          <w:i/>
        </w:rPr>
        <w:t xml:space="preserve">National Energy Retail Law </w:t>
      </w:r>
      <w:r w:rsidR="00315A67" w:rsidRPr="00315A67">
        <w:t xml:space="preserve">contained in </w:t>
      </w:r>
      <w:r w:rsidR="00315A67" w:rsidRPr="00315A67">
        <w:lastRenderedPageBreak/>
        <w:t xml:space="preserve">the Schedule to the </w:t>
      </w:r>
      <w:r w:rsidR="00315A67" w:rsidRPr="00315A67">
        <w:rPr>
          <w:i/>
        </w:rPr>
        <w:t>National Energy Retail Law (South Australia) Act 2011</w:t>
      </w:r>
      <w:r w:rsidR="00E03F96">
        <w:t xml:space="preserve"> (</w:t>
      </w:r>
      <w:r w:rsidR="00C278A0">
        <w:t>SA</w:t>
      </w:r>
      <w:r w:rsidR="00315A67">
        <w:t>)</w:t>
      </w:r>
      <w:r w:rsidR="00315A67" w:rsidRPr="00315A67">
        <w:t xml:space="preserve"> insofar as they failed to implement policies, systems and processes to enable them to efficiently and effectively monitor their compliance with the requirements of rules 31(1), (2) and (3) of the Retail Rules including because their billing and accounting system was the subject of a deliberate methodological design choice that did not recognise the obligations that the </w:t>
      </w:r>
      <w:r w:rsidR="00755D89">
        <w:t>r</w:t>
      </w:r>
      <w:r w:rsidR="00315A67" w:rsidRPr="00315A67">
        <w:t>espondents had under rule 31 of the Retail Rules.</w:t>
      </w:r>
    </w:p>
    <w:p w14:paraId="62816B15" w14:textId="2F819377" w:rsidR="007A10B4" w:rsidRDefault="00E75035" w:rsidP="00FA548F">
      <w:pPr>
        <w:pStyle w:val="OrdersHeading1"/>
      </w:pPr>
      <w:r>
        <w:rPr>
          <w:caps w:val="0"/>
        </w:rPr>
        <w:t>THE COURT ORDERS THAT:</w:t>
      </w:r>
    </w:p>
    <w:p w14:paraId="403A36C2" w14:textId="1CA0703C" w:rsidR="00315A67" w:rsidRPr="00315A67" w:rsidRDefault="00E75035" w:rsidP="00E75035">
      <w:pPr>
        <w:pStyle w:val="Order1"/>
        <w:numPr>
          <w:ilvl w:val="0"/>
          <w:numId w:val="0"/>
        </w:numPr>
        <w:ind w:left="720" w:hanging="720"/>
        <w:rPr>
          <w:b/>
        </w:rPr>
      </w:pPr>
      <w:r w:rsidRPr="00315A67">
        <w:rPr>
          <w:bCs/>
        </w:rPr>
        <w:t>3.</w:t>
      </w:r>
      <w:r w:rsidRPr="00315A67">
        <w:rPr>
          <w:bCs/>
        </w:rPr>
        <w:tab/>
      </w:r>
      <w:r w:rsidR="00315A67" w:rsidRPr="00315A67">
        <w:t>Pursuant to s 44AAG(2)(a) of the CCA</w:t>
      </w:r>
      <w:r w:rsidR="007A10B4">
        <w:t xml:space="preserve">, the </w:t>
      </w:r>
      <w:r w:rsidR="009936EE">
        <w:t>respondents</w:t>
      </w:r>
      <w:r w:rsidR="004264A8">
        <w:t xml:space="preserve"> pay to the Commonwealth of Australia a pecuniary penalty in the amount </w:t>
      </w:r>
      <w:r w:rsidR="004264A8" w:rsidRPr="00DB2F03">
        <w:t>of $</w:t>
      </w:r>
      <w:r w:rsidR="00E25C91" w:rsidRPr="002C0541">
        <w:t>25</w:t>
      </w:r>
      <w:r w:rsidR="004264A8" w:rsidRPr="002C0541">
        <w:t xml:space="preserve"> million</w:t>
      </w:r>
      <w:r w:rsidR="004264A8">
        <w:t xml:space="preserve"> to be divided as follows</w:t>
      </w:r>
      <w:r w:rsidR="00315A67" w:rsidRPr="00315A67">
        <w:t>:</w:t>
      </w:r>
    </w:p>
    <w:p w14:paraId="145399C1" w14:textId="43E0A82C" w:rsidR="00315A67" w:rsidRPr="00315A67" w:rsidRDefault="00E75035" w:rsidP="00E75035">
      <w:pPr>
        <w:pStyle w:val="Order2"/>
        <w:numPr>
          <w:ilvl w:val="0"/>
          <w:numId w:val="0"/>
        </w:numPr>
        <w:ind w:left="1440" w:hanging="720"/>
        <w:rPr>
          <w:b/>
        </w:rPr>
      </w:pPr>
      <w:r w:rsidRPr="00315A67">
        <w:rPr>
          <w:bCs/>
        </w:rPr>
        <w:t>(a)</w:t>
      </w:r>
      <w:r w:rsidRPr="00315A67">
        <w:rPr>
          <w:bCs/>
        </w:rPr>
        <w:tab/>
      </w:r>
      <w:r w:rsidR="00315A67" w:rsidRPr="00315A67">
        <w:t xml:space="preserve">AGL Retail Energy Limited pay to the Commonwealth of Australia a pecuniary penalty in the sum of </w:t>
      </w:r>
      <w:r w:rsidR="00EF0618">
        <w:t>$</w:t>
      </w:r>
      <w:r w:rsidR="00CE3A34" w:rsidRPr="002C0541">
        <w:t>5</w:t>
      </w:r>
      <w:r w:rsidR="00EF0618" w:rsidRPr="002C0541">
        <w:t>4,</w:t>
      </w:r>
      <w:r w:rsidR="00CE3A34" w:rsidRPr="002C0541">
        <w:t>1</w:t>
      </w:r>
      <w:r w:rsidR="00CB138D" w:rsidRPr="002C0541">
        <w:t>60</w:t>
      </w:r>
      <w:r w:rsidR="00315A67" w:rsidRPr="00315A67">
        <w:t xml:space="preserve"> in respect of the contraventions referred to in </w:t>
      </w:r>
      <w:r w:rsidR="00315A67" w:rsidRPr="00DB2F03">
        <w:t xml:space="preserve">paragraph 1(d) </w:t>
      </w:r>
      <w:r w:rsidR="00DB2F03" w:rsidRPr="00DB2F03">
        <w:t>above</w:t>
      </w:r>
      <w:r w:rsidR="00315A67" w:rsidRPr="00315A67">
        <w:t>;</w:t>
      </w:r>
    </w:p>
    <w:p w14:paraId="663E3C74" w14:textId="376BF69D" w:rsidR="00315A67" w:rsidRPr="00315A67" w:rsidRDefault="00E75035" w:rsidP="00E75035">
      <w:pPr>
        <w:pStyle w:val="Order2"/>
        <w:numPr>
          <w:ilvl w:val="0"/>
          <w:numId w:val="0"/>
        </w:numPr>
        <w:ind w:left="1440" w:hanging="720"/>
        <w:rPr>
          <w:b/>
        </w:rPr>
      </w:pPr>
      <w:r w:rsidRPr="00315A67">
        <w:rPr>
          <w:bCs/>
        </w:rPr>
        <w:t>(b)</w:t>
      </w:r>
      <w:r w:rsidRPr="00315A67">
        <w:rPr>
          <w:bCs/>
        </w:rPr>
        <w:tab/>
      </w:r>
      <w:r w:rsidR="00315A67" w:rsidRPr="00315A67">
        <w:t xml:space="preserve">AGL Sales Pty Ltd pay to the Commonwealth of Australia a pecuniary penalty in the sum of </w:t>
      </w:r>
      <w:r w:rsidR="00C34F27">
        <w:t>$</w:t>
      </w:r>
      <w:r w:rsidR="00F41BB7" w:rsidRPr="002C0541">
        <w:t>16,670,277</w:t>
      </w:r>
      <w:r w:rsidR="00315A67" w:rsidRPr="00315A67">
        <w:t xml:space="preserve"> in respect of the contraventions referred to in </w:t>
      </w:r>
      <w:r w:rsidR="00315A67" w:rsidRPr="00DB2F03">
        <w:t xml:space="preserve">paragraph 1(e) </w:t>
      </w:r>
      <w:r w:rsidR="00DB2F03" w:rsidRPr="00DB2F03">
        <w:t>above</w:t>
      </w:r>
      <w:r w:rsidR="00315A67" w:rsidRPr="00DB2F03">
        <w:t>;</w:t>
      </w:r>
    </w:p>
    <w:p w14:paraId="4DAA89F9" w14:textId="191AE265" w:rsidR="00CD4631" w:rsidRPr="00CD4631" w:rsidRDefault="00E75035" w:rsidP="00E75035">
      <w:pPr>
        <w:pStyle w:val="Order2"/>
        <w:numPr>
          <w:ilvl w:val="0"/>
          <w:numId w:val="0"/>
        </w:numPr>
        <w:ind w:left="1440" w:hanging="720"/>
        <w:rPr>
          <w:b/>
        </w:rPr>
      </w:pPr>
      <w:r w:rsidRPr="00CD4631">
        <w:rPr>
          <w:bCs/>
        </w:rPr>
        <w:t>(c)</w:t>
      </w:r>
      <w:r w:rsidRPr="00CD4631">
        <w:rPr>
          <w:bCs/>
        </w:rPr>
        <w:tab/>
      </w:r>
      <w:r w:rsidR="00315A67" w:rsidRPr="00315A67">
        <w:t xml:space="preserve">AGL South Australia Pty Ltd pay to the Commonwealth of Australia a pecuniary penalty in the sum of </w:t>
      </w:r>
      <w:r w:rsidR="00710C86">
        <w:t>$</w:t>
      </w:r>
      <w:r w:rsidR="00826227" w:rsidRPr="002C0541">
        <w:t>7,687,546</w:t>
      </w:r>
      <w:r w:rsidR="00315A67" w:rsidRPr="00315A67">
        <w:t xml:space="preserve"> in respect of the contraventions referred to in </w:t>
      </w:r>
      <w:r w:rsidR="00315A67" w:rsidRPr="00DB2F03">
        <w:t xml:space="preserve">paragraph 1(f) </w:t>
      </w:r>
      <w:r w:rsidR="00DB2F03">
        <w:t>above</w:t>
      </w:r>
      <w:r w:rsidR="00315A67" w:rsidRPr="00DB2F03">
        <w:t>;</w:t>
      </w:r>
      <w:r w:rsidR="00315A67" w:rsidRPr="00315A67">
        <w:t xml:space="preserve"> and</w:t>
      </w:r>
    </w:p>
    <w:p w14:paraId="227C0002" w14:textId="44AF6DFA" w:rsidR="00CD4631" w:rsidRPr="00CD4631" w:rsidRDefault="00E75035" w:rsidP="00E75035">
      <w:pPr>
        <w:pStyle w:val="Order2"/>
        <w:numPr>
          <w:ilvl w:val="0"/>
          <w:numId w:val="0"/>
        </w:numPr>
        <w:ind w:left="1440" w:hanging="720"/>
        <w:rPr>
          <w:b/>
        </w:rPr>
      </w:pPr>
      <w:r w:rsidRPr="00CD4631">
        <w:rPr>
          <w:bCs/>
        </w:rPr>
        <w:t>(d)</w:t>
      </w:r>
      <w:r w:rsidRPr="00CD4631">
        <w:rPr>
          <w:bCs/>
        </w:rPr>
        <w:tab/>
      </w:r>
      <w:r w:rsidR="00CD4631" w:rsidRPr="00CD4631">
        <w:t xml:space="preserve">Powerdirect Pty Ltd pay to the Commonwealth of Australia a pecuniary penalty in the sum of </w:t>
      </w:r>
      <w:r w:rsidR="00F86020">
        <w:t>$</w:t>
      </w:r>
      <w:r w:rsidR="00B439CC" w:rsidRPr="002C0541">
        <w:t>588,017</w:t>
      </w:r>
      <w:r w:rsidR="00CD4631" w:rsidRPr="00CD4631">
        <w:t xml:space="preserve"> in respect of the contraventions referred to in </w:t>
      </w:r>
      <w:r w:rsidR="00CD4631" w:rsidRPr="00DB2F03">
        <w:t xml:space="preserve">paragraph 1(g) </w:t>
      </w:r>
      <w:r w:rsidR="00DB2F03">
        <w:t>above</w:t>
      </w:r>
      <w:r w:rsidR="00CD4631" w:rsidRPr="00DB2F03">
        <w:t>,</w:t>
      </w:r>
    </w:p>
    <w:p w14:paraId="0A1919D5" w14:textId="11B6A1F3" w:rsidR="00CD4631" w:rsidRDefault="00CD4631" w:rsidP="009936EE">
      <w:pPr>
        <w:pStyle w:val="Order1"/>
        <w:numPr>
          <w:ilvl w:val="0"/>
          <w:numId w:val="0"/>
        </w:numPr>
        <w:ind w:left="720"/>
        <w:rPr>
          <w:b/>
        </w:rPr>
      </w:pPr>
      <w:r w:rsidRPr="00CD4631">
        <w:t>to be paid within 30 days of this order.</w:t>
      </w:r>
    </w:p>
    <w:p w14:paraId="09519D38" w14:textId="643447B2" w:rsidR="0084099C" w:rsidRPr="0084099C" w:rsidRDefault="00E75035" w:rsidP="00E75035">
      <w:pPr>
        <w:pStyle w:val="Order1"/>
        <w:numPr>
          <w:ilvl w:val="0"/>
          <w:numId w:val="0"/>
        </w:numPr>
        <w:ind w:left="720" w:hanging="720"/>
      </w:pPr>
      <w:r w:rsidRPr="0084099C">
        <w:rPr>
          <w:bCs/>
        </w:rPr>
        <w:t>4.</w:t>
      </w:r>
      <w:r w:rsidRPr="0084099C">
        <w:rPr>
          <w:bCs/>
        </w:rPr>
        <w:tab/>
      </w:r>
      <w:r w:rsidR="0084099C" w:rsidRPr="0084099C">
        <w:t xml:space="preserve">An order pursuant to s 44AAG(2)(c) of the CCA that the </w:t>
      </w:r>
      <w:r w:rsidR="009936EE">
        <w:t>f</w:t>
      </w:r>
      <w:r w:rsidR="0084099C" w:rsidRPr="0084099C">
        <w:t xml:space="preserve">irst, </w:t>
      </w:r>
      <w:r w:rsidR="009936EE">
        <w:t>s</w:t>
      </w:r>
      <w:r w:rsidR="0084099C" w:rsidRPr="0084099C">
        <w:t xml:space="preserve">econd and </w:t>
      </w:r>
      <w:r w:rsidR="009936EE">
        <w:t>t</w:t>
      </w:r>
      <w:r w:rsidR="0084099C" w:rsidRPr="0084099C">
        <w:t xml:space="preserve">hird </w:t>
      </w:r>
      <w:r w:rsidR="009936EE">
        <w:t>r</w:t>
      </w:r>
      <w:r w:rsidR="0084099C" w:rsidRPr="0084099C">
        <w:t>espondents implement compliance systems and processes that automatically:</w:t>
      </w:r>
    </w:p>
    <w:p w14:paraId="1B0916EE" w14:textId="7FD68835" w:rsidR="0084099C" w:rsidRPr="0084099C" w:rsidRDefault="00E75035" w:rsidP="00E75035">
      <w:pPr>
        <w:pStyle w:val="Order2"/>
        <w:numPr>
          <w:ilvl w:val="0"/>
          <w:numId w:val="0"/>
        </w:numPr>
        <w:ind w:left="1440" w:hanging="720"/>
      </w:pPr>
      <w:r w:rsidRPr="0084099C">
        <w:rPr>
          <w:bCs/>
        </w:rPr>
        <w:t>(a)</w:t>
      </w:r>
      <w:r w:rsidRPr="0084099C">
        <w:rPr>
          <w:bCs/>
        </w:rPr>
        <w:tab/>
      </w:r>
      <w:r w:rsidR="0084099C" w:rsidRPr="0084099C">
        <w:t xml:space="preserve">detect the occurrence of an event where the </w:t>
      </w:r>
      <w:r w:rsidR="00543AE1">
        <w:t>f</w:t>
      </w:r>
      <w:r w:rsidR="0084099C" w:rsidRPr="0084099C">
        <w:t xml:space="preserve">irst, </w:t>
      </w:r>
      <w:r w:rsidR="00543AE1">
        <w:t>s</w:t>
      </w:r>
      <w:r w:rsidR="0084099C" w:rsidRPr="0084099C">
        <w:t xml:space="preserve">econd or </w:t>
      </w:r>
      <w:r w:rsidR="00543AE1">
        <w:t>t</w:t>
      </w:r>
      <w:r w:rsidR="0084099C" w:rsidRPr="0084099C">
        <w:t xml:space="preserve">hird </w:t>
      </w:r>
      <w:r w:rsidR="00543AE1">
        <w:t>r</w:t>
      </w:r>
      <w:r w:rsidR="0084099C" w:rsidRPr="0084099C">
        <w:t>espondent receives an amount by way of a Centrepay deduction from a customer that:</w:t>
      </w:r>
    </w:p>
    <w:p w14:paraId="46C17B08" w14:textId="0A126C6F" w:rsidR="0084099C" w:rsidRPr="0084099C" w:rsidRDefault="00E75035" w:rsidP="00E75035">
      <w:pPr>
        <w:pStyle w:val="Order3"/>
        <w:numPr>
          <w:ilvl w:val="0"/>
          <w:numId w:val="0"/>
        </w:numPr>
        <w:tabs>
          <w:tab w:val="left" w:pos="1440"/>
        </w:tabs>
        <w:ind w:left="2160" w:hanging="720"/>
      </w:pPr>
      <w:r w:rsidRPr="0084099C">
        <w:rPr>
          <w:bCs/>
        </w:rPr>
        <w:t>(i)</w:t>
      </w:r>
      <w:r w:rsidRPr="0084099C">
        <w:rPr>
          <w:bCs/>
        </w:rPr>
        <w:tab/>
      </w:r>
      <w:r w:rsidR="0084099C" w:rsidRPr="0084099C">
        <w:t xml:space="preserve">has ceased to be a customer of the </w:t>
      </w:r>
      <w:r w:rsidR="00543AE1">
        <w:t>f</w:t>
      </w:r>
      <w:r w:rsidR="0084099C" w:rsidRPr="0084099C">
        <w:t xml:space="preserve">irst, </w:t>
      </w:r>
      <w:r w:rsidR="00543AE1">
        <w:t>s</w:t>
      </w:r>
      <w:r w:rsidR="0084099C" w:rsidRPr="0084099C">
        <w:t xml:space="preserve">econd or </w:t>
      </w:r>
      <w:r w:rsidR="00543AE1">
        <w:t>t</w:t>
      </w:r>
      <w:r w:rsidR="0084099C" w:rsidRPr="0084099C">
        <w:t xml:space="preserve">hird </w:t>
      </w:r>
      <w:r w:rsidR="00543AE1">
        <w:t>r</w:t>
      </w:r>
      <w:r w:rsidR="0084099C" w:rsidRPr="0084099C">
        <w:t xml:space="preserve">espondent and has been issued a final bill; </w:t>
      </w:r>
    </w:p>
    <w:p w14:paraId="0799C231" w14:textId="7927E1E8" w:rsidR="0084099C" w:rsidRPr="0084099C" w:rsidRDefault="00E75035" w:rsidP="00E75035">
      <w:pPr>
        <w:pStyle w:val="Order3"/>
        <w:numPr>
          <w:ilvl w:val="0"/>
          <w:numId w:val="0"/>
        </w:numPr>
        <w:tabs>
          <w:tab w:val="left" w:pos="1440"/>
        </w:tabs>
        <w:ind w:left="2160" w:hanging="720"/>
      </w:pPr>
      <w:r w:rsidRPr="0084099C">
        <w:rPr>
          <w:bCs/>
        </w:rPr>
        <w:t>(ii)</w:t>
      </w:r>
      <w:r w:rsidRPr="0084099C">
        <w:rPr>
          <w:bCs/>
        </w:rPr>
        <w:tab/>
      </w:r>
      <w:r w:rsidR="0084099C" w:rsidRPr="0084099C">
        <w:t xml:space="preserve">does not have any other active account with the </w:t>
      </w:r>
      <w:r w:rsidR="00543AE1">
        <w:t>f</w:t>
      </w:r>
      <w:r w:rsidR="0084099C" w:rsidRPr="0084099C">
        <w:t xml:space="preserve">irst, </w:t>
      </w:r>
      <w:r w:rsidR="00543AE1">
        <w:t>s</w:t>
      </w:r>
      <w:r w:rsidR="0084099C" w:rsidRPr="0084099C">
        <w:t xml:space="preserve">econd or </w:t>
      </w:r>
      <w:r w:rsidR="00543AE1">
        <w:t>t</w:t>
      </w:r>
      <w:r w:rsidR="0084099C" w:rsidRPr="0084099C">
        <w:t xml:space="preserve">hird </w:t>
      </w:r>
      <w:r w:rsidR="00543AE1">
        <w:t>r</w:t>
      </w:r>
      <w:r w:rsidR="0084099C" w:rsidRPr="0084099C">
        <w:t xml:space="preserve">espondent; and </w:t>
      </w:r>
    </w:p>
    <w:p w14:paraId="30BB94F0" w14:textId="337A62AA" w:rsidR="0084099C" w:rsidRPr="0084099C" w:rsidRDefault="00E75035" w:rsidP="00E75035">
      <w:pPr>
        <w:pStyle w:val="Order3"/>
        <w:numPr>
          <w:ilvl w:val="0"/>
          <w:numId w:val="0"/>
        </w:numPr>
        <w:tabs>
          <w:tab w:val="left" w:pos="1440"/>
        </w:tabs>
        <w:ind w:left="2160" w:hanging="720"/>
      </w:pPr>
      <w:r w:rsidRPr="0084099C">
        <w:rPr>
          <w:bCs/>
        </w:rPr>
        <w:lastRenderedPageBreak/>
        <w:t>(iii)</w:t>
      </w:r>
      <w:r w:rsidRPr="0084099C">
        <w:rPr>
          <w:bCs/>
        </w:rPr>
        <w:tab/>
      </w:r>
      <w:r w:rsidR="0084099C" w:rsidRPr="0084099C">
        <w:t xml:space="preserve">does not owe any amount to the </w:t>
      </w:r>
      <w:r w:rsidR="00543AE1">
        <w:t>f</w:t>
      </w:r>
      <w:r w:rsidR="0084099C" w:rsidRPr="0084099C">
        <w:t xml:space="preserve">irst, </w:t>
      </w:r>
      <w:r w:rsidR="00543AE1">
        <w:t>s</w:t>
      </w:r>
      <w:r w:rsidR="0084099C" w:rsidRPr="0084099C">
        <w:t xml:space="preserve">econd or </w:t>
      </w:r>
      <w:r w:rsidR="00543AE1">
        <w:t>t</w:t>
      </w:r>
      <w:r w:rsidR="0084099C" w:rsidRPr="0084099C">
        <w:t xml:space="preserve">hird </w:t>
      </w:r>
      <w:r w:rsidR="00543AE1">
        <w:t>r</w:t>
      </w:r>
      <w:r w:rsidR="0084099C" w:rsidRPr="0084099C">
        <w:t xml:space="preserve">espondent in respect of the final billed account, </w:t>
      </w:r>
    </w:p>
    <w:p w14:paraId="274D8B70" w14:textId="7B9FFE3F" w:rsidR="0084099C" w:rsidRPr="0084099C" w:rsidRDefault="0084099C" w:rsidP="002C2AB0">
      <w:pPr>
        <w:pStyle w:val="Order2"/>
        <w:numPr>
          <w:ilvl w:val="0"/>
          <w:numId w:val="0"/>
        </w:numPr>
        <w:ind w:left="1440"/>
      </w:pPr>
      <w:r w:rsidRPr="0084099C">
        <w:t xml:space="preserve">(an </w:t>
      </w:r>
      <w:r w:rsidRPr="00FE2B26">
        <w:rPr>
          <w:b/>
          <w:bCs/>
        </w:rPr>
        <w:t>Inactive Customer</w:t>
      </w:r>
      <w:r w:rsidRPr="0084099C">
        <w:t>); and</w:t>
      </w:r>
    </w:p>
    <w:p w14:paraId="64EB0FC4" w14:textId="25B1DD10" w:rsidR="0084099C" w:rsidRPr="0084099C" w:rsidRDefault="00E75035" w:rsidP="00E75035">
      <w:pPr>
        <w:pStyle w:val="Order2"/>
        <w:numPr>
          <w:ilvl w:val="0"/>
          <w:numId w:val="0"/>
        </w:numPr>
        <w:ind w:left="1440" w:hanging="720"/>
      </w:pPr>
      <w:r w:rsidRPr="0084099C">
        <w:rPr>
          <w:bCs/>
        </w:rPr>
        <w:t>(b)</w:t>
      </w:r>
      <w:r w:rsidRPr="0084099C">
        <w:rPr>
          <w:bCs/>
        </w:rPr>
        <w:tab/>
      </w:r>
      <w:r w:rsidR="0084099C" w:rsidRPr="0084099C">
        <w:t xml:space="preserve">raise, as soon as practicable, this detection to the attention of relevant employees of the </w:t>
      </w:r>
      <w:r w:rsidR="00A332B9">
        <w:t>f</w:t>
      </w:r>
      <w:r w:rsidR="0084099C" w:rsidRPr="0084099C">
        <w:t xml:space="preserve">irst, </w:t>
      </w:r>
      <w:r w:rsidR="00A332B9">
        <w:t>s</w:t>
      </w:r>
      <w:r w:rsidR="0084099C" w:rsidRPr="0084099C">
        <w:t xml:space="preserve">econd and </w:t>
      </w:r>
      <w:r w:rsidR="00A332B9">
        <w:t>t</w:t>
      </w:r>
      <w:r w:rsidR="0084099C" w:rsidRPr="0084099C">
        <w:t xml:space="preserve">hird </w:t>
      </w:r>
      <w:r w:rsidR="00A332B9">
        <w:t>r</w:t>
      </w:r>
      <w:r w:rsidR="0084099C" w:rsidRPr="0084099C">
        <w:t xml:space="preserve">espondents in a form that identifies each Inactive Customer account which has received a Centrepay deduction and whether the deduction amount is equal to or above the overcharge threshold referred to in rule 31(1) of the Retail Rules in consequence of the occurrence of the event </w:t>
      </w:r>
      <w:r w:rsidR="008B4E3A">
        <w:t>ref</w:t>
      </w:r>
      <w:r w:rsidR="00D17E11">
        <w:t>erred to</w:t>
      </w:r>
      <w:r w:rsidR="0084099C" w:rsidRPr="0084099C">
        <w:t xml:space="preserve"> in </w:t>
      </w:r>
      <w:r w:rsidR="00AA179F">
        <w:t xml:space="preserve">paragraph </w:t>
      </w:r>
      <w:r w:rsidR="0084099C" w:rsidRPr="0084099C">
        <w:t>4(a).</w:t>
      </w:r>
    </w:p>
    <w:p w14:paraId="28C8C85E" w14:textId="4898B704" w:rsidR="0084099C" w:rsidRPr="0084099C" w:rsidRDefault="00E75035" w:rsidP="00E75035">
      <w:pPr>
        <w:pStyle w:val="Order1"/>
        <w:numPr>
          <w:ilvl w:val="0"/>
          <w:numId w:val="0"/>
        </w:numPr>
        <w:ind w:left="720" w:hanging="720"/>
      </w:pPr>
      <w:r w:rsidRPr="0084099C">
        <w:rPr>
          <w:bCs/>
        </w:rPr>
        <w:t>5.</w:t>
      </w:r>
      <w:r w:rsidRPr="0084099C">
        <w:rPr>
          <w:bCs/>
        </w:rPr>
        <w:tab/>
      </w:r>
      <w:r w:rsidR="0084099C" w:rsidRPr="0084099C">
        <w:t>An order pursuant to ss</w:t>
      </w:r>
      <w:r w:rsidR="00825CD8">
        <w:t> </w:t>
      </w:r>
      <w:r w:rsidR="0084099C" w:rsidRPr="0084099C">
        <w:t xml:space="preserve">44AAG(2)(c) and (d) of the CCA that the </w:t>
      </w:r>
      <w:r w:rsidR="00D13803">
        <w:t>f</w:t>
      </w:r>
      <w:r w:rsidR="0084099C" w:rsidRPr="0084099C">
        <w:t xml:space="preserve">irst, </w:t>
      </w:r>
      <w:r w:rsidR="00D13803">
        <w:t>s</w:t>
      </w:r>
      <w:r w:rsidR="0084099C" w:rsidRPr="0084099C">
        <w:t xml:space="preserve">econd and </w:t>
      </w:r>
      <w:r w:rsidR="00D13803">
        <w:t>t</w:t>
      </w:r>
      <w:r w:rsidR="0084099C" w:rsidRPr="0084099C">
        <w:t xml:space="preserve">hird </w:t>
      </w:r>
      <w:r w:rsidR="00D13803">
        <w:t>r</w:t>
      </w:r>
      <w:r w:rsidR="0084099C" w:rsidRPr="0084099C">
        <w:t>espondents:</w:t>
      </w:r>
    </w:p>
    <w:p w14:paraId="39BB82C9" w14:textId="5EB45E76" w:rsidR="0084099C" w:rsidRPr="0084099C" w:rsidRDefault="00E75035" w:rsidP="00E75035">
      <w:pPr>
        <w:pStyle w:val="Order2"/>
        <w:numPr>
          <w:ilvl w:val="0"/>
          <w:numId w:val="0"/>
        </w:numPr>
        <w:ind w:left="1440" w:hanging="720"/>
      </w:pPr>
      <w:r w:rsidRPr="0084099C">
        <w:rPr>
          <w:bCs/>
        </w:rPr>
        <w:t>(a)</w:t>
      </w:r>
      <w:r w:rsidRPr="0084099C">
        <w:rPr>
          <w:bCs/>
        </w:rPr>
        <w:tab/>
      </w:r>
      <w:r w:rsidR="0084099C" w:rsidRPr="0084099C">
        <w:t>within 90 days of the date of this order, establish and implement a compliance program, which is specifically designed to:</w:t>
      </w:r>
    </w:p>
    <w:p w14:paraId="69951B2E" w14:textId="064D4DF5" w:rsidR="0084099C" w:rsidRPr="0084099C" w:rsidRDefault="00E75035" w:rsidP="00E75035">
      <w:pPr>
        <w:pStyle w:val="Order3"/>
        <w:numPr>
          <w:ilvl w:val="0"/>
          <w:numId w:val="0"/>
        </w:numPr>
        <w:tabs>
          <w:tab w:val="left" w:pos="1440"/>
        </w:tabs>
        <w:ind w:left="2160" w:hanging="720"/>
      </w:pPr>
      <w:r w:rsidRPr="0084099C">
        <w:rPr>
          <w:bCs/>
        </w:rPr>
        <w:t>(i)</w:t>
      </w:r>
      <w:r w:rsidRPr="0084099C">
        <w:rPr>
          <w:bCs/>
        </w:rPr>
        <w:tab/>
      </w:r>
      <w:r w:rsidR="0084099C" w:rsidRPr="0084099C">
        <w:t xml:space="preserve">ensure an understanding and awareness by relevant employees of the </w:t>
      </w:r>
      <w:r w:rsidR="00D13803">
        <w:t>f</w:t>
      </w:r>
      <w:r w:rsidR="0084099C" w:rsidRPr="0084099C">
        <w:t xml:space="preserve">irst, </w:t>
      </w:r>
      <w:r w:rsidR="00D13803">
        <w:t>s</w:t>
      </w:r>
      <w:r w:rsidR="0084099C" w:rsidRPr="0084099C">
        <w:t xml:space="preserve">econd and </w:t>
      </w:r>
      <w:r w:rsidR="00D13803">
        <w:t>t</w:t>
      </w:r>
      <w:r w:rsidR="0084099C" w:rsidRPr="0084099C">
        <w:t xml:space="preserve">hird </w:t>
      </w:r>
      <w:r w:rsidR="00D13803">
        <w:t>r</w:t>
      </w:r>
      <w:r w:rsidR="0084099C" w:rsidRPr="0084099C">
        <w:t>espondents’ responsibilities and obligations in relation to dealing with Inactive Customers, with respect to the requirements of rules 31(1), 31(2) and 31(3) of the Retail Rules; and</w:t>
      </w:r>
    </w:p>
    <w:p w14:paraId="18409C77" w14:textId="024AAFF7" w:rsidR="0084099C" w:rsidRPr="0084099C" w:rsidRDefault="00E75035" w:rsidP="00E75035">
      <w:pPr>
        <w:pStyle w:val="Order3"/>
        <w:numPr>
          <w:ilvl w:val="0"/>
          <w:numId w:val="0"/>
        </w:numPr>
        <w:tabs>
          <w:tab w:val="left" w:pos="1440"/>
        </w:tabs>
        <w:ind w:left="2160" w:hanging="720"/>
      </w:pPr>
      <w:r w:rsidRPr="0084099C">
        <w:rPr>
          <w:bCs/>
        </w:rPr>
        <w:t>(ii)</w:t>
      </w:r>
      <w:r w:rsidRPr="0084099C">
        <w:rPr>
          <w:bCs/>
        </w:rPr>
        <w:tab/>
      </w:r>
      <w:r w:rsidR="0084099C" w:rsidRPr="0084099C">
        <w:t xml:space="preserve">ensure that the relevant internal processes of its business comply with rules 31(1), 31(2) and 31(3) of the Retail Rules in relation to dealing with Inactive Customers; </w:t>
      </w:r>
    </w:p>
    <w:p w14:paraId="01BF322A" w14:textId="45525319" w:rsidR="0084099C" w:rsidRPr="0084099C" w:rsidRDefault="00E75035" w:rsidP="00E75035">
      <w:pPr>
        <w:pStyle w:val="Order2"/>
        <w:numPr>
          <w:ilvl w:val="0"/>
          <w:numId w:val="0"/>
        </w:numPr>
        <w:ind w:left="1440" w:hanging="720"/>
      </w:pPr>
      <w:r w:rsidRPr="0084099C">
        <w:rPr>
          <w:bCs/>
        </w:rPr>
        <w:t>(b)</w:t>
      </w:r>
      <w:r w:rsidRPr="0084099C">
        <w:rPr>
          <w:bCs/>
        </w:rPr>
        <w:tab/>
      </w:r>
      <w:r w:rsidR="0084099C" w:rsidRPr="0084099C">
        <w:t>at their own expense, maintain and administer the compliance and training program referred to in paragraph 5(a) for a period of three years from the date of these orders;</w:t>
      </w:r>
    </w:p>
    <w:p w14:paraId="1EF419D3" w14:textId="1E232515" w:rsidR="0084099C" w:rsidRPr="0084099C" w:rsidRDefault="00E75035" w:rsidP="00E75035">
      <w:pPr>
        <w:pStyle w:val="Order2"/>
        <w:keepNext/>
        <w:numPr>
          <w:ilvl w:val="0"/>
          <w:numId w:val="0"/>
        </w:numPr>
        <w:ind w:left="1440" w:hanging="720"/>
      </w:pPr>
      <w:r w:rsidRPr="0084099C">
        <w:rPr>
          <w:bCs/>
        </w:rPr>
        <w:t>(c)</w:t>
      </w:r>
      <w:r w:rsidRPr="0084099C">
        <w:rPr>
          <w:bCs/>
        </w:rPr>
        <w:tab/>
      </w:r>
      <w:r w:rsidR="0084099C" w:rsidRPr="0084099C">
        <w:t xml:space="preserve">at their own expense, appoint a suitably qualified independent compliance professional (the </w:t>
      </w:r>
      <w:r w:rsidR="0084099C" w:rsidRPr="001820D3">
        <w:rPr>
          <w:b/>
        </w:rPr>
        <w:t>Reviewer</w:t>
      </w:r>
      <w:r w:rsidR="0084099C" w:rsidRPr="0084099C">
        <w:t xml:space="preserve">) with expertise in the national energy laws whose appointment has been approved by the </w:t>
      </w:r>
      <w:r w:rsidR="009E35A5">
        <w:t>a</w:t>
      </w:r>
      <w:r w:rsidR="0084099C" w:rsidRPr="0084099C">
        <w:t>pplicant, to conduct a review of the implementation and effectiveness of the compliance and training program referred to in paragraph 5(a) above annually for two years, commencing 12</w:t>
      </w:r>
      <w:r w:rsidR="009E35A5">
        <w:t> </w:t>
      </w:r>
      <w:r w:rsidR="0084099C" w:rsidRPr="0084099C">
        <w:t xml:space="preserve">months after the date of this order and to prepare a written report to be </w:t>
      </w:r>
      <w:r w:rsidR="0084099C" w:rsidRPr="0084099C">
        <w:lastRenderedPageBreak/>
        <w:t xml:space="preserve">provided to the </w:t>
      </w:r>
      <w:r w:rsidR="009E35A5">
        <w:t>f</w:t>
      </w:r>
      <w:r w:rsidR="0084099C" w:rsidRPr="0084099C">
        <w:t xml:space="preserve">irst, </w:t>
      </w:r>
      <w:r w:rsidR="009E35A5">
        <w:t>s</w:t>
      </w:r>
      <w:r w:rsidR="0084099C" w:rsidRPr="0084099C">
        <w:t xml:space="preserve">econd and </w:t>
      </w:r>
      <w:r w:rsidR="009E35A5">
        <w:t>t</w:t>
      </w:r>
      <w:r w:rsidR="0084099C" w:rsidRPr="0084099C">
        <w:t xml:space="preserve">hird </w:t>
      </w:r>
      <w:r w:rsidR="009E35A5">
        <w:t>r</w:t>
      </w:r>
      <w:r w:rsidR="0084099C" w:rsidRPr="0084099C">
        <w:t>espondents within 60 days of the commencement of each review, with the report to address the following matters:</w:t>
      </w:r>
    </w:p>
    <w:p w14:paraId="158F7FB6" w14:textId="0F6B3028" w:rsidR="0084099C" w:rsidRPr="0084099C" w:rsidRDefault="00E75035" w:rsidP="00E75035">
      <w:pPr>
        <w:pStyle w:val="Order3"/>
        <w:numPr>
          <w:ilvl w:val="0"/>
          <w:numId w:val="0"/>
        </w:numPr>
        <w:tabs>
          <w:tab w:val="left" w:pos="1440"/>
        </w:tabs>
        <w:ind w:left="2160" w:hanging="720"/>
      </w:pPr>
      <w:r w:rsidRPr="0084099C">
        <w:rPr>
          <w:bCs/>
        </w:rPr>
        <w:t>(i)</w:t>
      </w:r>
      <w:r w:rsidRPr="0084099C">
        <w:rPr>
          <w:bCs/>
        </w:rPr>
        <w:tab/>
      </w:r>
      <w:r w:rsidR="0084099C" w:rsidRPr="0084099C">
        <w:t xml:space="preserve">identification of the processes which the relevant </w:t>
      </w:r>
      <w:r w:rsidR="00E44DC5">
        <w:t>r</w:t>
      </w:r>
      <w:r w:rsidR="0084099C" w:rsidRPr="0084099C">
        <w:t>espondent has in place to comply with rule 31;</w:t>
      </w:r>
    </w:p>
    <w:p w14:paraId="3D231B3F" w14:textId="35AED697" w:rsidR="0084099C" w:rsidRPr="0084099C" w:rsidRDefault="00E75035" w:rsidP="00E75035">
      <w:pPr>
        <w:pStyle w:val="Order3"/>
        <w:numPr>
          <w:ilvl w:val="0"/>
          <w:numId w:val="0"/>
        </w:numPr>
        <w:tabs>
          <w:tab w:val="left" w:pos="1440"/>
        </w:tabs>
        <w:ind w:left="2160" w:hanging="720"/>
      </w:pPr>
      <w:r w:rsidRPr="0084099C">
        <w:rPr>
          <w:bCs/>
        </w:rPr>
        <w:t>(ii)</w:t>
      </w:r>
      <w:r w:rsidRPr="0084099C">
        <w:rPr>
          <w:bCs/>
        </w:rPr>
        <w:tab/>
      </w:r>
      <w:r w:rsidR="0084099C" w:rsidRPr="0084099C">
        <w:t xml:space="preserve">an assessment of the relevant </w:t>
      </w:r>
      <w:r w:rsidR="00E44DC5">
        <w:t>r</w:t>
      </w:r>
      <w:r w:rsidR="0084099C" w:rsidRPr="0084099C">
        <w:t>espondent’s processes and their robustness to ensure compliance with rule 31;</w:t>
      </w:r>
    </w:p>
    <w:p w14:paraId="06D90739" w14:textId="0926EF16" w:rsidR="0084099C" w:rsidRPr="0084099C" w:rsidRDefault="00E75035" w:rsidP="00E75035">
      <w:pPr>
        <w:pStyle w:val="Order3"/>
        <w:numPr>
          <w:ilvl w:val="0"/>
          <w:numId w:val="0"/>
        </w:numPr>
        <w:tabs>
          <w:tab w:val="left" w:pos="1440"/>
        </w:tabs>
        <w:ind w:left="2160" w:hanging="720"/>
      </w:pPr>
      <w:r w:rsidRPr="0084099C">
        <w:rPr>
          <w:bCs/>
        </w:rPr>
        <w:t>(iii)</w:t>
      </w:r>
      <w:r w:rsidRPr="0084099C">
        <w:rPr>
          <w:bCs/>
        </w:rPr>
        <w:tab/>
      </w:r>
      <w:r w:rsidR="0084099C" w:rsidRPr="0084099C">
        <w:t xml:space="preserve">an assessment of the operating effectiveness of the relevant </w:t>
      </w:r>
      <w:r w:rsidR="00E44DC5">
        <w:t>r</w:t>
      </w:r>
      <w:r w:rsidR="0084099C" w:rsidRPr="0084099C">
        <w:t>espondent’s processes to comply with rule 31; and</w:t>
      </w:r>
    </w:p>
    <w:p w14:paraId="4EF6C62F" w14:textId="2FA9336F" w:rsidR="0084099C" w:rsidRPr="0084099C" w:rsidRDefault="00E75035" w:rsidP="00E75035">
      <w:pPr>
        <w:pStyle w:val="Order3"/>
        <w:numPr>
          <w:ilvl w:val="0"/>
          <w:numId w:val="0"/>
        </w:numPr>
        <w:tabs>
          <w:tab w:val="left" w:pos="1440"/>
        </w:tabs>
        <w:ind w:left="2160" w:hanging="720"/>
      </w:pPr>
      <w:r w:rsidRPr="0084099C">
        <w:rPr>
          <w:bCs/>
        </w:rPr>
        <w:t>(iv)</w:t>
      </w:r>
      <w:r w:rsidRPr="0084099C">
        <w:rPr>
          <w:bCs/>
        </w:rPr>
        <w:tab/>
      </w:r>
      <w:r w:rsidR="0084099C" w:rsidRPr="0084099C">
        <w:t xml:space="preserve">any recommendations for any action to be taken by the relevant </w:t>
      </w:r>
      <w:r w:rsidR="00E44DC5">
        <w:t>r</w:t>
      </w:r>
      <w:r w:rsidR="0084099C" w:rsidRPr="0084099C">
        <w:t>espondent having regard to the above assessments.</w:t>
      </w:r>
    </w:p>
    <w:p w14:paraId="6C1DE6EB" w14:textId="50620F12" w:rsidR="0084099C" w:rsidRPr="0084099C" w:rsidRDefault="0084099C" w:rsidP="00420F45">
      <w:pPr>
        <w:pStyle w:val="Order2"/>
        <w:numPr>
          <w:ilvl w:val="0"/>
          <w:numId w:val="0"/>
        </w:numPr>
        <w:ind w:left="1440"/>
      </w:pPr>
      <w:r w:rsidRPr="0084099C">
        <w:t xml:space="preserve">The appointed Reviewer may be replaced by the </w:t>
      </w:r>
      <w:r w:rsidR="00032792">
        <w:t>f</w:t>
      </w:r>
      <w:r w:rsidRPr="0084099C">
        <w:t xml:space="preserve">irst, </w:t>
      </w:r>
      <w:r w:rsidR="00032792">
        <w:t>s</w:t>
      </w:r>
      <w:r w:rsidRPr="0084099C">
        <w:t xml:space="preserve">econd and </w:t>
      </w:r>
      <w:r w:rsidR="00032792">
        <w:t>t</w:t>
      </w:r>
      <w:r w:rsidRPr="0084099C">
        <w:t xml:space="preserve">hird </w:t>
      </w:r>
      <w:r w:rsidR="00032792">
        <w:t>r</w:t>
      </w:r>
      <w:r w:rsidRPr="0084099C">
        <w:t xml:space="preserve">espondents if necessary, with the prior approval of the </w:t>
      </w:r>
      <w:r w:rsidR="00032792">
        <w:t>a</w:t>
      </w:r>
      <w:r w:rsidRPr="0084099C">
        <w:t>pplicant;</w:t>
      </w:r>
    </w:p>
    <w:p w14:paraId="5230AA26" w14:textId="6285520A" w:rsidR="0084099C" w:rsidRPr="0084099C" w:rsidRDefault="00E75035" w:rsidP="00E75035">
      <w:pPr>
        <w:pStyle w:val="Order2"/>
        <w:numPr>
          <w:ilvl w:val="0"/>
          <w:numId w:val="0"/>
        </w:numPr>
        <w:ind w:left="1440" w:hanging="720"/>
      </w:pPr>
      <w:r w:rsidRPr="0084099C">
        <w:rPr>
          <w:bCs/>
        </w:rPr>
        <w:t>(d)</w:t>
      </w:r>
      <w:r w:rsidRPr="0084099C">
        <w:rPr>
          <w:bCs/>
        </w:rPr>
        <w:tab/>
      </w:r>
      <w:r w:rsidR="0084099C" w:rsidRPr="0084099C">
        <w:t xml:space="preserve">provide the Reviewer with access to all sources of information within the possession, power or control of the </w:t>
      </w:r>
      <w:r w:rsidR="00032792">
        <w:t>f</w:t>
      </w:r>
      <w:r w:rsidR="0084099C" w:rsidRPr="0084099C">
        <w:t xml:space="preserve">irst, </w:t>
      </w:r>
      <w:r w:rsidR="00032792">
        <w:t>s</w:t>
      </w:r>
      <w:r w:rsidR="0084099C" w:rsidRPr="0084099C">
        <w:t xml:space="preserve">econd and </w:t>
      </w:r>
      <w:r w:rsidR="00032792">
        <w:t>t</w:t>
      </w:r>
      <w:r w:rsidR="0084099C" w:rsidRPr="0084099C">
        <w:t xml:space="preserve">hird </w:t>
      </w:r>
      <w:r w:rsidR="00032792">
        <w:t>r</w:t>
      </w:r>
      <w:r w:rsidR="0084099C" w:rsidRPr="0084099C">
        <w:t>espondents and any related body corporate that is relevant to the review;</w:t>
      </w:r>
    </w:p>
    <w:p w14:paraId="2FFC597C" w14:textId="4EA31C66" w:rsidR="0084099C" w:rsidRPr="0084099C" w:rsidRDefault="00E75035" w:rsidP="00E75035">
      <w:pPr>
        <w:pStyle w:val="Order2"/>
        <w:numPr>
          <w:ilvl w:val="0"/>
          <w:numId w:val="0"/>
        </w:numPr>
        <w:ind w:left="1440" w:hanging="720"/>
      </w:pPr>
      <w:r w:rsidRPr="0084099C">
        <w:rPr>
          <w:bCs/>
        </w:rPr>
        <w:t>(e)</w:t>
      </w:r>
      <w:r w:rsidRPr="0084099C">
        <w:rPr>
          <w:bCs/>
        </w:rPr>
        <w:tab/>
      </w:r>
      <w:r w:rsidR="0084099C" w:rsidRPr="0084099C">
        <w:t xml:space="preserve">within 30 days after receiving the Reviewer’s written report provide a copy of that report to the </w:t>
      </w:r>
      <w:r w:rsidR="00032792">
        <w:t>a</w:t>
      </w:r>
      <w:r w:rsidR="0084099C" w:rsidRPr="0084099C">
        <w:t>pplicant;</w:t>
      </w:r>
    </w:p>
    <w:p w14:paraId="7F01B02D" w14:textId="30AF42D1" w:rsidR="0084099C" w:rsidRPr="0084099C" w:rsidRDefault="00E75035" w:rsidP="00E75035">
      <w:pPr>
        <w:pStyle w:val="Order2"/>
        <w:numPr>
          <w:ilvl w:val="0"/>
          <w:numId w:val="0"/>
        </w:numPr>
        <w:ind w:left="1440" w:hanging="720"/>
      </w:pPr>
      <w:r w:rsidRPr="0084099C">
        <w:rPr>
          <w:bCs/>
        </w:rPr>
        <w:t>(f)</w:t>
      </w:r>
      <w:r w:rsidRPr="0084099C">
        <w:rPr>
          <w:bCs/>
        </w:rPr>
        <w:tab/>
      </w:r>
      <w:r w:rsidR="0084099C" w:rsidRPr="0084099C">
        <w:t xml:space="preserve">implement promptly and with due diligence any reasonable recommendations made by the Reviewer and advise the </w:t>
      </w:r>
      <w:r w:rsidR="00032792">
        <w:t>a</w:t>
      </w:r>
      <w:r w:rsidR="0084099C" w:rsidRPr="0084099C">
        <w:t>pplicant in writing as to the recommendations that have been implemented and / or adopted and, where a recommendation has not been implemented and / or adopted, the reasons why;</w:t>
      </w:r>
    </w:p>
    <w:p w14:paraId="7ED0AF25" w14:textId="08293A53" w:rsidR="0084099C" w:rsidRPr="0084099C" w:rsidRDefault="00E75035" w:rsidP="00E75035">
      <w:pPr>
        <w:pStyle w:val="Order2"/>
        <w:numPr>
          <w:ilvl w:val="0"/>
          <w:numId w:val="0"/>
        </w:numPr>
        <w:ind w:left="1440" w:hanging="720"/>
      </w:pPr>
      <w:r w:rsidRPr="0084099C">
        <w:rPr>
          <w:bCs/>
        </w:rPr>
        <w:t>(g)</w:t>
      </w:r>
      <w:r w:rsidRPr="0084099C">
        <w:rPr>
          <w:bCs/>
        </w:rPr>
        <w:tab/>
      </w:r>
      <w:r w:rsidR="0084099C" w:rsidRPr="0084099C">
        <w:t>ensure that the Reviewer will be independent for the purposes of paragraph 5(c) by only appointing a Reviewer that:</w:t>
      </w:r>
    </w:p>
    <w:p w14:paraId="26DC27F0" w14:textId="3E3EBEC4" w:rsidR="0084099C" w:rsidRPr="0084099C" w:rsidRDefault="00E75035" w:rsidP="00E75035">
      <w:pPr>
        <w:pStyle w:val="Order3"/>
        <w:numPr>
          <w:ilvl w:val="0"/>
          <w:numId w:val="0"/>
        </w:numPr>
        <w:tabs>
          <w:tab w:val="left" w:pos="1440"/>
        </w:tabs>
        <w:ind w:left="2160" w:hanging="720"/>
      </w:pPr>
      <w:r w:rsidRPr="0084099C">
        <w:rPr>
          <w:bCs/>
        </w:rPr>
        <w:t>(i)</w:t>
      </w:r>
      <w:r w:rsidRPr="0084099C">
        <w:rPr>
          <w:bCs/>
        </w:rPr>
        <w:tab/>
      </w:r>
      <w:r w:rsidR="0084099C" w:rsidRPr="0084099C">
        <w:t>did not design or implement the compliance and training program referred to in paragraph 5(a);</w:t>
      </w:r>
    </w:p>
    <w:p w14:paraId="66F4E1A6" w14:textId="1E36FAC3" w:rsidR="0084099C" w:rsidRPr="0084099C" w:rsidRDefault="00E75035" w:rsidP="00E75035">
      <w:pPr>
        <w:pStyle w:val="Order3"/>
        <w:numPr>
          <w:ilvl w:val="0"/>
          <w:numId w:val="0"/>
        </w:numPr>
        <w:tabs>
          <w:tab w:val="left" w:pos="1440"/>
        </w:tabs>
        <w:ind w:left="2160" w:hanging="720"/>
      </w:pPr>
      <w:r w:rsidRPr="0084099C">
        <w:rPr>
          <w:bCs/>
        </w:rPr>
        <w:t>(ii)</w:t>
      </w:r>
      <w:r w:rsidRPr="0084099C">
        <w:rPr>
          <w:bCs/>
        </w:rPr>
        <w:tab/>
      </w:r>
      <w:r w:rsidR="0084099C" w:rsidRPr="0084099C">
        <w:t xml:space="preserve">is not a current employee, contractor or director of the </w:t>
      </w:r>
      <w:r w:rsidR="00460A7C">
        <w:t>f</w:t>
      </w:r>
      <w:r w:rsidR="0084099C" w:rsidRPr="0084099C">
        <w:t xml:space="preserve">irst, </w:t>
      </w:r>
      <w:r w:rsidR="00460A7C">
        <w:t>s</w:t>
      </w:r>
      <w:r w:rsidR="0084099C" w:rsidRPr="0084099C">
        <w:t xml:space="preserve">econd and </w:t>
      </w:r>
      <w:r w:rsidR="00460A7C">
        <w:t>t</w:t>
      </w:r>
      <w:r w:rsidR="0084099C" w:rsidRPr="0084099C">
        <w:t xml:space="preserve">hird </w:t>
      </w:r>
      <w:r w:rsidR="00460A7C">
        <w:t>r</w:t>
      </w:r>
      <w:r w:rsidR="0084099C" w:rsidRPr="0084099C">
        <w:t xml:space="preserve">espondents or any related body corporate, and has not been an employee, contractor or director of the </w:t>
      </w:r>
      <w:r w:rsidR="00460A7C">
        <w:t>f</w:t>
      </w:r>
      <w:r w:rsidR="0084099C" w:rsidRPr="0084099C">
        <w:t xml:space="preserve">irst, </w:t>
      </w:r>
      <w:r w:rsidR="00460A7C">
        <w:t>s</w:t>
      </w:r>
      <w:r w:rsidR="0084099C" w:rsidRPr="0084099C">
        <w:t xml:space="preserve">econd and </w:t>
      </w:r>
      <w:r w:rsidR="00460A7C">
        <w:t>t</w:t>
      </w:r>
      <w:r w:rsidR="0084099C" w:rsidRPr="0084099C">
        <w:t xml:space="preserve">hird </w:t>
      </w:r>
      <w:r w:rsidR="00460A7C">
        <w:t>r</w:t>
      </w:r>
      <w:r w:rsidR="0084099C" w:rsidRPr="0084099C">
        <w:t>espondents or any related body corporate in the five years preceding the date of these orders;</w:t>
      </w:r>
    </w:p>
    <w:p w14:paraId="5B8197BC" w14:textId="511E9B41" w:rsidR="0084099C" w:rsidRPr="0084099C" w:rsidRDefault="00E75035" w:rsidP="00E75035">
      <w:pPr>
        <w:pStyle w:val="Order3"/>
        <w:numPr>
          <w:ilvl w:val="0"/>
          <w:numId w:val="0"/>
        </w:numPr>
        <w:tabs>
          <w:tab w:val="left" w:pos="1440"/>
        </w:tabs>
        <w:ind w:left="2160" w:hanging="720"/>
      </w:pPr>
      <w:r w:rsidRPr="0084099C">
        <w:rPr>
          <w:bCs/>
        </w:rPr>
        <w:t>(iii)</w:t>
      </w:r>
      <w:r w:rsidRPr="0084099C">
        <w:rPr>
          <w:bCs/>
        </w:rPr>
        <w:tab/>
      </w:r>
      <w:r w:rsidR="0084099C" w:rsidRPr="0084099C">
        <w:t xml:space="preserve">has not represented and does not represent the </w:t>
      </w:r>
      <w:r w:rsidR="00460A7C">
        <w:t>f</w:t>
      </w:r>
      <w:r w:rsidR="0084099C" w:rsidRPr="0084099C">
        <w:t xml:space="preserve">irst, </w:t>
      </w:r>
      <w:r w:rsidR="00460A7C">
        <w:t>s</w:t>
      </w:r>
      <w:r w:rsidR="0084099C" w:rsidRPr="0084099C">
        <w:t xml:space="preserve">econd and </w:t>
      </w:r>
      <w:r w:rsidR="00460A7C">
        <w:t>t</w:t>
      </w:r>
      <w:r w:rsidR="0084099C" w:rsidRPr="0084099C">
        <w:t xml:space="preserve">hird </w:t>
      </w:r>
      <w:r w:rsidR="00460A7C">
        <w:t>r</w:t>
      </w:r>
      <w:r w:rsidR="0084099C" w:rsidRPr="0084099C">
        <w:t>espondents in any energy regulatory or consumer matters; and</w:t>
      </w:r>
    </w:p>
    <w:p w14:paraId="15A6FFDC" w14:textId="21623F2E" w:rsidR="0084099C" w:rsidRPr="0084099C" w:rsidRDefault="00E75035" w:rsidP="00E75035">
      <w:pPr>
        <w:pStyle w:val="Order3"/>
        <w:numPr>
          <w:ilvl w:val="0"/>
          <w:numId w:val="0"/>
        </w:numPr>
        <w:tabs>
          <w:tab w:val="left" w:pos="1440"/>
        </w:tabs>
        <w:ind w:left="2160" w:hanging="720"/>
      </w:pPr>
      <w:r w:rsidRPr="0084099C">
        <w:rPr>
          <w:bCs/>
        </w:rPr>
        <w:lastRenderedPageBreak/>
        <w:t>(iv)</w:t>
      </w:r>
      <w:r w:rsidRPr="0084099C">
        <w:rPr>
          <w:bCs/>
        </w:rPr>
        <w:tab/>
      </w:r>
      <w:r w:rsidR="0084099C" w:rsidRPr="0084099C">
        <w:t xml:space="preserve">has no significant shareholding or other interests in the </w:t>
      </w:r>
      <w:r w:rsidR="00460A7C">
        <w:t>f</w:t>
      </w:r>
      <w:r w:rsidR="0084099C" w:rsidRPr="0084099C">
        <w:t xml:space="preserve">irst, </w:t>
      </w:r>
      <w:r w:rsidR="00460A7C">
        <w:t>s</w:t>
      </w:r>
      <w:r w:rsidR="0084099C" w:rsidRPr="0084099C">
        <w:t xml:space="preserve">econd and </w:t>
      </w:r>
      <w:r w:rsidR="00460A7C">
        <w:t>t</w:t>
      </w:r>
      <w:r w:rsidR="0084099C" w:rsidRPr="0084099C">
        <w:t xml:space="preserve">hird </w:t>
      </w:r>
      <w:r w:rsidR="00460A7C">
        <w:t>r</w:t>
      </w:r>
      <w:r w:rsidR="0084099C" w:rsidRPr="0084099C">
        <w:t>espondents or any related body corporate</w:t>
      </w:r>
      <w:r w:rsidR="006C1197">
        <w:t>;</w:t>
      </w:r>
    </w:p>
    <w:p w14:paraId="42B2585D" w14:textId="7DC59E99" w:rsidR="0084099C" w:rsidRPr="0084099C" w:rsidRDefault="00E75035" w:rsidP="00E75035">
      <w:pPr>
        <w:pStyle w:val="Order2"/>
        <w:numPr>
          <w:ilvl w:val="0"/>
          <w:numId w:val="0"/>
        </w:numPr>
        <w:ind w:left="1440" w:hanging="720"/>
      </w:pPr>
      <w:r w:rsidRPr="0084099C">
        <w:rPr>
          <w:bCs/>
        </w:rPr>
        <w:t>(h)</w:t>
      </w:r>
      <w:r w:rsidRPr="0084099C">
        <w:rPr>
          <w:bCs/>
        </w:rPr>
        <w:tab/>
      </w:r>
      <w:r w:rsidR="0084099C" w:rsidRPr="0084099C">
        <w:t xml:space="preserve">within 90 days of the date of these orders, appoint a compliance officer to be responsible for ensuring that the processes implemented by the </w:t>
      </w:r>
      <w:r w:rsidR="00460A7C">
        <w:t>f</w:t>
      </w:r>
      <w:r w:rsidR="0084099C" w:rsidRPr="0084099C">
        <w:t xml:space="preserve">irst, </w:t>
      </w:r>
      <w:r w:rsidR="00460A7C">
        <w:t>s</w:t>
      </w:r>
      <w:r w:rsidR="0084099C" w:rsidRPr="0084099C">
        <w:t xml:space="preserve">econd and </w:t>
      </w:r>
      <w:r w:rsidR="00460A7C">
        <w:t>t</w:t>
      </w:r>
      <w:r w:rsidR="0084099C" w:rsidRPr="0084099C">
        <w:t xml:space="preserve">hird </w:t>
      </w:r>
      <w:r w:rsidR="00460A7C">
        <w:t>r</w:t>
      </w:r>
      <w:r w:rsidR="0084099C" w:rsidRPr="0084099C">
        <w:t>espondents in relation to Inactive Customers comply with the requirements of this order, and ensure that a suitably qualified person carries out the role of compliance officer for the period of three years from the date of this order;</w:t>
      </w:r>
    </w:p>
    <w:p w14:paraId="4EF4BF87" w14:textId="57E16AA8" w:rsidR="0084099C" w:rsidRPr="0084099C" w:rsidRDefault="00E75035" w:rsidP="00E75035">
      <w:pPr>
        <w:pStyle w:val="Order2"/>
        <w:numPr>
          <w:ilvl w:val="0"/>
          <w:numId w:val="0"/>
        </w:numPr>
        <w:ind w:left="1440" w:hanging="720"/>
      </w:pPr>
      <w:r w:rsidRPr="0084099C">
        <w:rPr>
          <w:bCs/>
        </w:rPr>
        <w:t>(i)</w:t>
      </w:r>
      <w:r w:rsidRPr="0084099C">
        <w:rPr>
          <w:bCs/>
        </w:rPr>
        <w:tab/>
      </w:r>
      <w:r w:rsidR="0084099C" w:rsidRPr="0084099C">
        <w:t>ensure that the compliance officer reports annually to the Audit and Risk Management Committee (</w:t>
      </w:r>
      <w:r w:rsidR="0084099C" w:rsidRPr="00CF2181">
        <w:rPr>
          <w:b/>
        </w:rPr>
        <w:t>ARMC</w:t>
      </w:r>
      <w:r w:rsidR="0084099C" w:rsidRPr="0084099C">
        <w:t xml:space="preserve">) of the </w:t>
      </w:r>
      <w:r w:rsidR="00CF2181">
        <w:t>f</w:t>
      </w:r>
      <w:r w:rsidR="0084099C" w:rsidRPr="0084099C">
        <w:t xml:space="preserve">irst, </w:t>
      </w:r>
      <w:r w:rsidR="00CF2181">
        <w:t>s</w:t>
      </w:r>
      <w:r w:rsidR="0084099C" w:rsidRPr="0084099C">
        <w:t xml:space="preserve">econd and </w:t>
      </w:r>
      <w:r w:rsidR="00CF2181">
        <w:t>t</w:t>
      </w:r>
      <w:r w:rsidR="0084099C" w:rsidRPr="0084099C">
        <w:t xml:space="preserve">hird </w:t>
      </w:r>
      <w:r w:rsidR="00CF2181">
        <w:t>r</w:t>
      </w:r>
      <w:r w:rsidR="0084099C" w:rsidRPr="0084099C">
        <w:t xml:space="preserve">espondents on compliance with the matters set out in paragraphs 4 and 5 of this order and, within 30 days of that report being made to the ARMC, provide a copy of that report to the </w:t>
      </w:r>
      <w:r w:rsidR="00CF2181">
        <w:t>a</w:t>
      </w:r>
      <w:r w:rsidR="0084099C" w:rsidRPr="0084099C">
        <w:t>pplicant;</w:t>
      </w:r>
    </w:p>
    <w:p w14:paraId="1E646C6C" w14:textId="1182897E" w:rsidR="0084099C" w:rsidRPr="0084099C" w:rsidRDefault="00E75035" w:rsidP="00E75035">
      <w:pPr>
        <w:pStyle w:val="Order2"/>
        <w:numPr>
          <w:ilvl w:val="0"/>
          <w:numId w:val="0"/>
        </w:numPr>
        <w:ind w:left="1440" w:hanging="720"/>
      </w:pPr>
      <w:r w:rsidRPr="0084099C">
        <w:rPr>
          <w:bCs/>
        </w:rPr>
        <w:t>(j)</w:t>
      </w:r>
      <w:r w:rsidRPr="0084099C">
        <w:rPr>
          <w:bCs/>
        </w:rPr>
        <w:tab/>
      </w:r>
      <w:r w:rsidR="0084099C" w:rsidRPr="0084099C">
        <w:t>ensure that the compliance officer provides all requested assistance to the Reviewer appointed to conduct a review in accordance with paragraph 5(c); and</w:t>
      </w:r>
    </w:p>
    <w:p w14:paraId="0DA01E90" w14:textId="37E61A0F" w:rsidR="0084099C" w:rsidRPr="0084099C" w:rsidRDefault="00E75035" w:rsidP="00E75035">
      <w:pPr>
        <w:pStyle w:val="Order2"/>
        <w:numPr>
          <w:ilvl w:val="0"/>
          <w:numId w:val="0"/>
        </w:numPr>
        <w:ind w:left="1440" w:hanging="720"/>
      </w:pPr>
      <w:r w:rsidRPr="0084099C">
        <w:rPr>
          <w:bCs/>
        </w:rPr>
        <w:t>(k)</w:t>
      </w:r>
      <w:r w:rsidRPr="0084099C">
        <w:rPr>
          <w:bCs/>
        </w:rPr>
        <w:tab/>
      </w:r>
      <w:r w:rsidR="0084099C" w:rsidRPr="0084099C">
        <w:t xml:space="preserve">ensure that the compliance officer promptly receives a copy of the Reviewer’s report each year and is responsible for overseeing the implementation of the recommendations in the report that have been adopted by the </w:t>
      </w:r>
      <w:r w:rsidR="00FD0E36">
        <w:t>f</w:t>
      </w:r>
      <w:r w:rsidR="0084099C" w:rsidRPr="0084099C">
        <w:t xml:space="preserve">irst, </w:t>
      </w:r>
      <w:r w:rsidR="00FD0E36">
        <w:t>s</w:t>
      </w:r>
      <w:r w:rsidR="0084099C" w:rsidRPr="0084099C">
        <w:t xml:space="preserve">econd and </w:t>
      </w:r>
      <w:r w:rsidR="00FD0E36">
        <w:t>t</w:t>
      </w:r>
      <w:r w:rsidR="0084099C" w:rsidRPr="0084099C">
        <w:t xml:space="preserve">hird </w:t>
      </w:r>
      <w:r w:rsidR="00FD0E36">
        <w:t>r</w:t>
      </w:r>
      <w:r w:rsidR="0084099C" w:rsidRPr="0084099C">
        <w:t>espondents.</w:t>
      </w:r>
    </w:p>
    <w:p w14:paraId="52C13E0C" w14:textId="6BE128C6" w:rsidR="0084099C" w:rsidRPr="0084099C" w:rsidRDefault="00E75035" w:rsidP="00E75035">
      <w:pPr>
        <w:pStyle w:val="Order1"/>
        <w:numPr>
          <w:ilvl w:val="0"/>
          <w:numId w:val="0"/>
        </w:numPr>
        <w:ind w:left="720" w:hanging="720"/>
      </w:pPr>
      <w:r w:rsidRPr="0084099C">
        <w:rPr>
          <w:bCs/>
        </w:rPr>
        <w:t>6.</w:t>
      </w:r>
      <w:r w:rsidRPr="0084099C">
        <w:rPr>
          <w:bCs/>
        </w:rPr>
        <w:tab/>
      </w:r>
      <w:r w:rsidR="0084099C" w:rsidRPr="0084099C">
        <w:t xml:space="preserve">The </w:t>
      </w:r>
      <w:r w:rsidR="00DB2F03">
        <w:t>r</w:t>
      </w:r>
      <w:r w:rsidR="0084099C" w:rsidRPr="0084099C">
        <w:t xml:space="preserve">espondents pay the </w:t>
      </w:r>
      <w:r w:rsidR="00DB2F03">
        <w:t>a</w:t>
      </w:r>
      <w:r w:rsidR="0084099C" w:rsidRPr="0084099C">
        <w:t>pplicant’s costs of the proceeding as agreed or</w:t>
      </w:r>
      <w:r w:rsidR="006C1197">
        <w:t>, failing agreement, to be</w:t>
      </w:r>
      <w:r w:rsidR="0084099C" w:rsidRPr="0084099C">
        <w:t xml:space="preserve"> taxed.</w:t>
      </w:r>
    </w:p>
    <w:p w14:paraId="0C1715B6" w14:textId="77777777" w:rsidR="0084099C" w:rsidRPr="00CD4631" w:rsidRDefault="0084099C" w:rsidP="00832108">
      <w:pPr>
        <w:pStyle w:val="NormalHeadings"/>
        <w:spacing w:before="240" w:after="240" w:line="360" w:lineRule="auto"/>
        <w:rPr>
          <w:b w:val="0"/>
          <w:bCs/>
          <w:szCs w:val="24"/>
        </w:rPr>
      </w:pPr>
    </w:p>
    <w:p w14:paraId="7CDDDFF7" w14:textId="7D0BB85A" w:rsidR="0050309C" w:rsidRDefault="00F52C1C"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66E6141E" w14:textId="77777777" w:rsidR="003E728D" w:rsidRDefault="003E728D">
      <w:pPr>
        <w:spacing w:line="240" w:lineRule="auto"/>
        <w:jc w:val="left"/>
      </w:pPr>
    </w:p>
    <w:p w14:paraId="239EB9D0" w14:textId="77777777" w:rsidR="00B710F2" w:rsidRDefault="00B710F2" w:rsidP="002B0E91">
      <w:pPr>
        <w:pStyle w:val="BodyText"/>
      </w:pPr>
    </w:p>
    <w:p w14:paraId="1B4B1E28"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2BD0A3D9"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7E2A81F6" w14:textId="729319AC" w:rsidR="00694BEB" w:rsidRDefault="00F07834" w:rsidP="005E0510">
      <w:pPr>
        <w:pStyle w:val="NormalHeadings"/>
        <w:spacing w:line="360" w:lineRule="auto"/>
        <w:jc w:val="left"/>
        <w:rPr>
          <w:sz w:val="26"/>
          <w:szCs w:val="26"/>
        </w:rPr>
      </w:pPr>
      <w:r>
        <w:rPr>
          <w:sz w:val="26"/>
          <w:szCs w:val="26"/>
        </w:rPr>
        <w:t>DOWNES J:</w:t>
      </w:r>
    </w:p>
    <w:p w14:paraId="3FC8BB2B" w14:textId="2350864B" w:rsidR="00CD1346" w:rsidRDefault="00E75035" w:rsidP="00177526">
      <w:pPr>
        <w:pStyle w:val="Heading1"/>
      </w:pPr>
      <w:r>
        <w:rPr>
          <w:caps w:val="0"/>
        </w:rPr>
        <w:t>SYNOPSIS</w:t>
      </w:r>
    </w:p>
    <w:p w14:paraId="29E3327E" w14:textId="0F16FE0C" w:rsidR="00D4372C" w:rsidRDefault="00E75035" w:rsidP="00E75035">
      <w:pPr>
        <w:pStyle w:val="ParaNumbering"/>
        <w:numPr>
          <w:ilvl w:val="0"/>
          <w:numId w:val="0"/>
        </w:numPr>
        <w:tabs>
          <w:tab w:val="left" w:pos="720"/>
        </w:tabs>
        <w:ind w:hanging="720"/>
      </w:pPr>
      <w:r>
        <w:rPr>
          <w:sz w:val="20"/>
        </w:rPr>
        <w:t>1</w:t>
      </w:r>
      <w:r>
        <w:rPr>
          <w:sz w:val="20"/>
        </w:rPr>
        <w:tab/>
      </w:r>
      <w:r w:rsidR="00623471">
        <w:t>The relevant factual background appears</w:t>
      </w:r>
      <w:r w:rsidR="007F3597">
        <w:t xml:space="preserve"> in </w:t>
      </w:r>
      <w:r w:rsidR="007F3597" w:rsidRPr="00A72AA3">
        <w:rPr>
          <w:i/>
          <w:iCs/>
        </w:rPr>
        <w:t xml:space="preserve">Australian Energy Regulator v AGL Retail Energy Limited </w:t>
      </w:r>
      <w:r w:rsidR="007F3597" w:rsidRPr="00A72AA3">
        <w:t>[2024] FCA 969</w:t>
      </w:r>
      <w:r w:rsidR="007F3597">
        <w:t xml:space="preserve"> (</w:t>
      </w:r>
      <w:r w:rsidR="007F3597">
        <w:rPr>
          <w:b/>
          <w:bCs/>
        </w:rPr>
        <w:t xml:space="preserve">liability judgment </w:t>
      </w:r>
      <w:r w:rsidR="007F3597">
        <w:t xml:space="preserve">or </w:t>
      </w:r>
      <w:r w:rsidR="007F3597">
        <w:rPr>
          <w:b/>
          <w:bCs/>
        </w:rPr>
        <w:t>LJ</w:t>
      </w:r>
      <w:r w:rsidR="007F3597">
        <w:t>).</w:t>
      </w:r>
      <w:r w:rsidR="00D4372C">
        <w:t xml:space="preserve">  </w:t>
      </w:r>
      <w:r w:rsidR="00102F93">
        <w:t>These reasons assume familiarity with the liability judgment</w:t>
      </w:r>
      <w:r w:rsidR="00622B87">
        <w:t>, and I will adopt the defined terms</w:t>
      </w:r>
      <w:r w:rsidR="007B7B57">
        <w:t xml:space="preserve"> used in that judgment</w:t>
      </w:r>
      <w:r w:rsidR="00102F93">
        <w:t>.</w:t>
      </w:r>
    </w:p>
    <w:p w14:paraId="486B468B" w14:textId="5243D389" w:rsidR="0068483B" w:rsidRDefault="00E75035" w:rsidP="00E75035">
      <w:pPr>
        <w:pStyle w:val="ParaNumbering"/>
        <w:numPr>
          <w:ilvl w:val="0"/>
          <w:numId w:val="0"/>
        </w:numPr>
        <w:tabs>
          <w:tab w:val="left" w:pos="720"/>
        </w:tabs>
        <w:ind w:hanging="720"/>
      </w:pPr>
      <w:r>
        <w:rPr>
          <w:sz w:val="20"/>
        </w:rPr>
        <w:t>2</w:t>
      </w:r>
      <w:r>
        <w:rPr>
          <w:sz w:val="20"/>
        </w:rPr>
        <w:tab/>
      </w:r>
      <w:r w:rsidR="002E16B8">
        <w:t>By order dated</w:t>
      </w:r>
      <w:r w:rsidR="00DD130E">
        <w:t xml:space="preserve"> 10 September 2024, the matter </w:t>
      </w:r>
      <w:r w:rsidR="002E16B8">
        <w:t xml:space="preserve">was listed </w:t>
      </w:r>
      <w:r w:rsidR="00DD130E">
        <w:t>for</w:t>
      </w:r>
      <w:r w:rsidR="002E16B8">
        <w:t xml:space="preserve"> </w:t>
      </w:r>
      <w:r w:rsidR="00B276F8">
        <w:t>final hearing as to relief.</w:t>
      </w:r>
      <w:r w:rsidR="0068483B">
        <w:t xml:space="preserve">  </w:t>
      </w:r>
      <w:r w:rsidR="00433FF2">
        <w:t>T</w:t>
      </w:r>
      <w:r w:rsidR="0068483B">
        <w:t xml:space="preserve">he parties each filed </w:t>
      </w:r>
      <w:r w:rsidR="005A5EC1">
        <w:t>a</w:t>
      </w:r>
      <w:r w:rsidR="00EF46C2">
        <w:t xml:space="preserve"> </w:t>
      </w:r>
      <w:r w:rsidR="0068483B">
        <w:t>proposed draft form of order as to final relief.</w:t>
      </w:r>
    </w:p>
    <w:p w14:paraId="73C944DC" w14:textId="135F837B" w:rsidR="00347FAC" w:rsidRDefault="00E75035" w:rsidP="00E75035">
      <w:pPr>
        <w:pStyle w:val="ParaNumbering"/>
        <w:numPr>
          <w:ilvl w:val="0"/>
          <w:numId w:val="0"/>
        </w:numPr>
        <w:tabs>
          <w:tab w:val="left" w:pos="720"/>
        </w:tabs>
        <w:ind w:hanging="720"/>
      </w:pPr>
      <w:r>
        <w:rPr>
          <w:sz w:val="20"/>
        </w:rPr>
        <w:t>3</w:t>
      </w:r>
      <w:r>
        <w:rPr>
          <w:sz w:val="20"/>
        </w:rPr>
        <w:tab/>
      </w:r>
      <w:r w:rsidR="002910E1">
        <w:t>By its draft order, t</w:t>
      </w:r>
      <w:r w:rsidR="0068483B">
        <w:t xml:space="preserve">he </w:t>
      </w:r>
      <w:r w:rsidR="0021792C">
        <w:t xml:space="preserve">AER </w:t>
      </w:r>
      <w:r w:rsidR="006A0413">
        <w:t>seeks</w:t>
      </w:r>
      <w:r w:rsidR="005F5F1B">
        <w:t xml:space="preserve"> (in essence)</w:t>
      </w:r>
      <w:r w:rsidR="002910E1">
        <w:t>:</w:t>
      </w:r>
      <w:r w:rsidR="00347FAC">
        <w:t xml:space="preserve"> </w:t>
      </w:r>
    </w:p>
    <w:p w14:paraId="15A54AF6" w14:textId="4757EE58" w:rsidR="005E396C" w:rsidRDefault="00E75035" w:rsidP="00E75035">
      <w:pPr>
        <w:pStyle w:val="ListNo1"/>
        <w:numPr>
          <w:ilvl w:val="0"/>
          <w:numId w:val="0"/>
        </w:numPr>
        <w:tabs>
          <w:tab w:val="left" w:pos="720"/>
        </w:tabs>
        <w:ind w:left="720" w:hanging="720"/>
      </w:pPr>
      <w:r>
        <w:t>(1)</w:t>
      </w:r>
      <w:r>
        <w:tab/>
      </w:r>
      <w:r w:rsidR="005C3831">
        <w:t xml:space="preserve">certain </w:t>
      </w:r>
      <w:r w:rsidR="00917336">
        <w:t>declarations</w:t>
      </w:r>
      <w:r w:rsidR="007D36EC">
        <w:t xml:space="preserve">; </w:t>
      </w:r>
    </w:p>
    <w:p w14:paraId="157C3C9D" w14:textId="5266A86B" w:rsidR="007D36EC" w:rsidRDefault="00E75035" w:rsidP="00E75035">
      <w:pPr>
        <w:pStyle w:val="ListNo1"/>
        <w:numPr>
          <w:ilvl w:val="0"/>
          <w:numId w:val="0"/>
        </w:numPr>
        <w:tabs>
          <w:tab w:val="left" w:pos="720"/>
        </w:tabs>
        <w:ind w:left="720" w:hanging="720"/>
      </w:pPr>
      <w:r>
        <w:t>(2)</w:t>
      </w:r>
      <w:r>
        <w:tab/>
      </w:r>
      <w:r w:rsidR="007D36EC">
        <w:t>orders for the payment of pecuniary penalties by each AGL Entity commensurate to the number of contraventions attributable to that entity</w:t>
      </w:r>
      <w:r w:rsidR="00396C98">
        <w:t xml:space="preserve">; </w:t>
      </w:r>
    </w:p>
    <w:p w14:paraId="061FD8EA" w14:textId="2EAA32AB" w:rsidR="0044260A" w:rsidRDefault="00E75035" w:rsidP="00E75035">
      <w:pPr>
        <w:pStyle w:val="ListNo1"/>
        <w:numPr>
          <w:ilvl w:val="0"/>
          <w:numId w:val="0"/>
        </w:numPr>
        <w:tabs>
          <w:tab w:val="left" w:pos="720"/>
        </w:tabs>
        <w:ind w:left="720" w:hanging="720"/>
      </w:pPr>
      <w:r>
        <w:t>(3)</w:t>
      </w:r>
      <w:r>
        <w:tab/>
      </w:r>
      <w:r w:rsidR="0044260A">
        <w:t>an order that AGL take action to implement improved compliance systems and processes</w:t>
      </w:r>
      <w:r w:rsidR="00DE0162">
        <w:t>;</w:t>
      </w:r>
      <w:r w:rsidR="0044260A">
        <w:t xml:space="preserve"> </w:t>
      </w:r>
    </w:p>
    <w:p w14:paraId="71C55CB7" w14:textId="0EB41C31" w:rsidR="003832AA" w:rsidRDefault="00E75035" w:rsidP="00E75035">
      <w:pPr>
        <w:pStyle w:val="ListNo1"/>
        <w:numPr>
          <w:ilvl w:val="0"/>
          <w:numId w:val="0"/>
        </w:numPr>
        <w:tabs>
          <w:tab w:val="left" w:pos="720"/>
        </w:tabs>
        <w:ind w:left="720" w:hanging="720"/>
      </w:pPr>
      <w:r>
        <w:t>(4)</w:t>
      </w:r>
      <w:r>
        <w:tab/>
      </w:r>
      <w:r w:rsidR="003832AA">
        <w:t xml:space="preserve">an order that AGL establish, implement, </w:t>
      </w:r>
      <w:r w:rsidR="0044260A">
        <w:t>maintain</w:t>
      </w:r>
      <w:r w:rsidR="003832AA">
        <w:t xml:space="preserve"> and administer a compliance and training program; </w:t>
      </w:r>
      <w:r w:rsidR="0044260A">
        <w:t>and</w:t>
      </w:r>
    </w:p>
    <w:p w14:paraId="404F2A29" w14:textId="2F34913A" w:rsidR="00A65395" w:rsidRDefault="00E75035" w:rsidP="00E75035">
      <w:pPr>
        <w:pStyle w:val="ListNo1"/>
        <w:numPr>
          <w:ilvl w:val="0"/>
          <w:numId w:val="0"/>
        </w:numPr>
        <w:tabs>
          <w:tab w:val="left" w:pos="720"/>
        </w:tabs>
        <w:ind w:left="720" w:hanging="720"/>
      </w:pPr>
      <w:r>
        <w:t>(5)</w:t>
      </w:r>
      <w:r>
        <w:tab/>
      </w:r>
      <w:r w:rsidR="00396C98">
        <w:t>costs</w:t>
      </w:r>
      <w:r w:rsidR="0044260A">
        <w:t>.</w:t>
      </w:r>
    </w:p>
    <w:p w14:paraId="6313E822" w14:textId="0093551B" w:rsidR="00160BBD" w:rsidRDefault="00E75035" w:rsidP="00E75035">
      <w:pPr>
        <w:pStyle w:val="ParaNumbering"/>
        <w:numPr>
          <w:ilvl w:val="0"/>
          <w:numId w:val="0"/>
        </w:numPr>
        <w:tabs>
          <w:tab w:val="left" w:pos="720"/>
        </w:tabs>
        <w:ind w:hanging="720"/>
      </w:pPr>
      <w:r>
        <w:rPr>
          <w:sz w:val="20"/>
        </w:rPr>
        <w:t>4</w:t>
      </w:r>
      <w:r>
        <w:rPr>
          <w:sz w:val="20"/>
        </w:rPr>
        <w:tab/>
      </w:r>
      <w:r w:rsidR="00EE723F">
        <w:t>The parties</w:t>
      </w:r>
      <w:r w:rsidR="00A65395">
        <w:t xml:space="preserve"> reached </w:t>
      </w:r>
      <w:r w:rsidR="00EE723F">
        <w:t xml:space="preserve">agreement </w:t>
      </w:r>
      <w:r w:rsidR="00A65395">
        <w:t xml:space="preserve">as to </w:t>
      </w:r>
      <w:r w:rsidR="00163814">
        <w:t xml:space="preserve">the form of </w:t>
      </w:r>
      <w:r w:rsidR="00A65395">
        <w:t xml:space="preserve">orders </w:t>
      </w:r>
      <w:r w:rsidR="00183244">
        <w:t xml:space="preserve">4 </w:t>
      </w:r>
      <w:r w:rsidR="00A65395">
        <w:t xml:space="preserve">and </w:t>
      </w:r>
      <w:r w:rsidR="00183244">
        <w:t>5</w:t>
      </w:r>
      <w:r w:rsidR="00A65395">
        <w:t xml:space="preserve"> above</w:t>
      </w:r>
      <w:r w:rsidR="00163814">
        <w:t xml:space="preserve">, although AGL </w:t>
      </w:r>
      <w:r w:rsidR="00AF7426">
        <w:t>did not consent to them</w:t>
      </w:r>
      <w:r w:rsidR="000D0505">
        <w:t xml:space="preserve"> being made</w:t>
      </w:r>
      <w:r w:rsidR="00A65395">
        <w:t>.</w:t>
      </w:r>
      <w:r w:rsidR="00CE2165">
        <w:t xml:space="preserve">  Rather, AGL did not oppose the</w:t>
      </w:r>
      <w:r w:rsidR="008060CD">
        <w:t xml:space="preserve">se </w:t>
      </w:r>
      <w:r w:rsidR="00884E79">
        <w:t>orders</w:t>
      </w:r>
      <w:r w:rsidR="00CE2165">
        <w:t xml:space="preserve">.  </w:t>
      </w:r>
      <w:r w:rsidR="00511675">
        <w:t xml:space="preserve">There </w:t>
      </w:r>
      <w:r w:rsidR="008215BF">
        <w:t>wa</w:t>
      </w:r>
      <w:r w:rsidR="00511675">
        <w:t>s</w:t>
      </w:r>
      <w:r w:rsidR="00CE2165">
        <w:t xml:space="preserve"> also</w:t>
      </w:r>
      <w:r w:rsidR="00511675">
        <w:t xml:space="preserve"> no dispute that costs should follow the event such that AGL pay the AER’s costs.  </w:t>
      </w:r>
      <w:r w:rsidR="00CE2165">
        <w:t>As I consider that these orders are appropriate in light of the findings made in the liability judgment</w:t>
      </w:r>
      <w:r w:rsidR="006135DD">
        <w:t xml:space="preserve">, I will make </w:t>
      </w:r>
      <w:r w:rsidR="00B867A0">
        <w:t>the</w:t>
      </w:r>
      <w:r w:rsidR="005F5F1B">
        <w:t>se</w:t>
      </w:r>
      <w:r w:rsidR="00B867A0">
        <w:t xml:space="preserve"> orders</w:t>
      </w:r>
      <w:r w:rsidR="006135DD">
        <w:t>.</w:t>
      </w:r>
    </w:p>
    <w:p w14:paraId="3151E79B" w14:textId="2DED383D" w:rsidR="00511675" w:rsidRDefault="00E75035" w:rsidP="00E75035">
      <w:pPr>
        <w:pStyle w:val="ParaNumbering"/>
        <w:numPr>
          <w:ilvl w:val="0"/>
          <w:numId w:val="0"/>
        </w:numPr>
        <w:tabs>
          <w:tab w:val="left" w:pos="720"/>
        </w:tabs>
        <w:ind w:hanging="720"/>
      </w:pPr>
      <w:r>
        <w:rPr>
          <w:sz w:val="20"/>
        </w:rPr>
        <w:t>5</w:t>
      </w:r>
      <w:r>
        <w:rPr>
          <w:sz w:val="20"/>
        </w:rPr>
        <w:tab/>
      </w:r>
      <w:r w:rsidR="00511675">
        <w:t>The key areas of dispute</w:t>
      </w:r>
      <w:r w:rsidR="00354940">
        <w:t xml:space="preserve"> which remain</w:t>
      </w:r>
      <w:r w:rsidR="00511675">
        <w:t xml:space="preserve"> between the parties concern the form of the declaration and the quantum of the civil penalties.</w:t>
      </w:r>
    </w:p>
    <w:p w14:paraId="00BB06AE" w14:textId="1EC2B02C" w:rsidR="00C60492" w:rsidRDefault="00E75035" w:rsidP="00E75035">
      <w:pPr>
        <w:pStyle w:val="ParaNumbering"/>
        <w:numPr>
          <w:ilvl w:val="0"/>
          <w:numId w:val="0"/>
        </w:numPr>
        <w:tabs>
          <w:tab w:val="left" w:pos="720"/>
        </w:tabs>
        <w:ind w:hanging="720"/>
      </w:pPr>
      <w:r>
        <w:rPr>
          <w:sz w:val="20"/>
        </w:rPr>
        <w:t>6</w:t>
      </w:r>
      <w:r>
        <w:rPr>
          <w:sz w:val="20"/>
        </w:rPr>
        <w:tab/>
      </w:r>
      <w:r w:rsidR="00D1108A">
        <w:t>T</w:t>
      </w:r>
      <w:r w:rsidR="00F54BA9">
        <w:t>he</w:t>
      </w:r>
      <w:r w:rsidR="00C60492">
        <w:t xml:space="preserve"> evidence adduced in the liability hearing</w:t>
      </w:r>
      <w:r w:rsidR="00F54BA9">
        <w:t xml:space="preserve"> </w:t>
      </w:r>
      <w:r w:rsidR="001008D7">
        <w:t>wa</w:t>
      </w:r>
      <w:r w:rsidR="00F54BA9">
        <w:t xml:space="preserve">s </w:t>
      </w:r>
      <w:r w:rsidR="001008D7">
        <w:t>relied upon</w:t>
      </w:r>
      <w:r w:rsidR="00F54BA9">
        <w:t xml:space="preserve"> in the</w:t>
      </w:r>
      <w:r w:rsidR="00D1108A">
        <w:t xml:space="preserve"> relief</w:t>
      </w:r>
      <w:r w:rsidR="00F54BA9">
        <w:t xml:space="preserve"> hearing</w:t>
      </w:r>
      <w:r w:rsidR="00C60492">
        <w:t>.  The AER further relie</w:t>
      </w:r>
      <w:r w:rsidR="001008D7">
        <w:t>d</w:t>
      </w:r>
      <w:r w:rsidR="00C60492">
        <w:t xml:space="preserve"> on the Supplementary Expert Report </w:t>
      </w:r>
      <w:r w:rsidR="00C60492" w:rsidRPr="002A1824">
        <w:t>of Siobhan Hennessy dated 27 September 2024 (</w:t>
      </w:r>
      <w:r w:rsidR="00C60492" w:rsidRPr="0028063C">
        <w:rPr>
          <w:b/>
          <w:bCs/>
        </w:rPr>
        <w:t>Supplementary Hennessy Report</w:t>
      </w:r>
      <w:r w:rsidR="00C60492" w:rsidRPr="002A1824">
        <w:t>).</w:t>
      </w:r>
      <w:r w:rsidR="004C393D">
        <w:t xml:space="preserve">  Ms Hennessy was not required for</w:t>
      </w:r>
      <w:r w:rsidR="00EE4FCD">
        <w:t xml:space="preserve"> </w:t>
      </w:r>
      <w:r w:rsidR="004C393D">
        <w:t>cross</w:t>
      </w:r>
      <w:r w:rsidR="005E72E4">
        <w:noBreakHyphen/>
      </w:r>
      <w:r w:rsidR="004C393D">
        <w:t xml:space="preserve">examination and her calculations were not challenged by AGL.  In turn, </w:t>
      </w:r>
      <w:r w:rsidR="00C60492">
        <w:t>AGL relie</w:t>
      </w:r>
      <w:r w:rsidR="001008D7">
        <w:t>d</w:t>
      </w:r>
      <w:r w:rsidR="00C60492">
        <w:t xml:space="preserve"> on </w:t>
      </w:r>
      <w:r w:rsidR="004C393D">
        <w:t xml:space="preserve">two additional </w:t>
      </w:r>
      <w:r w:rsidR="00C60492">
        <w:t>affidavits</w:t>
      </w:r>
      <w:r w:rsidR="004C393D">
        <w:t>, being</w:t>
      </w:r>
      <w:r w:rsidR="00EB6752">
        <w:t xml:space="preserve"> </w:t>
      </w:r>
      <w:r w:rsidR="00933E67">
        <w:t>those</w:t>
      </w:r>
      <w:r w:rsidR="00C60492">
        <w:t xml:space="preserve"> of Ms Josephine Egan</w:t>
      </w:r>
      <w:r w:rsidR="00BE3576">
        <w:t xml:space="preserve"> (</w:t>
      </w:r>
      <w:r w:rsidR="00372F4F">
        <w:t>the</w:t>
      </w:r>
      <w:r w:rsidR="00BE3576">
        <w:t xml:space="preserve"> Chief Customer Officer</w:t>
      </w:r>
      <w:r w:rsidR="00372F4F">
        <w:t xml:space="preserve"> of </w:t>
      </w:r>
      <w:r w:rsidR="00372F4F">
        <w:lastRenderedPageBreak/>
        <w:t xml:space="preserve">AGL Energy </w:t>
      </w:r>
      <w:r w:rsidR="00525C91">
        <w:t>Limited</w:t>
      </w:r>
      <w:r w:rsidR="00372F4F">
        <w:t xml:space="preserve">, which is </w:t>
      </w:r>
      <w:r w:rsidR="0003769B">
        <w:t xml:space="preserve">the parent company of each of the </w:t>
      </w:r>
      <w:r w:rsidR="00372F4F">
        <w:t>AGL</w:t>
      </w:r>
      <w:r w:rsidR="0003769B">
        <w:t xml:space="preserve"> Entities</w:t>
      </w:r>
      <w:r w:rsidR="00BE3576">
        <w:t>)</w:t>
      </w:r>
      <w:r w:rsidR="000038B5">
        <w:t xml:space="preserve"> and Mr Glenn Waterson</w:t>
      </w:r>
      <w:r w:rsidR="007B3DDE">
        <w:t xml:space="preserve"> (General Manager of Retail Transformation at AGL</w:t>
      </w:r>
      <w:r w:rsidR="0003769B">
        <w:t xml:space="preserve"> Energy </w:t>
      </w:r>
      <w:r w:rsidR="00525C91">
        <w:t>Limited</w:t>
      </w:r>
      <w:r w:rsidR="007B3DDE">
        <w:t>)</w:t>
      </w:r>
      <w:r w:rsidR="00C60492">
        <w:t xml:space="preserve">, both </w:t>
      </w:r>
      <w:r w:rsidR="001008D7">
        <w:t>dated</w:t>
      </w:r>
      <w:r w:rsidR="00C60492">
        <w:t xml:space="preserve"> 18 November 2024.</w:t>
      </w:r>
      <w:r w:rsidR="006135DD">
        <w:t xml:space="preserve">  M</w:t>
      </w:r>
      <w:r w:rsidR="000038B5">
        <w:t>s Egan and Mr W</w:t>
      </w:r>
      <w:r w:rsidR="00720DD9">
        <w:t>aterson were cross-examined</w:t>
      </w:r>
      <w:r w:rsidR="001008D7">
        <w:t xml:space="preserve"> at the</w:t>
      </w:r>
      <w:r w:rsidR="00F259BD">
        <w:t xml:space="preserve"> relief</w:t>
      </w:r>
      <w:r w:rsidR="001008D7">
        <w:t xml:space="preserve"> hearing</w:t>
      </w:r>
      <w:r w:rsidR="00720DD9">
        <w:t>.</w:t>
      </w:r>
    </w:p>
    <w:p w14:paraId="446108AD" w14:textId="33B0C001" w:rsidR="00A414BB" w:rsidRDefault="00E75035" w:rsidP="00E75035">
      <w:pPr>
        <w:pStyle w:val="ParaNumbering"/>
        <w:numPr>
          <w:ilvl w:val="0"/>
          <w:numId w:val="0"/>
        </w:numPr>
        <w:tabs>
          <w:tab w:val="left" w:pos="720"/>
        </w:tabs>
        <w:ind w:hanging="720"/>
      </w:pPr>
      <w:r>
        <w:rPr>
          <w:sz w:val="20"/>
        </w:rPr>
        <w:t>7</w:t>
      </w:r>
      <w:r>
        <w:rPr>
          <w:sz w:val="20"/>
        </w:rPr>
        <w:tab/>
      </w:r>
      <w:r w:rsidR="007B634C">
        <w:t xml:space="preserve">For the reasons that follow, I will </w:t>
      </w:r>
      <w:r w:rsidR="0039731B">
        <w:t>make the orders sought by the AER except that the total penalty will be $</w:t>
      </w:r>
      <w:r w:rsidR="00CB138D">
        <w:t>25</w:t>
      </w:r>
      <w:r w:rsidR="0039731B">
        <w:t xml:space="preserve"> million</w:t>
      </w:r>
      <w:r w:rsidR="00C72BF5">
        <w:t xml:space="preserve">.  I have also made minor changes to the draft </w:t>
      </w:r>
      <w:r w:rsidR="00933E67">
        <w:t xml:space="preserve">order </w:t>
      </w:r>
      <w:r w:rsidR="00C72BF5">
        <w:t>provided by the AER.</w:t>
      </w:r>
    </w:p>
    <w:p w14:paraId="6D6F6119" w14:textId="2D255162" w:rsidR="00C874A2" w:rsidRDefault="00E75035" w:rsidP="00C874A2">
      <w:pPr>
        <w:pStyle w:val="Heading1"/>
      </w:pPr>
      <w:r>
        <w:rPr>
          <w:caps w:val="0"/>
        </w:rPr>
        <w:t>DECLARATORY RELIEF</w:t>
      </w:r>
    </w:p>
    <w:p w14:paraId="002C012A" w14:textId="6C19C53E" w:rsidR="00C874A2" w:rsidRDefault="00E75035" w:rsidP="00E75035">
      <w:pPr>
        <w:pStyle w:val="ParaNumbering"/>
        <w:numPr>
          <w:ilvl w:val="0"/>
          <w:numId w:val="0"/>
        </w:numPr>
        <w:tabs>
          <w:tab w:val="left" w:pos="720"/>
        </w:tabs>
        <w:ind w:hanging="720"/>
      </w:pPr>
      <w:r>
        <w:rPr>
          <w:sz w:val="20"/>
        </w:rPr>
        <w:t>8</w:t>
      </w:r>
      <w:r>
        <w:rPr>
          <w:sz w:val="20"/>
        </w:rPr>
        <w:tab/>
      </w:r>
      <w:r w:rsidR="00C874A2" w:rsidRPr="008C066D">
        <w:t>The AER seeks orders pursuant to</w:t>
      </w:r>
      <w:r w:rsidR="00C874A2">
        <w:t xml:space="preserve"> </w:t>
      </w:r>
      <w:r w:rsidR="00C874A2" w:rsidRPr="00A72AA3">
        <w:t>s</w:t>
      </w:r>
      <w:r w:rsidR="00037ECC" w:rsidRPr="00A72AA3">
        <w:t> </w:t>
      </w:r>
      <w:r w:rsidR="00C874A2" w:rsidRPr="00A72AA3">
        <w:t xml:space="preserve">44AAG of the </w:t>
      </w:r>
      <w:r w:rsidR="00C874A2" w:rsidRPr="00A72AA3">
        <w:rPr>
          <w:i/>
          <w:iCs/>
        </w:rPr>
        <w:t>Competition and Consumer Act 2010</w:t>
      </w:r>
      <w:r w:rsidR="00C874A2" w:rsidRPr="00A72AA3">
        <w:t xml:space="preserve"> (Cth)</w:t>
      </w:r>
      <w:r w:rsidR="00F16FF9">
        <w:t xml:space="preserve"> (</w:t>
      </w:r>
      <w:r w:rsidR="00F16FF9" w:rsidRPr="00F16FF9">
        <w:rPr>
          <w:b/>
          <w:bCs/>
        </w:rPr>
        <w:t>CCA</w:t>
      </w:r>
      <w:r w:rsidR="00F16FF9">
        <w:t>)</w:t>
      </w:r>
      <w:r w:rsidR="00C874A2">
        <w:t xml:space="preserve">. </w:t>
      </w:r>
      <w:r w:rsidR="00CC7998">
        <w:t xml:space="preserve"> </w:t>
      </w:r>
      <w:r w:rsidR="00C874A2">
        <w:t>Section 44AAG(1) provides that the Court may make an order, on application by the AER on behalf of the Commonwealth, declaring that a person is in breach of, relevantly, the Retail Law and Retail Rules.</w:t>
      </w:r>
    </w:p>
    <w:p w14:paraId="7F78A496" w14:textId="6BA6766B" w:rsidR="006E6D88" w:rsidRDefault="00E75035" w:rsidP="00E75035">
      <w:pPr>
        <w:pStyle w:val="ParaNumbering"/>
        <w:numPr>
          <w:ilvl w:val="0"/>
          <w:numId w:val="0"/>
        </w:numPr>
        <w:tabs>
          <w:tab w:val="left" w:pos="720"/>
        </w:tabs>
        <w:ind w:hanging="720"/>
      </w:pPr>
      <w:r>
        <w:rPr>
          <w:sz w:val="20"/>
        </w:rPr>
        <w:t>9</w:t>
      </w:r>
      <w:r>
        <w:rPr>
          <w:sz w:val="20"/>
        </w:rPr>
        <w:tab/>
      </w:r>
      <w:r w:rsidR="00E54FD0">
        <w:t xml:space="preserve">Although </w:t>
      </w:r>
      <w:r w:rsidR="00F33952">
        <w:t>AGL accepts that declaratory relief is appropriate</w:t>
      </w:r>
      <w:r w:rsidR="007F2D37">
        <w:t xml:space="preserve">, </w:t>
      </w:r>
      <w:r w:rsidR="00E54FD0">
        <w:t>it</w:t>
      </w:r>
      <w:r w:rsidR="007F2D37">
        <w:t xml:space="preserve"> </w:t>
      </w:r>
      <w:r w:rsidR="00C40EA0">
        <w:t>challenges the proposed wording of the declarations</w:t>
      </w:r>
      <w:r w:rsidR="00154097">
        <w:t xml:space="preserve"> on two bases.</w:t>
      </w:r>
    </w:p>
    <w:p w14:paraId="5F5FB932" w14:textId="0BE1AC95" w:rsidR="00497D7D" w:rsidRDefault="00E75035" w:rsidP="00E75035">
      <w:pPr>
        <w:pStyle w:val="ParaNumbering"/>
        <w:numPr>
          <w:ilvl w:val="0"/>
          <w:numId w:val="0"/>
        </w:numPr>
        <w:tabs>
          <w:tab w:val="left" w:pos="720"/>
        </w:tabs>
        <w:ind w:hanging="720"/>
      </w:pPr>
      <w:r>
        <w:rPr>
          <w:sz w:val="20"/>
        </w:rPr>
        <w:t>10</w:t>
      </w:r>
      <w:r>
        <w:rPr>
          <w:sz w:val="20"/>
        </w:rPr>
        <w:tab/>
      </w:r>
      <w:r w:rsidR="00154097">
        <w:t xml:space="preserve">First, its version </w:t>
      </w:r>
      <w:r w:rsidR="00043A73">
        <w:t xml:space="preserve">seeks to </w:t>
      </w:r>
      <w:r w:rsidR="00037ECC">
        <w:t>remove reference to s </w:t>
      </w:r>
      <w:r w:rsidR="00037ECC" w:rsidRPr="008C066D">
        <w:t>44AAG</w:t>
      </w:r>
      <w:r w:rsidR="001445B0">
        <w:t xml:space="preserve"> of the CCA</w:t>
      </w:r>
      <w:r w:rsidR="00075D04">
        <w:t>, and</w:t>
      </w:r>
      <w:r w:rsidR="00037ECC">
        <w:t> </w:t>
      </w:r>
      <w:r w:rsidR="00B34F9E">
        <w:t xml:space="preserve">does not repeat, in respect of each individual AGL Entity, the description of the conduct comprising the contravention.  It submits that </w:t>
      </w:r>
      <w:r w:rsidR="00AE59C7">
        <w:t>its version</w:t>
      </w:r>
      <w:r w:rsidR="00B34F9E">
        <w:t xml:space="preserve"> has the advantage of brevity and simplicity.  However, </w:t>
      </w:r>
      <w:r w:rsidR="00AE59C7">
        <w:t>AGL’s version</w:t>
      </w:r>
      <w:r w:rsidR="00B34F9E">
        <w:t xml:space="preserve"> cuts across </w:t>
      </w:r>
      <w:r w:rsidR="00497D7D">
        <w:t>the proposition, which AGL accepts,</w:t>
      </w:r>
      <w:r w:rsidR="006F69D4">
        <w:t xml:space="preserve"> that</w:t>
      </w:r>
      <w:r w:rsidR="00497D7D">
        <w:t xml:space="preserve"> a declaration that a person has contravened a statutory provision should indicate the gist of the findings that identify the contravention and accurately reflect the contravening conduct in a concise way: see </w:t>
      </w:r>
      <w:r w:rsidR="00497D7D" w:rsidRPr="00A72AA3">
        <w:rPr>
          <w:i/>
          <w:iCs/>
        </w:rPr>
        <w:t xml:space="preserve">Australian Competition and Consumer Commission v BlueScope Steel Ltd (No 6) </w:t>
      </w:r>
      <w:r w:rsidR="00497D7D" w:rsidRPr="00A72AA3">
        <w:t>[2023] FCA 1029</w:t>
      </w:r>
      <w:r w:rsidR="00497D7D">
        <w:t xml:space="preserve"> at [18] (O’Bryan J).</w:t>
      </w:r>
    </w:p>
    <w:p w14:paraId="5809879D" w14:textId="00BDC957" w:rsidR="00154097" w:rsidRDefault="00E75035" w:rsidP="00E75035">
      <w:pPr>
        <w:pStyle w:val="ParaNumbering"/>
        <w:numPr>
          <w:ilvl w:val="0"/>
          <w:numId w:val="0"/>
        </w:numPr>
        <w:tabs>
          <w:tab w:val="left" w:pos="720"/>
        </w:tabs>
        <w:ind w:hanging="720"/>
      </w:pPr>
      <w:r>
        <w:rPr>
          <w:sz w:val="20"/>
        </w:rPr>
        <w:t>11</w:t>
      </w:r>
      <w:r>
        <w:rPr>
          <w:sz w:val="20"/>
        </w:rPr>
        <w:tab/>
      </w:r>
      <w:r w:rsidR="00DA74A6" w:rsidRPr="00DA74A6">
        <w:t>Second</w:t>
      </w:r>
      <w:r w:rsidR="00DA74A6">
        <w:rPr>
          <w:i/>
          <w:iCs/>
        </w:rPr>
        <w:t xml:space="preserve">, </w:t>
      </w:r>
      <w:r w:rsidR="00DA74A6">
        <w:t xml:space="preserve">AGL’s version omits the additional text in </w:t>
      </w:r>
      <w:r w:rsidR="000C4A2F">
        <w:t>the</w:t>
      </w:r>
      <w:r w:rsidR="00DA74A6">
        <w:t xml:space="preserve"> AER’s proposed </w:t>
      </w:r>
      <w:r w:rsidR="00E0088E">
        <w:t>declaration which refers</w:t>
      </w:r>
      <w:r w:rsidR="00DA74A6">
        <w:t xml:space="preserve"> to AGL having contravened </w:t>
      </w:r>
      <w:r w:rsidR="00DA74A6" w:rsidRPr="00A72AA3">
        <w:t>s</w:t>
      </w:r>
      <w:r w:rsidR="009352E3" w:rsidRPr="00A72AA3">
        <w:t> </w:t>
      </w:r>
      <w:r w:rsidR="00DA74A6" w:rsidRPr="00A72AA3">
        <w:t>273 of the Retail Law</w:t>
      </w:r>
      <w:r w:rsidR="00DA74A6">
        <w:t xml:space="preserve"> “</w:t>
      </w:r>
      <w:r w:rsidR="00DA74A6" w:rsidRPr="004E6303">
        <w:rPr>
          <w:i/>
          <w:iCs/>
        </w:rPr>
        <w:t>including</w:t>
      </w:r>
      <w:r w:rsidR="00DA74A6">
        <w:t xml:space="preserve"> because their billing and accounting system was the subject of a deliberate methodological design choice that did not recognise the obligations that [AGL] had under </w:t>
      </w:r>
      <w:r w:rsidR="00DA74A6" w:rsidRPr="00A72AA3">
        <w:t>r</w:t>
      </w:r>
      <w:r w:rsidR="00AA7048">
        <w:t> </w:t>
      </w:r>
      <w:r w:rsidR="00DA74A6" w:rsidRPr="00A72AA3">
        <w:t>31 of the Retail Rules</w:t>
      </w:r>
      <w:r w:rsidR="00DA74A6">
        <w:t>”</w:t>
      </w:r>
      <w:r w:rsidR="004E6303">
        <w:t xml:space="preserve"> (emphasis added)</w:t>
      </w:r>
      <w:r w:rsidR="00DA74A6">
        <w:t>.</w:t>
      </w:r>
      <w:r w:rsidR="00E63E17">
        <w:t xml:space="preserve">  </w:t>
      </w:r>
      <w:r w:rsidR="00512F58">
        <w:t>W</w:t>
      </w:r>
      <w:r w:rsidR="00E63E17" w:rsidRPr="00B06B15">
        <w:t xml:space="preserve">hile </w:t>
      </w:r>
      <w:r w:rsidR="0050120C" w:rsidRPr="00B06B15">
        <w:t>it is correct to say</w:t>
      </w:r>
      <w:r w:rsidR="004E6303" w:rsidRPr="00B06B15">
        <w:t xml:space="preserve"> that </w:t>
      </w:r>
      <w:r w:rsidR="009352E3" w:rsidRPr="00B06B15">
        <w:t>the design of the system was not the sole cause of the failure that led to the contravention of s 273</w:t>
      </w:r>
      <w:r w:rsidR="00B06B15">
        <w:t xml:space="preserve"> (</w:t>
      </w:r>
      <w:r w:rsidR="00440F92">
        <w:t xml:space="preserve">as can be </w:t>
      </w:r>
      <w:r w:rsidR="00B06B15">
        <w:t>see</w:t>
      </w:r>
      <w:r w:rsidR="00440F92">
        <w:t>n from</w:t>
      </w:r>
      <w:r w:rsidR="00B06B15">
        <w:t xml:space="preserve"> LJ [166])</w:t>
      </w:r>
      <w:r w:rsidR="00E63E17" w:rsidRPr="00B06B15">
        <w:t>,</w:t>
      </w:r>
      <w:r w:rsidR="009352E3">
        <w:t xml:space="preserve"> the use of the word “including”</w:t>
      </w:r>
      <w:r w:rsidR="00026C40">
        <w:t xml:space="preserve"> in the </w:t>
      </w:r>
      <w:r w:rsidR="00A7160E">
        <w:t xml:space="preserve">proposed </w:t>
      </w:r>
      <w:r w:rsidR="00026C40">
        <w:t>declaration</w:t>
      </w:r>
      <w:r w:rsidR="009352E3">
        <w:t xml:space="preserve"> makes that plain.</w:t>
      </w:r>
      <w:r w:rsidR="00426FFA">
        <w:t xml:space="preserve">  Nor do I consider that the</w:t>
      </w:r>
      <w:r w:rsidR="00CE7EAB">
        <w:t xml:space="preserve"> form of the</w:t>
      </w:r>
      <w:r w:rsidR="00426FFA">
        <w:t xml:space="preserve"> declaration</w:t>
      </w:r>
      <w:r w:rsidR="00CE7EAB">
        <w:t xml:space="preserve"> proposed by the AER</w:t>
      </w:r>
      <w:r w:rsidR="00D371D9">
        <w:t xml:space="preserve"> </w:t>
      </w:r>
      <w:r w:rsidR="00CE7EAB">
        <w:t>attempt</w:t>
      </w:r>
      <w:r w:rsidR="00850561">
        <w:t>s</w:t>
      </w:r>
      <w:r w:rsidR="00D371D9">
        <w:t xml:space="preserve"> to </w:t>
      </w:r>
      <w:r w:rsidR="0050120C">
        <w:t>encapsulate in summary form the relevant factual and legal detail of the primary reasons</w:t>
      </w:r>
      <w:r w:rsidR="00850561">
        <w:t>,</w:t>
      </w:r>
      <w:r w:rsidR="0050120C">
        <w:t xml:space="preserve"> as AGL submits.</w:t>
      </w:r>
      <w:r w:rsidR="004003F9">
        <w:t xml:space="preserve">  Rather, it highlights a critical finding at </w:t>
      </w:r>
      <w:r w:rsidR="004003F9">
        <w:lastRenderedPageBreak/>
        <w:t>LJ [167].</w:t>
      </w:r>
      <w:r w:rsidR="00A7160E">
        <w:t xml:space="preserve">  The complaints by AGL about the form of the declaration are therefore without substance.</w:t>
      </w:r>
    </w:p>
    <w:p w14:paraId="16D2EB16" w14:textId="498B5161" w:rsidR="00C874A2" w:rsidRDefault="00E75035" w:rsidP="00E75035">
      <w:pPr>
        <w:pStyle w:val="ParaNumbering"/>
        <w:numPr>
          <w:ilvl w:val="0"/>
          <w:numId w:val="0"/>
        </w:numPr>
        <w:tabs>
          <w:tab w:val="left" w:pos="720"/>
        </w:tabs>
        <w:ind w:hanging="720"/>
      </w:pPr>
      <w:r>
        <w:rPr>
          <w:sz w:val="20"/>
        </w:rPr>
        <w:t>12</w:t>
      </w:r>
      <w:r>
        <w:rPr>
          <w:sz w:val="20"/>
        </w:rPr>
        <w:tab/>
      </w:r>
      <w:r w:rsidR="00026C40">
        <w:t xml:space="preserve">For these reasons, </w:t>
      </w:r>
      <w:r w:rsidR="00C874A2">
        <w:t xml:space="preserve">I am satisfied that it is appropriate </w:t>
      </w:r>
      <w:r w:rsidR="009A1BE0">
        <w:t>to</w:t>
      </w:r>
      <w:r w:rsidR="00C874A2">
        <w:t xml:space="preserve"> make the declarations </w:t>
      </w:r>
      <w:r w:rsidR="00EF0277">
        <w:t xml:space="preserve">in the form proposed by </w:t>
      </w:r>
      <w:r w:rsidR="00081873" w:rsidRPr="00B641A9">
        <w:t>the AER</w:t>
      </w:r>
      <w:r w:rsidR="00E06EF1">
        <w:t>,</w:t>
      </w:r>
      <w:r w:rsidR="00850561">
        <w:t xml:space="preserve"> albeit</w:t>
      </w:r>
      <w:r w:rsidR="00E06EF1">
        <w:t xml:space="preserve"> with minor amendments</w:t>
      </w:r>
      <w:r w:rsidR="000712EE" w:rsidRPr="00B641A9">
        <w:t>.</w:t>
      </w:r>
    </w:p>
    <w:p w14:paraId="2AE70D2A" w14:textId="7435B0C5" w:rsidR="006E0AB9" w:rsidRDefault="00E75035" w:rsidP="00A670ED">
      <w:pPr>
        <w:pStyle w:val="Heading1"/>
      </w:pPr>
      <w:r>
        <w:rPr>
          <w:caps w:val="0"/>
        </w:rPr>
        <w:t>PECUNIARY PENALTIES</w:t>
      </w:r>
    </w:p>
    <w:p w14:paraId="25140961" w14:textId="737779DF" w:rsidR="00F17710" w:rsidRDefault="00E75035" w:rsidP="00E75035">
      <w:pPr>
        <w:pStyle w:val="ParaNumbering"/>
        <w:numPr>
          <w:ilvl w:val="0"/>
          <w:numId w:val="0"/>
        </w:numPr>
        <w:tabs>
          <w:tab w:val="left" w:pos="720"/>
        </w:tabs>
        <w:ind w:hanging="720"/>
      </w:pPr>
      <w:r>
        <w:rPr>
          <w:sz w:val="20"/>
        </w:rPr>
        <w:t>13</w:t>
      </w:r>
      <w:r>
        <w:rPr>
          <w:sz w:val="20"/>
        </w:rPr>
        <w:tab/>
      </w:r>
      <w:r w:rsidR="00F17710">
        <w:t>The AER seeks a penalty in the range of $40 million to $45 million.  AGL does not submit that a penalty is not appropriate but contends that it should be $5 million.</w:t>
      </w:r>
    </w:p>
    <w:p w14:paraId="44FD6EE6" w14:textId="10C6FD85" w:rsidR="00E7430B" w:rsidRDefault="00E7430B" w:rsidP="00BA66A3">
      <w:pPr>
        <w:pStyle w:val="Heading2"/>
      </w:pPr>
      <w:r>
        <w:t xml:space="preserve">Relevant </w:t>
      </w:r>
      <w:r w:rsidR="00FA4D7A">
        <w:t>law</w:t>
      </w:r>
    </w:p>
    <w:p w14:paraId="27B9DC68" w14:textId="03872A89" w:rsidR="00A74817" w:rsidRDefault="00E75035" w:rsidP="00E75035">
      <w:pPr>
        <w:pStyle w:val="ParaNumbering"/>
        <w:numPr>
          <w:ilvl w:val="0"/>
          <w:numId w:val="0"/>
        </w:numPr>
        <w:tabs>
          <w:tab w:val="left" w:pos="720"/>
        </w:tabs>
        <w:ind w:hanging="720"/>
      </w:pPr>
      <w:r>
        <w:rPr>
          <w:sz w:val="20"/>
        </w:rPr>
        <w:t>14</w:t>
      </w:r>
      <w:r>
        <w:rPr>
          <w:sz w:val="20"/>
        </w:rPr>
        <w:tab/>
      </w:r>
      <w:r w:rsidR="007C7341">
        <w:t>Section</w:t>
      </w:r>
      <w:r w:rsidR="009C407B">
        <w:t xml:space="preserve"> 44AAG(2)</w:t>
      </w:r>
      <w:r w:rsidR="007C7341">
        <w:t>(a)</w:t>
      </w:r>
      <w:r w:rsidR="009C407B">
        <w:t xml:space="preserve"> of the CCA provides that if an order is made declaring that a person is (relevantly) in breach of the </w:t>
      </w:r>
      <w:r w:rsidR="007C7341">
        <w:t>Retail Law</w:t>
      </w:r>
      <w:r w:rsidR="009C407B">
        <w:t xml:space="preserve"> or the Retail Rules, the order may include an order that the person “pay a civil penalty determined in accordance with the law”.</w:t>
      </w:r>
      <w:r w:rsidR="00BD0E21">
        <w:t xml:space="preserve">  </w:t>
      </w:r>
      <w:r w:rsidR="009C407B">
        <w:t xml:space="preserve">This provision confers on </w:t>
      </w:r>
      <w:r w:rsidR="00BD0E21">
        <w:t>this Court</w:t>
      </w:r>
      <w:r w:rsidR="009C407B">
        <w:t xml:space="preserve"> a discretion to impose a civil penalty.</w:t>
      </w:r>
    </w:p>
    <w:p w14:paraId="3F079E10" w14:textId="2DC54224" w:rsidR="008679D9" w:rsidRDefault="00E75035" w:rsidP="00E75035">
      <w:pPr>
        <w:pStyle w:val="ParaNumbering"/>
        <w:numPr>
          <w:ilvl w:val="0"/>
          <w:numId w:val="0"/>
        </w:numPr>
        <w:tabs>
          <w:tab w:val="left" w:pos="720"/>
        </w:tabs>
        <w:ind w:hanging="720"/>
      </w:pPr>
      <w:r>
        <w:rPr>
          <w:sz w:val="20"/>
        </w:rPr>
        <w:t>15</w:t>
      </w:r>
      <w:r>
        <w:rPr>
          <w:sz w:val="20"/>
        </w:rPr>
        <w:tab/>
      </w:r>
      <w:r w:rsidR="008679D9" w:rsidRPr="00A72AA3">
        <w:t>Section 294 of the Retail Law</w:t>
      </w:r>
      <w:r w:rsidR="008679D9">
        <w:t xml:space="preserve"> </w:t>
      </w:r>
      <w:r w:rsidR="002E1E59">
        <w:t xml:space="preserve">sets out the matters to which a Court must have regard when determining the amount of a civil penalty. </w:t>
      </w:r>
      <w:r w:rsidR="000A3989">
        <w:t xml:space="preserve"> </w:t>
      </w:r>
      <w:r w:rsidR="002E1E59">
        <w:t>It provides that the amount must be determined having regard to “all relevant matters”, but specifically including</w:t>
      </w:r>
      <w:r w:rsidR="008679D9">
        <w:t>:</w:t>
      </w:r>
    </w:p>
    <w:p w14:paraId="2247947F" w14:textId="589A2D35" w:rsidR="008679D9" w:rsidRDefault="00E75035" w:rsidP="00E75035">
      <w:pPr>
        <w:pStyle w:val="ListNo1"/>
        <w:numPr>
          <w:ilvl w:val="0"/>
          <w:numId w:val="0"/>
        </w:numPr>
        <w:tabs>
          <w:tab w:val="left" w:pos="720"/>
        </w:tabs>
        <w:ind w:left="720" w:hanging="720"/>
      </w:pPr>
      <w:r>
        <w:t>(1)</w:t>
      </w:r>
      <w:r>
        <w:tab/>
      </w:r>
      <w:r w:rsidR="008679D9" w:rsidRPr="000A29E2">
        <w:t>the nature and extent of the breach</w:t>
      </w:r>
      <w:r w:rsidR="00F934C0">
        <w:t>: s</w:t>
      </w:r>
      <w:r w:rsidR="00E1680A">
        <w:t> </w:t>
      </w:r>
      <w:r w:rsidR="00F934C0">
        <w:t>294(a)</w:t>
      </w:r>
      <w:r w:rsidR="008679D9" w:rsidRPr="000A29E2">
        <w:t xml:space="preserve">; </w:t>
      </w:r>
    </w:p>
    <w:p w14:paraId="2F1886F5" w14:textId="3664EB0D" w:rsidR="008679D9" w:rsidRDefault="00E75035" w:rsidP="00E75035">
      <w:pPr>
        <w:pStyle w:val="ListNo1"/>
        <w:numPr>
          <w:ilvl w:val="0"/>
          <w:numId w:val="0"/>
        </w:numPr>
        <w:tabs>
          <w:tab w:val="left" w:pos="720"/>
        </w:tabs>
        <w:ind w:left="720" w:hanging="720"/>
      </w:pPr>
      <w:r>
        <w:t>(2)</w:t>
      </w:r>
      <w:r>
        <w:tab/>
      </w:r>
      <w:r w:rsidR="008679D9" w:rsidRPr="000A29E2">
        <w:t>the nature and extent of any loss or damage suffered as a result of the breach</w:t>
      </w:r>
      <w:r w:rsidR="00F934C0">
        <w:t>: s</w:t>
      </w:r>
      <w:r w:rsidR="00E1680A">
        <w:t> </w:t>
      </w:r>
      <w:r w:rsidR="00F934C0">
        <w:t>294(b)</w:t>
      </w:r>
      <w:r w:rsidR="008679D9" w:rsidRPr="000A29E2">
        <w:t xml:space="preserve">; </w:t>
      </w:r>
    </w:p>
    <w:p w14:paraId="5AFE2F08" w14:textId="531060F8" w:rsidR="008679D9" w:rsidRDefault="00E75035" w:rsidP="00E75035">
      <w:pPr>
        <w:pStyle w:val="ListNo1"/>
        <w:numPr>
          <w:ilvl w:val="0"/>
          <w:numId w:val="0"/>
        </w:numPr>
        <w:tabs>
          <w:tab w:val="left" w:pos="720"/>
        </w:tabs>
        <w:ind w:left="720" w:hanging="720"/>
      </w:pPr>
      <w:r>
        <w:t>(3)</w:t>
      </w:r>
      <w:r>
        <w:tab/>
      </w:r>
      <w:r w:rsidR="008679D9" w:rsidRPr="000A29E2">
        <w:t>the circumstances in which the breach took place</w:t>
      </w:r>
      <w:r w:rsidR="00F934C0">
        <w:t>: s</w:t>
      </w:r>
      <w:r w:rsidR="00E1680A">
        <w:t> </w:t>
      </w:r>
      <w:r w:rsidR="00F934C0">
        <w:t>294(c)</w:t>
      </w:r>
      <w:r w:rsidR="008679D9" w:rsidRPr="000A29E2">
        <w:t xml:space="preserve">; </w:t>
      </w:r>
    </w:p>
    <w:p w14:paraId="645F316D" w14:textId="2374CE05" w:rsidR="008679D9" w:rsidRDefault="00E75035" w:rsidP="00E75035">
      <w:pPr>
        <w:pStyle w:val="ListNo1"/>
        <w:numPr>
          <w:ilvl w:val="0"/>
          <w:numId w:val="0"/>
        </w:numPr>
        <w:tabs>
          <w:tab w:val="left" w:pos="720"/>
        </w:tabs>
        <w:ind w:left="720" w:hanging="720"/>
      </w:pPr>
      <w:r>
        <w:t>(4)</w:t>
      </w:r>
      <w:r>
        <w:tab/>
      </w:r>
      <w:r w:rsidR="008679D9" w:rsidRPr="000A29E2">
        <w:t xml:space="preserve">whether the person has engaged in any similar conduct and been found to be in breach of a provision of </w:t>
      </w:r>
      <w:r w:rsidR="00512F58">
        <w:t>the Retail</w:t>
      </w:r>
      <w:r w:rsidR="008679D9" w:rsidRPr="000A29E2">
        <w:t xml:space="preserve"> Law, the National Regulations or the </w:t>
      </w:r>
      <w:r w:rsidR="00A4516F">
        <w:t xml:space="preserve">Retail </w:t>
      </w:r>
      <w:r w:rsidR="008679D9" w:rsidRPr="000A29E2">
        <w:t>Rules in respect of that conduct</w:t>
      </w:r>
      <w:r w:rsidR="00F934C0">
        <w:t>: s</w:t>
      </w:r>
      <w:r w:rsidR="004B3855">
        <w:t> </w:t>
      </w:r>
      <w:r w:rsidR="00F934C0">
        <w:t>294(</w:t>
      </w:r>
      <w:r w:rsidR="00FD527B">
        <w:t>d</w:t>
      </w:r>
      <w:r w:rsidR="00F934C0">
        <w:t>)</w:t>
      </w:r>
      <w:r w:rsidR="008679D9" w:rsidRPr="000A29E2">
        <w:t>;</w:t>
      </w:r>
    </w:p>
    <w:p w14:paraId="138D159C" w14:textId="5C7584CF" w:rsidR="00975AB5" w:rsidRDefault="00E75035" w:rsidP="00E75035">
      <w:pPr>
        <w:pStyle w:val="ListNo1"/>
        <w:numPr>
          <w:ilvl w:val="0"/>
          <w:numId w:val="0"/>
        </w:numPr>
        <w:tabs>
          <w:tab w:val="left" w:pos="720"/>
        </w:tabs>
        <w:ind w:left="720" w:hanging="720"/>
      </w:pPr>
      <w:r>
        <w:t>(5)</w:t>
      </w:r>
      <w:r>
        <w:tab/>
      </w:r>
      <w:r w:rsidR="008679D9" w:rsidRPr="000A29E2">
        <w:t>in the case of a regulated entity</w:t>
      </w:r>
      <w:r w:rsidR="00116B8A">
        <w:t xml:space="preserve">, </w:t>
      </w:r>
      <w:r w:rsidR="008679D9" w:rsidRPr="000A29E2">
        <w:t xml:space="preserve">whether the person has established, and has complied with, policies, systems and procedures under </w:t>
      </w:r>
      <w:r w:rsidR="00D559CD">
        <w:t>s </w:t>
      </w:r>
      <w:r w:rsidR="008679D9" w:rsidRPr="000A29E2">
        <w:t>273</w:t>
      </w:r>
      <w:r w:rsidR="00FD527B">
        <w:t>: s</w:t>
      </w:r>
      <w:r w:rsidR="004B3855">
        <w:t> </w:t>
      </w:r>
      <w:r w:rsidR="00FD527B">
        <w:t>294(d)</w:t>
      </w:r>
      <w:r w:rsidR="00975AB5">
        <w:t>; and</w:t>
      </w:r>
    </w:p>
    <w:p w14:paraId="7F1653BB" w14:textId="659D3E8D" w:rsidR="00A74817" w:rsidRPr="00E7430B" w:rsidRDefault="00E75035" w:rsidP="00E75035">
      <w:pPr>
        <w:pStyle w:val="ListNo1"/>
        <w:numPr>
          <w:ilvl w:val="0"/>
          <w:numId w:val="0"/>
        </w:numPr>
        <w:tabs>
          <w:tab w:val="left" w:pos="720"/>
        </w:tabs>
        <w:ind w:left="720" w:hanging="720"/>
      </w:pPr>
      <w:r w:rsidRPr="00E7430B">
        <w:t>(6)</w:t>
      </w:r>
      <w:r w:rsidRPr="00E7430B">
        <w:tab/>
      </w:r>
      <w:r w:rsidR="00B96F17">
        <w:t>(</w:t>
      </w:r>
      <w:r w:rsidR="00975AB5">
        <w:t>in relation to breaches occurring after 29 January 2021 only</w:t>
      </w:r>
      <w:r w:rsidR="00B96F17">
        <w:t>)</w:t>
      </w:r>
      <w:r w:rsidR="00975AB5">
        <w:t xml:space="preserve"> </w:t>
      </w:r>
      <w:r w:rsidR="00975AB5" w:rsidRPr="00E84D8C">
        <w:t xml:space="preserve">the value of </w:t>
      </w:r>
      <w:r w:rsidR="00A825F7">
        <w:t>any</w:t>
      </w:r>
      <w:r w:rsidR="00975AB5" w:rsidRPr="00E84D8C">
        <w:t xml:space="preserve"> benefit reasonably attributable to the breach that th</w:t>
      </w:r>
      <w:r w:rsidR="00975AB5">
        <w:t>e person or, in the case of a body corporate, any related body corporate, has obtained, directly or indirectly</w:t>
      </w:r>
      <w:r w:rsidR="00FD527B">
        <w:t>: s</w:t>
      </w:r>
      <w:r w:rsidR="004B3855">
        <w:t> </w:t>
      </w:r>
      <w:r w:rsidR="00FD527B">
        <w:t>294(ba)</w:t>
      </w:r>
      <w:r w:rsidR="00975AB5">
        <w:t>.</w:t>
      </w:r>
    </w:p>
    <w:p w14:paraId="09603EFD" w14:textId="6024249B" w:rsidR="00EA0C0A" w:rsidRDefault="00E75035" w:rsidP="00E75035">
      <w:pPr>
        <w:pStyle w:val="ParaNumbering"/>
        <w:numPr>
          <w:ilvl w:val="0"/>
          <w:numId w:val="0"/>
        </w:numPr>
        <w:tabs>
          <w:tab w:val="left" w:pos="720"/>
        </w:tabs>
        <w:ind w:hanging="720"/>
      </w:pPr>
      <w:r>
        <w:rPr>
          <w:sz w:val="20"/>
        </w:rPr>
        <w:t>16</w:t>
      </w:r>
      <w:r>
        <w:rPr>
          <w:sz w:val="20"/>
        </w:rPr>
        <w:tab/>
      </w:r>
      <w:r w:rsidR="000B661A" w:rsidRPr="00A72AA3">
        <w:t>Section 296 of the Retail Law</w:t>
      </w:r>
      <w:r w:rsidR="000B661A" w:rsidRPr="000B661A">
        <w:t xml:space="preserve"> provides that if the breach consists of a failure to do something that is required to be done, the breach is to be regarded as continuing until the act is done despite the fact that any period within which, or time before which, the act is required to be done has expired or passed.</w:t>
      </w:r>
    </w:p>
    <w:p w14:paraId="3A1B443B" w14:textId="07F1BE74" w:rsidR="00EE5AA3" w:rsidRDefault="00E75035" w:rsidP="00E75035">
      <w:pPr>
        <w:pStyle w:val="ParaNumbering"/>
        <w:numPr>
          <w:ilvl w:val="0"/>
          <w:numId w:val="0"/>
        </w:numPr>
        <w:tabs>
          <w:tab w:val="left" w:pos="720"/>
        </w:tabs>
        <w:ind w:hanging="720"/>
      </w:pPr>
      <w:r>
        <w:rPr>
          <w:sz w:val="20"/>
        </w:rPr>
        <w:lastRenderedPageBreak/>
        <w:t>17</w:t>
      </w:r>
      <w:r>
        <w:rPr>
          <w:sz w:val="20"/>
        </w:rPr>
        <w:tab/>
      </w:r>
      <w:r w:rsidR="00193807">
        <w:t xml:space="preserve">The scope of the power to impose civil pecuniary penalties was considered by the High Court in </w:t>
      </w:r>
      <w:r w:rsidR="00193807" w:rsidRPr="00A72AA3">
        <w:rPr>
          <w:i/>
        </w:rPr>
        <w:t xml:space="preserve">Australian Building and Construction Commissioner v </w:t>
      </w:r>
      <w:r w:rsidR="00193807" w:rsidRPr="00A72AA3">
        <w:rPr>
          <w:bCs/>
          <w:i/>
        </w:rPr>
        <w:t>Pattinson</w:t>
      </w:r>
      <w:r w:rsidR="00193807" w:rsidRPr="00A72AA3">
        <w:t xml:space="preserve"> (2022) 274 CLR 450; [2022] HCA 13</w:t>
      </w:r>
      <w:r w:rsidR="00193807">
        <w:t>.</w:t>
      </w:r>
      <w:r w:rsidR="00D56CDD">
        <w:t xml:space="preserve">  </w:t>
      </w:r>
      <w:r w:rsidR="00452DC3">
        <w:t>The following principles are derived from the reasons of the plurality</w:t>
      </w:r>
      <w:r w:rsidR="00452DC3" w:rsidRPr="00D56CDD">
        <w:rPr>
          <w:iCs/>
        </w:rPr>
        <w:t>:</w:t>
      </w:r>
    </w:p>
    <w:p w14:paraId="1F037DC6" w14:textId="20D79A4D" w:rsidR="00EE5AA3" w:rsidRDefault="00E75035" w:rsidP="00E75035">
      <w:pPr>
        <w:pStyle w:val="ListNo1"/>
        <w:numPr>
          <w:ilvl w:val="0"/>
          <w:numId w:val="0"/>
        </w:numPr>
        <w:tabs>
          <w:tab w:val="left" w:pos="720"/>
        </w:tabs>
        <w:ind w:left="720" w:hanging="720"/>
      </w:pPr>
      <w:bookmarkStart w:id="24" w:name="_Ref112075567"/>
      <w:r>
        <w:t>(1)</w:t>
      </w:r>
      <w:r>
        <w:tab/>
      </w:r>
      <w:r w:rsidR="00EE5AA3">
        <w:t>subject to the particular statutory scheme, “</w:t>
      </w:r>
      <w:r w:rsidR="00EE5AA3" w:rsidRPr="0056081D">
        <w:t>the purpose of a civil penalty is primarily, if not solely, the promotion of the public interest in compliance with the provisions of the Act by the deterrence of further contraventions of the Act</w:t>
      </w:r>
      <w:r w:rsidR="00EE5AA3">
        <w:t xml:space="preserve">”: [9], [15]; </w:t>
      </w:r>
    </w:p>
    <w:p w14:paraId="4DB1FCDF" w14:textId="2FCB2F05" w:rsidR="00EE5AA3" w:rsidRDefault="00E75035" w:rsidP="00E75035">
      <w:pPr>
        <w:pStyle w:val="ListNo1"/>
        <w:numPr>
          <w:ilvl w:val="0"/>
          <w:numId w:val="0"/>
        </w:numPr>
        <w:tabs>
          <w:tab w:val="left" w:pos="720"/>
        </w:tabs>
        <w:ind w:left="720" w:hanging="720"/>
      </w:pPr>
      <w:r>
        <w:t>(2)</w:t>
      </w:r>
      <w:r>
        <w:tab/>
      </w:r>
      <w:r w:rsidR="00EE5AA3">
        <w:t xml:space="preserve">there is no place for a “notion of proportionality” in a civil penalty regime, being a notion drawn from the criminal law that a penalty must be proportionate to the seriousness of the conduct that constituted the contravention, and nor should </w:t>
      </w:r>
      <w:r w:rsidR="00EE5AA3" w:rsidRPr="009970F6">
        <w:t xml:space="preserve">the maximum penalty be reserved for only the most serious examples of </w:t>
      </w:r>
      <w:r w:rsidR="00EE5AA3">
        <w:t>the offending (subject to the terms of the statute).  What</w:t>
      </w:r>
      <w:r w:rsidR="00EE5AA3" w:rsidRPr="009970F6">
        <w:t xml:space="preserve"> is required is</w:t>
      </w:r>
      <w:r w:rsidR="00EE5AA3">
        <w:t xml:space="preserve"> that there be</w:t>
      </w:r>
      <w:r w:rsidR="00EE5AA3" w:rsidRPr="009970F6">
        <w:t xml:space="preserve"> “some reasonable relationship between the theoretical maximum and the final penalty imposed” which </w:t>
      </w:r>
      <w:r w:rsidR="00EE5AA3">
        <w:t>will be</w:t>
      </w:r>
      <w:r w:rsidR="00EE5AA3" w:rsidRPr="009970F6">
        <w:t xml:space="preserve"> </w:t>
      </w:r>
      <w:r w:rsidR="00EE5AA3">
        <w:t>established</w:t>
      </w:r>
      <w:r w:rsidR="00EE5AA3" w:rsidRPr="009970F6">
        <w:t xml:space="preserve"> where the </w:t>
      </w:r>
      <w:r w:rsidR="00A66074">
        <w:t xml:space="preserve">maximum </w:t>
      </w:r>
      <w:r w:rsidR="00EE5AA3">
        <w:t xml:space="preserve">penalty does not exceed what </w:t>
      </w:r>
      <w:r w:rsidR="00EE5AA3" w:rsidRPr="009970F6">
        <w:t xml:space="preserve">is reasonably necessary to achieve the </w:t>
      </w:r>
      <w:r w:rsidR="00EE5AA3">
        <w:t xml:space="preserve">purpose of the provision, being the </w:t>
      </w:r>
      <w:r w:rsidR="00EE5AA3" w:rsidRPr="009970F6">
        <w:t>deterrence of future contraventions of a like kind by the contravenor and others: [10]</w:t>
      </w:r>
      <w:r w:rsidR="00EE5AA3">
        <w:t>;</w:t>
      </w:r>
      <w:bookmarkEnd w:id="24"/>
    </w:p>
    <w:p w14:paraId="1E26BA1D" w14:textId="42D63C11" w:rsidR="00EE5AA3" w:rsidRDefault="00E75035" w:rsidP="00E75035">
      <w:pPr>
        <w:pStyle w:val="ListNo1"/>
        <w:numPr>
          <w:ilvl w:val="0"/>
          <w:numId w:val="0"/>
        </w:numPr>
        <w:tabs>
          <w:tab w:val="left" w:pos="720"/>
        </w:tabs>
        <w:ind w:left="720" w:hanging="720"/>
      </w:pPr>
      <w:r>
        <w:t>(3)</w:t>
      </w:r>
      <w:r>
        <w:tab/>
      </w:r>
      <w:r w:rsidR="00EE5AA3">
        <w:t>civil penalties must be fixed with a view to ensuring that the penalty is not such as to be regarded by the offender or others as an acceptable cost of doing business: [17];</w:t>
      </w:r>
    </w:p>
    <w:p w14:paraId="03F76666" w14:textId="0ACF03EC" w:rsidR="00EE5AA3" w:rsidRDefault="00E75035" w:rsidP="00E75035">
      <w:pPr>
        <w:pStyle w:val="ListNo1"/>
        <w:numPr>
          <w:ilvl w:val="0"/>
          <w:numId w:val="0"/>
        </w:numPr>
        <w:tabs>
          <w:tab w:val="left" w:pos="720"/>
        </w:tabs>
        <w:ind w:left="720" w:hanging="720"/>
      </w:pPr>
      <w:r>
        <w:t>(4)</w:t>
      </w:r>
      <w:r>
        <w:tab/>
      </w:r>
      <w:r w:rsidR="00EE5AA3">
        <w:t xml:space="preserve">the factors identified by French J (as his Honour then was) in </w:t>
      </w:r>
      <w:r w:rsidR="00EE5AA3" w:rsidRPr="00A72AA3">
        <w:rPr>
          <w:i/>
        </w:rPr>
        <w:t xml:space="preserve">Trade Practices Commission v </w:t>
      </w:r>
      <w:r w:rsidR="00EE5AA3" w:rsidRPr="00A72AA3">
        <w:rPr>
          <w:bCs/>
          <w:i/>
        </w:rPr>
        <w:t>CSR</w:t>
      </w:r>
      <w:r w:rsidR="00EE5AA3" w:rsidRPr="00A72AA3">
        <w:rPr>
          <w:b/>
          <w:i/>
        </w:rPr>
        <w:t xml:space="preserve"> </w:t>
      </w:r>
      <w:r w:rsidR="00EE5AA3" w:rsidRPr="00A72AA3">
        <w:rPr>
          <w:i/>
        </w:rPr>
        <w:t>Ltd</w:t>
      </w:r>
      <w:r w:rsidR="00EE5AA3" w:rsidRPr="00A72AA3">
        <w:t xml:space="preserve"> </w:t>
      </w:r>
      <w:r w:rsidR="001B7B94" w:rsidRPr="00A72AA3">
        <w:t>[</w:t>
      </w:r>
      <w:r w:rsidR="00EE5AA3" w:rsidRPr="00A72AA3">
        <w:t>1991</w:t>
      </w:r>
      <w:r w:rsidR="001B7B94" w:rsidRPr="00A72AA3">
        <w:t>]</w:t>
      </w:r>
      <w:r w:rsidR="00EE5AA3" w:rsidRPr="00A72AA3">
        <w:t xml:space="preserve"> ATPR 41-076</w:t>
      </w:r>
      <w:r w:rsidR="00EE5AA3">
        <w:t xml:space="preserve"> at 52,152–52,153 (as set out below) are possible relevant considerations which inform the assessment of a penalty of appropriate deterrent value</w:t>
      </w:r>
      <w:r w:rsidR="00795BA9">
        <w:t>.  H</w:t>
      </w:r>
      <w:r w:rsidR="00EE5AA3">
        <w:t>owever, these should not be considered a “legal checklist” and the court’s task remains to determine what is an “appropriate” penalty in the circumstances of the particular case: [18]–[19], [54];</w:t>
      </w:r>
    </w:p>
    <w:p w14:paraId="199D3F6D" w14:textId="69FF8645" w:rsidR="00EE5AA3" w:rsidRDefault="00E75035" w:rsidP="00E75035">
      <w:pPr>
        <w:pStyle w:val="ListNo1"/>
        <w:numPr>
          <w:ilvl w:val="0"/>
          <w:numId w:val="0"/>
        </w:numPr>
        <w:tabs>
          <w:tab w:val="left" w:pos="720"/>
        </w:tabs>
        <w:ind w:left="720" w:hanging="720"/>
      </w:pPr>
      <w:r>
        <w:t>(5)</w:t>
      </w:r>
      <w:r>
        <w:tab/>
      </w:r>
      <w:r w:rsidR="00EE5AA3">
        <w:t>another relevant factor is the maximum penalty which might be imposed, albeit it must be balanced with all other relevant factors: [52]</w:t>
      </w:r>
      <w:r w:rsidR="00FE0EAB">
        <w:t>;</w:t>
      </w:r>
    </w:p>
    <w:p w14:paraId="55D257DA" w14:textId="74688D3E" w:rsidR="00EE5AA3" w:rsidRDefault="00E75035" w:rsidP="00E75035">
      <w:pPr>
        <w:pStyle w:val="ListNo1"/>
        <w:numPr>
          <w:ilvl w:val="0"/>
          <w:numId w:val="0"/>
        </w:numPr>
        <w:tabs>
          <w:tab w:val="left" w:pos="720"/>
        </w:tabs>
        <w:ind w:left="720" w:hanging="720"/>
      </w:pPr>
      <w:r>
        <w:t>(6)</w:t>
      </w:r>
      <w:r>
        <w:tab/>
      </w:r>
      <w:r w:rsidR="00EE5AA3">
        <w:t>the power to impose a penalty is to be exercised judicially, that is, fairly and reasonably having regard to the subject matter, scope and purpose of the legislation: [40];</w:t>
      </w:r>
    </w:p>
    <w:p w14:paraId="378EE99A" w14:textId="39791006" w:rsidR="00EE5AA3" w:rsidRDefault="00E75035" w:rsidP="00E75035">
      <w:pPr>
        <w:pStyle w:val="ListNo1"/>
        <w:numPr>
          <w:ilvl w:val="0"/>
          <w:numId w:val="0"/>
        </w:numPr>
        <w:tabs>
          <w:tab w:val="left" w:pos="720"/>
        </w:tabs>
        <w:ind w:left="720" w:hanging="720"/>
      </w:pPr>
      <w:r>
        <w:t>(7)</w:t>
      </w:r>
      <w:r>
        <w:tab/>
      </w:r>
      <w:r w:rsidR="00EE5AA3">
        <w:t>the penalty imposed should be “proportionate” in the sense that it strikes a reasonable balance between deterrence and oppressive severity: [41], [46];</w:t>
      </w:r>
    </w:p>
    <w:p w14:paraId="2033C4BE" w14:textId="48713131" w:rsidR="00EE5AA3" w:rsidRDefault="00E75035" w:rsidP="00E75035">
      <w:pPr>
        <w:pStyle w:val="ListNo1"/>
        <w:numPr>
          <w:ilvl w:val="0"/>
          <w:numId w:val="0"/>
        </w:numPr>
        <w:tabs>
          <w:tab w:val="left" w:pos="720"/>
        </w:tabs>
        <w:ind w:left="720" w:hanging="720"/>
      </w:pPr>
      <w:r>
        <w:t>(8)</w:t>
      </w:r>
      <w:r>
        <w:tab/>
      </w:r>
      <w:r w:rsidR="00EE5AA3">
        <w:t>concepts such as totality, parity and course of conduct may assist in the assessment of what may be considered reasonably necessary to deter further contraventions of the Act: [45];</w:t>
      </w:r>
    </w:p>
    <w:p w14:paraId="4795B63F" w14:textId="5B683975" w:rsidR="00EE5AA3" w:rsidRDefault="00E75035" w:rsidP="00E75035">
      <w:pPr>
        <w:pStyle w:val="ListNo1"/>
        <w:numPr>
          <w:ilvl w:val="0"/>
          <w:numId w:val="0"/>
        </w:numPr>
        <w:tabs>
          <w:tab w:val="left" w:pos="720"/>
        </w:tabs>
        <w:ind w:left="720" w:hanging="720"/>
      </w:pPr>
      <w:r>
        <w:lastRenderedPageBreak/>
        <w:t>(9)</w:t>
      </w:r>
      <w:r>
        <w:tab/>
      </w:r>
      <w:r w:rsidR="00EE5AA3">
        <w:t>a court which is empowered to impose an “appropriate” penalty must act fairly and reasonably for the purpose of protecting the public interest by deterring future contraventions of the legislation: [48] and [71];</w:t>
      </w:r>
    </w:p>
    <w:p w14:paraId="05496C47" w14:textId="193D3007" w:rsidR="00EE5AA3" w:rsidRDefault="00E75035" w:rsidP="00E75035">
      <w:pPr>
        <w:pStyle w:val="ListNo1"/>
        <w:numPr>
          <w:ilvl w:val="0"/>
          <w:numId w:val="0"/>
        </w:numPr>
        <w:tabs>
          <w:tab w:val="left" w:pos="720"/>
        </w:tabs>
        <w:ind w:left="720" w:hanging="720"/>
      </w:pPr>
      <w:r>
        <w:t>(10)</w:t>
      </w:r>
      <w:r>
        <w:tab/>
      </w:r>
      <w:r w:rsidR="00EE5AA3">
        <w:t>considerations of deterrence, and the protection of the public interest, justify the imposition of the maximum penalty where it is apparent that no lesser penalty will be an effective deterrent against future contraventions of a like kind: [50].</w:t>
      </w:r>
    </w:p>
    <w:p w14:paraId="40BEEBC3" w14:textId="4278395B" w:rsidR="0017484F" w:rsidRDefault="00E75035" w:rsidP="00E75035">
      <w:pPr>
        <w:pStyle w:val="ParaNumbering"/>
        <w:numPr>
          <w:ilvl w:val="0"/>
          <w:numId w:val="0"/>
        </w:numPr>
        <w:tabs>
          <w:tab w:val="left" w:pos="720"/>
        </w:tabs>
        <w:ind w:hanging="720"/>
      </w:pPr>
      <w:r>
        <w:rPr>
          <w:sz w:val="20"/>
        </w:rPr>
        <w:t>18</w:t>
      </w:r>
      <w:r>
        <w:rPr>
          <w:sz w:val="20"/>
        </w:rPr>
        <w:tab/>
      </w:r>
      <w:r w:rsidR="0017484F">
        <w:t xml:space="preserve">The factors identified by French J in </w:t>
      </w:r>
      <w:r w:rsidR="0017484F">
        <w:rPr>
          <w:i/>
        </w:rPr>
        <w:t xml:space="preserve">CSR </w:t>
      </w:r>
      <w:r w:rsidR="0017484F">
        <w:t>were:</w:t>
      </w:r>
    </w:p>
    <w:p w14:paraId="7767634A" w14:textId="77777777" w:rsidR="0017484F" w:rsidRDefault="0017484F" w:rsidP="0017484F">
      <w:pPr>
        <w:pStyle w:val="Quote1"/>
        <w:ind w:left="1440" w:hanging="703"/>
      </w:pPr>
      <w:r>
        <w:t>1.</w:t>
      </w:r>
      <w:r>
        <w:tab/>
        <w:t>The nature and extent of the contravening conduct.</w:t>
      </w:r>
    </w:p>
    <w:p w14:paraId="54590AB6" w14:textId="77777777" w:rsidR="0017484F" w:rsidRDefault="0017484F" w:rsidP="0017484F">
      <w:pPr>
        <w:pStyle w:val="Quote1"/>
        <w:ind w:left="1440" w:hanging="703"/>
      </w:pPr>
      <w:r>
        <w:t>2.</w:t>
      </w:r>
      <w:r>
        <w:tab/>
      </w:r>
      <w:r w:rsidRPr="00754F92">
        <w:t>The amount of loss or damage caused.</w:t>
      </w:r>
    </w:p>
    <w:p w14:paraId="76FCD9A1" w14:textId="77777777" w:rsidR="0017484F" w:rsidRDefault="0017484F" w:rsidP="0017484F">
      <w:pPr>
        <w:pStyle w:val="Quote1"/>
        <w:ind w:left="1440" w:hanging="703"/>
      </w:pPr>
      <w:r>
        <w:t>3.</w:t>
      </w:r>
      <w:r>
        <w:tab/>
        <w:t>The circumstances in which the conduct took place.</w:t>
      </w:r>
    </w:p>
    <w:p w14:paraId="5D35FCCF" w14:textId="77777777" w:rsidR="0017484F" w:rsidRDefault="0017484F" w:rsidP="0017484F">
      <w:pPr>
        <w:pStyle w:val="Quote1"/>
        <w:ind w:left="1440" w:hanging="703"/>
      </w:pPr>
      <w:r>
        <w:t>4.</w:t>
      </w:r>
      <w:r>
        <w:tab/>
      </w:r>
      <w:r w:rsidRPr="00754F92">
        <w:t>The size of the contravening company.</w:t>
      </w:r>
    </w:p>
    <w:p w14:paraId="7B306CD5" w14:textId="77777777" w:rsidR="0017484F" w:rsidRDefault="0017484F" w:rsidP="0017484F">
      <w:pPr>
        <w:pStyle w:val="Quote1"/>
        <w:ind w:left="1440" w:hanging="703"/>
      </w:pPr>
      <w:r>
        <w:t>5.</w:t>
      </w:r>
      <w:r>
        <w:tab/>
        <w:t>The degree of power it has, as evidenced by its market share and ease of entry into the market.</w:t>
      </w:r>
    </w:p>
    <w:p w14:paraId="0BCC2D34" w14:textId="77777777" w:rsidR="0017484F" w:rsidRDefault="0017484F" w:rsidP="0017484F">
      <w:pPr>
        <w:pStyle w:val="Quote1"/>
        <w:ind w:left="1440" w:hanging="703"/>
      </w:pPr>
      <w:r>
        <w:t>6.</w:t>
      </w:r>
      <w:r>
        <w:tab/>
        <w:t>The deliberateness of the contravention and the period over which it extended.</w:t>
      </w:r>
    </w:p>
    <w:p w14:paraId="32EEE741" w14:textId="77777777" w:rsidR="0017484F" w:rsidRDefault="0017484F" w:rsidP="0017484F">
      <w:pPr>
        <w:pStyle w:val="Quote1"/>
        <w:ind w:left="1440" w:hanging="703"/>
      </w:pPr>
      <w:r>
        <w:t>7.</w:t>
      </w:r>
      <w:r>
        <w:tab/>
        <w:t>Whether the contravention arose out of the conduct of senior management or at a lower level.</w:t>
      </w:r>
    </w:p>
    <w:p w14:paraId="122A6768" w14:textId="77777777" w:rsidR="0017484F" w:rsidRDefault="0017484F" w:rsidP="0017484F">
      <w:pPr>
        <w:pStyle w:val="Quote1"/>
        <w:ind w:left="1440" w:hanging="703"/>
      </w:pPr>
      <w:r>
        <w:t>8.</w:t>
      </w:r>
      <w:r>
        <w:tab/>
        <w:t>Whether the company has a corporate culture conducive to compliance with the Act, as evidenced by educational programs and disciplinary or other corrective measures in response to an acknowledged contravention.</w:t>
      </w:r>
    </w:p>
    <w:p w14:paraId="25934ED9" w14:textId="7FCDBC7F" w:rsidR="00EE5AA3" w:rsidRDefault="0017484F" w:rsidP="0017484F">
      <w:pPr>
        <w:pStyle w:val="Quote1"/>
        <w:ind w:left="1440" w:hanging="703"/>
      </w:pPr>
      <w:r>
        <w:t>9.</w:t>
      </w:r>
      <w:r>
        <w:tab/>
        <w:t>Whether the company has shown a disposition to co-operate with the authorities responsible for the enforcement of the Act in relation to the contravention.</w:t>
      </w:r>
    </w:p>
    <w:p w14:paraId="7CBED87F" w14:textId="33FE6BBE" w:rsidR="0012460E" w:rsidRDefault="00E75035" w:rsidP="00E75035">
      <w:pPr>
        <w:pStyle w:val="ParaNumbering"/>
        <w:numPr>
          <w:ilvl w:val="0"/>
          <w:numId w:val="0"/>
        </w:numPr>
        <w:tabs>
          <w:tab w:val="left" w:pos="720"/>
        </w:tabs>
        <w:ind w:hanging="720"/>
      </w:pPr>
      <w:r>
        <w:rPr>
          <w:sz w:val="20"/>
        </w:rPr>
        <w:t>19</w:t>
      </w:r>
      <w:r>
        <w:rPr>
          <w:sz w:val="20"/>
        </w:rPr>
        <w:tab/>
      </w:r>
      <w:r w:rsidR="0017484F">
        <w:t xml:space="preserve">These </w:t>
      </w:r>
      <w:r w:rsidR="00EC7C59">
        <w:t>“</w:t>
      </w:r>
      <w:r w:rsidR="00D76379">
        <w:t xml:space="preserve">French </w:t>
      </w:r>
      <w:r w:rsidR="0017484F">
        <w:t>factors</w:t>
      </w:r>
      <w:r w:rsidR="00EC7C59">
        <w:t>”</w:t>
      </w:r>
      <w:r w:rsidR="007B6740" w:rsidRPr="0012460E">
        <w:rPr>
          <w:i/>
          <w:iCs/>
        </w:rPr>
        <w:t xml:space="preserve"> </w:t>
      </w:r>
      <w:r w:rsidR="007B6740">
        <w:t xml:space="preserve">have been held by this Court to be relevant to </w:t>
      </w:r>
      <w:r w:rsidR="00910C6A">
        <w:t>the determination of civil penalties under s</w:t>
      </w:r>
      <w:r w:rsidR="00E1680A">
        <w:t> </w:t>
      </w:r>
      <w:r w:rsidR="00910C6A">
        <w:t xml:space="preserve">294 of the Retail Law: </w:t>
      </w:r>
      <w:r w:rsidR="0012460E">
        <w:t>see</w:t>
      </w:r>
      <w:r w:rsidR="00E2762C">
        <w:t>,</w:t>
      </w:r>
      <w:r w:rsidR="0012460E">
        <w:t xml:space="preserve"> for example</w:t>
      </w:r>
      <w:r w:rsidR="00E2762C">
        <w:t>,</w:t>
      </w:r>
      <w:r w:rsidR="0012460E">
        <w:t xml:space="preserve"> </w:t>
      </w:r>
      <w:r w:rsidR="0012460E" w:rsidRPr="00A72AA3">
        <w:rPr>
          <w:i/>
          <w:iCs/>
        </w:rPr>
        <w:t>Australian Energy Regulator v AGL Sales Pty Limited</w:t>
      </w:r>
      <w:r w:rsidR="0012460E" w:rsidRPr="00A72AA3">
        <w:t xml:space="preserve"> [2020] FCA 1623</w:t>
      </w:r>
      <w:r w:rsidR="0012460E" w:rsidRPr="00852D29">
        <w:t xml:space="preserve"> at [59] (Anderson J)</w:t>
      </w:r>
      <w:r w:rsidR="00FA4333">
        <w:t>.  While the consideration of each of these factors is not mandatory, they</w:t>
      </w:r>
      <w:r w:rsidR="00327F34">
        <w:t xml:space="preserve"> each</w:t>
      </w:r>
      <w:r w:rsidR="00FA4333">
        <w:t xml:space="preserve"> </w:t>
      </w:r>
      <w:r w:rsidR="00327F34">
        <w:t>could fall within the scope of</w:t>
      </w:r>
      <w:r w:rsidR="00FA4333">
        <w:t xml:space="preserve"> “all relevant matters” as required by s</w:t>
      </w:r>
      <w:r w:rsidR="00101C4D">
        <w:t> </w:t>
      </w:r>
      <w:r w:rsidR="00FA4333">
        <w:t>294</w:t>
      </w:r>
      <w:r w:rsidR="0057319C">
        <w:t>,</w:t>
      </w:r>
      <w:r w:rsidR="00327F34">
        <w:t xml:space="preserve"> depending on the facts of the case</w:t>
      </w:r>
      <w:r w:rsidR="00FA4333">
        <w:t>.</w:t>
      </w:r>
    </w:p>
    <w:p w14:paraId="19F8C57E" w14:textId="4069C02E" w:rsidR="00614C51" w:rsidRDefault="00E75035" w:rsidP="00E75035">
      <w:pPr>
        <w:pStyle w:val="ParaNumbering"/>
        <w:numPr>
          <w:ilvl w:val="0"/>
          <w:numId w:val="0"/>
        </w:numPr>
        <w:tabs>
          <w:tab w:val="left" w:pos="720"/>
        </w:tabs>
        <w:ind w:hanging="720"/>
      </w:pPr>
      <w:r>
        <w:rPr>
          <w:sz w:val="20"/>
        </w:rPr>
        <w:t>20</w:t>
      </w:r>
      <w:r>
        <w:rPr>
          <w:sz w:val="20"/>
        </w:rPr>
        <w:tab/>
      </w:r>
      <w:r w:rsidR="00614C51">
        <w:t>The totality principle operates as a final check prior to imposition of a penalty, whereby a court considers whether the aggregate penalty to be imposed is just and appropriate for the conduct when viewed as a whole:</w:t>
      </w:r>
      <w:r w:rsidR="00614C51" w:rsidRPr="00670ED4">
        <w:rPr>
          <w:i/>
          <w:iCs/>
        </w:rPr>
        <w:t xml:space="preserve"> </w:t>
      </w:r>
      <w:r w:rsidR="00614C51" w:rsidRPr="00A72AA3">
        <w:rPr>
          <w:i/>
          <w:iCs/>
        </w:rPr>
        <w:t>Australian Competition and Consumer Commission v ACM Group Ltd (No 3)</w:t>
      </w:r>
      <w:r w:rsidR="00614C51" w:rsidRPr="00A72AA3">
        <w:t> [2018] FCA 2059</w:t>
      </w:r>
      <w:r w:rsidR="00614C51" w:rsidRPr="00852D29">
        <w:t xml:space="preserve"> at [37]</w:t>
      </w:r>
      <w:r w:rsidR="00E82E7C" w:rsidRPr="00E82E7C">
        <w:t xml:space="preserve"> </w:t>
      </w:r>
      <w:r w:rsidR="00E82E7C" w:rsidRPr="00852D29">
        <w:t>(Griffiths</w:t>
      </w:r>
      <w:r w:rsidR="00E82E7C">
        <w:t xml:space="preserve"> J</w:t>
      </w:r>
      <w:r w:rsidR="00E82E7C" w:rsidRPr="00852D29">
        <w:t>)</w:t>
      </w:r>
      <w:r w:rsidR="00614C51">
        <w:t xml:space="preserve">.  It has been described as an analytical tool which is applied to ensure that the overall penalty is not oppressive or disproportionate in the sense that </w:t>
      </w:r>
      <w:r w:rsidR="00614C51" w:rsidRPr="00791831">
        <w:t>it is greater than necessary to achieve the object of deterrence</w:t>
      </w:r>
      <w:r w:rsidR="00614C51">
        <w:t>:</w:t>
      </w:r>
      <w:r w:rsidR="002F3768">
        <w:t xml:space="preserve"> see</w:t>
      </w:r>
      <w:r w:rsidR="00614C51">
        <w:t xml:space="preserve"> </w:t>
      </w:r>
      <w:r w:rsidR="00614C51" w:rsidRPr="00670ED4">
        <w:rPr>
          <w:i/>
        </w:rPr>
        <w:t>Pattinson</w:t>
      </w:r>
      <w:r w:rsidR="00614C51">
        <w:t xml:space="preserve"> at [45].</w:t>
      </w:r>
    </w:p>
    <w:p w14:paraId="5038A308" w14:textId="1C6A1C0A" w:rsidR="00C45E8B" w:rsidRDefault="00AD483D" w:rsidP="00ED4F8A">
      <w:pPr>
        <w:pStyle w:val="Heading2"/>
      </w:pPr>
      <w:r>
        <w:lastRenderedPageBreak/>
        <w:t>General and specific</w:t>
      </w:r>
      <w:r w:rsidR="00ED4F8A">
        <w:t xml:space="preserve"> deterrence</w:t>
      </w:r>
    </w:p>
    <w:p w14:paraId="010EC4A9" w14:textId="1AF4E7B5" w:rsidR="002A67D8" w:rsidRDefault="00E75035" w:rsidP="00E75035">
      <w:pPr>
        <w:pStyle w:val="ParaNumbering"/>
        <w:numPr>
          <w:ilvl w:val="0"/>
          <w:numId w:val="0"/>
        </w:numPr>
        <w:tabs>
          <w:tab w:val="left" w:pos="720"/>
        </w:tabs>
        <w:ind w:hanging="720"/>
      </w:pPr>
      <w:r>
        <w:rPr>
          <w:sz w:val="20"/>
        </w:rPr>
        <w:t>21</w:t>
      </w:r>
      <w:r>
        <w:rPr>
          <w:sz w:val="20"/>
        </w:rPr>
        <w:tab/>
      </w:r>
      <w:r w:rsidR="00220F38" w:rsidRPr="00555C60">
        <w:t xml:space="preserve">A substantial penalty is necessary to achieve </w:t>
      </w:r>
      <w:r w:rsidR="00220F38" w:rsidRPr="00220F38">
        <w:t>general deterrence</w:t>
      </w:r>
      <w:r w:rsidR="00220F38" w:rsidRPr="00555C60">
        <w:t xml:space="preserve"> in this case. </w:t>
      </w:r>
      <w:r w:rsidR="00B06E54">
        <w:t xml:space="preserve"> </w:t>
      </w:r>
      <w:r w:rsidR="00220F38" w:rsidRPr="00555C60">
        <w:t xml:space="preserve">In this regard, the following matters </w:t>
      </w:r>
      <w:r w:rsidR="002A67D8">
        <w:t>are relevant</w:t>
      </w:r>
      <w:r w:rsidR="00220F38">
        <w:t>.</w:t>
      </w:r>
    </w:p>
    <w:p w14:paraId="19680CD2" w14:textId="7B3E2A97" w:rsidR="00220F38" w:rsidRDefault="00E75035" w:rsidP="00E75035">
      <w:pPr>
        <w:pStyle w:val="ParaNumbering"/>
        <w:numPr>
          <w:ilvl w:val="0"/>
          <w:numId w:val="0"/>
        </w:numPr>
        <w:tabs>
          <w:tab w:val="left" w:pos="720"/>
        </w:tabs>
        <w:ind w:hanging="720"/>
      </w:pPr>
      <w:r>
        <w:rPr>
          <w:sz w:val="20"/>
        </w:rPr>
        <w:t>22</w:t>
      </w:r>
      <w:r>
        <w:rPr>
          <w:sz w:val="20"/>
        </w:rPr>
        <w:tab/>
      </w:r>
      <w:r w:rsidR="00220F38">
        <w:t xml:space="preserve">First, each AGL Entity is a subsidiary of a large publicly listed company with </w:t>
      </w:r>
      <w:r w:rsidR="00220F38" w:rsidRPr="00555C60">
        <w:t>significant financial resources</w:t>
      </w:r>
      <w:r w:rsidR="003365EE">
        <w:t xml:space="preserve">.  </w:t>
      </w:r>
      <w:r w:rsidR="00F120BF">
        <w:t>T</w:t>
      </w:r>
      <w:r w:rsidR="00220F38" w:rsidRPr="00555C60">
        <w:t xml:space="preserve">he penalty must send a clear signal to other companies in Australia (particularly other large companies) that contraventions of the </w:t>
      </w:r>
      <w:r w:rsidR="00220F38">
        <w:t xml:space="preserve">Retail </w:t>
      </w:r>
      <w:r w:rsidR="00220F38" w:rsidRPr="00555C60">
        <w:t xml:space="preserve">Rules </w:t>
      </w:r>
      <w:r w:rsidR="00220F38">
        <w:t>are not tolerated,</w:t>
      </w:r>
      <w:r w:rsidR="00220F38" w:rsidRPr="00555C60">
        <w:t xml:space="preserve"> and that there are serious consequences for such contraventions.</w:t>
      </w:r>
    </w:p>
    <w:p w14:paraId="47C082E5" w14:textId="2B8DD557" w:rsidR="00220F38" w:rsidRDefault="00E75035" w:rsidP="00E75035">
      <w:pPr>
        <w:pStyle w:val="ParaNumbering"/>
        <w:numPr>
          <w:ilvl w:val="0"/>
          <w:numId w:val="0"/>
        </w:numPr>
        <w:tabs>
          <w:tab w:val="left" w:pos="720"/>
        </w:tabs>
        <w:ind w:hanging="720"/>
      </w:pPr>
      <w:r>
        <w:rPr>
          <w:sz w:val="20"/>
        </w:rPr>
        <w:t>23</w:t>
      </w:r>
      <w:r>
        <w:rPr>
          <w:sz w:val="20"/>
        </w:rPr>
        <w:tab/>
      </w:r>
      <w:r w:rsidR="00220F38" w:rsidRPr="00555C60">
        <w:t>Second, and relatedly, there is a need to ensure that the penalty is not seen b</w:t>
      </w:r>
      <w:r w:rsidR="00220F38">
        <w:t xml:space="preserve">y </w:t>
      </w:r>
      <w:r w:rsidR="00220F38" w:rsidRPr="00555C60">
        <w:t>other large corporations as a mere cost of doing business.</w:t>
      </w:r>
      <w:r w:rsidR="000B1423">
        <w:t xml:space="preserve">  In other words, those engaged in trade and commerce must be deterred from the cynical calculation involved in weighing up the risk of penalty against the profits to be made from contravention: </w:t>
      </w:r>
      <w:r w:rsidR="000B1423" w:rsidRPr="00A72AA3">
        <w:rPr>
          <w:i/>
          <w:iCs/>
        </w:rPr>
        <w:t>Singtel Optus Pty Ltd v Australian Competition and Consumer Commission</w:t>
      </w:r>
      <w:r w:rsidR="000B1423" w:rsidRPr="00A72AA3">
        <w:t xml:space="preserve"> [2012] FCAFC 20</w:t>
      </w:r>
      <w:r w:rsidR="00F50901">
        <w:t xml:space="preserve"> </w:t>
      </w:r>
      <w:r w:rsidR="000B1423">
        <w:t>at [63]</w:t>
      </w:r>
      <w:r w:rsidR="00795BA9">
        <w:t xml:space="preserve"> (Keane CJ, Finn and Gilmour JJ)</w:t>
      </w:r>
      <w:r w:rsidR="00F50901">
        <w:t xml:space="preserve">.  </w:t>
      </w:r>
      <w:r w:rsidR="00220F38" w:rsidRPr="00555C60">
        <w:t>Other large</w:t>
      </w:r>
      <w:r w:rsidR="00220F38">
        <w:t xml:space="preserve"> </w:t>
      </w:r>
      <w:r w:rsidR="00220F38" w:rsidRPr="00555C60">
        <w:t>companies doing business in Australia will likely be aware of the penalty imposed</w:t>
      </w:r>
      <w:r w:rsidR="00220F38">
        <w:t xml:space="preserve"> </w:t>
      </w:r>
      <w:r w:rsidR="00220F38" w:rsidRPr="00555C60">
        <w:t xml:space="preserve">on </w:t>
      </w:r>
      <w:r w:rsidR="00220F38">
        <w:t>the AGL Entities</w:t>
      </w:r>
      <w:r w:rsidR="00220F38" w:rsidRPr="00555C60">
        <w:t xml:space="preserve"> in this case. </w:t>
      </w:r>
      <w:r w:rsidR="00F120BF">
        <w:t xml:space="preserve"> </w:t>
      </w:r>
      <w:r w:rsidR="00220F38" w:rsidRPr="00555C60">
        <w:t>In this context, it is essential that the penalty imposed is</w:t>
      </w:r>
      <w:r w:rsidR="00220F38">
        <w:t xml:space="preserve"> </w:t>
      </w:r>
      <w:r w:rsidR="00220F38" w:rsidRPr="00555C60">
        <w:t>beyond an amount that might be seen as an acceptable cost of doing business for</w:t>
      </w:r>
      <w:r w:rsidR="00220F38">
        <w:t xml:space="preserve"> </w:t>
      </w:r>
      <w:r w:rsidR="00220F38" w:rsidRPr="00555C60">
        <w:t>a company of AGL’s size and resources.</w:t>
      </w:r>
    </w:p>
    <w:p w14:paraId="3F6A6448" w14:textId="45641531" w:rsidR="00220F38" w:rsidRPr="00555C60" w:rsidRDefault="00E75035" w:rsidP="00E75035">
      <w:pPr>
        <w:pStyle w:val="ParaNumbering"/>
        <w:numPr>
          <w:ilvl w:val="0"/>
          <w:numId w:val="0"/>
        </w:numPr>
        <w:tabs>
          <w:tab w:val="left" w:pos="720"/>
        </w:tabs>
        <w:ind w:hanging="720"/>
      </w:pPr>
      <w:r w:rsidRPr="00555C60">
        <w:rPr>
          <w:sz w:val="20"/>
        </w:rPr>
        <w:t>24</w:t>
      </w:r>
      <w:r w:rsidRPr="00555C60">
        <w:rPr>
          <w:sz w:val="20"/>
        </w:rPr>
        <w:tab/>
      </w:r>
      <w:r w:rsidR="00220F38" w:rsidRPr="00555C60">
        <w:t>Third, the penalty must demonstrate that contraventions resulting from inadequate</w:t>
      </w:r>
      <w:r w:rsidR="00220F38">
        <w:t xml:space="preserve"> </w:t>
      </w:r>
      <w:r w:rsidR="00220F38" w:rsidRPr="00555C60">
        <w:t>systems or processes have serious consequences, particularly where they involve</w:t>
      </w:r>
      <w:r w:rsidR="00220F38">
        <w:t xml:space="preserve"> </w:t>
      </w:r>
      <w:r w:rsidR="00220F38" w:rsidRPr="00555C60">
        <w:t>large corporations and affect a large number of consumers.</w:t>
      </w:r>
    </w:p>
    <w:p w14:paraId="2D657BE4" w14:textId="1693F67F" w:rsidR="005D222C" w:rsidRDefault="00E75035" w:rsidP="00E75035">
      <w:pPr>
        <w:pStyle w:val="ParaNumbering"/>
        <w:numPr>
          <w:ilvl w:val="0"/>
          <w:numId w:val="0"/>
        </w:numPr>
        <w:tabs>
          <w:tab w:val="left" w:pos="720"/>
        </w:tabs>
        <w:ind w:hanging="720"/>
      </w:pPr>
      <w:r>
        <w:rPr>
          <w:sz w:val="20"/>
        </w:rPr>
        <w:t>25</w:t>
      </w:r>
      <w:r>
        <w:rPr>
          <w:sz w:val="20"/>
        </w:rPr>
        <w:tab/>
      </w:r>
      <w:r w:rsidR="00220F38" w:rsidRPr="00555C60">
        <w:t xml:space="preserve">A substantial penalty is also necessary to achieve </w:t>
      </w:r>
      <w:r w:rsidR="00220F38" w:rsidRPr="00F120BF">
        <w:t>specific deterrence</w:t>
      </w:r>
      <w:r w:rsidR="00220F38" w:rsidRPr="00555C60">
        <w:t>.</w:t>
      </w:r>
      <w:r w:rsidR="00DD46F6">
        <w:t xml:space="preserve">  </w:t>
      </w:r>
      <w:r w:rsidR="005D222C">
        <w:t>A</w:t>
      </w:r>
      <w:r w:rsidR="005D222C" w:rsidRPr="00F62378">
        <w:t xml:space="preserve"> greater financial incentive will be necessary to persuade a well-resourced contraven</w:t>
      </w:r>
      <w:r w:rsidR="005D222C">
        <w:t>o</w:t>
      </w:r>
      <w:r w:rsidR="005D222C" w:rsidRPr="00F62378">
        <w:t>r to abide by the law rather than to adhere to its preferred policy than will be necessary to persuade a poorly resourced contraven</w:t>
      </w:r>
      <w:r w:rsidR="005D222C">
        <w:t>o</w:t>
      </w:r>
      <w:r w:rsidR="005D222C" w:rsidRPr="00F62378">
        <w:t>r that its unlawful policy preference is not sustainable</w:t>
      </w:r>
      <w:r w:rsidR="005D222C">
        <w:t xml:space="preserve">: </w:t>
      </w:r>
      <w:r w:rsidR="005D222C" w:rsidRPr="00FC747D">
        <w:rPr>
          <w:i/>
          <w:iCs/>
        </w:rPr>
        <w:t xml:space="preserve">Pattinson </w:t>
      </w:r>
      <w:r w:rsidR="005D222C">
        <w:t xml:space="preserve">at [60]; see also </w:t>
      </w:r>
      <w:r w:rsidR="005D222C" w:rsidRPr="00A72AA3">
        <w:rPr>
          <w:i/>
          <w:iCs/>
        </w:rPr>
        <w:t>Volkswagen Aktiengesellschaft v Australian Competition and Consumer Commission</w:t>
      </w:r>
      <w:r w:rsidR="005D222C" w:rsidRPr="00A72AA3">
        <w:t xml:space="preserve"> (2021) 284 FCR 24; [2021] FCAFC </w:t>
      </w:r>
      <w:r w:rsidR="00443974" w:rsidRPr="00A72AA3">
        <w:t>49</w:t>
      </w:r>
      <w:r w:rsidR="00443974">
        <w:t xml:space="preserve"> </w:t>
      </w:r>
      <w:r w:rsidR="005D222C" w:rsidRPr="0084046E">
        <w:t>at [154]</w:t>
      </w:r>
      <w:r w:rsidR="00443974">
        <w:t xml:space="preserve"> (Wigney, Beach and O’Bryan JJ)</w:t>
      </w:r>
      <w:r w:rsidR="005D222C">
        <w:t>.</w:t>
      </w:r>
      <w:r w:rsidR="00FC747D">
        <w:t xml:space="preserve">  Having said that, the penalty should not be greater than is necessary to achieve the object of deterrence, and severity beyond that is oppression: </w:t>
      </w:r>
      <w:r w:rsidR="005676AF">
        <w:t xml:space="preserve">see </w:t>
      </w:r>
      <w:r w:rsidR="00FC747D" w:rsidRPr="00FC747D">
        <w:rPr>
          <w:i/>
          <w:iCs/>
        </w:rPr>
        <w:t xml:space="preserve">Pattinson </w:t>
      </w:r>
      <w:r w:rsidR="00FC747D">
        <w:t xml:space="preserve">at [40].  Further, </w:t>
      </w:r>
      <w:r w:rsidR="00FC747D" w:rsidRPr="00FC747D">
        <w:rPr>
          <w:shd w:val="clear" w:color="auto" w:fill="FFFFFF"/>
        </w:rPr>
        <w:t>retributive justice has no part to play in determining the appropriate civil penalty</w:t>
      </w:r>
      <w:r w:rsidR="005676AF">
        <w:rPr>
          <w:shd w:val="clear" w:color="auto" w:fill="FFFFFF"/>
        </w:rPr>
        <w:t xml:space="preserve">: see </w:t>
      </w:r>
      <w:r w:rsidR="005676AF">
        <w:rPr>
          <w:i/>
          <w:iCs/>
          <w:shd w:val="clear" w:color="auto" w:fill="FFFFFF"/>
        </w:rPr>
        <w:t xml:space="preserve">Pattinson </w:t>
      </w:r>
      <w:r w:rsidR="005676AF">
        <w:rPr>
          <w:shd w:val="clear" w:color="auto" w:fill="FFFFFF"/>
        </w:rPr>
        <w:t>at [39]</w:t>
      </w:r>
      <w:r w:rsidR="00FC747D" w:rsidRPr="00FC747D">
        <w:rPr>
          <w:shd w:val="clear" w:color="auto" w:fill="FFFFFF"/>
        </w:rPr>
        <w:t>.</w:t>
      </w:r>
    </w:p>
    <w:p w14:paraId="6F95F6DE" w14:textId="62B6B6E9" w:rsidR="00220F38" w:rsidRDefault="00E75035" w:rsidP="00E75035">
      <w:pPr>
        <w:pStyle w:val="ParaNumbering"/>
        <w:numPr>
          <w:ilvl w:val="0"/>
          <w:numId w:val="0"/>
        </w:numPr>
        <w:tabs>
          <w:tab w:val="left" w:pos="720"/>
        </w:tabs>
        <w:ind w:hanging="720"/>
      </w:pPr>
      <w:r>
        <w:rPr>
          <w:sz w:val="20"/>
        </w:rPr>
        <w:t>26</w:t>
      </w:r>
      <w:r>
        <w:rPr>
          <w:sz w:val="20"/>
        </w:rPr>
        <w:tab/>
      </w:r>
      <w:r w:rsidR="00220F38" w:rsidRPr="00555C60">
        <w:t xml:space="preserve">The AGL </w:t>
      </w:r>
      <w:r w:rsidR="00F120BF">
        <w:t xml:space="preserve">Entities form part of a </w:t>
      </w:r>
      <w:r w:rsidR="00220F38" w:rsidRPr="00555C60">
        <w:t>group</w:t>
      </w:r>
      <w:r w:rsidR="00F120BF">
        <w:t xml:space="preserve"> of companies</w:t>
      </w:r>
      <w:r w:rsidR="00220F38" w:rsidRPr="00555C60">
        <w:t xml:space="preserve"> </w:t>
      </w:r>
      <w:r w:rsidR="00F120BF">
        <w:t>which has</w:t>
      </w:r>
      <w:r w:rsidR="00220F38" w:rsidRPr="00555C60">
        <w:t xml:space="preserve"> a dominant position in the energy retailing sector with substantial market share and market power, as well as being vertically integrated into generation and trading markets.</w:t>
      </w:r>
      <w:r w:rsidR="00F120BF">
        <w:t xml:space="preserve">  </w:t>
      </w:r>
      <w:r w:rsidR="00220F38" w:rsidRPr="00555C60">
        <w:t xml:space="preserve">The AGL Entities have extensive </w:t>
      </w:r>
      <w:r w:rsidR="00220F38" w:rsidRPr="00555C60">
        <w:lastRenderedPageBreak/>
        <w:t>levels of interaction with consumers, such that compliance with the Retail Rules should be a priority.</w:t>
      </w:r>
      <w:r w:rsidR="00220F38">
        <w:t xml:space="preserve"> </w:t>
      </w:r>
      <w:r w:rsidR="00F120BF">
        <w:t xml:space="preserve"> AGL’s</w:t>
      </w:r>
      <w:r w:rsidR="00220F38" w:rsidRPr="00555C60">
        <w:t xml:space="preserve"> conduct affected a significant number of consumers over a period of </w:t>
      </w:r>
      <w:r w:rsidR="00220F38">
        <w:t>(at least) four years.</w:t>
      </w:r>
      <w:r w:rsidR="00E95FD1">
        <w:t xml:space="preserve">  </w:t>
      </w:r>
      <w:r w:rsidR="00220F38" w:rsidRPr="00555C60">
        <w:t>It is important that the penalty imposed is not capable of being perceived by the AGL Entities as an acceptable cost of failing to have adequate systems and processes in place.</w:t>
      </w:r>
      <w:r w:rsidR="00E95FD1">
        <w:t xml:space="preserve">  </w:t>
      </w:r>
      <w:r w:rsidR="00220F38" w:rsidRPr="00555C60">
        <w:t>The size of the penalty must therefore be sufficient to act as an effective deterrent to the AGL Entities against future non-compliance with the Retail Rules.</w:t>
      </w:r>
      <w:r w:rsidR="00D00361">
        <w:t xml:space="preserve">  </w:t>
      </w:r>
      <w:r w:rsidR="00220F38" w:rsidRPr="00555C60">
        <w:t>AGL’s size and financial position mean that a significant penalty is required to achieve such deterrence.</w:t>
      </w:r>
    </w:p>
    <w:p w14:paraId="58633B03" w14:textId="2B89C014" w:rsidR="00F46152" w:rsidRDefault="00F46152" w:rsidP="00F46152">
      <w:pPr>
        <w:pStyle w:val="Heading2"/>
      </w:pPr>
      <w:r>
        <w:t>The nature and extent of the breach</w:t>
      </w:r>
      <w:r w:rsidR="00FC0A6D">
        <w:t>: s 294(a)</w:t>
      </w:r>
    </w:p>
    <w:p w14:paraId="4900EF89" w14:textId="01D4FB3B" w:rsidR="00DE6797" w:rsidRDefault="00E75035" w:rsidP="00E75035">
      <w:pPr>
        <w:pStyle w:val="ParaNumbering"/>
        <w:numPr>
          <w:ilvl w:val="0"/>
          <w:numId w:val="0"/>
        </w:numPr>
        <w:tabs>
          <w:tab w:val="left" w:pos="720"/>
        </w:tabs>
        <w:ind w:hanging="720"/>
      </w:pPr>
      <w:r>
        <w:rPr>
          <w:sz w:val="20"/>
        </w:rPr>
        <w:t>27</w:t>
      </w:r>
      <w:r>
        <w:rPr>
          <w:sz w:val="20"/>
        </w:rPr>
        <w:tab/>
      </w:r>
      <w:r w:rsidR="00DE6797">
        <w:t xml:space="preserve">By the liability judgment at [169] and [170], it was found that the AGL Entities had:  </w:t>
      </w:r>
    </w:p>
    <w:p w14:paraId="6CC41D93" w14:textId="0DAB5B29" w:rsidR="00DE6797" w:rsidRDefault="00E75035" w:rsidP="00E75035">
      <w:pPr>
        <w:pStyle w:val="ListNo1"/>
        <w:numPr>
          <w:ilvl w:val="0"/>
          <w:numId w:val="0"/>
        </w:numPr>
        <w:tabs>
          <w:tab w:val="left" w:pos="720"/>
        </w:tabs>
        <w:ind w:left="720" w:hanging="720"/>
      </w:pPr>
      <w:r>
        <w:t>(1)</w:t>
      </w:r>
      <w:r>
        <w:tab/>
      </w:r>
      <w:r w:rsidR="00DE6797">
        <w:t>committed 3,531 contraventions of r 31(1) of the Retail Rules;</w:t>
      </w:r>
    </w:p>
    <w:p w14:paraId="46000148" w14:textId="51CBACA7" w:rsidR="00DE6797" w:rsidRDefault="00E75035" w:rsidP="00E75035">
      <w:pPr>
        <w:pStyle w:val="ListNo1"/>
        <w:numPr>
          <w:ilvl w:val="0"/>
          <w:numId w:val="0"/>
        </w:numPr>
        <w:tabs>
          <w:tab w:val="left" w:pos="720"/>
        </w:tabs>
        <w:ind w:left="720" w:hanging="720"/>
      </w:pPr>
      <w:r>
        <w:t>(2)</w:t>
      </w:r>
      <w:r>
        <w:tab/>
      </w:r>
      <w:r w:rsidR="00DE6797">
        <w:t>committed</w:t>
      </w:r>
      <w:r w:rsidR="00DE6797" w:rsidRPr="00EB3B93">
        <w:t xml:space="preserve"> </w:t>
      </w:r>
      <w:r w:rsidR="00DE6797">
        <w:t>3,531 contraventions of r 31(2) of the Retail Rules;</w:t>
      </w:r>
    </w:p>
    <w:p w14:paraId="70B14FE6" w14:textId="5955F603" w:rsidR="00DE6797" w:rsidRDefault="00E75035" w:rsidP="00E75035">
      <w:pPr>
        <w:pStyle w:val="ListNo1"/>
        <w:numPr>
          <w:ilvl w:val="0"/>
          <w:numId w:val="0"/>
        </w:numPr>
        <w:tabs>
          <w:tab w:val="left" w:pos="720"/>
        </w:tabs>
        <w:ind w:left="720" w:hanging="720"/>
      </w:pPr>
      <w:r>
        <w:t>(3)</w:t>
      </w:r>
      <w:r>
        <w:tab/>
      </w:r>
      <w:r w:rsidR="00DE6797">
        <w:t>committed 9,094 contraventions of r 31(3) of the Retail Rules; and</w:t>
      </w:r>
    </w:p>
    <w:p w14:paraId="7EED58F7" w14:textId="61962D55" w:rsidR="00DE6797" w:rsidRDefault="00E75035" w:rsidP="00E75035">
      <w:pPr>
        <w:pStyle w:val="ListNo1"/>
        <w:numPr>
          <w:ilvl w:val="0"/>
          <w:numId w:val="0"/>
        </w:numPr>
        <w:tabs>
          <w:tab w:val="left" w:pos="720"/>
        </w:tabs>
        <w:ind w:left="720" w:hanging="720"/>
      </w:pPr>
      <w:r>
        <w:t>(4)</w:t>
      </w:r>
      <w:r>
        <w:tab/>
      </w:r>
      <w:r w:rsidR="00DE6797">
        <w:t>contravened s 273(1) of the Retail Law.</w:t>
      </w:r>
    </w:p>
    <w:p w14:paraId="4E37514E" w14:textId="4CDD51C1" w:rsidR="00A6058E" w:rsidRDefault="00E75035" w:rsidP="00E75035">
      <w:pPr>
        <w:pStyle w:val="ParaNumbering"/>
        <w:numPr>
          <w:ilvl w:val="0"/>
          <w:numId w:val="0"/>
        </w:numPr>
        <w:tabs>
          <w:tab w:val="left" w:pos="720"/>
        </w:tabs>
        <w:ind w:hanging="720"/>
      </w:pPr>
      <w:r>
        <w:rPr>
          <w:sz w:val="20"/>
        </w:rPr>
        <w:t>28</w:t>
      </w:r>
      <w:r>
        <w:rPr>
          <w:sz w:val="20"/>
        </w:rPr>
        <w:tab/>
      </w:r>
      <w:r w:rsidR="00A6058E">
        <w:t xml:space="preserve">Each of the 483 </w:t>
      </w:r>
      <w:r w:rsidR="00A6058E" w:rsidRPr="00E33C2A">
        <w:t>Affected Customers</w:t>
      </w:r>
      <w:r w:rsidR="00A6058E">
        <w:t xml:space="preserve"> had contracted with one or more of the AGL Entities for the provision of electricity or gas.  Each of the Affected Customers was also a recipient of welfare payments provided through Services Australia and had authorised deductions to be made directly to the AGL Entities from their welfare payments to pay their electricity and/or gas bills through the Centrepay system facilitated by Services Australia: </w:t>
      </w:r>
      <w:r w:rsidR="00E33C2A">
        <w:t>LJ </w:t>
      </w:r>
      <w:r w:rsidR="00A6058E">
        <w:t>[24]</w:t>
      </w:r>
      <w:r w:rsidR="00E33C2A">
        <w:t>–</w:t>
      </w:r>
      <w:r w:rsidR="00A6058E">
        <w:t>[26].</w:t>
      </w:r>
    </w:p>
    <w:p w14:paraId="714A7C2D" w14:textId="1243C4B0" w:rsidR="009139AF" w:rsidRDefault="00E75035" w:rsidP="00E75035">
      <w:pPr>
        <w:pStyle w:val="ParaNumbering"/>
        <w:numPr>
          <w:ilvl w:val="0"/>
          <w:numId w:val="0"/>
        </w:numPr>
        <w:tabs>
          <w:tab w:val="left" w:pos="720"/>
        </w:tabs>
        <w:ind w:hanging="720"/>
      </w:pPr>
      <w:r>
        <w:rPr>
          <w:sz w:val="20"/>
        </w:rPr>
        <w:t>29</w:t>
      </w:r>
      <w:r>
        <w:rPr>
          <w:sz w:val="20"/>
        </w:rPr>
        <w:tab/>
      </w:r>
      <w:r w:rsidR="00D92D98">
        <w:t xml:space="preserve">The AGL Entities’ use of the Centrepay system was governed by an agreement with Services Australia: LJ [3]–[4]. </w:t>
      </w:r>
      <w:r w:rsidR="009735BD">
        <w:t xml:space="preserve"> </w:t>
      </w:r>
      <w:r w:rsidR="00D92D98">
        <w:t>Among other things, that agreement:</w:t>
      </w:r>
    </w:p>
    <w:p w14:paraId="36F6E156" w14:textId="5D9AAF4B" w:rsidR="0058023E" w:rsidRDefault="00E75035" w:rsidP="00E75035">
      <w:pPr>
        <w:pStyle w:val="ListNo1"/>
        <w:numPr>
          <w:ilvl w:val="0"/>
          <w:numId w:val="0"/>
        </w:numPr>
        <w:tabs>
          <w:tab w:val="left" w:pos="720"/>
        </w:tabs>
        <w:ind w:left="720" w:hanging="720"/>
      </w:pPr>
      <w:r>
        <w:t>(1)</w:t>
      </w:r>
      <w:r>
        <w:tab/>
      </w:r>
      <w:r w:rsidR="0058023E">
        <w:t>forbade the AGL Entities from collecting deductions from a person who was no longer an ongoing customer: LJ [35</w:t>
      </w:r>
      <w:r w:rsidR="00DE380F">
        <w:t>(</w:t>
      </w:r>
      <w:r w:rsidR="0058023E">
        <w:t>4</w:t>
      </w:r>
      <w:r w:rsidR="00DE380F">
        <w:t>)</w:t>
      </w:r>
      <w:r w:rsidR="0058023E">
        <w:t>];</w:t>
      </w:r>
    </w:p>
    <w:p w14:paraId="2B8C1DA2" w14:textId="15FB1D2B" w:rsidR="00596FED" w:rsidRDefault="00E75035" w:rsidP="00E75035">
      <w:pPr>
        <w:pStyle w:val="ListNo1"/>
        <w:numPr>
          <w:ilvl w:val="0"/>
          <w:numId w:val="0"/>
        </w:numPr>
        <w:tabs>
          <w:tab w:val="left" w:pos="720"/>
        </w:tabs>
        <w:ind w:left="720" w:hanging="720"/>
      </w:pPr>
      <w:r>
        <w:t>(2)</w:t>
      </w:r>
      <w:r>
        <w:tab/>
      </w:r>
      <w:r w:rsidR="0058023E">
        <w:t xml:space="preserve">required the AGL Entities to cancel deductions within </w:t>
      </w:r>
      <w:r w:rsidR="00281014">
        <w:t>three</w:t>
      </w:r>
      <w:r w:rsidR="0058023E">
        <w:t xml:space="preserve"> business days if a customer ceased to receive the relevant electricity or gas service to which it related, and did not </w:t>
      </w:r>
      <w:r w:rsidR="00596FED">
        <w:t>require AGL</w:t>
      </w:r>
      <w:r w:rsidR="0058023E">
        <w:t xml:space="preserve"> to obtain the customer’s consent to do so: LJ [35</w:t>
      </w:r>
      <w:r w:rsidR="00DE380F">
        <w:t>(3)</w:t>
      </w:r>
      <w:r w:rsidR="0058023E">
        <w:t>]; and</w:t>
      </w:r>
    </w:p>
    <w:p w14:paraId="799FD607" w14:textId="1692BA20" w:rsidR="0058023E" w:rsidRDefault="00E75035" w:rsidP="00E75035">
      <w:pPr>
        <w:pStyle w:val="ListNo1"/>
        <w:numPr>
          <w:ilvl w:val="0"/>
          <w:numId w:val="0"/>
        </w:numPr>
        <w:tabs>
          <w:tab w:val="left" w:pos="720"/>
        </w:tabs>
        <w:ind w:left="720" w:hanging="720"/>
      </w:pPr>
      <w:r>
        <w:t>(3)</w:t>
      </w:r>
      <w:r>
        <w:tab/>
      </w:r>
      <w:r w:rsidR="0058023E">
        <w:t xml:space="preserve">required the AGL </w:t>
      </w:r>
      <w:r w:rsidR="00A605A5">
        <w:t>E</w:t>
      </w:r>
      <w:r w:rsidR="0058023E">
        <w:t>ntities to take reasonable care and, later, to have processes to avoid receiving deductions exceeding what they should have received, and from 10 December 2018</w:t>
      </w:r>
      <w:r w:rsidR="00941C32">
        <w:t>,</w:t>
      </w:r>
      <w:r w:rsidR="0058023E">
        <w:t xml:space="preserve"> the AGL Entities represented and warranted that </w:t>
      </w:r>
      <w:r w:rsidR="0058023E" w:rsidRPr="001F17AF">
        <w:t>they had adequate arrangements, processes, documentation and systems in place to support their agreements with customers and participation in Centrepay</w:t>
      </w:r>
      <w:r w:rsidR="0058023E">
        <w:t xml:space="preserve">: </w:t>
      </w:r>
      <w:r w:rsidR="009375DE">
        <w:t xml:space="preserve">LJ </w:t>
      </w:r>
      <w:r w:rsidR="0058023E">
        <w:t>[35</w:t>
      </w:r>
      <w:r w:rsidR="00DE380F">
        <w:t>(5)</w:t>
      </w:r>
      <w:r w:rsidR="0058023E">
        <w:t xml:space="preserve">] and </w:t>
      </w:r>
      <w:r w:rsidR="00C5248A">
        <w:t>[35</w:t>
      </w:r>
      <w:r w:rsidR="0058023E">
        <w:t>(6)</w:t>
      </w:r>
      <w:r w:rsidR="00C5248A">
        <w:t>]</w:t>
      </w:r>
      <w:r w:rsidR="0058023E">
        <w:t>.</w:t>
      </w:r>
    </w:p>
    <w:p w14:paraId="746AC338" w14:textId="5741E8F4" w:rsidR="00D92D98" w:rsidRDefault="00E75035" w:rsidP="00E75035">
      <w:pPr>
        <w:pStyle w:val="ParaNumbering"/>
        <w:numPr>
          <w:ilvl w:val="0"/>
          <w:numId w:val="0"/>
        </w:numPr>
        <w:tabs>
          <w:tab w:val="left" w:pos="720"/>
        </w:tabs>
        <w:ind w:hanging="720"/>
      </w:pPr>
      <w:r>
        <w:rPr>
          <w:sz w:val="20"/>
        </w:rPr>
        <w:lastRenderedPageBreak/>
        <w:t>30</w:t>
      </w:r>
      <w:r>
        <w:rPr>
          <w:sz w:val="20"/>
        </w:rPr>
        <w:tab/>
      </w:r>
      <w:r w:rsidR="00552509">
        <w:t>The AGL Entities’ use of the Centrepay system was managed through a set of online services.  One of those online services delivered computer-readable deduction payment reports to the AGL Entities, the purpose of which was to allow the AGL Entities to reconcile the payments made by Services Australia into their bank accounts with the particular customer details to which the payments related.</w:t>
      </w:r>
      <w:r w:rsidR="002944D6">
        <w:t xml:space="preserve"> </w:t>
      </w:r>
      <w:r w:rsidR="00552509">
        <w:t xml:space="preserve"> Deduction payment reports were provided each business day on which a deduction was made through the Centrepay arrangement: </w:t>
      </w:r>
      <w:r w:rsidR="002944D6">
        <w:t>LJ </w:t>
      </w:r>
      <w:r w:rsidR="00552509">
        <w:t>[43]</w:t>
      </w:r>
      <w:r w:rsidR="002944D6">
        <w:t>–</w:t>
      </w:r>
      <w:r w:rsidR="00552509">
        <w:t>[46].</w:t>
      </w:r>
    </w:p>
    <w:p w14:paraId="041EE681" w14:textId="17E214BA" w:rsidR="009F78FD" w:rsidRDefault="00E75035" w:rsidP="00E75035">
      <w:pPr>
        <w:pStyle w:val="ParaNumbering"/>
        <w:numPr>
          <w:ilvl w:val="0"/>
          <w:numId w:val="0"/>
        </w:numPr>
        <w:tabs>
          <w:tab w:val="left" w:pos="720"/>
        </w:tabs>
        <w:ind w:hanging="720"/>
      </w:pPr>
      <w:r>
        <w:rPr>
          <w:sz w:val="20"/>
        </w:rPr>
        <w:t>31</w:t>
      </w:r>
      <w:r>
        <w:rPr>
          <w:sz w:val="20"/>
        </w:rPr>
        <w:tab/>
      </w:r>
      <w:r w:rsidR="009F78FD">
        <w:t>The AGL Entities had developed their own script and batch processing program to automatically process deduction payment reports by identifying the relevant customer account in their own computer systems and record</w:t>
      </w:r>
      <w:r w:rsidR="00235782">
        <w:t>ing</w:t>
      </w:r>
      <w:r w:rsidR="009F78FD">
        <w:t xml:space="preserve"> the payment against that account: LJ [51].  Through these means, the AGL Entities accessed deduction payment reports from Services Australia and updated </w:t>
      </w:r>
      <w:r w:rsidR="001C453E">
        <w:t>A</w:t>
      </w:r>
      <w:r w:rsidR="009F78FD">
        <w:t xml:space="preserve">ffected </w:t>
      </w:r>
      <w:r w:rsidR="001C453E">
        <w:t>C</w:t>
      </w:r>
      <w:r w:rsidR="009F78FD">
        <w:t xml:space="preserve">ustomer accounts </w:t>
      </w:r>
      <w:r w:rsidR="003B28B4">
        <w:t>in its own system</w:t>
      </w:r>
      <w:r w:rsidR="009F78FD">
        <w:t xml:space="preserve"> accordingly each evening: LJ [49].  The AGL Entities intentionally designed its computer systems such that payments would be posted to a customer account even if it was inactive and in credit or with a zero balance: LJ [52].</w:t>
      </w:r>
      <w:r w:rsidR="009F4623">
        <w:t xml:space="preserve">  Irrespective of the awareness of the obligations </w:t>
      </w:r>
      <w:r w:rsidR="009375DE">
        <w:t>im</w:t>
      </w:r>
      <w:r w:rsidR="009F4623">
        <w:t>posed by r 31, AGL</w:t>
      </w:r>
      <w:r w:rsidR="00D67C8F">
        <w:t xml:space="preserve"> should have ensured that the payments were returned to customers promptly, as Ms Egan</w:t>
      </w:r>
      <w:r w:rsidR="0037567C">
        <w:t xml:space="preserve"> accepted.</w:t>
      </w:r>
      <w:r w:rsidR="002064FB">
        <w:t xml:space="preserve">  </w:t>
      </w:r>
      <w:r w:rsidR="00B87AAB">
        <w:t>Mr Waterson agreed that it was a “suboptimal process” and that the funds “should have been with the customer”.</w:t>
      </w:r>
    </w:p>
    <w:p w14:paraId="7FD3D8A0" w14:textId="5F8BF926" w:rsidR="009F78FD" w:rsidRDefault="00E75035" w:rsidP="00E75035">
      <w:pPr>
        <w:pStyle w:val="ParaNumbering"/>
        <w:numPr>
          <w:ilvl w:val="0"/>
          <w:numId w:val="0"/>
        </w:numPr>
        <w:tabs>
          <w:tab w:val="left" w:pos="720"/>
        </w:tabs>
        <w:ind w:hanging="720"/>
      </w:pPr>
      <w:r>
        <w:rPr>
          <w:sz w:val="20"/>
        </w:rPr>
        <w:t>32</w:t>
      </w:r>
      <w:r>
        <w:rPr>
          <w:sz w:val="20"/>
        </w:rPr>
        <w:tab/>
      </w:r>
      <w:r w:rsidR="009C2774">
        <w:t xml:space="preserve">During the relevant period (which was </w:t>
      </w:r>
      <w:r w:rsidR="00F15191">
        <w:t>more than four years</w:t>
      </w:r>
      <w:r w:rsidR="009C2774">
        <w:t xml:space="preserve"> </w:t>
      </w:r>
      <w:r w:rsidR="000A59F1">
        <w:t>in length)</w:t>
      </w:r>
      <w:r w:rsidR="009C2774">
        <w:t xml:space="preserve">, each of the Affected Customers ceased to obtain electricity or gas from </w:t>
      </w:r>
      <w:r w:rsidR="000A59F1">
        <w:t xml:space="preserve">one of </w:t>
      </w:r>
      <w:r w:rsidR="009C2774">
        <w:t>the AGL Entities.</w:t>
      </w:r>
      <w:r w:rsidR="000A59F1">
        <w:t xml:space="preserve">  </w:t>
      </w:r>
      <w:r w:rsidR="009C2774">
        <w:t xml:space="preserve">However, the </w:t>
      </w:r>
      <w:r w:rsidR="000A59F1">
        <w:t xml:space="preserve">relevant </w:t>
      </w:r>
      <w:r w:rsidR="009C2774">
        <w:t>AGL Entit</w:t>
      </w:r>
      <w:r w:rsidR="000A59F1">
        <w:t>y</w:t>
      </w:r>
      <w:r w:rsidR="009C2774">
        <w:t xml:space="preserve"> did not cancel their deduction from the Centrepay system as required by their agreement with Services Australia:</w:t>
      </w:r>
      <w:r w:rsidR="000A59F1">
        <w:t> LJ </w:t>
      </w:r>
      <w:r w:rsidR="009C2774">
        <w:t xml:space="preserve">[28]. </w:t>
      </w:r>
      <w:r w:rsidR="009735BD">
        <w:t xml:space="preserve"> </w:t>
      </w:r>
      <w:r w:rsidR="009C2774">
        <w:t>By operation of the computerised arrangements put in place by the AGL Entities, the AGL Entities</w:t>
      </w:r>
      <w:r w:rsidR="00883ADB">
        <w:t xml:space="preserve"> continued to receive and process deductions from these customers’ welfare payments even though they were no longer being supplied the relevant electricity or gas and even after all their bills from the AGL Entities had been fully paid: LJ [29].</w:t>
      </w:r>
    </w:p>
    <w:p w14:paraId="50FCFDD6" w14:textId="6F8F17AB" w:rsidR="009139AF" w:rsidRDefault="00E75035" w:rsidP="00E75035">
      <w:pPr>
        <w:pStyle w:val="ParaNumbering"/>
        <w:numPr>
          <w:ilvl w:val="0"/>
          <w:numId w:val="0"/>
        </w:numPr>
        <w:tabs>
          <w:tab w:val="left" w:pos="720"/>
        </w:tabs>
        <w:ind w:hanging="720"/>
      </w:pPr>
      <w:r>
        <w:rPr>
          <w:sz w:val="20"/>
        </w:rPr>
        <w:t>33</w:t>
      </w:r>
      <w:r>
        <w:rPr>
          <w:sz w:val="20"/>
        </w:rPr>
        <w:tab/>
      </w:r>
      <w:r w:rsidR="004F18F7">
        <w:t xml:space="preserve">For the purposes of r 31 of the Retail Rules, the AGL Entities “became aware” of improper deductions in relation to a former customer when they applied a deduction recorded in a deduction payment report to the account of a customer whose account had been closed or become inactive </w:t>
      </w:r>
      <w:r w:rsidR="004F18F7" w:rsidRPr="00E37137">
        <w:t xml:space="preserve">and </w:t>
      </w:r>
      <w:r w:rsidR="00524463">
        <w:t xml:space="preserve">who </w:t>
      </w:r>
      <w:r w:rsidR="004F18F7" w:rsidRPr="00E37137">
        <w:t>did not owe any money for the electricity or gas they had consumed</w:t>
      </w:r>
      <w:r w:rsidR="004F18F7">
        <w:t xml:space="preserve">: </w:t>
      </w:r>
      <w:r w:rsidR="0074194D">
        <w:t>LJ </w:t>
      </w:r>
      <w:r w:rsidR="004F18F7">
        <w:t>[31], [162]</w:t>
      </w:r>
      <w:r w:rsidR="0074194D">
        <w:t>.</w:t>
      </w:r>
    </w:p>
    <w:p w14:paraId="57F8ABE9" w14:textId="34565888" w:rsidR="00595A4F" w:rsidRDefault="00E75035" w:rsidP="00E75035">
      <w:pPr>
        <w:pStyle w:val="ParaNumbering"/>
        <w:numPr>
          <w:ilvl w:val="0"/>
          <w:numId w:val="0"/>
        </w:numPr>
        <w:tabs>
          <w:tab w:val="left" w:pos="720"/>
        </w:tabs>
        <w:ind w:hanging="720"/>
      </w:pPr>
      <w:r>
        <w:rPr>
          <w:sz w:val="20"/>
        </w:rPr>
        <w:t>34</w:t>
      </w:r>
      <w:r>
        <w:rPr>
          <w:sz w:val="20"/>
        </w:rPr>
        <w:tab/>
      </w:r>
      <w:r w:rsidR="00362A4B">
        <w:t>This same issue had previously come to the attention of the AGL Entities on 14 June 2013, when Services Australia informe</w:t>
      </w:r>
      <w:r w:rsidR="00362A4B" w:rsidRPr="00E37137">
        <w:t>d them tha</w:t>
      </w:r>
      <w:r w:rsidR="00362A4B">
        <w:t xml:space="preserve">t deductions had been made </w:t>
      </w:r>
      <w:r w:rsidR="00E272BE">
        <w:t>by</w:t>
      </w:r>
      <w:r w:rsidR="00362A4B">
        <w:t xml:space="preserve"> AGL Sales Pty Ltd </w:t>
      </w:r>
      <w:r w:rsidR="00362A4B">
        <w:lastRenderedPageBreak/>
        <w:t xml:space="preserve">in relation to former customers.  Services Australia indicated that it regarded this as a serious non-compliance which needed to be remedied and prevented in future: </w:t>
      </w:r>
      <w:r w:rsidR="005A1294">
        <w:t>LJ </w:t>
      </w:r>
      <w:r w:rsidR="00362A4B">
        <w:t>[60].</w:t>
      </w:r>
      <w:r w:rsidR="00D740BF">
        <w:t xml:space="preserve">  </w:t>
      </w:r>
      <w:r w:rsidR="00D740BF" w:rsidRPr="00B259F1">
        <w:t>From</w:t>
      </w:r>
      <w:r w:rsidR="00D740BF">
        <w:t xml:space="preserve"> August 2013, the AGL Entities implemented a “short-term manual reporting solution” to identify Centrepay customers whose accounts had become inactive, had been issued a final bill and had a zero or credit balance: </w:t>
      </w:r>
      <w:r w:rsidR="00B84AAD">
        <w:t>LJ </w:t>
      </w:r>
      <w:r w:rsidR="00D740BF">
        <w:t>[62]</w:t>
      </w:r>
      <w:r w:rsidR="00B84AAD">
        <w:t>–</w:t>
      </w:r>
      <w:r w:rsidR="00D740BF">
        <w:t>[63].</w:t>
      </w:r>
      <w:r w:rsidR="00B84AAD">
        <w:t xml:space="preserve">  </w:t>
      </w:r>
      <w:r w:rsidR="00D740BF">
        <w:t>On 25 October 2013, the AGL Entities told Services Australia that they had made change</w:t>
      </w:r>
      <w:r w:rsidR="00D740BF" w:rsidRPr="00E84D8C">
        <w:t xml:space="preserve">s </w:t>
      </w:r>
      <w:r w:rsidR="00D740BF">
        <w:t xml:space="preserve">to </w:t>
      </w:r>
      <w:r w:rsidR="00D740BF" w:rsidRPr="00E84D8C">
        <w:t>enabl</w:t>
      </w:r>
      <w:r w:rsidR="00D740BF">
        <w:t>e</w:t>
      </w:r>
      <w:r w:rsidR="00D740BF" w:rsidRPr="00E84D8C">
        <w:t xml:space="preserve"> AGL to </w:t>
      </w:r>
      <w:r w:rsidR="00D740BF">
        <w:t>ensure</w:t>
      </w:r>
      <w:r w:rsidR="00D740BF" w:rsidRPr="00E84D8C">
        <w:t xml:space="preserve"> futu</w:t>
      </w:r>
      <w:r w:rsidR="00D740BF">
        <w:t>re compliance:</w:t>
      </w:r>
      <w:r w:rsidR="00B84AAD">
        <w:t xml:space="preserve"> LJ </w:t>
      </w:r>
      <w:r w:rsidR="00D740BF">
        <w:t xml:space="preserve">[61]. </w:t>
      </w:r>
      <w:r w:rsidR="00B84AAD">
        <w:t xml:space="preserve"> </w:t>
      </w:r>
      <w:r w:rsidR="00D740BF">
        <w:t>However, the manual reporting process ceased in January 2016</w:t>
      </w:r>
      <w:r w:rsidR="00B84AAD">
        <w:t xml:space="preserve"> for reasons which </w:t>
      </w:r>
      <w:r w:rsidR="00416B93">
        <w:t xml:space="preserve">were </w:t>
      </w:r>
      <w:r w:rsidR="006A7914">
        <w:t>not</w:t>
      </w:r>
      <w:r w:rsidR="00B84AAD">
        <w:t xml:space="preserve"> explained</w:t>
      </w:r>
      <w:r w:rsidR="00D740BF">
        <w:t xml:space="preserve">: </w:t>
      </w:r>
      <w:r w:rsidR="006A7914">
        <w:t>LJ </w:t>
      </w:r>
      <w:r w:rsidR="00D740BF">
        <w:t>[65].</w:t>
      </w:r>
      <w:r w:rsidR="009F35E7">
        <w:t xml:space="preserve">  This is wholly unsatisfactory in light of my finding that AGL’s SAP system could readily identify the facts</w:t>
      </w:r>
      <w:r w:rsidR="0041114E">
        <w:t xml:space="preserve"> relating to each overcharge to a person who was employed </w:t>
      </w:r>
      <w:r w:rsidR="002F4601">
        <w:t>within the payments team of AGL: LJ [159].</w:t>
      </w:r>
    </w:p>
    <w:p w14:paraId="165FD37F" w14:textId="4ED74A9D" w:rsidR="002F4601" w:rsidRDefault="00E75035" w:rsidP="00E75035">
      <w:pPr>
        <w:pStyle w:val="ParaNumbering"/>
        <w:numPr>
          <w:ilvl w:val="0"/>
          <w:numId w:val="0"/>
        </w:numPr>
        <w:tabs>
          <w:tab w:val="left" w:pos="720"/>
        </w:tabs>
        <w:ind w:hanging="720"/>
      </w:pPr>
      <w:r>
        <w:rPr>
          <w:sz w:val="20"/>
        </w:rPr>
        <w:t>35</w:t>
      </w:r>
      <w:r>
        <w:rPr>
          <w:sz w:val="20"/>
        </w:rPr>
        <w:tab/>
      </w:r>
      <w:r w:rsidR="007D2AFA">
        <w:t xml:space="preserve">At the relief hearing, </w:t>
      </w:r>
      <w:r w:rsidR="006A7914">
        <w:t>Ms Egan</w:t>
      </w:r>
      <w:r w:rsidR="000A0261">
        <w:t xml:space="preserve"> </w:t>
      </w:r>
      <w:r w:rsidR="009E513E">
        <w:t>agreed that AGL is not able to provide an explanation</w:t>
      </w:r>
      <w:r w:rsidR="0052667E">
        <w:t xml:space="preserve">.  She </w:t>
      </w:r>
      <w:r w:rsidR="000A0261">
        <w:t xml:space="preserve">expressed the view that </w:t>
      </w:r>
      <w:r w:rsidR="008B6019">
        <w:t xml:space="preserve">the processes </w:t>
      </w:r>
      <w:r w:rsidR="00F06086">
        <w:t xml:space="preserve">were not “embedded in </w:t>
      </w:r>
      <w:r w:rsidR="00194BA4">
        <w:t>[AGL’s]</w:t>
      </w:r>
      <w:r w:rsidR="00F06086">
        <w:t xml:space="preserve"> systems” or “formalised enough”</w:t>
      </w:r>
      <w:r w:rsidR="00680A78">
        <w:t>, and agreed that AGL’s compliance</w:t>
      </w:r>
      <w:r w:rsidR="008C6EB9">
        <w:t xml:space="preserve"> function had failed to detect that </w:t>
      </w:r>
      <w:r w:rsidR="002774E8">
        <w:t>suitable</w:t>
      </w:r>
      <w:r w:rsidR="008C6EB9">
        <w:t xml:space="preserve"> process</w:t>
      </w:r>
      <w:r w:rsidR="002774E8">
        <w:t>es were</w:t>
      </w:r>
      <w:r w:rsidR="008C6EB9">
        <w:t xml:space="preserve"> not being used between January 2016 and the end of 2020</w:t>
      </w:r>
      <w:r w:rsidR="00D632E6">
        <w:t>.</w:t>
      </w:r>
      <w:r w:rsidR="004D15DF">
        <w:t xml:space="preserve">  </w:t>
      </w:r>
      <w:r w:rsidR="00F34211">
        <w:t>Notwithstanding these concessions</w:t>
      </w:r>
      <w:r w:rsidR="004D15DF">
        <w:t xml:space="preserve">, Ms Egan baulked at the </w:t>
      </w:r>
      <w:r w:rsidR="00F34211">
        <w:t>self-evident proposition</w:t>
      </w:r>
      <w:r w:rsidR="004D15DF">
        <w:t xml:space="preserve"> that this indicated weaknesses within AGL’s compliance and government structure</w:t>
      </w:r>
      <w:r w:rsidR="007A2C85">
        <w:t>.</w:t>
      </w:r>
    </w:p>
    <w:p w14:paraId="6D4CB98C" w14:textId="4F536F07" w:rsidR="00881381" w:rsidRDefault="00E75035" w:rsidP="00E75035">
      <w:pPr>
        <w:pStyle w:val="ParaNumbering"/>
        <w:numPr>
          <w:ilvl w:val="0"/>
          <w:numId w:val="0"/>
        </w:numPr>
        <w:tabs>
          <w:tab w:val="left" w:pos="720"/>
        </w:tabs>
        <w:ind w:hanging="720"/>
      </w:pPr>
      <w:r>
        <w:rPr>
          <w:sz w:val="20"/>
        </w:rPr>
        <w:t>36</w:t>
      </w:r>
      <w:r>
        <w:rPr>
          <w:sz w:val="20"/>
        </w:rPr>
        <w:tab/>
      </w:r>
      <w:r w:rsidR="001A5F50">
        <w:t>In October 2019, as part of a broader program of remediating customers with high credit balances, the AGL Entities identified that Centrepay customers were among that cohort:</w:t>
      </w:r>
      <w:r w:rsidR="00020326">
        <w:t xml:space="preserve"> LJ </w:t>
      </w:r>
      <w:r w:rsidR="001A5F50">
        <w:t>[68].</w:t>
      </w:r>
      <w:r w:rsidR="00AB3D76">
        <w:t xml:space="preserve">  </w:t>
      </w:r>
      <w:r w:rsidR="001A5F50">
        <w:t>In these proceedings</w:t>
      </w:r>
      <w:r w:rsidR="00020326">
        <w:t>,</w:t>
      </w:r>
      <w:r w:rsidR="001A5F50">
        <w:t xml:space="preserve"> the AGL Entities </w:t>
      </w:r>
      <w:r w:rsidR="00107EAE">
        <w:t>conceded</w:t>
      </w:r>
      <w:r w:rsidR="001A5F50">
        <w:t xml:space="preserve"> that they became aware (for the purposes of the Retail Rules) of </w:t>
      </w:r>
      <w:r w:rsidR="00854008">
        <w:t xml:space="preserve">the contravening conduct in respect of </w:t>
      </w:r>
      <w:r w:rsidR="001A5F50">
        <w:t xml:space="preserve">a class of </w:t>
      </w:r>
      <w:r w:rsidR="001A5F50" w:rsidRPr="00E84D8C">
        <w:t>Affected Customers by 14 May 2020</w:t>
      </w:r>
      <w:r w:rsidR="00020326">
        <w:t>.</w:t>
      </w:r>
    </w:p>
    <w:p w14:paraId="6C698DAD" w14:textId="36114366" w:rsidR="001D19C8" w:rsidRDefault="00E75035" w:rsidP="00E75035">
      <w:pPr>
        <w:pStyle w:val="ParaNumbering"/>
        <w:numPr>
          <w:ilvl w:val="0"/>
          <w:numId w:val="0"/>
        </w:numPr>
        <w:tabs>
          <w:tab w:val="left" w:pos="720"/>
        </w:tabs>
        <w:ind w:hanging="720"/>
      </w:pPr>
      <w:r>
        <w:rPr>
          <w:sz w:val="20"/>
        </w:rPr>
        <w:t>37</w:t>
      </w:r>
      <w:r>
        <w:rPr>
          <w:sz w:val="20"/>
        </w:rPr>
        <w:tab/>
      </w:r>
      <w:r w:rsidR="001D19C8">
        <w:t xml:space="preserve">In an internal document dated 8 December 2020, Ms Egan’s predecessor (Ms Corbett) was identified as the </w:t>
      </w:r>
      <w:r w:rsidR="00B8349F">
        <w:t>“</w:t>
      </w:r>
      <w:r w:rsidR="001D19C8">
        <w:t>responsible officer</w:t>
      </w:r>
      <w:r w:rsidR="00B8349F">
        <w:t>”</w:t>
      </w:r>
      <w:r w:rsidR="001D19C8">
        <w:t xml:space="preserve"> and Mr Waterson as the </w:t>
      </w:r>
      <w:r w:rsidR="00B8349F">
        <w:t>“</w:t>
      </w:r>
      <w:r w:rsidR="001D19C8">
        <w:t>issue owner</w:t>
      </w:r>
      <w:r w:rsidR="00B8349F">
        <w:t>”</w:t>
      </w:r>
      <w:r w:rsidR="001D19C8">
        <w:t>.  That document stated the following:</w:t>
      </w:r>
    </w:p>
    <w:p w14:paraId="2F0B12D8" w14:textId="77777777" w:rsidR="00F6543F" w:rsidRPr="00F6543F" w:rsidRDefault="00F6543F" w:rsidP="00F6543F">
      <w:pPr>
        <w:pStyle w:val="Quote1"/>
        <w:rPr>
          <w:lang w:eastAsia="en-AU"/>
        </w:rPr>
      </w:pPr>
      <w:r w:rsidRPr="00F6543F">
        <w:rPr>
          <w:lang w:eastAsia="en-AU"/>
        </w:rPr>
        <w:t xml:space="preserve">As part of a program of work commissioned earlier this year to remediate excessive customer credit balances, AGL identified overpayments on 1,855 customer accounts, which included credits on Centrelink payments from Services Australia totalling $765,000. </w:t>
      </w:r>
    </w:p>
    <w:p w14:paraId="56DEB844" w14:textId="1D62E1E8" w:rsidR="00F6543F" w:rsidRPr="00F6543F" w:rsidRDefault="00F6543F" w:rsidP="00F6543F">
      <w:pPr>
        <w:pStyle w:val="Quote1"/>
        <w:rPr>
          <w:lang w:eastAsia="en-AU"/>
        </w:rPr>
      </w:pPr>
      <w:r w:rsidRPr="00F6543F">
        <w:rPr>
          <w:lang w:eastAsia="en-AU"/>
        </w:rPr>
        <w:t>AGL engaged Services Australia to return the residual credits which culminated in receiving the Remedy Notices in December 2020 to remediate AGL’s underlying processes in managing overpayments. The notices have been issued to AGL Retail Energy Ltd, AGL Sales Pty Ltd, AGL South Australia Pty Ltd and Powerdirect</w:t>
      </w:r>
      <w:r>
        <w:rPr>
          <w:lang w:eastAsia="en-AU"/>
        </w:rPr>
        <w:t xml:space="preserve"> </w:t>
      </w:r>
      <w:r w:rsidRPr="00F6543F">
        <w:rPr>
          <w:lang w:eastAsia="en-AU"/>
        </w:rPr>
        <w:t>Pty Ltd.</w:t>
      </w:r>
    </w:p>
    <w:p w14:paraId="394FF3B4" w14:textId="75814337" w:rsidR="00F6543F" w:rsidRPr="00F6543F" w:rsidRDefault="00F6543F" w:rsidP="00F6543F">
      <w:pPr>
        <w:pStyle w:val="Quote1"/>
        <w:rPr>
          <w:lang w:eastAsia="en-AU"/>
        </w:rPr>
      </w:pPr>
      <w:r w:rsidRPr="00F6543F">
        <w:rPr>
          <w:lang w:eastAsia="en-AU"/>
        </w:rPr>
        <w:t>To address the issue, AGL has implemented system fixes to cancel Services Australia’s deductions upon move-out and developed new</w:t>
      </w:r>
      <w:r>
        <w:rPr>
          <w:lang w:eastAsia="en-AU"/>
        </w:rPr>
        <w:t xml:space="preserve"> </w:t>
      </w:r>
      <w:r w:rsidRPr="00F6543F">
        <w:rPr>
          <w:lang w:eastAsia="en-AU"/>
        </w:rPr>
        <w:t xml:space="preserve">processes to refund/reduce customer </w:t>
      </w:r>
      <w:r w:rsidRPr="00F6543F">
        <w:rPr>
          <w:lang w:eastAsia="en-AU"/>
        </w:rPr>
        <w:lastRenderedPageBreak/>
        <w:t>payments where appropriate. The remediation for the 1,855 customers is expected to be completed by February 2021. The completion dates for the remaining requirements are currently in discussion with Services Australia to ensure full compliance going forward.</w:t>
      </w:r>
    </w:p>
    <w:p w14:paraId="286D2946" w14:textId="42E5FD82" w:rsidR="001D19C8" w:rsidRDefault="00F6543F" w:rsidP="001D19C8">
      <w:pPr>
        <w:pStyle w:val="Quote1"/>
      </w:pPr>
      <w:r w:rsidRPr="00F6543F">
        <w:rPr>
          <w:lang w:eastAsia="en-AU"/>
        </w:rPr>
        <w:t>A similar breach occurred in 2013 for failing to comply with obligations regarding overpayments and for failing to cancel customer’s Centrepay</w:t>
      </w:r>
      <w:r>
        <w:rPr>
          <w:lang w:eastAsia="en-AU"/>
        </w:rPr>
        <w:t xml:space="preserve"> </w:t>
      </w:r>
      <w:r w:rsidRPr="00F6543F">
        <w:rPr>
          <w:lang w:eastAsia="en-AU"/>
        </w:rPr>
        <w:t>deductions when customers ceased to be an ongoing customer</w:t>
      </w:r>
      <w:r>
        <w:rPr>
          <w:lang w:eastAsia="en-AU"/>
        </w:rPr>
        <w:t>.</w:t>
      </w:r>
    </w:p>
    <w:p w14:paraId="3063B58D" w14:textId="5C22973F" w:rsidR="00C9571E" w:rsidRDefault="00E75035" w:rsidP="00E75035">
      <w:pPr>
        <w:pStyle w:val="ParaNumbering"/>
        <w:numPr>
          <w:ilvl w:val="0"/>
          <w:numId w:val="0"/>
        </w:numPr>
        <w:tabs>
          <w:tab w:val="left" w:pos="720"/>
        </w:tabs>
        <w:ind w:hanging="720"/>
      </w:pPr>
      <w:r>
        <w:rPr>
          <w:sz w:val="20"/>
        </w:rPr>
        <w:t>38</w:t>
      </w:r>
      <w:r>
        <w:rPr>
          <w:sz w:val="20"/>
        </w:rPr>
        <w:tab/>
      </w:r>
      <w:r w:rsidR="001D19C8">
        <w:t xml:space="preserve">Notwithstanding these </w:t>
      </w:r>
      <w:r w:rsidR="00690E92">
        <w:t>matters, t</w:t>
      </w:r>
      <w:r w:rsidR="00542285">
        <w:t>he first customer was</w:t>
      </w:r>
      <w:r w:rsidR="005769E3">
        <w:t xml:space="preserve"> only</w:t>
      </w:r>
      <w:r w:rsidR="00542285">
        <w:t xml:space="preserve"> remediated on 7 September 2020</w:t>
      </w:r>
      <w:r w:rsidR="001F7A83">
        <w:t xml:space="preserve"> and the last customer was remediated on 31 July 2022</w:t>
      </w:r>
      <w:r w:rsidR="0098386A">
        <w:t>, nearly two years later</w:t>
      </w:r>
      <w:r w:rsidR="001F7A83">
        <w:t>.</w:t>
      </w:r>
      <w:r w:rsidR="00690E92">
        <w:t xml:space="preserve">  </w:t>
      </w:r>
      <w:r w:rsidR="00690E92" w:rsidRPr="00690E92">
        <w:t>Some customers were no longer alive</w:t>
      </w:r>
      <w:r w:rsidR="00690E92">
        <w:t xml:space="preserve">.  </w:t>
      </w:r>
      <w:r w:rsidR="004D5E2E">
        <w:t>No customer was paid any interest, or offered an explanation or an apology for what had occurred.</w:t>
      </w:r>
      <w:r w:rsidR="00690E92">
        <w:t xml:space="preserve">  </w:t>
      </w:r>
      <w:r w:rsidR="004D5E2E">
        <w:t xml:space="preserve">To the contrary, a template of a sample letter which was sent to customers </w:t>
      </w:r>
      <w:r w:rsidR="0047643F">
        <w:t>appeared to blame them for what had occurred</w:t>
      </w:r>
      <w:r w:rsidR="007F124A">
        <w:t>, stating that</w:t>
      </w:r>
      <w:r w:rsidR="004D4B65">
        <w:t xml:space="preserve"> “</w:t>
      </w:r>
      <w:r w:rsidR="007F124A">
        <w:t>[w]</w:t>
      </w:r>
      <w:r w:rsidR="004D4B65">
        <w:t xml:space="preserve">e noticed that after you left us, you didn’t </w:t>
      </w:r>
      <w:r w:rsidR="001278F3">
        <w:t>update your Centrepay arrangement”.</w:t>
      </w:r>
      <w:r w:rsidR="00BD5160">
        <w:t xml:space="preserve">  Ms Egan accepted that she thought that the decision not to pay interest on the overcharged amounts was the “wrong decision”: T21.14.</w:t>
      </w:r>
    </w:p>
    <w:p w14:paraId="20283B2F" w14:textId="794B6304" w:rsidR="00F46152" w:rsidRDefault="00E75035" w:rsidP="00E75035">
      <w:pPr>
        <w:pStyle w:val="ParaNumbering"/>
        <w:numPr>
          <w:ilvl w:val="0"/>
          <w:numId w:val="0"/>
        </w:numPr>
        <w:tabs>
          <w:tab w:val="left" w:pos="720"/>
        </w:tabs>
        <w:ind w:hanging="720"/>
      </w:pPr>
      <w:r>
        <w:rPr>
          <w:sz w:val="20"/>
        </w:rPr>
        <w:t>39</w:t>
      </w:r>
      <w:r>
        <w:rPr>
          <w:sz w:val="20"/>
        </w:rPr>
        <w:tab/>
      </w:r>
      <w:r w:rsidR="0074194D">
        <w:t xml:space="preserve">Although </w:t>
      </w:r>
      <w:r w:rsidR="009B6DBD">
        <w:t>AGL</w:t>
      </w:r>
      <w:r w:rsidR="002742BB">
        <w:t xml:space="preserve"> </w:t>
      </w:r>
      <w:r w:rsidR="00A13BDF">
        <w:t xml:space="preserve">states that it </w:t>
      </w:r>
      <w:r w:rsidR="002742BB">
        <w:t xml:space="preserve">accepts that </w:t>
      </w:r>
      <w:r w:rsidR="00626C06">
        <w:t>its</w:t>
      </w:r>
      <w:r w:rsidR="002742BB">
        <w:t xml:space="preserve"> conduct was serious, it also</w:t>
      </w:r>
      <w:r w:rsidR="009B6DBD">
        <w:t xml:space="preserve"> </w:t>
      </w:r>
      <w:r w:rsidR="0074194D">
        <w:t>seeks to down</w:t>
      </w:r>
      <w:r w:rsidR="002742BB">
        <w:t>play it</w:t>
      </w:r>
      <w:r w:rsidR="00626C06">
        <w:t>.  It</w:t>
      </w:r>
      <w:r w:rsidR="00D04EF4">
        <w:t xml:space="preserve"> </w:t>
      </w:r>
      <w:r w:rsidR="009B6DBD">
        <w:t>submits</w:t>
      </w:r>
      <w:r w:rsidR="00DA6E28">
        <w:t xml:space="preserve"> tha</w:t>
      </w:r>
      <w:r w:rsidR="00C66512">
        <w:t>t the contravening conduct was “not large scale”</w:t>
      </w:r>
      <w:r w:rsidR="00EF4873">
        <w:t>.</w:t>
      </w:r>
      <w:r w:rsidR="00327936">
        <w:t xml:space="preserve">  </w:t>
      </w:r>
      <w:r w:rsidR="00A13BDF">
        <w:t>It submits</w:t>
      </w:r>
      <w:r w:rsidR="00327936">
        <w:t xml:space="preserve"> that the</w:t>
      </w:r>
      <w:r w:rsidR="00C66512">
        <w:t xml:space="preserve"> Affected Customers </w:t>
      </w:r>
      <w:r w:rsidR="00D04148">
        <w:t>comprised</w:t>
      </w:r>
      <w:r w:rsidR="00C66512">
        <w:t xml:space="preserve"> approximately 1</w:t>
      </w:r>
      <w:r w:rsidR="00FD6395">
        <w:t>%</w:t>
      </w:r>
      <w:r w:rsidR="00C66512">
        <w:t xml:space="preserve"> of the </w:t>
      </w:r>
      <w:r w:rsidR="008C2F07">
        <w:t xml:space="preserve">total </w:t>
      </w:r>
      <w:r w:rsidR="00C66512">
        <w:t>number of AGL’s customers that were using Centrepay during the relevant period</w:t>
      </w:r>
      <w:r w:rsidR="008C2F07">
        <w:t>, that</w:t>
      </w:r>
      <w:r w:rsidR="00EF4873">
        <w:t xml:space="preserve"> </w:t>
      </w:r>
      <w:r w:rsidR="000D266B">
        <w:t xml:space="preserve">AGL </w:t>
      </w:r>
      <w:r w:rsidR="008C2F07">
        <w:t>generally processes</w:t>
      </w:r>
      <w:r w:rsidR="000D266B">
        <w:t xml:space="preserve"> payments associated with approximately 25 million bills </w:t>
      </w:r>
      <w:r w:rsidR="00550686">
        <w:t>issued each year</w:t>
      </w:r>
      <w:r w:rsidR="008C2F07">
        <w:t xml:space="preserve"> and that t</w:t>
      </w:r>
      <w:r w:rsidR="00550686">
        <w:t>he total amount overcharged</w:t>
      </w:r>
      <w:r w:rsidR="00C66512">
        <w:t xml:space="preserve"> </w:t>
      </w:r>
      <w:r w:rsidR="00F17BF5">
        <w:t>was approximately $468,000</w:t>
      </w:r>
      <w:r w:rsidR="00D74792">
        <w:t>, which</w:t>
      </w:r>
      <w:r w:rsidR="00F17BF5">
        <w:t xml:space="preserve"> equates to around $37 for each instance of overcharging.</w:t>
      </w:r>
    </w:p>
    <w:p w14:paraId="14547297" w14:textId="72A6850E" w:rsidR="0098386A" w:rsidRDefault="00E75035" w:rsidP="00E75035">
      <w:pPr>
        <w:pStyle w:val="ParaNumbering"/>
        <w:numPr>
          <w:ilvl w:val="0"/>
          <w:numId w:val="0"/>
        </w:numPr>
        <w:tabs>
          <w:tab w:val="left" w:pos="720"/>
        </w:tabs>
        <w:ind w:hanging="720"/>
      </w:pPr>
      <w:r>
        <w:rPr>
          <w:sz w:val="20"/>
        </w:rPr>
        <w:t>40</w:t>
      </w:r>
      <w:r>
        <w:rPr>
          <w:sz w:val="20"/>
        </w:rPr>
        <w:tab/>
      </w:r>
      <w:r w:rsidR="00C37D7D">
        <w:t xml:space="preserve">This is, however, looking at things in the wrong way.  The correct perspective is that of </w:t>
      </w:r>
      <w:r w:rsidR="001D00D2">
        <w:t>each</w:t>
      </w:r>
      <w:r w:rsidR="00C37D7D">
        <w:t xml:space="preserve"> customer</w:t>
      </w:r>
      <w:r w:rsidR="009B6B96">
        <w:t xml:space="preserve">, who did not receive </w:t>
      </w:r>
      <w:r w:rsidR="00D61E92">
        <w:t>the benefit of</w:t>
      </w:r>
      <w:r w:rsidR="009B6B96">
        <w:t xml:space="preserve"> his or her full welfare entitlements</w:t>
      </w:r>
      <w:r w:rsidR="003F6F43">
        <w:t xml:space="preserve">.  </w:t>
      </w:r>
      <w:r w:rsidR="00232F7F">
        <w:t>This is considered in more detail below.</w:t>
      </w:r>
    </w:p>
    <w:p w14:paraId="1E863F35" w14:textId="490F7FCC" w:rsidR="003C706E" w:rsidRDefault="00E75035" w:rsidP="00E75035">
      <w:pPr>
        <w:pStyle w:val="ParaNumbering"/>
        <w:numPr>
          <w:ilvl w:val="0"/>
          <w:numId w:val="0"/>
        </w:numPr>
        <w:tabs>
          <w:tab w:val="left" w:pos="720"/>
        </w:tabs>
        <w:ind w:hanging="720"/>
      </w:pPr>
      <w:r>
        <w:rPr>
          <w:sz w:val="20"/>
        </w:rPr>
        <w:t>41</w:t>
      </w:r>
      <w:r>
        <w:rPr>
          <w:sz w:val="20"/>
        </w:rPr>
        <w:tab/>
      </w:r>
      <w:r w:rsidR="004E7707">
        <w:t>Further, the contraventions by AGL</w:t>
      </w:r>
      <w:r w:rsidR="00B650AF">
        <w:t xml:space="preserve"> occurred over a prolonged period of </w:t>
      </w:r>
      <w:r w:rsidR="00F15191">
        <w:t xml:space="preserve">more than </w:t>
      </w:r>
      <w:r w:rsidR="00B650AF" w:rsidRPr="004E7707">
        <w:rPr>
          <w:i/>
          <w:iCs/>
        </w:rPr>
        <w:t>four years</w:t>
      </w:r>
      <w:r w:rsidR="002A0BEA">
        <w:t xml:space="preserve">, during which time </w:t>
      </w:r>
      <w:r w:rsidR="00803A8B">
        <w:t>AGL</w:t>
      </w:r>
      <w:r w:rsidR="002A0BEA">
        <w:t xml:space="preserve"> contravened the relevant law over </w:t>
      </w:r>
      <w:r w:rsidR="002A0BEA" w:rsidRPr="004E7707">
        <w:rPr>
          <w:i/>
          <w:iCs/>
        </w:rPr>
        <w:t>16,000 times</w:t>
      </w:r>
      <w:r w:rsidR="006F607C">
        <w:t xml:space="preserve">.  </w:t>
      </w:r>
      <w:r w:rsidR="001D00D2">
        <w:t>AGL’s conduct</w:t>
      </w:r>
      <w:r w:rsidR="006F607C">
        <w:t xml:space="preserve"> had a direct and negative impact on 483 people</w:t>
      </w:r>
      <w:r w:rsidR="006F607C" w:rsidRPr="006F607C">
        <w:t xml:space="preserve"> </w:t>
      </w:r>
      <w:r w:rsidR="006F607C">
        <w:t>who were individuals in receipt of welfare payments and therefore among the more economically and socially vulnerable of AGL’s customers.</w:t>
      </w:r>
      <w:r w:rsidR="00B650AF">
        <w:t xml:space="preserve">  </w:t>
      </w:r>
      <w:r w:rsidR="001D00D2">
        <w:t xml:space="preserve">Such conduct </w:t>
      </w:r>
      <w:r w:rsidR="00B948BD">
        <w:t>was, on any view, “large scale”</w:t>
      </w:r>
      <w:r w:rsidR="00B46EA7">
        <w:t>.  I</w:t>
      </w:r>
      <w:r w:rsidR="00803A8B">
        <w:t xml:space="preserve">t was </w:t>
      </w:r>
      <w:r w:rsidR="00803A8B" w:rsidRPr="00232F7F">
        <w:rPr>
          <w:i/>
          <w:iCs/>
        </w:rPr>
        <w:t>very</w:t>
      </w:r>
      <w:r w:rsidR="00803A8B">
        <w:t xml:space="preserve"> serious</w:t>
      </w:r>
      <w:r w:rsidR="00850F0A">
        <w:t xml:space="preserve"> and it</w:t>
      </w:r>
      <w:r w:rsidR="006F607C">
        <w:t xml:space="preserve"> </w:t>
      </w:r>
      <w:r w:rsidR="00C6612B">
        <w:t xml:space="preserve">cannot be brushed aside because </w:t>
      </w:r>
      <w:r w:rsidR="00803A8B">
        <w:t>these customers constitute</w:t>
      </w:r>
      <w:r w:rsidR="00C6612B">
        <w:t xml:space="preserve"> a small fraction of AGL’s total customer base</w:t>
      </w:r>
      <w:r w:rsidR="00803A8B">
        <w:t xml:space="preserve"> or because</w:t>
      </w:r>
      <w:r w:rsidR="00AE64C0">
        <w:t>,</w:t>
      </w:r>
      <w:r w:rsidR="00803A8B">
        <w:t xml:space="preserve"> if one massages the numbers a certain way, they appear to be </w:t>
      </w:r>
      <w:r w:rsidR="000261EF">
        <w:t>small in comparison to AGL’s total billings</w:t>
      </w:r>
      <w:r w:rsidR="00B93AD6">
        <w:t>.</w:t>
      </w:r>
      <w:r w:rsidR="00F452C6">
        <w:t xml:space="preserve">  </w:t>
      </w:r>
      <w:r w:rsidR="00CE2A15">
        <w:t>For example, a</w:t>
      </w:r>
      <w:r w:rsidR="00F452C6">
        <w:t xml:space="preserve">nother way of </w:t>
      </w:r>
      <w:r w:rsidR="000A0363">
        <w:t>looking at it is that, on average, each customer was deprived of nearly $1,000.</w:t>
      </w:r>
    </w:p>
    <w:p w14:paraId="0514E981" w14:textId="745DAF00" w:rsidR="001006E3" w:rsidRDefault="00E75035" w:rsidP="00E75035">
      <w:pPr>
        <w:pStyle w:val="ParaNumbering"/>
        <w:numPr>
          <w:ilvl w:val="0"/>
          <w:numId w:val="0"/>
        </w:numPr>
        <w:tabs>
          <w:tab w:val="left" w:pos="720"/>
        </w:tabs>
        <w:ind w:hanging="720"/>
      </w:pPr>
      <w:r>
        <w:rPr>
          <w:sz w:val="20"/>
        </w:rPr>
        <w:lastRenderedPageBreak/>
        <w:t>42</w:t>
      </w:r>
      <w:r>
        <w:rPr>
          <w:sz w:val="20"/>
        </w:rPr>
        <w:tab/>
      </w:r>
      <w:r w:rsidR="00850F0A">
        <w:t>Further</w:t>
      </w:r>
      <w:r w:rsidR="003C706E">
        <w:t xml:space="preserve">, Mr Waterson’s evidence was that over 40,000 customers, each of them welfare recipients, were using the Centrepay arrangement during each financial year </w:t>
      </w:r>
      <w:r w:rsidR="007C714B">
        <w:t>within</w:t>
      </w:r>
      <w:r w:rsidR="003C706E">
        <w:t xml:space="preserve"> the </w:t>
      </w:r>
      <w:r w:rsidR="00417C95">
        <w:t>r</w:t>
      </w:r>
      <w:r w:rsidR="003C706E">
        <w:t xml:space="preserve">elevant </w:t>
      </w:r>
      <w:r w:rsidR="00417C95">
        <w:t>p</w:t>
      </w:r>
      <w:r w:rsidR="003C706E">
        <w:t>eriod</w:t>
      </w:r>
      <w:r w:rsidR="005B27B5">
        <w:t>, and each of these customers’</w:t>
      </w:r>
      <w:r w:rsidR="00A8778F">
        <w:t xml:space="preserve"> Centrepay deductions </w:t>
      </w:r>
      <w:r w:rsidR="002919FE">
        <w:t>were</w:t>
      </w:r>
      <w:r w:rsidR="00A8778F">
        <w:t xml:space="preserve"> processed using the same </w:t>
      </w:r>
      <w:r w:rsidR="00720EDE">
        <w:t xml:space="preserve">computer </w:t>
      </w:r>
      <w:r w:rsidR="003E3993">
        <w:t>processing system</w:t>
      </w:r>
      <w:r w:rsidR="003C706E">
        <w:t>.</w:t>
      </w:r>
      <w:r w:rsidR="00413B44">
        <w:t xml:space="preserve">  Thus, e</w:t>
      </w:r>
      <w:r w:rsidR="003C706E">
        <w:t xml:space="preserve">ach of these customers </w:t>
      </w:r>
      <w:r w:rsidR="00413B44">
        <w:t>was</w:t>
      </w:r>
      <w:r w:rsidR="003C706E">
        <w:t xml:space="preserve">, in effect, exposed to the risk of overcharging as a consequence of AGL’s deliberately designed system, and would likely have been caused actual harm in the form of an overcharge in the event that they had decided to leave AGL and render their accounts inactive.  </w:t>
      </w:r>
      <w:r w:rsidR="00E86262">
        <w:t xml:space="preserve">The fact that such a large number of customers </w:t>
      </w:r>
      <w:r w:rsidR="000F7B3F">
        <w:t>was</w:t>
      </w:r>
      <w:r w:rsidR="00E86262">
        <w:t xml:space="preserve"> exposed to the risk of harm</w:t>
      </w:r>
      <w:r w:rsidR="003C706E">
        <w:t xml:space="preserve"> </w:t>
      </w:r>
      <w:r w:rsidR="000F7B3F">
        <w:t xml:space="preserve">increases the </w:t>
      </w:r>
      <w:r w:rsidR="005874A5">
        <w:t>seriousness with which AGL’s conduct must be viewed</w:t>
      </w:r>
      <w:r w:rsidR="004C0863">
        <w:t xml:space="preserve">: see </w:t>
      </w:r>
      <w:r w:rsidR="004C0863" w:rsidRPr="00A72AA3">
        <w:rPr>
          <w:i/>
          <w:iCs/>
        </w:rPr>
        <w:t>A</w:t>
      </w:r>
      <w:r w:rsidR="0056671D" w:rsidRPr="00A72AA3">
        <w:rPr>
          <w:i/>
          <w:iCs/>
        </w:rPr>
        <w:t>ustralian Securities and Investments Commission v Westpac Securities Administration Limited</w:t>
      </w:r>
      <w:r w:rsidR="0056671D" w:rsidRPr="00A72AA3">
        <w:t xml:space="preserve"> </w:t>
      </w:r>
      <w:r w:rsidR="00E47A6A" w:rsidRPr="00A72AA3">
        <w:t xml:space="preserve">(2021) 156 ACSR 614; </w:t>
      </w:r>
      <w:r w:rsidR="0056671D" w:rsidRPr="00A72AA3">
        <w:t>[2021] FCA 1008</w:t>
      </w:r>
      <w:r w:rsidR="00E47A6A">
        <w:t xml:space="preserve"> at [66] (O’Bryan J)</w:t>
      </w:r>
      <w:r w:rsidR="003C706E">
        <w:t>.</w:t>
      </w:r>
    </w:p>
    <w:p w14:paraId="28743905" w14:textId="1FB8172C" w:rsidR="00D04148" w:rsidRDefault="00E75035" w:rsidP="00E75035">
      <w:pPr>
        <w:pStyle w:val="ParaNumbering"/>
        <w:numPr>
          <w:ilvl w:val="0"/>
          <w:numId w:val="0"/>
        </w:numPr>
        <w:tabs>
          <w:tab w:val="left" w:pos="720"/>
        </w:tabs>
        <w:ind w:hanging="720"/>
      </w:pPr>
      <w:r>
        <w:rPr>
          <w:sz w:val="20"/>
        </w:rPr>
        <w:t>43</w:t>
      </w:r>
      <w:r>
        <w:rPr>
          <w:sz w:val="20"/>
        </w:rPr>
        <w:tab/>
      </w:r>
      <w:r w:rsidR="001006E3">
        <w:t xml:space="preserve">For these reasons, </w:t>
      </w:r>
      <w:r w:rsidR="00D04148">
        <w:t>I consider that the nature and extent of the contraventions weigh strongly in favour of a substantial penalty.</w:t>
      </w:r>
    </w:p>
    <w:p w14:paraId="25476182" w14:textId="5E9A79B5" w:rsidR="00110526" w:rsidRDefault="00110526" w:rsidP="008F24E4">
      <w:pPr>
        <w:pStyle w:val="Heading2"/>
      </w:pPr>
      <w:r>
        <w:t xml:space="preserve">The nature and extent of loss or damage suffered </w:t>
      </w:r>
      <w:r w:rsidR="00D04148">
        <w:t>as a result of the breach</w:t>
      </w:r>
      <w:r w:rsidR="003E1FB8">
        <w:t>: s 294(b)</w:t>
      </w:r>
    </w:p>
    <w:p w14:paraId="53F67E40" w14:textId="6D0624A1" w:rsidR="00E40740" w:rsidRDefault="00E75035" w:rsidP="00E75035">
      <w:pPr>
        <w:pStyle w:val="ParaNumbering"/>
        <w:numPr>
          <w:ilvl w:val="0"/>
          <w:numId w:val="0"/>
        </w:numPr>
        <w:tabs>
          <w:tab w:val="left" w:pos="720"/>
        </w:tabs>
        <w:ind w:hanging="720"/>
      </w:pPr>
      <w:r>
        <w:rPr>
          <w:sz w:val="20"/>
        </w:rPr>
        <w:t>44</w:t>
      </w:r>
      <w:r>
        <w:rPr>
          <w:sz w:val="20"/>
        </w:rPr>
        <w:tab/>
      </w:r>
      <w:r w:rsidR="005B184F" w:rsidRPr="00E520D6">
        <w:t xml:space="preserve">The total amount “overcharged” </w:t>
      </w:r>
      <w:r w:rsidR="001D21CE">
        <w:t xml:space="preserve">was </w:t>
      </w:r>
      <w:r w:rsidR="0041019B">
        <w:t>agreed</w:t>
      </w:r>
      <w:r w:rsidR="001D21CE">
        <w:t xml:space="preserve"> to be</w:t>
      </w:r>
      <w:r w:rsidR="005B184F" w:rsidRPr="00E520D6">
        <w:t xml:space="preserve"> $468,310</w:t>
      </w:r>
      <w:r w:rsidR="007C122A">
        <w:t xml:space="preserve"> pursuant to the calculations in the Supplementary Hennessey Report</w:t>
      </w:r>
      <w:r w:rsidR="005B184F" w:rsidRPr="00E520D6">
        <w:t xml:space="preserve">.  </w:t>
      </w:r>
      <w:r w:rsidR="005B184F">
        <w:t>The Affected Customers were deprived of these amounts for</w:t>
      </w:r>
      <w:r w:rsidR="00C21CD8">
        <w:t xml:space="preserve"> periods of</w:t>
      </w:r>
      <w:r w:rsidR="005B184F">
        <w:t xml:space="preserve"> months or years.</w:t>
      </w:r>
      <w:r w:rsidR="00472F18">
        <w:t xml:space="preserve">  They </w:t>
      </w:r>
      <w:r w:rsidR="000D53D6">
        <w:t>were people in receipt of welfare payments, the receipt of which</w:t>
      </w:r>
      <w:r w:rsidR="006210D9">
        <w:t xml:space="preserve"> </w:t>
      </w:r>
      <w:r w:rsidR="000D53D6">
        <w:t>is indicative of</w:t>
      </w:r>
      <w:r w:rsidR="00BE719C">
        <w:t xml:space="preserve"> </w:t>
      </w:r>
      <w:r w:rsidR="000D53D6">
        <w:t>strained personal financial circumstances</w:t>
      </w:r>
      <w:r w:rsidR="006C2FDD">
        <w:t xml:space="preserve"> or, at least, low income</w:t>
      </w:r>
      <w:r w:rsidR="00213781">
        <w:t>s</w:t>
      </w:r>
      <w:r w:rsidR="006210D9">
        <w:t xml:space="preserve"> for many, if not all, of the </w:t>
      </w:r>
      <w:r w:rsidR="009E0481">
        <w:t>A</w:t>
      </w:r>
      <w:r w:rsidR="006210D9">
        <w:t xml:space="preserve">ffected </w:t>
      </w:r>
      <w:r w:rsidR="009E0481">
        <w:t>C</w:t>
      </w:r>
      <w:r w:rsidR="006210D9">
        <w:t>ustomers</w:t>
      </w:r>
      <w:r w:rsidR="00D93DF4">
        <w:t>.</w:t>
      </w:r>
    </w:p>
    <w:p w14:paraId="7CB28D1F" w14:textId="6DB5A84B" w:rsidR="00A5738C" w:rsidRDefault="00E75035" w:rsidP="00E75035">
      <w:pPr>
        <w:pStyle w:val="ParaNumbering"/>
        <w:numPr>
          <w:ilvl w:val="0"/>
          <w:numId w:val="0"/>
        </w:numPr>
        <w:tabs>
          <w:tab w:val="left" w:pos="720"/>
        </w:tabs>
        <w:ind w:hanging="720"/>
      </w:pPr>
      <w:r>
        <w:rPr>
          <w:sz w:val="20"/>
        </w:rPr>
        <w:t>45</w:t>
      </w:r>
      <w:r>
        <w:rPr>
          <w:sz w:val="20"/>
        </w:rPr>
        <w:tab/>
      </w:r>
      <w:r w:rsidR="00765AE1">
        <w:t>The evidence does not disclose precisely which types of welfare support each of the Affected Customers was receiving</w:t>
      </w:r>
      <w:r w:rsidR="00F4258D">
        <w:t xml:space="preserve"> during the relevant period.  However, a</w:t>
      </w:r>
      <w:r w:rsidR="008C74E3" w:rsidRPr="008C74E3">
        <w:t xml:space="preserve">ccording to a publication by Services Australia entitled </w:t>
      </w:r>
      <w:r w:rsidR="008C74E3" w:rsidRPr="008C74E3">
        <w:rPr>
          <w:i/>
          <w:iCs/>
        </w:rPr>
        <w:t>A Guide to Australian Government Payments</w:t>
      </w:r>
      <w:r w:rsidR="008C74E3" w:rsidRPr="008C74E3">
        <w:t xml:space="preserve"> (20 September 2021 to 31 December 2021),</w:t>
      </w:r>
      <w:r w:rsidR="008C74E3">
        <w:t xml:space="preserve"> a</w:t>
      </w:r>
      <w:r w:rsidR="00A5738C">
        <w:t>t the end of the relevant period:</w:t>
      </w:r>
    </w:p>
    <w:p w14:paraId="40C631F1" w14:textId="08B6F3DA" w:rsidR="00DE6E75" w:rsidRDefault="00E75035" w:rsidP="00E75035">
      <w:pPr>
        <w:pStyle w:val="ListNo1"/>
        <w:numPr>
          <w:ilvl w:val="0"/>
          <w:numId w:val="0"/>
        </w:numPr>
        <w:tabs>
          <w:tab w:val="left" w:pos="720"/>
        </w:tabs>
        <w:ind w:left="720" w:hanging="720"/>
      </w:pPr>
      <w:r>
        <w:t>(1)</w:t>
      </w:r>
      <w:r>
        <w:tab/>
      </w:r>
      <w:r w:rsidR="00A5738C">
        <w:t>the fortnightly basic payment rate of the Age Pension for a single person was $882.20, with an additional Energy Supplement of $14.10 a fortnight;</w:t>
      </w:r>
    </w:p>
    <w:p w14:paraId="76BF1B1E" w14:textId="15982458" w:rsidR="00DE6E75" w:rsidRDefault="00E75035" w:rsidP="00E75035">
      <w:pPr>
        <w:pStyle w:val="ListNo1"/>
        <w:numPr>
          <w:ilvl w:val="0"/>
          <w:numId w:val="0"/>
        </w:numPr>
        <w:tabs>
          <w:tab w:val="left" w:pos="720"/>
        </w:tabs>
        <w:ind w:left="720" w:hanging="720"/>
      </w:pPr>
      <w:r>
        <w:t>(2)</w:t>
      </w:r>
      <w:r>
        <w:tab/>
      </w:r>
      <w:r w:rsidR="00A5738C">
        <w:t xml:space="preserve">the fortnightly basic payment rate of JobSeeker for a single person with dependent children was $676.80, with an additional Energy Supplement of $9.50 a fortnight; and </w:t>
      </w:r>
    </w:p>
    <w:p w14:paraId="63EEE2E5" w14:textId="621D3571" w:rsidR="00A5738C" w:rsidRDefault="00E75035" w:rsidP="00E75035">
      <w:pPr>
        <w:pStyle w:val="ListNo1"/>
        <w:numPr>
          <w:ilvl w:val="0"/>
          <w:numId w:val="0"/>
        </w:numPr>
        <w:tabs>
          <w:tab w:val="left" w:pos="720"/>
        </w:tabs>
        <w:ind w:left="720" w:hanging="720"/>
      </w:pPr>
      <w:r>
        <w:t>(3)</w:t>
      </w:r>
      <w:r>
        <w:tab/>
      </w:r>
      <w:r w:rsidR="00A5738C">
        <w:t>the fortnightly basic payment rate of Youth Allowance for a single 18–24 year old person living away from home with no dependent children was $512.50, with an additional Energy Supplement of $7.00 a fortnight.</w:t>
      </w:r>
    </w:p>
    <w:p w14:paraId="4F5CFDF2" w14:textId="07C66BAB" w:rsidR="00A121E2" w:rsidRDefault="00E75035" w:rsidP="00E75035">
      <w:pPr>
        <w:pStyle w:val="ParaNumbering"/>
        <w:keepNext/>
        <w:numPr>
          <w:ilvl w:val="0"/>
          <w:numId w:val="0"/>
        </w:numPr>
        <w:tabs>
          <w:tab w:val="left" w:pos="720"/>
        </w:tabs>
        <w:ind w:hanging="720"/>
      </w:pPr>
      <w:r>
        <w:rPr>
          <w:sz w:val="20"/>
        </w:rPr>
        <w:lastRenderedPageBreak/>
        <w:t>46</w:t>
      </w:r>
      <w:r>
        <w:rPr>
          <w:sz w:val="20"/>
        </w:rPr>
        <w:tab/>
      </w:r>
      <w:r w:rsidR="002D4091">
        <w:t>Some examples of the deductions by AGL are as follows:</w:t>
      </w:r>
    </w:p>
    <w:p w14:paraId="6176847E" w14:textId="05040F2A" w:rsidR="002D4091" w:rsidRDefault="00E75035" w:rsidP="00E75035">
      <w:pPr>
        <w:pStyle w:val="ListNo1"/>
        <w:numPr>
          <w:ilvl w:val="0"/>
          <w:numId w:val="0"/>
        </w:numPr>
        <w:tabs>
          <w:tab w:val="left" w:pos="720"/>
        </w:tabs>
        <w:ind w:left="720" w:hanging="720"/>
      </w:pPr>
      <w:r>
        <w:t>(1)</w:t>
      </w:r>
      <w:r>
        <w:tab/>
      </w:r>
      <w:r w:rsidR="00D96F02">
        <w:t xml:space="preserve">18 fortnightly payments of $120.00 were improperly deducted from Customer 375’s welfare payments, </w:t>
      </w:r>
      <w:r w:rsidR="00136A41">
        <w:t>with</w:t>
      </w:r>
      <w:r w:rsidR="00D96F02">
        <w:t xml:space="preserve"> a total of $2</w:t>
      </w:r>
      <w:r w:rsidR="00064E95">
        <w:t>,</w:t>
      </w:r>
      <w:r w:rsidR="00D96F02">
        <w:t>160.00 overcharged;</w:t>
      </w:r>
    </w:p>
    <w:p w14:paraId="242C74DA" w14:textId="1E462B9E" w:rsidR="00D96F02" w:rsidRDefault="00E75035" w:rsidP="00E75035">
      <w:pPr>
        <w:pStyle w:val="ListNo1"/>
        <w:numPr>
          <w:ilvl w:val="0"/>
          <w:numId w:val="0"/>
        </w:numPr>
        <w:tabs>
          <w:tab w:val="left" w:pos="720"/>
        </w:tabs>
        <w:ind w:left="720" w:hanging="720"/>
      </w:pPr>
      <w:r>
        <w:t>(2)</w:t>
      </w:r>
      <w:r>
        <w:tab/>
      </w:r>
      <w:r w:rsidR="002B12B2">
        <w:t>53 fortnightly payments of $50.00 and one payment of $28.57 were improperly deducted from Customer 3’s welfare payments,</w:t>
      </w:r>
      <w:r w:rsidR="00136A41">
        <w:t xml:space="preserve"> with</w:t>
      </w:r>
      <w:r w:rsidR="002B12B2">
        <w:t xml:space="preserve"> a total of $2</w:t>
      </w:r>
      <w:r w:rsidR="00064E95">
        <w:t>,</w:t>
      </w:r>
      <w:r w:rsidR="002B12B2">
        <w:t>678.57 overcharged;</w:t>
      </w:r>
    </w:p>
    <w:p w14:paraId="4A10C877" w14:textId="7D96D3BE" w:rsidR="002B12B2" w:rsidRDefault="00E75035" w:rsidP="00E75035">
      <w:pPr>
        <w:pStyle w:val="ListNo1"/>
        <w:numPr>
          <w:ilvl w:val="0"/>
          <w:numId w:val="0"/>
        </w:numPr>
        <w:tabs>
          <w:tab w:val="left" w:pos="720"/>
        </w:tabs>
        <w:ind w:left="720" w:hanging="720"/>
      </w:pPr>
      <w:r>
        <w:t>(3)</w:t>
      </w:r>
      <w:r>
        <w:tab/>
      </w:r>
      <w:r w:rsidR="00296782">
        <w:t xml:space="preserve">25 fortnightly payments of $91.00 and 23 fortnightly payments of $15.00 (mostly during the same time period) </w:t>
      </w:r>
      <w:r w:rsidR="00EC50B2">
        <w:t xml:space="preserve">were improperly deducted from </w:t>
      </w:r>
      <w:r w:rsidR="00147DEF">
        <w:t>C</w:t>
      </w:r>
      <w:r w:rsidR="00EC50B2">
        <w:t>ustomer 401’s welfare payments,</w:t>
      </w:r>
      <w:r w:rsidR="00296782">
        <w:t xml:space="preserve"> with a total of $2</w:t>
      </w:r>
      <w:r w:rsidR="00064E95">
        <w:t>,</w:t>
      </w:r>
      <w:r w:rsidR="00296782">
        <w:t>620.00 overcharged.</w:t>
      </w:r>
    </w:p>
    <w:p w14:paraId="2AA3D11B" w14:textId="7E4A25BE" w:rsidR="00055BD3" w:rsidRDefault="00E75035" w:rsidP="00E75035">
      <w:pPr>
        <w:pStyle w:val="ParaNumbering"/>
        <w:numPr>
          <w:ilvl w:val="0"/>
          <w:numId w:val="0"/>
        </w:numPr>
        <w:tabs>
          <w:tab w:val="left" w:pos="720"/>
        </w:tabs>
        <w:ind w:hanging="720"/>
      </w:pPr>
      <w:r>
        <w:rPr>
          <w:sz w:val="20"/>
        </w:rPr>
        <w:t>47</w:t>
      </w:r>
      <w:r>
        <w:rPr>
          <w:sz w:val="20"/>
        </w:rPr>
        <w:tab/>
      </w:r>
      <w:r w:rsidR="00A32B3F">
        <w:t xml:space="preserve">It follows that, as customers were </w:t>
      </w:r>
      <w:r w:rsidR="00A32B3F" w:rsidRPr="00636E3F">
        <w:rPr>
          <w:bCs/>
        </w:rPr>
        <w:t>improperly deprived of their welfare payments for months or years as a result of the contraventions</w:t>
      </w:r>
      <w:r w:rsidR="00A32B3F">
        <w:rPr>
          <w:bCs/>
        </w:rPr>
        <w:t xml:space="preserve"> by AGL, this caused them loss and damage</w:t>
      </w:r>
      <w:r w:rsidR="007810C3">
        <w:rPr>
          <w:bCs/>
        </w:rPr>
        <w:t xml:space="preserve">, which </w:t>
      </w:r>
      <w:r w:rsidR="002C26CF">
        <w:t>is a factor that weighs in favour of a substantial penalty.</w:t>
      </w:r>
    </w:p>
    <w:p w14:paraId="23F18C21" w14:textId="673C08AA" w:rsidR="008F24E4" w:rsidRDefault="00BC2D2C" w:rsidP="00BC2D2C">
      <w:pPr>
        <w:pStyle w:val="Heading2"/>
      </w:pPr>
      <w:r>
        <w:t>The circumstances in which the breach took place</w:t>
      </w:r>
      <w:r w:rsidR="008F3DD5">
        <w:t>: s 294(c)</w:t>
      </w:r>
    </w:p>
    <w:p w14:paraId="4913ECEA" w14:textId="16CE2ABC" w:rsidR="00A23BBA" w:rsidRPr="00A23BBA" w:rsidRDefault="00E75035" w:rsidP="00E75035">
      <w:pPr>
        <w:pStyle w:val="ParaNumbering"/>
        <w:numPr>
          <w:ilvl w:val="0"/>
          <w:numId w:val="0"/>
        </w:numPr>
        <w:tabs>
          <w:tab w:val="left" w:pos="720"/>
        </w:tabs>
        <w:ind w:hanging="720"/>
        <w:rPr>
          <w:b/>
          <w:bCs/>
          <w:lang w:eastAsia="en-AU"/>
        </w:rPr>
      </w:pPr>
      <w:r w:rsidRPr="00A23BBA">
        <w:rPr>
          <w:sz w:val="20"/>
          <w:lang w:eastAsia="en-AU"/>
        </w:rPr>
        <w:t>48</w:t>
      </w:r>
      <w:r w:rsidRPr="00A23BBA">
        <w:rPr>
          <w:sz w:val="20"/>
          <w:lang w:eastAsia="en-AU"/>
        </w:rPr>
        <w:tab/>
      </w:r>
      <w:r w:rsidR="00E954EB">
        <w:rPr>
          <w:lang w:eastAsia="en-AU"/>
        </w:rPr>
        <w:t xml:space="preserve">The circumstances in which the </w:t>
      </w:r>
      <w:r w:rsidR="000738E9">
        <w:rPr>
          <w:lang w:eastAsia="en-AU"/>
        </w:rPr>
        <w:t>contraventions</w:t>
      </w:r>
      <w:r w:rsidR="00E954EB">
        <w:rPr>
          <w:lang w:eastAsia="en-AU"/>
        </w:rPr>
        <w:t xml:space="preserve"> took place ha</w:t>
      </w:r>
      <w:r w:rsidR="000344CA">
        <w:rPr>
          <w:lang w:eastAsia="en-AU"/>
        </w:rPr>
        <w:t>ve</w:t>
      </w:r>
      <w:r w:rsidR="00E954EB">
        <w:rPr>
          <w:lang w:eastAsia="en-AU"/>
        </w:rPr>
        <w:t xml:space="preserve"> been addressed in the liability judgment (to which I have regard) and above in relation to consideration of the </w:t>
      </w:r>
      <w:r w:rsidR="000738E9">
        <w:rPr>
          <w:lang w:eastAsia="en-AU"/>
        </w:rPr>
        <w:t>nature and extent of the breach as required by s 294(a)</w:t>
      </w:r>
      <w:r w:rsidR="00A23BBA">
        <w:rPr>
          <w:lang w:eastAsia="en-AU"/>
        </w:rPr>
        <w:t>.</w:t>
      </w:r>
    </w:p>
    <w:p w14:paraId="0EE33066" w14:textId="17C5B56F" w:rsidR="009B6B26" w:rsidRPr="009B6B26" w:rsidRDefault="00E75035" w:rsidP="00E75035">
      <w:pPr>
        <w:pStyle w:val="ParaNumbering"/>
        <w:numPr>
          <w:ilvl w:val="0"/>
          <w:numId w:val="0"/>
        </w:numPr>
        <w:tabs>
          <w:tab w:val="left" w:pos="720"/>
        </w:tabs>
        <w:ind w:hanging="720"/>
        <w:rPr>
          <w:b/>
          <w:bCs/>
          <w:lang w:eastAsia="en-AU"/>
        </w:rPr>
      </w:pPr>
      <w:r w:rsidRPr="009B6B26">
        <w:rPr>
          <w:sz w:val="20"/>
          <w:lang w:eastAsia="en-AU"/>
        </w:rPr>
        <w:t>49</w:t>
      </w:r>
      <w:r w:rsidRPr="009B6B26">
        <w:rPr>
          <w:sz w:val="20"/>
          <w:lang w:eastAsia="en-AU"/>
        </w:rPr>
        <w:tab/>
      </w:r>
      <w:r w:rsidR="009B6B26">
        <w:rPr>
          <w:lang w:eastAsia="en-AU"/>
        </w:rPr>
        <w:t>The following are additional salient matters:</w:t>
      </w:r>
    </w:p>
    <w:p w14:paraId="3C555048" w14:textId="69A27093" w:rsidR="00990BED" w:rsidRDefault="00E75035" w:rsidP="00E75035">
      <w:pPr>
        <w:pStyle w:val="ListNo1"/>
        <w:numPr>
          <w:ilvl w:val="0"/>
          <w:numId w:val="0"/>
        </w:numPr>
        <w:tabs>
          <w:tab w:val="left" w:pos="720"/>
        </w:tabs>
        <w:ind w:left="720" w:hanging="720"/>
      </w:pPr>
      <w:r>
        <w:t>(1)</w:t>
      </w:r>
      <w:r>
        <w:tab/>
      </w:r>
      <w:r w:rsidR="00362E70">
        <w:t xml:space="preserve">although AGL submits that the conduct was not deliberate, </w:t>
      </w:r>
      <w:r w:rsidR="007E212A">
        <w:t>its</w:t>
      </w:r>
      <w:r w:rsidR="00362E70">
        <w:t xml:space="preserve"> SAP system was the subject of a “deliberate methodological design choice that [has not] recognised the obligations” that AGL had under r</w:t>
      </w:r>
      <w:r w:rsidR="00AA7048">
        <w:t> </w:t>
      </w:r>
      <w:r w:rsidR="00362E70">
        <w:t>31 of the Retail Rules</w:t>
      </w:r>
      <w:r w:rsidR="007E212A">
        <w:t>: LJ [167]</w:t>
      </w:r>
      <w:r w:rsidR="007E1144">
        <w:t>.  Th</w:t>
      </w:r>
      <w:r w:rsidR="00DC15A9">
        <w:t xml:space="preserve">e design </w:t>
      </w:r>
      <w:r w:rsidR="0070073C">
        <w:t xml:space="preserve">of the SAP system </w:t>
      </w:r>
      <w:r w:rsidR="00DC15A9">
        <w:t>is described at LJ </w:t>
      </w:r>
      <w:r w:rsidR="00BB7925">
        <w:t>[47]–[59], and it</w:t>
      </w:r>
      <w:r w:rsidR="00862F44">
        <w:t xml:space="preserve"> (</w:t>
      </w:r>
      <w:r w:rsidR="00862F44">
        <w:rPr>
          <w:i/>
          <w:iCs/>
        </w:rPr>
        <w:t>inter alia</w:t>
      </w:r>
      <w:r w:rsidR="00862F44">
        <w:t>)</w:t>
      </w:r>
      <w:r w:rsidR="00BB7925">
        <w:t xml:space="preserve"> enabled AGL to collect debts if a person had money owing</w:t>
      </w:r>
      <w:r w:rsidR="00D96586">
        <w:t>: LJ [5</w:t>
      </w:r>
      <w:r w:rsidR="007A5AAA">
        <w:t>1</w:t>
      </w:r>
      <w:r w:rsidR="00D96586">
        <w:t>]</w:t>
      </w:r>
      <w:r w:rsidR="007A5AAA">
        <w:t>, [56]</w:t>
      </w:r>
      <w:r w:rsidR="001C6A49">
        <w:t>.</w:t>
      </w:r>
      <w:r w:rsidR="00CB5FF2">
        <w:t xml:space="preserve">  That the contravening conduct was systemic is a relevant factor: see </w:t>
      </w:r>
      <w:r w:rsidR="00295D21" w:rsidRPr="00A72AA3">
        <w:rPr>
          <w:i/>
          <w:iCs/>
        </w:rPr>
        <w:t xml:space="preserve">Australian Competition and Consumer Commission v Singtel Optus Pty Ltd (No 4) </w:t>
      </w:r>
      <w:r w:rsidR="00295D21" w:rsidRPr="00A72AA3">
        <w:t xml:space="preserve">[2011] </w:t>
      </w:r>
      <w:r w:rsidR="002D7A29" w:rsidRPr="00A72AA3">
        <w:t>ATPR 42-362</w:t>
      </w:r>
      <w:r w:rsidR="00C43032" w:rsidRPr="00A72AA3">
        <w:t>;</w:t>
      </w:r>
      <w:r w:rsidR="000B581B" w:rsidRPr="00A72AA3">
        <w:t xml:space="preserve"> [2011]</w:t>
      </w:r>
      <w:r w:rsidR="00C43032" w:rsidRPr="00A72AA3">
        <w:t xml:space="preserve"> </w:t>
      </w:r>
      <w:r w:rsidR="00295D21" w:rsidRPr="00A72AA3">
        <w:t>FCA 761</w:t>
      </w:r>
      <w:r w:rsidR="003F63FC">
        <w:t xml:space="preserve"> at [11]</w:t>
      </w:r>
      <w:r w:rsidR="003F3D0D">
        <w:t xml:space="preserve"> (Perram J)</w:t>
      </w:r>
      <w:r w:rsidR="009C5E10">
        <w:t>;</w:t>
      </w:r>
    </w:p>
    <w:p w14:paraId="5166F353" w14:textId="1882B690" w:rsidR="00225904" w:rsidRDefault="00E75035" w:rsidP="00E75035">
      <w:pPr>
        <w:pStyle w:val="ListNo1"/>
        <w:numPr>
          <w:ilvl w:val="0"/>
          <w:numId w:val="0"/>
        </w:numPr>
        <w:tabs>
          <w:tab w:val="left" w:pos="720"/>
        </w:tabs>
        <w:ind w:left="720" w:hanging="720"/>
      </w:pPr>
      <w:r>
        <w:t>(2)</w:t>
      </w:r>
      <w:r>
        <w:tab/>
      </w:r>
      <w:r w:rsidR="00990BED">
        <w:t>Ms Egan accepted that</w:t>
      </w:r>
      <w:r w:rsidR="003A250A">
        <w:t xml:space="preserve"> the </w:t>
      </w:r>
      <w:r w:rsidR="00172898">
        <w:t>funds in question</w:t>
      </w:r>
      <w:r w:rsidR="003A250A">
        <w:t xml:space="preserve"> should have been returned to the customer</w:t>
      </w:r>
      <w:r w:rsidR="00514DB1">
        <w:t xml:space="preserve"> </w:t>
      </w:r>
      <w:r w:rsidR="00172898">
        <w:t>promptly</w:t>
      </w:r>
      <w:r w:rsidR="003A250A">
        <w:t xml:space="preserve">, </w:t>
      </w:r>
      <w:r w:rsidR="00225904">
        <w:t>irrespective of whether there</w:t>
      </w:r>
      <w:r w:rsidR="00F03B3F">
        <w:t xml:space="preserve"> was an internal misunderstanding about whether there</w:t>
      </w:r>
      <w:r w:rsidR="00225904">
        <w:t xml:space="preserve"> had been an overcharge within the meaning of r 31</w:t>
      </w:r>
      <w:r w:rsidR="00F03B3F">
        <w:t xml:space="preserve"> of the Retail Rules</w:t>
      </w:r>
      <w:r w:rsidR="0039428D">
        <w:t xml:space="preserve">.  </w:t>
      </w:r>
      <w:r w:rsidR="002D690E">
        <w:t>This was a</w:t>
      </w:r>
      <w:r w:rsidR="0039428D">
        <w:t xml:space="preserve"> proper concession because AGL had </w:t>
      </w:r>
      <w:r w:rsidR="0039428D">
        <w:rPr>
          <w:i/>
          <w:iCs/>
        </w:rPr>
        <w:t>no</w:t>
      </w:r>
      <w:r w:rsidR="0039428D">
        <w:t xml:space="preserve"> entitlement at law to those funds;</w:t>
      </w:r>
    </w:p>
    <w:p w14:paraId="530DFEB9" w14:textId="37823046" w:rsidR="00905339" w:rsidRDefault="00E75035" w:rsidP="00E75035">
      <w:pPr>
        <w:pStyle w:val="ListNo1"/>
        <w:numPr>
          <w:ilvl w:val="0"/>
          <w:numId w:val="0"/>
        </w:numPr>
        <w:tabs>
          <w:tab w:val="left" w:pos="720"/>
        </w:tabs>
        <w:ind w:left="720" w:hanging="720"/>
      </w:pPr>
      <w:r>
        <w:t>(3)</w:t>
      </w:r>
      <w:r>
        <w:tab/>
      </w:r>
      <w:r w:rsidR="00905339">
        <w:t>the AGL Entities contravened their obligation under s 273 of the Retail Law by “failing to implement</w:t>
      </w:r>
      <w:r w:rsidR="00905339" w:rsidRPr="001C254A">
        <w:t xml:space="preserve"> policies, systems and procedures to enable </w:t>
      </w:r>
      <w:r w:rsidR="00905339">
        <w:t>them</w:t>
      </w:r>
      <w:r w:rsidR="00905339" w:rsidRPr="001C254A">
        <w:t xml:space="preserve"> to monitor </w:t>
      </w:r>
      <w:r w:rsidR="00905339">
        <w:t>their</w:t>
      </w:r>
      <w:r w:rsidR="00905339" w:rsidRPr="001C254A">
        <w:t xml:space="preserve"> compliance with </w:t>
      </w:r>
      <w:r w:rsidR="00905339">
        <w:t>rule 31 of the Retail Rules”</w:t>
      </w:r>
      <w:r w:rsidR="00B071BE">
        <w:t>: LJ [168]</w:t>
      </w:r>
      <w:r w:rsidR="00905339">
        <w:t xml:space="preserve">. </w:t>
      </w:r>
      <w:r w:rsidR="005C5315">
        <w:t xml:space="preserve"> </w:t>
      </w:r>
      <w:r w:rsidR="00905339">
        <w:t>The conduct</w:t>
      </w:r>
      <w:r w:rsidR="00127144">
        <w:t xml:space="preserve"> contravening r</w:t>
      </w:r>
      <w:r w:rsidR="00AA7048">
        <w:t> </w:t>
      </w:r>
      <w:r w:rsidR="00127144">
        <w:t>31</w:t>
      </w:r>
      <w:r w:rsidR="00905339">
        <w:t xml:space="preserve"> arose from that failure, such that the AGL Entities did not have policies, systems and </w:t>
      </w:r>
      <w:r w:rsidR="00905339">
        <w:lastRenderedPageBreak/>
        <w:t>procedures to enable them to identify that customers using Centrepay had ceased obtaining services from the AGL Entities, to take steps to cease the deductions through the Centrepay service for those customers, to notify the customers of the credits on their accounts and to refund those sums;</w:t>
      </w:r>
    </w:p>
    <w:p w14:paraId="45298E1F" w14:textId="53CB40CF" w:rsidR="00544FE7" w:rsidRDefault="00E75035" w:rsidP="00E75035">
      <w:pPr>
        <w:pStyle w:val="ListNo1"/>
        <w:numPr>
          <w:ilvl w:val="0"/>
          <w:numId w:val="0"/>
        </w:numPr>
        <w:tabs>
          <w:tab w:val="left" w:pos="720"/>
        </w:tabs>
        <w:ind w:left="720" w:hanging="720"/>
      </w:pPr>
      <w:r>
        <w:t>(4)</w:t>
      </w:r>
      <w:r>
        <w:tab/>
      </w:r>
      <w:r w:rsidR="009D6045">
        <w:t>pursuant to cl 11.13 of the Centrepay Policy, the AGL Entities were under an obligation, if a recipient of Centrelink payments no longer received services from the AGL Entities, to cancel the deduction before the next scheduled payment if the recipient had not already done so</w:t>
      </w:r>
      <w:r w:rsidR="00544FE7">
        <w:t xml:space="preserve">.  Thus, the AGL Entities were, or ought to have been, on notice </w:t>
      </w:r>
      <w:r w:rsidR="002D6C08">
        <w:t>of</w:t>
      </w:r>
      <w:r w:rsidR="00544FE7">
        <w:t xml:space="preserve"> the potential for deductions to continue if not cancelled by the AGL Entities and were indeed under a contractual requirement to cancel the deductions so that overcharges did not occur;</w:t>
      </w:r>
    </w:p>
    <w:p w14:paraId="08D9A4B7" w14:textId="259EAFCE" w:rsidR="00905339" w:rsidRDefault="00E75035" w:rsidP="00E75035">
      <w:pPr>
        <w:pStyle w:val="ListNo1"/>
        <w:numPr>
          <w:ilvl w:val="0"/>
          <w:numId w:val="0"/>
        </w:numPr>
        <w:tabs>
          <w:tab w:val="left" w:pos="720"/>
        </w:tabs>
        <w:ind w:left="720" w:hanging="720"/>
      </w:pPr>
      <w:r>
        <w:t>(5)</w:t>
      </w:r>
      <w:r>
        <w:tab/>
      </w:r>
      <w:r w:rsidR="00182872">
        <w:t xml:space="preserve">as early as 2019, staff at AGL had identified that there were </w:t>
      </w:r>
      <w:r w:rsidR="00E86E51">
        <w:t xml:space="preserve">customers using Centrepay with </w:t>
      </w:r>
      <w:r w:rsidR="00182872">
        <w:t>high credit balances</w:t>
      </w:r>
      <w:r w:rsidR="00ED79A5">
        <w:t>, but these were not addressed until mid-2020</w:t>
      </w:r>
      <w:r w:rsidR="00187196">
        <w:t>: LJ [68]</w:t>
      </w:r>
      <w:r w:rsidR="00B47139">
        <w:t xml:space="preserve">.  According to Ms </w:t>
      </w:r>
      <w:r w:rsidR="00C37318" w:rsidRPr="00852D29">
        <w:rPr>
          <w:lang w:val="de-DE"/>
        </w:rPr>
        <w:t>Nguyen</w:t>
      </w:r>
      <w:r w:rsidR="00C37318">
        <w:rPr>
          <w:lang w:val="de-DE"/>
        </w:rPr>
        <w:t>,</w:t>
      </w:r>
      <w:r w:rsidR="00187196">
        <w:t xml:space="preserve"> </w:t>
      </w:r>
      <w:r w:rsidR="00CF098A">
        <w:t>“it wasn’t something that was prioritised”</w:t>
      </w:r>
      <w:r w:rsidR="000D1118">
        <w:t>;</w:t>
      </w:r>
    </w:p>
    <w:p w14:paraId="5EF7D564" w14:textId="34791EC8" w:rsidR="000D1118" w:rsidRDefault="00E75035" w:rsidP="00E75035">
      <w:pPr>
        <w:pStyle w:val="ListNo1"/>
        <w:numPr>
          <w:ilvl w:val="0"/>
          <w:numId w:val="0"/>
        </w:numPr>
        <w:tabs>
          <w:tab w:val="left" w:pos="720"/>
        </w:tabs>
        <w:ind w:left="720" w:hanging="720"/>
      </w:pPr>
      <w:r>
        <w:t>(6)</w:t>
      </w:r>
      <w:r>
        <w:tab/>
      </w:r>
      <w:r w:rsidR="00EE5CD5">
        <w:t xml:space="preserve">when asked about why </w:t>
      </w:r>
      <w:r w:rsidR="00D44712">
        <w:t xml:space="preserve">the </w:t>
      </w:r>
      <w:r w:rsidR="002D6C08">
        <w:t>cessation</w:t>
      </w:r>
      <w:r w:rsidR="00167439">
        <w:t xml:space="preserve"> in 2016</w:t>
      </w:r>
      <w:r w:rsidR="002D6C08">
        <w:t xml:space="preserve"> of the </w:t>
      </w:r>
      <w:r w:rsidR="00D44712">
        <w:t xml:space="preserve">processes put in place in 2013 </w:t>
      </w:r>
      <w:r w:rsidR="00B316E3">
        <w:t>had not been detected until 2020, Ms Egan gave this evidence</w:t>
      </w:r>
      <w:r w:rsidR="00C462AE">
        <w:t>, which also referred to internal priorities within AGL</w:t>
      </w:r>
      <w:r w:rsidR="00B316E3">
        <w:t>:</w:t>
      </w:r>
    </w:p>
    <w:p w14:paraId="170688AA" w14:textId="1C8F84EB" w:rsidR="00B316E3" w:rsidRDefault="00945B54" w:rsidP="00175A74">
      <w:pPr>
        <w:pStyle w:val="Quote2"/>
      </w:pPr>
      <w:r w:rsidRPr="00945B54">
        <w:t>Surely within that period of time, the processes like this should be examined by all levels within the compliance function?---Yes, but there’s an – an enormous number of processes within our business.  We run an incredibly complex business with multiple processes across the enterprise, not just in customer markets but also in the integrated energy side of the business.  So the audit team prioritises based on highest</w:t>
      </w:r>
      <w:r w:rsidR="00AC1A0A">
        <w:t xml:space="preserve"> </w:t>
      </w:r>
      <w:r w:rsidR="00AC1A0A" w:rsidRPr="00AC1A0A">
        <w:t>areas of risk, so I can understand why this particular payments process was not necessarily deemed the – a priority</w:t>
      </w:r>
      <w:r w:rsidR="00AC1A0A">
        <w:t>.</w:t>
      </w:r>
    </w:p>
    <w:p w14:paraId="77C141FD" w14:textId="4FA387E9" w:rsidR="00AC1A0A" w:rsidRDefault="00E1797C" w:rsidP="00175A74">
      <w:pPr>
        <w:pStyle w:val="Quote2"/>
      </w:pPr>
      <w:r w:rsidRPr="00E1797C">
        <w:t>And the fact that it wasn’t deemed a priority has caused harm to a number of AGL</w:t>
      </w:r>
      <w:r>
        <w:t xml:space="preserve"> </w:t>
      </w:r>
      <w:r w:rsidRPr="00E1797C">
        <w:t>customers, do you agree?---</w:t>
      </w:r>
      <w:r w:rsidR="00C462AE" w:rsidRPr="00C462AE">
        <w:t xml:space="preserve"> I think the fact that we did not have the right systems and</w:t>
      </w:r>
      <w:r w:rsidR="00C462AE">
        <w:t xml:space="preserve"> </w:t>
      </w:r>
      <w:r w:rsidR="00C462AE" w:rsidRPr="00C462AE">
        <w:t>processes in place has caused harm to our customers, absolutely.  We should have had the right systems and processes in place continually to ensure that this issue did not happen.</w:t>
      </w:r>
    </w:p>
    <w:p w14:paraId="11FB486B" w14:textId="10CD711D" w:rsidR="009B6B26" w:rsidRPr="009B6B26" w:rsidRDefault="00E75035" w:rsidP="00E75035">
      <w:pPr>
        <w:pStyle w:val="ListNo1"/>
        <w:numPr>
          <w:ilvl w:val="0"/>
          <w:numId w:val="0"/>
        </w:numPr>
        <w:tabs>
          <w:tab w:val="left" w:pos="720"/>
        </w:tabs>
        <w:ind w:left="720" w:hanging="720"/>
      </w:pPr>
      <w:r w:rsidRPr="009B6B26">
        <w:t>(7)</w:t>
      </w:r>
      <w:r w:rsidRPr="009B6B26">
        <w:tab/>
      </w:r>
      <w:r w:rsidR="00DF1CCF">
        <w:t xml:space="preserve">the circumstances are such that the contraventions could have been avoided by AGL with relative ease and simplicity.  </w:t>
      </w:r>
      <w:r w:rsidR="00DF1CCF" w:rsidRPr="00DE6E75">
        <w:rPr>
          <w:lang w:val="de-DE"/>
        </w:rPr>
        <w:t>Indeed, the evidence of Mr Waterson is that, through its Centrepay Enhancement Project, it has now implemented the automatic cancellation of Centrepay deductions upon a</w:t>
      </w:r>
      <w:r w:rsidR="002F4FBD" w:rsidRPr="00DE6E75">
        <w:rPr>
          <w:lang w:val="de-DE"/>
        </w:rPr>
        <w:t>c</w:t>
      </w:r>
      <w:r w:rsidR="00DF1CCF" w:rsidRPr="00DE6E75">
        <w:rPr>
          <w:lang w:val="de-DE"/>
        </w:rPr>
        <w:t>counts becoming inactive</w:t>
      </w:r>
      <w:r w:rsidR="00F03B3F" w:rsidRPr="00DE6E75">
        <w:rPr>
          <w:lang w:val="de-DE"/>
        </w:rPr>
        <w:t>.</w:t>
      </w:r>
    </w:p>
    <w:p w14:paraId="5972AD53" w14:textId="530563AB" w:rsidR="009B6B26" w:rsidRPr="009B6B26" w:rsidRDefault="00E75035" w:rsidP="00E75035">
      <w:pPr>
        <w:pStyle w:val="ParaNumbering"/>
        <w:numPr>
          <w:ilvl w:val="0"/>
          <w:numId w:val="0"/>
        </w:numPr>
        <w:tabs>
          <w:tab w:val="left" w:pos="720"/>
        </w:tabs>
        <w:ind w:hanging="720"/>
        <w:rPr>
          <w:b/>
          <w:bCs/>
          <w:lang w:eastAsia="en-AU"/>
        </w:rPr>
      </w:pPr>
      <w:r w:rsidRPr="009B6B26">
        <w:rPr>
          <w:sz w:val="20"/>
          <w:lang w:eastAsia="en-AU"/>
        </w:rPr>
        <w:t>50</w:t>
      </w:r>
      <w:r w:rsidRPr="009B6B26">
        <w:rPr>
          <w:sz w:val="20"/>
          <w:lang w:eastAsia="en-AU"/>
        </w:rPr>
        <w:tab/>
      </w:r>
      <w:r w:rsidR="00F03B3F">
        <w:t xml:space="preserve">As the AER submits, these matters aggravate the seriousness of the conduct because they reveal a lack of concern within AGL as to the impact on customers of being improperly deprived of </w:t>
      </w:r>
      <w:r w:rsidR="00F03B3F">
        <w:lastRenderedPageBreak/>
        <w:t>their welfare payments, and a causal connection between that lack of concern and the ongoing contravening conduct.</w:t>
      </w:r>
    </w:p>
    <w:p w14:paraId="1996837E" w14:textId="3E5B6383" w:rsidR="00483A21" w:rsidRPr="000C46E3" w:rsidRDefault="00E75035" w:rsidP="00E75035">
      <w:pPr>
        <w:pStyle w:val="ParaNumbering"/>
        <w:numPr>
          <w:ilvl w:val="0"/>
          <w:numId w:val="0"/>
        </w:numPr>
        <w:tabs>
          <w:tab w:val="left" w:pos="720"/>
        </w:tabs>
        <w:ind w:hanging="720"/>
        <w:rPr>
          <w:lang w:val="de-DE"/>
        </w:rPr>
      </w:pPr>
      <w:r w:rsidRPr="000C46E3">
        <w:rPr>
          <w:sz w:val="20"/>
          <w:lang w:val="de-DE"/>
        </w:rPr>
        <w:t>51</w:t>
      </w:r>
      <w:r w:rsidRPr="000C46E3">
        <w:rPr>
          <w:sz w:val="20"/>
          <w:lang w:val="de-DE"/>
        </w:rPr>
        <w:tab/>
      </w:r>
      <w:r w:rsidR="0075588A">
        <w:rPr>
          <w:lang w:val="de-DE"/>
        </w:rPr>
        <w:t>For these reasons, the circumstances in which the contravening conduct took place weigh in favour of a substantial penalty being imposed on AGL.</w:t>
      </w:r>
    </w:p>
    <w:p w14:paraId="6CAD3AD5" w14:textId="781EAD7F" w:rsidR="00BC2D2C" w:rsidRDefault="00BC2D2C" w:rsidP="00BC2D2C">
      <w:pPr>
        <w:pStyle w:val="Heading2"/>
      </w:pPr>
      <w:r>
        <w:t>Whether AGL has engaged in similar conduct</w:t>
      </w:r>
      <w:r w:rsidR="008F3DD5">
        <w:t>: s 294(d)</w:t>
      </w:r>
    </w:p>
    <w:p w14:paraId="4EC5EB03" w14:textId="44C46B76" w:rsidR="00A235DC" w:rsidRDefault="00E75035" w:rsidP="00E75035">
      <w:pPr>
        <w:pStyle w:val="ParaNumbering"/>
        <w:numPr>
          <w:ilvl w:val="0"/>
          <w:numId w:val="0"/>
        </w:numPr>
        <w:tabs>
          <w:tab w:val="left" w:pos="720"/>
        </w:tabs>
        <w:ind w:hanging="720"/>
      </w:pPr>
      <w:r>
        <w:rPr>
          <w:sz w:val="20"/>
        </w:rPr>
        <w:t>52</w:t>
      </w:r>
      <w:r>
        <w:rPr>
          <w:sz w:val="20"/>
        </w:rPr>
        <w:tab/>
      </w:r>
      <w:r w:rsidR="00854D2C">
        <w:t>AGL has not engaged in</w:t>
      </w:r>
      <w:r w:rsidR="00D4372C">
        <w:t xml:space="preserve"> similar conduct </w:t>
      </w:r>
      <w:r w:rsidR="00854D2C">
        <w:t>which has been the subject of a finding of</w:t>
      </w:r>
      <w:r w:rsidR="00D4372C">
        <w:t xml:space="preserve"> breach of any provision of the Retail Law or the Retail Rules.</w:t>
      </w:r>
    </w:p>
    <w:p w14:paraId="575388E9" w14:textId="707E9FC6" w:rsidR="00E51ED9" w:rsidRPr="00011B09" w:rsidRDefault="00E75035" w:rsidP="00E75035">
      <w:pPr>
        <w:pStyle w:val="ParaNumbering"/>
        <w:numPr>
          <w:ilvl w:val="0"/>
          <w:numId w:val="0"/>
        </w:numPr>
        <w:tabs>
          <w:tab w:val="left" w:pos="720"/>
        </w:tabs>
        <w:ind w:hanging="720"/>
      </w:pPr>
      <w:r w:rsidRPr="00011B09">
        <w:rPr>
          <w:sz w:val="20"/>
        </w:rPr>
        <w:t>53</w:t>
      </w:r>
      <w:r w:rsidRPr="00011B09">
        <w:rPr>
          <w:sz w:val="20"/>
        </w:rPr>
        <w:tab/>
      </w:r>
      <w:r w:rsidR="00253703">
        <w:t xml:space="preserve">However, the AGL Entities engaged in </w:t>
      </w:r>
      <w:r w:rsidR="0086456C">
        <w:t>similar</w:t>
      </w:r>
      <w:r w:rsidR="00253703">
        <w:t xml:space="preserve"> conduct in 2013 until it was detected by Services Australia and raised with them.  After that occurred, the AGL Entities represented to Services Australia that they had put into place systems which would ensure compliance with the Centrepay framework in future. </w:t>
      </w:r>
      <w:r w:rsidR="009735BD">
        <w:t xml:space="preserve"> </w:t>
      </w:r>
      <w:r w:rsidR="00253703">
        <w:t xml:space="preserve">That did not </w:t>
      </w:r>
      <w:r w:rsidR="00950ABA">
        <w:t>occur or</w:t>
      </w:r>
      <w:r w:rsidR="00253703">
        <w:t xml:space="preserve"> occurred in part but ceased.</w:t>
      </w:r>
      <w:r w:rsidR="003C1541">
        <w:t xml:space="preserve">  That</w:t>
      </w:r>
      <w:r w:rsidR="00A235DC">
        <w:t xml:space="preserve"> AGL</w:t>
      </w:r>
      <w:r w:rsidR="0096344B">
        <w:t xml:space="preserve"> has engaged in</w:t>
      </w:r>
      <w:r w:rsidR="00A235DC">
        <w:t xml:space="preserve"> similar conduct</w:t>
      </w:r>
      <w:r w:rsidR="0098445E">
        <w:t xml:space="preserve"> previously </w:t>
      </w:r>
      <w:r w:rsidR="00C506D5">
        <w:t xml:space="preserve">was recognised in </w:t>
      </w:r>
      <w:r w:rsidR="003C1541">
        <w:t>its own</w:t>
      </w:r>
      <w:r w:rsidR="00C506D5">
        <w:t xml:space="preserve"> internal document dated 8 December 2020</w:t>
      </w:r>
      <w:r w:rsidR="00E51ED9">
        <w:t>.</w:t>
      </w:r>
      <w:r w:rsidR="00950ABA">
        <w:t xml:space="preserve">  Further, </w:t>
      </w:r>
      <w:r w:rsidR="00E51ED9" w:rsidRPr="00BF287C">
        <w:rPr>
          <w:lang w:val="de-DE"/>
        </w:rPr>
        <w:t xml:space="preserve">Ms Egan accepted during cross-examination that the fact that similar conduct had happened in 2013 made the contravening conduct in this case </w:t>
      </w:r>
      <w:r w:rsidR="00206C1A">
        <w:t>“</w:t>
      </w:r>
      <w:r w:rsidR="00E51ED9" w:rsidRPr="00BF287C">
        <w:rPr>
          <w:lang w:val="de-DE"/>
        </w:rPr>
        <w:t>much more serious</w:t>
      </w:r>
      <w:r w:rsidR="00206C1A">
        <w:t>”</w:t>
      </w:r>
      <w:r w:rsidR="00E51ED9" w:rsidRPr="00BF287C">
        <w:rPr>
          <w:lang w:val="de-DE"/>
        </w:rPr>
        <w:t>: T17.45</w:t>
      </w:r>
      <w:r w:rsidR="00C70C04">
        <w:rPr>
          <w:lang w:val="de-DE"/>
        </w:rPr>
        <w:t>–</w:t>
      </w:r>
      <w:r w:rsidR="00E51ED9" w:rsidRPr="00BF287C">
        <w:rPr>
          <w:lang w:val="de-DE"/>
        </w:rPr>
        <w:t>18.1.</w:t>
      </w:r>
      <w:r w:rsidR="00EF00FF" w:rsidRPr="00BF287C">
        <w:rPr>
          <w:lang w:val="de-DE"/>
        </w:rPr>
        <w:t xml:space="preserve">  I agree.</w:t>
      </w:r>
    </w:p>
    <w:p w14:paraId="2D805A7D" w14:textId="038716B4" w:rsidR="00011B09" w:rsidRPr="000C46E3" w:rsidRDefault="00E75035" w:rsidP="00E75035">
      <w:pPr>
        <w:pStyle w:val="ParaNumbering"/>
        <w:numPr>
          <w:ilvl w:val="0"/>
          <w:numId w:val="0"/>
        </w:numPr>
        <w:tabs>
          <w:tab w:val="left" w:pos="720"/>
        </w:tabs>
        <w:ind w:hanging="720"/>
        <w:rPr>
          <w:lang w:val="de-DE"/>
        </w:rPr>
      </w:pPr>
      <w:r w:rsidRPr="000C46E3">
        <w:rPr>
          <w:sz w:val="20"/>
          <w:lang w:val="de-DE"/>
        </w:rPr>
        <w:t>54</w:t>
      </w:r>
      <w:r w:rsidRPr="000C46E3">
        <w:rPr>
          <w:sz w:val="20"/>
          <w:lang w:val="de-DE"/>
        </w:rPr>
        <w:tab/>
      </w:r>
      <w:r w:rsidR="00011B09">
        <w:rPr>
          <w:lang w:val="de-DE"/>
        </w:rPr>
        <w:t xml:space="preserve">For these reasons, the fact that AGL has engaged in similar conduct </w:t>
      </w:r>
      <w:r w:rsidR="00C750DB">
        <w:rPr>
          <w:lang w:val="de-DE"/>
        </w:rPr>
        <w:t>previously, and attempted but failed to prevent its reoccurrence, is a relevant matter within the meaning of s 294 and</w:t>
      </w:r>
      <w:r w:rsidR="00011B09">
        <w:rPr>
          <w:lang w:val="de-DE"/>
        </w:rPr>
        <w:t xml:space="preserve"> </w:t>
      </w:r>
      <w:r w:rsidR="00C750DB">
        <w:rPr>
          <w:lang w:val="de-DE"/>
        </w:rPr>
        <w:t>supports</w:t>
      </w:r>
      <w:r w:rsidR="00011B09">
        <w:rPr>
          <w:lang w:val="de-DE"/>
        </w:rPr>
        <w:t xml:space="preserve"> a substantial penalty being imposed on AGL.</w:t>
      </w:r>
    </w:p>
    <w:p w14:paraId="5CFDDA09" w14:textId="43C161C6" w:rsidR="00BC2D2C" w:rsidRDefault="00BC2D2C" w:rsidP="00BC2D2C">
      <w:pPr>
        <w:pStyle w:val="Heading2"/>
      </w:pPr>
      <w:r>
        <w:t>Whether AGL has established and complied with policies, systems and procedures under s 273</w:t>
      </w:r>
      <w:r w:rsidR="00886094">
        <w:t xml:space="preserve">: </w:t>
      </w:r>
      <w:r w:rsidR="008F3DD5">
        <w:t>s 294(e)</w:t>
      </w:r>
    </w:p>
    <w:p w14:paraId="1D9115C1" w14:textId="797E7623" w:rsidR="00BC2D2C" w:rsidRDefault="00E75035" w:rsidP="00E75035">
      <w:pPr>
        <w:pStyle w:val="ParaNumbering"/>
        <w:numPr>
          <w:ilvl w:val="0"/>
          <w:numId w:val="0"/>
        </w:numPr>
        <w:tabs>
          <w:tab w:val="left" w:pos="720"/>
        </w:tabs>
        <w:ind w:hanging="720"/>
      </w:pPr>
      <w:r>
        <w:rPr>
          <w:sz w:val="20"/>
        </w:rPr>
        <w:t>55</w:t>
      </w:r>
      <w:r>
        <w:rPr>
          <w:sz w:val="20"/>
        </w:rPr>
        <w:tab/>
      </w:r>
      <w:r w:rsidR="00FB7D1B">
        <w:t>The</w:t>
      </w:r>
      <w:r w:rsidR="00AE44AA">
        <w:t xml:space="preserve"> AGL </w:t>
      </w:r>
      <w:r w:rsidR="00FB7D1B">
        <w:t>E</w:t>
      </w:r>
      <w:r w:rsidR="00AE44AA">
        <w:t xml:space="preserve">ntities </w:t>
      </w:r>
      <w:r w:rsidR="00080041">
        <w:t>contravened s</w:t>
      </w:r>
      <w:r w:rsidR="00872F75">
        <w:t> </w:t>
      </w:r>
      <w:r w:rsidR="00080041">
        <w:t xml:space="preserve">273 of the Retail Law because </w:t>
      </w:r>
      <w:r w:rsidR="00FB7D1B">
        <w:t>they</w:t>
      </w:r>
      <w:r w:rsidR="00DA49A7">
        <w:t xml:space="preserve"> </w:t>
      </w:r>
      <w:r w:rsidR="00AE44AA">
        <w:t>faile</w:t>
      </w:r>
      <w:r w:rsidR="00080041">
        <w:t xml:space="preserve">d to </w:t>
      </w:r>
      <w:r w:rsidR="00AE44AA">
        <w:t>have in place policies, systems and procedures that would ensure compliance with r</w:t>
      </w:r>
      <w:r w:rsidR="00AA7048">
        <w:t> </w:t>
      </w:r>
      <w:r w:rsidR="00AE44AA">
        <w:t>31 of the Retail Rules</w:t>
      </w:r>
      <w:r w:rsidR="00806E36">
        <w:t xml:space="preserve">: LJ </w:t>
      </w:r>
      <w:r w:rsidR="00806E36" w:rsidRPr="005C46DB">
        <w:t>[</w:t>
      </w:r>
      <w:r w:rsidR="005C46DB" w:rsidRPr="005C46DB">
        <w:t>168</w:t>
      </w:r>
      <w:r w:rsidR="00806E36" w:rsidRPr="005C46DB">
        <w:t>].</w:t>
      </w:r>
      <w:r w:rsidR="00EF00FF">
        <w:t xml:space="preserve">  </w:t>
      </w:r>
      <w:r w:rsidR="00DA49A7">
        <w:t xml:space="preserve">This is a factor which aggravates the seriousness of the contravening </w:t>
      </w:r>
      <w:r w:rsidR="003D4DE5">
        <w:t>conduct and</w:t>
      </w:r>
      <w:r w:rsidR="00BC6862">
        <w:t xml:space="preserve"> supports a higher penalty</w:t>
      </w:r>
      <w:r w:rsidR="003D4DE5">
        <w:t xml:space="preserve"> being imposed</w:t>
      </w:r>
      <w:r w:rsidR="00DA49A7">
        <w:t>.</w:t>
      </w:r>
    </w:p>
    <w:p w14:paraId="4FEEAC42" w14:textId="7D71E653" w:rsidR="00746139" w:rsidRDefault="00746139" w:rsidP="00712416">
      <w:pPr>
        <w:pStyle w:val="Heading2"/>
      </w:pPr>
      <w:r>
        <w:t>The value of the benefit reasonably attributable to the breach</w:t>
      </w:r>
      <w:r w:rsidR="00886094">
        <w:t>: s 294(ba)</w:t>
      </w:r>
    </w:p>
    <w:p w14:paraId="1EB573C6" w14:textId="5F9886F6" w:rsidR="0043424D" w:rsidRPr="0043424D" w:rsidRDefault="00E75035" w:rsidP="00E75035">
      <w:pPr>
        <w:pStyle w:val="ParaNumbering"/>
        <w:numPr>
          <w:ilvl w:val="0"/>
          <w:numId w:val="0"/>
        </w:numPr>
        <w:tabs>
          <w:tab w:val="left" w:pos="720"/>
        </w:tabs>
        <w:ind w:hanging="720"/>
        <w:rPr>
          <w:sz w:val="22"/>
        </w:rPr>
      </w:pPr>
      <w:r w:rsidRPr="0043424D">
        <w:rPr>
          <w:sz w:val="20"/>
        </w:rPr>
        <w:t>56</w:t>
      </w:r>
      <w:r w:rsidRPr="0043424D">
        <w:rPr>
          <w:sz w:val="20"/>
        </w:rPr>
        <w:tab/>
      </w:r>
      <w:r w:rsidR="00B7223C">
        <w:t xml:space="preserve">Section 294(ba) of the Retail Law requires regard to be had to the value of any benefit reasonably attributable to the breach that the person or any related body corporate has obtained, directly or indirectly.  </w:t>
      </w:r>
      <w:r w:rsidR="00D77E66">
        <w:t xml:space="preserve">This </w:t>
      </w:r>
      <w:r w:rsidR="0043424D">
        <w:t xml:space="preserve">section </w:t>
      </w:r>
      <w:r w:rsidR="00D77E66">
        <w:t xml:space="preserve">applies </w:t>
      </w:r>
      <w:r w:rsidR="0043424D">
        <w:t xml:space="preserve">as a mandatory consideration </w:t>
      </w:r>
      <w:r w:rsidR="00DA4C38">
        <w:t>in relation to breaches occurring after 29 January 2021.</w:t>
      </w:r>
      <w:r w:rsidR="0043424D">
        <w:t xml:space="preserve">  However</w:t>
      </w:r>
      <w:r w:rsidR="00623709">
        <w:t>,</w:t>
      </w:r>
      <w:r w:rsidR="002266F0">
        <w:t xml:space="preserve"> I consider </w:t>
      </w:r>
      <w:r w:rsidR="006C5C4E">
        <w:t>this</w:t>
      </w:r>
      <w:r w:rsidR="002266F0">
        <w:t xml:space="preserve"> to be a relevant matter within the meaning of s 294</w:t>
      </w:r>
      <w:r w:rsidR="0075682E">
        <w:t xml:space="preserve"> for the period prior to 29 January 2021</w:t>
      </w:r>
      <w:r w:rsidR="003A7D9B">
        <w:t xml:space="preserve"> and AGL did not submit otherwise</w:t>
      </w:r>
      <w:r w:rsidR="0075682E">
        <w:t>.</w:t>
      </w:r>
    </w:p>
    <w:p w14:paraId="7F02C118" w14:textId="7727A3BC" w:rsidR="00693DD5" w:rsidRDefault="00E75035" w:rsidP="00E75035">
      <w:pPr>
        <w:pStyle w:val="ParaNumbering"/>
        <w:numPr>
          <w:ilvl w:val="0"/>
          <w:numId w:val="0"/>
        </w:numPr>
        <w:tabs>
          <w:tab w:val="left" w:pos="720"/>
        </w:tabs>
        <w:ind w:hanging="720"/>
      </w:pPr>
      <w:bookmarkStart w:id="25" w:name="_Ref167262605"/>
      <w:r>
        <w:rPr>
          <w:sz w:val="20"/>
        </w:rPr>
        <w:lastRenderedPageBreak/>
        <w:t>57</w:t>
      </w:r>
      <w:r>
        <w:rPr>
          <w:sz w:val="20"/>
        </w:rPr>
        <w:tab/>
      </w:r>
      <w:r w:rsidR="00DA4C38">
        <w:t>T</w:t>
      </w:r>
      <w:r w:rsidR="00B7223C">
        <w:t xml:space="preserve">he </w:t>
      </w:r>
      <w:r w:rsidR="00FC290A">
        <w:t>value of the benefit attributable to the r 31(2) contraventions is an aggregate amount of $238,881 and the value of the benefit attributable to the r 31(3) contraventions is an aggregate amount of $229,429, according to</w:t>
      </w:r>
      <w:r w:rsidR="00D415F5">
        <w:t xml:space="preserve"> the unchallenged </w:t>
      </w:r>
      <w:r w:rsidR="00FC290A">
        <w:t>calculations contained</w:t>
      </w:r>
      <w:r w:rsidR="00D415F5">
        <w:t xml:space="preserve"> in the </w:t>
      </w:r>
      <w:r w:rsidR="00D415F5" w:rsidRPr="00A51CE1">
        <w:t>Supplementary Hennessy Report</w:t>
      </w:r>
      <w:r w:rsidR="00B7223C">
        <w:t>.</w:t>
      </w:r>
      <w:r w:rsidR="001632F9">
        <w:t xml:space="preserve">  </w:t>
      </w:r>
      <w:r w:rsidR="00693DD5">
        <w:t xml:space="preserve">AGL submits that these </w:t>
      </w:r>
      <w:r w:rsidR="00F54919">
        <w:t>funds</w:t>
      </w:r>
      <w:r w:rsidR="00693DD5">
        <w:t xml:space="preserve"> were not treated as revenue by AGL.  </w:t>
      </w:r>
      <w:r w:rsidR="00262B19">
        <w:t>Yet, w</w:t>
      </w:r>
      <w:r w:rsidR="00B1605D">
        <w:t xml:space="preserve">hen </w:t>
      </w:r>
      <w:r w:rsidR="00262B19">
        <w:t>pressed</w:t>
      </w:r>
      <w:r w:rsidR="00B1605D">
        <w:t xml:space="preserve">, </w:t>
      </w:r>
      <w:r w:rsidR="00946B28">
        <w:t>senior counsel for AGL was unable to point to any evidence in support of this submission</w:t>
      </w:r>
      <w:r w:rsidR="00163BC2">
        <w:t>: T55.16</w:t>
      </w:r>
      <w:r w:rsidR="00797BE3">
        <w:t>–</w:t>
      </w:r>
      <w:r w:rsidR="00163BC2">
        <w:t>34.</w:t>
      </w:r>
    </w:p>
    <w:p w14:paraId="53FE7E4D" w14:textId="173213A0" w:rsidR="00BA75E5" w:rsidRDefault="00E75035" w:rsidP="00E75035">
      <w:pPr>
        <w:pStyle w:val="ParaNumbering"/>
        <w:numPr>
          <w:ilvl w:val="0"/>
          <w:numId w:val="0"/>
        </w:numPr>
        <w:tabs>
          <w:tab w:val="left" w:pos="720"/>
        </w:tabs>
        <w:ind w:hanging="720"/>
      </w:pPr>
      <w:r>
        <w:rPr>
          <w:sz w:val="20"/>
        </w:rPr>
        <w:t>58</w:t>
      </w:r>
      <w:r>
        <w:rPr>
          <w:sz w:val="20"/>
        </w:rPr>
        <w:tab/>
      </w:r>
      <w:r w:rsidR="001632F9">
        <w:t xml:space="preserve">In any event, </w:t>
      </w:r>
      <w:r w:rsidR="002C6E26">
        <w:t>AGL</w:t>
      </w:r>
      <w:r w:rsidR="00BA75E5" w:rsidRPr="00E8636A">
        <w:rPr>
          <w:lang w:val="en-GB"/>
        </w:rPr>
        <w:t xml:space="preserve"> had the benefit of </w:t>
      </w:r>
      <w:r w:rsidR="00BA75E5">
        <w:rPr>
          <w:lang w:val="en-GB"/>
        </w:rPr>
        <w:t xml:space="preserve">this money </w:t>
      </w:r>
      <w:r w:rsidR="00BA75E5" w:rsidRPr="00E8636A">
        <w:rPr>
          <w:lang w:val="en-GB"/>
        </w:rPr>
        <w:t xml:space="preserve">until </w:t>
      </w:r>
      <w:r w:rsidR="00BA75E5">
        <w:rPr>
          <w:lang w:val="en-GB"/>
        </w:rPr>
        <w:t>it was</w:t>
      </w:r>
      <w:r w:rsidR="00BA75E5" w:rsidRPr="00E8636A">
        <w:rPr>
          <w:lang w:val="en-GB"/>
        </w:rPr>
        <w:t xml:space="preserve"> disgorged, and did not pay interest on those sums when they </w:t>
      </w:r>
      <w:r w:rsidR="00BA75E5">
        <w:rPr>
          <w:lang w:val="en-GB"/>
        </w:rPr>
        <w:t>were returned.</w:t>
      </w:r>
      <w:r w:rsidR="00645F43">
        <w:rPr>
          <w:lang w:val="en-GB"/>
        </w:rPr>
        <w:t xml:space="preserve">  </w:t>
      </w:r>
      <w:r w:rsidR="00D30534">
        <w:rPr>
          <w:lang w:val="en-GB"/>
        </w:rPr>
        <w:t>Further,</w:t>
      </w:r>
      <w:r w:rsidR="00053C8C">
        <w:rPr>
          <w:lang w:val="en-GB"/>
        </w:rPr>
        <w:t xml:space="preserve"> having regard to the chronology of events,</w:t>
      </w:r>
      <w:r w:rsidR="00D30534">
        <w:rPr>
          <w:lang w:val="en-GB"/>
        </w:rPr>
        <w:t xml:space="preserve"> t</w:t>
      </w:r>
      <w:r w:rsidR="00645F43">
        <w:rPr>
          <w:lang w:val="en-GB"/>
        </w:rPr>
        <w:t>hose funds were not disgorged</w:t>
      </w:r>
      <w:r w:rsidR="008861D9">
        <w:rPr>
          <w:lang w:val="en-GB"/>
        </w:rPr>
        <w:t xml:space="preserve"> promptly</w:t>
      </w:r>
      <w:r w:rsidR="009735BD">
        <w:rPr>
          <w:lang w:val="en-GB"/>
        </w:rPr>
        <w:t xml:space="preserve">.  </w:t>
      </w:r>
      <w:r w:rsidR="007438ED">
        <w:rPr>
          <w:lang w:val="en-GB"/>
        </w:rPr>
        <w:t>This is not acceptable, on any view.</w:t>
      </w:r>
    </w:p>
    <w:p w14:paraId="313535DB" w14:textId="4B3DA6BA" w:rsidR="00F13C95" w:rsidRPr="00F13C95" w:rsidRDefault="00E75035" w:rsidP="00E75035">
      <w:pPr>
        <w:pStyle w:val="ParaNumbering"/>
        <w:numPr>
          <w:ilvl w:val="0"/>
          <w:numId w:val="0"/>
        </w:numPr>
        <w:tabs>
          <w:tab w:val="left" w:pos="720"/>
        </w:tabs>
        <w:ind w:hanging="720"/>
      </w:pPr>
      <w:r w:rsidRPr="00F13C95">
        <w:rPr>
          <w:sz w:val="20"/>
        </w:rPr>
        <w:t>59</w:t>
      </w:r>
      <w:r w:rsidRPr="00F13C95">
        <w:rPr>
          <w:sz w:val="20"/>
        </w:rPr>
        <w:tab/>
      </w:r>
      <w:r w:rsidR="001E342F">
        <w:rPr>
          <w:rFonts w:cs="Arial"/>
        </w:rPr>
        <w:t>While</w:t>
      </w:r>
      <w:r w:rsidR="00F03E9D">
        <w:rPr>
          <w:rFonts w:cs="Arial"/>
        </w:rPr>
        <w:t xml:space="preserve"> the value of the benefit arising from the contraventions </w:t>
      </w:r>
      <w:r w:rsidR="001E342F">
        <w:rPr>
          <w:rFonts w:cs="Arial"/>
        </w:rPr>
        <w:t>might be</w:t>
      </w:r>
      <w:r w:rsidR="00F03E9D">
        <w:rPr>
          <w:rFonts w:cs="Arial"/>
        </w:rPr>
        <w:t xml:space="preserve"> inconsequential to </w:t>
      </w:r>
      <w:r w:rsidR="00F500B3">
        <w:rPr>
          <w:rFonts w:cs="Arial"/>
        </w:rPr>
        <w:t>companies of the size and scale of the AGL Entities</w:t>
      </w:r>
      <w:r w:rsidR="00AE54BA">
        <w:rPr>
          <w:rFonts w:cs="Arial"/>
        </w:rPr>
        <w:t xml:space="preserve">, it was not </w:t>
      </w:r>
      <w:r w:rsidR="00F60186">
        <w:rPr>
          <w:rFonts w:cs="Arial"/>
        </w:rPr>
        <w:t xml:space="preserve">inconsequential </w:t>
      </w:r>
      <w:r w:rsidR="00F24B69">
        <w:rPr>
          <w:rFonts w:cs="Arial"/>
        </w:rPr>
        <w:t xml:space="preserve">to </w:t>
      </w:r>
      <w:r w:rsidR="00AE54BA">
        <w:rPr>
          <w:rFonts w:cs="Arial"/>
        </w:rPr>
        <w:t>the Affected</w:t>
      </w:r>
      <w:r w:rsidR="00F60186">
        <w:rPr>
          <w:rFonts w:cs="Arial"/>
        </w:rPr>
        <w:t xml:space="preserve"> </w:t>
      </w:r>
      <w:r w:rsidR="007438ED">
        <w:rPr>
          <w:rFonts w:cs="Arial"/>
        </w:rPr>
        <w:t>C</w:t>
      </w:r>
      <w:r w:rsidR="00F60186">
        <w:rPr>
          <w:rFonts w:cs="Arial"/>
        </w:rPr>
        <w:t>ustomers who are individual consumers of limited personal financial means.</w:t>
      </w:r>
    </w:p>
    <w:bookmarkEnd w:id="25"/>
    <w:p w14:paraId="3C64AD9B" w14:textId="48A70A29" w:rsidR="008861D9" w:rsidRDefault="00E75035" w:rsidP="00E75035">
      <w:pPr>
        <w:pStyle w:val="ParaNumbering"/>
        <w:numPr>
          <w:ilvl w:val="0"/>
          <w:numId w:val="0"/>
        </w:numPr>
        <w:tabs>
          <w:tab w:val="left" w:pos="720"/>
        </w:tabs>
        <w:ind w:hanging="720"/>
      </w:pPr>
      <w:r>
        <w:rPr>
          <w:sz w:val="20"/>
        </w:rPr>
        <w:t>60</w:t>
      </w:r>
      <w:r>
        <w:rPr>
          <w:sz w:val="20"/>
        </w:rPr>
        <w:tab/>
      </w:r>
      <w:r w:rsidR="00A40785">
        <w:t xml:space="preserve">On the other hand, </w:t>
      </w:r>
      <w:r w:rsidR="008861D9">
        <w:t xml:space="preserve">AGL no longer holds any of the funds, and so has </w:t>
      </w:r>
      <w:r w:rsidR="001B1F8C">
        <w:t>obtained</w:t>
      </w:r>
      <w:r w:rsidR="008861D9">
        <w:t xml:space="preserve"> no permanent benefit.</w:t>
      </w:r>
    </w:p>
    <w:p w14:paraId="3DBD319C" w14:textId="444FE8E9" w:rsidR="00F15094" w:rsidRPr="00746139" w:rsidRDefault="00E75035" w:rsidP="00E75035">
      <w:pPr>
        <w:pStyle w:val="ParaNumbering"/>
        <w:numPr>
          <w:ilvl w:val="0"/>
          <w:numId w:val="0"/>
        </w:numPr>
        <w:tabs>
          <w:tab w:val="left" w:pos="720"/>
        </w:tabs>
        <w:ind w:hanging="720"/>
      </w:pPr>
      <w:r w:rsidRPr="00746139">
        <w:rPr>
          <w:sz w:val="20"/>
        </w:rPr>
        <w:t>61</w:t>
      </w:r>
      <w:r w:rsidRPr="00746139">
        <w:rPr>
          <w:sz w:val="20"/>
        </w:rPr>
        <w:tab/>
      </w:r>
      <w:r w:rsidR="007438ED">
        <w:rPr>
          <w:rFonts w:cs="Arial"/>
        </w:rPr>
        <w:t>Overall</w:t>
      </w:r>
      <w:r w:rsidR="0054088F">
        <w:rPr>
          <w:rFonts w:cs="Arial"/>
        </w:rPr>
        <w:t xml:space="preserve">, I consider that the </w:t>
      </w:r>
      <w:r w:rsidR="003D3EF6">
        <w:rPr>
          <w:rFonts w:cs="Arial"/>
        </w:rPr>
        <w:t>value of the benefit which AGL obtained</w:t>
      </w:r>
      <w:r w:rsidR="00341F32">
        <w:rPr>
          <w:rFonts w:cs="Arial"/>
        </w:rPr>
        <w:t xml:space="preserve"> which is</w:t>
      </w:r>
      <w:r w:rsidR="003D3EF6">
        <w:rPr>
          <w:rFonts w:cs="Arial"/>
        </w:rPr>
        <w:t xml:space="preserve"> </w:t>
      </w:r>
      <w:r w:rsidR="00341F32">
        <w:t>reasonably attributable to the breaches</w:t>
      </w:r>
      <w:r w:rsidR="00A92DEA">
        <w:rPr>
          <w:rFonts w:cs="Arial"/>
        </w:rPr>
        <w:t xml:space="preserve"> is a moderate factor</w:t>
      </w:r>
      <w:r w:rsidR="003D3EF6">
        <w:rPr>
          <w:rFonts w:cs="Arial"/>
        </w:rPr>
        <w:t xml:space="preserve"> in favour of a </w:t>
      </w:r>
      <w:r w:rsidR="007F5867">
        <w:rPr>
          <w:rFonts w:cs="Arial"/>
        </w:rPr>
        <w:t xml:space="preserve">more </w:t>
      </w:r>
      <w:r w:rsidR="003D3EF6">
        <w:rPr>
          <w:rFonts w:cs="Arial"/>
        </w:rPr>
        <w:t>substantial penalty</w:t>
      </w:r>
      <w:r w:rsidR="00A92DEA">
        <w:rPr>
          <w:rFonts w:cs="Arial"/>
        </w:rPr>
        <w:t xml:space="preserve"> being imposed</w:t>
      </w:r>
      <w:r w:rsidR="003D3EF6">
        <w:rPr>
          <w:rFonts w:cs="Arial"/>
        </w:rPr>
        <w:t>.</w:t>
      </w:r>
    </w:p>
    <w:p w14:paraId="2091807D" w14:textId="25DDFAE3" w:rsidR="00712416" w:rsidRDefault="00712416" w:rsidP="00712416">
      <w:pPr>
        <w:pStyle w:val="Heading2"/>
      </w:pPr>
      <w:r>
        <w:t xml:space="preserve">Additional </w:t>
      </w:r>
      <w:r w:rsidRPr="00712416">
        <w:t>relevant</w:t>
      </w:r>
      <w:r>
        <w:t xml:space="preserve"> factors</w:t>
      </w:r>
    </w:p>
    <w:p w14:paraId="5CAA15CA" w14:textId="21626B3E" w:rsidR="002428AD" w:rsidRDefault="003E1FB8" w:rsidP="002428AD">
      <w:pPr>
        <w:pStyle w:val="Heading3"/>
      </w:pPr>
      <w:r>
        <w:t>S</w:t>
      </w:r>
      <w:r w:rsidR="00BC2D2C">
        <w:t>ize</w:t>
      </w:r>
      <w:r w:rsidR="00166E3C">
        <w:t xml:space="preserve"> </w:t>
      </w:r>
      <w:r>
        <w:t>and market share</w:t>
      </w:r>
      <w:r w:rsidR="00BC2D2C">
        <w:t xml:space="preserve"> of contravening company</w:t>
      </w:r>
    </w:p>
    <w:p w14:paraId="40215DB4" w14:textId="2CC95F0B" w:rsidR="005173E7" w:rsidRPr="005173E7" w:rsidRDefault="00E75035" w:rsidP="00E75035">
      <w:pPr>
        <w:pStyle w:val="ParaNumbering"/>
        <w:numPr>
          <w:ilvl w:val="0"/>
          <w:numId w:val="0"/>
        </w:numPr>
        <w:tabs>
          <w:tab w:val="left" w:pos="720"/>
        </w:tabs>
        <w:ind w:hanging="720"/>
      </w:pPr>
      <w:r w:rsidRPr="005173E7">
        <w:rPr>
          <w:sz w:val="20"/>
        </w:rPr>
        <w:t>62</w:t>
      </w:r>
      <w:r w:rsidRPr="005173E7">
        <w:rPr>
          <w:sz w:val="20"/>
        </w:rPr>
        <w:tab/>
      </w:r>
      <w:r w:rsidR="00D02097">
        <w:t>As observed above, e</w:t>
      </w:r>
      <w:r w:rsidR="00793112">
        <w:t>ach of the AGL Entities form</w:t>
      </w:r>
      <w:r w:rsidR="00BA71B1">
        <w:t>s</w:t>
      </w:r>
      <w:r w:rsidR="00793112">
        <w:t xml:space="preserve"> part of a large corporate group which has a dominant position in the Australian energy retailing sector with substantial market share and market power</w:t>
      </w:r>
      <w:r w:rsidR="00D02097">
        <w:t>.</w:t>
      </w:r>
      <w:r w:rsidR="005173E7">
        <w:t xml:space="preserve">  In its Annual Report, </w:t>
      </w:r>
      <w:r w:rsidR="005173E7" w:rsidRPr="005173E7">
        <w:t xml:space="preserve">AGL Energy Limited reported revenue of $13.58 billion in </w:t>
      </w:r>
      <w:r w:rsidR="00DE1A78">
        <w:t>the 2024 financial year</w:t>
      </w:r>
      <w:r w:rsidR="005173E7" w:rsidRPr="005173E7">
        <w:t>, with profit after tax of $711 million.</w:t>
      </w:r>
    </w:p>
    <w:p w14:paraId="1D9FCCA8" w14:textId="761F6096" w:rsidR="00712416" w:rsidRDefault="00E75035" w:rsidP="00E75035">
      <w:pPr>
        <w:pStyle w:val="ParaNumbering"/>
        <w:numPr>
          <w:ilvl w:val="0"/>
          <w:numId w:val="0"/>
        </w:numPr>
        <w:tabs>
          <w:tab w:val="left" w:pos="720"/>
        </w:tabs>
        <w:ind w:hanging="720"/>
      </w:pPr>
      <w:r>
        <w:rPr>
          <w:sz w:val="20"/>
        </w:rPr>
        <w:t>63</w:t>
      </w:r>
      <w:r>
        <w:rPr>
          <w:sz w:val="20"/>
        </w:rPr>
        <w:tab/>
      </w:r>
      <w:r w:rsidR="00564AA8">
        <w:t xml:space="preserve">AGL emphasised that while the size of a contravening company is a relevant factor to be considered when determining penalty, it cannot dominate the analysis.  I agree.  </w:t>
      </w:r>
      <w:r w:rsidR="007C1992">
        <w:t xml:space="preserve">However, </w:t>
      </w:r>
      <w:r w:rsidR="007E1EC4">
        <w:t xml:space="preserve">as addressed above, </w:t>
      </w:r>
      <w:r w:rsidR="007C1992">
        <w:t>g</w:t>
      </w:r>
      <w:r w:rsidR="001F6E1E">
        <w:t xml:space="preserve">iven </w:t>
      </w:r>
      <w:r w:rsidR="00F06DBE">
        <w:t>the group’s</w:t>
      </w:r>
      <w:r w:rsidR="001F6E1E">
        <w:t xml:space="preserve"> size and financial position, a significant penalty</w:t>
      </w:r>
      <w:r w:rsidR="00AF0BFA">
        <w:t xml:space="preserve"> </w:t>
      </w:r>
      <w:r w:rsidR="001F6E1E">
        <w:t xml:space="preserve">is necessary to </w:t>
      </w:r>
      <w:r w:rsidR="00900301">
        <w:t xml:space="preserve">ensure specific deterrence by avoiding the possibility that </w:t>
      </w:r>
      <w:r w:rsidR="001F6E1E">
        <w:t xml:space="preserve">AGL </w:t>
      </w:r>
      <w:r w:rsidR="00900301">
        <w:t>may perceive</w:t>
      </w:r>
      <w:r w:rsidR="001F6E1E">
        <w:t xml:space="preserve"> a civil penalty as a</w:t>
      </w:r>
      <w:r w:rsidR="00900301">
        <w:t>n acceptable</w:t>
      </w:r>
      <w:r w:rsidR="001F6E1E">
        <w:t xml:space="preserve"> “cost of doing business”</w:t>
      </w:r>
      <w:r w:rsidR="00184E15">
        <w:t>.</w:t>
      </w:r>
    </w:p>
    <w:p w14:paraId="55AE217B" w14:textId="22B30EF5" w:rsidR="00712416" w:rsidRDefault="00DC185C" w:rsidP="00483751">
      <w:pPr>
        <w:pStyle w:val="Heading3"/>
      </w:pPr>
      <w:r>
        <w:t>Remedial action taken</w:t>
      </w:r>
    </w:p>
    <w:p w14:paraId="6D608AB2" w14:textId="462AE1A5" w:rsidR="00F72E7C" w:rsidRDefault="00E75035" w:rsidP="00E75035">
      <w:pPr>
        <w:pStyle w:val="ParaNumbering"/>
        <w:numPr>
          <w:ilvl w:val="0"/>
          <w:numId w:val="0"/>
        </w:numPr>
        <w:tabs>
          <w:tab w:val="left" w:pos="720"/>
        </w:tabs>
        <w:ind w:hanging="720"/>
      </w:pPr>
      <w:r>
        <w:rPr>
          <w:sz w:val="20"/>
        </w:rPr>
        <w:t>64</w:t>
      </w:r>
      <w:r>
        <w:rPr>
          <w:sz w:val="20"/>
        </w:rPr>
        <w:tab/>
      </w:r>
      <w:r w:rsidR="00F72E7C">
        <w:t xml:space="preserve">AGL relies on </w:t>
      </w:r>
      <w:r w:rsidR="00341D9C">
        <w:t xml:space="preserve">the remedial action which it has taken, </w:t>
      </w:r>
      <w:r w:rsidR="0030772A">
        <w:t xml:space="preserve">aspects of </w:t>
      </w:r>
      <w:r w:rsidR="00341D9C">
        <w:t xml:space="preserve">which </w:t>
      </w:r>
      <w:r w:rsidR="0030772A">
        <w:t>are</w:t>
      </w:r>
      <w:r w:rsidR="00341D9C">
        <w:t xml:space="preserve"> summarised below.</w:t>
      </w:r>
    </w:p>
    <w:p w14:paraId="43846AF4" w14:textId="4AF578DF" w:rsidR="005E2846" w:rsidRDefault="00E75035" w:rsidP="00E75035">
      <w:pPr>
        <w:pStyle w:val="ParaNumbering"/>
        <w:numPr>
          <w:ilvl w:val="0"/>
          <w:numId w:val="0"/>
        </w:numPr>
        <w:tabs>
          <w:tab w:val="left" w:pos="720"/>
        </w:tabs>
        <w:ind w:hanging="720"/>
      </w:pPr>
      <w:r>
        <w:rPr>
          <w:sz w:val="20"/>
        </w:rPr>
        <w:lastRenderedPageBreak/>
        <w:t>65</w:t>
      </w:r>
      <w:r>
        <w:rPr>
          <w:sz w:val="20"/>
        </w:rPr>
        <w:tab/>
      </w:r>
      <w:r w:rsidR="005F39C9">
        <w:t xml:space="preserve">On its own case, </w:t>
      </w:r>
      <w:r w:rsidR="00C53647">
        <w:t xml:space="preserve">AGL became aware </w:t>
      </w:r>
      <w:r w:rsidR="00166693">
        <w:t>(for the purposes of r</w:t>
      </w:r>
      <w:r w:rsidR="00AA7048">
        <w:t> </w:t>
      </w:r>
      <w:r w:rsidR="00166693">
        <w:t>31</w:t>
      </w:r>
      <w:r w:rsidR="008338F9">
        <w:t>(1)</w:t>
      </w:r>
      <w:r w:rsidR="00166693">
        <w:t xml:space="preserve"> of the Retail Rules) of </w:t>
      </w:r>
      <w:r w:rsidR="002A2604">
        <w:t>a</w:t>
      </w:r>
      <w:r w:rsidR="00166693">
        <w:t xml:space="preserve"> class of Affected Customers by 14 May 2020</w:t>
      </w:r>
      <w:r w:rsidR="00DC4560">
        <w:t>.</w:t>
      </w:r>
      <w:r w:rsidR="00166693">
        <w:t xml:space="preserve">  </w:t>
      </w:r>
      <w:r w:rsidR="00497269">
        <w:t>On 24 July 2020</w:t>
      </w:r>
      <w:r w:rsidR="00B0445A">
        <w:t>,</w:t>
      </w:r>
      <w:r w:rsidR="00497269">
        <w:t xml:space="preserve"> the AGL Entities notified Services Australia that it held Centrepay deduction payments relating to former customers</w:t>
      </w:r>
      <w:r w:rsidR="005D7735">
        <w:t>.  On around 19 August 2020</w:t>
      </w:r>
      <w:r w:rsidR="00B0445A">
        <w:t>,</w:t>
      </w:r>
      <w:r w:rsidR="005D7735">
        <w:t xml:space="preserve"> the AGL Entities commenced a letter campaign </w:t>
      </w:r>
      <w:r w:rsidR="000B7985">
        <w:t>notifying</w:t>
      </w:r>
      <w:r w:rsidR="005D7735">
        <w:t xml:space="preserve"> Affected Customers of the overcharging</w:t>
      </w:r>
      <w:r w:rsidR="000B7985">
        <w:t xml:space="preserve"> </w:t>
      </w:r>
      <w:r w:rsidR="000C76BA">
        <w:t>and their entitlement to a refund</w:t>
      </w:r>
      <w:r w:rsidR="005D7735">
        <w:t>.</w:t>
      </w:r>
      <w:r w:rsidR="000B7985">
        <w:t xml:space="preserve">  </w:t>
      </w:r>
      <w:r w:rsidR="004C1D7F">
        <w:t xml:space="preserve">On 5 October 2020, AGL sent Services Australia a list of customers who had not </w:t>
      </w:r>
      <w:r w:rsidR="00155EE0">
        <w:t>sought a refund following the letter campaign</w:t>
      </w:r>
      <w:r w:rsidR="00412BE7">
        <w:t>.</w:t>
      </w:r>
    </w:p>
    <w:p w14:paraId="2DFB2F6C" w14:textId="4C49EC27" w:rsidR="005E2846" w:rsidRDefault="00E75035" w:rsidP="00E75035">
      <w:pPr>
        <w:pStyle w:val="ParaNumbering"/>
        <w:numPr>
          <w:ilvl w:val="0"/>
          <w:numId w:val="0"/>
        </w:numPr>
        <w:tabs>
          <w:tab w:val="left" w:pos="720"/>
        </w:tabs>
        <w:ind w:hanging="720"/>
      </w:pPr>
      <w:r>
        <w:rPr>
          <w:sz w:val="20"/>
        </w:rPr>
        <w:t>66</w:t>
      </w:r>
      <w:r>
        <w:rPr>
          <w:sz w:val="20"/>
        </w:rPr>
        <w:tab/>
      </w:r>
      <w:r w:rsidR="00FC64D3" w:rsidRPr="00FC64D3">
        <w:t>On 8 December 2020, Services Australia issued Notices to Remedy to</w:t>
      </w:r>
      <w:r w:rsidR="004743F4">
        <w:t xml:space="preserve"> each of</w:t>
      </w:r>
      <w:r w:rsidR="00FC64D3" w:rsidRPr="00FC64D3">
        <w:t xml:space="preserve"> the AGL Entities, requiring them to take a number of steps to ensure no further improper deductions occurred, to remediate customers already affected, and to prevent future improper deduction</w:t>
      </w:r>
      <w:r w:rsidR="00B13165">
        <w:t>s</w:t>
      </w:r>
      <w:r w:rsidR="00B51C19">
        <w:t>.</w:t>
      </w:r>
    </w:p>
    <w:p w14:paraId="6D62BE8B" w14:textId="5DE599CB" w:rsidR="00A13EA2" w:rsidRDefault="00E75035" w:rsidP="00E75035">
      <w:pPr>
        <w:pStyle w:val="ParaNumbering"/>
        <w:numPr>
          <w:ilvl w:val="0"/>
          <w:numId w:val="0"/>
        </w:numPr>
        <w:tabs>
          <w:tab w:val="left" w:pos="720"/>
        </w:tabs>
        <w:ind w:hanging="720"/>
      </w:pPr>
      <w:r>
        <w:rPr>
          <w:sz w:val="20"/>
        </w:rPr>
        <w:t>67</w:t>
      </w:r>
      <w:r>
        <w:rPr>
          <w:sz w:val="20"/>
        </w:rPr>
        <w:tab/>
      </w:r>
      <w:r w:rsidR="00BB5BBA">
        <w:t xml:space="preserve">On around 23 December 2020, AGL sent SMS messages to Affected Customers </w:t>
      </w:r>
      <w:r w:rsidR="008E11B8">
        <w:t>requesting the customer contact AGL to discuss a refund</w:t>
      </w:r>
      <w:r w:rsidR="008C7A33">
        <w:t xml:space="preserve"> (where mobile numbers were held)</w:t>
      </w:r>
      <w:r w:rsidR="008E11B8">
        <w:t xml:space="preserve">.  On around 15 February 2021, AGL made calls to Affected Customers who </w:t>
      </w:r>
      <w:r w:rsidR="00DF34C9">
        <w:t xml:space="preserve">did not receive an SMS. </w:t>
      </w:r>
      <w:r w:rsidR="00E71E30">
        <w:t xml:space="preserve"> </w:t>
      </w:r>
      <w:r w:rsidR="00DF34C9">
        <w:t xml:space="preserve">Where customers responded to these communications, a refund was provided by AGL.  Where these amounts could not be directly refunded to Affected Customers, AGL sought to return the amounts to Services Australia, to then be refunded by Services </w:t>
      </w:r>
      <w:r w:rsidR="00765F3C">
        <w:t>Australia</w:t>
      </w:r>
      <w:r w:rsidR="00DF34C9">
        <w:t xml:space="preserve"> to the Affected Customer. </w:t>
      </w:r>
      <w:r w:rsidR="005B0399">
        <w:t xml:space="preserve"> </w:t>
      </w:r>
      <w:r w:rsidR="00A13EA2">
        <w:t>In February 2021,</w:t>
      </w:r>
      <w:r w:rsidR="00234E2B">
        <w:t xml:space="preserve"> AGL sent a “Returns Database” to Services Australia which contained a list of customers with Centrepay credits on inactive accounts that AGL had been unable to refund.</w:t>
      </w:r>
      <w:r w:rsidR="00745156">
        <w:t xml:space="preserve">  </w:t>
      </w:r>
      <w:r w:rsidR="00234E2B">
        <w:t xml:space="preserve">Services Australia confirmed that it would accept funds from AGL and process refunds to customers.  The majority of these funds </w:t>
      </w:r>
      <w:r w:rsidR="00FA43FA">
        <w:t>were</w:t>
      </w:r>
      <w:r w:rsidR="00234E2B">
        <w:t xml:space="preserve"> accepted by Services Australia on 5 May 2021.</w:t>
      </w:r>
    </w:p>
    <w:p w14:paraId="79EA1988" w14:textId="01BA29E3" w:rsidR="00F200D8" w:rsidRDefault="00E75035" w:rsidP="00E75035">
      <w:pPr>
        <w:pStyle w:val="ParaNumbering"/>
        <w:numPr>
          <w:ilvl w:val="0"/>
          <w:numId w:val="0"/>
        </w:numPr>
        <w:tabs>
          <w:tab w:val="left" w:pos="720"/>
        </w:tabs>
        <w:ind w:hanging="720"/>
      </w:pPr>
      <w:r>
        <w:rPr>
          <w:sz w:val="20"/>
        </w:rPr>
        <w:t>68</w:t>
      </w:r>
      <w:r>
        <w:rPr>
          <w:sz w:val="20"/>
        </w:rPr>
        <w:tab/>
      </w:r>
      <w:r w:rsidR="00F200D8">
        <w:t xml:space="preserve">On 22 April 2022, AGL wrote to Services Australia indicating that it had completed all remedial action required by Services Australia.  </w:t>
      </w:r>
      <w:r w:rsidR="00B51C19" w:rsidRPr="00B51C19">
        <w:t xml:space="preserve">On 27 April 2022, Services Australia </w:t>
      </w:r>
      <w:r w:rsidR="00B51C19">
        <w:t>confirmed it was satisfied that</w:t>
      </w:r>
      <w:r w:rsidR="00B51C19" w:rsidRPr="00B51C19">
        <w:t xml:space="preserve"> </w:t>
      </w:r>
      <w:r w:rsidR="006C3CB5">
        <w:t>AGL had appropriately addressed the issues arising from the review</w:t>
      </w:r>
      <w:r w:rsidR="00661459">
        <w:t>.</w:t>
      </w:r>
    </w:p>
    <w:p w14:paraId="5DD6504F" w14:textId="009C2814" w:rsidR="00D94848" w:rsidRDefault="00E75035" w:rsidP="00E75035">
      <w:pPr>
        <w:pStyle w:val="ParaNumbering"/>
        <w:numPr>
          <w:ilvl w:val="0"/>
          <w:numId w:val="0"/>
        </w:numPr>
        <w:tabs>
          <w:tab w:val="left" w:pos="720"/>
        </w:tabs>
        <w:ind w:hanging="720"/>
      </w:pPr>
      <w:r>
        <w:rPr>
          <w:sz w:val="20"/>
        </w:rPr>
        <w:t>69</w:t>
      </w:r>
      <w:r>
        <w:rPr>
          <w:sz w:val="20"/>
        </w:rPr>
        <w:tab/>
      </w:r>
      <w:r w:rsidR="00D94848">
        <w:t>Where direct refunds were not possible and Services Australia did not accept the funds, AGL dealt with the funds in accordance with the unclaimed monies process that is governed by State and Territory legislation.</w:t>
      </w:r>
    </w:p>
    <w:p w14:paraId="33C63629" w14:textId="306A7F23" w:rsidR="00D76027" w:rsidRDefault="00E75035" w:rsidP="00E75035">
      <w:pPr>
        <w:pStyle w:val="ParaNumbering"/>
        <w:numPr>
          <w:ilvl w:val="0"/>
          <w:numId w:val="0"/>
        </w:numPr>
        <w:tabs>
          <w:tab w:val="left" w:pos="720"/>
        </w:tabs>
        <w:ind w:hanging="720"/>
      </w:pPr>
      <w:r>
        <w:rPr>
          <w:sz w:val="20"/>
        </w:rPr>
        <w:t>70</w:t>
      </w:r>
      <w:r>
        <w:rPr>
          <w:sz w:val="20"/>
        </w:rPr>
        <w:tab/>
      </w:r>
      <w:r w:rsidR="00E73CEB">
        <w:t xml:space="preserve">The fact that AGL </w:t>
      </w:r>
      <w:r w:rsidR="00912A99">
        <w:t>has returned the funds to customers</w:t>
      </w:r>
      <w:r w:rsidR="00F77220">
        <w:t xml:space="preserve"> where possible</w:t>
      </w:r>
      <w:r w:rsidR="00126F0B">
        <w:t xml:space="preserve"> </w:t>
      </w:r>
      <w:r w:rsidR="005E562C">
        <w:t>only</w:t>
      </w:r>
      <w:r w:rsidR="00E73CEB">
        <w:t xml:space="preserve"> </w:t>
      </w:r>
      <w:r w:rsidR="00A11DB2">
        <w:t xml:space="preserve">provides </w:t>
      </w:r>
      <w:r w:rsidR="001B540B">
        <w:t>limited</w:t>
      </w:r>
      <w:r w:rsidR="00A11DB2">
        <w:t xml:space="preserve"> support for </w:t>
      </w:r>
      <w:r w:rsidR="00412BE7">
        <w:t>the imposition of a lower penalty</w:t>
      </w:r>
      <w:r w:rsidR="00DA1CA0">
        <w:t xml:space="preserve"> than is sought by the AER</w:t>
      </w:r>
      <w:r w:rsidR="00412BE7">
        <w:t xml:space="preserve">.  </w:t>
      </w:r>
      <w:r w:rsidR="005D51F8">
        <w:t xml:space="preserve">That is </w:t>
      </w:r>
      <w:r w:rsidR="00A11DB2">
        <w:t>because</w:t>
      </w:r>
      <w:r w:rsidR="00A73747">
        <w:t>:</w:t>
      </w:r>
    </w:p>
    <w:p w14:paraId="537A6784" w14:textId="7860B0C5" w:rsidR="00A73747" w:rsidRDefault="00E75035" w:rsidP="00E75035">
      <w:pPr>
        <w:pStyle w:val="ListNo1"/>
        <w:numPr>
          <w:ilvl w:val="0"/>
          <w:numId w:val="0"/>
        </w:numPr>
        <w:tabs>
          <w:tab w:val="left" w:pos="720"/>
        </w:tabs>
        <w:ind w:left="720" w:hanging="720"/>
      </w:pPr>
      <w:r>
        <w:t>(1)</w:t>
      </w:r>
      <w:r>
        <w:tab/>
      </w:r>
      <w:r w:rsidR="0061684B">
        <w:t>it has not been possible</w:t>
      </w:r>
      <w:r w:rsidR="003F1460">
        <w:t xml:space="preserve"> for the AGL </w:t>
      </w:r>
      <w:r w:rsidR="009D56DD">
        <w:t>Entities</w:t>
      </w:r>
      <w:r w:rsidR="0061684B">
        <w:t xml:space="preserve"> to refund all of the improper deductions;</w:t>
      </w:r>
    </w:p>
    <w:p w14:paraId="2F5DC2F4" w14:textId="3B2E402C" w:rsidR="0061684B" w:rsidRDefault="00E75035" w:rsidP="00E75035">
      <w:pPr>
        <w:pStyle w:val="ListNo1"/>
        <w:numPr>
          <w:ilvl w:val="0"/>
          <w:numId w:val="0"/>
        </w:numPr>
        <w:tabs>
          <w:tab w:val="left" w:pos="720"/>
        </w:tabs>
        <w:ind w:left="720" w:hanging="720"/>
      </w:pPr>
      <w:r>
        <w:lastRenderedPageBreak/>
        <w:t>(2)</w:t>
      </w:r>
      <w:r>
        <w:tab/>
      </w:r>
      <w:r w:rsidR="00154EAF">
        <w:t>the AGL Entities were in a position to identify the overcharging earlier than they indicate that they in fact did.  At least as early as October 2019, the AGL Entities were on notice that Centrepay customers were among those with high credit balances;</w:t>
      </w:r>
    </w:p>
    <w:p w14:paraId="0452B373" w14:textId="7E69C818" w:rsidR="00154EAF" w:rsidRDefault="00E75035" w:rsidP="00E75035">
      <w:pPr>
        <w:pStyle w:val="ListNo1"/>
        <w:numPr>
          <w:ilvl w:val="0"/>
          <w:numId w:val="0"/>
        </w:numPr>
        <w:tabs>
          <w:tab w:val="left" w:pos="720"/>
        </w:tabs>
        <w:ind w:left="720" w:hanging="720"/>
      </w:pPr>
      <w:r>
        <w:t>(3)</w:t>
      </w:r>
      <w:r>
        <w:tab/>
      </w:r>
      <w:r w:rsidR="00423D54">
        <w:t xml:space="preserve">to the extent that the AGL Entities have taken remedial steps consistent with the Notices to Remedy issued by Services Australia, they </w:t>
      </w:r>
      <w:r w:rsidR="003F1460">
        <w:t>we</w:t>
      </w:r>
      <w:r w:rsidR="00423D54">
        <w:t>re discharging obligations under the Centrepay agreement to which they are party;</w:t>
      </w:r>
    </w:p>
    <w:p w14:paraId="0C66D8F5" w14:textId="38D92B95" w:rsidR="00C472A6" w:rsidRDefault="00E75035" w:rsidP="00E75035">
      <w:pPr>
        <w:pStyle w:val="ListNo1"/>
        <w:numPr>
          <w:ilvl w:val="0"/>
          <w:numId w:val="0"/>
        </w:numPr>
        <w:tabs>
          <w:tab w:val="left" w:pos="720"/>
        </w:tabs>
        <w:ind w:left="720" w:hanging="720"/>
      </w:pPr>
      <w:r>
        <w:t>(4)</w:t>
      </w:r>
      <w:r>
        <w:tab/>
      </w:r>
      <w:r w:rsidR="003768A9">
        <w:t xml:space="preserve">the </w:t>
      </w:r>
      <w:r w:rsidR="00EF20C7">
        <w:t xml:space="preserve">remedial action taken was </w:t>
      </w:r>
      <w:r w:rsidR="00585924">
        <w:t xml:space="preserve">not </w:t>
      </w:r>
      <w:r w:rsidR="006A461A">
        <w:t>conducted in a timely manner</w:t>
      </w:r>
      <w:r w:rsidR="00EF20C7">
        <w:t>;</w:t>
      </w:r>
      <w:r w:rsidR="00EA24DB">
        <w:t xml:space="preserve"> and</w:t>
      </w:r>
    </w:p>
    <w:p w14:paraId="54262D94" w14:textId="644EA9E9" w:rsidR="00CD667F" w:rsidRDefault="00E75035" w:rsidP="00E75035">
      <w:pPr>
        <w:pStyle w:val="ListNo1"/>
        <w:numPr>
          <w:ilvl w:val="0"/>
          <w:numId w:val="0"/>
        </w:numPr>
        <w:tabs>
          <w:tab w:val="left" w:pos="720"/>
        </w:tabs>
        <w:ind w:left="720" w:hanging="720"/>
      </w:pPr>
      <w:r>
        <w:t>(5)</w:t>
      </w:r>
      <w:r>
        <w:tab/>
      </w:r>
      <w:r w:rsidR="00CD667F">
        <w:t>no interest was paid to the customers</w:t>
      </w:r>
      <w:r w:rsidR="00EF20C7">
        <w:t xml:space="preserve"> who received a refund</w:t>
      </w:r>
      <w:r w:rsidR="00CD667F">
        <w:t>.</w:t>
      </w:r>
    </w:p>
    <w:p w14:paraId="26F2E38A" w14:textId="6FC4AB21" w:rsidR="004754E4" w:rsidRPr="004754E4" w:rsidRDefault="00596D56" w:rsidP="00E867A3">
      <w:pPr>
        <w:pStyle w:val="Heading3"/>
        <w:rPr>
          <w:lang w:eastAsia="en-AU"/>
        </w:rPr>
      </w:pPr>
      <w:r>
        <w:rPr>
          <w:lang w:eastAsia="en-AU"/>
        </w:rPr>
        <w:t>Changes to systems and processes</w:t>
      </w:r>
    </w:p>
    <w:p w14:paraId="74A45F9F" w14:textId="73DF9B1D" w:rsidR="00F030E3" w:rsidRPr="00E867A3" w:rsidRDefault="00E75035" w:rsidP="00E75035">
      <w:pPr>
        <w:pStyle w:val="ParaNumbering"/>
        <w:numPr>
          <w:ilvl w:val="0"/>
          <w:numId w:val="0"/>
        </w:numPr>
        <w:tabs>
          <w:tab w:val="left" w:pos="720"/>
        </w:tabs>
        <w:ind w:hanging="720"/>
        <w:rPr>
          <w:b/>
          <w:bCs/>
        </w:rPr>
      </w:pPr>
      <w:r w:rsidRPr="00E867A3">
        <w:rPr>
          <w:sz w:val="20"/>
        </w:rPr>
        <w:t>71</w:t>
      </w:r>
      <w:r w:rsidRPr="00E867A3">
        <w:rPr>
          <w:sz w:val="20"/>
        </w:rPr>
        <w:tab/>
      </w:r>
      <w:r w:rsidR="00F030E3">
        <w:t xml:space="preserve">In late 2020, </w:t>
      </w:r>
      <w:r w:rsidR="00E76A12">
        <w:t>AGL</w:t>
      </w:r>
      <w:r w:rsidR="00F030E3">
        <w:t xml:space="preserve"> implemented changes to </w:t>
      </w:r>
      <w:r w:rsidR="00F77220">
        <w:t>its</w:t>
      </w:r>
      <w:r w:rsidR="00F030E3">
        <w:t xml:space="preserve"> systems to automate the monitoring and reporting of inactive accounts with ongoing Centrepay deductions</w:t>
      </w:r>
      <w:r w:rsidR="00A50AF4">
        <w:t>, and to raise a request with Services Australia to cancel a Centrepay deduction in those circumstances</w:t>
      </w:r>
      <w:r w:rsidR="00C3769C">
        <w:t xml:space="preserve">.  </w:t>
      </w:r>
      <w:r w:rsidR="00F77220">
        <w:t>I</w:t>
      </w:r>
      <w:r w:rsidR="00F030E3">
        <w:t>n June 2022</w:t>
      </w:r>
      <w:r w:rsidR="00F77220">
        <w:t>,</w:t>
      </w:r>
      <w:r w:rsidR="00F030E3">
        <w:t xml:space="preserve"> AGL implemented </w:t>
      </w:r>
      <w:r w:rsidR="00CF4A82">
        <w:t>additional</w:t>
      </w:r>
      <w:r w:rsidR="00F030E3">
        <w:t xml:space="preserve"> changes </w:t>
      </w:r>
      <w:r w:rsidR="006163CD">
        <w:t>as part of the Centrepay Enhancement Project</w:t>
      </w:r>
      <w:r w:rsidR="00741EF5">
        <w:t xml:space="preserve"> which were directed to ensuring compliance with the Retail Rules</w:t>
      </w:r>
      <w:r w:rsidR="0074214E">
        <w:t xml:space="preserve"> </w:t>
      </w:r>
      <w:r w:rsidR="009D56DD">
        <w:t>and</w:t>
      </w:r>
      <w:r w:rsidR="006163CD">
        <w:t xml:space="preserve"> included (</w:t>
      </w:r>
      <w:r w:rsidR="006163CD" w:rsidRPr="00E867A3">
        <w:rPr>
          <w:i/>
          <w:iCs/>
        </w:rPr>
        <w:t>inter alia</w:t>
      </w:r>
      <w:r w:rsidR="006163CD">
        <w:t xml:space="preserve">) </w:t>
      </w:r>
      <w:r w:rsidR="00F030E3">
        <w:t>sending cancellation requests for Centrepay deductions immediately upon a customer terminating their contract with the AGL Entities</w:t>
      </w:r>
      <w:r w:rsidR="00F63F0E">
        <w:t>, which was an automated process</w:t>
      </w:r>
      <w:r w:rsidR="00F030E3">
        <w:t>.</w:t>
      </w:r>
      <w:r w:rsidR="00741EF5">
        <w:t xml:space="preserve"> </w:t>
      </w:r>
      <w:r w:rsidR="00246DC5">
        <w:t xml:space="preserve"> </w:t>
      </w:r>
      <w:r w:rsidR="00F63F0E">
        <w:t>Further</w:t>
      </w:r>
      <w:r w:rsidR="00741EF5">
        <w:t>, i</w:t>
      </w:r>
      <w:r w:rsidR="00F030E3">
        <w:t xml:space="preserve">n October 2024, the AGL </w:t>
      </w:r>
      <w:r w:rsidR="00A605A5">
        <w:t>E</w:t>
      </w:r>
      <w:r w:rsidR="00F030E3">
        <w:t xml:space="preserve">ntities engaged </w:t>
      </w:r>
      <w:r w:rsidR="00741EF5">
        <w:t>an</w:t>
      </w:r>
      <w:r w:rsidR="00F030E3">
        <w:t xml:space="preserve"> auditor to conduct an independent review of their compliance with key obligations under the Centrepay agreement over the preceding year</w:t>
      </w:r>
      <w:r w:rsidR="00347ACF">
        <w:t>.</w:t>
      </w:r>
    </w:p>
    <w:p w14:paraId="0BA31147" w14:textId="4B9024C6" w:rsidR="00F030E3" w:rsidRPr="00F030E3" w:rsidRDefault="00E75035" w:rsidP="00E75035">
      <w:pPr>
        <w:pStyle w:val="ParaNumbering"/>
        <w:numPr>
          <w:ilvl w:val="0"/>
          <w:numId w:val="0"/>
        </w:numPr>
        <w:tabs>
          <w:tab w:val="left" w:pos="720"/>
        </w:tabs>
        <w:ind w:hanging="720"/>
      </w:pPr>
      <w:r w:rsidRPr="00F030E3">
        <w:rPr>
          <w:sz w:val="20"/>
        </w:rPr>
        <w:t>72</w:t>
      </w:r>
      <w:r w:rsidRPr="00F030E3">
        <w:rPr>
          <w:sz w:val="20"/>
        </w:rPr>
        <w:tab/>
      </w:r>
      <w:r w:rsidR="00E0174E">
        <w:t>These changes su</w:t>
      </w:r>
      <w:r w:rsidR="00DA1CA0">
        <w:t>pport</w:t>
      </w:r>
      <w:r w:rsidR="00E0174E">
        <w:t xml:space="preserve"> </w:t>
      </w:r>
      <w:r w:rsidR="00827AC7">
        <w:t>a lower penalty than is sought by the AER.</w:t>
      </w:r>
      <w:r w:rsidR="00E0174E">
        <w:t xml:space="preserve">  However, as raised during the </w:t>
      </w:r>
      <w:r w:rsidR="00EE6E9C">
        <w:t xml:space="preserve">relief </w:t>
      </w:r>
      <w:r w:rsidR="00E0174E">
        <w:t xml:space="preserve">hearing, </w:t>
      </w:r>
      <w:r w:rsidR="00E816F3">
        <w:t xml:space="preserve">these changes need to be embedded into </w:t>
      </w:r>
      <w:r w:rsidR="00125763">
        <w:t>written policy</w:t>
      </w:r>
      <w:r w:rsidR="00E816F3">
        <w:t xml:space="preserve"> documents</w:t>
      </w:r>
      <w:r w:rsidR="00E062E8">
        <w:t xml:space="preserve"> (rather than </w:t>
      </w:r>
      <w:r w:rsidR="007B730F">
        <w:t>relying on word of mouth)</w:t>
      </w:r>
      <w:r w:rsidR="00E816F3">
        <w:t xml:space="preserve"> </w:t>
      </w:r>
      <w:r w:rsidR="0030772A">
        <w:t>so as to avoid a rep</w:t>
      </w:r>
      <w:r w:rsidR="005F1FF2">
        <w:t>etition of the previous occasion on which changes were made and then fell away</w:t>
      </w:r>
      <w:r w:rsidR="006606CE">
        <w:t>.</w:t>
      </w:r>
      <w:r w:rsidR="0030772A">
        <w:t xml:space="preserve">  </w:t>
      </w:r>
    </w:p>
    <w:p w14:paraId="4E123AE3" w14:textId="50D1E7CF" w:rsidR="00483751" w:rsidRDefault="006A336F" w:rsidP="00483751">
      <w:pPr>
        <w:pStyle w:val="Heading3"/>
      </w:pPr>
      <w:r>
        <w:t>C</w:t>
      </w:r>
      <w:r w:rsidR="00DC185C">
        <w:t>ontrition</w:t>
      </w:r>
    </w:p>
    <w:p w14:paraId="3BAB2245" w14:textId="1034904A" w:rsidR="00370032" w:rsidRDefault="00E75035" w:rsidP="00E75035">
      <w:pPr>
        <w:pStyle w:val="ParaNumbering"/>
        <w:numPr>
          <w:ilvl w:val="0"/>
          <w:numId w:val="0"/>
        </w:numPr>
        <w:tabs>
          <w:tab w:val="left" w:pos="720"/>
        </w:tabs>
        <w:ind w:hanging="720"/>
      </w:pPr>
      <w:r>
        <w:rPr>
          <w:sz w:val="20"/>
        </w:rPr>
        <w:t>73</w:t>
      </w:r>
      <w:r>
        <w:rPr>
          <w:sz w:val="20"/>
        </w:rPr>
        <w:tab/>
      </w:r>
      <w:r w:rsidR="006763F9">
        <w:t>By its written submissions, AGL indicates that it is “genuinely remorseful”.</w:t>
      </w:r>
      <w:r w:rsidR="00C62A01">
        <w:t xml:space="preserve">  Further, d</w:t>
      </w:r>
      <w:r w:rsidR="00AD541B">
        <w:t xml:space="preserve">uring cross-examination, Ms Egan gave evidence that AGL “got it wrong in this case”.  </w:t>
      </w:r>
      <w:r w:rsidR="00370032">
        <w:t>She</w:t>
      </w:r>
      <w:r w:rsidR="00A53BDD">
        <w:t xml:space="preserve"> agreed that AGL had “no excuse” for failing to design systems and processes</w:t>
      </w:r>
      <w:r w:rsidR="00481367">
        <w:t xml:space="preserve"> that returned overcharged amounts to customers as soon as practicable</w:t>
      </w:r>
      <w:r w:rsidR="00090809">
        <w:t xml:space="preserve">.  When pressed by senior counsel for the AER, </w:t>
      </w:r>
      <w:r w:rsidR="001375A8">
        <w:t xml:space="preserve">the following </w:t>
      </w:r>
      <w:r w:rsidR="003E5490">
        <w:t>evidence was given by Ms Egan</w:t>
      </w:r>
      <w:r w:rsidR="00370032">
        <w:t>:</w:t>
      </w:r>
    </w:p>
    <w:p w14:paraId="7EA683AA" w14:textId="78BFD148" w:rsidR="00084EC5" w:rsidRPr="001375A8" w:rsidRDefault="001375A8" w:rsidP="00084EC5">
      <w:pPr>
        <w:pStyle w:val="Quote1"/>
      </w:pPr>
      <w:r>
        <w:t xml:space="preserve">… </w:t>
      </w:r>
      <w:r w:rsidR="002843AB" w:rsidRPr="002843AB">
        <w:t>we got it wrong in this case. I have apologised for that. I’m really disappointed that this occurred and we’ve deeply reflected on the whole situation to understand, you know, how we got this so wrong. The customers’ accounts should have been dealt with more promptly. However, I think that’s – that is a serious issue. It – we should have – we should not</w:t>
      </w:r>
      <w:r w:rsidR="00084EC5">
        <w:t xml:space="preserve"> </w:t>
      </w:r>
      <w:r w:rsidR="00084EC5" w:rsidRPr="001375A8">
        <w:t xml:space="preserve">have got that so wrong. Unfortunately, though, the team did not – none </w:t>
      </w:r>
      <w:r w:rsidR="00084EC5" w:rsidRPr="001375A8">
        <w:lastRenderedPageBreak/>
        <w:t xml:space="preserve">of us understood that was a contravention of rule 31. </w:t>
      </w:r>
    </w:p>
    <w:p w14:paraId="5516063F" w14:textId="127ABC99" w:rsidR="00084EC5" w:rsidRPr="001375A8" w:rsidRDefault="00084EC5" w:rsidP="00084EC5">
      <w:pPr>
        <w:pStyle w:val="Quote1"/>
      </w:pPr>
      <w:r w:rsidRPr="001375A8">
        <w:t xml:space="preserve">But do you understand my question? It doesn’t matter if it’s a contravention of rule 31 or not. Your staff should have known - - -?---I agree.  </w:t>
      </w:r>
    </w:p>
    <w:p w14:paraId="48FA7188" w14:textId="77777777" w:rsidR="00084EC5" w:rsidRPr="001375A8" w:rsidRDefault="00084EC5" w:rsidP="00084EC5">
      <w:pPr>
        <w:pStyle w:val="Quote1"/>
      </w:pPr>
      <w:r w:rsidRPr="001375A8">
        <w:t xml:space="preserve">- - - that at all times that money had to be returned to customers promptly?---I completely agree with you. </w:t>
      </w:r>
    </w:p>
    <w:p w14:paraId="4AE255A8" w14:textId="54F3BE22" w:rsidR="00084EC5" w:rsidRPr="001375A8" w:rsidRDefault="00084EC5" w:rsidP="00084EC5">
      <w:pPr>
        <w:pStyle w:val="Quote1"/>
      </w:pPr>
      <w:r w:rsidRPr="001375A8">
        <w:t xml:space="preserve">That’s just consistent - - -?---I completely agree with you.  </w:t>
      </w:r>
    </w:p>
    <w:p w14:paraId="16E1ADFF" w14:textId="0047BD99" w:rsidR="00DC185C" w:rsidRDefault="00084EC5" w:rsidP="00283646">
      <w:pPr>
        <w:pStyle w:val="Quote1"/>
      </w:pPr>
      <w:r w:rsidRPr="001375A8">
        <w:t>- - - with any rational form of commercial morality. Would you agree?---No, I completely agree with you, and we have acknowledged that from the start that our systems and processes failed in this case. You know, it’s incredibly unfortunate. It is not in line with my experience of AGL or how we operate. I’ve had that conversation with my team. It’s an incredible learning for us all, and I believe we’ve taken action now to prevent that ever happening again.</w:t>
      </w:r>
    </w:p>
    <w:p w14:paraId="503AC8E7" w14:textId="48556C9D" w:rsidR="00283646" w:rsidRDefault="00E75035" w:rsidP="00E75035">
      <w:pPr>
        <w:pStyle w:val="ParaNumbering"/>
        <w:numPr>
          <w:ilvl w:val="0"/>
          <w:numId w:val="0"/>
        </w:numPr>
        <w:tabs>
          <w:tab w:val="left" w:pos="720"/>
        </w:tabs>
        <w:ind w:hanging="720"/>
      </w:pPr>
      <w:r>
        <w:rPr>
          <w:sz w:val="20"/>
        </w:rPr>
        <w:t>74</w:t>
      </w:r>
      <w:r>
        <w:rPr>
          <w:sz w:val="20"/>
        </w:rPr>
        <w:tab/>
      </w:r>
      <w:r w:rsidR="0044520A">
        <w:t>I accept that</w:t>
      </w:r>
      <w:r w:rsidR="00853E52">
        <w:t xml:space="preserve"> </w:t>
      </w:r>
      <w:r w:rsidR="0083397D">
        <w:t>Ms Egan</w:t>
      </w:r>
      <w:r w:rsidR="00283646">
        <w:t xml:space="preserve"> showed genuine remorse</w:t>
      </w:r>
      <w:r w:rsidR="00E955F6">
        <w:t xml:space="preserve"> </w:t>
      </w:r>
      <w:r w:rsidR="00283646">
        <w:t>for</w:t>
      </w:r>
      <w:r w:rsidR="0083397D">
        <w:t xml:space="preserve"> what had occurred, and did so on behalf of AGL and not just in her own right (noting that she did not hold her present position during the relevant period)</w:t>
      </w:r>
      <w:r w:rsidR="0020583B">
        <w:t>.</w:t>
      </w:r>
    </w:p>
    <w:p w14:paraId="643DC63C" w14:textId="715AED7B" w:rsidR="00343FA1" w:rsidRDefault="00E75035" w:rsidP="00E75035">
      <w:pPr>
        <w:pStyle w:val="ParaNumbering"/>
        <w:numPr>
          <w:ilvl w:val="0"/>
          <w:numId w:val="0"/>
        </w:numPr>
        <w:tabs>
          <w:tab w:val="left" w:pos="720"/>
        </w:tabs>
        <w:ind w:hanging="720"/>
      </w:pPr>
      <w:r>
        <w:rPr>
          <w:sz w:val="20"/>
        </w:rPr>
        <w:t>75</w:t>
      </w:r>
      <w:r>
        <w:rPr>
          <w:sz w:val="20"/>
        </w:rPr>
        <w:tab/>
      </w:r>
      <w:r w:rsidR="00004626">
        <w:t xml:space="preserve">However, </w:t>
      </w:r>
      <w:r w:rsidR="00891C35">
        <w:t>an apology from AGL can only go so far in circumstances where it is</w:t>
      </w:r>
      <w:r w:rsidR="005453F1">
        <w:t xml:space="preserve"> </w:t>
      </w:r>
      <w:r w:rsidR="00891C35">
        <w:t xml:space="preserve">given for the first time more than three years after the </w:t>
      </w:r>
      <w:r w:rsidR="0004096F">
        <w:t>end of the relevant period</w:t>
      </w:r>
      <w:r w:rsidR="00891C35">
        <w:t xml:space="preserve"> and after </w:t>
      </w:r>
      <w:r w:rsidR="002B4C42">
        <w:t>the liability judgment</w:t>
      </w:r>
      <w:r w:rsidR="00B26118">
        <w:t xml:space="preserve"> has been handed down</w:t>
      </w:r>
      <w:r w:rsidR="00891C35">
        <w:t>; it is made to the Court and not to the Affected Customers; and it is given in the context of a hearing as to</w:t>
      </w:r>
      <w:r w:rsidR="00AB5DA9">
        <w:t xml:space="preserve"> the quantum of</w:t>
      </w:r>
      <w:r w:rsidR="00891C35">
        <w:t xml:space="preserve"> civil penalty.</w:t>
      </w:r>
    </w:p>
    <w:p w14:paraId="453E6DE0" w14:textId="3BEC3FDE" w:rsidR="00BF0CA1" w:rsidRDefault="00E75035" w:rsidP="00E75035">
      <w:pPr>
        <w:pStyle w:val="ParaNumbering"/>
        <w:numPr>
          <w:ilvl w:val="0"/>
          <w:numId w:val="0"/>
        </w:numPr>
        <w:tabs>
          <w:tab w:val="left" w:pos="720"/>
        </w:tabs>
        <w:ind w:hanging="720"/>
      </w:pPr>
      <w:r>
        <w:rPr>
          <w:sz w:val="20"/>
        </w:rPr>
        <w:t>76</w:t>
      </w:r>
      <w:r>
        <w:rPr>
          <w:sz w:val="20"/>
        </w:rPr>
        <w:tab/>
      </w:r>
      <w:r w:rsidR="00BF0CA1">
        <w:t>On balance, I</w:t>
      </w:r>
      <w:r w:rsidR="002F6DE6">
        <w:t xml:space="preserve"> therefore</w:t>
      </w:r>
      <w:r w:rsidR="00BF0CA1">
        <w:t xml:space="preserve"> consider that the contrition expressed by AGL is a </w:t>
      </w:r>
      <w:r w:rsidR="00F9172A">
        <w:t>neutral factor</w:t>
      </w:r>
      <w:r w:rsidR="00BF0CA1">
        <w:t>.</w:t>
      </w:r>
    </w:p>
    <w:p w14:paraId="50A4C734" w14:textId="052561E4" w:rsidR="00E43EEF" w:rsidRDefault="00E43EEF" w:rsidP="00E43EEF">
      <w:pPr>
        <w:pStyle w:val="Heading3"/>
      </w:pPr>
      <w:r>
        <w:t>Degree of involvement of senior management</w:t>
      </w:r>
    </w:p>
    <w:p w14:paraId="3FB096E2" w14:textId="0E24FC35" w:rsidR="008142D4" w:rsidRDefault="00E75035" w:rsidP="00E75035">
      <w:pPr>
        <w:pStyle w:val="ParaNumbering"/>
        <w:numPr>
          <w:ilvl w:val="0"/>
          <w:numId w:val="0"/>
        </w:numPr>
        <w:tabs>
          <w:tab w:val="left" w:pos="720"/>
        </w:tabs>
        <w:ind w:hanging="720"/>
      </w:pPr>
      <w:r>
        <w:rPr>
          <w:sz w:val="20"/>
        </w:rPr>
        <w:t>77</w:t>
      </w:r>
      <w:r>
        <w:rPr>
          <w:sz w:val="20"/>
        </w:rPr>
        <w:tab/>
      </w:r>
      <w:r w:rsidR="00A26550">
        <w:t xml:space="preserve">Contrary to the submissions of the AER, the evidence does not support a finding that </w:t>
      </w:r>
      <w:r w:rsidR="008142D4" w:rsidRPr="00BD0A44">
        <w:t>the contravention arose out of the conduct of senior management</w:t>
      </w:r>
      <w:r w:rsidR="00A125C7">
        <w:t>.</w:t>
      </w:r>
    </w:p>
    <w:p w14:paraId="794D9885" w14:textId="6B49ED64" w:rsidR="00E169E6" w:rsidRDefault="00E75035" w:rsidP="00E75035">
      <w:pPr>
        <w:pStyle w:val="ParaNumbering"/>
        <w:numPr>
          <w:ilvl w:val="0"/>
          <w:numId w:val="0"/>
        </w:numPr>
        <w:tabs>
          <w:tab w:val="left" w:pos="720"/>
        </w:tabs>
        <w:ind w:hanging="720"/>
      </w:pPr>
      <w:r>
        <w:rPr>
          <w:sz w:val="20"/>
        </w:rPr>
        <w:t>78</w:t>
      </w:r>
      <w:r>
        <w:rPr>
          <w:sz w:val="20"/>
        </w:rPr>
        <w:tab/>
      </w:r>
      <w:r w:rsidR="00E169E6">
        <w:t xml:space="preserve">Notwithstanding that, </w:t>
      </w:r>
      <w:r w:rsidR="00D5237E">
        <w:t xml:space="preserve">a substantial penalty is necessary in order to seek to provoke some attention from those on AGL’s board and executive leadership team to focus </w:t>
      </w:r>
      <w:r w:rsidR="00350A33">
        <w:t xml:space="preserve">more closely </w:t>
      </w:r>
      <w:r w:rsidR="00D5237E">
        <w:t>on these issues.</w:t>
      </w:r>
    </w:p>
    <w:p w14:paraId="60E5240C" w14:textId="06290C2C" w:rsidR="003E1FB8" w:rsidRDefault="004076F0" w:rsidP="008142D4">
      <w:pPr>
        <w:pStyle w:val="Heading3"/>
      </w:pPr>
      <w:r>
        <w:t>C</w:t>
      </w:r>
      <w:r w:rsidR="003E1FB8">
        <w:t>ulture of compliance</w:t>
      </w:r>
    </w:p>
    <w:p w14:paraId="4EBA4614" w14:textId="499EC720" w:rsidR="004A1EF8" w:rsidRDefault="00E75035" w:rsidP="00E75035">
      <w:pPr>
        <w:pStyle w:val="ParaNumbering"/>
        <w:numPr>
          <w:ilvl w:val="0"/>
          <w:numId w:val="0"/>
        </w:numPr>
        <w:tabs>
          <w:tab w:val="left" w:pos="720"/>
        </w:tabs>
        <w:ind w:hanging="720"/>
      </w:pPr>
      <w:r>
        <w:rPr>
          <w:sz w:val="20"/>
        </w:rPr>
        <w:t>79</w:t>
      </w:r>
      <w:r>
        <w:rPr>
          <w:sz w:val="20"/>
        </w:rPr>
        <w:tab/>
      </w:r>
      <w:r w:rsidR="00094B43">
        <w:t xml:space="preserve">AGL </w:t>
      </w:r>
      <w:r w:rsidR="004A1EF8">
        <w:t>asserts that it has a</w:t>
      </w:r>
      <w:r w:rsidR="00094B43">
        <w:t xml:space="preserve"> “strong culture of compliance”.</w:t>
      </w:r>
      <w:r w:rsidR="00B25350">
        <w:t xml:space="preserve">  Ms Egan’s evidence, both in her affidavit and during cross-examination, was that AGL has a “strong compliance culture”.</w:t>
      </w:r>
    </w:p>
    <w:p w14:paraId="4E968B89" w14:textId="1ACD1B58" w:rsidR="00DB7133" w:rsidRDefault="00E75035" w:rsidP="00E75035">
      <w:pPr>
        <w:pStyle w:val="ParaNumbering"/>
        <w:numPr>
          <w:ilvl w:val="0"/>
          <w:numId w:val="0"/>
        </w:numPr>
        <w:tabs>
          <w:tab w:val="left" w:pos="720"/>
        </w:tabs>
        <w:ind w:hanging="720"/>
      </w:pPr>
      <w:r>
        <w:rPr>
          <w:sz w:val="20"/>
        </w:rPr>
        <w:t>80</w:t>
      </w:r>
      <w:r>
        <w:rPr>
          <w:sz w:val="20"/>
        </w:rPr>
        <w:tab/>
      </w:r>
      <w:r w:rsidR="002C38C2">
        <w:t>However</w:t>
      </w:r>
      <w:r w:rsidR="00E90536">
        <w:t xml:space="preserve">, such a proposition is at odds with the </w:t>
      </w:r>
      <w:r w:rsidR="002C38C2">
        <w:t xml:space="preserve">objective </w:t>
      </w:r>
      <w:r w:rsidR="00E90536">
        <w:t>evidence</w:t>
      </w:r>
      <w:r w:rsidR="002F6686">
        <w:t>, being</w:t>
      </w:r>
      <w:r w:rsidR="000F2257">
        <w:t xml:space="preserve"> that a serious issue of non-compliance was identified in 2013 by Services Australia, responded to by AGL but lapsed again from 2016 (without explanation), only for </w:t>
      </w:r>
      <w:r w:rsidR="005E10CA">
        <w:t>it to reappear</w:t>
      </w:r>
      <w:r w:rsidR="000F2257">
        <w:t>.</w:t>
      </w:r>
    </w:p>
    <w:p w14:paraId="5D261B0E" w14:textId="2F1D86E7" w:rsidR="00473503" w:rsidRDefault="00E75035" w:rsidP="00E75035">
      <w:pPr>
        <w:pStyle w:val="ParaNumbering"/>
        <w:numPr>
          <w:ilvl w:val="0"/>
          <w:numId w:val="0"/>
        </w:numPr>
        <w:tabs>
          <w:tab w:val="left" w:pos="720"/>
        </w:tabs>
        <w:ind w:hanging="720"/>
      </w:pPr>
      <w:r>
        <w:rPr>
          <w:sz w:val="20"/>
        </w:rPr>
        <w:lastRenderedPageBreak/>
        <w:t>81</w:t>
      </w:r>
      <w:r>
        <w:rPr>
          <w:sz w:val="20"/>
        </w:rPr>
        <w:tab/>
      </w:r>
      <w:r w:rsidR="004A1EF8">
        <w:t>I</w:t>
      </w:r>
      <w:r w:rsidR="00473503">
        <w:t>n these circumstances, a substantial penalty is necessary in order to seek to effect necessary cultural change within AGL</w:t>
      </w:r>
      <w:r w:rsidR="0042312E">
        <w:t>.</w:t>
      </w:r>
    </w:p>
    <w:p w14:paraId="46E3B4E9" w14:textId="753CF01B" w:rsidR="00AA39A5" w:rsidRPr="00402DC4" w:rsidRDefault="00B636D8" w:rsidP="00AA39A5">
      <w:pPr>
        <w:pStyle w:val="Heading3"/>
      </w:pPr>
      <w:r>
        <w:t>Degree of co-operation</w:t>
      </w:r>
    </w:p>
    <w:p w14:paraId="28A021D1" w14:textId="4582344F" w:rsidR="00AA39A5" w:rsidRDefault="00E75035" w:rsidP="00E75035">
      <w:pPr>
        <w:pStyle w:val="ParaNumbering"/>
        <w:numPr>
          <w:ilvl w:val="0"/>
          <w:numId w:val="0"/>
        </w:numPr>
        <w:tabs>
          <w:tab w:val="left" w:pos="720"/>
        </w:tabs>
        <w:ind w:hanging="720"/>
      </w:pPr>
      <w:r>
        <w:rPr>
          <w:sz w:val="20"/>
        </w:rPr>
        <w:t>82</w:t>
      </w:r>
      <w:r>
        <w:rPr>
          <w:sz w:val="20"/>
        </w:rPr>
        <w:tab/>
      </w:r>
      <w:r w:rsidR="00AA39A5">
        <w:t xml:space="preserve">The </w:t>
      </w:r>
      <w:r w:rsidR="00E55D54">
        <w:t xml:space="preserve">AER submits that the </w:t>
      </w:r>
      <w:r w:rsidR="00AA39A5">
        <w:t xml:space="preserve">AGL Entities are not entitled to a discount for co-operation in this case, noting that both liability and penalty have been disputed. </w:t>
      </w:r>
      <w:r w:rsidR="00670642">
        <w:t xml:space="preserve"> </w:t>
      </w:r>
      <w:r w:rsidR="00E55D54">
        <w:t>However,</w:t>
      </w:r>
      <w:r w:rsidR="001A61BB">
        <w:t xml:space="preserve"> AGL’s contentions were not unarguable</w:t>
      </w:r>
      <w:r w:rsidR="00726F80">
        <w:t xml:space="preserve"> and</w:t>
      </w:r>
      <w:r w:rsidR="009B6FA6">
        <w:t>, given</w:t>
      </w:r>
      <w:r w:rsidR="00726F80">
        <w:t xml:space="preserve"> </w:t>
      </w:r>
      <w:r w:rsidR="009B6FA6">
        <w:t xml:space="preserve">that r 31 of the Retail Rules has not been the subject of judicial interpretation previously, </w:t>
      </w:r>
      <w:r w:rsidR="00EA2EA1">
        <w:t>it</w:t>
      </w:r>
      <w:r w:rsidR="00726F80">
        <w:t xml:space="preserve"> was entitled </w:t>
      </w:r>
      <w:r w:rsidR="00EA2EA1">
        <w:t>to test those contentions before the Court</w:t>
      </w:r>
      <w:r w:rsidR="00E622F6">
        <w:t>:</w:t>
      </w:r>
      <w:r w:rsidR="00975347">
        <w:t xml:space="preserve"> see </w:t>
      </w:r>
      <w:r w:rsidR="00975347">
        <w:rPr>
          <w:i/>
          <w:iCs/>
        </w:rPr>
        <w:t xml:space="preserve">Australian Communications </w:t>
      </w:r>
      <w:r w:rsidR="00307C0D">
        <w:rPr>
          <w:i/>
          <w:iCs/>
        </w:rPr>
        <w:t>and</w:t>
      </w:r>
      <w:r w:rsidR="00975347">
        <w:rPr>
          <w:i/>
          <w:iCs/>
        </w:rPr>
        <w:t xml:space="preserve"> Media Authority v Clarity1 Pty Ltd </w:t>
      </w:r>
      <w:r w:rsidR="005B160A">
        <w:rPr>
          <w:i/>
          <w:iCs/>
        </w:rPr>
        <w:t xml:space="preserve">(No 2) </w:t>
      </w:r>
      <w:r w:rsidR="005B160A">
        <w:t xml:space="preserve">(2006) 155 FCR 377; [2006] FCA 1399 at [32]–[33] (Nicholson J).  Further, </w:t>
      </w:r>
      <w:r w:rsidR="00E47F61">
        <w:t xml:space="preserve">the penalty sought by the AER at the relief hearing is </w:t>
      </w:r>
      <w:r w:rsidR="00365594">
        <w:t>excessive</w:t>
      </w:r>
      <w:r w:rsidR="009644C8">
        <w:t xml:space="preserve"> having regard to </w:t>
      </w:r>
      <w:r w:rsidR="00C93E95">
        <w:t xml:space="preserve">all </w:t>
      </w:r>
      <w:r w:rsidR="00A028CB">
        <w:t>relevant matters</w:t>
      </w:r>
      <w:r w:rsidR="009644C8">
        <w:t>.  Th</w:t>
      </w:r>
      <w:r w:rsidR="008D7068">
        <w:t>u</w:t>
      </w:r>
      <w:r w:rsidR="00A028CB">
        <w:t>s</w:t>
      </w:r>
      <w:r w:rsidR="008D7068">
        <w:t xml:space="preserve">, </w:t>
      </w:r>
      <w:r w:rsidR="009644C8">
        <w:t>the opposition by the AGL Entities at both the liability and penalty stages is a neutral factor.</w:t>
      </w:r>
    </w:p>
    <w:p w14:paraId="60B8FF85" w14:textId="3B80C860" w:rsidR="00232234" w:rsidRDefault="00232234" w:rsidP="00232234">
      <w:pPr>
        <w:pStyle w:val="Heading3"/>
      </w:pPr>
      <w:r>
        <w:t>Maximum penalty</w:t>
      </w:r>
    </w:p>
    <w:p w14:paraId="171D8842" w14:textId="55EB78B2" w:rsidR="007F23CE" w:rsidRDefault="00E75035" w:rsidP="00E75035">
      <w:pPr>
        <w:pStyle w:val="ParaNumbering"/>
        <w:numPr>
          <w:ilvl w:val="0"/>
          <w:numId w:val="0"/>
        </w:numPr>
        <w:tabs>
          <w:tab w:val="left" w:pos="720"/>
        </w:tabs>
        <w:ind w:hanging="720"/>
      </w:pPr>
      <w:r>
        <w:rPr>
          <w:sz w:val="20"/>
        </w:rPr>
        <w:t>83</w:t>
      </w:r>
      <w:r>
        <w:rPr>
          <w:sz w:val="20"/>
        </w:rPr>
        <w:tab/>
      </w:r>
      <w:r w:rsidR="003D30FA">
        <w:t xml:space="preserve">In considering the appropriate penalty, regard is ordinarily had to the maximum penalty because it provides, taken with all the other relevant factors, a yardstick: see </w:t>
      </w:r>
      <w:r w:rsidR="00FC72B3" w:rsidRPr="00A72AA3">
        <w:rPr>
          <w:i/>
          <w:iCs/>
        </w:rPr>
        <w:t>Australian Competition and Consumer Commission</w:t>
      </w:r>
      <w:r w:rsidR="00297EDB" w:rsidRPr="00A72AA3">
        <w:rPr>
          <w:i/>
          <w:iCs/>
        </w:rPr>
        <w:t xml:space="preserve"> v Employsure Pty Ltd</w:t>
      </w:r>
      <w:r w:rsidR="00297EDB" w:rsidRPr="00A72AA3">
        <w:t xml:space="preserve"> </w:t>
      </w:r>
      <w:r w:rsidR="00336353" w:rsidRPr="00A72AA3">
        <w:t xml:space="preserve">(2023) 164 ACSR </w:t>
      </w:r>
      <w:r w:rsidR="00B715BE" w:rsidRPr="00A72AA3">
        <w:t xml:space="preserve">103; </w:t>
      </w:r>
      <w:r w:rsidR="00297EDB" w:rsidRPr="00A72AA3">
        <w:t>[2023] FCAFC 5</w:t>
      </w:r>
      <w:r w:rsidR="00FC72B3">
        <w:t xml:space="preserve"> </w:t>
      </w:r>
      <w:r w:rsidR="00297EDB" w:rsidRPr="00852D29">
        <w:t>at [44]</w:t>
      </w:r>
      <w:r w:rsidR="00BA0310">
        <w:t xml:space="preserve"> (Rares, Stewart and Abraham JJ)</w:t>
      </w:r>
      <w:r w:rsidR="00297EDB" w:rsidRPr="00852D29">
        <w:t>.</w:t>
      </w:r>
    </w:p>
    <w:p w14:paraId="1AF22669" w14:textId="17348BFF" w:rsidR="00232234" w:rsidRDefault="00E75035" w:rsidP="00E75035">
      <w:pPr>
        <w:pStyle w:val="ParaNumbering"/>
        <w:numPr>
          <w:ilvl w:val="0"/>
          <w:numId w:val="0"/>
        </w:numPr>
        <w:tabs>
          <w:tab w:val="left" w:pos="720"/>
        </w:tabs>
        <w:ind w:hanging="720"/>
      </w:pPr>
      <w:r>
        <w:rPr>
          <w:sz w:val="20"/>
        </w:rPr>
        <w:t>84</w:t>
      </w:r>
      <w:r>
        <w:rPr>
          <w:sz w:val="20"/>
        </w:rPr>
        <w:tab/>
      </w:r>
      <w:r w:rsidR="00675D58">
        <w:t>In this case, t</w:t>
      </w:r>
      <w:r w:rsidR="00232234">
        <w:t>he maximum penalty changed through</w:t>
      </w:r>
      <w:r w:rsidR="00E82E7C">
        <w:t>out</w:t>
      </w:r>
      <w:r w:rsidR="00232234">
        <w:t xml:space="preserve"> the relevant period.</w:t>
      </w:r>
      <w:r w:rsidR="00EC046C">
        <w:t xml:space="preserve">  The Supplementary Hennessey Report set out the number of contraventions per entity, separated by reference to the date on which the maximum penalty changed.  The table below</w:t>
      </w:r>
      <w:r w:rsidR="001B7C28">
        <w:t>, which is extracted from the AER’s written submissions,</w:t>
      </w:r>
      <w:r w:rsidR="00EC046C">
        <w:t xml:space="preserve"> reproduces that data and uses it to illustrate the maximum penalties in respect of each of the AGL Entities (which calculations were not challenged by AGL):</w:t>
      </w:r>
    </w:p>
    <w:tbl>
      <w:tblPr>
        <w:tblW w:w="0" w:type="auto"/>
        <w:jc w:val="center"/>
        <w:tblCellMar>
          <w:left w:w="0" w:type="dxa"/>
          <w:right w:w="0" w:type="dxa"/>
        </w:tblCellMar>
        <w:tblLook w:val="04A0" w:firstRow="1" w:lastRow="0" w:firstColumn="1" w:lastColumn="0" w:noHBand="0" w:noVBand="1"/>
      </w:tblPr>
      <w:tblGrid>
        <w:gridCol w:w="2282"/>
        <w:gridCol w:w="935"/>
        <w:gridCol w:w="935"/>
        <w:gridCol w:w="935"/>
        <w:gridCol w:w="1464"/>
        <w:gridCol w:w="1665"/>
      </w:tblGrid>
      <w:tr w:rsidR="00AD7580" w:rsidRPr="00AB0F75" w14:paraId="01CA75F2" w14:textId="77777777" w:rsidTr="00317BCB">
        <w:trPr>
          <w:trHeight w:val="877"/>
          <w:tblHeader/>
          <w:jc w:val="center"/>
        </w:trPr>
        <w:tc>
          <w:tcPr>
            <w:tcW w:w="228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vAlign w:val="center"/>
            <w:hideMark/>
          </w:tcPr>
          <w:p w14:paraId="3E2FF5BA" w14:textId="77777777" w:rsidR="00317BCB" w:rsidRPr="00BD1235" w:rsidRDefault="00317BCB" w:rsidP="00BD1235">
            <w:pPr>
              <w:jc w:val="center"/>
              <w:rPr>
                <w:b/>
                <w:sz w:val="20"/>
              </w:rPr>
            </w:pPr>
            <w:r w:rsidRPr="00474B38">
              <w:rPr>
                <w:b/>
                <w:sz w:val="20"/>
              </w:rPr>
              <w:t>AGL Entity</w:t>
            </w:r>
          </w:p>
        </w:tc>
        <w:tc>
          <w:tcPr>
            <w:tcW w:w="93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0F2B29E" w14:textId="77777777" w:rsidR="00317BCB" w:rsidRPr="00BD1235" w:rsidRDefault="00317BCB" w:rsidP="00BD1235">
            <w:pPr>
              <w:jc w:val="center"/>
              <w:rPr>
                <w:b/>
                <w:sz w:val="20"/>
              </w:rPr>
            </w:pPr>
            <w:r w:rsidRPr="00AB0F75">
              <w:rPr>
                <w:b/>
                <w:bCs/>
                <w:sz w:val="20"/>
              </w:rPr>
              <w:t>Rule 31(1)</w:t>
            </w:r>
          </w:p>
        </w:tc>
        <w:tc>
          <w:tcPr>
            <w:tcW w:w="93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9BB2D45" w14:textId="77777777" w:rsidR="00317BCB" w:rsidRPr="00BD1235" w:rsidRDefault="00317BCB" w:rsidP="00BD1235">
            <w:pPr>
              <w:jc w:val="center"/>
              <w:rPr>
                <w:b/>
                <w:sz w:val="20"/>
              </w:rPr>
            </w:pPr>
            <w:r w:rsidRPr="00AB0F75">
              <w:rPr>
                <w:b/>
                <w:bCs/>
                <w:sz w:val="20"/>
              </w:rPr>
              <w:t>Rule 31(2)</w:t>
            </w:r>
          </w:p>
        </w:tc>
        <w:tc>
          <w:tcPr>
            <w:tcW w:w="93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CC469AF" w14:textId="77777777" w:rsidR="00317BCB" w:rsidRPr="00BD1235" w:rsidRDefault="00317BCB" w:rsidP="00BD1235">
            <w:pPr>
              <w:jc w:val="center"/>
              <w:rPr>
                <w:b/>
                <w:sz w:val="20"/>
              </w:rPr>
            </w:pPr>
            <w:r w:rsidRPr="00AB0F75">
              <w:rPr>
                <w:b/>
                <w:bCs/>
                <w:sz w:val="20"/>
              </w:rPr>
              <w:t>Rule 31(3)</w:t>
            </w:r>
          </w:p>
        </w:tc>
        <w:tc>
          <w:tcPr>
            <w:tcW w:w="146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6175290" w14:textId="77777777" w:rsidR="00317BCB" w:rsidRPr="00BD1235" w:rsidRDefault="00317BCB" w:rsidP="00BD1235">
            <w:pPr>
              <w:jc w:val="center"/>
              <w:rPr>
                <w:b/>
                <w:sz w:val="20"/>
              </w:rPr>
            </w:pPr>
            <w:r w:rsidRPr="00AB0F75">
              <w:rPr>
                <w:b/>
                <w:bCs/>
                <w:sz w:val="20"/>
              </w:rPr>
              <w:t>Total contraventions</w:t>
            </w:r>
          </w:p>
        </w:tc>
        <w:tc>
          <w:tcPr>
            <w:tcW w:w="166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7C73F0C" w14:textId="77777777" w:rsidR="00317BCB" w:rsidRPr="00BD1235" w:rsidRDefault="00317BCB" w:rsidP="00BD1235">
            <w:pPr>
              <w:jc w:val="center"/>
              <w:rPr>
                <w:b/>
                <w:sz w:val="20"/>
              </w:rPr>
            </w:pPr>
            <w:r w:rsidRPr="00AB0F75">
              <w:rPr>
                <w:b/>
                <w:bCs/>
                <w:sz w:val="20"/>
              </w:rPr>
              <w:t>Maximum penalty**</w:t>
            </w:r>
          </w:p>
        </w:tc>
      </w:tr>
      <w:tr w:rsidR="00317BCB" w:rsidRPr="00AB0F75" w14:paraId="6C819F04" w14:textId="77777777" w:rsidTr="00317BCB">
        <w:trPr>
          <w:trHeight w:val="479"/>
          <w:jc w:val="center"/>
        </w:trPr>
        <w:tc>
          <w:tcPr>
            <w:tcW w:w="8216" w:type="dxa"/>
            <w:gridSpan w:val="6"/>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F1B7C6F" w14:textId="77777777" w:rsidR="00317BCB" w:rsidRPr="00AB0F75" w:rsidRDefault="00317BCB">
            <w:pPr>
              <w:spacing w:after="45"/>
              <w:jc w:val="center"/>
              <w:rPr>
                <w:color w:val="212121"/>
                <w:sz w:val="22"/>
                <w:szCs w:val="22"/>
              </w:rPr>
            </w:pPr>
            <w:r w:rsidRPr="00AB0F75">
              <w:rPr>
                <w:i/>
                <w:iCs/>
                <w:color w:val="000000"/>
                <w:sz w:val="20"/>
              </w:rPr>
              <w:t>Contraventions prior to 29 January 2021</w:t>
            </w:r>
            <w:r>
              <w:rPr>
                <w:rStyle w:val="FootnoteReference"/>
              </w:rPr>
              <w:t>*</w:t>
            </w:r>
          </w:p>
        </w:tc>
      </w:tr>
      <w:tr w:rsidR="00317BCB" w:rsidRPr="00AB0F75" w14:paraId="2789EA09" w14:textId="77777777" w:rsidTr="00317BCB">
        <w:trPr>
          <w:trHeight w:val="877"/>
          <w:jc w:val="center"/>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BE547D" w14:textId="77777777" w:rsidR="00317BCB" w:rsidRPr="00AB0F75" w:rsidRDefault="00317BCB">
            <w:pPr>
              <w:spacing w:after="45"/>
              <w:rPr>
                <w:color w:val="212121"/>
                <w:sz w:val="22"/>
                <w:szCs w:val="22"/>
              </w:rPr>
            </w:pPr>
            <w:r w:rsidRPr="00AB0F75">
              <w:rPr>
                <w:color w:val="212121"/>
                <w:sz w:val="20"/>
              </w:rPr>
              <w:t>AGL Retail Energy Limited (A005)</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C18F2" w14:textId="77777777" w:rsidR="00317BCB" w:rsidRPr="00AB0F75" w:rsidRDefault="00317BCB">
            <w:pPr>
              <w:spacing w:after="45"/>
              <w:jc w:val="center"/>
              <w:rPr>
                <w:color w:val="212121"/>
                <w:sz w:val="22"/>
                <w:szCs w:val="22"/>
              </w:rPr>
            </w:pPr>
            <w:r w:rsidRPr="00AB0F75">
              <w:rPr>
                <w:color w:val="212121"/>
                <w:sz w:val="20"/>
              </w:rPr>
              <w:t>11</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5FE71" w14:textId="77777777" w:rsidR="00317BCB" w:rsidRPr="00AB0F75" w:rsidRDefault="00317BCB">
            <w:pPr>
              <w:spacing w:after="45"/>
              <w:jc w:val="center"/>
              <w:rPr>
                <w:color w:val="212121"/>
                <w:sz w:val="22"/>
                <w:szCs w:val="22"/>
              </w:rPr>
            </w:pPr>
            <w:r w:rsidRPr="00AB0F75">
              <w:rPr>
                <w:color w:val="212121"/>
                <w:sz w:val="20"/>
              </w:rPr>
              <w:t>11</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EF8B7" w14:textId="77777777" w:rsidR="00317BCB" w:rsidRPr="00AB0F75" w:rsidRDefault="00317BCB">
            <w:pPr>
              <w:spacing w:after="45"/>
              <w:jc w:val="center"/>
              <w:rPr>
                <w:color w:val="212121"/>
                <w:sz w:val="22"/>
                <w:szCs w:val="22"/>
              </w:rPr>
            </w:pPr>
            <w:r w:rsidRPr="00AB0F75">
              <w:rPr>
                <w:color w:val="212121"/>
                <w:sz w:val="20"/>
              </w:rPr>
              <w:t>7</w:t>
            </w:r>
          </w:p>
        </w:tc>
        <w:tc>
          <w:tcPr>
            <w:tcW w:w="1461" w:type="dxa"/>
            <w:tcBorders>
              <w:top w:val="nil"/>
              <w:left w:val="nil"/>
              <w:bottom w:val="single" w:sz="8" w:space="0" w:color="auto"/>
              <w:right w:val="single" w:sz="8" w:space="0" w:color="auto"/>
            </w:tcBorders>
            <w:vAlign w:val="center"/>
            <w:hideMark/>
          </w:tcPr>
          <w:p w14:paraId="632838C7" w14:textId="77777777" w:rsidR="00317BCB" w:rsidRPr="00AB0F75" w:rsidRDefault="00317BCB">
            <w:pPr>
              <w:spacing w:after="45"/>
              <w:jc w:val="center"/>
              <w:rPr>
                <w:color w:val="212121"/>
                <w:sz w:val="22"/>
                <w:szCs w:val="22"/>
              </w:rPr>
            </w:pPr>
            <w:r w:rsidRPr="00AB0F75">
              <w:rPr>
                <w:color w:val="212121"/>
                <w:sz w:val="20"/>
              </w:rPr>
              <w:t>29</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72242" w14:textId="77777777" w:rsidR="00317BCB" w:rsidRPr="00AB0F75" w:rsidRDefault="00317BCB">
            <w:pPr>
              <w:spacing w:after="45"/>
              <w:jc w:val="center"/>
              <w:rPr>
                <w:color w:val="212121"/>
                <w:sz w:val="22"/>
                <w:szCs w:val="22"/>
              </w:rPr>
            </w:pPr>
            <w:r w:rsidRPr="00AB0F75">
              <w:rPr>
                <w:color w:val="212121"/>
                <w:sz w:val="20"/>
              </w:rPr>
              <w:t>$2,900,000</w:t>
            </w:r>
          </w:p>
        </w:tc>
      </w:tr>
      <w:tr w:rsidR="00317BCB" w:rsidRPr="00AB0F75" w14:paraId="0141E77B" w14:textId="77777777" w:rsidTr="00317BCB">
        <w:trPr>
          <w:trHeight w:val="479"/>
          <w:jc w:val="center"/>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42D9D" w14:textId="77777777" w:rsidR="00317BCB" w:rsidRPr="00AB0F75" w:rsidRDefault="00317BCB">
            <w:pPr>
              <w:spacing w:after="45"/>
              <w:rPr>
                <w:color w:val="212121"/>
                <w:sz w:val="22"/>
                <w:szCs w:val="22"/>
              </w:rPr>
            </w:pPr>
            <w:r w:rsidRPr="00AB0F75">
              <w:rPr>
                <w:color w:val="212121"/>
                <w:sz w:val="20"/>
              </w:rPr>
              <w:t>AGL Sales Pty Ltd (A092)</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6D1C6" w14:textId="77777777" w:rsidR="00317BCB" w:rsidRPr="00AB0F75" w:rsidRDefault="00317BCB">
            <w:pPr>
              <w:spacing w:after="45"/>
              <w:jc w:val="center"/>
              <w:rPr>
                <w:color w:val="212121"/>
                <w:sz w:val="22"/>
                <w:szCs w:val="22"/>
              </w:rPr>
            </w:pPr>
            <w:r w:rsidRPr="00AB0F75">
              <w:rPr>
                <w:color w:val="212121"/>
                <w:sz w:val="20"/>
              </w:rPr>
              <w:t>2,542</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A8EF2" w14:textId="77777777" w:rsidR="00317BCB" w:rsidRPr="00AB0F75" w:rsidRDefault="00317BCB">
            <w:pPr>
              <w:spacing w:after="45"/>
              <w:jc w:val="center"/>
              <w:rPr>
                <w:color w:val="212121"/>
                <w:sz w:val="22"/>
                <w:szCs w:val="22"/>
              </w:rPr>
            </w:pPr>
            <w:r w:rsidRPr="00AB0F75">
              <w:rPr>
                <w:color w:val="212121"/>
                <w:sz w:val="20"/>
              </w:rPr>
              <w:t>2,542</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A90B0" w14:textId="77777777" w:rsidR="00317BCB" w:rsidRPr="00AB0F75" w:rsidRDefault="00317BCB">
            <w:pPr>
              <w:spacing w:after="45"/>
              <w:jc w:val="center"/>
              <w:rPr>
                <w:color w:val="212121"/>
                <w:sz w:val="22"/>
                <w:szCs w:val="22"/>
              </w:rPr>
            </w:pPr>
            <w:r w:rsidRPr="00AB0F75">
              <w:rPr>
                <w:color w:val="212121"/>
                <w:sz w:val="20"/>
              </w:rPr>
              <w:t>5,671</w:t>
            </w:r>
          </w:p>
        </w:tc>
        <w:tc>
          <w:tcPr>
            <w:tcW w:w="1461" w:type="dxa"/>
            <w:tcBorders>
              <w:top w:val="nil"/>
              <w:left w:val="nil"/>
              <w:bottom w:val="single" w:sz="8" w:space="0" w:color="auto"/>
              <w:right w:val="single" w:sz="8" w:space="0" w:color="auto"/>
            </w:tcBorders>
            <w:vAlign w:val="center"/>
            <w:hideMark/>
          </w:tcPr>
          <w:p w14:paraId="333D8150" w14:textId="77777777" w:rsidR="00317BCB" w:rsidRPr="00AB0F75" w:rsidRDefault="00317BCB">
            <w:pPr>
              <w:spacing w:after="45"/>
              <w:jc w:val="center"/>
              <w:rPr>
                <w:color w:val="212121"/>
                <w:sz w:val="22"/>
                <w:szCs w:val="22"/>
              </w:rPr>
            </w:pPr>
            <w:r w:rsidRPr="00AB0F75">
              <w:rPr>
                <w:color w:val="212121"/>
                <w:sz w:val="20"/>
              </w:rPr>
              <w:t>10,755</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69794" w14:textId="77777777" w:rsidR="00317BCB" w:rsidRPr="00AB0F75" w:rsidRDefault="00317BCB">
            <w:pPr>
              <w:spacing w:after="45"/>
              <w:jc w:val="center"/>
              <w:rPr>
                <w:color w:val="212121"/>
                <w:sz w:val="22"/>
                <w:szCs w:val="22"/>
              </w:rPr>
            </w:pPr>
            <w:r w:rsidRPr="00AB0F75">
              <w:rPr>
                <w:color w:val="212121"/>
                <w:sz w:val="20"/>
              </w:rPr>
              <w:t>$1,075,500,000</w:t>
            </w:r>
          </w:p>
        </w:tc>
      </w:tr>
      <w:tr w:rsidR="00317BCB" w:rsidRPr="00AB0F75" w14:paraId="6EE14F94" w14:textId="77777777" w:rsidTr="00317BCB">
        <w:trPr>
          <w:trHeight w:val="877"/>
          <w:jc w:val="center"/>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9FD93" w14:textId="77777777" w:rsidR="00317BCB" w:rsidRPr="00AB0F75" w:rsidRDefault="00317BCB">
            <w:pPr>
              <w:spacing w:after="45"/>
              <w:rPr>
                <w:color w:val="212121"/>
                <w:sz w:val="22"/>
                <w:szCs w:val="22"/>
              </w:rPr>
            </w:pPr>
            <w:r w:rsidRPr="00AB0F75">
              <w:rPr>
                <w:color w:val="212121"/>
                <w:sz w:val="20"/>
              </w:rPr>
              <w:lastRenderedPageBreak/>
              <w:t>AGL South Australia Pty Ltd (A072)</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1CA78" w14:textId="77777777" w:rsidR="00317BCB" w:rsidRPr="00AB0F75" w:rsidRDefault="00317BCB">
            <w:pPr>
              <w:spacing w:after="45"/>
              <w:jc w:val="center"/>
              <w:rPr>
                <w:color w:val="212121"/>
                <w:sz w:val="22"/>
                <w:szCs w:val="22"/>
              </w:rPr>
            </w:pPr>
            <w:r w:rsidRPr="00AB0F75">
              <w:rPr>
                <w:color w:val="212121"/>
                <w:sz w:val="20"/>
              </w:rPr>
              <w:t>929</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12946" w14:textId="77777777" w:rsidR="00317BCB" w:rsidRPr="00AB0F75" w:rsidRDefault="00317BCB">
            <w:pPr>
              <w:spacing w:after="45"/>
              <w:jc w:val="center"/>
              <w:rPr>
                <w:color w:val="212121"/>
                <w:sz w:val="22"/>
                <w:szCs w:val="22"/>
              </w:rPr>
            </w:pPr>
            <w:r w:rsidRPr="00AB0F75">
              <w:rPr>
                <w:color w:val="212121"/>
                <w:sz w:val="20"/>
              </w:rPr>
              <w:t>929</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92771" w14:textId="77777777" w:rsidR="00317BCB" w:rsidRPr="00AB0F75" w:rsidRDefault="00317BCB">
            <w:pPr>
              <w:spacing w:after="45"/>
              <w:jc w:val="center"/>
              <w:rPr>
                <w:color w:val="212121"/>
                <w:sz w:val="22"/>
                <w:szCs w:val="22"/>
              </w:rPr>
            </w:pPr>
            <w:r w:rsidRPr="00AB0F75">
              <w:rPr>
                <w:color w:val="212121"/>
                <w:sz w:val="20"/>
              </w:rPr>
              <w:t>3,105</w:t>
            </w:r>
          </w:p>
        </w:tc>
        <w:tc>
          <w:tcPr>
            <w:tcW w:w="1461" w:type="dxa"/>
            <w:tcBorders>
              <w:top w:val="nil"/>
              <w:left w:val="nil"/>
              <w:bottom w:val="single" w:sz="8" w:space="0" w:color="auto"/>
              <w:right w:val="single" w:sz="8" w:space="0" w:color="auto"/>
            </w:tcBorders>
            <w:vAlign w:val="center"/>
            <w:hideMark/>
          </w:tcPr>
          <w:p w14:paraId="142AD8B2" w14:textId="77777777" w:rsidR="00317BCB" w:rsidRPr="00AB0F75" w:rsidRDefault="00317BCB">
            <w:pPr>
              <w:spacing w:after="45"/>
              <w:jc w:val="center"/>
              <w:rPr>
                <w:color w:val="212121"/>
                <w:sz w:val="22"/>
                <w:szCs w:val="22"/>
              </w:rPr>
            </w:pPr>
            <w:r w:rsidRPr="00AB0F75">
              <w:rPr>
                <w:color w:val="212121"/>
                <w:sz w:val="20"/>
              </w:rPr>
              <w:t>4,963</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7D272" w14:textId="77777777" w:rsidR="00317BCB" w:rsidRPr="00AB0F75" w:rsidRDefault="00317BCB">
            <w:pPr>
              <w:spacing w:after="45"/>
              <w:jc w:val="center"/>
              <w:rPr>
                <w:color w:val="212121"/>
                <w:sz w:val="22"/>
                <w:szCs w:val="22"/>
              </w:rPr>
            </w:pPr>
            <w:r w:rsidRPr="00AB0F75">
              <w:rPr>
                <w:color w:val="212121"/>
                <w:sz w:val="20"/>
              </w:rPr>
              <w:t>$496,300,000</w:t>
            </w:r>
          </w:p>
        </w:tc>
      </w:tr>
      <w:tr w:rsidR="00317BCB" w:rsidRPr="00AB0F75" w14:paraId="5CD439D2" w14:textId="77777777" w:rsidTr="00317BCB">
        <w:trPr>
          <w:trHeight w:val="481"/>
          <w:jc w:val="center"/>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6DDBF" w14:textId="77777777" w:rsidR="00317BCB" w:rsidRPr="00AB0F75" w:rsidRDefault="00317BCB">
            <w:pPr>
              <w:spacing w:after="45"/>
              <w:rPr>
                <w:color w:val="212121"/>
                <w:sz w:val="22"/>
                <w:szCs w:val="22"/>
              </w:rPr>
            </w:pPr>
            <w:r w:rsidRPr="00AB0F75">
              <w:rPr>
                <w:color w:val="212121"/>
                <w:sz w:val="20"/>
              </w:rPr>
              <w:t>Powerdirect Pty Ltd (A121)</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5C155" w14:textId="77777777" w:rsidR="00317BCB" w:rsidRPr="00AB0F75" w:rsidRDefault="00317BCB">
            <w:pPr>
              <w:spacing w:after="45"/>
              <w:jc w:val="center"/>
              <w:rPr>
                <w:color w:val="212121"/>
                <w:sz w:val="22"/>
                <w:szCs w:val="22"/>
              </w:rPr>
            </w:pPr>
            <w:r w:rsidRPr="00AB0F75">
              <w:rPr>
                <w:color w:val="212121"/>
                <w:sz w:val="20"/>
              </w:rPr>
              <w:t>39</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67E4C" w14:textId="77777777" w:rsidR="00317BCB" w:rsidRPr="00AB0F75" w:rsidRDefault="00317BCB">
            <w:pPr>
              <w:spacing w:after="45"/>
              <w:jc w:val="center"/>
              <w:rPr>
                <w:color w:val="212121"/>
                <w:sz w:val="22"/>
                <w:szCs w:val="22"/>
              </w:rPr>
            </w:pPr>
            <w:r w:rsidRPr="00AB0F75">
              <w:rPr>
                <w:color w:val="212121"/>
                <w:sz w:val="20"/>
              </w:rPr>
              <w:t>39</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7E7B9" w14:textId="77777777" w:rsidR="00317BCB" w:rsidRPr="00AB0F75" w:rsidRDefault="00317BCB">
            <w:pPr>
              <w:spacing w:after="45"/>
              <w:jc w:val="center"/>
              <w:rPr>
                <w:color w:val="212121"/>
                <w:sz w:val="22"/>
                <w:szCs w:val="22"/>
              </w:rPr>
            </w:pPr>
            <w:r w:rsidRPr="00AB0F75">
              <w:rPr>
                <w:color w:val="212121"/>
                <w:sz w:val="20"/>
              </w:rPr>
              <w:t>302</w:t>
            </w:r>
          </w:p>
        </w:tc>
        <w:tc>
          <w:tcPr>
            <w:tcW w:w="1461" w:type="dxa"/>
            <w:tcBorders>
              <w:top w:val="nil"/>
              <w:left w:val="nil"/>
              <w:bottom w:val="single" w:sz="8" w:space="0" w:color="auto"/>
              <w:right w:val="single" w:sz="8" w:space="0" w:color="auto"/>
            </w:tcBorders>
            <w:vAlign w:val="center"/>
            <w:hideMark/>
          </w:tcPr>
          <w:p w14:paraId="1C21944D" w14:textId="77777777" w:rsidR="00317BCB" w:rsidRPr="00AB0F75" w:rsidRDefault="00317BCB">
            <w:pPr>
              <w:spacing w:after="45"/>
              <w:jc w:val="center"/>
              <w:rPr>
                <w:color w:val="212121"/>
                <w:sz w:val="22"/>
                <w:szCs w:val="22"/>
              </w:rPr>
            </w:pPr>
            <w:r w:rsidRPr="00AB0F75">
              <w:rPr>
                <w:color w:val="212121"/>
                <w:sz w:val="20"/>
              </w:rPr>
              <w:t>380</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31D9F" w14:textId="77777777" w:rsidR="00317BCB" w:rsidRPr="00AB0F75" w:rsidRDefault="00317BCB">
            <w:pPr>
              <w:spacing w:after="45"/>
              <w:jc w:val="center"/>
              <w:rPr>
                <w:color w:val="212121"/>
                <w:sz w:val="22"/>
                <w:szCs w:val="22"/>
              </w:rPr>
            </w:pPr>
            <w:r w:rsidRPr="00AB0F75">
              <w:rPr>
                <w:color w:val="212121"/>
                <w:sz w:val="20"/>
              </w:rPr>
              <w:t>$38,000,000</w:t>
            </w:r>
          </w:p>
        </w:tc>
      </w:tr>
      <w:tr w:rsidR="00317BCB" w:rsidRPr="00AB0F75" w14:paraId="297CE717" w14:textId="77777777" w:rsidTr="00317BCB">
        <w:trPr>
          <w:trHeight w:val="458"/>
          <w:jc w:val="center"/>
        </w:trPr>
        <w:tc>
          <w:tcPr>
            <w:tcW w:w="8216" w:type="dxa"/>
            <w:gridSpan w:val="6"/>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4BB1E0E" w14:textId="77777777" w:rsidR="00317BCB" w:rsidRPr="00AB0F75" w:rsidRDefault="00317BCB">
            <w:pPr>
              <w:keepNext/>
              <w:spacing w:after="45"/>
              <w:jc w:val="center"/>
              <w:rPr>
                <w:color w:val="212121"/>
                <w:sz w:val="22"/>
                <w:szCs w:val="22"/>
              </w:rPr>
            </w:pPr>
            <w:r w:rsidRPr="00AB0F75">
              <w:rPr>
                <w:i/>
                <w:iCs/>
                <w:color w:val="000000"/>
                <w:sz w:val="20"/>
              </w:rPr>
              <w:t>Contraventions from 29 January 2021 onwards*</w:t>
            </w:r>
          </w:p>
        </w:tc>
      </w:tr>
      <w:tr w:rsidR="00317BCB" w:rsidRPr="00AB0F75" w14:paraId="217E1685" w14:textId="77777777" w:rsidTr="00317BCB">
        <w:trPr>
          <w:trHeight w:val="877"/>
          <w:jc w:val="center"/>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A1554" w14:textId="77777777" w:rsidR="00317BCB" w:rsidRPr="00AB0F75" w:rsidRDefault="00317BCB">
            <w:pPr>
              <w:spacing w:after="45"/>
              <w:rPr>
                <w:color w:val="212121"/>
                <w:sz w:val="22"/>
                <w:szCs w:val="22"/>
              </w:rPr>
            </w:pPr>
            <w:r w:rsidRPr="00AB0F75">
              <w:rPr>
                <w:color w:val="212121"/>
                <w:sz w:val="20"/>
              </w:rPr>
              <w:t>AGL Retail Energy Limited (A005)</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1054A" w14:textId="77777777" w:rsidR="00317BCB" w:rsidRPr="00AB0F75" w:rsidRDefault="00317BCB">
            <w:pPr>
              <w:spacing w:after="45"/>
              <w:jc w:val="center"/>
              <w:rPr>
                <w:color w:val="212121"/>
                <w:sz w:val="22"/>
                <w:szCs w:val="22"/>
              </w:rPr>
            </w:pPr>
            <w:r w:rsidRPr="00AB0F75">
              <w:rPr>
                <w:color w:val="212121"/>
                <w:sz w:val="20"/>
              </w:rPr>
              <w:t>3</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4D68E" w14:textId="77777777" w:rsidR="00317BCB" w:rsidRPr="00AB0F75" w:rsidRDefault="00317BCB">
            <w:pPr>
              <w:spacing w:after="45"/>
              <w:jc w:val="center"/>
              <w:rPr>
                <w:color w:val="212121"/>
                <w:sz w:val="22"/>
                <w:szCs w:val="22"/>
              </w:rPr>
            </w:pPr>
            <w:r w:rsidRPr="00AB0F75">
              <w:rPr>
                <w:color w:val="212121"/>
                <w:sz w:val="20"/>
              </w:rPr>
              <w:t>3</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7C400" w14:textId="77777777" w:rsidR="00317BCB" w:rsidRPr="00AB0F75" w:rsidRDefault="00317BCB">
            <w:pPr>
              <w:spacing w:after="45"/>
              <w:jc w:val="center"/>
              <w:rPr>
                <w:color w:val="212121"/>
                <w:sz w:val="22"/>
                <w:szCs w:val="22"/>
              </w:rPr>
            </w:pPr>
            <w:r w:rsidRPr="00AB0F75">
              <w:rPr>
                <w:color w:val="212121"/>
                <w:sz w:val="20"/>
              </w:rPr>
              <w:t>0</w:t>
            </w:r>
          </w:p>
        </w:tc>
        <w:tc>
          <w:tcPr>
            <w:tcW w:w="1461" w:type="dxa"/>
            <w:tcBorders>
              <w:top w:val="nil"/>
              <w:left w:val="nil"/>
              <w:bottom w:val="single" w:sz="8" w:space="0" w:color="auto"/>
              <w:right w:val="single" w:sz="8" w:space="0" w:color="auto"/>
            </w:tcBorders>
            <w:vAlign w:val="center"/>
            <w:hideMark/>
          </w:tcPr>
          <w:p w14:paraId="06D7199B" w14:textId="77777777" w:rsidR="00317BCB" w:rsidRPr="00AB0F75" w:rsidRDefault="00317BCB">
            <w:pPr>
              <w:spacing w:after="45"/>
              <w:jc w:val="center"/>
              <w:rPr>
                <w:color w:val="212121"/>
                <w:sz w:val="22"/>
                <w:szCs w:val="22"/>
              </w:rPr>
            </w:pPr>
            <w:r w:rsidRPr="00AB0F75">
              <w:rPr>
                <w:color w:val="212121"/>
                <w:sz w:val="20"/>
              </w:rPr>
              <w:t>6</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E0E7A" w14:textId="77777777" w:rsidR="00317BCB" w:rsidRPr="00AB0F75" w:rsidRDefault="00317BCB">
            <w:pPr>
              <w:spacing w:after="45"/>
              <w:jc w:val="center"/>
              <w:rPr>
                <w:color w:val="212121"/>
                <w:sz w:val="22"/>
                <w:szCs w:val="22"/>
              </w:rPr>
            </w:pPr>
            <w:r w:rsidRPr="00AB0F75">
              <w:rPr>
                <w:color w:val="212121"/>
                <w:sz w:val="20"/>
              </w:rPr>
              <w:t>$8,610,000</w:t>
            </w:r>
          </w:p>
        </w:tc>
      </w:tr>
      <w:tr w:rsidR="00317BCB" w:rsidRPr="00AB0F75" w14:paraId="0BA1254D" w14:textId="77777777" w:rsidTr="00317BCB">
        <w:trPr>
          <w:trHeight w:val="479"/>
          <w:jc w:val="center"/>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2A8A1" w14:textId="77777777" w:rsidR="00317BCB" w:rsidRPr="00AB0F75" w:rsidRDefault="00317BCB">
            <w:pPr>
              <w:spacing w:after="45"/>
              <w:rPr>
                <w:color w:val="212121"/>
                <w:sz w:val="22"/>
                <w:szCs w:val="22"/>
              </w:rPr>
            </w:pPr>
            <w:r w:rsidRPr="00AB0F75">
              <w:rPr>
                <w:color w:val="212121"/>
                <w:sz w:val="20"/>
              </w:rPr>
              <w:t>AGL Sales Pty Ltd (A092)</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C3129" w14:textId="77777777" w:rsidR="00317BCB" w:rsidRPr="00AB0F75" w:rsidRDefault="00317BCB">
            <w:pPr>
              <w:spacing w:after="45"/>
              <w:jc w:val="center"/>
              <w:rPr>
                <w:color w:val="212121"/>
                <w:sz w:val="22"/>
                <w:szCs w:val="22"/>
              </w:rPr>
            </w:pPr>
            <w:r w:rsidRPr="00AB0F75">
              <w:rPr>
                <w:color w:val="212121"/>
                <w:sz w:val="20"/>
              </w:rPr>
              <w:t>5</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6B15D" w14:textId="77777777" w:rsidR="00317BCB" w:rsidRPr="00AB0F75" w:rsidRDefault="00317BCB">
            <w:pPr>
              <w:spacing w:after="45"/>
              <w:jc w:val="center"/>
              <w:rPr>
                <w:color w:val="212121"/>
                <w:sz w:val="22"/>
                <w:szCs w:val="22"/>
              </w:rPr>
            </w:pPr>
            <w:r w:rsidRPr="00AB0F75">
              <w:rPr>
                <w:color w:val="212121"/>
                <w:sz w:val="20"/>
              </w:rPr>
              <w:t>5</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EEA7F" w14:textId="77777777" w:rsidR="00317BCB" w:rsidRPr="00AB0F75" w:rsidRDefault="00317BCB">
            <w:pPr>
              <w:spacing w:after="45"/>
              <w:jc w:val="center"/>
              <w:rPr>
                <w:color w:val="212121"/>
                <w:sz w:val="22"/>
                <w:szCs w:val="22"/>
              </w:rPr>
            </w:pPr>
            <w:r w:rsidRPr="00AB0F75">
              <w:rPr>
                <w:color w:val="212121"/>
                <w:sz w:val="20"/>
              </w:rPr>
              <w:t>8</w:t>
            </w:r>
          </w:p>
        </w:tc>
        <w:tc>
          <w:tcPr>
            <w:tcW w:w="1461" w:type="dxa"/>
            <w:tcBorders>
              <w:top w:val="nil"/>
              <w:left w:val="nil"/>
              <w:bottom w:val="single" w:sz="8" w:space="0" w:color="auto"/>
              <w:right w:val="single" w:sz="8" w:space="0" w:color="auto"/>
            </w:tcBorders>
            <w:vAlign w:val="center"/>
            <w:hideMark/>
          </w:tcPr>
          <w:p w14:paraId="29F6B5F9" w14:textId="77777777" w:rsidR="00317BCB" w:rsidRPr="00AB0F75" w:rsidRDefault="00317BCB">
            <w:pPr>
              <w:spacing w:after="45"/>
              <w:jc w:val="center"/>
              <w:rPr>
                <w:color w:val="212121"/>
                <w:sz w:val="22"/>
                <w:szCs w:val="22"/>
              </w:rPr>
            </w:pPr>
            <w:r w:rsidRPr="00AB0F75">
              <w:rPr>
                <w:color w:val="212121"/>
                <w:sz w:val="20"/>
              </w:rPr>
              <w:t>18</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FCEE5" w14:textId="77777777" w:rsidR="00317BCB" w:rsidRPr="00AB0F75" w:rsidRDefault="00317BCB">
            <w:pPr>
              <w:spacing w:after="45"/>
              <w:jc w:val="center"/>
              <w:rPr>
                <w:color w:val="212121"/>
                <w:sz w:val="22"/>
                <w:szCs w:val="22"/>
              </w:rPr>
            </w:pPr>
            <w:r w:rsidRPr="00AB0F75">
              <w:rPr>
                <w:color w:val="212121"/>
                <w:sz w:val="20"/>
              </w:rPr>
              <w:t>$25,830,000</w:t>
            </w:r>
          </w:p>
        </w:tc>
      </w:tr>
      <w:tr w:rsidR="00317BCB" w:rsidRPr="00AB0F75" w14:paraId="2E2E6A00" w14:textId="77777777" w:rsidTr="00317BCB">
        <w:trPr>
          <w:trHeight w:val="877"/>
          <w:jc w:val="center"/>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20A30F" w14:textId="77777777" w:rsidR="00317BCB" w:rsidRPr="00AB0F75" w:rsidRDefault="00317BCB">
            <w:pPr>
              <w:spacing w:after="45"/>
              <w:rPr>
                <w:color w:val="212121"/>
                <w:sz w:val="22"/>
                <w:szCs w:val="22"/>
              </w:rPr>
            </w:pPr>
            <w:r w:rsidRPr="00AB0F75">
              <w:rPr>
                <w:color w:val="212121"/>
                <w:sz w:val="20"/>
              </w:rPr>
              <w:t>AGL South Australia Pty Ltd (A072)</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C571B" w14:textId="77777777" w:rsidR="00317BCB" w:rsidRPr="00AB0F75" w:rsidRDefault="00317BCB">
            <w:pPr>
              <w:spacing w:after="45"/>
              <w:jc w:val="center"/>
              <w:rPr>
                <w:color w:val="212121"/>
                <w:sz w:val="22"/>
                <w:szCs w:val="22"/>
              </w:rPr>
            </w:pPr>
            <w:r w:rsidRPr="00AB0F75">
              <w:rPr>
                <w:color w:val="212121"/>
                <w:sz w:val="20"/>
              </w:rPr>
              <w:t>2</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68CC9" w14:textId="77777777" w:rsidR="00317BCB" w:rsidRPr="00AB0F75" w:rsidRDefault="00317BCB">
            <w:pPr>
              <w:spacing w:after="45"/>
              <w:jc w:val="center"/>
              <w:rPr>
                <w:color w:val="212121"/>
                <w:sz w:val="22"/>
                <w:szCs w:val="22"/>
              </w:rPr>
            </w:pPr>
            <w:r w:rsidRPr="00AB0F75">
              <w:rPr>
                <w:color w:val="212121"/>
                <w:sz w:val="20"/>
              </w:rPr>
              <w:t>2</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3DD06" w14:textId="77777777" w:rsidR="00317BCB" w:rsidRPr="00AB0F75" w:rsidRDefault="00317BCB">
            <w:pPr>
              <w:spacing w:after="45"/>
              <w:jc w:val="center"/>
              <w:rPr>
                <w:color w:val="212121"/>
                <w:sz w:val="22"/>
                <w:szCs w:val="22"/>
              </w:rPr>
            </w:pPr>
            <w:r w:rsidRPr="00AB0F75">
              <w:rPr>
                <w:color w:val="212121"/>
                <w:sz w:val="20"/>
              </w:rPr>
              <w:t>1</w:t>
            </w:r>
          </w:p>
        </w:tc>
        <w:tc>
          <w:tcPr>
            <w:tcW w:w="1461" w:type="dxa"/>
            <w:tcBorders>
              <w:top w:val="nil"/>
              <w:left w:val="nil"/>
              <w:bottom w:val="single" w:sz="8" w:space="0" w:color="auto"/>
              <w:right w:val="single" w:sz="8" w:space="0" w:color="auto"/>
            </w:tcBorders>
            <w:vAlign w:val="center"/>
            <w:hideMark/>
          </w:tcPr>
          <w:p w14:paraId="01931F80" w14:textId="77777777" w:rsidR="00317BCB" w:rsidRPr="00AB0F75" w:rsidRDefault="00317BCB">
            <w:pPr>
              <w:spacing w:after="45"/>
              <w:jc w:val="center"/>
              <w:rPr>
                <w:color w:val="212121"/>
                <w:sz w:val="22"/>
                <w:szCs w:val="22"/>
              </w:rPr>
            </w:pPr>
            <w:r w:rsidRPr="00AB0F75">
              <w:rPr>
                <w:color w:val="212121"/>
                <w:sz w:val="20"/>
              </w:rPr>
              <w:t>5</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C2FB2" w14:textId="77777777" w:rsidR="00317BCB" w:rsidRPr="00AB0F75" w:rsidRDefault="00317BCB">
            <w:pPr>
              <w:spacing w:after="45"/>
              <w:jc w:val="center"/>
              <w:rPr>
                <w:color w:val="212121"/>
                <w:sz w:val="22"/>
                <w:szCs w:val="22"/>
              </w:rPr>
            </w:pPr>
            <w:r w:rsidRPr="00AB0F75">
              <w:rPr>
                <w:color w:val="212121"/>
                <w:sz w:val="20"/>
              </w:rPr>
              <w:t>$7,175,000</w:t>
            </w:r>
          </w:p>
        </w:tc>
      </w:tr>
      <w:tr w:rsidR="00317BCB" w:rsidRPr="00AB0F75" w14:paraId="3B6ADDBA" w14:textId="77777777" w:rsidTr="00317BCB">
        <w:trPr>
          <w:trHeight w:val="479"/>
          <w:jc w:val="center"/>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55906" w14:textId="77777777" w:rsidR="00317BCB" w:rsidRPr="00AB0F75" w:rsidRDefault="00317BCB">
            <w:pPr>
              <w:spacing w:after="45"/>
              <w:rPr>
                <w:color w:val="212121"/>
                <w:sz w:val="22"/>
                <w:szCs w:val="22"/>
              </w:rPr>
            </w:pPr>
            <w:r w:rsidRPr="00AB0F75">
              <w:rPr>
                <w:color w:val="212121"/>
                <w:sz w:val="20"/>
              </w:rPr>
              <w:t>Powerdirect Pty Ltd (A121)</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51F9E" w14:textId="77777777" w:rsidR="00317BCB" w:rsidRPr="00AB0F75" w:rsidRDefault="00317BCB">
            <w:pPr>
              <w:spacing w:after="45"/>
              <w:jc w:val="center"/>
              <w:rPr>
                <w:color w:val="212121"/>
                <w:sz w:val="22"/>
                <w:szCs w:val="22"/>
              </w:rPr>
            </w:pPr>
            <w:r w:rsidRPr="00AB0F75">
              <w:rPr>
                <w:color w:val="212121"/>
                <w:sz w:val="20"/>
              </w:rPr>
              <w:t>0</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F03A" w14:textId="77777777" w:rsidR="00317BCB" w:rsidRPr="00AB0F75" w:rsidRDefault="00317BCB">
            <w:pPr>
              <w:spacing w:after="45"/>
              <w:jc w:val="center"/>
              <w:rPr>
                <w:color w:val="212121"/>
                <w:sz w:val="22"/>
                <w:szCs w:val="22"/>
              </w:rPr>
            </w:pPr>
            <w:r w:rsidRPr="00AB0F75">
              <w:rPr>
                <w:color w:val="212121"/>
                <w:sz w:val="20"/>
              </w:rPr>
              <w:t>0</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EB669" w14:textId="77777777" w:rsidR="00317BCB" w:rsidRPr="00AB0F75" w:rsidRDefault="00317BCB">
            <w:pPr>
              <w:spacing w:after="45"/>
              <w:jc w:val="center"/>
              <w:rPr>
                <w:color w:val="212121"/>
                <w:sz w:val="22"/>
                <w:szCs w:val="22"/>
              </w:rPr>
            </w:pPr>
            <w:r w:rsidRPr="00AB0F75">
              <w:rPr>
                <w:color w:val="212121"/>
                <w:sz w:val="20"/>
              </w:rPr>
              <w:t>0</w:t>
            </w:r>
          </w:p>
        </w:tc>
        <w:tc>
          <w:tcPr>
            <w:tcW w:w="1461" w:type="dxa"/>
            <w:tcBorders>
              <w:top w:val="nil"/>
              <w:left w:val="nil"/>
              <w:bottom w:val="single" w:sz="8" w:space="0" w:color="auto"/>
              <w:right w:val="single" w:sz="8" w:space="0" w:color="auto"/>
            </w:tcBorders>
            <w:vAlign w:val="center"/>
            <w:hideMark/>
          </w:tcPr>
          <w:p w14:paraId="6838D613" w14:textId="77777777" w:rsidR="00317BCB" w:rsidRPr="00AB0F75" w:rsidRDefault="00317BCB">
            <w:pPr>
              <w:spacing w:after="45"/>
              <w:jc w:val="center"/>
              <w:rPr>
                <w:color w:val="212121"/>
                <w:sz w:val="22"/>
                <w:szCs w:val="22"/>
              </w:rPr>
            </w:pPr>
            <w:r w:rsidRPr="00AB0F75">
              <w:rPr>
                <w:color w:val="212121"/>
                <w:sz w:val="20"/>
              </w:rPr>
              <w:t>0</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98186" w14:textId="77777777" w:rsidR="00317BCB" w:rsidRPr="00AB0F75" w:rsidRDefault="00317BCB">
            <w:pPr>
              <w:spacing w:after="45"/>
              <w:jc w:val="center"/>
              <w:rPr>
                <w:color w:val="212121"/>
                <w:sz w:val="22"/>
                <w:szCs w:val="22"/>
              </w:rPr>
            </w:pPr>
            <w:r w:rsidRPr="00AB0F75">
              <w:rPr>
                <w:color w:val="212121"/>
                <w:sz w:val="20"/>
              </w:rPr>
              <w:t>$0</w:t>
            </w:r>
          </w:p>
        </w:tc>
      </w:tr>
      <w:tr w:rsidR="00317BCB" w:rsidRPr="00AB0F75" w14:paraId="0A523E79" w14:textId="77777777" w:rsidTr="00317BCB">
        <w:trPr>
          <w:trHeight w:val="479"/>
          <w:jc w:val="center"/>
        </w:trPr>
        <w:tc>
          <w:tcPr>
            <w:tcW w:w="6551" w:type="dxa"/>
            <w:gridSpan w:val="5"/>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C8FF91" w14:textId="77777777" w:rsidR="00317BCB" w:rsidRPr="00AB0F75" w:rsidRDefault="00317BCB">
            <w:pPr>
              <w:spacing w:after="45"/>
              <w:jc w:val="center"/>
              <w:rPr>
                <w:color w:val="212121"/>
                <w:sz w:val="22"/>
                <w:szCs w:val="22"/>
              </w:rPr>
            </w:pPr>
            <w:r w:rsidRPr="00AB0F75">
              <w:rPr>
                <w:b/>
                <w:bCs/>
                <w:color w:val="000000"/>
                <w:sz w:val="20"/>
              </w:rPr>
              <w:t>Total maximum penalty</w:t>
            </w:r>
            <w:r>
              <w:rPr>
                <w:b/>
                <w:bCs/>
                <w:color w:val="000000"/>
                <w:sz w:val="20"/>
              </w:rPr>
              <w:t xml:space="preserve"> (using simplifying assumption)</w:t>
            </w:r>
          </w:p>
        </w:tc>
        <w:tc>
          <w:tcPr>
            <w:tcW w:w="1665"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73010CBA" w14:textId="77777777" w:rsidR="00317BCB" w:rsidRPr="00AB0F75" w:rsidRDefault="00317BCB">
            <w:pPr>
              <w:spacing w:after="45"/>
              <w:jc w:val="center"/>
              <w:rPr>
                <w:color w:val="212121"/>
                <w:sz w:val="22"/>
                <w:szCs w:val="22"/>
              </w:rPr>
            </w:pPr>
            <w:r w:rsidRPr="00AB0F75">
              <w:rPr>
                <w:b/>
                <w:bCs/>
                <w:color w:val="000000"/>
                <w:sz w:val="20"/>
              </w:rPr>
              <w:t>$1,654,315,000</w:t>
            </w:r>
          </w:p>
        </w:tc>
      </w:tr>
    </w:tbl>
    <w:p w14:paraId="55AAC634" w14:textId="5AFF823F" w:rsidR="00483751" w:rsidRDefault="00E75035" w:rsidP="00E75035">
      <w:pPr>
        <w:pStyle w:val="ParaNumbering"/>
        <w:numPr>
          <w:ilvl w:val="0"/>
          <w:numId w:val="0"/>
        </w:numPr>
        <w:tabs>
          <w:tab w:val="left" w:pos="720"/>
        </w:tabs>
        <w:ind w:hanging="720"/>
      </w:pPr>
      <w:r>
        <w:rPr>
          <w:sz w:val="20"/>
        </w:rPr>
        <w:t>85</w:t>
      </w:r>
      <w:r>
        <w:rPr>
          <w:sz w:val="20"/>
        </w:rPr>
        <w:tab/>
      </w:r>
      <w:r w:rsidR="00A87A99">
        <w:t>It was common ground</w:t>
      </w:r>
      <w:r w:rsidR="00232234">
        <w:t xml:space="preserve"> that the theoretical maximum penalty is extremely high and</w:t>
      </w:r>
      <w:r w:rsidR="008848B5">
        <w:t xml:space="preserve"> </w:t>
      </w:r>
      <w:r w:rsidR="00CD6B30">
        <w:t xml:space="preserve">that </w:t>
      </w:r>
      <w:r w:rsidR="00232234">
        <w:t xml:space="preserve">it is not appropriate for it to operate as a yardstick </w:t>
      </w:r>
      <w:r w:rsidR="00BF7087">
        <w:t>on the facts of</w:t>
      </w:r>
      <w:r w:rsidR="00465D9D">
        <w:t xml:space="preserve"> this case</w:t>
      </w:r>
      <w:r w:rsidR="00232234">
        <w:t>.</w:t>
      </w:r>
      <w:r w:rsidR="00095B40">
        <w:t xml:space="preserve">  </w:t>
      </w:r>
      <w:r w:rsidR="00232234">
        <w:t xml:space="preserve">However, </w:t>
      </w:r>
      <w:r w:rsidR="0074173D">
        <w:t>as submitted by the AER,</w:t>
      </w:r>
      <w:r w:rsidR="00232234">
        <w:t xml:space="preserve"> the maximum penalty reflects the legislative assessment that breaches of the Retail Rules and the Retail Law have significant consequences for energy consumers and that substantial penalties are necessary in order to provide the appropriate specific and general deterrence.</w:t>
      </w:r>
    </w:p>
    <w:p w14:paraId="5B8E2EDA" w14:textId="328E3CDE" w:rsidR="00483751" w:rsidRDefault="003E1FB8" w:rsidP="00483751">
      <w:pPr>
        <w:pStyle w:val="Heading2"/>
      </w:pPr>
      <w:r w:rsidRPr="003E1FB8">
        <w:t>C</w:t>
      </w:r>
      <w:r w:rsidR="00014804" w:rsidRPr="003E1FB8">
        <w:t xml:space="preserve">onclusion </w:t>
      </w:r>
      <w:r w:rsidRPr="003E1FB8">
        <w:t>as to</w:t>
      </w:r>
      <w:r w:rsidR="00014804" w:rsidRPr="003E1FB8">
        <w:t xml:space="preserve"> </w:t>
      </w:r>
      <w:r w:rsidR="00F95E03">
        <w:t xml:space="preserve">appropriate </w:t>
      </w:r>
      <w:r w:rsidR="00014804" w:rsidRPr="003E1FB8">
        <w:t>penalty</w:t>
      </w:r>
    </w:p>
    <w:p w14:paraId="708809E6" w14:textId="35C4D3D6" w:rsidR="00E71A1B" w:rsidRDefault="00E75035" w:rsidP="00E75035">
      <w:pPr>
        <w:pStyle w:val="ParaNumbering"/>
        <w:numPr>
          <w:ilvl w:val="0"/>
          <w:numId w:val="0"/>
        </w:numPr>
        <w:tabs>
          <w:tab w:val="left" w:pos="720"/>
        </w:tabs>
        <w:ind w:hanging="720"/>
      </w:pPr>
      <w:r>
        <w:rPr>
          <w:sz w:val="20"/>
        </w:rPr>
        <w:t>86</w:t>
      </w:r>
      <w:r>
        <w:rPr>
          <w:sz w:val="20"/>
        </w:rPr>
        <w:tab/>
      </w:r>
      <w:r w:rsidR="00934C2B" w:rsidRPr="00AD37C3">
        <w:t xml:space="preserve">Having regard to the </w:t>
      </w:r>
      <w:r w:rsidR="00934C2B">
        <w:t>findings in the liability judgment</w:t>
      </w:r>
      <w:r w:rsidR="006B18EA">
        <w:t>,</w:t>
      </w:r>
      <w:r w:rsidR="00934C2B">
        <w:t xml:space="preserve"> the </w:t>
      </w:r>
      <w:r w:rsidR="006B18EA">
        <w:t>facts and</w:t>
      </w:r>
      <w:r w:rsidR="00934C2B" w:rsidRPr="00AD37C3">
        <w:t xml:space="preserve"> considerations set out above and the statements of legal principle in the authorities regarding the purpose of civil penalties, </w:t>
      </w:r>
      <w:r w:rsidR="006B18EA">
        <w:t>I consider</w:t>
      </w:r>
      <w:r w:rsidR="00934C2B" w:rsidRPr="00AD37C3">
        <w:t xml:space="preserve"> that</w:t>
      </w:r>
      <w:r w:rsidR="00AB6DCD">
        <w:t xml:space="preserve"> an</w:t>
      </w:r>
      <w:r w:rsidR="00934C2B" w:rsidRPr="00AD37C3">
        <w:t xml:space="preserve"> appropriate pecuniary penalt</w:t>
      </w:r>
      <w:r w:rsidR="00AB6DCD">
        <w:t>y</w:t>
      </w:r>
      <w:r w:rsidR="00934C2B" w:rsidRPr="00AD37C3">
        <w:t xml:space="preserve"> in this case </w:t>
      </w:r>
      <w:r w:rsidR="004B76AF">
        <w:t>is</w:t>
      </w:r>
      <w:r w:rsidR="00934C2B" w:rsidRPr="00AD37C3">
        <w:t xml:space="preserve"> </w:t>
      </w:r>
      <w:r w:rsidR="00AB6DCD">
        <w:t xml:space="preserve">the amount of $25 </w:t>
      </w:r>
      <w:r w:rsidR="00934C2B" w:rsidRPr="00AD37C3">
        <w:t>million</w:t>
      </w:r>
      <w:r w:rsidR="00E71A1B">
        <w:t>.</w:t>
      </w:r>
    </w:p>
    <w:p w14:paraId="32097E70" w14:textId="5226CE4A" w:rsidR="00F35C80" w:rsidRPr="00F35C80" w:rsidRDefault="00E75035" w:rsidP="00E75035">
      <w:pPr>
        <w:pStyle w:val="ParaNumbering"/>
        <w:numPr>
          <w:ilvl w:val="0"/>
          <w:numId w:val="0"/>
        </w:numPr>
        <w:tabs>
          <w:tab w:val="left" w:pos="720"/>
        </w:tabs>
        <w:ind w:hanging="720"/>
      </w:pPr>
      <w:r w:rsidRPr="00F35C80">
        <w:rPr>
          <w:sz w:val="20"/>
        </w:rPr>
        <w:t>87</w:t>
      </w:r>
      <w:r w:rsidRPr="00F35C80">
        <w:rPr>
          <w:sz w:val="20"/>
        </w:rPr>
        <w:tab/>
      </w:r>
      <w:r w:rsidR="0002297C">
        <w:t>For the reasons explained above,</w:t>
      </w:r>
      <w:r w:rsidR="0091418B">
        <w:t xml:space="preserve"> a</w:t>
      </w:r>
      <w:r w:rsidR="0091418B" w:rsidRPr="005271F3">
        <w:t xml:space="preserve"> penalty </w:t>
      </w:r>
      <w:r w:rsidR="0091418B">
        <w:t>in this amount will be</w:t>
      </w:r>
      <w:r w:rsidR="0091418B" w:rsidRPr="003C7494">
        <w:rPr>
          <w:szCs w:val="22"/>
        </w:rPr>
        <w:t xml:space="preserve"> </w:t>
      </w:r>
      <w:r w:rsidR="0091418B">
        <w:rPr>
          <w:szCs w:val="22"/>
        </w:rPr>
        <w:t>sufficient</w:t>
      </w:r>
      <w:r w:rsidR="0091418B" w:rsidRPr="003C7494">
        <w:rPr>
          <w:szCs w:val="22"/>
        </w:rPr>
        <w:t xml:space="preserve"> to deter repetition by </w:t>
      </w:r>
      <w:r w:rsidR="0091418B">
        <w:rPr>
          <w:szCs w:val="22"/>
        </w:rPr>
        <w:t xml:space="preserve">AGL </w:t>
      </w:r>
      <w:r w:rsidR="00AE4176">
        <w:rPr>
          <w:szCs w:val="22"/>
        </w:rPr>
        <w:t>as well as</w:t>
      </w:r>
      <w:r w:rsidR="0091418B" w:rsidRPr="003C7494">
        <w:rPr>
          <w:szCs w:val="22"/>
        </w:rPr>
        <w:t xml:space="preserve"> contravention by </w:t>
      </w:r>
      <w:r w:rsidR="00AA3650">
        <w:rPr>
          <w:szCs w:val="22"/>
        </w:rPr>
        <w:t xml:space="preserve">others in the </w:t>
      </w:r>
      <w:r w:rsidR="00FF7E59">
        <w:rPr>
          <w:szCs w:val="22"/>
        </w:rPr>
        <w:t>electricity</w:t>
      </w:r>
      <w:r w:rsidR="002E33C0">
        <w:rPr>
          <w:szCs w:val="22"/>
        </w:rPr>
        <w:t xml:space="preserve"> and gas</w:t>
      </w:r>
      <w:r w:rsidR="00AA3650">
        <w:rPr>
          <w:szCs w:val="22"/>
        </w:rPr>
        <w:t xml:space="preserve"> industry</w:t>
      </w:r>
      <w:r w:rsidR="00AE4176">
        <w:rPr>
          <w:szCs w:val="22"/>
        </w:rPr>
        <w:t>.  It is</w:t>
      </w:r>
      <w:r w:rsidR="0091418B">
        <w:rPr>
          <w:szCs w:val="22"/>
        </w:rPr>
        <w:t xml:space="preserve"> one that goes beyond being a mere “cost of doing business”</w:t>
      </w:r>
      <w:r w:rsidR="001D6317">
        <w:rPr>
          <w:szCs w:val="22"/>
        </w:rPr>
        <w:t xml:space="preserve"> and it </w:t>
      </w:r>
      <w:r w:rsidR="001D6317" w:rsidRPr="003C7494">
        <w:rPr>
          <w:szCs w:val="22"/>
        </w:rPr>
        <w:t xml:space="preserve">reflects the nature and extent of </w:t>
      </w:r>
      <w:r w:rsidR="001D6317">
        <w:rPr>
          <w:szCs w:val="22"/>
        </w:rPr>
        <w:t>AGL’s</w:t>
      </w:r>
      <w:r w:rsidR="001D6317" w:rsidRPr="003C7494">
        <w:rPr>
          <w:szCs w:val="22"/>
        </w:rPr>
        <w:t xml:space="preserve"> contraventio</w:t>
      </w:r>
      <w:r w:rsidR="001D6317">
        <w:rPr>
          <w:szCs w:val="22"/>
        </w:rPr>
        <w:t>n</w:t>
      </w:r>
      <w:r w:rsidR="00A03D69">
        <w:rPr>
          <w:szCs w:val="22"/>
        </w:rPr>
        <w:t>s</w:t>
      </w:r>
      <w:r w:rsidR="001D6317" w:rsidRPr="003C7494">
        <w:rPr>
          <w:szCs w:val="22"/>
        </w:rPr>
        <w:t>.</w:t>
      </w:r>
    </w:p>
    <w:p w14:paraId="6D84885A" w14:textId="4878822D" w:rsidR="00AD2965" w:rsidRPr="00E71A1B" w:rsidRDefault="00E75035" w:rsidP="00E75035">
      <w:pPr>
        <w:pStyle w:val="ParaNumbering"/>
        <w:numPr>
          <w:ilvl w:val="0"/>
          <w:numId w:val="0"/>
        </w:numPr>
        <w:tabs>
          <w:tab w:val="left" w:pos="720"/>
        </w:tabs>
        <w:ind w:hanging="720"/>
      </w:pPr>
      <w:r w:rsidRPr="00E71A1B">
        <w:rPr>
          <w:sz w:val="20"/>
        </w:rPr>
        <w:lastRenderedPageBreak/>
        <w:t>88</w:t>
      </w:r>
      <w:r w:rsidRPr="00E71A1B">
        <w:rPr>
          <w:sz w:val="20"/>
        </w:rPr>
        <w:tab/>
      </w:r>
      <w:r w:rsidR="00AD2965" w:rsidRPr="003C7494">
        <w:t xml:space="preserve">Applying the totality principle as a final check, </w:t>
      </w:r>
      <w:r w:rsidR="00AD2965">
        <w:t>the amount of $25 million</w:t>
      </w:r>
      <w:r w:rsidR="00AD2965" w:rsidRPr="003C7494">
        <w:t xml:space="preserve"> is just, appropriate and proportionate to the contravention</w:t>
      </w:r>
      <w:r w:rsidR="00AD2965">
        <w:t>s</w:t>
      </w:r>
      <w:r w:rsidR="00AD2965" w:rsidRPr="003C7494">
        <w:t xml:space="preserve"> </w:t>
      </w:r>
      <w:r w:rsidR="00AD2965">
        <w:t>found in the liability judgment</w:t>
      </w:r>
      <w:r w:rsidR="00AD2965" w:rsidRPr="003C7494">
        <w:t>.</w:t>
      </w:r>
      <w:r w:rsidR="00AD2965">
        <w:t xml:space="preserve">  Further, having regard to AGL’s size and financial position, a penalty in this amount is not oppressive.</w:t>
      </w:r>
    </w:p>
    <w:p w14:paraId="4C315BD0" w14:textId="6F1D0C94" w:rsidR="00E71A1B" w:rsidRDefault="00E75035" w:rsidP="00E75035">
      <w:pPr>
        <w:pStyle w:val="ParaNumbering"/>
        <w:numPr>
          <w:ilvl w:val="0"/>
          <w:numId w:val="0"/>
        </w:numPr>
        <w:tabs>
          <w:tab w:val="left" w:pos="720"/>
        </w:tabs>
        <w:ind w:hanging="720"/>
      </w:pPr>
      <w:r>
        <w:rPr>
          <w:sz w:val="20"/>
        </w:rPr>
        <w:t>89</w:t>
      </w:r>
      <w:r>
        <w:rPr>
          <w:sz w:val="20"/>
        </w:rPr>
        <w:tab/>
      </w:r>
      <w:r w:rsidR="00E71A1B">
        <w:t xml:space="preserve">As each of the AGL </w:t>
      </w:r>
      <w:r w:rsidR="006A02DF">
        <w:t>E</w:t>
      </w:r>
      <w:r w:rsidR="00E71A1B">
        <w:t xml:space="preserve">ntities </w:t>
      </w:r>
      <w:r w:rsidR="00E71A1B" w:rsidRPr="00B428C1">
        <w:t>share the internal resources of the AGL group</w:t>
      </w:r>
      <w:r w:rsidR="00E71A1B">
        <w:t xml:space="preserve">, </w:t>
      </w:r>
      <w:r w:rsidR="00E71A1B" w:rsidRPr="00B428C1">
        <w:t>including people, data, processes and technology</w:t>
      </w:r>
      <w:r w:rsidR="00E71A1B">
        <w:t xml:space="preserve"> (LJ [61]), it is not appropriate that any particular AGL </w:t>
      </w:r>
      <w:r w:rsidR="002F3768">
        <w:t>E</w:t>
      </w:r>
      <w:r w:rsidR="00E71A1B">
        <w:t xml:space="preserve">ntity pay a reduced penalty by reason of its relative size in the corporate group.  Rather, </w:t>
      </w:r>
      <w:r w:rsidR="00BB4E17">
        <w:t xml:space="preserve">as was common ground, </w:t>
      </w:r>
      <w:r w:rsidR="00E71A1B">
        <w:t xml:space="preserve">it is appropriate that the overall penalty is shared </w:t>
      </w:r>
      <w:r w:rsidR="00E71A1B">
        <w:rPr>
          <w:i/>
          <w:iCs/>
        </w:rPr>
        <w:t xml:space="preserve">pro rata </w:t>
      </w:r>
      <w:r w:rsidR="00E71A1B">
        <w:t>between each of the AGL Entities commensurate to the number of contraventions associated with each entity.</w:t>
      </w:r>
    </w:p>
    <w:p w14:paraId="37B914E8" w14:textId="77EB157C" w:rsidR="001A3AB6" w:rsidRDefault="00E75035" w:rsidP="005D7735">
      <w:pPr>
        <w:pStyle w:val="Heading1"/>
      </w:pPr>
      <w:r>
        <w:rPr>
          <w:caps w:val="0"/>
        </w:rPr>
        <w:t>DISPOSITION</w:t>
      </w:r>
    </w:p>
    <w:p w14:paraId="179CAC3B" w14:textId="521E4A81" w:rsidR="00B45A00" w:rsidRPr="00B45A00" w:rsidRDefault="00E75035" w:rsidP="00E75035">
      <w:pPr>
        <w:pStyle w:val="ParaNumbering"/>
        <w:numPr>
          <w:ilvl w:val="0"/>
          <w:numId w:val="0"/>
        </w:numPr>
        <w:tabs>
          <w:tab w:val="left" w:pos="720"/>
        </w:tabs>
        <w:ind w:hanging="720"/>
      </w:pPr>
      <w:r w:rsidRPr="00B45A00">
        <w:rPr>
          <w:sz w:val="20"/>
        </w:rPr>
        <w:t>90</w:t>
      </w:r>
      <w:r w:rsidRPr="00B45A00">
        <w:rPr>
          <w:sz w:val="20"/>
        </w:rPr>
        <w:tab/>
      </w:r>
      <w:r w:rsidR="00585175">
        <w:t xml:space="preserve">For </w:t>
      </w:r>
      <w:r w:rsidR="001D3D67">
        <w:t>these reasons</w:t>
      </w:r>
      <w:r w:rsidR="00585175">
        <w:t xml:space="preserve">, I will order </w:t>
      </w:r>
      <w:r w:rsidR="009937DA">
        <w:t xml:space="preserve">that </w:t>
      </w:r>
      <w:r w:rsidR="005672BF">
        <w:t xml:space="preserve">the </w:t>
      </w:r>
      <w:r w:rsidR="009937DA">
        <w:t>AGL</w:t>
      </w:r>
      <w:r w:rsidR="005672BF">
        <w:t xml:space="preserve"> Entities</w:t>
      </w:r>
      <w:r w:rsidR="009937DA">
        <w:t xml:space="preserve"> pay</w:t>
      </w:r>
      <w:r w:rsidR="00AD6305">
        <w:t xml:space="preserve"> </w:t>
      </w:r>
      <w:r w:rsidR="005E605C">
        <w:t xml:space="preserve">a </w:t>
      </w:r>
      <w:r w:rsidR="009937DA">
        <w:t xml:space="preserve">penalty </w:t>
      </w:r>
      <w:r w:rsidR="005672BF">
        <w:t xml:space="preserve">to the Commonwealth of Australia in the amount of </w:t>
      </w:r>
      <w:r w:rsidR="005672BF" w:rsidRPr="001D3D67">
        <w:t>$</w:t>
      </w:r>
      <w:r w:rsidR="00CB138D">
        <w:t>25</w:t>
      </w:r>
      <w:r w:rsidR="005672BF" w:rsidRPr="001D3D67">
        <w:t xml:space="preserve"> million</w:t>
      </w:r>
      <w:r w:rsidR="005672BF">
        <w:t xml:space="preserve">, to be divided </w:t>
      </w:r>
      <w:r w:rsidR="005672BF" w:rsidRPr="00354B13">
        <w:rPr>
          <w:i/>
          <w:iCs/>
        </w:rPr>
        <w:t>pro rata</w:t>
      </w:r>
      <w:r w:rsidR="005672BF">
        <w:t xml:space="preserve"> between each of the AGL Entities </w:t>
      </w:r>
      <w:r w:rsidR="00DF0A17">
        <w:t>relative to</w:t>
      </w:r>
      <w:r w:rsidR="005672BF">
        <w:t xml:space="preserve"> the number of contraventions in which each entity engaged.</w:t>
      </w:r>
      <w:r w:rsidR="00354B13">
        <w:t xml:space="preserve">  </w:t>
      </w:r>
      <w:r w:rsidR="00DF0A17">
        <w:t xml:space="preserve">I will </w:t>
      </w:r>
      <w:r w:rsidR="00246574">
        <w:t xml:space="preserve">also </w:t>
      </w:r>
      <w:r w:rsidR="00DF0A17">
        <w:t>order declaratory relief in the form proposed by the AER in their draft form of order</w:t>
      </w:r>
      <w:r w:rsidR="00644D70">
        <w:t>, with minor modifications</w:t>
      </w:r>
      <w:r w:rsidR="00DF0A17">
        <w:t>.  Further, I will make orders 4 and 5 in the agreed form and order that costs follow the event such that AGL pay the AER’s costs to be agreed or, failing agreement, to be taxed</w:t>
      </w:r>
      <w:r w:rsidR="00354B13">
        <w:t xml:space="preserve"> (which order was also not challenged by AGL)</w:t>
      </w:r>
      <w:r w:rsidR="00DF0A17">
        <w:t>.</w:t>
      </w:r>
    </w:p>
    <w:p w14:paraId="49564A69" w14:textId="77777777" w:rsidR="00AC2C59" w:rsidRDefault="00AC2C59">
      <w:pPr>
        <w:pStyle w:val="BodyText"/>
      </w:pPr>
      <w:bookmarkStart w:id="26" w:name="Certification"/>
    </w:p>
    <w:tbl>
      <w:tblPr>
        <w:tblW w:w="0" w:type="auto"/>
        <w:tblLook w:val="04A0" w:firstRow="1" w:lastRow="0" w:firstColumn="1" w:lastColumn="0" w:noHBand="0" w:noVBand="1"/>
      </w:tblPr>
      <w:tblGrid>
        <w:gridCol w:w="3794"/>
      </w:tblGrid>
      <w:tr w:rsidR="00AC2C59" w:rsidRPr="00AC2C59" w14:paraId="318516B0" w14:textId="77777777">
        <w:tc>
          <w:tcPr>
            <w:tcW w:w="3794" w:type="dxa"/>
            <w:shd w:val="clear" w:color="auto" w:fill="auto"/>
          </w:tcPr>
          <w:p w14:paraId="0E71743E" w14:textId="7B14BC99" w:rsidR="00AC2C59" w:rsidRPr="00AC2C59" w:rsidRDefault="00AC2C59" w:rsidP="00AC2C59">
            <w:pPr>
              <w:pStyle w:val="Normal1linespace"/>
            </w:pPr>
            <w:r w:rsidRPr="00AC2C59">
              <w:t xml:space="preserve">I certify that the preceding </w:t>
            </w:r>
            <w:bookmarkStart w:id="27" w:name="NumberWord"/>
            <w:r>
              <w:t>ninety</w:t>
            </w:r>
            <w:bookmarkEnd w:id="27"/>
            <w:r w:rsidRPr="00AC2C59">
              <w:t xml:space="preserve"> (</w:t>
            </w:r>
            <w:bookmarkStart w:id="28" w:name="NumberNumeral"/>
            <w:r>
              <w:t>90</w:t>
            </w:r>
            <w:bookmarkEnd w:id="28"/>
            <w:r w:rsidRPr="00AC2C59">
              <w:t xml:space="preserve">) numbered </w:t>
            </w:r>
            <w:bookmarkStart w:id="29" w:name="CertPara"/>
            <w:r>
              <w:t>paragraphs are</w:t>
            </w:r>
            <w:bookmarkEnd w:id="29"/>
            <w:r w:rsidRPr="00AC2C59">
              <w:t xml:space="preserve"> a true copy of the Reasons for Judgment of </w:t>
            </w:r>
            <w:bookmarkStart w:id="30" w:name="bkHonourable"/>
            <w:r w:rsidRPr="00AC2C59">
              <w:t xml:space="preserve">the Honourable </w:t>
            </w:r>
            <w:bookmarkStart w:id="31" w:name="Justice"/>
            <w:bookmarkEnd w:id="30"/>
            <w:r>
              <w:t>Justice Downes</w:t>
            </w:r>
            <w:bookmarkEnd w:id="31"/>
            <w:r w:rsidRPr="00AC2C59">
              <w:t>.</w:t>
            </w:r>
          </w:p>
        </w:tc>
      </w:tr>
    </w:tbl>
    <w:p w14:paraId="59C41F33" w14:textId="77777777" w:rsidR="00AC2C59" w:rsidRDefault="00AC2C59">
      <w:pPr>
        <w:pStyle w:val="BodyText"/>
      </w:pPr>
    </w:p>
    <w:p w14:paraId="645396FB" w14:textId="77777777" w:rsidR="00AC2C59" w:rsidRDefault="00AC2C59">
      <w:pPr>
        <w:pStyle w:val="BodyText"/>
      </w:pPr>
    </w:p>
    <w:p w14:paraId="75D407FA" w14:textId="6D53634C" w:rsidR="00AC2C59" w:rsidRDefault="00AC2C59">
      <w:pPr>
        <w:pStyle w:val="BodyText"/>
      </w:pPr>
      <w:r>
        <w:t>Associate:</w:t>
      </w:r>
      <w:r w:rsidR="00493FA4">
        <w:t xml:space="preserve"> </w:t>
      </w:r>
    </w:p>
    <w:p w14:paraId="6242F821" w14:textId="77777777" w:rsidR="00AC2C59" w:rsidRDefault="00AC2C59">
      <w:pPr>
        <w:pStyle w:val="BodyText"/>
      </w:pPr>
    </w:p>
    <w:p w14:paraId="3E3602FF" w14:textId="65942D7E" w:rsidR="00AC2C59" w:rsidRDefault="00AC2C59">
      <w:pPr>
        <w:pStyle w:val="BodyText"/>
        <w:tabs>
          <w:tab w:val="left" w:pos="1134"/>
        </w:tabs>
      </w:pPr>
      <w:r>
        <w:t>Dated:</w:t>
      </w:r>
      <w:r>
        <w:tab/>
      </w:r>
      <w:bookmarkStart w:id="32" w:name="CertifyDated"/>
      <w:r>
        <w:t>19 December 2024</w:t>
      </w:r>
      <w:bookmarkEnd w:id="32"/>
    </w:p>
    <w:p w14:paraId="391DD7E3" w14:textId="77777777" w:rsidR="00AC2C59" w:rsidRDefault="00AC2C59">
      <w:pPr>
        <w:pStyle w:val="BodyText"/>
      </w:pPr>
    </w:p>
    <w:bookmarkEnd w:id="26"/>
    <w:p w14:paraId="752BD5E7" w14:textId="5A9890AE" w:rsidR="000A76CE" w:rsidRPr="009909DC" w:rsidRDefault="004C7CEE" w:rsidP="00AC2C59">
      <w:pPr>
        <w:pStyle w:val="BodyText"/>
      </w:pPr>
      <w:r>
        <w:t xml:space="preserve"> </w:t>
      </w:r>
      <w:r w:rsidR="00B276F8">
        <w:t xml:space="preserve"> </w:t>
      </w:r>
    </w:p>
    <w:p w14:paraId="5B78317F" w14:textId="2D0FAE4E" w:rsidR="00D769B2" w:rsidRDefault="00D769B2">
      <w:pPr>
        <w:spacing w:line="240" w:lineRule="auto"/>
        <w:jc w:val="left"/>
      </w:pPr>
      <w:r>
        <w:br w:type="page"/>
      </w:r>
    </w:p>
    <w:p w14:paraId="2D52A5FA" w14:textId="77777777" w:rsidR="00F52C1C" w:rsidRPr="00CD498A" w:rsidRDefault="00F52C1C" w:rsidP="00E91A0F">
      <w:pPr>
        <w:pStyle w:val="NormalHeadings"/>
        <w:spacing w:before="180" w:line="480" w:lineRule="auto"/>
        <w:jc w:val="center"/>
        <w:rPr>
          <w:sz w:val="28"/>
          <w:szCs w:val="28"/>
        </w:rPr>
      </w:pPr>
      <w:bookmarkStart w:id="33" w:name="SOP_Section"/>
      <w:r w:rsidRPr="00CD498A">
        <w:rPr>
          <w:sz w:val="28"/>
          <w:szCs w:val="28"/>
        </w:rPr>
        <w:lastRenderedPageBreak/>
        <w:t>SCHEDULE OF PARTIES</w:t>
      </w:r>
    </w:p>
    <w:p w14:paraId="56B628EF" w14:textId="77777777" w:rsidR="00F52C1C" w:rsidRPr="00663089" w:rsidRDefault="00F52C1C">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F52C1C" w14:paraId="34F428FD" w14:textId="77777777" w:rsidTr="00F52C1C">
        <w:tc>
          <w:tcPr>
            <w:tcW w:w="3368" w:type="dxa"/>
          </w:tcPr>
          <w:p w14:paraId="254D2CBF" w14:textId="77777777" w:rsidR="00F52C1C" w:rsidRDefault="00F52C1C">
            <w:pPr>
              <w:pStyle w:val="NormalHeadings"/>
              <w:jc w:val="left"/>
              <w:rPr>
                <w:caps/>
                <w:szCs w:val="24"/>
              </w:rPr>
            </w:pPr>
          </w:p>
        </w:tc>
        <w:tc>
          <w:tcPr>
            <w:tcW w:w="5874" w:type="dxa"/>
          </w:tcPr>
          <w:p w14:paraId="1CBA5FA6" w14:textId="2CC02BFF" w:rsidR="00F52C1C" w:rsidRDefault="00F52C1C">
            <w:pPr>
              <w:pStyle w:val="NormalHeadings"/>
              <w:jc w:val="right"/>
            </w:pPr>
            <w:r>
              <w:t>VID 749 of 2022</w:t>
            </w:r>
          </w:p>
        </w:tc>
      </w:tr>
      <w:tr w:rsidR="00F52C1C" w14:paraId="190F4BDC" w14:textId="77777777" w:rsidTr="00F52C1C">
        <w:trPr>
          <w:trHeight w:val="386"/>
        </w:trPr>
        <w:tc>
          <w:tcPr>
            <w:tcW w:w="3368" w:type="dxa"/>
          </w:tcPr>
          <w:p w14:paraId="30DEE821" w14:textId="3EA9369C" w:rsidR="00F52C1C" w:rsidRDefault="00F52C1C">
            <w:pPr>
              <w:pStyle w:val="BodyTextBold"/>
              <w:spacing w:before="180"/>
              <w:jc w:val="left"/>
            </w:pPr>
            <w:bookmarkStart w:id="34" w:name="SOP_RespondentsRows" w:colFirst="0" w:colLast="1"/>
            <w:r>
              <w:t>Respondents</w:t>
            </w:r>
          </w:p>
        </w:tc>
        <w:tc>
          <w:tcPr>
            <w:tcW w:w="5874" w:type="dxa"/>
            <w:tcMar>
              <w:left w:w="28" w:type="dxa"/>
            </w:tcMar>
          </w:tcPr>
          <w:p w14:paraId="727BF913" w14:textId="77777777" w:rsidR="00F52C1C" w:rsidRDefault="00F52C1C">
            <w:pPr>
              <w:pStyle w:val="BodyText"/>
              <w:jc w:val="left"/>
            </w:pPr>
          </w:p>
        </w:tc>
      </w:tr>
      <w:tr w:rsidR="00F52C1C" w14:paraId="7814DDEF" w14:textId="77777777" w:rsidTr="00F52C1C">
        <w:trPr>
          <w:trHeight w:val="386"/>
        </w:trPr>
        <w:tc>
          <w:tcPr>
            <w:tcW w:w="3368" w:type="dxa"/>
          </w:tcPr>
          <w:p w14:paraId="7ADDF76F" w14:textId="7CA0CD1E" w:rsidR="00F52C1C" w:rsidRDefault="00F52C1C">
            <w:pPr>
              <w:pStyle w:val="BodyText"/>
              <w:spacing w:after="240" w:line="240" w:lineRule="auto"/>
              <w:jc w:val="left"/>
            </w:pPr>
            <w:bookmarkStart w:id="35" w:name="SOP_FirstRespondent"/>
            <w:bookmarkEnd w:id="35"/>
            <w:r>
              <w:t>Fourth Respondent:</w:t>
            </w:r>
          </w:p>
        </w:tc>
        <w:tc>
          <w:tcPr>
            <w:tcW w:w="5874" w:type="dxa"/>
            <w:tcMar>
              <w:left w:w="28" w:type="dxa"/>
            </w:tcMar>
          </w:tcPr>
          <w:p w14:paraId="306A463A" w14:textId="3FE9FEEB" w:rsidR="00F52C1C" w:rsidRDefault="00F52C1C">
            <w:pPr>
              <w:pStyle w:val="BodyText"/>
              <w:spacing w:after="240" w:line="240" w:lineRule="auto"/>
              <w:jc w:val="left"/>
            </w:pPr>
            <w:r>
              <w:t>POWERDIRECT PTY LTD (ACN 067 609 803)</w:t>
            </w:r>
          </w:p>
        </w:tc>
      </w:tr>
      <w:bookmarkEnd w:id="34"/>
    </w:tbl>
    <w:p w14:paraId="42458D52" w14:textId="77777777" w:rsidR="00F52C1C" w:rsidRDefault="00F52C1C" w:rsidP="002B0E91">
      <w:pPr>
        <w:pStyle w:val="BodyText"/>
      </w:pPr>
    </w:p>
    <w:bookmarkEnd w:id="33"/>
    <w:p w14:paraId="4D9E9FA8" w14:textId="77777777" w:rsidR="00D769B2" w:rsidRDefault="00D769B2" w:rsidP="00D769B2">
      <w:pPr>
        <w:pStyle w:val="BodyText"/>
      </w:pPr>
    </w:p>
    <w:sectPr w:rsidR="00D769B2"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64C1" w14:textId="77777777" w:rsidR="00753AEA" w:rsidRDefault="00753AEA">
      <w:pPr>
        <w:spacing w:line="20" w:lineRule="exact"/>
      </w:pPr>
    </w:p>
    <w:p w14:paraId="514DDED5" w14:textId="77777777" w:rsidR="00753AEA" w:rsidRDefault="00753AEA"/>
    <w:p w14:paraId="336A7D5A" w14:textId="77777777" w:rsidR="00753AEA" w:rsidRDefault="00753AEA"/>
  </w:endnote>
  <w:endnote w:type="continuationSeparator" w:id="0">
    <w:p w14:paraId="1C9AF999" w14:textId="77777777" w:rsidR="00753AEA" w:rsidRDefault="00753AEA">
      <w:r>
        <w:t xml:space="preserve"> </w:t>
      </w:r>
    </w:p>
    <w:p w14:paraId="00662E0A" w14:textId="77777777" w:rsidR="00753AEA" w:rsidRDefault="00753AEA"/>
    <w:p w14:paraId="6B00E5BC" w14:textId="77777777" w:rsidR="00753AEA" w:rsidRDefault="00753AEA"/>
  </w:endnote>
  <w:endnote w:type="continuationNotice" w:id="1">
    <w:p w14:paraId="1B28B13E" w14:textId="77777777" w:rsidR="00753AEA" w:rsidRDefault="00753AEA">
      <w:r>
        <w:t xml:space="preserve"> </w:t>
      </w:r>
    </w:p>
    <w:p w14:paraId="03245711" w14:textId="77777777" w:rsidR="00753AEA" w:rsidRDefault="00753AEA"/>
    <w:p w14:paraId="242CDBDA" w14:textId="77777777" w:rsidR="00753AEA" w:rsidRDefault="00753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D4EA" w14:textId="77777777" w:rsidR="00E75035" w:rsidRDefault="00E7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5824" w14:textId="26D32D6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4B87169F" wp14:editId="187BAA8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D4A65CA"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F27E41">
          <w:rPr>
            <w:bCs/>
            <w:sz w:val="18"/>
            <w:szCs w:val="18"/>
          </w:rPr>
          <w:t>Australian Energy Regulator v AGL Retail Energy Limited (Relief Hearing) [2024] FCA 1500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ED0B" w14:textId="77777777" w:rsidR="00E75035" w:rsidRDefault="00E750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DEFB" w14:textId="3A1ECE67"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5B4AC66D" wp14:editId="5EAB3051">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4FBC5A4" id="Straight Connector 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F27E41">
          <w:rPr>
            <w:bCs/>
            <w:sz w:val="18"/>
            <w:szCs w:val="18"/>
          </w:rPr>
          <w:t>Australian Energy Regulator v AGL Retail Energy Limited (Relief Hearing) [2024] FCA 1500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45F5" w14:textId="3A592E9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686982C4" wp14:editId="32CA964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F8C1EAC"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F27E41">
          <w:rPr>
            <w:bCs/>
            <w:sz w:val="18"/>
            <w:szCs w:val="18"/>
          </w:rPr>
          <w:t>Australian Energy Regulator v AGL Retail Energy Limited (Relief Hearing) [2024] FCA 1500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7372" w14:textId="09A4D7B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20F341E3" wp14:editId="2F33682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7328148"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F27E41">
          <w:rPr>
            <w:bCs/>
            <w:sz w:val="18"/>
            <w:szCs w:val="18"/>
          </w:rPr>
          <w:t>Australian Energy Regulator v AGL Retail Energy Limited (Relief Hearing) [2024] FCA 1500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70DD" w14:textId="12BEBFD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622E521D" wp14:editId="26110F1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018EBF6"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F27E41">
          <w:rPr>
            <w:bCs/>
            <w:sz w:val="18"/>
            <w:szCs w:val="18"/>
          </w:rPr>
          <w:t>Australian Energy Regulator v AGL Retail Energy Limited (Relief Hearing) [2024] FCA 1500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B5EAB" w14:textId="77777777" w:rsidR="00753AEA" w:rsidRDefault="00753AEA"/>
  </w:footnote>
  <w:footnote w:type="continuationSeparator" w:id="0">
    <w:p w14:paraId="70E4E844" w14:textId="77777777" w:rsidR="00753AEA" w:rsidRDefault="00753AEA">
      <w:r>
        <w:continuationSeparator/>
      </w:r>
    </w:p>
    <w:p w14:paraId="18AF5DB6" w14:textId="77777777" w:rsidR="00753AEA" w:rsidRDefault="00753AEA"/>
    <w:p w14:paraId="1AAABCE7" w14:textId="77777777" w:rsidR="00753AEA" w:rsidRDefault="00753AEA"/>
  </w:footnote>
  <w:footnote w:type="continuationNotice" w:id="1">
    <w:p w14:paraId="42121E87" w14:textId="77777777" w:rsidR="00753AEA" w:rsidRDefault="00753A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C6C3" w14:textId="77777777" w:rsidR="00E75035" w:rsidRDefault="00E75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5CF4" w14:textId="77777777" w:rsidR="00E75035" w:rsidRDefault="00E75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62CD" w14:textId="77777777" w:rsidR="00E75035" w:rsidRDefault="00E750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6709"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528E"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AA2B"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C8791"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60B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4EB27748"/>
    <w:lvl w:ilvl="0">
      <w:start w:val="1"/>
      <w:numFmt w:val="decimal"/>
      <w:lvlRestart w:val="0"/>
      <w:pStyle w:val="ParaNumbering"/>
      <w:lvlText w:val="%1"/>
      <w:lvlJc w:val="left"/>
      <w:pPr>
        <w:tabs>
          <w:tab w:val="num" w:pos="720"/>
        </w:tabs>
        <w:ind w:left="0" w:hanging="720"/>
      </w:pPr>
      <w:rPr>
        <w:rFonts w:hint="default"/>
        <w:b w:val="0"/>
        <w:bCs w:val="0"/>
        <w:sz w:val="20"/>
      </w:rPr>
    </w:lvl>
  </w:abstractNum>
  <w:abstractNum w:abstractNumId="15" w15:restartNumberingAfterBreak="0">
    <w:nsid w:val="29EC0F3C"/>
    <w:multiLevelType w:val="hybridMultilevel"/>
    <w:tmpl w:val="31C0ECFE"/>
    <w:lvl w:ilvl="0" w:tplc="2AD48010">
      <w:start w:val="1"/>
      <w:numFmt w:val="lowerRoman"/>
      <w:lvlText w:val="(%1)"/>
      <w:lvlJc w:val="left"/>
      <w:pPr>
        <w:ind w:left="2340" w:hanging="360"/>
      </w:pPr>
      <w:rPr>
        <w:rFonts w:hint="default"/>
      </w:rPr>
    </w:lvl>
    <w:lvl w:ilvl="1" w:tplc="0C090019" w:tentative="1">
      <w:start w:val="1"/>
      <w:numFmt w:val="lowerLetter"/>
      <w:lvlText w:val="%2."/>
      <w:lvlJc w:val="left"/>
      <w:pPr>
        <w:ind w:left="1554" w:hanging="360"/>
      </w:pPr>
    </w:lvl>
    <w:lvl w:ilvl="2" w:tplc="0C09001B" w:tentative="1">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16" w15:restartNumberingAfterBreak="0">
    <w:nsid w:val="2AD4345C"/>
    <w:multiLevelType w:val="multilevel"/>
    <w:tmpl w:val="C9DA411A"/>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1021B88"/>
    <w:multiLevelType w:val="hybridMultilevel"/>
    <w:tmpl w:val="43823456"/>
    <w:lvl w:ilvl="0" w:tplc="2AD48010">
      <w:start w:val="1"/>
      <w:numFmt w:val="lowerRoman"/>
      <w:lvlText w:val="(%1)"/>
      <w:lvlJc w:val="left"/>
      <w:pPr>
        <w:ind w:left="22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83C33E3"/>
    <w:multiLevelType w:val="hybridMultilevel"/>
    <w:tmpl w:val="4BFEA23E"/>
    <w:lvl w:ilvl="0" w:tplc="580C5A8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E6D3F13"/>
    <w:multiLevelType w:val="hybridMultilevel"/>
    <w:tmpl w:val="55AE5AAE"/>
    <w:lvl w:ilvl="0" w:tplc="F5E29530">
      <w:start w:val="1"/>
      <w:numFmt w:val="decimal"/>
      <w:lvlText w:val="%1."/>
      <w:lvlJc w:val="left"/>
      <w:pPr>
        <w:ind w:left="726" w:hanging="567"/>
      </w:pPr>
      <w:rPr>
        <w:rFonts w:ascii="Arial" w:eastAsia="Times New Roman" w:hAnsi="Arial" w:cs="Arial" w:hint="default"/>
        <w:b w:val="0"/>
        <w:bCs w:val="0"/>
        <w:i w:val="0"/>
        <w:iCs w:val="0"/>
        <w:spacing w:val="-3"/>
        <w:w w:val="100"/>
        <w:sz w:val="22"/>
        <w:szCs w:val="22"/>
        <w:lang w:val="en-US" w:eastAsia="en-US" w:bidi="ar-SA"/>
      </w:rPr>
    </w:lvl>
    <w:lvl w:ilvl="1" w:tplc="B8A07D4C">
      <w:start w:val="1"/>
      <w:numFmt w:val="lowerLetter"/>
      <w:lvlText w:val="%2)"/>
      <w:lvlJc w:val="left"/>
      <w:pPr>
        <w:ind w:left="1369" w:hanging="360"/>
      </w:pPr>
    </w:lvl>
    <w:lvl w:ilvl="2" w:tplc="2AD48010">
      <w:start w:val="1"/>
      <w:numFmt w:val="lowerRoman"/>
      <w:lvlText w:val="(%3)"/>
      <w:lvlJc w:val="left"/>
      <w:pPr>
        <w:ind w:left="2226" w:hanging="360"/>
      </w:pPr>
      <w:rPr>
        <w:rFonts w:hint="default"/>
      </w:rPr>
    </w:lvl>
    <w:lvl w:ilvl="3" w:tplc="1854BE48">
      <w:numFmt w:val="bullet"/>
      <w:lvlText w:val="•"/>
      <w:lvlJc w:val="left"/>
      <w:pPr>
        <w:ind w:left="3289" w:hanging="567"/>
      </w:pPr>
      <w:rPr>
        <w:rFonts w:hint="default"/>
        <w:lang w:val="en-US" w:eastAsia="en-US" w:bidi="ar-SA"/>
      </w:rPr>
    </w:lvl>
    <w:lvl w:ilvl="4" w:tplc="61CC46F8">
      <w:numFmt w:val="bullet"/>
      <w:lvlText w:val="•"/>
      <w:lvlJc w:val="left"/>
      <w:pPr>
        <w:ind w:left="4146" w:hanging="567"/>
      </w:pPr>
      <w:rPr>
        <w:rFonts w:hint="default"/>
        <w:lang w:val="en-US" w:eastAsia="en-US" w:bidi="ar-SA"/>
      </w:rPr>
    </w:lvl>
    <w:lvl w:ilvl="5" w:tplc="FFC83EAC">
      <w:numFmt w:val="bullet"/>
      <w:lvlText w:val="•"/>
      <w:lvlJc w:val="left"/>
      <w:pPr>
        <w:ind w:left="5003" w:hanging="567"/>
      </w:pPr>
      <w:rPr>
        <w:rFonts w:hint="default"/>
        <w:lang w:val="en-US" w:eastAsia="en-US" w:bidi="ar-SA"/>
      </w:rPr>
    </w:lvl>
    <w:lvl w:ilvl="6" w:tplc="D0DE6124">
      <w:numFmt w:val="bullet"/>
      <w:lvlText w:val="•"/>
      <w:lvlJc w:val="left"/>
      <w:pPr>
        <w:ind w:left="5859" w:hanging="567"/>
      </w:pPr>
      <w:rPr>
        <w:rFonts w:hint="default"/>
        <w:lang w:val="en-US" w:eastAsia="en-US" w:bidi="ar-SA"/>
      </w:rPr>
    </w:lvl>
    <w:lvl w:ilvl="7" w:tplc="0D9A27DC">
      <w:numFmt w:val="bullet"/>
      <w:lvlText w:val="•"/>
      <w:lvlJc w:val="left"/>
      <w:pPr>
        <w:ind w:left="6716" w:hanging="567"/>
      </w:pPr>
      <w:rPr>
        <w:rFonts w:hint="default"/>
        <w:lang w:val="en-US" w:eastAsia="en-US" w:bidi="ar-SA"/>
      </w:rPr>
    </w:lvl>
    <w:lvl w:ilvl="8" w:tplc="8D16288A">
      <w:numFmt w:val="bullet"/>
      <w:lvlText w:val="•"/>
      <w:lvlJc w:val="left"/>
      <w:pPr>
        <w:ind w:left="7573" w:hanging="567"/>
      </w:pPr>
      <w:rPr>
        <w:rFonts w:hint="default"/>
        <w:lang w:val="en-US" w:eastAsia="en-US" w:bidi="ar-SA"/>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4"/>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6"/>
  </w:num>
  <w:num w:numId="13" w16cid:durableId="252708425">
    <w:abstractNumId w:val="22"/>
  </w:num>
  <w:num w:numId="14" w16cid:durableId="2100633326">
    <w:abstractNumId w:val="23"/>
  </w:num>
  <w:num w:numId="15" w16cid:durableId="1773933925">
    <w:abstractNumId w:val="28"/>
  </w:num>
  <w:num w:numId="16" w16cid:durableId="527645899">
    <w:abstractNumId w:val="13"/>
  </w:num>
  <w:num w:numId="17" w16cid:durableId="120267876">
    <w:abstractNumId w:val="27"/>
  </w:num>
  <w:num w:numId="18" w16cid:durableId="1374574243">
    <w:abstractNumId w:val="11"/>
  </w:num>
  <w:num w:numId="19" w16cid:durableId="657348185">
    <w:abstractNumId w:val="19"/>
  </w:num>
  <w:num w:numId="20" w16cid:durableId="1955017147">
    <w:abstractNumId w:val="16"/>
  </w:num>
  <w:num w:numId="21" w16cid:durableId="615910588">
    <w:abstractNumId w:val="17"/>
  </w:num>
  <w:num w:numId="22" w16cid:durableId="2031373324">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348877071">
    <w:abstractNumId w:val="10"/>
  </w:num>
  <w:num w:numId="24" w16cid:durableId="1818379752">
    <w:abstractNumId w:val="10"/>
  </w:num>
  <w:num w:numId="25" w16cid:durableId="975523684">
    <w:abstractNumId w:val="12"/>
  </w:num>
  <w:num w:numId="26" w16cid:durableId="1805997716">
    <w:abstractNumId w:val="18"/>
  </w:num>
  <w:num w:numId="27" w16cid:durableId="2119329858">
    <w:abstractNumId w:val="18"/>
  </w:num>
  <w:num w:numId="28" w16cid:durableId="190860901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9" w16cid:durableId="1777944965">
    <w:abstractNumId w:val="24"/>
  </w:num>
  <w:num w:numId="30" w16cid:durableId="1544487487">
    <w:abstractNumId w:val="25"/>
  </w:num>
  <w:num w:numId="31" w16cid:durableId="1330717956">
    <w:abstractNumId w:val="20"/>
  </w:num>
  <w:num w:numId="32" w16cid:durableId="195779540">
    <w:abstractNumId w:val="15"/>
  </w:num>
  <w:num w:numId="33" w16cid:durableId="453907667">
    <w:abstractNumId w:val="16"/>
    <w:lvlOverride w:ilvl="0">
      <w:lvl w:ilvl="0">
        <w:start w:val="1"/>
        <w:numFmt w:val="decimal"/>
        <w:pStyle w:val="Order1"/>
        <w:lvlText w:val="%1."/>
        <w:lvlJc w:val="left"/>
        <w:pPr>
          <w:tabs>
            <w:tab w:val="num" w:pos="720"/>
          </w:tabs>
          <w:ind w:left="720" w:hanging="720"/>
        </w:pPr>
        <w:rPr>
          <w:rFonts w:ascii="Times New Roman" w:hAnsi="Times New Roman" w:hint="default"/>
          <w:b w:val="0"/>
          <w:bCs/>
          <w:sz w:val="24"/>
        </w:rPr>
      </w:lvl>
    </w:lvlOverride>
    <w:lvlOverride w:ilvl="1">
      <w:lvl w:ilvl="1">
        <w:start w:val="1"/>
        <w:numFmt w:val="lowerLetter"/>
        <w:pStyle w:val="Order2"/>
        <w:lvlText w:val="(%2)"/>
        <w:lvlJc w:val="left"/>
        <w:pPr>
          <w:tabs>
            <w:tab w:val="num" w:pos="1440"/>
          </w:tabs>
          <w:ind w:left="1440" w:hanging="720"/>
        </w:pPr>
        <w:rPr>
          <w:rFonts w:hint="default"/>
          <w:b w:val="0"/>
          <w:bCs/>
        </w:rPr>
      </w:lvl>
    </w:lvlOverride>
    <w:lvlOverride w:ilvl="2">
      <w:lvl w:ilvl="2">
        <w:start w:val="1"/>
        <w:numFmt w:val="lowerRoman"/>
        <w:pStyle w:val="Order3"/>
        <w:lvlText w:val="(%3)"/>
        <w:lvlJc w:val="left"/>
        <w:pPr>
          <w:tabs>
            <w:tab w:val="num" w:pos="1440"/>
          </w:tabs>
          <w:ind w:left="2160" w:hanging="720"/>
        </w:pPr>
        <w:rPr>
          <w:rFonts w:hint="default"/>
          <w:b w:val="0"/>
          <w:bCs/>
        </w:rPr>
      </w:lvl>
    </w:lvlOverride>
  </w:num>
  <w:num w:numId="34" w16cid:durableId="125307841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16cid:durableId="1807510268">
    <w:abstractNumId w:val="16"/>
    <w:lvlOverride w:ilvl="0">
      <w:lvl w:ilvl="0">
        <w:start w:val="1"/>
        <w:numFmt w:val="decimal"/>
        <w:pStyle w:val="Order1"/>
        <w:lvlText w:val="%1."/>
        <w:lvlJc w:val="left"/>
        <w:pPr>
          <w:tabs>
            <w:tab w:val="num" w:pos="720"/>
          </w:tabs>
          <w:ind w:left="720" w:hanging="720"/>
        </w:pPr>
        <w:rPr>
          <w:rFonts w:ascii="Times New Roman" w:hAnsi="Times New Roman" w:hint="default"/>
          <w:b w:val="0"/>
          <w:bCs w:val="0"/>
          <w:sz w:val="24"/>
        </w:rPr>
      </w:lvl>
    </w:lvlOverride>
    <w:lvlOverride w:ilvl="1">
      <w:lvl w:ilvl="1">
        <w:start w:val="1"/>
        <w:numFmt w:val="lowerLetter"/>
        <w:pStyle w:val="Order2"/>
        <w:lvlText w:val="(%2)"/>
        <w:lvlJc w:val="left"/>
        <w:pPr>
          <w:tabs>
            <w:tab w:val="num" w:pos="1440"/>
          </w:tabs>
          <w:ind w:left="1440" w:hanging="720"/>
        </w:pPr>
        <w:rPr>
          <w:rFonts w:hint="default"/>
          <w:b w:val="0"/>
          <w:bCs w:val="0"/>
        </w:rPr>
      </w:lvl>
    </w:lvlOverride>
    <w:lvlOverride w:ilvl="2">
      <w:lvl w:ilvl="2">
        <w:start w:val="1"/>
        <w:numFmt w:val="lowerRoman"/>
        <w:pStyle w:val="Order3"/>
        <w:lvlText w:val="(%3)"/>
        <w:lvlJc w:val="left"/>
        <w:pPr>
          <w:tabs>
            <w:tab w:val="num" w:pos="1440"/>
          </w:tabs>
          <w:ind w:left="2160" w:hanging="720"/>
        </w:pPr>
        <w:rPr>
          <w:rFonts w:hint="default"/>
        </w:rPr>
      </w:lvl>
    </w:lvlOverride>
    <w:lvlOverride w:ilvl="3">
      <w:lvl w:ilvl="3">
        <w:start w:val="1"/>
        <w:numFmt w:val="upperLetter"/>
        <w:pStyle w:val="Order4"/>
        <w:lvlText w:val="%4."/>
        <w:lvlJc w:val="left"/>
        <w:pPr>
          <w:tabs>
            <w:tab w:val="num" w:pos="2160"/>
          </w:tabs>
          <w:ind w:left="2880" w:hanging="720"/>
        </w:pPr>
        <w:rPr>
          <w:rFonts w:hint="default"/>
        </w:rPr>
      </w:lvl>
    </w:lvlOverride>
    <w:lvlOverride w:ilvl="4">
      <w:lvl w:ilvl="4">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36" w16cid:durableId="55443513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16cid:durableId="61270870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16cid:durableId="37335860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16cid:durableId="161317086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1638677915">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16cid:durableId="208641306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16cid:durableId="649023905">
    <w:abstractNumId w:val="16"/>
    <w:lvlOverride w:ilvl="0">
      <w:startOverride w:val="1"/>
      <w:lvl w:ilvl="0">
        <w:start w:val="1"/>
        <w:numFmt w:val="decimal"/>
        <w:pStyle w:val="Order1"/>
        <w:lvlText w:val="%1."/>
        <w:lvlJc w:val="left"/>
        <w:pPr>
          <w:tabs>
            <w:tab w:val="num" w:pos="720"/>
          </w:tabs>
          <w:ind w:left="720" w:hanging="720"/>
        </w:pPr>
        <w:rPr>
          <w:rFonts w:ascii="Times New Roman" w:hAnsi="Times New Roman" w:hint="default"/>
          <w:sz w:val="24"/>
        </w:rPr>
      </w:lvl>
    </w:lvlOverride>
    <w:lvlOverride w:ilvl="1">
      <w:startOverride w:val="1"/>
      <w:lvl w:ilvl="1">
        <w:start w:val="1"/>
        <w:numFmt w:val="lowerLetter"/>
        <w:pStyle w:val="Order2"/>
        <w:lvlText w:val="(%2)"/>
        <w:lvlJc w:val="left"/>
        <w:pPr>
          <w:tabs>
            <w:tab w:val="num" w:pos="1440"/>
          </w:tabs>
          <w:ind w:left="1440" w:hanging="720"/>
        </w:pPr>
        <w:rPr>
          <w:rFonts w:hint="default"/>
          <w:b w:val="0"/>
          <w:bCs/>
        </w:rPr>
      </w:lvl>
    </w:lvlOverride>
    <w:lvlOverride w:ilvl="2">
      <w:startOverride w:val="1"/>
      <w:lvl w:ilvl="2">
        <w:start w:val="1"/>
        <w:numFmt w:val="lowerRoman"/>
        <w:pStyle w:val="Order3"/>
        <w:lvlText w:val="(%3)"/>
        <w:lvlJc w:val="left"/>
        <w:pPr>
          <w:tabs>
            <w:tab w:val="num" w:pos="1440"/>
          </w:tabs>
          <w:ind w:left="2160" w:hanging="720"/>
        </w:pPr>
        <w:rPr>
          <w:rFonts w:hint="default"/>
        </w:rPr>
      </w:lvl>
    </w:lvlOverride>
    <w:lvlOverride w:ilvl="3">
      <w:startOverride w:val="1"/>
      <w:lvl w:ilvl="3">
        <w:start w:val="1"/>
        <w:numFmt w:val="upperLetter"/>
        <w:pStyle w:val="Order4"/>
        <w:lvlText w:val="%4."/>
        <w:lvlJc w:val="left"/>
        <w:pPr>
          <w:tabs>
            <w:tab w:val="num" w:pos="2160"/>
          </w:tabs>
          <w:ind w:left="2880" w:hanging="72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 w:numId="43" w16cid:durableId="256600104">
    <w:abstractNumId w:val="21"/>
    <w:lvlOverride w:ilvl="0">
      <w:lvl w:ilvl="0">
        <w:start w:val="1"/>
        <w:numFmt w:val="decimal"/>
        <w:pStyle w:val="ListNo1"/>
        <w:lvlText w:val="%1."/>
        <w:lvlJc w:val="left"/>
        <w:pPr>
          <w:ind w:left="360" w:hanging="360"/>
        </w:pPr>
        <w:rPr>
          <w:rFonts w:hint="default"/>
        </w:rPr>
      </w:lvl>
    </w:lvlOverride>
    <w:lvlOverride w:ilvl="1">
      <w:lvl w:ilvl="1">
        <w:start w:val="1"/>
        <w:numFmt w:val="lowerLetter"/>
        <w:pStyle w:val="ListNo2"/>
        <w:lvlText w:val="%2."/>
        <w:lvlJc w:val="left"/>
        <w:pPr>
          <w:ind w:left="1080" w:hanging="360"/>
        </w:pPr>
        <w:rPr>
          <w:rFonts w:hint="default"/>
        </w:rPr>
      </w:lvl>
    </w:lvlOverride>
    <w:lvlOverride w:ilvl="2">
      <w:lvl w:ilvl="2">
        <w:start w:val="1"/>
        <w:numFmt w:val="lowerRoman"/>
        <w:pStyle w:val="ListNo3"/>
        <w:lvlText w:val="%3."/>
        <w:lvlJc w:val="right"/>
        <w:pPr>
          <w:ind w:left="1800" w:hanging="180"/>
        </w:pPr>
        <w:rPr>
          <w:rFonts w:hint="default"/>
        </w:rPr>
      </w:lvl>
    </w:lvlOverride>
    <w:lvlOverride w:ilvl="3">
      <w:lvl w:ilvl="3">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4" w16cid:durableId="1178621301">
    <w:abstractNumId w:val="21"/>
    <w:lvlOverride w:ilvl="0">
      <w:startOverride w:val="1"/>
      <w:lvl w:ilvl="0">
        <w:start w:val="1"/>
        <w:numFmt w:val="decimal"/>
        <w:pStyle w:val="ListNo1"/>
        <w:lvlText w:val="%1."/>
        <w:lvlJc w:val="left"/>
        <w:pPr>
          <w:ind w:left="360" w:hanging="360"/>
        </w:pPr>
        <w:rPr>
          <w:rFonts w:hint="default"/>
          <w:b w:val="0"/>
          <w:bCs/>
        </w:rPr>
      </w:lvl>
    </w:lvlOverride>
    <w:lvlOverride w:ilvl="1">
      <w:startOverride w:val="1"/>
      <w:lvl w:ilvl="1">
        <w:start w:val="1"/>
        <w:numFmt w:val="lowerLetter"/>
        <w:pStyle w:val="ListNo2"/>
        <w:lvlText w:val="%2."/>
        <w:lvlJc w:val="left"/>
        <w:pPr>
          <w:ind w:left="1080" w:hanging="360"/>
        </w:pPr>
        <w:rPr>
          <w:rFonts w:hint="default"/>
        </w:rPr>
      </w:lvl>
    </w:lvlOverride>
    <w:lvlOverride w:ilvl="2">
      <w:startOverride w:val="1"/>
      <w:lvl w:ilvl="2">
        <w:start w:val="1"/>
        <w:numFmt w:val="lowerRoman"/>
        <w:pStyle w:val="ListNo3"/>
        <w:lvlText w:val="%3."/>
        <w:lvlJc w:val="right"/>
        <w:pPr>
          <w:ind w:left="1800" w:hanging="180"/>
        </w:pPr>
        <w:rPr>
          <w:rFonts w:hint="default"/>
        </w:rPr>
      </w:lvl>
    </w:lvlOverride>
    <w:lvlOverride w:ilvl="3">
      <w:lvl w:ilvl="3">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45" w16cid:durableId="192766079">
    <w:abstractNumId w:val="16"/>
    <w:lvlOverride w:ilvl="0">
      <w:startOverride w:val="1"/>
      <w:lvl w:ilvl="0">
        <w:start w:val="1"/>
        <w:numFmt w:val="decimal"/>
        <w:pStyle w:val="Order1"/>
        <w:lvlText w:val="%1."/>
        <w:lvlJc w:val="left"/>
        <w:pPr>
          <w:tabs>
            <w:tab w:val="num" w:pos="720"/>
          </w:tabs>
          <w:ind w:left="720" w:hanging="720"/>
        </w:pPr>
        <w:rPr>
          <w:rFonts w:ascii="Times New Roman" w:hAnsi="Times New Roman" w:hint="default"/>
          <w:sz w:val="24"/>
        </w:rPr>
      </w:lvl>
    </w:lvlOverride>
    <w:lvlOverride w:ilvl="1">
      <w:startOverride w:val="1"/>
      <w:lvl w:ilvl="1">
        <w:start w:val="1"/>
        <w:numFmt w:val="lowerLetter"/>
        <w:pStyle w:val="Order2"/>
        <w:lvlText w:val="(%2)"/>
        <w:lvlJc w:val="left"/>
        <w:pPr>
          <w:tabs>
            <w:tab w:val="num" w:pos="1440"/>
          </w:tabs>
          <w:ind w:left="1440" w:hanging="720"/>
        </w:pPr>
        <w:rPr>
          <w:rFonts w:hint="default"/>
          <w:b w:val="0"/>
          <w:bCs/>
        </w:rPr>
      </w:lvl>
    </w:lvlOverride>
    <w:lvlOverride w:ilvl="2">
      <w:startOverride w:val="1"/>
      <w:lvl w:ilvl="2">
        <w:start w:val="1"/>
        <w:numFmt w:val="lowerRoman"/>
        <w:pStyle w:val="Order3"/>
        <w:lvlText w:val="(%3)"/>
        <w:lvlJc w:val="left"/>
        <w:pPr>
          <w:tabs>
            <w:tab w:val="num" w:pos="1440"/>
          </w:tabs>
          <w:ind w:left="2160" w:hanging="720"/>
        </w:pPr>
        <w:rPr>
          <w:rFonts w:hint="default"/>
        </w:rPr>
      </w:lvl>
    </w:lvlOverride>
    <w:lvlOverride w:ilvl="3">
      <w:startOverride w:val="1"/>
      <w:lvl w:ilvl="3">
        <w:start w:val="1"/>
        <w:numFmt w:val="upperLetter"/>
        <w:pStyle w:val="Order4"/>
        <w:lvlText w:val="%4."/>
        <w:lvlJc w:val="left"/>
        <w:pPr>
          <w:tabs>
            <w:tab w:val="num" w:pos="2160"/>
          </w:tabs>
          <w:ind w:left="2880" w:hanging="72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 w:numId="46" w16cid:durableId="124147668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16cid:durableId="819539030">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48" w16cid:durableId="110709909">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49" w16cid:durableId="130056941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1E"/>
    <w:rsid w:val="00000049"/>
    <w:rsid w:val="000000C5"/>
    <w:rsid w:val="00000747"/>
    <w:rsid w:val="000015BA"/>
    <w:rsid w:val="00002B9C"/>
    <w:rsid w:val="00003278"/>
    <w:rsid w:val="000038B5"/>
    <w:rsid w:val="00004626"/>
    <w:rsid w:val="00004DFD"/>
    <w:rsid w:val="00005D66"/>
    <w:rsid w:val="000069E8"/>
    <w:rsid w:val="00007829"/>
    <w:rsid w:val="00010C3D"/>
    <w:rsid w:val="000115C5"/>
    <w:rsid w:val="00011B09"/>
    <w:rsid w:val="00011D27"/>
    <w:rsid w:val="00011F21"/>
    <w:rsid w:val="0001247A"/>
    <w:rsid w:val="00012A07"/>
    <w:rsid w:val="00013389"/>
    <w:rsid w:val="0001469E"/>
    <w:rsid w:val="00014719"/>
    <w:rsid w:val="00014804"/>
    <w:rsid w:val="0001480C"/>
    <w:rsid w:val="00014C46"/>
    <w:rsid w:val="00014DA4"/>
    <w:rsid w:val="000157FA"/>
    <w:rsid w:val="00015993"/>
    <w:rsid w:val="0001667A"/>
    <w:rsid w:val="00020326"/>
    <w:rsid w:val="0002077E"/>
    <w:rsid w:val="00021CCB"/>
    <w:rsid w:val="00022289"/>
    <w:rsid w:val="000228D6"/>
    <w:rsid w:val="0002297C"/>
    <w:rsid w:val="000237E9"/>
    <w:rsid w:val="0002420B"/>
    <w:rsid w:val="0002487D"/>
    <w:rsid w:val="00024B5D"/>
    <w:rsid w:val="00024C11"/>
    <w:rsid w:val="00025562"/>
    <w:rsid w:val="00025683"/>
    <w:rsid w:val="00025E9F"/>
    <w:rsid w:val="000261EF"/>
    <w:rsid w:val="00026C40"/>
    <w:rsid w:val="00027398"/>
    <w:rsid w:val="0003201A"/>
    <w:rsid w:val="0003207A"/>
    <w:rsid w:val="00032792"/>
    <w:rsid w:val="00032F9F"/>
    <w:rsid w:val="000344CA"/>
    <w:rsid w:val="00034D47"/>
    <w:rsid w:val="00034DBB"/>
    <w:rsid w:val="00035FE9"/>
    <w:rsid w:val="0003664A"/>
    <w:rsid w:val="0003769B"/>
    <w:rsid w:val="00037A5F"/>
    <w:rsid w:val="00037E38"/>
    <w:rsid w:val="00037ECC"/>
    <w:rsid w:val="000407BB"/>
    <w:rsid w:val="0004096F"/>
    <w:rsid w:val="000419AB"/>
    <w:rsid w:val="00041C07"/>
    <w:rsid w:val="00043625"/>
    <w:rsid w:val="000437C7"/>
    <w:rsid w:val="00043A73"/>
    <w:rsid w:val="00045BB7"/>
    <w:rsid w:val="00047FA8"/>
    <w:rsid w:val="0005005E"/>
    <w:rsid w:val="00050FA6"/>
    <w:rsid w:val="000522AF"/>
    <w:rsid w:val="00053C8C"/>
    <w:rsid w:val="00055719"/>
    <w:rsid w:val="00055BD3"/>
    <w:rsid w:val="00055EEC"/>
    <w:rsid w:val="0005641B"/>
    <w:rsid w:val="000570B6"/>
    <w:rsid w:val="0006196A"/>
    <w:rsid w:val="00062908"/>
    <w:rsid w:val="00062C47"/>
    <w:rsid w:val="00064A37"/>
    <w:rsid w:val="00064E95"/>
    <w:rsid w:val="000650F0"/>
    <w:rsid w:val="00065374"/>
    <w:rsid w:val="00066B09"/>
    <w:rsid w:val="000712EE"/>
    <w:rsid w:val="00071AF8"/>
    <w:rsid w:val="00071FB3"/>
    <w:rsid w:val="00073483"/>
    <w:rsid w:val="000738E9"/>
    <w:rsid w:val="00074A77"/>
    <w:rsid w:val="00074F46"/>
    <w:rsid w:val="00075D04"/>
    <w:rsid w:val="00076206"/>
    <w:rsid w:val="0007745B"/>
    <w:rsid w:val="00077768"/>
    <w:rsid w:val="00080041"/>
    <w:rsid w:val="00081212"/>
    <w:rsid w:val="00081497"/>
    <w:rsid w:val="00081873"/>
    <w:rsid w:val="00082A1E"/>
    <w:rsid w:val="000831EC"/>
    <w:rsid w:val="00084126"/>
    <w:rsid w:val="00084B47"/>
    <w:rsid w:val="00084EC5"/>
    <w:rsid w:val="00085255"/>
    <w:rsid w:val="00086959"/>
    <w:rsid w:val="00090809"/>
    <w:rsid w:val="000937C5"/>
    <w:rsid w:val="00094765"/>
    <w:rsid w:val="00094A15"/>
    <w:rsid w:val="00094B43"/>
    <w:rsid w:val="00095274"/>
    <w:rsid w:val="00095497"/>
    <w:rsid w:val="00095B40"/>
    <w:rsid w:val="000A0261"/>
    <w:rsid w:val="000A0363"/>
    <w:rsid w:val="000A0BBE"/>
    <w:rsid w:val="000A0D45"/>
    <w:rsid w:val="000A1611"/>
    <w:rsid w:val="000A1F09"/>
    <w:rsid w:val="000A2E76"/>
    <w:rsid w:val="000A3989"/>
    <w:rsid w:val="000A4798"/>
    <w:rsid w:val="000A4807"/>
    <w:rsid w:val="000A48A7"/>
    <w:rsid w:val="000A4B9F"/>
    <w:rsid w:val="000A4BE4"/>
    <w:rsid w:val="000A59F1"/>
    <w:rsid w:val="000A5E28"/>
    <w:rsid w:val="000A76CE"/>
    <w:rsid w:val="000A7E51"/>
    <w:rsid w:val="000B1423"/>
    <w:rsid w:val="000B1953"/>
    <w:rsid w:val="000B1BA2"/>
    <w:rsid w:val="000B1F24"/>
    <w:rsid w:val="000B2294"/>
    <w:rsid w:val="000B30B6"/>
    <w:rsid w:val="000B467C"/>
    <w:rsid w:val="000B4E1A"/>
    <w:rsid w:val="000B5082"/>
    <w:rsid w:val="000B581B"/>
    <w:rsid w:val="000B661A"/>
    <w:rsid w:val="000B7985"/>
    <w:rsid w:val="000C023E"/>
    <w:rsid w:val="000C0B3F"/>
    <w:rsid w:val="000C2FE5"/>
    <w:rsid w:val="000C339D"/>
    <w:rsid w:val="000C365D"/>
    <w:rsid w:val="000C405D"/>
    <w:rsid w:val="000C46E3"/>
    <w:rsid w:val="000C4A2F"/>
    <w:rsid w:val="000C4D52"/>
    <w:rsid w:val="000C5195"/>
    <w:rsid w:val="000C57FF"/>
    <w:rsid w:val="000C62EF"/>
    <w:rsid w:val="000C7274"/>
    <w:rsid w:val="000C76BA"/>
    <w:rsid w:val="000C77C6"/>
    <w:rsid w:val="000D0505"/>
    <w:rsid w:val="000D1118"/>
    <w:rsid w:val="000D2137"/>
    <w:rsid w:val="000D266B"/>
    <w:rsid w:val="000D2A86"/>
    <w:rsid w:val="000D3FD2"/>
    <w:rsid w:val="000D4B2E"/>
    <w:rsid w:val="000D4DA4"/>
    <w:rsid w:val="000D5321"/>
    <w:rsid w:val="000D53D6"/>
    <w:rsid w:val="000D64FB"/>
    <w:rsid w:val="000D6D72"/>
    <w:rsid w:val="000D79D4"/>
    <w:rsid w:val="000E20D9"/>
    <w:rsid w:val="000E3FC8"/>
    <w:rsid w:val="000E74C9"/>
    <w:rsid w:val="000E7BAE"/>
    <w:rsid w:val="000F05B0"/>
    <w:rsid w:val="000F133D"/>
    <w:rsid w:val="000F2257"/>
    <w:rsid w:val="000F263E"/>
    <w:rsid w:val="000F3B95"/>
    <w:rsid w:val="000F6F05"/>
    <w:rsid w:val="000F700B"/>
    <w:rsid w:val="000F76D5"/>
    <w:rsid w:val="000F7B3F"/>
    <w:rsid w:val="001006E3"/>
    <w:rsid w:val="001008D7"/>
    <w:rsid w:val="00100B70"/>
    <w:rsid w:val="00101C4D"/>
    <w:rsid w:val="0010215A"/>
    <w:rsid w:val="00102F2D"/>
    <w:rsid w:val="00102F93"/>
    <w:rsid w:val="0010536B"/>
    <w:rsid w:val="0010705C"/>
    <w:rsid w:val="0010744D"/>
    <w:rsid w:val="0010758A"/>
    <w:rsid w:val="001077A2"/>
    <w:rsid w:val="00107EAE"/>
    <w:rsid w:val="00110526"/>
    <w:rsid w:val="00110C9F"/>
    <w:rsid w:val="0011145C"/>
    <w:rsid w:val="0011148D"/>
    <w:rsid w:val="001126A6"/>
    <w:rsid w:val="001128BD"/>
    <w:rsid w:val="00112DC6"/>
    <w:rsid w:val="0011419D"/>
    <w:rsid w:val="00114B02"/>
    <w:rsid w:val="001167D5"/>
    <w:rsid w:val="00116B8A"/>
    <w:rsid w:val="001218DB"/>
    <w:rsid w:val="001226C0"/>
    <w:rsid w:val="0012460E"/>
    <w:rsid w:val="001256B9"/>
    <w:rsid w:val="00125763"/>
    <w:rsid w:val="00125A29"/>
    <w:rsid w:val="0012612F"/>
    <w:rsid w:val="00126EC8"/>
    <w:rsid w:val="00126F0B"/>
    <w:rsid w:val="00127144"/>
    <w:rsid w:val="0012731C"/>
    <w:rsid w:val="00127653"/>
    <w:rsid w:val="001278F3"/>
    <w:rsid w:val="00132054"/>
    <w:rsid w:val="0013218D"/>
    <w:rsid w:val="00133ECD"/>
    <w:rsid w:val="00134964"/>
    <w:rsid w:val="001351B9"/>
    <w:rsid w:val="001358E6"/>
    <w:rsid w:val="001359D2"/>
    <w:rsid w:val="00136A41"/>
    <w:rsid w:val="00136BE7"/>
    <w:rsid w:val="001375A8"/>
    <w:rsid w:val="00141A30"/>
    <w:rsid w:val="00142A56"/>
    <w:rsid w:val="001445B0"/>
    <w:rsid w:val="00146718"/>
    <w:rsid w:val="00146916"/>
    <w:rsid w:val="00146A30"/>
    <w:rsid w:val="00147DEF"/>
    <w:rsid w:val="0015206A"/>
    <w:rsid w:val="00152745"/>
    <w:rsid w:val="00152BEE"/>
    <w:rsid w:val="0015336E"/>
    <w:rsid w:val="001538DB"/>
    <w:rsid w:val="00154097"/>
    <w:rsid w:val="00154AB6"/>
    <w:rsid w:val="00154B5A"/>
    <w:rsid w:val="00154BF0"/>
    <w:rsid w:val="00154EAF"/>
    <w:rsid w:val="001555D9"/>
    <w:rsid w:val="00155B96"/>
    <w:rsid w:val="00155CD2"/>
    <w:rsid w:val="00155EE0"/>
    <w:rsid w:val="001563EF"/>
    <w:rsid w:val="00160BBD"/>
    <w:rsid w:val="001632F9"/>
    <w:rsid w:val="00163814"/>
    <w:rsid w:val="00163BC2"/>
    <w:rsid w:val="0016410A"/>
    <w:rsid w:val="001647C5"/>
    <w:rsid w:val="00166693"/>
    <w:rsid w:val="00166C9A"/>
    <w:rsid w:val="00166E3C"/>
    <w:rsid w:val="00167439"/>
    <w:rsid w:val="00167531"/>
    <w:rsid w:val="001727A4"/>
    <w:rsid w:val="00172898"/>
    <w:rsid w:val="0017376C"/>
    <w:rsid w:val="001738AB"/>
    <w:rsid w:val="00173FF0"/>
    <w:rsid w:val="0017484F"/>
    <w:rsid w:val="001749FF"/>
    <w:rsid w:val="00175A74"/>
    <w:rsid w:val="001765E0"/>
    <w:rsid w:val="00177526"/>
    <w:rsid w:val="00177759"/>
    <w:rsid w:val="00177BA1"/>
    <w:rsid w:val="00180BB3"/>
    <w:rsid w:val="001820D3"/>
    <w:rsid w:val="00182872"/>
    <w:rsid w:val="00183244"/>
    <w:rsid w:val="00184E15"/>
    <w:rsid w:val="00184FDC"/>
    <w:rsid w:val="00185DD6"/>
    <w:rsid w:val="00185E6B"/>
    <w:rsid w:val="00187196"/>
    <w:rsid w:val="00187BBC"/>
    <w:rsid w:val="001932F3"/>
    <w:rsid w:val="00193807"/>
    <w:rsid w:val="00194BA4"/>
    <w:rsid w:val="0019574E"/>
    <w:rsid w:val="00197947"/>
    <w:rsid w:val="001A0449"/>
    <w:rsid w:val="001A0CD1"/>
    <w:rsid w:val="001A2B40"/>
    <w:rsid w:val="001A3AB6"/>
    <w:rsid w:val="001A4309"/>
    <w:rsid w:val="001A46AE"/>
    <w:rsid w:val="001A5381"/>
    <w:rsid w:val="001A561C"/>
    <w:rsid w:val="001A5F50"/>
    <w:rsid w:val="001A61BB"/>
    <w:rsid w:val="001A6C52"/>
    <w:rsid w:val="001B0A69"/>
    <w:rsid w:val="001B1053"/>
    <w:rsid w:val="001B124F"/>
    <w:rsid w:val="001B14AC"/>
    <w:rsid w:val="001B15D5"/>
    <w:rsid w:val="001B1F8C"/>
    <w:rsid w:val="001B3758"/>
    <w:rsid w:val="001B540B"/>
    <w:rsid w:val="001B7940"/>
    <w:rsid w:val="001B7B94"/>
    <w:rsid w:val="001B7C28"/>
    <w:rsid w:val="001C0756"/>
    <w:rsid w:val="001C171A"/>
    <w:rsid w:val="001C1967"/>
    <w:rsid w:val="001C2FE0"/>
    <w:rsid w:val="001C32AD"/>
    <w:rsid w:val="001C37CA"/>
    <w:rsid w:val="001C3CD8"/>
    <w:rsid w:val="001C4012"/>
    <w:rsid w:val="001C4085"/>
    <w:rsid w:val="001C43F1"/>
    <w:rsid w:val="001C453E"/>
    <w:rsid w:val="001C6A49"/>
    <w:rsid w:val="001C733D"/>
    <w:rsid w:val="001D00D2"/>
    <w:rsid w:val="001D102D"/>
    <w:rsid w:val="001D14E0"/>
    <w:rsid w:val="001D19C8"/>
    <w:rsid w:val="001D1C4B"/>
    <w:rsid w:val="001D21CE"/>
    <w:rsid w:val="001D3D67"/>
    <w:rsid w:val="001D4303"/>
    <w:rsid w:val="001D4647"/>
    <w:rsid w:val="001D6317"/>
    <w:rsid w:val="001D6702"/>
    <w:rsid w:val="001D6746"/>
    <w:rsid w:val="001E032A"/>
    <w:rsid w:val="001E0C61"/>
    <w:rsid w:val="001E0DFF"/>
    <w:rsid w:val="001E215E"/>
    <w:rsid w:val="001E224C"/>
    <w:rsid w:val="001E262E"/>
    <w:rsid w:val="001E26F0"/>
    <w:rsid w:val="001E3033"/>
    <w:rsid w:val="001E342F"/>
    <w:rsid w:val="001E346E"/>
    <w:rsid w:val="001E3B49"/>
    <w:rsid w:val="001E4A05"/>
    <w:rsid w:val="001E50D2"/>
    <w:rsid w:val="001E5453"/>
    <w:rsid w:val="001E6A19"/>
    <w:rsid w:val="001E6E8A"/>
    <w:rsid w:val="001E7388"/>
    <w:rsid w:val="001F13DD"/>
    <w:rsid w:val="001F21C1"/>
    <w:rsid w:val="001F2473"/>
    <w:rsid w:val="001F2DBC"/>
    <w:rsid w:val="001F3336"/>
    <w:rsid w:val="001F4180"/>
    <w:rsid w:val="001F4242"/>
    <w:rsid w:val="001F6E1E"/>
    <w:rsid w:val="001F7162"/>
    <w:rsid w:val="001F73E8"/>
    <w:rsid w:val="001F7A83"/>
    <w:rsid w:val="0020262C"/>
    <w:rsid w:val="00202723"/>
    <w:rsid w:val="00202A5D"/>
    <w:rsid w:val="0020426E"/>
    <w:rsid w:val="0020583B"/>
    <w:rsid w:val="002064FB"/>
    <w:rsid w:val="0020682B"/>
    <w:rsid w:val="00206C1A"/>
    <w:rsid w:val="00210AA4"/>
    <w:rsid w:val="00211A3E"/>
    <w:rsid w:val="00211ADF"/>
    <w:rsid w:val="00213781"/>
    <w:rsid w:val="00213F20"/>
    <w:rsid w:val="00214055"/>
    <w:rsid w:val="0021410F"/>
    <w:rsid w:val="00214D28"/>
    <w:rsid w:val="00215BCA"/>
    <w:rsid w:val="002160F5"/>
    <w:rsid w:val="002171AC"/>
    <w:rsid w:val="002172EE"/>
    <w:rsid w:val="0021792C"/>
    <w:rsid w:val="00217AC4"/>
    <w:rsid w:val="00220F38"/>
    <w:rsid w:val="00221461"/>
    <w:rsid w:val="0022378B"/>
    <w:rsid w:val="00224537"/>
    <w:rsid w:val="00225904"/>
    <w:rsid w:val="00226578"/>
    <w:rsid w:val="002266F0"/>
    <w:rsid w:val="0023020A"/>
    <w:rsid w:val="002314D6"/>
    <w:rsid w:val="00231611"/>
    <w:rsid w:val="00231EA2"/>
    <w:rsid w:val="00232234"/>
    <w:rsid w:val="00232D37"/>
    <w:rsid w:val="00232F05"/>
    <w:rsid w:val="00232F7F"/>
    <w:rsid w:val="00233D1E"/>
    <w:rsid w:val="00234E2B"/>
    <w:rsid w:val="00235782"/>
    <w:rsid w:val="00235956"/>
    <w:rsid w:val="00240C24"/>
    <w:rsid w:val="0024211A"/>
    <w:rsid w:val="00242689"/>
    <w:rsid w:val="002428AD"/>
    <w:rsid w:val="00243119"/>
    <w:rsid w:val="00243952"/>
    <w:rsid w:val="00243E5E"/>
    <w:rsid w:val="00246574"/>
    <w:rsid w:val="002467A6"/>
    <w:rsid w:val="00246DC5"/>
    <w:rsid w:val="00247C9A"/>
    <w:rsid w:val="0025160C"/>
    <w:rsid w:val="00251BC6"/>
    <w:rsid w:val="00251BFD"/>
    <w:rsid w:val="002535D0"/>
    <w:rsid w:val="00253703"/>
    <w:rsid w:val="002539B3"/>
    <w:rsid w:val="00254518"/>
    <w:rsid w:val="00256336"/>
    <w:rsid w:val="00256CDC"/>
    <w:rsid w:val="0025769A"/>
    <w:rsid w:val="00257C3E"/>
    <w:rsid w:val="002602C2"/>
    <w:rsid w:val="00261CAB"/>
    <w:rsid w:val="00261D36"/>
    <w:rsid w:val="00262B19"/>
    <w:rsid w:val="002666C9"/>
    <w:rsid w:val="00267D4F"/>
    <w:rsid w:val="00270136"/>
    <w:rsid w:val="0027085F"/>
    <w:rsid w:val="00270DAA"/>
    <w:rsid w:val="00270FD7"/>
    <w:rsid w:val="0027137D"/>
    <w:rsid w:val="00272601"/>
    <w:rsid w:val="002730F0"/>
    <w:rsid w:val="00273165"/>
    <w:rsid w:val="002739EA"/>
    <w:rsid w:val="002742BB"/>
    <w:rsid w:val="00274F5B"/>
    <w:rsid w:val="002762D9"/>
    <w:rsid w:val="002764E0"/>
    <w:rsid w:val="002774E8"/>
    <w:rsid w:val="0028063C"/>
    <w:rsid w:val="00280836"/>
    <w:rsid w:val="00280AB9"/>
    <w:rsid w:val="00281014"/>
    <w:rsid w:val="00281110"/>
    <w:rsid w:val="00281A64"/>
    <w:rsid w:val="00281DC1"/>
    <w:rsid w:val="00282E1A"/>
    <w:rsid w:val="00283646"/>
    <w:rsid w:val="002840F1"/>
    <w:rsid w:val="002843AB"/>
    <w:rsid w:val="00285922"/>
    <w:rsid w:val="00287983"/>
    <w:rsid w:val="002910E1"/>
    <w:rsid w:val="0029113B"/>
    <w:rsid w:val="00291239"/>
    <w:rsid w:val="00291405"/>
    <w:rsid w:val="002919FE"/>
    <w:rsid w:val="002934C0"/>
    <w:rsid w:val="00293E1F"/>
    <w:rsid w:val="002944D6"/>
    <w:rsid w:val="00294F77"/>
    <w:rsid w:val="00295A63"/>
    <w:rsid w:val="00295D21"/>
    <w:rsid w:val="00296782"/>
    <w:rsid w:val="0029764C"/>
    <w:rsid w:val="002977BE"/>
    <w:rsid w:val="00297B74"/>
    <w:rsid w:val="00297EDB"/>
    <w:rsid w:val="002A0BEA"/>
    <w:rsid w:val="002A1824"/>
    <w:rsid w:val="002A1B50"/>
    <w:rsid w:val="002A2604"/>
    <w:rsid w:val="002A3B73"/>
    <w:rsid w:val="002A4060"/>
    <w:rsid w:val="002A67D8"/>
    <w:rsid w:val="002B03B9"/>
    <w:rsid w:val="002B0BEF"/>
    <w:rsid w:val="002B0E91"/>
    <w:rsid w:val="002B12B2"/>
    <w:rsid w:val="002B132C"/>
    <w:rsid w:val="002B313A"/>
    <w:rsid w:val="002B37DD"/>
    <w:rsid w:val="002B3F23"/>
    <w:rsid w:val="002B4C42"/>
    <w:rsid w:val="002B4EB5"/>
    <w:rsid w:val="002B595B"/>
    <w:rsid w:val="002B5AF5"/>
    <w:rsid w:val="002B5D56"/>
    <w:rsid w:val="002B6779"/>
    <w:rsid w:val="002B71C0"/>
    <w:rsid w:val="002B7A34"/>
    <w:rsid w:val="002C0541"/>
    <w:rsid w:val="002C15B6"/>
    <w:rsid w:val="002C26CF"/>
    <w:rsid w:val="002C2AB0"/>
    <w:rsid w:val="002C31AD"/>
    <w:rsid w:val="002C3662"/>
    <w:rsid w:val="002C38C2"/>
    <w:rsid w:val="002C4027"/>
    <w:rsid w:val="002C4E18"/>
    <w:rsid w:val="002C6E26"/>
    <w:rsid w:val="002C7385"/>
    <w:rsid w:val="002C7DA5"/>
    <w:rsid w:val="002D0E2D"/>
    <w:rsid w:val="002D1183"/>
    <w:rsid w:val="002D11CD"/>
    <w:rsid w:val="002D2DBB"/>
    <w:rsid w:val="002D37D8"/>
    <w:rsid w:val="002D4005"/>
    <w:rsid w:val="002D4091"/>
    <w:rsid w:val="002D40DF"/>
    <w:rsid w:val="002D46EA"/>
    <w:rsid w:val="002D54A6"/>
    <w:rsid w:val="002D630D"/>
    <w:rsid w:val="002D690E"/>
    <w:rsid w:val="002D6C08"/>
    <w:rsid w:val="002D7A29"/>
    <w:rsid w:val="002E109A"/>
    <w:rsid w:val="002E11E9"/>
    <w:rsid w:val="002E16B8"/>
    <w:rsid w:val="002E1E59"/>
    <w:rsid w:val="002E33C0"/>
    <w:rsid w:val="002E3779"/>
    <w:rsid w:val="002E3C21"/>
    <w:rsid w:val="002E4818"/>
    <w:rsid w:val="002E5275"/>
    <w:rsid w:val="002E58FE"/>
    <w:rsid w:val="002E5BF9"/>
    <w:rsid w:val="002E6A7A"/>
    <w:rsid w:val="002F1E49"/>
    <w:rsid w:val="002F210D"/>
    <w:rsid w:val="002F2509"/>
    <w:rsid w:val="002F3768"/>
    <w:rsid w:val="002F4601"/>
    <w:rsid w:val="002F4E9C"/>
    <w:rsid w:val="002F4FBD"/>
    <w:rsid w:val="002F6686"/>
    <w:rsid w:val="002F6DE6"/>
    <w:rsid w:val="002F6E15"/>
    <w:rsid w:val="002F6FE0"/>
    <w:rsid w:val="00300D81"/>
    <w:rsid w:val="00301808"/>
    <w:rsid w:val="0030261E"/>
    <w:rsid w:val="00302AB3"/>
    <w:rsid w:val="00302F4E"/>
    <w:rsid w:val="00304A38"/>
    <w:rsid w:val="00305B8D"/>
    <w:rsid w:val="00305BE8"/>
    <w:rsid w:val="00305F4C"/>
    <w:rsid w:val="00307244"/>
    <w:rsid w:val="0030772A"/>
    <w:rsid w:val="00307C0D"/>
    <w:rsid w:val="00310BC5"/>
    <w:rsid w:val="0031256C"/>
    <w:rsid w:val="003134E3"/>
    <w:rsid w:val="00314D6C"/>
    <w:rsid w:val="00315A67"/>
    <w:rsid w:val="003168DF"/>
    <w:rsid w:val="00316D2A"/>
    <w:rsid w:val="00317BCB"/>
    <w:rsid w:val="00321A3E"/>
    <w:rsid w:val="00322A7C"/>
    <w:rsid w:val="00322EEC"/>
    <w:rsid w:val="00323061"/>
    <w:rsid w:val="00324F59"/>
    <w:rsid w:val="00325D68"/>
    <w:rsid w:val="00326E98"/>
    <w:rsid w:val="003277C3"/>
    <w:rsid w:val="00327936"/>
    <w:rsid w:val="00327F34"/>
    <w:rsid w:val="00330A56"/>
    <w:rsid w:val="00330C16"/>
    <w:rsid w:val="00332204"/>
    <w:rsid w:val="0033275A"/>
    <w:rsid w:val="00333212"/>
    <w:rsid w:val="00333B6B"/>
    <w:rsid w:val="00336353"/>
    <w:rsid w:val="003365EE"/>
    <w:rsid w:val="003402D3"/>
    <w:rsid w:val="0034068E"/>
    <w:rsid w:val="00340EB2"/>
    <w:rsid w:val="00341D9C"/>
    <w:rsid w:val="00341ECE"/>
    <w:rsid w:val="00341F32"/>
    <w:rsid w:val="00343ABC"/>
    <w:rsid w:val="00343FA1"/>
    <w:rsid w:val="00345FEF"/>
    <w:rsid w:val="003463FE"/>
    <w:rsid w:val="003472FC"/>
    <w:rsid w:val="00347A78"/>
    <w:rsid w:val="00347ACF"/>
    <w:rsid w:val="00347D41"/>
    <w:rsid w:val="00347F88"/>
    <w:rsid w:val="00347FAC"/>
    <w:rsid w:val="00350140"/>
    <w:rsid w:val="00350281"/>
    <w:rsid w:val="00350A33"/>
    <w:rsid w:val="00351BA5"/>
    <w:rsid w:val="00353432"/>
    <w:rsid w:val="00354124"/>
    <w:rsid w:val="0035477A"/>
    <w:rsid w:val="00354940"/>
    <w:rsid w:val="00354B13"/>
    <w:rsid w:val="003554B3"/>
    <w:rsid w:val="003556B4"/>
    <w:rsid w:val="00355832"/>
    <w:rsid w:val="00356632"/>
    <w:rsid w:val="00356A4C"/>
    <w:rsid w:val="00357C7E"/>
    <w:rsid w:val="00357FF6"/>
    <w:rsid w:val="00360279"/>
    <w:rsid w:val="0036152E"/>
    <w:rsid w:val="00361AF2"/>
    <w:rsid w:val="00361DBC"/>
    <w:rsid w:val="00362957"/>
    <w:rsid w:val="00362A4B"/>
    <w:rsid w:val="00362E70"/>
    <w:rsid w:val="00363F3A"/>
    <w:rsid w:val="003647F9"/>
    <w:rsid w:val="00364FE7"/>
    <w:rsid w:val="003653B6"/>
    <w:rsid w:val="00365594"/>
    <w:rsid w:val="00370032"/>
    <w:rsid w:val="003701AF"/>
    <w:rsid w:val="00370327"/>
    <w:rsid w:val="00371503"/>
    <w:rsid w:val="00372451"/>
    <w:rsid w:val="00372F4F"/>
    <w:rsid w:val="00373E22"/>
    <w:rsid w:val="00374CC4"/>
    <w:rsid w:val="0037567C"/>
    <w:rsid w:val="0037597D"/>
    <w:rsid w:val="00376776"/>
    <w:rsid w:val="003768A9"/>
    <w:rsid w:val="00376FBD"/>
    <w:rsid w:val="00377394"/>
    <w:rsid w:val="003774B2"/>
    <w:rsid w:val="00380F2D"/>
    <w:rsid w:val="0038139A"/>
    <w:rsid w:val="0038325B"/>
    <w:rsid w:val="003832AA"/>
    <w:rsid w:val="00383BC8"/>
    <w:rsid w:val="003845A9"/>
    <w:rsid w:val="00384657"/>
    <w:rsid w:val="003850C9"/>
    <w:rsid w:val="00385212"/>
    <w:rsid w:val="003863C8"/>
    <w:rsid w:val="00386A12"/>
    <w:rsid w:val="00387929"/>
    <w:rsid w:val="0039003B"/>
    <w:rsid w:val="00390883"/>
    <w:rsid w:val="003912A5"/>
    <w:rsid w:val="003922F8"/>
    <w:rsid w:val="00392BF1"/>
    <w:rsid w:val="00393F3F"/>
    <w:rsid w:val="0039428D"/>
    <w:rsid w:val="00395B24"/>
    <w:rsid w:val="00396951"/>
    <w:rsid w:val="00396C98"/>
    <w:rsid w:val="003970A3"/>
    <w:rsid w:val="003970E0"/>
    <w:rsid w:val="0039731B"/>
    <w:rsid w:val="003A0C6C"/>
    <w:rsid w:val="003A250A"/>
    <w:rsid w:val="003A2CFE"/>
    <w:rsid w:val="003A2D38"/>
    <w:rsid w:val="003A4BF1"/>
    <w:rsid w:val="003A7D9B"/>
    <w:rsid w:val="003A7ECC"/>
    <w:rsid w:val="003B060D"/>
    <w:rsid w:val="003B1A65"/>
    <w:rsid w:val="003B28B4"/>
    <w:rsid w:val="003B2972"/>
    <w:rsid w:val="003B2C72"/>
    <w:rsid w:val="003B58B4"/>
    <w:rsid w:val="003B7309"/>
    <w:rsid w:val="003C1333"/>
    <w:rsid w:val="003C1541"/>
    <w:rsid w:val="003C20FF"/>
    <w:rsid w:val="003C550A"/>
    <w:rsid w:val="003C558E"/>
    <w:rsid w:val="003C6055"/>
    <w:rsid w:val="003C706E"/>
    <w:rsid w:val="003C7554"/>
    <w:rsid w:val="003C78E0"/>
    <w:rsid w:val="003D222E"/>
    <w:rsid w:val="003D2650"/>
    <w:rsid w:val="003D28EF"/>
    <w:rsid w:val="003D30FA"/>
    <w:rsid w:val="003D3EF6"/>
    <w:rsid w:val="003D4DE5"/>
    <w:rsid w:val="003D560C"/>
    <w:rsid w:val="003D5C00"/>
    <w:rsid w:val="003D7D9E"/>
    <w:rsid w:val="003E11BC"/>
    <w:rsid w:val="003E1FB8"/>
    <w:rsid w:val="003E30BB"/>
    <w:rsid w:val="003E3154"/>
    <w:rsid w:val="003E3993"/>
    <w:rsid w:val="003E5490"/>
    <w:rsid w:val="003E5874"/>
    <w:rsid w:val="003E728D"/>
    <w:rsid w:val="003E72D3"/>
    <w:rsid w:val="003E7E11"/>
    <w:rsid w:val="003F067E"/>
    <w:rsid w:val="003F0E70"/>
    <w:rsid w:val="003F127F"/>
    <w:rsid w:val="003F1460"/>
    <w:rsid w:val="003F193E"/>
    <w:rsid w:val="003F20EE"/>
    <w:rsid w:val="003F242C"/>
    <w:rsid w:val="003F30E5"/>
    <w:rsid w:val="003F30F4"/>
    <w:rsid w:val="003F32F7"/>
    <w:rsid w:val="003F34F1"/>
    <w:rsid w:val="003F3D0D"/>
    <w:rsid w:val="003F63FC"/>
    <w:rsid w:val="003F6F43"/>
    <w:rsid w:val="004003F9"/>
    <w:rsid w:val="004013AF"/>
    <w:rsid w:val="004031D8"/>
    <w:rsid w:val="004045B2"/>
    <w:rsid w:val="00404FE1"/>
    <w:rsid w:val="004076F0"/>
    <w:rsid w:val="0041019B"/>
    <w:rsid w:val="004104B6"/>
    <w:rsid w:val="0041114E"/>
    <w:rsid w:val="00411AE8"/>
    <w:rsid w:val="00411B35"/>
    <w:rsid w:val="00412BE7"/>
    <w:rsid w:val="00412C1C"/>
    <w:rsid w:val="00412CCC"/>
    <w:rsid w:val="0041305A"/>
    <w:rsid w:val="00413B44"/>
    <w:rsid w:val="00413B74"/>
    <w:rsid w:val="004161F9"/>
    <w:rsid w:val="00416B93"/>
    <w:rsid w:val="00417C95"/>
    <w:rsid w:val="00420B21"/>
    <w:rsid w:val="00420F45"/>
    <w:rsid w:val="0042116E"/>
    <w:rsid w:val="0042312E"/>
    <w:rsid w:val="00423D54"/>
    <w:rsid w:val="00423EDC"/>
    <w:rsid w:val="00424554"/>
    <w:rsid w:val="0042472D"/>
    <w:rsid w:val="004264A8"/>
    <w:rsid w:val="00426FFA"/>
    <w:rsid w:val="00427745"/>
    <w:rsid w:val="00431F18"/>
    <w:rsid w:val="00433A10"/>
    <w:rsid w:val="00433B8B"/>
    <w:rsid w:val="00433FF2"/>
    <w:rsid w:val="0043424D"/>
    <w:rsid w:val="004342F3"/>
    <w:rsid w:val="00435C5F"/>
    <w:rsid w:val="00436155"/>
    <w:rsid w:val="00436460"/>
    <w:rsid w:val="00440F92"/>
    <w:rsid w:val="0044138A"/>
    <w:rsid w:val="004418FB"/>
    <w:rsid w:val="00441A44"/>
    <w:rsid w:val="00441E98"/>
    <w:rsid w:val="0044260A"/>
    <w:rsid w:val="00443974"/>
    <w:rsid w:val="00443CBE"/>
    <w:rsid w:val="004440ED"/>
    <w:rsid w:val="0044520A"/>
    <w:rsid w:val="0044637C"/>
    <w:rsid w:val="00450F3A"/>
    <w:rsid w:val="00452DC3"/>
    <w:rsid w:val="004532F7"/>
    <w:rsid w:val="00455693"/>
    <w:rsid w:val="00455AD1"/>
    <w:rsid w:val="0045764A"/>
    <w:rsid w:val="00460A7C"/>
    <w:rsid w:val="004616E5"/>
    <w:rsid w:val="004618EE"/>
    <w:rsid w:val="00461D86"/>
    <w:rsid w:val="004641AB"/>
    <w:rsid w:val="00464D51"/>
    <w:rsid w:val="00465D9D"/>
    <w:rsid w:val="004663D0"/>
    <w:rsid w:val="00472027"/>
    <w:rsid w:val="00472F18"/>
    <w:rsid w:val="00473431"/>
    <w:rsid w:val="00473503"/>
    <w:rsid w:val="00473958"/>
    <w:rsid w:val="004743F4"/>
    <w:rsid w:val="004751AB"/>
    <w:rsid w:val="004754E4"/>
    <w:rsid w:val="0047643F"/>
    <w:rsid w:val="00477F13"/>
    <w:rsid w:val="004804CF"/>
    <w:rsid w:val="00481367"/>
    <w:rsid w:val="00483314"/>
    <w:rsid w:val="00483751"/>
    <w:rsid w:val="00483A21"/>
    <w:rsid w:val="00484158"/>
    <w:rsid w:val="00484483"/>
    <w:rsid w:val="00484962"/>
    <w:rsid w:val="00484F6D"/>
    <w:rsid w:val="00484FB7"/>
    <w:rsid w:val="0048554D"/>
    <w:rsid w:val="004858D5"/>
    <w:rsid w:val="0048591A"/>
    <w:rsid w:val="004905DF"/>
    <w:rsid w:val="00490621"/>
    <w:rsid w:val="00490C36"/>
    <w:rsid w:val="004913A6"/>
    <w:rsid w:val="00492003"/>
    <w:rsid w:val="00492E5E"/>
    <w:rsid w:val="0049338A"/>
    <w:rsid w:val="00493AB5"/>
    <w:rsid w:val="00493FA4"/>
    <w:rsid w:val="0049417F"/>
    <w:rsid w:val="00494670"/>
    <w:rsid w:val="00496B19"/>
    <w:rsid w:val="00496D41"/>
    <w:rsid w:val="00497269"/>
    <w:rsid w:val="00497D7D"/>
    <w:rsid w:val="00497E6A"/>
    <w:rsid w:val="004A1EF8"/>
    <w:rsid w:val="004A2015"/>
    <w:rsid w:val="004A2375"/>
    <w:rsid w:val="004A326B"/>
    <w:rsid w:val="004A42FC"/>
    <w:rsid w:val="004A576D"/>
    <w:rsid w:val="004A6602"/>
    <w:rsid w:val="004B3855"/>
    <w:rsid w:val="004B3EFA"/>
    <w:rsid w:val="004B44B3"/>
    <w:rsid w:val="004B47B3"/>
    <w:rsid w:val="004B490A"/>
    <w:rsid w:val="004B664B"/>
    <w:rsid w:val="004B69B6"/>
    <w:rsid w:val="004B76AF"/>
    <w:rsid w:val="004C0322"/>
    <w:rsid w:val="004C0863"/>
    <w:rsid w:val="004C1D68"/>
    <w:rsid w:val="004C1D7F"/>
    <w:rsid w:val="004C236A"/>
    <w:rsid w:val="004C2A87"/>
    <w:rsid w:val="004C393D"/>
    <w:rsid w:val="004C4D7B"/>
    <w:rsid w:val="004C4ED3"/>
    <w:rsid w:val="004C667B"/>
    <w:rsid w:val="004C6A26"/>
    <w:rsid w:val="004C70F5"/>
    <w:rsid w:val="004C7CEE"/>
    <w:rsid w:val="004C7E3B"/>
    <w:rsid w:val="004C7ECD"/>
    <w:rsid w:val="004D059C"/>
    <w:rsid w:val="004D0DD3"/>
    <w:rsid w:val="004D15DF"/>
    <w:rsid w:val="004D1B3F"/>
    <w:rsid w:val="004D21DD"/>
    <w:rsid w:val="004D26F3"/>
    <w:rsid w:val="004D2EA5"/>
    <w:rsid w:val="004D32A6"/>
    <w:rsid w:val="004D4B65"/>
    <w:rsid w:val="004D53E5"/>
    <w:rsid w:val="004D5E2E"/>
    <w:rsid w:val="004D7856"/>
    <w:rsid w:val="004D7950"/>
    <w:rsid w:val="004E0767"/>
    <w:rsid w:val="004E1180"/>
    <w:rsid w:val="004E2195"/>
    <w:rsid w:val="004E324E"/>
    <w:rsid w:val="004E4557"/>
    <w:rsid w:val="004E4FD8"/>
    <w:rsid w:val="004E6303"/>
    <w:rsid w:val="004E63C0"/>
    <w:rsid w:val="004E6DC4"/>
    <w:rsid w:val="004E7707"/>
    <w:rsid w:val="004F18F7"/>
    <w:rsid w:val="004F21C1"/>
    <w:rsid w:val="004F6E28"/>
    <w:rsid w:val="004F74F5"/>
    <w:rsid w:val="004F7C7E"/>
    <w:rsid w:val="0050120C"/>
    <w:rsid w:val="00501A12"/>
    <w:rsid w:val="00501B80"/>
    <w:rsid w:val="0050309C"/>
    <w:rsid w:val="00503876"/>
    <w:rsid w:val="00504AAB"/>
    <w:rsid w:val="00504D9D"/>
    <w:rsid w:val="005073DE"/>
    <w:rsid w:val="00507E44"/>
    <w:rsid w:val="005104E7"/>
    <w:rsid w:val="00511675"/>
    <w:rsid w:val="00511DF8"/>
    <w:rsid w:val="00512F58"/>
    <w:rsid w:val="0051327C"/>
    <w:rsid w:val="0051346D"/>
    <w:rsid w:val="00513EAE"/>
    <w:rsid w:val="0051434F"/>
    <w:rsid w:val="0051445F"/>
    <w:rsid w:val="00514DB1"/>
    <w:rsid w:val="00516806"/>
    <w:rsid w:val="005173E7"/>
    <w:rsid w:val="00517A43"/>
    <w:rsid w:val="0052098C"/>
    <w:rsid w:val="00521EF5"/>
    <w:rsid w:val="00524463"/>
    <w:rsid w:val="005246C4"/>
    <w:rsid w:val="00524833"/>
    <w:rsid w:val="00524D7E"/>
    <w:rsid w:val="00525A49"/>
    <w:rsid w:val="00525C91"/>
    <w:rsid w:val="005262D1"/>
    <w:rsid w:val="0052667E"/>
    <w:rsid w:val="0052727C"/>
    <w:rsid w:val="005302F6"/>
    <w:rsid w:val="00530876"/>
    <w:rsid w:val="00530BCD"/>
    <w:rsid w:val="00535613"/>
    <w:rsid w:val="005359EB"/>
    <w:rsid w:val="0054088F"/>
    <w:rsid w:val="00541C1A"/>
    <w:rsid w:val="00542285"/>
    <w:rsid w:val="0054254A"/>
    <w:rsid w:val="005428D1"/>
    <w:rsid w:val="00543AE1"/>
    <w:rsid w:val="00544BC6"/>
    <w:rsid w:val="00544FE7"/>
    <w:rsid w:val="0054500B"/>
    <w:rsid w:val="005453F1"/>
    <w:rsid w:val="005466B5"/>
    <w:rsid w:val="005466C8"/>
    <w:rsid w:val="005505A9"/>
    <w:rsid w:val="00550686"/>
    <w:rsid w:val="00552479"/>
    <w:rsid w:val="00552509"/>
    <w:rsid w:val="00552CC1"/>
    <w:rsid w:val="0055340E"/>
    <w:rsid w:val="005534F7"/>
    <w:rsid w:val="00553C83"/>
    <w:rsid w:val="00554314"/>
    <w:rsid w:val="00554AC8"/>
    <w:rsid w:val="0055661B"/>
    <w:rsid w:val="0056233F"/>
    <w:rsid w:val="00562829"/>
    <w:rsid w:val="005629B3"/>
    <w:rsid w:val="00564AA8"/>
    <w:rsid w:val="0056671D"/>
    <w:rsid w:val="005672BF"/>
    <w:rsid w:val="005676AF"/>
    <w:rsid w:val="0057128A"/>
    <w:rsid w:val="005724F6"/>
    <w:rsid w:val="00572C97"/>
    <w:rsid w:val="0057319C"/>
    <w:rsid w:val="00573AC4"/>
    <w:rsid w:val="00573E17"/>
    <w:rsid w:val="00575224"/>
    <w:rsid w:val="00576242"/>
    <w:rsid w:val="005769E3"/>
    <w:rsid w:val="00576D67"/>
    <w:rsid w:val="00577272"/>
    <w:rsid w:val="005801FC"/>
    <w:rsid w:val="0058023E"/>
    <w:rsid w:val="005803DC"/>
    <w:rsid w:val="00580C78"/>
    <w:rsid w:val="0058164A"/>
    <w:rsid w:val="00585175"/>
    <w:rsid w:val="005854A5"/>
    <w:rsid w:val="005854D1"/>
    <w:rsid w:val="00585924"/>
    <w:rsid w:val="00585BA9"/>
    <w:rsid w:val="00586555"/>
    <w:rsid w:val="00587359"/>
    <w:rsid w:val="005874A5"/>
    <w:rsid w:val="00592024"/>
    <w:rsid w:val="00592BC7"/>
    <w:rsid w:val="005940DC"/>
    <w:rsid w:val="00595016"/>
    <w:rsid w:val="005952A0"/>
    <w:rsid w:val="00595A4F"/>
    <w:rsid w:val="00596D56"/>
    <w:rsid w:val="00596FED"/>
    <w:rsid w:val="00597380"/>
    <w:rsid w:val="00597867"/>
    <w:rsid w:val="00597AAE"/>
    <w:rsid w:val="005A0447"/>
    <w:rsid w:val="005A09A8"/>
    <w:rsid w:val="005A126E"/>
    <w:rsid w:val="005A1294"/>
    <w:rsid w:val="005A222C"/>
    <w:rsid w:val="005A2A96"/>
    <w:rsid w:val="005A4DF8"/>
    <w:rsid w:val="005A5EC1"/>
    <w:rsid w:val="005A78C8"/>
    <w:rsid w:val="005A7BDA"/>
    <w:rsid w:val="005B0399"/>
    <w:rsid w:val="005B1426"/>
    <w:rsid w:val="005B160A"/>
    <w:rsid w:val="005B184F"/>
    <w:rsid w:val="005B23E8"/>
    <w:rsid w:val="005B27B5"/>
    <w:rsid w:val="005B5C12"/>
    <w:rsid w:val="005B7A7C"/>
    <w:rsid w:val="005C025B"/>
    <w:rsid w:val="005C0A8E"/>
    <w:rsid w:val="005C138B"/>
    <w:rsid w:val="005C1767"/>
    <w:rsid w:val="005C185C"/>
    <w:rsid w:val="005C1DD9"/>
    <w:rsid w:val="005C20DD"/>
    <w:rsid w:val="005C27F7"/>
    <w:rsid w:val="005C2CF9"/>
    <w:rsid w:val="005C3831"/>
    <w:rsid w:val="005C39B6"/>
    <w:rsid w:val="005C42EF"/>
    <w:rsid w:val="005C46DB"/>
    <w:rsid w:val="005C5315"/>
    <w:rsid w:val="005C5ABB"/>
    <w:rsid w:val="005C69C2"/>
    <w:rsid w:val="005C7366"/>
    <w:rsid w:val="005D0067"/>
    <w:rsid w:val="005D0A0F"/>
    <w:rsid w:val="005D222C"/>
    <w:rsid w:val="005D22F3"/>
    <w:rsid w:val="005D2416"/>
    <w:rsid w:val="005D291A"/>
    <w:rsid w:val="005D2D50"/>
    <w:rsid w:val="005D5018"/>
    <w:rsid w:val="005D51F8"/>
    <w:rsid w:val="005D529B"/>
    <w:rsid w:val="005D5678"/>
    <w:rsid w:val="005D6AED"/>
    <w:rsid w:val="005D7735"/>
    <w:rsid w:val="005E0022"/>
    <w:rsid w:val="005E02F5"/>
    <w:rsid w:val="005E0510"/>
    <w:rsid w:val="005E10CA"/>
    <w:rsid w:val="005E1406"/>
    <w:rsid w:val="005E176E"/>
    <w:rsid w:val="005E218E"/>
    <w:rsid w:val="005E2846"/>
    <w:rsid w:val="005E35A0"/>
    <w:rsid w:val="005E396C"/>
    <w:rsid w:val="005E4A44"/>
    <w:rsid w:val="005E562C"/>
    <w:rsid w:val="005E605C"/>
    <w:rsid w:val="005E6BFB"/>
    <w:rsid w:val="005E72E4"/>
    <w:rsid w:val="005F0D1B"/>
    <w:rsid w:val="005F0D78"/>
    <w:rsid w:val="005F1865"/>
    <w:rsid w:val="005F1933"/>
    <w:rsid w:val="005F1FF2"/>
    <w:rsid w:val="005F2768"/>
    <w:rsid w:val="005F39C9"/>
    <w:rsid w:val="005F4B51"/>
    <w:rsid w:val="005F4D05"/>
    <w:rsid w:val="005F5F1B"/>
    <w:rsid w:val="006007BD"/>
    <w:rsid w:val="006013C8"/>
    <w:rsid w:val="0060270D"/>
    <w:rsid w:val="00604342"/>
    <w:rsid w:val="00604611"/>
    <w:rsid w:val="0060513E"/>
    <w:rsid w:val="00607937"/>
    <w:rsid w:val="00611344"/>
    <w:rsid w:val="00611586"/>
    <w:rsid w:val="006126EF"/>
    <w:rsid w:val="00612D26"/>
    <w:rsid w:val="006135DD"/>
    <w:rsid w:val="00613D9F"/>
    <w:rsid w:val="006143B6"/>
    <w:rsid w:val="00614C51"/>
    <w:rsid w:val="00615855"/>
    <w:rsid w:val="006163CD"/>
    <w:rsid w:val="0061684B"/>
    <w:rsid w:val="00617B77"/>
    <w:rsid w:val="00617D45"/>
    <w:rsid w:val="00620DA8"/>
    <w:rsid w:val="006210D9"/>
    <w:rsid w:val="00621887"/>
    <w:rsid w:val="00621BC1"/>
    <w:rsid w:val="00622B87"/>
    <w:rsid w:val="00623471"/>
    <w:rsid w:val="00623709"/>
    <w:rsid w:val="00624520"/>
    <w:rsid w:val="00624A62"/>
    <w:rsid w:val="00625A6F"/>
    <w:rsid w:val="00626901"/>
    <w:rsid w:val="00626C06"/>
    <w:rsid w:val="006270CE"/>
    <w:rsid w:val="006271F5"/>
    <w:rsid w:val="00627F68"/>
    <w:rsid w:val="00630CAA"/>
    <w:rsid w:val="00630FF3"/>
    <w:rsid w:val="00632037"/>
    <w:rsid w:val="00632300"/>
    <w:rsid w:val="00632BB7"/>
    <w:rsid w:val="0063375F"/>
    <w:rsid w:val="00635610"/>
    <w:rsid w:val="00635B36"/>
    <w:rsid w:val="00636871"/>
    <w:rsid w:val="006375CA"/>
    <w:rsid w:val="00640008"/>
    <w:rsid w:val="006407D4"/>
    <w:rsid w:val="00640EE1"/>
    <w:rsid w:val="00640F4E"/>
    <w:rsid w:val="00642993"/>
    <w:rsid w:val="00643728"/>
    <w:rsid w:val="00643DE0"/>
    <w:rsid w:val="0064437D"/>
    <w:rsid w:val="00644D3B"/>
    <w:rsid w:val="00644D70"/>
    <w:rsid w:val="00644E85"/>
    <w:rsid w:val="00645304"/>
    <w:rsid w:val="00645708"/>
    <w:rsid w:val="00645F43"/>
    <w:rsid w:val="00646DC2"/>
    <w:rsid w:val="00650326"/>
    <w:rsid w:val="006516D8"/>
    <w:rsid w:val="00652C52"/>
    <w:rsid w:val="00653104"/>
    <w:rsid w:val="0065589E"/>
    <w:rsid w:val="00657423"/>
    <w:rsid w:val="0066063F"/>
    <w:rsid w:val="006606CE"/>
    <w:rsid w:val="00661459"/>
    <w:rsid w:val="0066178E"/>
    <w:rsid w:val="00661D57"/>
    <w:rsid w:val="00662BB0"/>
    <w:rsid w:val="00662BB3"/>
    <w:rsid w:val="00663878"/>
    <w:rsid w:val="00664A58"/>
    <w:rsid w:val="00666168"/>
    <w:rsid w:val="00666EF5"/>
    <w:rsid w:val="00667773"/>
    <w:rsid w:val="00670642"/>
    <w:rsid w:val="00670743"/>
    <w:rsid w:val="00670ED4"/>
    <w:rsid w:val="0067289C"/>
    <w:rsid w:val="00675D58"/>
    <w:rsid w:val="006763F9"/>
    <w:rsid w:val="00680A78"/>
    <w:rsid w:val="00680A85"/>
    <w:rsid w:val="00681ADF"/>
    <w:rsid w:val="00682731"/>
    <w:rsid w:val="00682D07"/>
    <w:rsid w:val="0068343F"/>
    <w:rsid w:val="0068453A"/>
    <w:rsid w:val="0068483B"/>
    <w:rsid w:val="006865C8"/>
    <w:rsid w:val="00690789"/>
    <w:rsid w:val="00690E92"/>
    <w:rsid w:val="00690EE2"/>
    <w:rsid w:val="00691CBB"/>
    <w:rsid w:val="00692A25"/>
    <w:rsid w:val="00693854"/>
    <w:rsid w:val="00693C65"/>
    <w:rsid w:val="00693DD5"/>
    <w:rsid w:val="00694BEB"/>
    <w:rsid w:val="006979EE"/>
    <w:rsid w:val="00697BA6"/>
    <w:rsid w:val="006A02DF"/>
    <w:rsid w:val="006A039F"/>
    <w:rsid w:val="006A0413"/>
    <w:rsid w:val="006A0E20"/>
    <w:rsid w:val="006A1CD3"/>
    <w:rsid w:val="006A24E3"/>
    <w:rsid w:val="006A3145"/>
    <w:rsid w:val="006A336F"/>
    <w:rsid w:val="006A389C"/>
    <w:rsid w:val="006A415A"/>
    <w:rsid w:val="006A461A"/>
    <w:rsid w:val="006A5695"/>
    <w:rsid w:val="006A571A"/>
    <w:rsid w:val="006A6202"/>
    <w:rsid w:val="006A7138"/>
    <w:rsid w:val="006A7914"/>
    <w:rsid w:val="006B033A"/>
    <w:rsid w:val="006B0439"/>
    <w:rsid w:val="006B0B09"/>
    <w:rsid w:val="006B11E3"/>
    <w:rsid w:val="006B18EA"/>
    <w:rsid w:val="006B258F"/>
    <w:rsid w:val="006B2F5C"/>
    <w:rsid w:val="006B3904"/>
    <w:rsid w:val="006B47CC"/>
    <w:rsid w:val="006B5B7D"/>
    <w:rsid w:val="006B72AE"/>
    <w:rsid w:val="006B7DFC"/>
    <w:rsid w:val="006C00EC"/>
    <w:rsid w:val="006C08B0"/>
    <w:rsid w:val="006C0E1A"/>
    <w:rsid w:val="006C1197"/>
    <w:rsid w:val="006C2FDD"/>
    <w:rsid w:val="006C3960"/>
    <w:rsid w:val="006C3CB5"/>
    <w:rsid w:val="006C4E25"/>
    <w:rsid w:val="006C5B46"/>
    <w:rsid w:val="006C5C4E"/>
    <w:rsid w:val="006C6BAF"/>
    <w:rsid w:val="006C6E39"/>
    <w:rsid w:val="006C6E8B"/>
    <w:rsid w:val="006D0C11"/>
    <w:rsid w:val="006D0ECF"/>
    <w:rsid w:val="006D117C"/>
    <w:rsid w:val="006D20C4"/>
    <w:rsid w:val="006D2693"/>
    <w:rsid w:val="006D26F8"/>
    <w:rsid w:val="006D3258"/>
    <w:rsid w:val="006D3395"/>
    <w:rsid w:val="006D3D5B"/>
    <w:rsid w:val="006D4C92"/>
    <w:rsid w:val="006D4EB6"/>
    <w:rsid w:val="006D6072"/>
    <w:rsid w:val="006D6EA9"/>
    <w:rsid w:val="006D7607"/>
    <w:rsid w:val="006D7FBC"/>
    <w:rsid w:val="006E0182"/>
    <w:rsid w:val="006E0274"/>
    <w:rsid w:val="006E0AB9"/>
    <w:rsid w:val="006E1E98"/>
    <w:rsid w:val="006E2176"/>
    <w:rsid w:val="006E320E"/>
    <w:rsid w:val="006E35BF"/>
    <w:rsid w:val="006E42AB"/>
    <w:rsid w:val="006E6224"/>
    <w:rsid w:val="006E6D88"/>
    <w:rsid w:val="006E7850"/>
    <w:rsid w:val="006F18D5"/>
    <w:rsid w:val="006F19D8"/>
    <w:rsid w:val="006F1D92"/>
    <w:rsid w:val="006F2155"/>
    <w:rsid w:val="006F2C9E"/>
    <w:rsid w:val="006F46D6"/>
    <w:rsid w:val="006F4BBB"/>
    <w:rsid w:val="006F607C"/>
    <w:rsid w:val="006F69D4"/>
    <w:rsid w:val="0070073C"/>
    <w:rsid w:val="0070127E"/>
    <w:rsid w:val="007028D9"/>
    <w:rsid w:val="00703DE7"/>
    <w:rsid w:val="007041BC"/>
    <w:rsid w:val="00704CCD"/>
    <w:rsid w:val="00707218"/>
    <w:rsid w:val="00707EA9"/>
    <w:rsid w:val="00710C86"/>
    <w:rsid w:val="00710D04"/>
    <w:rsid w:val="00712416"/>
    <w:rsid w:val="00712B1D"/>
    <w:rsid w:val="00715751"/>
    <w:rsid w:val="00716C65"/>
    <w:rsid w:val="00716F93"/>
    <w:rsid w:val="007171BA"/>
    <w:rsid w:val="00717616"/>
    <w:rsid w:val="00720DD9"/>
    <w:rsid w:val="00720EDE"/>
    <w:rsid w:val="007216B7"/>
    <w:rsid w:val="00726A31"/>
    <w:rsid w:val="00726F80"/>
    <w:rsid w:val="00727A1A"/>
    <w:rsid w:val="00731170"/>
    <w:rsid w:val="007325D9"/>
    <w:rsid w:val="00733A6A"/>
    <w:rsid w:val="0073413F"/>
    <w:rsid w:val="0073478D"/>
    <w:rsid w:val="00734F93"/>
    <w:rsid w:val="007355BC"/>
    <w:rsid w:val="0073583B"/>
    <w:rsid w:val="007360CA"/>
    <w:rsid w:val="00740A58"/>
    <w:rsid w:val="00740DF0"/>
    <w:rsid w:val="0074173D"/>
    <w:rsid w:val="0074194D"/>
    <w:rsid w:val="00741EF5"/>
    <w:rsid w:val="0074214E"/>
    <w:rsid w:val="00742642"/>
    <w:rsid w:val="007438ED"/>
    <w:rsid w:val="00745156"/>
    <w:rsid w:val="00746139"/>
    <w:rsid w:val="0074667B"/>
    <w:rsid w:val="00746AB9"/>
    <w:rsid w:val="007470BD"/>
    <w:rsid w:val="00747CD0"/>
    <w:rsid w:val="00750954"/>
    <w:rsid w:val="0075168A"/>
    <w:rsid w:val="00753A10"/>
    <w:rsid w:val="00753AEA"/>
    <w:rsid w:val="00753C9B"/>
    <w:rsid w:val="00755020"/>
    <w:rsid w:val="0075588A"/>
    <w:rsid w:val="00755D89"/>
    <w:rsid w:val="0075682E"/>
    <w:rsid w:val="00757D75"/>
    <w:rsid w:val="00760DB5"/>
    <w:rsid w:val="00760EC0"/>
    <w:rsid w:val="00761991"/>
    <w:rsid w:val="00762D12"/>
    <w:rsid w:val="0076369A"/>
    <w:rsid w:val="00765AE1"/>
    <w:rsid w:val="00765F3C"/>
    <w:rsid w:val="007664B9"/>
    <w:rsid w:val="0076697E"/>
    <w:rsid w:val="00770495"/>
    <w:rsid w:val="007711BD"/>
    <w:rsid w:val="0077139F"/>
    <w:rsid w:val="007716C0"/>
    <w:rsid w:val="00771B92"/>
    <w:rsid w:val="00773DFD"/>
    <w:rsid w:val="00774E8C"/>
    <w:rsid w:val="0077524A"/>
    <w:rsid w:val="0077533E"/>
    <w:rsid w:val="0077773D"/>
    <w:rsid w:val="0078003A"/>
    <w:rsid w:val="00780771"/>
    <w:rsid w:val="00780A15"/>
    <w:rsid w:val="007810C3"/>
    <w:rsid w:val="0078273F"/>
    <w:rsid w:val="00782C47"/>
    <w:rsid w:val="00784AE4"/>
    <w:rsid w:val="00785822"/>
    <w:rsid w:val="007877DD"/>
    <w:rsid w:val="007929CF"/>
    <w:rsid w:val="00793112"/>
    <w:rsid w:val="007934AA"/>
    <w:rsid w:val="00794CA5"/>
    <w:rsid w:val="007954DB"/>
    <w:rsid w:val="00795BA9"/>
    <w:rsid w:val="00797BA8"/>
    <w:rsid w:val="00797BE3"/>
    <w:rsid w:val="007A081D"/>
    <w:rsid w:val="007A10B4"/>
    <w:rsid w:val="007A2C85"/>
    <w:rsid w:val="007A4376"/>
    <w:rsid w:val="007A4482"/>
    <w:rsid w:val="007A49E7"/>
    <w:rsid w:val="007A4CE4"/>
    <w:rsid w:val="007A5936"/>
    <w:rsid w:val="007A5AAA"/>
    <w:rsid w:val="007A69B0"/>
    <w:rsid w:val="007A6F28"/>
    <w:rsid w:val="007B03C6"/>
    <w:rsid w:val="007B0DB1"/>
    <w:rsid w:val="007B22FC"/>
    <w:rsid w:val="007B28C3"/>
    <w:rsid w:val="007B2935"/>
    <w:rsid w:val="007B33C0"/>
    <w:rsid w:val="007B3DDE"/>
    <w:rsid w:val="007B5673"/>
    <w:rsid w:val="007B5B03"/>
    <w:rsid w:val="007B634C"/>
    <w:rsid w:val="007B6740"/>
    <w:rsid w:val="007B6FED"/>
    <w:rsid w:val="007B7238"/>
    <w:rsid w:val="007B730F"/>
    <w:rsid w:val="007B76FF"/>
    <w:rsid w:val="007B7B57"/>
    <w:rsid w:val="007C122A"/>
    <w:rsid w:val="007C1992"/>
    <w:rsid w:val="007C280A"/>
    <w:rsid w:val="007C3BF6"/>
    <w:rsid w:val="007C4506"/>
    <w:rsid w:val="007C67B3"/>
    <w:rsid w:val="007C714B"/>
    <w:rsid w:val="007C7341"/>
    <w:rsid w:val="007D0FD2"/>
    <w:rsid w:val="007D1B82"/>
    <w:rsid w:val="007D2AFA"/>
    <w:rsid w:val="007D2EF8"/>
    <w:rsid w:val="007D36EC"/>
    <w:rsid w:val="007D3851"/>
    <w:rsid w:val="007D561F"/>
    <w:rsid w:val="007D5EE8"/>
    <w:rsid w:val="007D6B25"/>
    <w:rsid w:val="007D74F1"/>
    <w:rsid w:val="007D754B"/>
    <w:rsid w:val="007D7FD2"/>
    <w:rsid w:val="007E06DE"/>
    <w:rsid w:val="007E0B00"/>
    <w:rsid w:val="007E1144"/>
    <w:rsid w:val="007E13D9"/>
    <w:rsid w:val="007E1EC4"/>
    <w:rsid w:val="007E1EED"/>
    <w:rsid w:val="007E212A"/>
    <w:rsid w:val="007E2320"/>
    <w:rsid w:val="007E2AEC"/>
    <w:rsid w:val="007E305A"/>
    <w:rsid w:val="007E3D81"/>
    <w:rsid w:val="007E41BE"/>
    <w:rsid w:val="007E4DB6"/>
    <w:rsid w:val="007E6733"/>
    <w:rsid w:val="007E7BF5"/>
    <w:rsid w:val="007E7CD4"/>
    <w:rsid w:val="007F124A"/>
    <w:rsid w:val="007F12AC"/>
    <w:rsid w:val="007F23CE"/>
    <w:rsid w:val="007F2D37"/>
    <w:rsid w:val="007F3597"/>
    <w:rsid w:val="007F3D1C"/>
    <w:rsid w:val="007F4501"/>
    <w:rsid w:val="007F5867"/>
    <w:rsid w:val="007F59BE"/>
    <w:rsid w:val="007F60DF"/>
    <w:rsid w:val="008005E4"/>
    <w:rsid w:val="00800796"/>
    <w:rsid w:val="00800C4A"/>
    <w:rsid w:val="0080113C"/>
    <w:rsid w:val="00801800"/>
    <w:rsid w:val="00801861"/>
    <w:rsid w:val="00801B5B"/>
    <w:rsid w:val="00803A8B"/>
    <w:rsid w:val="00804695"/>
    <w:rsid w:val="00804876"/>
    <w:rsid w:val="008050C3"/>
    <w:rsid w:val="00805A30"/>
    <w:rsid w:val="008060CD"/>
    <w:rsid w:val="00806E36"/>
    <w:rsid w:val="00811D4B"/>
    <w:rsid w:val="00812EDC"/>
    <w:rsid w:val="008142D4"/>
    <w:rsid w:val="00814CC6"/>
    <w:rsid w:val="008215BF"/>
    <w:rsid w:val="008216E7"/>
    <w:rsid w:val="00822927"/>
    <w:rsid w:val="00822C3B"/>
    <w:rsid w:val="008241DE"/>
    <w:rsid w:val="00825BE6"/>
    <w:rsid w:val="00825CD8"/>
    <w:rsid w:val="00826227"/>
    <w:rsid w:val="008276B4"/>
    <w:rsid w:val="00827AC7"/>
    <w:rsid w:val="008303B1"/>
    <w:rsid w:val="0083164D"/>
    <w:rsid w:val="00831927"/>
    <w:rsid w:val="00832108"/>
    <w:rsid w:val="008338F9"/>
    <w:rsid w:val="0083397D"/>
    <w:rsid w:val="00834C02"/>
    <w:rsid w:val="00835F25"/>
    <w:rsid w:val="00837288"/>
    <w:rsid w:val="00837E50"/>
    <w:rsid w:val="0084046E"/>
    <w:rsid w:val="008405D9"/>
    <w:rsid w:val="0084099C"/>
    <w:rsid w:val="008411CE"/>
    <w:rsid w:val="00841BD3"/>
    <w:rsid w:val="0084273D"/>
    <w:rsid w:val="0084283F"/>
    <w:rsid w:val="00844E3F"/>
    <w:rsid w:val="008458E6"/>
    <w:rsid w:val="00845A83"/>
    <w:rsid w:val="00846BB9"/>
    <w:rsid w:val="00847072"/>
    <w:rsid w:val="00847B27"/>
    <w:rsid w:val="00850561"/>
    <w:rsid w:val="00850F0A"/>
    <w:rsid w:val="0085352D"/>
    <w:rsid w:val="00853E52"/>
    <w:rsid w:val="00854008"/>
    <w:rsid w:val="00854D2C"/>
    <w:rsid w:val="00857AF0"/>
    <w:rsid w:val="00861140"/>
    <w:rsid w:val="0086127A"/>
    <w:rsid w:val="00862F44"/>
    <w:rsid w:val="0086456C"/>
    <w:rsid w:val="008649D5"/>
    <w:rsid w:val="008679D9"/>
    <w:rsid w:val="00870287"/>
    <w:rsid w:val="008712BB"/>
    <w:rsid w:val="00871AD9"/>
    <w:rsid w:val="0087221A"/>
    <w:rsid w:val="00872F75"/>
    <w:rsid w:val="008733AF"/>
    <w:rsid w:val="00876D05"/>
    <w:rsid w:val="00876E0A"/>
    <w:rsid w:val="00877967"/>
    <w:rsid w:val="00881381"/>
    <w:rsid w:val="00882936"/>
    <w:rsid w:val="00882C39"/>
    <w:rsid w:val="008830E7"/>
    <w:rsid w:val="00883ADB"/>
    <w:rsid w:val="008848B5"/>
    <w:rsid w:val="00884E79"/>
    <w:rsid w:val="00885557"/>
    <w:rsid w:val="00886094"/>
    <w:rsid w:val="008861D9"/>
    <w:rsid w:val="00886A54"/>
    <w:rsid w:val="00890EDE"/>
    <w:rsid w:val="00891922"/>
    <w:rsid w:val="00891C35"/>
    <w:rsid w:val="00892B38"/>
    <w:rsid w:val="008935F1"/>
    <w:rsid w:val="00894515"/>
    <w:rsid w:val="008A0F6F"/>
    <w:rsid w:val="008A157C"/>
    <w:rsid w:val="008A1741"/>
    <w:rsid w:val="008A208B"/>
    <w:rsid w:val="008A2484"/>
    <w:rsid w:val="008A2789"/>
    <w:rsid w:val="008A322E"/>
    <w:rsid w:val="008A3266"/>
    <w:rsid w:val="008A52F3"/>
    <w:rsid w:val="008A5E56"/>
    <w:rsid w:val="008B2349"/>
    <w:rsid w:val="008B2D4D"/>
    <w:rsid w:val="008B36F5"/>
    <w:rsid w:val="008B4E3A"/>
    <w:rsid w:val="008B51B7"/>
    <w:rsid w:val="008B6019"/>
    <w:rsid w:val="008C0250"/>
    <w:rsid w:val="008C1B22"/>
    <w:rsid w:val="008C26D9"/>
    <w:rsid w:val="008C2F07"/>
    <w:rsid w:val="008C3B1B"/>
    <w:rsid w:val="008C3EF0"/>
    <w:rsid w:val="008C40D0"/>
    <w:rsid w:val="008C4FC3"/>
    <w:rsid w:val="008C64F3"/>
    <w:rsid w:val="008C6928"/>
    <w:rsid w:val="008C6D50"/>
    <w:rsid w:val="008C6EB9"/>
    <w:rsid w:val="008C7167"/>
    <w:rsid w:val="008C74E3"/>
    <w:rsid w:val="008C7503"/>
    <w:rsid w:val="008C7A33"/>
    <w:rsid w:val="008D046B"/>
    <w:rsid w:val="008D049E"/>
    <w:rsid w:val="008D1617"/>
    <w:rsid w:val="008D330F"/>
    <w:rsid w:val="008D437E"/>
    <w:rsid w:val="008D48C1"/>
    <w:rsid w:val="008D4C80"/>
    <w:rsid w:val="008D7068"/>
    <w:rsid w:val="008D7A27"/>
    <w:rsid w:val="008E0D92"/>
    <w:rsid w:val="008E11B8"/>
    <w:rsid w:val="008E3547"/>
    <w:rsid w:val="008E38E7"/>
    <w:rsid w:val="008E398E"/>
    <w:rsid w:val="008E617F"/>
    <w:rsid w:val="008E6315"/>
    <w:rsid w:val="008F0480"/>
    <w:rsid w:val="008F07FC"/>
    <w:rsid w:val="008F11E0"/>
    <w:rsid w:val="008F24E4"/>
    <w:rsid w:val="008F24F3"/>
    <w:rsid w:val="008F3DD5"/>
    <w:rsid w:val="008F3EA7"/>
    <w:rsid w:val="008F66C6"/>
    <w:rsid w:val="008F78BC"/>
    <w:rsid w:val="008F7B63"/>
    <w:rsid w:val="008F7D6A"/>
    <w:rsid w:val="00900301"/>
    <w:rsid w:val="009019B5"/>
    <w:rsid w:val="00901BE1"/>
    <w:rsid w:val="00901C86"/>
    <w:rsid w:val="00901D4B"/>
    <w:rsid w:val="00903603"/>
    <w:rsid w:val="009044EA"/>
    <w:rsid w:val="00905171"/>
    <w:rsid w:val="00905339"/>
    <w:rsid w:val="009054CB"/>
    <w:rsid w:val="00906541"/>
    <w:rsid w:val="009100B1"/>
    <w:rsid w:val="00910C6A"/>
    <w:rsid w:val="00911388"/>
    <w:rsid w:val="00911F8D"/>
    <w:rsid w:val="00912229"/>
    <w:rsid w:val="00912A99"/>
    <w:rsid w:val="00912F94"/>
    <w:rsid w:val="009139AF"/>
    <w:rsid w:val="0091418B"/>
    <w:rsid w:val="00914C3C"/>
    <w:rsid w:val="00915535"/>
    <w:rsid w:val="00915A45"/>
    <w:rsid w:val="009168CF"/>
    <w:rsid w:val="00917139"/>
    <w:rsid w:val="009171BC"/>
    <w:rsid w:val="00917336"/>
    <w:rsid w:val="00921372"/>
    <w:rsid w:val="0092497E"/>
    <w:rsid w:val="00925456"/>
    <w:rsid w:val="0092546A"/>
    <w:rsid w:val="0092590B"/>
    <w:rsid w:val="00925BF3"/>
    <w:rsid w:val="00925E60"/>
    <w:rsid w:val="00926483"/>
    <w:rsid w:val="009264B3"/>
    <w:rsid w:val="00927121"/>
    <w:rsid w:val="00930683"/>
    <w:rsid w:val="00930A41"/>
    <w:rsid w:val="00931E4C"/>
    <w:rsid w:val="00933E67"/>
    <w:rsid w:val="00934177"/>
    <w:rsid w:val="00934C2B"/>
    <w:rsid w:val="009352E3"/>
    <w:rsid w:val="009365E0"/>
    <w:rsid w:val="009375DE"/>
    <w:rsid w:val="009415CF"/>
    <w:rsid w:val="00941C32"/>
    <w:rsid w:val="00942BA2"/>
    <w:rsid w:val="009432B7"/>
    <w:rsid w:val="00943DA4"/>
    <w:rsid w:val="00944C86"/>
    <w:rsid w:val="00945B54"/>
    <w:rsid w:val="009466E6"/>
    <w:rsid w:val="00946B28"/>
    <w:rsid w:val="00947C02"/>
    <w:rsid w:val="00950ABA"/>
    <w:rsid w:val="00950BE6"/>
    <w:rsid w:val="00952D8C"/>
    <w:rsid w:val="00957DE8"/>
    <w:rsid w:val="0096043B"/>
    <w:rsid w:val="00960D90"/>
    <w:rsid w:val="00960ECB"/>
    <w:rsid w:val="009615D6"/>
    <w:rsid w:val="0096344B"/>
    <w:rsid w:val="009644C8"/>
    <w:rsid w:val="009646FC"/>
    <w:rsid w:val="0096730D"/>
    <w:rsid w:val="00967855"/>
    <w:rsid w:val="0097061D"/>
    <w:rsid w:val="00970CD2"/>
    <w:rsid w:val="00970D64"/>
    <w:rsid w:val="00971CD1"/>
    <w:rsid w:val="009735BD"/>
    <w:rsid w:val="009746DF"/>
    <w:rsid w:val="00974709"/>
    <w:rsid w:val="00975347"/>
    <w:rsid w:val="00975AB5"/>
    <w:rsid w:val="009801AE"/>
    <w:rsid w:val="00980736"/>
    <w:rsid w:val="009810C1"/>
    <w:rsid w:val="00981A39"/>
    <w:rsid w:val="00981C5E"/>
    <w:rsid w:val="00982D56"/>
    <w:rsid w:val="0098386A"/>
    <w:rsid w:val="00983885"/>
    <w:rsid w:val="00983DBF"/>
    <w:rsid w:val="0098445E"/>
    <w:rsid w:val="00986B45"/>
    <w:rsid w:val="00987097"/>
    <w:rsid w:val="00987A48"/>
    <w:rsid w:val="009909DC"/>
    <w:rsid w:val="00990BED"/>
    <w:rsid w:val="00990FE6"/>
    <w:rsid w:val="00991123"/>
    <w:rsid w:val="00991CAB"/>
    <w:rsid w:val="00992995"/>
    <w:rsid w:val="009936EE"/>
    <w:rsid w:val="009937DA"/>
    <w:rsid w:val="00993DB5"/>
    <w:rsid w:val="00995227"/>
    <w:rsid w:val="00997608"/>
    <w:rsid w:val="009A0BAC"/>
    <w:rsid w:val="009A1BE0"/>
    <w:rsid w:val="009A2841"/>
    <w:rsid w:val="009A3A9C"/>
    <w:rsid w:val="009A485C"/>
    <w:rsid w:val="009A49FD"/>
    <w:rsid w:val="009A5856"/>
    <w:rsid w:val="009A7B6E"/>
    <w:rsid w:val="009B03F5"/>
    <w:rsid w:val="009B046C"/>
    <w:rsid w:val="009B13FA"/>
    <w:rsid w:val="009B1533"/>
    <w:rsid w:val="009B1E2D"/>
    <w:rsid w:val="009B5BAD"/>
    <w:rsid w:val="009B5E62"/>
    <w:rsid w:val="009B6B26"/>
    <w:rsid w:val="009B6B96"/>
    <w:rsid w:val="009B6DBD"/>
    <w:rsid w:val="009B6FA6"/>
    <w:rsid w:val="009B758A"/>
    <w:rsid w:val="009B7BC2"/>
    <w:rsid w:val="009C0A30"/>
    <w:rsid w:val="009C2460"/>
    <w:rsid w:val="009C2774"/>
    <w:rsid w:val="009C2B67"/>
    <w:rsid w:val="009C321E"/>
    <w:rsid w:val="009C407B"/>
    <w:rsid w:val="009C59FB"/>
    <w:rsid w:val="009C5A73"/>
    <w:rsid w:val="009C5E10"/>
    <w:rsid w:val="009C6780"/>
    <w:rsid w:val="009C6E27"/>
    <w:rsid w:val="009C6F3B"/>
    <w:rsid w:val="009D0185"/>
    <w:rsid w:val="009D0677"/>
    <w:rsid w:val="009D1467"/>
    <w:rsid w:val="009D303D"/>
    <w:rsid w:val="009D328D"/>
    <w:rsid w:val="009D3850"/>
    <w:rsid w:val="009D56DD"/>
    <w:rsid w:val="009D6045"/>
    <w:rsid w:val="009E0481"/>
    <w:rsid w:val="009E075F"/>
    <w:rsid w:val="009E121A"/>
    <w:rsid w:val="009E35A5"/>
    <w:rsid w:val="009E3E47"/>
    <w:rsid w:val="009E3E95"/>
    <w:rsid w:val="009E4FA6"/>
    <w:rsid w:val="009E513E"/>
    <w:rsid w:val="009E6AD4"/>
    <w:rsid w:val="009E6C7C"/>
    <w:rsid w:val="009E7D93"/>
    <w:rsid w:val="009F33FC"/>
    <w:rsid w:val="009F35E7"/>
    <w:rsid w:val="009F3C34"/>
    <w:rsid w:val="009F4104"/>
    <w:rsid w:val="009F4467"/>
    <w:rsid w:val="009F4623"/>
    <w:rsid w:val="009F462C"/>
    <w:rsid w:val="009F5C33"/>
    <w:rsid w:val="009F613A"/>
    <w:rsid w:val="009F78FD"/>
    <w:rsid w:val="00A00A82"/>
    <w:rsid w:val="00A026F0"/>
    <w:rsid w:val="00A028CB"/>
    <w:rsid w:val="00A02978"/>
    <w:rsid w:val="00A03D69"/>
    <w:rsid w:val="00A03EAC"/>
    <w:rsid w:val="00A0463C"/>
    <w:rsid w:val="00A04DBB"/>
    <w:rsid w:val="00A058EE"/>
    <w:rsid w:val="00A07EA0"/>
    <w:rsid w:val="00A07FEB"/>
    <w:rsid w:val="00A106B9"/>
    <w:rsid w:val="00A11CA6"/>
    <w:rsid w:val="00A11D62"/>
    <w:rsid w:val="00A11DB2"/>
    <w:rsid w:val="00A121E2"/>
    <w:rsid w:val="00A125C7"/>
    <w:rsid w:val="00A1388F"/>
    <w:rsid w:val="00A13BDF"/>
    <w:rsid w:val="00A13EA2"/>
    <w:rsid w:val="00A148E3"/>
    <w:rsid w:val="00A16977"/>
    <w:rsid w:val="00A20C49"/>
    <w:rsid w:val="00A22932"/>
    <w:rsid w:val="00A235DC"/>
    <w:rsid w:val="00A23BBA"/>
    <w:rsid w:val="00A24E38"/>
    <w:rsid w:val="00A26550"/>
    <w:rsid w:val="00A269CA"/>
    <w:rsid w:val="00A2715A"/>
    <w:rsid w:val="00A27E67"/>
    <w:rsid w:val="00A319CE"/>
    <w:rsid w:val="00A32B3F"/>
    <w:rsid w:val="00A32C7A"/>
    <w:rsid w:val="00A332B9"/>
    <w:rsid w:val="00A336EE"/>
    <w:rsid w:val="00A33F46"/>
    <w:rsid w:val="00A341FA"/>
    <w:rsid w:val="00A3427E"/>
    <w:rsid w:val="00A35033"/>
    <w:rsid w:val="00A359AC"/>
    <w:rsid w:val="00A37E27"/>
    <w:rsid w:val="00A40785"/>
    <w:rsid w:val="00A40F83"/>
    <w:rsid w:val="00A410FB"/>
    <w:rsid w:val="00A411C7"/>
    <w:rsid w:val="00A41413"/>
    <w:rsid w:val="00A414BB"/>
    <w:rsid w:val="00A41B6D"/>
    <w:rsid w:val="00A43162"/>
    <w:rsid w:val="00A431E6"/>
    <w:rsid w:val="00A436E8"/>
    <w:rsid w:val="00A44607"/>
    <w:rsid w:val="00A447DE"/>
    <w:rsid w:val="00A44FD0"/>
    <w:rsid w:val="00A4516F"/>
    <w:rsid w:val="00A45EFC"/>
    <w:rsid w:val="00A45FB1"/>
    <w:rsid w:val="00A46A0F"/>
    <w:rsid w:val="00A46CCC"/>
    <w:rsid w:val="00A47988"/>
    <w:rsid w:val="00A47996"/>
    <w:rsid w:val="00A47E98"/>
    <w:rsid w:val="00A50AF4"/>
    <w:rsid w:val="00A51B39"/>
    <w:rsid w:val="00A51CE1"/>
    <w:rsid w:val="00A51CFE"/>
    <w:rsid w:val="00A51FA3"/>
    <w:rsid w:val="00A5204D"/>
    <w:rsid w:val="00A53190"/>
    <w:rsid w:val="00A53BDD"/>
    <w:rsid w:val="00A55A11"/>
    <w:rsid w:val="00A55D50"/>
    <w:rsid w:val="00A56E77"/>
    <w:rsid w:val="00A5738C"/>
    <w:rsid w:val="00A6058E"/>
    <w:rsid w:val="00A605A5"/>
    <w:rsid w:val="00A61605"/>
    <w:rsid w:val="00A62284"/>
    <w:rsid w:val="00A62BE3"/>
    <w:rsid w:val="00A637C4"/>
    <w:rsid w:val="00A65395"/>
    <w:rsid w:val="00A654F3"/>
    <w:rsid w:val="00A65F97"/>
    <w:rsid w:val="00A66074"/>
    <w:rsid w:val="00A670ED"/>
    <w:rsid w:val="00A67CA9"/>
    <w:rsid w:val="00A7160E"/>
    <w:rsid w:val="00A72AA3"/>
    <w:rsid w:val="00A73747"/>
    <w:rsid w:val="00A73B04"/>
    <w:rsid w:val="00A7424F"/>
    <w:rsid w:val="00A74817"/>
    <w:rsid w:val="00A74833"/>
    <w:rsid w:val="00A7527E"/>
    <w:rsid w:val="00A76C13"/>
    <w:rsid w:val="00A7716A"/>
    <w:rsid w:val="00A8065F"/>
    <w:rsid w:val="00A825F7"/>
    <w:rsid w:val="00A827D8"/>
    <w:rsid w:val="00A83D82"/>
    <w:rsid w:val="00A84FD0"/>
    <w:rsid w:val="00A8778F"/>
    <w:rsid w:val="00A87A99"/>
    <w:rsid w:val="00A909FD"/>
    <w:rsid w:val="00A92AFF"/>
    <w:rsid w:val="00A92DEA"/>
    <w:rsid w:val="00A92E79"/>
    <w:rsid w:val="00A934DB"/>
    <w:rsid w:val="00A9373C"/>
    <w:rsid w:val="00A93890"/>
    <w:rsid w:val="00A950B6"/>
    <w:rsid w:val="00A95D45"/>
    <w:rsid w:val="00A960CD"/>
    <w:rsid w:val="00AA09F0"/>
    <w:rsid w:val="00AA179F"/>
    <w:rsid w:val="00AA18A7"/>
    <w:rsid w:val="00AA3650"/>
    <w:rsid w:val="00AA39A5"/>
    <w:rsid w:val="00AA3EA8"/>
    <w:rsid w:val="00AA4009"/>
    <w:rsid w:val="00AA6EEB"/>
    <w:rsid w:val="00AA6F89"/>
    <w:rsid w:val="00AA7048"/>
    <w:rsid w:val="00AB0FCF"/>
    <w:rsid w:val="00AB1E87"/>
    <w:rsid w:val="00AB303F"/>
    <w:rsid w:val="00AB3477"/>
    <w:rsid w:val="00AB3D76"/>
    <w:rsid w:val="00AB41C1"/>
    <w:rsid w:val="00AB4CF2"/>
    <w:rsid w:val="00AB5DA9"/>
    <w:rsid w:val="00AB6CCA"/>
    <w:rsid w:val="00AB6DCD"/>
    <w:rsid w:val="00AC0BF8"/>
    <w:rsid w:val="00AC0E4A"/>
    <w:rsid w:val="00AC1A0A"/>
    <w:rsid w:val="00AC223F"/>
    <w:rsid w:val="00AC2C59"/>
    <w:rsid w:val="00AC2CF3"/>
    <w:rsid w:val="00AC33B1"/>
    <w:rsid w:val="00AC3767"/>
    <w:rsid w:val="00AC55B8"/>
    <w:rsid w:val="00AC7AC7"/>
    <w:rsid w:val="00AD0458"/>
    <w:rsid w:val="00AD12A8"/>
    <w:rsid w:val="00AD2965"/>
    <w:rsid w:val="00AD3862"/>
    <w:rsid w:val="00AD483D"/>
    <w:rsid w:val="00AD4E44"/>
    <w:rsid w:val="00AD541B"/>
    <w:rsid w:val="00AD5A7D"/>
    <w:rsid w:val="00AD60E2"/>
    <w:rsid w:val="00AD6305"/>
    <w:rsid w:val="00AD7580"/>
    <w:rsid w:val="00AD7EC6"/>
    <w:rsid w:val="00AE023F"/>
    <w:rsid w:val="00AE1867"/>
    <w:rsid w:val="00AE1935"/>
    <w:rsid w:val="00AE3F9B"/>
    <w:rsid w:val="00AE4176"/>
    <w:rsid w:val="00AE44AA"/>
    <w:rsid w:val="00AE4D47"/>
    <w:rsid w:val="00AE54BA"/>
    <w:rsid w:val="00AE59C7"/>
    <w:rsid w:val="00AE64C0"/>
    <w:rsid w:val="00AF0BFA"/>
    <w:rsid w:val="00AF0F69"/>
    <w:rsid w:val="00AF230A"/>
    <w:rsid w:val="00AF3577"/>
    <w:rsid w:val="00AF35F9"/>
    <w:rsid w:val="00AF7426"/>
    <w:rsid w:val="00B015F9"/>
    <w:rsid w:val="00B0172E"/>
    <w:rsid w:val="00B01F66"/>
    <w:rsid w:val="00B03724"/>
    <w:rsid w:val="00B0424C"/>
    <w:rsid w:val="00B04337"/>
    <w:rsid w:val="00B0445A"/>
    <w:rsid w:val="00B0528E"/>
    <w:rsid w:val="00B059E1"/>
    <w:rsid w:val="00B05C7D"/>
    <w:rsid w:val="00B06B15"/>
    <w:rsid w:val="00B06E54"/>
    <w:rsid w:val="00B071BE"/>
    <w:rsid w:val="00B07EF0"/>
    <w:rsid w:val="00B118A6"/>
    <w:rsid w:val="00B12636"/>
    <w:rsid w:val="00B13165"/>
    <w:rsid w:val="00B13A9D"/>
    <w:rsid w:val="00B15D57"/>
    <w:rsid w:val="00B1605D"/>
    <w:rsid w:val="00B16347"/>
    <w:rsid w:val="00B16BF6"/>
    <w:rsid w:val="00B17D6E"/>
    <w:rsid w:val="00B20B30"/>
    <w:rsid w:val="00B21740"/>
    <w:rsid w:val="00B21A82"/>
    <w:rsid w:val="00B2435E"/>
    <w:rsid w:val="00B25350"/>
    <w:rsid w:val="00B255A7"/>
    <w:rsid w:val="00B26118"/>
    <w:rsid w:val="00B276F8"/>
    <w:rsid w:val="00B316E3"/>
    <w:rsid w:val="00B346C3"/>
    <w:rsid w:val="00B34B9C"/>
    <w:rsid w:val="00B34F9E"/>
    <w:rsid w:val="00B36530"/>
    <w:rsid w:val="00B36EC9"/>
    <w:rsid w:val="00B37589"/>
    <w:rsid w:val="00B4005C"/>
    <w:rsid w:val="00B409B4"/>
    <w:rsid w:val="00B4227E"/>
    <w:rsid w:val="00B428C1"/>
    <w:rsid w:val="00B430C5"/>
    <w:rsid w:val="00B435B1"/>
    <w:rsid w:val="00B439CC"/>
    <w:rsid w:val="00B4471C"/>
    <w:rsid w:val="00B451A6"/>
    <w:rsid w:val="00B4546E"/>
    <w:rsid w:val="00B45A00"/>
    <w:rsid w:val="00B46973"/>
    <w:rsid w:val="00B46C72"/>
    <w:rsid w:val="00B46EA7"/>
    <w:rsid w:val="00B47139"/>
    <w:rsid w:val="00B50018"/>
    <w:rsid w:val="00B50826"/>
    <w:rsid w:val="00B51229"/>
    <w:rsid w:val="00B51C19"/>
    <w:rsid w:val="00B5242B"/>
    <w:rsid w:val="00B53237"/>
    <w:rsid w:val="00B54050"/>
    <w:rsid w:val="00B55DDB"/>
    <w:rsid w:val="00B56D6E"/>
    <w:rsid w:val="00B5745D"/>
    <w:rsid w:val="00B62A61"/>
    <w:rsid w:val="00B636D8"/>
    <w:rsid w:val="00B641A9"/>
    <w:rsid w:val="00B64347"/>
    <w:rsid w:val="00B64EE1"/>
    <w:rsid w:val="00B650AF"/>
    <w:rsid w:val="00B65DC6"/>
    <w:rsid w:val="00B66698"/>
    <w:rsid w:val="00B66E4C"/>
    <w:rsid w:val="00B67AC2"/>
    <w:rsid w:val="00B70137"/>
    <w:rsid w:val="00B707AF"/>
    <w:rsid w:val="00B710F2"/>
    <w:rsid w:val="00B715BE"/>
    <w:rsid w:val="00B7223C"/>
    <w:rsid w:val="00B722DE"/>
    <w:rsid w:val="00B723BB"/>
    <w:rsid w:val="00B751E3"/>
    <w:rsid w:val="00B75BA6"/>
    <w:rsid w:val="00B76C44"/>
    <w:rsid w:val="00B772E5"/>
    <w:rsid w:val="00B776B9"/>
    <w:rsid w:val="00B801FA"/>
    <w:rsid w:val="00B80688"/>
    <w:rsid w:val="00B8184A"/>
    <w:rsid w:val="00B82283"/>
    <w:rsid w:val="00B828D8"/>
    <w:rsid w:val="00B82ED4"/>
    <w:rsid w:val="00B8349F"/>
    <w:rsid w:val="00B83857"/>
    <w:rsid w:val="00B839DE"/>
    <w:rsid w:val="00B83F87"/>
    <w:rsid w:val="00B84AAD"/>
    <w:rsid w:val="00B84AE4"/>
    <w:rsid w:val="00B861A3"/>
    <w:rsid w:val="00B867A0"/>
    <w:rsid w:val="00B86EC9"/>
    <w:rsid w:val="00B86F3D"/>
    <w:rsid w:val="00B879F0"/>
    <w:rsid w:val="00B87AAB"/>
    <w:rsid w:val="00B87CDC"/>
    <w:rsid w:val="00B910C1"/>
    <w:rsid w:val="00B91B58"/>
    <w:rsid w:val="00B93AD6"/>
    <w:rsid w:val="00B948BD"/>
    <w:rsid w:val="00B951D2"/>
    <w:rsid w:val="00B957E2"/>
    <w:rsid w:val="00B96A12"/>
    <w:rsid w:val="00B96D58"/>
    <w:rsid w:val="00B96F17"/>
    <w:rsid w:val="00B97347"/>
    <w:rsid w:val="00B97423"/>
    <w:rsid w:val="00BA0310"/>
    <w:rsid w:val="00BA0541"/>
    <w:rsid w:val="00BA2CA4"/>
    <w:rsid w:val="00BA2EFA"/>
    <w:rsid w:val="00BA3B87"/>
    <w:rsid w:val="00BA3DBC"/>
    <w:rsid w:val="00BA5917"/>
    <w:rsid w:val="00BA66A3"/>
    <w:rsid w:val="00BA68FE"/>
    <w:rsid w:val="00BA6CD1"/>
    <w:rsid w:val="00BA707A"/>
    <w:rsid w:val="00BA71B1"/>
    <w:rsid w:val="00BA75E5"/>
    <w:rsid w:val="00BB06AE"/>
    <w:rsid w:val="00BB15EF"/>
    <w:rsid w:val="00BB1AFA"/>
    <w:rsid w:val="00BB1AFB"/>
    <w:rsid w:val="00BB27AE"/>
    <w:rsid w:val="00BB2DA2"/>
    <w:rsid w:val="00BB4E17"/>
    <w:rsid w:val="00BB56DC"/>
    <w:rsid w:val="00BB5BBA"/>
    <w:rsid w:val="00BB7925"/>
    <w:rsid w:val="00BB7BA3"/>
    <w:rsid w:val="00BC2A5C"/>
    <w:rsid w:val="00BC2D2C"/>
    <w:rsid w:val="00BC36F8"/>
    <w:rsid w:val="00BC6862"/>
    <w:rsid w:val="00BD0E21"/>
    <w:rsid w:val="00BD1235"/>
    <w:rsid w:val="00BD1240"/>
    <w:rsid w:val="00BD193B"/>
    <w:rsid w:val="00BD2A47"/>
    <w:rsid w:val="00BD2B22"/>
    <w:rsid w:val="00BD32E5"/>
    <w:rsid w:val="00BD5160"/>
    <w:rsid w:val="00BD79F7"/>
    <w:rsid w:val="00BE183D"/>
    <w:rsid w:val="00BE2279"/>
    <w:rsid w:val="00BE3378"/>
    <w:rsid w:val="00BE3576"/>
    <w:rsid w:val="00BE382D"/>
    <w:rsid w:val="00BE4681"/>
    <w:rsid w:val="00BE719C"/>
    <w:rsid w:val="00BE79A2"/>
    <w:rsid w:val="00BF0A6B"/>
    <w:rsid w:val="00BF0CA1"/>
    <w:rsid w:val="00BF11AA"/>
    <w:rsid w:val="00BF21E5"/>
    <w:rsid w:val="00BF24C2"/>
    <w:rsid w:val="00BF287C"/>
    <w:rsid w:val="00BF2922"/>
    <w:rsid w:val="00BF2ADF"/>
    <w:rsid w:val="00BF4501"/>
    <w:rsid w:val="00BF450C"/>
    <w:rsid w:val="00BF5CAB"/>
    <w:rsid w:val="00BF5D7A"/>
    <w:rsid w:val="00BF6CC8"/>
    <w:rsid w:val="00BF7087"/>
    <w:rsid w:val="00C00BB3"/>
    <w:rsid w:val="00C01C2E"/>
    <w:rsid w:val="00C020B4"/>
    <w:rsid w:val="00C02D33"/>
    <w:rsid w:val="00C03343"/>
    <w:rsid w:val="00C0383D"/>
    <w:rsid w:val="00C04B53"/>
    <w:rsid w:val="00C04BFB"/>
    <w:rsid w:val="00C055C4"/>
    <w:rsid w:val="00C1207B"/>
    <w:rsid w:val="00C1232C"/>
    <w:rsid w:val="00C12E24"/>
    <w:rsid w:val="00C166E2"/>
    <w:rsid w:val="00C212EB"/>
    <w:rsid w:val="00C21CD8"/>
    <w:rsid w:val="00C2433B"/>
    <w:rsid w:val="00C24CCA"/>
    <w:rsid w:val="00C24D0B"/>
    <w:rsid w:val="00C25170"/>
    <w:rsid w:val="00C25ACC"/>
    <w:rsid w:val="00C278A0"/>
    <w:rsid w:val="00C278DE"/>
    <w:rsid w:val="00C27C6B"/>
    <w:rsid w:val="00C30696"/>
    <w:rsid w:val="00C3243E"/>
    <w:rsid w:val="00C327A3"/>
    <w:rsid w:val="00C328CF"/>
    <w:rsid w:val="00C33DA3"/>
    <w:rsid w:val="00C34F27"/>
    <w:rsid w:val="00C35169"/>
    <w:rsid w:val="00C3594D"/>
    <w:rsid w:val="00C36338"/>
    <w:rsid w:val="00C36442"/>
    <w:rsid w:val="00C37318"/>
    <w:rsid w:val="00C3769C"/>
    <w:rsid w:val="00C37D7D"/>
    <w:rsid w:val="00C400CE"/>
    <w:rsid w:val="00C4084A"/>
    <w:rsid w:val="00C40EA0"/>
    <w:rsid w:val="00C410FD"/>
    <w:rsid w:val="00C41E6C"/>
    <w:rsid w:val="00C43032"/>
    <w:rsid w:val="00C457DE"/>
    <w:rsid w:val="00C45E8B"/>
    <w:rsid w:val="00C462AE"/>
    <w:rsid w:val="00C472A6"/>
    <w:rsid w:val="00C47DD3"/>
    <w:rsid w:val="00C506D5"/>
    <w:rsid w:val="00C5070A"/>
    <w:rsid w:val="00C5095E"/>
    <w:rsid w:val="00C5248A"/>
    <w:rsid w:val="00C524E9"/>
    <w:rsid w:val="00C52F5B"/>
    <w:rsid w:val="00C5316F"/>
    <w:rsid w:val="00C53352"/>
    <w:rsid w:val="00C53562"/>
    <w:rsid w:val="00C53647"/>
    <w:rsid w:val="00C537C2"/>
    <w:rsid w:val="00C539FB"/>
    <w:rsid w:val="00C6048B"/>
    <w:rsid w:val="00C60492"/>
    <w:rsid w:val="00C62331"/>
    <w:rsid w:val="00C62A01"/>
    <w:rsid w:val="00C62B83"/>
    <w:rsid w:val="00C62D6E"/>
    <w:rsid w:val="00C63ABD"/>
    <w:rsid w:val="00C641C6"/>
    <w:rsid w:val="00C6519D"/>
    <w:rsid w:val="00C6612B"/>
    <w:rsid w:val="00C66512"/>
    <w:rsid w:val="00C66AA3"/>
    <w:rsid w:val="00C66E57"/>
    <w:rsid w:val="00C70806"/>
    <w:rsid w:val="00C70C04"/>
    <w:rsid w:val="00C724D7"/>
    <w:rsid w:val="00C72BB6"/>
    <w:rsid w:val="00C72BF5"/>
    <w:rsid w:val="00C74063"/>
    <w:rsid w:val="00C74150"/>
    <w:rsid w:val="00C750DB"/>
    <w:rsid w:val="00C75594"/>
    <w:rsid w:val="00C755C3"/>
    <w:rsid w:val="00C75A38"/>
    <w:rsid w:val="00C80B9E"/>
    <w:rsid w:val="00C80D30"/>
    <w:rsid w:val="00C834C8"/>
    <w:rsid w:val="00C85982"/>
    <w:rsid w:val="00C869C9"/>
    <w:rsid w:val="00C8749B"/>
    <w:rsid w:val="00C874A2"/>
    <w:rsid w:val="00C91869"/>
    <w:rsid w:val="00C92820"/>
    <w:rsid w:val="00C93071"/>
    <w:rsid w:val="00C93414"/>
    <w:rsid w:val="00C93937"/>
    <w:rsid w:val="00C93E95"/>
    <w:rsid w:val="00C951B3"/>
    <w:rsid w:val="00C9571E"/>
    <w:rsid w:val="00C960C4"/>
    <w:rsid w:val="00C9732E"/>
    <w:rsid w:val="00CA0347"/>
    <w:rsid w:val="00CA0466"/>
    <w:rsid w:val="00CA10BA"/>
    <w:rsid w:val="00CA246D"/>
    <w:rsid w:val="00CA2BE3"/>
    <w:rsid w:val="00CA3709"/>
    <w:rsid w:val="00CA50D9"/>
    <w:rsid w:val="00CB0BC2"/>
    <w:rsid w:val="00CB0D0B"/>
    <w:rsid w:val="00CB125F"/>
    <w:rsid w:val="00CB138D"/>
    <w:rsid w:val="00CB3054"/>
    <w:rsid w:val="00CB34FE"/>
    <w:rsid w:val="00CB5636"/>
    <w:rsid w:val="00CB5931"/>
    <w:rsid w:val="00CB5F30"/>
    <w:rsid w:val="00CB5FF2"/>
    <w:rsid w:val="00CB7019"/>
    <w:rsid w:val="00CC0B04"/>
    <w:rsid w:val="00CC1112"/>
    <w:rsid w:val="00CC16E3"/>
    <w:rsid w:val="00CC17CF"/>
    <w:rsid w:val="00CC38BF"/>
    <w:rsid w:val="00CC3C34"/>
    <w:rsid w:val="00CC3EE5"/>
    <w:rsid w:val="00CC3F49"/>
    <w:rsid w:val="00CC6E47"/>
    <w:rsid w:val="00CC7998"/>
    <w:rsid w:val="00CD04E5"/>
    <w:rsid w:val="00CD076D"/>
    <w:rsid w:val="00CD1346"/>
    <w:rsid w:val="00CD17B7"/>
    <w:rsid w:val="00CD4631"/>
    <w:rsid w:val="00CD49DA"/>
    <w:rsid w:val="00CD667F"/>
    <w:rsid w:val="00CD6B30"/>
    <w:rsid w:val="00CD7445"/>
    <w:rsid w:val="00CD7C5B"/>
    <w:rsid w:val="00CD7E4B"/>
    <w:rsid w:val="00CE106E"/>
    <w:rsid w:val="00CE2165"/>
    <w:rsid w:val="00CE2A15"/>
    <w:rsid w:val="00CE3A34"/>
    <w:rsid w:val="00CE425C"/>
    <w:rsid w:val="00CE4980"/>
    <w:rsid w:val="00CE5118"/>
    <w:rsid w:val="00CE58AC"/>
    <w:rsid w:val="00CE7EAB"/>
    <w:rsid w:val="00CF098A"/>
    <w:rsid w:val="00CF1897"/>
    <w:rsid w:val="00CF2181"/>
    <w:rsid w:val="00CF35AC"/>
    <w:rsid w:val="00CF40C7"/>
    <w:rsid w:val="00CF4130"/>
    <w:rsid w:val="00CF473A"/>
    <w:rsid w:val="00CF4A82"/>
    <w:rsid w:val="00CF5024"/>
    <w:rsid w:val="00CF5A80"/>
    <w:rsid w:val="00CF5C0B"/>
    <w:rsid w:val="00D00361"/>
    <w:rsid w:val="00D01C79"/>
    <w:rsid w:val="00D01E9C"/>
    <w:rsid w:val="00D02097"/>
    <w:rsid w:val="00D020A4"/>
    <w:rsid w:val="00D021BB"/>
    <w:rsid w:val="00D04148"/>
    <w:rsid w:val="00D04394"/>
    <w:rsid w:val="00D045EE"/>
    <w:rsid w:val="00D04631"/>
    <w:rsid w:val="00D04766"/>
    <w:rsid w:val="00D04EF4"/>
    <w:rsid w:val="00D05091"/>
    <w:rsid w:val="00D06605"/>
    <w:rsid w:val="00D0690C"/>
    <w:rsid w:val="00D06C4B"/>
    <w:rsid w:val="00D1091A"/>
    <w:rsid w:val="00D10CA6"/>
    <w:rsid w:val="00D10F21"/>
    <w:rsid w:val="00D1108A"/>
    <w:rsid w:val="00D11DFB"/>
    <w:rsid w:val="00D12DD3"/>
    <w:rsid w:val="00D134CF"/>
    <w:rsid w:val="00D13803"/>
    <w:rsid w:val="00D14223"/>
    <w:rsid w:val="00D149DA"/>
    <w:rsid w:val="00D1573B"/>
    <w:rsid w:val="00D165EC"/>
    <w:rsid w:val="00D17E11"/>
    <w:rsid w:val="00D23DED"/>
    <w:rsid w:val="00D2422F"/>
    <w:rsid w:val="00D24806"/>
    <w:rsid w:val="00D24C36"/>
    <w:rsid w:val="00D2548C"/>
    <w:rsid w:val="00D262E2"/>
    <w:rsid w:val="00D30534"/>
    <w:rsid w:val="00D34040"/>
    <w:rsid w:val="00D34E69"/>
    <w:rsid w:val="00D36C78"/>
    <w:rsid w:val="00D371D9"/>
    <w:rsid w:val="00D375EE"/>
    <w:rsid w:val="00D37BC5"/>
    <w:rsid w:val="00D405B1"/>
    <w:rsid w:val="00D415F5"/>
    <w:rsid w:val="00D4372C"/>
    <w:rsid w:val="00D44712"/>
    <w:rsid w:val="00D44779"/>
    <w:rsid w:val="00D462C9"/>
    <w:rsid w:val="00D47B0E"/>
    <w:rsid w:val="00D5024C"/>
    <w:rsid w:val="00D50E2F"/>
    <w:rsid w:val="00D5145B"/>
    <w:rsid w:val="00D5237E"/>
    <w:rsid w:val="00D52BB9"/>
    <w:rsid w:val="00D53A58"/>
    <w:rsid w:val="00D54F3A"/>
    <w:rsid w:val="00D55020"/>
    <w:rsid w:val="00D559CD"/>
    <w:rsid w:val="00D55AE8"/>
    <w:rsid w:val="00D55C94"/>
    <w:rsid w:val="00D56056"/>
    <w:rsid w:val="00D56CDD"/>
    <w:rsid w:val="00D56D9E"/>
    <w:rsid w:val="00D60065"/>
    <w:rsid w:val="00D6085F"/>
    <w:rsid w:val="00D60E8B"/>
    <w:rsid w:val="00D61E92"/>
    <w:rsid w:val="00D6261D"/>
    <w:rsid w:val="00D62699"/>
    <w:rsid w:val="00D632E6"/>
    <w:rsid w:val="00D64198"/>
    <w:rsid w:val="00D65C34"/>
    <w:rsid w:val="00D67C8F"/>
    <w:rsid w:val="00D7070E"/>
    <w:rsid w:val="00D70B93"/>
    <w:rsid w:val="00D70F9B"/>
    <w:rsid w:val="00D714F7"/>
    <w:rsid w:val="00D71B9E"/>
    <w:rsid w:val="00D71CC1"/>
    <w:rsid w:val="00D7291C"/>
    <w:rsid w:val="00D72A1A"/>
    <w:rsid w:val="00D740BF"/>
    <w:rsid w:val="00D7411C"/>
    <w:rsid w:val="00D74792"/>
    <w:rsid w:val="00D76027"/>
    <w:rsid w:val="00D76379"/>
    <w:rsid w:val="00D769B2"/>
    <w:rsid w:val="00D778E9"/>
    <w:rsid w:val="00D77E66"/>
    <w:rsid w:val="00D807EF"/>
    <w:rsid w:val="00D812BF"/>
    <w:rsid w:val="00D815EF"/>
    <w:rsid w:val="00D816D8"/>
    <w:rsid w:val="00D82620"/>
    <w:rsid w:val="00D83EEB"/>
    <w:rsid w:val="00D85520"/>
    <w:rsid w:val="00D85707"/>
    <w:rsid w:val="00D926E7"/>
    <w:rsid w:val="00D92D98"/>
    <w:rsid w:val="00D9386E"/>
    <w:rsid w:val="00D93DF4"/>
    <w:rsid w:val="00D94848"/>
    <w:rsid w:val="00D96586"/>
    <w:rsid w:val="00D96F02"/>
    <w:rsid w:val="00D9725F"/>
    <w:rsid w:val="00D9733E"/>
    <w:rsid w:val="00D97C51"/>
    <w:rsid w:val="00DA01B1"/>
    <w:rsid w:val="00DA0D02"/>
    <w:rsid w:val="00DA10D8"/>
    <w:rsid w:val="00DA11A2"/>
    <w:rsid w:val="00DA14ED"/>
    <w:rsid w:val="00DA1CA0"/>
    <w:rsid w:val="00DA26D6"/>
    <w:rsid w:val="00DA3657"/>
    <w:rsid w:val="00DA400D"/>
    <w:rsid w:val="00DA49A7"/>
    <w:rsid w:val="00DA4C38"/>
    <w:rsid w:val="00DA6260"/>
    <w:rsid w:val="00DA6C95"/>
    <w:rsid w:val="00DA6E28"/>
    <w:rsid w:val="00DA6EE2"/>
    <w:rsid w:val="00DA71F0"/>
    <w:rsid w:val="00DA74A6"/>
    <w:rsid w:val="00DB2EF1"/>
    <w:rsid w:val="00DB2F03"/>
    <w:rsid w:val="00DB3DE1"/>
    <w:rsid w:val="00DB481F"/>
    <w:rsid w:val="00DB5DA0"/>
    <w:rsid w:val="00DB6B16"/>
    <w:rsid w:val="00DB7133"/>
    <w:rsid w:val="00DB716C"/>
    <w:rsid w:val="00DC0066"/>
    <w:rsid w:val="00DC15A9"/>
    <w:rsid w:val="00DC185C"/>
    <w:rsid w:val="00DC1ABC"/>
    <w:rsid w:val="00DC385F"/>
    <w:rsid w:val="00DC4560"/>
    <w:rsid w:val="00DC5C85"/>
    <w:rsid w:val="00DC61A8"/>
    <w:rsid w:val="00DC7A14"/>
    <w:rsid w:val="00DC7C5D"/>
    <w:rsid w:val="00DD130E"/>
    <w:rsid w:val="00DD158C"/>
    <w:rsid w:val="00DD1F03"/>
    <w:rsid w:val="00DD2720"/>
    <w:rsid w:val="00DD28EB"/>
    <w:rsid w:val="00DD4236"/>
    <w:rsid w:val="00DD44F1"/>
    <w:rsid w:val="00DD46F6"/>
    <w:rsid w:val="00DD5028"/>
    <w:rsid w:val="00DD63CA"/>
    <w:rsid w:val="00DD6957"/>
    <w:rsid w:val="00DD6E7A"/>
    <w:rsid w:val="00DD7E04"/>
    <w:rsid w:val="00DE0162"/>
    <w:rsid w:val="00DE0366"/>
    <w:rsid w:val="00DE0D44"/>
    <w:rsid w:val="00DE14CE"/>
    <w:rsid w:val="00DE1A78"/>
    <w:rsid w:val="00DE3067"/>
    <w:rsid w:val="00DE380F"/>
    <w:rsid w:val="00DE4B28"/>
    <w:rsid w:val="00DE6543"/>
    <w:rsid w:val="00DE6797"/>
    <w:rsid w:val="00DE687F"/>
    <w:rsid w:val="00DE6E75"/>
    <w:rsid w:val="00DE7B5F"/>
    <w:rsid w:val="00DF0A17"/>
    <w:rsid w:val="00DF1CCF"/>
    <w:rsid w:val="00DF34C9"/>
    <w:rsid w:val="00DF3EEE"/>
    <w:rsid w:val="00DF60B6"/>
    <w:rsid w:val="00DF75E1"/>
    <w:rsid w:val="00DF7B20"/>
    <w:rsid w:val="00E0088E"/>
    <w:rsid w:val="00E0174E"/>
    <w:rsid w:val="00E01E2C"/>
    <w:rsid w:val="00E01F11"/>
    <w:rsid w:val="00E027BC"/>
    <w:rsid w:val="00E033AC"/>
    <w:rsid w:val="00E03F96"/>
    <w:rsid w:val="00E045BE"/>
    <w:rsid w:val="00E046B0"/>
    <w:rsid w:val="00E04F70"/>
    <w:rsid w:val="00E062E8"/>
    <w:rsid w:val="00E06EF1"/>
    <w:rsid w:val="00E07EDA"/>
    <w:rsid w:val="00E10F0D"/>
    <w:rsid w:val="00E1262E"/>
    <w:rsid w:val="00E143A6"/>
    <w:rsid w:val="00E14838"/>
    <w:rsid w:val="00E14EA5"/>
    <w:rsid w:val="00E15A32"/>
    <w:rsid w:val="00E164EE"/>
    <w:rsid w:val="00E1680A"/>
    <w:rsid w:val="00E169E6"/>
    <w:rsid w:val="00E1797C"/>
    <w:rsid w:val="00E2070E"/>
    <w:rsid w:val="00E21133"/>
    <w:rsid w:val="00E21AA3"/>
    <w:rsid w:val="00E21B80"/>
    <w:rsid w:val="00E2327E"/>
    <w:rsid w:val="00E23577"/>
    <w:rsid w:val="00E25C91"/>
    <w:rsid w:val="00E266EF"/>
    <w:rsid w:val="00E272BE"/>
    <w:rsid w:val="00E2762C"/>
    <w:rsid w:val="00E326A8"/>
    <w:rsid w:val="00E33C2A"/>
    <w:rsid w:val="00E344F7"/>
    <w:rsid w:val="00E40740"/>
    <w:rsid w:val="00E407F4"/>
    <w:rsid w:val="00E43261"/>
    <w:rsid w:val="00E43EEF"/>
    <w:rsid w:val="00E44DC5"/>
    <w:rsid w:val="00E45809"/>
    <w:rsid w:val="00E47428"/>
    <w:rsid w:val="00E476F2"/>
    <w:rsid w:val="00E47A6A"/>
    <w:rsid w:val="00E47F61"/>
    <w:rsid w:val="00E50709"/>
    <w:rsid w:val="00E51ED9"/>
    <w:rsid w:val="00E520D6"/>
    <w:rsid w:val="00E52148"/>
    <w:rsid w:val="00E52E85"/>
    <w:rsid w:val="00E53468"/>
    <w:rsid w:val="00E5367A"/>
    <w:rsid w:val="00E54FD0"/>
    <w:rsid w:val="00E55737"/>
    <w:rsid w:val="00E558A5"/>
    <w:rsid w:val="00E55D54"/>
    <w:rsid w:val="00E56932"/>
    <w:rsid w:val="00E56C8E"/>
    <w:rsid w:val="00E5716B"/>
    <w:rsid w:val="00E579D9"/>
    <w:rsid w:val="00E57F1F"/>
    <w:rsid w:val="00E6088F"/>
    <w:rsid w:val="00E60A38"/>
    <w:rsid w:val="00E622F6"/>
    <w:rsid w:val="00E62872"/>
    <w:rsid w:val="00E63406"/>
    <w:rsid w:val="00E63E17"/>
    <w:rsid w:val="00E652A0"/>
    <w:rsid w:val="00E66580"/>
    <w:rsid w:val="00E6679F"/>
    <w:rsid w:val="00E66B9F"/>
    <w:rsid w:val="00E70A6A"/>
    <w:rsid w:val="00E710D6"/>
    <w:rsid w:val="00E71A1B"/>
    <w:rsid w:val="00E71E30"/>
    <w:rsid w:val="00E720CA"/>
    <w:rsid w:val="00E72A6E"/>
    <w:rsid w:val="00E73CEB"/>
    <w:rsid w:val="00E73DA4"/>
    <w:rsid w:val="00E7430B"/>
    <w:rsid w:val="00E75033"/>
    <w:rsid w:val="00E75035"/>
    <w:rsid w:val="00E754CD"/>
    <w:rsid w:val="00E76A12"/>
    <w:rsid w:val="00E76E45"/>
    <w:rsid w:val="00E77422"/>
    <w:rsid w:val="00E777C9"/>
    <w:rsid w:val="00E81365"/>
    <w:rsid w:val="00E816F3"/>
    <w:rsid w:val="00E81DA6"/>
    <w:rsid w:val="00E82E7C"/>
    <w:rsid w:val="00E8400F"/>
    <w:rsid w:val="00E84212"/>
    <w:rsid w:val="00E842ED"/>
    <w:rsid w:val="00E8486A"/>
    <w:rsid w:val="00E86262"/>
    <w:rsid w:val="00E867A3"/>
    <w:rsid w:val="00E86E51"/>
    <w:rsid w:val="00E90536"/>
    <w:rsid w:val="00E9086C"/>
    <w:rsid w:val="00E90AAA"/>
    <w:rsid w:val="00E91A0F"/>
    <w:rsid w:val="00E94A71"/>
    <w:rsid w:val="00E94CBF"/>
    <w:rsid w:val="00E954EB"/>
    <w:rsid w:val="00E955F6"/>
    <w:rsid w:val="00E95FD1"/>
    <w:rsid w:val="00E96C58"/>
    <w:rsid w:val="00E97CD2"/>
    <w:rsid w:val="00EA03CE"/>
    <w:rsid w:val="00EA0C0A"/>
    <w:rsid w:val="00EA23E5"/>
    <w:rsid w:val="00EA24DB"/>
    <w:rsid w:val="00EA2EA1"/>
    <w:rsid w:val="00EA4BD7"/>
    <w:rsid w:val="00EA4E2E"/>
    <w:rsid w:val="00EA5357"/>
    <w:rsid w:val="00EA78B2"/>
    <w:rsid w:val="00EB0282"/>
    <w:rsid w:val="00EB2417"/>
    <w:rsid w:val="00EB2CCB"/>
    <w:rsid w:val="00EB33A6"/>
    <w:rsid w:val="00EB6752"/>
    <w:rsid w:val="00EB7872"/>
    <w:rsid w:val="00EB7A25"/>
    <w:rsid w:val="00EC046C"/>
    <w:rsid w:val="00EC0F3E"/>
    <w:rsid w:val="00EC42A5"/>
    <w:rsid w:val="00EC50B2"/>
    <w:rsid w:val="00EC5724"/>
    <w:rsid w:val="00EC57A7"/>
    <w:rsid w:val="00EC61B8"/>
    <w:rsid w:val="00EC6AE2"/>
    <w:rsid w:val="00EC7C59"/>
    <w:rsid w:val="00ED0817"/>
    <w:rsid w:val="00ED1E32"/>
    <w:rsid w:val="00ED1E9B"/>
    <w:rsid w:val="00ED33C3"/>
    <w:rsid w:val="00ED4F8A"/>
    <w:rsid w:val="00ED79A5"/>
    <w:rsid w:val="00ED7DD9"/>
    <w:rsid w:val="00EE0A56"/>
    <w:rsid w:val="00EE0D27"/>
    <w:rsid w:val="00EE2652"/>
    <w:rsid w:val="00EE313E"/>
    <w:rsid w:val="00EE445B"/>
    <w:rsid w:val="00EE48FA"/>
    <w:rsid w:val="00EE49ED"/>
    <w:rsid w:val="00EE4AF7"/>
    <w:rsid w:val="00EE4FCD"/>
    <w:rsid w:val="00EE5516"/>
    <w:rsid w:val="00EE5548"/>
    <w:rsid w:val="00EE5AA3"/>
    <w:rsid w:val="00EE5C75"/>
    <w:rsid w:val="00EE5CD5"/>
    <w:rsid w:val="00EE5CF7"/>
    <w:rsid w:val="00EE6E9C"/>
    <w:rsid w:val="00EE723F"/>
    <w:rsid w:val="00EF00FF"/>
    <w:rsid w:val="00EF0277"/>
    <w:rsid w:val="00EF0618"/>
    <w:rsid w:val="00EF20C7"/>
    <w:rsid w:val="00EF2116"/>
    <w:rsid w:val="00EF262A"/>
    <w:rsid w:val="00EF3113"/>
    <w:rsid w:val="00EF355D"/>
    <w:rsid w:val="00EF3F84"/>
    <w:rsid w:val="00EF4326"/>
    <w:rsid w:val="00EF46C2"/>
    <w:rsid w:val="00EF4873"/>
    <w:rsid w:val="00F01613"/>
    <w:rsid w:val="00F030E3"/>
    <w:rsid w:val="00F03A2B"/>
    <w:rsid w:val="00F03B3F"/>
    <w:rsid w:val="00F03E9D"/>
    <w:rsid w:val="00F05FAD"/>
    <w:rsid w:val="00F06086"/>
    <w:rsid w:val="00F06DBE"/>
    <w:rsid w:val="00F07777"/>
    <w:rsid w:val="00F07834"/>
    <w:rsid w:val="00F120BF"/>
    <w:rsid w:val="00F12614"/>
    <w:rsid w:val="00F12781"/>
    <w:rsid w:val="00F13C94"/>
    <w:rsid w:val="00F13C95"/>
    <w:rsid w:val="00F14969"/>
    <w:rsid w:val="00F14A70"/>
    <w:rsid w:val="00F15094"/>
    <w:rsid w:val="00F15191"/>
    <w:rsid w:val="00F157AD"/>
    <w:rsid w:val="00F15A9E"/>
    <w:rsid w:val="00F163BC"/>
    <w:rsid w:val="00F16FF9"/>
    <w:rsid w:val="00F176AC"/>
    <w:rsid w:val="00F17710"/>
    <w:rsid w:val="00F17BF5"/>
    <w:rsid w:val="00F200D8"/>
    <w:rsid w:val="00F21F56"/>
    <w:rsid w:val="00F23355"/>
    <w:rsid w:val="00F23D00"/>
    <w:rsid w:val="00F24B69"/>
    <w:rsid w:val="00F24E0F"/>
    <w:rsid w:val="00F259BD"/>
    <w:rsid w:val="00F261D4"/>
    <w:rsid w:val="00F26515"/>
    <w:rsid w:val="00F26F28"/>
    <w:rsid w:val="00F27714"/>
    <w:rsid w:val="00F27E41"/>
    <w:rsid w:val="00F30F02"/>
    <w:rsid w:val="00F310AF"/>
    <w:rsid w:val="00F318C1"/>
    <w:rsid w:val="00F3276E"/>
    <w:rsid w:val="00F33952"/>
    <w:rsid w:val="00F33D3C"/>
    <w:rsid w:val="00F34211"/>
    <w:rsid w:val="00F34DD3"/>
    <w:rsid w:val="00F35C80"/>
    <w:rsid w:val="00F366C3"/>
    <w:rsid w:val="00F36F6E"/>
    <w:rsid w:val="00F37A91"/>
    <w:rsid w:val="00F4018C"/>
    <w:rsid w:val="00F403DF"/>
    <w:rsid w:val="00F408A0"/>
    <w:rsid w:val="00F41634"/>
    <w:rsid w:val="00F41BB7"/>
    <w:rsid w:val="00F41CDB"/>
    <w:rsid w:val="00F4258D"/>
    <w:rsid w:val="00F42E35"/>
    <w:rsid w:val="00F452C6"/>
    <w:rsid w:val="00F4534F"/>
    <w:rsid w:val="00F45791"/>
    <w:rsid w:val="00F45CC3"/>
    <w:rsid w:val="00F45CF5"/>
    <w:rsid w:val="00F46152"/>
    <w:rsid w:val="00F467BA"/>
    <w:rsid w:val="00F469D4"/>
    <w:rsid w:val="00F47DB0"/>
    <w:rsid w:val="00F500B3"/>
    <w:rsid w:val="00F50901"/>
    <w:rsid w:val="00F50C3F"/>
    <w:rsid w:val="00F50E34"/>
    <w:rsid w:val="00F51AFB"/>
    <w:rsid w:val="00F52C1C"/>
    <w:rsid w:val="00F53D66"/>
    <w:rsid w:val="00F53EF7"/>
    <w:rsid w:val="00F54919"/>
    <w:rsid w:val="00F54BA9"/>
    <w:rsid w:val="00F54BF2"/>
    <w:rsid w:val="00F60186"/>
    <w:rsid w:val="00F62378"/>
    <w:rsid w:val="00F63F0E"/>
    <w:rsid w:val="00F6543F"/>
    <w:rsid w:val="00F65E52"/>
    <w:rsid w:val="00F675FA"/>
    <w:rsid w:val="00F67907"/>
    <w:rsid w:val="00F70A51"/>
    <w:rsid w:val="00F70B17"/>
    <w:rsid w:val="00F70C9B"/>
    <w:rsid w:val="00F712DA"/>
    <w:rsid w:val="00F726DA"/>
    <w:rsid w:val="00F72E7C"/>
    <w:rsid w:val="00F7340B"/>
    <w:rsid w:val="00F73B0D"/>
    <w:rsid w:val="00F740EC"/>
    <w:rsid w:val="00F746D1"/>
    <w:rsid w:val="00F74AFB"/>
    <w:rsid w:val="00F74FD8"/>
    <w:rsid w:val="00F75999"/>
    <w:rsid w:val="00F76DA8"/>
    <w:rsid w:val="00F77220"/>
    <w:rsid w:val="00F775AC"/>
    <w:rsid w:val="00F77686"/>
    <w:rsid w:val="00F77A62"/>
    <w:rsid w:val="00F80AD0"/>
    <w:rsid w:val="00F8258D"/>
    <w:rsid w:val="00F848D8"/>
    <w:rsid w:val="00F86020"/>
    <w:rsid w:val="00F86938"/>
    <w:rsid w:val="00F8792F"/>
    <w:rsid w:val="00F900F5"/>
    <w:rsid w:val="00F9172A"/>
    <w:rsid w:val="00F9214D"/>
    <w:rsid w:val="00F92355"/>
    <w:rsid w:val="00F934C0"/>
    <w:rsid w:val="00F93963"/>
    <w:rsid w:val="00F94291"/>
    <w:rsid w:val="00F947A2"/>
    <w:rsid w:val="00F95E03"/>
    <w:rsid w:val="00F975DC"/>
    <w:rsid w:val="00FA004E"/>
    <w:rsid w:val="00FA065B"/>
    <w:rsid w:val="00FA1CC3"/>
    <w:rsid w:val="00FA1FBC"/>
    <w:rsid w:val="00FA298A"/>
    <w:rsid w:val="00FA301F"/>
    <w:rsid w:val="00FA34DD"/>
    <w:rsid w:val="00FA4333"/>
    <w:rsid w:val="00FA43FA"/>
    <w:rsid w:val="00FA4803"/>
    <w:rsid w:val="00FA4D7A"/>
    <w:rsid w:val="00FA548F"/>
    <w:rsid w:val="00FA5B66"/>
    <w:rsid w:val="00FA6557"/>
    <w:rsid w:val="00FA6F47"/>
    <w:rsid w:val="00FB0B9C"/>
    <w:rsid w:val="00FB1DCD"/>
    <w:rsid w:val="00FB2BEF"/>
    <w:rsid w:val="00FB30EB"/>
    <w:rsid w:val="00FB4349"/>
    <w:rsid w:val="00FB509B"/>
    <w:rsid w:val="00FB7982"/>
    <w:rsid w:val="00FB7D1B"/>
    <w:rsid w:val="00FC0734"/>
    <w:rsid w:val="00FC0A6D"/>
    <w:rsid w:val="00FC0C9F"/>
    <w:rsid w:val="00FC0FC5"/>
    <w:rsid w:val="00FC290A"/>
    <w:rsid w:val="00FC5150"/>
    <w:rsid w:val="00FC52B9"/>
    <w:rsid w:val="00FC588F"/>
    <w:rsid w:val="00FC64D3"/>
    <w:rsid w:val="00FC673D"/>
    <w:rsid w:val="00FC6879"/>
    <w:rsid w:val="00FC72B3"/>
    <w:rsid w:val="00FC747D"/>
    <w:rsid w:val="00FC7A38"/>
    <w:rsid w:val="00FC7C7D"/>
    <w:rsid w:val="00FD0E36"/>
    <w:rsid w:val="00FD3444"/>
    <w:rsid w:val="00FD3D91"/>
    <w:rsid w:val="00FD43C2"/>
    <w:rsid w:val="00FD527B"/>
    <w:rsid w:val="00FD5414"/>
    <w:rsid w:val="00FD55AA"/>
    <w:rsid w:val="00FD57CC"/>
    <w:rsid w:val="00FD6395"/>
    <w:rsid w:val="00FD7DED"/>
    <w:rsid w:val="00FE0EAB"/>
    <w:rsid w:val="00FE0EF8"/>
    <w:rsid w:val="00FE1B30"/>
    <w:rsid w:val="00FE21F0"/>
    <w:rsid w:val="00FE2B26"/>
    <w:rsid w:val="00FE3203"/>
    <w:rsid w:val="00FE41AA"/>
    <w:rsid w:val="00FE539B"/>
    <w:rsid w:val="00FE7B44"/>
    <w:rsid w:val="00FF1075"/>
    <w:rsid w:val="00FF5C93"/>
    <w:rsid w:val="00FF64F0"/>
    <w:rsid w:val="00FF65B1"/>
    <w:rsid w:val="00FF664D"/>
    <w:rsid w:val="00FF7A07"/>
    <w:rsid w:val="00FF7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3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autoRedefine/>
    <w:rsid w:val="000B467C"/>
    <w:pPr>
      <w:numPr>
        <w:numId w:val="33"/>
      </w:numPr>
      <w:tabs>
        <w:tab w:val="clear" w:pos="720"/>
      </w:tabs>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Char,Car,ari"/>
    <w:basedOn w:val="Normal"/>
    <w:link w:val="FootnoteTextChar"/>
    <w:uiPriority w:val="99"/>
    <w:unhideWhenUsed/>
    <w:qFormat/>
    <w:rsid w:val="00077768"/>
    <w:pPr>
      <w:spacing w:line="240" w:lineRule="auto"/>
    </w:pPr>
    <w:rPr>
      <w:sz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ar Char"/>
    <w:basedOn w:val="DefaultParagraphFont"/>
    <w:link w:val="FootnoteText"/>
    <w:uiPriority w:val="99"/>
    <w:rsid w:val="00077768"/>
    <w:rPr>
      <w:lang w:eastAsia="en-US"/>
    </w:rPr>
  </w:style>
  <w:style w:type="character" w:styleId="FootnoteReference">
    <w:name w:val="footnote reference"/>
    <w:aliases w:val="Footnotes refss,(NECG) Footnote Reference"/>
    <w:basedOn w:val="DefaultParagraphFont"/>
    <w:uiPriority w:val="99"/>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paragraph">
    <w:name w:val="paragraph"/>
    <w:basedOn w:val="Normal"/>
    <w:rsid w:val="00A74817"/>
    <w:pPr>
      <w:spacing w:before="100" w:beforeAutospacing="1" w:after="100" w:afterAutospacing="1" w:line="240" w:lineRule="auto"/>
      <w:jc w:val="left"/>
    </w:pPr>
    <w:rPr>
      <w:rFonts w:eastAsia="Times New Roman"/>
      <w:szCs w:val="24"/>
      <w:lang w:eastAsia="en-AU"/>
    </w:rPr>
  </w:style>
  <w:style w:type="paragraph" w:styleId="ListParagraph">
    <w:name w:val="List Paragraph"/>
    <w:basedOn w:val="Normal"/>
    <w:uiPriority w:val="1"/>
    <w:qFormat/>
    <w:rsid w:val="008679D9"/>
    <w:pPr>
      <w:spacing w:line="240" w:lineRule="auto"/>
      <w:ind w:left="720"/>
      <w:contextualSpacing/>
      <w:jc w:val="left"/>
    </w:pPr>
    <w:rPr>
      <w:rFonts w:eastAsia="Times New Roman"/>
      <w:lang w:eastAsia="en-GB"/>
    </w:rPr>
  </w:style>
  <w:style w:type="paragraph" w:customStyle="1" w:styleId="Lv1Order">
    <w:name w:val="Lv 1 Order"/>
    <w:basedOn w:val="Normal"/>
    <w:uiPriority w:val="3"/>
    <w:qFormat/>
    <w:rsid w:val="008679D9"/>
    <w:pPr>
      <w:tabs>
        <w:tab w:val="num" w:pos="720"/>
      </w:tabs>
      <w:spacing w:before="60" w:after="60"/>
      <w:ind w:left="720" w:hanging="720"/>
    </w:pPr>
    <w:rPr>
      <w:rFonts w:eastAsia="Times New Roman"/>
      <w:szCs w:val="24"/>
      <w:lang w:eastAsia="en-AU"/>
    </w:rPr>
  </w:style>
  <w:style w:type="paragraph" w:customStyle="1" w:styleId="Lv2Order">
    <w:name w:val="Lv 2 Order"/>
    <w:basedOn w:val="Normal"/>
    <w:uiPriority w:val="4"/>
    <w:qFormat/>
    <w:rsid w:val="008679D9"/>
    <w:pPr>
      <w:tabs>
        <w:tab w:val="num" w:pos="1440"/>
      </w:tabs>
      <w:spacing w:before="60" w:after="60"/>
      <w:ind w:left="1440" w:hanging="720"/>
      <w:jc w:val="left"/>
    </w:pPr>
    <w:rPr>
      <w:rFonts w:eastAsia="Times New Roman"/>
      <w:szCs w:val="24"/>
      <w:lang w:eastAsia="en-GB"/>
    </w:rPr>
  </w:style>
  <w:style w:type="paragraph" w:customStyle="1" w:styleId="Lv3Order3i">
    <w:name w:val="Lv 3 Order 3 (i)"/>
    <w:basedOn w:val="Normal"/>
    <w:uiPriority w:val="5"/>
    <w:qFormat/>
    <w:rsid w:val="008679D9"/>
    <w:pPr>
      <w:tabs>
        <w:tab w:val="num" w:pos="1440"/>
      </w:tabs>
      <w:spacing w:before="60" w:after="60"/>
      <w:ind w:left="2160" w:hanging="720"/>
      <w:jc w:val="left"/>
    </w:pPr>
    <w:rPr>
      <w:rFonts w:eastAsia="Times New Roman"/>
      <w:szCs w:val="24"/>
      <w:lang w:eastAsia="en-GB"/>
    </w:rPr>
  </w:style>
  <w:style w:type="paragraph" w:customStyle="1" w:styleId="Lv4OrderA">
    <w:name w:val="Lv 4 Order (A.)"/>
    <w:basedOn w:val="Normal"/>
    <w:uiPriority w:val="6"/>
    <w:qFormat/>
    <w:rsid w:val="008679D9"/>
    <w:pPr>
      <w:tabs>
        <w:tab w:val="num" w:pos="2160"/>
      </w:tabs>
      <w:spacing w:before="60" w:after="60"/>
      <w:ind w:left="2880" w:hanging="720"/>
      <w:jc w:val="left"/>
    </w:pPr>
    <w:rPr>
      <w:rFonts w:eastAsia="Times New Roman"/>
      <w:szCs w:val="24"/>
      <w:lang w:eastAsia="en-GB"/>
    </w:rPr>
  </w:style>
  <w:style w:type="character" w:styleId="UnresolvedMention">
    <w:name w:val="Unresolved Mention"/>
    <w:basedOn w:val="DefaultParagraphFont"/>
    <w:uiPriority w:val="99"/>
    <w:semiHidden/>
    <w:unhideWhenUsed/>
    <w:rsid w:val="001D14E0"/>
    <w:rPr>
      <w:color w:val="605E5C"/>
      <w:shd w:val="clear" w:color="auto" w:fill="E1DFDD"/>
    </w:rPr>
  </w:style>
  <w:style w:type="paragraph" w:styleId="Revision">
    <w:name w:val="Revision"/>
    <w:hidden/>
    <w:uiPriority w:val="99"/>
    <w:semiHidden/>
    <w:rsid w:val="00B13A9D"/>
    <w:rPr>
      <w:sz w:val="24"/>
      <w:lang w:eastAsia="en-US"/>
    </w:rPr>
  </w:style>
  <w:style w:type="paragraph" w:customStyle="1" w:styleId="Default">
    <w:name w:val="Default"/>
    <w:rsid w:val="00084E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108">
      <w:bodyDiv w:val="1"/>
      <w:marLeft w:val="0"/>
      <w:marRight w:val="0"/>
      <w:marTop w:val="0"/>
      <w:marBottom w:val="0"/>
      <w:divBdr>
        <w:top w:val="none" w:sz="0" w:space="0" w:color="auto"/>
        <w:left w:val="none" w:sz="0" w:space="0" w:color="auto"/>
        <w:bottom w:val="none" w:sz="0" w:space="0" w:color="auto"/>
        <w:right w:val="none" w:sz="0" w:space="0" w:color="auto"/>
      </w:divBdr>
    </w:div>
    <w:div w:id="18630732">
      <w:bodyDiv w:val="1"/>
      <w:marLeft w:val="0"/>
      <w:marRight w:val="0"/>
      <w:marTop w:val="0"/>
      <w:marBottom w:val="0"/>
      <w:divBdr>
        <w:top w:val="none" w:sz="0" w:space="0" w:color="auto"/>
        <w:left w:val="none" w:sz="0" w:space="0" w:color="auto"/>
        <w:bottom w:val="none" w:sz="0" w:space="0" w:color="auto"/>
        <w:right w:val="none" w:sz="0" w:space="0" w:color="auto"/>
      </w:divBdr>
    </w:div>
    <w:div w:id="140738045">
      <w:bodyDiv w:val="1"/>
      <w:marLeft w:val="0"/>
      <w:marRight w:val="0"/>
      <w:marTop w:val="0"/>
      <w:marBottom w:val="0"/>
      <w:divBdr>
        <w:top w:val="none" w:sz="0" w:space="0" w:color="auto"/>
        <w:left w:val="none" w:sz="0" w:space="0" w:color="auto"/>
        <w:bottom w:val="none" w:sz="0" w:space="0" w:color="auto"/>
        <w:right w:val="none" w:sz="0" w:space="0" w:color="auto"/>
      </w:divBdr>
    </w:div>
    <w:div w:id="396050704">
      <w:bodyDiv w:val="1"/>
      <w:marLeft w:val="0"/>
      <w:marRight w:val="0"/>
      <w:marTop w:val="0"/>
      <w:marBottom w:val="0"/>
      <w:divBdr>
        <w:top w:val="none" w:sz="0" w:space="0" w:color="auto"/>
        <w:left w:val="none" w:sz="0" w:space="0" w:color="auto"/>
        <w:bottom w:val="none" w:sz="0" w:space="0" w:color="auto"/>
        <w:right w:val="none" w:sz="0" w:space="0" w:color="auto"/>
      </w:divBdr>
      <w:divsChild>
        <w:div w:id="786773560">
          <w:marLeft w:val="0"/>
          <w:marRight w:val="0"/>
          <w:marTop w:val="0"/>
          <w:marBottom w:val="0"/>
          <w:divBdr>
            <w:top w:val="none" w:sz="0" w:space="0" w:color="auto"/>
            <w:left w:val="none" w:sz="0" w:space="0" w:color="auto"/>
            <w:bottom w:val="none" w:sz="0" w:space="0" w:color="auto"/>
            <w:right w:val="none" w:sz="0" w:space="0" w:color="auto"/>
          </w:divBdr>
          <w:divsChild>
            <w:div w:id="485627684">
              <w:marLeft w:val="0"/>
              <w:marRight w:val="0"/>
              <w:marTop w:val="0"/>
              <w:marBottom w:val="0"/>
              <w:divBdr>
                <w:top w:val="none" w:sz="0" w:space="0" w:color="auto"/>
                <w:left w:val="none" w:sz="0" w:space="0" w:color="auto"/>
                <w:bottom w:val="none" w:sz="0" w:space="0" w:color="auto"/>
                <w:right w:val="none" w:sz="0" w:space="0" w:color="auto"/>
              </w:divBdr>
              <w:divsChild>
                <w:div w:id="1968974351">
                  <w:marLeft w:val="0"/>
                  <w:marRight w:val="0"/>
                  <w:marTop w:val="0"/>
                  <w:marBottom w:val="0"/>
                  <w:divBdr>
                    <w:top w:val="none" w:sz="0" w:space="0" w:color="auto"/>
                    <w:left w:val="none" w:sz="0" w:space="0" w:color="auto"/>
                    <w:bottom w:val="none" w:sz="0" w:space="0" w:color="auto"/>
                    <w:right w:val="none" w:sz="0" w:space="0" w:color="auto"/>
                  </w:divBdr>
                </w:div>
              </w:divsChild>
            </w:div>
            <w:div w:id="1881823243">
              <w:marLeft w:val="0"/>
              <w:marRight w:val="0"/>
              <w:marTop w:val="0"/>
              <w:marBottom w:val="0"/>
              <w:divBdr>
                <w:top w:val="none" w:sz="0" w:space="0" w:color="auto"/>
                <w:left w:val="none" w:sz="0" w:space="0" w:color="auto"/>
                <w:bottom w:val="none" w:sz="0" w:space="0" w:color="auto"/>
                <w:right w:val="none" w:sz="0" w:space="0" w:color="auto"/>
              </w:divBdr>
              <w:divsChild>
                <w:div w:id="1231890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5900">
                      <w:marLeft w:val="0"/>
                      <w:marRight w:val="0"/>
                      <w:marTop w:val="0"/>
                      <w:marBottom w:val="0"/>
                      <w:divBdr>
                        <w:top w:val="none" w:sz="0" w:space="0" w:color="auto"/>
                        <w:left w:val="none" w:sz="0" w:space="0" w:color="auto"/>
                        <w:bottom w:val="none" w:sz="0" w:space="0" w:color="auto"/>
                        <w:right w:val="none" w:sz="0" w:space="0" w:color="auto"/>
                      </w:divBdr>
                      <w:divsChild>
                        <w:div w:id="1240291157">
                          <w:marLeft w:val="0"/>
                          <w:marRight w:val="0"/>
                          <w:marTop w:val="0"/>
                          <w:marBottom w:val="0"/>
                          <w:divBdr>
                            <w:top w:val="none" w:sz="0" w:space="0" w:color="auto"/>
                            <w:left w:val="none" w:sz="0" w:space="0" w:color="auto"/>
                            <w:bottom w:val="none" w:sz="0" w:space="0" w:color="auto"/>
                            <w:right w:val="none" w:sz="0" w:space="0" w:color="auto"/>
                          </w:divBdr>
                        </w:div>
                      </w:divsChild>
                    </w:div>
                    <w:div w:id="1494757858">
                      <w:marLeft w:val="0"/>
                      <w:marRight w:val="0"/>
                      <w:marTop w:val="0"/>
                      <w:marBottom w:val="0"/>
                      <w:divBdr>
                        <w:top w:val="none" w:sz="0" w:space="0" w:color="auto"/>
                        <w:left w:val="none" w:sz="0" w:space="0" w:color="auto"/>
                        <w:bottom w:val="none" w:sz="0" w:space="0" w:color="auto"/>
                        <w:right w:val="none" w:sz="0" w:space="0" w:color="auto"/>
                      </w:divBdr>
                      <w:divsChild>
                        <w:div w:id="126246370">
                          <w:marLeft w:val="0"/>
                          <w:marRight w:val="0"/>
                          <w:marTop w:val="0"/>
                          <w:marBottom w:val="0"/>
                          <w:divBdr>
                            <w:top w:val="none" w:sz="0" w:space="0" w:color="auto"/>
                            <w:left w:val="none" w:sz="0" w:space="0" w:color="auto"/>
                            <w:bottom w:val="none" w:sz="0" w:space="0" w:color="auto"/>
                            <w:right w:val="none" w:sz="0" w:space="0" w:color="auto"/>
                          </w:divBdr>
                          <w:divsChild>
                            <w:div w:id="1122117988">
                              <w:marLeft w:val="0"/>
                              <w:marRight w:val="0"/>
                              <w:marTop w:val="0"/>
                              <w:marBottom w:val="0"/>
                              <w:divBdr>
                                <w:top w:val="none" w:sz="0" w:space="0" w:color="auto"/>
                                <w:left w:val="none" w:sz="0" w:space="0" w:color="auto"/>
                                <w:bottom w:val="none" w:sz="0" w:space="0" w:color="auto"/>
                                <w:right w:val="none" w:sz="0" w:space="0" w:color="auto"/>
                              </w:divBdr>
                            </w:div>
                          </w:divsChild>
                        </w:div>
                        <w:div w:id="153104740">
                          <w:marLeft w:val="0"/>
                          <w:marRight w:val="0"/>
                          <w:marTop w:val="0"/>
                          <w:marBottom w:val="0"/>
                          <w:divBdr>
                            <w:top w:val="none" w:sz="0" w:space="0" w:color="auto"/>
                            <w:left w:val="none" w:sz="0" w:space="0" w:color="auto"/>
                            <w:bottom w:val="none" w:sz="0" w:space="0" w:color="auto"/>
                            <w:right w:val="none" w:sz="0" w:space="0" w:color="auto"/>
                          </w:divBdr>
                          <w:divsChild>
                            <w:div w:id="1522742976">
                              <w:marLeft w:val="0"/>
                              <w:marRight w:val="0"/>
                              <w:marTop w:val="0"/>
                              <w:marBottom w:val="0"/>
                              <w:divBdr>
                                <w:top w:val="none" w:sz="0" w:space="0" w:color="auto"/>
                                <w:left w:val="none" w:sz="0" w:space="0" w:color="auto"/>
                                <w:bottom w:val="none" w:sz="0" w:space="0" w:color="auto"/>
                                <w:right w:val="none" w:sz="0" w:space="0" w:color="auto"/>
                              </w:divBdr>
                            </w:div>
                          </w:divsChild>
                        </w:div>
                        <w:div w:id="491993645">
                          <w:marLeft w:val="0"/>
                          <w:marRight w:val="0"/>
                          <w:marTop w:val="0"/>
                          <w:marBottom w:val="0"/>
                          <w:divBdr>
                            <w:top w:val="none" w:sz="0" w:space="0" w:color="auto"/>
                            <w:left w:val="none" w:sz="0" w:space="0" w:color="auto"/>
                            <w:bottom w:val="none" w:sz="0" w:space="0" w:color="auto"/>
                            <w:right w:val="none" w:sz="0" w:space="0" w:color="auto"/>
                          </w:divBdr>
                          <w:divsChild>
                            <w:div w:id="1635866504">
                              <w:marLeft w:val="0"/>
                              <w:marRight w:val="0"/>
                              <w:marTop w:val="0"/>
                              <w:marBottom w:val="0"/>
                              <w:divBdr>
                                <w:top w:val="none" w:sz="0" w:space="0" w:color="auto"/>
                                <w:left w:val="none" w:sz="0" w:space="0" w:color="auto"/>
                                <w:bottom w:val="none" w:sz="0" w:space="0" w:color="auto"/>
                                <w:right w:val="none" w:sz="0" w:space="0" w:color="auto"/>
                              </w:divBdr>
                            </w:div>
                          </w:divsChild>
                        </w:div>
                        <w:div w:id="764886796">
                          <w:marLeft w:val="0"/>
                          <w:marRight w:val="0"/>
                          <w:marTop w:val="0"/>
                          <w:marBottom w:val="0"/>
                          <w:divBdr>
                            <w:top w:val="none" w:sz="0" w:space="0" w:color="auto"/>
                            <w:left w:val="none" w:sz="0" w:space="0" w:color="auto"/>
                            <w:bottom w:val="none" w:sz="0" w:space="0" w:color="auto"/>
                            <w:right w:val="none" w:sz="0" w:space="0" w:color="auto"/>
                          </w:divBdr>
                          <w:divsChild>
                            <w:div w:id="433132920">
                              <w:marLeft w:val="0"/>
                              <w:marRight w:val="0"/>
                              <w:marTop w:val="0"/>
                              <w:marBottom w:val="0"/>
                              <w:divBdr>
                                <w:top w:val="none" w:sz="0" w:space="0" w:color="auto"/>
                                <w:left w:val="none" w:sz="0" w:space="0" w:color="auto"/>
                                <w:bottom w:val="none" w:sz="0" w:space="0" w:color="auto"/>
                                <w:right w:val="none" w:sz="0" w:space="0" w:color="auto"/>
                              </w:divBdr>
                            </w:div>
                          </w:divsChild>
                        </w:div>
                        <w:div w:id="872110112">
                          <w:marLeft w:val="0"/>
                          <w:marRight w:val="0"/>
                          <w:marTop w:val="0"/>
                          <w:marBottom w:val="0"/>
                          <w:divBdr>
                            <w:top w:val="none" w:sz="0" w:space="0" w:color="auto"/>
                            <w:left w:val="none" w:sz="0" w:space="0" w:color="auto"/>
                            <w:bottom w:val="none" w:sz="0" w:space="0" w:color="auto"/>
                            <w:right w:val="none" w:sz="0" w:space="0" w:color="auto"/>
                          </w:divBdr>
                          <w:divsChild>
                            <w:div w:id="1070343986">
                              <w:marLeft w:val="0"/>
                              <w:marRight w:val="0"/>
                              <w:marTop w:val="0"/>
                              <w:marBottom w:val="0"/>
                              <w:divBdr>
                                <w:top w:val="none" w:sz="0" w:space="0" w:color="auto"/>
                                <w:left w:val="none" w:sz="0" w:space="0" w:color="auto"/>
                                <w:bottom w:val="none" w:sz="0" w:space="0" w:color="auto"/>
                                <w:right w:val="none" w:sz="0" w:space="0" w:color="auto"/>
                              </w:divBdr>
                            </w:div>
                          </w:divsChild>
                        </w:div>
                        <w:div w:id="961570530">
                          <w:marLeft w:val="0"/>
                          <w:marRight w:val="0"/>
                          <w:marTop w:val="0"/>
                          <w:marBottom w:val="0"/>
                          <w:divBdr>
                            <w:top w:val="none" w:sz="0" w:space="0" w:color="auto"/>
                            <w:left w:val="none" w:sz="0" w:space="0" w:color="auto"/>
                            <w:bottom w:val="none" w:sz="0" w:space="0" w:color="auto"/>
                            <w:right w:val="none" w:sz="0" w:space="0" w:color="auto"/>
                          </w:divBdr>
                          <w:divsChild>
                            <w:div w:id="935867330">
                              <w:marLeft w:val="0"/>
                              <w:marRight w:val="0"/>
                              <w:marTop w:val="0"/>
                              <w:marBottom w:val="0"/>
                              <w:divBdr>
                                <w:top w:val="none" w:sz="0" w:space="0" w:color="auto"/>
                                <w:left w:val="none" w:sz="0" w:space="0" w:color="auto"/>
                                <w:bottom w:val="none" w:sz="0" w:space="0" w:color="auto"/>
                                <w:right w:val="none" w:sz="0" w:space="0" w:color="auto"/>
                              </w:divBdr>
                            </w:div>
                          </w:divsChild>
                        </w:div>
                        <w:div w:id="1363945744">
                          <w:marLeft w:val="0"/>
                          <w:marRight w:val="0"/>
                          <w:marTop w:val="0"/>
                          <w:marBottom w:val="0"/>
                          <w:divBdr>
                            <w:top w:val="none" w:sz="0" w:space="0" w:color="auto"/>
                            <w:left w:val="none" w:sz="0" w:space="0" w:color="auto"/>
                            <w:bottom w:val="none" w:sz="0" w:space="0" w:color="auto"/>
                            <w:right w:val="none" w:sz="0" w:space="0" w:color="auto"/>
                          </w:divBdr>
                          <w:divsChild>
                            <w:div w:id="512064179">
                              <w:marLeft w:val="0"/>
                              <w:marRight w:val="0"/>
                              <w:marTop w:val="0"/>
                              <w:marBottom w:val="0"/>
                              <w:divBdr>
                                <w:top w:val="none" w:sz="0" w:space="0" w:color="auto"/>
                                <w:left w:val="none" w:sz="0" w:space="0" w:color="auto"/>
                                <w:bottom w:val="none" w:sz="0" w:space="0" w:color="auto"/>
                                <w:right w:val="none" w:sz="0" w:space="0" w:color="auto"/>
                              </w:divBdr>
                            </w:div>
                          </w:divsChild>
                        </w:div>
                        <w:div w:id="1559510658">
                          <w:marLeft w:val="0"/>
                          <w:marRight w:val="0"/>
                          <w:marTop w:val="0"/>
                          <w:marBottom w:val="0"/>
                          <w:divBdr>
                            <w:top w:val="none" w:sz="0" w:space="0" w:color="auto"/>
                            <w:left w:val="none" w:sz="0" w:space="0" w:color="auto"/>
                            <w:bottom w:val="none" w:sz="0" w:space="0" w:color="auto"/>
                            <w:right w:val="none" w:sz="0" w:space="0" w:color="auto"/>
                          </w:divBdr>
                          <w:divsChild>
                            <w:div w:id="1492284580">
                              <w:marLeft w:val="0"/>
                              <w:marRight w:val="0"/>
                              <w:marTop w:val="0"/>
                              <w:marBottom w:val="0"/>
                              <w:divBdr>
                                <w:top w:val="none" w:sz="0" w:space="0" w:color="auto"/>
                                <w:left w:val="none" w:sz="0" w:space="0" w:color="auto"/>
                                <w:bottom w:val="none" w:sz="0" w:space="0" w:color="auto"/>
                                <w:right w:val="none" w:sz="0" w:space="0" w:color="auto"/>
                              </w:divBdr>
                            </w:div>
                          </w:divsChild>
                        </w:div>
                        <w:div w:id="1634410563">
                          <w:marLeft w:val="0"/>
                          <w:marRight w:val="0"/>
                          <w:marTop w:val="0"/>
                          <w:marBottom w:val="0"/>
                          <w:divBdr>
                            <w:top w:val="none" w:sz="0" w:space="0" w:color="auto"/>
                            <w:left w:val="none" w:sz="0" w:space="0" w:color="auto"/>
                            <w:bottom w:val="none" w:sz="0" w:space="0" w:color="auto"/>
                            <w:right w:val="none" w:sz="0" w:space="0" w:color="auto"/>
                          </w:divBdr>
                          <w:divsChild>
                            <w:div w:id="20170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44464">
          <w:marLeft w:val="0"/>
          <w:marRight w:val="0"/>
          <w:marTop w:val="0"/>
          <w:marBottom w:val="0"/>
          <w:divBdr>
            <w:top w:val="none" w:sz="0" w:space="0" w:color="auto"/>
            <w:left w:val="none" w:sz="0" w:space="0" w:color="auto"/>
            <w:bottom w:val="none" w:sz="0" w:space="0" w:color="auto"/>
            <w:right w:val="none" w:sz="0" w:space="0" w:color="auto"/>
          </w:divBdr>
          <w:divsChild>
            <w:div w:id="1984776696">
              <w:marLeft w:val="0"/>
              <w:marRight w:val="0"/>
              <w:marTop w:val="0"/>
              <w:marBottom w:val="0"/>
              <w:divBdr>
                <w:top w:val="none" w:sz="0" w:space="0" w:color="auto"/>
                <w:left w:val="none" w:sz="0" w:space="0" w:color="auto"/>
                <w:bottom w:val="none" w:sz="0" w:space="0" w:color="auto"/>
                <w:right w:val="none" w:sz="0" w:space="0" w:color="auto"/>
              </w:divBdr>
              <w:divsChild>
                <w:div w:id="2202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6552">
      <w:bodyDiv w:val="1"/>
      <w:marLeft w:val="0"/>
      <w:marRight w:val="0"/>
      <w:marTop w:val="0"/>
      <w:marBottom w:val="0"/>
      <w:divBdr>
        <w:top w:val="none" w:sz="0" w:space="0" w:color="auto"/>
        <w:left w:val="none" w:sz="0" w:space="0" w:color="auto"/>
        <w:bottom w:val="none" w:sz="0" w:space="0" w:color="auto"/>
        <w:right w:val="none" w:sz="0" w:space="0" w:color="auto"/>
      </w:divBdr>
    </w:div>
    <w:div w:id="599608509">
      <w:bodyDiv w:val="1"/>
      <w:marLeft w:val="0"/>
      <w:marRight w:val="0"/>
      <w:marTop w:val="0"/>
      <w:marBottom w:val="0"/>
      <w:divBdr>
        <w:top w:val="none" w:sz="0" w:space="0" w:color="auto"/>
        <w:left w:val="none" w:sz="0" w:space="0" w:color="auto"/>
        <w:bottom w:val="none" w:sz="0" w:space="0" w:color="auto"/>
        <w:right w:val="none" w:sz="0" w:space="0" w:color="auto"/>
      </w:divBdr>
      <w:divsChild>
        <w:div w:id="604115056">
          <w:marLeft w:val="0"/>
          <w:marRight w:val="0"/>
          <w:marTop w:val="0"/>
          <w:marBottom w:val="0"/>
          <w:divBdr>
            <w:top w:val="none" w:sz="0" w:space="0" w:color="auto"/>
            <w:left w:val="none" w:sz="0" w:space="0" w:color="auto"/>
            <w:bottom w:val="none" w:sz="0" w:space="0" w:color="auto"/>
            <w:right w:val="none" w:sz="0" w:space="0" w:color="auto"/>
          </w:divBdr>
          <w:divsChild>
            <w:div w:id="1259026704">
              <w:marLeft w:val="0"/>
              <w:marRight w:val="0"/>
              <w:marTop w:val="0"/>
              <w:marBottom w:val="0"/>
              <w:divBdr>
                <w:top w:val="none" w:sz="0" w:space="0" w:color="auto"/>
                <w:left w:val="none" w:sz="0" w:space="0" w:color="auto"/>
                <w:bottom w:val="none" w:sz="0" w:space="0" w:color="auto"/>
                <w:right w:val="none" w:sz="0" w:space="0" w:color="auto"/>
              </w:divBdr>
              <w:divsChild>
                <w:div w:id="5095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6323">
          <w:marLeft w:val="0"/>
          <w:marRight w:val="0"/>
          <w:marTop w:val="0"/>
          <w:marBottom w:val="0"/>
          <w:divBdr>
            <w:top w:val="none" w:sz="0" w:space="0" w:color="auto"/>
            <w:left w:val="none" w:sz="0" w:space="0" w:color="auto"/>
            <w:bottom w:val="none" w:sz="0" w:space="0" w:color="auto"/>
            <w:right w:val="none" w:sz="0" w:space="0" w:color="auto"/>
          </w:divBdr>
          <w:divsChild>
            <w:div w:id="157577622">
              <w:marLeft w:val="0"/>
              <w:marRight w:val="0"/>
              <w:marTop w:val="0"/>
              <w:marBottom w:val="0"/>
              <w:divBdr>
                <w:top w:val="none" w:sz="0" w:space="0" w:color="auto"/>
                <w:left w:val="none" w:sz="0" w:space="0" w:color="auto"/>
                <w:bottom w:val="none" w:sz="0" w:space="0" w:color="auto"/>
                <w:right w:val="none" w:sz="0" w:space="0" w:color="auto"/>
              </w:divBdr>
              <w:divsChild>
                <w:div w:id="207777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118968">
                      <w:marLeft w:val="0"/>
                      <w:marRight w:val="0"/>
                      <w:marTop w:val="0"/>
                      <w:marBottom w:val="0"/>
                      <w:divBdr>
                        <w:top w:val="none" w:sz="0" w:space="0" w:color="auto"/>
                        <w:left w:val="none" w:sz="0" w:space="0" w:color="auto"/>
                        <w:bottom w:val="none" w:sz="0" w:space="0" w:color="auto"/>
                        <w:right w:val="none" w:sz="0" w:space="0" w:color="auto"/>
                      </w:divBdr>
                      <w:divsChild>
                        <w:div w:id="1600872669">
                          <w:marLeft w:val="0"/>
                          <w:marRight w:val="0"/>
                          <w:marTop w:val="0"/>
                          <w:marBottom w:val="0"/>
                          <w:divBdr>
                            <w:top w:val="none" w:sz="0" w:space="0" w:color="auto"/>
                            <w:left w:val="none" w:sz="0" w:space="0" w:color="auto"/>
                            <w:bottom w:val="none" w:sz="0" w:space="0" w:color="auto"/>
                            <w:right w:val="none" w:sz="0" w:space="0" w:color="auto"/>
                          </w:divBdr>
                        </w:div>
                      </w:divsChild>
                    </w:div>
                    <w:div w:id="2006005357">
                      <w:marLeft w:val="0"/>
                      <w:marRight w:val="0"/>
                      <w:marTop w:val="0"/>
                      <w:marBottom w:val="0"/>
                      <w:divBdr>
                        <w:top w:val="none" w:sz="0" w:space="0" w:color="auto"/>
                        <w:left w:val="none" w:sz="0" w:space="0" w:color="auto"/>
                        <w:bottom w:val="none" w:sz="0" w:space="0" w:color="auto"/>
                        <w:right w:val="none" w:sz="0" w:space="0" w:color="auto"/>
                      </w:divBdr>
                      <w:divsChild>
                        <w:div w:id="224491291">
                          <w:marLeft w:val="0"/>
                          <w:marRight w:val="0"/>
                          <w:marTop w:val="0"/>
                          <w:marBottom w:val="0"/>
                          <w:divBdr>
                            <w:top w:val="none" w:sz="0" w:space="0" w:color="auto"/>
                            <w:left w:val="none" w:sz="0" w:space="0" w:color="auto"/>
                            <w:bottom w:val="none" w:sz="0" w:space="0" w:color="auto"/>
                            <w:right w:val="none" w:sz="0" w:space="0" w:color="auto"/>
                          </w:divBdr>
                          <w:divsChild>
                            <w:div w:id="1142582917">
                              <w:marLeft w:val="0"/>
                              <w:marRight w:val="0"/>
                              <w:marTop w:val="0"/>
                              <w:marBottom w:val="0"/>
                              <w:divBdr>
                                <w:top w:val="none" w:sz="0" w:space="0" w:color="auto"/>
                                <w:left w:val="none" w:sz="0" w:space="0" w:color="auto"/>
                                <w:bottom w:val="none" w:sz="0" w:space="0" w:color="auto"/>
                                <w:right w:val="none" w:sz="0" w:space="0" w:color="auto"/>
                              </w:divBdr>
                            </w:div>
                          </w:divsChild>
                        </w:div>
                        <w:div w:id="346836433">
                          <w:marLeft w:val="0"/>
                          <w:marRight w:val="0"/>
                          <w:marTop w:val="0"/>
                          <w:marBottom w:val="0"/>
                          <w:divBdr>
                            <w:top w:val="none" w:sz="0" w:space="0" w:color="auto"/>
                            <w:left w:val="none" w:sz="0" w:space="0" w:color="auto"/>
                            <w:bottom w:val="none" w:sz="0" w:space="0" w:color="auto"/>
                            <w:right w:val="none" w:sz="0" w:space="0" w:color="auto"/>
                          </w:divBdr>
                          <w:divsChild>
                            <w:div w:id="1635016644">
                              <w:marLeft w:val="0"/>
                              <w:marRight w:val="0"/>
                              <w:marTop w:val="0"/>
                              <w:marBottom w:val="0"/>
                              <w:divBdr>
                                <w:top w:val="none" w:sz="0" w:space="0" w:color="auto"/>
                                <w:left w:val="none" w:sz="0" w:space="0" w:color="auto"/>
                                <w:bottom w:val="none" w:sz="0" w:space="0" w:color="auto"/>
                                <w:right w:val="none" w:sz="0" w:space="0" w:color="auto"/>
                              </w:divBdr>
                            </w:div>
                          </w:divsChild>
                        </w:div>
                        <w:div w:id="449014937">
                          <w:marLeft w:val="0"/>
                          <w:marRight w:val="0"/>
                          <w:marTop w:val="0"/>
                          <w:marBottom w:val="0"/>
                          <w:divBdr>
                            <w:top w:val="none" w:sz="0" w:space="0" w:color="auto"/>
                            <w:left w:val="none" w:sz="0" w:space="0" w:color="auto"/>
                            <w:bottom w:val="none" w:sz="0" w:space="0" w:color="auto"/>
                            <w:right w:val="none" w:sz="0" w:space="0" w:color="auto"/>
                          </w:divBdr>
                          <w:divsChild>
                            <w:div w:id="1679187982">
                              <w:marLeft w:val="0"/>
                              <w:marRight w:val="0"/>
                              <w:marTop w:val="0"/>
                              <w:marBottom w:val="0"/>
                              <w:divBdr>
                                <w:top w:val="none" w:sz="0" w:space="0" w:color="auto"/>
                                <w:left w:val="none" w:sz="0" w:space="0" w:color="auto"/>
                                <w:bottom w:val="none" w:sz="0" w:space="0" w:color="auto"/>
                                <w:right w:val="none" w:sz="0" w:space="0" w:color="auto"/>
                              </w:divBdr>
                            </w:div>
                          </w:divsChild>
                        </w:div>
                        <w:div w:id="558630871">
                          <w:marLeft w:val="0"/>
                          <w:marRight w:val="0"/>
                          <w:marTop w:val="0"/>
                          <w:marBottom w:val="0"/>
                          <w:divBdr>
                            <w:top w:val="none" w:sz="0" w:space="0" w:color="auto"/>
                            <w:left w:val="none" w:sz="0" w:space="0" w:color="auto"/>
                            <w:bottom w:val="none" w:sz="0" w:space="0" w:color="auto"/>
                            <w:right w:val="none" w:sz="0" w:space="0" w:color="auto"/>
                          </w:divBdr>
                          <w:divsChild>
                            <w:div w:id="288558739">
                              <w:marLeft w:val="0"/>
                              <w:marRight w:val="0"/>
                              <w:marTop w:val="0"/>
                              <w:marBottom w:val="0"/>
                              <w:divBdr>
                                <w:top w:val="none" w:sz="0" w:space="0" w:color="auto"/>
                                <w:left w:val="none" w:sz="0" w:space="0" w:color="auto"/>
                                <w:bottom w:val="none" w:sz="0" w:space="0" w:color="auto"/>
                                <w:right w:val="none" w:sz="0" w:space="0" w:color="auto"/>
                              </w:divBdr>
                            </w:div>
                          </w:divsChild>
                        </w:div>
                        <w:div w:id="706682804">
                          <w:marLeft w:val="0"/>
                          <w:marRight w:val="0"/>
                          <w:marTop w:val="0"/>
                          <w:marBottom w:val="0"/>
                          <w:divBdr>
                            <w:top w:val="none" w:sz="0" w:space="0" w:color="auto"/>
                            <w:left w:val="none" w:sz="0" w:space="0" w:color="auto"/>
                            <w:bottom w:val="none" w:sz="0" w:space="0" w:color="auto"/>
                            <w:right w:val="none" w:sz="0" w:space="0" w:color="auto"/>
                          </w:divBdr>
                          <w:divsChild>
                            <w:div w:id="1678077604">
                              <w:marLeft w:val="0"/>
                              <w:marRight w:val="0"/>
                              <w:marTop w:val="0"/>
                              <w:marBottom w:val="0"/>
                              <w:divBdr>
                                <w:top w:val="none" w:sz="0" w:space="0" w:color="auto"/>
                                <w:left w:val="none" w:sz="0" w:space="0" w:color="auto"/>
                                <w:bottom w:val="none" w:sz="0" w:space="0" w:color="auto"/>
                                <w:right w:val="none" w:sz="0" w:space="0" w:color="auto"/>
                              </w:divBdr>
                            </w:div>
                          </w:divsChild>
                        </w:div>
                        <w:div w:id="909657800">
                          <w:marLeft w:val="0"/>
                          <w:marRight w:val="0"/>
                          <w:marTop w:val="0"/>
                          <w:marBottom w:val="0"/>
                          <w:divBdr>
                            <w:top w:val="none" w:sz="0" w:space="0" w:color="auto"/>
                            <w:left w:val="none" w:sz="0" w:space="0" w:color="auto"/>
                            <w:bottom w:val="none" w:sz="0" w:space="0" w:color="auto"/>
                            <w:right w:val="none" w:sz="0" w:space="0" w:color="auto"/>
                          </w:divBdr>
                          <w:divsChild>
                            <w:div w:id="1187208990">
                              <w:marLeft w:val="0"/>
                              <w:marRight w:val="0"/>
                              <w:marTop w:val="0"/>
                              <w:marBottom w:val="0"/>
                              <w:divBdr>
                                <w:top w:val="none" w:sz="0" w:space="0" w:color="auto"/>
                                <w:left w:val="none" w:sz="0" w:space="0" w:color="auto"/>
                                <w:bottom w:val="none" w:sz="0" w:space="0" w:color="auto"/>
                                <w:right w:val="none" w:sz="0" w:space="0" w:color="auto"/>
                              </w:divBdr>
                            </w:div>
                          </w:divsChild>
                        </w:div>
                        <w:div w:id="1053622808">
                          <w:marLeft w:val="0"/>
                          <w:marRight w:val="0"/>
                          <w:marTop w:val="0"/>
                          <w:marBottom w:val="0"/>
                          <w:divBdr>
                            <w:top w:val="none" w:sz="0" w:space="0" w:color="auto"/>
                            <w:left w:val="none" w:sz="0" w:space="0" w:color="auto"/>
                            <w:bottom w:val="none" w:sz="0" w:space="0" w:color="auto"/>
                            <w:right w:val="none" w:sz="0" w:space="0" w:color="auto"/>
                          </w:divBdr>
                          <w:divsChild>
                            <w:div w:id="1574241929">
                              <w:marLeft w:val="0"/>
                              <w:marRight w:val="0"/>
                              <w:marTop w:val="0"/>
                              <w:marBottom w:val="0"/>
                              <w:divBdr>
                                <w:top w:val="none" w:sz="0" w:space="0" w:color="auto"/>
                                <w:left w:val="none" w:sz="0" w:space="0" w:color="auto"/>
                                <w:bottom w:val="none" w:sz="0" w:space="0" w:color="auto"/>
                                <w:right w:val="none" w:sz="0" w:space="0" w:color="auto"/>
                              </w:divBdr>
                            </w:div>
                          </w:divsChild>
                        </w:div>
                        <w:div w:id="1675642377">
                          <w:marLeft w:val="0"/>
                          <w:marRight w:val="0"/>
                          <w:marTop w:val="0"/>
                          <w:marBottom w:val="0"/>
                          <w:divBdr>
                            <w:top w:val="none" w:sz="0" w:space="0" w:color="auto"/>
                            <w:left w:val="none" w:sz="0" w:space="0" w:color="auto"/>
                            <w:bottom w:val="none" w:sz="0" w:space="0" w:color="auto"/>
                            <w:right w:val="none" w:sz="0" w:space="0" w:color="auto"/>
                          </w:divBdr>
                          <w:divsChild>
                            <w:div w:id="293869792">
                              <w:marLeft w:val="0"/>
                              <w:marRight w:val="0"/>
                              <w:marTop w:val="0"/>
                              <w:marBottom w:val="0"/>
                              <w:divBdr>
                                <w:top w:val="none" w:sz="0" w:space="0" w:color="auto"/>
                                <w:left w:val="none" w:sz="0" w:space="0" w:color="auto"/>
                                <w:bottom w:val="none" w:sz="0" w:space="0" w:color="auto"/>
                                <w:right w:val="none" w:sz="0" w:space="0" w:color="auto"/>
                              </w:divBdr>
                            </w:div>
                          </w:divsChild>
                        </w:div>
                        <w:div w:id="1940218041">
                          <w:marLeft w:val="0"/>
                          <w:marRight w:val="0"/>
                          <w:marTop w:val="0"/>
                          <w:marBottom w:val="0"/>
                          <w:divBdr>
                            <w:top w:val="none" w:sz="0" w:space="0" w:color="auto"/>
                            <w:left w:val="none" w:sz="0" w:space="0" w:color="auto"/>
                            <w:bottom w:val="none" w:sz="0" w:space="0" w:color="auto"/>
                            <w:right w:val="none" w:sz="0" w:space="0" w:color="auto"/>
                          </w:divBdr>
                          <w:divsChild>
                            <w:div w:id="16072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8180">
              <w:marLeft w:val="0"/>
              <w:marRight w:val="0"/>
              <w:marTop w:val="0"/>
              <w:marBottom w:val="0"/>
              <w:divBdr>
                <w:top w:val="none" w:sz="0" w:space="0" w:color="auto"/>
                <w:left w:val="none" w:sz="0" w:space="0" w:color="auto"/>
                <w:bottom w:val="none" w:sz="0" w:space="0" w:color="auto"/>
                <w:right w:val="none" w:sz="0" w:space="0" w:color="auto"/>
              </w:divBdr>
              <w:divsChild>
                <w:div w:id="21365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9215">
      <w:bodyDiv w:val="1"/>
      <w:marLeft w:val="0"/>
      <w:marRight w:val="0"/>
      <w:marTop w:val="0"/>
      <w:marBottom w:val="0"/>
      <w:divBdr>
        <w:top w:val="none" w:sz="0" w:space="0" w:color="auto"/>
        <w:left w:val="none" w:sz="0" w:space="0" w:color="auto"/>
        <w:bottom w:val="none" w:sz="0" w:space="0" w:color="auto"/>
        <w:right w:val="none" w:sz="0" w:space="0" w:color="auto"/>
      </w:divBdr>
    </w:div>
    <w:div w:id="853153580">
      <w:bodyDiv w:val="1"/>
      <w:marLeft w:val="0"/>
      <w:marRight w:val="0"/>
      <w:marTop w:val="0"/>
      <w:marBottom w:val="0"/>
      <w:divBdr>
        <w:top w:val="none" w:sz="0" w:space="0" w:color="auto"/>
        <w:left w:val="none" w:sz="0" w:space="0" w:color="auto"/>
        <w:bottom w:val="none" w:sz="0" w:space="0" w:color="auto"/>
        <w:right w:val="none" w:sz="0" w:space="0" w:color="auto"/>
      </w:divBdr>
    </w:div>
    <w:div w:id="983393547">
      <w:bodyDiv w:val="1"/>
      <w:marLeft w:val="0"/>
      <w:marRight w:val="0"/>
      <w:marTop w:val="0"/>
      <w:marBottom w:val="0"/>
      <w:divBdr>
        <w:top w:val="none" w:sz="0" w:space="0" w:color="auto"/>
        <w:left w:val="none" w:sz="0" w:space="0" w:color="auto"/>
        <w:bottom w:val="none" w:sz="0" w:space="0" w:color="auto"/>
        <w:right w:val="none" w:sz="0" w:space="0" w:color="auto"/>
      </w:divBdr>
    </w:div>
    <w:div w:id="1006253352">
      <w:bodyDiv w:val="1"/>
      <w:marLeft w:val="0"/>
      <w:marRight w:val="0"/>
      <w:marTop w:val="0"/>
      <w:marBottom w:val="0"/>
      <w:divBdr>
        <w:top w:val="none" w:sz="0" w:space="0" w:color="auto"/>
        <w:left w:val="none" w:sz="0" w:space="0" w:color="auto"/>
        <w:bottom w:val="none" w:sz="0" w:space="0" w:color="auto"/>
        <w:right w:val="none" w:sz="0" w:space="0" w:color="auto"/>
      </w:divBdr>
    </w:div>
    <w:div w:id="1143623695">
      <w:bodyDiv w:val="1"/>
      <w:marLeft w:val="0"/>
      <w:marRight w:val="0"/>
      <w:marTop w:val="0"/>
      <w:marBottom w:val="0"/>
      <w:divBdr>
        <w:top w:val="none" w:sz="0" w:space="0" w:color="auto"/>
        <w:left w:val="none" w:sz="0" w:space="0" w:color="auto"/>
        <w:bottom w:val="none" w:sz="0" w:space="0" w:color="auto"/>
        <w:right w:val="none" w:sz="0" w:space="0" w:color="auto"/>
      </w:divBdr>
    </w:div>
    <w:div w:id="1191643775">
      <w:bodyDiv w:val="1"/>
      <w:marLeft w:val="0"/>
      <w:marRight w:val="0"/>
      <w:marTop w:val="0"/>
      <w:marBottom w:val="0"/>
      <w:divBdr>
        <w:top w:val="none" w:sz="0" w:space="0" w:color="auto"/>
        <w:left w:val="none" w:sz="0" w:space="0" w:color="auto"/>
        <w:bottom w:val="none" w:sz="0" w:space="0" w:color="auto"/>
        <w:right w:val="none" w:sz="0" w:space="0" w:color="auto"/>
      </w:divBdr>
    </w:div>
    <w:div w:id="1286935517">
      <w:bodyDiv w:val="1"/>
      <w:marLeft w:val="0"/>
      <w:marRight w:val="0"/>
      <w:marTop w:val="0"/>
      <w:marBottom w:val="0"/>
      <w:divBdr>
        <w:top w:val="none" w:sz="0" w:space="0" w:color="auto"/>
        <w:left w:val="none" w:sz="0" w:space="0" w:color="auto"/>
        <w:bottom w:val="none" w:sz="0" w:space="0" w:color="auto"/>
        <w:right w:val="none" w:sz="0" w:space="0" w:color="auto"/>
      </w:divBdr>
    </w:div>
    <w:div w:id="1409576228">
      <w:bodyDiv w:val="1"/>
      <w:marLeft w:val="0"/>
      <w:marRight w:val="0"/>
      <w:marTop w:val="0"/>
      <w:marBottom w:val="0"/>
      <w:divBdr>
        <w:top w:val="none" w:sz="0" w:space="0" w:color="auto"/>
        <w:left w:val="none" w:sz="0" w:space="0" w:color="auto"/>
        <w:bottom w:val="none" w:sz="0" w:space="0" w:color="auto"/>
        <w:right w:val="none" w:sz="0" w:space="0" w:color="auto"/>
      </w:divBdr>
    </w:div>
    <w:div w:id="1413315493">
      <w:bodyDiv w:val="1"/>
      <w:marLeft w:val="0"/>
      <w:marRight w:val="0"/>
      <w:marTop w:val="0"/>
      <w:marBottom w:val="0"/>
      <w:divBdr>
        <w:top w:val="none" w:sz="0" w:space="0" w:color="auto"/>
        <w:left w:val="none" w:sz="0" w:space="0" w:color="auto"/>
        <w:bottom w:val="none" w:sz="0" w:space="0" w:color="auto"/>
        <w:right w:val="none" w:sz="0" w:space="0" w:color="auto"/>
      </w:divBdr>
    </w:div>
    <w:div w:id="1483963262">
      <w:bodyDiv w:val="1"/>
      <w:marLeft w:val="0"/>
      <w:marRight w:val="0"/>
      <w:marTop w:val="0"/>
      <w:marBottom w:val="0"/>
      <w:divBdr>
        <w:top w:val="none" w:sz="0" w:space="0" w:color="auto"/>
        <w:left w:val="none" w:sz="0" w:space="0" w:color="auto"/>
        <w:bottom w:val="none" w:sz="0" w:space="0" w:color="auto"/>
        <w:right w:val="none" w:sz="0" w:space="0" w:color="auto"/>
      </w:divBdr>
    </w:div>
    <w:div w:id="1713072332">
      <w:bodyDiv w:val="1"/>
      <w:marLeft w:val="0"/>
      <w:marRight w:val="0"/>
      <w:marTop w:val="0"/>
      <w:marBottom w:val="0"/>
      <w:divBdr>
        <w:top w:val="none" w:sz="0" w:space="0" w:color="auto"/>
        <w:left w:val="none" w:sz="0" w:space="0" w:color="auto"/>
        <w:bottom w:val="none" w:sz="0" w:space="0" w:color="auto"/>
        <w:right w:val="none" w:sz="0" w:space="0" w:color="auto"/>
      </w:divBdr>
    </w:div>
    <w:div w:id="1910387314">
      <w:bodyDiv w:val="1"/>
      <w:marLeft w:val="0"/>
      <w:marRight w:val="0"/>
      <w:marTop w:val="0"/>
      <w:marBottom w:val="0"/>
      <w:divBdr>
        <w:top w:val="none" w:sz="0" w:space="0" w:color="auto"/>
        <w:left w:val="none" w:sz="0" w:space="0" w:color="auto"/>
        <w:bottom w:val="none" w:sz="0" w:space="0" w:color="auto"/>
        <w:right w:val="none" w:sz="0" w:space="0" w:color="auto"/>
      </w:divBdr>
    </w:div>
    <w:div w:id="1978025909">
      <w:bodyDiv w:val="1"/>
      <w:marLeft w:val="0"/>
      <w:marRight w:val="0"/>
      <w:marTop w:val="0"/>
      <w:marBottom w:val="0"/>
      <w:divBdr>
        <w:top w:val="none" w:sz="0" w:space="0" w:color="auto"/>
        <w:left w:val="none" w:sz="0" w:space="0" w:color="auto"/>
        <w:bottom w:val="none" w:sz="0" w:space="0" w:color="auto"/>
        <w:right w:val="none" w:sz="0" w:space="0" w:color="auto"/>
      </w:divBdr>
    </w:div>
    <w:div w:id="2067484728">
      <w:bodyDiv w:val="1"/>
      <w:marLeft w:val="0"/>
      <w:marRight w:val="0"/>
      <w:marTop w:val="0"/>
      <w:marBottom w:val="0"/>
      <w:divBdr>
        <w:top w:val="none" w:sz="0" w:space="0" w:color="auto"/>
        <w:left w:val="none" w:sz="0" w:space="0" w:color="auto"/>
        <w:bottom w:val="none" w:sz="0" w:space="0" w:color="auto"/>
        <w:right w:val="none" w:sz="0" w:space="0" w:color="auto"/>
      </w:divBdr>
    </w:div>
    <w:div w:id="2108189029">
      <w:bodyDiv w:val="1"/>
      <w:marLeft w:val="0"/>
      <w:marRight w:val="0"/>
      <w:marTop w:val="0"/>
      <w:marBottom w:val="0"/>
      <w:divBdr>
        <w:top w:val="none" w:sz="0" w:space="0" w:color="auto"/>
        <w:left w:val="none" w:sz="0" w:space="0" w:color="auto"/>
        <w:bottom w:val="none" w:sz="0" w:space="0" w:color="auto"/>
        <w:right w:val="none" w:sz="0" w:space="0" w:color="auto"/>
      </w:divBdr>
    </w:div>
    <w:div w:id="21384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45A3C2C1384B669E37771909346888"/>
        <w:category>
          <w:name w:val="General"/>
          <w:gallery w:val="placeholder"/>
        </w:category>
        <w:types>
          <w:type w:val="bbPlcHdr"/>
        </w:types>
        <w:behaviors>
          <w:behavior w:val="content"/>
        </w:behaviors>
        <w:guid w:val="{EC6535AD-30EB-4A84-8909-D3136C9FBC91}"/>
      </w:docPartPr>
      <w:docPartBody>
        <w:p w:rsidR="0090369E" w:rsidRDefault="0090369E">
          <w:pPr>
            <w:pStyle w:val="9A45A3C2C1384B669E37771909346888"/>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9E"/>
    <w:rsid w:val="001359D2"/>
    <w:rsid w:val="00240C24"/>
    <w:rsid w:val="00357FF6"/>
    <w:rsid w:val="00380997"/>
    <w:rsid w:val="003970A3"/>
    <w:rsid w:val="003C27F2"/>
    <w:rsid w:val="00497E6A"/>
    <w:rsid w:val="004B3745"/>
    <w:rsid w:val="00625707"/>
    <w:rsid w:val="006E1E98"/>
    <w:rsid w:val="00755020"/>
    <w:rsid w:val="00793BAA"/>
    <w:rsid w:val="00834A24"/>
    <w:rsid w:val="0090369E"/>
    <w:rsid w:val="009D0280"/>
    <w:rsid w:val="009D303D"/>
    <w:rsid w:val="00AC181D"/>
    <w:rsid w:val="00AD4E44"/>
    <w:rsid w:val="00B01F66"/>
    <w:rsid w:val="00CC40B1"/>
    <w:rsid w:val="00EC7129"/>
    <w:rsid w:val="00FA2478"/>
    <w:rsid w:val="00FB1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45A3C2C1384B669E37771909346888">
    <w:name w:val="9A45A3C2C1384B669E37771909346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Australian Energy Regulator v AGL Retail Energy Limited (Relief Hearing) [2024] FCA 1500</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31</Pages>
  <Words>10728</Words>
  <Characters>54074</Characters>
  <Application>Microsoft Office Word</Application>
  <DocSecurity>0</DocSecurity>
  <PresentationFormat/>
  <Lines>1060</Lines>
  <Paragraphs>443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Australian Energy Regulator v AGL Retail Energy Limited (Relief Hearing) [2024] FCA 1500</vt:lpstr>
    </vt:vector>
  </TitlesOfParts>
  <Manager/>
  <Company/>
  <LinksUpToDate>false</LinksUpToDate>
  <CharactersWithSpaces>64359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2024-12-18T21:04:00Z</cp:lastPrinted>
  <dcterms:created xsi:type="dcterms:W3CDTF">2024-12-19T00:12:00Z</dcterms:created>
  <dcterms:modified xsi:type="dcterms:W3CDTF">2024-12-19T00:12:00Z</dcterms:modified>
  <cp:category/>
  <cp:contentStatus/>
  <dc:language/>
  <cp:version/>
</cp:coreProperties>
</file>