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E46F9" w14:textId="0673F11A" w:rsidR="00395B24" w:rsidRDefault="00C6120E" w:rsidP="00A22932">
      <w:pPr>
        <w:pStyle w:val="CourtTitle"/>
      </w:pPr>
      <w:r>
        <w:rPr>
          <w:caps w:val="0"/>
        </w:rPr>
        <w:t>FEDERAL COURT OF AUSTRALIA</w:t>
      </w:r>
    </w:p>
    <w:p w14:paraId="375ACEA6" w14:textId="77777777" w:rsidR="004D7950" w:rsidRDefault="004D7950">
      <w:pPr>
        <w:pStyle w:val="NormalHeadings"/>
        <w:jc w:val="center"/>
        <w:rPr>
          <w:sz w:val="32"/>
        </w:rPr>
      </w:pPr>
    </w:p>
    <w:bookmarkStart w:id="0" w:name="MNC"/>
    <w:p w14:paraId="31B684C1" w14:textId="3D342B7D" w:rsidR="00374CC4" w:rsidRDefault="00D87F06" w:rsidP="001A2B40">
      <w:pPr>
        <w:pStyle w:val="MNC"/>
      </w:pPr>
      <w:sdt>
        <w:sdtPr>
          <w:alias w:val="MNC"/>
          <w:tag w:val="MNC"/>
          <w:id w:val="343289786"/>
          <w:lock w:val="sdtLocked"/>
          <w:placeholder>
            <w:docPart w:val="6E9A4CB13A7C4363BF19C7EBEAA92465"/>
          </w:placeholder>
          <w:dataBinding w:prefixMappings="xmlns:ns0='http://schemas.globalmacros.com/FCA'" w:xpath="/ns0:root[1]/ns0:Name[1]" w:storeItemID="{687E7CCB-4AA5-44E7-B148-17BA2B6F57C0}"/>
          <w:text w:multiLine="1"/>
        </w:sdtPr>
        <w:sdtEndPr/>
        <w:sdtContent>
          <w:r w:rsidR="00112B54">
            <w:t xml:space="preserve">Fitzpatrick v Isaacs (No 2) [2024] FCA </w:t>
          </w:r>
          <w:r w:rsidR="00F8772C">
            <w:t>1454</w:t>
          </w:r>
        </w:sdtContent>
      </w:sdt>
      <w:bookmarkEnd w:id="0"/>
      <w:r w:rsidR="005C185C">
        <w:t xml:space="preserve"> </w:t>
      </w:r>
    </w:p>
    <w:tbl>
      <w:tblPr>
        <w:tblW w:w="9072" w:type="dxa"/>
        <w:tblLayout w:type="fixed"/>
        <w:tblLook w:val="01E0" w:firstRow="1" w:lastRow="1" w:firstColumn="1" w:lastColumn="1" w:noHBand="0" w:noVBand="0"/>
        <w:tblCaption w:val="Cover Table"/>
        <w:tblDescription w:val="Cover Table"/>
      </w:tblPr>
      <w:tblGrid>
        <w:gridCol w:w="3083"/>
        <w:gridCol w:w="5989"/>
      </w:tblGrid>
      <w:tr w:rsidR="00395B24" w14:paraId="6A32DD1A" w14:textId="77777777" w:rsidTr="0016439A">
        <w:tc>
          <w:tcPr>
            <w:tcW w:w="3083" w:type="dxa"/>
            <w:shd w:val="clear" w:color="auto" w:fill="auto"/>
          </w:tcPr>
          <w:p w14:paraId="16B28AC8" w14:textId="6417F879" w:rsidR="00395B24" w:rsidRDefault="002C7385" w:rsidP="00663878">
            <w:pPr>
              <w:pStyle w:val="Normal1linespace"/>
              <w:widowControl w:val="0"/>
              <w:jc w:val="left"/>
            </w:pPr>
            <w:r>
              <w:t>File number:</w:t>
            </w:r>
          </w:p>
        </w:tc>
        <w:tc>
          <w:tcPr>
            <w:tcW w:w="5989" w:type="dxa"/>
            <w:shd w:val="clear" w:color="auto" w:fill="auto"/>
          </w:tcPr>
          <w:p w14:paraId="5A82E25D" w14:textId="7BF65E06" w:rsidR="00395B24" w:rsidRPr="00112B54" w:rsidRDefault="00112B54" w:rsidP="00112B54">
            <w:pPr>
              <w:pStyle w:val="Normal1linespace"/>
              <w:jc w:val="left"/>
            </w:pPr>
            <w:fldSimple w:instr=" REF  FileNo  \* MERGEFORMAT " w:fldLock="1">
              <w:r w:rsidRPr="00112B54">
                <w:t>QUD 365 of 2023</w:t>
              </w:r>
            </w:fldSimple>
          </w:p>
        </w:tc>
      </w:tr>
      <w:tr w:rsidR="00395B24" w14:paraId="28F16C16" w14:textId="77777777" w:rsidTr="0016439A">
        <w:tc>
          <w:tcPr>
            <w:tcW w:w="3083" w:type="dxa"/>
            <w:shd w:val="clear" w:color="auto" w:fill="auto"/>
          </w:tcPr>
          <w:p w14:paraId="3C592E0C" w14:textId="77777777" w:rsidR="00395B24" w:rsidRDefault="00395B24" w:rsidP="00663878">
            <w:pPr>
              <w:pStyle w:val="Normal1linespace"/>
              <w:widowControl w:val="0"/>
              <w:jc w:val="left"/>
            </w:pPr>
          </w:p>
        </w:tc>
        <w:tc>
          <w:tcPr>
            <w:tcW w:w="5989" w:type="dxa"/>
            <w:shd w:val="clear" w:color="auto" w:fill="auto"/>
          </w:tcPr>
          <w:p w14:paraId="44486903" w14:textId="77777777" w:rsidR="00395B24" w:rsidRDefault="00395B24" w:rsidP="00663878">
            <w:pPr>
              <w:pStyle w:val="Normal1linespace"/>
              <w:widowControl w:val="0"/>
              <w:jc w:val="left"/>
            </w:pPr>
          </w:p>
        </w:tc>
      </w:tr>
      <w:tr w:rsidR="00395B24" w14:paraId="51CFF56F" w14:textId="77777777" w:rsidTr="0016439A">
        <w:tc>
          <w:tcPr>
            <w:tcW w:w="3083" w:type="dxa"/>
            <w:shd w:val="clear" w:color="auto" w:fill="auto"/>
          </w:tcPr>
          <w:p w14:paraId="50CC5338" w14:textId="77777777" w:rsidR="00395B24" w:rsidRDefault="002C7385" w:rsidP="00663878">
            <w:pPr>
              <w:pStyle w:val="Normal1linespace"/>
              <w:widowControl w:val="0"/>
              <w:jc w:val="left"/>
            </w:pPr>
            <w:r>
              <w:t>Judg</w:t>
            </w:r>
            <w:r w:rsidR="005724F6">
              <w:t>ment of</w:t>
            </w:r>
            <w:r>
              <w:t>:</w:t>
            </w:r>
          </w:p>
        </w:tc>
        <w:tc>
          <w:tcPr>
            <w:tcW w:w="5989" w:type="dxa"/>
            <w:shd w:val="clear" w:color="auto" w:fill="auto"/>
          </w:tcPr>
          <w:p w14:paraId="49A17345" w14:textId="76F6A442" w:rsidR="00395B24" w:rsidRDefault="002C7385" w:rsidP="00663878">
            <w:pPr>
              <w:pStyle w:val="Normal1linespace"/>
              <w:widowControl w:val="0"/>
              <w:jc w:val="left"/>
              <w:rPr>
                <w:b/>
              </w:rPr>
            </w:pPr>
            <w:r w:rsidRPr="00112B54">
              <w:rPr>
                <w:b/>
              </w:rPr>
              <w:fldChar w:fldCharType="begin" w:fldLock="1"/>
            </w:r>
            <w:r w:rsidRPr="00112B54">
              <w:rPr>
                <w:b/>
              </w:rPr>
              <w:instrText xml:space="preserve"> REF  Judge  \* MERGEFORMAT </w:instrText>
            </w:r>
            <w:r w:rsidRPr="00112B54">
              <w:rPr>
                <w:b/>
              </w:rPr>
              <w:fldChar w:fldCharType="separate"/>
            </w:r>
            <w:r w:rsidR="00112B54" w:rsidRPr="00112B54">
              <w:rPr>
                <w:b/>
                <w:caps/>
                <w:szCs w:val="24"/>
              </w:rPr>
              <w:t>DERRINGTON J</w:t>
            </w:r>
            <w:r w:rsidRPr="00112B54">
              <w:rPr>
                <w:b/>
              </w:rPr>
              <w:fldChar w:fldCharType="end"/>
            </w:r>
          </w:p>
        </w:tc>
      </w:tr>
      <w:tr w:rsidR="00395B24" w14:paraId="304BFC71" w14:textId="77777777" w:rsidTr="0016439A">
        <w:tc>
          <w:tcPr>
            <w:tcW w:w="3083" w:type="dxa"/>
            <w:shd w:val="clear" w:color="auto" w:fill="auto"/>
          </w:tcPr>
          <w:p w14:paraId="32077539" w14:textId="77777777" w:rsidR="00395B24" w:rsidRDefault="00395B24" w:rsidP="00663878">
            <w:pPr>
              <w:pStyle w:val="Normal1linespace"/>
              <w:widowControl w:val="0"/>
              <w:jc w:val="left"/>
            </w:pPr>
          </w:p>
        </w:tc>
        <w:tc>
          <w:tcPr>
            <w:tcW w:w="5989" w:type="dxa"/>
            <w:shd w:val="clear" w:color="auto" w:fill="auto"/>
          </w:tcPr>
          <w:p w14:paraId="6328D3A3" w14:textId="77777777" w:rsidR="00395B24" w:rsidRDefault="00395B24" w:rsidP="00663878">
            <w:pPr>
              <w:pStyle w:val="Normal1linespace"/>
              <w:widowControl w:val="0"/>
              <w:jc w:val="left"/>
            </w:pPr>
          </w:p>
        </w:tc>
      </w:tr>
      <w:tr w:rsidR="00395B24" w14:paraId="7069F8E1" w14:textId="77777777" w:rsidTr="0016439A">
        <w:tc>
          <w:tcPr>
            <w:tcW w:w="3083" w:type="dxa"/>
            <w:shd w:val="clear" w:color="auto" w:fill="auto"/>
          </w:tcPr>
          <w:p w14:paraId="6E2047ED" w14:textId="77777777" w:rsidR="00395B24" w:rsidRDefault="002C7385" w:rsidP="00663878">
            <w:pPr>
              <w:pStyle w:val="Normal1linespace"/>
              <w:widowControl w:val="0"/>
              <w:jc w:val="left"/>
            </w:pPr>
            <w:r>
              <w:t>Date of judgment:</w:t>
            </w:r>
          </w:p>
        </w:tc>
        <w:tc>
          <w:tcPr>
            <w:tcW w:w="5989" w:type="dxa"/>
            <w:shd w:val="clear" w:color="auto" w:fill="auto"/>
          </w:tcPr>
          <w:p w14:paraId="677436DF" w14:textId="28149587" w:rsidR="00395B24" w:rsidRDefault="008E0CDF" w:rsidP="00663878">
            <w:pPr>
              <w:pStyle w:val="Normal1linespace"/>
              <w:widowControl w:val="0"/>
              <w:jc w:val="left"/>
            </w:pPr>
            <w:bookmarkStart w:id="1" w:name="JudgmentDate"/>
            <w:r w:rsidRPr="00610703">
              <w:t>18</w:t>
            </w:r>
            <w:r>
              <w:t xml:space="preserve"> December 2024</w:t>
            </w:r>
            <w:bookmarkEnd w:id="1"/>
          </w:p>
        </w:tc>
      </w:tr>
      <w:tr w:rsidR="00395B24" w14:paraId="3CCB1579" w14:textId="77777777" w:rsidTr="0016439A">
        <w:tc>
          <w:tcPr>
            <w:tcW w:w="3083" w:type="dxa"/>
            <w:shd w:val="clear" w:color="auto" w:fill="auto"/>
          </w:tcPr>
          <w:p w14:paraId="2C7DB0D9" w14:textId="77777777" w:rsidR="00395B24" w:rsidRDefault="00395B24" w:rsidP="00663878">
            <w:pPr>
              <w:pStyle w:val="Normal1linespace"/>
              <w:widowControl w:val="0"/>
              <w:jc w:val="left"/>
            </w:pPr>
          </w:p>
        </w:tc>
        <w:tc>
          <w:tcPr>
            <w:tcW w:w="5989" w:type="dxa"/>
            <w:shd w:val="clear" w:color="auto" w:fill="auto"/>
          </w:tcPr>
          <w:p w14:paraId="6CF637E4" w14:textId="77777777" w:rsidR="00395B24" w:rsidRDefault="00395B24" w:rsidP="00663878">
            <w:pPr>
              <w:pStyle w:val="Normal1linespace"/>
              <w:widowControl w:val="0"/>
              <w:jc w:val="left"/>
            </w:pPr>
          </w:p>
        </w:tc>
      </w:tr>
      <w:tr w:rsidR="00395B24" w14:paraId="781ED0B9" w14:textId="77777777" w:rsidTr="0016439A">
        <w:tc>
          <w:tcPr>
            <w:tcW w:w="3083" w:type="dxa"/>
            <w:shd w:val="clear" w:color="auto" w:fill="auto"/>
          </w:tcPr>
          <w:p w14:paraId="56038F4F" w14:textId="77777777" w:rsidR="00395B24" w:rsidRDefault="002C7385" w:rsidP="00663878">
            <w:pPr>
              <w:pStyle w:val="Normal1linespace"/>
              <w:widowControl w:val="0"/>
              <w:jc w:val="left"/>
            </w:pPr>
            <w:r>
              <w:t>Catchwords:</w:t>
            </w:r>
          </w:p>
        </w:tc>
        <w:tc>
          <w:tcPr>
            <w:tcW w:w="5989" w:type="dxa"/>
            <w:shd w:val="clear" w:color="auto" w:fill="auto"/>
          </w:tcPr>
          <w:p w14:paraId="619DA70F" w14:textId="2ACE064F" w:rsidR="00395B24" w:rsidRDefault="008E0CDF" w:rsidP="00663878">
            <w:pPr>
              <w:pStyle w:val="Normal1linespace"/>
              <w:widowControl w:val="0"/>
              <w:jc w:val="left"/>
            </w:pPr>
            <w:bookmarkStart w:id="2" w:name="Catchwords"/>
            <w:r>
              <w:rPr>
                <w:b/>
                <w:bCs/>
              </w:rPr>
              <w:t>COSTS</w:t>
            </w:r>
            <w:r w:rsidR="00715751">
              <w:t xml:space="preserve"> </w:t>
            </w:r>
            <w:r w:rsidR="00FC3326">
              <w:t>–</w:t>
            </w:r>
            <w:r>
              <w:t xml:space="preserve"> </w:t>
            </w:r>
            <w:r w:rsidR="00FC3326">
              <w:t xml:space="preserve">costs </w:t>
            </w:r>
            <w:r w:rsidR="00AA7A0A">
              <w:t>following</w:t>
            </w:r>
            <w:r w:rsidR="00FC3326">
              <w:t xml:space="preserve"> review of Registrar’s decision </w:t>
            </w:r>
            <w:r w:rsidR="00F64D82">
              <w:t xml:space="preserve">– where Registrar ordered </w:t>
            </w:r>
            <w:r w:rsidR="00FC3326">
              <w:t xml:space="preserve">security for costs </w:t>
            </w:r>
            <w:r w:rsidR="00F64D82">
              <w:t xml:space="preserve">against </w:t>
            </w:r>
            <w:r w:rsidR="00FC3326">
              <w:t>two plaintiffs – where</w:t>
            </w:r>
            <w:r w:rsidR="00F64D82">
              <w:t xml:space="preserve"> security only</w:t>
            </w:r>
            <w:r w:rsidR="002D4934">
              <w:t xml:space="preserve"> </w:t>
            </w:r>
            <w:r w:rsidR="00F64D82">
              <w:t xml:space="preserve">ordered against </w:t>
            </w:r>
            <w:r w:rsidR="002D4934">
              <w:t xml:space="preserve">one plaintiff </w:t>
            </w:r>
            <w:r w:rsidR="00F64D82">
              <w:t xml:space="preserve">on review </w:t>
            </w:r>
            <w:r w:rsidR="002D4934">
              <w:t>– whether costs should be in the cause</w:t>
            </w:r>
            <w:bookmarkEnd w:id="2"/>
          </w:p>
        </w:tc>
      </w:tr>
      <w:tr w:rsidR="00395B24" w14:paraId="1C9AE2B5" w14:textId="77777777" w:rsidTr="0016439A">
        <w:tc>
          <w:tcPr>
            <w:tcW w:w="3083" w:type="dxa"/>
            <w:shd w:val="clear" w:color="auto" w:fill="auto"/>
          </w:tcPr>
          <w:p w14:paraId="513A4716" w14:textId="77777777" w:rsidR="00395B24" w:rsidRDefault="00395B24" w:rsidP="00663878">
            <w:pPr>
              <w:pStyle w:val="Normal1linespace"/>
              <w:widowControl w:val="0"/>
              <w:jc w:val="left"/>
            </w:pPr>
          </w:p>
        </w:tc>
        <w:tc>
          <w:tcPr>
            <w:tcW w:w="5989" w:type="dxa"/>
            <w:shd w:val="clear" w:color="auto" w:fill="auto"/>
          </w:tcPr>
          <w:p w14:paraId="43C5F6D3" w14:textId="77777777" w:rsidR="00395B24" w:rsidRDefault="00395B24" w:rsidP="00663878">
            <w:pPr>
              <w:pStyle w:val="Normal1linespace"/>
              <w:widowControl w:val="0"/>
              <w:jc w:val="left"/>
            </w:pPr>
          </w:p>
        </w:tc>
      </w:tr>
      <w:tr w:rsidR="00395B24" w14:paraId="2836ED1D" w14:textId="77777777" w:rsidTr="0016439A">
        <w:tc>
          <w:tcPr>
            <w:tcW w:w="3083" w:type="dxa"/>
            <w:shd w:val="clear" w:color="auto" w:fill="auto"/>
          </w:tcPr>
          <w:p w14:paraId="7CF7FC5D" w14:textId="77777777" w:rsidR="00395B24" w:rsidRDefault="002C7385" w:rsidP="00663878">
            <w:pPr>
              <w:pStyle w:val="Normal1linespace"/>
              <w:widowControl w:val="0"/>
              <w:jc w:val="left"/>
            </w:pPr>
            <w:r>
              <w:t>Legislation:</w:t>
            </w:r>
          </w:p>
        </w:tc>
        <w:tc>
          <w:tcPr>
            <w:tcW w:w="5989" w:type="dxa"/>
            <w:shd w:val="clear" w:color="auto" w:fill="auto"/>
          </w:tcPr>
          <w:p w14:paraId="509967FB" w14:textId="0BE454B5" w:rsidR="00395B24" w:rsidRPr="0044140A" w:rsidRDefault="0044140A" w:rsidP="0044140A">
            <w:pPr>
              <w:pStyle w:val="CasesLegislationAppealFrom"/>
              <w:spacing w:after="60"/>
            </w:pPr>
            <w:bookmarkStart w:id="3" w:name="Legislation"/>
            <w:r w:rsidRPr="0044140A">
              <w:rPr>
                <w:i/>
                <w:iCs/>
              </w:rPr>
              <w:t xml:space="preserve">Federal Court of Australia Act 1976 </w:t>
            </w:r>
            <w:r w:rsidRPr="0044140A">
              <w:t>(</w:t>
            </w:r>
            <w:proofErr w:type="spellStart"/>
            <w:r w:rsidRPr="0044140A">
              <w:t>Cth</w:t>
            </w:r>
            <w:proofErr w:type="spellEnd"/>
            <w:r w:rsidRPr="0044140A">
              <w:t>)</w:t>
            </w:r>
            <w:bookmarkEnd w:id="3"/>
          </w:p>
        </w:tc>
      </w:tr>
      <w:tr w:rsidR="00395B24" w14:paraId="7AE4B3B9" w14:textId="77777777" w:rsidTr="0016439A">
        <w:tc>
          <w:tcPr>
            <w:tcW w:w="3083" w:type="dxa"/>
            <w:shd w:val="clear" w:color="auto" w:fill="auto"/>
          </w:tcPr>
          <w:p w14:paraId="5E333EB6" w14:textId="77777777" w:rsidR="00395B24" w:rsidRDefault="00395B24" w:rsidP="00663878">
            <w:pPr>
              <w:pStyle w:val="Normal1linespace"/>
              <w:widowControl w:val="0"/>
              <w:jc w:val="left"/>
            </w:pPr>
          </w:p>
        </w:tc>
        <w:tc>
          <w:tcPr>
            <w:tcW w:w="5989" w:type="dxa"/>
            <w:shd w:val="clear" w:color="auto" w:fill="auto"/>
          </w:tcPr>
          <w:p w14:paraId="6EF9A966" w14:textId="77777777" w:rsidR="00395B24" w:rsidRDefault="00395B24" w:rsidP="00663878">
            <w:pPr>
              <w:pStyle w:val="Normal1linespace"/>
              <w:widowControl w:val="0"/>
              <w:jc w:val="left"/>
            </w:pPr>
          </w:p>
        </w:tc>
      </w:tr>
      <w:tr w:rsidR="00395B24" w14:paraId="0DF3F191" w14:textId="77777777" w:rsidTr="0016439A">
        <w:tc>
          <w:tcPr>
            <w:tcW w:w="3083" w:type="dxa"/>
            <w:shd w:val="clear" w:color="auto" w:fill="auto"/>
          </w:tcPr>
          <w:p w14:paraId="32CFC235" w14:textId="77777777" w:rsidR="00395B24" w:rsidRDefault="002C7385" w:rsidP="00663878">
            <w:pPr>
              <w:pStyle w:val="Normal1linespace"/>
              <w:widowControl w:val="0"/>
              <w:jc w:val="left"/>
            </w:pPr>
            <w:r>
              <w:t>Cases cited:</w:t>
            </w:r>
          </w:p>
        </w:tc>
        <w:tc>
          <w:tcPr>
            <w:tcW w:w="5989" w:type="dxa"/>
            <w:shd w:val="clear" w:color="auto" w:fill="auto"/>
          </w:tcPr>
          <w:p w14:paraId="26FDADDD" w14:textId="77777777" w:rsidR="0044140A" w:rsidRPr="0044140A" w:rsidRDefault="0044140A" w:rsidP="0044140A">
            <w:pPr>
              <w:pStyle w:val="CasesLegislationAppealFrom"/>
              <w:spacing w:after="60"/>
            </w:pPr>
            <w:bookmarkStart w:id="4" w:name="Cases_Cited"/>
            <w:r w:rsidRPr="0044140A">
              <w:rPr>
                <w:i/>
                <w:iCs/>
              </w:rPr>
              <w:t xml:space="preserve">Australian Trade Commission v </w:t>
            </w:r>
            <w:proofErr w:type="spellStart"/>
            <w:r w:rsidRPr="0044140A">
              <w:rPr>
                <w:i/>
                <w:iCs/>
              </w:rPr>
              <w:t>Disktravel</w:t>
            </w:r>
            <w:proofErr w:type="spellEnd"/>
            <w:r w:rsidRPr="0044140A">
              <w:rPr>
                <w:i/>
                <w:iCs/>
              </w:rPr>
              <w:t xml:space="preserve"> </w:t>
            </w:r>
            <w:r w:rsidRPr="0044140A">
              <w:t>[2000] FCA 62</w:t>
            </w:r>
          </w:p>
          <w:p w14:paraId="6D03B313" w14:textId="77777777" w:rsidR="0044140A" w:rsidRPr="0044140A" w:rsidRDefault="0044140A" w:rsidP="0044140A">
            <w:pPr>
              <w:pStyle w:val="CasesLegislationAppealFrom"/>
              <w:spacing w:after="60"/>
            </w:pPr>
            <w:r w:rsidRPr="0044140A">
              <w:rPr>
                <w:i/>
                <w:iCs/>
              </w:rPr>
              <w:t>BHP Billiton Iron Ore Pty Ltd v National Competition Council (No 2)</w:t>
            </w:r>
            <w:r w:rsidRPr="0044140A">
              <w:t xml:space="preserve"> [2007] FCA 557</w:t>
            </w:r>
          </w:p>
          <w:p w14:paraId="41F9DE28" w14:textId="77777777" w:rsidR="0044140A" w:rsidRPr="0044140A" w:rsidRDefault="0044140A" w:rsidP="0044140A">
            <w:pPr>
              <w:pStyle w:val="CasesLegislationAppealFrom"/>
              <w:spacing w:after="60"/>
            </w:pPr>
            <w:proofErr w:type="spellStart"/>
            <w:r w:rsidRPr="0044140A">
              <w:rPr>
                <w:i/>
                <w:iCs/>
              </w:rPr>
              <w:t>Doppstadt</w:t>
            </w:r>
            <w:proofErr w:type="spellEnd"/>
            <w:r w:rsidRPr="0044140A">
              <w:rPr>
                <w:i/>
                <w:iCs/>
              </w:rPr>
              <w:t xml:space="preserve"> Australia Pty Ltd v Lovick &amp; Son Developments Pty Ltd (No 2)</w:t>
            </w:r>
            <w:r w:rsidRPr="0044140A">
              <w:t xml:space="preserve"> [2014] NSWCA 219</w:t>
            </w:r>
          </w:p>
          <w:p w14:paraId="29CC80EB" w14:textId="77777777" w:rsidR="0044140A" w:rsidRPr="0044140A" w:rsidRDefault="0044140A" w:rsidP="0044140A">
            <w:pPr>
              <w:pStyle w:val="CasesLegislationAppealFrom"/>
              <w:spacing w:after="60"/>
            </w:pPr>
            <w:r w:rsidRPr="0044140A">
              <w:rPr>
                <w:i/>
                <w:iCs/>
              </w:rPr>
              <w:t>HP Mercantile Pty Ltd v Dierickx (No 2)</w:t>
            </w:r>
            <w:r w:rsidRPr="0044140A">
              <w:t xml:space="preserve"> [2012] NSWSC 1430</w:t>
            </w:r>
          </w:p>
          <w:p w14:paraId="257A8FCA" w14:textId="77777777" w:rsidR="0044140A" w:rsidRPr="0044140A" w:rsidRDefault="0044140A" w:rsidP="0044140A">
            <w:pPr>
              <w:pStyle w:val="CasesLegislationAppealFrom"/>
              <w:spacing w:after="60"/>
            </w:pPr>
            <w:r w:rsidRPr="0044140A">
              <w:rPr>
                <w:i/>
                <w:iCs/>
              </w:rPr>
              <w:t xml:space="preserve">Kazar, in the matter of Frontier Architects Pty Limited (in </w:t>
            </w:r>
            <w:proofErr w:type="spellStart"/>
            <w:r w:rsidRPr="0044140A">
              <w:rPr>
                <w:i/>
                <w:iCs/>
              </w:rPr>
              <w:t>liq</w:t>
            </w:r>
            <w:proofErr w:type="spellEnd"/>
            <w:r w:rsidRPr="0044140A">
              <w:rPr>
                <w:i/>
                <w:iCs/>
              </w:rPr>
              <w:t>) (No 2)</w:t>
            </w:r>
            <w:r w:rsidRPr="0044140A">
              <w:t xml:space="preserve"> [2010] FCA 1474</w:t>
            </w:r>
          </w:p>
          <w:p w14:paraId="69EAF8BE" w14:textId="77777777" w:rsidR="0044140A" w:rsidRPr="0044140A" w:rsidRDefault="0044140A" w:rsidP="0044140A">
            <w:pPr>
              <w:pStyle w:val="CasesLegislationAppealFrom"/>
              <w:spacing w:after="60"/>
            </w:pPr>
            <w:proofErr w:type="spellStart"/>
            <w:r w:rsidRPr="0044140A">
              <w:rPr>
                <w:i/>
                <w:iCs/>
              </w:rPr>
              <w:t>Newtimber</w:t>
            </w:r>
            <w:proofErr w:type="spellEnd"/>
            <w:r w:rsidRPr="0044140A">
              <w:rPr>
                <w:i/>
                <w:iCs/>
              </w:rPr>
              <w:t xml:space="preserve"> (Operations) Pty Ltd v </w:t>
            </w:r>
            <w:proofErr w:type="spellStart"/>
            <w:r w:rsidRPr="0044140A">
              <w:rPr>
                <w:i/>
                <w:iCs/>
              </w:rPr>
              <w:t>Tarong</w:t>
            </w:r>
            <w:proofErr w:type="spellEnd"/>
            <w:r w:rsidRPr="0044140A">
              <w:rPr>
                <w:i/>
                <w:iCs/>
              </w:rPr>
              <w:t xml:space="preserve"> Energy Corporation Limited (No 2) </w:t>
            </w:r>
            <w:r w:rsidRPr="0044140A">
              <w:t>[2011] FCA 363</w:t>
            </w:r>
          </w:p>
          <w:p w14:paraId="76559259" w14:textId="77777777" w:rsidR="0044140A" w:rsidRPr="0044140A" w:rsidRDefault="0044140A" w:rsidP="0044140A">
            <w:pPr>
              <w:pStyle w:val="CasesLegislationAppealFrom"/>
              <w:spacing w:after="60"/>
            </w:pPr>
            <w:r w:rsidRPr="0044140A">
              <w:rPr>
                <w:i/>
                <w:iCs/>
              </w:rPr>
              <w:t>O’Keeffe Nominees Pty Ltd v BP Australia Ltd (No 2)</w:t>
            </w:r>
            <w:r w:rsidRPr="0044140A">
              <w:t xml:space="preserve"> (1995) 55 FCR 591</w:t>
            </w:r>
          </w:p>
          <w:p w14:paraId="675A4AC9" w14:textId="4BDC4DCD" w:rsidR="0044140A" w:rsidRPr="0044140A" w:rsidRDefault="0044140A" w:rsidP="0044140A">
            <w:pPr>
              <w:pStyle w:val="CasesLegislationAppealFrom"/>
              <w:spacing w:after="60"/>
            </w:pPr>
            <w:proofErr w:type="spellStart"/>
            <w:r w:rsidRPr="0044140A">
              <w:rPr>
                <w:i/>
                <w:iCs/>
              </w:rPr>
              <w:t>Oshlack</w:t>
            </w:r>
            <w:proofErr w:type="spellEnd"/>
            <w:r w:rsidRPr="0044140A">
              <w:rPr>
                <w:i/>
                <w:iCs/>
              </w:rPr>
              <w:t xml:space="preserve"> v Richmond River Council </w:t>
            </w:r>
            <w:r w:rsidRPr="0044140A">
              <w:t>(1998) 193 CLR 72</w:t>
            </w:r>
            <w:bookmarkEnd w:id="4"/>
          </w:p>
        </w:tc>
      </w:tr>
      <w:tr w:rsidR="00112B54" w14:paraId="6535512D" w14:textId="77777777" w:rsidTr="0016439A">
        <w:tc>
          <w:tcPr>
            <w:tcW w:w="3083" w:type="dxa"/>
            <w:shd w:val="clear" w:color="auto" w:fill="auto"/>
          </w:tcPr>
          <w:p w14:paraId="6476FED6" w14:textId="77777777" w:rsidR="00112B54" w:rsidRDefault="00112B54" w:rsidP="00A46818">
            <w:pPr>
              <w:pStyle w:val="Normal1linespace"/>
              <w:widowControl w:val="0"/>
            </w:pPr>
          </w:p>
        </w:tc>
        <w:tc>
          <w:tcPr>
            <w:tcW w:w="5989" w:type="dxa"/>
            <w:shd w:val="clear" w:color="auto" w:fill="auto"/>
          </w:tcPr>
          <w:p w14:paraId="441B4510" w14:textId="77777777" w:rsidR="00112B54" w:rsidRDefault="00112B54" w:rsidP="00A46818">
            <w:pPr>
              <w:pStyle w:val="Normal1linespace"/>
              <w:widowControl w:val="0"/>
              <w:jc w:val="left"/>
            </w:pPr>
          </w:p>
        </w:tc>
      </w:tr>
      <w:tr w:rsidR="00112B54" w14:paraId="5BF57848" w14:textId="77777777" w:rsidTr="0016439A">
        <w:tc>
          <w:tcPr>
            <w:tcW w:w="3083" w:type="dxa"/>
            <w:shd w:val="clear" w:color="auto" w:fill="auto"/>
          </w:tcPr>
          <w:p w14:paraId="4978076F" w14:textId="77777777" w:rsidR="00112B54" w:rsidRDefault="00112B54" w:rsidP="00501A12">
            <w:pPr>
              <w:pStyle w:val="Normal1linespace"/>
              <w:widowControl w:val="0"/>
            </w:pPr>
            <w:r>
              <w:t>Division:</w:t>
            </w:r>
          </w:p>
        </w:tc>
        <w:tc>
          <w:tcPr>
            <w:tcW w:w="5989" w:type="dxa"/>
            <w:shd w:val="clear" w:color="auto" w:fill="auto"/>
          </w:tcPr>
          <w:p w14:paraId="1CC2103B" w14:textId="18368439" w:rsidR="00112B54" w:rsidRPr="00F17599" w:rsidRDefault="00112B54" w:rsidP="00501A12">
            <w:pPr>
              <w:pStyle w:val="Normal1linespace"/>
              <w:widowControl w:val="0"/>
              <w:jc w:val="left"/>
            </w:pPr>
            <w:r>
              <w:t>General Division</w:t>
            </w:r>
          </w:p>
        </w:tc>
      </w:tr>
      <w:tr w:rsidR="00112B54" w14:paraId="37E3D9B6" w14:textId="77777777" w:rsidTr="0016439A">
        <w:tc>
          <w:tcPr>
            <w:tcW w:w="3083" w:type="dxa"/>
            <w:shd w:val="clear" w:color="auto" w:fill="auto"/>
          </w:tcPr>
          <w:p w14:paraId="73143B9E" w14:textId="77777777" w:rsidR="00112B54" w:rsidRDefault="00112B54" w:rsidP="00501A12">
            <w:pPr>
              <w:pStyle w:val="Normal1linespace"/>
              <w:widowControl w:val="0"/>
            </w:pPr>
            <w:bookmarkStart w:id="5" w:name="Registry_rows" w:colFirst="0" w:colLast="1"/>
          </w:p>
        </w:tc>
        <w:tc>
          <w:tcPr>
            <w:tcW w:w="5989" w:type="dxa"/>
            <w:shd w:val="clear" w:color="auto" w:fill="auto"/>
          </w:tcPr>
          <w:p w14:paraId="6A4017F4" w14:textId="77777777" w:rsidR="00112B54" w:rsidRDefault="00112B54" w:rsidP="00501A12">
            <w:pPr>
              <w:pStyle w:val="Normal1linespace"/>
              <w:widowControl w:val="0"/>
              <w:jc w:val="left"/>
            </w:pPr>
          </w:p>
        </w:tc>
      </w:tr>
      <w:tr w:rsidR="00112B54" w14:paraId="62C5C5BF" w14:textId="77777777" w:rsidTr="0016439A">
        <w:tc>
          <w:tcPr>
            <w:tcW w:w="3083" w:type="dxa"/>
            <w:shd w:val="clear" w:color="auto" w:fill="auto"/>
          </w:tcPr>
          <w:p w14:paraId="3B23EE70" w14:textId="77777777" w:rsidR="00112B54" w:rsidRDefault="00112B54" w:rsidP="00501A12">
            <w:pPr>
              <w:pStyle w:val="Normal1linespace"/>
              <w:widowControl w:val="0"/>
            </w:pPr>
            <w:r>
              <w:t>Registry:</w:t>
            </w:r>
          </w:p>
        </w:tc>
        <w:tc>
          <w:tcPr>
            <w:tcW w:w="5989" w:type="dxa"/>
            <w:shd w:val="clear" w:color="auto" w:fill="auto"/>
          </w:tcPr>
          <w:p w14:paraId="6C7F17ED" w14:textId="5AECFC75" w:rsidR="00112B54" w:rsidRPr="00F17599" w:rsidRDefault="00112B54" w:rsidP="00501A12">
            <w:pPr>
              <w:pStyle w:val="Normal1linespace"/>
              <w:widowControl w:val="0"/>
              <w:jc w:val="left"/>
            </w:pPr>
            <w:r>
              <w:t>Queensland</w:t>
            </w:r>
          </w:p>
        </w:tc>
      </w:tr>
      <w:tr w:rsidR="00112B54" w14:paraId="0AC45C5F" w14:textId="77777777" w:rsidTr="0016439A">
        <w:tc>
          <w:tcPr>
            <w:tcW w:w="3083" w:type="dxa"/>
            <w:shd w:val="clear" w:color="auto" w:fill="auto"/>
          </w:tcPr>
          <w:p w14:paraId="77B3BD9B" w14:textId="77777777" w:rsidR="00112B54" w:rsidRDefault="00112B54" w:rsidP="00501A12">
            <w:pPr>
              <w:pStyle w:val="Normal1linespace"/>
              <w:widowControl w:val="0"/>
            </w:pPr>
            <w:bookmarkStart w:id="6" w:name="NPARow" w:colFirst="0" w:colLast="1"/>
            <w:bookmarkEnd w:id="5"/>
          </w:p>
        </w:tc>
        <w:tc>
          <w:tcPr>
            <w:tcW w:w="5989" w:type="dxa"/>
            <w:shd w:val="clear" w:color="auto" w:fill="auto"/>
          </w:tcPr>
          <w:p w14:paraId="457DEB9A" w14:textId="77777777" w:rsidR="00112B54" w:rsidRPr="00F17599" w:rsidRDefault="00112B54" w:rsidP="00501A12">
            <w:pPr>
              <w:pStyle w:val="Normal1linespace"/>
              <w:widowControl w:val="0"/>
              <w:jc w:val="left"/>
              <w:rPr>
                <w:b/>
              </w:rPr>
            </w:pPr>
          </w:p>
        </w:tc>
      </w:tr>
      <w:tr w:rsidR="00112B54" w14:paraId="4BABEDB3" w14:textId="77777777" w:rsidTr="0016439A">
        <w:tc>
          <w:tcPr>
            <w:tcW w:w="3083" w:type="dxa"/>
            <w:shd w:val="clear" w:color="auto" w:fill="auto"/>
          </w:tcPr>
          <w:p w14:paraId="2A1871CB" w14:textId="77777777" w:rsidR="00112B54" w:rsidRDefault="00112B54" w:rsidP="00501A12">
            <w:pPr>
              <w:pStyle w:val="Normal1linespace"/>
              <w:widowControl w:val="0"/>
            </w:pPr>
            <w:r>
              <w:t>National Practice Area:</w:t>
            </w:r>
          </w:p>
        </w:tc>
        <w:tc>
          <w:tcPr>
            <w:tcW w:w="5989" w:type="dxa"/>
            <w:shd w:val="clear" w:color="auto" w:fill="auto"/>
          </w:tcPr>
          <w:p w14:paraId="06D244F4" w14:textId="550440B1" w:rsidR="00112B54" w:rsidRPr="00F17599" w:rsidRDefault="00112B54" w:rsidP="00A46818">
            <w:pPr>
              <w:pStyle w:val="Normal1linespace"/>
              <w:widowControl w:val="0"/>
              <w:jc w:val="left"/>
              <w:rPr>
                <w:b/>
              </w:rPr>
            </w:pPr>
            <w:r>
              <w:t>Commercial and Corporations</w:t>
            </w:r>
          </w:p>
        </w:tc>
      </w:tr>
      <w:tr w:rsidR="00112B54" w14:paraId="48AAF800" w14:textId="77777777" w:rsidTr="0016439A">
        <w:tc>
          <w:tcPr>
            <w:tcW w:w="3083" w:type="dxa"/>
            <w:shd w:val="clear" w:color="auto" w:fill="auto"/>
          </w:tcPr>
          <w:p w14:paraId="1DCADA8D" w14:textId="77777777" w:rsidR="00112B54" w:rsidRDefault="00112B54" w:rsidP="00501A12">
            <w:pPr>
              <w:pStyle w:val="Normal1linespace"/>
              <w:widowControl w:val="0"/>
            </w:pPr>
            <w:bookmarkStart w:id="7" w:name="SubAreaRow" w:colFirst="0" w:colLast="1"/>
            <w:bookmarkEnd w:id="6"/>
          </w:p>
        </w:tc>
        <w:tc>
          <w:tcPr>
            <w:tcW w:w="5989" w:type="dxa"/>
            <w:shd w:val="clear" w:color="auto" w:fill="auto"/>
          </w:tcPr>
          <w:p w14:paraId="0A2F03A1" w14:textId="77777777" w:rsidR="00112B54" w:rsidRDefault="00112B54" w:rsidP="00A46818">
            <w:pPr>
              <w:pStyle w:val="Normal1linespace"/>
              <w:widowControl w:val="0"/>
              <w:jc w:val="left"/>
            </w:pPr>
          </w:p>
        </w:tc>
      </w:tr>
      <w:tr w:rsidR="00112B54" w14:paraId="44884DB5" w14:textId="77777777" w:rsidTr="0016439A">
        <w:tc>
          <w:tcPr>
            <w:tcW w:w="3083" w:type="dxa"/>
            <w:shd w:val="clear" w:color="auto" w:fill="auto"/>
          </w:tcPr>
          <w:p w14:paraId="61F900E6" w14:textId="77777777" w:rsidR="00112B54" w:rsidRDefault="00112B54" w:rsidP="00501A12">
            <w:pPr>
              <w:pStyle w:val="Normal1linespace"/>
              <w:widowControl w:val="0"/>
            </w:pPr>
            <w:r>
              <w:t>Sub-area:</w:t>
            </w:r>
          </w:p>
        </w:tc>
        <w:tc>
          <w:tcPr>
            <w:tcW w:w="5989" w:type="dxa"/>
            <w:shd w:val="clear" w:color="auto" w:fill="auto"/>
          </w:tcPr>
          <w:p w14:paraId="28A45CC9" w14:textId="7721B51F" w:rsidR="00112B54" w:rsidRPr="00837288" w:rsidRDefault="00112B54" w:rsidP="00A46818">
            <w:pPr>
              <w:pStyle w:val="Normal1linespace"/>
              <w:widowControl w:val="0"/>
              <w:jc w:val="left"/>
            </w:pPr>
            <w:r w:rsidRPr="00112B54">
              <w:rPr>
                <w:lang w:val="en-US"/>
              </w:rPr>
              <w:t>Corporations and Corporate</w:t>
            </w:r>
            <w:r>
              <w:t xml:space="preserve"> Insolvency</w:t>
            </w:r>
          </w:p>
        </w:tc>
      </w:tr>
      <w:bookmarkEnd w:id="7"/>
      <w:tr w:rsidR="00112B54" w14:paraId="70A0AC60" w14:textId="77777777" w:rsidTr="0016439A">
        <w:tc>
          <w:tcPr>
            <w:tcW w:w="3083" w:type="dxa"/>
            <w:shd w:val="clear" w:color="auto" w:fill="auto"/>
          </w:tcPr>
          <w:p w14:paraId="21034FC0" w14:textId="77777777" w:rsidR="00112B54" w:rsidRDefault="00112B54" w:rsidP="00A46818">
            <w:pPr>
              <w:pStyle w:val="Normal1linespace"/>
              <w:widowControl w:val="0"/>
            </w:pPr>
          </w:p>
        </w:tc>
        <w:tc>
          <w:tcPr>
            <w:tcW w:w="5989" w:type="dxa"/>
            <w:shd w:val="clear" w:color="auto" w:fill="auto"/>
          </w:tcPr>
          <w:p w14:paraId="171736DE" w14:textId="77777777" w:rsidR="00112B54" w:rsidRDefault="00112B54" w:rsidP="00A46818">
            <w:pPr>
              <w:pStyle w:val="Normal1linespace"/>
              <w:widowControl w:val="0"/>
              <w:jc w:val="left"/>
            </w:pPr>
          </w:p>
        </w:tc>
      </w:tr>
      <w:tr w:rsidR="00112B54" w14:paraId="79033BC4" w14:textId="77777777" w:rsidTr="0016439A">
        <w:tc>
          <w:tcPr>
            <w:tcW w:w="3083" w:type="dxa"/>
            <w:shd w:val="clear" w:color="auto" w:fill="auto"/>
          </w:tcPr>
          <w:p w14:paraId="467F52CD" w14:textId="77777777" w:rsidR="00112B54" w:rsidRDefault="00112B54" w:rsidP="00501A12">
            <w:pPr>
              <w:pStyle w:val="Normal1linespace"/>
              <w:widowControl w:val="0"/>
            </w:pPr>
            <w:r>
              <w:t>Number of paragraphs:</w:t>
            </w:r>
          </w:p>
        </w:tc>
        <w:tc>
          <w:tcPr>
            <w:tcW w:w="5989" w:type="dxa"/>
            <w:shd w:val="clear" w:color="auto" w:fill="auto"/>
          </w:tcPr>
          <w:p w14:paraId="1D985BB7" w14:textId="3C423F8C" w:rsidR="00112B54" w:rsidRDefault="0016439A" w:rsidP="00501A12">
            <w:pPr>
              <w:pStyle w:val="Normal1linespace"/>
              <w:widowControl w:val="0"/>
              <w:jc w:val="left"/>
            </w:pPr>
            <w:bookmarkStart w:id="8" w:name="PlaceCategoryParagraphs"/>
            <w:r>
              <w:t>31</w:t>
            </w:r>
            <w:bookmarkEnd w:id="8"/>
          </w:p>
        </w:tc>
      </w:tr>
      <w:tr w:rsidR="00112B54" w14:paraId="5CD3A803" w14:textId="77777777" w:rsidTr="0016439A">
        <w:tc>
          <w:tcPr>
            <w:tcW w:w="3083" w:type="dxa"/>
            <w:shd w:val="clear" w:color="auto" w:fill="auto"/>
          </w:tcPr>
          <w:p w14:paraId="49EC49CC" w14:textId="77777777" w:rsidR="00112B54" w:rsidRDefault="00112B54" w:rsidP="00112B54">
            <w:pPr>
              <w:pStyle w:val="Normal1linespace"/>
              <w:widowControl w:val="0"/>
              <w:jc w:val="left"/>
            </w:pPr>
          </w:p>
        </w:tc>
        <w:tc>
          <w:tcPr>
            <w:tcW w:w="5989" w:type="dxa"/>
            <w:shd w:val="clear" w:color="auto" w:fill="auto"/>
          </w:tcPr>
          <w:p w14:paraId="08D7E0B1" w14:textId="77777777" w:rsidR="00112B54" w:rsidRDefault="00112B54" w:rsidP="00112B54">
            <w:pPr>
              <w:pStyle w:val="Normal1linespace"/>
              <w:widowControl w:val="0"/>
              <w:jc w:val="left"/>
            </w:pPr>
          </w:p>
        </w:tc>
      </w:tr>
      <w:tr w:rsidR="00112B54" w14:paraId="7C1B3B02" w14:textId="77777777" w:rsidTr="0016439A">
        <w:tc>
          <w:tcPr>
            <w:tcW w:w="3083" w:type="dxa"/>
            <w:shd w:val="clear" w:color="auto" w:fill="auto"/>
          </w:tcPr>
          <w:p w14:paraId="3EE16065" w14:textId="13762769" w:rsidR="00112B54" w:rsidRDefault="00112B54" w:rsidP="00112B54">
            <w:pPr>
              <w:pStyle w:val="Normal1linespace"/>
              <w:widowControl w:val="0"/>
              <w:jc w:val="left"/>
            </w:pPr>
            <w:r>
              <w:t>Date of last submissions:</w:t>
            </w:r>
          </w:p>
        </w:tc>
        <w:tc>
          <w:tcPr>
            <w:tcW w:w="5989" w:type="dxa"/>
            <w:shd w:val="clear" w:color="auto" w:fill="auto"/>
          </w:tcPr>
          <w:p w14:paraId="673BCC58" w14:textId="6D4F3A22" w:rsidR="00112B54" w:rsidRDefault="00D255A4" w:rsidP="00112B54">
            <w:pPr>
              <w:pStyle w:val="Normal1linespace"/>
              <w:widowControl w:val="0"/>
              <w:jc w:val="left"/>
            </w:pPr>
            <w:r>
              <w:t>6 December 2024</w:t>
            </w:r>
          </w:p>
        </w:tc>
      </w:tr>
      <w:tr w:rsidR="00112B54" w14:paraId="7B3B39E5" w14:textId="77777777" w:rsidTr="0016439A">
        <w:tc>
          <w:tcPr>
            <w:tcW w:w="3083" w:type="dxa"/>
            <w:shd w:val="clear" w:color="auto" w:fill="auto"/>
          </w:tcPr>
          <w:p w14:paraId="3BB3C346" w14:textId="77777777" w:rsidR="00112B54" w:rsidRDefault="00112B54" w:rsidP="00112B54">
            <w:pPr>
              <w:pStyle w:val="Normal1linespace"/>
              <w:widowControl w:val="0"/>
              <w:jc w:val="left"/>
            </w:pPr>
          </w:p>
        </w:tc>
        <w:tc>
          <w:tcPr>
            <w:tcW w:w="5989" w:type="dxa"/>
            <w:shd w:val="clear" w:color="auto" w:fill="auto"/>
          </w:tcPr>
          <w:p w14:paraId="7A571E88" w14:textId="77777777" w:rsidR="00112B54" w:rsidRDefault="00112B54" w:rsidP="00112B54">
            <w:pPr>
              <w:pStyle w:val="Normal1linespace"/>
              <w:widowControl w:val="0"/>
              <w:jc w:val="left"/>
            </w:pPr>
          </w:p>
        </w:tc>
      </w:tr>
      <w:tr w:rsidR="00112B54" w14:paraId="08510C6A" w14:textId="77777777" w:rsidTr="0016439A">
        <w:tc>
          <w:tcPr>
            <w:tcW w:w="3083" w:type="dxa"/>
            <w:shd w:val="clear" w:color="auto" w:fill="auto"/>
          </w:tcPr>
          <w:p w14:paraId="2A28F503" w14:textId="77777777" w:rsidR="00112B54" w:rsidRDefault="00112B54" w:rsidP="00112B54">
            <w:pPr>
              <w:pStyle w:val="Normal1linespace"/>
              <w:widowControl w:val="0"/>
              <w:jc w:val="left"/>
            </w:pPr>
            <w:bookmarkStart w:id="9" w:name="CounselDate" w:colFirst="0" w:colLast="2"/>
            <w:r w:rsidRPr="006A24E3">
              <w:t>Date of hearing:</w:t>
            </w:r>
          </w:p>
        </w:tc>
        <w:tc>
          <w:tcPr>
            <w:tcW w:w="5989" w:type="dxa"/>
            <w:shd w:val="clear" w:color="auto" w:fill="auto"/>
          </w:tcPr>
          <w:p w14:paraId="004C4072" w14:textId="05C127A9" w:rsidR="00112B54" w:rsidRDefault="00D255A4" w:rsidP="00112B54">
            <w:pPr>
              <w:pStyle w:val="Normal1linespace"/>
              <w:widowControl w:val="0"/>
              <w:jc w:val="left"/>
            </w:pPr>
            <w:bookmarkStart w:id="10" w:name="HearingDate"/>
            <w:r>
              <w:t>Determined on the papers</w:t>
            </w:r>
            <w:r w:rsidR="00112B54">
              <w:t xml:space="preserve"> </w:t>
            </w:r>
            <w:bookmarkEnd w:id="10"/>
          </w:p>
        </w:tc>
      </w:tr>
      <w:tr w:rsidR="00112B54" w14:paraId="6FCACCC7" w14:textId="77777777" w:rsidTr="0016439A">
        <w:tc>
          <w:tcPr>
            <w:tcW w:w="3083" w:type="dxa"/>
            <w:shd w:val="clear" w:color="auto" w:fill="auto"/>
          </w:tcPr>
          <w:p w14:paraId="2855FE6D" w14:textId="77777777" w:rsidR="00112B54" w:rsidRDefault="00112B54" w:rsidP="00112B54">
            <w:pPr>
              <w:pStyle w:val="Normal1linespace"/>
              <w:widowControl w:val="0"/>
              <w:jc w:val="left"/>
            </w:pPr>
          </w:p>
        </w:tc>
        <w:tc>
          <w:tcPr>
            <w:tcW w:w="5989" w:type="dxa"/>
            <w:shd w:val="clear" w:color="auto" w:fill="auto"/>
          </w:tcPr>
          <w:p w14:paraId="060E5B22" w14:textId="77777777" w:rsidR="00112B54" w:rsidRDefault="00112B54" w:rsidP="00112B54">
            <w:pPr>
              <w:pStyle w:val="Normal1linespace"/>
              <w:widowControl w:val="0"/>
              <w:jc w:val="left"/>
            </w:pPr>
          </w:p>
        </w:tc>
      </w:tr>
      <w:tr w:rsidR="0016439A" w14:paraId="2C65703F" w14:textId="77777777" w:rsidTr="0016439A">
        <w:tc>
          <w:tcPr>
            <w:tcW w:w="3083" w:type="dxa"/>
            <w:shd w:val="clear" w:color="auto" w:fill="auto"/>
          </w:tcPr>
          <w:p w14:paraId="39CC15E4" w14:textId="7BF8C7A8" w:rsidR="0016439A" w:rsidRDefault="0016439A" w:rsidP="0016439A">
            <w:pPr>
              <w:pStyle w:val="Normal1linespace"/>
              <w:widowControl w:val="0"/>
              <w:jc w:val="left"/>
            </w:pPr>
            <w:bookmarkStart w:id="11" w:name="Counsel" w:colFirst="0" w:colLast="2"/>
            <w:bookmarkEnd w:id="9"/>
            <w:r>
              <w:t xml:space="preserve">Counsel for the Plaintiffs and </w:t>
            </w:r>
            <w:r>
              <w:lastRenderedPageBreak/>
              <w:t>the Second Cross-Defendant:</w:t>
            </w:r>
          </w:p>
        </w:tc>
        <w:tc>
          <w:tcPr>
            <w:tcW w:w="5989" w:type="dxa"/>
            <w:shd w:val="clear" w:color="auto" w:fill="auto"/>
          </w:tcPr>
          <w:p w14:paraId="65709DDF" w14:textId="20909590" w:rsidR="0016439A" w:rsidRDefault="0016439A" w:rsidP="0016439A">
            <w:pPr>
              <w:pStyle w:val="Normal1linespace"/>
              <w:widowControl w:val="0"/>
              <w:jc w:val="left"/>
            </w:pPr>
            <w:bookmarkStart w:id="12" w:name="AppCounsel"/>
            <w:bookmarkEnd w:id="12"/>
            <w:r>
              <w:lastRenderedPageBreak/>
              <w:t>Mr A Kirby</w:t>
            </w:r>
          </w:p>
        </w:tc>
      </w:tr>
      <w:tr w:rsidR="0016439A" w14:paraId="2C3F0D2D" w14:textId="77777777" w:rsidTr="0016439A">
        <w:tc>
          <w:tcPr>
            <w:tcW w:w="3083" w:type="dxa"/>
            <w:shd w:val="clear" w:color="auto" w:fill="auto"/>
          </w:tcPr>
          <w:p w14:paraId="002922DE" w14:textId="77777777" w:rsidR="0016439A" w:rsidRDefault="0016439A" w:rsidP="0016439A">
            <w:pPr>
              <w:pStyle w:val="Normal1linespace"/>
              <w:widowControl w:val="0"/>
              <w:jc w:val="left"/>
            </w:pPr>
          </w:p>
        </w:tc>
        <w:tc>
          <w:tcPr>
            <w:tcW w:w="5989" w:type="dxa"/>
            <w:shd w:val="clear" w:color="auto" w:fill="auto"/>
          </w:tcPr>
          <w:p w14:paraId="452B6142" w14:textId="77777777" w:rsidR="0016439A" w:rsidRDefault="0016439A" w:rsidP="0016439A">
            <w:pPr>
              <w:pStyle w:val="Normal1linespace"/>
              <w:widowControl w:val="0"/>
              <w:jc w:val="left"/>
            </w:pPr>
          </w:p>
        </w:tc>
      </w:tr>
      <w:tr w:rsidR="0016439A" w14:paraId="6169336B" w14:textId="77777777" w:rsidTr="0016439A">
        <w:tc>
          <w:tcPr>
            <w:tcW w:w="3083" w:type="dxa"/>
            <w:shd w:val="clear" w:color="auto" w:fill="auto"/>
          </w:tcPr>
          <w:p w14:paraId="4A76965E" w14:textId="4000C4B5" w:rsidR="0016439A" w:rsidRDefault="0016439A" w:rsidP="0016439A">
            <w:pPr>
              <w:pStyle w:val="Normal1linespace"/>
              <w:widowControl w:val="0"/>
              <w:jc w:val="left"/>
            </w:pPr>
            <w:r>
              <w:t>Solicitor for the Plaintiffs and the Second Cross-Defendant:</w:t>
            </w:r>
          </w:p>
        </w:tc>
        <w:tc>
          <w:tcPr>
            <w:tcW w:w="5989" w:type="dxa"/>
            <w:shd w:val="clear" w:color="auto" w:fill="auto"/>
          </w:tcPr>
          <w:p w14:paraId="42736EA9" w14:textId="7191DB5D" w:rsidR="0016439A" w:rsidRDefault="0016439A" w:rsidP="0016439A">
            <w:pPr>
              <w:pStyle w:val="Normal1linespace"/>
              <w:widowControl w:val="0"/>
              <w:jc w:val="left"/>
            </w:pPr>
            <w:r>
              <w:t>Nicholas O’Donohue and Co</w:t>
            </w:r>
          </w:p>
        </w:tc>
      </w:tr>
      <w:tr w:rsidR="0016439A" w14:paraId="58A97CB8" w14:textId="77777777" w:rsidTr="0016439A">
        <w:tc>
          <w:tcPr>
            <w:tcW w:w="3083" w:type="dxa"/>
            <w:shd w:val="clear" w:color="auto" w:fill="auto"/>
          </w:tcPr>
          <w:p w14:paraId="06A21759" w14:textId="77777777" w:rsidR="0016439A" w:rsidRDefault="0016439A" w:rsidP="0016439A">
            <w:pPr>
              <w:pStyle w:val="Normal1linespace"/>
              <w:widowControl w:val="0"/>
              <w:jc w:val="left"/>
            </w:pPr>
          </w:p>
        </w:tc>
        <w:tc>
          <w:tcPr>
            <w:tcW w:w="5989" w:type="dxa"/>
            <w:shd w:val="clear" w:color="auto" w:fill="auto"/>
          </w:tcPr>
          <w:p w14:paraId="13665A79" w14:textId="77777777" w:rsidR="0016439A" w:rsidRDefault="0016439A" w:rsidP="0016439A">
            <w:pPr>
              <w:pStyle w:val="Normal1linespace"/>
              <w:widowControl w:val="0"/>
              <w:jc w:val="left"/>
            </w:pPr>
          </w:p>
        </w:tc>
      </w:tr>
      <w:tr w:rsidR="0016439A" w14:paraId="19A34EEE" w14:textId="77777777" w:rsidTr="0016439A">
        <w:tc>
          <w:tcPr>
            <w:tcW w:w="3083" w:type="dxa"/>
            <w:shd w:val="clear" w:color="auto" w:fill="auto"/>
          </w:tcPr>
          <w:p w14:paraId="0027CBED" w14:textId="23624E72" w:rsidR="0016439A" w:rsidRDefault="0016439A" w:rsidP="0016439A">
            <w:pPr>
              <w:pStyle w:val="Normal1linespace"/>
              <w:widowControl w:val="0"/>
              <w:jc w:val="left"/>
            </w:pPr>
            <w:r>
              <w:t>Counsel for the Defendants and the Cross-Claimant:</w:t>
            </w:r>
          </w:p>
        </w:tc>
        <w:tc>
          <w:tcPr>
            <w:tcW w:w="5989" w:type="dxa"/>
            <w:shd w:val="clear" w:color="auto" w:fill="auto"/>
          </w:tcPr>
          <w:p w14:paraId="11C6FB4C" w14:textId="10CAD073" w:rsidR="0016439A" w:rsidRDefault="0016439A" w:rsidP="0016439A">
            <w:pPr>
              <w:pStyle w:val="Normal1linespace"/>
              <w:widowControl w:val="0"/>
              <w:jc w:val="left"/>
            </w:pPr>
            <w:r>
              <w:t>Mr E Olivier</w:t>
            </w:r>
          </w:p>
        </w:tc>
      </w:tr>
      <w:tr w:rsidR="0016439A" w14:paraId="73A28FAB" w14:textId="77777777" w:rsidTr="0016439A">
        <w:tc>
          <w:tcPr>
            <w:tcW w:w="3083" w:type="dxa"/>
            <w:shd w:val="clear" w:color="auto" w:fill="auto"/>
          </w:tcPr>
          <w:p w14:paraId="6B9DC1CF" w14:textId="77777777" w:rsidR="0016439A" w:rsidRDefault="0016439A" w:rsidP="0016439A">
            <w:pPr>
              <w:pStyle w:val="Normal1linespace"/>
              <w:widowControl w:val="0"/>
              <w:jc w:val="left"/>
            </w:pPr>
          </w:p>
        </w:tc>
        <w:tc>
          <w:tcPr>
            <w:tcW w:w="5989" w:type="dxa"/>
            <w:shd w:val="clear" w:color="auto" w:fill="auto"/>
          </w:tcPr>
          <w:p w14:paraId="1E2103FC" w14:textId="77777777" w:rsidR="0016439A" w:rsidRDefault="0016439A" w:rsidP="0016439A">
            <w:pPr>
              <w:pStyle w:val="Normal1linespace"/>
              <w:widowControl w:val="0"/>
              <w:jc w:val="left"/>
            </w:pPr>
          </w:p>
        </w:tc>
      </w:tr>
      <w:tr w:rsidR="0016439A" w14:paraId="12039881" w14:textId="77777777" w:rsidTr="0016439A">
        <w:tc>
          <w:tcPr>
            <w:tcW w:w="3083" w:type="dxa"/>
            <w:shd w:val="clear" w:color="auto" w:fill="auto"/>
          </w:tcPr>
          <w:p w14:paraId="36CF962E" w14:textId="7165A2AD" w:rsidR="0016439A" w:rsidRDefault="0016439A" w:rsidP="0016439A">
            <w:pPr>
              <w:pStyle w:val="Normal1linespace"/>
              <w:widowControl w:val="0"/>
              <w:jc w:val="left"/>
            </w:pPr>
            <w:r>
              <w:t>Solicitor for the Defendants and the Cross-Claimant:</w:t>
            </w:r>
          </w:p>
        </w:tc>
        <w:tc>
          <w:tcPr>
            <w:tcW w:w="5989" w:type="dxa"/>
            <w:shd w:val="clear" w:color="auto" w:fill="auto"/>
          </w:tcPr>
          <w:p w14:paraId="54C12DB7" w14:textId="6C728A34" w:rsidR="0016439A" w:rsidRDefault="0016439A" w:rsidP="0016439A">
            <w:pPr>
              <w:pStyle w:val="Normal1linespace"/>
              <w:widowControl w:val="0"/>
              <w:jc w:val="left"/>
            </w:pPr>
            <w:r>
              <w:t>S&amp;A Law</w:t>
            </w:r>
          </w:p>
        </w:tc>
      </w:tr>
      <w:tr w:rsidR="0016439A" w14:paraId="0AF397C6" w14:textId="77777777" w:rsidTr="0016439A">
        <w:tc>
          <w:tcPr>
            <w:tcW w:w="3083" w:type="dxa"/>
            <w:shd w:val="clear" w:color="auto" w:fill="auto"/>
          </w:tcPr>
          <w:p w14:paraId="11CD7A70" w14:textId="77777777" w:rsidR="0016439A" w:rsidRDefault="0016439A" w:rsidP="0016439A">
            <w:pPr>
              <w:pStyle w:val="Normal1linespace"/>
              <w:widowControl w:val="0"/>
              <w:jc w:val="left"/>
            </w:pPr>
          </w:p>
        </w:tc>
        <w:tc>
          <w:tcPr>
            <w:tcW w:w="5989" w:type="dxa"/>
            <w:shd w:val="clear" w:color="auto" w:fill="auto"/>
          </w:tcPr>
          <w:p w14:paraId="12DEDDE7" w14:textId="77777777" w:rsidR="0016439A" w:rsidRDefault="0016439A" w:rsidP="0016439A">
            <w:pPr>
              <w:pStyle w:val="Normal1linespace"/>
              <w:widowControl w:val="0"/>
              <w:jc w:val="left"/>
            </w:pPr>
          </w:p>
        </w:tc>
      </w:tr>
      <w:tr w:rsidR="0016439A" w14:paraId="15EEEAC9" w14:textId="77777777" w:rsidTr="0016439A">
        <w:tc>
          <w:tcPr>
            <w:tcW w:w="3083" w:type="dxa"/>
            <w:shd w:val="clear" w:color="auto" w:fill="auto"/>
          </w:tcPr>
          <w:p w14:paraId="675E3079" w14:textId="035ABCAC" w:rsidR="0016439A" w:rsidRDefault="00226DFA" w:rsidP="0016439A">
            <w:pPr>
              <w:pStyle w:val="Normal1linespace"/>
              <w:widowControl w:val="0"/>
              <w:jc w:val="left"/>
            </w:pPr>
            <w:r>
              <w:t>Counsel for the First Cross-Defendant:</w:t>
            </w:r>
          </w:p>
        </w:tc>
        <w:tc>
          <w:tcPr>
            <w:tcW w:w="5989" w:type="dxa"/>
            <w:shd w:val="clear" w:color="auto" w:fill="auto"/>
          </w:tcPr>
          <w:p w14:paraId="23768C3E" w14:textId="23E86858" w:rsidR="0016439A" w:rsidRDefault="00226DFA" w:rsidP="0016439A">
            <w:pPr>
              <w:pStyle w:val="Normal1linespace"/>
              <w:widowControl w:val="0"/>
              <w:jc w:val="left"/>
            </w:pPr>
            <w:r>
              <w:t>The First Cross-Defendant did not appear</w:t>
            </w:r>
          </w:p>
        </w:tc>
      </w:tr>
      <w:bookmarkEnd w:id="11"/>
    </w:tbl>
    <w:p w14:paraId="4A98006C" w14:textId="77777777" w:rsidR="007470BD" w:rsidRDefault="007470BD">
      <w:pPr>
        <w:pStyle w:val="Normal1linespace"/>
      </w:pPr>
    </w:p>
    <w:p w14:paraId="4455015B" w14:textId="77777777" w:rsidR="0077139F" w:rsidRDefault="0077139F">
      <w:pPr>
        <w:pStyle w:val="Normal1linespace"/>
      </w:pPr>
    </w:p>
    <w:p w14:paraId="0C21DCE6" w14:textId="77777777" w:rsidR="00395B24" w:rsidRDefault="00395B24">
      <w:pPr>
        <w:pStyle w:val="Normal1linespace"/>
        <w:sectPr w:rsidR="00395B24" w:rsidSect="00E774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type w:val="continuous"/>
          <w:pgSz w:w="11907" w:h="16840" w:code="9"/>
          <w:pgMar w:top="1440" w:right="1440" w:bottom="1440" w:left="1440" w:header="851" w:footer="768" w:gutter="0"/>
          <w:pgNumType w:start="1"/>
          <w:cols w:space="720"/>
          <w:noEndnote/>
          <w:titlePg/>
        </w:sectPr>
      </w:pPr>
    </w:p>
    <w:p w14:paraId="0A24190F" w14:textId="77777777" w:rsidR="008C7167" w:rsidRPr="00045BB7" w:rsidRDefault="0011419D" w:rsidP="00045BB7">
      <w:pPr>
        <w:pStyle w:val="NormalHeadings"/>
        <w:spacing w:line="480" w:lineRule="auto"/>
        <w:jc w:val="center"/>
        <w:rPr>
          <w:sz w:val="28"/>
          <w:szCs w:val="28"/>
        </w:rPr>
      </w:pPr>
      <w:r w:rsidRPr="00045BB7">
        <w:rPr>
          <w:sz w:val="28"/>
          <w:szCs w:val="28"/>
        </w:rPr>
        <w:lastRenderedPageBreak/>
        <w:t>ORDERS</w:t>
      </w:r>
    </w:p>
    <w:tbl>
      <w:tblPr>
        <w:tblW w:w="0" w:type="auto"/>
        <w:tblLayout w:type="fixed"/>
        <w:tblLook w:val="0000" w:firstRow="0" w:lastRow="0" w:firstColumn="0" w:lastColumn="0" w:noHBand="0" w:noVBand="0"/>
        <w:tblCaption w:val="Parties"/>
        <w:tblDescription w:val="Parties"/>
      </w:tblPr>
      <w:tblGrid>
        <w:gridCol w:w="2376"/>
        <w:gridCol w:w="4536"/>
        <w:gridCol w:w="2330"/>
      </w:tblGrid>
      <w:tr w:rsidR="00A46CCC" w14:paraId="45060B31" w14:textId="77777777" w:rsidTr="00E81DA6">
        <w:tc>
          <w:tcPr>
            <w:tcW w:w="6912" w:type="dxa"/>
            <w:gridSpan w:val="2"/>
          </w:tcPr>
          <w:p w14:paraId="25E1FC17" w14:textId="77777777" w:rsidR="00A46CCC" w:rsidRPr="001765E0" w:rsidRDefault="00A46CCC" w:rsidP="00525A49">
            <w:pPr>
              <w:pStyle w:val="NormalHeadings"/>
            </w:pPr>
          </w:p>
        </w:tc>
        <w:tc>
          <w:tcPr>
            <w:tcW w:w="2330" w:type="dxa"/>
          </w:tcPr>
          <w:p w14:paraId="6F84643A" w14:textId="2FE7AFF2" w:rsidR="00A46CCC" w:rsidRDefault="00112B54" w:rsidP="00F92355">
            <w:pPr>
              <w:pStyle w:val="NormalHeadings"/>
              <w:jc w:val="right"/>
            </w:pPr>
            <w:bookmarkStart w:id="13" w:name="FileNo"/>
            <w:r>
              <w:t>QUD 365 of 2023</w:t>
            </w:r>
            <w:bookmarkEnd w:id="13"/>
          </w:p>
        </w:tc>
      </w:tr>
      <w:tr w:rsidR="00A76C13" w14:paraId="4E6DCBF0" w14:textId="77777777" w:rsidTr="00A46818">
        <w:tc>
          <w:tcPr>
            <w:tcW w:w="9242" w:type="dxa"/>
            <w:gridSpan w:val="3"/>
          </w:tcPr>
          <w:p w14:paraId="13E8360A" w14:textId="03788B96" w:rsidR="00A76C13" w:rsidRPr="00A76C13" w:rsidRDefault="00112B54" w:rsidP="00112B54">
            <w:pPr>
              <w:pStyle w:val="NormalHeadings"/>
              <w:jc w:val="left"/>
            </w:pPr>
            <w:bookmarkStart w:id="14" w:name="InTheMatterOf"/>
            <w:r>
              <w:t xml:space="preserve"> </w:t>
            </w:r>
            <w:bookmarkEnd w:id="14"/>
          </w:p>
        </w:tc>
      </w:tr>
      <w:tr w:rsidR="00A46CCC" w14:paraId="70329327" w14:textId="77777777" w:rsidTr="00A46818">
        <w:trPr>
          <w:trHeight w:val="386"/>
        </w:trPr>
        <w:tc>
          <w:tcPr>
            <w:tcW w:w="2376" w:type="dxa"/>
          </w:tcPr>
          <w:p w14:paraId="653599C4" w14:textId="77777777" w:rsidR="00A46CCC" w:rsidRDefault="00A46CCC" w:rsidP="00A46818">
            <w:pPr>
              <w:pStyle w:val="NormalHeadings"/>
              <w:jc w:val="left"/>
              <w:rPr>
                <w:caps/>
                <w:szCs w:val="24"/>
              </w:rPr>
            </w:pPr>
            <w:bookmarkStart w:id="15" w:name="Parties"/>
            <w:r>
              <w:rPr>
                <w:caps/>
                <w:szCs w:val="24"/>
              </w:rPr>
              <w:t>BETWEEN:</w:t>
            </w:r>
          </w:p>
        </w:tc>
        <w:tc>
          <w:tcPr>
            <w:tcW w:w="6866" w:type="dxa"/>
            <w:gridSpan w:val="2"/>
          </w:tcPr>
          <w:p w14:paraId="1E868546" w14:textId="77777777" w:rsidR="00112B54" w:rsidRDefault="00112B54" w:rsidP="00112B54">
            <w:pPr>
              <w:pStyle w:val="NormalHeadings"/>
              <w:jc w:val="left"/>
            </w:pPr>
            <w:bookmarkStart w:id="16" w:name="Applicant"/>
            <w:r>
              <w:t>HEATH FITZPATRICK</w:t>
            </w:r>
          </w:p>
          <w:p w14:paraId="6A262970" w14:textId="77777777" w:rsidR="00112B54" w:rsidRDefault="00112B54" w:rsidP="00112B54">
            <w:pPr>
              <w:pStyle w:val="PartyType"/>
            </w:pPr>
            <w:r>
              <w:t>First Plaintiff</w:t>
            </w:r>
          </w:p>
          <w:p w14:paraId="79149637" w14:textId="77777777" w:rsidR="00112B54" w:rsidRDefault="00112B54" w:rsidP="00A46818">
            <w:pPr>
              <w:pStyle w:val="NormalHeadings"/>
              <w:jc w:val="left"/>
            </w:pPr>
          </w:p>
          <w:p w14:paraId="47DB7DC1" w14:textId="77777777" w:rsidR="00112B54" w:rsidRDefault="00112B54" w:rsidP="00112B54">
            <w:pPr>
              <w:pStyle w:val="NormalHeadings"/>
              <w:jc w:val="left"/>
            </w:pPr>
            <w:r>
              <w:t>TOR CAPITAL PTY LTD (ACN 632 062 885)</w:t>
            </w:r>
          </w:p>
          <w:p w14:paraId="656841C0" w14:textId="77777777" w:rsidR="00112B54" w:rsidRDefault="00112B54" w:rsidP="00112B54">
            <w:pPr>
              <w:pStyle w:val="PartyType"/>
            </w:pPr>
            <w:r>
              <w:t>Second Plaintiff</w:t>
            </w:r>
          </w:p>
          <w:bookmarkEnd w:id="16"/>
          <w:p w14:paraId="5458DD67" w14:textId="4A74297B" w:rsidR="00A46CCC" w:rsidRPr="006555B4" w:rsidRDefault="00A46CCC" w:rsidP="00A46818">
            <w:pPr>
              <w:pStyle w:val="NormalHeadings"/>
              <w:jc w:val="left"/>
            </w:pPr>
          </w:p>
        </w:tc>
      </w:tr>
      <w:tr w:rsidR="00A46CCC" w14:paraId="556D2910" w14:textId="77777777" w:rsidTr="00A46818">
        <w:trPr>
          <w:trHeight w:val="386"/>
        </w:trPr>
        <w:tc>
          <w:tcPr>
            <w:tcW w:w="2376" w:type="dxa"/>
          </w:tcPr>
          <w:p w14:paraId="5F443E18" w14:textId="77777777" w:rsidR="00A46CCC" w:rsidRDefault="00A46CCC" w:rsidP="00A46818">
            <w:pPr>
              <w:pStyle w:val="NormalHeadings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AND:</w:t>
            </w:r>
          </w:p>
        </w:tc>
        <w:tc>
          <w:tcPr>
            <w:tcW w:w="6866" w:type="dxa"/>
            <w:gridSpan w:val="2"/>
          </w:tcPr>
          <w:p w14:paraId="4179E790" w14:textId="77777777" w:rsidR="00112B54" w:rsidRDefault="00112B54" w:rsidP="00112B54">
            <w:pPr>
              <w:pStyle w:val="NormalHeadings"/>
              <w:jc w:val="left"/>
            </w:pPr>
            <w:bookmarkStart w:id="17" w:name="Respondent"/>
            <w:r>
              <w:t>SIMON ISAACS</w:t>
            </w:r>
          </w:p>
          <w:p w14:paraId="56186898" w14:textId="77777777" w:rsidR="00112B54" w:rsidRDefault="00112B54" w:rsidP="00112B54">
            <w:pPr>
              <w:pStyle w:val="PartyType"/>
            </w:pPr>
            <w:r>
              <w:t>First Defendant</w:t>
            </w:r>
          </w:p>
          <w:p w14:paraId="79CF13FA" w14:textId="77777777" w:rsidR="00112B54" w:rsidRDefault="00112B54" w:rsidP="00A46818">
            <w:pPr>
              <w:pStyle w:val="NormalHeadings"/>
              <w:jc w:val="left"/>
            </w:pPr>
          </w:p>
          <w:p w14:paraId="2987C20A" w14:textId="77777777" w:rsidR="00112B54" w:rsidRDefault="00112B54" w:rsidP="00112B54">
            <w:pPr>
              <w:pStyle w:val="NormalHeadings"/>
              <w:jc w:val="left"/>
            </w:pPr>
            <w:r>
              <w:t>OSCARSUN PTY LTD (ACN 164 998 556) AS TRUSTEE FOR THE ISAACS FAMILY TRUST</w:t>
            </w:r>
          </w:p>
          <w:p w14:paraId="21CA583F" w14:textId="77777777" w:rsidR="00112B54" w:rsidRDefault="00112B54" w:rsidP="00112B54">
            <w:pPr>
              <w:pStyle w:val="PartyType"/>
            </w:pPr>
            <w:r>
              <w:t>Second Defendant</w:t>
            </w:r>
          </w:p>
          <w:p w14:paraId="51B62687" w14:textId="77777777" w:rsidR="00112B54" w:rsidRDefault="00112B54" w:rsidP="00A46818">
            <w:pPr>
              <w:pStyle w:val="NormalHeadings"/>
              <w:jc w:val="left"/>
            </w:pPr>
          </w:p>
          <w:p w14:paraId="5EFFBE73" w14:textId="77777777" w:rsidR="00112B54" w:rsidRDefault="00112B54" w:rsidP="00112B54">
            <w:pPr>
              <w:pStyle w:val="NormalHeadings"/>
              <w:jc w:val="left"/>
            </w:pPr>
            <w:r>
              <w:t>EBROKER.COM.AU PTY LTD (ACN 606 329 800)</w:t>
            </w:r>
          </w:p>
          <w:p w14:paraId="14452DF2" w14:textId="77777777" w:rsidR="00112B54" w:rsidRDefault="00112B54" w:rsidP="00112B54">
            <w:pPr>
              <w:pStyle w:val="PartyType"/>
            </w:pPr>
            <w:r>
              <w:t>Third Defendant</w:t>
            </w:r>
          </w:p>
          <w:bookmarkEnd w:id="17"/>
          <w:p w14:paraId="580F1388" w14:textId="143A1BB2" w:rsidR="00A46CCC" w:rsidRPr="006555B4" w:rsidRDefault="00A46CCC" w:rsidP="00A46818">
            <w:pPr>
              <w:pStyle w:val="NormalHeadings"/>
              <w:jc w:val="left"/>
            </w:pPr>
          </w:p>
        </w:tc>
      </w:tr>
      <w:tr w:rsidR="00112B54" w14:paraId="68107847" w14:textId="77777777" w:rsidTr="00112B54">
        <w:trPr>
          <w:trHeight w:val="300"/>
        </w:trPr>
        <w:tc>
          <w:tcPr>
            <w:tcW w:w="2376" w:type="dxa"/>
          </w:tcPr>
          <w:p w14:paraId="71D8F108" w14:textId="77777777" w:rsidR="00112B54" w:rsidRDefault="00112B54">
            <w:pPr>
              <w:pStyle w:val="NormalHeadings"/>
              <w:jc w:val="left"/>
              <w:rPr>
                <w:caps/>
                <w:szCs w:val="24"/>
              </w:rPr>
            </w:pPr>
            <w:bookmarkStart w:id="18" w:name="CrossClaimPosition"/>
            <w:bookmarkEnd w:id="15"/>
            <w:bookmarkEnd w:id="18"/>
          </w:p>
        </w:tc>
        <w:tc>
          <w:tcPr>
            <w:tcW w:w="6866" w:type="dxa"/>
            <w:gridSpan w:val="2"/>
          </w:tcPr>
          <w:p w14:paraId="2AA3C6DB" w14:textId="77777777" w:rsidR="00112B54" w:rsidRDefault="00112B54">
            <w:pPr>
              <w:pStyle w:val="NormalHeadings"/>
              <w:jc w:val="left"/>
              <w:rPr>
                <w:szCs w:val="24"/>
              </w:rPr>
            </w:pPr>
          </w:p>
        </w:tc>
      </w:tr>
      <w:tr w:rsidR="00112B54" w14:paraId="5BA770F8" w14:textId="77777777">
        <w:trPr>
          <w:trHeight w:val="386"/>
        </w:trPr>
        <w:tc>
          <w:tcPr>
            <w:tcW w:w="2376" w:type="dxa"/>
          </w:tcPr>
          <w:p w14:paraId="5AE328E3" w14:textId="77777777" w:rsidR="00112B54" w:rsidRDefault="00112B54">
            <w:pPr>
              <w:pStyle w:val="NormalHeadings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AND BETWEEN:</w:t>
            </w:r>
          </w:p>
        </w:tc>
        <w:tc>
          <w:tcPr>
            <w:tcW w:w="6866" w:type="dxa"/>
            <w:gridSpan w:val="2"/>
          </w:tcPr>
          <w:p w14:paraId="4F6985E3" w14:textId="77777777" w:rsidR="00112B54" w:rsidRDefault="00112B54" w:rsidP="00112B54">
            <w:pPr>
              <w:pStyle w:val="NormalHeadings"/>
              <w:jc w:val="left"/>
            </w:pPr>
            <w:bookmarkStart w:id="19" w:name="Cross_Applicant"/>
            <w:r>
              <w:t>EBROKER.COM.AU PTY LTD (ACN 606 329 800)</w:t>
            </w:r>
          </w:p>
          <w:p w14:paraId="6F39D12F" w14:textId="77777777" w:rsidR="00112B54" w:rsidRDefault="00112B54" w:rsidP="00112B54">
            <w:pPr>
              <w:pStyle w:val="PartyType"/>
            </w:pPr>
            <w:r>
              <w:t>Cross-Claimant</w:t>
            </w:r>
          </w:p>
          <w:bookmarkEnd w:id="19"/>
          <w:p w14:paraId="57A47849" w14:textId="1E424410" w:rsidR="00112B54" w:rsidRDefault="00112B54">
            <w:pPr>
              <w:pStyle w:val="NormalHeadings"/>
              <w:jc w:val="left"/>
              <w:rPr>
                <w:szCs w:val="24"/>
              </w:rPr>
            </w:pPr>
          </w:p>
        </w:tc>
      </w:tr>
      <w:tr w:rsidR="00112B54" w14:paraId="4A3F1EF0" w14:textId="77777777">
        <w:trPr>
          <w:trHeight w:val="386"/>
        </w:trPr>
        <w:tc>
          <w:tcPr>
            <w:tcW w:w="2376" w:type="dxa"/>
          </w:tcPr>
          <w:p w14:paraId="41A5BBE0" w14:textId="77777777" w:rsidR="00112B54" w:rsidRDefault="00112B54">
            <w:pPr>
              <w:pStyle w:val="NormalHeadings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AND:</w:t>
            </w:r>
          </w:p>
        </w:tc>
        <w:tc>
          <w:tcPr>
            <w:tcW w:w="6866" w:type="dxa"/>
            <w:gridSpan w:val="2"/>
          </w:tcPr>
          <w:p w14:paraId="5949E070" w14:textId="4E6D8705" w:rsidR="00112B54" w:rsidRDefault="00112B54" w:rsidP="00112B54">
            <w:pPr>
              <w:pStyle w:val="NormalHeadings"/>
              <w:jc w:val="left"/>
            </w:pPr>
            <w:bookmarkStart w:id="20" w:name="Cross_Respondent"/>
            <w:r>
              <w:t xml:space="preserve">VINE CAPITAL PTY LTD ACN 633 897 408 </w:t>
            </w:r>
            <w:r w:rsidRPr="00112B54">
              <w:rPr>
                <w:b w:val="0"/>
              </w:rPr>
              <w:t>(and another named in the Schedule)</w:t>
            </w:r>
          </w:p>
          <w:p w14:paraId="23964115" w14:textId="77777777" w:rsidR="00112B54" w:rsidRDefault="00112B54" w:rsidP="00112B54">
            <w:pPr>
              <w:pStyle w:val="PartyType"/>
            </w:pPr>
            <w:r>
              <w:t>First Cross-Defendant</w:t>
            </w:r>
          </w:p>
          <w:bookmarkEnd w:id="20"/>
          <w:p w14:paraId="0E255BCA" w14:textId="02341856" w:rsidR="00112B54" w:rsidRDefault="00112B54">
            <w:pPr>
              <w:pStyle w:val="NormalHeadings"/>
              <w:jc w:val="left"/>
              <w:rPr>
                <w:szCs w:val="24"/>
              </w:rPr>
            </w:pPr>
          </w:p>
        </w:tc>
      </w:tr>
    </w:tbl>
    <w:p w14:paraId="57CD30CA" w14:textId="77777777" w:rsidR="00395B24" w:rsidRDefault="00395B24">
      <w:pPr>
        <w:pStyle w:val="NormalHeadings"/>
      </w:pPr>
    </w:p>
    <w:tbl>
      <w:tblPr>
        <w:tblW w:w="0" w:type="auto"/>
        <w:tblLayout w:type="fixed"/>
        <w:tblLook w:val="0000" w:firstRow="0" w:lastRow="0" w:firstColumn="0" w:lastColumn="0" w:noHBand="0" w:noVBand="0"/>
        <w:tblCaption w:val="Judge"/>
        <w:tblDescription w:val="Judge"/>
      </w:tblPr>
      <w:tblGrid>
        <w:gridCol w:w="2376"/>
        <w:gridCol w:w="6866"/>
      </w:tblGrid>
      <w:tr w:rsidR="00395B24" w14:paraId="71C12BC8" w14:textId="77777777">
        <w:tc>
          <w:tcPr>
            <w:tcW w:w="2376" w:type="dxa"/>
          </w:tcPr>
          <w:p w14:paraId="75D59763" w14:textId="77777777" w:rsidR="00395B24" w:rsidRDefault="00974709">
            <w:pPr>
              <w:pStyle w:val="NormalHeadings"/>
              <w:spacing w:after="120"/>
              <w:jc w:val="left"/>
              <w:rPr>
                <w:caps/>
                <w:szCs w:val="24"/>
              </w:rPr>
            </w:pPr>
            <w:bookmarkStart w:id="21" w:name="JudgeText"/>
            <w:r>
              <w:rPr>
                <w:caps/>
                <w:szCs w:val="24"/>
              </w:rPr>
              <w:t>order made by</w:t>
            </w:r>
            <w:bookmarkEnd w:id="21"/>
            <w:r w:rsidR="002C7385">
              <w:rPr>
                <w:caps/>
                <w:szCs w:val="24"/>
              </w:rPr>
              <w:t>:</w:t>
            </w:r>
          </w:p>
        </w:tc>
        <w:tc>
          <w:tcPr>
            <w:tcW w:w="6866" w:type="dxa"/>
          </w:tcPr>
          <w:p w14:paraId="1E1DA149" w14:textId="7CF8357C" w:rsidR="00395B24" w:rsidRDefault="00112B54">
            <w:pPr>
              <w:pStyle w:val="NormalHeadings"/>
              <w:jc w:val="left"/>
              <w:rPr>
                <w:caps/>
                <w:szCs w:val="24"/>
              </w:rPr>
            </w:pPr>
            <w:bookmarkStart w:id="22" w:name="Judge"/>
            <w:r>
              <w:rPr>
                <w:caps/>
                <w:szCs w:val="24"/>
              </w:rPr>
              <w:t>DERRINGTON J</w:t>
            </w:r>
            <w:bookmarkEnd w:id="22"/>
          </w:p>
        </w:tc>
      </w:tr>
      <w:tr w:rsidR="00395B24" w14:paraId="71D9F585" w14:textId="77777777">
        <w:tc>
          <w:tcPr>
            <w:tcW w:w="2376" w:type="dxa"/>
          </w:tcPr>
          <w:p w14:paraId="1AB995B0" w14:textId="77777777" w:rsidR="00395B24" w:rsidRDefault="002C7385">
            <w:pPr>
              <w:pStyle w:val="NormalHeadings"/>
              <w:spacing w:after="120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DATE OF ORDER:</w:t>
            </w:r>
          </w:p>
        </w:tc>
        <w:tc>
          <w:tcPr>
            <w:tcW w:w="6866" w:type="dxa"/>
          </w:tcPr>
          <w:p w14:paraId="5CB0487E" w14:textId="0C4FA8C4" w:rsidR="00395B24" w:rsidRDefault="00D255A4">
            <w:pPr>
              <w:pStyle w:val="NormalHeadings"/>
              <w:jc w:val="left"/>
              <w:rPr>
                <w:caps/>
                <w:szCs w:val="24"/>
              </w:rPr>
            </w:pPr>
            <w:bookmarkStart w:id="23" w:name="Judgment_Dated"/>
            <w:r w:rsidRPr="00610703">
              <w:rPr>
                <w:caps/>
                <w:szCs w:val="24"/>
              </w:rPr>
              <w:t>18</w:t>
            </w:r>
            <w:r>
              <w:rPr>
                <w:caps/>
                <w:szCs w:val="24"/>
              </w:rPr>
              <w:t xml:space="preserve"> December 2024</w:t>
            </w:r>
            <w:bookmarkEnd w:id="23"/>
          </w:p>
        </w:tc>
      </w:tr>
    </w:tbl>
    <w:p w14:paraId="51ACD0CC" w14:textId="77777777" w:rsidR="00395B24" w:rsidRDefault="00395B24">
      <w:pPr>
        <w:pStyle w:val="NormalHeadings"/>
        <w:rPr>
          <w:b w:val="0"/>
        </w:rPr>
      </w:pPr>
    </w:p>
    <w:p w14:paraId="6DD30816" w14:textId="77777777" w:rsidR="008D1617" w:rsidRDefault="008D1617">
      <w:pPr>
        <w:pStyle w:val="NormalHeadings"/>
        <w:rPr>
          <w:b w:val="0"/>
        </w:rPr>
      </w:pPr>
    </w:p>
    <w:p w14:paraId="53EA15FF" w14:textId="77777777" w:rsidR="00395B24" w:rsidRDefault="002C7385">
      <w:pPr>
        <w:pStyle w:val="NormalHeadings"/>
      </w:pPr>
      <w:r>
        <w:t>THE COURT ORDERS THAT:</w:t>
      </w:r>
    </w:p>
    <w:p w14:paraId="565AC7F4" w14:textId="77777777" w:rsidR="007F60DF" w:rsidRDefault="007F60DF" w:rsidP="00243E5E">
      <w:pPr>
        <w:pStyle w:val="NormalHeadings"/>
      </w:pPr>
    </w:p>
    <w:p w14:paraId="73B5C031" w14:textId="3F747C3B" w:rsidR="001A6C52" w:rsidRDefault="00C6120E" w:rsidP="00C6120E">
      <w:pPr>
        <w:pStyle w:val="Order1"/>
        <w:numPr>
          <w:ilvl w:val="0"/>
          <w:numId w:val="0"/>
        </w:numPr>
        <w:tabs>
          <w:tab w:val="left" w:pos="720"/>
        </w:tabs>
        <w:ind w:left="720" w:hanging="720"/>
      </w:pPr>
      <w:r>
        <w:t>1.</w:t>
      </w:r>
      <w:r>
        <w:tab/>
      </w:r>
      <w:r w:rsidR="00F33756">
        <w:t>The second plaintiff</w:t>
      </w:r>
      <w:r w:rsidR="00803DF5">
        <w:t xml:space="preserve"> is to pay 80% of the defendants’ costs of the application for security for costs, both before the Registrar and before the Court, to be taxed or agreed.</w:t>
      </w:r>
    </w:p>
    <w:p w14:paraId="1E9B0EDD" w14:textId="77777777" w:rsidR="001A6C52" w:rsidRDefault="001A6C52" w:rsidP="001A6C52">
      <w:pPr>
        <w:pStyle w:val="BodyText"/>
      </w:pPr>
    </w:p>
    <w:p w14:paraId="3D95FFE3" w14:textId="77777777" w:rsidR="00A431E6" w:rsidRDefault="00A431E6" w:rsidP="001A6C52">
      <w:pPr>
        <w:pStyle w:val="BodyText"/>
      </w:pPr>
    </w:p>
    <w:p w14:paraId="3E868BDF" w14:textId="584592A9" w:rsidR="0050309C" w:rsidRDefault="00112B54" w:rsidP="004D53E5">
      <w:pPr>
        <w:pStyle w:val="SingleSpace"/>
      </w:pPr>
      <w:bookmarkStart w:id="24" w:name="OrdersStatement"/>
      <w:r>
        <w:t>Note:</w:t>
      </w:r>
      <w:r>
        <w:tab/>
        <w:t xml:space="preserve">Entry of orders is dealt with in Rule 39.32 of the </w:t>
      </w:r>
      <w:r>
        <w:rPr>
          <w:i/>
        </w:rPr>
        <w:t>Federal Court Rules 2011</w:t>
      </w:r>
      <w:r>
        <w:t>.</w:t>
      </w:r>
      <w:bookmarkEnd w:id="24"/>
    </w:p>
    <w:p w14:paraId="4AB0ACC6" w14:textId="77777777" w:rsidR="003E728D" w:rsidRDefault="003E728D">
      <w:pPr>
        <w:spacing w:line="240" w:lineRule="auto"/>
        <w:jc w:val="left"/>
      </w:pPr>
    </w:p>
    <w:p w14:paraId="76E0FBB2" w14:textId="77777777" w:rsidR="00B710F2" w:rsidRDefault="00B710F2" w:rsidP="002B0E91">
      <w:pPr>
        <w:pStyle w:val="BodyText"/>
      </w:pPr>
    </w:p>
    <w:p w14:paraId="3024DEB7" w14:textId="77777777" w:rsidR="00395B24" w:rsidRDefault="00395B24">
      <w:pPr>
        <w:pStyle w:val="NormalHeadings"/>
        <w:spacing w:before="240" w:after="120"/>
        <w:rPr>
          <w:b w:val="0"/>
        </w:rPr>
        <w:sectPr w:rsidR="00395B24" w:rsidSect="00E77422">
          <w:headerReference w:type="default" r:id="rId18"/>
          <w:footerReference w:type="default" r:id="rId19"/>
          <w:headerReference w:type="first" r:id="rId20"/>
          <w:footerReference w:type="first" r:id="rId21"/>
          <w:endnotePr>
            <w:numFmt w:val="decimal"/>
          </w:endnotePr>
          <w:pgSz w:w="11907" w:h="16840" w:code="9"/>
          <w:pgMar w:top="1440" w:right="1440" w:bottom="1440" w:left="1440" w:header="851" w:footer="851" w:gutter="0"/>
          <w:pgNumType w:fmt="lowerRoman" w:start="1"/>
          <w:cols w:space="720"/>
          <w:noEndnote/>
          <w:titlePg/>
        </w:sectPr>
      </w:pPr>
    </w:p>
    <w:p w14:paraId="1180E07C" w14:textId="77777777" w:rsidR="00484F6D" w:rsidRPr="00045BB7" w:rsidRDefault="00484F6D" w:rsidP="00045BB7">
      <w:pPr>
        <w:pStyle w:val="NormalHeadings"/>
        <w:spacing w:line="480" w:lineRule="auto"/>
        <w:jc w:val="center"/>
        <w:rPr>
          <w:sz w:val="28"/>
          <w:szCs w:val="28"/>
        </w:rPr>
      </w:pPr>
      <w:bookmarkStart w:id="25" w:name="ReasonsPage"/>
      <w:bookmarkEnd w:id="25"/>
      <w:r w:rsidRPr="00045BB7">
        <w:rPr>
          <w:sz w:val="28"/>
          <w:szCs w:val="28"/>
        </w:rPr>
        <w:lastRenderedPageBreak/>
        <w:t>REASONS FOR JUDGMENT</w:t>
      </w:r>
    </w:p>
    <w:p w14:paraId="1830ABE6" w14:textId="4A182D4E" w:rsidR="00694BEB" w:rsidRDefault="00112B54" w:rsidP="005E0510">
      <w:pPr>
        <w:pStyle w:val="NormalHeadings"/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DERRINGTON J:</w:t>
      </w:r>
    </w:p>
    <w:p w14:paraId="1E3F4889" w14:textId="0161C361" w:rsidR="00CD1346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t>1</w:t>
      </w:r>
      <w:r>
        <w:rPr>
          <w:sz w:val="20"/>
        </w:rPr>
        <w:tab/>
      </w:r>
      <w:r w:rsidR="009A425F">
        <w:t xml:space="preserve">On 17 October 2024, the defendants obtained </w:t>
      </w:r>
      <w:r w:rsidR="003D5D27">
        <w:t>an order</w:t>
      </w:r>
      <w:r w:rsidR="009A425F">
        <w:t xml:space="preserve"> </w:t>
      </w:r>
      <w:r w:rsidR="000435C3">
        <w:t xml:space="preserve">requiring the second plaintiff to provide security </w:t>
      </w:r>
      <w:r w:rsidR="00102251">
        <w:t>in the sum of $160,000 in respect of</w:t>
      </w:r>
      <w:r w:rsidR="000435C3">
        <w:t xml:space="preserve"> the costs of the proceedings </w:t>
      </w:r>
      <w:r w:rsidR="00F40864">
        <w:t xml:space="preserve">brought </w:t>
      </w:r>
      <w:r w:rsidR="000435C3">
        <w:t>against them.</w:t>
      </w:r>
      <w:r w:rsidR="00E403C0">
        <w:t xml:space="preserve">  That decision followed a review of a determination of a Registrar of this Court </w:t>
      </w:r>
      <w:r w:rsidR="00F33756">
        <w:t>made on</w:t>
      </w:r>
      <w:r w:rsidR="003D5D27">
        <w:t xml:space="preserve"> 4 December 2023, </w:t>
      </w:r>
      <w:r w:rsidR="008A4B2E">
        <w:t>which had required</w:t>
      </w:r>
      <w:r w:rsidR="003D5D27">
        <w:t xml:space="preserve"> that both </w:t>
      </w:r>
      <w:r w:rsidR="00102251">
        <w:t>plaintiffs</w:t>
      </w:r>
      <w:r w:rsidR="003D5D27">
        <w:t xml:space="preserve"> provide security in th</w:t>
      </w:r>
      <w:r w:rsidR="00102251">
        <w:t>at</w:t>
      </w:r>
      <w:r w:rsidR="003D5D27">
        <w:t xml:space="preserve"> sum.</w:t>
      </w:r>
    </w:p>
    <w:p w14:paraId="323ACAD9" w14:textId="5C714B47" w:rsidR="008B29CC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t>2</w:t>
      </w:r>
      <w:r>
        <w:rPr>
          <w:sz w:val="20"/>
        </w:rPr>
        <w:tab/>
      </w:r>
      <w:r w:rsidR="006535CC">
        <w:t xml:space="preserve">The parties now ask the Court to determine the question of costs on the papers.  </w:t>
      </w:r>
      <w:r w:rsidR="008B29CC">
        <w:t>The defendants seek an order that they be entitled to the</w:t>
      </w:r>
      <w:r w:rsidR="008A4B2E">
        <w:t>ir</w:t>
      </w:r>
      <w:r w:rsidR="008B29CC">
        <w:t xml:space="preserve"> costs of the application</w:t>
      </w:r>
      <w:r w:rsidR="00697D25">
        <w:t xml:space="preserve"> for review</w:t>
      </w:r>
      <w:r w:rsidR="008B29CC">
        <w:t xml:space="preserve">.  </w:t>
      </w:r>
      <w:r w:rsidR="00372AC6">
        <w:t xml:space="preserve">The plaintiffs, on the other hand, seek an order that </w:t>
      </w:r>
      <w:r w:rsidR="00A8405C">
        <w:t>those</w:t>
      </w:r>
      <w:r w:rsidR="00372AC6">
        <w:t xml:space="preserve"> costs be the parties’ costs in the cause. </w:t>
      </w:r>
    </w:p>
    <w:p w14:paraId="0B173BC7" w14:textId="77777777" w:rsidR="0063103F" w:rsidRDefault="0063103F" w:rsidP="0063103F">
      <w:pPr>
        <w:pStyle w:val="Heading2"/>
      </w:pPr>
      <w:r>
        <w:t>Background</w:t>
      </w:r>
    </w:p>
    <w:p w14:paraId="2C220894" w14:textId="241889F5" w:rsidR="00BA279A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t>3</w:t>
      </w:r>
      <w:r>
        <w:rPr>
          <w:sz w:val="20"/>
        </w:rPr>
        <w:tab/>
      </w:r>
      <w:r w:rsidR="00BA279A">
        <w:t xml:space="preserve">The background facts </w:t>
      </w:r>
      <w:r w:rsidR="00372AC6">
        <w:t xml:space="preserve">relevant </w:t>
      </w:r>
      <w:r w:rsidR="00BA279A">
        <w:t>to the issue of costs can be briefly stated.</w:t>
      </w:r>
    </w:p>
    <w:p w14:paraId="4D9D3FA0" w14:textId="5E5954D6" w:rsidR="008A2587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t>4</w:t>
      </w:r>
      <w:r>
        <w:rPr>
          <w:sz w:val="20"/>
        </w:rPr>
        <w:tab/>
      </w:r>
      <w:r w:rsidR="0063103F">
        <w:t>Mr Fitzpatrick is the sole director of</w:t>
      </w:r>
      <w:r w:rsidR="000B0F72">
        <w:t xml:space="preserve"> the second plaintiff</w:t>
      </w:r>
      <w:r w:rsidR="00D677B7">
        <w:t>,</w:t>
      </w:r>
      <w:r w:rsidR="000B0F72">
        <w:t xml:space="preserve"> Tor Capital</w:t>
      </w:r>
      <w:r w:rsidR="00D677B7">
        <w:t xml:space="preserve"> Pty Ltd (Tor Capital)</w:t>
      </w:r>
      <w:r w:rsidR="00372AC6">
        <w:t>.</w:t>
      </w:r>
      <w:r w:rsidR="00CC4877">
        <w:t xml:space="preserve"> </w:t>
      </w:r>
      <w:r w:rsidR="001C3200">
        <w:t xml:space="preserve"> T</w:t>
      </w:r>
      <w:r w:rsidR="0063103F">
        <w:t xml:space="preserve">hrough </w:t>
      </w:r>
      <w:r w:rsidR="000B0F72">
        <w:t>a</w:t>
      </w:r>
      <w:r w:rsidR="0063103F">
        <w:t xml:space="preserve"> corporate vehicle</w:t>
      </w:r>
      <w:r w:rsidR="00CC4877">
        <w:t>,</w:t>
      </w:r>
      <w:r w:rsidR="0063103F">
        <w:t xml:space="preserve"> </w:t>
      </w:r>
      <w:r w:rsidR="000B0F72">
        <w:t xml:space="preserve">he also </w:t>
      </w:r>
      <w:r w:rsidR="001C3200">
        <w:t xml:space="preserve">holds a 25% </w:t>
      </w:r>
      <w:r w:rsidR="0063103F">
        <w:t>sharehold</w:t>
      </w:r>
      <w:r w:rsidR="001C3200">
        <w:t>ing</w:t>
      </w:r>
      <w:r w:rsidR="0063103F">
        <w:t xml:space="preserve"> in</w:t>
      </w:r>
      <w:r w:rsidR="005E47F7">
        <w:t xml:space="preserve"> it</w:t>
      </w:r>
      <w:r w:rsidR="0063103F">
        <w:t xml:space="preserve">. </w:t>
      </w:r>
    </w:p>
    <w:p w14:paraId="5026E52F" w14:textId="0805B765" w:rsidR="0078298D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t>5</w:t>
      </w:r>
      <w:r>
        <w:rPr>
          <w:sz w:val="20"/>
        </w:rPr>
        <w:tab/>
      </w:r>
      <w:r w:rsidR="001C3200">
        <w:t>Mr Fitzpatrick and Tor Capital</w:t>
      </w:r>
      <w:r w:rsidR="00045BC9">
        <w:t xml:space="preserve"> </w:t>
      </w:r>
      <w:r w:rsidR="0063103F">
        <w:t xml:space="preserve">commenced the </w:t>
      </w:r>
      <w:r w:rsidR="00045BC9">
        <w:t xml:space="preserve">present </w:t>
      </w:r>
      <w:r w:rsidR="0063103F">
        <w:t>proceeding on 23 August 2023</w:t>
      </w:r>
      <w:r w:rsidR="0077415A">
        <w:t>,</w:t>
      </w:r>
      <w:r w:rsidR="008336E2">
        <w:t xml:space="preserve"> which </w:t>
      </w:r>
      <w:r w:rsidR="0077415A">
        <w:t>is</w:t>
      </w:r>
      <w:r w:rsidR="00595B36">
        <w:t xml:space="preserve"> essentially </w:t>
      </w:r>
      <w:r w:rsidR="0077415A">
        <w:t xml:space="preserve">an </w:t>
      </w:r>
      <w:r w:rsidR="00DB55F8">
        <w:t xml:space="preserve">oppression </w:t>
      </w:r>
      <w:r w:rsidR="0077415A">
        <w:t>action</w:t>
      </w:r>
      <w:r w:rsidR="00045BC9">
        <w:t xml:space="preserve">. </w:t>
      </w:r>
      <w:r w:rsidR="0077415A">
        <w:t xml:space="preserve"> </w:t>
      </w:r>
      <w:r w:rsidR="00D3461D">
        <w:t xml:space="preserve">The oppression allegations </w:t>
      </w:r>
      <w:r w:rsidR="00F40864">
        <w:t xml:space="preserve">are made </w:t>
      </w:r>
      <w:r w:rsidR="000730BB">
        <w:t>against</w:t>
      </w:r>
      <w:r w:rsidR="0078298D">
        <w:t xml:space="preserve"> the third defendant company, </w:t>
      </w:r>
      <w:proofErr w:type="spellStart"/>
      <w:r w:rsidR="00D3461D">
        <w:t>E</w:t>
      </w:r>
      <w:r w:rsidR="0078298D">
        <w:t>b</w:t>
      </w:r>
      <w:r w:rsidR="00D3461D">
        <w:t>roker</w:t>
      </w:r>
      <w:proofErr w:type="spellEnd"/>
      <w:r w:rsidR="00D3461D">
        <w:t xml:space="preserve"> Pty Ltd.</w:t>
      </w:r>
      <w:r w:rsidR="0078298D">
        <w:t xml:space="preserve">  </w:t>
      </w:r>
    </w:p>
    <w:p w14:paraId="1341EBBC" w14:textId="453E7470" w:rsidR="0063103F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t>6</w:t>
      </w:r>
      <w:r>
        <w:rPr>
          <w:sz w:val="20"/>
        </w:rPr>
        <w:tab/>
      </w:r>
      <w:r w:rsidR="0078298D">
        <w:t xml:space="preserve">Mr Fitzpatrick and Tor Capital are represented by the same solicitors and counsel.  </w:t>
      </w:r>
    </w:p>
    <w:p w14:paraId="265C477A" w14:textId="692B829B" w:rsidR="0063103F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t>7</w:t>
      </w:r>
      <w:r>
        <w:rPr>
          <w:sz w:val="20"/>
        </w:rPr>
        <w:tab/>
      </w:r>
      <w:r w:rsidR="0063103F">
        <w:t xml:space="preserve">On 21 September 2023, the defendants filed </w:t>
      </w:r>
      <w:r w:rsidR="008336E2">
        <w:t>their</w:t>
      </w:r>
      <w:r w:rsidR="0063103F">
        <w:t xml:space="preserve"> interlocutory application seeking security for costs up to and including the trial of the plaintiffs’ claim.</w:t>
      </w:r>
    </w:p>
    <w:p w14:paraId="323EE53E" w14:textId="44E03A5B" w:rsidR="006C23E9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t>8</w:t>
      </w:r>
      <w:r>
        <w:rPr>
          <w:sz w:val="20"/>
        </w:rPr>
        <w:tab/>
      </w:r>
      <w:r w:rsidR="0078298D">
        <w:t>On</w:t>
      </w:r>
      <w:r w:rsidR="0063103F">
        <w:t xml:space="preserve"> 4 December 2023, </w:t>
      </w:r>
      <w:r w:rsidR="00540318">
        <w:t>the</w:t>
      </w:r>
      <w:r w:rsidR="006C23E9">
        <w:t xml:space="preserve"> Registrar </w:t>
      </w:r>
      <w:r w:rsidR="0063103F">
        <w:t>ordered that the plaintiffs provide security for the defendants’ costs up</w:t>
      </w:r>
      <w:r w:rsidR="001722CC">
        <w:t xml:space="preserve"> to</w:t>
      </w:r>
      <w:r w:rsidR="0063103F">
        <w:t xml:space="preserve"> but not including trial in the amount of $160,000. </w:t>
      </w:r>
    </w:p>
    <w:p w14:paraId="4F271D54" w14:textId="70749E0D" w:rsidR="00F026C0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t>9</w:t>
      </w:r>
      <w:r>
        <w:rPr>
          <w:sz w:val="20"/>
        </w:rPr>
        <w:tab/>
      </w:r>
      <w:r w:rsidR="00C93B16">
        <w:t>T</w:t>
      </w:r>
      <w:r w:rsidR="00EA4A21">
        <w:t>he</w:t>
      </w:r>
      <w:r w:rsidR="00B3221A">
        <w:t xml:space="preserve"> plaintiffs </w:t>
      </w:r>
      <w:r w:rsidR="00C93B16">
        <w:t xml:space="preserve">subsequently </w:t>
      </w:r>
      <w:r w:rsidR="00B3221A">
        <w:t xml:space="preserve">sought </w:t>
      </w:r>
      <w:r w:rsidR="00C93B16">
        <w:t xml:space="preserve">a </w:t>
      </w:r>
      <w:r w:rsidR="00B3221A">
        <w:t>review of the Registrar’s decision</w:t>
      </w:r>
      <w:r w:rsidR="00763BC4">
        <w:t xml:space="preserve">.  </w:t>
      </w:r>
    </w:p>
    <w:p w14:paraId="33FC375F" w14:textId="080CDC85" w:rsidR="00721DC4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t>10</w:t>
      </w:r>
      <w:r>
        <w:rPr>
          <w:sz w:val="20"/>
        </w:rPr>
        <w:tab/>
      </w:r>
      <w:r w:rsidR="00F026C0">
        <w:t>A</w:t>
      </w:r>
      <w:r w:rsidR="00763BC4">
        <w:t xml:space="preserve"> decision on </w:t>
      </w:r>
      <w:r w:rsidR="00F026C0">
        <w:t>the review</w:t>
      </w:r>
      <w:r w:rsidR="00763BC4">
        <w:t xml:space="preserve"> was given on 17 October 2024</w:t>
      </w:r>
      <w:r w:rsidR="00F026C0">
        <w:t>, t</w:t>
      </w:r>
      <w:r w:rsidR="00583F39">
        <w:t>he effect of</w:t>
      </w:r>
      <w:r w:rsidR="00F026C0">
        <w:t xml:space="preserve"> </w:t>
      </w:r>
      <w:r w:rsidR="00D0182F">
        <w:t>which</w:t>
      </w:r>
      <w:r w:rsidR="00583F39">
        <w:t xml:space="preserve"> was that the first plaintiff, Mr Fitzpatrick</w:t>
      </w:r>
      <w:r w:rsidR="00C93B16">
        <w:t>,</w:t>
      </w:r>
      <w:r w:rsidR="00583F39">
        <w:t xml:space="preserve"> was not required to provide security</w:t>
      </w:r>
      <w:r w:rsidR="00D677B7">
        <w:t xml:space="preserve">, and that </w:t>
      </w:r>
      <w:r w:rsidR="00C93B16">
        <w:t xml:space="preserve">the </w:t>
      </w:r>
      <w:r w:rsidR="00D677B7">
        <w:t>obligation</w:t>
      </w:r>
      <w:r w:rsidR="00F026C0">
        <w:t xml:space="preserve"> to </w:t>
      </w:r>
      <w:r w:rsidR="00467892">
        <w:t>provide</w:t>
      </w:r>
      <w:r w:rsidR="00F026C0">
        <w:t xml:space="preserve"> security</w:t>
      </w:r>
      <w:r w:rsidR="00D677B7">
        <w:t xml:space="preserve"> fell solely on </w:t>
      </w:r>
      <w:r w:rsidR="00C93B16">
        <w:t xml:space="preserve">the second plaintiff, </w:t>
      </w:r>
      <w:r w:rsidR="00D677B7">
        <w:t>Tor Capital.</w:t>
      </w:r>
    </w:p>
    <w:p w14:paraId="03EC4882" w14:textId="2DCCE72F" w:rsidR="00721DC4" w:rsidRDefault="000B138E" w:rsidP="000B138E">
      <w:pPr>
        <w:pStyle w:val="Heading2"/>
      </w:pPr>
      <w:r>
        <w:t>The appropriate order as to costs</w:t>
      </w:r>
    </w:p>
    <w:p w14:paraId="46C8ED93" w14:textId="0BC7B8E5" w:rsidR="00C80083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t>11</w:t>
      </w:r>
      <w:r>
        <w:rPr>
          <w:sz w:val="20"/>
        </w:rPr>
        <w:tab/>
      </w:r>
      <w:r w:rsidR="00C80083">
        <w:t>It is undoubted that</w:t>
      </w:r>
      <w:r w:rsidR="00FB0135">
        <w:t xml:space="preserve">, under s 43 of the </w:t>
      </w:r>
      <w:r w:rsidR="00FB0135" w:rsidRPr="0044140A">
        <w:rPr>
          <w:i/>
          <w:iCs/>
        </w:rPr>
        <w:t xml:space="preserve">Federal Court of Australia Act 1976 </w:t>
      </w:r>
      <w:r w:rsidR="00FB0135" w:rsidRPr="0044140A">
        <w:t>(</w:t>
      </w:r>
      <w:proofErr w:type="spellStart"/>
      <w:r w:rsidR="00FB0135" w:rsidRPr="0044140A">
        <w:t>Cth</w:t>
      </w:r>
      <w:proofErr w:type="spellEnd"/>
      <w:r w:rsidR="00FB0135" w:rsidRPr="0044140A">
        <w:t>)</w:t>
      </w:r>
      <w:r w:rsidR="00FB0135">
        <w:t>,</w:t>
      </w:r>
      <w:r w:rsidR="00C80083">
        <w:t xml:space="preserve"> the Court has a wide discretion in relation to making orders for </w:t>
      </w:r>
      <w:r w:rsidR="004A1AF7">
        <w:t xml:space="preserve">the </w:t>
      </w:r>
      <w:r w:rsidR="00C80083">
        <w:t>costs of any proceedings</w:t>
      </w:r>
      <w:r w:rsidR="00D0182F">
        <w:t>.</w:t>
      </w:r>
    </w:p>
    <w:p w14:paraId="31F71A4C" w14:textId="295A6454" w:rsidR="00ED3DE4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lastRenderedPageBreak/>
        <w:t>12</w:t>
      </w:r>
      <w:r>
        <w:rPr>
          <w:sz w:val="20"/>
        </w:rPr>
        <w:tab/>
      </w:r>
      <w:r w:rsidR="00FB0135">
        <w:t>However, it is also well established that</w:t>
      </w:r>
      <w:r w:rsidR="00692D70">
        <w:t xml:space="preserve">, as a </w:t>
      </w:r>
      <w:r w:rsidR="00C80083">
        <w:t>general rule</w:t>
      </w:r>
      <w:r w:rsidR="00692D70">
        <w:t>,</w:t>
      </w:r>
      <w:r w:rsidR="00C80083">
        <w:t xml:space="preserve"> costs </w:t>
      </w:r>
      <w:r w:rsidR="00692D70">
        <w:t xml:space="preserve">should follow the event, in that they </w:t>
      </w:r>
      <w:r w:rsidR="00C80083">
        <w:t>are</w:t>
      </w:r>
      <w:r w:rsidR="00692D70">
        <w:t xml:space="preserve"> </w:t>
      </w:r>
      <w:r w:rsidR="00D0182F">
        <w:t xml:space="preserve">usually </w:t>
      </w:r>
      <w:r w:rsidR="00C80083">
        <w:t>awarded in favour of the successful party</w:t>
      </w:r>
      <w:r w:rsidR="00916F53">
        <w:t>:</w:t>
      </w:r>
      <w:r w:rsidR="000F645A">
        <w:t xml:space="preserve">  </w:t>
      </w:r>
      <w:r w:rsidR="0062125C">
        <w:t xml:space="preserve">see </w:t>
      </w:r>
      <w:proofErr w:type="spellStart"/>
      <w:r w:rsidR="00916F53" w:rsidRPr="0044140A">
        <w:rPr>
          <w:i/>
          <w:iCs/>
        </w:rPr>
        <w:t>Oshlack</w:t>
      </w:r>
      <w:proofErr w:type="spellEnd"/>
      <w:r w:rsidR="00916F53" w:rsidRPr="0044140A">
        <w:rPr>
          <w:i/>
          <w:iCs/>
        </w:rPr>
        <w:t xml:space="preserve"> v Richmond River Council </w:t>
      </w:r>
      <w:r w:rsidR="00916F53" w:rsidRPr="0044140A">
        <w:t>(1998) 193 CLR 72</w:t>
      </w:r>
      <w:r w:rsidR="00916F53">
        <w:t xml:space="preserve">, </w:t>
      </w:r>
      <w:r w:rsidR="00BC7763">
        <w:t>86</w:t>
      </w:r>
      <w:r w:rsidR="00916F53">
        <w:t xml:space="preserve"> </w:t>
      </w:r>
      <w:r w:rsidR="00916F53" w:rsidRPr="00916F53">
        <w:t xml:space="preserve">[35], </w:t>
      </w:r>
      <w:r w:rsidR="00CC0529">
        <w:t xml:space="preserve">96 – 97 </w:t>
      </w:r>
      <w:r w:rsidR="00916F53" w:rsidRPr="00916F53">
        <w:t>[66]</w:t>
      </w:r>
      <w:r w:rsidR="00C0149A">
        <w:t xml:space="preserve"> – </w:t>
      </w:r>
      <w:r w:rsidR="00916F53" w:rsidRPr="00916F53">
        <w:t xml:space="preserve">[67], </w:t>
      </w:r>
      <w:r w:rsidR="00CC0529">
        <w:t>120</w:t>
      </w:r>
      <w:r w:rsidR="0062125C">
        <w:t xml:space="preserve"> – 123</w:t>
      </w:r>
      <w:r w:rsidR="00CC0529">
        <w:t xml:space="preserve"> </w:t>
      </w:r>
      <w:r w:rsidR="00916F53" w:rsidRPr="00916F53">
        <w:t>[134].</w:t>
      </w:r>
      <w:r w:rsidR="006418F1">
        <w:t xml:space="preserve">  </w:t>
      </w:r>
      <w:r w:rsidR="00F0657E">
        <w:t xml:space="preserve">In that principle, the “event” is understood as referring to the </w:t>
      </w:r>
      <w:r w:rsidR="00C80083">
        <w:t>“practical result” of a particular claim</w:t>
      </w:r>
      <w:r w:rsidR="008F01B7">
        <w:t>:</w:t>
      </w:r>
      <w:r w:rsidR="000F645A">
        <w:t xml:space="preserve">  </w:t>
      </w:r>
      <w:proofErr w:type="spellStart"/>
      <w:r w:rsidR="008F01B7" w:rsidRPr="0044140A">
        <w:rPr>
          <w:i/>
          <w:iCs/>
        </w:rPr>
        <w:t>Doppstadt</w:t>
      </w:r>
      <w:proofErr w:type="spellEnd"/>
      <w:r w:rsidR="008F01B7" w:rsidRPr="0044140A">
        <w:rPr>
          <w:i/>
          <w:iCs/>
        </w:rPr>
        <w:t xml:space="preserve"> Australia Pty Ltd v Lovick &amp; Son Developments Pty Ltd (No 2)</w:t>
      </w:r>
      <w:r w:rsidR="008F01B7" w:rsidRPr="0044140A">
        <w:t xml:space="preserve"> [2014] NSWCA 21</w:t>
      </w:r>
      <w:r w:rsidR="00B65344" w:rsidRPr="0044140A">
        <w:t>9</w:t>
      </w:r>
      <w:r w:rsidR="008F01B7" w:rsidRPr="008F01B7">
        <w:t xml:space="preserve"> [15].</w:t>
      </w:r>
    </w:p>
    <w:p w14:paraId="775C6B76" w14:textId="546B098E" w:rsidR="00721DC4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t>13</w:t>
      </w:r>
      <w:r>
        <w:rPr>
          <w:sz w:val="20"/>
        </w:rPr>
        <w:tab/>
      </w:r>
      <w:r w:rsidR="008D63DB">
        <w:t xml:space="preserve">Without in any way </w:t>
      </w:r>
      <w:r w:rsidR="00D42CCC">
        <w:t xml:space="preserve">diminishing the broad discretion, it is also generally accepted that where, in a </w:t>
      </w:r>
      <w:r w:rsidR="006418F1">
        <w:t>proceeding</w:t>
      </w:r>
      <w:r w:rsidR="00D42CCC">
        <w:t>, there are multiple</w:t>
      </w:r>
      <w:r w:rsidR="00C80083">
        <w:t xml:space="preserve"> parties or issues, </w:t>
      </w:r>
      <w:r w:rsidR="0026763C">
        <w:t xml:space="preserve">and the victor has met </w:t>
      </w:r>
      <w:r w:rsidR="00C80083">
        <w:t>with mixed success, the Court’s</w:t>
      </w:r>
      <w:r w:rsidR="002A6DA9">
        <w:t xml:space="preserve"> legitimate</w:t>
      </w:r>
      <w:r w:rsidR="00C80083">
        <w:t xml:space="preserve"> discretion extends to</w:t>
      </w:r>
      <w:r w:rsidR="002A6DA9">
        <w:t xml:space="preserve"> the making of a single order for costs, albeit apportioned to reflect the partial success</w:t>
      </w:r>
      <w:r w:rsidR="00105005">
        <w:t>:</w:t>
      </w:r>
      <w:r w:rsidR="000F645A">
        <w:t xml:space="preserve">  </w:t>
      </w:r>
      <w:r w:rsidR="00B65344">
        <w:t xml:space="preserve">see </w:t>
      </w:r>
      <w:r w:rsidR="00B65344" w:rsidRPr="0044140A">
        <w:rPr>
          <w:i/>
          <w:iCs/>
        </w:rPr>
        <w:t xml:space="preserve">Kazar, in the matter of </w:t>
      </w:r>
      <w:r w:rsidR="00105005" w:rsidRPr="0044140A">
        <w:rPr>
          <w:i/>
          <w:iCs/>
        </w:rPr>
        <w:t xml:space="preserve">Frontier Architects Pty Limited (in </w:t>
      </w:r>
      <w:proofErr w:type="spellStart"/>
      <w:r w:rsidR="00105005" w:rsidRPr="0044140A">
        <w:rPr>
          <w:i/>
          <w:iCs/>
        </w:rPr>
        <w:t>liq</w:t>
      </w:r>
      <w:proofErr w:type="spellEnd"/>
      <w:r w:rsidR="00105005" w:rsidRPr="0044140A">
        <w:rPr>
          <w:i/>
          <w:iCs/>
        </w:rPr>
        <w:t>) (No 2)</w:t>
      </w:r>
      <w:r w:rsidR="00105005" w:rsidRPr="0044140A">
        <w:t xml:space="preserve"> [2010] FCA 1474</w:t>
      </w:r>
      <w:r w:rsidR="00105005">
        <w:t xml:space="preserve"> [10] – [13]; </w:t>
      </w:r>
      <w:r w:rsidR="00105005" w:rsidRPr="0044140A">
        <w:rPr>
          <w:i/>
          <w:iCs/>
        </w:rPr>
        <w:t>BHP Billiton Iron Ore Pty Ltd v National Competition Council (No 2)</w:t>
      </w:r>
      <w:r w:rsidR="00105005" w:rsidRPr="0044140A">
        <w:t xml:space="preserve"> [2007] FCA 557</w:t>
      </w:r>
      <w:r w:rsidR="00105005">
        <w:t xml:space="preserve"> [11].</w:t>
      </w:r>
      <w:r w:rsidR="00874715">
        <w:t xml:space="preserve">  The task of making such an apportionment is an evaluative one:</w:t>
      </w:r>
      <w:r w:rsidR="000F645A">
        <w:t xml:space="preserve">  </w:t>
      </w:r>
      <w:r w:rsidR="00874715" w:rsidRPr="0044140A">
        <w:rPr>
          <w:i/>
          <w:iCs/>
        </w:rPr>
        <w:t xml:space="preserve">Australian Trade Commission v </w:t>
      </w:r>
      <w:proofErr w:type="spellStart"/>
      <w:r w:rsidR="00874715" w:rsidRPr="0044140A">
        <w:rPr>
          <w:i/>
          <w:iCs/>
        </w:rPr>
        <w:t>Disktravel</w:t>
      </w:r>
      <w:proofErr w:type="spellEnd"/>
      <w:r w:rsidR="00874715" w:rsidRPr="0044140A">
        <w:rPr>
          <w:i/>
          <w:iCs/>
        </w:rPr>
        <w:t xml:space="preserve"> </w:t>
      </w:r>
      <w:r w:rsidR="00874715" w:rsidRPr="0044140A">
        <w:t>[2000] FCA 62</w:t>
      </w:r>
      <w:r w:rsidR="00874715" w:rsidRPr="00874715">
        <w:t xml:space="preserve"> [5]</w:t>
      </w:r>
      <w:r w:rsidR="00874715">
        <w:t xml:space="preserve">: which is necessarily </w:t>
      </w:r>
      <w:r w:rsidR="00972DF8">
        <w:t>“</w:t>
      </w:r>
      <w:r w:rsidR="00C80083">
        <w:t>impressionistic</w:t>
      </w:r>
      <w:r w:rsidR="00972DF8">
        <w:t xml:space="preserve"> </w:t>
      </w:r>
      <w:r w:rsidR="00C80083">
        <w:t>and intuitive”</w:t>
      </w:r>
      <w:r w:rsidR="0026763C">
        <w:t>,</w:t>
      </w:r>
      <w:r w:rsidR="00C80083">
        <w:t xml:space="preserve"> </w:t>
      </w:r>
      <w:r w:rsidR="00972DF8">
        <w:t>though</w:t>
      </w:r>
      <w:r w:rsidR="00C80083">
        <w:t xml:space="preserve"> informed by “the extent to which particular issues contributed to the costs”</w:t>
      </w:r>
      <w:r w:rsidR="00972DF8">
        <w:t xml:space="preserve"> </w:t>
      </w:r>
      <w:r w:rsidR="00C80083">
        <w:t>and the extent to which a party was ultimately successful</w:t>
      </w:r>
      <w:r w:rsidR="00972DF8">
        <w:t>:</w:t>
      </w:r>
      <w:r w:rsidR="000F645A">
        <w:t xml:space="preserve">  </w:t>
      </w:r>
      <w:r w:rsidR="009D0D0E" w:rsidRPr="0044140A">
        <w:rPr>
          <w:i/>
          <w:iCs/>
        </w:rPr>
        <w:t>HP Mercantile Pty Ltd v Dierickx (No 2)</w:t>
      </w:r>
      <w:r w:rsidR="009D0D0E" w:rsidRPr="0044140A">
        <w:t xml:space="preserve"> [2012] NSWSC 1430</w:t>
      </w:r>
      <w:r w:rsidR="009D0D0E" w:rsidRPr="009D0D0E">
        <w:t xml:space="preserve"> [</w:t>
      </w:r>
      <w:r w:rsidR="00B65344">
        <w:t>32</w:t>
      </w:r>
      <w:r w:rsidR="009D0D0E" w:rsidRPr="009D0D0E">
        <w:t>].</w:t>
      </w:r>
    </w:p>
    <w:p w14:paraId="19B784EA" w14:textId="1B70E0C1" w:rsidR="00B0479D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t>14</w:t>
      </w:r>
      <w:r>
        <w:rPr>
          <w:sz w:val="20"/>
        </w:rPr>
        <w:tab/>
      </w:r>
      <w:r w:rsidR="00122DBC">
        <w:t>It was suggested that, in relation to applications for security for costs, the costs should be reserved</w:t>
      </w:r>
      <w:r w:rsidR="005276C3">
        <w:t>,</w:t>
      </w:r>
      <w:r w:rsidR="009B5747">
        <w:t xml:space="preserve"> in the cause or, if the defendant is successful, that the costs be the defendant’s costs in the cause.  The justification </w:t>
      </w:r>
      <w:r w:rsidR="00341561">
        <w:t xml:space="preserve">given </w:t>
      </w:r>
      <w:r w:rsidR="009B5747">
        <w:t xml:space="preserve">for this </w:t>
      </w:r>
      <w:r w:rsidR="00341561">
        <w:t>was</w:t>
      </w:r>
      <w:r w:rsidR="009B5747">
        <w:t xml:space="preserve"> that</w:t>
      </w:r>
      <w:r w:rsidR="00C315E1">
        <w:t xml:space="preserve">, if the defendant is ultimately not successful, it should not be entitled to recover the costs of an application </w:t>
      </w:r>
      <w:r w:rsidR="00551726">
        <w:t xml:space="preserve">for security </w:t>
      </w:r>
      <w:r w:rsidR="00C315E1">
        <w:t>which was effectively inutile</w:t>
      </w:r>
      <w:r w:rsidR="00965000">
        <w:t xml:space="preserve"> and should not have been made. </w:t>
      </w:r>
      <w:r w:rsidR="0070584E">
        <w:t xml:space="preserve"> </w:t>
      </w:r>
    </w:p>
    <w:p w14:paraId="10B9DB29" w14:textId="152083E7" w:rsidR="00965000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t>15</w:t>
      </w:r>
      <w:r>
        <w:rPr>
          <w:sz w:val="20"/>
        </w:rPr>
        <w:tab/>
      </w:r>
      <w:r w:rsidR="00332456">
        <w:t xml:space="preserve">However, </w:t>
      </w:r>
      <w:r w:rsidR="00965000">
        <w:t xml:space="preserve">the </w:t>
      </w:r>
      <w:r w:rsidR="00332456">
        <w:t xml:space="preserve">breadth of the </w:t>
      </w:r>
      <w:r w:rsidR="00965000">
        <w:t xml:space="preserve">discretion </w:t>
      </w:r>
      <w:r w:rsidR="00332456">
        <w:t>renders it</w:t>
      </w:r>
      <w:r w:rsidR="00965000">
        <w:t xml:space="preserve"> inappropriate </w:t>
      </w:r>
      <w:r w:rsidR="00332456">
        <w:t xml:space="preserve">to limit it </w:t>
      </w:r>
      <w:r w:rsidR="00965000">
        <w:t>by general rules</w:t>
      </w:r>
      <w:r w:rsidR="00112461">
        <w:t xml:space="preserve"> or guidelines.  Moreover, </w:t>
      </w:r>
      <w:r w:rsidR="006E1B8D">
        <w:t>applications such as the current one are commonplace</w:t>
      </w:r>
      <w:r w:rsidR="004E3556">
        <w:t xml:space="preserve"> and, </w:t>
      </w:r>
      <w:r w:rsidR="00190063">
        <w:t>as</w:t>
      </w:r>
      <w:r w:rsidR="004E3556">
        <w:t xml:space="preserve"> such, the</w:t>
      </w:r>
      <w:r w:rsidR="00F20E88">
        <w:t xml:space="preserve"> parties know </w:t>
      </w:r>
      <w:r w:rsidR="00833A80">
        <w:t>(</w:t>
      </w:r>
      <w:r w:rsidR="00F20E88">
        <w:t>or should know</w:t>
      </w:r>
      <w:r w:rsidR="00833A80">
        <w:t>)</w:t>
      </w:r>
      <w:r w:rsidR="00F20E88">
        <w:t xml:space="preserve"> the relevant principles on which they will be determined</w:t>
      </w:r>
      <w:r w:rsidR="004E3556">
        <w:t>.</w:t>
      </w:r>
      <w:r w:rsidR="00252DFB">
        <w:t xml:space="preserve">  They are also cogni</w:t>
      </w:r>
      <w:r w:rsidR="002972FB">
        <w:t>s</w:t>
      </w:r>
      <w:r w:rsidR="00252DFB">
        <w:t xml:space="preserve">ant of the materials required for the application.  </w:t>
      </w:r>
      <w:r w:rsidR="00201260">
        <w:t>Further, it is usual that</w:t>
      </w:r>
      <w:r w:rsidR="008461FA">
        <w:t xml:space="preserve"> the evidence on which the parties rely for the application </w:t>
      </w:r>
      <w:r w:rsidR="00201260">
        <w:t>is</w:t>
      </w:r>
      <w:r w:rsidR="008461FA">
        <w:t xml:space="preserve"> not revisited in the course of the hearing of the action</w:t>
      </w:r>
      <w:r w:rsidR="00201260">
        <w:t xml:space="preserve">. </w:t>
      </w:r>
      <w:r w:rsidR="006A0309">
        <w:t>In this sense,</w:t>
      </w:r>
      <w:r w:rsidR="00201260">
        <w:t xml:space="preserve"> the application is self-contained</w:t>
      </w:r>
      <w:r w:rsidR="005A48EC">
        <w:t>,</w:t>
      </w:r>
      <w:r w:rsidR="000C4F4A">
        <w:t xml:space="preserve"> determined on its own material and principles</w:t>
      </w:r>
      <w:r w:rsidR="005A48EC">
        <w:t>,</w:t>
      </w:r>
      <w:r w:rsidR="00FA04A3">
        <w:t xml:space="preserve"> and an</w:t>
      </w:r>
      <w:r w:rsidR="005A48EC">
        <w:t>y</w:t>
      </w:r>
      <w:r w:rsidR="00FA04A3">
        <w:t xml:space="preserve"> order made that security be provided </w:t>
      </w:r>
      <w:r w:rsidR="00C12457">
        <w:t>is not conditional or contingent</w:t>
      </w:r>
      <w:r w:rsidR="00FA04A3">
        <w:t xml:space="preserve">.  </w:t>
      </w:r>
    </w:p>
    <w:p w14:paraId="524AE21C" w14:textId="75CB58F4" w:rsidR="00D94A98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t>16</w:t>
      </w:r>
      <w:r>
        <w:rPr>
          <w:sz w:val="20"/>
        </w:rPr>
        <w:tab/>
      </w:r>
      <w:r w:rsidR="00D94A98">
        <w:t>There is, therefore, no reason why parties who join issue on such an application should not be subject to the usual rule for costs</w:t>
      </w:r>
      <w:r w:rsidR="00806DFD">
        <w:t xml:space="preserve">:  </w:t>
      </w:r>
      <w:proofErr w:type="spellStart"/>
      <w:r w:rsidR="00806DFD">
        <w:t>cf</w:t>
      </w:r>
      <w:proofErr w:type="spellEnd"/>
      <w:r w:rsidR="00806DFD">
        <w:t xml:space="preserve"> </w:t>
      </w:r>
      <w:proofErr w:type="spellStart"/>
      <w:r w:rsidR="00806DFD" w:rsidRPr="0044140A">
        <w:rPr>
          <w:i/>
          <w:iCs/>
        </w:rPr>
        <w:t>Newtimber</w:t>
      </w:r>
      <w:proofErr w:type="spellEnd"/>
      <w:r w:rsidR="00806DFD" w:rsidRPr="0044140A">
        <w:rPr>
          <w:i/>
          <w:iCs/>
        </w:rPr>
        <w:t xml:space="preserve"> (Operations) Pty Ltd </w:t>
      </w:r>
      <w:r w:rsidR="001E0CBC" w:rsidRPr="0044140A">
        <w:rPr>
          <w:i/>
          <w:iCs/>
        </w:rPr>
        <w:t xml:space="preserve">v </w:t>
      </w:r>
      <w:proofErr w:type="spellStart"/>
      <w:r w:rsidR="001E0CBC" w:rsidRPr="0044140A">
        <w:rPr>
          <w:i/>
          <w:iCs/>
        </w:rPr>
        <w:t>Tarong</w:t>
      </w:r>
      <w:proofErr w:type="spellEnd"/>
      <w:r w:rsidR="001E0CBC" w:rsidRPr="0044140A">
        <w:rPr>
          <w:i/>
          <w:iCs/>
        </w:rPr>
        <w:t xml:space="preserve"> Energy Corporation Limited (No 2) </w:t>
      </w:r>
      <w:r w:rsidR="001E0CBC" w:rsidRPr="0044140A">
        <w:t>[2011] FCA 363</w:t>
      </w:r>
      <w:r w:rsidR="001E0CBC">
        <w:t xml:space="preserve"> [14] – [17], [32] – [33]; </w:t>
      </w:r>
      <w:r w:rsidR="001E0CBC" w:rsidRPr="0044140A">
        <w:rPr>
          <w:i/>
          <w:iCs/>
        </w:rPr>
        <w:t>O’Keeffe Nominees Pty Ltd v BP Australia Ltd (No 2)</w:t>
      </w:r>
      <w:r w:rsidR="001E0CBC" w:rsidRPr="0044140A">
        <w:t xml:space="preserve"> (1995) 55 FCR 591</w:t>
      </w:r>
      <w:r w:rsidR="001E0CBC">
        <w:t>, 598 – 599</w:t>
      </w:r>
      <w:r w:rsidR="00D94A98">
        <w:t>.</w:t>
      </w:r>
      <w:r w:rsidR="00B62BFD">
        <w:t xml:space="preserve">  The party against whom the application is made </w:t>
      </w:r>
      <w:r w:rsidR="007D279F">
        <w:t>can</w:t>
      </w:r>
      <w:r w:rsidR="00B62BFD">
        <w:t xml:space="preserve"> consider its merits and respond accordingly.  If they unwisely oppose </w:t>
      </w:r>
      <w:r w:rsidR="00436CB3">
        <w:lastRenderedPageBreak/>
        <w:t>it</w:t>
      </w:r>
      <w:r w:rsidR="0044521C">
        <w:t>, it is appropriate that they pay the costs of doing so</w:t>
      </w:r>
      <w:r w:rsidR="00C225CB">
        <w:t xml:space="preserve"> and that is so even if th</w:t>
      </w:r>
      <w:r w:rsidR="007B4999">
        <w:t xml:space="preserve">at party is </w:t>
      </w:r>
      <w:r w:rsidR="001E3980">
        <w:t xml:space="preserve">ultimately </w:t>
      </w:r>
      <w:r w:rsidR="007B4999">
        <w:t>successful in the litigation.  The purpose of the order is to provide security for the contingency that the action is not successful</w:t>
      </w:r>
      <w:r w:rsidR="003F4A1F">
        <w:t xml:space="preserve">.  Its import is not diminished merely because that contingency does not come about. </w:t>
      </w:r>
    </w:p>
    <w:p w14:paraId="483A3741" w14:textId="2E9BCAC6" w:rsidR="00721DC4" w:rsidRDefault="00333F91" w:rsidP="00E5356B">
      <w:pPr>
        <w:pStyle w:val="Heading3"/>
      </w:pPr>
      <w:r>
        <w:t xml:space="preserve">The </w:t>
      </w:r>
      <w:r w:rsidR="00E42D93">
        <w:t>“</w:t>
      </w:r>
      <w:r>
        <w:t>event</w:t>
      </w:r>
      <w:r w:rsidR="00E42D93">
        <w:t>”</w:t>
      </w:r>
    </w:p>
    <w:p w14:paraId="07634E6D" w14:textId="277605DB" w:rsidR="00721DC4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t>17</w:t>
      </w:r>
      <w:r>
        <w:rPr>
          <w:sz w:val="20"/>
        </w:rPr>
        <w:tab/>
      </w:r>
      <w:r w:rsidR="00E42D93">
        <w:t xml:space="preserve">In this matter there is some nuance in the identification of the </w:t>
      </w:r>
      <w:r w:rsidR="00B339D0">
        <w:t>“event”.  The application made by the defendants was for the plaintiffs to provide security for costs</w:t>
      </w:r>
      <w:r w:rsidR="003A64D5">
        <w:t xml:space="preserve"> in an amount of $241</w:t>
      </w:r>
      <w:r w:rsidR="00FA5F7C">
        <w:t>,</w:t>
      </w:r>
      <w:r w:rsidR="00A56D8C">
        <w:t>890</w:t>
      </w:r>
      <w:r w:rsidR="00FA5F7C">
        <w:t>.  The outcome of the application was that an order was made that Tor Capital provide security in the sum of $1</w:t>
      </w:r>
      <w:r w:rsidR="00A56D8C">
        <w:t>6</w:t>
      </w:r>
      <w:r w:rsidR="00FA5F7C">
        <w:t xml:space="preserve">0,000.  </w:t>
      </w:r>
    </w:p>
    <w:p w14:paraId="0ED36E72" w14:textId="27880008" w:rsidR="0084419C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t>18</w:t>
      </w:r>
      <w:r>
        <w:rPr>
          <w:sz w:val="20"/>
        </w:rPr>
        <w:tab/>
      </w:r>
      <w:r w:rsidR="002545A3">
        <w:t>The plaintiffs opposed the making of any order for security</w:t>
      </w:r>
      <w:r w:rsidR="00A56D8C">
        <w:t xml:space="preserve">.  They submitted that they were </w:t>
      </w:r>
      <w:r w:rsidR="00ED3C21">
        <w:t xml:space="preserve">successful in doing so on the review of the Registrar’s decision, in that </w:t>
      </w:r>
      <w:r w:rsidR="009D5908">
        <w:t>the defendants did not obtain the amount sought</w:t>
      </w:r>
      <w:r w:rsidR="00B45924">
        <w:t>,</w:t>
      </w:r>
      <w:r w:rsidR="009D5908">
        <w:t xml:space="preserve"> and neither did they obtain an order against both parties. </w:t>
      </w:r>
      <w:r w:rsidR="00B436D2">
        <w:t xml:space="preserve"> That submission should be rejected. </w:t>
      </w:r>
      <w:r w:rsidR="0084419C">
        <w:t xml:space="preserve"> </w:t>
      </w:r>
    </w:p>
    <w:p w14:paraId="65FA748C" w14:textId="0BADD9C5" w:rsidR="002810D9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t>19</w:t>
      </w:r>
      <w:r>
        <w:rPr>
          <w:sz w:val="20"/>
        </w:rPr>
        <w:tab/>
      </w:r>
      <w:r w:rsidR="002545A3">
        <w:t>At the end of the day</w:t>
      </w:r>
      <w:r w:rsidR="0084419C">
        <w:t>,</w:t>
      </w:r>
      <w:r w:rsidR="002545A3">
        <w:t xml:space="preserve"> the</w:t>
      </w:r>
      <w:r w:rsidR="001D1477">
        <w:t xml:space="preserve"> </w:t>
      </w:r>
      <w:r w:rsidR="0084419C">
        <w:t xml:space="preserve">defendants’ </w:t>
      </w:r>
      <w:r w:rsidR="001D1477">
        <w:t xml:space="preserve">application </w:t>
      </w:r>
      <w:r w:rsidR="005B7A5D">
        <w:t xml:space="preserve">for security </w:t>
      </w:r>
      <w:r w:rsidR="001D1477">
        <w:t xml:space="preserve">was substantially successful.  </w:t>
      </w:r>
      <w:r w:rsidR="002545A3">
        <w:t xml:space="preserve">Security was ordered and for a </w:t>
      </w:r>
      <w:r w:rsidR="00610703">
        <w:t>significant</w:t>
      </w:r>
      <w:r w:rsidR="002545A3">
        <w:t xml:space="preserve"> amount.</w:t>
      </w:r>
      <w:r w:rsidR="002810D9">
        <w:t xml:space="preserve">  Moreover, the amount was not far from </w:t>
      </w:r>
      <w:r w:rsidR="00610703">
        <w:t>that</w:t>
      </w:r>
      <w:r w:rsidR="002810D9">
        <w:t xml:space="preserve"> sought in the interlocutory application.</w:t>
      </w:r>
    </w:p>
    <w:p w14:paraId="07A77384" w14:textId="568A1E00" w:rsidR="001D1477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t>20</w:t>
      </w:r>
      <w:r>
        <w:rPr>
          <w:sz w:val="20"/>
        </w:rPr>
        <w:tab/>
      </w:r>
      <w:r w:rsidR="00125BD4">
        <w:t xml:space="preserve">However, </w:t>
      </w:r>
      <w:r w:rsidR="00B45924">
        <w:t xml:space="preserve">it is relevant that </w:t>
      </w:r>
      <w:r w:rsidR="00125BD4">
        <w:t>no security was ordered to be provided by Mr Fitzpatrick</w:t>
      </w:r>
      <w:r w:rsidR="002810D9">
        <w:t>,</w:t>
      </w:r>
      <w:r w:rsidR="00125BD4">
        <w:t xml:space="preserve"> </w:t>
      </w:r>
      <w:r w:rsidR="002810D9">
        <w:t xml:space="preserve">even though it had been sought from him.  </w:t>
      </w:r>
      <w:r w:rsidR="00BE1C64">
        <w:t xml:space="preserve">It was found that there was </w:t>
      </w:r>
      <w:r w:rsidR="003041C3">
        <w:t>in</w:t>
      </w:r>
      <w:r w:rsidR="00BE1C64">
        <w:t xml:space="preserve">sufficient evidence to establish that he was relevantly </w:t>
      </w:r>
      <w:r w:rsidR="00F777AB">
        <w:t>impecunious,</w:t>
      </w:r>
      <w:r w:rsidR="002531B3">
        <w:t xml:space="preserve"> </w:t>
      </w:r>
      <w:r w:rsidR="00EC3994">
        <w:t>and that there were no additional factors</w:t>
      </w:r>
      <w:r w:rsidR="00F777AB">
        <w:t xml:space="preserve"> </w:t>
      </w:r>
      <w:r w:rsidR="006126D4">
        <w:t>present which</w:t>
      </w:r>
      <w:r w:rsidR="00F777AB">
        <w:t xml:space="preserve"> might have rendered it just to make an order for security against an individual</w:t>
      </w:r>
      <w:r w:rsidR="00F20EE8">
        <w:t>.  In that sense, the application against him failed.</w:t>
      </w:r>
    </w:p>
    <w:p w14:paraId="27F1EA9C" w14:textId="454DD8FC" w:rsidR="00120E42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t>21</w:t>
      </w:r>
      <w:r>
        <w:rPr>
          <w:sz w:val="20"/>
        </w:rPr>
        <w:tab/>
      </w:r>
      <w:r w:rsidR="00C47A76">
        <w:t xml:space="preserve">Whilst the application against each of the plaintiffs </w:t>
      </w:r>
      <w:r w:rsidR="003041C3">
        <w:t>involved a consideration of</w:t>
      </w:r>
      <w:r w:rsidR="00C47A76">
        <w:t xml:space="preserve"> their own </w:t>
      </w:r>
      <w:r w:rsidR="003041C3">
        <w:t>specific</w:t>
      </w:r>
      <w:r w:rsidR="000B1F1D">
        <w:t xml:space="preserve"> issues,</w:t>
      </w:r>
      <w:r w:rsidR="0060592E">
        <w:t xml:space="preserve"> the application as a whole involved many overlapping ones.  In this respect, it </w:t>
      </w:r>
      <w:r w:rsidR="000B1F1D">
        <w:t xml:space="preserve">is </w:t>
      </w:r>
      <w:r w:rsidR="0060592E">
        <w:t xml:space="preserve">somewhat </w:t>
      </w:r>
      <w:r w:rsidR="000B1F1D">
        <w:t>difficult</w:t>
      </w:r>
      <w:r w:rsidR="00ED2535">
        <w:t>,</w:t>
      </w:r>
      <w:r w:rsidR="000B1F1D">
        <w:t xml:space="preserve"> if not impossible</w:t>
      </w:r>
      <w:r w:rsidR="00ED2535">
        <w:t>,</w:t>
      </w:r>
      <w:r w:rsidR="000B1F1D">
        <w:t xml:space="preserve"> to</w:t>
      </w:r>
      <w:r w:rsidR="00EF6FCD">
        <w:t xml:space="preserve"> disentangle the several issues as </w:t>
      </w:r>
      <w:r w:rsidR="00B45924">
        <w:t xml:space="preserve">they applied to the two plaintiffs.  </w:t>
      </w:r>
      <w:r w:rsidR="00EF6FCD">
        <w:t xml:space="preserve">To a substantial degree, the application was heard on the same evidence </w:t>
      </w:r>
      <w:r w:rsidR="00C428A0">
        <w:t xml:space="preserve">and the issues were sufficiently overlapping </w:t>
      </w:r>
      <w:r w:rsidR="007114E1">
        <w:t xml:space="preserve">such that it can be </w:t>
      </w:r>
      <w:r w:rsidR="003D566F">
        <w:t>said</w:t>
      </w:r>
      <w:r w:rsidR="007114E1">
        <w:t xml:space="preserve"> that the making of the claim against both plaintiffs made the application only marginally more complex than it would have been had it been made against only one.</w:t>
      </w:r>
      <w:r w:rsidR="00C548DD">
        <w:t xml:space="preserve">  For that </w:t>
      </w:r>
      <w:r w:rsidR="00342D13">
        <w:t>reason,</w:t>
      </w:r>
      <w:r w:rsidR="00C548DD">
        <w:t xml:space="preserve"> it can be expected that </w:t>
      </w:r>
      <w:r w:rsidR="00120E42">
        <w:t xml:space="preserve">the additional costs expended to make the application against Mr Fitzpatrick </w:t>
      </w:r>
      <w:r w:rsidR="00907F7A">
        <w:t>were</w:t>
      </w:r>
      <w:r w:rsidR="00D23128">
        <w:t xml:space="preserve"> not</w:t>
      </w:r>
      <w:r w:rsidR="00120E42">
        <w:t xml:space="preserve"> substantial.</w:t>
      </w:r>
    </w:p>
    <w:p w14:paraId="2C1CC50B" w14:textId="3CDEAADE" w:rsidR="00C47A76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t>22</w:t>
      </w:r>
      <w:r>
        <w:rPr>
          <w:sz w:val="20"/>
        </w:rPr>
        <w:tab/>
      </w:r>
      <w:r w:rsidR="00D844D2">
        <w:t xml:space="preserve">The position is </w:t>
      </w:r>
      <w:r w:rsidR="00120E42">
        <w:t>that</w:t>
      </w:r>
      <w:r w:rsidR="00A712BB">
        <w:t xml:space="preserve"> the defendants were required to bring the application in order to obtain an order for security for costs</w:t>
      </w:r>
      <w:r w:rsidR="00C548DD">
        <w:t xml:space="preserve"> </w:t>
      </w:r>
      <w:r w:rsidR="00342D13">
        <w:t xml:space="preserve">against Tor Capital, and the costs and expenses involved in such an </w:t>
      </w:r>
      <w:r w:rsidR="00342D13">
        <w:lastRenderedPageBreak/>
        <w:t>application were only marginally increased because it was brought against Mr Fitzpatrick as well.</w:t>
      </w:r>
      <w:r w:rsidR="00052FE2">
        <w:t xml:space="preserve">  In order for the defendants to be compensated for the </w:t>
      </w:r>
      <w:r w:rsidR="00B05777">
        <w:t>cost</w:t>
      </w:r>
      <w:r w:rsidR="00907F7A">
        <w:t>s</w:t>
      </w:r>
      <w:r w:rsidR="00B05777">
        <w:t xml:space="preserve"> of bringing the application, they should be entitled to an order </w:t>
      </w:r>
      <w:r w:rsidR="00B45924">
        <w:t xml:space="preserve">extending to </w:t>
      </w:r>
      <w:r w:rsidR="00B05777">
        <w:t xml:space="preserve">nearly all of the costs </w:t>
      </w:r>
      <w:r w:rsidR="008C7630">
        <w:t>(on a party and party basis) which they incurred.</w:t>
      </w:r>
    </w:p>
    <w:p w14:paraId="65F598EF" w14:textId="0C94A084" w:rsidR="008C7630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t>23</w:t>
      </w:r>
      <w:r>
        <w:rPr>
          <w:sz w:val="20"/>
        </w:rPr>
        <w:tab/>
      </w:r>
      <w:r w:rsidR="008C7630">
        <w:t xml:space="preserve">It </w:t>
      </w:r>
      <w:r w:rsidR="0007190C">
        <w:t>seemed to be</w:t>
      </w:r>
      <w:r w:rsidR="008C7630">
        <w:t xml:space="preserve"> suggested that</w:t>
      </w:r>
      <w:r w:rsidR="000866F3">
        <w:t>,</w:t>
      </w:r>
      <w:r w:rsidR="008C7630">
        <w:t xml:space="preserve"> as the defendants were completely successful before the Registrar</w:t>
      </w:r>
      <w:r w:rsidR="008649E0">
        <w:t xml:space="preserve"> but “lost ground” on the review before the Court, some additional discounting should be made.  Whilst that might be </w:t>
      </w:r>
      <w:r w:rsidR="0007190C">
        <w:t xml:space="preserve">appropriate </w:t>
      </w:r>
      <w:r w:rsidR="008649E0">
        <w:t xml:space="preserve">in some circumstances, it does not seem </w:t>
      </w:r>
      <w:r w:rsidR="0007190C">
        <w:t xml:space="preserve">to be </w:t>
      </w:r>
      <w:r w:rsidR="008649E0">
        <w:t xml:space="preserve">here. </w:t>
      </w:r>
      <w:r w:rsidR="00370D69">
        <w:t xml:space="preserve"> It must not be forgotten that, as a matter of substance, the hearing before the Registrar and the Court are all part of the one decisional continuum</w:t>
      </w:r>
      <w:r w:rsidR="002A2075">
        <w:t xml:space="preserve">, and the </w:t>
      </w:r>
      <w:r w:rsidR="002A2075" w:rsidRPr="002A2075">
        <w:rPr>
          <w:i/>
          <w:iCs/>
        </w:rPr>
        <w:t>de novo</w:t>
      </w:r>
      <w:r w:rsidR="002A2075">
        <w:t xml:space="preserve"> review by the Court is a necessary part of the one exercise of power to make the order.  </w:t>
      </w:r>
      <w:r w:rsidR="008E2C37">
        <w:t xml:space="preserve">The review before the Court is not </w:t>
      </w:r>
      <w:r w:rsidR="00A9542C">
        <w:t>analogous</w:t>
      </w:r>
      <w:r w:rsidR="008E2C37">
        <w:t xml:space="preserve"> to an appeal</w:t>
      </w:r>
      <w:r w:rsidR="00575C81">
        <w:t xml:space="preserve"> and it ought not to be </w:t>
      </w:r>
      <w:r w:rsidR="00B45924">
        <w:t xml:space="preserve">treated </w:t>
      </w:r>
      <w:r w:rsidR="00575C81">
        <w:t xml:space="preserve">as </w:t>
      </w:r>
      <w:r w:rsidR="00670989">
        <w:t xml:space="preserve">being </w:t>
      </w:r>
      <w:r w:rsidR="00B45924">
        <w:t xml:space="preserve">wholly </w:t>
      </w:r>
      <w:r w:rsidR="00670989">
        <w:t xml:space="preserve">distinct and separate from the Registrar’s consideration. </w:t>
      </w:r>
    </w:p>
    <w:p w14:paraId="7F3FC337" w14:textId="033B14AB" w:rsidR="00F20EE8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t>24</w:t>
      </w:r>
      <w:r>
        <w:rPr>
          <w:sz w:val="20"/>
        </w:rPr>
        <w:tab/>
      </w:r>
      <w:r w:rsidR="00670989">
        <w:t>Moreover</w:t>
      </w:r>
      <w:r w:rsidR="00F20EE8">
        <w:t>, whilst orders were sought against each of the plaintiffs</w:t>
      </w:r>
      <w:r w:rsidR="00C47A76">
        <w:t xml:space="preserve">, </w:t>
      </w:r>
      <w:r w:rsidR="00670989">
        <w:t>the purpose of the application was so that the defendants might obtain security in respect of the costs which they</w:t>
      </w:r>
      <w:r w:rsidR="007263E4">
        <w:t xml:space="preserve"> will expend in defending the proceedings which have been brought against them.  </w:t>
      </w:r>
      <w:r w:rsidR="00D969ED">
        <w:t xml:space="preserve">Ultimately, </w:t>
      </w:r>
      <w:r w:rsidR="00B45924">
        <w:t xml:space="preserve">they </w:t>
      </w:r>
      <w:r w:rsidR="005C228E">
        <w:t>obtained a</w:t>
      </w:r>
      <w:r w:rsidR="00C237B4">
        <w:t>n</w:t>
      </w:r>
      <w:r w:rsidR="005C228E">
        <w:t xml:space="preserve"> order</w:t>
      </w:r>
      <w:r w:rsidR="00D34BFA">
        <w:t xml:space="preserve"> </w:t>
      </w:r>
      <w:r w:rsidR="00790DF7">
        <w:t>that achieved</w:t>
      </w:r>
      <w:r w:rsidR="00D34BFA">
        <w:t xml:space="preserve"> the application</w:t>
      </w:r>
      <w:r w:rsidR="00790DF7">
        <w:t>’s</w:t>
      </w:r>
      <w:r w:rsidR="00790DF7" w:rsidRPr="00790DF7">
        <w:t xml:space="preserve"> </w:t>
      </w:r>
      <w:r w:rsidR="00790DF7">
        <w:t>purpose</w:t>
      </w:r>
      <w:r w:rsidR="00D34BFA">
        <w:t>.</w:t>
      </w:r>
      <w:r w:rsidR="003A36E4">
        <w:t xml:space="preserve">  </w:t>
      </w:r>
      <w:r w:rsidR="002A5B01">
        <w:t xml:space="preserve">It was largely irrelevant </w:t>
      </w:r>
      <w:r w:rsidR="003A2FFE">
        <w:t xml:space="preserve">whether it was achieved against either plaintiff or both.  </w:t>
      </w:r>
    </w:p>
    <w:p w14:paraId="59E7CA37" w14:textId="604FE42F" w:rsidR="00DE6986" w:rsidRDefault="00DE6986" w:rsidP="00E5356B">
      <w:pPr>
        <w:pStyle w:val="Heading3"/>
      </w:pPr>
      <w:r>
        <w:t>An apportionment</w:t>
      </w:r>
    </w:p>
    <w:p w14:paraId="1B9A7752" w14:textId="0AD407C7" w:rsidR="00DE6986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t>25</w:t>
      </w:r>
      <w:r>
        <w:rPr>
          <w:sz w:val="20"/>
        </w:rPr>
        <w:tab/>
      </w:r>
      <w:r w:rsidR="00DE6986">
        <w:t xml:space="preserve">Nevertheless, the defendants </w:t>
      </w:r>
      <w:r w:rsidR="00CB2A42">
        <w:t>accepted</w:t>
      </w:r>
      <w:r w:rsidR="00DE6986">
        <w:t xml:space="preserve"> that some discounting should be made to take into account the</w:t>
      </w:r>
      <w:r w:rsidR="002A2A03">
        <w:t xml:space="preserve"> fac</w:t>
      </w:r>
      <w:r w:rsidR="00C237B4">
        <w:t>t</w:t>
      </w:r>
      <w:r w:rsidR="002A2A03">
        <w:t xml:space="preserve"> that the application did not succeed as against Mr Fitzpatrick, and there </w:t>
      </w:r>
      <w:r w:rsidR="00FF3112">
        <w:t>are</w:t>
      </w:r>
      <w:r w:rsidR="002A2A03">
        <w:t xml:space="preserve"> not unreasonable argument</w:t>
      </w:r>
      <w:r w:rsidR="00FF3112">
        <w:t>s</w:t>
      </w:r>
      <w:r w:rsidR="002A2A03">
        <w:t xml:space="preserve"> as to why that should occur. </w:t>
      </w:r>
      <w:r w:rsidR="00FF3112">
        <w:t xml:space="preserve"> </w:t>
      </w:r>
      <w:r w:rsidR="00866403">
        <w:t>In particular,</w:t>
      </w:r>
      <w:r w:rsidR="00FF3112">
        <w:t xml:space="preserve"> that the overlap of issues </w:t>
      </w:r>
      <w:r w:rsidR="00877ACE">
        <w:t xml:space="preserve">in the application </w:t>
      </w:r>
      <w:r w:rsidR="00FF3112">
        <w:t>as between Mr Fitzpatrick and Tor Capital were not</w:t>
      </w:r>
      <w:r w:rsidR="0041386E">
        <w:t xml:space="preserve"> entirely</w:t>
      </w:r>
      <w:r w:rsidR="00FF3112">
        <w:t xml:space="preserve"> identical</w:t>
      </w:r>
      <w:r w:rsidR="00B86A32">
        <w:t>,</w:t>
      </w:r>
      <w:r w:rsidR="00FF3112">
        <w:t xml:space="preserve"> </w:t>
      </w:r>
      <w:r w:rsidR="0041386E">
        <w:t>and there were some issues relevant only to Mr Fitzpatrick</w:t>
      </w:r>
      <w:r w:rsidR="00420782">
        <w:t>,</w:t>
      </w:r>
      <w:r w:rsidR="00D41BFA">
        <w:t xml:space="preserve"> such as his personal financial position.</w:t>
      </w:r>
    </w:p>
    <w:p w14:paraId="3C171462" w14:textId="65B5CF06" w:rsidR="00D41BFA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t>26</w:t>
      </w:r>
      <w:r>
        <w:rPr>
          <w:sz w:val="20"/>
        </w:rPr>
        <w:tab/>
      </w:r>
      <w:r w:rsidR="00D41BFA">
        <w:t xml:space="preserve">This lack of coherency in issues </w:t>
      </w:r>
      <w:r w:rsidR="00420782">
        <w:t xml:space="preserve">as between the two plaintiffs </w:t>
      </w:r>
      <w:r w:rsidR="00D41BFA">
        <w:t>can justify some discounting in circumstances such as the present</w:t>
      </w:r>
      <w:r w:rsidR="004E067B">
        <w:t>.</w:t>
      </w:r>
      <w:r w:rsidR="00966A43">
        <w:t xml:space="preserve">  </w:t>
      </w:r>
      <w:r w:rsidR="007D5C63">
        <w:t xml:space="preserve">Naturally, any discounting cannot be </w:t>
      </w:r>
      <w:r w:rsidR="00093B37">
        <w:t>precise,</w:t>
      </w:r>
      <w:r w:rsidR="007D5C63">
        <w:t xml:space="preserve"> </w:t>
      </w:r>
      <w:r w:rsidR="00593C72">
        <w:t xml:space="preserve">and it must necessarily adopt a </w:t>
      </w:r>
      <w:r w:rsidR="00B86A32">
        <w:t>broad-brush</w:t>
      </w:r>
      <w:r w:rsidR="00593C72">
        <w:t xml:space="preserve"> approach</w:t>
      </w:r>
      <w:r w:rsidR="00233F1A">
        <w:t xml:space="preserve"> based on more on impression than calculus. </w:t>
      </w:r>
    </w:p>
    <w:p w14:paraId="4DE8B79A" w14:textId="0FE88152" w:rsidR="00093B37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t>27</w:t>
      </w:r>
      <w:r>
        <w:rPr>
          <w:sz w:val="20"/>
        </w:rPr>
        <w:tab/>
      </w:r>
      <w:r w:rsidR="00093B37">
        <w:t xml:space="preserve">In this case, </w:t>
      </w:r>
      <w:r w:rsidR="00932D45">
        <w:t xml:space="preserve">a 20% discount is appropriate given the quantum of importance of the issues which </w:t>
      </w:r>
      <w:r w:rsidR="001127A7">
        <w:t xml:space="preserve">were directly relevant to the claim against Mr Fitzpatrick or which also involved Mr Fitzpatrick in a way that increased the </w:t>
      </w:r>
      <w:r w:rsidR="00630048">
        <w:t xml:space="preserve">relevance of the issue to the overall outcome.  </w:t>
      </w:r>
    </w:p>
    <w:p w14:paraId="05D98C01" w14:textId="14911568" w:rsidR="008C36FC" w:rsidRDefault="008C36FC" w:rsidP="00E5356B">
      <w:pPr>
        <w:pStyle w:val="Heading3"/>
      </w:pPr>
      <w:r>
        <w:lastRenderedPageBreak/>
        <w:t>Conclusion on the issue of the costs of the application</w:t>
      </w:r>
    </w:p>
    <w:p w14:paraId="1594EC87" w14:textId="7124128C" w:rsidR="008C36FC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t>28</w:t>
      </w:r>
      <w:r>
        <w:rPr>
          <w:sz w:val="20"/>
        </w:rPr>
        <w:tab/>
      </w:r>
      <w:r w:rsidR="00FB1200">
        <w:t>It follows that</w:t>
      </w:r>
      <w:r w:rsidR="00B86A32">
        <w:t xml:space="preserve"> </w:t>
      </w:r>
      <w:r w:rsidR="00FB1200">
        <w:t xml:space="preserve">Tor Capital should pay 80% of the defendants’ costs of the </w:t>
      </w:r>
      <w:r w:rsidR="007D7164">
        <w:t>application for security for costs before the Court.</w:t>
      </w:r>
    </w:p>
    <w:p w14:paraId="3F073188" w14:textId="630B0A33" w:rsidR="007D7164" w:rsidRDefault="007D7164" w:rsidP="00E5356B">
      <w:pPr>
        <w:pStyle w:val="Heading3"/>
      </w:pPr>
      <w:r>
        <w:t>Costs before the Registrar</w:t>
      </w:r>
    </w:p>
    <w:p w14:paraId="42ED481C" w14:textId="64CEEB41" w:rsidR="00DD60A5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t>29</w:t>
      </w:r>
      <w:r>
        <w:rPr>
          <w:sz w:val="20"/>
        </w:rPr>
        <w:tab/>
      </w:r>
      <w:r w:rsidR="007A55B6">
        <w:t>The same order for costs should be made in relation to the hearing before the Registrar</w:t>
      </w:r>
      <w:r w:rsidR="00896B25">
        <w:t xml:space="preserve">.  The plaintiffs resisted the making of any order for costs </w:t>
      </w:r>
      <w:r w:rsidR="00AB6AAE">
        <w:t xml:space="preserve">before the </w:t>
      </w:r>
      <w:r w:rsidR="005900DE">
        <w:t xml:space="preserve">Registrar and whilst the Registrar’s order was not </w:t>
      </w:r>
      <w:r w:rsidR="008C1C5C">
        <w:t xml:space="preserve">entirely adopted by the Court, it was </w:t>
      </w:r>
      <w:r w:rsidR="00F44DE7">
        <w:t>substantially the same</w:t>
      </w:r>
      <w:r w:rsidR="008C1C5C">
        <w:t>.</w:t>
      </w:r>
      <w:r w:rsidR="00DD60A5">
        <w:t xml:space="preserve"> </w:t>
      </w:r>
    </w:p>
    <w:p w14:paraId="612D0FB1" w14:textId="4738B044" w:rsidR="007D7164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t>30</w:t>
      </w:r>
      <w:r>
        <w:rPr>
          <w:sz w:val="20"/>
        </w:rPr>
        <w:tab/>
      </w:r>
      <w:r w:rsidR="00DD60A5">
        <w:t xml:space="preserve">Further, as the </w:t>
      </w:r>
      <w:r w:rsidR="00D45EA4">
        <w:t xml:space="preserve">decision of the Registrar is part of the one decision making process, the overall outcome of the application </w:t>
      </w:r>
      <w:r w:rsidR="00F44DE7">
        <w:t>can be taken</w:t>
      </w:r>
      <w:r w:rsidR="007B6DA4">
        <w:t xml:space="preserve"> to</w:t>
      </w:r>
      <w:r w:rsidR="00D45EA4">
        <w:t xml:space="preserve"> be </w:t>
      </w:r>
      <w:r w:rsidR="005B0F6E">
        <w:t xml:space="preserve">the yardstick by which the costs are determined.  That being so, the costs order in relation to that part of the application should also require Tor Capital </w:t>
      </w:r>
      <w:r w:rsidR="009A03A1">
        <w:t xml:space="preserve">to </w:t>
      </w:r>
      <w:r w:rsidR="005B0F6E">
        <w:t>pay 80% of the defendants’ costs.</w:t>
      </w:r>
    </w:p>
    <w:p w14:paraId="45F561E3" w14:textId="2E65BB7F" w:rsidR="009A03A1" w:rsidRDefault="009A03A1" w:rsidP="009A03A1">
      <w:pPr>
        <w:pStyle w:val="Heading2"/>
      </w:pPr>
      <w:r>
        <w:t>Disposi</w:t>
      </w:r>
      <w:r w:rsidR="00160205">
        <w:t>tion</w:t>
      </w:r>
    </w:p>
    <w:p w14:paraId="57AE0DF5" w14:textId="5E4CE6A2" w:rsidR="00DE6986" w:rsidRDefault="00C6120E" w:rsidP="00C6120E">
      <w:pPr>
        <w:pStyle w:val="ParaNumbering"/>
        <w:numPr>
          <w:ilvl w:val="0"/>
          <w:numId w:val="0"/>
        </w:numPr>
        <w:ind w:hanging="720"/>
      </w:pPr>
      <w:r>
        <w:rPr>
          <w:sz w:val="20"/>
        </w:rPr>
        <w:t>31</w:t>
      </w:r>
      <w:r>
        <w:rPr>
          <w:sz w:val="20"/>
        </w:rPr>
        <w:tab/>
      </w:r>
      <w:r w:rsidR="00803DF5">
        <w:t xml:space="preserve">In the result, it is appropriate </w:t>
      </w:r>
      <w:r w:rsidR="00AC0CC7">
        <w:t>to</w:t>
      </w:r>
      <w:r w:rsidR="00803DF5">
        <w:t xml:space="preserve"> order that </w:t>
      </w:r>
      <w:r w:rsidR="00AC0CC7">
        <w:t>the second plaintiff</w:t>
      </w:r>
      <w:r w:rsidR="00803DF5">
        <w:t xml:space="preserve"> pay 80% of the defendants’ costs of the application for security for costs, both before the Registrar and before the Court, to be taxed or agreed.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16439A" w:rsidRPr="0016439A" w14:paraId="28930978" w14:textId="77777777">
        <w:tc>
          <w:tcPr>
            <w:tcW w:w="3794" w:type="dxa"/>
            <w:shd w:val="clear" w:color="auto" w:fill="auto"/>
          </w:tcPr>
          <w:p w14:paraId="270C93E9" w14:textId="2FE77064" w:rsidR="0016439A" w:rsidRPr="0016439A" w:rsidRDefault="0016439A" w:rsidP="0016439A">
            <w:pPr>
              <w:pStyle w:val="Normal1linespace"/>
            </w:pPr>
            <w:bookmarkStart w:id="26" w:name="Certification"/>
            <w:r w:rsidRPr="0016439A">
              <w:t xml:space="preserve">I certify that the preceding </w:t>
            </w:r>
            <w:bookmarkStart w:id="27" w:name="NumberWord"/>
            <w:r>
              <w:t>thirty-one</w:t>
            </w:r>
            <w:bookmarkEnd w:id="27"/>
            <w:r w:rsidRPr="0016439A">
              <w:t xml:space="preserve"> (</w:t>
            </w:r>
            <w:bookmarkStart w:id="28" w:name="NumberNumeral"/>
            <w:r>
              <w:t>31</w:t>
            </w:r>
            <w:bookmarkEnd w:id="28"/>
            <w:r w:rsidRPr="0016439A">
              <w:t xml:space="preserve">) numbered </w:t>
            </w:r>
            <w:bookmarkStart w:id="29" w:name="CertPara"/>
            <w:r>
              <w:t>paragraphs are</w:t>
            </w:r>
            <w:bookmarkEnd w:id="29"/>
            <w:r w:rsidRPr="0016439A">
              <w:t xml:space="preserve"> a true copy of the Reasons for Judgment of </w:t>
            </w:r>
            <w:bookmarkStart w:id="30" w:name="bkHonourable"/>
            <w:r w:rsidRPr="0016439A">
              <w:t xml:space="preserve">the Honourable </w:t>
            </w:r>
            <w:bookmarkStart w:id="31" w:name="Justice"/>
            <w:bookmarkEnd w:id="30"/>
            <w:r>
              <w:t>Justice Derrington</w:t>
            </w:r>
            <w:bookmarkEnd w:id="31"/>
            <w:r w:rsidRPr="0016439A">
              <w:t>.</w:t>
            </w:r>
          </w:p>
        </w:tc>
      </w:tr>
    </w:tbl>
    <w:p w14:paraId="1EF86145" w14:textId="4F203D8A" w:rsidR="00F8772C" w:rsidRDefault="00F8772C" w:rsidP="00815065">
      <w:pPr>
        <w:pStyle w:val="BodyText"/>
      </w:pPr>
    </w:p>
    <w:p w14:paraId="033BC16A" w14:textId="0BA31D66" w:rsidR="0016439A" w:rsidRDefault="0016439A" w:rsidP="00815065">
      <w:pPr>
        <w:pStyle w:val="BodyText"/>
      </w:pPr>
      <w:r>
        <w:t>Associate:</w:t>
      </w:r>
      <w:r w:rsidR="00F8772C">
        <w:tab/>
      </w:r>
    </w:p>
    <w:p w14:paraId="26779F48" w14:textId="77777777" w:rsidR="0016439A" w:rsidRDefault="0016439A" w:rsidP="00815065">
      <w:pPr>
        <w:pStyle w:val="BodyText"/>
      </w:pPr>
    </w:p>
    <w:p w14:paraId="5626413C" w14:textId="5CCF8BB6" w:rsidR="0016439A" w:rsidRDefault="0016439A" w:rsidP="00815065">
      <w:pPr>
        <w:pStyle w:val="BodyText"/>
        <w:tabs>
          <w:tab w:val="left" w:pos="1134"/>
        </w:tabs>
      </w:pPr>
      <w:r>
        <w:t>Dated:</w:t>
      </w:r>
      <w:r>
        <w:tab/>
      </w:r>
      <w:bookmarkStart w:id="32" w:name="CertifyDated"/>
      <w:r>
        <w:t>18 December 2024</w:t>
      </w:r>
      <w:bookmarkEnd w:id="32"/>
    </w:p>
    <w:bookmarkEnd w:id="26"/>
    <w:p w14:paraId="2E2B7477" w14:textId="2BB73553" w:rsidR="000E6C12" w:rsidRDefault="000E6C12" w:rsidP="0016439A">
      <w:pPr>
        <w:pStyle w:val="BodyText"/>
      </w:pPr>
    </w:p>
    <w:p w14:paraId="1071A793" w14:textId="7336674D" w:rsidR="00112B54" w:rsidRDefault="00112B54">
      <w:pPr>
        <w:spacing w:line="240" w:lineRule="auto"/>
        <w:jc w:val="left"/>
      </w:pPr>
      <w:r>
        <w:br w:type="page"/>
      </w:r>
    </w:p>
    <w:p w14:paraId="564B920E" w14:textId="77777777" w:rsidR="00112B54" w:rsidRPr="00CD498A" w:rsidRDefault="00112B54" w:rsidP="00E91A0F">
      <w:pPr>
        <w:pStyle w:val="NormalHeadings"/>
        <w:spacing w:before="180" w:line="480" w:lineRule="auto"/>
        <w:jc w:val="center"/>
        <w:rPr>
          <w:sz w:val="28"/>
          <w:szCs w:val="28"/>
        </w:rPr>
      </w:pPr>
      <w:bookmarkStart w:id="33" w:name="SOP_Section"/>
      <w:r w:rsidRPr="00CD498A">
        <w:rPr>
          <w:sz w:val="28"/>
          <w:szCs w:val="28"/>
        </w:rPr>
        <w:lastRenderedPageBreak/>
        <w:t>SCHEDULE OF PARTIES</w:t>
      </w:r>
    </w:p>
    <w:p w14:paraId="2C2F023F" w14:textId="77777777" w:rsidR="00112B54" w:rsidRPr="00663089" w:rsidRDefault="00112B54" w:rsidP="00A46818">
      <w:pPr>
        <w:pStyle w:val="BodyText"/>
      </w:pPr>
    </w:p>
    <w:tbl>
      <w:tblPr>
        <w:tblW w:w="9242" w:type="dxa"/>
        <w:tblLayout w:type="fixed"/>
        <w:tblLook w:val="0000" w:firstRow="0" w:lastRow="0" w:firstColumn="0" w:lastColumn="0" w:noHBand="0" w:noVBand="0"/>
        <w:tblCaption w:val="SOP Table"/>
        <w:tblDescription w:val="SOP Table"/>
      </w:tblPr>
      <w:tblGrid>
        <w:gridCol w:w="3368"/>
        <w:gridCol w:w="5874"/>
      </w:tblGrid>
      <w:tr w:rsidR="00112B54" w14:paraId="663292A0" w14:textId="77777777" w:rsidTr="00112B54">
        <w:tc>
          <w:tcPr>
            <w:tcW w:w="3368" w:type="dxa"/>
          </w:tcPr>
          <w:p w14:paraId="2275F897" w14:textId="77777777" w:rsidR="00112B54" w:rsidRDefault="00112B54" w:rsidP="00A46818">
            <w:pPr>
              <w:pStyle w:val="NormalHeadings"/>
              <w:jc w:val="left"/>
              <w:rPr>
                <w:caps/>
                <w:szCs w:val="24"/>
              </w:rPr>
            </w:pPr>
          </w:p>
        </w:tc>
        <w:tc>
          <w:tcPr>
            <w:tcW w:w="5874" w:type="dxa"/>
          </w:tcPr>
          <w:p w14:paraId="22CE7A32" w14:textId="6BFE5FC8" w:rsidR="00112B54" w:rsidRDefault="00112B54" w:rsidP="00A46818">
            <w:pPr>
              <w:pStyle w:val="NormalHeadings"/>
              <w:jc w:val="right"/>
            </w:pPr>
            <w:r>
              <w:fldChar w:fldCharType="begin" w:fldLock="1"/>
            </w:r>
            <w:r>
              <w:instrText xml:space="preserve"> REF  FileNo </w:instrText>
            </w:r>
            <w:r>
              <w:fldChar w:fldCharType="separate"/>
            </w:r>
            <w:r>
              <w:t>QUD 365 of 2023</w:t>
            </w:r>
            <w:r>
              <w:fldChar w:fldCharType="end"/>
            </w:r>
          </w:p>
        </w:tc>
      </w:tr>
      <w:tr w:rsidR="00112B54" w14:paraId="5F189070" w14:textId="77777777" w:rsidTr="00112B54">
        <w:trPr>
          <w:trHeight w:val="386"/>
        </w:trPr>
        <w:tc>
          <w:tcPr>
            <w:tcW w:w="3368" w:type="dxa"/>
          </w:tcPr>
          <w:p w14:paraId="3D636DB7" w14:textId="68932FFB" w:rsidR="00112B54" w:rsidRDefault="00112B54" w:rsidP="00A46818">
            <w:pPr>
              <w:pStyle w:val="BodyTextBold"/>
              <w:spacing w:before="180"/>
              <w:jc w:val="left"/>
            </w:pPr>
            <w:bookmarkStart w:id="34" w:name="SOP_CrossRespondentRows" w:colFirst="0" w:colLast="1"/>
            <w:r>
              <w:t>Cross-Defendants</w:t>
            </w:r>
          </w:p>
        </w:tc>
        <w:tc>
          <w:tcPr>
            <w:tcW w:w="5874" w:type="dxa"/>
            <w:tcMar>
              <w:left w:w="28" w:type="dxa"/>
            </w:tcMar>
          </w:tcPr>
          <w:p w14:paraId="2A74D4E8" w14:textId="77777777" w:rsidR="00112B54" w:rsidRDefault="00112B54" w:rsidP="00A46818">
            <w:pPr>
              <w:pStyle w:val="BodyText"/>
              <w:jc w:val="left"/>
            </w:pPr>
          </w:p>
        </w:tc>
      </w:tr>
      <w:tr w:rsidR="00112B54" w14:paraId="7983AE59" w14:textId="77777777" w:rsidTr="00112B54">
        <w:trPr>
          <w:trHeight w:val="386"/>
        </w:trPr>
        <w:tc>
          <w:tcPr>
            <w:tcW w:w="3368" w:type="dxa"/>
          </w:tcPr>
          <w:p w14:paraId="4C69EF74" w14:textId="71A4917A" w:rsidR="00112B54" w:rsidRPr="007B4DC5" w:rsidRDefault="00112B54" w:rsidP="00A46818">
            <w:pPr>
              <w:pStyle w:val="BodyText"/>
              <w:spacing w:after="240" w:line="240" w:lineRule="auto"/>
              <w:jc w:val="left"/>
            </w:pPr>
            <w:bookmarkStart w:id="35" w:name="SOP_FirstCrossRespondent"/>
            <w:bookmarkEnd w:id="35"/>
            <w:r>
              <w:t>Second Cross-Defendant</w:t>
            </w:r>
          </w:p>
        </w:tc>
        <w:tc>
          <w:tcPr>
            <w:tcW w:w="5874" w:type="dxa"/>
            <w:tcMar>
              <w:left w:w="28" w:type="dxa"/>
            </w:tcMar>
          </w:tcPr>
          <w:p w14:paraId="17141C05" w14:textId="516DDD05" w:rsidR="00112B54" w:rsidRDefault="00112B54" w:rsidP="00A46818">
            <w:pPr>
              <w:pStyle w:val="BodyText"/>
              <w:spacing w:after="240" w:line="240" w:lineRule="auto"/>
              <w:jc w:val="left"/>
            </w:pPr>
            <w:r>
              <w:t>HEATH FITZPATRICK</w:t>
            </w:r>
          </w:p>
        </w:tc>
      </w:tr>
      <w:bookmarkEnd w:id="34"/>
    </w:tbl>
    <w:p w14:paraId="4BC497EC" w14:textId="77777777" w:rsidR="00112B54" w:rsidRDefault="00112B54" w:rsidP="002B0E91">
      <w:pPr>
        <w:pStyle w:val="BodyText"/>
      </w:pPr>
    </w:p>
    <w:bookmarkEnd w:id="33"/>
    <w:p w14:paraId="0925D7F5" w14:textId="77777777" w:rsidR="00112B54" w:rsidRDefault="00112B54" w:rsidP="00112B54">
      <w:pPr>
        <w:pStyle w:val="BodyText"/>
      </w:pPr>
    </w:p>
    <w:sectPr w:rsidR="00112B54" w:rsidSect="00E77422">
      <w:headerReference w:type="even" r:id="rId22"/>
      <w:headerReference w:type="default" r:id="rId23"/>
      <w:footerReference w:type="default" r:id="rId24"/>
      <w:headerReference w:type="first" r:id="rId25"/>
      <w:footerReference w:type="first" r:id="rId26"/>
      <w:endnotePr>
        <w:numFmt w:val="decimal"/>
      </w:endnotePr>
      <w:pgSz w:w="11907" w:h="16840" w:code="9"/>
      <w:pgMar w:top="1440" w:right="1440" w:bottom="1440" w:left="1440" w:header="851" w:footer="851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6CDC3" w14:textId="77777777" w:rsidR="00D53D54" w:rsidRDefault="00D53D54">
      <w:pPr>
        <w:spacing w:line="20" w:lineRule="exact"/>
      </w:pPr>
    </w:p>
    <w:p w14:paraId="58C08502" w14:textId="77777777" w:rsidR="00D53D54" w:rsidRDefault="00D53D54"/>
    <w:p w14:paraId="6CBB8F64" w14:textId="77777777" w:rsidR="00D53D54" w:rsidRDefault="00D53D54"/>
  </w:endnote>
  <w:endnote w:type="continuationSeparator" w:id="0">
    <w:p w14:paraId="21F203F4" w14:textId="77777777" w:rsidR="00D53D54" w:rsidRDefault="00D53D54">
      <w:r>
        <w:t xml:space="preserve"> </w:t>
      </w:r>
    </w:p>
    <w:p w14:paraId="5C8E79FC" w14:textId="77777777" w:rsidR="00D53D54" w:rsidRDefault="00D53D54"/>
    <w:p w14:paraId="60EAAA49" w14:textId="77777777" w:rsidR="00D53D54" w:rsidRDefault="00D53D54"/>
  </w:endnote>
  <w:endnote w:type="continuationNotice" w:id="1">
    <w:p w14:paraId="2CAF86BA" w14:textId="77777777" w:rsidR="00D53D54" w:rsidRDefault="00D53D54">
      <w:r>
        <w:t xml:space="preserve"> </w:t>
      </w:r>
    </w:p>
    <w:p w14:paraId="64D06037" w14:textId="77777777" w:rsidR="00D53D54" w:rsidRDefault="00D53D54"/>
    <w:p w14:paraId="2908053C" w14:textId="77777777" w:rsidR="00D53D54" w:rsidRDefault="00D53D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115F9" w14:textId="77777777" w:rsidR="0016439A" w:rsidRDefault="001643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6B6D3" w14:textId="4CB5A92C" w:rsidR="00A436E8" w:rsidRPr="00C47B9D" w:rsidRDefault="00A436E8" w:rsidP="00B2435E">
    <w:pPr>
      <w:pStyle w:val="Footer"/>
      <w:tabs>
        <w:tab w:val="clear" w:pos="4320"/>
        <w:tab w:val="clear" w:pos="8640"/>
        <w:tab w:val="right" w:pos="8931"/>
      </w:tabs>
      <w:spacing w:before="180" w:line="240" w:lineRule="auto"/>
      <w:jc w:val="left"/>
      <w:rPr>
        <w:bCs/>
        <w:sz w:val="18"/>
        <w:szCs w:val="18"/>
      </w:rPr>
    </w:pPr>
    <w:r w:rsidRPr="00F76A9B">
      <w:rPr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0F0E5BE" wp14:editId="34AA52DC">
              <wp:simplePos x="0" y="0"/>
              <wp:positionH relativeFrom="column">
                <wp:posOffset>-28575</wp:posOffset>
              </wp:positionH>
              <wp:positionV relativeFrom="paragraph">
                <wp:posOffset>-635</wp:posOffset>
              </wp:positionV>
              <wp:extent cx="294322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43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46712E" id="Straight Connector 5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-.05pt" to="229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" strokecolor="black [3213]"/>
          </w:pict>
        </mc:Fallback>
      </mc:AlternateContent>
    </w:r>
    <w:sdt>
      <w:sdtPr>
        <w:rPr>
          <w:bCs/>
          <w:sz w:val="18"/>
          <w:szCs w:val="18"/>
        </w:rPr>
        <w:tag w:val="MNC"/>
        <w:id w:val="1707292070"/>
        <w:dataBinding w:prefixMappings="xmlns:ns0='http://schemas.globalmacros.com/FCA'" w:xpath="/ns0:root[1]/ns0:Name[1]" w:storeItemID="{687E7CCB-4AA5-44E7-B148-17BA2B6F57C0}"/>
        <w:text w:multiLine="1"/>
      </w:sdtPr>
      <w:sdtEndPr/>
      <w:sdtContent>
        <w:r w:rsidR="00F8772C">
          <w:rPr>
            <w:bCs/>
            <w:sz w:val="18"/>
            <w:szCs w:val="18"/>
          </w:rPr>
          <w:t>Fitzpatrick v Isaacs (No 2) [2024] FCA 1454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1AA89" w14:textId="4A6925CF" w:rsidR="00395B24" w:rsidRPr="0016439A" w:rsidRDefault="00395B24" w:rsidP="001643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CED57" w14:textId="42AE56BB" w:rsidR="00A84FD0" w:rsidRPr="00C47B9D" w:rsidRDefault="00A84FD0" w:rsidP="00E94CBF">
    <w:pPr>
      <w:pStyle w:val="Footer"/>
      <w:tabs>
        <w:tab w:val="clear" w:pos="4320"/>
        <w:tab w:val="clear" w:pos="8640"/>
        <w:tab w:val="right" w:pos="8931"/>
      </w:tabs>
      <w:spacing w:before="180" w:line="240" w:lineRule="auto"/>
      <w:jc w:val="left"/>
      <w:rPr>
        <w:bCs/>
        <w:sz w:val="18"/>
        <w:szCs w:val="18"/>
      </w:rPr>
    </w:pPr>
    <w:r w:rsidRPr="00F76A9B">
      <w:rPr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399B8B" wp14:editId="0E10C568">
              <wp:simplePos x="0" y="0"/>
              <wp:positionH relativeFrom="column">
                <wp:posOffset>-28575</wp:posOffset>
              </wp:positionH>
              <wp:positionV relativeFrom="paragraph">
                <wp:posOffset>21590</wp:posOffset>
              </wp:positionV>
              <wp:extent cx="2943225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43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5C5393" id="Straight Connector 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.7pt" to="229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" strokecolor="black [3213]"/>
          </w:pict>
        </mc:Fallback>
      </mc:AlternateContent>
    </w:r>
    <w:sdt>
      <w:sdtPr>
        <w:rPr>
          <w:bCs/>
          <w:sz w:val="18"/>
          <w:szCs w:val="18"/>
        </w:rPr>
        <w:tag w:val="MNC"/>
        <w:id w:val="-831216538"/>
        <w:dataBinding w:prefixMappings="xmlns:ns0='http://schemas.globalmacros.com/FCA'" w:xpath="/ns0:root[1]/ns0:Name[1]" w:storeItemID="{687E7CCB-4AA5-44E7-B148-17BA2B6F57C0}"/>
        <w:text w:multiLine="1"/>
      </w:sdtPr>
      <w:sdtEndPr/>
      <w:sdtContent>
        <w:r w:rsidR="00F8772C">
          <w:rPr>
            <w:bCs/>
            <w:sz w:val="18"/>
            <w:szCs w:val="18"/>
          </w:rPr>
          <w:t>Fitzpatrick v Isaacs (No 2) [2024] FCA 1454</w:t>
        </w:r>
      </w:sdtContent>
    </w:sdt>
    <w:r>
      <w:rPr>
        <w:bCs/>
        <w:sz w:val="18"/>
        <w:szCs w:val="18"/>
      </w:rPr>
      <w:tab/>
    </w:r>
    <w:r w:rsidRPr="00EA7F6D">
      <w:rPr>
        <w:bCs/>
        <w:sz w:val="20"/>
      </w:rPr>
      <w:fldChar w:fldCharType="begin"/>
    </w:r>
    <w:r w:rsidRPr="00EA7F6D">
      <w:rPr>
        <w:bCs/>
        <w:sz w:val="20"/>
      </w:rPr>
      <w:instrText xml:space="preserve"> PAGE   \* MERGEFORMAT </w:instrText>
    </w:r>
    <w:r w:rsidRPr="00EA7F6D">
      <w:rPr>
        <w:bCs/>
        <w:sz w:val="20"/>
      </w:rPr>
      <w:fldChar w:fldCharType="separate"/>
    </w:r>
    <w:r>
      <w:rPr>
        <w:bCs/>
        <w:sz w:val="20"/>
      </w:rPr>
      <w:t>i</w:t>
    </w:r>
    <w:proofErr w:type="spellStart"/>
    <w:r>
      <w:rPr>
        <w:bCs/>
        <w:sz w:val="20"/>
      </w:rPr>
      <w:t>i</w:t>
    </w:r>
    <w:proofErr w:type="spellEnd"/>
    <w:r w:rsidRPr="00EA7F6D">
      <w:rPr>
        <w:bCs/>
        <w:noProof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2C5AB" w14:textId="4454C86A" w:rsidR="00A436E8" w:rsidRPr="00C47B9D" w:rsidRDefault="00A436E8" w:rsidP="00B2435E">
    <w:pPr>
      <w:pStyle w:val="Footer"/>
      <w:tabs>
        <w:tab w:val="clear" w:pos="4320"/>
        <w:tab w:val="clear" w:pos="8640"/>
        <w:tab w:val="right" w:pos="8931"/>
      </w:tabs>
      <w:spacing w:before="180" w:line="240" w:lineRule="auto"/>
      <w:jc w:val="left"/>
      <w:rPr>
        <w:bCs/>
        <w:sz w:val="18"/>
        <w:szCs w:val="18"/>
      </w:rPr>
    </w:pPr>
    <w:r w:rsidRPr="00F76A9B">
      <w:rPr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71CE75" wp14:editId="0D0A2C05">
              <wp:simplePos x="0" y="0"/>
              <wp:positionH relativeFrom="column">
                <wp:posOffset>-28575</wp:posOffset>
              </wp:positionH>
              <wp:positionV relativeFrom="paragraph">
                <wp:posOffset>21590</wp:posOffset>
              </wp:positionV>
              <wp:extent cx="29432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43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B341C7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.7pt" to="229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" strokecolor="black [3213]"/>
          </w:pict>
        </mc:Fallback>
      </mc:AlternateContent>
    </w:r>
    <w:sdt>
      <w:sdtPr>
        <w:rPr>
          <w:bCs/>
          <w:sz w:val="18"/>
          <w:szCs w:val="18"/>
        </w:rPr>
        <w:tag w:val="MNC"/>
        <w:id w:val="510263260"/>
        <w:dataBinding w:prefixMappings="xmlns:ns0='http://schemas.globalmacros.com/FCA'" w:xpath="/ns0:root[1]/ns0:Name[1]" w:storeItemID="{687E7CCB-4AA5-44E7-B148-17BA2B6F57C0}"/>
        <w:text w:multiLine="1"/>
      </w:sdtPr>
      <w:sdtEndPr/>
      <w:sdtContent>
        <w:r w:rsidR="00F8772C">
          <w:rPr>
            <w:bCs/>
            <w:sz w:val="18"/>
            <w:szCs w:val="18"/>
          </w:rPr>
          <w:t>Fitzpatrick v Isaacs (No 2) [2024] FCA 1454</w:t>
        </w:r>
      </w:sdtContent>
    </w:sdt>
    <w:r>
      <w:rPr>
        <w:bCs/>
        <w:sz w:val="18"/>
        <w:szCs w:val="18"/>
      </w:rPr>
      <w:tab/>
    </w:r>
    <w:r w:rsidRPr="00EA7F6D">
      <w:rPr>
        <w:bCs/>
        <w:sz w:val="20"/>
      </w:rPr>
      <w:fldChar w:fldCharType="begin"/>
    </w:r>
    <w:r w:rsidRPr="00EA7F6D">
      <w:rPr>
        <w:bCs/>
        <w:sz w:val="20"/>
      </w:rPr>
      <w:instrText xml:space="preserve"> PAGE   \* MERGEFORMAT </w:instrText>
    </w:r>
    <w:r w:rsidRPr="00EA7F6D">
      <w:rPr>
        <w:bCs/>
        <w:sz w:val="20"/>
      </w:rPr>
      <w:fldChar w:fldCharType="separate"/>
    </w:r>
    <w:proofErr w:type="spellStart"/>
    <w:r>
      <w:rPr>
        <w:bCs/>
        <w:sz w:val="20"/>
      </w:rPr>
      <w:t>i</w:t>
    </w:r>
    <w:proofErr w:type="spellEnd"/>
    <w:r w:rsidRPr="00EA7F6D">
      <w:rPr>
        <w:bCs/>
        <w:noProof/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58431" w14:textId="2BC01DA1" w:rsidR="00A84FD0" w:rsidRPr="00C47B9D" w:rsidRDefault="00A84FD0" w:rsidP="00B2435E">
    <w:pPr>
      <w:pStyle w:val="Footer"/>
      <w:tabs>
        <w:tab w:val="clear" w:pos="4320"/>
        <w:tab w:val="clear" w:pos="8640"/>
        <w:tab w:val="right" w:pos="8931"/>
      </w:tabs>
      <w:spacing w:before="180" w:line="240" w:lineRule="auto"/>
      <w:jc w:val="left"/>
      <w:rPr>
        <w:bCs/>
        <w:sz w:val="18"/>
        <w:szCs w:val="18"/>
      </w:rPr>
    </w:pPr>
    <w:r w:rsidRPr="00F76A9B">
      <w:rPr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A477EEA" wp14:editId="03DCB6F5">
              <wp:simplePos x="0" y="0"/>
              <wp:positionH relativeFrom="column">
                <wp:posOffset>-28575</wp:posOffset>
              </wp:positionH>
              <wp:positionV relativeFrom="paragraph">
                <wp:posOffset>21590</wp:posOffset>
              </wp:positionV>
              <wp:extent cx="2943225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43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E4D491" id="Straight Connector 7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.7pt" to="229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" strokecolor="black [3213]"/>
          </w:pict>
        </mc:Fallback>
      </mc:AlternateContent>
    </w:r>
    <w:sdt>
      <w:sdtPr>
        <w:rPr>
          <w:bCs/>
          <w:sz w:val="18"/>
          <w:szCs w:val="18"/>
        </w:rPr>
        <w:tag w:val="MNC"/>
        <w:id w:val="1095746746"/>
        <w:dataBinding w:prefixMappings="xmlns:ns0='http://schemas.globalmacros.com/FCA'" w:xpath="/ns0:root[1]/ns0:Name[1]" w:storeItemID="{687E7CCB-4AA5-44E7-B148-17BA2B6F57C0}"/>
        <w:text w:multiLine="1"/>
      </w:sdtPr>
      <w:sdtEndPr/>
      <w:sdtContent>
        <w:r w:rsidR="00F8772C">
          <w:rPr>
            <w:bCs/>
            <w:sz w:val="18"/>
            <w:szCs w:val="18"/>
          </w:rPr>
          <w:t>Fitzpatrick v Isaacs (No 2) [2024] FCA 1454</w:t>
        </w:r>
      </w:sdtContent>
    </w:sdt>
    <w:r>
      <w:rPr>
        <w:bCs/>
        <w:sz w:val="18"/>
        <w:szCs w:val="18"/>
      </w:rPr>
      <w:tab/>
    </w:r>
    <w:r w:rsidRPr="00EA7F6D">
      <w:rPr>
        <w:bCs/>
        <w:sz w:val="20"/>
      </w:rPr>
      <w:fldChar w:fldCharType="begin"/>
    </w:r>
    <w:r w:rsidRPr="00EA7F6D">
      <w:rPr>
        <w:bCs/>
        <w:sz w:val="20"/>
      </w:rPr>
      <w:instrText xml:space="preserve"> PAGE   \* MERGEFORMAT </w:instrText>
    </w:r>
    <w:r w:rsidRPr="00EA7F6D">
      <w:rPr>
        <w:bCs/>
        <w:sz w:val="20"/>
      </w:rPr>
      <w:fldChar w:fldCharType="separate"/>
    </w:r>
    <w:r>
      <w:rPr>
        <w:bCs/>
        <w:sz w:val="20"/>
      </w:rPr>
      <w:t>2</w:t>
    </w:r>
    <w:r w:rsidRPr="00EA7F6D">
      <w:rPr>
        <w:bCs/>
        <w:noProof/>
        <w:sz w:val="2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6DA3C" w14:textId="466B449E" w:rsidR="00A84FD0" w:rsidRPr="00C47B9D" w:rsidRDefault="00A84FD0" w:rsidP="00B2435E">
    <w:pPr>
      <w:pStyle w:val="Footer"/>
      <w:tabs>
        <w:tab w:val="clear" w:pos="4320"/>
        <w:tab w:val="clear" w:pos="8640"/>
        <w:tab w:val="right" w:pos="8931"/>
      </w:tabs>
      <w:spacing w:before="180" w:line="240" w:lineRule="auto"/>
      <w:jc w:val="left"/>
      <w:rPr>
        <w:bCs/>
        <w:sz w:val="18"/>
        <w:szCs w:val="18"/>
      </w:rPr>
    </w:pPr>
    <w:r w:rsidRPr="00F76A9B">
      <w:rPr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5638C00" wp14:editId="16FEC248">
              <wp:simplePos x="0" y="0"/>
              <wp:positionH relativeFrom="column">
                <wp:posOffset>-28575</wp:posOffset>
              </wp:positionH>
              <wp:positionV relativeFrom="paragraph">
                <wp:posOffset>21590</wp:posOffset>
              </wp:positionV>
              <wp:extent cx="29432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43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BBF08A" id="Straight Connector 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.7pt" to="229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" strokecolor="black [3213]"/>
          </w:pict>
        </mc:Fallback>
      </mc:AlternateContent>
    </w:r>
    <w:sdt>
      <w:sdtPr>
        <w:rPr>
          <w:bCs/>
          <w:sz w:val="18"/>
          <w:szCs w:val="18"/>
        </w:rPr>
        <w:tag w:val="MNC"/>
        <w:id w:val="-1532949365"/>
        <w:dataBinding w:prefixMappings="xmlns:ns0='http://schemas.globalmacros.com/FCA'" w:xpath="/ns0:root[1]/ns0:Name[1]" w:storeItemID="{687E7CCB-4AA5-44E7-B148-17BA2B6F57C0}"/>
        <w:text w:multiLine="1"/>
      </w:sdtPr>
      <w:sdtEndPr/>
      <w:sdtContent>
        <w:r w:rsidR="00F8772C">
          <w:rPr>
            <w:bCs/>
            <w:sz w:val="18"/>
            <w:szCs w:val="18"/>
          </w:rPr>
          <w:t>Fitzpatrick v Isaacs (No 2) [2024] FCA 1454</w:t>
        </w:r>
      </w:sdtContent>
    </w:sdt>
    <w:r>
      <w:rPr>
        <w:bCs/>
        <w:sz w:val="18"/>
        <w:szCs w:val="18"/>
      </w:rPr>
      <w:tab/>
    </w:r>
    <w:r w:rsidRPr="00EA7F6D">
      <w:rPr>
        <w:bCs/>
        <w:sz w:val="20"/>
      </w:rPr>
      <w:fldChar w:fldCharType="begin"/>
    </w:r>
    <w:r w:rsidRPr="00EA7F6D">
      <w:rPr>
        <w:bCs/>
        <w:sz w:val="20"/>
      </w:rPr>
      <w:instrText xml:space="preserve"> PAGE   \* MERGEFORMAT </w:instrText>
    </w:r>
    <w:r w:rsidRPr="00EA7F6D">
      <w:rPr>
        <w:bCs/>
        <w:sz w:val="20"/>
      </w:rPr>
      <w:fldChar w:fldCharType="separate"/>
    </w:r>
    <w:r>
      <w:rPr>
        <w:bCs/>
        <w:sz w:val="20"/>
      </w:rPr>
      <w:t>1</w:t>
    </w:r>
    <w:r w:rsidRPr="00EA7F6D">
      <w:rPr>
        <w:bCs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A0ED4" w14:textId="77777777" w:rsidR="00D53D54" w:rsidRDefault="00D53D54"/>
  </w:footnote>
  <w:footnote w:type="continuationSeparator" w:id="0">
    <w:p w14:paraId="5FC47706" w14:textId="77777777" w:rsidR="00D53D54" w:rsidRDefault="00D53D54">
      <w:r>
        <w:continuationSeparator/>
      </w:r>
    </w:p>
    <w:p w14:paraId="0F1710E7" w14:textId="77777777" w:rsidR="00D53D54" w:rsidRDefault="00D53D54"/>
    <w:p w14:paraId="02F01ABB" w14:textId="77777777" w:rsidR="00D53D54" w:rsidRDefault="00D53D54"/>
  </w:footnote>
  <w:footnote w:type="continuationNotice" w:id="1">
    <w:p w14:paraId="79E685E8" w14:textId="77777777" w:rsidR="00D53D54" w:rsidRDefault="00D53D5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F4DF7" w14:textId="77777777" w:rsidR="0016439A" w:rsidRDefault="001643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5F264" w14:textId="77777777" w:rsidR="0016439A" w:rsidRDefault="001643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7D953" w14:textId="77777777" w:rsidR="0016439A" w:rsidRDefault="0016439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BE840" w14:textId="77777777" w:rsidR="00395B24" w:rsidRDefault="00395B24">
    <w:pPr>
      <w:tabs>
        <w:tab w:val="center" w:pos="4512"/>
      </w:tabs>
      <w:suppressAutoHyphens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27DF8" w14:textId="77777777" w:rsidR="00395B24" w:rsidRDefault="00395B24">
    <w:pPr>
      <w:pStyle w:val="Header"/>
      <w:tabs>
        <w:tab w:val="clear" w:pos="4320"/>
        <w:tab w:val="clear" w:pos="8640"/>
      </w:tabs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65F7" w14:textId="77777777" w:rsidR="00395B24" w:rsidRDefault="00395B2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E277D" w14:textId="77777777" w:rsidR="00395B24" w:rsidRDefault="00395B24">
    <w:pPr>
      <w:tabs>
        <w:tab w:val="center" w:pos="4512"/>
      </w:tabs>
      <w:suppressAutoHyphens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6EFBE" w14:textId="77777777" w:rsidR="00395B24" w:rsidRDefault="00395B24" w:rsidP="00A436E8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23ACB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4AF1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3689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2294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E2E98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26AA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947F0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5AED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EC11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DC14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E2A2F"/>
    <w:multiLevelType w:val="multilevel"/>
    <w:tmpl w:val="F61AF490"/>
    <w:styleLink w:val="FCListNoalt"/>
    <w:lvl w:ilvl="0">
      <w:start w:val="1"/>
      <w:numFmt w:val="lowerLetter"/>
      <w:lvlRestart w:val="0"/>
      <w:pStyle w:val="ListNo1alt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lowerRoman"/>
      <w:pStyle w:val="ListNo2alt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pStyle w:val="ListNo3alt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1" w15:restartNumberingAfterBreak="0">
    <w:nsid w:val="0B9B7C7A"/>
    <w:multiLevelType w:val="hybridMultilevel"/>
    <w:tmpl w:val="0D8E828C"/>
    <w:lvl w:ilvl="0" w:tplc="E5462CDA">
      <w:start w:val="1"/>
      <w:numFmt w:val="bullet"/>
      <w:pStyle w:val="Quote2Bullet"/>
      <w:lvlText w:val="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68F28D0"/>
    <w:multiLevelType w:val="multilevel"/>
    <w:tmpl w:val="D26E5E56"/>
    <w:lvl w:ilvl="0">
      <w:start w:val="1"/>
      <w:numFmt w:val="bullet"/>
      <w:pStyle w:val="FCBullets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FCBullets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13" w15:restartNumberingAfterBreak="0">
    <w:nsid w:val="1C1468D3"/>
    <w:multiLevelType w:val="multilevel"/>
    <w:tmpl w:val="0F0EC90E"/>
    <w:styleLink w:val="FCListNo"/>
    <w:lvl w:ilvl="0">
      <w:start w:val="1"/>
      <w:numFmt w:val="decimal"/>
      <w:lvlRestart w:val="0"/>
      <w:pStyle w:val="ListNo1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lowerLetter"/>
      <w:pStyle w:val="ListNo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ListNo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4" w15:restartNumberingAfterBreak="0">
    <w:nsid w:val="29AE3DD1"/>
    <w:multiLevelType w:val="singleLevel"/>
    <w:tmpl w:val="5C92B9B0"/>
    <w:lvl w:ilvl="0">
      <w:start w:val="1"/>
      <w:numFmt w:val="decimal"/>
      <w:lvlRestart w:val="0"/>
      <w:pStyle w:val="ParaNumbering"/>
      <w:lvlText w:val="%1"/>
      <w:lvlJc w:val="left"/>
      <w:pPr>
        <w:tabs>
          <w:tab w:val="num" w:pos="720"/>
        </w:tabs>
        <w:ind w:left="0" w:hanging="720"/>
      </w:pPr>
      <w:rPr>
        <w:rFonts w:hint="default"/>
        <w:sz w:val="20"/>
      </w:rPr>
    </w:lvl>
  </w:abstractNum>
  <w:abstractNum w:abstractNumId="15" w15:restartNumberingAfterBreak="0">
    <w:nsid w:val="2AD4345C"/>
    <w:multiLevelType w:val="multilevel"/>
    <w:tmpl w:val="A1C8FFD0"/>
    <w:styleLink w:val="FCOrders"/>
    <w:lvl w:ilvl="0">
      <w:start w:val="1"/>
      <w:numFmt w:val="decimal"/>
      <w:pStyle w:val="Order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1">
      <w:start w:val="1"/>
      <w:numFmt w:val="lowerLetter"/>
      <w:pStyle w:val="Order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Order3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upperLetter"/>
      <w:pStyle w:val="Order4"/>
      <w:lvlText w:val="%4.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6" w15:restartNumberingAfterBreak="0">
    <w:nsid w:val="2AF11FCB"/>
    <w:multiLevelType w:val="hybridMultilevel"/>
    <w:tmpl w:val="94A6534E"/>
    <w:lvl w:ilvl="0" w:tplc="31029F3C">
      <w:start w:val="1"/>
      <w:numFmt w:val="bullet"/>
      <w:pStyle w:val="Quote4Bullet"/>
      <w:lvlText w:val=""/>
      <w:lvlJc w:val="left"/>
      <w:pPr>
        <w:ind w:left="360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2D95B3D"/>
    <w:multiLevelType w:val="multilevel"/>
    <w:tmpl w:val="253A8338"/>
    <w:styleLink w:val="FCNotes"/>
    <w:lvl w:ilvl="0">
      <w:start w:val="1"/>
      <w:numFmt w:val="upperLetter"/>
      <w:pStyle w:val="Note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3561E2E"/>
    <w:multiLevelType w:val="hybridMultilevel"/>
    <w:tmpl w:val="433821BE"/>
    <w:lvl w:ilvl="0" w:tplc="DE3AD0E2">
      <w:start w:val="1"/>
      <w:numFmt w:val="bullet"/>
      <w:pStyle w:val="Quote3Bullet"/>
      <w:lvlText w:val=""/>
      <w:lvlJc w:val="left"/>
      <w:pPr>
        <w:ind w:left="28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94817A7"/>
    <w:multiLevelType w:val="multilevel"/>
    <w:tmpl w:val="0F0EC90E"/>
    <w:numStyleLink w:val="FCListNo"/>
  </w:abstractNum>
  <w:abstractNum w:abstractNumId="20" w15:restartNumberingAfterBreak="0">
    <w:nsid w:val="49B30D2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A736C9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668713D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6F9B6398"/>
    <w:multiLevelType w:val="hybridMultilevel"/>
    <w:tmpl w:val="0E4CBD92"/>
    <w:lvl w:ilvl="0" w:tplc="907C4790">
      <w:start w:val="1"/>
      <w:numFmt w:val="bullet"/>
      <w:pStyle w:val="Quote1Bullet"/>
      <w:lvlText w:val=""/>
      <w:lvlJc w:val="left"/>
      <w:pPr>
        <w:ind w:left="145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4" w15:restartNumberingAfterBreak="0">
    <w:nsid w:val="7D0861FF"/>
    <w:multiLevelType w:val="multilevel"/>
    <w:tmpl w:val="1BC46E94"/>
    <w:lvl w:ilvl="0">
      <w:start w:val="1"/>
      <w:numFmt w:val="decimal"/>
      <w:lvlRestart w:val="0"/>
      <w:pStyle w:val="fc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fc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fc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fc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fc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num w:numId="1" w16cid:durableId="89857556">
    <w:abstractNumId w:val="14"/>
  </w:num>
  <w:num w:numId="2" w16cid:durableId="1916935382">
    <w:abstractNumId w:val="9"/>
  </w:num>
  <w:num w:numId="3" w16cid:durableId="2036536598">
    <w:abstractNumId w:val="7"/>
  </w:num>
  <w:num w:numId="4" w16cid:durableId="1380781412">
    <w:abstractNumId w:val="6"/>
  </w:num>
  <w:num w:numId="5" w16cid:durableId="1048186967">
    <w:abstractNumId w:val="5"/>
  </w:num>
  <w:num w:numId="6" w16cid:durableId="1891991157">
    <w:abstractNumId w:val="4"/>
  </w:num>
  <w:num w:numId="7" w16cid:durableId="465046151">
    <w:abstractNumId w:val="8"/>
  </w:num>
  <w:num w:numId="8" w16cid:durableId="2031448497">
    <w:abstractNumId w:val="3"/>
  </w:num>
  <w:num w:numId="9" w16cid:durableId="1998998953">
    <w:abstractNumId w:val="2"/>
  </w:num>
  <w:num w:numId="10" w16cid:durableId="176891129">
    <w:abstractNumId w:val="1"/>
  </w:num>
  <w:num w:numId="11" w16cid:durableId="506746220">
    <w:abstractNumId w:val="0"/>
  </w:num>
  <w:num w:numId="12" w16cid:durableId="45955029">
    <w:abstractNumId w:val="22"/>
  </w:num>
  <w:num w:numId="13" w16cid:durableId="252708425">
    <w:abstractNumId w:val="20"/>
  </w:num>
  <w:num w:numId="14" w16cid:durableId="2100633326">
    <w:abstractNumId w:val="21"/>
  </w:num>
  <w:num w:numId="15" w16cid:durableId="1773933925">
    <w:abstractNumId w:val="24"/>
  </w:num>
  <w:num w:numId="16" w16cid:durableId="527645899">
    <w:abstractNumId w:val="13"/>
  </w:num>
  <w:num w:numId="17" w16cid:durableId="120267876">
    <w:abstractNumId w:val="23"/>
  </w:num>
  <w:num w:numId="18" w16cid:durableId="1374574243">
    <w:abstractNumId w:val="11"/>
  </w:num>
  <w:num w:numId="19" w16cid:durableId="657348185">
    <w:abstractNumId w:val="18"/>
  </w:num>
  <w:num w:numId="20" w16cid:durableId="1955017147">
    <w:abstractNumId w:val="15"/>
  </w:num>
  <w:num w:numId="21" w16cid:durableId="615910588">
    <w:abstractNumId w:val="16"/>
  </w:num>
  <w:num w:numId="22" w16cid:durableId="2031373324">
    <w:abstractNumId w:val="19"/>
  </w:num>
  <w:num w:numId="23" w16cid:durableId="348877071">
    <w:abstractNumId w:val="10"/>
  </w:num>
  <w:num w:numId="24" w16cid:durableId="1818379752">
    <w:abstractNumId w:val="10"/>
  </w:num>
  <w:num w:numId="25" w16cid:durableId="975523684">
    <w:abstractNumId w:val="12"/>
  </w:num>
  <w:num w:numId="26" w16cid:durableId="1805997716">
    <w:abstractNumId w:val="17"/>
  </w:num>
  <w:num w:numId="27" w16cid:durableId="1787187973">
    <w:abstractNumId w:val="17"/>
  </w:num>
  <w:num w:numId="28" w16cid:durableId="2119329858">
    <w:abstractNumId w:val="17"/>
  </w:num>
  <w:num w:numId="29" w16cid:durableId="13005694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AU" w:vendorID="8" w:dllVersion="513" w:checkStyle="1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54"/>
    <w:rsid w:val="00000747"/>
    <w:rsid w:val="000115C5"/>
    <w:rsid w:val="0001469E"/>
    <w:rsid w:val="00015993"/>
    <w:rsid w:val="00021CCB"/>
    <w:rsid w:val="00022289"/>
    <w:rsid w:val="000237E9"/>
    <w:rsid w:val="0002487D"/>
    <w:rsid w:val="00027398"/>
    <w:rsid w:val="0003201A"/>
    <w:rsid w:val="0003207A"/>
    <w:rsid w:val="00032F9F"/>
    <w:rsid w:val="00040921"/>
    <w:rsid w:val="00041C07"/>
    <w:rsid w:val="000435C3"/>
    <w:rsid w:val="00045BB7"/>
    <w:rsid w:val="00045BC9"/>
    <w:rsid w:val="00052FE2"/>
    <w:rsid w:val="00055719"/>
    <w:rsid w:val="0005641B"/>
    <w:rsid w:val="0006196A"/>
    <w:rsid w:val="000650F0"/>
    <w:rsid w:val="0007190C"/>
    <w:rsid w:val="00071FB3"/>
    <w:rsid w:val="000730BB"/>
    <w:rsid w:val="00077768"/>
    <w:rsid w:val="00081497"/>
    <w:rsid w:val="000831EC"/>
    <w:rsid w:val="00084126"/>
    <w:rsid w:val="00085255"/>
    <w:rsid w:val="000866F3"/>
    <w:rsid w:val="00093B37"/>
    <w:rsid w:val="000A2E76"/>
    <w:rsid w:val="000A4807"/>
    <w:rsid w:val="000A4BE4"/>
    <w:rsid w:val="000B0F72"/>
    <w:rsid w:val="000B138E"/>
    <w:rsid w:val="000B1F1D"/>
    <w:rsid w:val="000C023E"/>
    <w:rsid w:val="000C405D"/>
    <w:rsid w:val="000C4F4A"/>
    <w:rsid w:val="000C5195"/>
    <w:rsid w:val="000C62EF"/>
    <w:rsid w:val="000D2137"/>
    <w:rsid w:val="000D3FD2"/>
    <w:rsid w:val="000D4B2E"/>
    <w:rsid w:val="000D4D77"/>
    <w:rsid w:val="000D5321"/>
    <w:rsid w:val="000E3FC8"/>
    <w:rsid w:val="000E6C12"/>
    <w:rsid w:val="000E7BAE"/>
    <w:rsid w:val="000F133D"/>
    <w:rsid w:val="000F645A"/>
    <w:rsid w:val="00102251"/>
    <w:rsid w:val="00105005"/>
    <w:rsid w:val="0010536B"/>
    <w:rsid w:val="001065BA"/>
    <w:rsid w:val="00110E2C"/>
    <w:rsid w:val="0011145C"/>
    <w:rsid w:val="00112461"/>
    <w:rsid w:val="001127A7"/>
    <w:rsid w:val="001128BD"/>
    <w:rsid w:val="00112B54"/>
    <w:rsid w:val="0011419D"/>
    <w:rsid w:val="00114B02"/>
    <w:rsid w:val="00120E42"/>
    <w:rsid w:val="001226C0"/>
    <w:rsid w:val="00122DBC"/>
    <w:rsid w:val="00125BD4"/>
    <w:rsid w:val="00126EC8"/>
    <w:rsid w:val="0012731C"/>
    <w:rsid w:val="00132054"/>
    <w:rsid w:val="00134964"/>
    <w:rsid w:val="001351B9"/>
    <w:rsid w:val="0015186E"/>
    <w:rsid w:val="00155CD2"/>
    <w:rsid w:val="00160205"/>
    <w:rsid w:val="0016439A"/>
    <w:rsid w:val="001722CC"/>
    <w:rsid w:val="001727A4"/>
    <w:rsid w:val="0017376C"/>
    <w:rsid w:val="001738AB"/>
    <w:rsid w:val="001765E0"/>
    <w:rsid w:val="00177759"/>
    <w:rsid w:val="00180BB3"/>
    <w:rsid w:val="00185DD6"/>
    <w:rsid w:val="00185E6B"/>
    <w:rsid w:val="00187BBC"/>
    <w:rsid w:val="00190063"/>
    <w:rsid w:val="001932F3"/>
    <w:rsid w:val="001A2B40"/>
    <w:rsid w:val="001A4309"/>
    <w:rsid w:val="001A46AE"/>
    <w:rsid w:val="001A6C52"/>
    <w:rsid w:val="001B1053"/>
    <w:rsid w:val="001B14AC"/>
    <w:rsid w:val="001B7940"/>
    <w:rsid w:val="001C171A"/>
    <w:rsid w:val="001C2CCB"/>
    <w:rsid w:val="001C2FE0"/>
    <w:rsid w:val="001C3200"/>
    <w:rsid w:val="001C37CA"/>
    <w:rsid w:val="001C4085"/>
    <w:rsid w:val="001D1477"/>
    <w:rsid w:val="001D4303"/>
    <w:rsid w:val="001D6746"/>
    <w:rsid w:val="001E0C61"/>
    <w:rsid w:val="001E0CBC"/>
    <w:rsid w:val="001E3980"/>
    <w:rsid w:val="001E3B49"/>
    <w:rsid w:val="001E4A05"/>
    <w:rsid w:val="001E6A19"/>
    <w:rsid w:val="001E7388"/>
    <w:rsid w:val="001F13DD"/>
    <w:rsid w:val="001F2473"/>
    <w:rsid w:val="001F2DBC"/>
    <w:rsid w:val="001F73E8"/>
    <w:rsid w:val="00200AF8"/>
    <w:rsid w:val="00201260"/>
    <w:rsid w:val="0020262C"/>
    <w:rsid w:val="00202723"/>
    <w:rsid w:val="00211A3E"/>
    <w:rsid w:val="00213F20"/>
    <w:rsid w:val="00214055"/>
    <w:rsid w:val="00215BCA"/>
    <w:rsid w:val="002160F5"/>
    <w:rsid w:val="00217AC4"/>
    <w:rsid w:val="00221461"/>
    <w:rsid w:val="00224537"/>
    <w:rsid w:val="00226DFA"/>
    <w:rsid w:val="00233F1A"/>
    <w:rsid w:val="00235956"/>
    <w:rsid w:val="00243E5E"/>
    <w:rsid w:val="002467A6"/>
    <w:rsid w:val="00247C9A"/>
    <w:rsid w:val="0025160C"/>
    <w:rsid w:val="00252DFB"/>
    <w:rsid w:val="002531B3"/>
    <w:rsid w:val="002535D0"/>
    <w:rsid w:val="002539B3"/>
    <w:rsid w:val="002545A3"/>
    <w:rsid w:val="00256336"/>
    <w:rsid w:val="00257C3E"/>
    <w:rsid w:val="002602C2"/>
    <w:rsid w:val="002666C9"/>
    <w:rsid w:val="0026763C"/>
    <w:rsid w:val="00270136"/>
    <w:rsid w:val="00270A5C"/>
    <w:rsid w:val="00270FD7"/>
    <w:rsid w:val="00274F5B"/>
    <w:rsid w:val="00280836"/>
    <w:rsid w:val="002810D9"/>
    <w:rsid w:val="00282E1A"/>
    <w:rsid w:val="002840F1"/>
    <w:rsid w:val="00285922"/>
    <w:rsid w:val="0029113B"/>
    <w:rsid w:val="002934C0"/>
    <w:rsid w:val="00293E1F"/>
    <w:rsid w:val="002972FB"/>
    <w:rsid w:val="0029764C"/>
    <w:rsid w:val="002A1B50"/>
    <w:rsid w:val="002A2075"/>
    <w:rsid w:val="002A2A03"/>
    <w:rsid w:val="002A5B01"/>
    <w:rsid w:val="002A6DA9"/>
    <w:rsid w:val="002B0E91"/>
    <w:rsid w:val="002B132C"/>
    <w:rsid w:val="002B3F23"/>
    <w:rsid w:val="002B4EB5"/>
    <w:rsid w:val="002B5AF5"/>
    <w:rsid w:val="002B6779"/>
    <w:rsid w:val="002B71C0"/>
    <w:rsid w:val="002B7A34"/>
    <w:rsid w:val="002C31AD"/>
    <w:rsid w:val="002C7385"/>
    <w:rsid w:val="002C7DA5"/>
    <w:rsid w:val="002D2DBB"/>
    <w:rsid w:val="002D37D8"/>
    <w:rsid w:val="002D4934"/>
    <w:rsid w:val="002D54A6"/>
    <w:rsid w:val="002E3779"/>
    <w:rsid w:val="002E5BF9"/>
    <w:rsid w:val="002E6A7A"/>
    <w:rsid w:val="002F1E49"/>
    <w:rsid w:val="002F4E9C"/>
    <w:rsid w:val="002F6E15"/>
    <w:rsid w:val="00302F4E"/>
    <w:rsid w:val="003041C3"/>
    <w:rsid w:val="0031256C"/>
    <w:rsid w:val="00314D6C"/>
    <w:rsid w:val="00316D2A"/>
    <w:rsid w:val="00322A7C"/>
    <w:rsid w:val="00322EEC"/>
    <w:rsid w:val="00323061"/>
    <w:rsid w:val="00332456"/>
    <w:rsid w:val="00333F91"/>
    <w:rsid w:val="003402D3"/>
    <w:rsid w:val="0034068E"/>
    <w:rsid w:val="00341561"/>
    <w:rsid w:val="00342D13"/>
    <w:rsid w:val="00343ABC"/>
    <w:rsid w:val="003463FE"/>
    <w:rsid w:val="003472FC"/>
    <w:rsid w:val="00347D41"/>
    <w:rsid w:val="003554B3"/>
    <w:rsid w:val="00356632"/>
    <w:rsid w:val="00357C7E"/>
    <w:rsid w:val="00360279"/>
    <w:rsid w:val="003653B6"/>
    <w:rsid w:val="00370327"/>
    <w:rsid w:val="00370D69"/>
    <w:rsid w:val="00372AC6"/>
    <w:rsid w:val="00374CC4"/>
    <w:rsid w:val="003774B2"/>
    <w:rsid w:val="00380F2D"/>
    <w:rsid w:val="003845A9"/>
    <w:rsid w:val="003850C9"/>
    <w:rsid w:val="00390883"/>
    <w:rsid w:val="003922F8"/>
    <w:rsid w:val="00395B24"/>
    <w:rsid w:val="003A2D38"/>
    <w:rsid w:val="003A2FFE"/>
    <w:rsid w:val="003A36E4"/>
    <w:rsid w:val="003A64D5"/>
    <w:rsid w:val="003A7ECC"/>
    <w:rsid w:val="003B2C72"/>
    <w:rsid w:val="003B4468"/>
    <w:rsid w:val="003B58B4"/>
    <w:rsid w:val="003C1333"/>
    <w:rsid w:val="003C20FF"/>
    <w:rsid w:val="003C550A"/>
    <w:rsid w:val="003C6055"/>
    <w:rsid w:val="003D2650"/>
    <w:rsid w:val="003D560C"/>
    <w:rsid w:val="003D566F"/>
    <w:rsid w:val="003D5C00"/>
    <w:rsid w:val="003D5D27"/>
    <w:rsid w:val="003D5E32"/>
    <w:rsid w:val="003E3154"/>
    <w:rsid w:val="003E5874"/>
    <w:rsid w:val="003E728D"/>
    <w:rsid w:val="003E72D3"/>
    <w:rsid w:val="003F151B"/>
    <w:rsid w:val="003F193E"/>
    <w:rsid w:val="003F242C"/>
    <w:rsid w:val="003F34F1"/>
    <w:rsid w:val="003F4A1F"/>
    <w:rsid w:val="0040097B"/>
    <w:rsid w:val="004031D8"/>
    <w:rsid w:val="004104B6"/>
    <w:rsid w:val="00411AE8"/>
    <w:rsid w:val="0041386E"/>
    <w:rsid w:val="00413B74"/>
    <w:rsid w:val="00420782"/>
    <w:rsid w:val="0042391D"/>
    <w:rsid w:val="004249C8"/>
    <w:rsid w:val="004342F3"/>
    <w:rsid w:val="00435C5F"/>
    <w:rsid w:val="00436155"/>
    <w:rsid w:val="00436460"/>
    <w:rsid w:val="00436CB3"/>
    <w:rsid w:val="0044140A"/>
    <w:rsid w:val="00441A44"/>
    <w:rsid w:val="00441E98"/>
    <w:rsid w:val="0044521C"/>
    <w:rsid w:val="00450F3A"/>
    <w:rsid w:val="004532F7"/>
    <w:rsid w:val="00464D51"/>
    <w:rsid w:val="00467892"/>
    <w:rsid w:val="00471468"/>
    <w:rsid w:val="00472027"/>
    <w:rsid w:val="004804CF"/>
    <w:rsid w:val="00483314"/>
    <w:rsid w:val="00484962"/>
    <w:rsid w:val="00484F6D"/>
    <w:rsid w:val="00484FB7"/>
    <w:rsid w:val="0048554D"/>
    <w:rsid w:val="0049338A"/>
    <w:rsid w:val="0049417F"/>
    <w:rsid w:val="00496D41"/>
    <w:rsid w:val="004A1AF7"/>
    <w:rsid w:val="004A6602"/>
    <w:rsid w:val="004B3EFA"/>
    <w:rsid w:val="004C2A87"/>
    <w:rsid w:val="004C4D7B"/>
    <w:rsid w:val="004C4ED3"/>
    <w:rsid w:val="004C667B"/>
    <w:rsid w:val="004C7ECD"/>
    <w:rsid w:val="004D2EA5"/>
    <w:rsid w:val="004D32A6"/>
    <w:rsid w:val="004D53E5"/>
    <w:rsid w:val="004D7950"/>
    <w:rsid w:val="004E067B"/>
    <w:rsid w:val="004E3556"/>
    <w:rsid w:val="004E6DC4"/>
    <w:rsid w:val="004F21C1"/>
    <w:rsid w:val="00501A12"/>
    <w:rsid w:val="0050309C"/>
    <w:rsid w:val="00504575"/>
    <w:rsid w:val="0051327C"/>
    <w:rsid w:val="0051346D"/>
    <w:rsid w:val="00513EAE"/>
    <w:rsid w:val="0051434F"/>
    <w:rsid w:val="00516806"/>
    <w:rsid w:val="0052098C"/>
    <w:rsid w:val="00525A49"/>
    <w:rsid w:val="005262D1"/>
    <w:rsid w:val="005276C3"/>
    <w:rsid w:val="00530876"/>
    <w:rsid w:val="00535613"/>
    <w:rsid w:val="005359EB"/>
    <w:rsid w:val="00540318"/>
    <w:rsid w:val="0054254A"/>
    <w:rsid w:val="0054500B"/>
    <w:rsid w:val="005466B5"/>
    <w:rsid w:val="00551726"/>
    <w:rsid w:val="00554314"/>
    <w:rsid w:val="00562829"/>
    <w:rsid w:val="005629B3"/>
    <w:rsid w:val="0057128A"/>
    <w:rsid w:val="005724F6"/>
    <w:rsid w:val="00573AC4"/>
    <w:rsid w:val="00575C81"/>
    <w:rsid w:val="005801FC"/>
    <w:rsid w:val="00583F39"/>
    <w:rsid w:val="00585BA9"/>
    <w:rsid w:val="00587359"/>
    <w:rsid w:val="005900DE"/>
    <w:rsid w:val="00593C72"/>
    <w:rsid w:val="00595016"/>
    <w:rsid w:val="00595B36"/>
    <w:rsid w:val="00597AAE"/>
    <w:rsid w:val="005A222C"/>
    <w:rsid w:val="005A48EC"/>
    <w:rsid w:val="005A4DF8"/>
    <w:rsid w:val="005A78C8"/>
    <w:rsid w:val="005B0F6E"/>
    <w:rsid w:val="005B1426"/>
    <w:rsid w:val="005B7A5D"/>
    <w:rsid w:val="005C0A8E"/>
    <w:rsid w:val="005C1767"/>
    <w:rsid w:val="005C185C"/>
    <w:rsid w:val="005C228E"/>
    <w:rsid w:val="005C42EF"/>
    <w:rsid w:val="005D529B"/>
    <w:rsid w:val="005D5678"/>
    <w:rsid w:val="005E02F5"/>
    <w:rsid w:val="005E0510"/>
    <w:rsid w:val="005E176E"/>
    <w:rsid w:val="005E218E"/>
    <w:rsid w:val="005E35A0"/>
    <w:rsid w:val="005E47F7"/>
    <w:rsid w:val="005F0D1B"/>
    <w:rsid w:val="005F1865"/>
    <w:rsid w:val="006007BD"/>
    <w:rsid w:val="006013C8"/>
    <w:rsid w:val="00602614"/>
    <w:rsid w:val="0060270D"/>
    <w:rsid w:val="00604342"/>
    <w:rsid w:val="00604611"/>
    <w:rsid w:val="0060592E"/>
    <w:rsid w:val="00610703"/>
    <w:rsid w:val="00611586"/>
    <w:rsid w:val="006126D4"/>
    <w:rsid w:val="00612D26"/>
    <w:rsid w:val="00615855"/>
    <w:rsid w:val="00620DA8"/>
    <w:rsid w:val="0062125C"/>
    <w:rsid w:val="00621887"/>
    <w:rsid w:val="00624520"/>
    <w:rsid w:val="006271F5"/>
    <w:rsid w:val="00630048"/>
    <w:rsid w:val="0063103F"/>
    <w:rsid w:val="00632300"/>
    <w:rsid w:val="00632BB7"/>
    <w:rsid w:val="00635B36"/>
    <w:rsid w:val="00636871"/>
    <w:rsid w:val="00640EE1"/>
    <w:rsid w:val="00640F4E"/>
    <w:rsid w:val="006418F1"/>
    <w:rsid w:val="00643728"/>
    <w:rsid w:val="00643DE0"/>
    <w:rsid w:val="0064437D"/>
    <w:rsid w:val="00644E85"/>
    <w:rsid w:val="006516D8"/>
    <w:rsid w:val="00652C52"/>
    <w:rsid w:val="006535CC"/>
    <w:rsid w:val="0066063F"/>
    <w:rsid w:val="00662BB0"/>
    <w:rsid w:val="00663878"/>
    <w:rsid w:val="00667773"/>
    <w:rsid w:val="00670743"/>
    <w:rsid w:val="00670989"/>
    <w:rsid w:val="006724E6"/>
    <w:rsid w:val="00680A85"/>
    <w:rsid w:val="00681ADF"/>
    <w:rsid w:val="00690EE2"/>
    <w:rsid w:val="00692D70"/>
    <w:rsid w:val="00693854"/>
    <w:rsid w:val="00694BEB"/>
    <w:rsid w:val="00697D25"/>
    <w:rsid w:val="006A0309"/>
    <w:rsid w:val="006A0E20"/>
    <w:rsid w:val="006A24E3"/>
    <w:rsid w:val="006A5695"/>
    <w:rsid w:val="006B0439"/>
    <w:rsid w:val="006B3006"/>
    <w:rsid w:val="006B3904"/>
    <w:rsid w:val="006B5B7D"/>
    <w:rsid w:val="006C23E9"/>
    <w:rsid w:val="006C5B46"/>
    <w:rsid w:val="006C6E39"/>
    <w:rsid w:val="006D0ECF"/>
    <w:rsid w:val="006D3D5B"/>
    <w:rsid w:val="006D4C92"/>
    <w:rsid w:val="006D4EB6"/>
    <w:rsid w:val="006D7FBC"/>
    <w:rsid w:val="006E1B8D"/>
    <w:rsid w:val="006E35BF"/>
    <w:rsid w:val="006E7850"/>
    <w:rsid w:val="006F19D8"/>
    <w:rsid w:val="006F46D6"/>
    <w:rsid w:val="006F4BBB"/>
    <w:rsid w:val="007028D9"/>
    <w:rsid w:val="0070584E"/>
    <w:rsid w:val="00707218"/>
    <w:rsid w:val="00710D04"/>
    <w:rsid w:val="007114E1"/>
    <w:rsid w:val="00712B1D"/>
    <w:rsid w:val="00715751"/>
    <w:rsid w:val="007171BA"/>
    <w:rsid w:val="00717616"/>
    <w:rsid w:val="00721DC4"/>
    <w:rsid w:val="007263E4"/>
    <w:rsid w:val="007325D9"/>
    <w:rsid w:val="0073413F"/>
    <w:rsid w:val="0073583B"/>
    <w:rsid w:val="007360CA"/>
    <w:rsid w:val="00742928"/>
    <w:rsid w:val="0074667B"/>
    <w:rsid w:val="007470BD"/>
    <w:rsid w:val="00756846"/>
    <w:rsid w:val="00760EC0"/>
    <w:rsid w:val="00761527"/>
    <w:rsid w:val="00763BC4"/>
    <w:rsid w:val="007711BD"/>
    <w:rsid w:val="0077139F"/>
    <w:rsid w:val="00771B92"/>
    <w:rsid w:val="0077415A"/>
    <w:rsid w:val="0078003A"/>
    <w:rsid w:val="00780771"/>
    <w:rsid w:val="0078298D"/>
    <w:rsid w:val="00790DBC"/>
    <w:rsid w:val="00790DF7"/>
    <w:rsid w:val="007929CF"/>
    <w:rsid w:val="00797BA8"/>
    <w:rsid w:val="007A081D"/>
    <w:rsid w:val="007A49E7"/>
    <w:rsid w:val="007A55B6"/>
    <w:rsid w:val="007A6F28"/>
    <w:rsid w:val="007B03C6"/>
    <w:rsid w:val="007B0DB1"/>
    <w:rsid w:val="007B4999"/>
    <w:rsid w:val="007B5673"/>
    <w:rsid w:val="007B6DA4"/>
    <w:rsid w:val="007B7238"/>
    <w:rsid w:val="007B76FF"/>
    <w:rsid w:val="007C3BF6"/>
    <w:rsid w:val="007C67B3"/>
    <w:rsid w:val="007D0FD2"/>
    <w:rsid w:val="007D279F"/>
    <w:rsid w:val="007D2EF8"/>
    <w:rsid w:val="007D561F"/>
    <w:rsid w:val="007D5C63"/>
    <w:rsid w:val="007D7164"/>
    <w:rsid w:val="007D7FD2"/>
    <w:rsid w:val="007E13D9"/>
    <w:rsid w:val="007E2AEC"/>
    <w:rsid w:val="007E41BE"/>
    <w:rsid w:val="007E4DB6"/>
    <w:rsid w:val="007E4EED"/>
    <w:rsid w:val="007E6733"/>
    <w:rsid w:val="007E7CD4"/>
    <w:rsid w:val="007F12AC"/>
    <w:rsid w:val="007F4501"/>
    <w:rsid w:val="007F60DF"/>
    <w:rsid w:val="00801800"/>
    <w:rsid w:val="00801861"/>
    <w:rsid w:val="00801B5B"/>
    <w:rsid w:val="00803DF5"/>
    <w:rsid w:val="00805A30"/>
    <w:rsid w:val="00806DFD"/>
    <w:rsid w:val="008216E7"/>
    <w:rsid w:val="00821792"/>
    <w:rsid w:val="00825B44"/>
    <w:rsid w:val="00825BE6"/>
    <w:rsid w:val="008276B4"/>
    <w:rsid w:val="00831927"/>
    <w:rsid w:val="008336E2"/>
    <w:rsid w:val="00833A80"/>
    <w:rsid w:val="00837288"/>
    <w:rsid w:val="00841BD3"/>
    <w:rsid w:val="0084273D"/>
    <w:rsid w:val="0084419C"/>
    <w:rsid w:val="00844E3F"/>
    <w:rsid w:val="00845A83"/>
    <w:rsid w:val="008461FA"/>
    <w:rsid w:val="00846BB9"/>
    <w:rsid w:val="008649D5"/>
    <w:rsid w:val="008649E0"/>
    <w:rsid w:val="00866403"/>
    <w:rsid w:val="008712BB"/>
    <w:rsid w:val="00874715"/>
    <w:rsid w:val="00877ACE"/>
    <w:rsid w:val="008830E7"/>
    <w:rsid w:val="00890EDE"/>
    <w:rsid w:val="00892B38"/>
    <w:rsid w:val="00896B25"/>
    <w:rsid w:val="008A1741"/>
    <w:rsid w:val="008A2484"/>
    <w:rsid w:val="008A2587"/>
    <w:rsid w:val="008A4B2E"/>
    <w:rsid w:val="008A52F3"/>
    <w:rsid w:val="008B29CC"/>
    <w:rsid w:val="008B3043"/>
    <w:rsid w:val="008C1C5C"/>
    <w:rsid w:val="008C26D9"/>
    <w:rsid w:val="008C36FC"/>
    <w:rsid w:val="008C6D50"/>
    <w:rsid w:val="008C7167"/>
    <w:rsid w:val="008C7503"/>
    <w:rsid w:val="008C7630"/>
    <w:rsid w:val="008D1617"/>
    <w:rsid w:val="008D330F"/>
    <w:rsid w:val="008D48C1"/>
    <w:rsid w:val="008D63DB"/>
    <w:rsid w:val="008E0CDF"/>
    <w:rsid w:val="008E1F57"/>
    <w:rsid w:val="008E2C37"/>
    <w:rsid w:val="008E6315"/>
    <w:rsid w:val="008F01B7"/>
    <w:rsid w:val="008F0480"/>
    <w:rsid w:val="008F07FC"/>
    <w:rsid w:val="008F11E0"/>
    <w:rsid w:val="008F3EA7"/>
    <w:rsid w:val="008F78BC"/>
    <w:rsid w:val="008F7B63"/>
    <w:rsid w:val="008F7D6A"/>
    <w:rsid w:val="00901C86"/>
    <w:rsid w:val="00903603"/>
    <w:rsid w:val="009054CB"/>
    <w:rsid w:val="00907F7A"/>
    <w:rsid w:val="00911F8D"/>
    <w:rsid w:val="00912F94"/>
    <w:rsid w:val="00916F53"/>
    <w:rsid w:val="009171BC"/>
    <w:rsid w:val="00921E7C"/>
    <w:rsid w:val="0092497E"/>
    <w:rsid w:val="0092590B"/>
    <w:rsid w:val="00925BF3"/>
    <w:rsid w:val="00925E60"/>
    <w:rsid w:val="009264B3"/>
    <w:rsid w:val="00931E4C"/>
    <w:rsid w:val="00932D45"/>
    <w:rsid w:val="009365E0"/>
    <w:rsid w:val="0093714B"/>
    <w:rsid w:val="00942BA2"/>
    <w:rsid w:val="009432B7"/>
    <w:rsid w:val="00944C86"/>
    <w:rsid w:val="00947C02"/>
    <w:rsid w:val="00950BE6"/>
    <w:rsid w:val="00957DE8"/>
    <w:rsid w:val="00960ECB"/>
    <w:rsid w:val="009615D6"/>
    <w:rsid w:val="00965000"/>
    <w:rsid w:val="00966A43"/>
    <w:rsid w:val="00967855"/>
    <w:rsid w:val="00971CD1"/>
    <w:rsid w:val="00972DF8"/>
    <w:rsid w:val="00974709"/>
    <w:rsid w:val="009801AE"/>
    <w:rsid w:val="00980736"/>
    <w:rsid w:val="00981A39"/>
    <w:rsid w:val="00982D56"/>
    <w:rsid w:val="00983DBF"/>
    <w:rsid w:val="00987097"/>
    <w:rsid w:val="00991123"/>
    <w:rsid w:val="00991CAB"/>
    <w:rsid w:val="00995CA7"/>
    <w:rsid w:val="009A03A1"/>
    <w:rsid w:val="009A3A9C"/>
    <w:rsid w:val="009A425F"/>
    <w:rsid w:val="009A437C"/>
    <w:rsid w:val="009B046C"/>
    <w:rsid w:val="009B13FA"/>
    <w:rsid w:val="009B1E2D"/>
    <w:rsid w:val="009B5747"/>
    <w:rsid w:val="009C59FB"/>
    <w:rsid w:val="009C6F3B"/>
    <w:rsid w:val="009D0D0E"/>
    <w:rsid w:val="009D1467"/>
    <w:rsid w:val="009D328D"/>
    <w:rsid w:val="009D5908"/>
    <w:rsid w:val="009E4FA6"/>
    <w:rsid w:val="009E7D93"/>
    <w:rsid w:val="009F3C34"/>
    <w:rsid w:val="009F462C"/>
    <w:rsid w:val="009F5C33"/>
    <w:rsid w:val="00A026F0"/>
    <w:rsid w:val="00A03EAC"/>
    <w:rsid w:val="00A04DBB"/>
    <w:rsid w:val="00A07EA0"/>
    <w:rsid w:val="00A11CA6"/>
    <w:rsid w:val="00A20C49"/>
    <w:rsid w:val="00A22932"/>
    <w:rsid w:val="00A2625D"/>
    <w:rsid w:val="00A269CA"/>
    <w:rsid w:val="00A306BF"/>
    <w:rsid w:val="00A336EE"/>
    <w:rsid w:val="00A33F46"/>
    <w:rsid w:val="00A3427E"/>
    <w:rsid w:val="00A359AC"/>
    <w:rsid w:val="00A40F83"/>
    <w:rsid w:val="00A410FB"/>
    <w:rsid w:val="00A41413"/>
    <w:rsid w:val="00A431E6"/>
    <w:rsid w:val="00A436E8"/>
    <w:rsid w:val="00A45FB1"/>
    <w:rsid w:val="00A46818"/>
    <w:rsid w:val="00A46A0F"/>
    <w:rsid w:val="00A46CCC"/>
    <w:rsid w:val="00A47996"/>
    <w:rsid w:val="00A50079"/>
    <w:rsid w:val="00A51CFE"/>
    <w:rsid w:val="00A5204D"/>
    <w:rsid w:val="00A56D8C"/>
    <w:rsid w:val="00A56E77"/>
    <w:rsid w:val="00A61605"/>
    <w:rsid w:val="00A65F97"/>
    <w:rsid w:val="00A712BB"/>
    <w:rsid w:val="00A73B04"/>
    <w:rsid w:val="00A7593B"/>
    <w:rsid w:val="00A76C13"/>
    <w:rsid w:val="00A8405C"/>
    <w:rsid w:val="00A84FD0"/>
    <w:rsid w:val="00A92E79"/>
    <w:rsid w:val="00A950B6"/>
    <w:rsid w:val="00A9542C"/>
    <w:rsid w:val="00A95D45"/>
    <w:rsid w:val="00AA3EA8"/>
    <w:rsid w:val="00AA7A0A"/>
    <w:rsid w:val="00AB3D14"/>
    <w:rsid w:val="00AB41C1"/>
    <w:rsid w:val="00AB4CF2"/>
    <w:rsid w:val="00AB6AAE"/>
    <w:rsid w:val="00AB6CCA"/>
    <w:rsid w:val="00AC0CC7"/>
    <w:rsid w:val="00AC0E94"/>
    <w:rsid w:val="00AC223F"/>
    <w:rsid w:val="00AC33B1"/>
    <w:rsid w:val="00AD12A8"/>
    <w:rsid w:val="00AE023F"/>
    <w:rsid w:val="00AF3577"/>
    <w:rsid w:val="00AF35F9"/>
    <w:rsid w:val="00B0424C"/>
    <w:rsid w:val="00B0479D"/>
    <w:rsid w:val="00B05777"/>
    <w:rsid w:val="00B05C7D"/>
    <w:rsid w:val="00B12636"/>
    <w:rsid w:val="00B15D57"/>
    <w:rsid w:val="00B16347"/>
    <w:rsid w:val="00B17D6E"/>
    <w:rsid w:val="00B2435E"/>
    <w:rsid w:val="00B3221A"/>
    <w:rsid w:val="00B339D0"/>
    <w:rsid w:val="00B346C3"/>
    <w:rsid w:val="00B4005C"/>
    <w:rsid w:val="00B40741"/>
    <w:rsid w:val="00B4227E"/>
    <w:rsid w:val="00B436D2"/>
    <w:rsid w:val="00B4471C"/>
    <w:rsid w:val="00B451A6"/>
    <w:rsid w:val="00B45924"/>
    <w:rsid w:val="00B545AC"/>
    <w:rsid w:val="00B56D6E"/>
    <w:rsid w:val="00B62BFD"/>
    <w:rsid w:val="00B64347"/>
    <w:rsid w:val="00B65344"/>
    <w:rsid w:val="00B65DC6"/>
    <w:rsid w:val="00B67AC2"/>
    <w:rsid w:val="00B710F2"/>
    <w:rsid w:val="00B71879"/>
    <w:rsid w:val="00B722DE"/>
    <w:rsid w:val="00B751E3"/>
    <w:rsid w:val="00B75BA6"/>
    <w:rsid w:val="00B76C44"/>
    <w:rsid w:val="00B8184A"/>
    <w:rsid w:val="00B82283"/>
    <w:rsid w:val="00B828D8"/>
    <w:rsid w:val="00B83F87"/>
    <w:rsid w:val="00B86A32"/>
    <w:rsid w:val="00B87CDC"/>
    <w:rsid w:val="00B910C1"/>
    <w:rsid w:val="00BA279A"/>
    <w:rsid w:val="00BA2CA4"/>
    <w:rsid w:val="00BA2EFA"/>
    <w:rsid w:val="00BA3DBC"/>
    <w:rsid w:val="00BA707A"/>
    <w:rsid w:val="00BB1AFB"/>
    <w:rsid w:val="00BB27AE"/>
    <w:rsid w:val="00BB2DA2"/>
    <w:rsid w:val="00BB56DC"/>
    <w:rsid w:val="00BC7763"/>
    <w:rsid w:val="00BE183D"/>
    <w:rsid w:val="00BE1C64"/>
    <w:rsid w:val="00BF24C2"/>
    <w:rsid w:val="00BF2922"/>
    <w:rsid w:val="00BF5D7A"/>
    <w:rsid w:val="00C0149A"/>
    <w:rsid w:val="00C01C2E"/>
    <w:rsid w:val="00C02D33"/>
    <w:rsid w:val="00C04B53"/>
    <w:rsid w:val="00C1232C"/>
    <w:rsid w:val="00C12457"/>
    <w:rsid w:val="00C225CB"/>
    <w:rsid w:val="00C237B4"/>
    <w:rsid w:val="00C24BCD"/>
    <w:rsid w:val="00C27C6B"/>
    <w:rsid w:val="00C315E1"/>
    <w:rsid w:val="00C3594D"/>
    <w:rsid w:val="00C36442"/>
    <w:rsid w:val="00C400CE"/>
    <w:rsid w:val="00C410FD"/>
    <w:rsid w:val="00C428A0"/>
    <w:rsid w:val="00C457DE"/>
    <w:rsid w:val="00C47A76"/>
    <w:rsid w:val="00C47DD3"/>
    <w:rsid w:val="00C5316F"/>
    <w:rsid w:val="00C53562"/>
    <w:rsid w:val="00C539FB"/>
    <w:rsid w:val="00C548DD"/>
    <w:rsid w:val="00C6120E"/>
    <w:rsid w:val="00C66AA3"/>
    <w:rsid w:val="00C66E57"/>
    <w:rsid w:val="00C724D7"/>
    <w:rsid w:val="00C74150"/>
    <w:rsid w:val="00C75594"/>
    <w:rsid w:val="00C80083"/>
    <w:rsid w:val="00C85982"/>
    <w:rsid w:val="00C9107D"/>
    <w:rsid w:val="00C93B16"/>
    <w:rsid w:val="00CA0466"/>
    <w:rsid w:val="00CA246D"/>
    <w:rsid w:val="00CA50D9"/>
    <w:rsid w:val="00CB2A42"/>
    <w:rsid w:val="00CB3054"/>
    <w:rsid w:val="00CB5636"/>
    <w:rsid w:val="00CB5F30"/>
    <w:rsid w:val="00CC0529"/>
    <w:rsid w:val="00CC3EE5"/>
    <w:rsid w:val="00CC4877"/>
    <w:rsid w:val="00CC6E47"/>
    <w:rsid w:val="00CD1346"/>
    <w:rsid w:val="00CE425C"/>
    <w:rsid w:val="00CE58AC"/>
    <w:rsid w:val="00CF5A80"/>
    <w:rsid w:val="00D0182F"/>
    <w:rsid w:val="00D045EE"/>
    <w:rsid w:val="00D05091"/>
    <w:rsid w:val="00D10CA6"/>
    <w:rsid w:val="00D10F21"/>
    <w:rsid w:val="00D134CF"/>
    <w:rsid w:val="00D1573B"/>
    <w:rsid w:val="00D23128"/>
    <w:rsid w:val="00D24806"/>
    <w:rsid w:val="00D255A4"/>
    <w:rsid w:val="00D34040"/>
    <w:rsid w:val="00D3461D"/>
    <w:rsid w:val="00D34BFA"/>
    <w:rsid w:val="00D34E69"/>
    <w:rsid w:val="00D36C78"/>
    <w:rsid w:val="00D375EE"/>
    <w:rsid w:val="00D41BFA"/>
    <w:rsid w:val="00D42CCC"/>
    <w:rsid w:val="00D45EA4"/>
    <w:rsid w:val="00D53D54"/>
    <w:rsid w:val="00D55AE8"/>
    <w:rsid w:val="00D56056"/>
    <w:rsid w:val="00D6085F"/>
    <w:rsid w:val="00D62699"/>
    <w:rsid w:val="00D677B7"/>
    <w:rsid w:val="00D778E9"/>
    <w:rsid w:val="00D812BF"/>
    <w:rsid w:val="00D82620"/>
    <w:rsid w:val="00D844D2"/>
    <w:rsid w:val="00D85707"/>
    <w:rsid w:val="00D87F06"/>
    <w:rsid w:val="00D94A98"/>
    <w:rsid w:val="00D969ED"/>
    <w:rsid w:val="00D9725F"/>
    <w:rsid w:val="00DA01B1"/>
    <w:rsid w:val="00DA10D8"/>
    <w:rsid w:val="00DA11A2"/>
    <w:rsid w:val="00DA14ED"/>
    <w:rsid w:val="00DA26D6"/>
    <w:rsid w:val="00DB2EF1"/>
    <w:rsid w:val="00DB3DE1"/>
    <w:rsid w:val="00DB55F8"/>
    <w:rsid w:val="00DB5DA0"/>
    <w:rsid w:val="00DB716C"/>
    <w:rsid w:val="00DC5C85"/>
    <w:rsid w:val="00DC7C5D"/>
    <w:rsid w:val="00DD192F"/>
    <w:rsid w:val="00DD4236"/>
    <w:rsid w:val="00DD44F1"/>
    <w:rsid w:val="00DD60A5"/>
    <w:rsid w:val="00DD6957"/>
    <w:rsid w:val="00DD6E7A"/>
    <w:rsid w:val="00DE3067"/>
    <w:rsid w:val="00DE6986"/>
    <w:rsid w:val="00DF3EEE"/>
    <w:rsid w:val="00DF7475"/>
    <w:rsid w:val="00DF75E1"/>
    <w:rsid w:val="00E027BC"/>
    <w:rsid w:val="00E045BE"/>
    <w:rsid w:val="00E10F0D"/>
    <w:rsid w:val="00E14EA5"/>
    <w:rsid w:val="00E2070E"/>
    <w:rsid w:val="00E21133"/>
    <w:rsid w:val="00E2327E"/>
    <w:rsid w:val="00E23401"/>
    <w:rsid w:val="00E23577"/>
    <w:rsid w:val="00E266EF"/>
    <w:rsid w:val="00E326A8"/>
    <w:rsid w:val="00E403C0"/>
    <w:rsid w:val="00E42D93"/>
    <w:rsid w:val="00E47428"/>
    <w:rsid w:val="00E50709"/>
    <w:rsid w:val="00E5356B"/>
    <w:rsid w:val="00E56C8E"/>
    <w:rsid w:val="00E5716B"/>
    <w:rsid w:val="00E57F1F"/>
    <w:rsid w:val="00E66B9F"/>
    <w:rsid w:val="00E70A6A"/>
    <w:rsid w:val="00E710D6"/>
    <w:rsid w:val="00E73DA4"/>
    <w:rsid w:val="00E76E45"/>
    <w:rsid w:val="00E77422"/>
    <w:rsid w:val="00E777C9"/>
    <w:rsid w:val="00E81DA6"/>
    <w:rsid w:val="00E84212"/>
    <w:rsid w:val="00E9086C"/>
    <w:rsid w:val="00E90AAA"/>
    <w:rsid w:val="00E91A0F"/>
    <w:rsid w:val="00E94A71"/>
    <w:rsid w:val="00E94CBF"/>
    <w:rsid w:val="00EA03CE"/>
    <w:rsid w:val="00EA23E5"/>
    <w:rsid w:val="00EA4A21"/>
    <w:rsid w:val="00EA4E2E"/>
    <w:rsid w:val="00EB2417"/>
    <w:rsid w:val="00EB2CCB"/>
    <w:rsid w:val="00EB7A25"/>
    <w:rsid w:val="00EC0F3E"/>
    <w:rsid w:val="00EC3994"/>
    <w:rsid w:val="00EC57A7"/>
    <w:rsid w:val="00ED0817"/>
    <w:rsid w:val="00ED2535"/>
    <w:rsid w:val="00ED3C21"/>
    <w:rsid w:val="00ED3DE4"/>
    <w:rsid w:val="00ED7DD9"/>
    <w:rsid w:val="00EE445B"/>
    <w:rsid w:val="00EE7D62"/>
    <w:rsid w:val="00EF3113"/>
    <w:rsid w:val="00EF3F84"/>
    <w:rsid w:val="00EF6FCD"/>
    <w:rsid w:val="00F026C0"/>
    <w:rsid w:val="00F0657E"/>
    <w:rsid w:val="00F157AD"/>
    <w:rsid w:val="00F176AC"/>
    <w:rsid w:val="00F20C03"/>
    <w:rsid w:val="00F20E88"/>
    <w:rsid w:val="00F20EE8"/>
    <w:rsid w:val="00F26F28"/>
    <w:rsid w:val="00F27714"/>
    <w:rsid w:val="00F3276E"/>
    <w:rsid w:val="00F33756"/>
    <w:rsid w:val="00F33D3C"/>
    <w:rsid w:val="00F37A91"/>
    <w:rsid w:val="00F40864"/>
    <w:rsid w:val="00F408A0"/>
    <w:rsid w:val="00F44DE7"/>
    <w:rsid w:val="00F45CF5"/>
    <w:rsid w:val="00F47DB0"/>
    <w:rsid w:val="00F50C3F"/>
    <w:rsid w:val="00F50E34"/>
    <w:rsid w:val="00F51AFB"/>
    <w:rsid w:val="00F53EF7"/>
    <w:rsid w:val="00F54BF2"/>
    <w:rsid w:val="00F64D82"/>
    <w:rsid w:val="00F775AC"/>
    <w:rsid w:val="00F777AB"/>
    <w:rsid w:val="00F8772C"/>
    <w:rsid w:val="00F8792F"/>
    <w:rsid w:val="00F9214D"/>
    <w:rsid w:val="00F92355"/>
    <w:rsid w:val="00F93963"/>
    <w:rsid w:val="00F94291"/>
    <w:rsid w:val="00FA04A3"/>
    <w:rsid w:val="00FA298A"/>
    <w:rsid w:val="00FA5B66"/>
    <w:rsid w:val="00FA5F7C"/>
    <w:rsid w:val="00FB0135"/>
    <w:rsid w:val="00FB0B9C"/>
    <w:rsid w:val="00FB1200"/>
    <w:rsid w:val="00FB30EB"/>
    <w:rsid w:val="00FB7982"/>
    <w:rsid w:val="00FC0734"/>
    <w:rsid w:val="00FC0FC5"/>
    <w:rsid w:val="00FC3326"/>
    <w:rsid w:val="00FC588F"/>
    <w:rsid w:val="00FC6879"/>
    <w:rsid w:val="00FD43C2"/>
    <w:rsid w:val="00FD57CC"/>
    <w:rsid w:val="00FE1B30"/>
    <w:rsid w:val="00FE7B44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E7C275"/>
  <w15:docId w15:val="{8FE2C02F-8CB1-46C6-AC4E-E2ADC922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65E0"/>
    <w:pPr>
      <w:spacing w:line="360" w:lineRule="auto"/>
      <w:jc w:val="both"/>
    </w:pPr>
    <w:rPr>
      <w:sz w:val="24"/>
      <w:lang w:eastAsia="en-US"/>
    </w:rPr>
  </w:style>
  <w:style w:type="paragraph" w:styleId="Heading1">
    <w:name w:val="heading 1"/>
    <w:basedOn w:val="Normal"/>
    <w:next w:val="ParaNumbering"/>
    <w:qFormat/>
    <w:pPr>
      <w:keepNext/>
      <w:spacing w:before="240" w:after="60" w:line="240" w:lineRule="auto"/>
      <w:outlineLvl w:val="0"/>
    </w:pPr>
    <w:rPr>
      <w:b/>
      <w:caps/>
      <w:kern w:val="28"/>
    </w:rPr>
  </w:style>
  <w:style w:type="paragraph" w:styleId="Heading2">
    <w:name w:val="heading 2"/>
    <w:basedOn w:val="Normal"/>
    <w:next w:val="ParaNumbering"/>
    <w:qFormat/>
    <w:pPr>
      <w:keepNext/>
      <w:spacing w:before="240" w:after="60" w:line="240" w:lineRule="auto"/>
      <w:outlineLvl w:val="1"/>
    </w:pPr>
    <w:rPr>
      <w:b/>
      <w:szCs w:val="24"/>
    </w:rPr>
  </w:style>
  <w:style w:type="paragraph" w:styleId="Heading3">
    <w:name w:val="heading 3"/>
    <w:basedOn w:val="Normal"/>
    <w:next w:val="ParaNumbering"/>
    <w:qFormat/>
    <w:pPr>
      <w:keepNext/>
      <w:spacing w:before="240" w:after="60" w:line="240" w:lineRule="auto"/>
      <w:outlineLvl w:val="2"/>
    </w:pPr>
    <w:rPr>
      <w:b/>
      <w:i/>
    </w:rPr>
  </w:style>
  <w:style w:type="paragraph" w:styleId="Heading4">
    <w:name w:val="heading 4"/>
    <w:basedOn w:val="Normal"/>
    <w:next w:val="ParaNumbering"/>
    <w:qFormat/>
    <w:rsid w:val="009F5C33"/>
    <w:pPr>
      <w:keepNext/>
      <w:spacing w:before="240" w:after="60" w:line="240" w:lineRule="auto"/>
      <w:jc w:val="left"/>
      <w:outlineLvl w:val="3"/>
    </w:pPr>
    <w:rPr>
      <w:i/>
      <w:szCs w:val="24"/>
    </w:rPr>
  </w:style>
  <w:style w:type="paragraph" w:styleId="Heading5">
    <w:name w:val="heading 5"/>
    <w:basedOn w:val="fcHeading1"/>
    <w:next w:val="ParaNumbering"/>
    <w:qFormat/>
    <w:rsid w:val="000E7BAE"/>
    <w:pPr>
      <w:outlineLvl w:val="4"/>
    </w:pPr>
    <w:rPr>
      <w:caps w:val="0"/>
    </w:rPr>
  </w:style>
  <w:style w:type="paragraph" w:styleId="Heading6">
    <w:name w:val="heading 6"/>
    <w:basedOn w:val="fcHeading2"/>
    <w:next w:val="ParaNumbering"/>
    <w:qFormat/>
    <w:pPr>
      <w:outlineLvl w:val="5"/>
    </w:pPr>
  </w:style>
  <w:style w:type="paragraph" w:styleId="Heading7">
    <w:name w:val="heading 7"/>
    <w:basedOn w:val="fcHeading3"/>
    <w:next w:val="ParaNumbering"/>
    <w:qFormat/>
    <w:rsid w:val="00635B36"/>
    <w:pPr>
      <w:outlineLvl w:val="6"/>
    </w:pPr>
    <w:rPr>
      <w:i w:val="0"/>
    </w:rPr>
  </w:style>
  <w:style w:type="paragraph" w:styleId="Heading8">
    <w:name w:val="heading 8"/>
    <w:basedOn w:val="fcHeading4"/>
    <w:next w:val="ParaNumbering"/>
    <w:rsid w:val="00635B36"/>
    <w:pPr>
      <w:outlineLvl w:val="7"/>
    </w:pPr>
    <w:rPr>
      <w:smallCaps w:val="0"/>
    </w:rPr>
  </w:style>
  <w:style w:type="paragraph" w:styleId="Heading9">
    <w:name w:val="heading 9"/>
    <w:basedOn w:val="fcHeading5"/>
    <w:next w:val="ParaNumbering"/>
    <w:rsid w:val="00635B36"/>
    <w:pPr>
      <w:outlineLvl w:val="8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dersPage">
    <w:name w:val="OrdersPage"/>
    <w:basedOn w:val="Normal"/>
    <w:semiHidden/>
    <w:pPr>
      <w:spacing w:line="240" w:lineRule="auto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araNumbering">
    <w:name w:val="ParaNumbering"/>
    <w:basedOn w:val="Normal"/>
    <w:rsid w:val="00967855"/>
    <w:pPr>
      <w:numPr>
        <w:numId w:val="1"/>
      </w:numPr>
      <w:tabs>
        <w:tab w:val="clear" w:pos="720"/>
      </w:tabs>
      <w:spacing w:before="180" w:after="180"/>
    </w:pPr>
  </w:style>
  <w:style w:type="paragraph" w:customStyle="1" w:styleId="Quote1">
    <w:name w:val="Quote1"/>
    <w:rsid w:val="00960ECB"/>
    <w:pPr>
      <w:widowControl w:val="0"/>
      <w:spacing w:after="180"/>
      <w:ind w:left="737" w:right="737"/>
      <w:jc w:val="both"/>
    </w:pPr>
    <w:rPr>
      <w:sz w:val="22"/>
      <w:lang w:eastAsia="en-US"/>
    </w:rPr>
  </w:style>
  <w:style w:type="paragraph" w:customStyle="1" w:styleId="NormalHeadings">
    <w:name w:val="Normal Headings"/>
    <w:link w:val="NormalHeadingsChar"/>
    <w:pPr>
      <w:widowControl w:val="0"/>
      <w:jc w:val="both"/>
    </w:pPr>
    <w:rPr>
      <w:b/>
      <w:sz w:val="24"/>
      <w:lang w:eastAsia="en-US"/>
    </w:rPr>
  </w:style>
  <w:style w:type="table" w:styleId="TableGrid">
    <w:name w:val="Table Grid"/>
    <w:basedOn w:val="TableNormal"/>
    <w:semiHidden/>
    <w:pPr>
      <w:widowControl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aNeutralStyle">
    <w:name w:val="Media Neutral Style"/>
    <w:basedOn w:val="Normal"/>
    <w:next w:val="Normal1linespace"/>
    <w:semiHidden/>
    <w:pPr>
      <w:spacing w:before="20" w:after="20"/>
      <w:jc w:val="center"/>
    </w:pPr>
    <w:rPr>
      <w:b/>
      <w:sz w:val="26"/>
    </w:rPr>
  </w:style>
  <w:style w:type="paragraph" w:customStyle="1" w:styleId="Normal1linespace">
    <w:name w:val="Normal1linespace"/>
    <w:basedOn w:val="Normal"/>
    <w:pPr>
      <w:spacing w:line="240" w:lineRule="auto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Bold">
    <w:name w:val="Style Bold"/>
    <w:basedOn w:val="Normal"/>
    <w:next w:val="BodyText"/>
    <w:semiHidden/>
    <w:rPr>
      <w:szCs w:val="24"/>
    </w:rPr>
  </w:style>
  <w:style w:type="paragraph" w:customStyle="1" w:styleId="Bold">
    <w:name w:val="Bold"/>
    <w:basedOn w:val="Normal"/>
    <w:next w:val="Normal"/>
    <w:semiHidden/>
    <w:pPr>
      <w:suppressAutoHyphens/>
      <w:jc w:val="left"/>
    </w:pPr>
    <w:rPr>
      <w:b/>
      <w:szCs w:val="24"/>
    </w:rPr>
  </w:style>
  <w:style w:type="paragraph" w:customStyle="1" w:styleId="Certify">
    <w:name w:val="Certify"/>
    <w:basedOn w:val="Normal"/>
    <w:link w:val="CertifyChar"/>
    <w:semiHidden/>
    <w:pPr>
      <w:spacing w:line="240" w:lineRule="auto"/>
    </w:pPr>
    <w:rPr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FCBullets">
    <w:name w:val="FCBullets"/>
    <w:basedOn w:val="Normal"/>
    <w:rsid w:val="001C2FE0"/>
    <w:pPr>
      <w:numPr>
        <w:numId w:val="25"/>
      </w:numPr>
      <w:spacing w:before="60" w:after="60"/>
    </w:pPr>
  </w:style>
  <w:style w:type="paragraph" w:customStyle="1" w:styleId="JudgeStyle">
    <w:name w:val="JudgeStyle"/>
    <w:basedOn w:val="Heading1"/>
    <w:next w:val="ParaNumbering"/>
    <w:semiHidden/>
  </w:style>
  <w:style w:type="paragraph" w:styleId="TOC1">
    <w:name w:val="toc 1"/>
    <w:basedOn w:val="Normal"/>
    <w:next w:val="Normal"/>
    <w:autoRedefine/>
    <w:semiHidden/>
    <w:pPr>
      <w:tabs>
        <w:tab w:val="right" w:leader="dot" w:pos="9071"/>
      </w:tabs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071"/>
      </w:tabs>
      <w:ind w:left="24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071"/>
      </w:tabs>
      <w:ind w:left="48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071"/>
      </w:tabs>
      <w:ind w:left="720"/>
    </w:pPr>
  </w:style>
  <w:style w:type="paragraph" w:customStyle="1" w:styleId="NoNum">
    <w:name w:val="No Num"/>
    <w:basedOn w:val="Normal1linespace"/>
    <w:pPr>
      <w:spacing w:before="120" w:after="180" w:line="360" w:lineRule="auto"/>
    </w:pPr>
  </w:style>
  <w:style w:type="paragraph" w:customStyle="1" w:styleId="AppealTable">
    <w:name w:val="AppealTable"/>
    <w:basedOn w:val="Normal"/>
    <w:unhideWhenUsed/>
    <w:pPr>
      <w:spacing w:line="240" w:lineRule="auto"/>
      <w:jc w:val="left"/>
    </w:pPr>
    <w:rPr>
      <w:b/>
      <w:caps/>
      <w:sz w:val="22"/>
      <w:szCs w:val="22"/>
    </w:rPr>
  </w:style>
  <w:style w:type="paragraph" w:customStyle="1" w:styleId="Quote3">
    <w:name w:val="Quote3"/>
    <w:basedOn w:val="Quote1"/>
    <w:pPr>
      <w:ind w:left="2160"/>
    </w:pPr>
  </w:style>
  <w:style w:type="paragraph" w:customStyle="1" w:styleId="Quote2">
    <w:name w:val="Quote2"/>
    <w:basedOn w:val="Quote1"/>
    <w:pPr>
      <w:ind w:left="1440"/>
    </w:pPr>
  </w:style>
  <w:style w:type="paragraph" w:customStyle="1" w:styleId="FTOC1">
    <w:name w:val="FTOC 1"/>
    <w:basedOn w:val="Normal"/>
    <w:semiHidden/>
    <w:rsid w:val="00681ADF"/>
    <w:pPr>
      <w:tabs>
        <w:tab w:val="right" w:leader="dot" w:pos="9072"/>
      </w:tabs>
      <w:spacing w:before="120" w:after="60" w:line="240" w:lineRule="auto"/>
      <w:jc w:val="left"/>
    </w:pPr>
    <w:rPr>
      <w:b/>
      <w:caps/>
      <w:kern w:val="28"/>
    </w:rPr>
  </w:style>
  <w:style w:type="paragraph" w:customStyle="1" w:styleId="ListNo1">
    <w:name w:val="List No 1"/>
    <w:basedOn w:val="Normal"/>
    <w:rsid w:val="0052098C"/>
    <w:pPr>
      <w:numPr>
        <w:numId w:val="22"/>
      </w:numPr>
      <w:spacing w:before="60" w:after="60"/>
    </w:pPr>
  </w:style>
  <w:style w:type="paragraph" w:customStyle="1" w:styleId="FTOC2">
    <w:name w:val="FTOC 2"/>
    <w:basedOn w:val="Normal"/>
    <w:semiHidden/>
    <w:rsid w:val="00681ADF"/>
    <w:pPr>
      <w:tabs>
        <w:tab w:val="right" w:leader="dot" w:pos="9072"/>
      </w:tabs>
      <w:spacing w:before="120" w:after="60" w:line="240" w:lineRule="auto"/>
      <w:ind w:left="238"/>
      <w:jc w:val="left"/>
    </w:pPr>
    <w:rPr>
      <w:b/>
    </w:rPr>
  </w:style>
  <w:style w:type="paragraph" w:customStyle="1" w:styleId="FTOC3">
    <w:name w:val="FTOC 3"/>
    <w:basedOn w:val="Normal"/>
    <w:semiHidden/>
    <w:rsid w:val="00681ADF"/>
    <w:pPr>
      <w:tabs>
        <w:tab w:val="right" w:leader="dot" w:pos="9072"/>
      </w:tabs>
      <w:spacing w:before="120" w:after="60" w:line="240" w:lineRule="auto"/>
      <w:ind w:left="482"/>
      <w:jc w:val="left"/>
    </w:pPr>
    <w:rPr>
      <w:b/>
      <w:i/>
    </w:rPr>
  </w:style>
  <w:style w:type="paragraph" w:customStyle="1" w:styleId="FTOC4">
    <w:name w:val="FTOC 4"/>
    <w:basedOn w:val="Normal"/>
    <w:semiHidden/>
    <w:rsid w:val="00681ADF"/>
    <w:pPr>
      <w:tabs>
        <w:tab w:val="right" w:leader="dot" w:pos="9072"/>
      </w:tabs>
      <w:spacing w:before="120" w:after="60" w:line="240" w:lineRule="auto"/>
      <w:ind w:left="720"/>
      <w:jc w:val="left"/>
    </w:pPr>
    <w:rPr>
      <w:i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072"/>
      </w:tabs>
      <w:ind w:left="960"/>
    </w:p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odyText">
    <w:name w:val="Body Text"/>
    <w:basedOn w:val="Normal"/>
    <w:link w:val="BodyTextChar"/>
    <w:qFormat/>
    <w:rsid w:val="002B0E91"/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pPr>
      <w:ind w:left="4252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semiHidden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styleId="ListBullet2">
    <w:name w:val="List Bullet 2"/>
    <w:basedOn w:val="Normal"/>
    <w:semiHidden/>
    <w:pPr>
      <w:numPr>
        <w:numId w:val="3"/>
      </w:numPr>
    </w:pPr>
  </w:style>
  <w:style w:type="paragraph" w:styleId="ListBullet3">
    <w:name w:val="List Bullet 3"/>
    <w:basedOn w:val="Normal"/>
    <w:semiHidden/>
    <w:pPr>
      <w:numPr>
        <w:numId w:val="4"/>
      </w:numPr>
    </w:pPr>
  </w:style>
  <w:style w:type="paragraph" w:styleId="ListBullet4">
    <w:name w:val="List Bullet 4"/>
    <w:basedOn w:val="Normal"/>
    <w:semiHidden/>
    <w:pPr>
      <w:numPr>
        <w:numId w:val="5"/>
      </w:numPr>
    </w:pPr>
  </w:style>
  <w:style w:type="paragraph" w:styleId="ListBullet5">
    <w:name w:val="List Bullet 5"/>
    <w:basedOn w:val="Normal"/>
    <w:semiHidden/>
    <w:pPr>
      <w:numPr>
        <w:numId w:val="6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7"/>
      </w:numPr>
    </w:pPr>
  </w:style>
  <w:style w:type="paragraph" w:styleId="ListNumber2">
    <w:name w:val="List Number 2"/>
    <w:basedOn w:val="Normal"/>
    <w:semiHidden/>
    <w:pPr>
      <w:numPr>
        <w:numId w:val="8"/>
      </w:numPr>
    </w:pPr>
  </w:style>
  <w:style w:type="paragraph" w:styleId="ListNumber3">
    <w:name w:val="List Number 3"/>
    <w:basedOn w:val="Normal"/>
    <w:semiHidden/>
    <w:pPr>
      <w:numPr>
        <w:numId w:val="9"/>
      </w:numPr>
    </w:pPr>
  </w:style>
  <w:style w:type="paragraph" w:styleId="ListNumber4">
    <w:name w:val="List Number 4"/>
    <w:basedOn w:val="Normal"/>
    <w:semiHidden/>
    <w:pPr>
      <w:numPr>
        <w:numId w:val="10"/>
      </w:numPr>
    </w:pPr>
  </w:style>
  <w:style w:type="paragraph" w:styleId="ListNumber5">
    <w:name w:val="List Number 5"/>
    <w:basedOn w:val="Normal"/>
    <w:semiHidden/>
    <w:pPr>
      <w:numPr>
        <w:numId w:val="11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pPr>
      <w:spacing w:line="36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pPr>
      <w:spacing w:line="36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pPr>
      <w:spacing w:line="36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pPr>
      <w:spacing w:line="36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pPr>
      <w:spacing w:line="36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pPr>
      <w:spacing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pPr>
      <w:spacing w:line="36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pPr>
      <w:spacing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pPr>
      <w:spacing w:line="36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pPr>
      <w:spacing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pPr>
      <w:spacing w:line="36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pPr>
      <w:spacing w:line="36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pPr>
      <w:spacing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pPr>
      <w:spacing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pPr>
      <w:spacing w:line="36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pPr>
      <w:spacing w:line="36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pPr>
      <w:spacing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pPr>
      <w:spacing w:line="36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pPr>
      <w:spacing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pPr>
      <w:spacing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pPr>
      <w:spacing w:line="36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pPr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pPr>
      <w:spacing w:line="36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pPr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pPr>
      <w:spacing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pPr>
      <w:spacing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pPr>
      <w:spacing w:line="36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pPr>
      <w:spacing w:line="36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pPr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pPr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TOC1">
    <w:name w:val="bTOC 1"/>
    <w:basedOn w:val="TOC1"/>
    <w:rsid w:val="00323061"/>
    <w:pPr>
      <w:spacing w:before="120" w:after="60" w:line="240" w:lineRule="auto"/>
      <w:jc w:val="left"/>
    </w:pPr>
  </w:style>
  <w:style w:type="paragraph" w:customStyle="1" w:styleId="bTOC2">
    <w:name w:val="bTOC 2"/>
    <w:basedOn w:val="TOC2"/>
    <w:semiHidden/>
    <w:rsid w:val="00323061"/>
    <w:pPr>
      <w:spacing w:before="120" w:after="60" w:line="240" w:lineRule="auto"/>
      <w:ind w:left="238"/>
      <w:jc w:val="left"/>
    </w:pPr>
  </w:style>
  <w:style w:type="paragraph" w:customStyle="1" w:styleId="bTOC3">
    <w:name w:val="bTOC 3"/>
    <w:basedOn w:val="TOC3"/>
    <w:semiHidden/>
    <w:rsid w:val="00323061"/>
    <w:pPr>
      <w:spacing w:before="120" w:after="60" w:line="240" w:lineRule="auto"/>
      <w:ind w:left="482"/>
      <w:jc w:val="left"/>
    </w:pPr>
  </w:style>
  <w:style w:type="paragraph" w:customStyle="1" w:styleId="bTOC4">
    <w:name w:val="bTOC 4"/>
    <w:basedOn w:val="TOC4"/>
    <w:semiHidden/>
    <w:rsid w:val="00323061"/>
    <w:pPr>
      <w:spacing w:before="120" w:after="60" w:line="240" w:lineRule="auto"/>
      <w:jc w:val="left"/>
    </w:pPr>
  </w:style>
  <w:style w:type="paragraph" w:customStyle="1" w:styleId="Counsel">
    <w:name w:val="Counsel"/>
    <w:basedOn w:val="Normal"/>
    <w:unhideWhenUsed/>
    <w:pPr>
      <w:widowControl w:val="0"/>
      <w:suppressAutoHyphens/>
      <w:spacing w:line="240" w:lineRule="auto"/>
    </w:pPr>
  </w:style>
  <w:style w:type="character" w:customStyle="1" w:styleId="CertifyChar">
    <w:name w:val="Certify Char"/>
    <w:link w:val="Certify"/>
    <w:rPr>
      <w:sz w:val="24"/>
      <w:szCs w:val="24"/>
      <w:lang w:val="en-AU" w:eastAsia="en-US" w:bidi="ar-SA"/>
    </w:rPr>
  </w:style>
  <w:style w:type="paragraph" w:customStyle="1" w:styleId="fcHeading1">
    <w:name w:val="fcHeading 1"/>
    <w:basedOn w:val="Normal"/>
    <w:next w:val="ParaNumbering"/>
    <w:semiHidden/>
    <w:pPr>
      <w:keepNext/>
      <w:numPr>
        <w:numId w:val="15"/>
      </w:numPr>
      <w:spacing w:before="240" w:after="60" w:line="240" w:lineRule="auto"/>
    </w:pPr>
    <w:rPr>
      <w:b/>
      <w:caps/>
      <w:kern w:val="28"/>
    </w:rPr>
  </w:style>
  <w:style w:type="paragraph" w:customStyle="1" w:styleId="fcHeading2">
    <w:name w:val="fcHeading 2"/>
    <w:basedOn w:val="Normal"/>
    <w:next w:val="ParaNumbering"/>
    <w:semiHidden/>
    <w:pPr>
      <w:keepNext/>
      <w:numPr>
        <w:ilvl w:val="1"/>
        <w:numId w:val="15"/>
      </w:numPr>
      <w:spacing w:before="240" w:after="60" w:line="240" w:lineRule="auto"/>
    </w:pPr>
    <w:rPr>
      <w:b/>
    </w:rPr>
  </w:style>
  <w:style w:type="paragraph" w:customStyle="1" w:styleId="fcHeading3">
    <w:name w:val="fcHeading 3"/>
    <w:basedOn w:val="Normal"/>
    <w:next w:val="ParaNumbering"/>
    <w:semiHidden/>
    <w:pPr>
      <w:keepNext/>
      <w:numPr>
        <w:ilvl w:val="2"/>
        <w:numId w:val="15"/>
      </w:numPr>
      <w:spacing w:before="240" w:after="60" w:line="240" w:lineRule="auto"/>
    </w:pPr>
    <w:rPr>
      <w:b/>
      <w:i/>
    </w:rPr>
  </w:style>
  <w:style w:type="paragraph" w:customStyle="1" w:styleId="fcHeading4">
    <w:name w:val="fcHeading 4"/>
    <w:basedOn w:val="Normal"/>
    <w:next w:val="ParaNumbering"/>
    <w:semiHidden/>
    <w:pPr>
      <w:keepNext/>
      <w:numPr>
        <w:ilvl w:val="3"/>
        <w:numId w:val="15"/>
      </w:numPr>
      <w:spacing w:before="240" w:after="60" w:line="240" w:lineRule="auto"/>
    </w:pPr>
    <w:rPr>
      <w:b/>
      <w:smallCaps/>
    </w:rPr>
  </w:style>
  <w:style w:type="paragraph" w:customStyle="1" w:styleId="fcHeading5">
    <w:name w:val="fcHeading 5"/>
    <w:basedOn w:val="Normal"/>
    <w:next w:val="ParaNumbering"/>
    <w:semiHidden/>
    <w:pPr>
      <w:keepNext/>
      <w:numPr>
        <w:ilvl w:val="4"/>
        <w:numId w:val="15"/>
      </w:numPr>
      <w:spacing w:before="240" w:after="60" w:line="240" w:lineRule="auto"/>
    </w:pPr>
    <w:rPr>
      <w:b/>
      <w:caps/>
    </w:rPr>
  </w:style>
  <w:style w:type="paragraph" w:customStyle="1" w:styleId="FTOC5">
    <w:name w:val="FTOC 5"/>
    <w:basedOn w:val="Normal"/>
    <w:semiHidden/>
    <w:rsid w:val="006516D8"/>
    <w:pPr>
      <w:tabs>
        <w:tab w:val="right" w:leader="dot" w:pos="9072"/>
      </w:tabs>
      <w:spacing w:before="120" w:after="60" w:line="240" w:lineRule="auto"/>
      <w:ind w:left="567" w:hanging="567"/>
      <w:jc w:val="left"/>
    </w:pPr>
    <w:rPr>
      <w:b/>
      <w:kern w:val="28"/>
    </w:rPr>
  </w:style>
  <w:style w:type="paragraph" w:customStyle="1" w:styleId="FTOC6">
    <w:name w:val="FTOC 6"/>
    <w:basedOn w:val="Normal"/>
    <w:semiHidden/>
    <w:rsid w:val="006516D8"/>
    <w:pPr>
      <w:tabs>
        <w:tab w:val="right" w:leader="dot" w:pos="9072"/>
      </w:tabs>
      <w:spacing w:before="120" w:after="60" w:line="240" w:lineRule="auto"/>
      <w:ind w:left="1304" w:hanging="737"/>
      <w:jc w:val="left"/>
    </w:pPr>
    <w:rPr>
      <w:b/>
    </w:rPr>
  </w:style>
  <w:style w:type="paragraph" w:customStyle="1" w:styleId="FTOC7">
    <w:name w:val="FTOC 7"/>
    <w:basedOn w:val="Normal"/>
    <w:semiHidden/>
    <w:rsid w:val="006516D8"/>
    <w:pPr>
      <w:tabs>
        <w:tab w:val="right" w:leader="dot" w:pos="9072"/>
      </w:tabs>
      <w:spacing w:before="120" w:after="60" w:line="240" w:lineRule="auto"/>
      <w:ind w:left="2325" w:hanging="1021"/>
      <w:jc w:val="left"/>
    </w:pPr>
    <w:rPr>
      <w:b/>
    </w:rPr>
  </w:style>
  <w:style w:type="paragraph" w:customStyle="1" w:styleId="FTOC8">
    <w:name w:val="FTOC 8"/>
    <w:basedOn w:val="Normal"/>
    <w:semiHidden/>
    <w:rsid w:val="006516D8"/>
    <w:pPr>
      <w:tabs>
        <w:tab w:val="right" w:leader="dot" w:pos="9072"/>
      </w:tabs>
      <w:spacing w:before="120" w:after="60" w:line="240" w:lineRule="auto"/>
      <w:ind w:left="3232" w:hanging="1418"/>
      <w:jc w:val="left"/>
    </w:pPr>
    <w:rPr>
      <w:b/>
    </w:rPr>
  </w:style>
  <w:style w:type="paragraph" w:customStyle="1" w:styleId="FTOC9">
    <w:name w:val="FTOC 9"/>
    <w:basedOn w:val="Normal"/>
    <w:semiHidden/>
    <w:rsid w:val="006516D8"/>
    <w:pPr>
      <w:tabs>
        <w:tab w:val="right" w:leader="dot" w:pos="9072"/>
      </w:tabs>
      <w:spacing w:before="120" w:after="60" w:line="240" w:lineRule="auto"/>
      <w:ind w:left="4082" w:hanging="1701"/>
      <w:jc w:val="left"/>
    </w:pPr>
    <w:rPr>
      <w:b/>
    </w:rPr>
  </w:style>
  <w:style w:type="paragraph" w:customStyle="1" w:styleId="bTOC5">
    <w:name w:val="bTOC 5"/>
    <w:basedOn w:val="Normal"/>
    <w:semiHidden/>
    <w:rsid w:val="00323061"/>
    <w:pPr>
      <w:tabs>
        <w:tab w:val="right" w:leader="dot" w:pos="9072"/>
      </w:tabs>
      <w:spacing w:before="120" w:after="60" w:line="240" w:lineRule="auto"/>
      <w:ind w:left="709" w:hanging="709"/>
      <w:jc w:val="left"/>
    </w:pPr>
  </w:style>
  <w:style w:type="paragraph" w:customStyle="1" w:styleId="bTOC6">
    <w:name w:val="bTOC 6"/>
    <w:basedOn w:val="Normal"/>
    <w:semiHidden/>
    <w:rsid w:val="00323061"/>
    <w:pPr>
      <w:tabs>
        <w:tab w:val="right" w:leader="dot" w:pos="9072"/>
      </w:tabs>
      <w:spacing w:before="120" w:after="60" w:line="240" w:lineRule="auto"/>
      <w:ind w:left="1418" w:hanging="709"/>
      <w:jc w:val="left"/>
    </w:pPr>
  </w:style>
  <w:style w:type="paragraph" w:customStyle="1" w:styleId="bTOC7">
    <w:name w:val="bTOC 7"/>
    <w:basedOn w:val="Normal"/>
    <w:semiHidden/>
    <w:rsid w:val="00F51AFB"/>
    <w:pPr>
      <w:tabs>
        <w:tab w:val="right" w:leader="dot" w:pos="9072"/>
      </w:tabs>
      <w:spacing w:before="120" w:after="60" w:line="240" w:lineRule="auto"/>
      <w:ind w:left="2240" w:hanging="822"/>
      <w:jc w:val="left"/>
    </w:pPr>
  </w:style>
  <w:style w:type="paragraph" w:customStyle="1" w:styleId="bTOC8">
    <w:name w:val="bTOC 8"/>
    <w:basedOn w:val="Normal"/>
    <w:semiHidden/>
    <w:rsid w:val="00F51AFB"/>
    <w:pPr>
      <w:keepNext/>
      <w:tabs>
        <w:tab w:val="right" w:leader="dot" w:pos="9072"/>
      </w:tabs>
      <w:spacing w:before="120" w:after="60" w:line="240" w:lineRule="auto"/>
      <w:ind w:left="3373" w:hanging="1247"/>
      <w:jc w:val="left"/>
    </w:pPr>
  </w:style>
  <w:style w:type="paragraph" w:customStyle="1" w:styleId="bTOC9">
    <w:name w:val="bTOC 9"/>
    <w:basedOn w:val="Normal"/>
    <w:semiHidden/>
    <w:rsid w:val="00F51AFB"/>
    <w:pPr>
      <w:keepNext/>
      <w:tabs>
        <w:tab w:val="right" w:leader="dot" w:pos="9072"/>
      </w:tabs>
      <w:spacing w:before="120" w:after="60" w:line="240" w:lineRule="auto"/>
      <w:ind w:left="4082" w:hanging="1247"/>
      <w:jc w:val="left"/>
    </w:pPr>
  </w:style>
  <w:style w:type="paragraph" w:customStyle="1" w:styleId="ListNo2">
    <w:name w:val="List No 2"/>
    <w:basedOn w:val="ListNo1"/>
    <w:rsid w:val="0052098C"/>
    <w:pPr>
      <w:numPr>
        <w:ilvl w:val="1"/>
      </w:numPr>
    </w:pPr>
  </w:style>
  <w:style w:type="paragraph" w:customStyle="1" w:styleId="ListNo3">
    <w:name w:val="List No 3"/>
    <w:basedOn w:val="ListNo2"/>
    <w:rsid w:val="0052098C"/>
    <w:pPr>
      <w:numPr>
        <w:ilvl w:val="2"/>
      </w:numPr>
    </w:pPr>
  </w:style>
  <w:style w:type="numbering" w:customStyle="1" w:styleId="FCListNo">
    <w:name w:val="FCListNo"/>
    <w:uiPriority w:val="99"/>
    <w:rsid w:val="0052098C"/>
    <w:pPr>
      <w:numPr>
        <w:numId w:val="16"/>
      </w:numPr>
    </w:pPr>
  </w:style>
  <w:style w:type="paragraph" w:customStyle="1" w:styleId="SingleSpace">
    <w:name w:val="SingleSpace"/>
    <w:basedOn w:val="Normal"/>
    <w:rsid w:val="00055719"/>
    <w:pPr>
      <w:spacing w:line="240" w:lineRule="auto"/>
    </w:pPr>
    <w:rPr>
      <w:szCs w:val="22"/>
    </w:rPr>
  </w:style>
  <w:style w:type="paragraph" w:customStyle="1" w:styleId="Quote1Bullet">
    <w:name w:val="Quote1 Bullet"/>
    <w:basedOn w:val="Quote1"/>
    <w:rsid w:val="00EF3F84"/>
    <w:pPr>
      <w:numPr>
        <w:numId w:val="17"/>
      </w:numPr>
      <w:ind w:left="1440" w:hanging="720"/>
    </w:pPr>
  </w:style>
  <w:style w:type="paragraph" w:customStyle="1" w:styleId="Quote2Bullet">
    <w:name w:val="Quote2 Bullet"/>
    <w:basedOn w:val="Quote2"/>
    <w:rsid w:val="00EF3F84"/>
    <w:pPr>
      <w:numPr>
        <w:numId w:val="18"/>
      </w:numPr>
      <w:ind w:hanging="720"/>
    </w:pPr>
  </w:style>
  <w:style w:type="paragraph" w:customStyle="1" w:styleId="Quote3Bullet">
    <w:name w:val="Quote3 Bullet"/>
    <w:basedOn w:val="Quote3"/>
    <w:rsid w:val="00EE445B"/>
    <w:pPr>
      <w:numPr>
        <w:numId w:val="19"/>
      </w:numPr>
      <w:ind w:hanging="720"/>
    </w:pPr>
  </w:style>
  <w:style w:type="paragraph" w:customStyle="1" w:styleId="Order1">
    <w:name w:val="Order 1"/>
    <w:basedOn w:val="Normal"/>
    <w:rsid w:val="004104B6"/>
    <w:pPr>
      <w:numPr>
        <w:numId w:val="20"/>
      </w:numPr>
      <w:spacing w:before="60" w:after="60"/>
    </w:pPr>
  </w:style>
  <w:style w:type="numbering" w:customStyle="1" w:styleId="FCOrders">
    <w:name w:val="FCOrders"/>
    <w:uiPriority w:val="99"/>
    <w:rsid w:val="004104B6"/>
    <w:pPr>
      <w:numPr>
        <w:numId w:val="20"/>
      </w:numPr>
    </w:pPr>
  </w:style>
  <w:style w:type="paragraph" w:customStyle="1" w:styleId="BodyTextBold">
    <w:name w:val="Body Text Bold"/>
    <w:basedOn w:val="BodyText"/>
    <w:rsid w:val="00484F6D"/>
    <w:rPr>
      <w:b/>
    </w:rPr>
  </w:style>
  <w:style w:type="paragraph" w:customStyle="1" w:styleId="GeneralHeading">
    <w:name w:val="General Heading"/>
    <w:basedOn w:val="BodyTextBold"/>
    <w:next w:val="BodyText"/>
    <w:rsid w:val="008C7167"/>
    <w:pPr>
      <w:spacing w:line="480" w:lineRule="auto"/>
      <w:jc w:val="center"/>
    </w:pPr>
    <w:rPr>
      <w:sz w:val="28"/>
    </w:rPr>
  </w:style>
  <w:style w:type="paragraph" w:customStyle="1" w:styleId="ReasonJudge">
    <w:name w:val="Reason Judge"/>
    <w:basedOn w:val="BodyText"/>
    <w:next w:val="BodyText"/>
    <w:rsid w:val="008C7167"/>
    <w:pPr>
      <w:jc w:val="left"/>
    </w:pPr>
    <w:rPr>
      <w:b/>
      <w:sz w:val="26"/>
    </w:rPr>
  </w:style>
  <w:style w:type="paragraph" w:customStyle="1" w:styleId="FileNo">
    <w:name w:val="FileNo"/>
    <w:basedOn w:val="NormalHeadings"/>
    <w:rsid w:val="007E4DB6"/>
    <w:pPr>
      <w:tabs>
        <w:tab w:val="right" w:pos="3609"/>
      </w:tabs>
      <w:spacing w:line="276" w:lineRule="auto"/>
      <w:jc w:val="right"/>
    </w:pPr>
    <w:rPr>
      <w:szCs w:val="24"/>
    </w:rPr>
  </w:style>
  <w:style w:type="paragraph" w:customStyle="1" w:styleId="CasesLegislationAppealFrom">
    <w:name w:val="Cases Legislation Appeal From"/>
    <w:basedOn w:val="Normal1linespace"/>
    <w:rsid w:val="000C023E"/>
    <w:pPr>
      <w:widowControl w:val="0"/>
      <w:spacing w:after="100"/>
      <w:jc w:val="left"/>
    </w:pPr>
  </w:style>
  <w:style w:type="paragraph" w:customStyle="1" w:styleId="PartyName">
    <w:name w:val="Party Name"/>
    <w:basedOn w:val="NormalHeadings"/>
    <w:rsid w:val="00A45FB1"/>
    <w:pPr>
      <w:jc w:val="left"/>
    </w:pPr>
    <w:rPr>
      <w:szCs w:val="24"/>
    </w:rPr>
  </w:style>
  <w:style w:type="paragraph" w:customStyle="1" w:styleId="PartyType">
    <w:name w:val="Party Type"/>
    <w:basedOn w:val="PartyName"/>
    <w:rsid w:val="00A45FB1"/>
    <w:rPr>
      <w:b w:val="0"/>
    </w:rPr>
  </w:style>
  <w:style w:type="paragraph" w:customStyle="1" w:styleId="Small-TableswithinQuotes">
    <w:name w:val="Small - Tables within Quotes"/>
    <w:basedOn w:val="BodyText"/>
    <w:rsid w:val="005E0510"/>
    <w:pPr>
      <w:spacing w:line="240" w:lineRule="auto"/>
      <w:jc w:val="left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E91A0F"/>
    <w:rPr>
      <w:sz w:val="24"/>
      <w:lang w:eastAsia="en-US"/>
    </w:rPr>
  </w:style>
  <w:style w:type="character" w:customStyle="1" w:styleId="NormalHeadingsChar">
    <w:name w:val="Normal Headings Char"/>
    <w:basedOn w:val="DefaultParagraphFont"/>
    <w:link w:val="NormalHeadings"/>
    <w:rsid w:val="00E91A0F"/>
    <w:rPr>
      <w:b/>
      <w:sz w:val="24"/>
      <w:lang w:eastAsia="en-US"/>
    </w:rPr>
  </w:style>
  <w:style w:type="paragraph" w:customStyle="1" w:styleId="CourtTitle">
    <w:name w:val="CourtTitle"/>
    <w:basedOn w:val="NormalHeadings"/>
    <w:rsid w:val="00285922"/>
    <w:pPr>
      <w:jc w:val="center"/>
    </w:pPr>
    <w:rPr>
      <w:caps/>
      <w:sz w:val="32"/>
    </w:rPr>
  </w:style>
  <w:style w:type="paragraph" w:customStyle="1" w:styleId="MNC">
    <w:name w:val="MNC"/>
    <w:basedOn w:val="MediaNeutralStyle"/>
    <w:rsid w:val="00085255"/>
    <w:pPr>
      <w:spacing w:after="240"/>
    </w:pPr>
    <w:rPr>
      <w:sz w:val="28"/>
    </w:rPr>
  </w:style>
  <w:style w:type="paragraph" w:customStyle="1" w:styleId="Quote4">
    <w:name w:val="Quote4"/>
    <w:basedOn w:val="Quote1"/>
    <w:rsid w:val="00DF75E1"/>
    <w:pPr>
      <w:ind w:left="2880"/>
    </w:pPr>
  </w:style>
  <w:style w:type="paragraph" w:customStyle="1" w:styleId="Quote4Bullet">
    <w:name w:val="Quote4 Bullet"/>
    <w:basedOn w:val="Quote4"/>
    <w:rsid w:val="00EE445B"/>
    <w:pPr>
      <w:numPr>
        <w:numId w:val="21"/>
      </w:numPr>
      <w:ind w:hanging="720"/>
    </w:pPr>
  </w:style>
  <w:style w:type="character" w:styleId="PlaceholderText">
    <w:name w:val="Placeholder Text"/>
    <w:basedOn w:val="DefaultParagraphFont"/>
    <w:uiPriority w:val="99"/>
    <w:semiHidden/>
    <w:rsid w:val="00CF5A80"/>
    <w:rPr>
      <w:color w:val="808080"/>
    </w:rPr>
  </w:style>
  <w:style w:type="paragraph" w:customStyle="1" w:styleId="Order2">
    <w:name w:val="Order 2"/>
    <w:basedOn w:val="Order1"/>
    <w:rsid w:val="001351B9"/>
    <w:pPr>
      <w:numPr>
        <w:ilvl w:val="1"/>
      </w:numPr>
      <w:tabs>
        <w:tab w:val="clear" w:pos="1440"/>
      </w:tabs>
    </w:pPr>
  </w:style>
  <w:style w:type="paragraph" w:customStyle="1" w:styleId="Order3">
    <w:name w:val="Order 3"/>
    <w:basedOn w:val="Order2"/>
    <w:rsid w:val="00DD6957"/>
    <w:pPr>
      <w:numPr>
        <w:ilvl w:val="2"/>
      </w:numPr>
    </w:pPr>
  </w:style>
  <w:style w:type="paragraph" w:customStyle="1" w:styleId="ListNo1alt">
    <w:name w:val="List No 1 (alt)"/>
    <w:basedOn w:val="Normal"/>
    <w:rsid w:val="008A1741"/>
    <w:pPr>
      <w:numPr>
        <w:numId w:val="24"/>
      </w:numPr>
      <w:spacing w:before="60" w:after="60"/>
    </w:pPr>
  </w:style>
  <w:style w:type="paragraph" w:customStyle="1" w:styleId="ListNo2alt">
    <w:name w:val="List No 2 (alt)"/>
    <w:basedOn w:val="ListNo1alt"/>
    <w:rsid w:val="008A1741"/>
    <w:pPr>
      <w:numPr>
        <w:ilvl w:val="1"/>
      </w:numPr>
    </w:pPr>
  </w:style>
  <w:style w:type="paragraph" w:customStyle="1" w:styleId="ListNo3alt">
    <w:name w:val="List No 3 (alt)"/>
    <w:basedOn w:val="ListNo2alt"/>
    <w:rsid w:val="008A1741"/>
    <w:pPr>
      <w:numPr>
        <w:ilvl w:val="2"/>
      </w:numPr>
    </w:pPr>
  </w:style>
  <w:style w:type="numbering" w:customStyle="1" w:styleId="FCListNoalt">
    <w:name w:val="FC List No (alt)"/>
    <w:uiPriority w:val="99"/>
    <w:rsid w:val="008A1741"/>
    <w:pPr>
      <w:numPr>
        <w:numId w:val="23"/>
      </w:numPr>
    </w:pPr>
  </w:style>
  <w:style w:type="paragraph" w:customStyle="1" w:styleId="Order4">
    <w:name w:val="Order 4"/>
    <w:basedOn w:val="Order3"/>
    <w:rsid w:val="004104B6"/>
    <w:pPr>
      <w:numPr>
        <w:ilvl w:val="3"/>
      </w:numPr>
    </w:pPr>
  </w:style>
  <w:style w:type="paragraph" w:styleId="FootnoteText">
    <w:name w:val="footnote text"/>
    <w:basedOn w:val="Normal"/>
    <w:link w:val="FootnoteTextChar"/>
    <w:semiHidden/>
    <w:unhideWhenUsed/>
    <w:rsid w:val="00077768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7768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077768"/>
    <w:rPr>
      <w:vertAlign w:val="superscript"/>
    </w:rPr>
  </w:style>
  <w:style w:type="paragraph" w:customStyle="1" w:styleId="FCBullets2">
    <w:name w:val="FCBullets2"/>
    <w:basedOn w:val="FCBullets"/>
    <w:rsid w:val="001C2FE0"/>
    <w:pPr>
      <w:numPr>
        <w:ilvl w:val="1"/>
      </w:numPr>
    </w:pPr>
  </w:style>
  <w:style w:type="numbering" w:customStyle="1" w:styleId="FCNotes">
    <w:name w:val="FCNotes"/>
    <w:uiPriority w:val="99"/>
    <w:rsid w:val="00805A30"/>
    <w:pPr>
      <w:numPr>
        <w:numId w:val="26"/>
      </w:numPr>
    </w:pPr>
  </w:style>
  <w:style w:type="paragraph" w:customStyle="1" w:styleId="Notes">
    <w:name w:val="Notes"/>
    <w:basedOn w:val="Normal"/>
    <w:rsid w:val="00805A30"/>
    <w:pPr>
      <w:numPr>
        <w:numId w:val="28"/>
      </w:numPr>
      <w:spacing w:before="60" w:after="60"/>
    </w:pPr>
  </w:style>
  <w:style w:type="paragraph" w:customStyle="1" w:styleId="OrdersHeading1">
    <w:name w:val="Orders Heading 1"/>
    <w:basedOn w:val="Normal"/>
    <w:next w:val="BodyText"/>
    <w:rsid w:val="001E0C61"/>
    <w:pPr>
      <w:keepNext/>
      <w:spacing w:before="240" w:after="180" w:line="240" w:lineRule="auto"/>
    </w:pPr>
    <w:rPr>
      <w:b/>
      <w:caps/>
    </w:rPr>
  </w:style>
  <w:style w:type="paragraph" w:customStyle="1" w:styleId="OrdersHeading2">
    <w:name w:val="Orders Heading 2"/>
    <w:basedOn w:val="Normal"/>
    <w:next w:val="BodyText"/>
    <w:rsid w:val="001E0C61"/>
    <w:pPr>
      <w:keepNext/>
      <w:spacing w:before="240" w:after="180" w:line="24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ocuments\Judg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9A4CB13A7C4363BF19C7EBEAA92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7CC18-4E24-49D3-8F10-371066BFD30D}"/>
      </w:docPartPr>
      <w:docPartBody>
        <w:p w:rsidR="006E1FB5" w:rsidRDefault="006E1FB5">
          <w:pPr>
            <w:pStyle w:val="6E9A4CB13A7C4363BF19C7EBEAA92465"/>
          </w:pPr>
          <w:r>
            <w:rPr>
              <w:rStyle w:val="PlaceholderText"/>
            </w:rPr>
            <w:t>MNC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B5"/>
    <w:rsid w:val="000D4D77"/>
    <w:rsid w:val="003B4468"/>
    <w:rsid w:val="003D5E32"/>
    <w:rsid w:val="005631DB"/>
    <w:rsid w:val="006E1FB5"/>
    <w:rsid w:val="00825B44"/>
    <w:rsid w:val="008F779F"/>
    <w:rsid w:val="00921E7C"/>
    <w:rsid w:val="0093714B"/>
    <w:rsid w:val="00F6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E9A4CB13A7C4363BF19C7EBEAA92465">
    <w:name w:val="6E9A4CB13A7C4363BF19C7EBEAA924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 xmlns="http://schemas.globalmacros.com/FCA">
  <Name>Fitzpatrick v Isaacs (No 2) [2024] FCA 1454</Name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  <Record_x0020_Authority xmlns="85512599-8531-48e1-9b90-9215d01f2c32">A</Record_x0020_Authority>
    <Inspection_x0020_Code xmlns="85512599-8531-48e1-9b90-9215d01f2c32">Restricted</Inspection_x0020_Code>
    <Judgment_x0020_Type xmlns="85512599-8531-48e1-9b90-9215d01f2c32">Costs</Judgment_x0020_Type>
    <Document_x0020_Type xmlns="85512599-8531-48e1-9b90-9215d01f2c32">Judgment</Document_x0020_Type>
    <Publishing_x0020_Status xmlns="85512599-8531-48e1-9b90-9215d01f2c32">Ready for Publication</Publishing_x0020_Status>
    <Notes1 xmlns="85512599-8531-48e1-9b90-9215d01f2c32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2F42D0060974E8056BF9F0576A03E" ma:contentTypeVersion="" ma:contentTypeDescription="Create a new document." ma:contentTypeScope="" ma:versionID="da111ef215142d0e14eba5e17f20a672">
  <xsd:schema xmlns:xsd="http://www.w3.org/2001/XMLSchema" xmlns:xs="http://www.w3.org/2001/XMLSchema" xmlns:p="http://schemas.microsoft.com/office/2006/metadata/properties" xmlns:ns2="85512599-8531-48e1-9b90-9215d01f2c32" xmlns:ns3="http://schemas.microsoft.com/sharepoint/v3/fields" targetNamespace="http://schemas.microsoft.com/office/2006/metadata/properties" ma:root="true" ma:fieldsID="7e471cda3b2a7742ee03a8d96ddb2354" ns2:_="" ns3:_="">
    <xsd:import namespace="85512599-8531-48e1-9b90-9215d01f2c3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Record_x0020_Authority"/>
                <xsd:element ref="ns2:Inspection_x0020_Code" minOccurs="0"/>
                <xsd:element ref="ns2:Notes1" minOccurs="0"/>
                <xsd:element ref="ns3:_DCDateCreated" minOccurs="0"/>
                <xsd:element ref="ns3:_DCDateModified" minOccurs="0"/>
                <xsd:element ref="ns2:Judgment_x0020_Type"/>
                <xsd:element ref="ns2:Publishing_x0020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12599-8531-48e1-9b90-9215d01f2c3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simpleType>
        <xsd:restriction base="dms:Text"/>
      </xsd:simpleType>
    </xsd:element>
    <xsd:element name="Record_x0020_Authority" ma:index="9" ma:displayName="Record Authority" ma:description="Part A - Status of National Archive or Held in Perpetuity &#10;&#10;Part B - Candidate to be destroyed after a set period of time in accordance with the FCA and FCC Records Authority." ma:format="Dropdown" ma:internalName="Record_x0020_Authority">
      <xsd:simpleType>
        <xsd:restriction base="dms:Choice">
          <xsd:enumeration value="A"/>
          <xsd:enumeration value="B"/>
        </xsd:restriction>
      </xsd:simpleType>
    </xsd:element>
    <xsd:element name="Inspection_x0020_Code" ma:index="10" nillable="true" ma:displayName="Inspection Code" ma:default="Restricted" ma:format="Dropdown" ma:internalName="Inspection_x0020_Code">
      <xsd:simpleType>
        <xsd:restriction base="dms:Choice">
          <xsd:enumeration value="Restricted"/>
          <xsd:enumeration value="General"/>
        </xsd:restriction>
      </xsd:simpleType>
    </xsd:element>
    <xsd:element name="Notes1" ma:index="11" nillable="true" ma:displayName="Notes" ma:internalName="Notes1">
      <xsd:simpleType>
        <xsd:restriction base="dms:Note">
          <xsd:maxLength value="255"/>
        </xsd:restriction>
      </xsd:simpleType>
    </xsd:element>
    <xsd:element name="Judgment_x0020_Type" ma:index="14" ma:displayName="Judgment Type" ma:format="Dropdown" ma:internalName="Judgment_x0020_Type">
      <xsd:simpleType>
        <xsd:restriction base="dms:Choice">
          <xsd:enumeration value="Final"/>
          <xsd:enumeration value="Interim"/>
          <xsd:enumeration value="Costs"/>
          <xsd:enumeration value="Interlocutory"/>
        </xsd:restriction>
      </xsd:simpleType>
    </xsd:element>
    <xsd:element name="Publishing_x0020_Status" ma:index="15" ma:displayName="Publishing Status" ma:default="Not for Release" ma:format="Dropdown" ma:internalName="Publishing_x0020_Status">
      <xsd:simpleType>
        <xsd:restriction base="dms:Choice">
          <xsd:enumeration value="Not for Release"/>
          <xsd:enumeration value="Ready for Public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2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13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E7CCB-4AA5-44E7-B148-17BA2B6F57C0}">
  <ds:schemaRefs>
    <ds:schemaRef ds:uri="http://schemas.globalmacros.com/FCA"/>
  </ds:schemaRefs>
</ds:datastoreItem>
</file>

<file path=customXml/itemProps2.xml><?xml version="1.0" encoding="utf-8"?>
<ds:datastoreItem xmlns:ds="http://schemas.openxmlformats.org/officeDocument/2006/customXml" ds:itemID="{ACA6EEAE-A48F-4166-B1C2-861FBF94C179}">
  <ds:schemaRefs>
    <ds:schemaRef ds:uri="http://schemas.microsoft.com/office/2006/metadata/properties"/>
    <ds:schemaRef ds:uri="85512599-8531-48e1-9b90-9215d01f2c32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EC52DA0-B16F-4B6E-B916-09569AF351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94F742-CBF7-424F-958B-B9BF1EA08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12599-8531-48e1-9b90-9215d01f2c3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491BDD-2516-4911-AD38-40105538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Judgment.dotx</Template>
  <TotalTime>1</TotalTime>
  <Pages>9</Pages>
  <Words>2319</Words>
  <Characters>11846</Characters>
  <Application>Microsoft Office Word</Application>
  <DocSecurity>0</DocSecurity>
  <PresentationFormat/>
  <Lines>311</Lines>
  <Paragraphs>146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Judgment Template</vt:lpstr>
    </vt:vector>
  </TitlesOfParts>
  <Manager/>
  <Company/>
  <LinksUpToDate>false</LinksUpToDate>
  <CharactersWithSpaces>14019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Federal Court of Australia</cp:lastModifiedBy>
  <cp:revision>4</cp:revision>
  <cp:lastPrinted>2024-12-13T06:02:00Z</cp:lastPrinted>
  <dcterms:created xsi:type="dcterms:W3CDTF">2024-12-17T23:17:00Z</dcterms:created>
  <dcterms:modified xsi:type="dcterms:W3CDTF">2024-12-17T23:19:00Z</dcterms:modified>
  <cp:category/>
  <cp:contentStatus/>
  <dc:language/>
  <cp:version/>
</cp:coreProperties>
</file>