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67CB" w14:textId="539547EA" w:rsidR="00395B24" w:rsidRDefault="00E31C88" w:rsidP="00A22932">
      <w:pPr>
        <w:pStyle w:val="CourtTitle"/>
      </w:pPr>
      <w:r>
        <w:rPr>
          <w:caps w:val="0"/>
        </w:rPr>
        <w:t>FEDERAL COURT OF AUSTRALIA</w:t>
      </w:r>
    </w:p>
    <w:p w14:paraId="6130A729" w14:textId="77777777" w:rsidR="004D7950" w:rsidRDefault="004D7950">
      <w:pPr>
        <w:pStyle w:val="NormalHeadings"/>
        <w:jc w:val="center"/>
        <w:rPr>
          <w:sz w:val="32"/>
        </w:rPr>
      </w:pPr>
    </w:p>
    <w:bookmarkStart w:id="0" w:name="MNC"/>
    <w:p w14:paraId="2289B174" w14:textId="13F8CD09" w:rsidR="00374CC4" w:rsidRDefault="006D7C3B" w:rsidP="001A2B40">
      <w:pPr>
        <w:pStyle w:val="MNC"/>
      </w:pPr>
      <w:sdt>
        <w:sdtPr>
          <w:alias w:val="MNC"/>
          <w:tag w:val="MNC"/>
          <w:id w:val="343289786"/>
          <w:lock w:val="sdtLocked"/>
          <w:placeholder>
            <w:docPart w:val="2E53D7122AC84175B7813893196D8DB9"/>
          </w:placeholder>
          <w:dataBinding w:prefixMappings="xmlns:ns0='http://schemas.globalmacros.com/FCA'" w:xpath="/ns0:root[1]/ns0:Name[1]" w:storeItemID="{687E7CCB-4AA5-44E7-B148-17BA2B6F57C0}"/>
          <w:text w:multiLine="1"/>
        </w:sdtPr>
        <w:sdtEndPr/>
        <w:sdtContent>
          <w:r w:rsidR="00AB4CE3">
            <w:t xml:space="preserve">Australian Securities and Investments Commission v American Express Australia Limited [2024] FCA </w:t>
          </w:r>
          <w:r w:rsidR="0076607F">
            <w:t>784</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39FDFEF4" w14:textId="77777777" w:rsidTr="00C96E56">
        <w:tc>
          <w:tcPr>
            <w:tcW w:w="3084" w:type="dxa"/>
            <w:shd w:val="clear" w:color="auto" w:fill="auto"/>
          </w:tcPr>
          <w:p w14:paraId="7EACAB52" w14:textId="7341488B" w:rsidR="00395B24" w:rsidRDefault="002C7385" w:rsidP="00663878">
            <w:pPr>
              <w:pStyle w:val="Normal1linespace"/>
              <w:widowControl w:val="0"/>
              <w:jc w:val="left"/>
            </w:pPr>
            <w:r>
              <w:t>File number:</w:t>
            </w:r>
          </w:p>
        </w:tc>
        <w:tc>
          <w:tcPr>
            <w:tcW w:w="5989" w:type="dxa"/>
            <w:shd w:val="clear" w:color="auto" w:fill="auto"/>
          </w:tcPr>
          <w:p w14:paraId="41356F5C" w14:textId="6747DD9F" w:rsidR="00395B24" w:rsidRPr="00633BB2" w:rsidRDefault="006D7C3B" w:rsidP="00633BB2">
            <w:pPr>
              <w:pStyle w:val="Normal1linespace"/>
              <w:jc w:val="left"/>
            </w:pPr>
            <w:r>
              <w:fldChar w:fldCharType="begin" w:fldLock="1"/>
            </w:r>
            <w:r>
              <w:instrText xml:space="preserve"> REF  FileNo  \* MERGEFORMAT </w:instrText>
            </w:r>
            <w:r>
              <w:fldChar w:fldCharType="separate"/>
            </w:r>
            <w:r w:rsidR="00633BB2" w:rsidRPr="00633BB2">
              <w:t>NSD 1038 of 2022</w:t>
            </w:r>
            <w:r>
              <w:fldChar w:fldCharType="end"/>
            </w:r>
          </w:p>
        </w:tc>
      </w:tr>
      <w:tr w:rsidR="00395B24" w14:paraId="7C54BA6D" w14:textId="77777777" w:rsidTr="00C96E56">
        <w:tc>
          <w:tcPr>
            <w:tcW w:w="3084" w:type="dxa"/>
            <w:shd w:val="clear" w:color="auto" w:fill="auto"/>
          </w:tcPr>
          <w:p w14:paraId="602AAB02" w14:textId="77777777" w:rsidR="00395B24" w:rsidRDefault="00395B24" w:rsidP="00663878">
            <w:pPr>
              <w:pStyle w:val="Normal1linespace"/>
              <w:widowControl w:val="0"/>
              <w:jc w:val="left"/>
            </w:pPr>
          </w:p>
        </w:tc>
        <w:tc>
          <w:tcPr>
            <w:tcW w:w="5989" w:type="dxa"/>
            <w:shd w:val="clear" w:color="auto" w:fill="auto"/>
          </w:tcPr>
          <w:p w14:paraId="5FEF59CB" w14:textId="77777777" w:rsidR="00395B24" w:rsidRDefault="00395B24" w:rsidP="00663878">
            <w:pPr>
              <w:pStyle w:val="Normal1linespace"/>
              <w:widowControl w:val="0"/>
              <w:jc w:val="left"/>
            </w:pPr>
          </w:p>
        </w:tc>
      </w:tr>
      <w:tr w:rsidR="00395B24" w14:paraId="47EF7693" w14:textId="77777777" w:rsidTr="00C96E56">
        <w:tc>
          <w:tcPr>
            <w:tcW w:w="3084" w:type="dxa"/>
            <w:shd w:val="clear" w:color="auto" w:fill="auto"/>
          </w:tcPr>
          <w:p w14:paraId="5980E733"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41327641" w14:textId="57DD8EEE" w:rsidR="00395B24" w:rsidRDefault="002C7385" w:rsidP="00663878">
            <w:pPr>
              <w:pStyle w:val="Normal1linespace"/>
              <w:widowControl w:val="0"/>
              <w:jc w:val="left"/>
              <w:rPr>
                <w:b/>
              </w:rPr>
            </w:pPr>
            <w:r w:rsidRPr="00633BB2">
              <w:rPr>
                <w:b/>
              </w:rPr>
              <w:fldChar w:fldCharType="begin" w:fldLock="1"/>
            </w:r>
            <w:r w:rsidRPr="00633BB2">
              <w:rPr>
                <w:b/>
              </w:rPr>
              <w:instrText xml:space="preserve"> REF  Judge  \* MERGEFORMAT </w:instrText>
            </w:r>
            <w:r w:rsidRPr="00633BB2">
              <w:rPr>
                <w:b/>
              </w:rPr>
              <w:fldChar w:fldCharType="separate"/>
            </w:r>
            <w:r w:rsidR="00633BB2" w:rsidRPr="00633BB2">
              <w:rPr>
                <w:b/>
                <w:caps/>
                <w:szCs w:val="24"/>
              </w:rPr>
              <w:t>JACKMAN J</w:t>
            </w:r>
            <w:r w:rsidRPr="00633BB2">
              <w:rPr>
                <w:b/>
              </w:rPr>
              <w:fldChar w:fldCharType="end"/>
            </w:r>
          </w:p>
        </w:tc>
      </w:tr>
      <w:tr w:rsidR="00395B24" w14:paraId="41B1D9E8" w14:textId="77777777" w:rsidTr="00C96E56">
        <w:tc>
          <w:tcPr>
            <w:tcW w:w="3084" w:type="dxa"/>
            <w:shd w:val="clear" w:color="auto" w:fill="auto"/>
          </w:tcPr>
          <w:p w14:paraId="48A4D2DF" w14:textId="77777777" w:rsidR="00395B24" w:rsidRDefault="00395B24" w:rsidP="00663878">
            <w:pPr>
              <w:pStyle w:val="Normal1linespace"/>
              <w:widowControl w:val="0"/>
              <w:jc w:val="left"/>
            </w:pPr>
          </w:p>
        </w:tc>
        <w:tc>
          <w:tcPr>
            <w:tcW w:w="5989" w:type="dxa"/>
            <w:shd w:val="clear" w:color="auto" w:fill="auto"/>
          </w:tcPr>
          <w:p w14:paraId="763A9D4F" w14:textId="77777777" w:rsidR="00395B24" w:rsidRDefault="00395B24" w:rsidP="00663878">
            <w:pPr>
              <w:pStyle w:val="Normal1linespace"/>
              <w:widowControl w:val="0"/>
              <w:jc w:val="left"/>
            </w:pPr>
          </w:p>
        </w:tc>
      </w:tr>
      <w:tr w:rsidR="00395B24" w14:paraId="5B656CC8" w14:textId="77777777" w:rsidTr="00C96E56">
        <w:tc>
          <w:tcPr>
            <w:tcW w:w="3084" w:type="dxa"/>
            <w:shd w:val="clear" w:color="auto" w:fill="auto"/>
          </w:tcPr>
          <w:p w14:paraId="5F017D02" w14:textId="77777777" w:rsidR="00395B24" w:rsidRDefault="002C7385" w:rsidP="00663878">
            <w:pPr>
              <w:pStyle w:val="Normal1linespace"/>
              <w:widowControl w:val="0"/>
              <w:jc w:val="left"/>
            </w:pPr>
            <w:r>
              <w:t>Date of judgment:</w:t>
            </w:r>
          </w:p>
        </w:tc>
        <w:tc>
          <w:tcPr>
            <w:tcW w:w="5989" w:type="dxa"/>
            <w:shd w:val="clear" w:color="auto" w:fill="auto"/>
          </w:tcPr>
          <w:p w14:paraId="5725ACDD" w14:textId="0EBA8923" w:rsidR="00395B24" w:rsidRDefault="007C3680" w:rsidP="00663878">
            <w:pPr>
              <w:pStyle w:val="Normal1linespace"/>
              <w:widowControl w:val="0"/>
              <w:jc w:val="left"/>
            </w:pPr>
            <w:bookmarkStart w:id="1" w:name="JudgmentDate"/>
            <w:r>
              <w:t>19 July</w:t>
            </w:r>
            <w:r w:rsidR="00633BB2">
              <w:t xml:space="preserve"> 2024</w:t>
            </w:r>
            <w:bookmarkEnd w:id="1"/>
          </w:p>
        </w:tc>
      </w:tr>
      <w:tr w:rsidR="00395B24" w14:paraId="550ACC5A" w14:textId="77777777" w:rsidTr="00C96E56">
        <w:tc>
          <w:tcPr>
            <w:tcW w:w="3084" w:type="dxa"/>
            <w:shd w:val="clear" w:color="auto" w:fill="auto"/>
          </w:tcPr>
          <w:p w14:paraId="5D0B0DF8" w14:textId="77777777" w:rsidR="00395B24" w:rsidRDefault="00395B24" w:rsidP="00663878">
            <w:pPr>
              <w:pStyle w:val="Normal1linespace"/>
              <w:widowControl w:val="0"/>
              <w:jc w:val="left"/>
            </w:pPr>
          </w:p>
        </w:tc>
        <w:tc>
          <w:tcPr>
            <w:tcW w:w="5989" w:type="dxa"/>
            <w:shd w:val="clear" w:color="auto" w:fill="auto"/>
          </w:tcPr>
          <w:p w14:paraId="0C23D0B8" w14:textId="77777777" w:rsidR="00395B24" w:rsidRDefault="00395B24" w:rsidP="00663878">
            <w:pPr>
              <w:pStyle w:val="Normal1linespace"/>
              <w:widowControl w:val="0"/>
              <w:jc w:val="left"/>
            </w:pPr>
          </w:p>
        </w:tc>
      </w:tr>
      <w:tr w:rsidR="00395B24" w14:paraId="3DC3D03C" w14:textId="77777777" w:rsidTr="00C96E56">
        <w:tc>
          <w:tcPr>
            <w:tcW w:w="3084" w:type="dxa"/>
            <w:shd w:val="clear" w:color="auto" w:fill="auto"/>
          </w:tcPr>
          <w:p w14:paraId="1A4E8AAA" w14:textId="77777777" w:rsidR="00395B24" w:rsidRDefault="002C7385" w:rsidP="00663878">
            <w:pPr>
              <w:pStyle w:val="Normal1linespace"/>
              <w:widowControl w:val="0"/>
              <w:jc w:val="left"/>
            </w:pPr>
            <w:r>
              <w:t>Catchwords:</w:t>
            </w:r>
          </w:p>
        </w:tc>
        <w:tc>
          <w:tcPr>
            <w:tcW w:w="5989" w:type="dxa"/>
            <w:shd w:val="clear" w:color="auto" w:fill="auto"/>
          </w:tcPr>
          <w:p w14:paraId="4CDB74D9" w14:textId="15303E6C" w:rsidR="00981450" w:rsidRDefault="007C3680" w:rsidP="00663878">
            <w:pPr>
              <w:pStyle w:val="Normal1linespace"/>
              <w:widowControl w:val="0"/>
              <w:jc w:val="left"/>
            </w:pPr>
            <w:bookmarkStart w:id="2" w:name="Catchwords"/>
            <w:r>
              <w:rPr>
                <w:b/>
                <w:bCs/>
              </w:rPr>
              <w:t xml:space="preserve">CORPORATIONS </w:t>
            </w:r>
            <w:r>
              <w:t>–</w:t>
            </w:r>
            <w:r w:rsidR="00CF0BB0">
              <w:t xml:space="preserve"> </w:t>
            </w:r>
            <w:r w:rsidR="00D30DDD">
              <w:t>design and distribution obligations</w:t>
            </w:r>
            <w:r w:rsidR="00C93189">
              <w:t xml:space="preserve"> in Part 7.8A of the </w:t>
            </w:r>
            <w:r w:rsidR="00C93189">
              <w:rPr>
                <w:i/>
                <w:iCs/>
              </w:rPr>
              <w:t xml:space="preserve">Corporations Act 2001 </w:t>
            </w:r>
            <w:r w:rsidR="00C93189">
              <w:t>(Cth)</w:t>
            </w:r>
            <w:r w:rsidR="00D30DDD">
              <w:t xml:space="preserve"> –</w:t>
            </w:r>
            <w:r w:rsidR="00C93189">
              <w:t xml:space="preserve"> </w:t>
            </w:r>
            <w:r w:rsidR="00CF0BB0">
              <w:t>joint submissions on liability – where</w:t>
            </w:r>
            <w:r w:rsidR="007B1B23">
              <w:t xml:space="preserve"> defendant admits </w:t>
            </w:r>
            <w:r w:rsidR="00CF0BB0">
              <w:t xml:space="preserve">two conventions </w:t>
            </w:r>
            <w:r w:rsidR="00AA15DC">
              <w:t>of ss 994C(4) and 994C(</w:t>
            </w:r>
            <w:r w:rsidR="001C43FB">
              <w:t>5</w:t>
            </w:r>
            <w:r w:rsidR="00AA15DC">
              <w:t xml:space="preserve">) of the Act – where contraventions relate </w:t>
            </w:r>
            <w:r w:rsidR="00CF0BB0">
              <w:t>to two credit cards distributed to customers in David Jones stores –</w:t>
            </w:r>
            <w:r w:rsidR="00557335">
              <w:t xml:space="preserve"> </w:t>
            </w:r>
            <w:r w:rsidR="00F66FA1">
              <w:t xml:space="preserve">whether knowledge requirement in chapeau </w:t>
            </w:r>
            <w:r w:rsidR="00832FCE">
              <w:t>applies to each sub-</w:t>
            </w:r>
            <w:r w:rsidR="000163F4">
              <w:t>paragraph</w:t>
            </w:r>
            <w:r w:rsidR="00832FCE">
              <w:t xml:space="preserve"> – </w:t>
            </w:r>
            <w:r w:rsidR="004065B0">
              <w:t>whether</w:t>
            </w:r>
            <w:r w:rsidR="00593E9A">
              <w:t xml:space="preserve"> subsequent</w:t>
            </w:r>
            <w:r w:rsidR="004065B0">
              <w:t xml:space="preserve"> reference to “</w:t>
            </w:r>
            <w:r w:rsidR="00466244">
              <w:t xml:space="preserve">first </w:t>
            </w:r>
            <w:r w:rsidR="004065B0">
              <w:t xml:space="preserve">knew” </w:t>
            </w:r>
            <w:r w:rsidR="00157115">
              <w:t xml:space="preserve">in chaussette </w:t>
            </w:r>
            <w:r w:rsidR="004065B0">
              <w:t xml:space="preserve">should be construed </w:t>
            </w:r>
            <w:r w:rsidR="00387829">
              <w:t xml:space="preserve">in context </w:t>
            </w:r>
            <w:r w:rsidR="004065B0">
              <w:t xml:space="preserve">as meaning “first knew or ought reasonably to have known” </w:t>
            </w:r>
          </w:p>
          <w:p w14:paraId="1D36FF6E" w14:textId="77777777" w:rsidR="009D071E" w:rsidRDefault="009D071E" w:rsidP="00663878">
            <w:pPr>
              <w:pStyle w:val="Normal1linespace"/>
              <w:widowControl w:val="0"/>
              <w:jc w:val="left"/>
            </w:pPr>
          </w:p>
          <w:p w14:paraId="158D3F94" w14:textId="295E7EAC" w:rsidR="009D071E" w:rsidRPr="009D071E" w:rsidRDefault="009D071E" w:rsidP="00663878">
            <w:pPr>
              <w:pStyle w:val="Normal1linespace"/>
              <w:widowControl w:val="0"/>
              <w:jc w:val="left"/>
            </w:pPr>
            <w:r>
              <w:rPr>
                <w:b/>
                <w:bCs/>
              </w:rPr>
              <w:t xml:space="preserve">PRACTICE AND PROCEDURE </w:t>
            </w:r>
            <w:r>
              <w:t xml:space="preserve">– </w:t>
            </w:r>
            <w:r w:rsidR="002D03D6">
              <w:t xml:space="preserve">duties of counsel to the Court – where </w:t>
            </w:r>
            <w:r w:rsidR="00FD0EED">
              <w:t xml:space="preserve">joint submissions </w:t>
            </w:r>
            <w:r w:rsidR="00DE25A4">
              <w:t xml:space="preserve">failed to provide reasons why </w:t>
            </w:r>
            <w:r w:rsidR="007A1A62">
              <w:t xml:space="preserve">the parties’ </w:t>
            </w:r>
            <w:r w:rsidR="00FD0EED">
              <w:t xml:space="preserve">proposed </w:t>
            </w:r>
            <w:r w:rsidR="00DE25A4">
              <w:t>construction of the Act may be wrong</w:t>
            </w:r>
            <w:r w:rsidR="00286FA6">
              <w:t xml:space="preserve"> – where </w:t>
            </w:r>
            <w:r w:rsidR="007A1A62">
              <w:t xml:space="preserve">the parties’ </w:t>
            </w:r>
            <w:r w:rsidR="00286FA6">
              <w:t xml:space="preserve">proposed construction was untenable </w:t>
            </w:r>
          </w:p>
          <w:p w14:paraId="1DD5C5B0" w14:textId="77777777" w:rsidR="00981450" w:rsidRDefault="00981450" w:rsidP="00663878">
            <w:pPr>
              <w:pStyle w:val="Normal1linespace"/>
              <w:widowControl w:val="0"/>
              <w:jc w:val="left"/>
            </w:pPr>
          </w:p>
          <w:p w14:paraId="522A59CC" w14:textId="16D8ECB5" w:rsidR="00395B24" w:rsidRDefault="00981450" w:rsidP="00663878">
            <w:pPr>
              <w:pStyle w:val="Normal1linespace"/>
              <w:widowControl w:val="0"/>
              <w:jc w:val="left"/>
            </w:pPr>
            <w:r>
              <w:rPr>
                <w:b/>
                <w:bCs/>
              </w:rPr>
              <w:t xml:space="preserve">CORPORATIONS </w:t>
            </w:r>
            <w:r>
              <w:t>– agreed penalty</w:t>
            </w:r>
            <w:r w:rsidR="002C7385">
              <w:t xml:space="preserve"> </w:t>
            </w:r>
            <w:bookmarkEnd w:id="2"/>
          </w:p>
        </w:tc>
      </w:tr>
      <w:tr w:rsidR="00395B24" w14:paraId="06D6C1B7" w14:textId="77777777" w:rsidTr="00C96E56">
        <w:tc>
          <w:tcPr>
            <w:tcW w:w="3084" w:type="dxa"/>
            <w:shd w:val="clear" w:color="auto" w:fill="auto"/>
          </w:tcPr>
          <w:p w14:paraId="1C186192" w14:textId="77777777" w:rsidR="00395B24" w:rsidRDefault="00395B24" w:rsidP="00663878">
            <w:pPr>
              <w:pStyle w:val="Normal1linespace"/>
              <w:widowControl w:val="0"/>
              <w:jc w:val="left"/>
            </w:pPr>
          </w:p>
        </w:tc>
        <w:tc>
          <w:tcPr>
            <w:tcW w:w="5989" w:type="dxa"/>
            <w:shd w:val="clear" w:color="auto" w:fill="auto"/>
          </w:tcPr>
          <w:p w14:paraId="6E63D45C" w14:textId="77777777" w:rsidR="00395B24" w:rsidRDefault="00395B24" w:rsidP="00663878">
            <w:pPr>
              <w:pStyle w:val="Normal1linespace"/>
              <w:widowControl w:val="0"/>
              <w:jc w:val="left"/>
            </w:pPr>
          </w:p>
        </w:tc>
      </w:tr>
      <w:tr w:rsidR="00395B24" w14:paraId="377E6FA3" w14:textId="77777777" w:rsidTr="00C96E56">
        <w:tc>
          <w:tcPr>
            <w:tcW w:w="3084" w:type="dxa"/>
            <w:shd w:val="clear" w:color="auto" w:fill="auto"/>
          </w:tcPr>
          <w:p w14:paraId="77D2395B" w14:textId="77777777" w:rsidR="00395B24" w:rsidRDefault="002C7385" w:rsidP="00663878">
            <w:pPr>
              <w:pStyle w:val="Normal1linespace"/>
              <w:widowControl w:val="0"/>
              <w:jc w:val="left"/>
            </w:pPr>
            <w:r>
              <w:t>Legislation:</w:t>
            </w:r>
          </w:p>
        </w:tc>
        <w:tc>
          <w:tcPr>
            <w:tcW w:w="5989" w:type="dxa"/>
            <w:shd w:val="clear" w:color="auto" w:fill="auto"/>
          </w:tcPr>
          <w:p w14:paraId="56EF5AE2" w14:textId="1B084101" w:rsidR="005D40D6" w:rsidRPr="005D40D6" w:rsidRDefault="008B5FCF" w:rsidP="005D40D6">
            <w:pPr>
              <w:pStyle w:val="CasesLegislationAppealFrom"/>
              <w:spacing w:after="60"/>
            </w:pPr>
            <w:bookmarkStart w:id="3" w:name="Legislation"/>
            <w:r>
              <w:rPr>
                <w:i/>
                <w:iCs/>
              </w:rPr>
              <w:t xml:space="preserve">Corporations Act 2001 </w:t>
            </w:r>
            <w:r>
              <w:t>(Cth) s</w:t>
            </w:r>
            <w:r w:rsidR="007557CA">
              <w:t>s</w:t>
            </w:r>
            <w:r>
              <w:t xml:space="preserve"> 994C, </w:t>
            </w:r>
            <w:r w:rsidR="005D40D6" w:rsidRPr="005D40D6">
              <w:t>1317G</w:t>
            </w:r>
            <w:bookmarkEnd w:id="3"/>
          </w:p>
        </w:tc>
      </w:tr>
      <w:tr w:rsidR="00395B24" w14:paraId="46B464B8" w14:textId="77777777" w:rsidTr="00C96E56">
        <w:tc>
          <w:tcPr>
            <w:tcW w:w="3084" w:type="dxa"/>
            <w:shd w:val="clear" w:color="auto" w:fill="auto"/>
          </w:tcPr>
          <w:p w14:paraId="088D8A66" w14:textId="77777777" w:rsidR="00395B24" w:rsidRDefault="00395B24" w:rsidP="00663878">
            <w:pPr>
              <w:pStyle w:val="Normal1linespace"/>
              <w:widowControl w:val="0"/>
              <w:jc w:val="left"/>
            </w:pPr>
          </w:p>
        </w:tc>
        <w:tc>
          <w:tcPr>
            <w:tcW w:w="5989" w:type="dxa"/>
            <w:shd w:val="clear" w:color="auto" w:fill="auto"/>
          </w:tcPr>
          <w:p w14:paraId="390317CA" w14:textId="77777777" w:rsidR="00395B24" w:rsidRDefault="00395B24" w:rsidP="00663878">
            <w:pPr>
              <w:pStyle w:val="Normal1linespace"/>
              <w:widowControl w:val="0"/>
              <w:jc w:val="left"/>
            </w:pPr>
          </w:p>
        </w:tc>
      </w:tr>
      <w:tr w:rsidR="00395B24" w14:paraId="6D9D3C84" w14:textId="77777777" w:rsidTr="00C96E56">
        <w:tc>
          <w:tcPr>
            <w:tcW w:w="3084" w:type="dxa"/>
            <w:shd w:val="clear" w:color="auto" w:fill="auto"/>
          </w:tcPr>
          <w:p w14:paraId="1188B380" w14:textId="77777777" w:rsidR="00395B24" w:rsidRDefault="002C7385" w:rsidP="00663878">
            <w:pPr>
              <w:pStyle w:val="Normal1linespace"/>
              <w:widowControl w:val="0"/>
              <w:jc w:val="left"/>
            </w:pPr>
            <w:r>
              <w:t>Cases cited:</w:t>
            </w:r>
          </w:p>
        </w:tc>
        <w:tc>
          <w:tcPr>
            <w:tcW w:w="5989" w:type="dxa"/>
            <w:shd w:val="clear" w:color="auto" w:fill="auto"/>
          </w:tcPr>
          <w:p w14:paraId="6C182BD8" w14:textId="77777777" w:rsidR="005D40D6" w:rsidRPr="005D40D6" w:rsidRDefault="005D40D6" w:rsidP="005D40D6">
            <w:pPr>
              <w:pStyle w:val="CasesLegislationAppealFrom"/>
              <w:spacing w:after="60"/>
            </w:pPr>
            <w:bookmarkStart w:id="4" w:name="Cases_Cited"/>
            <w:r w:rsidRPr="005D40D6">
              <w:rPr>
                <w:i/>
                <w:iCs/>
              </w:rPr>
              <w:t xml:space="preserve">Australian Building and Construction Commission v Pattinson </w:t>
            </w:r>
            <w:r w:rsidRPr="005D40D6">
              <w:t>[2022] HCA 13; (2022) 274 CLR 450</w:t>
            </w:r>
          </w:p>
          <w:p w14:paraId="7656F1FB" w14:textId="77777777" w:rsidR="005D40D6" w:rsidRPr="005D40D6" w:rsidRDefault="005D40D6" w:rsidP="005D40D6">
            <w:pPr>
              <w:pStyle w:val="CasesLegislationAppealFrom"/>
              <w:spacing w:after="60"/>
            </w:pPr>
            <w:r w:rsidRPr="005D40D6">
              <w:rPr>
                <w:i/>
                <w:iCs/>
              </w:rPr>
              <w:t xml:space="preserve">Australian Building and Construction Commissioner v Construction, Forestry, Mining and Energy Union </w:t>
            </w:r>
            <w:r w:rsidRPr="005D40D6">
              <w:t>[2018] HCA 3; (2018) 262 CLR 157</w:t>
            </w:r>
          </w:p>
          <w:p w14:paraId="008E1569" w14:textId="77777777" w:rsidR="005D40D6" w:rsidRPr="005D40D6" w:rsidRDefault="005D40D6" w:rsidP="005D40D6">
            <w:pPr>
              <w:pStyle w:val="CasesLegislationAppealFrom"/>
              <w:spacing w:after="60"/>
            </w:pPr>
            <w:r w:rsidRPr="005D40D6">
              <w:rPr>
                <w:i/>
                <w:iCs/>
              </w:rPr>
              <w:t>Australian Competition and Consumer Commission v Australian Safeway Stores Pty Ltd</w:t>
            </w:r>
            <w:r w:rsidRPr="005D40D6">
              <w:t xml:space="preserve"> [1997] FCA 450; (1997) 145 ALR 36</w:t>
            </w:r>
          </w:p>
          <w:p w14:paraId="65D80DEC" w14:textId="77777777" w:rsidR="005D40D6" w:rsidRPr="005D40D6" w:rsidRDefault="005D40D6" w:rsidP="005D40D6">
            <w:pPr>
              <w:pStyle w:val="CasesLegislationAppealFrom"/>
              <w:spacing w:after="60"/>
              <w:rPr>
                <w:szCs w:val="22"/>
              </w:rPr>
            </w:pPr>
            <w:r w:rsidRPr="005D40D6">
              <w:rPr>
                <w:i/>
                <w:iCs/>
                <w:szCs w:val="22"/>
              </w:rPr>
              <w:t xml:space="preserve">Australian Competition and Consumer Commission v Coles Supermarkets Australia Pty Ltd </w:t>
            </w:r>
            <w:r w:rsidRPr="005D40D6">
              <w:rPr>
                <w:szCs w:val="22"/>
              </w:rPr>
              <w:t>[2015] FCA 330; (2015) 327 ALR 540</w:t>
            </w:r>
          </w:p>
          <w:p w14:paraId="2C9AFA18" w14:textId="77777777" w:rsidR="005D40D6" w:rsidRPr="005D40D6" w:rsidRDefault="005D40D6" w:rsidP="005D40D6">
            <w:pPr>
              <w:pStyle w:val="CasesLegislationAppealFrom"/>
              <w:spacing w:after="60"/>
            </w:pPr>
            <w:r w:rsidRPr="005D40D6">
              <w:rPr>
                <w:i/>
                <w:iCs/>
              </w:rPr>
              <w:t xml:space="preserve">Australian Competition and Consumer Commission v Equifax Australia Information Services and Solutions Pty Ltd </w:t>
            </w:r>
            <w:r w:rsidRPr="005D40D6">
              <w:t>[2018] FCA 1637</w:t>
            </w:r>
          </w:p>
          <w:p w14:paraId="5079241D" w14:textId="77777777" w:rsidR="005D40D6" w:rsidRPr="005D40D6" w:rsidRDefault="005D40D6" w:rsidP="005D40D6">
            <w:pPr>
              <w:pStyle w:val="CasesLegislationAppealFrom"/>
              <w:spacing w:after="60"/>
            </w:pPr>
            <w:r w:rsidRPr="005D40D6">
              <w:rPr>
                <w:i/>
                <w:iCs/>
              </w:rPr>
              <w:t xml:space="preserve">Australian Competition and Consumer Commission v Get </w:t>
            </w:r>
            <w:r w:rsidRPr="005D40D6">
              <w:rPr>
                <w:i/>
                <w:iCs/>
              </w:rPr>
              <w:lastRenderedPageBreak/>
              <w:t>Qualified Australia Pty Ltd (in liq) (No 3)</w:t>
            </w:r>
            <w:r w:rsidRPr="005D40D6">
              <w:t xml:space="preserve"> [2017] FCA 1018</w:t>
            </w:r>
          </w:p>
          <w:p w14:paraId="526B4B9E" w14:textId="77777777" w:rsidR="005D40D6" w:rsidRPr="005D40D6" w:rsidRDefault="005D40D6" w:rsidP="005D40D6">
            <w:pPr>
              <w:pStyle w:val="CasesLegislationAppealFrom"/>
              <w:spacing w:after="60"/>
            </w:pPr>
            <w:r w:rsidRPr="005D40D6">
              <w:rPr>
                <w:i/>
                <w:iCs/>
              </w:rPr>
              <w:t xml:space="preserve">Australian Competition and Consumer Commission v TPG Internet Pty Ltd </w:t>
            </w:r>
            <w:r w:rsidRPr="005D40D6">
              <w:t>[2013] HCA 54; (2013) 250 CLR 640</w:t>
            </w:r>
          </w:p>
          <w:p w14:paraId="7940D97E" w14:textId="77777777" w:rsidR="005D40D6" w:rsidRPr="005D40D6" w:rsidRDefault="005D40D6" w:rsidP="005D40D6">
            <w:pPr>
              <w:pStyle w:val="CasesLegislationAppealFrom"/>
              <w:spacing w:after="60"/>
            </w:pPr>
            <w:r w:rsidRPr="005D40D6">
              <w:rPr>
                <w:i/>
                <w:iCs/>
              </w:rPr>
              <w:t>Australian Securities and Investments Commission v Commonwealth Bank of Australia</w:t>
            </w:r>
            <w:r w:rsidRPr="005D40D6">
              <w:t xml:space="preserve"> [2020] FCA 790</w:t>
            </w:r>
          </w:p>
          <w:p w14:paraId="47E4A298" w14:textId="77777777" w:rsidR="005D40D6" w:rsidRPr="005D40D6" w:rsidRDefault="005D40D6" w:rsidP="005D40D6">
            <w:pPr>
              <w:pStyle w:val="CasesLegislationAppealFrom"/>
              <w:spacing w:after="60"/>
            </w:pPr>
            <w:r w:rsidRPr="005D40D6">
              <w:rPr>
                <w:i/>
                <w:iCs/>
              </w:rPr>
              <w:t xml:space="preserve">Australian Securities and Investments Commission v Westpac Banking Corporation </w:t>
            </w:r>
            <w:r w:rsidRPr="005D40D6">
              <w:t>[2019] FCA 2147</w:t>
            </w:r>
          </w:p>
          <w:p w14:paraId="293E89BF" w14:textId="77777777" w:rsidR="005D40D6" w:rsidRPr="005D40D6" w:rsidRDefault="005D40D6" w:rsidP="005D40D6">
            <w:pPr>
              <w:pStyle w:val="CasesLegislationAppealFrom"/>
              <w:spacing w:after="60"/>
            </w:pPr>
            <w:r w:rsidRPr="005D40D6">
              <w:rPr>
                <w:i/>
                <w:iCs/>
              </w:rPr>
              <w:t>Beckwith v The Queen</w:t>
            </w:r>
            <w:r w:rsidRPr="005D40D6">
              <w:t xml:space="preserve"> (1976) 135 CLR 569</w:t>
            </w:r>
          </w:p>
          <w:p w14:paraId="5F3726C6" w14:textId="77777777" w:rsidR="005D40D6" w:rsidRPr="005D40D6" w:rsidRDefault="005D40D6" w:rsidP="005D40D6">
            <w:pPr>
              <w:pStyle w:val="CasesLegislationAppealFrom"/>
              <w:spacing w:after="60"/>
            </w:pPr>
            <w:r w:rsidRPr="005D40D6">
              <w:rPr>
                <w:i/>
                <w:iCs/>
              </w:rPr>
              <w:t>Commonwealth v Director, Fair Work Building Industry Inspectorate</w:t>
            </w:r>
            <w:r w:rsidRPr="005D40D6">
              <w:t xml:space="preserve"> [2015] HCA 46; (2015) 258 CLR 482</w:t>
            </w:r>
          </w:p>
          <w:p w14:paraId="61D75138" w14:textId="77777777" w:rsidR="005D40D6" w:rsidRPr="005D40D6" w:rsidRDefault="005D40D6" w:rsidP="005D40D6">
            <w:pPr>
              <w:pStyle w:val="CasesLegislationAppealFrom"/>
              <w:spacing w:after="60"/>
            </w:pPr>
            <w:r w:rsidRPr="005D40D6">
              <w:rPr>
                <w:i/>
                <w:iCs/>
              </w:rPr>
              <w:t>Construction, Forestry, Mining and Energy Union v Cahill</w:t>
            </w:r>
            <w:r w:rsidRPr="005D40D6">
              <w:t xml:space="preserve"> [2010] FCAFC 39; (2010) 269 ALR 1</w:t>
            </w:r>
          </w:p>
          <w:p w14:paraId="1C53C2A3" w14:textId="77777777" w:rsidR="005D40D6" w:rsidRPr="005D40D6" w:rsidRDefault="005D40D6" w:rsidP="005D40D6">
            <w:pPr>
              <w:pStyle w:val="CasesLegislationAppealFrom"/>
              <w:spacing w:after="60"/>
            </w:pPr>
            <w:r w:rsidRPr="005D40D6">
              <w:rPr>
                <w:i/>
                <w:iCs/>
              </w:rPr>
              <w:t>Construction, Forestry, Mining and Energy Union v Mammoet Australia Pty Ltd</w:t>
            </w:r>
            <w:r w:rsidRPr="005D40D6">
              <w:t xml:space="preserve"> [2013] HCA 36; (2013) 248 CLR 619</w:t>
            </w:r>
          </w:p>
          <w:p w14:paraId="545EB344" w14:textId="77777777" w:rsidR="005D40D6" w:rsidRPr="005D40D6" w:rsidRDefault="005D40D6" w:rsidP="005D40D6">
            <w:pPr>
              <w:pStyle w:val="CasesLegislationAppealFrom"/>
              <w:spacing w:after="60"/>
            </w:pPr>
            <w:r w:rsidRPr="005D40D6">
              <w:rPr>
                <w:i/>
                <w:iCs/>
              </w:rPr>
              <w:t xml:space="preserve">HFM043 v Republic of Nauru </w:t>
            </w:r>
            <w:r w:rsidRPr="005D40D6">
              <w:t>[2018] HCA 37; (2018) 359 ALR 176</w:t>
            </w:r>
          </w:p>
          <w:p w14:paraId="50101F8E" w14:textId="77777777" w:rsidR="005D40D6" w:rsidRPr="005D40D6" w:rsidRDefault="005D40D6" w:rsidP="005D40D6">
            <w:pPr>
              <w:pStyle w:val="CasesLegislationAppealFrom"/>
              <w:spacing w:after="60"/>
              <w:rPr>
                <w:szCs w:val="22"/>
              </w:rPr>
            </w:pPr>
            <w:r w:rsidRPr="005D40D6">
              <w:rPr>
                <w:i/>
                <w:iCs/>
                <w:szCs w:val="22"/>
              </w:rPr>
              <w:t>Markarian v R</w:t>
            </w:r>
            <w:r w:rsidRPr="005D40D6">
              <w:rPr>
                <w:szCs w:val="22"/>
              </w:rPr>
              <w:t xml:space="preserve"> [2005] HCA 25; (2005) 228 CLR 357</w:t>
            </w:r>
          </w:p>
          <w:p w14:paraId="15975AFD" w14:textId="77777777" w:rsidR="005D40D6" w:rsidRPr="005D40D6" w:rsidRDefault="005D40D6" w:rsidP="005D40D6">
            <w:pPr>
              <w:pStyle w:val="CasesLegislationAppealFrom"/>
              <w:spacing w:after="60"/>
            </w:pPr>
            <w:r w:rsidRPr="005D40D6">
              <w:rPr>
                <w:i/>
                <w:iCs/>
              </w:rPr>
              <w:t xml:space="preserve">Minister for Industry, Tourism and Resources v Mobil Oil Australia Pty Ltd </w:t>
            </w:r>
            <w:r w:rsidRPr="005D40D6">
              <w:t>[2004] FCAFC 72; (2004) ATPR 41–993</w:t>
            </w:r>
          </w:p>
          <w:p w14:paraId="5681C13B" w14:textId="77777777" w:rsidR="005D40D6" w:rsidRPr="005D40D6" w:rsidRDefault="005D40D6" w:rsidP="005D40D6">
            <w:pPr>
              <w:pStyle w:val="CasesLegislationAppealFrom"/>
              <w:spacing w:after="60"/>
            </w:pPr>
            <w:r w:rsidRPr="005D40D6">
              <w:rPr>
                <w:i/>
                <w:iCs/>
              </w:rPr>
              <w:t xml:space="preserve">NW Frozen Foods Pty Ltd v Australian Competition and Consumer Commission </w:t>
            </w:r>
            <w:r w:rsidRPr="005D40D6">
              <w:t>[1996] FCA 1134; (1996) 71 FCR 285</w:t>
            </w:r>
          </w:p>
          <w:p w14:paraId="4ADEE02E" w14:textId="77777777" w:rsidR="005D40D6" w:rsidRPr="005D40D6" w:rsidRDefault="005D40D6" w:rsidP="005D40D6">
            <w:pPr>
              <w:pStyle w:val="CasesLegislationAppealFrom"/>
              <w:spacing w:after="60"/>
            </w:pPr>
            <w:r w:rsidRPr="005D40D6">
              <w:rPr>
                <w:i/>
                <w:iCs/>
              </w:rPr>
              <w:t xml:space="preserve">Qantas Airways Limited v Transport Workers Union of Australia </w:t>
            </w:r>
            <w:r w:rsidRPr="005D40D6">
              <w:t>[2023] HCA 27; (2023) 412 ALR 134</w:t>
            </w:r>
          </w:p>
          <w:p w14:paraId="634B2631" w14:textId="77777777" w:rsidR="005D40D6" w:rsidRPr="005D40D6" w:rsidRDefault="005D40D6" w:rsidP="005D40D6">
            <w:pPr>
              <w:pStyle w:val="CasesLegislationAppealFrom"/>
              <w:spacing w:after="60"/>
            </w:pPr>
            <w:r w:rsidRPr="005D40D6">
              <w:rPr>
                <w:i/>
                <w:iCs/>
              </w:rPr>
              <w:t>R v A2</w:t>
            </w:r>
            <w:r w:rsidRPr="005D40D6">
              <w:t xml:space="preserve"> [2019] HCA 35; (2019) 269 CLR 507</w:t>
            </w:r>
          </w:p>
          <w:p w14:paraId="55050BB4" w14:textId="77777777" w:rsidR="005D40D6" w:rsidRPr="005D40D6" w:rsidRDefault="005D40D6" w:rsidP="005D40D6">
            <w:pPr>
              <w:pStyle w:val="CasesLegislationAppealFrom"/>
              <w:spacing w:after="60"/>
            </w:pPr>
            <w:r w:rsidRPr="005D40D6">
              <w:rPr>
                <w:i/>
                <w:iCs/>
              </w:rPr>
              <w:t>Singtel Optus Pty Ltd v Australian Competition and Consumer Commission</w:t>
            </w:r>
            <w:r w:rsidRPr="005D40D6">
              <w:t xml:space="preserve"> [2012] FCAFC 20; (2012) 287 ALR 249</w:t>
            </w:r>
          </w:p>
          <w:p w14:paraId="3D9ED36E" w14:textId="77777777" w:rsidR="005D40D6" w:rsidRPr="005D40D6" w:rsidRDefault="005D40D6" w:rsidP="005D40D6">
            <w:pPr>
              <w:pStyle w:val="CasesLegislationAppealFrom"/>
              <w:spacing w:after="60"/>
            </w:pPr>
            <w:r w:rsidRPr="005D40D6">
              <w:rPr>
                <w:i/>
                <w:iCs/>
              </w:rPr>
              <w:t xml:space="preserve">Taylor v The Owners – Strata Plan No 11564 </w:t>
            </w:r>
            <w:r w:rsidRPr="005D40D6">
              <w:t>[2014] HCA 9; (2014) 253 CLR 531</w:t>
            </w:r>
          </w:p>
          <w:p w14:paraId="116B745B" w14:textId="77777777" w:rsidR="005D40D6" w:rsidRDefault="005D40D6" w:rsidP="005D40D6">
            <w:pPr>
              <w:pStyle w:val="CasesLegislationAppealFrom"/>
              <w:spacing w:after="60"/>
            </w:pPr>
            <w:r w:rsidRPr="005D40D6">
              <w:rPr>
                <w:i/>
                <w:iCs/>
              </w:rPr>
              <w:t>Volkswagon Aktiengesellschaft v Australian Competition and Consumer Commission</w:t>
            </w:r>
            <w:r w:rsidRPr="005D40D6">
              <w:t xml:space="preserve"> [2021] FCAFC 49; (2021) 284 FCR 24</w:t>
            </w:r>
            <w:bookmarkEnd w:id="4"/>
          </w:p>
          <w:p w14:paraId="6A140FF7" w14:textId="77777777" w:rsidR="005D40D6" w:rsidRDefault="005D40D6" w:rsidP="005D40D6">
            <w:pPr>
              <w:pStyle w:val="CasesLegislationAppealFrom"/>
              <w:spacing w:after="60"/>
            </w:pPr>
          </w:p>
          <w:p w14:paraId="445AE202" w14:textId="6856BCD6" w:rsidR="005D40D6" w:rsidRPr="005D40D6" w:rsidRDefault="005D40D6" w:rsidP="005D40D6">
            <w:pPr>
              <w:pStyle w:val="CasesLegislationAppealFrom"/>
              <w:spacing w:after="60"/>
            </w:pPr>
            <w:r w:rsidRPr="005D40D6">
              <w:t>Herzfeld</w:t>
            </w:r>
            <w:r>
              <w:t>, Perry</w:t>
            </w:r>
            <w:r w:rsidRPr="005D40D6">
              <w:t xml:space="preserve"> and Thomas Prince</w:t>
            </w:r>
            <w:r>
              <w:t>,</w:t>
            </w:r>
            <w:r w:rsidRPr="005D40D6">
              <w:t xml:space="preserve"> </w:t>
            </w:r>
            <w:r w:rsidRPr="005D40D6">
              <w:rPr>
                <w:i/>
                <w:iCs/>
              </w:rPr>
              <w:t xml:space="preserve">Interpretation </w:t>
            </w:r>
            <w:r w:rsidRPr="005D40D6">
              <w:t>(2</w:t>
            </w:r>
            <w:r w:rsidRPr="005D40D6">
              <w:rPr>
                <w:vertAlign w:val="superscript"/>
              </w:rPr>
              <w:t>nd</w:t>
            </w:r>
            <w:r w:rsidRPr="005D40D6">
              <w:t xml:space="preserve"> ed, 2020)</w:t>
            </w:r>
          </w:p>
        </w:tc>
      </w:tr>
      <w:tr w:rsidR="00633BB2" w14:paraId="284CECDE" w14:textId="77777777" w:rsidTr="00C96E56">
        <w:tc>
          <w:tcPr>
            <w:tcW w:w="3084" w:type="dxa"/>
            <w:shd w:val="clear" w:color="auto" w:fill="auto"/>
          </w:tcPr>
          <w:p w14:paraId="0C76C433" w14:textId="77777777" w:rsidR="00633BB2" w:rsidRDefault="00633BB2" w:rsidP="004A3D6F">
            <w:pPr>
              <w:pStyle w:val="Normal1linespace"/>
              <w:widowControl w:val="0"/>
            </w:pPr>
          </w:p>
        </w:tc>
        <w:tc>
          <w:tcPr>
            <w:tcW w:w="5989" w:type="dxa"/>
            <w:shd w:val="clear" w:color="auto" w:fill="auto"/>
          </w:tcPr>
          <w:p w14:paraId="43517D9E" w14:textId="77777777" w:rsidR="00633BB2" w:rsidRDefault="00633BB2" w:rsidP="004A3D6F">
            <w:pPr>
              <w:pStyle w:val="Normal1linespace"/>
              <w:widowControl w:val="0"/>
              <w:jc w:val="left"/>
            </w:pPr>
          </w:p>
        </w:tc>
      </w:tr>
      <w:tr w:rsidR="00633BB2" w14:paraId="053A7BAC" w14:textId="77777777" w:rsidTr="00C96E56">
        <w:tc>
          <w:tcPr>
            <w:tcW w:w="3084" w:type="dxa"/>
            <w:shd w:val="clear" w:color="auto" w:fill="auto"/>
          </w:tcPr>
          <w:p w14:paraId="2A27CBA7" w14:textId="77777777" w:rsidR="00633BB2" w:rsidRDefault="00633BB2" w:rsidP="00501A12">
            <w:pPr>
              <w:pStyle w:val="Normal1linespace"/>
              <w:widowControl w:val="0"/>
            </w:pPr>
            <w:r>
              <w:t>Division:</w:t>
            </w:r>
          </w:p>
        </w:tc>
        <w:tc>
          <w:tcPr>
            <w:tcW w:w="5989" w:type="dxa"/>
            <w:shd w:val="clear" w:color="auto" w:fill="auto"/>
          </w:tcPr>
          <w:p w14:paraId="53BC98B0" w14:textId="0C927F87" w:rsidR="00633BB2" w:rsidRPr="00F17599" w:rsidRDefault="00633BB2" w:rsidP="00501A12">
            <w:pPr>
              <w:pStyle w:val="Normal1linespace"/>
              <w:widowControl w:val="0"/>
              <w:jc w:val="left"/>
            </w:pPr>
            <w:r>
              <w:t>General Division</w:t>
            </w:r>
          </w:p>
        </w:tc>
      </w:tr>
      <w:tr w:rsidR="00633BB2" w14:paraId="67934740" w14:textId="77777777" w:rsidTr="00C96E56">
        <w:tc>
          <w:tcPr>
            <w:tcW w:w="3084" w:type="dxa"/>
            <w:shd w:val="clear" w:color="auto" w:fill="auto"/>
          </w:tcPr>
          <w:p w14:paraId="2FA71FE5" w14:textId="77777777" w:rsidR="00633BB2" w:rsidRDefault="00633BB2" w:rsidP="00501A12">
            <w:pPr>
              <w:pStyle w:val="Normal1linespace"/>
              <w:widowControl w:val="0"/>
            </w:pPr>
            <w:bookmarkStart w:id="5" w:name="Registry_rows" w:colFirst="0" w:colLast="1"/>
          </w:p>
        </w:tc>
        <w:tc>
          <w:tcPr>
            <w:tcW w:w="5989" w:type="dxa"/>
            <w:shd w:val="clear" w:color="auto" w:fill="auto"/>
          </w:tcPr>
          <w:p w14:paraId="397F66B0" w14:textId="77777777" w:rsidR="00633BB2" w:rsidRDefault="00633BB2" w:rsidP="00501A12">
            <w:pPr>
              <w:pStyle w:val="Normal1linespace"/>
              <w:widowControl w:val="0"/>
              <w:jc w:val="left"/>
            </w:pPr>
          </w:p>
        </w:tc>
      </w:tr>
      <w:tr w:rsidR="00633BB2" w14:paraId="520FE911" w14:textId="77777777" w:rsidTr="00C96E56">
        <w:tc>
          <w:tcPr>
            <w:tcW w:w="3084" w:type="dxa"/>
            <w:shd w:val="clear" w:color="auto" w:fill="auto"/>
          </w:tcPr>
          <w:p w14:paraId="18214FDF" w14:textId="77777777" w:rsidR="00633BB2" w:rsidRDefault="00633BB2" w:rsidP="00501A12">
            <w:pPr>
              <w:pStyle w:val="Normal1linespace"/>
              <w:widowControl w:val="0"/>
            </w:pPr>
            <w:r>
              <w:t>Registry:</w:t>
            </w:r>
          </w:p>
        </w:tc>
        <w:tc>
          <w:tcPr>
            <w:tcW w:w="5989" w:type="dxa"/>
            <w:shd w:val="clear" w:color="auto" w:fill="auto"/>
          </w:tcPr>
          <w:p w14:paraId="5101EDE2" w14:textId="21EBE4B7" w:rsidR="00633BB2" w:rsidRPr="00F17599" w:rsidRDefault="00633BB2" w:rsidP="00501A12">
            <w:pPr>
              <w:pStyle w:val="Normal1linespace"/>
              <w:widowControl w:val="0"/>
              <w:jc w:val="left"/>
            </w:pPr>
            <w:r>
              <w:t>New South Wales</w:t>
            </w:r>
          </w:p>
        </w:tc>
      </w:tr>
      <w:tr w:rsidR="00633BB2" w14:paraId="1F207DF6" w14:textId="77777777" w:rsidTr="00C96E56">
        <w:tc>
          <w:tcPr>
            <w:tcW w:w="3084" w:type="dxa"/>
            <w:shd w:val="clear" w:color="auto" w:fill="auto"/>
          </w:tcPr>
          <w:p w14:paraId="050C737F" w14:textId="77777777" w:rsidR="00633BB2" w:rsidRDefault="00633BB2" w:rsidP="00501A12">
            <w:pPr>
              <w:pStyle w:val="Normal1linespace"/>
              <w:widowControl w:val="0"/>
            </w:pPr>
            <w:bookmarkStart w:id="6" w:name="NPARow" w:colFirst="0" w:colLast="1"/>
            <w:bookmarkEnd w:id="5"/>
          </w:p>
        </w:tc>
        <w:tc>
          <w:tcPr>
            <w:tcW w:w="5989" w:type="dxa"/>
            <w:shd w:val="clear" w:color="auto" w:fill="auto"/>
          </w:tcPr>
          <w:p w14:paraId="49B77C18" w14:textId="77777777" w:rsidR="00633BB2" w:rsidRPr="00F17599" w:rsidRDefault="00633BB2" w:rsidP="00501A12">
            <w:pPr>
              <w:pStyle w:val="Normal1linespace"/>
              <w:widowControl w:val="0"/>
              <w:jc w:val="left"/>
              <w:rPr>
                <w:b/>
              </w:rPr>
            </w:pPr>
          </w:p>
        </w:tc>
      </w:tr>
      <w:tr w:rsidR="0076607F" w14:paraId="2C4854F1" w14:textId="77777777" w:rsidTr="00C96E56">
        <w:tc>
          <w:tcPr>
            <w:tcW w:w="3084" w:type="dxa"/>
            <w:shd w:val="clear" w:color="auto" w:fill="auto"/>
          </w:tcPr>
          <w:p w14:paraId="2E54EAD1" w14:textId="71B9F448" w:rsidR="0076607F" w:rsidRDefault="0076607F" w:rsidP="00501A12">
            <w:pPr>
              <w:pStyle w:val="Normal1linespace"/>
              <w:widowControl w:val="0"/>
            </w:pPr>
            <w:r>
              <w:t>National Practice Area:</w:t>
            </w:r>
          </w:p>
        </w:tc>
        <w:tc>
          <w:tcPr>
            <w:tcW w:w="5989" w:type="dxa"/>
            <w:shd w:val="clear" w:color="auto" w:fill="auto"/>
          </w:tcPr>
          <w:p w14:paraId="0AC114D1" w14:textId="5E3D2F2E" w:rsidR="0076607F" w:rsidRDefault="0076607F" w:rsidP="004A3D6F">
            <w:pPr>
              <w:pStyle w:val="Normal1linespace"/>
              <w:widowControl w:val="0"/>
              <w:jc w:val="left"/>
            </w:pPr>
            <w:r>
              <w:t>Commercial and Corporations</w:t>
            </w:r>
          </w:p>
        </w:tc>
      </w:tr>
      <w:tr w:rsidR="0076607F" w14:paraId="6703CACE" w14:textId="77777777" w:rsidTr="00C96E56">
        <w:tc>
          <w:tcPr>
            <w:tcW w:w="3084" w:type="dxa"/>
            <w:shd w:val="clear" w:color="auto" w:fill="auto"/>
          </w:tcPr>
          <w:p w14:paraId="5E4EFED0" w14:textId="77777777" w:rsidR="0076607F" w:rsidRDefault="0076607F" w:rsidP="00501A12">
            <w:pPr>
              <w:pStyle w:val="Normal1linespace"/>
              <w:widowControl w:val="0"/>
            </w:pPr>
          </w:p>
        </w:tc>
        <w:tc>
          <w:tcPr>
            <w:tcW w:w="5989" w:type="dxa"/>
            <w:shd w:val="clear" w:color="auto" w:fill="auto"/>
          </w:tcPr>
          <w:p w14:paraId="17926A46" w14:textId="77777777" w:rsidR="0076607F" w:rsidRDefault="0076607F" w:rsidP="004A3D6F">
            <w:pPr>
              <w:pStyle w:val="Normal1linespace"/>
              <w:widowControl w:val="0"/>
              <w:jc w:val="left"/>
            </w:pPr>
          </w:p>
        </w:tc>
      </w:tr>
      <w:tr w:rsidR="00633BB2" w14:paraId="3E29EAC5" w14:textId="77777777" w:rsidTr="00C96E56">
        <w:tc>
          <w:tcPr>
            <w:tcW w:w="3084" w:type="dxa"/>
            <w:shd w:val="clear" w:color="auto" w:fill="auto"/>
          </w:tcPr>
          <w:p w14:paraId="3C8D06A8" w14:textId="76DF74B4" w:rsidR="00633BB2" w:rsidRDefault="0076607F" w:rsidP="00501A12">
            <w:pPr>
              <w:pStyle w:val="Normal1linespace"/>
              <w:widowControl w:val="0"/>
            </w:pPr>
            <w:r>
              <w:t>Sub-area</w:t>
            </w:r>
            <w:r w:rsidR="00633BB2">
              <w:t>:</w:t>
            </w:r>
          </w:p>
        </w:tc>
        <w:tc>
          <w:tcPr>
            <w:tcW w:w="5989" w:type="dxa"/>
            <w:shd w:val="clear" w:color="auto" w:fill="auto"/>
          </w:tcPr>
          <w:p w14:paraId="09452F08" w14:textId="61C0911B" w:rsidR="00633BB2" w:rsidRPr="00F17599" w:rsidRDefault="00E41401" w:rsidP="004A3D6F">
            <w:pPr>
              <w:pStyle w:val="Normal1linespace"/>
              <w:widowControl w:val="0"/>
              <w:jc w:val="left"/>
              <w:rPr>
                <w:b/>
              </w:rPr>
            </w:pPr>
            <w:r>
              <w:t>Regulator and Consumer Protection</w:t>
            </w:r>
          </w:p>
        </w:tc>
      </w:tr>
      <w:tr w:rsidR="00633BB2" w14:paraId="787892F9" w14:textId="77777777" w:rsidTr="00C96E56">
        <w:tc>
          <w:tcPr>
            <w:tcW w:w="3084" w:type="dxa"/>
            <w:shd w:val="clear" w:color="auto" w:fill="auto"/>
          </w:tcPr>
          <w:p w14:paraId="69206F7D" w14:textId="77777777" w:rsidR="00633BB2" w:rsidRDefault="00633BB2" w:rsidP="00501A12">
            <w:pPr>
              <w:pStyle w:val="Normal1linespace"/>
              <w:widowControl w:val="0"/>
            </w:pPr>
            <w:bookmarkStart w:id="7" w:name="SubAreaRow" w:colFirst="0" w:colLast="1"/>
            <w:bookmarkEnd w:id="6"/>
          </w:p>
        </w:tc>
        <w:tc>
          <w:tcPr>
            <w:tcW w:w="5989" w:type="dxa"/>
            <w:shd w:val="clear" w:color="auto" w:fill="auto"/>
          </w:tcPr>
          <w:p w14:paraId="1C620C24" w14:textId="77777777" w:rsidR="00633BB2" w:rsidRDefault="00633BB2" w:rsidP="004A3D6F">
            <w:pPr>
              <w:pStyle w:val="Normal1linespace"/>
              <w:widowControl w:val="0"/>
              <w:jc w:val="left"/>
            </w:pPr>
          </w:p>
        </w:tc>
      </w:tr>
      <w:bookmarkEnd w:id="7"/>
      <w:tr w:rsidR="00633BB2" w14:paraId="0C59016F" w14:textId="77777777" w:rsidTr="00C96E56">
        <w:tc>
          <w:tcPr>
            <w:tcW w:w="3084" w:type="dxa"/>
            <w:shd w:val="clear" w:color="auto" w:fill="auto"/>
          </w:tcPr>
          <w:p w14:paraId="517931D1" w14:textId="77777777" w:rsidR="00633BB2" w:rsidRDefault="00633BB2" w:rsidP="00501A12">
            <w:pPr>
              <w:pStyle w:val="Normal1linespace"/>
              <w:widowControl w:val="0"/>
            </w:pPr>
            <w:r>
              <w:t>Number of paragraphs:</w:t>
            </w:r>
          </w:p>
        </w:tc>
        <w:tc>
          <w:tcPr>
            <w:tcW w:w="5989" w:type="dxa"/>
            <w:shd w:val="clear" w:color="auto" w:fill="auto"/>
          </w:tcPr>
          <w:p w14:paraId="31790F9F" w14:textId="575DA457" w:rsidR="00633BB2" w:rsidRDefault="00C96E56" w:rsidP="00501A12">
            <w:pPr>
              <w:pStyle w:val="Normal1linespace"/>
              <w:widowControl w:val="0"/>
              <w:jc w:val="left"/>
            </w:pPr>
            <w:bookmarkStart w:id="8" w:name="PlaceCategoryParagraphs"/>
            <w:r>
              <w:t>119</w:t>
            </w:r>
            <w:bookmarkEnd w:id="8"/>
          </w:p>
        </w:tc>
      </w:tr>
      <w:tr w:rsidR="00633BB2" w14:paraId="32F5170C" w14:textId="77777777" w:rsidTr="00C96E56">
        <w:tc>
          <w:tcPr>
            <w:tcW w:w="3084" w:type="dxa"/>
            <w:shd w:val="clear" w:color="auto" w:fill="auto"/>
          </w:tcPr>
          <w:p w14:paraId="4C2BBD7A" w14:textId="77777777" w:rsidR="00633BB2" w:rsidRDefault="00633BB2" w:rsidP="00633BB2">
            <w:pPr>
              <w:pStyle w:val="Normal1linespace"/>
              <w:widowControl w:val="0"/>
              <w:jc w:val="left"/>
            </w:pPr>
          </w:p>
        </w:tc>
        <w:tc>
          <w:tcPr>
            <w:tcW w:w="5989" w:type="dxa"/>
            <w:shd w:val="clear" w:color="auto" w:fill="auto"/>
          </w:tcPr>
          <w:p w14:paraId="4510DCD8" w14:textId="77777777" w:rsidR="00633BB2" w:rsidRDefault="00633BB2" w:rsidP="00633BB2">
            <w:pPr>
              <w:pStyle w:val="Normal1linespace"/>
              <w:widowControl w:val="0"/>
              <w:jc w:val="left"/>
            </w:pPr>
          </w:p>
        </w:tc>
      </w:tr>
      <w:tr w:rsidR="00633BB2" w14:paraId="340C971A" w14:textId="77777777" w:rsidTr="00C96E56">
        <w:tc>
          <w:tcPr>
            <w:tcW w:w="3084" w:type="dxa"/>
            <w:shd w:val="clear" w:color="auto" w:fill="auto"/>
          </w:tcPr>
          <w:p w14:paraId="16E9F980" w14:textId="77777777" w:rsidR="00633BB2" w:rsidRDefault="00633BB2" w:rsidP="00633BB2">
            <w:pPr>
              <w:pStyle w:val="Normal1linespace"/>
              <w:widowControl w:val="0"/>
              <w:jc w:val="left"/>
            </w:pPr>
            <w:bookmarkStart w:id="9" w:name="CounselDate" w:colFirst="0" w:colLast="2"/>
            <w:r w:rsidRPr="006A24E3">
              <w:t>Date of hearing:</w:t>
            </w:r>
          </w:p>
        </w:tc>
        <w:tc>
          <w:tcPr>
            <w:tcW w:w="5989" w:type="dxa"/>
            <w:shd w:val="clear" w:color="auto" w:fill="auto"/>
          </w:tcPr>
          <w:p w14:paraId="29155FE5" w14:textId="7921029A" w:rsidR="00633BB2" w:rsidRDefault="00B166B6" w:rsidP="00633BB2">
            <w:pPr>
              <w:pStyle w:val="Normal1linespace"/>
              <w:widowControl w:val="0"/>
              <w:jc w:val="left"/>
            </w:pPr>
            <w:bookmarkStart w:id="10" w:name="HearingDate"/>
            <w:r>
              <w:t xml:space="preserve">27 May </w:t>
            </w:r>
            <w:r w:rsidR="00BC1D40">
              <w:t>and 1 July 2024</w:t>
            </w:r>
            <w:r w:rsidR="00633BB2">
              <w:t xml:space="preserve"> </w:t>
            </w:r>
            <w:bookmarkEnd w:id="10"/>
          </w:p>
        </w:tc>
      </w:tr>
      <w:tr w:rsidR="00633BB2" w14:paraId="21C303B6" w14:textId="77777777" w:rsidTr="00C96E56">
        <w:tc>
          <w:tcPr>
            <w:tcW w:w="3084" w:type="dxa"/>
            <w:shd w:val="clear" w:color="auto" w:fill="auto"/>
          </w:tcPr>
          <w:p w14:paraId="620DA226" w14:textId="77777777" w:rsidR="00633BB2" w:rsidRDefault="00633BB2" w:rsidP="00633BB2">
            <w:pPr>
              <w:pStyle w:val="Normal1linespace"/>
              <w:widowControl w:val="0"/>
              <w:jc w:val="left"/>
            </w:pPr>
          </w:p>
        </w:tc>
        <w:tc>
          <w:tcPr>
            <w:tcW w:w="5989" w:type="dxa"/>
            <w:shd w:val="clear" w:color="auto" w:fill="auto"/>
          </w:tcPr>
          <w:p w14:paraId="4012869D" w14:textId="77777777" w:rsidR="00633BB2" w:rsidRDefault="00633BB2" w:rsidP="00633BB2">
            <w:pPr>
              <w:pStyle w:val="Normal1linespace"/>
              <w:widowControl w:val="0"/>
              <w:jc w:val="left"/>
            </w:pPr>
          </w:p>
        </w:tc>
      </w:tr>
      <w:tr w:rsidR="006B46B7" w14:paraId="6ABEDD8A" w14:textId="77777777" w:rsidTr="00C96E56">
        <w:tc>
          <w:tcPr>
            <w:tcW w:w="3084" w:type="dxa"/>
            <w:shd w:val="clear" w:color="auto" w:fill="auto"/>
          </w:tcPr>
          <w:p w14:paraId="321904A9" w14:textId="2D359366" w:rsidR="006B46B7" w:rsidRDefault="006B46B7" w:rsidP="006B46B7">
            <w:pPr>
              <w:pStyle w:val="Normal1linespace"/>
              <w:widowControl w:val="0"/>
              <w:jc w:val="left"/>
            </w:pPr>
            <w:r>
              <w:t>Counsel for the Plaintiff:</w:t>
            </w:r>
          </w:p>
        </w:tc>
        <w:tc>
          <w:tcPr>
            <w:tcW w:w="5989" w:type="dxa"/>
            <w:shd w:val="clear" w:color="auto" w:fill="auto"/>
          </w:tcPr>
          <w:p w14:paraId="04D49759" w14:textId="4C9983F6" w:rsidR="006B46B7" w:rsidRDefault="00877A86" w:rsidP="006B46B7">
            <w:pPr>
              <w:pStyle w:val="Normal1linespace"/>
              <w:widowControl w:val="0"/>
              <w:jc w:val="left"/>
            </w:pPr>
            <w:r>
              <w:t>Ms S Mirzabegian SC, Mr D Tynan and Ms T Epstein</w:t>
            </w:r>
          </w:p>
        </w:tc>
      </w:tr>
      <w:tr w:rsidR="006B46B7" w14:paraId="051072B8" w14:textId="77777777" w:rsidTr="00C96E56">
        <w:tc>
          <w:tcPr>
            <w:tcW w:w="3084" w:type="dxa"/>
            <w:shd w:val="clear" w:color="auto" w:fill="auto"/>
          </w:tcPr>
          <w:p w14:paraId="195C07FA" w14:textId="77777777" w:rsidR="006B46B7" w:rsidRDefault="006B46B7" w:rsidP="006B46B7">
            <w:pPr>
              <w:pStyle w:val="Normal1linespace"/>
              <w:widowControl w:val="0"/>
              <w:jc w:val="left"/>
            </w:pPr>
          </w:p>
        </w:tc>
        <w:tc>
          <w:tcPr>
            <w:tcW w:w="5989" w:type="dxa"/>
            <w:shd w:val="clear" w:color="auto" w:fill="auto"/>
          </w:tcPr>
          <w:p w14:paraId="7AAAC9E6" w14:textId="77777777" w:rsidR="006B46B7" w:rsidRDefault="006B46B7" w:rsidP="006B46B7">
            <w:pPr>
              <w:pStyle w:val="Normal1linespace"/>
              <w:widowControl w:val="0"/>
              <w:jc w:val="left"/>
            </w:pPr>
          </w:p>
        </w:tc>
      </w:tr>
      <w:tr w:rsidR="006B46B7" w14:paraId="5833BEA9" w14:textId="77777777" w:rsidTr="00C96E56">
        <w:tc>
          <w:tcPr>
            <w:tcW w:w="3084" w:type="dxa"/>
            <w:shd w:val="clear" w:color="auto" w:fill="auto"/>
          </w:tcPr>
          <w:p w14:paraId="7131AA1B" w14:textId="577E90BB" w:rsidR="006B46B7" w:rsidRDefault="006B46B7" w:rsidP="006B46B7">
            <w:pPr>
              <w:pStyle w:val="Normal1linespace"/>
              <w:widowControl w:val="0"/>
              <w:jc w:val="left"/>
            </w:pPr>
            <w:r>
              <w:t>Solicitor for the Plaintiff:</w:t>
            </w:r>
          </w:p>
        </w:tc>
        <w:tc>
          <w:tcPr>
            <w:tcW w:w="5989" w:type="dxa"/>
            <w:shd w:val="clear" w:color="auto" w:fill="auto"/>
          </w:tcPr>
          <w:p w14:paraId="1957CBD7" w14:textId="71CA93FB" w:rsidR="006B46B7" w:rsidRDefault="00F37579" w:rsidP="006B46B7">
            <w:pPr>
              <w:pStyle w:val="Normal1linespace"/>
              <w:widowControl w:val="0"/>
              <w:jc w:val="left"/>
            </w:pPr>
            <w:r>
              <w:t>Australian Securities and Investments Commission</w:t>
            </w:r>
          </w:p>
        </w:tc>
      </w:tr>
      <w:tr w:rsidR="006B46B7" w14:paraId="07CA57F3" w14:textId="77777777" w:rsidTr="00C96E56">
        <w:tc>
          <w:tcPr>
            <w:tcW w:w="3084" w:type="dxa"/>
            <w:shd w:val="clear" w:color="auto" w:fill="auto"/>
          </w:tcPr>
          <w:p w14:paraId="7526EED9" w14:textId="77777777" w:rsidR="006B46B7" w:rsidRDefault="006B46B7" w:rsidP="006B46B7">
            <w:pPr>
              <w:pStyle w:val="Normal1linespace"/>
              <w:widowControl w:val="0"/>
              <w:jc w:val="left"/>
            </w:pPr>
          </w:p>
        </w:tc>
        <w:tc>
          <w:tcPr>
            <w:tcW w:w="5989" w:type="dxa"/>
            <w:shd w:val="clear" w:color="auto" w:fill="auto"/>
          </w:tcPr>
          <w:p w14:paraId="71A5FC3B" w14:textId="77777777" w:rsidR="006B46B7" w:rsidRDefault="006B46B7" w:rsidP="006B46B7">
            <w:pPr>
              <w:pStyle w:val="Normal1linespace"/>
              <w:widowControl w:val="0"/>
              <w:jc w:val="left"/>
            </w:pPr>
          </w:p>
        </w:tc>
      </w:tr>
      <w:tr w:rsidR="006B46B7" w14:paraId="158CCCA8" w14:textId="77777777" w:rsidTr="00C96E56">
        <w:tc>
          <w:tcPr>
            <w:tcW w:w="3084" w:type="dxa"/>
            <w:shd w:val="clear" w:color="auto" w:fill="auto"/>
          </w:tcPr>
          <w:p w14:paraId="4A171031" w14:textId="1C7094BE" w:rsidR="006B46B7" w:rsidRDefault="006B46B7" w:rsidP="006B46B7">
            <w:pPr>
              <w:pStyle w:val="Normal1linespace"/>
              <w:widowControl w:val="0"/>
              <w:jc w:val="left"/>
            </w:pPr>
            <w:r>
              <w:t>Counsel for the Defendant:</w:t>
            </w:r>
          </w:p>
        </w:tc>
        <w:tc>
          <w:tcPr>
            <w:tcW w:w="5989" w:type="dxa"/>
            <w:shd w:val="clear" w:color="auto" w:fill="auto"/>
          </w:tcPr>
          <w:p w14:paraId="71D50E26" w14:textId="68691F5F" w:rsidR="006B46B7" w:rsidRDefault="00877A86" w:rsidP="006B46B7">
            <w:pPr>
              <w:pStyle w:val="Normal1linespace"/>
              <w:widowControl w:val="0"/>
              <w:jc w:val="left"/>
            </w:pPr>
            <w:r>
              <w:t>Mr P Brereton SC and Ms D Forrester</w:t>
            </w:r>
          </w:p>
        </w:tc>
      </w:tr>
      <w:tr w:rsidR="006B46B7" w14:paraId="3653A26D" w14:textId="77777777" w:rsidTr="00C96E56">
        <w:tc>
          <w:tcPr>
            <w:tcW w:w="3084" w:type="dxa"/>
            <w:shd w:val="clear" w:color="auto" w:fill="auto"/>
          </w:tcPr>
          <w:p w14:paraId="6A968A19" w14:textId="77777777" w:rsidR="006B46B7" w:rsidRDefault="006B46B7" w:rsidP="006B46B7">
            <w:pPr>
              <w:pStyle w:val="Normal1linespace"/>
              <w:widowControl w:val="0"/>
              <w:jc w:val="left"/>
            </w:pPr>
          </w:p>
        </w:tc>
        <w:tc>
          <w:tcPr>
            <w:tcW w:w="5989" w:type="dxa"/>
            <w:shd w:val="clear" w:color="auto" w:fill="auto"/>
          </w:tcPr>
          <w:p w14:paraId="2C3CDF6A" w14:textId="77777777" w:rsidR="006B46B7" w:rsidRDefault="006B46B7" w:rsidP="006B46B7">
            <w:pPr>
              <w:pStyle w:val="Normal1linespace"/>
              <w:widowControl w:val="0"/>
              <w:jc w:val="left"/>
            </w:pPr>
          </w:p>
        </w:tc>
      </w:tr>
      <w:tr w:rsidR="006B46B7" w14:paraId="26B69484" w14:textId="77777777" w:rsidTr="00C96E56">
        <w:tc>
          <w:tcPr>
            <w:tcW w:w="3084" w:type="dxa"/>
            <w:shd w:val="clear" w:color="auto" w:fill="auto"/>
          </w:tcPr>
          <w:p w14:paraId="3C979212" w14:textId="75B7D3FA" w:rsidR="006B46B7" w:rsidRDefault="006B46B7" w:rsidP="006B46B7">
            <w:pPr>
              <w:pStyle w:val="Normal1linespace"/>
              <w:widowControl w:val="0"/>
              <w:jc w:val="left"/>
            </w:pPr>
            <w:r>
              <w:t>Solicitor for the Defendant:</w:t>
            </w:r>
          </w:p>
        </w:tc>
        <w:tc>
          <w:tcPr>
            <w:tcW w:w="5989" w:type="dxa"/>
            <w:shd w:val="clear" w:color="auto" w:fill="auto"/>
          </w:tcPr>
          <w:p w14:paraId="1DCB98EE" w14:textId="044D89B5" w:rsidR="006B46B7" w:rsidRDefault="001E3636" w:rsidP="006B46B7">
            <w:pPr>
              <w:pStyle w:val="Normal1linespace"/>
              <w:widowControl w:val="0"/>
              <w:jc w:val="left"/>
            </w:pPr>
            <w:r>
              <w:t>MinterEllison</w:t>
            </w:r>
          </w:p>
        </w:tc>
      </w:tr>
      <w:tr w:rsidR="006B46B7" w14:paraId="440A0CF8" w14:textId="77777777" w:rsidTr="00C96E56">
        <w:tc>
          <w:tcPr>
            <w:tcW w:w="3084" w:type="dxa"/>
            <w:shd w:val="clear" w:color="auto" w:fill="auto"/>
          </w:tcPr>
          <w:p w14:paraId="5307B56F" w14:textId="77777777" w:rsidR="006B46B7" w:rsidRDefault="006B46B7" w:rsidP="006B46B7">
            <w:pPr>
              <w:pStyle w:val="Normal1linespace"/>
              <w:widowControl w:val="0"/>
              <w:jc w:val="left"/>
            </w:pPr>
          </w:p>
        </w:tc>
        <w:tc>
          <w:tcPr>
            <w:tcW w:w="5989" w:type="dxa"/>
            <w:shd w:val="clear" w:color="auto" w:fill="auto"/>
          </w:tcPr>
          <w:p w14:paraId="69C84B9F" w14:textId="77777777" w:rsidR="006B46B7" w:rsidRDefault="006B46B7" w:rsidP="006B46B7">
            <w:pPr>
              <w:pStyle w:val="Normal1linespace"/>
              <w:widowControl w:val="0"/>
              <w:jc w:val="left"/>
            </w:pPr>
          </w:p>
        </w:tc>
      </w:tr>
    </w:tbl>
    <w:p w14:paraId="41571A4C" w14:textId="77777777" w:rsidR="00B17D6E" w:rsidRDefault="00B17D6E">
      <w:pPr>
        <w:pStyle w:val="Normal1linespace"/>
      </w:pPr>
      <w:bookmarkStart w:id="11" w:name="CompletionTable"/>
      <w:bookmarkEnd w:id="9"/>
    </w:p>
    <w:bookmarkEnd w:id="11"/>
    <w:p w14:paraId="45989E11" w14:textId="77777777" w:rsidR="007470BD" w:rsidRDefault="007470BD">
      <w:pPr>
        <w:pStyle w:val="Normal1linespace"/>
      </w:pPr>
    </w:p>
    <w:p w14:paraId="0AF4BE75" w14:textId="77777777" w:rsidR="0077139F" w:rsidRDefault="0077139F">
      <w:pPr>
        <w:pStyle w:val="Normal1linespace"/>
      </w:pPr>
    </w:p>
    <w:p w14:paraId="6A3B3E88" w14:textId="77777777" w:rsidR="00395B24" w:rsidRDefault="00395B24">
      <w:pPr>
        <w:pStyle w:val="Normal1linespace"/>
        <w:sectPr w:rsidR="00395B24" w:rsidSect="00E7742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7DDAD1CD"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3A2CC292" w14:textId="77777777" w:rsidTr="00E81DA6">
        <w:tc>
          <w:tcPr>
            <w:tcW w:w="6912" w:type="dxa"/>
            <w:gridSpan w:val="2"/>
          </w:tcPr>
          <w:p w14:paraId="4EAFA2FA" w14:textId="77777777" w:rsidR="00A46CCC" w:rsidRPr="001765E0" w:rsidRDefault="00A46CCC" w:rsidP="00525A49">
            <w:pPr>
              <w:pStyle w:val="NormalHeadings"/>
            </w:pPr>
          </w:p>
        </w:tc>
        <w:tc>
          <w:tcPr>
            <w:tcW w:w="2330" w:type="dxa"/>
          </w:tcPr>
          <w:p w14:paraId="463D5683" w14:textId="3A61421F" w:rsidR="00A46CCC" w:rsidRDefault="00633BB2" w:rsidP="00F92355">
            <w:pPr>
              <w:pStyle w:val="NormalHeadings"/>
              <w:jc w:val="right"/>
            </w:pPr>
            <w:bookmarkStart w:id="12" w:name="FileNo"/>
            <w:r>
              <w:t>NSD 1038 of 2022</w:t>
            </w:r>
            <w:bookmarkEnd w:id="12"/>
          </w:p>
        </w:tc>
      </w:tr>
      <w:tr w:rsidR="00A76C13" w14:paraId="1478D0E8" w14:textId="77777777" w:rsidTr="004A3D6F">
        <w:tc>
          <w:tcPr>
            <w:tcW w:w="9242" w:type="dxa"/>
            <w:gridSpan w:val="3"/>
          </w:tcPr>
          <w:p w14:paraId="623132DA" w14:textId="3C49014E" w:rsidR="00A76C13" w:rsidRPr="00A76C13" w:rsidRDefault="00633BB2" w:rsidP="00633BB2">
            <w:pPr>
              <w:pStyle w:val="NormalHeadings"/>
              <w:jc w:val="left"/>
            </w:pPr>
            <w:bookmarkStart w:id="13" w:name="InTheMatterOf"/>
            <w:r>
              <w:t xml:space="preserve"> </w:t>
            </w:r>
            <w:bookmarkEnd w:id="13"/>
          </w:p>
        </w:tc>
      </w:tr>
      <w:tr w:rsidR="00A46CCC" w14:paraId="08704A81" w14:textId="77777777" w:rsidTr="004A3D6F">
        <w:trPr>
          <w:trHeight w:val="386"/>
        </w:trPr>
        <w:tc>
          <w:tcPr>
            <w:tcW w:w="2376" w:type="dxa"/>
          </w:tcPr>
          <w:p w14:paraId="79F3037C" w14:textId="77777777" w:rsidR="00A46CCC" w:rsidRDefault="00A46CCC" w:rsidP="004A3D6F">
            <w:pPr>
              <w:pStyle w:val="NormalHeadings"/>
              <w:jc w:val="left"/>
              <w:rPr>
                <w:caps/>
                <w:szCs w:val="24"/>
              </w:rPr>
            </w:pPr>
            <w:bookmarkStart w:id="14" w:name="Parties"/>
            <w:r>
              <w:rPr>
                <w:caps/>
                <w:szCs w:val="24"/>
              </w:rPr>
              <w:t>BETWEEN:</w:t>
            </w:r>
          </w:p>
        </w:tc>
        <w:tc>
          <w:tcPr>
            <w:tcW w:w="6866" w:type="dxa"/>
            <w:gridSpan w:val="2"/>
          </w:tcPr>
          <w:p w14:paraId="2C6EED7C" w14:textId="77777777" w:rsidR="00633BB2" w:rsidRDefault="00633BB2" w:rsidP="00633BB2">
            <w:pPr>
              <w:pStyle w:val="NormalHeadings"/>
              <w:jc w:val="left"/>
            </w:pPr>
            <w:bookmarkStart w:id="15" w:name="Applicant"/>
            <w:r>
              <w:t>AUSTRALIAN SECURITIES AND INVESTMENTS COMMISSION</w:t>
            </w:r>
          </w:p>
          <w:p w14:paraId="36223923" w14:textId="77777777" w:rsidR="00633BB2" w:rsidRDefault="00633BB2" w:rsidP="00633BB2">
            <w:pPr>
              <w:pStyle w:val="PartyType"/>
            </w:pPr>
            <w:r>
              <w:t>Plaintiff</w:t>
            </w:r>
          </w:p>
          <w:bookmarkEnd w:id="15"/>
          <w:p w14:paraId="7AD99684" w14:textId="36996771" w:rsidR="00A46CCC" w:rsidRPr="006555B4" w:rsidRDefault="00A46CCC" w:rsidP="004A3D6F">
            <w:pPr>
              <w:pStyle w:val="NormalHeadings"/>
              <w:jc w:val="left"/>
            </w:pPr>
          </w:p>
        </w:tc>
      </w:tr>
      <w:tr w:rsidR="00A46CCC" w14:paraId="17B67009" w14:textId="77777777" w:rsidTr="004A3D6F">
        <w:trPr>
          <w:trHeight w:val="386"/>
        </w:trPr>
        <w:tc>
          <w:tcPr>
            <w:tcW w:w="2376" w:type="dxa"/>
          </w:tcPr>
          <w:p w14:paraId="56E6F6C7" w14:textId="77777777" w:rsidR="00A46CCC" w:rsidRDefault="00A46CCC" w:rsidP="004A3D6F">
            <w:pPr>
              <w:pStyle w:val="NormalHeadings"/>
              <w:jc w:val="left"/>
              <w:rPr>
                <w:caps/>
                <w:szCs w:val="24"/>
              </w:rPr>
            </w:pPr>
            <w:r>
              <w:rPr>
                <w:caps/>
                <w:szCs w:val="24"/>
              </w:rPr>
              <w:t>AND:</w:t>
            </w:r>
          </w:p>
        </w:tc>
        <w:tc>
          <w:tcPr>
            <w:tcW w:w="6866" w:type="dxa"/>
            <w:gridSpan w:val="2"/>
          </w:tcPr>
          <w:p w14:paraId="792C4D3E" w14:textId="77777777" w:rsidR="00633BB2" w:rsidRDefault="00633BB2" w:rsidP="00633BB2">
            <w:pPr>
              <w:pStyle w:val="NormalHeadings"/>
              <w:jc w:val="left"/>
            </w:pPr>
            <w:bookmarkStart w:id="16" w:name="Respondent"/>
            <w:r>
              <w:t>AMERICAN EXPRESS AUSTRALIA LIMITED (ACN 108 952 085)</w:t>
            </w:r>
          </w:p>
          <w:p w14:paraId="0E0FBA9D" w14:textId="77777777" w:rsidR="00633BB2" w:rsidRDefault="00633BB2" w:rsidP="00633BB2">
            <w:pPr>
              <w:pStyle w:val="PartyType"/>
            </w:pPr>
            <w:r>
              <w:t>Defendant</w:t>
            </w:r>
          </w:p>
          <w:bookmarkEnd w:id="16"/>
          <w:p w14:paraId="759607CE" w14:textId="339C4BAB" w:rsidR="00A46CCC" w:rsidRPr="006555B4" w:rsidRDefault="00A46CCC" w:rsidP="004A3D6F">
            <w:pPr>
              <w:pStyle w:val="NormalHeadings"/>
              <w:jc w:val="left"/>
            </w:pPr>
          </w:p>
        </w:tc>
      </w:tr>
    </w:tbl>
    <w:p w14:paraId="4CF4C908"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2CBA8496" w14:textId="77777777">
        <w:tc>
          <w:tcPr>
            <w:tcW w:w="2376" w:type="dxa"/>
          </w:tcPr>
          <w:p w14:paraId="65D127D9"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23F297E9" w14:textId="697F8195" w:rsidR="00395B24" w:rsidRDefault="00633BB2">
            <w:pPr>
              <w:pStyle w:val="NormalHeadings"/>
              <w:jc w:val="left"/>
              <w:rPr>
                <w:caps/>
                <w:szCs w:val="24"/>
              </w:rPr>
            </w:pPr>
            <w:bookmarkStart w:id="19" w:name="Judge"/>
            <w:r>
              <w:rPr>
                <w:caps/>
                <w:szCs w:val="24"/>
              </w:rPr>
              <w:t>JACKMAN J</w:t>
            </w:r>
            <w:bookmarkEnd w:id="19"/>
          </w:p>
        </w:tc>
      </w:tr>
      <w:tr w:rsidR="00395B24" w14:paraId="259AC03B" w14:textId="77777777">
        <w:tc>
          <w:tcPr>
            <w:tcW w:w="2376" w:type="dxa"/>
          </w:tcPr>
          <w:p w14:paraId="0A7D3826" w14:textId="77777777" w:rsidR="00395B24" w:rsidRDefault="002C7385">
            <w:pPr>
              <w:pStyle w:val="NormalHeadings"/>
              <w:spacing w:after="120"/>
              <w:jc w:val="left"/>
              <w:rPr>
                <w:caps/>
                <w:szCs w:val="24"/>
              </w:rPr>
            </w:pPr>
            <w:r>
              <w:rPr>
                <w:caps/>
                <w:szCs w:val="24"/>
              </w:rPr>
              <w:t>DATE OF ORDER:</w:t>
            </w:r>
          </w:p>
        </w:tc>
        <w:tc>
          <w:tcPr>
            <w:tcW w:w="6866" w:type="dxa"/>
          </w:tcPr>
          <w:p w14:paraId="00DFD27D" w14:textId="66AABC93" w:rsidR="00395B24" w:rsidRDefault="00A05031">
            <w:pPr>
              <w:pStyle w:val="NormalHeadings"/>
              <w:jc w:val="left"/>
              <w:rPr>
                <w:caps/>
                <w:szCs w:val="24"/>
              </w:rPr>
            </w:pPr>
            <w:bookmarkStart w:id="20" w:name="Judgment_Dated"/>
            <w:r>
              <w:rPr>
                <w:caps/>
                <w:szCs w:val="24"/>
              </w:rPr>
              <w:t>19 July</w:t>
            </w:r>
            <w:r w:rsidR="00633BB2">
              <w:rPr>
                <w:caps/>
                <w:szCs w:val="24"/>
              </w:rPr>
              <w:t xml:space="preserve"> 2024</w:t>
            </w:r>
            <w:bookmarkEnd w:id="20"/>
          </w:p>
        </w:tc>
      </w:tr>
    </w:tbl>
    <w:p w14:paraId="3CCD6177" w14:textId="77777777" w:rsidR="00395B24" w:rsidRDefault="00395B24">
      <w:pPr>
        <w:pStyle w:val="NormalHeadings"/>
        <w:rPr>
          <w:b w:val="0"/>
        </w:rPr>
      </w:pPr>
    </w:p>
    <w:p w14:paraId="2E20E2E4" w14:textId="77777777" w:rsidR="008D1617" w:rsidRDefault="008D1617">
      <w:pPr>
        <w:pStyle w:val="NormalHeadings"/>
        <w:rPr>
          <w:b w:val="0"/>
        </w:rPr>
      </w:pPr>
    </w:p>
    <w:p w14:paraId="3EAD2017" w14:textId="1B706A3D" w:rsidR="00395B24" w:rsidRDefault="002C7385">
      <w:pPr>
        <w:pStyle w:val="NormalHeadings"/>
      </w:pPr>
      <w:r>
        <w:t xml:space="preserve">THE COURT </w:t>
      </w:r>
      <w:r w:rsidR="009C1070">
        <w:t>DECLARES</w:t>
      </w:r>
      <w:r>
        <w:t xml:space="preserve"> THAT:</w:t>
      </w:r>
    </w:p>
    <w:p w14:paraId="12B4F557" w14:textId="77777777" w:rsidR="007F60DF" w:rsidRDefault="007F60DF" w:rsidP="00243E5E">
      <w:pPr>
        <w:pStyle w:val="NormalHeadings"/>
      </w:pPr>
    </w:p>
    <w:p w14:paraId="715A1745" w14:textId="3B6DAAE9" w:rsidR="004A5505" w:rsidRPr="00762188" w:rsidRDefault="00E31C88" w:rsidP="00E31C88">
      <w:pPr>
        <w:pStyle w:val="Order1"/>
        <w:numPr>
          <w:ilvl w:val="0"/>
          <w:numId w:val="0"/>
        </w:numPr>
        <w:tabs>
          <w:tab w:val="left" w:pos="720"/>
        </w:tabs>
        <w:ind w:left="720" w:hanging="720"/>
      </w:pPr>
      <w:bookmarkStart w:id="21" w:name="_Hlk159786512"/>
      <w:r w:rsidRPr="00762188">
        <w:t>1.</w:t>
      </w:r>
      <w:r w:rsidRPr="00762188">
        <w:tab/>
      </w:r>
      <w:r w:rsidR="004A5505" w:rsidRPr="00762188">
        <w:t xml:space="preserve">Pursuant to section 1317E(1) of the </w:t>
      </w:r>
      <w:r w:rsidR="004A5505" w:rsidRPr="00762188">
        <w:rPr>
          <w:i/>
          <w:iCs/>
        </w:rPr>
        <w:t xml:space="preserve">Corporations Act 2001 </w:t>
      </w:r>
      <w:r w:rsidR="004A5505" w:rsidRPr="00762188">
        <w:t>(Cth) (</w:t>
      </w:r>
      <w:r w:rsidR="004A5505" w:rsidRPr="00762188">
        <w:rPr>
          <w:b/>
          <w:bCs/>
        </w:rPr>
        <w:t>Corporations Act</w:t>
      </w:r>
      <w:r w:rsidR="004A5505" w:rsidRPr="00762188">
        <w:t>), the defendant (</w:t>
      </w:r>
      <w:r w:rsidR="004A5505" w:rsidRPr="00762188">
        <w:rPr>
          <w:b/>
          <w:bCs/>
        </w:rPr>
        <w:t>American Express</w:t>
      </w:r>
      <w:r w:rsidR="004A5505" w:rsidRPr="00762188">
        <w:t xml:space="preserve">) contravened </w:t>
      </w:r>
      <w:r w:rsidR="004A5505" w:rsidRPr="005D40D6">
        <w:t>section 994C(4) of the Corporations Ac</w:t>
      </w:r>
      <w:r w:rsidR="004A5505" w:rsidRPr="00762188">
        <w:t>t in the period from 25 May 2022 to 5 July 2022 by failing to cease issuing a co-branded credit card (</w:t>
      </w:r>
      <w:r w:rsidR="004A5505" w:rsidRPr="00762188">
        <w:rPr>
          <w:b/>
          <w:bCs/>
        </w:rPr>
        <w:t>DJs Amex Card</w:t>
      </w:r>
      <w:r w:rsidR="004A5505" w:rsidRPr="00762188">
        <w:t>) in circumstances where:</w:t>
      </w:r>
    </w:p>
    <w:p w14:paraId="283B96FF" w14:textId="3FD3CD09" w:rsidR="004A5505" w:rsidRDefault="00E31C88" w:rsidP="00E31C88">
      <w:pPr>
        <w:pStyle w:val="Order2"/>
        <w:numPr>
          <w:ilvl w:val="0"/>
          <w:numId w:val="0"/>
        </w:numPr>
        <w:ind w:left="1440" w:hanging="720"/>
      </w:pPr>
      <w:r>
        <w:t>(a)</w:t>
      </w:r>
      <w:r>
        <w:tab/>
      </w:r>
      <w:r w:rsidR="004A5505">
        <w:t>American Express made a target market determination for the DJs Amex Card and offered the DJs Amex Card for acquisition to retail clients;</w:t>
      </w:r>
    </w:p>
    <w:p w14:paraId="2B40FF08" w14:textId="2D876FAB" w:rsidR="004A5505" w:rsidRPr="00B544A1" w:rsidRDefault="00E31C88" w:rsidP="00E31C88">
      <w:pPr>
        <w:pStyle w:val="Order2"/>
        <w:numPr>
          <w:ilvl w:val="0"/>
          <w:numId w:val="0"/>
        </w:numPr>
        <w:ind w:left="1440" w:hanging="720"/>
      </w:pPr>
      <w:r w:rsidRPr="00B544A1">
        <w:t>(b)</w:t>
      </w:r>
      <w:r w:rsidRPr="00B544A1">
        <w:tab/>
      </w:r>
      <w:r w:rsidR="004A5505" w:rsidRPr="00762188">
        <w:t xml:space="preserve">American Express </w:t>
      </w:r>
      <w:r w:rsidR="004A5505" w:rsidRPr="00D578FD">
        <w:t>ought reasonably to have known</w:t>
      </w:r>
      <w:r w:rsidR="004A5505" w:rsidRPr="00B544A1">
        <w:t>,</w:t>
      </w:r>
      <w:r w:rsidR="004A5505" w:rsidRPr="00D578FD">
        <w:t xml:space="preserve"> by 11 May 2022, that the cancell</w:t>
      </w:r>
      <w:r w:rsidR="004A5505">
        <w:t>ed application</w:t>
      </w:r>
      <w:r w:rsidR="004A5505" w:rsidRPr="00D578FD">
        <w:t xml:space="preserve"> rates for the DJs Amex Card were a </w:t>
      </w:r>
      <w:r w:rsidR="004A5505" w:rsidRPr="006A5319">
        <w:t>circumstance</w:t>
      </w:r>
      <w:r w:rsidR="004A5505" w:rsidRPr="00D578FD">
        <w:t xml:space="preserve"> that would reasonably suggest that the target market determination for the DJs Amex Card was no longer appropriate</w:t>
      </w:r>
      <w:r w:rsidR="004A5505" w:rsidRPr="00B544A1">
        <w:t>;</w:t>
      </w:r>
    </w:p>
    <w:p w14:paraId="7784B1EA" w14:textId="0A02EE95" w:rsidR="004A5505" w:rsidRDefault="00E31C88" w:rsidP="00E31C88">
      <w:pPr>
        <w:pStyle w:val="Order2"/>
        <w:numPr>
          <w:ilvl w:val="0"/>
          <w:numId w:val="0"/>
        </w:numPr>
        <w:ind w:left="1440" w:hanging="720"/>
      </w:pPr>
      <w:r>
        <w:t>(c)</w:t>
      </w:r>
      <w:r>
        <w:tab/>
      </w:r>
      <w:r w:rsidR="004A5505">
        <w:t>American Express did not, in the period between 11 and 24 May 2022, review the target market determination for the DJs Amex Card; and</w:t>
      </w:r>
    </w:p>
    <w:p w14:paraId="38AA604F" w14:textId="6BBE9910" w:rsidR="004A5505" w:rsidRPr="00762188" w:rsidRDefault="00E31C88" w:rsidP="00E31C88">
      <w:pPr>
        <w:pStyle w:val="Order2"/>
        <w:numPr>
          <w:ilvl w:val="0"/>
          <w:numId w:val="0"/>
        </w:numPr>
        <w:ind w:left="1440" w:hanging="720"/>
      </w:pPr>
      <w:r w:rsidRPr="00762188">
        <w:t>(d)</w:t>
      </w:r>
      <w:r w:rsidRPr="00762188">
        <w:tab/>
      </w:r>
      <w:r w:rsidR="004A5505">
        <w:t>the distribution of the DJs Amex Card was not excluded conduct within the meaning of section 994A of the Corporations Act.</w:t>
      </w:r>
    </w:p>
    <w:bookmarkEnd w:id="21"/>
    <w:p w14:paraId="52E4BEB5" w14:textId="37D46F4C" w:rsidR="000E0C6B" w:rsidRPr="00762188" w:rsidRDefault="00E31C88" w:rsidP="00E31C88">
      <w:pPr>
        <w:pStyle w:val="Order1"/>
        <w:numPr>
          <w:ilvl w:val="0"/>
          <w:numId w:val="0"/>
        </w:numPr>
        <w:tabs>
          <w:tab w:val="left" w:pos="720"/>
        </w:tabs>
        <w:ind w:left="720" w:hanging="720"/>
      </w:pPr>
      <w:r w:rsidRPr="00762188">
        <w:t>2.</w:t>
      </w:r>
      <w:r w:rsidRPr="00762188">
        <w:tab/>
      </w:r>
      <w:r w:rsidR="000E0C6B" w:rsidRPr="005603EB">
        <w:t>Pursuant to section 1317E</w:t>
      </w:r>
      <w:r w:rsidR="008F036D">
        <w:t>(1)</w:t>
      </w:r>
      <w:r w:rsidR="000E0C6B" w:rsidRPr="005603EB">
        <w:t xml:space="preserve"> of the Corporations Act, American Express contravened </w:t>
      </w:r>
      <w:r w:rsidR="000E0C6B" w:rsidRPr="005D40D6">
        <w:t xml:space="preserve">section 994C(4) </w:t>
      </w:r>
      <w:r w:rsidR="000E0C6B" w:rsidRPr="005603EB">
        <w:t>of the Corporations Act in the period from 25 May 2022 to 5 July 2022 by failing to cease issuing a co-branded credit card (</w:t>
      </w:r>
      <w:r w:rsidR="000E0C6B" w:rsidRPr="00762188">
        <w:rPr>
          <w:b/>
          <w:bCs/>
        </w:rPr>
        <w:t>DJs Amex Platinum Card</w:t>
      </w:r>
      <w:r w:rsidR="000E0C6B" w:rsidRPr="005603EB">
        <w:t>) in circumstances where</w:t>
      </w:r>
      <w:r w:rsidR="000E0C6B" w:rsidRPr="00762188">
        <w:t xml:space="preserve">: </w:t>
      </w:r>
    </w:p>
    <w:p w14:paraId="2C751061" w14:textId="668FDB14" w:rsidR="000E0C6B" w:rsidRDefault="00E31C88" w:rsidP="00E31C88">
      <w:pPr>
        <w:pStyle w:val="Order2"/>
        <w:numPr>
          <w:ilvl w:val="0"/>
          <w:numId w:val="0"/>
        </w:numPr>
        <w:ind w:left="1440" w:hanging="720"/>
      </w:pPr>
      <w:r>
        <w:lastRenderedPageBreak/>
        <w:t>(a)</w:t>
      </w:r>
      <w:r>
        <w:tab/>
      </w:r>
      <w:r w:rsidR="000E0C6B">
        <w:t>American Express made a target market determination for the DJs Amex Platinum Card and offered the DJs Amex Platinum Card for acquisition to retail clients;</w:t>
      </w:r>
    </w:p>
    <w:p w14:paraId="23F5D499" w14:textId="62A4C7BF" w:rsidR="000B26CF" w:rsidRDefault="00E31C88" w:rsidP="00E31C88">
      <w:pPr>
        <w:pStyle w:val="Order2"/>
        <w:numPr>
          <w:ilvl w:val="0"/>
          <w:numId w:val="0"/>
        </w:numPr>
        <w:ind w:left="1440" w:hanging="720"/>
      </w:pPr>
      <w:r>
        <w:t>(b)</w:t>
      </w:r>
      <w:r>
        <w:tab/>
      </w:r>
      <w:r w:rsidR="000B26CF" w:rsidRPr="00B544A1">
        <w:t>American Express ought reasonably to have known, by 11 May 2022, that the cancell</w:t>
      </w:r>
      <w:r w:rsidR="000B26CF">
        <w:t>ed</w:t>
      </w:r>
      <w:r w:rsidR="000B26CF" w:rsidRPr="00B544A1">
        <w:t xml:space="preserve"> </w:t>
      </w:r>
      <w:r w:rsidR="000B26CF">
        <w:t xml:space="preserve">application </w:t>
      </w:r>
      <w:r w:rsidR="000B26CF" w:rsidRPr="00B544A1">
        <w:t xml:space="preserve">rates for the DJs Amex Platinum Card were a </w:t>
      </w:r>
      <w:r w:rsidR="000B26CF" w:rsidRPr="006A5319">
        <w:t>circumstance</w:t>
      </w:r>
      <w:r w:rsidR="000B26CF" w:rsidRPr="00B544A1">
        <w:t xml:space="preserve"> that would reasonably suggest that the target market determination for the DJs Amex Platinum Card was no longer appropriate</w:t>
      </w:r>
      <w:r w:rsidR="000B26CF">
        <w:t>;</w:t>
      </w:r>
    </w:p>
    <w:p w14:paraId="28E9B877" w14:textId="5B839981" w:rsidR="000B26CF" w:rsidRDefault="00E31C88" w:rsidP="00E31C88">
      <w:pPr>
        <w:pStyle w:val="Order2"/>
        <w:numPr>
          <w:ilvl w:val="0"/>
          <w:numId w:val="0"/>
        </w:numPr>
        <w:ind w:left="1440" w:hanging="720"/>
      </w:pPr>
      <w:r>
        <w:t>(c)</w:t>
      </w:r>
      <w:r>
        <w:tab/>
      </w:r>
      <w:r w:rsidR="000B26CF">
        <w:t>American Express did not, in the period between 11 and 24 May 2022, review the target market determination for the DJs Amex Platinum Card; and</w:t>
      </w:r>
    </w:p>
    <w:p w14:paraId="295680A1" w14:textId="2B3997DC" w:rsidR="000B26CF" w:rsidRPr="005603EB" w:rsidRDefault="00E31C88" w:rsidP="00E31C88">
      <w:pPr>
        <w:pStyle w:val="Order2"/>
        <w:numPr>
          <w:ilvl w:val="0"/>
          <w:numId w:val="0"/>
        </w:numPr>
        <w:ind w:left="1440" w:hanging="720"/>
      </w:pPr>
      <w:r w:rsidRPr="005603EB">
        <w:t>(d)</w:t>
      </w:r>
      <w:r w:rsidRPr="005603EB">
        <w:tab/>
      </w:r>
      <w:r w:rsidR="000B26CF">
        <w:t>the distribution of the DJs Amex Platinum Card was not excluded conduct within the meaning of section 994A of the Corporations Act</w:t>
      </w:r>
      <w:r w:rsidR="000B26CF" w:rsidRPr="005603EB">
        <w:t xml:space="preserve">. </w:t>
      </w:r>
    </w:p>
    <w:p w14:paraId="68E76DB0" w14:textId="6A15F34A" w:rsidR="00F51366" w:rsidRDefault="00E31C88" w:rsidP="00654CB5">
      <w:pPr>
        <w:pStyle w:val="Heading1"/>
      </w:pPr>
      <w:r>
        <w:rPr>
          <w:caps w:val="0"/>
        </w:rPr>
        <w:t>THE COURT ORDERS THAT:</w:t>
      </w:r>
    </w:p>
    <w:p w14:paraId="5E580582" w14:textId="77777777" w:rsidR="00295BB3" w:rsidRPr="00295BB3" w:rsidRDefault="00295BB3" w:rsidP="00295BB3">
      <w:pPr>
        <w:pStyle w:val="NoNum"/>
        <w:rPr>
          <w:sz w:val="8"/>
          <w:szCs w:val="8"/>
        </w:rPr>
      </w:pPr>
    </w:p>
    <w:p w14:paraId="2917BB90" w14:textId="6801E1A0" w:rsidR="00654CB5" w:rsidRDefault="00E31C88" w:rsidP="00E31C88">
      <w:pPr>
        <w:pStyle w:val="Order1"/>
        <w:numPr>
          <w:ilvl w:val="0"/>
          <w:numId w:val="0"/>
        </w:numPr>
        <w:tabs>
          <w:tab w:val="left" w:pos="720"/>
        </w:tabs>
        <w:ind w:left="720" w:hanging="720"/>
      </w:pPr>
      <w:r>
        <w:t>3.</w:t>
      </w:r>
      <w:r>
        <w:tab/>
      </w:r>
      <w:r w:rsidR="008E7A4A">
        <w:t xml:space="preserve">Within 90 days of receipt of a penalty invoice, American Express pay to the Commonwealth pursuant to </w:t>
      </w:r>
      <w:r w:rsidR="008E7A4A" w:rsidRPr="005D40D6">
        <w:t>s 1317G</w:t>
      </w:r>
      <w:r w:rsidR="008E7A4A">
        <w:t xml:space="preserve">(1) of the Corporations Act a pecuniary penalty of </w:t>
      </w:r>
      <w:r w:rsidR="00EE793A">
        <w:t>$</w:t>
      </w:r>
      <w:r w:rsidR="003058A2">
        <w:t>8,000,000</w:t>
      </w:r>
      <w:r w:rsidR="008E7A4A">
        <w:t xml:space="preserve"> in respect of American Express’s conduct declared to be contraventions of</w:t>
      </w:r>
      <w:r w:rsidR="00056076">
        <w:t xml:space="preserve"> </w:t>
      </w:r>
      <w:r w:rsidR="008E7A4A">
        <w:t xml:space="preserve"> s 994C(4) of the Corporations Act.</w:t>
      </w:r>
    </w:p>
    <w:p w14:paraId="0AFB2506" w14:textId="4CD02400" w:rsidR="008E7A4A" w:rsidRDefault="00E31C88" w:rsidP="00E31C88">
      <w:pPr>
        <w:pStyle w:val="Order1"/>
        <w:numPr>
          <w:ilvl w:val="0"/>
          <w:numId w:val="0"/>
        </w:numPr>
        <w:tabs>
          <w:tab w:val="left" w:pos="720"/>
        </w:tabs>
        <w:ind w:left="720" w:hanging="720"/>
      </w:pPr>
      <w:r>
        <w:t>4.</w:t>
      </w:r>
      <w:r>
        <w:tab/>
      </w:r>
      <w:r w:rsidR="008E7A4A">
        <w:t>Within 90 days of receipt of a costs invoice, American Express pay ASIC’s costs of and incidental to the proceeding</w:t>
      </w:r>
      <w:r w:rsidR="00753276">
        <w:t xml:space="preserve"> in the </w:t>
      </w:r>
      <w:r w:rsidR="003058A2">
        <w:t xml:space="preserve">agreed </w:t>
      </w:r>
      <w:r w:rsidR="00753276">
        <w:t xml:space="preserve">sum of </w:t>
      </w:r>
      <w:r w:rsidR="003058A2">
        <w:t>$200,000</w:t>
      </w:r>
      <w:r w:rsidR="00672500">
        <w:t>.</w:t>
      </w:r>
    </w:p>
    <w:p w14:paraId="591F60CB" w14:textId="77777777" w:rsidR="001A6C52" w:rsidRDefault="001A6C52" w:rsidP="001A6C52">
      <w:pPr>
        <w:pStyle w:val="BodyText"/>
      </w:pPr>
    </w:p>
    <w:p w14:paraId="23D12151" w14:textId="77777777" w:rsidR="00A431E6" w:rsidRDefault="00A431E6" w:rsidP="001A6C52">
      <w:pPr>
        <w:pStyle w:val="BodyText"/>
      </w:pPr>
    </w:p>
    <w:p w14:paraId="28F7E48A" w14:textId="52EC45F0" w:rsidR="0050309C" w:rsidRDefault="00633BB2"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490739E1" w14:textId="77777777" w:rsidR="003E728D" w:rsidRDefault="003E728D">
      <w:pPr>
        <w:spacing w:line="240" w:lineRule="auto"/>
        <w:jc w:val="left"/>
      </w:pPr>
    </w:p>
    <w:p w14:paraId="35444BF9" w14:textId="77777777" w:rsidR="00B710F2" w:rsidRDefault="00B710F2" w:rsidP="002B0E91">
      <w:pPr>
        <w:pStyle w:val="BodyText"/>
      </w:pPr>
    </w:p>
    <w:p w14:paraId="18236421" w14:textId="77777777" w:rsidR="00395B24" w:rsidRDefault="00395B24">
      <w:pPr>
        <w:pStyle w:val="NormalHeadings"/>
        <w:spacing w:before="240" w:after="120"/>
        <w:rPr>
          <w:b w:val="0"/>
        </w:rPr>
        <w:sectPr w:rsidR="00395B24" w:rsidSect="00E77422">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20C50335"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4118CB17" w14:textId="3EDC6A16" w:rsidR="00694BEB" w:rsidRDefault="00F665C8" w:rsidP="005E0510">
      <w:pPr>
        <w:pStyle w:val="NormalHeadings"/>
        <w:spacing w:line="360" w:lineRule="auto"/>
        <w:jc w:val="left"/>
        <w:rPr>
          <w:sz w:val="26"/>
          <w:szCs w:val="26"/>
        </w:rPr>
      </w:pPr>
      <w:r>
        <w:rPr>
          <w:sz w:val="26"/>
          <w:szCs w:val="26"/>
        </w:rPr>
        <w:t>JACKMAN J:</w:t>
      </w:r>
    </w:p>
    <w:p w14:paraId="6F340C17" w14:textId="0AD4BC24" w:rsidR="00CD1346" w:rsidRDefault="00F665C8" w:rsidP="00F665C8">
      <w:pPr>
        <w:pStyle w:val="Heading2"/>
      </w:pPr>
      <w:r>
        <w:t>Introduction</w:t>
      </w:r>
    </w:p>
    <w:p w14:paraId="6C702D29" w14:textId="7F35917E" w:rsidR="00EB0C4D" w:rsidRPr="00335EF2" w:rsidRDefault="00E31C88" w:rsidP="00E31C88">
      <w:pPr>
        <w:pStyle w:val="ParaNumbering"/>
        <w:numPr>
          <w:ilvl w:val="0"/>
          <w:numId w:val="0"/>
        </w:numPr>
        <w:ind w:hanging="720"/>
      </w:pPr>
      <w:r w:rsidRPr="00335EF2">
        <w:rPr>
          <w:iCs/>
          <w:sz w:val="20"/>
        </w:rPr>
        <w:t>1</w:t>
      </w:r>
      <w:r w:rsidRPr="00335EF2">
        <w:rPr>
          <w:iCs/>
          <w:sz w:val="20"/>
        </w:rPr>
        <w:tab/>
      </w:r>
      <w:r w:rsidR="00EB0C4D" w:rsidRPr="00335EF2">
        <w:t xml:space="preserve">This case concerns what are described as the “design and distribution obligations” in Part 7.8A of the </w:t>
      </w:r>
      <w:r w:rsidR="00EB0C4D" w:rsidRPr="00335EF2">
        <w:rPr>
          <w:i/>
          <w:iCs/>
        </w:rPr>
        <w:t xml:space="preserve">Corporations Act 2001 </w:t>
      </w:r>
      <w:r w:rsidR="00EB0C4D" w:rsidRPr="00335EF2">
        <w:t>(Cth) (</w:t>
      </w:r>
      <w:r w:rsidR="00EB0C4D" w:rsidRPr="00335EF2">
        <w:rPr>
          <w:b/>
          <w:bCs/>
        </w:rPr>
        <w:t>Act</w:t>
      </w:r>
      <w:r w:rsidR="00EB0C4D" w:rsidRPr="00335EF2">
        <w:t>) (</w:t>
      </w:r>
      <w:r w:rsidR="00EB0C4D" w:rsidRPr="00335EF2">
        <w:rPr>
          <w:b/>
          <w:bCs/>
        </w:rPr>
        <w:t>DDO</w:t>
      </w:r>
      <w:r w:rsidR="00EB0C4D" w:rsidRPr="00335EF2">
        <w:t xml:space="preserve">), specifically those contained in ss 994C(4) and 994C(5) of the Act. </w:t>
      </w:r>
      <w:r w:rsidR="00113283">
        <w:t xml:space="preserve">The proceedings were originally fixed for a 5-day contested hearing commencing on 11 March 2024. On 5 March 2024, I vacated that hearing </w:t>
      </w:r>
      <w:r w:rsidR="00D5228D">
        <w:t xml:space="preserve">at the request of the parties </w:t>
      </w:r>
      <w:r w:rsidR="00113283">
        <w:t>and made directions for the preparation of joint submissions on liability and penalty, and fixed the hearing for 27 May 2024</w:t>
      </w:r>
      <w:r w:rsidR="00BA537A">
        <w:t>. During the course of that hearing, it became apparent that the parties wished to have the opportunity to supplement their joint submissions and requested a further hearing on 1 July 2024.</w:t>
      </w:r>
    </w:p>
    <w:p w14:paraId="26817495" w14:textId="74FBE964" w:rsidR="00EB0C4D" w:rsidRPr="00335EF2" w:rsidRDefault="00E31C88" w:rsidP="00E31C88">
      <w:pPr>
        <w:pStyle w:val="ParaNumbering"/>
        <w:numPr>
          <w:ilvl w:val="0"/>
          <w:numId w:val="0"/>
        </w:numPr>
        <w:ind w:hanging="720"/>
      </w:pPr>
      <w:r w:rsidRPr="00335EF2">
        <w:rPr>
          <w:iCs/>
          <w:sz w:val="20"/>
        </w:rPr>
        <w:t>2</w:t>
      </w:r>
      <w:r w:rsidRPr="00335EF2">
        <w:rPr>
          <w:iCs/>
          <w:sz w:val="20"/>
        </w:rPr>
        <w:tab/>
      </w:r>
      <w:r w:rsidR="00EB0C4D" w:rsidRPr="00335EF2">
        <w:t>The defendant (</w:t>
      </w:r>
      <w:r w:rsidR="00EB0C4D" w:rsidRPr="00335EF2">
        <w:rPr>
          <w:b/>
          <w:bCs/>
        </w:rPr>
        <w:t>American Express</w:t>
      </w:r>
      <w:r w:rsidR="00EB0C4D" w:rsidRPr="00335EF2">
        <w:t>) admits two contraventions of s 994C(4) of the Act and two contraventions of s 994C(5) of the Act in the period between 25 May 2022 and 5 July 2022 (</w:t>
      </w:r>
      <w:r w:rsidR="00EB0C4D" w:rsidRPr="00335EF2">
        <w:rPr>
          <w:b/>
          <w:bCs/>
        </w:rPr>
        <w:t>Contravening Period</w:t>
      </w:r>
      <w:r w:rsidR="00EB0C4D" w:rsidRPr="005711E1">
        <w:t>)</w:t>
      </w:r>
      <w:r w:rsidR="00EB0C4D" w:rsidRPr="009A5EE8">
        <w:t xml:space="preserve"> (amounting to four contraventio</w:t>
      </w:r>
      <w:r w:rsidR="00EB0C4D" w:rsidRPr="005711E1">
        <w:t>ns</w:t>
      </w:r>
      <w:r w:rsidR="00EB0C4D" w:rsidRPr="009A5EE8">
        <w:t xml:space="preserve"> in total)</w:t>
      </w:r>
      <w:r w:rsidR="00EB0C4D" w:rsidRPr="005711E1">
        <w:t xml:space="preserve">. The </w:t>
      </w:r>
      <w:r w:rsidR="00EB0C4D" w:rsidRPr="00335EF2">
        <w:t xml:space="preserve">contraventions relate to </w:t>
      </w:r>
      <w:r w:rsidR="00EB0C4D" w:rsidRPr="00AD37C3">
        <w:t xml:space="preserve">two co-branded credit cards (the </w:t>
      </w:r>
      <w:r w:rsidR="00EB0C4D" w:rsidRPr="00AD37C3">
        <w:rPr>
          <w:b/>
          <w:bCs/>
        </w:rPr>
        <w:t>DJs Amex Card</w:t>
      </w:r>
      <w:r w:rsidR="00EB0C4D" w:rsidRPr="00AD37C3">
        <w:t xml:space="preserve"> and the </w:t>
      </w:r>
      <w:r w:rsidR="00EB0C4D" w:rsidRPr="00AD37C3">
        <w:rPr>
          <w:b/>
          <w:bCs/>
        </w:rPr>
        <w:t>DJs Amex Platinum Card</w:t>
      </w:r>
      <w:r w:rsidR="00EB0C4D" w:rsidRPr="00AD37C3">
        <w:t xml:space="preserve">) (together, </w:t>
      </w:r>
      <w:r w:rsidR="00EB0C4D" w:rsidRPr="00AD37C3">
        <w:rPr>
          <w:b/>
          <w:bCs/>
        </w:rPr>
        <w:t>the DJs Cards</w:t>
      </w:r>
      <w:r w:rsidR="00EB0C4D" w:rsidRPr="00AD37C3">
        <w:t>)</w:t>
      </w:r>
      <w:r w:rsidR="00EB0C4D" w:rsidRPr="00335EF2">
        <w:t>, which were primarily distributed to customers in David Jones stores,</w:t>
      </w:r>
      <w:r w:rsidR="00EB0C4D" w:rsidRPr="00AD37C3">
        <w:t xml:space="preserve"> and the target market determination (</w:t>
      </w:r>
      <w:r w:rsidR="00EB0C4D" w:rsidRPr="00AD37C3">
        <w:rPr>
          <w:b/>
          <w:bCs/>
        </w:rPr>
        <w:t>TMD</w:t>
      </w:r>
      <w:r w:rsidR="00EB0C4D" w:rsidRPr="00AD37C3">
        <w:t>) for each card</w:t>
      </w:r>
      <w:r w:rsidR="00EB0C4D" w:rsidRPr="00335EF2">
        <w:t>.</w:t>
      </w:r>
    </w:p>
    <w:p w14:paraId="4F62472D" w14:textId="3BD1A6E1" w:rsidR="00EB0C4D" w:rsidRPr="00335EF2" w:rsidRDefault="00E31C88" w:rsidP="00E31C88">
      <w:pPr>
        <w:pStyle w:val="ParaNumbering"/>
        <w:numPr>
          <w:ilvl w:val="0"/>
          <w:numId w:val="0"/>
        </w:numPr>
        <w:ind w:hanging="720"/>
        <w:rPr>
          <w:rFonts w:ascii="Calibri" w:hAnsi="Calibri"/>
        </w:rPr>
      </w:pPr>
      <w:r w:rsidRPr="00335EF2">
        <w:rPr>
          <w:rFonts w:ascii="Calibri" w:hAnsi="Calibri"/>
          <w:iCs/>
          <w:sz w:val="20"/>
        </w:rPr>
        <w:t>3</w:t>
      </w:r>
      <w:r w:rsidRPr="00335EF2">
        <w:rPr>
          <w:rFonts w:ascii="Calibri" w:hAnsi="Calibri"/>
          <w:iCs/>
          <w:sz w:val="20"/>
        </w:rPr>
        <w:tab/>
      </w:r>
      <w:r w:rsidR="00EB0C4D">
        <w:t>In broad terms, t</w:t>
      </w:r>
      <w:r w:rsidR="00EB0C4D" w:rsidRPr="00335EF2">
        <w:t>he DDO seek to improve consumer outcomes by ensuring that financial services providers have a customer-centric approach. In accordance with the DDO in the Act, American Express made a TMD for each of the DJs Cards</w:t>
      </w:r>
      <w:r w:rsidR="00EB0C4D">
        <w:t xml:space="preserve"> which were in place at the commencement of the DDO scheme on and from 5 October 2021</w:t>
      </w:r>
      <w:r w:rsidR="00EB0C4D" w:rsidRPr="005711E1">
        <w:t>. However, American Express admits that</w:t>
      </w:r>
      <w:r w:rsidR="00EB0C4D">
        <w:t xml:space="preserve"> subsequently, in the Contravening Period,</w:t>
      </w:r>
      <w:r w:rsidR="00EB0C4D" w:rsidRPr="005711E1">
        <w:t xml:space="preserve"> it knew that there was a circumstance in respect of each of the DJs Cards</w:t>
      </w:r>
      <w:r w:rsidR="00EB0C4D" w:rsidRPr="009A5EE8">
        <w:t>, being a circumstance</w:t>
      </w:r>
      <w:r w:rsidR="00EB0C4D" w:rsidRPr="005711E1">
        <w:t xml:space="preserve"> that reasonably suggested that the TMDs for the DJs Cards were no longer appropriate</w:t>
      </w:r>
      <w:r w:rsidR="00F3239E">
        <w:t>,</w:t>
      </w:r>
      <w:r w:rsidR="00EB0C4D">
        <w:t xml:space="preserve"> although American Express did not know that the circumstance had that characteristic</w:t>
      </w:r>
      <w:r w:rsidR="00EB0C4D" w:rsidRPr="005711E1">
        <w:t xml:space="preserve">. </w:t>
      </w:r>
      <w:r w:rsidR="005B572E">
        <w:t>American Express</w:t>
      </w:r>
      <w:r w:rsidR="002A35B3">
        <w:t xml:space="preserve"> also accepts that it ought reasonably to have known by 11 May 2022 that the cancelled application rates</w:t>
      </w:r>
      <w:r w:rsidR="00EA0E40">
        <w:t xml:space="preserve"> for the DJs Cards were a circumstance that would reasonably suggest that the TMD for each of the DJs Cards</w:t>
      </w:r>
      <w:r w:rsidR="00817EA9">
        <w:t xml:space="preserve"> was no longer appropriate. </w:t>
      </w:r>
      <w:r w:rsidR="00EB0C4D" w:rsidRPr="005711E1">
        <w:t xml:space="preserve">Despite this, American Express </w:t>
      </w:r>
      <w:r w:rsidR="002E0DE2">
        <w:t>did not</w:t>
      </w:r>
      <w:r w:rsidR="00EB0C4D" w:rsidRPr="005711E1">
        <w:t xml:space="preserve"> cease issuing the DJs Cards </w:t>
      </w:r>
      <w:r w:rsidR="00EB0C4D">
        <w:t>in the Contravening Period</w:t>
      </w:r>
      <w:r w:rsidR="00EB0C4D" w:rsidRPr="00305971" w:rsidDel="00305971">
        <w:t xml:space="preserve"> </w:t>
      </w:r>
      <w:r w:rsidR="00EB0C4D" w:rsidRPr="005711E1">
        <w:t>and, during that same period,</w:t>
      </w:r>
      <w:r w:rsidR="00AB519C">
        <w:t xml:space="preserve"> did not</w:t>
      </w:r>
      <w:r w:rsidR="00EB0C4D" w:rsidRPr="00335EF2">
        <w:t xml:space="preserve"> take all reasonable steps to ensure that David Jones was informed that it must not continue distributing the DJs Cards</w:t>
      </w:r>
      <w:r w:rsidR="00AB519C">
        <w:t>. While American Express admits that it contravened</w:t>
      </w:r>
      <w:r w:rsidR="00216F64">
        <w:t xml:space="preserve"> </w:t>
      </w:r>
      <w:r w:rsidR="00216F64" w:rsidRPr="00335EF2">
        <w:t>ss 994C(4) and 994C(5)</w:t>
      </w:r>
      <w:r w:rsidR="007E0C6D">
        <w:t xml:space="preserve">, </w:t>
      </w:r>
      <w:r w:rsidR="00AB519C">
        <w:t xml:space="preserve">I must satisfy myself as </w:t>
      </w:r>
      <w:r w:rsidR="00AB519C">
        <w:lastRenderedPageBreak/>
        <w:t>to the c</w:t>
      </w:r>
      <w:r w:rsidR="00B402DF">
        <w:t>orrectness or otherwise of those admissions before making declarations and granting other relief.</w:t>
      </w:r>
      <w:r w:rsidR="00EB0C4D" w:rsidRPr="00335EF2">
        <w:t xml:space="preserve"> </w:t>
      </w:r>
    </w:p>
    <w:p w14:paraId="1636CE05" w14:textId="2C75BC9D" w:rsidR="00D9057F" w:rsidRPr="00335EF2" w:rsidRDefault="00E31C88" w:rsidP="00E31C88">
      <w:pPr>
        <w:pStyle w:val="ParaNumbering"/>
        <w:numPr>
          <w:ilvl w:val="0"/>
          <w:numId w:val="0"/>
        </w:numPr>
        <w:ind w:hanging="720"/>
      </w:pPr>
      <w:r w:rsidRPr="00335EF2">
        <w:rPr>
          <w:iCs/>
          <w:sz w:val="20"/>
        </w:rPr>
        <w:t>4</w:t>
      </w:r>
      <w:r w:rsidRPr="00335EF2">
        <w:rPr>
          <w:iCs/>
          <w:sz w:val="20"/>
        </w:rPr>
        <w:tab/>
      </w:r>
      <w:r w:rsidR="00D9057F" w:rsidRPr="00335EF2">
        <w:t>The plaintiff (</w:t>
      </w:r>
      <w:r w:rsidR="00D9057F" w:rsidRPr="00335EF2">
        <w:rPr>
          <w:b/>
          <w:bCs/>
        </w:rPr>
        <w:t>ASIC</w:t>
      </w:r>
      <w:r w:rsidR="00D9057F" w:rsidRPr="00335EF2">
        <w:t>) and American Express join in seeking:</w:t>
      </w:r>
    </w:p>
    <w:p w14:paraId="4F8A56DB" w14:textId="6C985EB2" w:rsidR="00D9057F" w:rsidRPr="00335EF2" w:rsidRDefault="00E31C88" w:rsidP="00E31C88">
      <w:pPr>
        <w:pStyle w:val="ListNo1alt"/>
        <w:numPr>
          <w:ilvl w:val="0"/>
          <w:numId w:val="0"/>
        </w:numPr>
        <w:tabs>
          <w:tab w:val="left" w:pos="720"/>
        </w:tabs>
        <w:ind w:left="720" w:hanging="720"/>
      </w:pPr>
      <w:r w:rsidRPr="00335EF2">
        <w:t>(a)</w:t>
      </w:r>
      <w:r w:rsidRPr="00335EF2">
        <w:tab/>
      </w:r>
      <w:r w:rsidR="00D9057F" w:rsidRPr="00335EF2">
        <w:t xml:space="preserve">declarations of contraventions in the form </w:t>
      </w:r>
      <w:r w:rsidR="00B06133">
        <w:t>of either Annexure A or Annexure B to the Supplementary Joint Submissions on Penalty dated 25 June 2024;</w:t>
      </w:r>
    </w:p>
    <w:p w14:paraId="0932DC83" w14:textId="42C7230C" w:rsidR="00D9057F" w:rsidRPr="00335EF2" w:rsidRDefault="00E31C88" w:rsidP="00E31C88">
      <w:pPr>
        <w:pStyle w:val="ListNo1alt"/>
        <w:numPr>
          <w:ilvl w:val="0"/>
          <w:numId w:val="0"/>
        </w:numPr>
        <w:tabs>
          <w:tab w:val="left" w:pos="720"/>
        </w:tabs>
        <w:ind w:left="720" w:hanging="720"/>
      </w:pPr>
      <w:r w:rsidRPr="00335EF2">
        <w:t>(b)</w:t>
      </w:r>
      <w:r w:rsidRPr="00335EF2">
        <w:tab/>
      </w:r>
      <w:r w:rsidR="00D9057F" w:rsidRPr="00335EF2">
        <w:t xml:space="preserve">on the basis of the admitted contraventions, </w:t>
      </w:r>
      <w:r w:rsidR="00D9057F" w:rsidRPr="00AD37C3">
        <w:t>orders pursuant to s 1317G(1) of the Act that it pay a total pecuniary penalty of $10,800,000 (</w:t>
      </w:r>
      <w:r w:rsidR="00D9057F" w:rsidRPr="00AD37C3">
        <w:rPr>
          <w:b/>
        </w:rPr>
        <w:t>Agreed Penalty</w:t>
      </w:r>
      <w:r w:rsidR="00D14051">
        <w:rPr>
          <w:b/>
        </w:rPr>
        <w:t xml:space="preserve"> A</w:t>
      </w:r>
      <w:r w:rsidR="00D9057F" w:rsidRPr="00AD37C3">
        <w:t>)</w:t>
      </w:r>
      <w:r w:rsidR="00D14051">
        <w:t xml:space="preserve"> </w:t>
      </w:r>
      <w:r w:rsidR="00064884">
        <w:t>if I find that both ss 994C(4) and (5) were contravened, or $8,000,000 (</w:t>
      </w:r>
      <w:r w:rsidR="00064884" w:rsidRPr="00064884">
        <w:rPr>
          <w:b/>
          <w:bCs/>
        </w:rPr>
        <w:t>Agreed Penalty B</w:t>
      </w:r>
      <w:r w:rsidR="00064884">
        <w:t>) if I find that only</w:t>
      </w:r>
      <w:r w:rsidR="00AA0BC2">
        <w:t xml:space="preserve"> s 994C(4) was contravened</w:t>
      </w:r>
      <w:r w:rsidR="00D9057F" w:rsidRPr="00AD37C3">
        <w:t>; and</w:t>
      </w:r>
    </w:p>
    <w:p w14:paraId="7F4255F8" w14:textId="15323926" w:rsidR="00D9057F" w:rsidRPr="00335EF2" w:rsidRDefault="00E31C88" w:rsidP="00E31C88">
      <w:pPr>
        <w:pStyle w:val="ListNo1alt"/>
        <w:numPr>
          <w:ilvl w:val="0"/>
          <w:numId w:val="0"/>
        </w:numPr>
        <w:tabs>
          <w:tab w:val="left" w:pos="720"/>
        </w:tabs>
        <w:ind w:left="720" w:hanging="720"/>
      </w:pPr>
      <w:r w:rsidRPr="00335EF2">
        <w:t>(c)</w:t>
      </w:r>
      <w:r w:rsidRPr="00335EF2">
        <w:tab/>
      </w:r>
      <w:r w:rsidR="00D9057F" w:rsidRPr="00AD37C3">
        <w:t xml:space="preserve">an order that American Express </w:t>
      </w:r>
      <w:r w:rsidR="00D9057F" w:rsidRPr="00335EF2">
        <w:t>pay ASIC’s costs of and incidental to the proceeding in the agreed sum of $200,000.</w:t>
      </w:r>
    </w:p>
    <w:p w14:paraId="2EE8F6C4" w14:textId="419F3E9F" w:rsidR="00D9057F" w:rsidRPr="00335EF2" w:rsidRDefault="00E31C88" w:rsidP="00E31C88">
      <w:pPr>
        <w:pStyle w:val="ParaNumbering"/>
        <w:numPr>
          <w:ilvl w:val="0"/>
          <w:numId w:val="0"/>
        </w:numPr>
        <w:ind w:hanging="720"/>
      </w:pPr>
      <w:r w:rsidRPr="00335EF2">
        <w:rPr>
          <w:iCs/>
          <w:sz w:val="20"/>
        </w:rPr>
        <w:t>5</w:t>
      </w:r>
      <w:r w:rsidRPr="00335EF2">
        <w:rPr>
          <w:iCs/>
          <w:sz w:val="20"/>
        </w:rPr>
        <w:tab/>
      </w:r>
      <w:r w:rsidR="00D9057F" w:rsidRPr="00335EF2">
        <w:t xml:space="preserve">The parties have jointly filed a </w:t>
      </w:r>
      <w:r w:rsidR="00C8502C">
        <w:t>Statement of Agreed Facts and Admissions</w:t>
      </w:r>
      <w:r w:rsidR="00F10D63">
        <w:t xml:space="preserve"> </w:t>
      </w:r>
      <w:r w:rsidR="00C8502C">
        <w:t xml:space="preserve">dated 29 February 2024 </w:t>
      </w:r>
      <w:r w:rsidR="00F10D63">
        <w:t>(</w:t>
      </w:r>
      <w:r w:rsidR="00F10D63">
        <w:rPr>
          <w:b/>
          <w:bCs/>
        </w:rPr>
        <w:t>SAFA</w:t>
      </w:r>
      <w:r w:rsidR="00F10D63">
        <w:t>)</w:t>
      </w:r>
      <w:r w:rsidR="00EB4A10">
        <w:t>,</w:t>
      </w:r>
      <w:r w:rsidR="00F10D63">
        <w:t xml:space="preserve"> </w:t>
      </w:r>
      <w:r w:rsidR="001C049B">
        <w:t>t</w:t>
      </w:r>
      <w:r w:rsidR="00D9057F" w:rsidRPr="00335EF2">
        <w:t xml:space="preserve">hat includes admissions of contravention by American Express and sets out the facts </w:t>
      </w:r>
      <w:r w:rsidR="007C2EF7">
        <w:t>relating to the admitted</w:t>
      </w:r>
      <w:r w:rsidR="00D9057F" w:rsidRPr="00335EF2">
        <w:t xml:space="preserve"> contraventions of ss 994C(4) and (5) of the Act by American Express, as agreed pursuant to s 191 of the </w:t>
      </w:r>
      <w:r w:rsidR="00D9057F" w:rsidRPr="000D4E63">
        <w:rPr>
          <w:i/>
          <w:iCs/>
        </w:rPr>
        <w:t>Evidence Act 1995</w:t>
      </w:r>
      <w:r w:rsidR="00D9057F" w:rsidRPr="00335EF2">
        <w:t xml:space="preserve"> (Cth). The SAFA further sets out the relevant facts in the period between 5 October 2021 and 5 July 2022 (</w:t>
      </w:r>
      <w:r w:rsidR="00D9057F" w:rsidRPr="000D4E63">
        <w:rPr>
          <w:b/>
          <w:bCs/>
        </w:rPr>
        <w:t>Relevant Period</w:t>
      </w:r>
      <w:r w:rsidR="00D9057F" w:rsidRPr="00335EF2">
        <w:t>)</w:t>
      </w:r>
      <w:r w:rsidR="000D4E63">
        <w:t>.</w:t>
      </w:r>
      <w:r w:rsidR="00D9057F" w:rsidRPr="000D4E63">
        <w:rPr>
          <w:b/>
          <w:bCs/>
        </w:rPr>
        <w:t xml:space="preserve"> </w:t>
      </w:r>
      <w:r w:rsidR="00F621A4" w:rsidRPr="00F621A4">
        <w:t>On the resumption of the hearing on 1 July 2024</w:t>
      </w:r>
      <w:r w:rsidR="00F621A4">
        <w:t xml:space="preserve">, the parties tendered a Supplementary Statement of Agreed Facts and </w:t>
      </w:r>
      <w:r w:rsidR="00F10D63">
        <w:t>Admissions dated 25 June 2024 (</w:t>
      </w:r>
      <w:r w:rsidR="00F10D63">
        <w:rPr>
          <w:b/>
          <w:bCs/>
        </w:rPr>
        <w:t>SSAFA</w:t>
      </w:r>
      <w:r w:rsidR="00F10D63">
        <w:t>)</w:t>
      </w:r>
      <w:r w:rsidR="00EB4A10">
        <w:t>, which corrected some infelicities in [120] and [121] of the SAFA.</w:t>
      </w:r>
    </w:p>
    <w:p w14:paraId="737D343D" w14:textId="51EEEBB0" w:rsidR="00F665C8" w:rsidRDefault="00BF061E" w:rsidP="000D4E63">
      <w:pPr>
        <w:pStyle w:val="Heading2"/>
      </w:pPr>
      <w:r>
        <w:t>The Legislative Scheme</w:t>
      </w:r>
    </w:p>
    <w:p w14:paraId="587CF5E3" w14:textId="5C01A6F2" w:rsidR="00BF061E" w:rsidRDefault="00BF061E" w:rsidP="00BF061E">
      <w:pPr>
        <w:pStyle w:val="Heading3"/>
        <w:rPr>
          <w:b w:val="0"/>
          <w:bCs/>
        </w:rPr>
      </w:pPr>
      <w:r>
        <w:rPr>
          <w:b w:val="0"/>
          <w:bCs/>
        </w:rPr>
        <w:t>Legislative history</w:t>
      </w:r>
    </w:p>
    <w:p w14:paraId="5B627306" w14:textId="59DE563D" w:rsidR="00BA4AEC" w:rsidRPr="00AD37C3" w:rsidRDefault="00E31C88" w:rsidP="00E31C88">
      <w:pPr>
        <w:pStyle w:val="ParaNumbering"/>
        <w:numPr>
          <w:ilvl w:val="0"/>
          <w:numId w:val="0"/>
        </w:numPr>
        <w:ind w:hanging="720"/>
      </w:pPr>
      <w:r w:rsidRPr="00AD37C3">
        <w:rPr>
          <w:iCs/>
          <w:sz w:val="20"/>
        </w:rPr>
        <w:t>6</w:t>
      </w:r>
      <w:r w:rsidRPr="00AD37C3">
        <w:rPr>
          <w:iCs/>
          <w:sz w:val="20"/>
        </w:rPr>
        <w:tab/>
      </w:r>
      <w:r w:rsidR="00BA4AEC" w:rsidRPr="00335EF2">
        <w:t xml:space="preserve">Part 7.8A of the Act contains certain requirements relating to the design and distribution of financial products for retail clients. Part 7.8A was introduced by the </w:t>
      </w:r>
      <w:r w:rsidR="00BA4AEC" w:rsidRPr="00AD37C3">
        <w:rPr>
          <w:i/>
          <w:iCs/>
        </w:rPr>
        <w:t xml:space="preserve">Treasury Laws Amendment (Design and Distribution Obligations and Product Intervention Powers) Act 2019 </w:t>
      </w:r>
      <w:r w:rsidR="00BA4AEC" w:rsidRPr="00AD37C3">
        <w:t xml:space="preserve">(Cth). The Revised Explanatory Memorandum </w:t>
      </w:r>
      <w:r w:rsidR="00BA4AEC">
        <w:t>to the Treasury Laws Amendment (Design and Distribution Obligations and Product Intervention Powers) Bill 2019 (Cth)</w:t>
      </w:r>
      <w:r w:rsidR="000B78F2">
        <w:t xml:space="preserve"> (the </w:t>
      </w:r>
      <w:r w:rsidR="000B78F2">
        <w:rPr>
          <w:b/>
          <w:bCs/>
        </w:rPr>
        <w:t xml:space="preserve">Revised Explanatory </w:t>
      </w:r>
      <w:r w:rsidR="00F54757">
        <w:rPr>
          <w:b/>
          <w:bCs/>
        </w:rPr>
        <w:t>Memorandum</w:t>
      </w:r>
      <w:r w:rsidR="000B78F2">
        <w:t xml:space="preserve">) </w:t>
      </w:r>
      <w:r w:rsidR="00BA4AEC" w:rsidRPr="00AD37C3">
        <w:t>explains the intent</w:t>
      </w:r>
      <w:r w:rsidR="0079119D">
        <w:t>ion</w:t>
      </w:r>
      <w:r w:rsidR="00BA4AEC" w:rsidRPr="00AD37C3">
        <w:t xml:space="preserve"> behind the provisions</w:t>
      </w:r>
      <w:r w:rsidR="005E3C3D">
        <w:t xml:space="preserve"> relevantly as follows</w:t>
      </w:r>
      <w:r w:rsidR="00BA4AEC" w:rsidRPr="00AD37C3">
        <w:t>:</w:t>
      </w:r>
    </w:p>
    <w:p w14:paraId="6AE398DA" w14:textId="77777777" w:rsidR="00BA4AEC" w:rsidRPr="00AD37C3" w:rsidRDefault="00BA4AEC" w:rsidP="003C3290">
      <w:pPr>
        <w:pStyle w:val="Quote1"/>
      </w:pPr>
      <w:r w:rsidRPr="00AD37C3">
        <w:t xml:space="preserve">1.2 The Corporations Act relies heavily on disclosure to assist consumers understand and select appropriate financial products. However, disclosure can be ineffective for a number of reasons, including consumer disengagement, complexity of documents and products, behavioural biases, misaligned interests and low financial literacy. The </w:t>
      </w:r>
      <w:r w:rsidRPr="00AD37C3">
        <w:lastRenderedPageBreak/>
        <w:t>availability of financial advice may not be sufficient to overcome these issues. A consumer may not seek financial advice or may receive poor-quality advice.</w:t>
      </w:r>
    </w:p>
    <w:p w14:paraId="386BCC19" w14:textId="77777777" w:rsidR="00BA4AEC" w:rsidRPr="00AD37C3" w:rsidRDefault="00BA4AEC" w:rsidP="003C3290">
      <w:pPr>
        <w:pStyle w:val="Quote1"/>
      </w:pPr>
      <w:r w:rsidRPr="00AD37C3">
        <w:t>1.3 The Financial System Inquiry recognised these shortcomings of the existing disclosure regime. In response, it recommended the introduction of a targeted and principles-based product design and distribution obligation. The Government accepted this recommendation to introduce design and distribution obligations on 20 October 2015.</w:t>
      </w:r>
    </w:p>
    <w:p w14:paraId="1A8199F3" w14:textId="1F6636CE" w:rsidR="00BA4AEC" w:rsidRPr="00AD37C3" w:rsidRDefault="00BA4AEC" w:rsidP="003C3290">
      <w:pPr>
        <w:pStyle w:val="Quote1"/>
      </w:pPr>
      <w:r w:rsidRPr="00AD37C3">
        <w:t>…</w:t>
      </w:r>
    </w:p>
    <w:p w14:paraId="78FBC1F6" w14:textId="1387F553" w:rsidR="00BA4AEC" w:rsidRDefault="00BA4AEC" w:rsidP="003C3290">
      <w:pPr>
        <w:pStyle w:val="Quote1"/>
        <w:rPr>
          <w:rFonts w:cs="Arial"/>
        </w:rPr>
      </w:pPr>
      <w:r w:rsidRPr="00AD37C3">
        <w:t>1.7</w:t>
      </w:r>
      <w:r w:rsidR="00B1420E">
        <w:t xml:space="preserve"> …</w:t>
      </w:r>
      <w:r w:rsidR="003C3290">
        <w:t xml:space="preserve"> </w:t>
      </w:r>
      <w:r w:rsidRPr="00AD37C3">
        <w:t xml:space="preserve">These new obligations </w:t>
      </w:r>
      <w:r w:rsidRPr="00AD37C3">
        <w:rPr>
          <w:rFonts w:cs="Arial"/>
        </w:rPr>
        <w:t xml:space="preserve">improve consumer outcomes by ensuring that financial services providers have a customer-centric approach to making initial offerings of products to consumers. </w:t>
      </w:r>
    </w:p>
    <w:p w14:paraId="6D4CED88" w14:textId="261DA20B" w:rsidR="00BA4AEC" w:rsidRPr="00335EF2" w:rsidRDefault="00E31C88" w:rsidP="00E31C88">
      <w:pPr>
        <w:pStyle w:val="ParaNumbering"/>
        <w:numPr>
          <w:ilvl w:val="0"/>
          <w:numId w:val="0"/>
        </w:numPr>
        <w:ind w:hanging="720"/>
      </w:pPr>
      <w:r w:rsidRPr="00335EF2">
        <w:rPr>
          <w:iCs/>
          <w:sz w:val="20"/>
        </w:rPr>
        <w:t>7</w:t>
      </w:r>
      <w:r w:rsidRPr="00335EF2">
        <w:rPr>
          <w:iCs/>
          <w:sz w:val="20"/>
        </w:rPr>
        <w:tab/>
      </w:r>
      <w:r w:rsidR="00C50B07">
        <w:t>T</w:t>
      </w:r>
      <w:r w:rsidR="00BA4AEC" w:rsidRPr="00335EF2">
        <w:t xml:space="preserve">he reforms originated from recommendations in the </w:t>
      </w:r>
      <w:r w:rsidR="00C50B07">
        <w:t xml:space="preserve">Final Report of the </w:t>
      </w:r>
      <w:r w:rsidR="00BA4AEC" w:rsidRPr="00335EF2">
        <w:t>Financial System Inquiry</w:t>
      </w:r>
      <w:r w:rsidR="00D360F6">
        <w:t xml:space="preserve"> in November 2014</w:t>
      </w:r>
      <w:r w:rsidR="00BA4AEC" w:rsidRPr="00335EF2">
        <w:t>, which noted</w:t>
      </w:r>
      <w:r w:rsidR="00D360F6">
        <w:t xml:space="preserve"> (at p 204):</w:t>
      </w:r>
    </w:p>
    <w:p w14:paraId="3B415B4A" w14:textId="77777777" w:rsidR="00BA4AEC" w:rsidRPr="00335EF2" w:rsidRDefault="00BA4AEC" w:rsidP="00D360F6">
      <w:pPr>
        <w:pStyle w:val="Quote1"/>
      </w:pPr>
      <w:r w:rsidRPr="00335EF2">
        <w:t>Product issuers and distributors are best placed to understand the features of a product and its appropriate target market. Introducing a targeted design and distribution obligation for all products would decrease the number of consumers buying products that do not meet their needs, and would make the industry more customer-focused in product design. Therefore, the Inquiry recommends introducing a principles-based regulatory obligation that enables industry to develop standards of practice tailored to product classes.</w:t>
      </w:r>
    </w:p>
    <w:p w14:paraId="5557FA7A" w14:textId="4696E6B6" w:rsidR="00BA4AEC" w:rsidRDefault="00E31C88" w:rsidP="00E31C88">
      <w:pPr>
        <w:pStyle w:val="ParaNumbering"/>
        <w:numPr>
          <w:ilvl w:val="0"/>
          <w:numId w:val="0"/>
        </w:numPr>
        <w:ind w:hanging="720"/>
      </w:pPr>
      <w:r>
        <w:rPr>
          <w:iCs/>
          <w:sz w:val="20"/>
        </w:rPr>
        <w:t>8</w:t>
      </w:r>
      <w:r>
        <w:rPr>
          <w:iCs/>
          <w:sz w:val="20"/>
        </w:rPr>
        <w:tab/>
      </w:r>
      <w:r w:rsidR="00BA4AEC" w:rsidRPr="00802C80">
        <w:t>The DDO regime requires financial product issuers and distributors to develop and maintain effective product governance arrangements across the life cycle of financial products.</w:t>
      </w:r>
      <w:r w:rsidR="00BA4AEC" w:rsidRPr="00802C80">
        <w:rPr>
          <w:rStyle w:val="FootnoteReference"/>
          <w:rFonts w:cs="Arial"/>
          <w:szCs w:val="22"/>
        </w:rPr>
        <w:t xml:space="preserve"> </w:t>
      </w:r>
      <w:r w:rsidR="00BA4AEC" w:rsidRPr="00802C80">
        <w:t>The regime is intended to help consumers obtain financial products by requiring issuers and distributors to take a “customer-centric approach” to the design and distribution of financial products</w:t>
      </w:r>
      <w:r w:rsidR="00D360F6">
        <w:t>: Revised Explanatory Memorandum at [1.5]</w:t>
      </w:r>
      <w:r w:rsidR="00F672A8">
        <w:t>, [1.7].</w:t>
      </w:r>
      <w:r w:rsidR="00D360F6" w:rsidRPr="00AD37C3">
        <w:t xml:space="preserve"> </w:t>
      </w:r>
      <w:r w:rsidR="00BA4AEC" w:rsidRPr="00AD37C3">
        <w:t>In addition to an obligation to identify an appropriate target market within a TMD, inherent in this consumer</w:t>
      </w:r>
      <w:r w:rsidR="00F672A8">
        <w:t>-</w:t>
      </w:r>
      <w:r w:rsidR="00BA4AEC" w:rsidRPr="00AD37C3">
        <w:t>centric approach is a requirement for financial product issuers and distributors to actively review events and circumstances that may suggest that an existing TMD is no longer appropriate.</w:t>
      </w:r>
    </w:p>
    <w:p w14:paraId="77AA25EB" w14:textId="1708C5BF" w:rsidR="00A7306A" w:rsidRPr="00802C80" w:rsidRDefault="00E31C88" w:rsidP="00E31C88">
      <w:pPr>
        <w:pStyle w:val="ParaNumbering"/>
        <w:numPr>
          <w:ilvl w:val="0"/>
          <w:numId w:val="0"/>
        </w:numPr>
        <w:ind w:hanging="720"/>
      </w:pPr>
      <w:r w:rsidRPr="00802C80">
        <w:rPr>
          <w:iCs/>
          <w:sz w:val="20"/>
        </w:rPr>
        <w:t>9</w:t>
      </w:r>
      <w:r w:rsidRPr="00802C80">
        <w:rPr>
          <w:iCs/>
          <w:sz w:val="20"/>
        </w:rPr>
        <w:tab/>
      </w:r>
      <w:r w:rsidR="00F61DBB">
        <w:t>T</w:t>
      </w:r>
      <w:r w:rsidR="00B36A78" w:rsidRPr="00AD37C3">
        <w:t>he new DDO regime in the Act imposes a number of obligations on financial product issuers and distributors, namely to make a TMD (s 994B)</w:t>
      </w:r>
      <w:r w:rsidR="00F61DBB">
        <w:t xml:space="preserve">, </w:t>
      </w:r>
      <w:r w:rsidR="00B36A78" w:rsidRPr="00AD37C3">
        <w:t>to review the TMD and cease issuing the product</w:t>
      </w:r>
      <w:r w:rsidR="00EC72A0">
        <w:t xml:space="preserve"> </w:t>
      </w:r>
      <w:r w:rsidR="00B36A78" w:rsidRPr="00802C80">
        <w:t>where circumstances or events reasonably suggest the TMD is no longer appropriate (s 994C)</w:t>
      </w:r>
      <w:r w:rsidR="00EC72A0">
        <w:t>,</w:t>
      </w:r>
      <w:r w:rsidR="00B36A78" w:rsidRPr="00802C80">
        <w:t xml:space="preserve"> to take reasonable steps to ensure “retail product distribution conduct” is consistent with the</w:t>
      </w:r>
      <w:r w:rsidR="00B36A78" w:rsidRPr="00AD37C3">
        <w:t xml:space="preserve"> TMD (s 994E)</w:t>
      </w:r>
      <w:r w:rsidR="00EC72A0">
        <w:t xml:space="preserve">, </w:t>
      </w:r>
      <w:r w:rsidR="00B36A78" w:rsidRPr="00AD37C3">
        <w:t xml:space="preserve">and to keep records regarding the TMD (s 994F). </w:t>
      </w:r>
    </w:p>
    <w:p w14:paraId="146DC532" w14:textId="21CB84E3" w:rsidR="00BF061E" w:rsidRDefault="00F672A8" w:rsidP="00F672A8">
      <w:pPr>
        <w:pStyle w:val="Heading3"/>
        <w:rPr>
          <w:b w:val="0"/>
          <w:bCs/>
        </w:rPr>
      </w:pPr>
      <w:r>
        <w:rPr>
          <w:b w:val="0"/>
          <w:bCs/>
        </w:rPr>
        <w:t>Relevant provisions</w:t>
      </w:r>
    </w:p>
    <w:p w14:paraId="020C3595" w14:textId="6BB1975D" w:rsidR="00120E96" w:rsidRPr="00E43890" w:rsidRDefault="00E31C88" w:rsidP="00E31C88">
      <w:pPr>
        <w:pStyle w:val="ParaNumbering"/>
        <w:numPr>
          <w:ilvl w:val="0"/>
          <w:numId w:val="0"/>
        </w:numPr>
        <w:ind w:hanging="720"/>
      </w:pPr>
      <w:r w:rsidRPr="00E43890">
        <w:rPr>
          <w:iCs/>
          <w:sz w:val="20"/>
        </w:rPr>
        <w:t>10</w:t>
      </w:r>
      <w:r w:rsidRPr="00E43890">
        <w:rPr>
          <w:iCs/>
          <w:sz w:val="20"/>
        </w:rPr>
        <w:tab/>
      </w:r>
      <w:r w:rsidR="002D5D6E">
        <w:t>The references</w:t>
      </w:r>
      <w:r w:rsidR="00E74EC3">
        <w:t xml:space="preserve"> given in this section of the judgment are to the legislation as it existed during the Contravening Period.</w:t>
      </w:r>
      <w:r w:rsidR="001F75A2">
        <w:t xml:space="preserve"> </w:t>
      </w:r>
      <w:r w:rsidR="00120E96" w:rsidRPr="00335EF2">
        <w:t>Section 994B(1) provide</w:t>
      </w:r>
      <w:r w:rsidR="00B1420E">
        <w:t>d</w:t>
      </w:r>
      <w:r w:rsidR="00120E96" w:rsidRPr="00335EF2">
        <w:t xml:space="preserve"> that certain persons must make a TMD for a financial product. Pursuant to s 994B(2)(a), such a person </w:t>
      </w:r>
      <w:r w:rsidR="00B1420E">
        <w:t xml:space="preserve">had to </w:t>
      </w:r>
      <w:r w:rsidR="00120E96" w:rsidRPr="00335EF2">
        <w:t xml:space="preserve">make a TMD for a financial </w:t>
      </w:r>
      <w:r w:rsidR="00120E96" w:rsidRPr="00335EF2">
        <w:lastRenderedPageBreak/>
        <w:t xml:space="preserve">product before </w:t>
      </w:r>
      <w:r w:rsidR="00120E96" w:rsidRPr="00E43890">
        <w:t>any person engage</w:t>
      </w:r>
      <w:r w:rsidR="00B1420E">
        <w:t>d</w:t>
      </w:r>
      <w:r w:rsidR="00120E96" w:rsidRPr="00E43890">
        <w:t xml:space="preserve"> in “retail product distribution conduct” in relation to the product. </w:t>
      </w:r>
    </w:p>
    <w:p w14:paraId="29704396" w14:textId="7627B0AB" w:rsidR="00120E96" w:rsidRPr="00335EF2" w:rsidRDefault="00E31C88" w:rsidP="00E31C88">
      <w:pPr>
        <w:pStyle w:val="ParaNumbering"/>
        <w:numPr>
          <w:ilvl w:val="0"/>
          <w:numId w:val="0"/>
        </w:numPr>
        <w:ind w:hanging="720"/>
      </w:pPr>
      <w:r w:rsidRPr="00335EF2">
        <w:rPr>
          <w:iCs/>
          <w:sz w:val="20"/>
        </w:rPr>
        <w:t>11</w:t>
      </w:r>
      <w:r w:rsidRPr="00335EF2">
        <w:rPr>
          <w:iCs/>
          <w:sz w:val="20"/>
        </w:rPr>
        <w:tab/>
      </w:r>
      <w:r w:rsidR="00120E96" w:rsidRPr="00E43890">
        <w:t xml:space="preserve">The term “retail product distribution conduct” </w:t>
      </w:r>
      <w:r w:rsidR="001F75A2">
        <w:t>wa</w:t>
      </w:r>
      <w:r w:rsidR="00120E96" w:rsidRPr="00E43890">
        <w:t>s defined in s 994A(1) as including “dealing” in a financial product. Section 994B(1)(ba) relevantly provide</w:t>
      </w:r>
      <w:r w:rsidR="001F75A2">
        <w:t>d</w:t>
      </w:r>
      <w:r w:rsidR="00120E96" w:rsidRPr="00E43890">
        <w:t xml:space="preserve"> that (subject to sub</w:t>
      </w:r>
      <w:r w:rsidR="0012385B">
        <w:t>s</w:t>
      </w:r>
      <w:r w:rsidR="00D80FE2">
        <w:t xml:space="preserve"> (3),</w:t>
      </w:r>
      <w:r w:rsidR="00120E96" w:rsidRPr="00335EF2">
        <w:t xml:space="preserve"> which is not presently relevant), a person must make a target market determination for a financial product if the product is covered by s 994AA(1)(b) and the person issues the product to another person as a retail client. Section 994AA(1)(b) relevantly define</w:t>
      </w:r>
      <w:r w:rsidR="00D80FE2">
        <w:t>d</w:t>
      </w:r>
      <w:r w:rsidR="00120E96" w:rsidRPr="00335EF2">
        <w:t xml:space="preserve"> a “financial product” as including a financial product within the meaning of Division 2 of Part 2 of the </w:t>
      </w:r>
      <w:r w:rsidR="00120E96" w:rsidRPr="00335EF2">
        <w:rPr>
          <w:i/>
        </w:rPr>
        <w:t xml:space="preserve">Australian Securities and Investments Commission Act 2001 </w:t>
      </w:r>
      <w:r w:rsidR="00120E96" w:rsidRPr="00335EF2">
        <w:t>(Cth) (</w:t>
      </w:r>
      <w:r w:rsidR="00120E96" w:rsidRPr="00335EF2">
        <w:rPr>
          <w:b/>
        </w:rPr>
        <w:t>ASIC Act</w:t>
      </w:r>
      <w:r w:rsidR="00120E96" w:rsidRPr="00335EF2">
        <w:rPr>
          <w:bCs/>
        </w:rPr>
        <w:t>).</w:t>
      </w:r>
      <w:r w:rsidR="00120E96" w:rsidRPr="00335EF2">
        <w:rPr>
          <w:b/>
        </w:rPr>
        <w:t xml:space="preserve"> </w:t>
      </w:r>
      <w:r w:rsidR="00120E96" w:rsidRPr="00335EF2">
        <w:t>A credit card is a financial product within the meaning of s 12BAA</w:t>
      </w:r>
      <w:r w:rsidR="00120E96" w:rsidRPr="00AD37C3">
        <w:t>(7)(k)</w:t>
      </w:r>
      <w:r w:rsidR="00120E96" w:rsidRPr="00335EF2">
        <w:t xml:space="preserve"> of the ASIC Act (contained in Division 2 of Part 2 of the ASIC Act) and regs 2B(1)(a) and (3) of the </w:t>
      </w:r>
      <w:r w:rsidR="00120E96" w:rsidRPr="00335EF2">
        <w:rPr>
          <w:i/>
          <w:iCs/>
        </w:rPr>
        <w:t xml:space="preserve">Australian Securities and Investments </w:t>
      </w:r>
      <w:r w:rsidR="00120E96" w:rsidRPr="00D839BC">
        <w:rPr>
          <w:i/>
          <w:iCs/>
        </w:rPr>
        <w:t>Commission Regulations 2001</w:t>
      </w:r>
      <w:r w:rsidR="00120E96" w:rsidRPr="00335EF2">
        <w:t xml:space="preserve"> (Cth).</w:t>
      </w:r>
    </w:p>
    <w:p w14:paraId="52DD9CA6" w14:textId="7B72976A" w:rsidR="00120E96" w:rsidRPr="00E43890" w:rsidRDefault="00E31C88" w:rsidP="00E31C88">
      <w:pPr>
        <w:pStyle w:val="ParaNumbering"/>
        <w:numPr>
          <w:ilvl w:val="0"/>
          <w:numId w:val="0"/>
        </w:numPr>
        <w:ind w:hanging="720"/>
      </w:pPr>
      <w:r w:rsidRPr="00E43890">
        <w:rPr>
          <w:iCs/>
          <w:sz w:val="20"/>
        </w:rPr>
        <w:t>12</w:t>
      </w:r>
      <w:r w:rsidRPr="00E43890">
        <w:rPr>
          <w:iCs/>
          <w:sz w:val="20"/>
        </w:rPr>
        <w:tab/>
      </w:r>
      <w:r w:rsidR="00120E96" w:rsidRPr="00335EF2">
        <w:t xml:space="preserve">The effect of subss 994B(1) and (2) </w:t>
      </w:r>
      <w:r w:rsidR="00D839BC">
        <w:t>wa</w:t>
      </w:r>
      <w:r w:rsidR="00120E96" w:rsidRPr="00335EF2">
        <w:t>s therefore that an issuer of a credit card must make a TMD prior to offering the product for distribution to consumers. Section 994B(5) contain</w:t>
      </w:r>
      <w:r w:rsidR="00D839BC">
        <w:t>ed</w:t>
      </w:r>
      <w:r w:rsidR="00120E96" w:rsidRPr="00335EF2">
        <w:t xml:space="preserve"> the requirements for TMDs, including that they describe the class of retail client that comprises the target market for the product (</w:t>
      </w:r>
      <w:r w:rsidR="00D839BC">
        <w:t>para</w:t>
      </w:r>
      <w:r w:rsidR="00120E96" w:rsidRPr="00335EF2">
        <w:t xml:space="preserve"> (b))</w:t>
      </w:r>
      <w:r w:rsidR="002971BE">
        <w:t>,</w:t>
      </w:r>
      <w:r w:rsidR="00120E96" w:rsidRPr="00335EF2">
        <w:t xml:space="preserve"> specify any conditions and restrictions on retail product distribution conduct in relation to the product, known as the “distribution conditions” (</w:t>
      </w:r>
      <w:r w:rsidR="00410D76">
        <w:t>para</w:t>
      </w:r>
      <w:r w:rsidR="00120E96" w:rsidRPr="00335EF2">
        <w:t xml:space="preserve"> (c))</w:t>
      </w:r>
      <w:r w:rsidR="002971BE">
        <w:t>,</w:t>
      </w:r>
      <w:r w:rsidR="00120E96" w:rsidRPr="00335EF2">
        <w:t xml:space="preserve"> </w:t>
      </w:r>
      <w:r w:rsidR="00120E96" w:rsidRPr="00E43890">
        <w:t xml:space="preserve">and </w:t>
      </w:r>
      <w:r w:rsidR="00120E96">
        <w:t>“</w:t>
      </w:r>
      <w:r w:rsidR="00120E96" w:rsidRPr="00E43890">
        <w:t xml:space="preserve">specify events and circumstances </w:t>
      </w:r>
      <w:r w:rsidR="00120E96">
        <w:t>(</w:t>
      </w:r>
      <w:r w:rsidR="00410D76" w:rsidRPr="00410D76">
        <w:t>“</w:t>
      </w:r>
      <w:r w:rsidR="00120E96" w:rsidRPr="00410D76">
        <w:t>review triggers</w:t>
      </w:r>
      <w:r w:rsidR="00410D76" w:rsidRPr="00410D76">
        <w:t>”</w:t>
      </w:r>
      <w:r w:rsidR="00120E96">
        <w:t xml:space="preserve">) </w:t>
      </w:r>
      <w:r w:rsidR="00120E96" w:rsidRPr="00E43890">
        <w:t>that would reasonably suggest that the determination is no longer appropriate</w:t>
      </w:r>
      <w:r w:rsidR="00120E96">
        <w:t>”</w:t>
      </w:r>
      <w:r w:rsidR="00120E96" w:rsidRPr="00E43890">
        <w:t xml:space="preserve"> (</w:t>
      </w:r>
      <w:r w:rsidR="00410D76">
        <w:t>para</w:t>
      </w:r>
      <w:r w:rsidR="00120E96" w:rsidRPr="00E43890">
        <w:t xml:space="preserve"> (d)). </w:t>
      </w:r>
    </w:p>
    <w:p w14:paraId="1ACF5DE7" w14:textId="437505F6" w:rsidR="00120E96" w:rsidRPr="00E43890" w:rsidRDefault="00E31C88" w:rsidP="00E31C88">
      <w:pPr>
        <w:pStyle w:val="ParaNumbering"/>
        <w:numPr>
          <w:ilvl w:val="0"/>
          <w:numId w:val="0"/>
        </w:numPr>
        <w:ind w:hanging="720"/>
      </w:pPr>
      <w:r w:rsidRPr="00E43890">
        <w:rPr>
          <w:iCs/>
          <w:sz w:val="20"/>
        </w:rPr>
        <w:t>13</w:t>
      </w:r>
      <w:r w:rsidRPr="00E43890">
        <w:rPr>
          <w:iCs/>
          <w:sz w:val="20"/>
        </w:rPr>
        <w:tab/>
      </w:r>
      <w:r w:rsidR="00120E96" w:rsidRPr="00E43890">
        <w:t>Section 994C relate</w:t>
      </w:r>
      <w:r w:rsidR="00DD4E98">
        <w:t>d</w:t>
      </w:r>
      <w:r w:rsidR="00120E96" w:rsidRPr="00E43890">
        <w:t xml:space="preserve"> to the circumstances in which a TMD must be reviewed and the consequences of a failure to review a TMD. Relevantly for the purpose of this proceeding,</w:t>
      </w:r>
      <w:r w:rsidR="00056076">
        <w:t xml:space="preserve">     </w:t>
      </w:r>
      <w:r w:rsidR="00120E96" w:rsidRPr="00E43890">
        <w:t>subss 994C(4) and (5) provide</w:t>
      </w:r>
      <w:r w:rsidR="00DD4E98">
        <w:t>d</w:t>
      </w:r>
      <w:r w:rsidR="00120E96" w:rsidRPr="00E43890">
        <w:t>:</w:t>
      </w:r>
    </w:p>
    <w:p w14:paraId="20523957" w14:textId="77777777" w:rsidR="00120E96" w:rsidRPr="00E43890" w:rsidRDefault="00120E96" w:rsidP="00DD4E98">
      <w:pPr>
        <w:pStyle w:val="Quote1"/>
      </w:pPr>
      <w:r w:rsidRPr="00E43890">
        <w:t>(4) If:</w:t>
      </w:r>
    </w:p>
    <w:p w14:paraId="0D6E90F4" w14:textId="07095D4B" w:rsidR="00120E96" w:rsidRPr="00E43890" w:rsidRDefault="00120E96" w:rsidP="00942029">
      <w:pPr>
        <w:pStyle w:val="Quote2"/>
        <w:ind w:left="2160" w:hanging="720"/>
      </w:pPr>
      <w:r w:rsidRPr="00E43890">
        <w:t xml:space="preserve">(a) </w:t>
      </w:r>
      <w:r w:rsidR="00942029">
        <w:tab/>
      </w:r>
      <w:r w:rsidRPr="00E43890">
        <w:t>a person makes a target market determination for a financial product; and</w:t>
      </w:r>
    </w:p>
    <w:p w14:paraId="65BBAC04" w14:textId="0D4CB2E8" w:rsidR="00120E96" w:rsidRPr="00E43890" w:rsidRDefault="00120E96" w:rsidP="009F7779">
      <w:pPr>
        <w:pStyle w:val="Quote2"/>
        <w:ind w:left="2160" w:hanging="720"/>
      </w:pPr>
      <w:r w:rsidRPr="00E43890">
        <w:t xml:space="preserve">(b) </w:t>
      </w:r>
      <w:r w:rsidR="00942029">
        <w:tab/>
      </w:r>
      <w:r w:rsidRPr="00E43890">
        <w:t>the product is on offer for acquisition by issue, or for regulated sale, to retail clients at any time during a review period for the determination; and</w:t>
      </w:r>
    </w:p>
    <w:p w14:paraId="6BC30B50" w14:textId="47AE405E" w:rsidR="00120E96" w:rsidRPr="00E43890" w:rsidRDefault="00120E96" w:rsidP="00DD4E98">
      <w:pPr>
        <w:pStyle w:val="Quote2"/>
      </w:pPr>
      <w:r w:rsidRPr="00E43890">
        <w:t xml:space="preserve">(c) </w:t>
      </w:r>
      <w:r w:rsidR="009F7779">
        <w:tab/>
      </w:r>
      <w:r w:rsidRPr="00E43890">
        <w:t>the person knows, or ought reasonably to know, that:</w:t>
      </w:r>
    </w:p>
    <w:p w14:paraId="3495F18D" w14:textId="53244817" w:rsidR="00120E96" w:rsidRPr="00E43890" w:rsidRDefault="00120E96" w:rsidP="00DD4E98">
      <w:pPr>
        <w:pStyle w:val="Quote3"/>
      </w:pPr>
      <w:r w:rsidRPr="00E43890">
        <w:t xml:space="preserve">(i) </w:t>
      </w:r>
      <w:bookmarkStart w:id="24" w:name="_Hlk158199627"/>
      <w:r w:rsidR="009F7779">
        <w:tab/>
      </w:r>
      <w:r w:rsidRPr="00E43890">
        <w:t>a review trigger for the determination has occurred</w:t>
      </w:r>
      <w:bookmarkEnd w:id="24"/>
      <w:r w:rsidRPr="00E43890">
        <w:t>; or</w:t>
      </w:r>
    </w:p>
    <w:p w14:paraId="776080DE" w14:textId="31EE7D43" w:rsidR="00120E96" w:rsidRPr="00E43890" w:rsidRDefault="00120E96" w:rsidP="009F7779">
      <w:pPr>
        <w:pStyle w:val="Quote3"/>
        <w:ind w:left="2880" w:hanging="720"/>
      </w:pPr>
      <w:r w:rsidRPr="00E43890">
        <w:t xml:space="preserve">(ii) </w:t>
      </w:r>
      <w:bookmarkStart w:id="25" w:name="_Hlk158199641"/>
      <w:r w:rsidR="009F7779">
        <w:tab/>
      </w:r>
      <w:r w:rsidRPr="00E43890">
        <w:t>an event or circumstance has occurred that would reasonably suggest that the determination is no longer appropriate</w:t>
      </w:r>
      <w:bookmarkEnd w:id="25"/>
      <w:r w:rsidRPr="00E43890">
        <w:t>;</w:t>
      </w:r>
    </w:p>
    <w:p w14:paraId="4C3CABE6" w14:textId="77777777" w:rsidR="00120E96" w:rsidRPr="00E43890" w:rsidRDefault="00120E96" w:rsidP="00305CB2">
      <w:pPr>
        <w:pStyle w:val="Quote1"/>
        <w:ind w:left="1440"/>
      </w:pPr>
      <w:r w:rsidRPr="00E43890">
        <w:t xml:space="preserve">then, from as soon as practicable, but no later than 10 business days, after the person first knew of the occurrence of the review trigger, event or </w:t>
      </w:r>
      <w:r w:rsidRPr="00E43890">
        <w:lastRenderedPageBreak/>
        <w:t>circumstance, the person must not engage in retail product distribution conduct in relation to the product unless:</w:t>
      </w:r>
    </w:p>
    <w:p w14:paraId="69C95CFA" w14:textId="25484430" w:rsidR="008A46A7" w:rsidRDefault="00120E96" w:rsidP="009F7779">
      <w:pPr>
        <w:pStyle w:val="Quote2"/>
        <w:ind w:left="2160" w:hanging="720"/>
      </w:pPr>
      <w:r w:rsidRPr="00E43890">
        <w:t xml:space="preserve">(d) </w:t>
      </w:r>
      <w:r w:rsidR="009F7779">
        <w:tab/>
      </w:r>
      <w:r w:rsidRPr="00E43890">
        <w:t>the person has reviewed the determination and, if the determination is no longer appropriate, made a new target market determination in accordance with section 994B; or</w:t>
      </w:r>
    </w:p>
    <w:p w14:paraId="3DF41030" w14:textId="606CBEE6" w:rsidR="00120E96" w:rsidRPr="00E43890" w:rsidRDefault="00120E96" w:rsidP="008A46A7">
      <w:pPr>
        <w:pStyle w:val="Quote2"/>
      </w:pPr>
      <w:r w:rsidRPr="00E43890">
        <w:t xml:space="preserve">(e) </w:t>
      </w:r>
      <w:r w:rsidR="009F7779">
        <w:tab/>
      </w:r>
      <w:r w:rsidRPr="00E43890">
        <w:t>the retail product distribution conduct is excluded conduct.</w:t>
      </w:r>
    </w:p>
    <w:p w14:paraId="571DE41E" w14:textId="77777777" w:rsidR="00120E96" w:rsidRPr="00E43890" w:rsidRDefault="00120E96" w:rsidP="008A46A7">
      <w:pPr>
        <w:pStyle w:val="Quote1"/>
      </w:pPr>
      <w:r w:rsidRPr="00E43890">
        <w:t>(5) If:</w:t>
      </w:r>
    </w:p>
    <w:p w14:paraId="30C53535" w14:textId="46E4791D" w:rsidR="00120E96" w:rsidRPr="00E43890" w:rsidRDefault="00120E96" w:rsidP="009F7779">
      <w:pPr>
        <w:pStyle w:val="Quote2"/>
        <w:ind w:left="2160" w:hanging="720"/>
      </w:pPr>
      <w:r w:rsidRPr="00E43890">
        <w:t xml:space="preserve">(a) </w:t>
      </w:r>
      <w:r w:rsidR="009F7779">
        <w:tab/>
      </w:r>
      <w:r w:rsidRPr="00E43890">
        <w:t>a person makes a target market determination for a financial product; and</w:t>
      </w:r>
    </w:p>
    <w:p w14:paraId="1896F1B9" w14:textId="2D4DD3D2" w:rsidR="00120E96" w:rsidRPr="00E43890" w:rsidRDefault="00120E96" w:rsidP="009F7779">
      <w:pPr>
        <w:pStyle w:val="Quote2"/>
        <w:ind w:left="2160" w:hanging="720"/>
      </w:pPr>
      <w:r w:rsidRPr="00E43890">
        <w:t xml:space="preserve">(b) </w:t>
      </w:r>
      <w:r w:rsidR="009F7779">
        <w:tab/>
      </w:r>
      <w:r w:rsidRPr="00E43890">
        <w:t>the product is on offer for acquisition by issue, or for regulated sale, to retail clients at any time during a review period for the determination; and</w:t>
      </w:r>
    </w:p>
    <w:p w14:paraId="71C3F3E9" w14:textId="7E56A567" w:rsidR="00120E96" w:rsidRPr="00E43890" w:rsidRDefault="00120E96" w:rsidP="008A46A7">
      <w:pPr>
        <w:pStyle w:val="Quote2"/>
      </w:pPr>
      <w:r w:rsidRPr="00E43890">
        <w:t>(c)</w:t>
      </w:r>
      <w:r w:rsidR="009F7779">
        <w:tab/>
      </w:r>
      <w:r w:rsidRPr="00E43890">
        <w:t>the person knows that:</w:t>
      </w:r>
    </w:p>
    <w:p w14:paraId="05712A35" w14:textId="5D14669D" w:rsidR="00120E96" w:rsidRPr="00E43890" w:rsidRDefault="00120E96" w:rsidP="008A46A7">
      <w:pPr>
        <w:pStyle w:val="Quote3"/>
      </w:pPr>
      <w:r w:rsidRPr="00E43890">
        <w:t xml:space="preserve">(i) </w:t>
      </w:r>
      <w:r w:rsidR="009F7779">
        <w:tab/>
      </w:r>
      <w:r w:rsidRPr="00E43890">
        <w:t>a review trigger for the determination has occurred; or</w:t>
      </w:r>
    </w:p>
    <w:p w14:paraId="616CF0C5" w14:textId="72B17B29" w:rsidR="00120E96" w:rsidRPr="00E43890" w:rsidRDefault="00120E96" w:rsidP="009F7779">
      <w:pPr>
        <w:pStyle w:val="Quote3"/>
        <w:ind w:left="2880" w:hanging="720"/>
      </w:pPr>
      <w:r w:rsidRPr="00E43890">
        <w:t xml:space="preserve">(ii) </w:t>
      </w:r>
      <w:r w:rsidR="009F7779">
        <w:tab/>
      </w:r>
      <w:r w:rsidRPr="00E43890">
        <w:t>an event or circumstance has occurred that would reasonably suggest that the determination is no longer appropriate;</w:t>
      </w:r>
    </w:p>
    <w:p w14:paraId="2B5D9447" w14:textId="77777777" w:rsidR="00120E96" w:rsidRPr="00E43890" w:rsidRDefault="00120E96" w:rsidP="00702485">
      <w:pPr>
        <w:pStyle w:val="Quote1"/>
        <w:ind w:left="993"/>
      </w:pPr>
      <w:r w:rsidRPr="00E43890">
        <w:t>the person must, as soon as practicable, but no later than 10 business days, after the person first knew of the occurrence of the review trigger, event or circumstance, take all reasonable steps to ensure that regulated persons who engage in retail product distribution conduct in relation to the product (or are expected to do so) are informed that they must not engage in retail product distribution conduct in relation to the product unless:</w:t>
      </w:r>
    </w:p>
    <w:p w14:paraId="400E320C" w14:textId="72451CC0" w:rsidR="00120E96" w:rsidRPr="00E43890" w:rsidRDefault="00120E96" w:rsidP="00305CB2">
      <w:pPr>
        <w:pStyle w:val="Quote2"/>
        <w:ind w:left="2160" w:hanging="720"/>
      </w:pPr>
      <w:r w:rsidRPr="00E43890">
        <w:t xml:space="preserve">(d) </w:t>
      </w:r>
      <w:r w:rsidR="00305CB2">
        <w:tab/>
      </w:r>
      <w:r w:rsidRPr="00E43890">
        <w:t>the determination has been reviewed since the review trigger, event or circumstance occurred and, if a new target market determination is required, it has been made; or</w:t>
      </w:r>
    </w:p>
    <w:p w14:paraId="7BA2D06B" w14:textId="606CF480" w:rsidR="00120E96" w:rsidRPr="00E43890" w:rsidRDefault="00120E96" w:rsidP="00B132BB">
      <w:pPr>
        <w:pStyle w:val="Quote2"/>
      </w:pPr>
      <w:r w:rsidRPr="00E43890">
        <w:t xml:space="preserve">(e) </w:t>
      </w:r>
      <w:r w:rsidR="00305CB2">
        <w:tab/>
      </w:r>
      <w:r w:rsidRPr="00E43890">
        <w:t xml:space="preserve">the retail product distribution conduct is excluded conduct. </w:t>
      </w:r>
    </w:p>
    <w:p w14:paraId="3022A5D0" w14:textId="49259FEC" w:rsidR="00120E96" w:rsidRPr="006D3D8F" w:rsidRDefault="00E31C88" w:rsidP="00E31C88">
      <w:pPr>
        <w:pStyle w:val="ParaNumbering"/>
        <w:numPr>
          <w:ilvl w:val="0"/>
          <w:numId w:val="0"/>
        </w:numPr>
        <w:ind w:hanging="720"/>
      </w:pPr>
      <w:r w:rsidRPr="006D3D8F">
        <w:rPr>
          <w:iCs/>
          <w:sz w:val="20"/>
        </w:rPr>
        <w:t>14</w:t>
      </w:r>
      <w:r w:rsidRPr="006D3D8F">
        <w:rPr>
          <w:iCs/>
          <w:sz w:val="20"/>
        </w:rPr>
        <w:tab/>
      </w:r>
      <w:r w:rsidR="00120E96" w:rsidRPr="00AD37C3">
        <w:t>Contraventions of subss 994C(4) and (5) each relevantly attract civil penalties: s 1317E of the Act.</w:t>
      </w:r>
      <w:r w:rsidR="00FC6B0C">
        <w:t xml:space="preserve"> In addition, contravention of s 994C(5) is an offence: s 1311(1) and (1A) of</w:t>
      </w:r>
      <w:r w:rsidR="00237E58">
        <w:t xml:space="preserve"> the Act.</w:t>
      </w:r>
    </w:p>
    <w:p w14:paraId="3C3FE9AA" w14:textId="7B9974E0" w:rsidR="00120E96" w:rsidRPr="006D3D8F" w:rsidRDefault="00E31C88" w:rsidP="00E31C88">
      <w:pPr>
        <w:pStyle w:val="ParaNumbering"/>
        <w:numPr>
          <w:ilvl w:val="0"/>
          <w:numId w:val="0"/>
        </w:numPr>
        <w:ind w:hanging="720"/>
      </w:pPr>
      <w:r w:rsidRPr="006D3D8F">
        <w:rPr>
          <w:iCs/>
          <w:sz w:val="20"/>
        </w:rPr>
        <w:t>15</w:t>
      </w:r>
      <w:r w:rsidRPr="006D3D8F">
        <w:rPr>
          <w:iCs/>
          <w:sz w:val="20"/>
        </w:rPr>
        <w:tab/>
      </w:r>
      <w:r w:rsidR="00237E58">
        <w:t xml:space="preserve">In the present case, ASIC does not rely on subss </w:t>
      </w:r>
      <w:r w:rsidR="00145336">
        <w:t>994C(4)</w:t>
      </w:r>
      <w:r w:rsidR="00560497">
        <w:t>(c)(i)</w:t>
      </w:r>
      <w:r w:rsidR="00145336">
        <w:t xml:space="preserve"> or 994C(5)(c)(i), namely the occurrence of a review trigger for the TMD. </w:t>
      </w:r>
      <w:r w:rsidR="00120E96" w:rsidRPr="00AD37C3">
        <w:t>Subsections 994C(4)(c)(ii) and (5)(c)(ii) direct attention to whether the TMD is “no longer appropriate”. That is, the sub-sections refer to the scenario where a person knows (or, in su</w:t>
      </w:r>
      <w:r w:rsidR="00A95DAA">
        <w:t xml:space="preserve">b </w:t>
      </w:r>
      <w:r w:rsidR="00120E96" w:rsidRPr="00AD37C3">
        <w:t xml:space="preserve">s (4)(c)(ii), ought reasonably to know) that an event or circumstance has occurred that would reasonably suggest that </w:t>
      </w:r>
      <w:r w:rsidR="00120E96" w:rsidRPr="000408EB">
        <w:t>the TMD is no longer appropriate.</w:t>
      </w:r>
    </w:p>
    <w:p w14:paraId="7AF3F512" w14:textId="10B49A8B" w:rsidR="00120E96" w:rsidRPr="006D3D8F" w:rsidRDefault="00E31C88" w:rsidP="00E31C88">
      <w:pPr>
        <w:pStyle w:val="ParaNumbering"/>
        <w:numPr>
          <w:ilvl w:val="0"/>
          <w:numId w:val="0"/>
        </w:numPr>
        <w:ind w:hanging="720"/>
      </w:pPr>
      <w:r w:rsidRPr="006D3D8F">
        <w:rPr>
          <w:iCs/>
          <w:sz w:val="20"/>
        </w:rPr>
        <w:t>16</w:t>
      </w:r>
      <w:r w:rsidRPr="006D3D8F">
        <w:rPr>
          <w:iCs/>
          <w:sz w:val="20"/>
        </w:rPr>
        <w:tab/>
      </w:r>
      <w:r w:rsidR="00120E96" w:rsidRPr="00AD37C3">
        <w:t xml:space="preserve">“Appropriate” </w:t>
      </w:r>
      <w:r w:rsidR="008E447E">
        <w:t>was</w:t>
      </w:r>
      <w:r w:rsidR="00120E96" w:rsidRPr="00AD37C3">
        <w:t xml:space="preserve"> defined in s 994A(1)</w:t>
      </w:r>
      <w:r w:rsidR="00A95DAA">
        <w:t xml:space="preserve"> as meaning that </w:t>
      </w:r>
      <w:r w:rsidR="00120E96" w:rsidRPr="00AD37C3">
        <w:t>“</w:t>
      </w:r>
      <w:r w:rsidR="00120E96" w:rsidRPr="006D3D8F">
        <w:t xml:space="preserve">a target market determination for a financial product is </w:t>
      </w:r>
      <w:r w:rsidR="00120E96" w:rsidRPr="00560497">
        <w:t>appropriate</w:t>
      </w:r>
      <w:r w:rsidR="00120E96" w:rsidRPr="006D3D8F">
        <w:t xml:space="preserve"> if it satisfies the requirements of subsection 994B(8)”. S</w:t>
      </w:r>
      <w:r w:rsidR="002502C7">
        <w:t>ubs</w:t>
      </w:r>
      <w:r w:rsidR="00120E96" w:rsidRPr="006D3D8F">
        <w:t>ection 994B(8) provides:</w:t>
      </w:r>
    </w:p>
    <w:p w14:paraId="7C0DBD54" w14:textId="4EECAAFD" w:rsidR="00120E96" w:rsidRPr="006D3D8F" w:rsidRDefault="00120E96" w:rsidP="00305CB2">
      <w:pPr>
        <w:pStyle w:val="Quote1"/>
        <w:ind w:left="1440" w:hanging="703"/>
      </w:pPr>
      <w:r w:rsidRPr="006D3D8F">
        <w:lastRenderedPageBreak/>
        <w:t>(8) </w:t>
      </w:r>
      <w:r w:rsidR="00305CB2">
        <w:tab/>
      </w:r>
      <w:r w:rsidRPr="006D3D8F">
        <w:t>A target market determination for a financial product must be such that it would be reasonable to conclude that, if the product were to be issued, or sold in a regulated sale:</w:t>
      </w:r>
    </w:p>
    <w:p w14:paraId="36254138" w14:textId="4394FC22" w:rsidR="00120E96" w:rsidRPr="006D3D8F" w:rsidRDefault="00120E96" w:rsidP="00701FEB">
      <w:pPr>
        <w:pStyle w:val="Quote2"/>
        <w:ind w:left="2160" w:hanging="720"/>
      </w:pPr>
      <w:r w:rsidRPr="006D3D8F">
        <w:t>(a) </w:t>
      </w:r>
      <w:r w:rsidR="00701FEB">
        <w:tab/>
      </w:r>
      <w:r w:rsidRPr="006D3D8F">
        <w:t>to a retail client in accordance with the distribution conditions—it would be likely that the retail client is in the target market; and</w:t>
      </w:r>
    </w:p>
    <w:p w14:paraId="4E43C501" w14:textId="45998D67" w:rsidR="00120E96" w:rsidRPr="006D3D8F" w:rsidRDefault="00120E96" w:rsidP="00701FEB">
      <w:pPr>
        <w:pStyle w:val="Quote2"/>
        <w:ind w:left="2160" w:hanging="720"/>
      </w:pPr>
      <w:r w:rsidRPr="006D3D8F">
        <w:t>(b) </w:t>
      </w:r>
      <w:r w:rsidR="00701FEB">
        <w:tab/>
      </w:r>
      <w:r w:rsidRPr="006D3D8F">
        <w:t>to a retail client in the target market—it would likely be consistent with the likely objectives, financial situation and needs of the retail client.</w:t>
      </w:r>
    </w:p>
    <w:p w14:paraId="4509A2A1" w14:textId="5C099246" w:rsidR="00120E96" w:rsidRDefault="008A1578" w:rsidP="00120E96">
      <w:pPr>
        <w:pStyle w:val="Heading3"/>
        <w:rPr>
          <w:bCs/>
          <w:i w:val="0"/>
          <w:iCs/>
        </w:rPr>
      </w:pPr>
      <w:r>
        <w:rPr>
          <w:bCs/>
          <w:i w:val="0"/>
          <w:iCs/>
        </w:rPr>
        <w:t>Salient Agreed Facts</w:t>
      </w:r>
    </w:p>
    <w:p w14:paraId="2D1116FF" w14:textId="2CE59B5C" w:rsidR="008A1578" w:rsidRDefault="008A1578" w:rsidP="008A1578">
      <w:pPr>
        <w:pStyle w:val="Heading3"/>
        <w:rPr>
          <w:b w:val="0"/>
          <w:bCs/>
        </w:rPr>
      </w:pPr>
      <w:r>
        <w:rPr>
          <w:b w:val="0"/>
          <w:bCs/>
        </w:rPr>
        <w:t>Background to the DJs Cards</w:t>
      </w:r>
    </w:p>
    <w:p w14:paraId="1DB0E198" w14:textId="72F08894" w:rsidR="00120E96" w:rsidRPr="00CB7984" w:rsidRDefault="00E31C88" w:rsidP="00E31C88">
      <w:pPr>
        <w:pStyle w:val="ParaNumbering"/>
        <w:numPr>
          <w:ilvl w:val="0"/>
          <w:numId w:val="0"/>
        </w:numPr>
        <w:ind w:hanging="720"/>
      </w:pPr>
      <w:r w:rsidRPr="00CB7984">
        <w:rPr>
          <w:iCs/>
          <w:sz w:val="20"/>
        </w:rPr>
        <w:t>17</w:t>
      </w:r>
      <w:r w:rsidRPr="00CB7984">
        <w:rPr>
          <w:iCs/>
          <w:sz w:val="20"/>
        </w:rPr>
        <w:tab/>
      </w:r>
      <w:r w:rsidR="00120E96" w:rsidRPr="00CB7984">
        <w:t>On 19 February 2008, American Express and David Jones, together with David Jones Financial Services Ltd, entered into an agreement pursuant to which the DJs Cards</w:t>
      </w:r>
      <w:r w:rsidR="00120E96" w:rsidRPr="00CB7984">
        <w:rPr>
          <w:b/>
          <w:bCs/>
        </w:rPr>
        <w:t xml:space="preserve"> </w:t>
      </w:r>
      <w:r w:rsidR="00120E96" w:rsidRPr="00CB7984">
        <w:t>were made available to retail consumers</w:t>
      </w:r>
      <w:r w:rsidR="00246897">
        <w:t>: SAFA [9]–[10].</w:t>
      </w:r>
      <w:r w:rsidR="00120E96" w:rsidRPr="00CB7984">
        <w:t xml:space="preserve"> </w:t>
      </w:r>
      <w:r w:rsidR="00120E96" w:rsidRPr="00AD37C3">
        <w:t xml:space="preserve">The DJs Amex Card was offered to customers between </w:t>
      </w:r>
      <w:r w:rsidR="00120E96" w:rsidRPr="00CB7984" w:rsidDel="0073343F">
        <w:t xml:space="preserve">August 2008 </w:t>
      </w:r>
      <w:r w:rsidR="00687280">
        <w:t xml:space="preserve">and </w:t>
      </w:r>
      <w:r w:rsidR="00120E96" w:rsidRPr="00CB7984">
        <w:t>5</w:t>
      </w:r>
      <w:r w:rsidR="00120E96" w:rsidRPr="00CB7984" w:rsidDel="0073343F">
        <w:t xml:space="preserve"> July 2022</w:t>
      </w:r>
      <w:r w:rsidR="00120E96" w:rsidRPr="00CB7984">
        <w:t xml:space="preserve">, and the DJs Amex Platinum Card was offered to customers between September 2012 </w:t>
      </w:r>
      <w:r w:rsidR="00687280">
        <w:t>and</w:t>
      </w:r>
      <w:r w:rsidR="00120E96" w:rsidRPr="00CB7984">
        <w:t xml:space="preserve"> 5 July 2022</w:t>
      </w:r>
      <w:r w:rsidR="000F7BB3">
        <w:t>: SAFA [12], [14].</w:t>
      </w:r>
      <w:r w:rsidR="00120E96" w:rsidRPr="00CB7984">
        <w:t xml:space="preserve"> </w:t>
      </w:r>
    </w:p>
    <w:p w14:paraId="25CB354C" w14:textId="33984089" w:rsidR="00120E96" w:rsidRPr="00CB7984" w:rsidRDefault="00E31C88" w:rsidP="00E31C88">
      <w:pPr>
        <w:pStyle w:val="ParaNumbering"/>
        <w:numPr>
          <w:ilvl w:val="0"/>
          <w:numId w:val="0"/>
        </w:numPr>
        <w:ind w:hanging="720"/>
      </w:pPr>
      <w:r w:rsidRPr="00CB7984">
        <w:rPr>
          <w:iCs/>
          <w:sz w:val="20"/>
        </w:rPr>
        <w:t>18</w:t>
      </w:r>
      <w:r w:rsidRPr="00CB7984">
        <w:rPr>
          <w:iCs/>
          <w:sz w:val="20"/>
        </w:rPr>
        <w:tab/>
      </w:r>
      <w:r w:rsidR="00120E96" w:rsidRPr="00CB7984">
        <w:t>Customers were able to apply for the DJs Cards in one of two ways: either via an in-store application process (comprising direct-to-consumer sales in David Jones’ stores by David Jones staff and concession staff) or online</w:t>
      </w:r>
      <w:r w:rsidR="000F7BB3">
        <w:t>: SAFA [16].</w:t>
      </w:r>
      <w:r w:rsidR="00120E96" w:rsidRPr="00CB7984">
        <w:t xml:space="preserve"> The primary distribution channel for the DJs Cards was in</w:t>
      </w:r>
      <w:r w:rsidR="00D06EB8">
        <w:t>-</w:t>
      </w:r>
      <w:r w:rsidR="00120E96" w:rsidRPr="00CB7984">
        <w:t>store, which accounted for approximately 80 to 90 percent of all DJs Cards issued</w:t>
      </w:r>
      <w:r w:rsidR="000F7BB3">
        <w:t>: SAFA [16]–[17]</w:t>
      </w:r>
      <w:r w:rsidR="00C2253A">
        <w:t>.</w:t>
      </w:r>
      <w:r w:rsidR="00120E96" w:rsidRPr="00CB7984">
        <w:t xml:space="preserve"> At all relevant times, the in-store application process was completed by the customer filling out a digital tablet-based application (other than on infrequent occasions when the tablet was unavailable, in which case a paper application form was available)</w:t>
      </w:r>
      <w:r w:rsidR="00C2253A">
        <w:t>: SAFA [11].</w:t>
      </w:r>
    </w:p>
    <w:p w14:paraId="7FC87D79" w14:textId="65A6304F" w:rsidR="00120E96" w:rsidRPr="00CB7984" w:rsidRDefault="00E31C88" w:rsidP="00E31C88">
      <w:pPr>
        <w:pStyle w:val="ParaNumbering"/>
        <w:numPr>
          <w:ilvl w:val="0"/>
          <w:numId w:val="0"/>
        </w:numPr>
        <w:ind w:hanging="720"/>
      </w:pPr>
      <w:r w:rsidRPr="00CB7984">
        <w:rPr>
          <w:iCs/>
          <w:sz w:val="20"/>
        </w:rPr>
        <w:t>19</w:t>
      </w:r>
      <w:r w:rsidRPr="00CB7984">
        <w:rPr>
          <w:iCs/>
          <w:sz w:val="20"/>
        </w:rPr>
        <w:tab/>
      </w:r>
      <w:r w:rsidR="00120E96" w:rsidRPr="00CB7984">
        <w:t>Consumers who completed the application process in-store could</w:t>
      </w:r>
      <w:r w:rsidR="00F77DB8">
        <w:t xml:space="preserve"> (SAFA [20]):</w:t>
      </w:r>
    </w:p>
    <w:p w14:paraId="49827521" w14:textId="4BADCD34" w:rsidR="00120E96" w:rsidRPr="00CB7984" w:rsidRDefault="00E31C88" w:rsidP="00E31C88">
      <w:pPr>
        <w:pStyle w:val="ListNo1alt"/>
        <w:numPr>
          <w:ilvl w:val="0"/>
          <w:numId w:val="0"/>
        </w:numPr>
        <w:tabs>
          <w:tab w:val="left" w:pos="720"/>
        </w:tabs>
        <w:ind w:left="720" w:hanging="720"/>
      </w:pPr>
      <w:r w:rsidRPr="00CB7984">
        <w:t>(a)</w:t>
      </w:r>
      <w:r w:rsidRPr="00CB7984">
        <w:tab/>
      </w:r>
      <w:r w:rsidR="00120E96" w:rsidRPr="00CB7984">
        <w:t>be approved “instantly” for use of a DJs Card,</w:t>
      </w:r>
      <w:r w:rsidR="00120E96" w:rsidRPr="00AD37C3">
        <w:t xml:space="preserve"> which occurred when the customer provided sufficient personal and financial information to be verified in accordance with applicable laws</w:t>
      </w:r>
      <w:r w:rsidR="00120E96" w:rsidRPr="00CB7984">
        <w:t>;</w:t>
      </w:r>
    </w:p>
    <w:p w14:paraId="2CD45BAA" w14:textId="6E303D55" w:rsidR="00120E96" w:rsidRPr="00CB7984" w:rsidRDefault="00E31C88" w:rsidP="00E31C88">
      <w:pPr>
        <w:pStyle w:val="ListNo1alt"/>
        <w:numPr>
          <w:ilvl w:val="0"/>
          <w:numId w:val="0"/>
        </w:numPr>
        <w:tabs>
          <w:tab w:val="left" w:pos="720"/>
        </w:tabs>
        <w:ind w:left="720" w:hanging="720"/>
      </w:pPr>
      <w:r w:rsidRPr="00CB7984">
        <w:t>(b)</w:t>
      </w:r>
      <w:r w:rsidRPr="00CB7984">
        <w:tab/>
      </w:r>
      <w:r w:rsidR="00120E96" w:rsidRPr="00AD37C3">
        <w:t>be “conditionally” approved for use of a DJs Card, which occurred when the customer was required to provide further information in relation to their application at a later time</w:t>
      </w:r>
      <w:r w:rsidR="00120E96" w:rsidRPr="00CB7984">
        <w:t>; or</w:t>
      </w:r>
    </w:p>
    <w:p w14:paraId="69CD5914" w14:textId="78AF0A6F" w:rsidR="00120E96" w:rsidRPr="00CB7984" w:rsidRDefault="00E31C88" w:rsidP="00E31C88">
      <w:pPr>
        <w:pStyle w:val="ListNo1alt"/>
        <w:numPr>
          <w:ilvl w:val="0"/>
          <w:numId w:val="0"/>
        </w:numPr>
        <w:tabs>
          <w:tab w:val="left" w:pos="720"/>
        </w:tabs>
        <w:ind w:left="720" w:hanging="720"/>
      </w:pPr>
      <w:r w:rsidRPr="00CB7984">
        <w:t>(c)</w:t>
      </w:r>
      <w:r w:rsidRPr="00CB7984">
        <w:tab/>
      </w:r>
      <w:r w:rsidR="00120E96" w:rsidRPr="00CB7984">
        <w:t xml:space="preserve">have their application declined, which occurred when, for example, the consumer failed the </w:t>
      </w:r>
      <w:r w:rsidR="00120E96" w:rsidRPr="00AD37C3">
        <w:rPr>
          <w:rFonts w:eastAsia="Arial"/>
          <w:color w:val="000000"/>
        </w:rPr>
        <w:t>responsible lending checks</w:t>
      </w:r>
      <w:r w:rsidR="00120E96" w:rsidRPr="00CB7984">
        <w:t>.</w:t>
      </w:r>
    </w:p>
    <w:p w14:paraId="05DF49AF" w14:textId="7472F1B1" w:rsidR="00120E96" w:rsidRPr="00CB7984" w:rsidRDefault="00E31C88" w:rsidP="00E31C88">
      <w:pPr>
        <w:pStyle w:val="ParaNumbering"/>
        <w:numPr>
          <w:ilvl w:val="0"/>
          <w:numId w:val="0"/>
        </w:numPr>
        <w:ind w:hanging="720"/>
      </w:pPr>
      <w:r w:rsidRPr="00CB7984">
        <w:rPr>
          <w:iCs/>
          <w:sz w:val="20"/>
        </w:rPr>
        <w:lastRenderedPageBreak/>
        <w:t>20</w:t>
      </w:r>
      <w:r w:rsidRPr="00CB7984">
        <w:rPr>
          <w:iCs/>
          <w:sz w:val="20"/>
        </w:rPr>
        <w:tab/>
      </w:r>
      <w:r w:rsidR="00120E96" w:rsidRPr="00CB7984">
        <w:t xml:space="preserve">Where a consumer was conditionally approved for a DJs Card, the application would </w:t>
      </w:r>
      <w:r w:rsidR="00120E96">
        <w:t xml:space="preserve">subsequently </w:t>
      </w:r>
      <w:r w:rsidR="00120E96" w:rsidRPr="00CB7984">
        <w:t>be reviewed by American Express to follow up with the customer and seek additional information required for the purpose of assessing the application</w:t>
      </w:r>
      <w:r w:rsidR="00120E96">
        <w:t>, with customers providing such information at a later time</w:t>
      </w:r>
      <w:r w:rsidR="00770B5B">
        <w:t>: SAFA [20(b)] and [22].</w:t>
      </w:r>
      <w:r w:rsidR="00120E96" w:rsidRPr="00CB7984">
        <w:t xml:space="preserve"> If the consumer subsequently provided the required information that satisfied the applicable laws, their application could be fully approved</w:t>
      </w:r>
      <w:r w:rsidR="00402905">
        <w:t>: SAFA [22(c)].</w:t>
      </w:r>
      <w:r w:rsidR="00120E96" w:rsidRPr="00CB7984">
        <w:t xml:space="preserve"> However, if the customer did not provide the required information, their application would lapse after 45 days and be automatically cancelled</w:t>
      </w:r>
      <w:r w:rsidR="00402905">
        <w:t xml:space="preserve">: </w:t>
      </w:r>
      <w:r w:rsidR="008767E2">
        <w:t xml:space="preserve">SAFA </w:t>
      </w:r>
      <w:r w:rsidR="000748C3">
        <w:t>[22(d)].</w:t>
      </w:r>
      <w:r w:rsidR="00120E96" w:rsidRPr="00CB7984">
        <w:t xml:space="preserve"> </w:t>
      </w:r>
      <w:r w:rsidR="00120E96" w:rsidRPr="00AD37C3">
        <w:t>A customer whose application had been conditionally approved could also request that the application be cancelled</w:t>
      </w:r>
      <w:r w:rsidR="000748C3">
        <w:t>: SAFA [22(e)].</w:t>
      </w:r>
      <w:r w:rsidR="00120E96" w:rsidRPr="00AD37C3">
        <w:t xml:space="preserve"> In the interim, the </w:t>
      </w:r>
      <w:r w:rsidR="00120E96" w:rsidRPr="00CB7984">
        <w:t>customer</w:t>
      </w:r>
      <w:r w:rsidR="00120E96" w:rsidRPr="00AD37C3">
        <w:t xml:space="preserve"> was provided with a fixed line of credit to spend in store at David Jones on the day of conditional approval</w:t>
      </w:r>
      <w:r w:rsidR="000748C3">
        <w:t>: SAFA [2</w:t>
      </w:r>
      <w:r w:rsidR="00FB6036">
        <w:t>3</w:t>
      </w:r>
      <w:r w:rsidR="000748C3">
        <w:t>].</w:t>
      </w:r>
    </w:p>
    <w:p w14:paraId="621A63E3" w14:textId="03D09864" w:rsidR="00120E96" w:rsidRPr="00DC2E58" w:rsidRDefault="00E31C88" w:rsidP="00E31C88">
      <w:pPr>
        <w:pStyle w:val="ParaNumbering"/>
        <w:numPr>
          <w:ilvl w:val="0"/>
          <w:numId w:val="0"/>
        </w:numPr>
        <w:ind w:hanging="720"/>
      </w:pPr>
      <w:r w:rsidRPr="00DC2E58">
        <w:rPr>
          <w:iCs/>
          <w:sz w:val="20"/>
        </w:rPr>
        <w:t>21</w:t>
      </w:r>
      <w:r w:rsidRPr="00DC2E58">
        <w:rPr>
          <w:iCs/>
          <w:sz w:val="20"/>
        </w:rPr>
        <w:tab/>
      </w:r>
      <w:r w:rsidR="00120E96" w:rsidRPr="00E34946">
        <w:t>American Express and David Jones tracked the number of applications received for DJs Cards and the number of DJ</w:t>
      </w:r>
      <w:r w:rsidR="00F23424">
        <w:t>s</w:t>
      </w:r>
      <w:r w:rsidR="00120E96" w:rsidRPr="00E34946">
        <w:t xml:space="preserve"> Cards approved, issued and activated</w:t>
      </w:r>
      <w:r w:rsidR="009C4C52">
        <w:t>: SAFA [25].</w:t>
      </w:r>
      <w:r w:rsidR="00120E96">
        <w:t xml:space="preserve"> </w:t>
      </w:r>
      <w:r w:rsidR="00120E96" w:rsidRPr="00BB76DC">
        <w:t>Further, David Jones allocated each David Jones store a target in respect of the applications and activations</w:t>
      </w:r>
      <w:r w:rsidR="00120E96">
        <w:t>, of which American Express was aware</w:t>
      </w:r>
      <w:r w:rsidR="00B9708D">
        <w:t>: SAFA [24].</w:t>
      </w:r>
    </w:p>
    <w:p w14:paraId="2976E6D7" w14:textId="70082717" w:rsidR="00120E96" w:rsidRPr="00DC2E58" w:rsidRDefault="00E31C88" w:rsidP="00E31C88">
      <w:pPr>
        <w:pStyle w:val="ParaNumbering"/>
        <w:numPr>
          <w:ilvl w:val="0"/>
          <w:numId w:val="0"/>
        </w:numPr>
        <w:ind w:hanging="720"/>
      </w:pPr>
      <w:r w:rsidRPr="00DC2E58">
        <w:rPr>
          <w:iCs/>
          <w:sz w:val="20"/>
        </w:rPr>
        <w:t>22</w:t>
      </w:r>
      <w:r w:rsidRPr="00DC2E58">
        <w:rPr>
          <w:iCs/>
          <w:sz w:val="20"/>
        </w:rPr>
        <w:tab/>
      </w:r>
      <w:r w:rsidR="00120E96" w:rsidRPr="00DC2E58">
        <w:t>In order to manage the American Express/David Jones relationship and the DJs Cards, American Express</w:t>
      </w:r>
      <w:r w:rsidR="00120E96">
        <w:t xml:space="preserve"> and David Jones</w:t>
      </w:r>
      <w:r w:rsidR="00120E96" w:rsidRPr="00DC2E58">
        <w:t xml:space="preserve"> had a</w:t>
      </w:r>
      <w:r w:rsidR="00120E96" w:rsidRPr="00E9740B" w:rsidDel="00E9740B">
        <w:t xml:space="preserve"> </w:t>
      </w:r>
      <w:r w:rsidR="00120E96" w:rsidRPr="00DC2E58">
        <w:t>“David Jones Alliance” team made up of individuals responsible for acquisition, product and engagement, and capability and operations</w:t>
      </w:r>
      <w:r w:rsidR="007627E8">
        <w:t>: SAFA [40]–[41].</w:t>
      </w:r>
      <w:r w:rsidR="00120E96" w:rsidRPr="00DC2E58">
        <w:t xml:space="preserve"> </w:t>
      </w:r>
      <w:r w:rsidR="00120E96" w:rsidRPr="00106FCA">
        <w:t xml:space="preserve">American Express </w:t>
      </w:r>
      <w:r w:rsidR="00120E96" w:rsidRPr="00AD37C3">
        <w:t xml:space="preserve">staff </w:t>
      </w:r>
      <w:r w:rsidR="00120E96">
        <w:t xml:space="preserve">who were </w:t>
      </w:r>
      <w:r w:rsidR="00120E96" w:rsidRPr="00AD37C3">
        <w:t xml:space="preserve">primarily responsible for acquisition, which included the Director of the Alliance and the </w:t>
      </w:r>
      <w:r w:rsidR="00120E96" w:rsidRPr="00106FCA">
        <w:t>Acquisition Manager</w:t>
      </w:r>
      <w:r w:rsidR="00120E96" w:rsidRPr="00AD37C3">
        <w:t>, were focused on customer acquisition of new Cards and working with David Jones to develop the strategy and the campaigns to drive acquisition of the Cards</w:t>
      </w:r>
      <w:r w:rsidR="007627E8">
        <w:t>: SAFA [42].</w:t>
      </w:r>
      <w:r w:rsidR="00120E96" w:rsidRPr="00AD37C3">
        <w:t xml:space="preserve"> These staff were also responsible for marketing and developing acquisition incentive offers, monitoring cancell</w:t>
      </w:r>
      <w:r w:rsidR="00120E96">
        <w:t>ed</w:t>
      </w:r>
      <w:r w:rsidR="00120E96" w:rsidRPr="00AD37C3">
        <w:t xml:space="preserve"> </w:t>
      </w:r>
      <w:r w:rsidR="00120E96">
        <w:t xml:space="preserve">application </w:t>
      </w:r>
      <w:r w:rsidR="00120E96" w:rsidRPr="00AD37C3">
        <w:t>rates and coming up with strategies to reduce those rates</w:t>
      </w:r>
      <w:r w:rsidR="007627E8">
        <w:t>:</w:t>
      </w:r>
      <w:r w:rsidR="001D3AD0">
        <w:t xml:space="preserve"> SAFA [40]–[42]. </w:t>
      </w:r>
    </w:p>
    <w:p w14:paraId="518284BF" w14:textId="3DE0B18C" w:rsidR="00120E96" w:rsidRPr="00760867" w:rsidRDefault="00E31C88" w:rsidP="00E31C88">
      <w:pPr>
        <w:pStyle w:val="ParaNumbering"/>
        <w:numPr>
          <w:ilvl w:val="0"/>
          <w:numId w:val="0"/>
        </w:numPr>
        <w:ind w:hanging="720"/>
      </w:pPr>
      <w:r w:rsidRPr="00760867">
        <w:rPr>
          <w:iCs/>
          <w:sz w:val="20"/>
        </w:rPr>
        <w:t>23</w:t>
      </w:r>
      <w:r w:rsidRPr="00760867">
        <w:rPr>
          <w:iCs/>
          <w:sz w:val="20"/>
        </w:rPr>
        <w:tab/>
      </w:r>
      <w:r w:rsidR="00120E96" w:rsidRPr="00760867">
        <w:t xml:space="preserve">During the Relevant Period, American Express had assigned a “Product Manager” for the DJs Cards, who was in the David Jones Alliance and was </w:t>
      </w:r>
      <w:r w:rsidR="00120E96" w:rsidRPr="00760867">
        <w:rPr>
          <w:rFonts w:cs="Arial"/>
        </w:rPr>
        <w:t>responsible for managing the product portfolio (which included making decisions about the product design and any benefits provided by the DJs Cards); managing the performance of the DJs Cards, including the economic performance and customer satisfaction; and addressing customer retention and cancellation of the DJs Cards</w:t>
      </w:r>
      <w:r w:rsidR="00120E96" w:rsidRPr="00760867">
        <w:t>. The Product Manager was separate from, and reported to, the Director of the David Jones Alliance</w:t>
      </w:r>
      <w:r w:rsidR="001220C0">
        <w:t>: SAFA [43].</w:t>
      </w:r>
      <w:r w:rsidR="00120E96" w:rsidRPr="00760867">
        <w:t xml:space="preserve"> </w:t>
      </w:r>
      <w:r w:rsidR="00120E96" w:rsidRPr="00760867">
        <w:rPr>
          <w:rFonts w:eastAsia="Arial" w:cs="Arial"/>
          <w:color w:val="000000" w:themeColor="text1"/>
        </w:rPr>
        <w:t>The Product Manager was primarily concerned with the product design and engagement</w:t>
      </w:r>
      <w:r w:rsidR="001220C0">
        <w:rPr>
          <w:rFonts w:eastAsia="Arial" w:cs="Arial"/>
          <w:color w:val="000000" w:themeColor="text1"/>
        </w:rPr>
        <w:t>: SAFA [43]–[45].</w:t>
      </w:r>
    </w:p>
    <w:p w14:paraId="172B6789" w14:textId="7E69A855" w:rsidR="00120E96" w:rsidRPr="001C4D51" w:rsidRDefault="00120E96" w:rsidP="001C4D51">
      <w:pPr>
        <w:pStyle w:val="Heading3"/>
        <w:rPr>
          <w:b w:val="0"/>
          <w:bCs/>
        </w:rPr>
      </w:pPr>
      <w:r w:rsidRPr="001C4D51">
        <w:rPr>
          <w:b w:val="0"/>
          <w:bCs/>
        </w:rPr>
        <w:lastRenderedPageBreak/>
        <w:t>The TMDs for the</w:t>
      </w:r>
      <w:r w:rsidR="001C4D51">
        <w:rPr>
          <w:b w:val="0"/>
          <w:bCs/>
        </w:rPr>
        <w:t xml:space="preserve"> DJs</w:t>
      </w:r>
      <w:r w:rsidRPr="001C4D51">
        <w:rPr>
          <w:b w:val="0"/>
          <w:bCs/>
        </w:rPr>
        <w:t xml:space="preserve"> Cards </w:t>
      </w:r>
    </w:p>
    <w:p w14:paraId="79EFB1B8" w14:textId="7D214F48" w:rsidR="00120E96" w:rsidRPr="00890281" w:rsidRDefault="00E31C88" w:rsidP="00E31C88">
      <w:pPr>
        <w:pStyle w:val="ParaNumbering"/>
        <w:numPr>
          <w:ilvl w:val="0"/>
          <w:numId w:val="0"/>
        </w:numPr>
        <w:ind w:hanging="720"/>
      </w:pPr>
      <w:bookmarkStart w:id="26" w:name="_Ref156294909"/>
      <w:bookmarkStart w:id="27" w:name="_Ref161672215"/>
      <w:r w:rsidRPr="00890281">
        <w:rPr>
          <w:iCs/>
          <w:sz w:val="20"/>
        </w:rPr>
        <w:t>24</w:t>
      </w:r>
      <w:r w:rsidRPr="00890281">
        <w:rPr>
          <w:iCs/>
          <w:sz w:val="20"/>
        </w:rPr>
        <w:tab/>
      </w:r>
      <w:r w:rsidR="00120E96" w:rsidRPr="0025278B">
        <w:t>In the period between June 2021 to September 2021, American Express undertook a Design and Distribution Project (</w:t>
      </w:r>
      <w:r w:rsidR="00120E96" w:rsidRPr="00E25D30">
        <w:rPr>
          <w:b/>
          <w:bCs/>
        </w:rPr>
        <w:t>DDO Project</w:t>
      </w:r>
      <w:r w:rsidR="00120E96" w:rsidRPr="0025278B">
        <w:t>) to develop TMDs across its full product suite, including the DJs Cards</w:t>
      </w:r>
      <w:bookmarkEnd w:id="26"/>
      <w:r w:rsidR="003D731C">
        <w:t>: SAFA [72].</w:t>
      </w:r>
      <w:r w:rsidR="00120E96" w:rsidRPr="0025278B">
        <w:t xml:space="preserve"> As part of the process of developing the TMDs, American Express developed a Critical Assessment Questionnaire to assess the DJs Cards against the likely objectives, financial situation and needs of customers in the target market</w:t>
      </w:r>
      <w:r w:rsidR="003D731C">
        <w:t>: SAFA [75].</w:t>
      </w:r>
      <w:r w:rsidR="00120E96" w:rsidRPr="0025278B">
        <w:t xml:space="preserve"> The final version of the Critical Assessment Questionnaire stated that</w:t>
      </w:r>
      <w:r w:rsidR="00120E96" w:rsidRPr="00D06EB8">
        <w:t xml:space="preserve"> “Attrition is our achilles [sic] heel, which is driven by the ACQ </w:t>
      </w:r>
      <w:r w:rsidR="009E5A40" w:rsidRPr="00D06EB8">
        <w:t xml:space="preserve">[ie acquisition] </w:t>
      </w:r>
      <w:r w:rsidR="00120E96" w:rsidRPr="00D06EB8">
        <w:t>model – 85-90% of all acquisition happening via F2F</w:t>
      </w:r>
      <w:r w:rsidR="00625F94" w:rsidRPr="00D06EB8">
        <w:t xml:space="preserve"> [ie face to face]</w:t>
      </w:r>
      <w:r w:rsidR="00120E96" w:rsidRPr="00D06EB8">
        <w:t xml:space="preserve"> selling instore”</w:t>
      </w:r>
      <w:r w:rsidR="00625F94" w:rsidRPr="00D06EB8">
        <w:t xml:space="preserve">: </w:t>
      </w:r>
      <w:r w:rsidR="00625F94">
        <w:t>SAFA [76].</w:t>
      </w:r>
      <w:r w:rsidR="00056076">
        <w:t xml:space="preserve"> </w:t>
      </w:r>
      <w:r w:rsidR="00120E96" w:rsidRPr="0025278B">
        <w:t>Further, the document drew attention to the fact that there was a higher level of “attrition” where a customer applied for a Card inside a David Jones store than other sales channels used by American Express for other products</w:t>
      </w:r>
      <w:bookmarkEnd w:id="27"/>
      <w:r w:rsidR="00625F94">
        <w:t xml:space="preserve">: SAFA </w:t>
      </w:r>
      <w:r w:rsidR="008251EC">
        <w:t>[73]–[76].</w:t>
      </w:r>
      <w:bookmarkStart w:id="28" w:name="_Ref167113023"/>
      <w:r w:rsidR="00E25D30">
        <w:t xml:space="preserve"> </w:t>
      </w:r>
      <w:r w:rsidR="00120E96" w:rsidRPr="00890281">
        <w:t xml:space="preserve">Relevant American Express staff understood the word “attrition” in this </w:t>
      </w:r>
      <w:r w:rsidR="00120E96" w:rsidRPr="009A5EE8">
        <w:t xml:space="preserve">particular </w:t>
      </w:r>
      <w:r w:rsidR="00120E96" w:rsidRPr="00890281">
        <w:t xml:space="preserve">context </w:t>
      </w:r>
      <w:r w:rsidR="00120E96" w:rsidRPr="00E25D30">
        <w:rPr>
          <w:rFonts w:eastAsia="Arial"/>
          <w:color w:val="000000" w:themeColor="text1"/>
        </w:rPr>
        <w:t xml:space="preserve">of the Critical Assessment Questionnaire </w:t>
      </w:r>
      <w:r w:rsidR="00120E96" w:rsidRPr="00890281">
        <w:t xml:space="preserve">to refer to card </w:t>
      </w:r>
      <w:r w:rsidR="00120E96" w:rsidRPr="00E25D30">
        <w:t xml:space="preserve">applications </w:t>
      </w:r>
      <w:r w:rsidR="00120E96" w:rsidRPr="00890281">
        <w:t xml:space="preserve">that were cancelled, </w:t>
      </w:r>
      <w:r w:rsidR="00120E96" w:rsidRPr="009A5EE8">
        <w:t xml:space="preserve">and </w:t>
      </w:r>
      <w:r w:rsidR="00120E96" w:rsidRPr="00890281">
        <w:t>not cards that were cancelled</w:t>
      </w:r>
      <w:bookmarkEnd w:id="28"/>
      <w:r w:rsidR="008251EC">
        <w:t>: SAFA [77].</w:t>
      </w:r>
    </w:p>
    <w:p w14:paraId="7B81DE65" w14:textId="12E8841F" w:rsidR="00120E96" w:rsidRPr="00DC2E58" w:rsidRDefault="00E31C88" w:rsidP="00E31C88">
      <w:pPr>
        <w:pStyle w:val="ParaNumbering"/>
        <w:numPr>
          <w:ilvl w:val="0"/>
          <w:numId w:val="0"/>
        </w:numPr>
        <w:ind w:hanging="720"/>
      </w:pPr>
      <w:r w:rsidRPr="00DC2E58">
        <w:rPr>
          <w:iCs/>
          <w:sz w:val="20"/>
        </w:rPr>
        <w:t>25</w:t>
      </w:r>
      <w:r w:rsidRPr="00DC2E58">
        <w:rPr>
          <w:iCs/>
          <w:sz w:val="20"/>
        </w:rPr>
        <w:tab/>
      </w:r>
      <w:r w:rsidR="00120E96" w:rsidRPr="00A2169D">
        <w:t xml:space="preserve">On 5 October 2021, American Express issued TMDs for each of the Cards. The TMDs included a Description of the Target Market, being: </w:t>
      </w:r>
      <w:r w:rsidR="00120E96" w:rsidRPr="007962AC">
        <w:t xml:space="preserve">“consumers that are looking to make purchases on credit with a card that earns either Membership Rewards points or Qantas points and David Jones benefits as listed in the product key features below”. </w:t>
      </w:r>
      <w:r w:rsidR="00120E96" w:rsidRPr="00A2169D">
        <w:t>The target market for the DJs Amex Platinum Card additionally included consumers who were looking to earn travel benefits</w:t>
      </w:r>
      <w:r w:rsidR="007962AC">
        <w:t>: SAFA [79], [81].</w:t>
      </w:r>
    </w:p>
    <w:p w14:paraId="403DC0F4" w14:textId="74E7814F" w:rsidR="00120E96" w:rsidRDefault="00E31C88" w:rsidP="00E31C88">
      <w:pPr>
        <w:pStyle w:val="ParaNumbering"/>
        <w:numPr>
          <w:ilvl w:val="0"/>
          <w:numId w:val="0"/>
        </w:numPr>
        <w:ind w:hanging="720"/>
      </w:pPr>
      <w:bookmarkStart w:id="29" w:name="_Ref161672221"/>
      <w:r>
        <w:rPr>
          <w:iCs/>
          <w:sz w:val="20"/>
        </w:rPr>
        <w:t>26</w:t>
      </w:r>
      <w:r>
        <w:rPr>
          <w:iCs/>
          <w:sz w:val="20"/>
        </w:rPr>
        <w:tab/>
      </w:r>
      <w:r w:rsidR="00120E96" w:rsidRPr="00DC2E58">
        <w:t>The review triggers in both of the TMDs included</w:t>
      </w:r>
      <w:r w:rsidR="007962AC">
        <w:t xml:space="preserve"> (SAFA [79(e)] and [81(e)]:</w:t>
      </w:r>
    </w:p>
    <w:p w14:paraId="1C2018A6" w14:textId="58A9607D" w:rsidR="00120E96" w:rsidRPr="00DC2E58" w:rsidRDefault="00E31C88" w:rsidP="00E31C88">
      <w:pPr>
        <w:pStyle w:val="ListNo1alt"/>
        <w:numPr>
          <w:ilvl w:val="0"/>
          <w:numId w:val="0"/>
        </w:numPr>
        <w:tabs>
          <w:tab w:val="left" w:pos="720"/>
        </w:tabs>
        <w:ind w:left="720" w:hanging="720"/>
      </w:pPr>
      <w:r w:rsidRPr="00DC2E58">
        <w:t>(a)</w:t>
      </w:r>
      <w:r w:rsidRPr="00DC2E58">
        <w:tab/>
      </w:r>
      <w:r w:rsidR="00120E96">
        <w:t>"material change to the key product features, attributes, eligibility and/or terms and conditions";</w:t>
      </w:r>
    </w:p>
    <w:p w14:paraId="165E6123" w14:textId="572C46EA" w:rsidR="00120E96" w:rsidRPr="00DC2E58" w:rsidRDefault="00E31C88" w:rsidP="00E31C88">
      <w:pPr>
        <w:pStyle w:val="ListNo1alt"/>
        <w:numPr>
          <w:ilvl w:val="0"/>
          <w:numId w:val="0"/>
        </w:numPr>
        <w:tabs>
          <w:tab w:val="left" w:pos="720"/>
        </w:tabs>
        <w:ind w:left="720" w:hanging="720"/>
      </w:pPr>
      <w:r w:rsidRPr="00DC2E58">
        <w:t>(b)</w:t>
      </w:r>
      <w:r w:rsidRPr="00DC2E58">
        <w:tab/>
      </w:r>
      <w:r w:rsidR="00120E96">
        <w:t>"material changes to fees or interest rates";</w:t>
      </w:r>
    </w:p>
    <w:p w14:paraId="3DC14478" w14:textId="2D815F28" w:rsidR="00120E96" w:rsidRPr="00DC2E58" w:rsidRDefault="00E31C88" w:rsidP="00E31C88">
      <w:pPr>
        <w:pStyle w:val="ListNo1alt"/>
        <w:numPr>
          <w:ilvl w:val="0"/>
          <w:numId w:val="0"/>
        </w:numPr>
        <w:tabs>
          <w:tab w:val="left" w:pos="720"/>
        </w:tabs>
        <w:ind w:left="720" w:hanging="720"/>
      </w:pPr>
      <w:r w:rsidRPr="00DC2E58">
        <w:t>(c)</w:t>
      </w:r>
      <w:r w:rsidRPr="00DC2E58">
        <w:tab/>
      </w:r>
      <w:r w:rsidR="00120E96">
        <w:t>"high default rates, high hardship rates or evidence of unmitigated risks to vulnerable customers";</w:t>
      </w:r>
    </w:p>
    <w:p w14:paraId="3A6C97BF" w14:textId="28ED2A6D" w:rsidR="00120E96" w:rsidRDefault="00E31C88" w:rsidP="00E31C88">
      <w:pPr>
        <w:pStyle w:val="ListNo1alt"/>
        <w:numPr>
          <w:ilvl w:val="0"/>
          <w:numId w:val="0"/>
        </w:numPr>
        <w:tabs>
          <w:tab w:val="left" w:pos="720"/>
        </w:tabs>
        <w:ind w:left="720" w:hanging="720"/>
      </w:pPr>
      <w:r>
        <w:t>(d)</w:t>
      </w:r>
      <w:r>
        <w:tab/>
      </w:r>
      <w:r w:rsidR="00120E96">
        <w:t>"m</w:t>
      </w:r>
      <w:r w:rsidR="00120E96" w:rsidRPr="00DC2E58">
        <w:t>aterial or unexpectedly high number of complaints (as defined in section 994A(1) of the Act) about the product or distribution of the product</w:t>
      </w:r>
      <w:r w:rsidR="00120E96">
        <w:t xml:space="preserve">"; </w:t>
      </w:r>
      <w:r w:rsidR="00120E96" w:rsidRPr="00C16195">
        <w:rPr>
          <w:lang w:val="en-GB"/>
        </w:rPr>
        <w:t>and</w:t>
      </w:r>
    </w:p>
    <w:p w14:paraId="7306404B" w14:textId="57F68F88" w:rsidR="00120E96" w:rsidRDefault="00E31C88" w:rsidP="00E31C88">
      <w:pPr>
        <w:pStyle w:val="ListNo1alt"/>
        <w:numPr>
          <w:ilvl w:val="0"/>
          <w:numId w:val="0"/>
        </w:numPr>
        <w:tabs>
          <w:tab w:val="left" w:pos="720"/>
        </w:tabs>
        <w:ind w:left="720" w:hanging="720"/>
      </w:pPr>
      <w:r>
        <w:t>(e)</w:t>
      </w:r>
      <w:r>
        <w:tab/>
      </w:r>
      <w:r w:rsidR="00120E96" w:rsidRPr="7EC9EFA0">
        <w:t xml:space="preserve">the use of Product Intervention Powers, regulatory orders or directions that affect the product”. </w:t>
      </w:r>
    </w:p>
    <w:p w14:paraId="51DD6924" w14:textId="1896458A" w:rsidR="00120E96" w:rsidRPr="00CB25F3" w:rsidRDefault="00E31C88" w:rsidP="00E31C88">
      <w:pPr>
        <w:pStyle w:val="ParaNumbering"/>
        <w:numPr>
          <w:ilvl w:val="0"/>
          <w:numId w:val="0"/>
        </w:numPr>
        <w:ind w:hanging="720"/>
      </w:pPr>
      <w:r w:rsidRPr="00CB25F3">
        <w:rPr>
          <w:iCs/>
          <w:sz w:val="20"/>
        </w:rPr>
        <w:lastRenderedPageBreak/>
        <w:t>27</w:t>
      </w:r>
      <w:r w:rsidRPr="00CB25F3">
        <w:rPr>
          <w:iCs/>
          <w:sz w:val="20"/>
        </w:rPr>
        <w:tab/>
      </w:r>
      <w:r w:rsidR="00120E96">
        <w:t>I</w:t>
      </w:r>
      <w:r w:rsidR="00120E96" w:rsidRPr="00DC2E58">
        <w:t>n the case of the DJs Amex Card,</w:t>
      </w:r>
      <w:r w:rsidR="00120E96">
        <w:t xml:space="preserve"> the review triggers also included:</w:t>
      </w:r>
      <w:r w:rsidR="00120E96" w:rsidRPr="00DC2E58">
        <w:t xml:space="preserve"> “abnormal cancellation rates</w:t>
      </w:r>
      <w:bookmarkEnd w:id="29"/>
      <w:r w:rsidR="000554FD">
        <w:t>”</w:t>
      </w:r>
      <w:r w:rsidR="00E73131">
        <w:t>: SAFA [79(e)(iii)]</w:t>
      </w:r>
    </w:p>
    <w:p w14:paraId="3617797F" w14:textId="77777777" w:rsidR="00120E96" w:rsidRPr="00E73131" w:rsidRDefault="00120E96" w:rsidP="00E73131">
      <w:pPr>
        <w:pStyle w:val="Heading3"/>
        <w:rPr>
          <w:b w:val="0"/>
          <w:bCs/>
        </w:rPr>
      </w:pPr>
      <w:r w:rsidRPr="00E73131">
        <w:rPr>
          <w:b w:val="0"/>
          <w:bCs/>
        </w:rPr>
        <w:t>Monitoring of cancelled application rates at American Express</w:t>
      </w:r>
    </w:p>
    <w:p w14:paraId="3D9CDACC" w14:textId="20DD2803" w:rsidR="00120E96" w:rsidRDefault="00E31C88" w:rsidP="00E31C88">
      <w:pPr>
        <w:pStyle w:val="ParaNumbering"/>
        <w:numPr>
          <w:ilvl w:val="0"/>
          <w:numId w:val="0"/>
        </w:numPr>
        <w:ind w:hanging="720"/>
      </w:pPr>
      <w:bookmarkStart w:id="30" w:name="_Ref156294872"/>
      <w:r>
        <w:rPr>
          <w:iCs/>
          <w:sz w:val="20"/>
        </w:rPr>
        <w:t>28</w:t>
      </w:r>
      <w:r>
        <w:rPr>
          <w:iCs/>
          <w:sz w:val="20"/>
        </w:rPr>
        <w:tab/>
      </w:r>
      <w:r w:rsidR="00120E96">
        <w:t>The Cancellations Working Group</w:t>
      </w:r>
      <w:r w:rsidR="00120E96" w:rsidRPr="00BB6149">
        <w:t xml:space="preserve"> </w:t>
      </w:r>
      <w:r w:rsidR="00120E96" w:rsidRPr="00E34946">
        <w:t>used the following terms in relation to the DJs Cards</w:t>
      </w:r>
      <w:bookmarkStart w:id="31" w:name="_Ref159315972"/>
      <w:bookmarkEnd w:id="30"/>
      <w:r w:rsidR="00E73131">
        <w:t xml:space="preserve"> </w:t>
      </w:r>
      <w:r w:rsidR="00210B58">
        <w:t>(</w:t>
      </w:r>
      <w:r w:rsidR="00E73131">
        <w:t>SAFA [48]–[49]</w:t>
      </w:r>
      <w:r w:rsidR="00210B58">
        <w:t>):</w:t>
      </w:r>
    </w:p>
    <w:p w14:paraId="45829FE6" w14:textId="024A6CC7" w:rsidR="00120E96" w:rsidRPr="00210B58" w:rsidRDefault="00E31C88" w:rsidP="00E31C88">
      <w:pPr>
        <w:pStyle w:val="ListNo1alt"/>
        <w:numPr>
          <w:ilvl w:val="0"/>
          <w:numId w:val="0"/>
        </w:numPr>
        <w:tabs>
          <w:tab w:val="left" w:pos="720"/>
        </w:tabs>
        <w:ind w:left="720" w:hanging="720"/>
        <w:rPr>
          <w:rFonts w:cs="Arial"/>
        </w:rPr>
      </w:pPr>
      <w:r w:rsidRPr="00210B58">
        <w:rPr>
          <w:rFonts w:cs="Arial"/>
        </w:rPr>
        <w:t>(a)</w:t>
      </w:r>
      <w:r w:rsidRPr="00210B58">
        <w:rPr>
          <w:rFonts w:cs="Arial"/>
        </w:rPr>
        <w:tab/>
      </w:r>
      <w:r w:rsidR="00120E96" w:rsidRPr="00AD37C3">
        <w:t>“cancellation”, which occurred when an application for a DJs Card was submitted, but the application did not result in American Express establishing an account and issuing a permanent card. Cancellations occurred where a customer had submitted an application for a DJs Card; the application was subject to further information being provided and/or a final decision by Amex; and, prior to Amex making the final decision, the application lapsed, was withdrawn or was cancelled;</w:t>
      </w:r>
    </w:p>
    <w:p w14:paraId="3F3D0196" w14:textId="1C40F02B" w:rsidR="00120E96" w:rsidRPr="00CB25AA" w:rsidRDefault="00E31C88" w:rsidP="00E31C88">
      <w:pPr>
        <w:pStyle w:val="ListNo1alt"/>
        <w:numPr>
          <w:ilvl w:val="0"/>
          <w:numId w:val="0"/>
        </w:numPr>
        <w:tabs>
          <w:tab w:val="left" w:pos="720"/>
        </w:tabs>
        <w:ind w:left="720" w:hanging="720"/>
        <w:rPr>
          <w:rFonts w:cs="Arial"/>
        </w:rPr>
      </w:pPr>
      <w:r w:rsidRPr="00CB25AA">
        <w:rPr>
          <w:rFonts w:cs="Arial"/>
        </w:rPr>
        <w:t>(b)</w:t>
      </w:r>
      <w:r w:rsidRPr="00CB25AA">
        <w:rPr>
          <w:rFonts w:cs="Arial"/>
        </w:rPr>
        <w:tab/>
      </w:r>
      <w:r w:rsidR="00120E96" w:rsidRPr="00AD37C3">
        <w:t>“decline”, which may have occurred, for example, when an application for a DJs Card was submitted and American Express rejected the application because American Express</w:t>
      </w:r>
      <w:r w:rsidR="00F23424">
        <w:t>’</w:t>
      </w:r>
      <w:r w:rsidR="00DD1FC9">
        <w:t>s</w:t>
      </w:r>
      <w:r w:rsidR="00120E96" w:rsidRPr="00AD37C3">
        <w:t xml:space="preserve"> credit risk policies were not satisfied.</w:t>
      </w:r>
      <w:r w:rsidR="00056076">
        <w:t xml:space="preserve"> </w:t>
      </w:r>
      <w:r w:rsidR="00120E96" w:rsidRPr="00AD37C3">
        <w:t xml:space="preserve">A “cancellation” </w:t>
      </w:r>
      <w:r w:rsidR="00DD1FC9">
        <w:t>wa</w:t>
      </w:r>
      <w:r w:rsidR="00120E96" w:rsidRPr="00AD37C3">
        <w:t>s different from a “decline”; and</w:t>
      </w:r>
      <w:bookmarkEnd w:id="31"/>
    </w:p>
    <w:p w14:paraId="2272B8D3" w14:textId="06B3012E" w:rsidR="00120E96" w:rsidRPr="00DD04EA" w:rsidRDefault="00E31C88" w:rsidP="00E31C88">
      <w:pPr>
        <w:pStyle w:val="ListNo1alt"/>
        <w:numPr>
          <w:ilvl w:val="0"/>
          <w:numId w:val="0"/>
        </w:numPr>
        <w:tabs>
          <w:tab w:val="left" w:pos="720"/>
        </w:tabs>
        <w:ind w:left="720" w:hanging="720"/>
        <w:rPr>
          <w:rFonts w:cs="Arial"/>
        </w:rPr>
      </w:pPr>
      <w:r w:rsidRPr="00DD04EA">
        <w:rPr>
          <w:rFonts w:cs="Arial"/>
        </w:rPr>
        <w:t>(c)</w:t>
      </w:r>
      <w:r w:rsidRPr="00DD04EA">
        <w:rPr>
          <w:rFonts w:cs="Arial"/>
        </w:rPr>
        <w:tab/>
      </w:r>
      <w:r w:rsidR="00120E96" w:rsidRPr="00AD37C3">
        <w:rPr>
          <w:rFonts w:cs="Arial"/>
        </w:rPr>
        <w:t>“attrition”, which occurred when American Express had issued a card, and the card was subsequently cancelled by the customer. American Express measure</w:t>
      </w:r>
      <w:r w:rsidR="00525DE0">
        <w:rPr>
          <w:rFonts w:cs="Arial"/>
        </w:rPr>
        <w:t>d</w:t>
      </w:r>
      <w:r w:rsidR="00120E96" w:rsidRPr="00AD37C3">
        <w:rPr>
          <w:rFonts w:cs="Arial"/>
        </w:rPr>
        <w:t xml:space="preserve"> and monitor</w:t>
      </w:r>
      <w:r w:rsidR="00DD1FC9">
        <w:rPr>
          <w:rFonts w:cs="Arial"/>
        </w:rPr>
        <w:t>ed</w:t>
      </w:r>
      <w:r w:rsidR="00120E96" w:rsidRPr="00AD37C3">
        <w:rPr>
          <w:rFonts w:cs="Arial"/>
        </w:rPr>
        <w:t xml:space="preserve"> “attritions” separately </w:t>
      </w:r>
      <w:r w:rsidR="00DD1FC9">
        <w:rPr>
          <w:rFonts w:cs="Arial"/>
        </w:rPr>
        <w:t xml:space="preserve">from </w:t>
      </w:r>
      <w:r w:rsidR="00120E96" w:rsidRPr="00AD37C3">
        <w:rPr>
          <w:rFonts w:cs="Arial"/>
        </w:rPr>
        <w:t>“cancellations”.</w:t>
      </w:r>
    </w:p>
    <w:p w14:paraId="26294E9F" w14:textId="2F706A83" w:rsidR="00120E96" w:rsidRPr="00AD37C3" w:rsidRDefault="00E31C88" w:rsidP="00E31C88">
      <w:pPr>
        <w:pStyle w:val="ParaNumbering"/>
        <w:numPr>
          <w:ilvl w:val="0"/>
          <w:numId w:val="0"/>
        </w:numPr>
        <w:ind w:hanging="720"/>
        <w:rPr>
          <w:lang w:eastAsia="en-AU"/>
        </w:rPr>
      </w:pPr>
      <w:r w:rsidRPr="00AD37C3">
        <w:rPr>
          <w:iCs/>
          <w:sz w:val="20"/>
          <w:lang w:eastAsia="en-AU"/>
        </w:rPr>
        <w:t>29</w:t>
      </w:r>
      <w:r w:rsidRPr="00AD37C3">
        <w:rPr>
          <w:iCs/>
          <w:sz w:val="20"/>
          <w:lang w:eastAsia="en-AU"/>
        </w:rPr>
        <w:tab/>
      </w:r>
      <w:r w:rsidR="00120E96" w:rsidRPr="00DD04EA">
        <w:t>Cancellations of DJs Card applications was a metric that American Express monitored for various reasons</w:t>
      </w:r>
      <w:r w:rsidR="00525DE0">
        <w:t>: SAFA [47].</w:t>
      </w:r>
      <w:r w:rsidR="00120E96" w:rsidRPr="00D860C4">
        <w:t xml:space="preserve"> Throughout the Relevant Period, there were a number of working groups or forums within American Express that considered cancell</w:t>
      </w:r>
      <w:r w:rsidR="00120E96">
        <w:t>ed application</w:t>
      </w:r>
      <w:r w:rsidR="00120E96" w:rsidRPr="002E5E90">
        <w:t xml:space="preserve"> rates, as well as a number of internal documents and publications that were regularly circulated that referred to </w:t>
      </w:r>
      <w:r w:rsidR="00120E96" w:rsidRPr="002C3BC4">
        <w:t>cancell</w:t>
      </w:r>
      <w:r w:rsidR="00120E96">
        <w:t>ed application</w:t>
      </w:r>
      <w:r w:rsidR="00120E96" w:rsidRPr="002E5E90">
        <w:t xml:space="preserve"> rates. </w:t>
      </w:r>
    </w:p>
    <w:p w14:paraId="19B9E6AE" w14:textId="3966950A" w:rsidR="00120E96" w:rsidRPr="0083584E" w:rsidRDefault="00E31C88" w:rsidP="00E31C88">
      <w:pPr>
        <w:pStyle w:val="ParaNumbering"/>
        <w:numPr>
          <w:ilvl w:val="0"/>
          <w:numId w:val="0"/>
        </w:numPr>
        <w:ind w:hanging="720"/>
      </w:pPr>
      <w:r w:rsidRPr="0083584E">
        <w:rPr>
          <w:iCs/>
          <w:sz w:val="20"/>
        </w:rPr>
        <w:t>30</w:t>
      </w:r>
      <w:r w:rsidRPr="0083584E">
        <w:rPr>
          <w:iCs/>
          <w:sz w:val="20"/>
        </w:rPr>
        <w:tab/>
      </w:r>
      <w:r w:rsidR="00120E96" w:rsidRPr="0083584E">
        <w:t xml:space="preserve">In or around </w:t>
      </w:r>
      <w:r w:rsidR="00120E96">
        <w:t>June</w:t>
      </w:r>
      <w:r w:rsidR="00120E96" w:rsidRPr="0083584E">
        <w:t xml:space="preserve"> 2020, American Express and David Jones started a </w:t>
      </w:r>
      <w:r w:rsidR="00EB1B93">
        <w:t>“</w:t>
      </w:r>
      <w:r w:rsidR="00120E96" w:rsidRPr="0083584E">
        <w:t>Cancellations Working Group</w:t>
      </w:r>
      <w:r w:rsidR="00EB1B93">
        <w:t>”</w:t>
      </w:r>
      <w:r w:rsidR="00120E96" w:rsidRPr="0083584E">
        <w:t>, which met monthly</w:t>
      </w:r>
      <w:r w:rsidR="00EB1B93">
        <w:t>: SAFA [52].</w:t>
      </w:r>
      <w:r w:rsidR="00120E96" w:rsidRPr="0083584E">
        <w:t xml:space="preserve"> The objective of the Cancellations Working Group was to identify opportunities to reduce the number of cancellations associated with instore Card applications</w:t>
      </w:r>
      <w:r w:rsidR="00EB1B93">
        <w:t>: SAFA [5</w:t>
      </w:r>
      <w:r w:rsidR="00A1340B">
        <w:t>3].</w:t>
      </w:r>
      <w:r w:rsidR="00120E96" w:rsidRPr="0083584E">
        <w:t xml:space="preserve"> This was one of American Express’</w:t>
      </w:r>
      <w:r w:rsidR="00A1340B">
        <w:t>s</w:t>
      </w:r>
      <w:r w:rsidR="00120E96" w:rsidRPr="0083584E">
        <w:t xml:space="preserve"> highest priority initiatives in the David Jones Alliance</w:t>
      </w:r>
      <w:r w:rsidR="00A1340B">
        <w:t>: SAFA [53].</w:t>
      </w:r>
    </w:p>
    <w:p w14:paraId="494468FE" w14:textId="4A444DB9" w:rsidR="00120E96" w:rsidRPr="00DB284A" w:rsidRDefault="00E31C88" w:rsidP="00E31C88">
      <w:pPr>
        <w:pStyle w:val="ParaNumbering"/>
        <w:numPr>
          <w:ilvl w:val="0"/>
          <w:numId w:val="0"/>
        </w:numPr>
        <w:ind w:hanging="720"/>
      </w:pPr>
      <w:r w:rsidRPr="00DB284A">
        <w:rPr>
          <w:iCs/>
          <w:sz w:val="20"/>
        </w:rPr>
        <w:t>31</w:t>
      </w:r>
      <w:r w:rsidRPr="00DB284A">
        <w:rPr>
          <w:iCs/>
          <w:sz w:val="20"/>
        </w:rPr>
        <w:tab/>
      </w:r>
      <w:r w:rsidR="00120E96" w:rsidRPr="00DB284A">
        <w:t>The American Express attendees at the Cancellations Working Group meetings were the David Jones Alliance Director</w:t>
      </w:r>
      <w:r w:rsidR="00A1340B">
        <w:t>,</w:t>
      </w:r>
      <w:r w:rsidR="00120E96" w:rsidRPr="00DB284A">
        <w:t xml:space="preserve"> Acquisition Manager</w:t>
      </w:r>
      <w:r w:rsidR="00C35B66">
        <w:t>,</w:t>
      </w:r>
      <w:r w:rsidR="00120E96" w:rsidRPr="00DB284A">
        <w:t xml:space="preserve"> and</w:t>
      </w:r>
      <w:r w:rsidR="00120E96" w:rsidRPr="00DB284A">
        <w:rPr>
          <w:rStyle w:val="FootnoteReference"/>
          <w:rFonts w:eastAsia="Arial" w:cs="Arial"/>
        </w:rPr>
        <w:t xml:space="preserve"> </w:t>
      </w:r>
      <w:r w:rsidR="00120E96" w:rsidRPr="00DB284A">
        <w:t>Acquisition Assistant Manager</w:t>
      </w:r>
      <w:r w:rsidR="00C35B66">
        <w:t>: SAFA [55].</w:t>
      </w:r>
      <w:r w:rsidR="00120E96" w:rsidRPr="00DB284A">
        <w:t xml:space="preserve"> Notably, although addressing cancelled application rates of the Cards was a responsibility of </w:t>
      </w:r>
      <w:r w:rsidR="00120E96" w:rsidRPr="00DB284A">
        <w:lastRenderedPageBreak/>
        <w:t>the Product Manager</w:t>
      </w:r>
      <w:r w:rsidR="00C35B66">
        <w:t xml:space="preserve"> (SAFA [45(d)])</w:t>
      </w:r>
      <w:r w:rsidR="00120E96" w:rsidRPr="00DB284A">
        <w:t>, the Product Manager for the Cards did not attend the Cancellations Working Group meetings, but rather the David Jones Alliance Director and the David Jones Alliance Acquisition Manager attended</w:t>
      </w:r>
      <w:r w:rsidR="00DB284A">
        <w:t>: SAFA [57].</w:t>
      </w:r>
      <w:r w:rsidR="00120E96" w:rsidRPr="00DB284A">
        <w:t xml:space="preserve"> The slide deck circulated for Cancellations Working Group meetings included target cancelled application rates, cancelled application rates, cancellation reasons, application volumes and instore sales strategies</w:t>
      </w:r>
      <w:r w:rsidR="00DB284A">
        <w:t xml:space="preserve">: SAFA [59]. </w:t>
      </w:r>
      <w:r w:rsidR="00120E96" w:rsidRPr="00DB284A">
        <w:t>Cancelled application rates were also discussed internally within American Express through reports and at other meetings</w:t>
      </w:r>
      <w:r w:rsidR="00DB284A">
        <w:t>: SAFA [60]–[71]</w:t>
      </w:r>
      <w:r w:rsidR="00120E96" w:rsidRPr="00DB284A">
        <w:t>.</w:t>
      </w:r>
    </w:p>
    <w:p w14:paraId="607CAF57" w14:textId="77777777" w:rsidR="00120E96" w:rsidRPr="00052132" w:rsidRDefault="00120E96" w:rsidP="00052132">
      <w:pPr>
        <w:pStyle w:val="Heading3"/>
        <w:rPr>
          <w:b w:val="0"/>
          <w:bCs/>
        </w:rPr>
      </w:pPr>
      <w:r w:rsidRPr="00052132">
        <w:rPr>
          <w:b w:val="0"/>
          <w:bCs/>
        </w:rPr>
        <w:t>Reasons for high cancelled application rates</w:t>
      </w:r>
    </w:p>
    <w:p w14:paraId="2A5F78FE" w14:textId="23428711" w:rsidR="00120E96" w:rsidRDefault="00E31C88" w:rsidP="00E31C88">
      <w:pPr>
        <w:pStyle w:val="ParaNumbering"/>
        <w:numPr>
          <w:ilvl w:val="0"/>
          <w:numId w:val="0"/>
        </w:numPr>
        <w:ind w:hanging="720"/>
      </w:pPr>
      <w:r>
        <w:rPr>
          <w:iCs/>
          <w:sz w:val="20"/>
        </w:rPr>
        <w:t>32</w:t>
      </w:r>
      <w:r>
        <w:rPr>
          <w:iCs/>
          <w:sz w:val="20"/>
        </w:rPr>
        <w:tab/>
      </w:r>
      <w:r w:rsidR="00120E96">
        <w:t xml:space="preserve">The main reasons for cancellations of Card applications considered by the Cancellations Working Group included: (i) the application had not been completed for more than 45 days; (ii) the customer requested the cancellation; (iii) the application was a duplicate; (iv) </w:t>
      </w:r>
      <w:r w:rsidR="00052132">
        <w:t xml:space="preserve">there were </w:t>
      </w:r>
      <w:r w:rsidR="00120E96">
        <w:t xml:space="preserve">circumstances of fraud; </w:t>
      </w:r>
      <w:r w:rsidR="009C3B59">
        <w:t xml:space="preserve">and </w:t>
      </w:r>
      <w:r w:rsidR="00120E96">
        <w:t xml:space="preserve">(v) </w:t>
      </w:r>
      <w:r w:rsidR="009C3B59">
        <w:t xml:space="preserve">there was an </w:t>
      </w:r>
      <w:r w:rsidR="00052132">
        <w:t xml:space="preserve">inability to </w:t>
      </w:r>
      <w:r w:rsidR="00120E96">
        <w:t>validate additional identification document</w:t>
      </w:r>
      <w:r w:rsidR="009C3B59">
        <w:t>s</w:t>
      </w:r>
      <w:r w:rsidR="00120E96">
        <w:t xml:space="preserve"> due to being unable to contact the applicant within 45 days or the applicant did not meet those requirements</w:t>
      </w:r>
      <w:r w:rsidR="00052132">
        <w:t>: SAFA [50].</w:t>
      </w:r>
    </w:p>
    <w:p w14:paraId="2BB180B1" w14:textId="06952895" w:rsidR="00120E96" w:rsidRPr="00221A10" w:rsidRDefault="00E31C88" w:rsidP="00E31C88">
      <w:pPr>
        <w:pStyle w:val="ParaNumbering"/>
        <w:numPr>
          <w:ilvl w:val="0"/>
          <w:numId w:val="0"/>
        </w:numPr>
        <w:ind w:hanging="720"/>
      </w:pPr>
      <w:r w:rsidRPr="00221A10">
        <w:rPr>
          <w:iCs/>
          <w:sz w:val="20"/>
        </w:rPr>
        <w:t>33</w:t>
      </w:r>
      <w:r w:rsidRPr="00221A10">
        <w:rPr>
          <w:iCs/>
          <w:sz w:val="20"/>
        </w:rPr>
        <w:tab/>
      </w:r>
      <w:r w:rsidR="00120E96">
        <w:t>C</w:t>
      </w:r>
      <w:r w:rsidR="00120E96" w:rsidRPr="00AD37C3">
        <w:t>ustomers were offered incentives to acquire DJs Cards in the form of a discount at the point of sale when applying for a DJs Card, ranging from 10-30%</w:t>
      </w:r>
      <w:r w:rsidR="00D47930">
        <w:t>: SAFA [26].</w:t>
      </w:r>
      <w:r w:rsidR="00120E96" w:rsidRPr="00AD37C3">
        <w:t xml:space="preserve"> The discount </w:t>
      </w:r>
      <w:r w:rsidR="00120E96">
        <w:t xml:space="preserve">only </w:t>
      </w:r>
      <w:r w:rsidR="00120E96" w:rsidRPr="00AD37C3">
        <w:t>applied instore if the customer was instantly or conditionally approved</w:t>
      </w:r>
      <w:r w:rsidR="00120E96">
        <w:t xml:space="preserve"> for a DJs Card</w:t>
      </w:r>
      <w:r w:rsidR="007E5385">
        <w:t>: SAFA [27].</w:t>
      </w:r>
      <w:r w:rsidR="00120E96" w:rsidRPr="001A14F4">
        <w:t xml:space="preserve"> American Express was aware that point-of-sale discounts resulted in increased cancellations of DJs Card applications</w:t>
      </w:r>
      <w:r w:rsidR="00221A10">
        <w:t>: SAFA [28].</w:t>
      </w:r>
      <w:r w:rsidR="00056076">
        <w:t xml:space="preserve"> </w:t>
      </w:r>
      <w:r w:rsidR="00120E96" w:rsidRPr="001A14F4">
        <w:t xml:space="preserve">The training material </w:t>
      </w:r>
      <w:r w:rsidR="00120E96">
        <w:t>stated in part:</w:t>
      </w:r>
      <w:r w:rsidR="00120E96" w:rsidRPr="001A14F4">
        <w:t xml:space="preserve"> </w:t>
      </w:r>
      <w:r w:rsidR="00120E96" w:rsidRPr="00221A10">
        <w:t>“Data suggests that some customers may only be interested in the ‘immediate’ mark-down opportunity, therefore do not go onto complete their application”</w:t>
      </w:r>
      <w:r w:rsidR="00221A10">
        <w:t>: SAFA [3</w:t>
      </w:r>
      <w:r w:rsidR="00913669">
        <w:t>2].</w:t>
      </w:r>
    </w:p>
    <w:p w14:paraId="53A2C6AA" w14:textId="1DA0DAD4" w:rsidR="00120E96" w:rsidRPr="001A14F4" w:rsidRDefault="00E31C88" w:rsidP="00E31C88">
      <w:pPr>
        <w:pStyle w:val="ParaNumbering"/>
        <w:numPr>
          <w:ilvl w:val="0"/>
          <w:numId w:val="0"/>
        </w:numPr>
        <w:ind w:hanging="720"/>
      </w:pPr>
      <w:bookmarkStart w:id="32" w:name="_Ref166171308"/>
      <w:r w:rsidRPr="001A14F4">
        <w:rPr>
          <w:iCs/>
          <w:sz w:val="20"/>
        </w:rPr>
        <w:t>34</w:t>
      </w:r>
      <w:r w:rsidRPr="001A14F4">
        <w:rPr>
          <w:iCs/>
          <w:sz w:val="20"/>
        </w:rPr>
        <w:tab/>
      </w:r>
      <w:r w:rsidR="00120E96" w:rsidRPr="001A14F4">
        <w:t xml:space="preserve">Further, by October 2021, American Express was aware that </w:t>
      </w:r>
      <w:r w:rsidR="00120E96">
        <w:t>among</w:t>
      </w:r>
      <w:r w:rsidR="00913669">
        <w:t xml:space="preserve"> </w:t>
      </w:r>
      <w:r w:rsidR="00120E96">
        <w:t>the reasons for customers opting not to complete the application process or requesting to cancel their Card application was that some</w:t>
      </w:r>
      <w:r w:rsidR="00120E96" w:rsidRPr="001A14F4">
        <w:t xml:space="preserve"> customers </w:t>
      </w:r>
      <w:r w:rsidR="00120E96">
        <w:t xml:space="preserve">did not understand that </w:t>
      </w:r>
      <w:r w:rsidR="00120E96" w:rsidRPr="001A14F4">
        <w:t>they were applying for a credit card with an annual fee</w:t>
      </w:r>
      <w:r w:rsidR="00800011">
        <w:t>: SAFA [32].</w:t>
      </w:r>
      <w:r w:rsidR="00120E96" w:rsidRPr="001A14F4">
        <w:t xml:space="preserve"> This issue was identified in training material provided to David Jones’ staff in October 2021, the content of which had been approved by American Express</w:t>
      </w:r>
      <w:bookmarkEnd w:id="32"/>
      <w:r w:rsidR="00D94451">
        <w:t>: SAFA [31].</w:t>
      </w:r>
    </w:p>
    <w:p w14:paraId="26AC42B9" w14:textId="77777777" w:rsidR="00120E96" w:rsidRPr="0050736B" w:rsidRDefault="00120E96" w:rsidP="00120E96">
      <w:pPr>
        <w:pStyle w:val="Heading3"/>
        <w:rPr>
          <w:b w:val="0"/>
          <w:bCs/>
        </w:rPr>
      </w:pPr>
      <w:r w:rsidRPr="0050736B">
        <w:rPr>
          <w:b w:val="0"/>
          <w:bCs/>
        </w:rPr>
        <w:t>Process for identifying and actioning a review trigger</w:t>
      </w:r>
    </w:p>
    <w:p w14:paraId="39887A51" w14:textId="01C9459F" w:rsidR="00120E96" w:rsidRPr="00991BE0" w:rsidRDefault="00E31C88" w:rsidP="00E31C88">
      <w:pPr>
        <w:pStyle w:val="ParaNumbering"/>
        <w:numPr>
          <w:ilvl w:val="0"/>
          <w:numId w:val="0"/>
        </w:numPr>
        <w:ind w:hanging="720"/>
      </w:pPr>
      <w:bookmarkStart w:id="33" w:name="_Ref165901922"/>
      <w:r w:rsidRPr="00991BE0">
        <w:rPr>
          <w:iCs/>
          <w:sz w:val="20"/>
        </w:rPr>
        <w:t>35</w:t>
      </w:r>
      <w:r w:rsidRPr="00991BE0">
        <w:rPr>
          <w:iCs/>
          <w:sz w:val="20"/>
        </w:rPr>
        <w:tab/>
      </w:r>
      <w:r w:rsidR="00120E96">
        <w:t>In or around September 2021</w:t>
      </w:r>
      <w:r w:rsidR="00120E96" w:rsidRPr="00335EF2">
        <w:t xml:space="preserve">, </w:t>
      </w:r>
      <w:r w:rsidR="00120E96">
        <w:t xml:space="preserve">prior to the TMDs being issued by 5 October 2021, </w:t>
      </w:r>
      <w:r w:rsidR="00120E96" w:rsidRPr="00335EF2">
        <w:t xml:space="preserve">American </w:t>
      </w:r>
      <w:r w:rsidR="00120E96" w:rsidRPr="00991BE0">
        <w:t xml:space="preserve">Express created a document </w:t>
      </w:r>
      <w:r w:rsidR="009B3AB5">
        <w:t>en</w:t>
      </w:r>
      <w:r w:rsidR="00120E96" w:rsidRPr="00991BE0">
        <w:t>titled “DDO</w:t>
      </w:r>
      <w:r w:rsidR="007902D4">
        <w:t xml:space="preserve"> — </w:t>
      </w:r>
      <w:r w:rsidR="00120E96" w:rsidRPr="00991BE0">
        <w:t>Product Design &amp; Distribution Obligations Product Owner Guide” (</w:t>
      </w:r>
      <w:r w:rsidR="00120E96" w:rsidRPr="00991BE0">
        <w:rPr>
          <w:b/>
          <w:bCs/>
        </w:rPr>
        <w:t>DDO Product Owner Guide</w:t>
      </w:r>
      <w:r w:rsidR="00120E96" w:rsidRPr="00991BE0">
        <w:t xml:space="preserve">) which applied to all American Express </w:t>
      </w:r>
      <w:r w:rsidR="00120E96" w:rsidRPr="00991BE0">
        <w:lastRenderedPageBreak/>
        <w:t>personal credit cards to which the DDOs apply, including the DJs Cards</w:t>
      </w:r>
      <w:r w:rsidR="00EB1B77">
        <w:t>: SAFA [83]–[84].</w:t>
      </w:r>
      <w:r w:rsidR="00120E96" w:rsidRPr="00AD37C3">
        <w:t xml:space="preserve"> The DDO Product Owner Guide stated that American Express must </w:t>
      </w:r>
      <w:r w:rsidR="00120E96" w:rsidRPr="00CD7B1B">
        <w:t>“[r]eview the TMD periodically and when required by the TMD review triggers”</w:t>
      </w:r>
      <w:r w:rsidR="00120E96" w:rsidRPr="00AD37C3">
        <w:t xml:space="preserve"> and provided that the “Product Owner” was ultimately responsible for assessing whether a review trigger had occurred or an event or circumstance had occurred that would reasonably suggest that the TMDs were no longer appropriate</w:t>
      </w:r>
      <w:bookmarkEnd w:id="33"/>
      <w:r w:rsidR="00CD7B1B">
        <w:t>: SAFA [85(d)] and [86].</w:t>
      </w:r>
      <w:r w:rsidR="00120E96" w:rsidRPr="00AD37C3">
        <w:t xml:space="preserve"> </w:t>
      </w:r>
    </w:p>
    <w:p w14:paraId="43C9375D" w14:textId="020B2CFB" w:rsidR="00120E96" w:rsidRPr="00991BE0" w:rsidRDefault="00E31C88" w:rsidP="00E31C88">
      <w:pPr>
        <w:pStyle w:val="ParaNumbering"/>
        <w:numPr>
          <w:ilvl w:val="0"/>
          <w:numId w:val="0"/>
        </w:numPr>
        <w:ind w:hanging="720"/>
      </w:pPr>
      <w:r w:rsidRPr="00991BE0">
        <w:rPr>
          <w:iCs/>
          <w:sz w:val="20"/>
        </w:rPr>
        <w:t>36</w:t>
      </w:r>
      <w:r w:rsidRPr="00991BE0">
        <w:rPr>
          <w:iCs/>
          <w:sz w:val="20"/>
        </w:rPr>
        <w:tab/>
      </w:r>
      <w:r w:rsidR="00120E96" w:rsidRPr="00AD37C3">
        <w:t>The DDO Product Owner Guide also set out the internal American Express process to be adopted once a review trigger had been identified, including considering amendments needed to the “target market” or the details of additional “distribution conditions”</w:t>
      </w:r>
      <w:r w:rsidR="004F55F0">
        <w:t>: SAFA [88].</w:t>
      </w:r>
    </w:p>
    <w:p w14:paraId="195DBEA2" w14:textId="1962E580" w:rsidR="00120E96" w:rsidRPr="00991BE0" w:rsidRDefault="00E31C88" w:rsidP="00E31C88">
      <w:pPr>
        <w:pStyle w:val="ParaNumbering"/>
        <w:numPr>
          <w:ilvl w:val="0"/>
          <w:numId w:val="0"/>
        </w:numPr>
        <w:ind w:hanging="720"/>
      </w:pPr>
      <w:r w:rsidRPr="00991BE0">
        <w:rPr>
          <w:iCs/>
          <w:sz w:val="20"/>
        </w:rPr>
        <w:t>37</w:t>
      </w:r>
      <w:r w:rsidRPr="00991BE0">
        <w:rPr>
          <w:iCs/>
          <w:sz w:val="20"/>
        </w:rPr>
        <w:tab/>
      </w:r>
      <w:r w:rsidR="00120E96" w:rsidRPr="00AD37C3">
        <w:t>For the purpose of the DDO Product Owner Guide, American Express considered that the “Product Owner” for the DJs Cards was the Product Manager</w:t>
      </w:r>
      <w:r w:rsidR="004F55F0">
        <w:t>: SAFA [86].</w:t>
      </w:r>
      <w:r w:rsidR="00120E96" w:rsidRPr="00AD37C3">
        <w:t xml:space="preserve"> Prior to the commencement of the DDOs, American Express’</w:t>
      </w:r>
      <w:r w:rsidR="00ED267F">
        <w:t>s</w:t>
      </w:r>
      <w:r w:rsidR="00120E96" w:rsidRPr="00AD37C3">
        <w:t xml:space="preserve"> Project Management Office held sessions with Product Owners about the DDOs under the Act and the Guide</w:t>
      </w:r>
      <w:r w:rsidR="00ED267F">
        <w:t>: SAFA [</w:t>
      </w:r>
      <w:r w:rsidR="00CD67F8">
        <w:t>90</w:t>
      </w:r>
      <w:r w:rsidR="00ED267F">
        <w:t>].</w:t>
      </w:r>
    </w:p>
    <w:p w14:paraId="3C670A25" w14:textId="09C65977" w:rsidR="00120E96" w:rsidRPr="00AD37C3" w:rsidRDefault="00E31C88" w:rsidP="00E31C88">
      <w:pPr>
        <w:pStyle w:val="ParaNumbering"/>
        <w:numPr>
          <w:ilvl w:val="0"/>
          <w:numId w:val="0"/>
        </w:numPr>
        <w:ind w:hanging="720"/>
      </w:pPr>
      <w:r w:rsidRPr="00AD37C3">
        <w:rPr>
          <w:iCs/>
          <w:sz w:val="20"/>
        </w:rPr>
        <w:t>38</w:t>
      </w:r>
      <w:r w:rsidRPr="00AD37C3">
        <w:rPr>
          <w:iCs/>
          <w:sz w:val="20"/>
        </w:rPr>
        <w:tab/>
      </w:r>
      <w:r w:rsidR="00CD67F8">
        <w:t xml:space="preserve">Although </w:t>
      </w:r>
      <w:r w:rsidR="00120E96" w:rsidRPr="003610E2">
        <w:t xml:space="preserve">sessions </w:t>
      </w:r>
      <w:r w:rsidR="00120E96">
        <w:t xml:space="preserve">were held </w:t>
      </w:r>
      <w:r w:rsidR="00120E96" w:rsidRPr="003610E2">
        <w:t>with Product Owners explaining the design and distribution obligations and the DDO Product Owner Guide</w:t>
      </w:r>
      <w:r w:rsidR="00CD67F8">
        <w:t xml:space="preserve"> (SAFA [90])</w:t>
      </w:r>
      <w:r w:rsidR="009601C3">
        <w:t>,</w:t>
      </w:r>
      <w:r w:rsidR="00120E96">
        <w:t xml:space="preserve"> t</w:t>
      </w:r>
      <w:r w:rsidR="00120E96" w:rsidRPr="00991BE0">
        <w:t xml:space="preserve">he DDO Product Owner Guide did not </w:t>
      </w:r>
      <w:r w:rsidR="00120E96">
        <w:t xml:space="preserve">itself </w:t>
      </w:r>
      <w:r w:rsidR="00120E96" w:rsidRPr="00991BE0">
        <w:t>provide any guidance to Product Owners on how to determine if and when a review trigger had occurred, or an event or circumstance had occurred that would reasonably suggest that the TMDs for the Cards were no longer appropriate</w:t>
      </w:r>
      <w:r w:rsidR="009601C3">
        <w:t>: SAFA [89].</w:t>
      </w:r>
      <w:r w:rsidR="00120E96" w:rsidRPr="002E5E90">
        <w:t xml:space="preserve"> </w:t>
      </w:r>
      <w:r w:rsidR="00120E96" w:rsidRPr="003610E2">
        <w:t xml:space="preserve">Further, American Express did not otherwise prescribe predetermined numbers, rates or matrices for the purpose of identifying when a particular review trigger had occurred, or </w:t>
      </w:r>
      <w:r w:rsidR="00120E96">
        <w:t xml:space="preserve">otherwise </w:t>
      </w:r>
      <w:r w:rsidR="00120E96" w:rsidRPr="003610E2">
        <w:t>provide guidance as to what was meant by “abnormal cancellation rates”</w:t>
      </w:r>
      <w:r w:rsidR="00120E96">
        <w:t xml:space="preserve">. </w:t>
      </w:r>
      <w:r w:rsidR="00120E96" w:rsidRPr="003610E2">
        <w:t>Instead, American Express relied on the experienced and professional judgment of key staff involved in the David Jones Alliance to identify if and when a review trigger or a relevant event or circumstance had occurred</w:t>
      </w:r>
      <w:r w:rsidR="009601C3">
        <w:t>: SAFA [89].</w:t>
      </w:r>
    </w:p>
    <w:p w14:paraId="57FCF73F" w14:textId="712DEC12" w:rsidR="00120E96" w:rsidRPr="00AD37C3" w:rsidRDefault="00E31C88" w:rsidP="00E31C88">
      <w:pPr>
        <w:pStyle w:val="ParaNumbering"/>
        <w:numPr>
          <w:ilvl w:val="0"/>
          <w:numId w:val="0"/>
        </w:numPr>
        <w:ind w:hanging="720"/>
      </w:pPr>
      <w:r w:rsidRPr="00AD37C3">
        <w:rPr>
          <w:iCs/>
          <w:sz w:val="20"/>
        </w:rPr>
        <w:t>39</w:t>
      </w:r>
      <w:r w:rsidRPr="00AD37C3">
        <w:rPr>
          <w:iCs/>
          <w:sz w:val="20"/>
        </w:rPr>
        <w:tab/>
      </w:r>
      <w:r w:rsidR="00120E96" w:rsidRPr="00D860C4">
        <w:t>Significantly, during the Relevant Period, despite what was specified in the DDO Product Owner Guide</w:t>
      </w:r>
      <w:r w:rsidR="00120E96">
        <w:t xml:space="preserve"> </w:t>
      </w:r>
      <w:r w:rsidR="009601C3">
        <w:t>as referred to</w:t>
      </w:r>
      <w:r w:rsidR="00120E96">
        <w:t xml:space="preserve"> above</w:t>
      </w:r>
      <w:r w:rsidR="00120E96" w:rsidRPr="00D860C4">
        <w:t xml:space="preserve"> </w:t>
      </w:r>
      <w:r w:rsidR="00120E96" w:rsidRPr="003610E2">
        <w:t xml:space="preserve">and </w:t>
      </w:r>
      <w:r w:rsidR="00120E96">
        <w:t xml:space="preserve">outlined </w:t>
      </w:r>
      <w:r w:rsidR="00120E96" w:rsidRPr="003610E2">
        <w:t>in sessions with Product Owners explaining the design and distribution obligations and the DDO Product Owner Guide</w:t>
      </w:r>
      <w:r w:rsidR="00120E96">
        <w:t>,</w:t>
      </w:r>
      <w:r w:rsidR="00120E96" w:rsidRPr="00D860C4">
        <w:t xml:space="preserve"> the Product Managers for the DJs Cards were not aware who was responsible for deciding when a review trigger had occurred</w:t>
      </w:r>
      <w:r w:rsidR="00FE455B">
        <w:t>: SAFA [90], [91(b)].</w:t>
      </w:r>
      <w:r w:rsidR="00120E96" w:rsidRPr="00D860C4">
        <w:t xml:space="preserve"> Although the Cancellations Working Group was the primary forum in which the David Jones Alliance Director would consider and monitor cancell</w:t>
      </w:r>
      <w:r w:rsidR="00120E96">
        <w:t>ed application</w:t>
      </w:r>
      <w:r w:rsidR="00120E96" w:rsidRPr="002E5E90">
        <w:t xml:space="preserve"> rates </w:t>
      </w:r>
      <w:r w:rsidR="00120E96" w:rsidRPr="00E34946">
        <w:t xml:space="preserve">for the </w:t>
      </w:r>
      <w:r w:rsidR="00120E96" w:rsidRPr="00B466A7">
        <w:t xml:space="preserve">purpose of the DDOs, the Product Manager for the DJs Cards did not attend the meetings of the Cancellations Working Group and was not informed at any point </w:t>
      </w:r>
      <w:r w:rsidR="00120E96" w:rsidRPr="00B466A7">
        <w:lastRenderedPageBreak/>
        <w:t>during the Relevant Period that the monthly cancelled application rates for the DJs Cards were a review trigger or an event or circumstance that reasonably suggested that the TMDs were no longer appropriate for the purposes of the DDO. Nor did the Product Manager consider independently whether the monthly cancelled application rates were a review trigger or a relevant event or circumstance for the purpose of the DDOs</w:t>
      </w:r>
      <w:r w:rsidR="00910E6A">
        <w:t>: SAFA [91].</w:t>
      </w:r>
    </w:p>
    <w:p w14:paraId="1EA60282" w14:textId="6B748C0E" w:rsidR="00120E96" w:rsidRPr="00AD37C3" w:rsidRDefault="00E31C88" w:rsidP="00E31C88">
      <w:pPr>
        <w:pStyle w:val="ParaNumbering"/>
        <w:numPr>
          <w:ilvl w:val="0"/>
          <w:numId w:val="0"/>
        </w:numPr>
        <w:ind w:hanging="720"/>
      </w:pPr>
      <w:r w:rsidRPr="00AD37C3">
        <w:rPr>
          <w:iCs/>
          <w:sz w:val="20"/>
        </w:rPr>
        <w:t>40</w:t>
      </w:r>
      <w:r w:rsidRPr="00AD37C3">
        <w:rPr>
          <w:iCs/>
          <w:sz w:val="20"/>
        </w:rPr>
        <w:tab/>
      </w:r>
      <w:r w:rsidR="00120E96" w:rsidRPr="00AD37C3">
        <w:t>Further, although the Director of the David Jones Alliance</w:t>
      </w:r>
      <w:r w:rsidR="00120E96" w:rsidRPr="00910E6A">
        <w:t xml:space="preserve"> was </w:t>
      </w:r>
      <w:r w:rsidR="00120E96" w:rsidRPr="00AD37C3">
        <w:t>aware of the DDO and review triggers under the TMDs and attended the Cancellations Working Group meetings, the Director did not consider at any point during the Relevant Period whether the monthly cancelled application rates were a review trigger or a relevant event or circumstance for the purposes of the DDO</w:t>
      </w:r>
      <w:r w:rsidR="00CC6294">
        <w:t>: SAFA [93].</w:t>
      </w:r>
    </w:p>
    <w:p w14:paraId="61BAE7CD" w14:textId="5F700A8D" w:rsidR="00120E96" w:rsidRPr="00CC6294" w:rsidRDefault="00120E96" w:rsidP="00CC6294">
      <w:pPr>
        <w:pStyle w:val="Heading3"/>
        <w:rPr>
          <w:b w:val="0"/>
          <w:bCs/>
        </w:rPr>
      </w:pPr>
      <w:r w:rsidRPr="00CC6294">
        <w:rPr>
          <w:b w:val="0"/>
          <w:bCs/>
        </w:rPr>
        <w:t>American Express’</w:t>
      </w:r>
      <w:r w:rsidR="00CC6294" w:rsidRPr="00CC6294">
        <w:rPr>
          <w:b w:val="0"/>
          <w:bCs/>
        </w:rPr>
        <w:t>s</w:t>
      </w:r>
      <w:r w:rsidRPr="00CC6294">
        <w:rPr>
          <w:b w:val="0"/>
          <w:bCs/>
        </w:rPr>
        <w:t xml:space="preserve"> knowledge of a “circumstance”</w:t>
      </w:r>
    </w:p>
    <w:p w14:paraId="5A5B949D" w14:textId="6FC94170" w:rsidR="00120E96" w:rsidRPr="00AD37C3" w:rsidRDefault="00E31C88" w:rsidP="00E31C88">
      <w:pPr>
        <w:pStyle w:val="ParaNumbering"/>
        <w:numPr>
          <w:ilvl w:val="0"/>
          <w:numId w:val="0"/>
        </w:numPr>
        <w:ind w:hanging="720"/>
        <w:rPr>
          <w:lang w:eastAsia="en-AU"/>
        </w:rPr>
      </w:pPr>
      <w:bookmarkStart w:id="34" w:name="_Ref166171252"/>
      <w:r w:rsidRPr="00AD37C3">
        <w:rPr>
          <w:iCs/>
          <w:sz w:val="20"/>
          <w:lang w:eastAsia="en-AU"/>
        </w:rPr>
        <w:t>41</w:t>
      </w:r>
      <w:r w:rsidRPr="00AD37C3">
        <w:rPr>
          <w:iCs/>
          <w:sz w:val="20"/>
          <w:lang w:eastAsia="en-AU"/>
        </w:rPr>
        <w:tab/>
      </w:r>
      <w:r w:rsidR="00120E96" w:rsidRPr="00C71EEF">
        <w:t>Between October 2020 and October 2021, American Express was aware of high cancell</w:t>
      </w:r>
      <w:r w:rsidR="00120E96">
        <w:t>ed application</w:t>
      </w:r>
      <w:r w:rsidR="00120E96" w:rsidRPr="00C71EEF">
        <w:t xml:space="preserve"> rates for applications among customers who had applied for one of the DJs </w:t>
      </w:r>
      <w:r w:rsidR="00120E96" w:rsidRPr="00046585">
        <w:t>Cards at a David Jones store, including because some customers were unaware they had applied for a credit card, may have only been interested in an immediate mark-down</w:t>
      </w:r>
      <w:r w:rsidR="00967BB1">
        <w:t xml:space="preserve"> (i.e. </w:t>
      </w:r>
      <w:r w:rsidR="00120E96" w:rsidRPr="00046585">
        <w:t>discount</w:t>
      </w:r>
      <w:r w:rsidR="00967BB1">
        <w:t>)</w:t>
      </w:r>
      <w:r w:rsidR="00120E96" w:rsidRPr="00046585">
        <w:t xml:space="preserve"> and therefore did not subsequently complete their application, could not be reached by American Express to finalise the application, did not submit income verification documents to American Express, or because of an error with the application</w:t>
      </w:r>
      <w:bookmarkEnd w:id="34"/>
      <w:r w:rsidR="00967BB1">
        <w:t>: SAFA [98].</w:t>
      </w:r>
    </w:p>
    <w:p w14:paraId="06612F85" w14:textId="0E8718A6" w:rsidR="00120E96" w:rsidRPr="0013498A" w:rsidRDefault="00E31C88" w:rsidP="00E31C88">
      <w:pPr>
        <w:pStyle w:val="ParaNumbering"/>
        <w:numPr>
          <w:ilvl w:val="0"/>
          <w:numId w:val="0"/>
        </w:numPr>
        <w:ind w:hanging="720"/>
      </w:pPr>
      <w:r w:rsidRPr="0013498A">
        <w:rPr>
          <w:iCs/>
          <w:sz w:val="20"/>
        </w:rPr>
        <w:t>42</w:t>
      </w:r>
      <w:r w:rsidRPr="0013498A">
        <w:rPr>
          <w:iCs/>
          <w:sz w:val="20"/>
        </w:rPr>
        <w:tab/>
      </w:r>
      <w:r w:rsidR="00120E96" w:rsidRPr="0013498A">
        <w:t>On 26 August 2021, the Acquisition Manager for the David Jones Alliance at American Express sent an email to various staff of American Express and David Jones attaching an updated slide deck for the Cancellations Working Group for August that had taken place that day</w:t>
      </w:r>
      <w:r w:rsidR="003A6527">
        <w:t>: SAFA [95]</w:t>
      </w:r>
      <w:r w:rsidR="00095714">
        <w:t>.</w:t>
      </w:r>
      <w:r w:rsidR="00120E96" w:rsidRPr="0013498A">
        <w:t xml:space="preserve"> The slide deck contained a slide </w:t>
      </w:r>
      <w:r w:rsidR="00095714">
        <w:t>en</w:t>
      </w:r>
      <w:r w:rsidR="00120E96" w:rsidRPr="0013498A">
        <w:t>titled “Cancellations – KPIs”, which stated that</w:t>
      </w:r>
      <w:r w:rsidR="00095714">
        <w:t xml:space="preserve"> (SAFA [96]):</w:t>
      </w:r>
    </w:p>
    <w:p w14:paraId="5968A4AE" w14:textId="0D83A614" w:rsidR="00120E96" w:rsidRPr="0013498A" w:rsidRDefault="00E31C88" w:rsidP="00E31C88">
      <w:pPr>
        <w:pStyle w:val="ListNo1alt"/>
        <w:numPr>
          <w:ilvl w:val="0"/>
          <w:numId w:val="0"/>
        </w:numPr>
        <w:tabs>
          <w:tab w:val="left" w:pos="720"/>
        </w:tabs>
        <w:ind w:left="720" w:hanging="720"/>
      </w:pPr>
      <w:r w:rsidRPr="0013498A">
        <w:t>(a)</w:t>
      </w:r>
      <w:r w:rsidRPr="0013498A">
        <w:tab/>
      </w:r>
      <w:r w:rsidR="00120E96" w:rsidRPr="0013498A">
        <w:t xml:space="preserve">the average cancellation rate in 2020 was 52%; </w:t>
      </w:r>
    </w:p>
    <w:p w14:paraId="1E829D3A" w14:textId="58DC10F7" w:rsidR="00120E96" w:rsidRPr="00AD37C3" w:rsidRDefault="00E31C88" w:rsidP="00E31C88">
      <w:pPr>
        <w:pStyle w:val="ListNo1alt"/>
        <w:numPr>
          <w:ilvl w:val="0"/>
          <w:numId w:val="0"/>
        </w:numPr>
        <w:tabs>
          <w:tab w:val="left" w:pos="720"/>
        </w:tabs>
        <w:ind w:left="720" w:hanging="720"/>
      </w:pPr>
      <w:r w:rsidRPr="00AD37C3">
        <w:t>(b)</w:t>
      </w:r>
      <w:r w:rsidRPr="00AD37C3">
        <w:tab/>
      </w:r>
      <w:r w:rsidR="00120E96" w:rsidRPr="0013498A">
        <w:t>the target cancellation rate for 2021 was originally 45% and had been revised down to 35%.</w:t>
      </w:r>
      <w:r w:rsidR="00120E96" w:rsidRPr="00AD37C3">
        <w:t xml:space="preserve"> </w:t>
      </w:r>
    </w:p>
    <w:p w14:paraId="13D670C5" w14:textId="197FDA07" w:rsidR="00120E96" w:rsidRPr="00AD37C3" w:rsidRDefault="00E31C88" w:rsidP="00E31C88">
      <w:pPr>
        <w:pStyle w:val="ParaNumbering"/>
        <w:numPr>
          <w:ilvl w:val="0"/>
          <w:numId w:val="0"/>
        </w:numPr>
        <w:ind w:hanging="720"/>
        <w:rPr>
          <w:lang w:eastAsia="en-AU"/>
        </w:rPr>
      </w:pPr>
      <w:r w:rsidRPr="00AD37C3">
        <w:rPr>
          <w:iCs/>
          <w:sz w:val="20"/>
          <w:lang w:eastAsia="en-AU"/>
        </w:rPr>
        <w:t>43</w:t>
      </w:r>
      <w:r w:rsidRPr="00AD37C3">
        <w:rPr>
          <w:iCs/>
          <w:sz w:val="20"/>
          <w:lang w:eastAsia="en-AU"/>
        </w:rPr>
        <w:tab/>
      </w:r>
      <w:r w:rsidR="00120E96" w:rsidRPr="0013498A">
        <w:t>Each of the slide decks for the meetings of the Cancellations Working Group that took place on 29 September 2021, 12 October 2021,</w:t>
      </w:r>
      <w:r w:rsidR="00120E96" w:rsidRPr="0013498A">
        <w:rPr>
          <w:rStyle w:val="FootnoteReference"/>
          <w:rFonts w:eastAsia="Arial" w:cs="Arial"/>
        </w:rPr>
        <w:t xml:space="preserve"> </w:t>
      </w:r>
      <w:r w:rsidR="00120E96" w:rsidRPr="0013498A">
        <w:t xml:space="preserve">16 November 2021, 16 December 2021 and 2 February 2022 contained a similar slide </w:t>
      </w:r>
      <w:r w:rsidR="00B15AF2">
        <w:t>en</w:t>
      </w:r>
      <w:r w:rsidR="00120E96" w:rsidRPr="0013498A">
        <w:t xml:space="preserve">titled “Cancellations – KPIs”, which stated that the average cancellation rate in 2020 was 52% and that the target cancellation </w:t>
      </w:r>
      <w:r w:rsidR="00120E96" w:rsidRPr="00AD37C3">
        <w:t>rate</w:t>
      </w:r>
      <w:r w:rsidR="00120E96" w:rsidRPr="0013498A">
        <w:t xml:space="preserve"> in 2021 was 35%</w:t>
      </w:r>
      <w:r w:rsidR="00B15AF2">
        <w:t>: SAFA [97].</w:t>
      </w:r>
    </w:p>
    <w:p w14:paraId="24B0FFF9" w14:textId="650C0745" w:rsidR="00120E96" w:rsidRPr="00AD37C3" w:rsidRDefault="00E31C88" w:rsidP="00E31C88">
      <w:pPr>
        <w:pStyle w:val="ParaNumbering"/>
        <w:numPr>
          <w:ilvl w:val="0"/>
          <w:numId w:val="0"/>
        </w:numPr>
        <w:ind w:hanging="720"/>
        <w:rPr>
          <w:lang w:eastAsia="en-AU"/>
        </w:rPr>
      </w:pPr>
      <w:r w:rsidRPr="00AD37C3">
        <w:rPr>
          <w:iCs/>
          <w:sz w:val="20"/>
          <w:lang w:eastAsia="en-AU"/>
        </w:rPr>
        <w:lastRenderedPageBreak/>
        <w:t>44</w:t>
      </w:r>
      <w:r w:rsidRPr="00AD37C3">
        <w:rPr>
          <w:iCs/>
          <w:sz w:val="20"/>
          <w:lang w:eastAsia="en-AU"/>
        </w:rPr>
        <w:tab/>
      </w:r>
      <w:r w:rsidR="00120E96" w:rsidRPr="0013498A">
        <w:t xml:space="preserve">In addition, following lower than historical </w:t>
      </w:r>
      <w:r w:rsidR="00120E96" w:rsidRPr="002C3BC4">
        <w:t>cancell</w:t>
      </w:r>
      <w:r w:rsidR="00120E96">
        <w:t>ed application</w:t>
      </w:r>
      <w:r w:rsidR="00120E96" w:rsidRPr="0013498A">
        <w:t xml:space="preserve"> rates in November and December 2021</w:t>
      </w:r>
      <w:r w:rsidR="009D05C0">
        <w:t xml:space="preserve"> (SAFA [99]–[101]</w:t>
      </w:r>
      <w:r w:rsidR="00D65916">
        <w:t>)</w:t>
      </w:r>
      <w:r w:rsidR="00B856AE">
        <w:t>,</w:t>
      </w:r>
      <w:r w:rsidR="00120E96" w:rsidRPr="0013498A">
        <w:t xml:space="preserve"> between January and May 2022, the Acquisition Manager sent monthly emails to David Jones staff attaching the Cancellation Insights Report which referred to “headline” </w:t>
      </w:r>
      <w:r w:rsidR="00120E96" w:rsidRPr="002C3BC4">
        <w:t>cancell</w:t>
      </w:r>
      <w:r w:rsidR="00120E96">
        <w:t>ed application</w:t>
      </w:r>
      <w:r w:rsidR="00120E96" w:rsidRPr="0013498A">
        <w:t xml:space="preserve"> rates ranging from 42% to 60%</w:t>
      </w:r>
      <w:r w:rsidR="00D65916">
        <w:t xml:space="preserve"> (SAFA [102]–</w:t>
      </w:r>
      <w:r w:rsidR="00120E96" w:rsidRPr="0013498A">
        <w:t xml:space="preserve"> </w:t>
      </w:r>
      <w:r w:rsidR="00D65916">
        <w:t>[106], [109])</w:t>
      </w:r>
      <w:r w:rsidR="000E0A4C">
        <w:t xml:space="preserve">. </w:t>
      </w:r>
      <w:r w:rsidR="00120E96" w:rsidRPr="00AD37C3">
        <w:t xml:space="preserve">The Cancellations Working Group was paused from January 2022. Accordingly, American Express and David Jones did not meet in April or May 2022 to consider the </w:t>
      </w:r>
      <w:r w:rsidR="00120E96" w:rsidRPr="002C3BC4">
        <w:t>cancell</w:t>
      </w:r>
      <w:r w:rsidR="00120E96">
        <w:t>ed application</w:t>
      </w:r>
      <w:r w:rsidR="00120E96" w:rsidRPr="00AD37C3">
        <w:t xml:space="preserve"> rates for in</w:t>
      </w:r>
      <w:r w:rsidR="003F40D2">
        <w:t>-</w:t>
      </w:r>
      <w:r w:rsidR="00120E96" w:rsidRPr="00AD37C3">
        <w:t>store applications of the Cards in the month of April 2022</w:t>
      </w:r>
      <w:r w:rsidR="000E0A4C">
        <w:t>: SAFA [109]</w:t>
      </w:r>
      <w:r w:rsidR="000E0A4C" w:rsidRPr="000E0A4C">
        <w:t xml:space="preserve"> </w:t>
      </w:r>
      <w:r w:rsidR="000E0A4C">
        <w:t>–</w:t>
      </w:r>
      <w:r w:rsidR="00CE5D63">
        <w:t>[110].</w:t>
      </w:r>
    </w:p>
    <w:p w14:paraId="3558B518" w14:textId="63D45D4C" w:rsidR="00120E96" w:rsidRPr="0013498A" w:rsidRDefault="00E31C88" w:rsidP="00E31C88">
      <w:pPr>
        <w:pStyle w:val="ParaNumbering"/>
        <w:numPr>
          <w:ilvl w:val="0"/>
          <w:numId w:val="0"/>
        </w:numPr>
        <w:ind w:hanging="720"/>
        <w:rPr>
          <w:rFonts w:eastAsia="Arial"/>
        </w:rPr>
      </w:pPr>
      <w:r w:rsidRPr="0013498A">
        <w:rPr>
          <w:rFonts w:eastAsia="Arial"/>
          <w:iCs/>
          <w:sz w:val="20"/>
        </w:rPr>
        <w:t>45</w:t>
      </w:r>
      <w:r w:rsidRPr="0013498A">
        <w:rPr>
          <w:rFonts w:eastAsia="Arial"/>
          <w:iCs/>
          <w:sz w:val="20"/>
        </w:rPr>
        <w:tab/>
      </w:r>
      <w:r w:rsidR="00120E96" w:rsidRPr="0013498A">
        <w:t xml:space="preserve">From December 2021 to March 2022, American Express was aware of high headline rates of </w:t>
      </w:r>
      <w:r w:rsidR="00120E96" w:rsidRPr="00AD37C3">
        <w:t>cancelled</w:t>
      </w:r>
      <w:r w:rsidR="00120E96" w:rsidRPr="0013498A">
        <w:t xml:space="preserve"> applications and took steps to monitor and reduce in</w:t>
      </w:r>
      <w:r w:rsidR="003F40D2">
        <w:t>-</w:t>
      </w:r>
      <w:r w:rsidR="00120E96" w:rsidRPr="0013498A">
        <w:t>store cancellations</w:t>
      </w:r>
      <w:r w:rsidR="00CE5D63">
        <w:t xml:space="preserve">: SAFA [106]. </w:t>
      </w:r>
      <w:r w:rsidR="00120E96" w:rsidRPr="0013498A">
        <w:t xml:space="preserve">These efforts included </w:t>
      </w:r>
      <w:r w:rsidR="00120E96" w:rsidRPr="0013498A">
        <w:rPr>
          <w:rFonts w:cs="Arial"/>
        </w:rPr>
        <w:t xml:space="preserve">engaging with David Jones to seek to understand the reasons for the high </w:t>
      </w:r>
      <w:r w:rsidR="00120E96" w:rsidRPr="002C3BC4">
        <w:t>cancell</w:t>
      </w:r>
      <w:r w:rsidR="00120E96">
        <w:t>ed application</w:t>
      </w:r>
      <w:r w:rsidR="00120E96" w:rsidRPr="0013498A">
        <w:rPr>
          <w:rFonts w:cs="Arial"/>
        </w:rPr>
        <w:t xml:space="preserve"> rates and</w:t>
      </w:r>
      <w:r w:rsidR="00120E96" w:rsidRPr="0013498A">
        <w:rPr>
          <w:rFonts w:eastAsia="Arial"/>
        </w:rPr>
        <w:t xml:space="preserve"> </w:t>
      </w:r>
      <w:r w:rsidR="00120E96" w:rsidRPr="0013498A">
        <w:rPr>
          <w:rFonts w:cs="Arial"/>
        </w:rPr>
        <w:t>identifying the key drivers of cancellations and implementing action plans to address those reasons</w:t>
      </w:r>
      <w:r w:rsidR="00CE5D63">
        <w:rPr>
          <w:rFonts w:cs="Arial"/>
        </w:rPr>
        <w:t>: SAFA [106].</w:t>
      </w:r>
      <w:r w:rsidR="00120E96" w:rsidRPr="0013498A">
        <w:rPr>
          <w:rFonts w:cs="Arial"/>
        </w:rPr>
        <w:t xml:space="preserve"> </w:t>
      </w:r>
      <w:r w:rsidR="003F40D2">
        <w:rPr>
          <w:rFonts w:cs="Arial"/>
        </w:rPr>
        <w:t xml:space="preserve">Despite </w:t>
      </w:r>
      <w:r w:rsidR="00120E96" w:rsidRPr="0013498A">
        <w:rPr>
          <w:rFonts w:cs="Arial"/>
        </w:rPr>
        <w:t>these efforts, the rates of cancelled applications did not reduce, and instead increased</w:t>
      </w:r>
      <w:r w:rsidR="0007267A">
        <w:rPr>
          <w:rFonts w:cs="Arial"/>
        </w:rPr>
        <w:t>: SAFA [108].</w:t>
      </w:r>
      <w:r w:rsidR="00120E96" w:rsidRPr="0013498A">
        <w:rPr>
          <w:rFonts w:cs="Arial"/>
        </w:rPr>
        <w:t xml:space="preserve"> </w:t>
      </w:r>
      <w:bookmarkStart w:id="35" w:name="_Ref156382616"/>
    </w:p>
    <w:p w14:paraId="2728380E" w14:textId="474F795E" w:rsidR="00120E96" w:rsidRPr="0013498A" w:rsidRDefault="00E31C88" w:rsidP="00E31C88">
      <w:pPr>
        <w:pStyle w:val="ParaNumbering"/>
        <w:numPr>
          <w:ilvl w:val="0"/>
          <w:numId w:val="0"/>
        </w:numPr>
        <w:ind w:hanging="720"/>
        <w:rPr>
          <w:rFonts w:eastAsia="Arial"/>
        </w:rPr>
      </w:pPr>
      <w:bookmarkStart w:id="36" w:name="_Ref161049252"/>
      <w:r w:rsidRPr="0013498A">
        <w:rPr>
          <w:rFonts w:eastAsia="Arial"/>
          <w:iCs/>
          <w:sz w:val="20"/>
        </w:rPr>
        <w:t>46</w:t>
      </w:r>
      <w:r w:rsidRPr="0013498A">
        <w:rPr>
          <w:rFonts w:eastAsia="Arial"/>
          <w:iCs/>
          <w:sz w:val="20"/>
        </w:rPr>
        <w:tab/>
      </w:r>
      <w:r w:rsidR="00120E96" w:rsidRPr="0013498A">
        <w:t>By 11 May 2022,</w:t>
      </w:r>
      <w:bookmarkEnd w:id="35"/>
      <w:r w:rsidR="00120E96" w:rsidRPr="0013498A">
        <w:rPr>
          <w:rFonts w:eastAsia="Arial"/>
        </w:rPr>
        <w:t xml:space="preserve"> the </w:t>
      </w:r>
      <w:r w:rsidR="00120E96">
        <w:rPr>
          <w:rFonts w:eastAsia="Arial"/>
        </w:rPr>
        <w:t>headline monthly rate of cancelled applications</w:t>
      </w:r>
      <w:r w:rsidR="00120E96" w:rsidRPr="0013498A">
        <w:rPr>
          <w:rFonts w:eastAsia="Arial"/>
        </w:rPr>
        <w:t xml:space="preserve"> for the Cards applied for in David Jones was 60%</w:t>
      </w:r>
      <w:r w:rsidR="009365A9">
        <w:rPr>
          <w:rFonts w:eastAsia="Arial"/>
        </w:rPr>
        <w:t>: SAFA [111(a)].</w:t>
      </w:r>
      <w:r w:rsidR="00120E96" w:rsidRPr="0013498A">
        <w:rPr>
          <w:rFonts w:eastAsia="Arial"/>
        </w:rPr>
        <w:t xml:space="preserve"> T</w:t>
      </w:r>
      <w:r w:rsidR="00120E96" w:rsidRPr="0013498A">
        <w:t>he high rates of cancelled applications had become entrenched and</w:t>
      </w:r>
      <w:r w:rsidR="00120E96" w:rsidRPr="0013498A">
        <w:rPr>
          <w:rFonts w:eastAsia="Arial"/>
        </w:rPr>
        <w:t xml:space="preserve"> </w:t>
      </w:r>
      <w:r w:rsidR="00120E96" w:rsidRPr="0013498A">
        <w:t>the actions taken by American Express and David Jones to address these rates were not working</w:t>
      </w:r>
      <w:r w:rsidR="003F40D2">
        <w:t xml:space="preserve">: [111(b) and </w:t>
      </w:r>
      <w:r w:rsidR="005E4310">
        <w:t>(c)]. These were</w:t>
      </w:r>
      <w:r w:rsidR="00120E96" w:rsidRPr="0013498A">
        <w:t xml:space="preserve"> matters in respect of which American Express had actual knowledge</w:t>
      </w:r>
      <w:bookmarkEnd w:id="36"/>
      <w:r w:rsidR="005F7830">
        <w:t>: SAFA [112].</w:t>
      </w:r>
    </w:p>
    <w:p w14:paraId="4CFB3EDC" w14:textId="51D08371" w:rsidR="00120E96" w:rsidRPr="0013498A" w:rsidRDefault="00E31C88" w:rsidP="00E31C88">
      <w:pPr>
        <w:pStyle w:val="ParaNumbering"/>
        <w:numPr>
          <w:ilvl w:val="0"/>
          <w:numId w:val="0"/>
        </w:numPr>
        <w:ind w:hanging="720"/>
        <w:rPr>
          <w:rFonts w:eastAsia="Arial"/>
        </w:rPr>
      </w:pPr>
      <w:r w:rsidRPr="0013498A">
        <w:rPr>
          <w:rFonts w:eastAsia="Arial"/>
          <w:iCs/>
          <w:sz w:val="20"/>
        </w:rPr>
        <w:t>47</w:t>
      </w:r>
      <w:r w:rsidRPr="0013498A">
        <w:rPr>
          <w:rFonts w:eastAsia="Arial"/>
          <w:iCs/>
          <w:sz w:val="20"/>
        </w:rPr>
        <w:tab/>
      </w:r>
      <w:r w:rsidR="00120E96" w:rsidRPr="0013498A">
        <w:t>The circumstance referred to in the preceding paragraph reasonably suggested that the TMDs were no longer appropriate</w:t>
      </w:r>
      <w:r w:rsidR="00CA4B69">
        <w:t>: SAFA [113]</w:t>
      </w:r>
      <w:r w:rsidR="00120E96" w:rsidRPr="0013498A">
        <w:t>. That is because it would no longer be reasonable to conclude that if the DJs Cards were issued to a retail client in-store in accordance with the distribution conditions in the TMDs, it would be likely that the retail client was in the target market or, if the retail client was in the target market, it would likely be consistent with the likely objectives, financial situation and needs of the retail client</w:t>
      </w:r>
      <w:r w:rsidR="005F7830">
        <w:rPr>
          <w:rFonts w:cs="Arial"/>
        </w:rPr>
        <w:t>: SAFA [113].</w:t>
      </w:r>
    </w:p>
    <w:p w14:paraId="5DA76C97" w14:textId="54AFBAE1" w:rsidR="00120E96" w:rsidRDefault="00CA4B69" w:rsidP="005F7830">
      <w:pPr>
        <w:pStyle w:val="Heading3"/>
        <w:rPr>
          <w:b w:val="0"/>
          <w:bCs/>
        </w:rPr>
      </w:pPr>
      <w:r>
        <w:rPr>
          <w:b w:val="0"/>
          <w:bCs/>
        </w:rPr>
        <w:t xml:space="preserve">Admitted </w:t>
      </w:r>
      <w:r w:rsidR="00120E96" w:rsidRPr="00B60475">
        <w:rPr>
          <w:b w:val="0"/>
          <w:bCs/>
        </w:rPr>
        <w:t>Contraventions of the Act</w:t>
      </w:r>
    </w:p>
    <w:p w14:paraId="0B4DC17A" w14:textId="7D94D586" w:rsidR="00AD51B2" w:rsidRDefault="00E31C88" w:rsidP="00E31C88">
      <w:pPr>
        <w:pStyle w:val="ParaNumbering"/>
        <w:numPr>
          <w:ilvl w:val="0"/>
          <w:numId w:val="0"/>
        </w:numPr>
        <w:ind w:hanging="720"/>
      </w:pPr>
      <w:r>
        <w:rPr>
          <w:iCs/>
          <w:sz w:val="20"/>
        </w:rPr>
        <w:t>48</w:t>
      </w:r>
      <w:r>
        <w:rPr>
          <w:iCs/>
          <w:sz w:val="20"/>
        </w:rPr>
        <w:tab/>
      </w:r>
      <w:r w:rsidR="00B60475" w:rsidRPr="00DC2E58">
        <w:t xml:space="preserve">American Express admits that, by reason of the matters at [94] to [111] of the SAFA, by 11 May 2022, it knew that </w:t>
      </w:r>
      <w:r w:rsidR="00B60475">
        <w:t xml:space="preserve">a circumstance had occurred </w:t>
      </w:r>
      <w:r w:rsidR="00B60475" w:rsidRPr="00DC2E58">
        <w:t xml:space="preserve">in respect of each of the </w:t>
      </w:r>
      <w:r w:rsidR="00B60475" w:rsidRPr="00DC2E58">
        <w:rPr>
          <w:color w:val="000000" w:themeColor="text1"/>
        </w:rPr>
        <w:t xml:space="preserve">DJs </w:t>
      </w:r>
      <w:r w:rsidR="00B60475" w:rsidRPr="00DC2E58">
        <w:t xml:space="preserve">Cards </w:t>
      </w:r>
      <w:r w:rsidR="00B60475">
        <w:t>(</w:t>
      </w:r>
      <w:r w:rsidR="00406CE4">
        <w:t>namely</w:t>
      </w:r>
      <w:r w:rsidR="00B60475">
        <w:t xml:space="preserve"> the matters specified at [111] of the SAFA)</w:t>
      </w:r>
      <w:r w:rsidR="0070001E">
        <w:t>. Para 111 of the SAFA is as follows:</w:t>
      </w:r>
    </w:p>
    <w:p w14:paraId="56BF0A31" w14:textId="384D6A8E" w:rsidR="00AD51B2" w:rsidRDefault="00AD51B2" w:rsidP="005A0241">
      <w:pPr>
        <w:pStyle w:val="Quote1"/>
        <w:spacing w:after="0"/>
      </w:pPr>
      <w:r>
        <w:t>By 11 May 2022:</w:t>
      </w:r>
    </w:p>
    <w:p w14:paraId="1BF4BCBF" w14:textId="77777777" w:rsidR="005A0241" w:rsidRDefault="005A0241" w:rsidP="005A0241">
      <w:pPr>
        <w:pStyle w:val="Quote1"/>
        <w:spacing w:after="0"/>
      </w:pPr>
    </w:p>
    <w:p w14:paraId="77A772F5" w14:textId="2051CF92" w:rsidR="00AD51B2" w:rsidRDefault="00E31C88" w:rsidP="00E31C88">
      <w:pPr>
        <w:pStyle w:val="Quote1"/>
        <w:spacing w:after="0"/>
        <w:ind w:left="1097" w:hanging="360"/>
      </w:pPr>
      <w:r>
        <w:t>a.</w:t>
      </w:r>
      <w:r>
        <w:tab/>
      </w:r>
      <w:r w:rsidR="00AD51B2">
        <w:t xml:space="preserve">the headline monthly </w:t>
      </w:r>
      <w:r w:rsidR="001032C4">
        <w:t xml:space="preserve">rate of cancelled applications for the DJs Cards applied for </w:t>
      </w:r>
      <w:r w:rsidR="001032C4">
        <w:lastRenderedPageBreak/>
        <w:t>in David Jones stores was 60%</w:t>
      </w:r>
      <w:r w:rsidR="005A0241">
        <w:t>;</w:t>
      </w:r>
    </w:p>
    <w:p w14:paraId="625759E6" w14:textId="02195155" w:rsidR="005A0241" w:rsidRDefault="00E31C88" w:rsidP="00E31C88">
      <w:pPr>
        <w:pStyle w:val="Quote1"/>
        <w:spacing w:after="0"/>
        <w:ind w:left="1097" w:hanging="360"/>
      </w:pPr>
      <w:r>
        <w:t>b.</w:t>
      </w:r>
      <w:r>
        <w:tab/>
      </w:r>
      <w:r w:rsidR="005A0241">
        <w:t>high rates of cancelled applications had become entrenched; and</w:t>
      </w:r>
    </w:p>
    <w:p w14:paraId="191F0FDB" w14:textId="7D7EBCAE" w:rsidR="005A0241" w:rsidRDefault="00E31C88" w:rsidP="00E31C88">
      <w:pPr>
        <w:pStyle w:val="Quote1"/>
        <w:spacing w:after="0"/>
        <w:ind w:left="1097" w:hanging="360"/>
      </w:pPr>
      <w:r>
        <w:t>c.</w:t>
      </w:r>
      <w:r>
        <w:tab/>
      </w:r>
      <w:r w:rsidR="005A0241">
        <w:t>the actions taken by American Express to address these rates were not working.</w:t>
      </w:r>
    </w:p>
    <w:p w14:paraId="26551429" w14:textId="528CFB1F" w:rsidR="00B60475" w:rsidRPr="00335EF2" w:rsidRDefault="00675698" w:rsidP="00675698">
      <w:pPr>
        <w:pStyle w:val="NoNum"/>
      </w:pPr>
      <w:r>
        <w:t xml:space="preserve">It is an agreed fact that </w:t>
      </w:r>
      <w:r w:rsidR="009B2A55">
        <w:t xml:space="preserve">that </w:t>
      </w:r>
      <w:r w:rsidR="00B60475">
        <w:t xml:space="preserve">circumstance </w:t>
      </w:r>
      <w:r w:rsidR="00B60475" w:rsidRPr="00335EF2">
        <w:t xml:space="preserve">reasonably suggested that the TMDs for the </w:t>
      </w:r>
      <w:r w:rsidR="00B60475" w:rsidRPr="00335EF2">
        <w:rPr>
          <w:color w:val="000000" w:themeColor="text1"/>
        </w:rPr>
        <w:t xml:space="preserve">DJs </w:t>
      </w:r>
      <w:r w:rsidR="00B60475" w:rsidRPr="00335EF2">
        <w:t>Cards were no longer appropriate</w:t>
      </w:r>
      <w:r w:rsidR="0049477B">
        <w:t xml:space="preserve"> (SAFA at [113]). However, it is also agreed that American Express did not have actual knowledge that the circumstance identified at [111]</w:t>
      </w:r>
      <w:r w:rsidR="00C52B66">
        <w:t xml:space="preserve"> of the SAFA reasonably suggested that the TMDs were no longer appropriate: SAFA at [114].</w:t>
      </w:r>
    </w:p>
    <w:p w14:paraId="28F32510" w14:textId="6A6D4862" w:rsidR="00B60475" w:rsidRPr="00335EF2" w:rsidRDefault="00E31C88" w:rsidP="00E31C88">
      <w:pPr>
        <w:pStyle w:val="ParaNumbering"/>
        <w:numPr>
          <w:ilvl w:val="0"/>
          <w:numId w:val="0"/>
        </w:numPr>
        <w:ind w:hanging="720"/>
      </w:pPr>
      <w:r w:rsidRPr="00335EF2">
        <w:rPr>
          <w:iCs/>
          <w:sz w:val="20"/>
        </w:rPr>
        <w:t>49</w:t>
      </w:r>
      <w:r w:rsidRPr="00335EF2">
        <w:rPr>
          <w:iCs/>
          <w:sz w:val="20"/>
        </w:rPr>
        <w:tab/>
      </w:r>
      <w:r w:rsidR="00B60475" w:rsidRPr="00335EF2">
        <w:t xml:space="preserve">In those circumstances, American Express admits that, in the period from 25 May 2022 to 5 July 2022, it contravened: </w:t>
      </w:r>
    </w:p>
    <w:p w14:paraId="12E1AB2F" w14:textId="03518BCF" w:rsidR="00B60475" w:rsidRPr="00335EF2" w:rsidRDefault="00E31C88" w:rsidP="00E31C88">
      <w:pPr>
        <w:pStyle w:val="ListNo1alt"/>
        <w:numPr>
          <w:ilvl w:val="0"/>
          <w:numId w:val="0"/>
        </w:numPr>
        <w:tabs>
          <w:tab w:val="left" w:pos="720"/>
        </w:tabs>
        <w:ind w:left="720" w:hanging="720"/>
      </w:pPr>
      <w:r w:rsidRPr="00335EF2">
        <w:t>(a)</w:t>
      </w:r>
      <w:r w:rsidRPr="00335EF2">
        <w:tab/>
      </w:r>
      <w:r w:rsidR="00B60475" w:rsidRPr="00335EF2">
        <w:t xml:space="preserve">s 994C(4) of the Act by failing to cease issuing each of the </w:t>
      </w:r>
      <w:r w:rsidR="00B60475" w:rsidRPr="00C406D9">
        <w:rPr>
          <w:color w:val="000000" w:themeColor="text1"/>
        </w:rPr>
        <w:t xml:space="preserve">DJs </w:t>
      </w:r>
      <w:r w:rsidR="00B60475" w:rsidRPr="00335EF2">
        <w:t>Cards; and</w:t>
      </w:r>
    </w:p>
    <w:p w14:paraId="7670F1C7" w14:textId="30DC0250" w:rsidR="00B60475" w:rsidRPr="00335EF2" w:rsidRDefault="00E31C88" w:rsidP="00E31C88">
      <w:pPr>
        <w:pStyle w:val="ListNo1alt"/>
        <w:numPr>
          <w:ilvl w:val="0"/>
          <w:numId w:val="0"/>
        </w:numPr>
        <w:tabs>
          <w:tab w:val="left" w:pos="720"/>
        </w:tabs>
        <w:ind w:left="720" w:hanging="720"/>
      </w:pPr>
      <w:r w:rsidRPr="00335EF2">
        <w:t>(b)</w:t>
      </w:r>
      <w:r w:rsidRPr="00335EF2">
        <w:tab/>
      </w:r>
      <w:r w:rsidR="00B60475" w:rsidRPr="00335EF2">
        <w:t xml:space="preserve">s 994C(5) of the Act by failing to take all reasonable steps to ensure that David Jones was informed that it must not continue distributing each of the </w:t>
      </w:r>
      <w:r w:rsidR="00B60475" w:rsidRPr="00335EF2">
        <w:rPr>
          <w:color w:val="000000" w:themeColor="text1"/>
        </w:rPr>
        <w:t xml:space="preserve">DJs </w:t>
      </w:r>
      <w:r w:rsidR="00B60475" w:rsidRPr="00335EF2">
        <w:t>Cards,</w:t>
      </w:r>
    </w:p>
    <w:p w14:paraId="65F858F9" w14:textId="4C69BE62" w:rsidR="00B60475" w:rsidRDefault="00B60475" w:rsidP="00357267">
      <w:pPr>
        <w:pStyle w:val="NoNum"/>
      </w:pPr>
      <w:r w:rsidRPr="00335EF2">
        <w:t>when it knew that a circumstance had occurred</w:t>
      </w:r>
      <w:r w:rsidR="00357267">
        <w:t>,</w:t>
      </w:r>
      <w:r w:rsidRPr="00335EF2">
        <w:t xml:space="preserve"> </w:t>
      </w:r>
      <w:r w:rsidRPr="00CB7984">
        <w:t xml:space="preserve">and </w:t>
      </w:r>
      <w:r w:rsidR="00357267">
        <w:t>(as a matter of objective fact</w:t>
      </w:r>
      <w:r w:rsidR="008529D3">
        <w:t xml:space="preserve">, but not to American Express’s actual knowledge) </w:t>
      </w:r>
      <w:r w:rsidRPr="00CB7984">
        <w:t>that circumstance</w:t>
      </w:r>
      <w:r w:rsidRPr="00DC2E58">
        <w:t xml:space="preserve"> reasonably suggested that the TMDs were no longer appropriate</w:t>
      </w:r>
      <w:r w:rsidR="008529D3">
        <w:t xml:space="preserve">: </w:t>
      </w:r>
      <w:r w:rsidR="00C71A16">
        <w:t>SAFA [112]–[114]</w:t>
      </w:r>
      <w:r w:rsidR="00C66672">
        <w:t>; SSAFA [4] and [6]</w:t>
      </w:r>
      <w:r w:rsidR="00F74285">
        <w:t>.</w:t>
      </w:r>
      <w:r w:rsidR="0067497F">
        <w:t xml:space="preserve"> Whether I accept that admission depends on whether I accept the parties’ construction of subss 994C(4)(c) and (5)(c), which I deal with below.</w:t>
      </w:r>
      <w:r w:rsidR="001335E9">
        <w:t xml:space="preserve"> As I explain, I reject the parties’ construction, with the result that I do not accept American Express’s admission as to its contravention arising in this way</w:t>
      </w:r>
      <w:r w:rsidR="00B54584">
        <w:t>, and I do not accept that American Express contravened s 994C(5) at all.</w:t>
      </w:r>
    </w:p>
    <w:p w14:paraId="4B6B774A" w14:textId="2442C714" w:rsidR="0067497F" w:rsidRDefault="00E31C88" w:rsidP="00E31C88">
      <w:pPr>
        <w:pStyle w:val="ParaNumbering"/>
        <w:numPr>
          <w:ilvl w:val="0"/>
          <w:numId w:val="0"/>
        </w:numPr>
        <w:ind w:hanging="720"/>
      </w:pPr>
      <w:r>
        <w:rPr>
          <w:iCs/>
          <w:sz w:val="20"/>
        </w:rPr>
        <w:t>50</w:t>
      </w:r>
      <w:r>
        <w:rPr>
          <w:iCs/>
          <w:sz w:val="20"/>
        </w:rPr>
        <w:tab/>
      </w:r>
      <w:r w:rsidR="0067497F">
        <w:t>In addition, it is common ground between the parties that by 11 May 2022 American Express</w:t>
      </w:r>
      <w:r w:rsidR="00DF3619">
        <w:t xml:space="preserve"> ought reasonably to have known that the matters set out in SAFA [111]</w:t>
      </w:r>
      <w:r w:rsidR="0094356C">
        <w:t xml:space="preserve"> (of which it had actual knowledge)</w:t>
      </w:r>
      <w:r w:rsidR="00DF3619">
        <w:t xml:space="preserve"> constituted the occurrence of a circumstance that reasonably suggested that the TMDs were no longer appropriate</w:t>
      </w:r>
      <w:r w:rsidR="00153B13">
        <w:t>: SSAFA [5]–[6].</w:t>
      </w:r>
      <w:r w:rsidR="00DF3619">
        <w:t xml:space="preserve"> </w:t>
      </w:r>
      <w:r w:rsidR="009B04ED">
        <w:t>In my view, that conclusion is correct, and is amply established by the matters set out in the SAFA [94]</w:t>
      </w:r>
      <w:r w:rsidR="0053112E">
        <w:t xml:space="preserve">–[113] which I have summarised above under the sub-heading “American Express’s knowledge of a ‘circumstance’”. </w:t>
      </w:r>
      <w:r w:rsidR="00DF3619">
        <w:t>It is also admitted that by 25 May 2022 (i</w:t>
      </w:r>
      <w:r w:rsidR="00C4563F">
        <w:t>e</w:t>
      </w:r>
      <w:r w:rsidR="00DF3619">
        <w:t xml:space="preserve"> 10 business days after 11 May</w:t>
      </w:r>
      <w:r w:rsidR="00CD59A4">
        <w:t xml:space="preserve"> 2022) American Express did not review the TMDs for the DJs Cards or cease issuing the DJs Cards: SAFA [115]. On the basis of those particular admissions</w:t>
      </w:r>
      <w:r w:rsidR="00B828C8">
        <w:t xml:space="preserve"> concerning</w:t>
      </w:r>
      <w:r w:rsidR="00737253">
        <w:t xml:space="preserve"> constructive knowledge</w:t>
      </w:r>
      <w:r w:rsidR="00CD59A4">
        <w:t>, I accept that American Express contravened s 994C(4)</w:t>
      </w:r>
      <w:r w:rsidR="00153B13">
        <w:t>, but not s 994C(5)</w:t>
      </w:r>
    </w:p>
    <w:p w14:paraId="765E2AB6" w14:textId="2DFED51F" w:rsidR="009A0A39" w:rsidRDefault="00E31C88" w:rsidP="00E31C88">
      <w:pPr>
        <w:pStyle w:val="ParaNumbering"/>
        <w:numPr>
          <w:ilvl w:val="0"/>
          <w:numId w:val="0"/>
        </w:numPr>
        <w:ind w:hanging="720"/>
      </w:pPr>
      <w:r>
        <w:rPr>
          <w:iCs/>
          <w:sz w:val="20"/>
        </w:rPr>
        <w:t>51</w:t>
      </w:r>
      <w:r>
        <w:rPr>
          <w:iCs/>
          <w:sz w:val="20"/>
        </w:rPr>
        <w:tab/>
      </w:r>
      <w:r w:rsidR="003C1A71">
        <w:t xml:space="preserve">I note that </w:t>
      </w:r>
      <w:r w:rsidR="00474EA4">
        <w:t>f</w:t>
      </w:r>
      <w:r w:rsidR="00AA6E0F">
        <w:t>rom 5 July 2022, American Express ceased issuing the DJs Cards</w:t>
      </w:r>
      <w:r w:rsidR="00474EA4">
        <w:t xml:space="preserve"> (SAFA [12] and [14]</w:t>
      </w:r>
      <w:r w:rsidR="00F82DDC">
        <w:t>)</w:t>
      </w:r>
      <w:r w:rsidR="00AA6E0F">
        <w:t>,</w:t>
      </w:r>
      <w:r w:rsidR="00474EA4">
        <w:t xml:space="preserve"> </w:t>
      </w:r>
      <w:r w:rsidR="00AA6E0F">
        <w:t xml:space="preserve">and instructed </w:t>
      </w:r>
      <w:r w:rsidR="00AA6E0F" w:rsidRPr="00D860C4">
        <w:t xml:space="preserve">David Jones to cease all in-store distribution of the </w:t>
      </w:r>
      <w:r w:rsidR="00AA6E0F" w:rsidRPr="00D860C4">
        <w:rPr>
          <w:rFonts w:eastAsia="Arial"/>
          <w:color w:val="000000" w:themeColor="text1"/>
        </w:rPr>
        <w:t xml:space="preserve">DJs </w:t>
      </w:r>
      <w:r w:rsidR="00AA6E0F" w:rsidRPr="00D860C4">
        <w:t xml:space="preserve">Cards with effect </w:t>
      </w:r>
      <w:r w:rsidR="00AA6E0F" w:rsidRPr="00D860C4">
        <w:lastRenderedPageBreak/>
        <w:t xml:space="preserve">from </w:t>
      </w:r>
      <w:r w:rsidR="00AA6E0F">
        <w:t>that date</w:t>
      </w:r>
      <w:r w:rsidR="00474EA4">
        <w:t>: SAFA [116].</w:t>
      </w:r>
      <w:r w:rsidR="00AA6E0F">
        <w:t xml:space="preserve"> Subsequently, the</w:t>
      </w:r>
      <w:r w:rsidR="00AA6E0F" w:rsidRPr="00D860C4">
        <w:t xml:space="preserve"> parties agreed to end the partnership</w:t>
      </w:r>
      <w:r w:rsidR="00430D8E">
        <w:t>: SAFA [116].</w:t>
      </w:r>
    </w:p>
    <w:p w14:paraId="18EEA39D" w14:textId="0C16E836" w:rsidR="004D7BE6" w:rsidRDefault="004D7BE6" w:rsidP="004D7BE6">
      <w:pPr>
        <w:pStyle w:val="Heading2"/>
      </w:pPr>
      <w:r>
        <w:t xml:space="preserve">Construction of </w:t>
      </w:r>
      <w:r w:rsidR="00190EBE">
        <w:t>sub</w:t>
      </w:r>
      <w:r>
        <w:t>ss 994C(4) and (5)</w:t>
      </w:r>
    </w:p>
    <w:p w14:paraId="16078751" w14:textId="51EDE1DE" w:rsidR="004D7BE6" w:rsidRDefault="00E31C88" w:rsidP="00E31C88">
      <w:pPr>
        <w:pStyle w:val="ParaNumbering"/>
        <w:numPr>
          <w:ilvl w:val="0"/>
          <w:numId w:val="0"/>
        </w:numPr>
        <w:ind w:hanging="720"/>
      </w:pPr>
      <w:r>
        <w:rPr>
          <w:iCs/>
          <w:sz w:val="20"/>
        </w:rPr>
        <w:t>52</w:t>
      </w:r>
      <w:r>
        <w:rPr>
          <w:iCs/>
          <w:sz w:val="20"/>
        </w:rPr>
        <w:tab/>
      </w:r>
      <w:r w:rsidR="004D7BE6">
        <w:t xml:space="preserve">There are two issues which arise in these proceedings concerning the proper construction of the provisions which the parties agree have been contravened. The first concerns the extent to which the matters in para (ii) in each of </w:t>
      </w:r>
      <w:r w:rsidR="005B4F22">
        <w:t>sub</w:t>
      </w:r>
      <w:r w:rsidR="004D7BE6">
        <w:t xml:space="preserve">ss 994C(4)(c) and (5)(c) must be known or </w:t>
      </w:r>
      <w:r w:rsidR="00737253">
        <w:t xml:space="preserve">(in </w:t>
      </w:r>
      <w:r w:rsidR="00574970">
        <w:t xml:space="preserve">the case </w:t>
      </w:r>
      <w:r w:rsidR="005018AB">
        <w:t xml:space="preserve">of s 994C(4)(c)) </w:t>
      </w:r>
      <w:r w:rsidR="004D7BE6">
        <w:t>ought reasonably to be known. The second concerns the knowledge which is required in order to trigger the response</w:t>
      </w:r>
      <w:r w:rsidR="004E680C">
        <w:t xml:space="preserve"> </w:t>
      </w:r>
      <w:r w:rsidR="00FD5036">
        <w:t>imposed</w:t>
      </w:r>
      <w:r w:rsidR="004D7BE6">
        <w:t xml:space="preserve"> by s 994C(4). The first of those issues was raised by the parties and, contrary to their joint submissions, I regard the matter as so obvious that it does not raise a real issue of construction at all. The second issue was not raised by the parties</w:t>
      </w:r>
      <w:r w:rsidR="004774F1">
        <w:t xml:space="preserve"> at the initial hearing on 27 May 2024</w:t>
      </w:r>
      <w:r w:rsidR="004D7BE6">
        <w:t>, but does raise a genuine issue of construction.</w:t>
      </w:r>
    </w:p>
    <w:p w14:paraId="39DEFAA1" w14:textId="77777777" w:rsidR="004D7BE6" w:rsidRDefault="004D7BE6" w:rsidP="004D7BE6">
      <w:pPr>
        <w:pStyle w:val="Heading3"/>
        <w:rPr>
          <w:b w:val="0"/>
          <w:bCs/>
        </w:rPr>
      </w:pPr>
      <w:r>
        <w:rPr>
          <w:b w:val="0"/>
          <w:bCs/>
        </w:rPr>
        <w:t>The knowledge requirement in para (c)(ii)</w:t>
      </w:r>
    </w:p>
    <w:p w14:paraId="3A41C1EA" w14:textId="6860501A" w:rsidR="004D7BE6" w:rsidRDefault="00E31C88" w:rsidP="00E31C88">
      <w:pPr>
        <w:pStyle w:val="ParaNumbering"/>
        <w:numPr>
          <w:ilvl w:val="0"/>
          <w:numId w:val="0"/>
        </w:numPr>
        <w:ind w:hanging="720"/>
      </w:pPr>
      <w:r>
        <w:rPr>
          <w:iCs/>
          <w:sz w:val="20"/>
        </w:rPr>
        <w:t>53</w:t>
      </w:r>
      <w:r>
        <w:rPr>
          <w:iCs/>
          <w:sz w:val="20"/>
        </w:rPr>
        <w:tab/>
      </w:r>
      <w:r w:rsidR="004D7BE6">
        <w:t>A plain reading of s 994C(4)(c) conveys that the relevant condition for the operation of</w:t>
      </w:r>
      <w:r w:rsidR="005F776C">
        <w:t xml:space="preserve"> </w:t>
      </w:r>
      <w:r w:rsidR="004D7BE6">
        <w:t>s 994C(4) is that the person knows, or ought reasonably to know, that the elements of subpara (i) or subpara (ii) are satisfied. In the case of subpara (i), the person must know, or ought reasonably to know, that a review trigger for the determination has occurred. In the case of subpara (ii), the person must know, or ought reasonably to know, that an event or circumstance has occurred that would reasonably suggest that the determination is no longer appropriate. It is obvious from the structure and syntax of subparas (c)(i) and (ii) that the relevant knowledge must be of all of the elements of (i) or</w:t>
      </w:r>
      <w:r w:rsidR="00056076">
        <w:t xml:space="preserve"> </w:t>
      </w:r>
      <w:r w:rsidR="004D7BE6">
        <w:t>all the elements of (ii). The same reasoning applies to s 994C(5), except that s 994C(5)(c) is confined to actual knowledge, in that it does not pick up the concept of constructive knowledge denoted by the expression “ought reasonably to know” as used in s 994C(4)(c). Confirmation that the</w:t>
      </w:r>
      <w:r w:rsidR="00056076">
        <w:t xml:space="preserve"> </w:t>
      </w:r>
      <w:r w:rsidR="004D7BE6">
        <w:t>meaning of the provision is the ordinary meaning conveyed by the text of the provision taking into account its context in the Act and the purpose or object underlying the Act is provided by the Revised Explanatory Memorandum at [1.91], which stated relevantly:</w:t>
      </w:r>
    </w:p>
    <w:p w14:paraId="07B8F62B" w14:textId="77777777" w:rsidR="004D7BE6" w:rsidRDefault="004D7BE6" w:rsidP="004D7BE6">
      <w:pPr>
        <w:pStyle w:val="Quote1"/>
      </w:pPr>
      <w:r>
        <w:t xml:space="preserve">Issuers are prohibited from engaging in retail product distribution conduct in relation to the product, from as soon as practicable (but no later than 10 business days) after they knew or ought to have known that the determination may be inappropriate, until they have reviewed the determination and, if necessary, made a new determination. </w:t>
      </w:r>
    </w:p>
    <w:p w14:paraId="5DC88006" w14:textId="77777777" w:rsidR="004D7BE6" w:rsidRDefault="004D7BE6" w:rsidP="004D7BE6">
      <w:pPr>
        <w:pStyle w:val="NoNum"/>
      </w:pPr>
      <w:r>
        <w:t xml:space="preserve">Consideration may be given to that material pursuant to s 15AB of the </w:t>
      </w:r>
      <w:r w:rsidRPr="003D73AA">
        <w:rPr>
          <w:i/>
          <w:iCs/>
        </w:rPr>
        <w:t>Acts Interpretation Act 1901</w:t>
      </w:r>
      <w:r>
        <w:t xml:space="preserve"> (Cth) (</w:t>
      </w:r>
      <w:r>
        <w:rPr>
          <w:b/>
          <w:bCs/>
        </w:rPr>
        <w:t>Interpretation Act</w:t>
      </w:r>
      <w:r>
        <w:t xml:space="preserve">). </w:t>
      </w:r>
    </w:p>
    <w:p w14:paraId="6FE44D0E" w14:textId="41580262" w:rsidR="004D7BE6" w:rsidRDefault="00E31C88" w:rsidP="00E31C88">
      <w:pPr>
        <w:pStyle w:val="ParaNumbering"/>
        <w:numPr>
          <w:ilvl w:val="0"/>
          <w:numId w:val="0"/>
        </w:numPr>
        <w:ind w:hanging="720"/>
      </w:pPr>
      <w:r>
        <w:rPr>
          <w:iCs/>
          <w:sz w:val="20"/>
        </w:rPr>
        <w:lastRenderedPageBreak/>
        <w:t>54</w:t>
      </w:r>
      <w:r>
        <w:rPr>
          <w:iCs/>
          <w:sz w:val="20"/>
        </w:rPr>
        <w:tab/>
      </w:r>
      <w:r w:rsidR="004D7BE6">
        <w:t>To my surprise, the parties jointly submitted that that obvious construction is wrong. Their submission is that para (c)</w:t>
      </w:r>
      <w:r w:rsidR="004E680C">
        <w:t xml:space="preserve"> in each</w:t>
      </w:r>
      <w:r w:rsidR="004D7BE6">
        <w:t xml:space="preserve"> of ss 994C(4) and (5) has two relevant components:</w:t>
      </w:r>
    </w:p>
    <w:p w14:paraId="246CFAFD" w14:textId="6AA46F8A" w:rsidR="004D7BE6" w:rsidRDefault="00E31C88" w:rsidP="00E31C88">
      <w:pPr>
        <w:pStyle w:val="ListNo1alt"/>
        <w:numPr>
          <w:ilvl w:val="0"/>
          <w:numId w:val="0"/>
        </w:numPr>
        <w:tabs>
          <w:tab w:val="left" w:pos="720"/>
        </w:tabs>
        <w:ind w:left="720" w:hanging="720"/>
      </w:pPr>
      <w:r>
        <w:t>(a)</w:t>
      </w:r>
      <w:r>
        <w:tab/>
      </w:r>
      <w:r w:rsidR="004D7BE6">
        <w:t>that the person knows (or alternatively, in the case of s 994C(4), ought reasonably to know) that an event or circumstance “has occurred”; and</w:t>
      </w:r>
    </w:p>
    <w:p w14:paraId="03E57AC7" w14:textId="5CA96C16" w:rsidR="004D7BE6" w:rsidRDefault="00E31C88" w:rsidP="00E31C88">
      <w:pPr>
        <w:pStyle w:val="ListNo1alt"/>
        <w:numPr>
          <w:ilvl w:val="0"/>
          <w:numId w:val="0"/>
        </w:numPr>
        <w:tabs>
          <w:tab w:val="left" w:pos="720"/>
        </w:tabs>
        <w:ind w:left="720" w:hanging="720"/>
      </w:pPr>
      <w:r>
        <w:t>(b)</w:t>
      </w:r>
      <w:r>
        <w:tab/>
      </w:r>
      <w:r w:rsidR="004D7BE6">
        <w:t>the event or circumstance “would reasonably suggest” that the TMD is no longer appropriate.</w:t>
      </w:r>
    </w:p>
    <w:p w14:paraId="15A3E6FB" w14:textId="63A0469E" w:rsidR="004D7BE6" w:rsidRDefault="00DA4CDB" w:rsidP="004D7BE6">
      <w:pPr>
        <w:pStyle w:val="NoNum"/>
      </w:pPr>
      <w:r>
        <w:t xml:space="preserve">The parties submit that only (a) and not (b) is the subject-matter of the knowledge requirement. </w:t>
      </w:r>
      <w:r w:rsidR="004D7BE6">
        <w:t xml:space="preserve">That is (putting to one side the “ought reasonably to know” aspect of s 994C(4)), it is necessary that the person possesses the requisite knowledge that the event or circumstance has occurred. That subjective knowledge being established, it is then to be objectively determined that the event or circumstance reasonably suggests that the TMD is no longer appropriate, but (so the parties submit) the person need not know that the event or circumstance reasonably suggests that the TMD is no longer appropriate. This submission was developed at some length in the parties’ </w:t>
      </w:r>
      <w:r w:rsidR="00E74FC3">
        <w:t xml:space="preserve">initial </w:t>
      </w:r>
      <w:r w:rsidR="004D7BE6">
        <w:t xml:space="preserve">joint written submissions, but oddly the parties did not </w:t>
      </w:r>
      <w:r w:rsidR="007967C2">
        <w:t xml:space="preserve">then </w:t>
      </w:r>
      <w:r w:rsidR="004D7BE6">
        <w:t>provide any reasons or submissions as to why their argument may be wrong. Given that there was no contradict</w:t>
      </w:r>
      <w:r w:rsidR="00024742">
        <w:t>o</w:t>
      </w:r>
      <w:r w:rsidR="004D7BE6">
        <w:t xml:space="preserve">r in the case, this was a dereliction </w:t>
      </w:r>
      <w:r w:rsidR="007967C2">
        <w:t>of</w:t>
      </w:r>
      <w:r w:rsidR="004D7BE6">
        <w:t xml:space="preserve"> the duties of counsel to the Court, as senior counsel for both parties ultimately accepted</w:t>
      </w:r>
      <w:r w:rsidR="00024742">
        <w:t xml:space="preserve"> (T26.16–33</w:t>
      </w:r>
      <w:r w:rsidR="00894FD1">
        <w:t xml:space="preserve">, </w:t>
      </w:r>
      <w:r w:rsidR="00024742">
        <w:t>39.17–40.6)</w:t>
      </w:r>
      <w:r w:rsidR="004D7BE6">
        <w:t xml:space="preserve">. </w:t>
      </w:r>
      <w:r w:rsidR="004C2B84">
        <w:t xml:space="preserve">Quite apart from the duties of counsel to the Court, barristers owe it to themselves in all proceedings (irrespective of whether there is a contradictor) to consider the opposing point of view, if only to spare themselves </w:t>
      </w:r>
      <w:r w:rsidR="00D04EE3">
        <w:t xml:space="preserve">and the </w:t>
      </w:r>
      <w:r w:rsidR="00E771FC">
        <w:t>C</w:t>
      </w:r>
      <w:r w:rsidR="00D04EE3">
        <w:t>ourt from</w:t>
      </w:r>
      <w:r w:rsidR="004C2B84">
        <w:t xml:space="preserve"> the kind of insubstantial arguments that ris</w:t>
      </w:r>
      <w:r w:rsidR="001B5A8E">
        <w:t>e</w:t>
      </w:r>
      <w:r w:rsidR="004C2B84">
        <w:t xml:space="preserve"> like bubbles to the surface and disappear</w:t>
      </w:r>
      <w:r w:rsidR="001B5A8E">
        <w:t xml:space="preserve">. At the end of the initial hearing, the parties requested </w:t>
      </w:r>
      <w:r w:rsidR="00683C6B">
        <w:t xml:space="preserve">a </w:t>
      </w:r>
      <w:r w:rsidR="001B5A8E">
        <w:t xml:space="preserve">further </w:t>
      </w:r>
      <w:r w:rsidR="00683C6B">
        <w:t>month</w:t>
      </w:r>
      <w:r w:rsidR="001B5A8E">
        <w:t xml:space="preserve"> to consider their respective positions, and they did file further written submissions which set out arguments for the </w:t>
      </w:r>
      <w:r w:rsidR="00433DC2">
        <w:t>competing construction.</w:t>
      </w:r>
      <w:r w:rsidR="001B5A8E">
        <w:t xml:space="preserve"> </w:t>
      </w:r>
      <w:r w:rsidR="004D7BE6">
        <w:t>The submissions made</w:t>
      </w:r>
      <w:r w:rsidR="00683C6B">
        <w:t xml:space="preserve"> jointly</w:t>
      </w:r>
      <w:r w:rsidR="004D7BE6">
        <w:t xml:space="preserve"> by the parties</w:t>
      </w:r>
      <w:r w:rsidR="006C37D7">
        <w:t xml:space="preserve"> in favour of their rather odd construction</w:t>
      </w:r>
      <w:r w:rsidR="004D7BE6">
        <w:t xml:space="preserve"> are as follows.</w:t>
      </w:r>
    </w:p>
    <w:p w14:paraId="4BE0F7FC" w14:textId="074E29E2" w:rsidR="004D7BE6" w:rsidRDefault="00E31C88" w:rsidP="00E31C88">
      <w:pPr>
        <w:pStyle w:val="ParaNumbering"/>
        <w:numPr>
          <w:ilvl w:val="0"/>
          <w:numId w:val="0"/>
        </w:numPr>
        <w:ind w:hanging="720"/>
      </w:pPr>
      <w:r>
        <w:rPr>
          <w:iCs/>
          <w:sz w:val="20"/>
        </w:rPr>
        <w:t>55</w:t>
      </w:r>
      <w:r>
        <w:rPr>
          <w:iCs/>
          <w:sz w:val="20"/>
        </w:rPr>
        <w:tab/>
      </w:r>
      <w:r w:rsidR="004D7BE6">
        <w:t xml:space="preserve">First, the parties jointly submitted that their construction is supported by the text, context and purpose of ss 994C(4) and (5). The parties submitted that the question of whether the event or circumstance suggests that the TMD is no longer appropriate is an objective one (namely, whether the event or circumstance would reasonably suggest that it is no longer appropriate). That was said not to require the person to know that the event or circumstance reasonably suggests that TMD is no longer appropriate (again, putting to one side the “ought reasonably to know” aspect of s 994C(4)). The parties submitted that if the correct construction was that the person must know that the event or circumstance “reasonably suggested that the TMD was </w:t>
      </w:r>
      <w:r w:rsidR="004D7BE6">
        <w:lastRenderedPageBreak/>
        <w:t>no longer appropriate”, there would be little or no work for the words “reasonably suggest” to do, and a high degree of uncertainty would be introduced in relation to the scope of the provision and the nature of the obligation it imposes.</w:t>
      </w:r>
      <w:r w:rsidR="00B554F0">
        <w:t xml:space="preserve"> (ASIC also submitted</w:t>
      </w:r>
      <w:r w:rsidR="008213EC">
        <w:t xml:space="preserve"> that the alternative construction would require the words “to the maker of the determination”</w:t>
      </w:r>
      <w:r w:rsidR="004C6D0B">
        <w:t xml:space="preserve"> to be inserted after “reasonably suggest”</w:t>
      </w:r>
      <w:r w:rsidR="00894FD1">
        <w:t xml:space="preserve"> </w:t>
      </w:r>
      <w:r w:rsidR="004C6D0B">
        <w:t>(T14.</w:t>
      </w:r>
      <w:r w:rsidR="00E611C0">
        <w:t>36–39)</w:t>
      </w:r>
      <w:r w:rsidR="0069634A">
        <w:t>, but American Express did not appear to join in that submission, and the significance of the submission escapes me.)</w:t>
      </w:r>
    </w:p>
    <w:p w14:paraId="10965F5C" w14:textId="51500EA1" w:rsidR="004D7BE6" w:rsidRDefault="00E31C88" w:rsidP="00E31C88">
      <w:pPr>
        <w:pStyle w:val="ParaNumbering"/>
        <w:numPr>
          <w:ilvl w:val="0"/>
          <w:numId w:val="0"/>
        </w:numPr>
        <w:ind w:hanging="720"/>
      </w:pPr>
      <w:r>
        <w:rPr>
          <w:iCs/>
          <w:sz w:val="20"/>
        </w:rPr>
        <w:t>56</w:t>
      </w:r>
      <w:r>
        <w:rPr>
          <w:iCs/>
          <w:sz w:val="20"/>
        </w:rPr>
        <w:tab/>
      </w:r>
      <w:r w:rsidR="004D7BE6">
        <w:t xml:space="preserve">I do not understand </w:t>
      </w:r>
      <w:r w:rsidR="005B4128">
        <w:t>this first</w:t>
      </w:r>
      <w:r w:rsidR="004D7BE6">
        <w:t xml:space="preserve"> submission. It is true to say that the question whether the event or circumstance would reasonably suggest that the TMD is no longer appropriate is an objective one, but it is hardly surprising that the draftsperson referred to an objective matter as the subject matter of the required knowledge. One cannot know something which is not true. Other mental states (such as belief) may be apt for matters which are not necessarily true. The element of reasonably suggesting that the TMD is no longer appropriate is an essential component of the requirement of knowledge, because without it one does not know what event or circumstance is required to be known. The terms “event or circumstance” are so open-ended that they require some specification of the characteristics of the “event or circumstance” in order to give the provision a sensible operation. That is obviously why the draftsperson has clearly indicated by the punctuation and structure of the provision that the requisite knowledge must be of all the elements of either para (i) or para (ii).</w:t>
      </w:r>
    </w:p>
    <w:p w14:paraId="1D7ADB86" w14:textId="26276B67" w:rsidR="006B5095" w:rsidRDefault="00E31C88" w:rsidP="00E31C88">
      <w:pPr>
        <w:pStyle w:val="ParaNumbering"/>
        <w:numPr>
          <w:ilvl w:val="0"/>
          <w:numId w:val="0"/>
        </w:numPr>
        <w:ind w:hanging="720"/>
      </w:pPr>
      <w:r>
        <w:rPr>
          <w:iCs/>
          <w:sz w:val="20"/>
        </w:rPr>
        <w:t>57</w:t>
      </w:r>
      <w:r>
        <w:rPr>
          <w:iCs/>
          <w:sz w:val="20"/>
        </w:rPr>
        <w:tab/>
      </w:r>
      <w:r w:rsidR="006B5095">
        <w:t xml:space="preserve">In what appeared to be an adjunct to the first line of argument, ASIC submitted in writing for the resumed hearing on 1 July 2024 </w:t>
      </w:r>
      <w:r w:rsidR="006C37D7">
        <w:t xml:space="preserve">(after a further month’s deliberation) </w:t>
      </w:r>
      <w:r w:rsidR="006B5095">
        <w:t>that the word order of para (c)(ii)</w:t>
      </w:r>
      <w:r w:rsidR="0031533C">
        <w:t xml:space="preserve"> supported its construction, in that it was said that if the provision </w:t>
      </w:r>
      <w:r w:rsidR="00A1114A">
        <w:t xml:space="preserve">were intended to </w:t>
      </w:r>
      <w:r w:rsidR="0031533C">
        <w:t>require the person to know that an event or circumstance of a particular quality has occurred, one would expect the words “has occurred” in para (c)(ii) to follow after the word “appropriate”</w:t>
      </w:r>
      <w:r w:rsidR="00A1114A">
        <w:t>,</w:t>
      </w:r>
      <w:r w:rsidR="00056076">
        <w:t xml:space="preserve"> </w:t>
      </w:r>
      <w:r w:rsidR="0031533C">
        <w:t>rather than after the words “</w:t>
      </w:r>
      <w:r w:rsidR="00A1114A">
        <w:t>an</w:t>
      </w:r>
      <w:r w:rsidR="0031533C">
        <w:t xml:space="preserve"> event or occurrence”.</w:t>
      </w:r>
      <w:r w:rsidR="0073248A">
        <w:t xml:space="preserve"> When I told senior counsel for ASIC that the point was far too subtle for my mind, and requested some </w:t>
      </w:r>
      <w:r w:rsidR="00A215DB">
        <w:t>elaboration</w:t>
      </w:r>
      <w:r w:rsidR="0073248A">
        <w:t>, senior counsel replied that there was nothing further she could say beyond what had been put in wr</w:t>
      </w:r>
      <w:r w:rsidR="00A215DB">
        <w:t xml:space="preserve">iting (1.7.24 at T9.40–10.8). </w:t>
      </w:r>
      <w:r w:rsidR="005F687A">
        <w:t>That may be so</w:t>
      </w:r>
      <w:r w:rsidR="00A215DB">
        <w:t xml:space="preserve">, but if a submission is to be put </w:t>
      </w:r>
      <w:r w:rsidR="003A7DC4">
        <w:t>then counsel should be in a position to explain it</w:t>
      </w:r>
      <w:r w:rsidR="00E771FC">
        <w:t>, or at least to give it some paraphrasable meaning</w:t>
      </w:r>
      <w:r w:rsidR="003A7DC4">
        <w:t>.</w:t>
      </w:r>
      <w:r w:rsidR="005F687A">
        <w:t xml:space="preserve"> </w:t>
      </w:r>
      <w:r w:rsidR="003A7DC4">
        <w:t>The word order is entirely natural and does not indicate that the knowledge requirement extends to</w:t>
      </w:r>
      <w:r w:rsidR="001D77AD">
        <w:t xml:space="preserve"> anything less than</w:t>
      </w:r>
      <w:r w:rsidR="003A7DC4">
        <w:t xml:space="preserve"> all the elements of para (c)(ii). </w:t>
      </w:r>
    </w:p>
    <w:p w14:paraId="73D4F39B" w14:textId="2E7A554E" w:rsidR="004D7BE6" w:rsidRDefault="00E31C88" w:rsidP="00E31C88">
      <w:pPr>
        <w:pStyle w:val="ParaNumbering"/>
        <w:numPr>
          <w:ilvl w:val="0"/>
          <w:numId w:val="0"/>
        </w:numPr>
        <w:ind w:hanging="720"/>
      </w:pPr>
      <w:r>
        <w:rPr>
          <w:iCs/>
          <w:sz w:val="20"/>
        </w:rPr>
        <w:t>58</w:t>
      </w:r>
      <w:r>
        <w:rPr>
          <w:iCs/>
          <w:sz w:val="20"/>
        </w:rPr>
        <w:tab/>
      </w:r>
      <w:r w:rsidR="004D7BE6">
        <w:t xml:space="preserve">Second, the parties jointly submit that the correctness of their construction is supported by the greater certainty afforded by that construction, such certainty being warranted in the context of </w:t>
      </w:r>
      <w:r w:rsidR="004D7BE6">
        <w:lastRenderedPageBreak/>
        <w:t xml:space="preserve">a civil penalty provision, with reference to </w:t>
      </w:r>
      <w:r w:rsidR="004D7BE6" w:rsidRPr="005D40D6">
        <w:rPr>
          <w:i/>
          <w:iCs/>
        </w:rPr>
        <w:t>Construction, Forestry, Mining and Energy Union v Mammoet Australia Pty Ltd</w:t>
      </w:r>
      <w:r w:rsidR="004D7BE6" w:rsidRPr="005D40D6">
        <w:t xml:space="preserve"> [2013] HCA 36; (2013) 248 CLR 619</w:t>
      </w:r>
      <w:r w:rsidR="004D7BE6">
        <w:t xml:space="preserve"> at [48] (Crennan, Kiefel, Bell, Gageler and Keane JJ); and </w:t>
      </w:r>
      <w:r w:rsidR="004D7BE6" w:rsidRPr="005D40D6">
        <w:rPr>
          <w:i/>
          <w:iCs/>
        </w:rPr>
        <w:t xml:space="preserve">Qantas Airways Limited v Transport Workers Union of Australia </w:t>
      </w:r>
      <w:r w:rsidR="004D7BE6" w:rsidRPr="005D40D6">
        <w:t>[2023] HCA 27; (2023) 412 ALR 134</w:t>
      </w:r>
      <w:r w:rsidR="004D7BE6">
        <w:t xml:space="preserve"> at [40] (Kiefel CJ, Gageler, Gleeson and Jagot JJ). As those authorities indicate, like the imposition of criminal liability, the imposition of a civil penalty should be certain and its reach should be ascertainable by those who are subject to it. </w:t>
      </w:r>
    </w:p>
    <w:p w14:paraId="4B928170" w14:textId="164D4C71" w:rsidR="004D7BE6" w:rsidRDefault="00E31C88" w:rsidP="00E31C88">
      <w:pPr>
        <w:pStyle w:val="ParaNumbering"/>
        <w:numPr>
          <w:ilvl w:val="0"/>
          <w:numId w:val="0"/>
        </w:numPr>
        <w:ind w:hanging="720"/>
      </w:pPr>
      <w:r>
        <w:rPr>
          <w:iCs/>
          <w:sz w:val="20"/>
        </w:rPr>
        <w:t>59</w:t>
      </w:r>
      <w:r>
        <w:rPr>
          <w:iCs/>
          <w:sz w:val="20"/>
        </w:rPr>
        <w:tab/>
      </w:r>
      <w:r w:rsidR="004D7BE6">
        <w:t xml:space="preserve">I accept the general principle which is the subject of that submission, but I regard the principle as operating </w:t>
      </w:r>
      <w:r w:rsidR="00B96D2B">
        <w:t xml:space="preserve">strongly </w:t>
      </w:r>
      <w:r w:rsidR="004D7BE6">
        <w:t>against, rather than in favour of, the parties’ construction. As I have indicated above, in my view, the provision is clear in requiring the relevant knowledge to extend to the relevant event or circumstance reasonably suggesting that the determination is no longer appropriate. Certainty and ascertainability are enhanced by a construction which is consistent with that text. The parties’ construction introduces uncertainty and a lack of clarity where none exists in the language actually used.</w:t>
      </w:r>
    </w:p>
    <w:p w14:paraId="4E7C708A" w14:textId="25BE72F8" w:rsidR="004D7BE6" w:rsidRDefault="00E31C88" w:rsidP="00E31C88">
      <w:pPr>
        <w:pStyle w:val="ParaNumbering"/>
        <w:numPr>
          <w:ilvl w:val="0"/>
          <w:numId w:val="0"/>
        </w:numPr>
        <w:ind w:hanging="720"/>
      </w:pPr>
      <w:r>
        <w:rPr>
          <w:iCs/>
          <w:sz w:val="20"/>
        </w:rPr>
        <w:t>60</w:t>
      </w:r>
      <w:r>
        <w:rPr>
          <w:iCs/>
          <w:sz w:val="20"/>
        </w:rPr>
        <w:tab/>
      </w:r>
      <w:r w:rsidR="004D7BE6">
        <w:t>Third, the parties jointly submit that it is difficult to conceive how a level of knowledge which included the element of “would reasonably suggest that the determination is no longer appropriate” could be established or how the provision would be enforced. The parties submit that such a construction would be unwieldy, requiring proof that the person:</w:t>
      </w:r>
    </w:p>
    <w:p w14:paraId="16F64995" w14:textId="68C9EE0E" w:rsidR="004D7BE6" w:rsidRDefault="00E31C88" w:rsidP="00E31C88">
      <w:pPr>
        <w:pStyle w:val="ListNo1alt"/>
        <w:numPr>
          <w:ilvl w:val="0"/>
          <w:numId w:val="0"/>
        </w:numPr>
        <w:tabs>
          <w:tab w:val="left" w:pos="720"/>
        </w:tabs>
        <w:ind w:left="720" w:hanging="720"/>
      </w:pPr>
      <w:r>
        <w:t>(a)</w:t>
      </w:r>
      <w:r>
        <w:tab/>
      </w:r>
      <w:r w:rsidR="004D7BE6">
        <w:t>knew the event or circumstance;</w:t>
      </w:r>
      <w:r w:rsidR="00D44D05">
        <w:t xml:space="preserve"> and</w:t>
      </w:r>
    </w:p>
    <w:p w14:paraId="01719EBE" w14:textId="7764958B" w:rsidR="004D7BE6" w:rsidRDefault="00E31C88" w:rsidP="00E31C88">
      <w:pPr>
        <w:pStyle w:val="ListNo1alt"/>
        <w:numPr>
          <w:ilvl w:val="0"/>
          <w:numId w:val="0"/>
        </w:numPr>
        <w:tabs>
          <w:tab w:val="left" w:pos="720"/>
        </w:tabs>
        <w:ind w:left="720" w:hanging="720"/>
      </w:pPr>
      <w:r>
        <w:t>(b)</w:t>
      </w:r>
      <w:r>
        <w:tab/>
      </w:r>
      <w:r w:rsidR="004D7BE6">
        <w:t>applying the definition of “appropriate” in s 994B(8), knew that the event or circumstance reasonably suggest</w:t>
      </w:r>
      <w:r w:rsidR="00885086">
        <w:t>ed</w:t>
      </w:r>
      <w:r w:rsidR="004D7BE6">
        <w:t xml:space="preserve"> that the TMD </w:t>
      </w:r>
      <w:r w:rsidR="00885086">
        <w:t>wa</w:t>
      </w:r>
      <w:r w:rsidR="004D7BE6">
        <w:t>s such that it would not be reasonable to conclude that if the product were issued:</w:t>
      </w:r>
    </w:p>
    <w:p w14:paraId="7EE388AE" w14:textId="3C3C7BC2" w:rsidR="004D7BE6" w:rsidRDefault="00E31C88" w:rsidP="00E31C88">
      <w:pPr>
        <w:pStyle w:val="ListNo2alt"/>
        <w:numPr>
          <w:ilvl w:val="0"/>
          <w:numId w:val="0"/>
        </w:numPr>
        <w:tabs>
          <w:tab w:val="left" w:pos="1440"/>
        </w:tabs>
        <w:ind w:left="1440" w:hanging="720"/>
      </w:pPr>
      <w:r>
        <w:t>(i)</w:t>
      </w:r>
      <w:r>
        <w:tab/>
      </w:r>
      <w:r w:rsidR="004D7BE6">
        <w:t>to a retail client in accordance with the distribution conditions – it would be likely that the retail client is in the target market; or</w:t>
      </w:r>
    </w:p>
    <w:p w14:paraId="79FF7B1D" w14:textId="4726F2C6" w:rsidR="004D7BE6" w:rsidRDefault="00E31C88" w:rsidP="00E31C88">
      <w:pPr>
        <w:pStyle w:val="ListNo2alt"/>
        <w:numPr>
          <w:ilvl w:val="0"/>
          <w:numId w:val="0"/>
        </w:numPr>
        <w:tabs>
          <w:tab w:val="left" w:pos="1440"/>
        </w:tabs>
        <w:ind w:left="1440" w:hanging="720"/>
      </w:pPr>
      <w:r>
        <w:t>(ii)</w:t>
      </w:r>
      <w:r>
        <w:tab/>
      </w:r>
      <w:r w:rsidR="004D7BE6">
        <w:t>to a retail client in the target market – it would likely be consistent with the likely objectives, financial situation and needs of the retail client.</w:t>
      </w:r>
    </w:p>
    <w:p w14:paraId="5922EF4F" w14:textId="16A15AD9" w:rsidR="004D7BE6" w:rsidRDefault="00E31C88" w:rsidP="00E31C88">
      <w:pPr>
        <w:pStyle w:val="ParaNumbering"/>
        <w:numPr>
          <w:ilvl w:val="0"/>
          <w:numId w:val="0"/>
        </w:numPr>
        <w:ind w:hanging="720"/>
      </w:pPr>
      <w:r>
        <w:rPr>
          <w:iCs/>
          <w:sz w:val="20"/>
        </w:rPr>
        <w:t>61</w:t>
      </w:r>
      <w:r>
        <w:rPr>
          <w:iCs/>
          <w:sz w:val="20"/>
        </w:rPr>
        <w:tab/>
      </w:r>
      <w:r w:rsidR="004D7BE6">
        <w:t xml:space="preserve">I accept that the language of the provisions is “unwieldy”, in the sense that when one has to insert a definition of “appropriate” which </w:t>
      </w:r>
      <w:r w:rsidR="00820F17">
        <w:t>includes the</w:t>
      </w:r>
      <w:r w:rsidR="004826E5">
        <w:t xml:space="preserve"> </w:t>
      </w:r>
      <w:r w:rsidR="004D7BE6">
        <w:t xml:space="preserve">lengthy </w:t>
      </w:r>
      <w:r w:rsidR="00820F17">
        <w:t>sentence in s 994B(8)</w:t>
      </w:r>
      <w:r w:rsidR="004D7BE6">
        <w:t xml:space="preserve"> into what is already a lengthy </w:t>
      </w:r>
      <w:r w:rsidR="00820F17">
        <w:t>phrase</w:t>
      </w:r>
      <w:r w:rsidR="004D7BE6">
        <w:t xml:space="preserve"> in </w:t>
      </w:r>
      <w:r w:rsidR="00722066">
        <w:t>sub</w:t>
      </w:r>
      <w:r w:rsidR="004D7BE6">
        <w:t xml:space="preserve">ss 994C(4)(c) and 994C(5)(c), the result places demands on the reader’s powers of concentration. That, however, is the case on either construction. The cumbersome nature of the statutory language is simply a feature of the drafting technique which </w:t>
      </w:r>
      <w:r w:rsidR="004D7BE6">
        <w:lastRenderedPageBreak/>
        <w:t xml:space="preserve">has been adopted. As to the submission that knowledge of all of the elements of </w:t>
      </w:r>
      <w:r w:rsidR="004826E5">
        <w:t>para (c)</w:t>
      </w:r>
      <w:r w:rsidR="004D7BE6">
        <w:t xml:space="preserve">(ii) creates difficulties in establishing </w:t>
      </w:r>
      <w:r w:rsidR="009604BE">
        <w:t xml:space="preserve">a contravention </w:t>
      </w:r>
      <w:r w:rsidR="004D7BE6">
        <w:t>or enforcing the provision, I simply do not understand the submission. I do not regard it as a particularly difficult factual issue to ascertain in the circumstances of a particular case whether the person knows (or ought reasonably to know) that an event or circumstance would reasonably suggest that the TMD is no longer appropriate</w:t>
      </w:r>
      <w:r w:rsidR="0022568D">
        <w:t xml:space="preserve"> in the defined sense.</w:t>
      </w:r>
      <w:r w:rsidR="004D7BE6">
        <w:t xml:space="preserve"> </w:t>
      </w:r>
      <w:r w:rsidR="00537945">
        <w:t>In the present case, the parties were able to reach agreement on those factual issues. When I suggested to senior counsel for ASIC that the parties’ agreement</w:t>
      </w:r>
      <w:r w:rsidR="009604BE">
        <w:t xml:space="preserve"> as to the facts</w:t>
      </w:r>
      <w:r w:rsidR="00537945">
        <w:t xml:space="preserve"> in the present case showed the issue is not that hard, I was simply told that the submission could not be put any higher (1.7.24 at T9.27–38).</w:t>
      </w:r>
      <w:r w:rsidR="009A023E">
        <w:t xml:space="preserve">Why then, one may ask, was the submission ever made? </w:t>
      </w:r>
      <w:r w:rsidR="004D7BE6">
        <w:t xml:space="preserve">There may, of course, be borderline </w:t>
      </w:r>
      <w:r w:rsidR="00537945">
        <w:t xml:space="preserve">and contested </w:t>
      </w:r>
      <w:r w:rsidR="004D7BE6">
        <w:t xml:space="preserve">cases, but that is true of </w:t>
      </w:r>
      <w:r w:rsidR="0022568D">
        <w:t>almost all</w:t>
      </w:r>
      <w:r w:rsidR="004D7BE6">
        <w:t xml:space="preserve"> factual issues which courts resolve routinely.</w:t>
      </w:r>
      <w:r w:rsidR="00BC3CBE">
        <w:t xml:space="preserve"> ASIC is armed with very extensive </w:t>
      </w:r>
      <w:r w:rsidR="007514CE">
        <w:t>investigative</w:t>
      </w:r>
      <w:r w:rsidR="00BC3CBE">
        <w:t xml:space="preserve"> powers, and enjoys </w:t>
      </w:r>
      <w:r w:rsidR="00D97F3F">
        <w:t xml:space="preserve">the </w:t>
      </w:r>
      <w:r w:rsidR="00BC3CBE">
        <w:t>rights to pre-trial discovery of documents</w:t>
      </w:r>
      <w:r w:rsidR="007514CE">
        <w:t xml:space="preserve"> and the cross-examination of witnesses which are </w:t>
      </w:r>
      <w:r w:rsidR="00251C46">
        <w:t>available to any litigant. As ASIC ought to be aware, those processes are routinely used to establish questions of actual and constructive knowledge on the part of those</w:t>
      </w:r>
      <w:r w:rsidR="00AA6BFE">
        <w:t xml:space="preserve"> whom</w:t>
      </w:r>
      <w:r w:rsidR="00251C46">
        <w:t xml:space="preserve"> ASIC suspects</w:t>
      </w:r>
      <w:r w:rsidR="00E27E26">
        <w:t xml:space="preserve"> of</w:t>
      </w:r>
      <w:r w:rsidR="00251C46">
        <w:t xml:space="preserve"> </w:t>
      </w:r>
      <w:r w:rsidR="00D97F3F">
        <w:t>(</w:t>
      </w:r>
      <w:r w:rsidR="00251C46">
        <w:t>o</w:t>
      </w:r>
      <w:r w:rsidR="00D97F3F">
        <w:t xml:space="preserve">r alleges have engaged in) </w:t>
      </w:r>
      <w:r w:rsidR="00251C46">
        <w:t>contraventions.</w:t>
      </w:r>
    </w:p>
    <w:p w14:paraId="2C439992" w14:textId="2BBD4233" w:rsidR="004D7BE6" w:rsidRDefault="00E31C88" w:rsidP="00E31C88">
      <w:pPr>
        <w:pStyle w:val="ParaNumbering"/>
        <w:numPr>
          <w:ilvl w:val="0"/>
          <w:numId w:val="0"/>
        </w:numPr>
        <w:ind w:hanging="720"/>
      </w:pPr>
      <w:r>
        <w:rPr>
          <w:iCs/>
          <w:sz w:val="20"/>
        </w:rPr>
        <w:t>62</w:t>
      </w:r>
      <w:r>
        <w:rPr>
          <w:iCs/>
          <w:sz w:val="20"/>
        </w:rPr>
        <w:tab/>
      </w:r>
      <w:r w:rsidR="004D7BE6">
        <w:t xml:space="preserve">Fourth, the parties submit that the consequence of requiring knowledge of all the elements of </w:t>
      </w:r>
      <w:r w:rsidR="00E27E26">
        <w:t>para(c)</w:t>
      </w:r>
      <w:r w:rsidR="004D7BE6">
        <w:t>(ii) would be that only the most serious or egregious conduct would be caught by the provisions, which is said to run counter to the express legislative intent</w:t>
      </w:r>
      <w:r w:rsidR="00EE234A">
        <w:t>ion</w:t>
      </w:r>
      <w:r w:rsidR="004D7BE6">
        <w:t xml:space="preserve"> of requiring a “customer-centric approach” in implementing the DDO regime. The parties submit that on the alternative construction (which I regard as the obviously correct construction) if a person in the organisation that has made the TMD, being the person responsible for monitoring review triggers, had no knowledge or understanding of the DDO regime, the organisation may be liable for a contravention of s 994C(4) (by reason of the “ought to have known” requirement), but could wholly avoid contravening the corresponding obligation to inform relevant product distributors imposed by s 994C(5). The parties submit that such a result runs counter to the discernible legislative intent in establishing the DDO regime. The parties submit that</w:t>
      </w:r>
      <w:r w:rsidR="00056076">
        <w:t xml:space="preserve">           </w:t>
      </w:r>
      <w:r w:rsidR="004D7BE6">
        <w:t>ss 994C(4) and (5) are compl</w:t>
      </w:r>
      <w:r w:rsidR="00EE234A">
        <w:t>e</w:t>
      </w:r>
      <w:r w:rsidR="004D7BE6">
        <w:t>mentary: subs (4) is concerned with ensuring that the issuer stops selling the product when a review has been triggered,</w:t>
      </w:r>
      <w:r w:rsidR="00056076">
        <w:t xml:space="preserve"> </w:t>
      </w:r>
      <w:r w:rsidR="004D7BE6">
        <w:t xml:space="preserve">and subs (5) requires the issuer to take steps to ensure that other persons involved in the distribution conduct cease engaging in that conduct, unless the TMD has been reviewed and there is a new TMD (if required). The parties submit that an approach that imposes significantly divergent knowledge requirements in respect of subss (4) and (5) is therefore inconsistent with a purposive approach to statutory construction and the DDO regime generally. Further, the parties submit that in circumstances </w:t>
      </w:r>
      <w:r w:rsidR="004D7BE6">
        <w:lastRenderedPageBreak/>
        <w:t xml:space="preserve">where the legislation is consumer-focused and is a form of consumer protection legislation, a beneficial construction should be preferred to one that limits the operation of the scheme and captures only the most serious conduct. </w:t>
      </w:r>
    </w:p>
    <w:p w14:paraId="386730C9" w14:textId="2A161200" w:rsidR="004D7BE6" w:rsidRDefault="00E31C88" w:rsidP="00E31C88">
      <w:pPr>
        <w:pStyle w:val="ParaNumbering"/>
        <w:numPr>
          <w:ilvl w:val="0"/>
          <w:numId w:val="0"/>
        </w:numPr>
        <w:ind w:hanging="720"/>
      </w:pPr>
      <w:r>
        <w:rPr>
          <w:iCs/>
          <w:sz w:val="20"/>
        </w:rPr>
        <w:t>63</w:t>
      </w:r>
      <w:r>
        <w:rPr>
          <w:iCs/>
          <w:sz w:val="20"/>
        </w:rPr>
        <w:tab/>
      </w:r>
      <w:r w:rsidR="004D7BE6">
        <w:t xml:space="preserve">I reject those submissions. It is obvious that subss 994C(4)(c) and (5)(c) have divergent knowledge requirements. Subsection (4)(c) is satisfied where “the person knows, or ought reasonably to know” the specified matters. Subsection (5)(c) is confined to actual knowledge, by </w:t>
      </w:r>
      <w:r w:rsidR="00520183">
        <w:t xml:space="preserve">requiring that </w:t>
      </w:r>
      <w:r w:rsidR="004D7BE6">
        <w:t>“the person knows” the relevant matters. It is obvious that the legislation intends to create a situation where a person may contravene subs (4) without actual knowledge of the relevant matters, but would not be liable under subs (5) because the person did not have that actual knowledge. That corresponds to a consistent pattern in the drafting of s 994C, whereby the provisions which create an offence (namely subss (3), (5) and (</w:t>
      </w:r>
      <w:r w:rsidR="00520183">
        <w:t>6</w:t>
      </w:r>
      <w:r w:rsidR="004D7BE6">
        <w:t>)) require actual knowledge of the relevant matters, whereas the provisions which do not create an offence but which are civil penalty provisions are satisfied where the person either knows or ought reasonably to know the relevant matters (subss (4) and (7)). The fact that the provisions which create criminal offences are concerned with conduct which is more serious or egregious than provisions which merely give rise to civil penalties is an entirely natural and reasonable approach to legislative drafting. I do not see anything contrary to the legislative purpose in adopting that approach. While the overall legislative purpose may be described at a high level of generality as consumer protection, the particular purpose of subss 994C(4) and (5) is to impose a regime of remedial responses in circumstances where the person knows (or ought reasonably to know in the case of subs (4)) of certain matters which give rise to the need for a</w:t>
      </w:r>
      <w:r w:rsidR="00056076">
        <w:t xml:space="preserve"> </w:t>
      </w:r>
      <w:r w:rsidR="004D7BE6">
        <w:t xml:space="preserve">remedial response. It is fundamental to that purpose that the provisions should specify the </w:t>
      </w:r>
      <w:r w:rsidR="006C335C">
        <w:t xml:space="preserve">nature and </w:t>
      </w:r>
      <w:r w:rsidR="004D7BE6">
        <w:t>elements of the knowledge which trigger the requisite remedial response. There is no reason why the legislation should adopt a uniform standard as to the degree of knowledge (i.e actual or constructive) which is required in different provisions calling for different responses, with different consequences for contravention in terms of the civil and criminal law.</w:t>
      </w:r>
    </w:p>
    <w:p w14:paraId="69C75214" w14:textId="4CA326D8" w:rsidR="004D7BE6" w:rsidRDefault="00E31C88" w:rsidP="00E31C88">
      <w:pPr>
        <w:pStyle w:val="ParaNumbering"/>
        <w:numPr>
          <w:ilvl w:val="0"/>
          <w:numId w:val="0"/>
        </w:numPr>
        <w:ind w:hanging="720"/>
      </w:pPr>
      <w:r>
        <w:rPr>
          <w:iCs/>
          <w:sz w:val="20"/>
        </w:rPr>
        <w:t>64</w:t>
      </w:r>
      <w:r>
        <w:rPr>
          <w:iCs/>
          <w:sz w:val="20"/>
        </w:rPr>
        <w:tab/>
      </w:r>
      <w:r w:rsidR="004D7BE6">
        <w:t xml:space="preserve">Fifth, the parties jointly submitted in their written submissions that there was nothing in the Revised Explanatory Memorandum that expressly assists the Court in interpreting these particular provisions, but submitted that the overarching legislative intention of a “customer-centric approach” assists in resolving what the parties referred to as the constructional choice. In developing that submission, the joint written submissions referred expressly to the Revised Explanatory Memorandum at [1.91]. It was </w:t>
      </w:r>
      <w:r w:rsidR="003C0947">
        <w:t xml:space="preserve">at </w:t>
      </w:r>
      <w:r w:rsidR="004D7BE6">
        <w:t xml:space="preserve">this point </w:t>
      </w:r>
      <w:r w:rsidR="004F03E5">
        <w:t xml:space="preserve">(if not earlier) </w:t>
      </w:r>
      <w:r w:rsidR="004D7BE6">
        <w:t xml:space="preserve">that the parties’ submissions completely lost contact with any form of rationality. I have quoted from that </w:t>
      </w:r>
      <w:r w:rsidR="004D7BE6">
        <w:lastRenderedPageBreak/>
        <w:t xml:space="preserve">paragraph above. It is obvious that the very paragraph referred to by the parties in their joint written submissions did expressly deal with the very matter of construction raised by the parties, and did so in a manner which is plainly contrary to their submission. While senior counsel for </w:t>
      </w:r>
      <w:r w:rsidR="00197259">
        <w:t>American Express</w:t>
      </w:r>
      <w:r w:rsidR="004D7BE6">
        <w:t xml:space="preserve"> had the good sense to withdraw the submission upon [1.91] being drawn to his attention</w:t>
      </w:r>
      <w:r w:rsidR="007D74F7">
        <w:t xml:space="preserve"> (T40.8–13)</w:t>
      </w:r>
      <w:r w:rsidR="003C0947">
        <w:t>,</w:t>
      </w:r>
      <w:r w:rsidR="004D7BE6">
        <w:t xml:space="preserve"> senior counsel for ASIC maintained the submission</w:t>
      </w:r>
      <w:r w:rsidR="00FE53B0">
        <w:t xml:space="preserve"> (T21.40–22.35),</w:t>
      </w:r>
      <w:r w:rsidR="004D7BE6">
        <w:t xml:space="preserve"> but ultimately withdrew it after I had provided the parties with an adjournment of over two hours to give proper consideration to the arguments that they were putting</w:t>
      </w:r>
      <w:r w:rsidR="005A4104">
        <w:t>, and accepted that [1.91] meant the opposite of what ASIC had earlier submitted</w:t>
      </w:r>
      <w:r w:rsidR="00833309">
        <w:t xml:space="preserve"> (T41.4–15)</w:t>
      </w:r>
      <w:r w:rsidR="004D7BE6">
        <w:t>.</w:t>
      </w:r>
    </w:p>
    <w:p w14:paraId="1EA4B8E9" w14:textId="79730567" w:rsidR="004D7BE6" w:rsidRDefault="00E31C88" w:rsidP="00E31C88">
      <w:pPr>
        <w:pStyle w:val="ParaNumbering"/>
        <w:numPr>
          <w:ilvl w:val="0"/>
          <w:numId w:val="0"/>
        </w:numPr>
        <w:ind w:hanging="720"/>
      </w:pPr>
      <w:r>
        <w:rPr>
          <w:iCs/>
          <w:sz w:val="20"/>
        </w:rPr>
        <w:t>65</w:t>
      </w:r>
      <w:r>
        <w:rPr>
          <w:iCs/>
          <w:sz w:val="20"/>
        </w:rPr>
        <w:tab/>
      </w:r>
      <w:r w:rsidR="004D7BE6">
        <w:t xml:space="preserve">Accordingly, I reject the parties’ joint submissions concerning this question of construction. </w:t>
      </w:r>
    </w:p>
    <w:p w14:paraId="30568ED9" w14:textId="5F531322" w:rsidR="004D7BE6" w:rsidRDefault="004D7BE6" w:rsidP="004D7BE6">
      <w:pPr>
        <w:pStyle w:val="Heading3"/>
        <w:rPr>
          <w:b w:val="0"/>
          <w:bCs/>
        </w:rPr>
      </w:pPr>
      <w:r>
        <w:rPr>
          <w:b w:val="0"/>
          <w:bCs/>
        </w:rPr>
        <w:t>Construction of “first knew” in s 994C(4)(c)</w:t>
      </w:r>
    </w:p>
    <w:p w14:paraId="03B2EA43" w14:textId="1154B366" w:rsidR="004D7BE6" w:rsidRDefault="00E31C88" w:rsidP="00E31C88">
      <w:pPr>
        <w:pStyle w:val="ParaNumbering"/>
        <w:numPr>
          <w:ilvl w:val="0"/>
          <w:numId w:val="0"/>
        </w:numPr>
        <w:ind w:hanging="720"/>
      </w:pPr>
      <w:r>
        <w:rPr>
          <w:iCs/>
          <w:sz w:val="20"/>
        </w:rPr>
        <w:t>66</w:t>
      </w:r>
      <w:r>
        <w:rPr>
          <w:iCs/>
          <w:sz w:val="20"/>
        </w:rPr>
        <w:tab/>
      </w:r>
      <w:r w:rsidR="004D7BE6">
        <w:t xml:space="preserve">There is an oddity in the drafting of s 994C(4)(c). The opening line of that paragraph specifies a condition to the operation of the subsection if “the person knows, or ought reasonably to know” that certain matters exist. </w:t>
      </w:r>
      <w:r w:rsidR="00DB1364">
        <w:t xml:space="preserve">They are expressed as alternatives because a person who ought reasonably to know something is a person who does not actually know that thing. </w:t>
      </w:r>
      <w:r w:rsidR="004D7BE6">
        <w:t xml:space="preserve">However, after identifying those matters, the provision requires that “from as soon as practicable, but no later than 10 business days, after the person </w:t>
      </w:r>
      <w:r w:rsidR="004D7BE6" w:rsidRPr="006B3505">
        <w:rPr>
          <w:i/>
          <w:iCs/>
        </w:rPr>
        <w:t>first knew</w:t>
      </w:r>
      <w:r w:rsidR="004D7BE6">
        <w:t xml:space="preserve"> of the occurrence of the review trigger, event or circumstance, the person must not engage in retail product distribution conduct in relation to the product” unless certain matters occur. One might have expected that </w:t>
      </w:r>
      <w:r w:rsidR="00D6716A">
        <w:t xml:space="preserve">italicised </w:t>
      </w:r>
      <w:r w:rsidR="004D7BE6">
        <w:t>element of the provision to have referred to when the person “first knew or ought to reasonably to have known”, in order to correspond to the first line of para (c). That is the drafting technique used in s 994C(7), which begins as follows:</w:t>
      </w:r>
    </w:p>
    <w:p w14:paraId="01D1AE23" w14:textId="28DD1127" w:rsidR="004D7BE6" w:rsidRDefault="004D7BE6" w:rsidP="004D7BE6">
      <w:pPr>
        <w:pStyle w:val="Quote1"/>
      </w:pPr>
      <w:r>
        <w:t xml:space="preserve">If a regulated person knows or ought reasonably to know that the person who made the target market determination for a financial product has taken steps referred to in subsection (5), the regulated person must, as soon as practicable, but no later than 10 business days, after the regulated person </w:t>
      </w:r>
      <w:r w:rsidR="00A20AB2">
        <w:t xml:space="preserve">first </w:t>
      </w:r>
      <w:r>
        <w:t xml:space="preserve">became aware </w:t>
      </w:r>
      <w:r w:rsidRPr="00544061">
        <w:rPr>
          <w:i/>
          <w:iCs/>
        </w:rPr>
        <w:t>or should have become aware</w:t>
      </w:r>
      <w:r>
        <w:t xml:space="preserve"> that the steps had been taken, cease to engage in retail product distribution conduct in relation to the product unless … (emphasis added)</w:t>
      </w:r>
    </w:p>
    <w:p w14:paraId="6412251E" w14:textId="6154E7FD" w:rsidR="004D7BE6" w:rsidRDefault="00E31C88" w:rsidP="00E31C88">
      <w:pPr>
        <w:pStyle w:val="ParaNumbering"/>
        <w:numPr>
          <w:ilvl w:val="0"/>
          <w:numId w:val="0"/>
        </w:numPr>
        <w:ind w:hanging="720"/>
      </w:pPr>
      <w:r>
        <w:rPr>
          <w:iCs/>
          <w:sz w:val="20"/>
        </w:rPr>
        <w:t>67</w:t>
      </w:r>
      <w:r>
        <w:rPr>
          <w:iCs/>
          <w:sz w:val="20"/>
        </w:rPr>
        <w:tab/>
      </w:r>
      <w:r w:rsidR="004D7BE6">
        <w:t xml:space="preserve">The question thus arises whether the words “first knew” in s 994C(4)(c) are to be construed as referring to actual or constructive knowledge, or only to actual knowledge. The former construction is supported by the overall context in which those words appear in para (c), because, unless “first knew” extends to when the person first ought reasonably to have known of the relevant matters, then the concept “ought reasonably to know” in the first line of para (c) would be incapable of giving rise to the prohibition set out in para (c) against engaging in retail product distribution conduct in relation to the product. </w:t>
      </w:r>
      <w:r w:rsidR="007C0607">
        <w:t xml:space="preserve">That is clearly the case </w:t>
      </w:r>
      <w:r w:rsidR="000647D0">
        <w:t xml:space="preserve">in relation to </w:t>
      </w:r>
      <w:r w:rsidR="000647D0">
        <w:lastRenderedPageBreak/>
        <w:t xml:space="preserve">para (c)(i), which applies if the person knows or ought reasonably to know that “a review trigger for the determination has occurred”. It is also the case in relation to </w:t>
      </w:r>
      <w:r w:rsidR="00372A77">
        <w:t>para (c)(ii)</w:t>
      </w:r>
      <w:r w:rsidR="00056076">
        <w:t xml:space="preserve"> </w:t>
      </w:r>
      <w:r w:rsidR="00372A77">
        <w:t xml:space="preserve">once one construes </w:t>
      </w:r>
      <w:r w:rsidR="00437289">
        <w:t xml:space="preserve">the knowledge requirement relating to para (c)(ii) </w:t>
      </w:r>
      <w:r w:rsidR="00EB4944">
        <w:t xml:space="preserve">in its obvious meaning </w:t>
      </w:r>
      <w:r w:rsidR="00437289">
        <w:t xml:space="preserve">as extending to all the elements of para (c)(ii), and thus the expression “first knew of the occurrence of the … event or circumstance” uses the words “event or circumstance” as a shorthand for all the elements of para (c)(ii). </w:t>
      </w:r>
      <w:r w:rsidR="004D7BE6">
        <w:t>That construction is also clearly supported by the Revised Explanatory Memorandum at [1.91], to which I have referred above.</w:t>
      </w:r>
    </w:p>
    <w:p w14:paraId="2726D6C7" w14:textId="35964800" w:rsidR="004D7BE6" w:rsidRDefault="00E31C88" w:rsidP="00E31C88">
      <w:pPr>
        <w:pStyle w:val="ParaNumbering"/>
        <w:numPr>
          <w:ilvl w:val="0"/>
          <w:numId w:val="0"/>
        </w:numPr>
        <w:ind w:hanging="720"/>
      </w:pPr>
      <w:r>
        <w:rPr>
          <w:iCs/>
          <w:sz w:val="20"/>
        </w:rPr>
        <w:t>68</w:t>
      </w:r>
      <w:r>
        <w:rPr>
          <w:iCs/>
          <w:sz w:val="20"/>
        </w:rPr>
        <w:tab/>
      </w:r>
      <w:r w:rsidR="004D7BE6">
        <w:t xml:space="preserve">The latter construction (that is, that “first knew” refers only to actual knowledge), is supported by the fact that the word “knows” in the first line of para (c) is used as an alternative to “ought reasonably to know”, and therefore is used in contradistinction to constructive knowledge. The words “know” and “knew” should thus be presumed to bear the same meaning. The latter construction is also supported by the relative need for clarity and certainty in the meaning to be given to a civil penalty provision. Further, it may be thought that a construction of “first knew” which extends to constructive knowledge would require the insertion of the words “or ought reasonably to have known” and such judicial repair of legislation by filling gaps disclosed in legislation may be regarded as being beyond judicial power: </w:t>
      </w:r>
      <w:r w:rsidR="004D7BE6" w:rsidRPr="005D40D6">
        <w:rPr>
          <w:i/>
          <w:iCs/>
        </w:rPr>
        <w:t xml:space="preserve">Taylor v The Owners – Strata Plan No 11564 </w:t>
      </w:r>
      <w:r w:rsidR="004D7BE6" w:rsidRPr="005D40D6">
        <w:t>[2014] HCA 9; (2014) 253 CLR 531</w:t>
      </w:r>
      <w:r w:rsidR="004D7BE6">
        <w:t xml:space="preserve"> at [38]–[40] (French CJ, Crennan and Bell JJ), [65] (Gageler and Keane JJ); </w:t>
      </w:r>
      <w:r w:rsidR="004D7BE6" w:rsidRPr="005D40D6">
        <w:rPr>
          <w:i/>
          <w:iCs/>
        </w:rPr>
        <w:t xml:space="preserve">HFM043 v Republic of Nauru </w:t>
      </w:r>
      <w:r w:rsidR="004D7BE6" w:rsidRPr="005D40D6">
        <w:t>[2018] HCA 37; (2018) 359 ALR 176</w:t>
      </w:r>
      <w:r w:rsidR="004D7BE6">
        <w:t xml:space="preserve"> at [24] (Kiefel CJ, Gageler and Nettle JJ).</w:t>
      </w:r>
    </w:p>
    <w:p w14:paraId="6AEEAC91" w14:textId="3BFEB5EE" w:rsidR="00EB4944" w:rsidRDefault="00E31C88" w:rsidP="00E31C88">
      <w:pPr>
        <w:pStyle w:val="ParaNumbering"/>
        <w:numPr>
          <w:ilvl w:val="0"/>
          <w:numId w:val="0"/>
        </w:numPr>
        <w:ind w:hanging="720"/>
      </w:pPr>
      <w:r>
        <w:rPr>
          <w:iCs/>
          <w:sz w:val="20"/>
        </w:rPr>
        <w:t>69</w:t>
      </w:r>
      <w:r>
        <w:rPr>
          <w:iCs/>
          <w:sz w:val="20"/>
        </w:rPr>
        <w:tab/>
      </w:r>
      <w:r w:rsidR="004D7BE6">
        <w:t xml:space="preserve">In my view, the words “first knew” in para (c) should be construed as meaning “first knew or ought reasonably to have known”. While there is a presumption that a word (or other parts of speech derived from the word) has the same meaning throughout an Act, and particularly within the same paragraph of a section of an Act, the presumption is not a strong one, and the strength of it must depend on the context in which the word appears. The point is lucidly explained by </w:t>
      </w:r>
      <w:r w:rsidR="004D7BE6" w:rsidRPr="005D40D6">
        <w:t xml:space="preserve">Mr Perry Herzfeld </w:t>
      </w:r>
      <w:r w:rsidR="00352F1E" w:rsidRPr="005D40D6">
        <w:t xml:space="preserve">SC </w:t>
      </w:r>
      <w:r w:rsidR="004D7BE6" w:rsidRPr="005D40D6">
        <w:t xml:space="preserve">and Mr Thomas Prince in </w:t>
      </w:r>
      <w:r w:rsidR="004D7BE6" w:rsidRPr="005D40D6">
        <w:rPr>
          <w:i/>
          <w:iCs/>
        </w:rPr>
        <w:t xml:space="preserve">Interpretation </w:t>
      </w:r>
      <w:r w:rsidR="004D7BE6" w:rsidRPr="005D40D6">
        <w:t>(2</w:t>
      </w:r>
      <w:r w:rsidR="004D7BE6" w:rsidRPr="005D40D6">
        <w:rPr>
          <w:vertAlign w:val="superscript"/>
        </w:rPr>
        <w:t>nd</w:t>
      </w:r>
      <w:r w:rsidR="004D7BE6" w:rsidRPr="005D40D6">
        <w:t xml:space="preserve"> ed, 2020) </w:t>
      </w:r>
      <w:r w:rsidR="004D7BE6" w:rsidRPr="00F30924">
        <w:t xml:space="preserve">at [5.170]. </w:t>
      </w:r>
      <w:r w:rsidR="004D7BE6">
        <w:t xml:space="preserve">In the present case, reading s 994C(4) as a whole, the context in which the words “first knew” appear strongly indicates that those words were intended to apply to both kinds of knowledge referred to in the opening line of para (c); that is, both actual and constructive knowledge. It is true that s 994C(7) provides clearer drafting but I do not regard it as essential that the words “first knew” must be followed by the words “or ought reasonably to have known” in order to express that meaning in the particular context of the provision. </w:t>
      </w:r>
    </w:p>
    <w:p w14:paraId="24F0366B" w14:textId="226FF45F" w:rsidR="00A04E51" w:rsidRDefault="00E31C88" w:rsidP="00E31C88">
      <w:pPr>
        <w:pStyle w:val="ParaNumbering"/>
        <w:numPr>
          <w:ilvl w:val="0"/>
          <w:numId w:val="0"/>
        </w:numPr>
        <w:ind w:hanging="720"/>
      </w:pPr>
      <w:r>
        <w:rPr>
          <w:iCs/>
          <w:sz w:val="20"/>
        </w:rPr>
        <w:lastRenderedPageBreak/>
        <w:t>70</w:t>
      </w:r>
      <w:r>
        <w:rPr>
          <w:iCs/>
          <w:sz w:val="20"/>
        </w:rPr>
        <w:tab/>
      </w:r>
      <w:r w:rsidR="004D7BE6">
        <w:t>As to the fact that the provision creates a civil penalty, and is therefore a kind of penal statute, it is now accepted that the old rule</w:t>
      </w:r>
      <w:r w:rsidR="00CD73B1">
        <w:t xml:space="preserve"> that</w:t>
      </w:r>
      <w:r w:rsidR="004D7BE6">
        <w:t xml:space="preserve"> </w:t>
      </w:r>
      <w:r w:rsidR="008D4671">
        <w:t>penal or criminal</w:t>
      </w:r>
      <w:r w:rsidR="004D7BE6">
        <w:t xml:space="preserve"> </w:t>
      </w:r>
      <w:r w:rsidR="00CD73B1">
        <w:t xml:space="preserve">statutes </w:t>
      </w:r>
      <w:r w:rsidR="004D7BE6">
        <w:t xml:space="preserve">should be strictly construed has lost much of its importance, and that the ordinary rules of construction must be applied in determining the meaning of a penal statute. However, if the language of the statute remains ambiguous or doubtful then as a last resort the ambiguity or doubt may be resolved in favour of the subject by refusing to extend the category of criminal offences (or for that matter, civil penalty provisions): </w:t>
      </w:r>
      <w:r w:rsidR="004D7BE6" w:rsidRPr="005D40D6">
        <w:rPr>
          <w:i/>
          <w:iCs/>
        </w:rPr>
        <w:t>Beckwith v The Queen</w:t>
      </w:r>
      <w:r w:rsidR="004D7BE6" w:rsidRPr="005D40D6">
        <w:t xml:space="preserve"> (1976) 135 CLR 569</w:t>
      </w:r>
      <w:r w:rsidR="004D7BE6">
        <w:t xml:space="preserve"> at 576 (Gibbs J); approved by the High Court on a number of occasions as set out in Perry and Herzfeld, </w:t>
      </w:r>
      <w:r w:rsidR="004D7BE6">
        <w:rPr>
          <w:i/>
          <w:iCs/>
        </w:rPr>
        <w:t>Interpretation</w:t>
      </w:r>
      <w:r w:rsidR="004D7BE6">
        <w:t>, at [10.90], most recently in</w:t>
      </w:r>
      <w:r w:rsidR="004D7BE6" w:rsidRPr="00DF34A6">
        <w:rPr>
          <w:i/>
          <w:iCs/>
        </w:rPr>
        <w:t xml:space="preserve"> </w:t>
      </w:r>
      <w:r w:rsidR="004D7BE6" w:rsidRPr="005D40D6">
        <w:rPr>
          <w:i/>
          <w:iCs/>
        </w:rPr>
        <w:t>R v A2</w:t>
      </w:r>
      <w:r w:rsidR="004D7BE6" w:rsidRPr="005D40D6">
        <w:t xml:space="preserve"> [2019] HCA 35; (2019) 269 CLR 507</w:t>
      </w:r>
      <w:r w:rsidR="004D7BE6">
        <w:t xml:space="preserve"> at [52] (Kiefel CJ and Keane J, with whom Nettle and Gordon JJ agreed). In the present case, ordinary principles of construction yield a sufficiently clear meaning</w:t>
      </w:r>
      <w:r w:rsidR="00A84109">
        <w:t xml:space="preserve"> such</w:t>
      </w:r>
      <w:r w:rsidR="00056076">
        <w:t xml:space="preserve"> </w:t>
      </w:r>
      <w:r w:rsidR="004D7BE6">
        <w:t xml:space="preserve">that there is no room for the application of the principle of last resort of resolving any remaining ambiguity or doubt in favour of the subject. </w:t>
      </w:r>
    </w:p>
    <w:p w14:paraId="180A69D6" w14:textId="6778DAD4" w:rsidR="004D7BE6" w:rsidRDefault="00E31C88" w:rsidP="00E31C88">
      <w:pPr>
        <w:pStyle w:val="ParaNumbering"/>
        <w:numPr>
          <w:ilvl w:val="0"/>
          <w:numId w:val="0"/>
        </w:numPr>
        <w:ind w:hanging="720"/>
      </w:pPr>
      <w:r>
        <w:rPr>
          <w:iCs/>
          <w:sz w:val="20"/>
        </w:rPr>
        <w:t>71</w:t>
      </w:r>
      <w:r>
        <w:rPr>
          <w:iCs/>
          <w:sz w:val="20"/>
        </w:rPr>
        <w:tab/>
      </w:r>
      <w:r w:rsidR="004D7BE6">
        <w:t>Further, in my view the issue of construction is resolved by the proper construction of the actual words used in the provision, namely “first knew”, without the need to insert further words by a process of impermissible judicial repair by filling gaps disclosed in the legislation. Finally, as I have indicated, the Revised Explanatory Memorandum at [1.91] expressly conveyed the intention that the remedial conduct required by s 994C(4) was required to be undertaken as soon as practicable (but no later than 10 business days) after the relevant issuer “knew or ought to have known” that the determination may be inappropriate.</w:t>
      </w:r>
    </w:p>
    <w:p w14:paraId="628AEC8A" w14:textId="5A180B5D" w:rsidR="004D7BE6" w:rsidRDefault="00E31C88" w:rsidP="00E31C88">
      <w:pPr>
        <w:pStyle w:val="ParaNumbering"/>
        <w:numPr>
          <w:ilvl w:val="0"/>
          <w:numId w:val="0"/>
        </w:numPr>
        <w:ind w:hanging="720"/>
      </w:pPr>
      <w:r>
        <w:rPr>
          <w:iCs/>
          <w:sz w:val="20"/>
        </w:rPr>
        <w:t>72</w:t>
      </w:r>
      <w:r>
        <w:rPr>
          <w:iCs/>
          <w:sz w:val="20"/>
        </w:rPr>
        <w:tab/>
      </w:r>
      <w:r w:rsidR="004D7BE6">
        <w:t xml:space="preserve">Having said that, it would be preferable for Parliament to tidy up the drafting of s 994C(4)(c) </w:t>
      </w:r>
      <w:r w:rsidR="00802E21">
        <w:t>by adding</w:t>
      </w:r>
      <w:r w:rsidR="004D7BE6">
        <w:t xml:space="preserve"> after “first knew” the words “or ought reasonably to have known”.</w:t>
      </w:r>
      <w:r w:rsidR="00A04E51">
        <w:t xml:space="preserve"> It is most unsatisfactory for a civil penalty provision to be so poorly drafted.</w:t>
      </w:r>
    </w:p>
    <w:p w14:paraId="08655E35" w14:textId="5B6A8A49" w:rsidR="00A84109" w:rsidRDefault="00A84109" w:rsidP="00A84109">
      <w:pPr>
        <w:pStyle w:val="Heading2"/>
      </w:pPr>
      <w:r>
        <w:t>Conclusion on Contravention</w:t>
      </w:r>
    </w:p>
    <w:p w14:paraId="5E82BFC2" w14:textId="51E85BD6" w:rsidR="00A84109" w:rsidRDefault="00E31C88" w:rsidP="00E31C88">
      <w:pPr>
        <w:pStyle w:val="ParaNumbering"/>
        <w:numPr>
          <w:ilvl w:val="0"/>
          <w:numId w:val="0"/>
        </w:numPr>
        <w:ind w:hanging="720"/>
      </w:pPr>
      <w:r>
        <w:rPr>
          <w:iCs/>
          <w:sz w:val="20"/>
        </w:rPr>
        <w:t>73</w:t>
      </w:r>
      <w:r>
        <w:rPr>
          <w:iCs/>
          <w:sz w:val="20"/>
        </w:rPr>
        <w:tab/>
      </w:r>
      <w:r w:rsidR="00A84109">
        <w:t xml:space="preserve">It follows from the views that I have expressed as to the proper construction of </w:t>
      </w:r>
      <w:r w:rsidR="00F35333">
        <w:t>sub</w:t>
      </w:r>
      <w:r w:rsidR="00A84109">
        <w:t>ss 994C(4) and (5) that American Express did not contravene s 994C(4) on the basis of actual knowledge that an event or circumstan</w:t>
      </w:r>
      <w:r w:rsidR="006820CD">
        <w:t xml:space="preserve">ce had occurred that would reasonably suggest that the TMDs were no longer appropriate. Further, American Express did not contravene s 994C(5) at all, given that s 994C(5)(c) relevantly requires actual knowledge of that matter. It will be recalled that it is an agreed fact that American Express did </w:t>
      </w:r>
      <w:r w:rsidR="00DB1352">
        <w:t>not have actual knowledge that the circumstance identified in SAFA [111] reasonably suggested that the TMDs were no longer appropriate</w:t>
      </w:r>
      <w:r w:rsidR="00802E21">
        <w:t xml:space="preserve">: </w:t>
      </w:r>
      <w:r w:rsidR="00DB1352">
        <w:t>SAFA [114].</w:t>
      </w:r>
    </w:p>
    <w:p w14:paraId="180FD456" w14:textId="7FAE0450" w:rsidR="00DB1352" w:rsidRPr="00A84109" w:rsidRDefault="00E31C88" w:rsidP="00E31C88">
      <w:pPr>
        <w:pStyle w:val="ParaNumbering"/>
        <w:numPr>
          <w:ilvl w:val="0"/>
          <w:numId w:val="0"/>
        </w:numPr>
        <w:ind w:hanging="720"/>
      </w:pPr>
      <w:r w:rsidRPr="00A84109">
        <w:rPr>
          <w:iCs/>
          <w:sz w:val="20"/>
        </w:rPr>
        <w:lastRenderedPageBreak/>
        <w:t>74</w:t>
      </w:r>
      <w:r w:rsidRPr="00A84109">
        <w:rPr>
          <w:iCs/>
          <w:sz w:val="20"/>
        </w:rPr>
        <w:tab/>
      </w:r>
      <w:r w:rsidR="00DB1352">
        <w:t>I have earlier stated my conclusion (consistently with the agreed position between the parties) that by 11 May 2022 American Express ought reasonably to have known that the matters set out in SAFA [111] constituted the occurrence of a circumstance that reasonably su</w:t>
      </w:r>
      <w:r w:rsidR="0048303D">
        <w:t>ggested that the TMDs were no longer appropriate. In those circumstances, American Express contravened s 994C(4) by not reviewing the TMDs for the DJs Cards or ceas</w:t>
      </w:r>
      <w:r w:rsidR="00910F5E">
        <w:t>ing to issue</w:t>
      </w:r>
      <w:r w:rsidR="007019A9">
        <w:t xml:space="preserve"> the DJs Cards. It remains to determine the amount of civil penalty which is appropriate for that particular contravention, and to deal with the appropriate costs order.</w:t>
      </w:r>
    </w:p>
    <w:p w14:paraId="3F48514A" w14:textId="03A8F522" w:rsidR="00AA6E0F" w:rsidRPr="000F5519" w:rsidRDefault="00AA6E0F" w:rsidP="00E83588">
      <w:pPr>
        <w:pStyle w:val="Heading2"/>
      </w:pPr>
      <w:r w:rsidRPr="000F5519">
        <w:t>A</w:t>
      </w:r>
      <w:r w:rsidR="00E83588">
        <w:t>pproach to agreed relief</w:t>
      </w:r>
    </w:p>
    <w:p w14:paraId="54634B37" w14:textId="03236388" w:rsidR="00AA6E0F" w:rsidRPr="00AD37C3" w:rsidRDefault="00E31C88" w:rsidP="00E31C88">
      <w:pPr>
        <w:pStyle w:val="ParaNumbering"/>
        <w:numPr>
          <w:ilvl w:val="0"/>
          <w:numId w:val="0"/>
        </w:numPr>
        <w:ind w:hanging="720"/>
      </w:pPr>
      <w:r w:rsidRPr="00AD37C3">
        <w:rPr>
          <w:iCs/>
          <w:sz w:val="20"/>
        </w:rPr>
        <w:t>75</w:t>
      </w:r>
      <w:r w:rsidRPr="00AD37C3">
        <w:rPr>
          <w:iCs/>
          <w:sz w:val="20"/>
        </w:rPr>
        <w:tab/>
      </w:r>
      <w:r w:rsidR="00AA6E0F" w:rsidRPr="00AD37C3">
        <w:t xml:space="preserve">The proper approach to civil penalty orders which are sought on an agreed basis was explained in </w:t>
      </w:r>
      <w:r w:rsidR="00AA6E0F" w:rsidRPr="005D40D6">
        <w:rPr>
          <w:i/>
          <w:iCs/>
        </w:rPr>
        <w:t>Commonwealth v Director, Fair Work Building Industry Inspectorate</w:t>
      </w:r>
      <w:r w:rsidR="00D63676" w:rsidRPr="005D40D6">
        <w:t xml:space="preserve"> [2015] HCA 46; (2015) 258 CLR 482</w:t>
      </w:r>
      <w:r w:rsidR="004B7FB5" w:rsidRPr="00B2313C">
        <w:t xml:space="preserve"> (</w:t>
      </w:r>
      <w:r w:rsidR="004B7FB5" w:rsidRPr="004B7FB5">
        <w:rPr>
          <w:b/>
          <w:bCs/>
          <w:i/>
          <w:iCs/>
        </w:rPr>
        <w:t>FWBII</w:t>
      </w:r>
      <w:r w:rsidR="004B7FB5" w:rsidRPr="00B2313C">
        <w:t>)</w:t>
      </w:r>
      <w:r w:rsidR="00D63676">
        <w:t>.</w:t>
      </w:r>
      <w:r w:rsidR="00AA6E0F" w:rsidRPr="00B2313C">
        <w:t xml:space="preserve"> </w:t>
      </w:r>
      <w:r w:rsidR="00AA6E0F" w:rsidRPr="00AD37C3">
        <w:t xml:space="preserve">The High Court there reaffirmed the practice of acting upon agreed penalty submissions, as explained in </w:t>
      </w:r>
      <w:r w:rsidR="00AA6E0F" w:rsidRPr="005D40D6">
        <w:rPr>
          <w:i/>
          <w:iCs/>
        </w:rPr>
        <w:t>NW Frozen Foods Pty Ltd v A</w:t>
      </w:r>
      <w:r w:rsidR="00F76B75" w:rsidRPr="005D40D6">
        <w:rPr>
          <w:i/>
          <w:iCs/>
        </w:rPr>
        <w:t xml:space="preserve">ustralian Competition and Consumer Commission </w:t>
      </w:r>
      <w:r w:rsidR="00F76B75" w:rsidRPr="005D40D6">
        <w:t>[1996] FCA 1134; (1996) 71 FCR 285</w:t>
      </w:r>
      <w:r w:rsidR="00AA6E0F" w:rsidRPr="00AD37C3">
        <w:t xml:space="preserve"> and </w:t>
      </w:r>
      <w:r w:rsidR="00AA6E0F" w:rsidRPr="005D40D6">
        <w:rPr>
          <w:i/>
          <w:iCs/>
        </w:rPr>
        <w:t>Minister for Industry, Tourism and Resources v Mobil Oil Australia Pty Ltd</w:t>
      </w:r>
      <w:r w:rsidR="0099638B" w:rsidRPr="005D40D6">
        <w:rPr>
          <w:i/>
          <w:iCs/>
        </w:rPr>
        <w:t xml:space="preserve"> </w:t>
      </w:r>
      <w:r w:rsidR="0099638B" w:rsidRPr="005D40D6">
        <w:t>[2004] FCAFC 72; (2004) ATPR 41–993</w:t>
      </w:r>
      <w:r w:rsidR="0099638B">
        <w:t>.</w:t>
      </w:r>
    </w:p>
    <w:p w14:paraId="004953D4" w14:textId="3F6E3CE8" w:rsidR="00AA6E0F" w:rsidRPr="007A1796" w:rsidRDefault="00E31C88" w:rsidP="00E31C88">
      <w:pPr>
        <w:pStyle w:val="ParaNumbering"/>
        <w:numPr>
          <w:ilvl w:val="0"/>
          <w:numId w:val="0"/>
        </w:numPr>
        <w:ind w:hanging="720"/>
      </w:pPr>
      <w:r w:rsidRPr="007A1796">
        <w:rPr>
          <w:iCs/>
          <w:sz w:val="20"/>
        </w:rPr>
        <w:t>76</w:t>
      </w:r>
      <w:r w:rsidRPr="007A1796">
        <w:rPr>
          <w:iCs/>
          <w:sz w:val="20"/>
        </w:rPr>
        <w:tab/>
      </w:r>
      <w:r w:rsidR="00EF0D2D">
        <w:t>I</w:t>
      </w:r>
      <w:r w:rsidR="00AA6E0F" w:rsidRPr="7EC9EFA0">
        <w:t xml:space="preserve">n </w:t>
      </w:r>
      <w:r w:rsidR="00AA6E0F" w:rsidRPr="7EC9EFA0">
        <w:rPr>
          <w:i/>
          <w:iCs/>
        </w:rPr>
        <w:t>FWBII</w:t>
      </w:r>
      <w:r w:rsidR="00EF0D2D">
        <w:t>, French CJ, Kiefel, Bell</w:t>
      </w:r>
      <w:r w:rsidR="00416A72">
        <w:t xml:space="preserve">, </w:t>
      </w:r>
      <w:r w:rsidR="00EF0D2D">
        <w:t>Nettle and Gordon JJ</w:t>
      </w:r>
      <w:r w:rsidR="00AA6E0F" w:rsidRPr="7EC9EFA0">
        <w:rPr>
          <w:i/>
          <w:iCs/>
        </w:rPr>
        <w:t xml:space="preserve"> </w:t>
      </w:r>
      <w:r w:rsidR="00AA6E0F" w:rsidRPr="7EC9EFA0">
        <w:t xml:space="preserve">emphasised the </w:t>
      </w:r>
      <w:r w:rsidR="00AA6E0F" w:rsidRPr="007A1796">
        <w:t>“important public policy involved in promoting predictability of outcome in civil penalty proceedings” which “assists in avoiding lengthy and complex litigation and thus tends to free the courts to deal with other matters and to free investigating officers to turn to other areas of investigation that await their attention”</w:t>
      </w:r>
      <w:r w:rsidR="007A1796">
        <w:t>: at [46]</w:t>
      </w:r>
      <w:r w:rsidR="00AA6E0F" w:rsidRPr="007A1796">
        <w:t>.</w:t>
      </w:r>
      <w:r w:rsidR="00AA6E0F" w:rsidRPr="007A1796">
        <w:rPr>
          <w:sz w:val="16"/>
          <w:szCs w:val="16"/>
        </w:rPr>
        <w:t xml:space="preserve"> </w:t>
      </w:r>
      <w:r w:rsidR="00AA6E0F" w:rsidRPr="007A1796">
        <w:t>Their Honours went on to state</w:t>
      </w:r>
      <w:r w:rsidR="007A1796">
        <w:t xml:space="preserve"> at [58]</w:t>
      </w:r>
      <w:r w:rsidR="004A1F6D">
        <w:t xml:space="preserve"> (emphasis in original):</w:t>
      </w:r>
    </w:p>
    <w:p w14:paraId="18218D23" w14:textId="77777777" w:rsidR="00AA6E0F" w:rsidRPr="000F5519" w:rsidRDefault="00AA6E0F" w:rsidP="000A12EB">
      <w:pPr>
        <w:pStyle w:val="Quote1"/>
      </w:pPr>
      <w:r w:rsidRPr="000F5519">
        <w:t xml:space="preserve">Subject to the court being sufficiently persuaded of the accuracy of the parties’ agreement as to facts and consequences, and that the penalty which the parties propose is </w:t>
      </w:r>
      <w:r w:rsidRPr="000F5519">
        <w:rPr>
          <w:i/>
        </w:rPr>
        <w:t xml:space="preserve">an </w:t>
      </w:r>
      <w:r w:rsidRPr="000F5519">
        <w:t>appropriate remedy in the circumstances thus revealed, it is consistent with principle and … highly desirable in practice for the court to accept the parties’ proposal and therefore impose the proposed penalty.</w:t>
      </w:r>
    </w:p>
    <w:p w14:paraId="5A303621" w14:textId="5B1B3FDF" w:rsidR="00AA6E0F" w:rsidRPr="000F5519" w:rsidRDefault="00E31C88" w:rsidP="00E31C88">
      <w:pPr>
        <w:pStyle w:val="ParaNumbering"/>
        <w:numPr>
          <w:ilvl w:val="0"/>
          <w:numId w:val="0"/>
        </w:numPr>
        <w:ind w:hanging="720"/>
      </w:pPr>
      <w:r w:rsidRPr="000F5519">
        <w:rPr>
          <w:iCs/>
          <w:sz w:val="20"/>
        </w:rPr>
        <w:t>77</w:t>
      </w:r>
      <w:r w:rsidRPr="000F5519">
        <w:rPr>
          <w:iCs/>
          <w:sz w:val="20"/>
        </w:rPr>
        <w:tab/>
      </w:r>
      <w:r w:rsidR="000A12EB">
        <w:t xml:space="preserve">The regulator </w:t>
      </w:r>
      <w:r w:rsidR="004A1F6D">
        <w:t xml:space="preserve">such as ASIC </w:t>
      </w:r>
      <w:r w:rsidR="006147A4">
        <w:t>i</w:t>
      </w:r>
      <w:r w:rsidR="000A12EB">
        <w:t xml:space="preserve">n a civil penalty proceeding </w:t>
      </w:r>
      <w:r w:rsidR="00AA6E0F" w:rsidRPr="000F5519">
        <w:t xml:space="preserve">is not a disinterested party, and its views concerning the appropriate penalty are a relevant consideration </w:t>
      </w:r>
      <w:r w:rsidR="0086737D">
        <w:t>in</w:t>
      </w:r>
      <w:r w:rsidR="00AA6E0F" w:rsidRPr="000F5519">
        <w:t xml:space="preserve"> determining whether the proposed penalty is appropriate</w:t>
      </w:r>
      <w:r w:rsidR="006147A4">
        <w:t xml:space="preserve">: </w:t>
      </w:r>
      <w:r w:rsidR="006147A4">
        <w:rPr>
          <w:i/>
          <w:iCs/>
        </w:rPr>
        <w:t>FWBII</w:t>
      </w:r>
      <w:r w:rsidR="006147A4">
        <w:t xml:space="preserve"> at [60]</w:t>
      </w:r>
      <w:r w:rsidR="00056C00">
        <w:t>.</w:t>
      </w:r>
      <w:r w:rsidR="00AA6E0F" w:rsidRPr="000F5519">
        <w:t xml:space="preserve"> That being the case, the Court’s determination of whether the Agreed Penalty is appropriate ought properly take account of ASIC’s informed view regarding the effects of contraventions of the nature admitted by American Express, and the level of penalty necessary to achieve compliance</w:t>
      </w:r>
      <w:r w:rsidR="00056C00">
        <w:t>: at [60].</w:t>
      </w:r>
      <w:r w:rsidR="00AA6E0F" w:rsidRPr="000F5519">
        <w:t xml:space="preserve"> </w:t>
      </w:r>
    </w:p>
    <w:p w14:paraId="069983F6" w14:textId="12C999BA" w:rsidR="00AA6E0F" w:rsidRPr="000F5519" w:rsidRDefault="00E31C88" w:rsidP="00E31C88">
      <w:pPr>
        <w:pStyle w:val="ParaNumbering"/>
        <w:numPr>
          <w:ilvl w:val="0"/>
          <w:numId w:val="0"/>
        </w:numPr>
        <w:ind w:hanging="720"/>
        <w:rPr>
          <w:sz w:val="16"/>
          <w:szCs w:val="16"/>
        </w:rPr>
      </w:pPr>
      <w:r w:rsidRPr="000F5519">
        <w:rPr>
          <w:iCs/>
          <w:sz w:val="20"/>
          <w:szCs w:val="16"/>
        </w:rPr>
        <w:t>78</w:t>
      </w:r>
      <w:r w:rsidRPr="000F5519">
        <w:rPr>
          <w:iCs/>
          <w:sz w:val="20"/>
          <w:szCs w:val="16"/>
        </w:rPr>
        <w:tab/>
      </w:r>
      <w:r w:rsidR="00B8144C">
        <w:t>In the present case, I have rejected the parties’ joint submission that American Express contravened s 994C(5), because I have rejected as untenable the construction of s 994C(5)</w:t>
      </w:r>
      <w:r w:rsidR="00924C3A">
        <w:t xml:space="preserve"> on </w:t>
      </w:r>
      <w:r w:rsidR="00924C3A">
        <w:lastRenderedPageBreak/>
        <w:t>which that joint submission depends. In those circumstances, I need not consider Agreed Penalty A, and will con</w:t>
      </w:r>
      <w:r w:rsidR="00CC6AD2">
        <w:t>fine</w:t>
      </w:r>
      <w:r w:rsidR="00924C3A">
        <w:t xml:space="preserve"> my reasons to the appropriateness of Agreed </w:t>
      </w:r>
      <w:r w:rsidR="00CC6AD2">
        <w:t>Penalty</w:t>
      </w:r>
      <w:r w:rsidR="00924C3A">
        <w:t xml:space="preserve"> B</w:t>
      </w:r>
      <w:r w:rsidR="00CC6AD2">
        <w:t>.</w:t>
      </w:r>
    </w:p>
    <w:p w14:paraId="4A68369A" w14:textId="1BE09BE6" w:rsidR="00AA6E0F" w:rsidRPr="0097660E" w:rsidRDefault="00E31C88" w:rsidP="00E31C88">
      <w:pPr>
        <w:pStyle w:val="ParaNumbering"/>
        <w:numPr>
          <w:ilvl w:val="0"/>
          <w:numId w:val="0"/>
        </w:numPr>
        <w:ind w:hanging="720"/>
        <w:rPr>
          <w:sz w:val="16"/>
          <w:szCs w:val="16"/>
        </w:rPr>
      </w:pPr>
      <w:r w:rsidRPr="0097660E">
        <w:rPr>
          <w:iCs/>
          <w:sz w:val="20"/>
          <w:szCs w:val="16"/>
        </w:rPr>
        <w:t>79</w:t>
      </w:r>
      <w:r w:rsidRPr="0097660E">
        <w:rPr>
          <w:iCs/>
          <w:sz w:val="20"/>
          <w:szCs w:val="16"/>
        </w:rPr>
        <w:tab/>
      </w:r>
      <w:r w:rsidR="00AA6E0F" w:rsidRPr="7EC9EFA0">
        <w:t>In considering whether Agreed Penalty</w:t>
      </w:r>
      <w:r w:rsidR="006B1F34">
        <w:t xml:space="preserve"> B of $8,000,000</w:t>
      </w:r>
      <w:r w:rsidR="00AA6E0F" w:rsidRPr="7EC9EFA0">
        <w:t xml:space="preserve"> is an appropriate penalty, </w:t>
      </w:r>
      <w:r w:rsidR="006B1F34">
        <w:t>I</w:t>
      </w:r>
      <w:r w:rsidR="00AA6E0F" w:rsidRPr="7EC9EFA0">
        <w:t xml:space="preserve"> bear in mind that there is no single appropriate penalty. Rather, there is a permissible range of penalties within which no particular figure can necessarily be said to be more appropriate than another</w:t>
      </w:r>
      <w:r w:rsidR="00197F2B">
        <w:t xml:space="preserve">: </w:t>
      </w:r>
      <w:r w:rsidR="00197F2B" w:rsidRPr="005D40D6">
        <w:rPr>
          <w:i/>
          <w:iCs/>
        </w:rPr>
        <w:t xml:space="preserve">Volkswagon Aktiengesellschaft v </w:t>
      </w:r>
      <w:r w:rsidR="007F101A" w:rsidRPr="005D40D6">
        <w:rPr>
          <w:i/>
          <w:iCs/>
        </w:rPr>
        <w:t>Australian Competition and Consumer Commission</w:t>
      </w:r>
      <w:r w:rsidR="007F101A" w:rsidRPr="005D40D6">
        <w:t xml:space="preserve"> [2021]</w:t>
      </w:r>
      <w:r w:rsidR="00602F3C" w:rsidRPr="005D40D6">
        <w:t xml:space="preserve"> FCAFC 49; (2021) 284 FCR 24</w:t>
      </w:r>
      <w:r w:rsidR="00602F3C">
        <w:t xml:space="preserve"> at [127]</w:t>
      </w:r>
      <w:r w:rsidR="0097660E">
        <w:t xml:space="preserve"> (Wigney, Beach and O’Bryan JJ).</w:t>
      </w:r>
      <w:r w:rsidR="00AA6E0F" w:rsidRPr="7EC9EFA0">
        <w:t xml:space="preserve"> The permissible range is determined by all the relevant facts and consequences of the contravention and the contravener’s circumstances. Where the penalty proposed by the parties is within the permissible range, the court will not depart from the submitted figure </w:t>
      </w:r>
      <w:r w:rsidR="00AA6E0F" w:rsidRPr="0097660E">
        <w:t>“merely because it might otherwise have been disposed to select some other figure”</w:t>
      </w:r>
      <w:r w:rsidR="0097660E">
        <w:t xml:space="preserve">: </w:t>
      </w:r>
      <w:r w:rsidR="0097660E">
        <w:rPr>
          <w:i/>
          <w:iCs/>
        </w:rPr>
        <w:t>FWBII</w:t>
      </w:r>
      <w:r w:rsidR="0097660E">
        <w:t xml:space="preserve"> at [47]</w:t>
      </w:r>
      <w:r w:rsidR="00AA6E0F" w:rsidRPr="0097660E">
        <w:t>.</w:t>
      </w:r>
    </w:p>
    <w:p w14:paraId="1C6B7434" w14:textId="44A57E07" w:rsidR="0018433A" w:rsidRPr="0018433A" w:rsidRDefault="00E31C88" w:rsidP="00E31C88">
      <w:pPr>
        <w:pStyle w:val="ParaNumbering"/>
        <w:numPr>
          <w:ilvl w:val="0"/>
          <w:numId w:val="0"/>
        </w:numPr>
        <w:ind w:hanging="720"/>
        <w:rPr>
          <w:b/>
          <w:i/>
        </w:rPr>
      </w:pPr>
      <w:r w:rsidRPr="0018433A">
        <w:rPr>
          <w:iCs/>
          <w:sz w:val="20"/>
        </w:rPr>
        <w:t>80</w:t>
      </w:r>
      <w:r w:rsidRPr="0018433A">
        <w:rPr>
          <w:iCs/>
          <w:sz w:val="20"/>
        </w:rPr>
        <w:tab/>
      </w:r>
      <w:r w:rsidR="00F20463">
        <w:t xml:space="preserve">The total </w:t>
      </w:r>
      <w:r w:rsidR="008C71CE">
        <w:t>penalty</w:t>
      </w:r>
      <w:r w:rsidR="00F20463">
        <w:t xml:space="preserve"> of $8 million is said by the parties to reflect a penalty of $4.5 million for the contravention of s 994C(4) in rela</w:t>
      </w:r>
      <w:r w:rsidR="008102CB">
        <w:t xml:space="preserve">tion to the DJs Amex Card and a penalty of $3.5 million for the contravention of s 994C(4) in relation to the DJs Amex Platinum Card. </w:t>
      </w:r>
    </w:p>
    <w:p w14:paraId="63237C2D" w14:textId="4C74158C" w:rsidR="00AA6E0F" w:rsidRPr="0018433A" w:rsidRDefault="00AA6E0F" w:rsidP="0018433A">
      <w:pPr>
        <w:pStyle w:val="Heading2"/>
        <w:rPr>
          <w:i/>
        </w:rPr>
      </w:pPr>
      <w:r w:rsidRPr="00AD37C3">
        <w:t>Section 1317G(1)(c) of the Act</w:t>
      </w:r>
    </w:p>
    <w:p w14:paraId="635FC0CF" w14:textId="33D31A52" w:rsidR="00AA6E0F" w:rsidRPr="000F5519" w:rsidRDefault="00E31C88" w:rsidP="00E31C88">
      <w:pPr>
        <w:pStyle w:val="ParaNumbering"/>
        <w:numPr>
          <w:ilvl w:val="0"/>
          <w:numId w:val="0"/>
        </w:numPr>
        <w:ind w:hanging="720"/>
      </w:pPr>
      <w:r w:rsidRPr="000F5519">
        <w:rPr>
          <w:iCs/>
          <w:sz w:val="20"/>
        </w:rPr>
        <w:t>81</w:t>
      </w:r>
      <w:r w:rsidRPr="000F5519">
        <w:rPr>
          <w:iCs/>
          <w:sz w:val="20"/>
        </w:rPr>
        <w:tab/>
      </w:r>
      <w:r w:rsidR="00AA6E0F" w:rsidRPr="000F5519">
        <w:t xml:space="preserve">Section 1317G(1)(c) of the Act </w:t>
      </w:r>
      <w:r w:rsidR="00DF3305">
        <w:t>provides relevantly</w:t>
      </w:r>
      <w:r w:rsidR="00AA6E0F" w:rsidRPr="000F5519">
        <w:t xml:space="preserve"> that where a contravention is of a </w:t>
      </w:r>
      <w:r w:rsidR="00AA6E0F">
        <w:t>“</w:t>
      </w:r>
      <w:r w:rsidR="00AA6E0F" w:rsidRPr="000F5519">
        <w:t>financial services civil penalty provision</w:t>
      </w:r>
      <w:r w:rsidR="00AA6E0F">
        <w:t>”</w:t>
      </w:r>
      <w:r w:rsidR="00AA6E0F" w:rsidRPr="000F5519">
        <w:t xml:space="preserve"> that is not a</w:t>
      </w:r>
      <w:r w:rsidR="00AA6E0F">
        <w:t>n excluded</w:t>
      </w:r>
      <w:r w:rsidR="00AA6E0F" w:rsidRPr="000F5519">
        <w:t xml:space="preserve"> Part 7.7A civil penalty provision, the Court may order a person to pay a pecuniary penalty if the contravention:</w:t>
      </w:r>
    </w:p>
    <w:p w14:paraId="6B74A5B4" w14:textId="1CC1046A" w:rsidR="00AA6E0F" w:rsidRPr="000F5519" w:rsidRDefault="00E31C88" w:rsidP="00E31C88">
      <w:pPr>
        <w:pStyle w:val="ListNo1alt"/>
        <w:numPr>
          <w:ilvl w:val="0"/>
          <w:numId w:val="0"/>
        </w:numPr>
        <w:tabs>
          <w:tab w:val="left" w:pos="720"/>
        </w:tabs>
        <w:ind w:left="720" w:hanging="720"/>
      </w:pPr>
      <w:r w:rsidRPr="000F5519">
        <w:t>(a)</w:t>
      </w:r>
      <w:r w:rsidRPr="000F5519">
        <w:tab/>
      </w:r>
      <w:r w:rsidR="00AA6E0F" w:rsidRPr="000F5519">
        <w:t>materially prejudices the interests of acquirers or dispose</w:t>
      </w:r>
      <w:r w:rsidR="00DF3305">
        <w:t>rs</w:t>
      </w:r>
      <w:r w:rsidR="00AA6E0F" w:rsidRPr="000F5519">
        <w:t xml:space="preserve"> of the relevant financial products; or</w:t>
      </w:r>
    </w:p>
    <w:p w14:paraId="7505E8CB" w14:textId="551188FC" w:rsidR="00AA6E0F" w:rsidRPr="000F5519" w:rsidRDefault="00E31C88" w:rsidP="00E31C88">
      <w:pPr>
        <w:pStyle w:val="ListNo1alt"/>
        <w:numPr>
          <w:ilvl w:val="0"/>
          <w:numId w:val="0"/>
        </w:numPr>
        <w:tabs>
          <w:tab w:val="left" w:pos="720"/>
        </w:tabs>
        <w:ind w:left="720" w:hanging="720"/>
      </w:pPr>
      <w:r w:rsidRPr="000F5519">
        <w:t>(b)</w:t>
      </w:r>
      <w:r w:rsidRPr="000F5519">
        <w:tab/>
      </w:r>
      <w:r w:rsidR="00AA6E0F" w:rsidRPr="000F5519">
        <w:t>materially prejudices the issuer of the relevant financial products or, if the issuer is a corporation, scheme or fund, the members of that corporation, scheme or fund; or</w:t>
      </w:r>
    </w:p>
    <w:p w14:paraId="7EC09E11" w14:textId="2FEDE907" w:rsidR="00AA6E0F" w:rsidRPr="000F5519" w:rsidRDefault="00E31C88" w:rsidP="00E31C88">
      <w:pPr>
        <w:pStyle w:val="ListNo1alt"/>
        <w:numPr>
          <w:ilvl w:val="0"/>
          <w:numId w:val="0"/>
        </w:numPr>
        <w:tabs>
          <w:tab w:val="left" w:pos="720"/>
        </w:tabs>
        <w:ind w:left="720" w:hanging="720"/>
      </w:pPr>
      <w:r w:rsidRPr="000F5519">
        <w:t>(c)</w:t>
      </w:r>
      <w:r w:rsidRPr="000F5519">
        <w:tab/>
      </w:r>
      <w:r w:rsidR="00AA6E0F" w:rsidRPr="000F5519">
        <w:t>is serious.</w:t>
      </w:r>
    </w:p>
    <w:p w14:paraId="58FB558A" w14:textId="68EFA7B7" w:rsidR="00AA6E0F" w:rsidRPr="000F5519" w:rsidRDefault="00AA6E0F" w:rsidP="00A834FE">
      <w:pPr>
        <w:pStyle w:val="NoNum"/>
      </w:pPr>
      <w:r w:rsidRPr="000F5519">
        <w:t xml:space="preserve">Section 994C(4) </w:t>
      </w:r>
      <w:r w:rsidR="00A834FE">
        <w:t>is a</w:t>
      </w:r>
      <w:r w:rsidRPr="000F5519">
        <w:t xml:space="preserve"> financial services </w:t>
      </w:r>
      <w:r w:rsidR="00632759">
        <w:t xml:space="preserve">civil </w:t>
      </w:r>
      <w:r w:rsidRPr="000F5519">
        <w:t>penalty provision: see s</w:t>
      </w:r>
      <w:r>
        <w:t> </w:t>
      </w:r>
      <w:r w:rsidRPr="000F5519">
        <w:t>1317E(3).</w:t>
      </w:r>
      <w:r w:rsidR="00A834FE">
        <w:t xml:space="preserve"> </w:t>
      </w:r>
      <w:r w:rsidRPr="000F5519">
        <w:t>The parties submit that the conduct here</w:t>
      </w:r>
      <w:r>
        <w:t xml:space="preserve"> </w:t>
      </w:r>
      <w:r w:rsidRPr="000F5519">
        <w:t xml:space="preserve">falls within subs (1)(c), namely it is </w:t>
      </w:r>
      <w:r>
        <w:t>“</w:t>
      </w:r>
      <w:r w:rsidRPr="000F5519">
        <w:t>serious.</w:t>
      </w:r>
      <w:r>
        <w:t>”</w:t>
      </w:r>
    </w:p>
    <w:p w14:paraId="3D0D65E6" w14:textId="39039886" w:rsidR="00AA6E0F" w:rsidRPr="00C057DB" w:rsidRDefault="00E31C88" w:rsidP="00E31C88">
      <w:pPr>
        <w:pStyle w:val="ParaNumbering"/>
        <w:numPr>
          <w:ilvl w:val="0"/>
          <w:numId w:val="0"/>
        </w:numPr>
        <w:ind w:hanging="720"/>
        <w:rPr>
          <w:szCs w:val="22"/>
        </w:rPr>
      </w:pPr>
      <w:bookmarkStart w:id="37" w:name="_Ref161672167"/>
      <w:r w:rsidRPr="00C057DB">
        <w:rPr>
          <w:iCs/>
          <w:sz w:val="20"/>
          <w:szCs w:val="22"/>
        </w:rPr>
        <w:t>82</w:t>
      </w:r>
      <w:r w:rsidRPr="00C057DB">
        <w:rPr>
          <w:iCs/>
          <w:sz w:val="20"/>
          <w:szCs w:val="22"/>
        </w:rPr>
        <w:tab/>
      </w:r>
      <w:r w:rsidR="00AA6E0F" w:rsidRPr="00335EF2">
        <w:rPr>
          <w:szCs w:val="22"/>
        </w:rPr>
        <w:t xml:space="preserve">As set out above, since October 2020, American Express </w:t>
      </w:r>
      <w:r w:rsidR="00AA6E0F" w:rsidRPr="00335EF2">
        <w:rPr>
          <w:rFonts w:cs="Arial"/>
          <w:szCs w:val="22"/>
        </w:rPr>
        <w:t xml:space="preserve">was aware from its monthly Cancellations Working Group meetings </w:t>
      </w:r>
      <w:r w:rsidR="00AA6E0F" w:rsidRPr="00335EF2">
        <w:rPr>
          <w:szCs w:val="22"/>
        </w:rPr>
        <w:t xml:space="preserve">of high cancelled application rates among customers who had applied for one of the DJs Cards at a David Jones store. The </w:t>
      </w:r>
      <w:r w:rsidR="00AA6E0F" w:rsidRPr="002C3BC4">
        <w:t>cancell</w:t>
      </w:r>
      <w:r w:rsidR="00AA6E0F">
        <w:t>ed application</w:t>
      </w:r>
      <w:r w:rsidR="00AA6E0F" w:rsidRPr="00335EF2">
        <w:rPr>
          <w:szCs w:val="22"/>
        </w:rPr>
        <w:t xml:space="preserve"> rates were well above the 35</w:t>
      </w:r>
      <w:r w:rsidR="00AA6E0F" w:rsidRPr="000F5519">
        <w:rPr>
          <w:szCs w:val="22"/>
        </w:rPr>
        <w:t xml:space="preserve">% </w:t>
      </w:r>
      <w:r w:rsidR="00AA6E0F">
        <w:rPr>
          <w:szCs w:val="22"/>
        </w:rPr>
        <w:t>“</w:t>
      </w:r>
      <w:r w:rsidR="00AA6E0F" w:rsidRPr="000F5519">
        <w:rPr>
          <w:szCs w:val="22"/>
        </w:rPr>
        <w:t xml:space="preserve">target </w:t>
      </w:r>
      <w:r w:rsidR="00AA6E0F">
        <w:rPr>
          <w:szCs w:val="22"/>
        </w:rPr>
        <w:t xml:space="preserve">KPI cancellation rate” </w:t>
      </w:r>
      <w:r w:rsidR="00AA6E0F" w:rsidRPr="000F5519">
        <w:rPr>
          <w:szCs w:val="22"/>
        </w:rPr>
        <w:t>that was noted in the material circulated to the Cancellations Working Group</w:t>
      </w:r>
      <w:bookmarkEnd w:id="37"/>
      <w:r w:rsidR="006C571A">
        <w:rPr>
          <w:szCs w:val="22"/>
        </w:rPr>
        <w:t>: SAFA [95]–[97].</w:t>
      </w:r>
      <w:r w:rsidR="00AA6E0F">
        <w:rPr>
          <w:szCs w:val="22"/>
        </w:rPr>
        <w:t xml:space="preserve"> </w:t>
      </w:r>
      <w:r w:rsidR="00AA6E0F" w:rsidRPr="00FE5A72">
        <w:t>KPI</w:t>
      </w:r>
      <w:r w:rsidR="00AA6E0F">
        <w:t xml:space="preserve"> in this context</w:t>
      </w:r>
      <w:r w:rsidR="00AA6E0F" w:rsidRPr="00FE5A72">
        <w:t xml:space="preserve"> </w:t>
      </w:r>
      <w:r w:rsidR="00AA6E0F">
        <w:t>meant</w:t>
      </w:r>
      <w:r w:rsidR="00AA6E0F" w:rsidRPr="00FE5A72">
        <w:t xml:space="preserve"> </w:t>
      </w:r>
      <w:r w:rsidR="00CC73F8">
        <w:t>“</w:t>
      </w:r>
      <w:r w:rsidR="00AA6E0F" w:rsidRPr="00FE5A72">
        <w:t>key performance indicator</w:t>
      </w:r>
      <w:r w:rsidR="00CC73F8">
        <w:t>”</w:t>
      </w:r>
      <w:r w:rsidR="00AA6E0F">
        <w:t>.</w:t>
      </w:r>
    </w:p>
    <w:p w14:paraId="460B0F6E" w14:textId="724E1835" w:rsidR="00AA6E0F" w:rsidRPr="00335EF2" w:rsidRDefault="00E31C88" w:rsidP="00E31C88">
      <w:pPr>
        <w:pStyle w:val="ParaNumbering"/>
        <w:numPr>
          <w:ilvl w:val="0"/>
          <w:numId w:val="0"/>
        </w:numPr>
        <w:ind w:hanging="720"/>
      </w:pPr>
      <w:r w:rsidRPr="00335EF2">
        <w:rPr>
          <w:iCs/>
          <w:sz w:val="20"/>
        </w:rPr>
        <w:lastRenderedPageBreak/>
        <w:t>83</w:t>
      </w:r>
      <w:r w:rsidRPr="00335EF2">
        <w:rPr>
          <w:iCs/>
          <w:sz w:val="20"/>
        </w:rPr>
        <w:tab/>
      </w:r>
      <w:r w:rsidR="00AA6E0F" w:rsidRPr="00C057DB">
        <w:rPr>
          <w:szCs w:val="22"/>
        </w:rPr>
        <w:t xml:space="preserve">The Product </w:t>
      </w:r>
      <w:r w:rsidR="00AA6E0F">
        <w:rPr>
          <w:szCs w:val="22"/>
        </w:rPr>
        <w:t xml:space="preserve">Managers for the DJs Cards were </w:t>
      </w:r>
      <w:r w:rsidR="00AA6E0F" w:rsidRPr="00FE5A72">
        <w:rPr>
          <w:szCs w:val="22"/>
        </w:rPr>
        <w:t xml:space="preserve">not </w:t>
      </w:r>
      <w:r w:rsidR="00AA6E0F" w:rsidRPr="00335EF2">
        <w:rPr>
          <w:szCs w:val="22"/>
        </w:rPr>
        <w:t xml:space="preserve">aware </w:t>
      </w:r>
      <w:r w:rsidR="00AA6E0F">
        <w:rPr>
          <w:szCs w:val="22"/>
        </w:rPr>
        <w:t>who was responsible for deciding when</w:t>
      </w:r>
      <w:r w:rsidR="00AA6E0F" w:rsidRPr="00335EF2">
        <w:t xml:space="preserve"> a review trigger had occurred or whether </w:t>
      </w:r>
      <w:r w:rsidR="00AA6E0F" w:rsidRPr="00335EF2">
        <w:rPr>
          <w:szCs w:val="22"/>
        </w:rPr>
        <w:t xml:space="preserve">there was a relevant event or circumstance. Further, as they did not attend the monthly </w:t>
      </w:r>
      <w:r w:rsidR="00AA6E0F" w:rsidRPr="00335EF2">
        <w:rPr>
          <w:rFonts w:cs="Arial"/>
          <w:szCs w:val="22"/>
        </w:rPr>
        <w:t>Cancellations Working Group meetings</w:t>
      </w:r>
      <w:r w:rsidR="00AA6E0F" w:rsidRPr="00335EF2">
        <w:rPr>
          <w:szCs w:val="22"/>
        </w:rPr>
        <w:t xml:space="preserve">, the Product Owner </w:t>
      </w:r>
      <w:r w:rsidR="00AA6E0F">
        <w:rPr>
          <w:szCs w:val="22"/>
        </w:rPr>
        <w:t xml:space="preserve">(here, the Product Manager) </w:t>
      </w:r>
      <w:r w:rsidR="00AA6E0F" w:rsidRPr="00335EF2">
        <w:rPr>
          <w:szCs w:val="22"/>
        </w:rPr>
        <w:t xml:space="preserve">was dependent upon the attendees of that group to notify </w:t>
      </w:r>
      <w:r w:rsidR="00AA6E0F">
        <w:rPr>
          <w:szCs w:val="22"/>
        </w:rPr>
        <w:t xml:space="preserve">him or </w:t>
      </w:r>
      <w:r w:rsidR="00AA6E0F" w:rsidRPr="00335EF2">
        <w:rPr>
          <w:szCs w:val="22"/>
        </w:rPr>
        <w:t xml:space="preserve">her if the </w:t>
      </w:r>
      <w:r w:rsidR="00AA6E0F" w:rsidRPr="002C3BC4">
        <w:t>cancell</w:t>
      </w:r>
      <w:r w:rsidR="00AA6E0F">
        <w:t>ed application</w:t>
      </w:r>
      <w:r w:rsidR="00AA6E0F" w:rsidRPr="00335EF2">
        <w:rPr>
          <w:szCs w:val="22"/>
        </w:rPr>
        <w:t xml:space="preserve"> rates were such that the TMDs ought to have been reviewed. In the </w:t>
      </w:r>
      <w:r w:rsidR="00AA6E0F">
        <w:rPr>
          <w:szCs w:val="22"/>
        </w:rPr>
        <w:t>circumstances</w:t>
      </w:r>
      <w:r w:rsidR="00AA6E0F" w:rsidRPr="00335EF2">
        <w:rPr>
          <w:szCs w:val="22"/>
        </w:rPr>
        <w:t>, American Express failed to equip the staff members responsible for monitoring the</w:t>
      </w:r>
      <w:r w:rsidR="00AA6E0F" w:rsidRPr="00335EF2">
        <w:t xml:space="preserve"> TMDs with the information necessary to identify review triggers and relevant facts or circumstances and further failed to properly educate the Product Owner about their responsibilities in relation to the TMDs</w:t>
      </w:r>
      <w:r w:rsidR="00AA6E0F">
        <w:t xml:space="preserve"> for the DJs Cards</w:t>
      </w:r>
      <w:r w:rsidR="00AA6E0F" w:rsidRPr="00335EF2">
        <w:t>.</w:t>
      </w:r>
    </w:p>
    <w:p w14:paraId="315BD7DD" w14:textId="609C96B2" w:rsidR="00AA6E0F" w:rsidRPr="002E5E90" w:rsidRDefault="00E31C88" w:rsidP="00E31C88">
      <w:pPr>
        <w:pStyle w:val="ParaNumbering"/>
        <w:numPr>
          <w:ilvl w:val="0"/>
          <w:numId w:val="0"/>
        </w:numPr>
        <w:ind w:hanging="720"/>
      </w:pPr>
      <w:r w:rsidRPr="002E5E90">
        <w:rPr>
          <w:iCs/>
          <w:sz w:val="20"/>
        </w:rPr>
        <w:t>84</w:t>
      </w:r>
      <w:r w:rsidRPr="002E5E90">
        <w:rPr>
          <w:iCs/>
          <w:sz w:val="20"/>
        </w:rPr>
        <w:tab/>
      </w:r>
      <w:r w:rsidR="00AA6E0F" w:rsidRPr="00335EF2">
        <w:t xml:space="preserve">Moreover, </w:t>
      </w:r>
      <w:r w:rsidR="00AA6E0F" w:rsidRPr="00335EF2">
        <w:rPr>
          <w:szCs w:val="22"/>
        </w:rPr>
        <w:t xml:space="preserve">although </w:t>
      </w:r>
      <w:r w:rsidR="00AA6E0F" w:rsidRPr="00335EF2">
        <w:rPr>
          <w:rFonts w:cs="Arial"/>
          <w:szCs w:val="22"/>
        </w:rPr>
        <w:t>the in</w:t>
      </w:r>
      <w:r w:rsidR="00CC73F8">
        <w:rPr>
          <w:rFonts w:cs="Arial"/>
          <w:szCs w:val="22"/>
        </w:rPr>
        <w:t>-</w:t>
      </w:r>
      <w:r w:rsidR="00AA6E0F" w:rsidRPr="00335EF2">
        <w:rPr>
          <w:rFonts w:cs="Arial"/>
          <w:szCs w:val="22"/>
        </w:rPr>
        <w:t xml:space="preserve">store </w:t>
      </w:r>
      <w:r w:rsidR="00AA6E0F" w:rsidRPr="002C3BC4">
        <w:t>cancell</w:t>
      </w:r>
      <w:r w:rsidR="00AA6E0F">
        <w:t>ed application</w:t>
      </w:r>
      <w:r w:rsidR="00AA6E0F" w:rsidRPr="002C3BC4">
        <w:t xml:space="preserve"> </w:t>
      </w:r>
      <w:r w:rsidR="00AA6E0F" w:rsidRPr="00335EF2">
        <w:rPr>
          <w:rFonts w:cs="Arial"/>
          <w:szCs w:val="22"/>
        </w:rPr>
        <w:t xml:space="preserve">rates for the Cards presented at the Cancellations Working Group meetings had significantly increased by December 2021, and by May 2022 were entrenched at higher rates despite steps being taken to try to address cancellations, the Director of the David Jones Alliance (who was aware of the DDO and review triggers under the TMDs, and who attended the meetings) </w:t>
      </w:r>
      <w:r w:rsidR="00AA6E0F">
        <w:rPr>
          <w:rFonts w:cs="Arial"/>
          <w:szCs w:val="22"/>
        </w:rPr>
        <w:t>did not</w:t>
      </w:r>
      <w:r w:rsidR="00AA6E0F" w:rsidRPr="00AD37C3">
        <w:rPr>
          <w:rFonts w:cs="Arial"/>
          <w:szCs w:val="22"/>
        </w:rPr>
        <w:t xml:space="preserve"> consider at any point during the Relevant Period whether the monthly cancelled application rates</w:t>
      </w:r>
      <w:r w:rsidR="00AA6E0F" w:rsidRPr="00AD37C3">
        <w:rPr>
          <w:rFonts w:cs="Arial"/>
        </w:rPr>
        <w:t xml:space="preserve"> were a review trigger or a relevant event or circumstance for the purposes of the DDO</w:t>
      </w:r>
      <w:r w:rsidR="00AA6E0F" w:rsidRPr="002E5E90">
        <w:rPr>
          <w:rFonts w:cs="Arial"/>
          <w:sz w:val="21"/>
          <w:szCs w:val="21"/>
        </w:rPr>
        <w:t xml:space="preserve">. </w:t>
      </w:r>
    </w:p>
    <w:p w14:paraId="2B74F827" w14:textId="3F05E7DB" w:rsidR="00AA6E0F" w:rsidRPr="00E34946" w:rsidRDefault="00E31C88" w:rsidP="00E31C88">
      <w:pPr>
        <w:pStyle w:val="ParaNumbering"/>
        <w:numPr>
          <w:ilvl w:val="0"/>
          <w:numId w:val="0"/>
        </w:numPr>
        <w:ind w:hanging="720"/>
      </w:pPr>
      <w:r w:rsidRPr="00E34946">
        <w:rPr>
          <w:iCs/>
          <w:sz w:val="20"/>
        </w:rPr>
        <w:t>85</w:t>
      </w:r>
      <w:r w:rsidRPr="00E34946">
        <w:rPr>
          <w:iCs/>
          <w:sz w:val="20"/>
        </w:rPr>
        <w:tab/>
      </w:r>
      <w:r w:rsidR="00AA6E0F" w:rsidRPr="002E5E90">
        <w:rPr>
          <w:szCs w:val="22"/>
        </w:rPr>
        <w:t>The parties do not submit that the conduct was deliberate</w:t>
      </w:r>
      <w:r w:rsidR="00AA6E0F" w:rsidRPr="00AC7353">
        <w:rPr>
          <w:szCs w:val="22"/>
        </w:rPr>
        <w:t>, in the sense that it is not contended that there were any deliberate or knowing contraventions of the Act</w:t>
      </w:r>
      <w:r w:rsidR="00AA6E0F" w:rsidRPr="00E34946">
        <w:rPr>
          <w:szCs w:val="22"/>
        </w:rPr>
        <w:t xml:space="preserve">. However, the facts establish that American Express failed to put in place sufficient measures that would enable it to meet </w:t>
      </w:r>
      <w:r w:rsidR="00AA6E0F">
        <w:rPr>
          <w:szCs w:val="22"/>
        </w:rPr>
        <w:t xml:space="preserve">all of </w:t>
      </w:r>
      <w:r w:rsidR="00AA6E0F" w:rsidRPr="00E34946">
        <w:rPr>
          <w:szCs w:val="22"/>
        </w:rPr>
        <w:t>its regulatory obligations under the newly introduced DDO regime</w:t>
      </w:r>
      <w:r w:rsidR="00AA6E0F">
        <w:rPr>
          <w:szCs w:val="22"/>
        </w:rPr>
        <w:t xml:space="preserve"> </w:t>
      </w:r>
      <w:r w:rsidR="00AA6E0F" w:rsidRPr="00E34946">
        <w:rPr>
          <w:szCs w:val="22"/>
        </w:rPr>
        <w:t xml:space="preserve">in respect of the DJs Cards. Although American Express </w:t>
      </w:r>
      <w:r w:rsidR="00AA6E0F">
        <w:rPr>
          <w:szCs w:val="22"/>
        </w:rPr>
        <w:t>implemented its DDO Project from June 2021 in order to seek to comply with its DDO obligations under the Act and prepare</w:t>
      </w:r>
      <w:r w:rsidR="00AA6E0F" w:rsidRPr="00E34946">
        <w:rPr>
          <w:szCs w:val="22"/>
        </w:rPr>
        <w:t xml:space="preserve"> the TMDs</w:t>
      </w:r>
      <w:r w:rsidR="00AA6E0F">
        <w:rPr>
          <w:szCs w:val="22"/>
        </w:rPr>
        <w:t xml:space="preserve"> that were in place from 5 October 2021</w:t>
      </w:r>
      <w:r w:rsidR="00AA6E0F" w:rsidRPr="00E34946">
        <w:rPr>
          <w:szCs w:val="22"/>
        </w:rPr>
        <w:t xml:space="preserve">, the structures it </w:t>
      </w:r>
      <w:r w:rsidR="00AA6E0F">
        <w:rPr>
          <w:szCs w:val="22"/>
        </w:rPr>
        <w:t xml:space="preserve">ultimately </w:t>
      </w:r>
      <w:r w:rsidR="00AA6E0F" w:rsidRPr="00E34946">
        <w:rPr>
          <w:szCs w:val="22"/>
        </w:rPr>
        <w:t xml:space="preserve">put in place in respect of the DJs Cards for </w:t>
      </w:r>
      <w:r w:rsidR="00AA6E0F">
        <w:rPr>
          <w:szCs w:val="22"/>
        </w:rPr>
        <w:t>identifying</w:t>
      </w:r>
      <w:r w:rsidR="00AA6E0F" w:rsidRPr="00E34946">
        <w:rPr>
          <w:szCs w:val="22"/>
        </w:rPr>
        <w:t xml:space="preserve"> whether review triggers</w:t>
      </w:r>
      <w:r w:rsidR="00AA6E0F">
        <w:rPr>
          <w:szCs w:val="22"/>
        </w:rPr>
        <w:t xml:space="preserve"> had occurred,</w:t>
      </w:r>
      <w:r w:rsidR="00AA6E0F" w:rsidRPr="00E34946">
        <w:rPr>
          <w:szCs w:val="22"/>
        </w:rPr>
        <w:t xml:space="preserve"> or identifying relevant facts or circumstances</w:t>
      </w:r>
      <w:r w:rsidR="00AA6E0F">
        <w:rPr>
          <w:szCs w:val="22"/>
        </w:rPr>
        <w:t>,</w:t>
      </w:r>
      <w:r w:rsidR="00AA6E0F" w:rsidRPr="00C057DB">
        <w:rPr>
          <w:szCs w:val="22"/>
        </w:rPr>
        <w:t xml:space="preserve"> were inadequate</w:t>
      </w:r>
      <w:r w:rsidR="00AA6E0F" w:rsidRPr="00E34946">
        <w:rPr>
          <w:szCs w:val="22"/>
        </w:rPr>
        <w:t>. Those members of the David Jones Alliance</w:t>
      </w:r>
      <w:r w:rsidR="00AA6E0F">
        <w:rPr>
          <w:szCs w:val="22"/>
        </w:rPr>
        <w:t xml:space="preserve"> </w:t>
      </w:r>
      <w:r w:rsidR="00AA6E0F" w:rsidRPr="00E34946">
        <w:rPr>
          <w:szCs w:val="22"/>
        </w:rPr>
        <w:t>who were formally responsible for monitoring the TMDs were not aware of their obligations, and those who were aware of the relevant facts and circumstances failed to take action in respect of those matters.</w:t>
      </w:r>
    </w:p>
    <w:p w14:paraId="4160B2DB" w14:textId="355D0F96" w:rsidR="00AA6E0F" w:rsidRPr="00A62D6A" w:rsidRDefault="00E31C88" w:rsidP="00E31C88">
      <w:pPr>
        <w:pStyle w:val="ParaNumbering"/>
        <w:numPr>
          <w:ilvl w:val="0"/>
          <w:numId w:val="0"/>
        </w:numPr>
        <w:ind w:hanging="720"/>
        <w:rPr>
          <w:szCs w:val="22"/>
        </w:rPr>
      </w:pPr>
      <w:bookmarkStart w:id="38" w:name="_Ref161672169"/>
      <w:r w:rsidRPr="00A62D6A">
        <w:rPr>
          <w:iCs/>
          <w:sz w:val="20"/>
          <w:szCs w:val="22"/>
        </w:rPr>
        <w:t>86</w:t>
      </w:r>
      <w:r w:rsidRPr="00A62D6A">
        <w:rPr>
          <w:iCs/>
          <w:sz w:val="20"/>
          <w:szCs w:val="22"/>
        </w:rPr>
        <w:tab/>
      </w:r>
      <w:r w:rsidR="00E14168">
        <w:t xml:space="preserve">In my view, </w:t>
      </w:r>
      <w:r w:rsidR="00AA6E0F" w:rsidRPr="00E34946">
        <w:t>American Express’</w:t>
      </w:r>
      <w:r w:rsidR="009C6A29">
        <w:t>s</w:t>
      </w:r>
      <w:r w:rsidR="00AA6E0F" w:rsidRPr="00E34946">
        <w:t xml:space="preserve"> contravention</w:t>
      </w:r>
      <w:r w:rsidR="00E14168">
        <w:t xml:space="preserve"> was</w:t>
      </w:r>
      <w:r w:rsidR="00AA6E0F" w:rsidRPr="00E34946">
        <w:t xml:space="preserve"> plainly serious.</w:t>
      </w:r>
      <w:r w:rsidR="00056076">
        <w:t xml:space="preserve"> </w:t>
      </w:r>
      <w:r w:rsidR="00AA6E0F">
        <w:t>The seriousness of American Express’</w:t>
      </w:r>
      <w:r w:rsidR="009C6A29">
        <w:t>s</w:t>
      </w:r>
      <w:r w:rsidR="00AA6E0F">
        <w:t xml:space="preserve"> failures is informed by the following:</w:t>
      </w:r>
    </w:p>
    <w:p w14:paraId="35BA485C" w14:textId="61CA9FB0" w:rsidR="00AA6E0F" w:rsidRDefault="00E31C88" w:rsidP="00E31C88">
      <w:pPr>
        <w:pStyle w:val="ListNo1alt"/>
        <w:numPr>
          <w:ilvl w:val="0"/>
          <w:numId w:val="0"/>
        </w:numPr>
        <w:tabs>
          <w:tab w:val="left" w:pos="720"/>
        </w:tabs>
        <w:ind w:left="720" w:hanging="720"/>
      </w:pPr>
      <w:r>
        <w:t>(a)</w:t>
      </w:r>
      <w:r>
        <w:tab/>
      </w:r>
      <w:r w:rsidR="00AA6E0F">
        <w:t>T</w:t>
      </w:r>
      <w:r w:rsidR="00AA6E0F" w:rsidRPr="00A62D6A">
        <w:t>he application cancellation rates were objectively high in nature, having reached 60%, and had clearly become entrenched.</w:t>
      </w:r>
      <w:r w:rsidR="00056076">
        <w:t xml:space="preserve"> </w:t>
      </w:r>
      <w:r w:rsidR="00AA6E0F" w:rsidRPr="00A62D6A">
        <w:t xml:space="preserve">American Express was aware of that fact and knew </w:t>
      </w:r>
      <w:r w:rsidR="00AA6E0F" w:rsidRPr="00A62D6A">
        <w:lastRenderedPageBreak/>
        <w:t>by 11 May 2022 that the actions taken to address these rates were not working and yet it continued to distribute the product</w:t>
      </w:r>
      <w:r w:rsidR="00AA6E0F">
        <w:t>.</w:t>
      </w:r>
    </w:p>
    <w:p w14:paraId="4676D23B" w14:textId="391E7DBD" w:rsidR="00AA6E0F" w:rsidRPr="00A62D6A" w:rsidRDefault="00E31C88" w:rsidP="00E31C88">
      <w:pPr>
        <w:pStyle w:val="ListNo1alt"/>
        <w:numPr>
          <w:ilvl w:val="0"/>
          <w:numId w:val="0"/>
        </w:numPr>
        <w:tabs>
          <w:tab w:val="left" w:pos="720"/>
        </w:tabs>
        <w:ind w:left="720" w:hanging="720"/>
        <w:rPr>
          <w:szCs w:val="22"/>
        </w:rPr>
      </w:pPr>
      <w:r w:rsidRPr="00A62D6A">
        <w:rPr>
          <w:szCs w:val="22"/>
        </w:rPr>
        <w:t>(b)</w:t>
      </w:r>
      <w:r w:rsidRPr="00A62D6A">
        <w:rPr>
          <w:szCs w:val="22"/>
        </w:rPr>
        <w:tab/>
      </w:r>
      <w:r w:rsidR="00AA6E0F">
        <w:t>I</w:t>
      </w:r>
      <w:r w:rsidR="00AA6E0F" w:rsidRPr="0013498A">
        <w:t xml:space="preserve">t </w:t>
      </w:r>
      <w:r w:rsidR="00AA6E0F">
        <w:t xml:space="preserve">was </w:t>
      </w:r>
      <w:r w:rsidR="00AA6E0F" w:rsidRPr="0013498A">
        <w:t>no longer reasonable to conclude that if the DJs Cards were issued to retail client</w:t>
      </w:r>
      <w:r w:rsidR="00AA6E0F">
        <w:t>s</w:t>
      </w:r>
      <w:r w:rsidR="00AA6E0F" w:rsidRPr="0013498A">
        <w:t xml:space="preserve"> in-store, it would be likely that the retail client</w:t>
      </w:r>
      <w:r w:rsidR="00AA6E0F">
        <w:t>s</w:t>
      </w:r>
      <w:r w:rsidR="00AA6E0F" w:rsidRPr="0013498A">
        <w:t xml:space="preserve"> w</w:t>
      </w:r>
      <w:r w:rsidR="00AA6E0F">
        <w:t>ere</w:t>
      </w:r>
      <w:r w:rsidR="00AA6E0F" w:rsidRPr="0013498A">
        <w:t xml:space="preserve"> in the target market or, if the retail client</w:t>
      </w:r>
      <w:r w:rsidR="00AA6E0F">
        <w:t>s</w:t>
      </w:r>
      <w:r w:rsidR="00AA6E0F" w:rsidRPr="0013498A">
        <w:t xml:space="preserve"> w</w:t>
      </w:r>
      <w:r w:rsidR="00AA6E0F">
        <w:t>ere</w:t>
      </w:r>
      <w:r w:rsidR="00AA6E0F" w:rsidRPr="0013498A">
        <w:t xml:space="preserve"> in the target market, </w:t>
      </w:r>
      <w:r w:rsidR="00AA6E0F">
        <w:t>the DJ</w:t>
      </w:r>
      <w:r w:rsidR="009C6A29">
        <w:t>s</w:t>
      </w:r>
      <w:r w:rsidR="00AA6E0F">
        <w:t xml:space="preserve"> Cards</w:t>
      </w:r>
      <w:r w:rsidR="00AA6E0F" w:rsidRPr="0013498A">
        <w:t xml:space="preserve"> </w:t>
      </w:r>
      <w:r w:rsidR="00AA6E0F">
        <w:t xml:space="preserve">were </w:t>
      </w:r>
      <w:r w:rsidR="00AA6E0F" w:rsidRPr="0013498A">
        <w:t>likely consistent with the</w:t>
      </w:r>
      <w:r w:rsidR="00AA6E0F">
        <w:t>ir</w:t>
      </w:r>
      <w:r w:rsidR="00AA6E0F" w:rsidRPr="0013498A">
        <w:t xml:space="preserve"> likely objectives, financial situation and needs</w:t>
      </w:r>
      <w:r w:rsidR="00AA6E0F">
        <w:t>.</w:t>
      </w:r>
    </w:p>
    <w:bookmarkEnd w:id="38"/>
    <w:p w14:paraId="576BEEFC" w14:textId="47A8FDD4" w:rsidR="00AA6E0F" w:rsidRPr="000B6249" w:rsidRDefault="00E31C88" w:rsidP="00E31C88">
      <w:pPr>
        <w:pStyle w:val="ListNo1alt"/>
        <w:numPr>
          <w:ilvl w:val="0"/>
          <w:numId w:val="0"/>
        </w:numPr>
        <w:tabs>
          <w:tab w:val="left" w:pos="720"/>
        </w:tabs>
        <w:ind w:left="720" w:hanging="720"/>
      </w:pPr>
      <w:r w:rsidRPr="000B6249">
        <w:t>(c)</w:t>
      </w:r>
      <w:r w:rsidRPr="000B6249">
        <w:tab/>
      </w:r>
      <w:r w:rsidR="00AA6E0F">
        <w:t xml:space="preserve">There was a </w:t>
      </w:r>
      <w:r w:rsidR="00AA6E0F" w:rsidRPr="000B6249">
        <w:t xml:space="preserve">large number of consumers who continued to apply for the DJs Cards during the Contravening Period. </w:t>
      </w:r>
    </w:p>
    <w:p w14:paraId="70F708D5" w14:textId="0C8C0A56" w:rsidR="004B7E12" w:rsidRDefault="004B7E12" w:rsidP="004B7E12">
      <w:pPr>
        <w:pStyle w:val="Heading2"/>
      </w:pPr>
      <w:r>
        <w:t>The Appropriate Amount of the Penalty</w:t>
      </w:r>
    </w:p>
    <w:p w14:paraId="640A0A49" w14:textId="129A61DC" w:rsidR="00C575FD" w:rsidRDefault="00E31C88" w:rsidP="00E31C88">
      <w:pPr>
        <w:pStyle w:val="ParaNumbering"/>
        <w:numPr>
          <w:ilvl w:val="0"/>
          <w:numId w:val="0"/>
        </w:numPr>
        <w:tabs>
          <w:tab w:val="left" w:pos="720"/>
        </w:tabs>
        <w:ind w:hanging="720"/>
      </w:pPr>
      <w:r>
        <w:rPr>
          <w:iCs/>
          <w:sz w:val="20"/>
        </w:rPr>
        <w:t>87</w:t>
      </w:r>
      <w:r>
        <w:rPr>
          <w:iCs/>
          <w:sz w:val="20"/>
        </w:rPr>
        <w:tab/>
      </w:r>
      <w:r w:rsidR="00C575FD">
        <w:t xml:space="preserve">The purpose of a civil penalty regime is primarily, if not solely, the promotion of the public interest in compliance with the provisions of the relevant Act by the deterrence, specific and general, of further contraventions: </w:t>
      </w:r>
      <w:r w:rsidR="00835DC5" w:rsidRPr="005D40D6">
        <w:rPr>
          <w:i/>
          <w:iCs/>
        </w:rPr>
        <w:t xml:space="preserve">Australian Building and Construction Commission v </w:t>
      </w:r>
      <w:r w:rsidR="00C575FD" w:rsidRPr="005D40D6">
        <w:rPr>
          <w:i/>
          <w:iCs/>
        </w:rPr>
        <w:t xml:space="preserve">Pattinson </w:t>
      </w:r>
      <w:r w:rsidR="00835DC5" w:rsidRPr="005D40D6">
        <w:t>[2022] HCA 13; (2022) 274 CLR 450</w:t>
      </w:r>
      <w:r w:rsidR="00835DC5">
        <w:t xml:space="preserve"> </w:t>
      </w:r>
      <w:r w:rsidR="00C575FD">
        <w:t xml:space="preserve">at [9], [15] and [31] (Kiefel CJ, Gageler, Keane, Gordon, Steward and Gleeson JJ); </w:t>
      </w:r>
      <w:r w:rsidR="00C575FD" w:rsidRPr="005D40D6">
        <w:rPr>
          <w:i/>
          <w:iCs/>
        </w:rPr>
        <w:t xml:space="preserve">Australian Building and Construction Commissioner v Construction, Forestry, Mining and Energy Union </w:t>
      </w:r>
      <w:r w:rsidR="00C575FD" w:rsidRPr="005D40D6">
        <w:t>[2018] HCA 3; (2018) 262 CLR 157</w:t>
      </w:r>
      <w:r w:rsidR="00C575FD">
        <w:t xml:space="preserve"> at [87] (Keane, Nettle and Gordon JJ). The penalty must be fixed with a view to ensuring that the penalty is not such as to be regarded by the offender or others as an acceptable cost of doing business: </w:t>
      </w:r>
      <w:r w:rsidR="00C575FD" w:rsidRPr="005D40D6">
        <w:rPr>
          <w:i/>
          <w:iCs/>
        </w:rPr>
        <w:t xml:space="preserve">Australian Competition and Consumer Commission v TPG Internet Pty Ltd </w:t>
      </w:r>
      <w:r w:rsidR="00C575FD" w:rsidRPr="005D40D6">
        <w:t>[2013] HCA 54; (2013) 250 CLR 640</w:t>
      </w:r>
      <w:r w:rsidR="00C575FD">
        <w:t xml:space="preserve"> at [66] (French CJ, Crennan, Bell and Keane JJ); </w:t>
      </w:r>
      <w:r w:rsidR="00C575FD">
        <w:rPr>
          <w:i/>
          <w:iCs/>
        </w:rPr>
        <w:t xml:space="preserve">Pattinson </w:t>
      </w:r>
      <w:r w:rsidR="00C575FD">
        <w:t xml:space="preserve">at [17]. In other words, those engaged in trade and commerce must be deterred from the cynical calculation involved in weighing up the risk of penalty against the profits to be made from contravention: </w:t>
      </w:r>
      <w:r w:rsidR="00C575FD" w:rsidRPr="005D40D6">
        <w:rPr>
          <w:i/>
          <w:iCs/>
        </w:rPr>
        <w:t>Singtel Optus Pty Ltd v Australian Competition and Consumer Commission</w:t>
      </w:r>
      <w:r w:rsidR="00C575FD" w:rsidRPr="005D40D6">
        <w:t xml:space="preserve"> [2012] FCAFC 20; (2012) 287 ALR 249</w:t>
      </w:r>
      <w:r w:rsidR="00C575FD">
        <w:t xml:space="preserve"> at [63] (Keane CJ, Finn and Gilmour JJ). However, the penalty should not be greater than is necessary to achieve the object of deterrence, and severity beyond that is oppression: </w:t>
      </w:r>
      <w:r w:rsidR="00C575FD">
        <w:rPr>
          <w:i/>
          <w:iCs/>
        </w:rPr>
        <w:t xml:space="preserve">Pattinson </w:t>
      </w:r>
      <w:r w:rsidR="00C575FD">
        <w:t>at [40].</w:t>
      </w:r>
    </w:p>
    <w:p w14:paraId="561BC78A" w14:textId="32196091" w:rsidR="00AA6E0F" w:rsidRPr="00396FFC" w:rsidRDefault="00E31C88" w:rsidP="00E31C88">
      <w:pPr>
        <w:pStyle w:val="ParaNumbering"/>
        <w:numPr>
          <w:ilvl w:val="0"/>
          <w:numId w:val="0"/>
        </w:numPr>
        <w:ind w:hanging="720"/>
      </w:pPr>
      <w:r w:rsidRPr="00396FFC">
        <w:rPr>
          <w:iCs/>
          <w:sz w:val="20"/>
        </w:rPr>
        <w:t>88</w:t>
      </w:r>
      <w:r w:rsidRPr="00396FFC">
        <w:rPr>
          <w:iCs/>
          <w:sz w:val="20"/>
        </w:rPr>
        <w:tab/>
      </w:r>
      <w:r w:rsidR="00AA6E0F" w:rsidRPr="00396FFC">
        <w:rPr>
          <w:shd w:val="clear" w:color="auto" w:fill="FFFFFF"/>
        </w:rPr>
        <w:t>Subject to the particular statutory scheme, retributi</w:t>
      </w:r>
      <w:r w:rsidR="00FE61C0">
        <w:rPr>
          <w:shd w:val="clear" w:color="auto" w:fill="FFFFFF"/>
        </w:rPr>
        <w:t>ve justice</w:t>
      </w:r>
      <w:r w:rsidR="00AA6E0F" w:rsidRPr="00396FFC">
        <w:rPr>
          <w:shd w:val="clear" w:color="auto" w:fill="FFFFFF"/>
        </w:rPr>
        <w:t xml:space="preserve"> has no part to play in determining the appropriate civil penalty and the statutory maximum penalty does not implicitly require that contraventions be graded on a scale of increasing seriousness, with the maximum to be reserved exclusively for the worst category of contravening conduct. The statutory discretion is not constrained in this way: </w:t>
      </w:r>
      <w:r w:rsidR="00AA6E0F" w:rsidRPr="00396FFC">
        <w:rPr>
          <w:i/>
          <w:iCs/>
          <w:bdr w:val="none" w:sz="0" w:space="0" w:color="auto" w:frame="1"/>
          <w:shd w:val="clear" w:color="auto" w:fill="FFFFFF"/>
        </w:rPr>
        <w:t>Pattinson</w:t>
      </w:r>
      <w:r w:rsidR="00AA6E0F" w:rsidRPr="00396FFC">
        <w:rPr>
          <w:shd w:val="clear" w:color="auto" w:fill="FFFFFF"/>
        </w:rPr>
        <w:t xml:space="preserve"> at [49], [51]. Considerations of deterrence, and the protection of the public interest, may justify the imposition of the maximum penalty where it </w:t>
      </w:r>
      <w:r w:rsidR="00AA6E0F" w:rsidRPr="00396FFC">
        <w:rPr>
          <w:shd w:val="clear" w:color="auto" w:fill="FFFFFF"/>
        </w:rPr>
        <w:lastRenderedPageBreak/>
        <w:t>is apparent that no lesser penalty will be an effective deterrent against further contraventions of a like kind: </w:t>
      </w:r>
      <w:r w:rsidR="00AA6E0F" w:rsidRPr="00396FFC">
        <w:rPr>
          <w:i/>
          <w:iCs/>
          <w:bdr w:val="none" w:sz="0" w:space="0" w:color="auto" w:frame="1"/>
          <w:shd w:val="clear" w:color="auto" w:fill="FFFFFF"/>
        </w:rPr>
        <w:t>Pattinson</w:t>
      </w:r>
      <w:r w:rsidR="00AA6E0F" w:rsidRPr="00396FFC">
        <w:rPr>
          <w:shd w:val="clear" w:color="auto" w:fill="FFFFFF"/>
        </w:rPr>
        <w:t xml:space="preserve"> at [50]. </w:t>
      </w:r>
    </w:p>
    <w:p w14:paraId="08DC3859" w14:textId="5BD5BF51" w:rsidR="00AA6E0F" w:rsidRPr="00396FFC" w:rsidRDefault="00E31C88" w:rsidP="00E31C88">
      <w:pPr>
        <w:pStyle w:val="ParaNumbering"/>
        <w:numPr>
          <w:ilvl w:val="0"/>
          <w:numId w:val="0"/>
        </w:numPr>
        <w:ind w:hanging="720"/>
      </w:pPr>
      <w:r w:rsidRPr="00396FFC">
        <w:rPr>
          <w:iCs/>
          <w:sz w:val="20"/>
        </w:rPr>
        <w:t>89</w:t>
      </w:r>
      <w:r w:rsidRPr="00396FFC">
        <w:rPr>
          <w:iCs/>
          <w:sz w:val="20"/>
        </w:rPr>
        <w:tab/>
      </w:r>
      <w:r w:rsidR="00AA6E0F" w:rsidRPr="00396FFC">
        <w:t>Although the DJs Cards are no longer sold, American Express continues to operate in the credit card industry and is the subject of DDOs in respect of other cards it issues. That being the case, considerations of specific deterrence are relevant.</w:t>
      </w:r>
      <w:r w:rsidR="002C7A6E">
        <w:t xml:space="preserve"> </w:t>
      </w:r>
      <w:r w:rsidR="00AA6E0F" w:rsidRPr="00396FFC">
        <w:t>The DDO</w:t>
      </w:r>
      <w:r w:rsidR="00AA6E0F">
        <w:t xml:space="preserve"> regime is</w:t>
      </w:r>
      <w:r w:rsidR="00AA6E0F" w:rsidRPr="00396FFC">
        <w:t xml:space="preserve"> consumer-focused and, as with other sections of the Act,</w:t>
      </w:r>
      <w:r w:rsidR="002C7A6E">
        <w:t xml:space="preserve"> is </w:t>
      </w:r>
      <w:r w:rsidR="00AA6E0F" w:rsidRPr="00396FFC">
        <w:t xml:space="preserve">intended to ensure that consumers receive appropriate financial products. </w:t>
      </w:r>
      <w:r w:rsidR="00935FBE">
        <w:t>Accordingly, general det</w:t>
      </w:r>
      <w:r w:rsidR="00AA6E0F" w:rsidRPr="00396FFC">
        <w:t xml:space="preserve">errence </w:t>
      </w:r>
      <w:r w:rsidR="00935FBE">
        <w:t xml:space="preserve">is an important element in assessing </w:t>
      </w:r>
      <w:r w:rsidR="009C7584">
        <w:t>t</w:t>
      </w:r>
      <w:r w:rsidR="00AA6E0F" w:rsidRPr="00396FFC">
        <w:t>he appropriate penalty. Any penalty needs to be sufficient to deter other product issuers and distributors from contravening the DDO provisions of the Act.</w:t>
      </w:r>
    </w:p>
    <w:p w14:paraId="20A4E87C" w14:textId="6BC76760" w:rsidR="00AA6E0F" w:rsidRPr="00396FFC" w:rsidRDefault="00E31C88" w:rsidP="00E31C88">
      <w:pPr>
        <w:pStyle w:val="ParaNumbering"/>
        <w:numPr>
          <w:ilvl w:val="0"/>
          <w:numId w:val="0"/>
        </w:numPr>
        <w:ind w:hanging="720"/>
        <w:rPr>
          <w:sz w:val="16"/>
        </w:rPr>
      </w:pPr>
      <w:r w:rsidRPr="00396FFC">
        <w:rPr>
          <w:iCs/>
          <w:sz w:val="20"/>
        </w:rPr>
        <w:t>90</w:t>
      </w:r>
      <w:r w:rsidRPr="00396FFC">
        <w:rPr>
          <w:iCs/>
          <w:sz w:val="20"/>
        </w:rPr>
        <w:tab/>
      </w:r>
      <w:r w:rsidR="00AA6E0F" w:rsidRPr="00396FFC">
        <w:t xml:space="preserve">The majority in </w:t>
      </w:r>
      <w:r w:rsidR="00AA6E0F" w:rsidRPr="00396FFC">
        <w:rPr>
          <w:i/>
        </w:rPr>
        <w:t xml:space="preserve">Pattinson </w:t>
      </w:r>
      <w:r w:rsidR="00AA6E0F" w:rsidRPr="00396FFC">
        <w:t xml:space="preserve">considered that the statutory maximum penalty </w:t>
      </w:r>
      <w:r w:rsidR="00AA6E0F" w:rsidRPr="0090093F">
        <w:t>is but one yardstick that ordinarily must be applied, and must be treated as one of a number of relevant factors</w:t>
      </w:r>
      <w:r w:rsidR="00AA6E0F" w:rsidRPr="0090093F">
        <w:rPr>
          <w:sz w:val="16"/>
        </w:rPr>
        <w:t xml:space="preserve"> </w:t>
      </w:r>
      <w:r w:rsidR="00AA6E0F" w:rsidRPr="00396FFC">
        <w:t>to inform the assessment of a penalty of appropriate deterrent value</w:t>
      </w:r>
      <w:r w:rsidR="00457D5F">
        <w:t>: at [53]–[55]</w:t>
      </w:r>
      <w:r w:rsidR="00957756">
        <w:t>.</w:t>
      </w:r>
      <w:r w:rsidR="00056076">
        <w:t xml:space="preserve"> </w:t>
      </w:r>
      <w:r w:rsidR="00AA6E0F" w:rsidRPr="00396FFC">
        <w:t>Their Honours rejected an approach by which the statutory maximum penalty was required to be reserved exclusively for the worst category of contravening conduct</w:t>
      </w:r>
      <w:r w:rsidR="00957756">
        <w:t>: at [10] and [49]–[51].</w:t>
      </w:r>
      <w:r w:rsidR="00056076">
        <w:t xml:space="preserve"> </w:t>
      </w:r>
      <w:r w:rsidR="00AA6E0F" w:rsidRPr="00396FFC">
        <w:t xml:space="preserve">However, </w:t>
      </w:r>
      <w:r w:rsidR="00872451">
        <w:t>their Honours</w:t>
      </w:r>
      <w:r w:rsidR="00AA6E0F" w:rsidRPr="00396FFC">
        <w:t xml:space="preserve"> emphasised that there should be</w:t>
      </w:r>
      <w:r w:rsidR="00AA6E0F" w:rsidRPr="00872451">
        <w:t xml:space="preserve"> “some reasonable relationship between the theoretical maximum and the final penalty imposed”</w:t>
      </w:r>
      <w:r w:rsidR="00560B0B">
        <w:t>,</w:t>
      </w:r>
      <w:r w:rsidR="00AA6E0F" w:rsidRPr="00872451">
        <w:t xml:space="preserve"> t</w:t>
      </w:r>
      <w:r w:rsidR="00AA6E0F" w:rsidRPr="00396FFC">
        <w:t>he relationship of reasonableness being established by reference to a need for deterrence having regard to the circumstances of the contraven</w:t>
      </w:r>
      <w:r w:rsidR="00F77931">
        <w:t>e</w:t>
      </w:r>
      <w:r w:rsidR="00AA6E0F" w:rsidRPr="00396FFC">
        <w:t>r and the circumstances of the contravention</w:t>
      </w:r>
      <w:r w:rsidR="00872451">
        <w:t>: at [10], [53]–[55].</w:t>
      </w:r>
    </w:p>
    <w:p w14:paraId="12AC4D6B" w14:textId="5C98C4EC" w:rsidR="00AA6E0F" w:rsidRDefault="00E31C88" w:rsidP="00E31C88">
      <w:pPr>
        <w:pStyle w:val="ParaNumbering"/>
        <w:numPr>
          <w:ilvl w:val="0"/>
          <w:numId w:val="0"/>
        </w:numPr>
        <w:ind w:hanging="720"/>
        <w:rPr>
          <w:szCs w:val="22"/>
        </w:rPr>
      </w:pPr>
      <w:r>
        <w:rPr>
          <w:iCs/>
          <w:sz w:val="20"/>
          <w:szCs w:val="22"/>
        </w:rPr>
        <w:t>91</w:t>
      </w:r>
      <w:r>
        <w:rPr>
          <w:iCs/>
          <w:sz w:val="20"/>
          <w:szCs w:val="22"/>
        </w:rPr>
        <w:tab/>
      </w:r>
      <w:r w:rsidR="00AA6E0F" w:rsidRPr="00396FFC">
        <w:rPr>
          <w:szCs w:val="22"/>
        </w:rPr>
        <w:t>At all relevant times, s 1317G(4) of the Act provided that the maximum penalty for each contravention was the greater of:</w:t>
      </w:r>
    </w:p>
    <w:p w14:paraId="34899ED8" w14:textId="72A91BB4" w:rsidR="0064753D" w:rsidRDefault="00E31C88" w:rsidP="00E31C88">
      <w:pPr>
        <w:pStyle w:val="ListNo1alt"/>
        <w:numPr>
          <w:ilvl w:val="0"/>
          <w:numId w:val="0"/>
        </w:numPr>
        <w:tabs>
          <w:tab w:val="left" w:pos="720"/>
        </w:tabs>
        <w:ind w:left="720" w:hanging="720"/>
      </w:pPr>
      <w:r>
        <w:t>(a)</w:t>
      </w:r>
      <w:r>
        <w:tab/>
      </w:r>
      <w:r w:rsidR="0064753D">
        <w:t xml:space="preserve">$11,100,000 </w:t>
      </w:r>
      <w:r w:rsidR="00F77931">
        <w:t>(</w:t>
      </w:r>
      <w:r w:rsidR="0064753D">
        <w:t>being 50,000 penalty units)</w:t>
      </w:r>
      <w:r w:rsidR="00862923">
        <w:t>;</w:t>
      </w:r>
    </w:p>
    <w:p w14:paraId="0CBE848A" w14:textId="2E0E38E3" w:rsidR="00AA6E0F" w:rsidRPr="00396FFC" w:rsidRDefault="00E31C88" w:rsidP="00E31C88">
      <w:pPr>
        <w:pStyle w:val="ListNo1alt"/>
        <w:numPr>
          <w:ilvl w:val="0"/>
          <w:numId w:val="0"/>
        </w:numPr>
        <w:tabs>
          <w:tab w:val="left" w:pos="720"/>
        </w:tabs>
        <w:ind w:left="720" w:hanging="720"/>
      </w:pPr>
      <w:r w:rsidRPr="00396FFC">
        <w:t>(b)</w:t>
      </w:r>
      <w:r w:rsidRPr="00396FFC">
        <w:tab/>
      </w:r>
      <w:r w:rsidR="00F77931">
        <w:t>three</w:t>
      </w:r>
      <w:r w:rsidR="00AA6E0F" w:rsidRPr="00396FFC">
        <w:rPr>
          <w:spacing w:val="-8"/>
        </w:rPr>
        <w:t xml:space="preserve"> </w:t>
      </w:r>
      <w:r w:rsidR="00AA6E0F" w:rsidRPr="00396FFC">
        <w:t>times</w:t>
      </w:r>
      <w:r w:rsidR="00AA6E0F" w:rsidRPr="00396FFC">
        <w:rPr>
          <w:spacing w:val="-8"/>
        </w:rPr>
        <w:t xml:space="preserve"> </w:t>
      </w:r>
      <w:r w:rsidR="00AA6E0F" w:rsidRPr="00396FFC">
        <w:t>the</w:t>
      </w:r>
      <w:r w:rsidR="00AA6E0F" w:rsidRPr="00396FFC">
        <w:rPr>
          <w:spacing w:val="-7"/>
        </w:rPr>
        <w:t xml:space="preserve"> </w:t>
      </w:r>
      <w:r w:rsidR="00AA6E0F" w:rsidRPr="00396FFC">
        <w:t>benefit</w:t>
      </w:r>
      <w:r w:rsidR="00AA6E0F" w:rsidRPr="00396FFC">
        <w:rPr>
          <w:spacing w:val="-5"/>
        </w:rPr>
        <w:t xml:space="preserve"> </w:t>
      </w:r>
      <w:r w:rsidR="00AA6E0F" w:rsidRPr="00396FFC">
        <w:t>derived</w:t>
      </w:r>
      <w:r w:rsidR="00AA6E0F" w:rsidRPr="00396FFC">
        <w:rPr>
          <w:spacing w:val="-8"/>
        </w:rPr>
        <w:t xml:space="preserve"> </w:t>
      </w:r>
      <w:r w:rsidR="00AA6E0F" w:rsidRPr="00396FFC">
        <w:t>or</w:t>
      </w:r>
      <w:r w:rsidR="00AA6E0F" w:rsidRPr="00396FFC">
        <w:rPr>
          <w:spacing w:val="-8"/>
        </w:rPr>
        <w:t xml:space="preserve"> </w:t>
      </w:r>
      <w:r w:rsidR="00AA6E0F" w:rsidRPr="00396FFC">
        <w:t>detriment</w:t>
      </w:r>
      <w:r w:rsidR="00AA6E0F" w:rsidRPr="00396FFC">
        <w:rPr>
          <w:spacing w:val="-7"/>
        </w:rPr>
        <w:t xml:space="preserve"> </w:t>
      </w:r>
      <w:r w:rsidR="00AA6E0F" w:rsidRPr="00396FFC">
        <w:t>avoided</w:t>
      </w:r>
      <w:r w:rsidR="00862923">
        <w:t xml:space="preserve"> because of the contravention</w:t>
      </w:r>
      <w:r w:rsidR="00AA6E0F" w:rsidRPr="00396FFC">
        <w:t>;</w:t>
      </w:r>
      <w:r w:rsidR="00AA6E0F" w:rsidRPr="00396FFC">
        <w:rPr>
          <w:spacing w:val="-5"/>
        </w:rPr>
        <w:t xml:space="preserve"> and</w:t>
      </w:r>
    </w:p>
    <w:p w14:paraId="03EF49EC" w14:textId="029BCCD8" w:rsidR="00AA6E0F" w:rsidRPr="00396FFC" w:rsidRDefault="00E31C88" w:rsidP="00E31C88">
      <w:pPr>
        <w:pStyle w:val="ListNo1alt"/>
        <w:numPr>
          <w:ilvl w:val="0"/>
          <w:numId w:val="0"/>
        </w:numPr>
        <w:tabs>
          <w:tab w:val="left" w:pos="720"/>
        </w:tabs>
        <w:ind w:left="720" w:hanging="720"/>
      </w:pPr>
      <w:r w:rsidRPr="00396FFC">
        <w:t>(c)</w:t>
      </w:r>
      <w:r w:rsidRPr="00396FFC">
        <w:tab/>
      </w:r>
      <w:r w:rsidR="00AA6E0F" w:rsidRPr="00396FFC">
        <w:t>10%</w:t>
      </w:r>
      <w:r w:rsidR="00AA6E0F" w:rsidRPr="00396FFC">
        <w:rPr>
          <w:spacing w:val="-6"/>
        </w:rPr>
        <w:t xml:space="preserve"> </w:t>
      </w:r>
      <w:r w:rsidR="00AA6E0F" w:rsidRPr="00396FFC">
        <w:t>of</w:t>
      </w:r>
      <w:r w:rsidR="00AA6E0F" w:rsidRPr="00396FFC">
        <w:rPr>
          <w:spacing w:val="-6"/>
        </w:rPr>
        <w:t xml:space="preserve"> </w:t>
      </w:r>
      <w:r w:rsidR="00AA6E0F" w:rsidRPr="00396FFC">
        <w:t>annual</w:t>
      </w:r>
      <w:r w:rsidR="00AA6E0F" w:rsidRPr="00396FFC">
        <w:rPr>
          <w:spacing w:val="-6"/>
        </w:rPr>
        <w:t xml:space="preserve"> </w:t>
      </w:r>
      <w:r w:rsidR="00AA6E0F" w:rsidRPr="00396FFC">
        <w:t>turnover for the 12-month period ending at the end of the month in which the body corporate contravened, or began to contravene, the civil penalty provision</w:t>
      </w:r>
      <w:r w:rsidR="00AA6E0F" w:rsidRPr="00396FFC">
        <w:rPr>
          <w:spacing w:val="-7"/>
        </w:rPr>
        <w:t xml:space="preserve"> </w:t>
      </w:r>
      <w:r w:rsidR="00AA6E0F" w:rsidRPr="00396FFC">
        <w:t>(capped</w:t>
      </w:r>
      <w:r w:rsidR="00AA6E0F" w:rsidRPr="00396FFC">
        <w:rPr>
          <w:spacing w:val="-7"/>
        </w:rPr>
        <w:t xml:space="preserve"> </w:t>
      </w:r>
      <w:r w:rsidR="00AA6E0F" w:rsidRPr="00396FFC">
        <w:t>at</w:t>
      </w:r>
      <w:r w:rsidR="00AA6E0F" w:rsidRPr="00396FFC">
        <w:rPr>
          <w:spacing w:val="-7"/>
        </w:rPr>
        <w:t xml:space="preserve"> </w:t>
      </w:r>
      <w:r w:rsidR="00AA6E0F" w:rsidRPr="00396FFC">
        <w:t>2.5m</w:t>
      </w:r>
      <w:r w:rsidR="00AA6E0F" w:rsidRPr="00396FFC">
        <w:rPr>
          <w:spacing w:val="-4"/>
        </w:rPr>
        <w:t xml:space="preserve"> </w:t>
      </w:r>
      <w:r w:rsidR="00AA6E0F" w:rsidRPr="00396FFC">
        <w:t>penalty</w:t>
      </w:r>
      <w:r w:rsidR="00AA6E0F" w:rsidRPr="00396FFC">
        <w:rPr>
          <w:spacing w:val="-6"/>
        </w:rPr>
        <w:t xml:space="preserve"> </w:t>
      </w:r>
      <w:r w:rsidR="00AA6E0F" w:rsidRPr="00396FFC">
        <w:rPr>
          <w:spacing w:val="-2"/>
        </w:rPr>
        <w:t>units or $555,000,000).</w:t>
      </w:r>
    </w:p>
    <w:p w14:paraId="576E696A" w14:textId="36FDA5D0" w:rsidR="00AA6E0F" w:rsidRPr="00397E93" w:rsidRDefault="00AA6E0F" w:rsidP="00397E93">
      <w:pPr>
        <w:pStyle w:val="NoNum"/>
      </w:pPr>
      <w:r w:rsidRPr="00396FFC">
        <w:t>For</w:t>
      </w:r>
      <w:r w:rsidRPr="00396FFC">
        <w:rPr>
          <w:spacing w:val="-4"/>
        </w:rPr>
        <w:t xml:space="preserve"> </w:t>
      </w:r>
      <w:r w:rsidRPr="00396FFC">
        <w:t>the</w:t>
      </w:r>
      <w:r w:rsidRPr="00396FFC">
        <w:rPr>
          <w:spacing w:val="-4"/>
        </w:rPr>
        <w:t xml:space="preserve"> </w:t>
      </w:r>
      <w:r w:rsidRPr="00396FFC">
        <w:t>years</w:t>
      </w:r>
      <w:r w:rsidRPr="00396FFC">
        <w:rPr>
          <w:spacing w:val="-4"/>
        </w:rPr>
        <w:t xml:space="preserve"> </w:t>
      </w:r>
      <w:r w:rsidRPr="00396FFC">
        <w:t>ended</w:t>
      </w:r>
      <w:r w:rsidRPr="00396FFC">
        <w:rPr>
          <w:spacing w:val="-4"/>
        </w:rPr>
        <w:t xml:space="preserve"> </w:t>
      </w:r>
      <w:r w:rsidRPr="00396FFC">
        <w:t>31</w:t>
      </w:r>
      <w:r w:rsidRPr="00396FFC">
        <w:rPr>
          <w:spacing w:val="-2"/>
        </w:rPr>
        <w:t xml:space="preserve"> </w:t>
      </w:r>
      <w:r w:rsidRPr="00396FFC">
        <w:t>December</w:t>
      </w:r>
      <w:r w:rsidRPr="00396FFC">
        <w:rPr>
          <w:spacing w:val="-4"/>
        </w:rPr>
        <w:t xml:space="preserve"> </w:t>
      </w:r>
      <w:r w:rsidRPr="00396FFC">
        <w:t>2021</w:t>
      </w:r>
      <w:r w:rsidRPr="00396FFC">
        <w:rPr>
          <w:spacing w:val="-4"/>
        </w:rPr>
        <w:t xml:space="preserve"> </w:t>
      </w:r>
      <w:r w:rsidRPr="00396FFC">
        <w:t>and</w:t>
      </w:r>
      <w:r w:rsidRPr="00396FFC">
        <w:rPr>
          <w:spacing w:val="-4"/>
        </w:rPr>
        <w:t xml:space="preserve"> </w:t>
      </w:r>
      <w:r w:rsidRPr="00396FFC">
        <w:t>31</w:t>
      </w:r>
      <w:r w:rsidRPr="00396FFC">
        <w:rPr>
          <w:spacing w:val="-4"/>
        </w:rPr>
        <w:t xml:space="preserve"> </w:t>
      </w:r>
      <w:r w:rsidRPr="00396FFC">
        <w:t>December</w:t>
      </w:r>
      <w:r w:rsidRPr="00396FFC">
        <w:rPr>
          <w:spacing w:val="-4"/>
        </w:rPr>
        <w:t xml:space="preserve"> </w:t>
      </w:r>
      <w:r w:rsidRPr="00396FFC">
        <w:t>2022,</w:t>
      </w:r>
      <w:r w:rsidRPr="00396FFC">
        <w:rPr>
          <w:spacing w:val="-2"/>
        </w:rPr>
        <w:t xml:space="preserve"> </w:t>
      </w:r>
      <w:r w:rsidRPr="00396FFC">
        <w:t>American Express reported</w:t>
      </w:r>
      <w:r w:rsidRPr="00396FFC">
        <w:rPr>
          <w:spacing w:val="-4"/>
        </w:rPr>
        <w:t xml:space="preserve"> </w:t>
      </w:r>
      <w:r w:rsidRPr="00396FFC">
        <w:t xml:space="preserve">total revenue of $1,091,200,000 and $1,466,800,000, respectively. </w:t>
      </w:r>
      <w:r w:rsidRPr="00397E93">
        <w:rPr>
          <w:rStyle w:val="Hyperlink"/>
          <w:rFonts w:cs="Arial"/>
          <w:color w:val="auto"/>
          <w:szCs w:val="22"/>
          <w:u w:val="none"/>
        </w:rPr>
        <w:t>The contravention of sub-s 994C(4) occurred from 25 May 2022 to 5 July 2022.</w:t>
      </w:r>
      <w:r w:rsidR="00056076">
        <w:rPr>
          <w:rStyle w:val="Hyperlink"/>
          <w:rFonts w:cs="Arial"/>
          <w:color w:val="auto"/>
          <w:szCs w:val="22"/>
          <w:u w:val="none"/>
        </w:rPr>
        <w:t xml:space="preserve"> </w:t>
      </w:r>
      <w:r w:rsidRPr="00397E93">
        <w:rPr>
          <w:szCs w:val="22"/>
        </w:rPr>
        <w:t>For the purpose of the maximum penalty, 10%</w:t>
      </w:r>
      <w:r w:rsidRPr="00397E93">
        <w:rPr>
          <w:spacing w:val="-6"/>
          <w:szCs w:val="22"/>
        </w:rPr>
        <w:t xml:space="preserve"> </w:t>
      </w:r>
      <w:r w:rsidRPr="00397E93">
        <w:rPr>
          <w:szCs w:val="22"/>
        </w:rPr>
        <w:t>of</w:t>
      </w:r>
      <w:r w:rsidRPr="00397E93">
        <w:rPr>
          <w:spacing w:val="-6"/>
          <w:szCs w:val="22"/>
        </w:rPr>
        <w:t xml:space="preserve"> </w:t>
      </w:r>
      <w:r w:rsidRPr="00397E93">
        <w:rPr>
          <w:szCs w:val="22"/>
        </w:rPr>
        <w:t>annual</w:t>
      </w:r>
      <w:r w:rsidRPr="00397E93">
        <w:rPr>
          <w:spacing w:val="-6"/>
          <w:szCs w:val="22"/>
        </w:rPr>
        <w:t xml:space="preserve"> </w:t>
      </w:r>
      <w:r w:rsidRPr="00397E93">
        <w:rPr>
          <w:szCs w:val="22"/>
        </w:rPr>
        <w:t>turnover</w:t>
      </w:r>
      <w:r w:rsidRPr="00397E93">
        <w:rPr>
          <w:spacing w:val="-7"/>
          <w:szCs w:val="22"/>
        </w:rPr>
        <w:t xml:space="preserve"> is </w:t>
      </w:r>
      <w:r w:rsidRPr="00397E93">
        <w:rPr>
          <w:rStyle w:val="Hyperlink"/>
          <w:rFonts w:cs="Arial"/>
          <w:color w:val="auto"/>
          <w:szCs w:val="22"/>
          <w:u w:val="none"/>
        </w:rPr>
        <w:t xml:space="preserve">$146,680,000 for the year ended 31 December 2022. Accordingly, the maximum penalty for a single contravention is approximately $146 million. </w:t>
      </w:r>
    </w:p>
    <w:p w14:paraId="39A7B97F" w14:textId="1D5C8D0C" w:rsidR="00AA6E0F" w:rsidRPr="00396FFC" w:rsidRDefault="00E31C88" w:rsidP="00E31C88">
      <w:pPr>
        <w:pStyle w:val="ParaNumbering"/>
        <w:numPr>
          <w:ilvl w:val="0"/>
          <w:numId w:val="0"/>
        </w:numPr>
        <w:ind w:hanging="720"/>
      </w:pPr>
      <w:r w:rsidRPr="00396FFC">
        <w:rPr>
          <w:iCs/>
          <w:sz w:val="20"/>
        </w:rPr>
        <w:lastRenderedPageBreak/>
        <w:t>92</w:t>
      </w:r>
      <w:r w:rsidRPr="00396FFC">
        <w:rPr>
          <w:iCs/>
          <w:sz w:val="20"/>
        </w:rPr>
        <w:tab/>
      </w:r>
      <w:r w:rsidR="00AA6E0F" w:rsidRPr="00396FFC">
        <w:t>Where there is an interrelationship between the factual and legal elements of two or more contraventions, consideration might be given to whether or not it is appropriate to impose a single overall penalty for that course of conduct</w:t>
      </w:r>
      <w:r w:rsidR="00945C59">
        <w:t xml:space="preserve">: </w:t>
      </w:r>
      <w:r w:rsidR="00945C59" w:rsidRPr="005D40D6">
        <w:rPr>
          <w:i/>
          <w:iCs/>
        </w:rPr>
        <w:t xml:space="preserve">Australian Competition and Consumer Commission v </w:t>
      </w:r>
      <w:r w:rsidR="00CE3516" w:rsidRPr="005D40D6">
        <w:rPr>
          <w:i/>
          <w:iCs/>
        </w:rPr>
        <w:t>Get Qualified Australia Pty Ltd (in liq) (N</w:t>
      </w:r>
      <w:r w:rsidR="00616566" w:rsidRPr="005D40D6">
        <w:rPr>
          <w:i/>
          <w:iCs/>
        </w:rPr>
        <w:t>o</w:t>
      </w:r>
      <w:r w:rsidR="00CE3516" w:rsidRPr="005D40D6">
        <w:rPr>
          <w:i/>
          <w:iCs/>
        </w:rPr>
        <w:t xml:space="preserve"> 3)</w:t>
      </w:r>
      <w:r w:rsidR="00CE3516" w:rsidRPr="005D40D6">
        <w:t xml:space="preserve"> [2017] FCA 1018</w:t>
      </w:r>
      <w:r w:rsidR="00CE3516">
        <w:t xml:space="preserve"> at [36] (Beach J).</w:t>
      </w:r>
      <w:r w:rsidR="00AA6E0F" w:rsidRPr="00396FFC">
        <w:t xml:space="preserve"> </w:t>
      </w:r>
      <w:r w:rsidR="00616566">
        <w:t xml:space="preserve">As Moore, Middleton and Gordon JJ expressed the </w:t>
      </w:r>
      <w:r w:rsidR="008D5524">
        <w:t>matter</w:t>
      </w:r>
      <w:r w:rsidR="00616566">
        <w:t xml:space="preserve"> in </w:t>
      </w:r>
      <w:r w:rsidR="00616566" w:rsidRPr="005D40D6">
        <w:rPr>
          <w:i/>
          <w:iCs/>
        </w:rPr>
        <w:t>Construction, F</w:t>
      </w:r>
      <w:r w:rsidR="00143A05" w:rsidRPr="005D40D6">
        <w:rPr>
          <w:i/>
          <w:iCs/>
        </w:rPr>
        <w:t>orestry, Mining and Energy Union v Cahill</w:t>
      </w:r>
      <w:r w:rsidR="00143A05" w:rsidRPr="005D40D6">
        <w:t xml:space="preserve"> [2010] </w:t>
      </w:r>
      <w:r w:rsidR="0015236E" w:rsidRPr="005D40D6">
        <w:t>FCAFC 39; (2010) 269 ALR 1</w:t>
      </w:r>
      <w:r w:rsidR="0015236E">
        <w:t xml:space="preserve"> at [39]</w:t>
      </w:r>
      <w:r w:rsidR="00624794">
        <w:t xml:space="preserve"> </w:t>
      </w:r>
      <w:r w:rsidR="00AA6E0F" w:rsidRPr="00396FFC">
        <w:t>(emphasis in original)</w:t>
      </w:r>
      <w:r w:rsidR="003106B5">
        <w:t>, the course of conduct principle</w:t>
      </w:r>
      <w:r w:rsidR="00AA6E0F" w:rsidRPr="00396FFC">
        <w:t>:</w:t>
      </w:r>
    </w:p>
    <w:p w14:paraId="72840105" w14:textId="77777777" w:rsidR="00AA6E0F" w:rsidRPr="00396FFC" w:rsidRDefault="00AA6E0F" w:rsidP="0015236E">
      <w:pPr>
        <w:pStyle w:val="Quote1"/>
      </w:pPr>
      <w:r w:rsidRPr="00396FFC">
        <w:t xml:space="preserve">recognises that where there is an interrelationship between </w:t>
      </w:r>
      <w:r w:rsidRPr="00F978FE">
        <w:rPr>
          <w:i/>
        </w:rPr>
        <w:t>the legal and factual elements of two or more offences</w:t>
      </w:r>
      <w:r w:rsidRPr="00396FFC">
        <w:rPr>
          <w:b/>
          <w:bCs/>
        </w:rPr>
        <w:t xml:space="preserve"> </w:t>
      </w:r>
      <w:r w:rsidRPr="00396FFC">
        <w:t>for which an offender has been charged, care must be taken to ensure that the offender is not punished twice for what is essentially the same criminality. That requires careful identification of what is “the same criminality” and that is necessarily a factually specific enquiry. Bare identity of motive for commission of separate offences will seldom suffice to establish the same criminality in separate and distinct offending</w:t>
      </w:r>
      <w:r>
        <w:t xml:space="preserve"> </w:t>
      </w:r>
      <w:r w:rsidRPr="00717697">
        <w:t>acts or omissions.</w:t>
      </w:r>
    </w:p>
    <w:p w14:paraId="4D280C62" w14:textId="064843C5" w:rsidR="00AA6E0F" w:rsidRPr="00D20710" w:rsidRDefault="00E31C88" w:rsidP="00E31C88">
      <w:pPr>
        <w:pStyle w:val="ParaNumbering"/>
        <w:numPr>
          <w:ilvl w:val="0"/>
          <w:numId w:val="0"/>
        </w:numPr>
        <w:ind w:hanging="720"/>
      </w:pPr>
      <w:r w:rsidRPr="00D20710">
        <w:rPr>
          <w:iCs/>
          <w:sz w:val="20"/>
        </w:rPr>
        <w:t>93</w:t>
      </w:r>
      <w:r w:rsidRPr="00D20710">
        <w:rPr>
          <w:iCs/>
          <w:sz w:val="20"/>
        </w:rPr>
        <w:tab/>
      </w:r>
      <w:r w:rsidR="0035626D">
        <w:t xml:space="preserve">As their Honours said in </w:t>
      </w:r>
      <w:r w:rsidR="0035626D">
        <w:rPr>
          <w:i/>
          <w:iCs/>
        </w:rPr>
        <w:t xml:space="preserve">Cahill </w:t>
      </w:r>
      <w:r w:rsidR="0035626D">
        <w:t>at [41]</w:t>
      </w:r>
      <w:r w:rsidR="00FD0ED3">
        <w:t>, however, t</w:t>
      </w:r>
      <w:r w:rsidR="00AA6E0F" w:rsidRPr="00396FFC">
        <w:t xml:space="preserve">he principle is only a tool of analysis which can, but need not, be used in any give case in order to ensure an appropriate deterrent effect. </w:t>
      </w:r>
      <w:r w:rsidR="00636DAD">
        <w:t xml:space="preserve">As Lee J expressed the point in </w:t>
      </w:r>
      <w:r w:rsidR="00636DAD" w:rsidRPr="005D40D6">
        <w:rPr>
          <w:i/>
          <w:iCs/>
        </w:rPr>
        <w:t>Australian Competition and Consumer Commission v Equifax Australia Information Services and Sol</w:t>
      </w:r>
      <w:r w:rsidR="00333A78" w:rsidRPr="005D40D6">
        <w:rPr>
          <w:i/>
          <w:iCs/>
        </w:rPr>
        <w:t>utions</w:t>
      </w:r>
      <w:r w:rsidR="00636DAD" w:rsidRPr="005D40D6">
        <w:rPr>
          <w:i/>
          <w:iCs/>
        </w:rPr>
        <w:t xml:space="preserve"> Pty Ltd </w:t>
      </w:r>
      <w:r w:rsidR="00636DAD" w:rsidRPr="005D40D6">
        <w:t>[20</w:t>
      </w:r>
      <w:r w:rsidR="00333A78" w:rsidRPr="005D40D6">
        <w:t>1</w:t>
      </w:r>
      <w:r w:rsidR="00636DAD" w:rsidRPr="005D40D6">
        <w:t>8] FCA 1637</w:t>
      </w:r>
      <w:r w:rsidR="00BC686A">
        <w:t xml:space="preserve"> at [86], the principle is:</w:t>
      </w:r>
    </w:p>
    <w:p w14:paraId="146FF747" w14:textId="77777777" w:rsidR="00AA6E0F" w:rsidRDefault="00AA6E0F" w:rsidP="00FD0ED3">
      <w:pPr>
        <w:pStyle w:val="Quote1"/>
        <w:rPr>
          <w:shd w:val="clear" w:color="auto" w:fill="FFFFFF"/>
          <w:lang w:eastAsia="en-GB"/>
        </w:rPr>
      </w:pPr>
      <w:r w:rsidRPr="00D20710">
        <w:rPr>
          <w:shd w:val="clear" w:color="auto" w:fill="FFFFFF"/>
          <w:lang w:eastAsia="en-GB"/>
        </w:rPr>
        <w:t xml:space="preserve">merely a discretionary tool or analytical expedient along the way to determining an appropriate penalty. A precise allocation of the number of courses of conduct is not some sort of calculus which results in various outcomes, </w:t>
      </w:r>
      <w:r w:rsidRPr="00D20710">
        <w:t>depending</w:t>
      </w:r>
      <w:r w:rsidRPr="00D20710">
        <w:rPr>
          <w:shd w:val="clear" w:color="auto" w:fill="FFFFFF"/>
          <w:lang w:eastAsia="en-GB"/>
        </w:rPr>
        <w:t xml:space="preserve"> upon the characterisation of the contravening conduct, as falling into one or other of the identified courses of conduct.</w:t>
      </w:r>
    </w:p>
    <w:p w14:paraId="2D425634" w14:textId="54E8E93A" w:rsidR="003A3A3E" w:rsidRPr="00D20710" w:rsidRDefault="00E31C88" w:rsidP="00E31C88">
      <w:pPr>
        <w:pStyle w:val="ParaNumbering"/>
        <w:numPr>
          <w:ilvl w:val="0"/>
          <w:numId w:val="0"/>
        </w:numPr>
        <w:ind w:hanging="720"/>
        <w:rPr>
          <w:shd w:val="clear" w:color="auto" w:fill="FFFFFF"/>
          <w:lang w:eastAsia="en-GB"/>
        </w:rPr>
      </w:pPr>
      <w:r w:rsidRPr="00D20710">
        <w:rPr>
          <w:iCs/>
          <w:sz w:val="20"/>
          <w:lang w:eastAsia="en-GB"/>
        </w:rPr>
        <w:t>94</w:t>
      </w:r>
      <w:r w:rsidRPr="00D20710">
        <w:rPr>
          <w:iCs/>
          <w:sz w:val="20"/>
          <w:lang w:eastAsia="en-GB"/>
        </w:rPr>
        <w:tab/>
      </w:r>
      <w:r w:rsidR="003A3A3E">
        <w:rPr>
          <w:shd w:val="clear" w:color="auto" w:fill="FFFFFF"/>
          <w:lang w:eastAsia="en-GB"/>
        </w:rPr>
        <w:t xml:space="preserve">The course of conduct principle would have had a significant role to play if I had found contraventions of both s 994C(4) and s 994C(5) to be established. In those circumstances, the parties submitted </w:t>
      </w:r>
      <w:r w:rsidR="002F2177">
        <w:rPr>
          <w:shd w:val="clear" w:color="auto" w:fill="FFFFFF"/>
          <w:lang w:eastAsia="en-GB"/>
        </w:rPr>
        <w:t xml:space="preserve">that the four contraventions should be viewed </w:t>
      </w:r>
      <w:r w:rsidR="008B01B9">
        <w:rPr>
          <w:shd w:val="clear" w:color="auto" w:fill="FFFFFF"/>
          <w:lang w:eastAsia="en-GB"/>
        </w:rPr>
        <w:t xml:space="preserve">as involving two courses of conduct: one concerning the DJs Amex Cards and the other concerning the DJs Amex Platinum Card. However, </w:t>
      </w:r>
      <w:r w:rsidR="00FB4627">
        <w:rPr>
          <w:shd w:val="clear" w:color="auto" w:fill="FFFFFF"/>
          <w:lang w:eastAsia="en-GB"/>
        </w:rPr>
        <w:t>a</w:t>
      </w:r>
      <w:r w:rsidR="008B01B9">
        <w:rPr>
          <w:shd w:val="clear" w:color="auto" w:fill="FFFFFF"/>
          <w:lang w:eastAsia="en-GB"/>
        </w:rPr>
        <w:t>s I have concluded that no contravention of s 994C(5) is established, there are only two course</w:t>
      </w:r>
      <w:r w:rsidR="00FB4627">
        <w:rPr>
          <w:shd w:val="clear" w:color="auto" w:fill="FFFFFF"/>
          <w:lang w:eastAsia="en-GB"/>
        </w:rPr>
        <w:t>s</w:t>
      </w:r>
      <w:r w:rsidR="00C76756">
        <w:rPr>
          <w:shd w:val="clear" w:color="auto" w:fill="FFFFFF"/>
          <w:lang w:eastAsia="en-GB"/>
        </w:rPr>
        <w:t xml:space="preserve"> of conduct, namely the contravention of s 994C</w:t>
      </w:r>
      <w:r w:rsidR="008E720A">
        <w:rPr>
          <w:shd w:val="clear" w:color="auto" w:fill="FFFFFF"/>
          <w:lang w:eastAsia="en-GB"/>
        </w:rPr>
        <w:t xml:space="preserve">(4) in respect of each of the two kinds of card. Agreed Penalty B of $8 million </w:t>
      </w:r>
      <w:r w:rsidR="003E11E6">
        <w:rPr>
          <w:shd w:val="clear" w:color="auto" w:fill="FFFFFF"/>
          <w:lang w:eastAsia="en-GB"/>
        </w:rPr>
        <w:t>represents a reduction of about 25% from Agreed Penalty</w:t>
      </w:r>
      <w:r w:rsidR="00FB4303">
        <w:rPr>
          <w:shd w:val="clear" w:color="auto" w:fill="FFFFFF"/>
          <w:lang w:eastAsia="en-GB"/>
        </w:rPr>
        <w:t xml:space="preserve"> A to reflect the </w:t>
      </w:r>
      <w:r w:rsidR="0089744C">
        <w:rPr>
          <w:shd w:val="clear" w:color="auto" w:fill="FFFFFF"/>
          <w:lang w:eastAsia="en-GB"/>
        </w:rPr>
        <w:t>fewer</w:t>
      </w:r>
      <w:r w:rsidR="00FB4303">
        <w:rPr>
          <w:shd w:val="clear" w:color="auto" w:fill="FFFFFF"/>
          <w:lang w:eastAsia="en-GB"/>
        </w:rPr>
        <w:t xml:space="preserve"> number of contraventions while still </w:t>
      </w:r>
      <w:r w:rsidR="0089744C">
        <w:rPr>
          <w:shd w:val="clear" w:color="auto" w:fill="FFFFFF"/>
          <w:lang w:eastAsia="en-GB"/>
        </w:rPr>
        <w:t>retaining its deterrent quality.</w:t>
      </w:r>
    </w:p>
    <w:p w14:paraId="20B28F11" w14:textId="572C2DE1" w:rsidR="00AA6E0F" w:rsidRPr="00D20710" w:rsidRDefault="00E31C88" w:rsidP="00E31C88">
      <w:pPr>
        <w:pStyle w:val="ParaNumbering"/>
        <w:numPr>
          <w:ilvl w:val="0"/>
          <w:numId w:val="0"/>
        </w:numPr>
        <w:ind w:hanging="720"/>
      </w:pPr>
      <w:r w:rsidRPr="00D20710">
        <w:rPr>
          <w:iCs/>
          <w:sz w:val="20"/>
        </w:rPr>
        <w:t>95</w:t>
      </w:r>
      <w:r w:rsidRPr="00D20710">
        <w:rPr>
          <w:iCs/>
          <w:sz w:val="20"/>
        </w:rPr>
        <w:tab/>
      </w:r>
      <w:r w:rsidR="00AA6E0F" w:rsidRPr="00D20710">
        <w:t>The parties submit that the following penalties for each course of conduct are appropriate:</w:t>
      </w:r>
    </w:p>
    <w:p w14:paraId="7D2750C5" w14:textId="303AB485" w:rsidR="00AA6E0F" w:rsidRPr="00D20710" w:rsidRDefault="00E31C88" w:rsidP="00E31C88">
      <w:pPr>
        <w:pStyle w:val="ListNo1alt"/>
        <w:numPr>
          <w:ilvl w:val="0"/>
          <w:numId w:val="0"/>
        </w:numPr>
        <w:tabs>
          <w:tab w:val="left" w:pos="720"/>
        </w:tabs>
        <w:ind w:left="720" w:hanging="720"/>
      </w:pPr>
      <w:r w:rsidRPr="00D20710">
        <w:t>(a)</w:t>
      </w:r>
      <w:r w:rsidRPr="00D20710">
        <w:tab/>
      </w:r>
      <w:r w:rsidR="00AA6E0F" w:rsidRPr="00D20710">
        <w:t>$</w:t>
      </w:r>
      <w:r w:rsidR="007928A9">
        <w:t>4.5</w:t>
      </w:r>
      <w:r w:rsidR="00AA6E0F" w:rsidRPr="00D20710">
        <w:t xml:space="preserve"> million in respect of the contravention of s 994C(4)</w:t>
      </w:r>
      <w:r w:rsidR="00925F78">
        <w:t xml:space="preserve"> </w:t>
      </w:r>
      <w:r w:rsidR="007928A9">
        <w:t>r</w:t>
      </w:r>
      <w:r w:rsidR="00AA6E0F" w:rsidRPr="00D20710">
        <w:t>egarding the DJs Amex Card; and</w:t>
      </w:r>
    </w:p>
    <w:p w14:paraId="68528E59" w14:textId="1938B9C0" w:rsidR="00AA6E0F" w:rsidRPr="00D20710" w:rsidRDefault="00E31C88" w:rsidP="00E31C88">
      <w:pPr>
        <w:pStyle w:val="ListNo1alt"/>
        <w:numPr>
          <w:ilvl w:val="0"/>
          <w:numId w:val="0"/>
        </w:numPr>
        <w:tabs>
          <w:tab w:val="left" w:pos="720"/>
        </w:tabs>
        <w:ind w:left="720" w:hanging="720"/>
      </w:pPr>
      <w:r w:rsidRPr="00D20710">
        <w:lastRenderedPageBreak/>
        <w:t>(b)</w:t>
      </w:r>
      <w:r w:rsidRPr="00D20710">
        <w:tab/>
      </w:r>
      <w:r w:rsidR="00AA6E0F" w:rsidRPr="00D20710">
        <w:t>$</w:t>
      </w:r>
      <w:r w:rsidR="00925F78">
        <w:t xml:space="preserve">3.5 </w:t>
      </w:r>
      <w:r w:rsidR="00AA6E0F" w:rsidRPr="00D20710">
        <w:t xml:space="preserve">million in respect of the contravention of s 994C(4) regarding the DJs Amex Platinum Card. </w:t>
      </w:r>
    </w:p>
    <w:p w14:paraId="422BE50B" w14:textId="236378DF" w:rsidR="00AA6E0F" w:rsidRPr="00D20710" w:rsidRDefault="00BE063E" w:rsidP="00BE063E">
      <w:pPr>
        <w:pStyle w:val="NoNum"/>
      </w:pPr>
      <w:bookmarkStart w:id="39" w:name="_Ref161908221"/>
      <w:r>
        <w:t>The parties submit, and I accept, that a h</w:t>
      </w:r>
      <w:r w:rsidR="00AA6E0F" w:rsidRPr="00D20710">
        <w:t>igher penalty in respect of the contraventions concerning the DJs Amex Card is appropriate having regard to the greater potential for consumer harm associated with the provision of that credit card</w:t>
      </w:r>
      <w:r w:rsidR="00AA6E0F">
        <w:t xml:space="preserve">, given its distribution in greater volumes proportionate to the distribution of the </w:t>
      </w:r>
      <w:r w:rsidR="00AA6E0F" w:rsidRPr="00D20710">
        <w:t>DJs Amex Platinum Card</w:t>
      </w:r>
      <w:bookmarkEnd w:id="39"/>
      <w:r w:rsidR="00963987">
        <w:t>.</w:t>
      </w:r>
    </w:p>
    <w:p w14:paraId="28FEA260" w14:textId="25CF3533" w:rsidR="00AA6E0F" w:rsidRPr="00396FFC" w:rsidRDefault="00E31C88" w:rsidP="00E31C88">
      <w:pPr>
        <w:pStyle w:val="ParaNumbering"/>
        <w:numPr>
          <w:ilvl w:val="0"/>
          <w:numId w:val="0"/>
        </w:numPr>
        <w:ind w:hanging="720"/>
      </w:pPr>
      <w:r w:rsidRPr="00396FFC">
        <w:rPr>
          <w:iCs/>
          <w:sz w:val="20"/>
        </w:rPr>
        <w:t>96</w:t>
      </w:r>
      <w:r w:rsidRPr="00396FFC">
        <w:rPr>
          <w:iCs/>
          <w:sz w:val="20"/>
        </w:rPr>
        <w:tab/>
      </w:r>
      <w:r w:rsidR="00AA6E0F" w:rsidRPr="00396FFC">
        <w:t xml:space="preserve">The totality principle requires the Court to review the </w:t>
      </w:r>
      <w:r w:rsidR="00AA6E0F" w:rsidRPr="00984885">
        <w:t>“aggregate”</w:t>
      </w:r>
      <w:r w:rsidR="00AA6E0F" w:rsidRPr="00396FFC">
        <w:t xml:space="preserve"> penalty to ensure that it is just and appropriate, and not out of proportion to the contravening conduct </w:t>
      </w:r>
      <w:r w:rsidR="00AA6E0F" w:rsidRPr="0059128E">
        <w:t xml:space="preserve">considered </w:t>
      </w:r>
      <w:r w:rsidR="00AA6E0F" w:rsidRPr="005B2406">
        <w:t>“as a whole” or the “totality of the relevant contravening conduct”</w:t>
      </w:r>
      <w:r w:rsidR="000D2C1A">
        <w:t xml:space="preserve">: </w:t>
      </w:r>
      <w:r w:rsidR="000D2C1A" w:rsidRPr="005D40D6">
        <w:rPr>
          <w:i/>
          <w:iCs/>
        </w:rPr>
        <w:t xml:space="preserve">Australian Securities and Investments Commission v Westpac Banking Corporation </w:t>
      </w:r>
      <w:r w:rsidR="000D2C1A" w:rsidRPr="005D40D6">
        <w:t>[2019] FCA 2147</w:t>
      </w:r>
      <w:r w:rsidR="000D2C1A">
        <w:t xml:space="preserve"> at [272] and [308]</w:t>
      </w:r>
      <w:r w:rsidR="005B2406">
        <w:t xml:space="preserve"> (Wigney J).</w:t>
      </w:r>
      <w:r w:rsidR="00AA6E0F" w:rsidRPr="0059128E">
        <w:t xml:space="preserve"> It involves a </w:t>
      </w:r>
      <w:r w:rsidR="00AA6E0F" w:rsidRPr="005B2406">
        <w:t xml:space="preserve">“final overall consideration of the sum of the penalties determined” </w:t>
      </w:r>
      <w:r w:rsidR="00AA6E0F" w:rsidRPr="00396FFC">
        <w:t>by consideration of all the relevant factors, and requires the Court to make a final check of the penalties to be imposed on a wrongdoer, considered as a whole</w:t>
      </w:r>
      <w:r w:rsidR="005B2406">
        <w:t xml:space="preserve">: </w:t>
      </w:r>
      <w:r w:rsidR="005B2406" w:rsidRPr="005D40D6">
        <w:rPr>
          <w:i/>
          <w:iCs/>
        </w:rPr>
        <w:t>Australian Competition and Consumer Commission v Australian Safeway Stores Pty Ltd</w:t>
      </w:r>
      <w:r w:rsidR="00B63718" w:rsidRPr="005D40D6">
        <w:t xml:space="preserve"> [1997] FCA 450; (1997) 145 ALR 36</w:t>
      </w:r>
      <w:r w:rsidR="00716A9A">
        <w:t xml:space="preserve"> at 53 (Goldberg J).</w:t>
      </w:r>
      <w:r w:rsidR="00AA6E0F" w:rsidRPr="00396FFC">
        <w:t xml:space="preserve"> The totality principle will not necessarily result in a reduction from the penalty that would otherwise be imposed. In cases where the Court considers that the cumulative total of the penalties to be imposed would be too low or too high, the Court should alter the final penalties to ensure that they are </w:t>
      </w:r>
      <w:r w:rsidR="00AA6E0F" w:rsidRPr="00716A9A">
        <w:t>just and appropriate</w:t>
      </w:r>
      <w:r w:rsidR="009F2DA0">
        <w:t xml:space="preserve">: </w:t>
      </w:r>
      <w:r w:rsidR="009F2DA0">
        <w:rPr>
          <w:i/>
          <w:iCs/>
        </w:rPr>
        <w:t>Australian Safeway Stores</w:t>
      </w:r>
      <w:r w:rsidR="009F2DA0">
        <w:t xml:space="preserve"> at 53</w:t>
      </w:r>
      <w:r w:rsidR="00C027EC">
        <w:t>.</w:t>
      </w:r>
      <w:r w:rsidR="00AA6E0F" w:rsidRPr="00716A9A">
        <w:t xml:space="preserve"> </w:t>
      </w:r>
      <w:r w:rsidR="00FB4627">
        <w:t>The t</w:t>
      </w:r>
      <w:r w:rsidR="00AA6E0F">
        <w:t>otality</w:t>
      </w:r>
      <w:r w:rsidR="00FB4627">
        <w:t xml:space="preserve"> principle</w:t>
      </w:r>
      <w:r w:rsidR="00AA6E0F">
        <w:t xml:space="preserve"> </w:t>
      </w:r>
      <w:r w:rsidR="00AA6E0F" w:rsidRPr="00396FFC">
        <w:t>is distinct from the course of conduct principle</w:t>
      </w:r>
      <w:r w:rsidR="00AA6E0F">
        <w:t xml:space="preserve"> in performing a check at the end of the reasoning process</w:t>
      </w:r>
      <w:r w:rsidR="00AA6E0F" w:rsidRPr="00396FFC">
        <w:t xml:space="preserve">. </w:t>
      </w:r>
    </w:p>
    <w:p w14:paraId="08EF8E01" w14:textId="604DDAC9" w:rsidR="00AA6E0F" w:rsidRPr="00396FFC" w:rsidRDefault="00E31C88" w:rsidP="00E31C88">
      <w:pPr>
        <w:pStyle w:val="ParaNumbering"/>
        <w:numPr>
          <w:ilvl w:val="0"/>
          <w:numId w:val="0"/>
        </w:numPr>
        <w:ind w:hanging="720"/>
        <w:rPr>
          <w:szCs w:val="22"/>
        </w:rPr>
      </w:pPr>
      <w:r w:rsidRPr="00396FFC">
        <w:rPr>
          <w:iCs/>
          <w:sz w:val="20"/>
          <w:szCs w:val="22"/>
        </w:rPr>
        <w:t>97</w:t>
      </w:r>
      <w:r w:rsidRPr="00396FFC">
        <w:rPr>
          <w:iCs/>
          <w:sz w:val="20"/>
          <w:szCs w:val="22"/>
        </w:rPr>
        <w:tab/>
      </w:r>
      <w:r w:rsidR="00AA6E0F" w:rsidRPr="00396FFC">
        <w:rPr>
          <w:szCs w:val="22"/>
        </w:rPr>
        <w:t xml:space="preserve">In fixing a pecuniary penalty, the Court will engage in an </w:t>
      </w:r>
      <w:r w:rsidR="00AA6E0F" w:rsidRPr="00C027EC">
        <w:rPr>
          <w:iCs/>
          <w:szCs w:val="22"/>
        </w:rPr>
        <w:t xml:space="preserve">“intuitive or instinctive synthesis” </w:t>
      </w:r>
      <w:r w:rsidR="00AA6E0F" w:rsidRPr="00396FFC">
        <w:rPr>
          <w:szCs w:val="22"/>
        </w:rPr>
        <w:t>of all the relevant matters</w:t>
      </w:r>
      <w:r w:rsidR="00076DF7">
        <w:rPr>
          <w:szCs w:val="22"/>
        </w:rPr>
        <w:t xml:space="preserve"> by</w:t>
      </w:r>
      <w:r w:rsidR="00AA6E0F" w:rsidRPr="00396FFC">
        <w:rPr>
          <w:szCs w:val="22"/>
        </w:rPr>
        <w:t xml:space="preserve"> weigh</w:t>
      </w:r>
      <w:r w:rsidR="00680EDC">
        <w:rPr>
          <w:szCs w:val="22"/>
        </w:rPr>
        <w:t>ing</w:t>
      </w:r>
      <w:r w:rsidR="00AA6E0F" w:rsidRPr="00396FFC">
        <w:rPr>
          <w:szCs w:val="22"/>
        </w:rPr>
        <w:t xml:space="preserve"> together all relevant factors, rather than engage in a sequential, mathematical process</w:t>
      </w:r>
      <w:r w:rsidR="00680EDC">
        <w:rPr>
          <w:szCs w:val="22"/>
        </w:rPr>
        <w:t xml:space="preserve">: </w:t>
      </w:r>
      <w:r w:rsidR="00680EDC" w:rsidRPr="005D40D6">
        <w:rPr>
          <w:i/>
          <w:iCs/>
          <w:szCs w:val="22"/>
        </w:rPr>
        <w:t>Markarian v R</w:t>
      </w:r>
      <w:r w:rsidR="00680EDC" w:rsidRPr="005D40D6">
        <w:rPr>
          <w:szCs w:val="22"/>
        </w:rPr>
        <w:t xml:space="preserve"> [2005]</w:t>
      </w:r>
      <w:r w:rsidR="00076DF7" w:rsidRPr="005D40D6">
        <w:rPr>
          <w:szCs w:val="22"/>
        </w:rPr>
        <w:t xml:space="preserve"> HCA 25</w:t>
      </w:r>
      <w:r w:rsidR="00E2253A" w:rsidRPr="005D40D6">
        <w:rPr>
          <w:szCs w:val="22"/>
        </w:rPr>
        <w:t>; (2005)</w:t>
      </w:r>
      <w:r w:rsidR="00680EDC" w:rsidRPr="005D40D6">
        <w:rPr>
          <w:szCs w:val="22"/>
        </w:rPr>
        <w:t xml:space="preserve"> 228 CLR 357</w:t>
      </w:r>
      <w:r w:rsidR="00680EDC">
        <w:rPr>
          <w:szCs w:val="22"/>
        </w:rPr>
        <w:t xml:space="preserve"> as applied to civil penalty</w:t>
      </w:r>
      <w:r w:rsidR="0034293F">
        <w:rPr>
          <w:szCs w:val="22"/>
        </w:rPr>
        <w:t xml:space="preserve"> proceedings in </w:t>
      </w:r>
      <w:r w:rsidR="0034293F" w:rsidRPr="005D40D6">
        <w:rPr>
          <w:i/>
          <w:iCs/>
          <w:szCs w:val="22"/>
        </w:rPr>
        <w:t xml:space="preserve">Australian Competition and Consumer Commission v Coles Supermarkets Australia Pty Ltd </w:t>
      </w:r>
      <w:r w:rsidR="0034293F" w:rsidRPr="005D40D6">
        <w:rPr>
          <w:szCs w:val="22"/>
        </w:rPr>
        <w:t>[2015] FCA 330; (2015) 327 ALR 540</w:t>
      </w:r>
      <w:r w:rsidR="0034293F">
        <w:rPr>
          <w:szCs w:val="22"/>
        </w:rPr>
        <w:t xml:space="preserve"> at [6] (Allsop CJ).</w:t>
      </w:r>
    </w:p>
    <w:p w14:paraId="692768A5" w14:textId="1D30482E" w:rsidR="00AA6E0F" w:rsidRPr="00396FFC" w:rsidRDefault="00E31C88" w:rsidP="00E31C88">
      <w:pPr>
        <w:pStyle w:val="ParaNumbering"/>
        <w:numPr>
          <w:ilvl w:val="0"/>
          <w:numId w:val="0"/>
        </w:numPr>
        <w:ind w:hanging="720"/>
        <w:rPr>
          <w:szCs w:val="22"/>
        </w:rPr>
      </w:pPr>
      <w:r w:rsidRPr="00396FFC">
        <w:rPr>
          <w:iCs/>
          <w:sz w:val="20"/>
          <w:szCs w:val="22"/>
        </w:rPr>
        <w:t>98</w:t>
      </w:r>
      <w:r w:rsidRPr="00396FFC">
        <w:rPr>
          <w:iCs/>
          <w:sz w:val="20"/>
          <w:szCs w:val="22"/>
        </w:rPr>
        <w:tab/>
      </w:r>
      <w:r w:rsidR="00AA6E0F" w:rsidRPr="00396FFC">
        <w:rPr>
          <w:szCs w:val="22"/>
        </w:rPr>
        <w:t xml:space="preserve">Section 1317G(6) of the Act mandates a number of factors for the Court’s consideration in determining a pecuniary penalty, </w:t>
      </w:r>
      <w:r w:rsidR="00AA6E0F">
        <w:rPr>
          <w:szCs w:val="22"/>
        </w:rPr>
        <w:t xml:space="preserve">including </w:t>
      </w:r>
      <w:r w:rsidR="00AA6E0F" w:rsidRPr="00396FFC">
        <w:rPr>
          <w:szCs w:val="22"/>
        </w:rPr>
        <w:t>relevantly:</w:t>
      </w:r>
    </w:p>
    <w:p w14:paraId="27E66932" w14:textId="0E7798DE" w:rsidR="00AA6E0F" w:rsidRPr="00396FFC" w:rsidRDefault="00E31C88" w:rsidP="00E31C88">
      <w:pPr>
        <w:pStyle w:val="ListNo1alt"/>
        <w:numPr>
          <w:ilvl w:val="0"/>
          <w:numId w:val="0"/>
        </w:numPr>
        <w:tabs>
          <w:tab w:val="left" w:pos="720"/>
        </w:tabs>
        <w:ind w:left="720" w:hanging="720"/>
      </w:pPr>
      <w:r w:rsidRPr="00396FFC">
        <w:t>(a)</w:t>
      </w:r>
      <w:r w:rsidRPr="00396FFC">
        <w:tab/>
      </w:r>
      <w:r w:rsidR="00AA6E0F" w:rsidRPr="00396FFC">
        <w:t xml:space="preserve">the nature and extent of the contravention; </w:t>
      </w:r>
    </w:p>
    <w:p w14:paraId="4D5E622E" w14:textId="02C9B028" w:rsidR="00AA6E0F" w:rsidRPr="00396FFC" w:rsidRDefault="00E31C88" w:rsidP="00E31C88">
      <w:pPr>
        <w:pStyle w:val="ListNo1alt"/>
        <w:numPr>
          <w:ilvl w:val="0"/>
          <w:numId w:val="0"/>
        </w:numPr>
        <w:tabs>
          <w:tab w:val="left" w:pos="720"/>
        </w:tabs>
        <w:ind w:left="720" w:hanging="720"/>
      </w:pPr>
      <w:r w:rsidRPr="00396FFC">
        <w:t>(b)</w:t>
      </w:r>
      <w:r w:rsidRPr="00396FFC">
        <w:tab/>
      </w:r>
      <w:r w:rsidR="00AA6E0F" w:rsidRPr="00396FFC">
        <w:t xml:space="preserve">the nature and extent of any loss or damage suffered because of the contravention; </w:t>
      </w:r>
    </w:p>
    <w:p w14:paraId="38E94F56" w14:textId="4FEAEE6D" w:rsidR="00AA6E0F" w:rsidRPr="00396FFC" w:rsidRDefault="00E31C88" w:rsidP="00E31C88">
      <w:pPr>
        <w:pStyle w:val="ListNo1alt"/>
        <w:numPr>
          <w:ilvl w:val="0"/>
          <w:numId w:val="0"/>
        </w:numPr>
        <w:tabs>
          <w:tab w:val="left" w:pos="720"/>
        </w:tabs>
        <w:ind w:left="720" w:hanging="720"/>
      </w:pPr>
      <w:r w:rsidRPr="00396FFC">
        <w:t>(c)</w:t>
      </w:r>
      <w:r w:rsidRPr="00396FFC">
        <w:tab/>
      </w:r>
      <w:r w:rsidR="00AA6E0F" w:rsidRPr="00396FFC">
        <w:t>the circumstances in which the contravention took place; and</w:t>
      </w:r>
    </w:p>
    <w:p w14:paraId="69955ACD" w14:textId="276E5CCD" w:rsidR="00AA6E0F" w:rsidRPr="00396FFC" w:rsidRDefault="00E31C88" w:rsidP="00E31C88">
      <w:pPr>
        <w:pStyle w:val="ListNo1alt"/>
        <w:numPr>
          <w:ilvl w:val="0"/>
          <w:numId w:val="0"/>
        </w:numPr>
        <w:tabs>
          <w:tab w:val="left" w:pos="720"/>
        </w:tabs>
        <w:ind w:left="720" w:hanging="720"/>
      </w:pPr>
      <w:r w:rsidRPr="00396FFC">
        <w:lastRenderedPageBreak/>
        <w:t>(d)</w:t>
      </w:r>
      <w:r w:rsidRPr="00396FFC">
        <w:tab/>
      </w:r>
      <w:r w:rsidR="00AA6E0F" w:rsidRPr="00396FFC">
        <w:t>whether the person has previously been found by a court (including a court in a foreign country) to have engaged in similar conduct.</w:t>
      </w:r>
    </w:p>
    <w:p w14:paraId="21C94C08" w14:textId="7762E168" w:rsidR="00AA6E0F" w:rsidRPr="00396FFC" w:rsidRDefault="00E31C88" w:rsidP="00E31C88">
      <w:pPr>
        <w:pStyle w:val="ParaNumbering"/>
        <w:numPr>
          <w:ilvl w:val="0"/>
          <w:numId w:val="0"/>
        </w:numPr>
        <w:ind w:hanging="720"/>
      </w:pPr>
      <w:r w:rsidRPr="00396FFC">
        <w:rPr>
          <w:iCs/>
          <w:sz w:val="20"/>
        </w:rPr>
        <w:t>99</w:t>
      </w:r>
      <w:r w:rsidRPr="00396FFC">
        <w:rPr>
          <w:iCs/>
          <w:sz w:val="20"/>
        </w:rPr>
        <w:tab/>
      </w:r>
      <w:r w:rsidR="00AA6E0F" w:rsidRPr="00396FFC">
        <w:t>In addition to the need for general and specific deterrence, the factors relevant to the exercise of the Court’s determination of an appropriate penalty</w:t>
      </w:r>
      <w:r w:rsidR="00AA6E0F">
        <w:t>, as drawn from the authorities,</w:t>
      </w:r>
      <w:r w:rsidR="00AA6E0F" w:rsidRPr="00396FFC">
        <w:t xml:space="preserve"> include:</w:t>
      </w:r>
    </w:p>
    <w:p w14:paraId="4276956A" w14:textId="178228C6" w:rsidR="00AA6E0F" w:rsidRPr="00396FFC" w:rsidRDefault="00E31C88" w:rsidP="00E31C88">
      <w:pPr>
        <w:pStyle w:val="ListNo1alt"/>
        <w:numPr>
          <w:ilvl w:val="0"/>
          <w:numId w:val="0"/>
        </w:numPr>
        <w:tabs>
          <w:tab w:val="left" w:pos="720"/>
        </w:tabs>
        <w:ind w:left="720" w:hanging="720"/>
      </w:pPr>
      <w:r w:rsidRPr="00396FFC">
        <w:t>(a)</w:t>
      </w:r>
      <w:r w:rsidRPr="00396FFC">
        <w:tab/>
      </w:r>
      <w:r w:rsidR="00AA6E0F" w:rsidRPr="00396FFC">
        <w:t>the extent to which the contravention was the result of deliberate or reckless conduct by the corporation, as opposed to negligence or carelessness;</w:t>
      </w:r>
    </w:p>
    <w:p w14:paraId="5A4EDA6C" w14:textId="66564AD8" w:rsidR="00AA6E0F" w:rsidRPr="00396FFC" w:rsidRDefault="00E31C88" w:rsidP="00E31C88">
      <w:pPr>
        <w:pStyle w:val="ListNo1alt"/>
        <w:numPr>
          <w:ilvl w:val="0"/>
          <w:numId w:val="0"/>
        </w:numPr>
        <w:tabs>
          <w:tab w:val="left" w:pos="720"/>
        </w:tabs>
        <w:ind w:left="720" w:hanging="720"/>
      </w:pPr>
      <w:r w:rsidRPr="00396FFC">
        <w:t>(b)</w:t>
      </w:r>
      <w:r w:rsidRPr="00396FFC">
        <w:tab/>
      </w:r>
      <w:r w:rsidR="00AA6E0F" w:rsidRPr="00396FFC">
        <w:t>the number of contraventions, the length of the period over which the contraventions occurred, and whether the contraventions comprised isolated conduct or were systematic;</w:t>
      </w:r>
    </w:p>
    <w:p w14:paraId="1E1E560D" w14:textId="14323CE1" w:rsidR="00AA6E0F" w:rsidRPr="00396FFC" w:rsidRDefault="00E31C88" w:rsidP="00E31C88">
      <w:pPr>
        <w:pStyle w:val="ListNo1alt"/>
        <w:numPr>
          <w:ilvl w:val="0"/>
          <w:numId w:val="0"/>
        </w:numPr>
        <w:tabs>
          <w:tab w:val="left" w:pos="720"/>
        </w:tabs>
        <w:ind w:left="720" w:hanging="720"/>
      </w:pPr>
      <w:r w:rsidRPr="00396FFC">
        <w:t>(c)</w:t>
      </w:r>
      <w:r w:rsidRPr="00396FFC">
        <w:tab/>
      </w:r>
      <w:r w:rsidR="00AA6E0F" w:rsidRPr="00396FFC">
        <w:t>the seniority of officers responsible for the contravention;</w:t>
      </w:r>
    </w:p>
    <w:p w14:paraId="0CD7EB05" w14:textId="7FCDC602" w:rsidR="00AA6E0F" w:rsidRPr="00396FFC" w:rsidRDefault="00E31C88" w:rsidP="00E31C88">
      <w:pPr>
        <w:pStyle w:val="ListNo1alt"/>
        <w:numPr>
          <w:ilvl w:val="0"/>
          <w:numId w:val="0"/>
        </w:numPr>
        <w:tabs>
          <w:tab w:val="left" w:pos="720"/>
        </w:tabs>
        <w:ind w:left="720" w:hanging="720"/>
      </w:pPr>
      <w:r w:rsidRPr="00396FFC">
        <w:t>(d)</w:t>
      </w:r>
      <w:r w:rsidRPr="00396FFC">
        <w:tab/>
      </w:r>
      <w:r w:rsidR="00AA6E0F" w:rsidRPr="00396FFC">
        <w:t>the capacity of the defendant to pay, but only in the sense that whilst the size of a corporation does not of itself justify a higher penalty than might otherwise be imposed, it may be relevant in determining the size of the pecuniary penalty that would operate as an effective specific deterrent;</w:t>
      </w:r>
    </w:p>
    <w:p w14:paraId="525FDE6E" w14:textId="5A4E1022" w:rsidR="00AA6E0F" w:rsidRPr="00396FFC" w:rsidRDefault="00E31C88" w:rsidP="00E31C88">
      <w:pPr>
        <w:pStyle w:val="ListNo1alt"/>
        <w:numPr>
          <w:ilvl w:val="0"/>
          <w:numId w:val="0"/>
        </w:numPr>
        <w:tabs>
          <w:tab w:val="left" w:pos="720"/>
        </w:tabs>
        <w:ind w:left="720" w:hanging="720"/>
      </w:pPr>
      <w:r w:rsidRPr="00396FFC">
        <w:t>(e)</w:t>
      </w:r>
      <w:r w:rsidRPr="00396FFC">
        <w:tab/>
      </w:r>
      <w:r w:rsidR="00AA6E0F" w:rsidRPr="00396FFC">
        <w:t>the existence within the corporation of compliance systems, including provisions for and evidence of education and internal enforcement of such systems;</w:t>
      </w:r>
    </w:p>
    <w:p w14:paraId="42E503F8" w14:textId="58694A23" w:rsidR="00AA6E0F" w:rsidRPr="00396FFC" w:rsidRDefault="00E31C88" w:rsidP="00E31C88">
      <w:pPr>
        <w:pStyle w:val="ListNo1alt"/>
        <w:numPr>
          <w:ilvl w:val="0"/>
          <w:numId w:val="0"/>
        </w:numPr>
        <w:tabs>
          <w:tab w:val="left" w:pos="720"/>
        </w:tabs>
        <w:ind w:left="720" w:hanging="720"/>
      </w:pPr>
      <w:r w:rsidRPr="00396FFC">
        <w:t>(f)</w:t>
      </w:r>
      <w:r w:rsidRPr="00396FFC">
        <w:tab/>
      </w:r>
      <w:r w:rsidR="00AA6E0F" w:rsidRPr="00396FFC">
        <w:t>remedial and disciplinary steps taken after the contravention and directed to putting in place a compliance system or improving existing systems and disciplining officers responsible for the contravention;</w:t>
      </w:r>
    </w:p>
    <w:p w14:paraId="66D60B0C" w14:textId="653FB756" w:rsidR="00AA6E0F" w:rsidRPr="00396FFC" w:rsidRDefault="00E31C88" w:rsidP="00E31C88">
      <w:pPr>
        <w:pStyle w:val="ListNo1alt"/>
        <w:numPr>
          <w:ilvl w:val="0"/>
          <w:numId w:val="0"/>
        </w:numPr>
        <w:tabs>
          <w:tab w:val="left" w:pos="720"/>
        </w:tabs>
        <w:ind w:left="720" w:hanging="720"/>
      </w:pPr>
      <w:r w:rsidRPr="00396FFC">
        <w:t>(g)</w:t>
      </w:r>
      <w:r w:rsidRPr="00396FFC">
        <w:tab/>
      </w:r>
      <w:r w:rsidR="00AA6E0F" w:rsidRPr="00396FFC">
        <w:t>whether the directors of the corporation were aware of the relevant facts and, if not, what processes were in place at the time or put in place after the contravention to ensure their awareness of such facts in the future;</w:t>
      </w:r>
    </w:p>
    <w:p w14:paraId="3C72AFEA" w14:textId="58DB0445" w:rsidR="00AA6E0F" w:rsidRPr="00396FFC" w:rsidRDefault="00E31C88" w:rsidP="00E31C88">
      <w:pPr>
        <w:pStyle w:val="ListNo1alt"/>
        <w:numPr>
          <w:ilvl w:val="0"/>
          <w:numId w:val="0"/>
        </w:numPr>
        <w:tabs>
          <w:tab w:val="left" w:pos="720"/>
        </w:tabs>
        <w:ind w:left="720" w:hanging="720"/>
      </w:pPr>
      <w:r w:rsidRPr="00396FFC">
        <w:t>(h)</w:t>
      </w:r>
      <w:r w:rsidRPr="00396FFC">
        <w:tab/>
      </w:r>
      <w:r w:rsidR="00AA6E0F" w:rsidRPr="00396FFC">
        <w:t>any change in the composition of the board or senior managers since the contravention;</w:t>
      </w:r>
    </w:p>
    <w:p w14:paraId="16D374B5" w14:textId="58C6ACAB" w:rsidR="00AA6E0F" w:rsidRPr="00396FFC" w:rsidRDefault="00E31C88" w:rsidP="00E31C88">
      <w:pPr>
        <w:pStyle w:val="ListNo1alt"/>
        <w:numPr>
          <w:ilvl w:val="0"/>
          <w:numId w:val="0"/>
        </w:numPr>
        <w:tabs>
          <w:tab w:val="left" w:pos="720"/>
        </w:tabs>
        <w:ind w:left="720" w:hanging="720"/>
      </w:pPr>
      <w:r w:rsidRPr="00396FFC">
        <w:t>(i)</w:t>
      </w:r>
      <w:r w:rsidRPr="00396FFC">
        <w:tab/>
      </w:r>
      <w:r w:rsidR="00AA6E0F" w:rsidRPr="00396FFC">
        <w:t>the degree of the corporation’s cooperation with the regulator, including any admission of an actual or attempted contravention;</w:t>
      </w:r>
    </w:p>
    <w:p w14:paraId="49310F48" w14:textId="3B5220F2" w:rsidR="00AA6E0F" w:rsidRPr="00396FFC" w:rsidRDefault="00E31C88" w:rsidP="00E31C88">
      <w:pPr>
        <w:pStyle w:val="ListNo1alt"/>
        <w:numPr>
          <w:ilvl w:val="0"/>
          <w:numId w:val="0"/>
        </w:numPr>
        <w:tabs>
          <w:tab w:val="left" w:pos="720"/>
        </w:tabs>
        <w:ind w:left="720" w:hanging="720"/>
      </w:pPr>
      <w:r w:rsidRPr="00396FFC">
        <w:t>(j)</w:t>
      </w:r>
      <w:r w:rsidRPr="00396FFC">
        <w:tab/>
      </w:r>
      <w:r w:rsidR="00AA6E0F" w:rsidRPr="00396FFC">
        <w:t>the impact or consequences of the contravention on the market or innocent third parties;</w:t>
      </w:r>
    </w:p>
    <w:p w14:paraId="7A241A97" w14:textId="74C16BD1" w:rsidR="00AA6E0F" w:rsidRPr="00396FFC" w:rsidRDefault="00E31C88" w:rsidP="00E31C88">
      <w:pPr>
        <w:pStyle w:val="ListNo1alt"/>
        <w:numPr>
          <w:ilvl w:val="0"/>
          <w:numId w:val="0"/>
        </w:numPr>
        <w:tabs>
          <w:tab w:val="left" w:pos="720"/>
        </w:tabs>
        <w:ind w:left="720" w:hanging="720"/>
      </w:pPr>
      <w:r w:rsidRPr="00396FFC">
        <w:t>(k)</w:t>
      </w:r>
      <w:r w:rsidRPr="00396FFC">
        <w:tab/>
      </w:r>
      <w:r w:rsidR="00AA6E0F" w:rsidRPr="00396FFC">
        <w:t>the extent of any profit or benefit derived as a result of the contravention; and</w:t>
      </w:r>
    </w:p>
    <w:p w14:paraId="561D001A" w14:textId="7194CE76" w:rsidR="00AA6E0F" w:rsidRDefault="00E31C88" w:rsidP="00E31C88">
      <w:pPr>
        <w:pStyle w:val="ListNo1alt"/>
        <w:numPr>
          <w:ilvl w:val="0"/>
          <w:numId w:val="0"/>
        </w:numPr>
        <w:tabs>
          <w:tab w:val="left" w:pos="720"/>
        </w:tabs>
        <w:ind w:left="720" w:hanging="720"/>
      </w:pPr>
      <w:r>
        <w:t>(l)</w:t>
      </w:r>
      <w:r>
        <w:tab/>
      </w:r>
      <w:r w:rsidR="00AA6E0F" w:rsidRPr="00396FFC">
        <w:t>whether the corporation has been found to have engaged in similar conduct in the past.</w:t>
      </w:r>
    </w:p>
    <w:p w14:paraId="26BCE8B4" w14:textId="12E7EF41" w:rsidR="00F360E5" w:rsidRDefault="00F360E5" w:rsidP="00F360E5">
      <w:pPr>
        <w:pStyle w:val="NoNum"/>
      </w:pPr>
      <w:r>
        <w:t xml:space="preserve">See </w:t>
      </w:r>
      <w:r w:rsidRPr="005D40D6">
        <w:rPr>
          <w:i/>
          <w:iCs/>
        </w:rPr>
        <w:t>Australian Securities and Investments Commission v Commonwealth Bank of Australia</w:t>
      </w:r>
      <w:r w:rsidRPr="005D40D6">
        <w:t xml:space="preserve"> [2020] FCA 790</w:t>
      </w:r>
      <w:r>
        <w:t xml:space="preserve"> at [68] (Beach J), and see </w:t>
      </w:r>
      <w:r>
        <w:rPr>
          <w:i/>
          <w:iCs/>
        </w:rPr>
        <w:t>Pattinson</w:t>
      </w:r>
      <w:r>
        <w:t xml:space="preserve"> at [18]–[19]</w:t>
      </w:r>
      <w:r w:rsidR="00495032">
        <w:t>.</w:t>
      </w:r>
    </w:p>
    <w:p w14:paraId="715AB00D" w14:textId="3D90A849" w:rsidR="00AA6E0F" w:rsidRDefault="00E31C88" w:rsidP="00E31C88">
      <w:pPr>
        <w:pStyle w:val="ParaNumbering"/>
        <w:numPr>
          <w:ilvl w:val="0"/>
          <w:numId w:val="0"/>
        </w:numPr>
        <w:ind w:hanging="720"/>
      </w:pPr>
      <w:r>
        <w:rPr>
          <w:iCs/>
          <w:sz w:val="20"/>
        </w:rPr>
        <w:lastRenderedPageBreak/>
        <w:t>100</w:t>
      </w:r>
      <w:r>
        <w:rPr>
          <w:iCs/>
          <w:sz w:val="20"/>
        </w:rPr>
        <w:tab/>
      </w:r>
      <w:r w:rsidR="00495032">
        <w:t>T</w:t>
      </w:r>
      <w:r w:rsidR="00AA6E0F" w:rsidRPr="7EC9EFA0">
        <w:t>h</w:t>
      </w:r>
      <w:r w:rsidR="00495032">
        <w:t>at</w:t>
      </w:r>
      <w:r w:rsidR="00AA6E0F" w:rsidRPr="7EC9EFA0">
        <w:t xml:space="preserve"> list of factors </w:t>
      </w:r>
      <w:r w:rsidR="009064F7">
        <w:t>should</w:t>
      </w:r>
      <w:r w:rsidR="00AA6E0F" w:rsidRPr="7EC9EFA0">
        <w:t xml:space="preserve"> not be regarded as a rigid catalogue of matters for attention as if it were a legal checklist</w:t>
      </w:r>
      <w:r w:rsidR="009064F7">
        <w:t xml:space="preserve">; </w:t>
      </w:r>
      <w:r w:rsidR="00B91A97">
        <w:t>t</w:t>
      </w:r>
      <w:r w:rsidR="00AA6E0F" w:rsidRPr="7EC9EFA0">
        <w:t>he Court’s task remains to determine what is an appropriate penalty in the circumstances of the particular case</w:t>
      </w:r>
      <w:r w:rsidR="007F01BD">
        <w:t xml:space="preserve">: </w:t>
      </w:r>
      <w:r w:rsidR="007F01BD">
        <w:rPr>
          <w:i/>
          <w:iCs/>
        </w:rPr>
        <w:t>Pattinson</w:t>
      </w:r>
      <w:r w:rsidR="007F01BD">
        <w:t xml:space="preserve"> at</w:t>
      </w:r>
      <w:r w:rsidR="00200897">
        <w:t xml:space="preserve"> </w:t>
      </w:r>
      <w:r w:rsidR="007F01BD">
        <w:t xml:space="preserve">[19]. The matters of particular </w:t>
      </w:r>
      <w:r w:rsidR="00DA24A8">
        <w:t>re</w:t>
      </w:r>
      <w:r w:rsidR="00EF4F17">
        <w:t>levance</w:t>
      </w:r>
      <w:r w:rsidR="007F01BD">
        <w:t xml:space="preserve"> in the present case are a</w:t>
      </w:r>
      <w:r w:rsidR="00DA24A8">
        <w:t>s follows.</w:t>
      </w:r>
    </w:p>
    <w:p w14:paraId="6A821D56" w14:textId="0DE5A251" w:rsidR="00AA6E0F" w:rsidRPr="00255F3B" w:rsidRDefault="00E31C88" w:rsidP="00E31C88">
      <w:pPr>
        <w:pStyle w:val="ParaNumbering"/>
        <w:numPr>
          <w:ilvl w:val="0"/>
          <w:numId w:val="0"/>
        </w:numPr>
        <w:ind w:hanging="720"/>
        <w:rPr>
          <w:szCs w:val="22"/>
        </w:rPr>
      </w:pPr>
      <w:r w:rsidRPr="00255F3B">
        <w:rPr>
          <w:iCs/>
          <w:sz w:val="20"/>
          <w:szCs w:val="22"/>
        </w:rPr>
        <w:t>101</w:t>
      </w:r>
      <w:r w:rsidRPr="00255F3B">
        <w:rPr>
          <w:iCs/>
          <w:sz w:val="20"/>
          <w:szCs w:val="22"/>
        </w:rPr>
        <w:tab/>
      </w:r>
      <w:r w:rsidR="0061327B" w:rsidRPr="00255F3B">
        <w:rPr>
          <w:szCs w:val="22"/>
        </w:rPr>
        <w:t>As to the</w:t>
      </w:r>
      <w:r w:rsidR="00AA6E0F" w:rsidRPr="00255F3B">
        <w:rPr>
          <w:szCs w:val="22"/>
        </w:rPr>
        <w:t xml:space="preserve"> nature and extent of the contravention</w:t>
      </w:r>
      <w:r w:rsidR="00255F3B" w:rsidRPr="00255F3B">
        <w:rPr>
          <w:szCs w:val="22"/>
        </w:rPr>
        <w:t xml:space="preserve">, </w:t>
      </w:r>
      <w:r w:rsidR="00255F3B">
        <w:rPr>
          <w:szCs w:val="22"/>
        </w:rPr>
        <w:t>t</w:t>
      </w:r>
      <w:r w:rsidR="00AA6E0F" w:rsidRPr="00255F3B">
        <w:rPr>
          <w:szCs w:val="22"/>
        </w:rPr>
        <w:t xml:space="preserve">he contravening conduct did not occur over a protracted period of time. The contraventions occurred between 25 May 2022 and 5 July 2022, a period of 41 days. This is a matter that mitigates the contravening conduct. </w:t>
      </w:r>
    </w:p>
    <w:p w14:paraId="7A6D8538" w14:textId="28E5AB34" w:rsidR="00AA6E0F" w:rsidRPr="00396FFC" w:rsidRDefault="00E31C88" w:rsidP="00E31C88">
      <w:pPr>
        <w:pStyle w:val="ParaNumbering"/>
        <w:numPr>
          <w:ilvl w:val="0"/>
          <w:numId w:val="0"/>
        </w:numPr>
        <w:ind w:hanging="720"/>
      </w:pPr>
      <w:r w:rsidRPr="00396FFC">
        <w:rPr>
          <w:iCs/>
          <w:sz w:val="20"/>
        </w:rPr>
        <w:t>102</w:t>
      </w:r>
      <w:r w:rsidRPr="00396FFC">
        <w:rPr>
          <w:iCs/>
          <w:sz w:val="20"/>
        </w:rPr>
        <w:tab/>
      </w:r>
      <w:r w:rsidR="00255F3B">
        <w:t>As to the knowledge and involvement of senior management</w:t>
      </w:r>
      <w:r w:rsidR="00AA6E0F" w:rsidRPr="00396FFC">
        <w:t>, the contravention arose from American Express’</w:t>
      </w:r>
      <w:r w:rsidR="00B22761">
        <w:t>s</w:t>
      </w:r>
      <w:r w:rsidR="00AA6E0F" w:rsidRPr="00396FFC">
        <w:t xml:space="preserve"> failure to implement adequate systems to ensure compliance with the DDO </w:t>
      </w:r>
      <w:r w:rsidR="00AA6E0F">
        <w:t xml:space="preserve">scheme </w:t>
      </w:r>
      <w:r w:rsidR="00AA6E0F" w:rsidRPr="00396FFC">
        <w:t>and to equip their staff to understand and act in accordance with the company’s obligations under Part 7.8A of the Act. Accordingly, this is not a matter in which senior management were directly involved in a deliberate contravention of the Act.</w:t>
      </w:r>
      <w:r w:rsidR="00231B9C">
        <w:t xml:space="preserve"> </w:t>
      </w:r>
      <w:r w:rsidR="00AA6E0F" w:rsidRPr="00396FFC">
        <w:t xml:space="preserve">Nonetheless, the Director of the David Jones Alliance was aware of the DDO and the review triggers under the TMDs, and also attended the meetings of the Cancellations Working Group, and was aware of the high </w:t>
      </w:r>
      <w:r w:rsidR="00AA6E0F" w:rsidRPr="002C3BC4">
        <w:t>cancell</w:t>
      </w:r>
      <w:r w:rsidR="00AA6E0F">
        <w:t>ed application</w:t>
      </w:r>
      <w:r w:rsidR="00AA6E0F" w:rsidRPr="00396FFC">
        <w:t xml:space="preserve"> rates for the DJs Cards. Accordingly, in addition to the overall organisational failures within American Express, it is relevant that the person responsible for the David Jones Alliance also failed to pay attention to the regulatory requirements under the DDO and American Express did not have in place sufficient checks to ensure that it </w:t>
      </w:r>
      <w:r w:rsidR="00B22761">
        <w:t xml:space="preserve">was </w:t>
      </w:r>
      <w:r w:rsidR="00AA6E0F" w:rsidRPr="00396FFC">
        <w:t xml:space="preserve">able to comply with its obligations. </w:t>
      </w:r>
    </w:p>
    <w:p w14:paraId="55D38342" w14:textId="4CC47C69" w:rsidR="00AA6E0F" w:rsidRPr="00396FFC" w:rsidRDefault="00E31C88" w:rsidP="00E31C88">
      <w:pPr>
        <w:pStyle w:val="ParaNumbering"/>
        <w:numPr>
          <w:ilvl w:val="0"/>
          <w:numId w:val="0"/>
        </w:numPr>
        <w:ind w:hanging="720"/>
      </w:pPr>
      <w:r w:rsidRPr="00396FFC">
        <w:rPr>
          <w:iCs/>
          <w:sz w:val="20"/>
        </w:rPr>
        <w:t>103</w:t>
      </w:r>
      <w:r w:rsidRPr="00396FFC">
        <w:rPr>
          <w:iCs/>
          <w:sz w:val="20"/>
        </w:rPr>
        <w:tab/>
      </w:r>
      <w:r w:rsidR="00231B9C">
        <w:t>As to the nature and extent of any loss or damage suffered because of the contravention</w:t>
      </w:r>
      <w:r w:rsidR="00E93732">
        <w:t>, t</w:t>
      </w:r>
      <w:r w:rsidR="00AA6E0F" w:rsidRPr="00396FFC">
        <w:t xml:space="preserve">he DDO regime was introduced with the objective of </w:t>
      </w:r>
      <w:r w:rsidR="00AA6E0F" w:rsidRPr="004F6140">
        <w:t>promot</w:t>
      </w:r>
      <w:r w:rsidR="00AA6E0F">
        <w:t>ing</w:t>
      </w:r>
      <w:r w:rsidR="00AA6E0F" w:rsidRPr="004F6140">
        <w:t xml:space="preserve"> the provision of</w:t>
      </w:r>
      <w:r w:rsidR="00AA6E0F" w:rsidRPr="004F6140" w:rsidDel="004F6140">
        <w:t xml:space="preserve"> </w:t>
      </w:r>
      <w:r w:rsidR="00AA6E0F" w:rsidRPr="00396FFC">
        <w:t>suitable financial products</w:t>
      </w:r>
      <w:r w:rsidR="00AA6E0F">
        <w:t xml:space="preserve"> to consumers</w:t>
      </w:r>
      <w:r w:rsidR="00AA6E0F" w:rsidRPr="00396FFC">
        <w:t xml:space="preserve">. The regime is consumer-focused and intended to sharpen the focus of issuers on the suitability of financial products for consumers, including by requiring identification of the target market. </w:t>
      </w:r>
    </w:p>
    <w:p w14:paraId="2E5F6AEC" w14:textId="326AF84D" w:rsidR="00AA6E0F" w:rsidRPr="001A1B88" w:rsidRDefault="00E31C88" w:rsidP="00E31C88">
      <w:pPr>
        <w:pStyle w:val="ParaNumbering"/>
        <w:numPr>
          <w:ilvl w:val="0"/>
          <w:numId w:val="0"/>
        </w:numPr>
        <w:ind w:hanging="720"/>
        <w:rPr>
          <w:szCs w:val="22"/>
        </w:rPr>
      </w:pPr>
      <w:r w:rsidRPr="001A1B88">
        <w:rPr>
          <w:iCs/>
          <w:sz w:val="20"/>
          <w:szCs w:val="22"/>
        </w:rPr>
        <w:t>104</w:t>
      </w:r>
      <w:r w:rsidRPr="001A1B88">
        <w:rPr>
          <w:iCs/>
          <w:sz w:val="20"/>
          <w:szCs w:val="22"/>
        </w:rPr>
        <w:tab/>
      </w:r>
      <w:r w:rsidR="00AA6E0F" w:rsidRPr="00392282">
        <w:t xml:space="preserve">There is no evidence of quantifiable financial loss suffered by consumers as a result of the contravention in this case. </w:t>
      </w:r>
      <w:r w:rsidR="00AA6E0F" w:rsidRPr="00046585">
        <w:t>However, American Express’</w:t>
      </w:r>
      <w:r w:rsidR="00E93732">
        <w:t>s</w:t>
      </w:r>
      <w:r w:rsidR="00AA6E0F" w:rsidRPr="00046585">
        <w:t xml:space="preserve"> conduct </w:t>
      </w:r>
      <w:r w:rsidR="00E93732">
        <w:t xml:space="preserve">was contrary to </w:t>
      </w:r>
      <w:r w:rsidR="00AA6E0F" w:rsidRPr="00046585">
        <w:t xml:space="preserve">some </w:t>
      </w:r>
      <w:r w:rsidR="00E93732">
        <w:t xml:space="preserve">of the </w:t>
      </w:r>
      <w:r w:rsidR="00AA6E0F" w:rsidRPr="00046585">
        <w:t>objectives of the regulatory regime.</w:t>
      </w:r>
      <w:r w:rsidR="00AA6E0F" w:rsidRPr="00392282">
        <w:t xml:space="preserve"> While American Express took steps to seek to comply with the DDO regime prior to it being introduced</w:t>
      </w:r>
      <w:r w:rsidR="0056277C">
        <w:t xml:space="preserve">, </w:t>
      </w:r>
      <w:r w:rsidR="00AA6E0F" w:rsidRPr="00392282">
        <w:t>it failed to act in accordance with it</w:t>
      </w:r>
      <w:r w:rsidR="00AA6E0F">
        <w:t xml:space="preserve"> </w:t>
      </w:r>
      <w:r w:rsidR="00AA6E0F" w:rsidRPr="00E34946">
        <w:t>in respect of the DJs Cards</w:t>
      </w:r>
      <w:r w:rsidR="00AA6E0F" w:rsidRPr="00392282">
        <w:t>. American Express’</w:t>
      </w:r>
      <w:r w:rsidR="0056277C">
        <w:t>s</w:t>
      </w:r>
      <w:r w:rsidR="00AA6E0F" w:rsidRPr="00392282">
        <w:t xml:space="preserve"> failure arose in circumstances where there were very high </w:t>
      </w:r>
      <w:r w:rsidR="00AA6E0F" w:rsidRPr="002C3BC4">
        <w:t>cancell</w:t>
      </w:r>
      <w:r w:rsidR="00AA6E0F">
        <w:t>ed application</w:t>
      </w:r>
      <w:r w:rsidR="00AA6E0F" w:rsidRPr="00392282">
        <w:t xml:space="preserve"> rates (as high as 60% by the end of the Relevant Period), those </w:t>
      </w:r>
      <w:r w:rsidR="00AA6E0F" w:rsidRPr="002C3BC4">
        <w:t>cancell</w:t>
      </w:r>
      <w:r w:rsidR="00AA6E0F">
        <w:t>ed application</w:t>
      </w:r>
      <w:r w:rsidR="00AA6E0F" w:rsidRPr="00392282">
        <w:t xml:space="preserve"> rates were entrenched despite steps being taken to try to improve them</w:t>
      </w:r>
      <w:r w:rsidR="0056277C">
        <w:t>,</w:t>
      </w:r>
      <w:r w:rsidR="00AA6E0F">
        <w:t xml:space="preserve"> and the actions taken by American Express to address the cancelled application rates were not working.</w:t>
      </w:r>
      <w:r w:rsidR="00056076">
        <w:t xml:space="preserve"> </w:t>
      </w:r>
      <w:r w:rsidR="00AA6E0F">
        <w:lastRenderedPageBreak/>
        <w:t>Further, “attrition” (</w:t>
      </w:r>
      <w:r w:rsidR="00AA6E0F" w:rsidRPr="00993655">
        <w:t>in the sense of cancelled Card applications</w:t>
      </w:r>
      <w:r w:rsidR="00E375F1">
        <w:t>)</w:t>
      </w:r>
      <w:r w:rsidR="00AA6E0F">
        <w:t xml:space="preserve"> was flagged as an issue of concern prior to the creation of the TMDs </w:t>
      </w:r>
      <w:r w:rsidR="00AA6E0F" w:rsidRPr="00132A13">
        <w:t>and American Express was aware of the reasons for the cancellations of Card application</w:t>
      </w:r>
      <w:r w:rsidR="004D1FD5">
        <w:t xml:space="preserve">s. </w:t>
      </w:r>
      <w:r w:rsidR="00AA6E0F">
        <w:t>High cancellation rates for DJ</w:t>
      </w:r>
      <w:r w:rsidR="00693F27">
        <w:t>s</w:t>
      </w:r>
      <w:r w:rsidR="00AA6E0F">
        <w:t xml:space="preserve"> Cards applied for in a David Jones store could, and ultimately did by 11 May 2022, reasonably suggest that the TMDs were no longer appropriate.</w:t>
      </w:r>
      <w:r w:rsidR="00056076">
        <w:t xml:space="preserve"> </w:t>
      </w:r>
      <w:r w:rsidR="00693F27">
        <w:t>I</w:t>
      </w:r>
      <w:r w:rsidR="00AA6E0F">
        <w:t xml:space="preserve">f so many customers were cancelling their applications for the DJs Cards, it would not be reasonable to conclude that </w:t>
      </w:r>
      <w:r w:rsidR="00AA6E0F" w:rsidRPr="001B6963">
        <w:t xml:space="preserve">if the DJs Cards were issued to a retail client in-store in accordance with the distribution conditions, it would be likely that the retail client </w:t>
      </w:r>
      <w:r w:rsidR="00706A69">
        <w:t>wa</w:t>
      </w:r>
      <w:r w:rsidR="00AA6E0F" w:rsidRPr="001B6963">
        <w:t>s in the target market, or if the retail client was in the target market, it would likely be consistent with the likely objectives, financial situation and needs of the retail client</w:t>
      </w:r>
      <w:r w:rsidR="00AA6E0F">
        <w:t>.</w:t>
      </w:r>
    </w:p>
    <w:p w14:paraId="1D95A173" w14:textId="37402227" w:rsidR="00AA6E0F" w:rsidRPr="005A717E" w:rsidRDefault="00E31C88" w:rsidP="00E31C88">
      <w:pPr>
        <w:pStyle w:val="ParaNumbering"/>
        <w:numPr>
          <w:ilvl w:val="0"/>
          <w:numId w:val="0"/>
        </w:numPr>
        <w:ind w:hanging="720"/>
      </w:pPr>
      <w:r w:rsidRPr="005A717E">
        <w:rPr>
          <w:iCs/>
          <w:sz w:val="20"/>
        </w:rPr>
        <w:t>105</w:t>
      </w:r>
      <w:r w:rsidRPr="005A717E">
        <w:rPr>
          <w:iCs/>
          <w:sz w:val="20"/>
        </w:rPr>
        <w:tab/>
      </w:r>
      <w:r w:rsidR="00AA6E0F" w:rsidRPr="00046585">
        <w:t xml:space="preserve">The failure to recognise that the </w:t>
      </w:r>
      <w:r w:rsidR="00AA6E0F" w:rsidRPr="002E5E90">
        <w:t>cancell</w:t>
      </w:r>
      <w:r w:rsidR="00AA6E0F">
        <w:t>ed application</w:t>
      </w:r>
      <w:r w:rsidR="00AA6E0F" w:rsidRPr="002E5E90">
        <w:t xml:space="preserve"> </w:t>
      </w:r>
      <w:r w:rsidR="00AA6E0F" w:rsidRPr="00172C1F">
        <w:t xml:space="preserve">rates were </w:t>
      </w:r>
      <w:r w:rsidR="00AA6E0F">
        <w:t>a</w:t>
      </w:r>
      <w:r w:rsidR="00AA6E0F" w:rsidRPr="00172C1F">
        <w:t xml:space="preserve"> circumstance that reasonably suggested that the TMDs were no longer appropriate meant that no steps were taken to cease issuing the DJs Cards or</w:t>
      </w:r>
      <w:r w:rsidR="00706A69">
        <w:t xml:space="preserve"> to</w:t>
      </w:r>
      <w:r w:rsidR="00AA6E0F" w:rsidRPr="00172C1F">
        <w:t xml:space="preserve"> review the TMDs</w:t>
      </w:r>
      <w:r w:rsidR="00AA6E0F">
        <w:t xml:space="preserve"> until 5 July 2022</w:t>
      </w:r>
      <w:r w:rsidR="00AA6E0F" w:rsidRPr="00172C1F">
        <w:t xml:space="preserve">. </w:t>
      </w:r>
      <w:r w:rsidR="00AA6E0F" w:rsidRPr="00502467">
        <w:t xml:space="preserve">Although </w:t>
      </w:r>
      <w:r w:rsidR="00AA6E0F" w:rsidRPr="00172C1F">
        <w:t xml:space="preserve">this circumstance </w:t>
      </w:r>
      <w:r w:rsidR="00AA6E0F" w:rsidRPr="00502467">
        <w:t xml:space="preserve">only culminated in May 2022 and persisted for a relatively short period of time, it </w:t>
      </w:r>
      <w:r w:rsidR="00AA6E0F">
        <w:t xml:space="preserve">effectively </w:t>
      </w:r>
      <w:r w:rsidR="00AA6E0F" w:rsidRPr="00502467">
        <w:t xml:space="preserve">meant that during this period </w:t>
      </w:r>
      <w:r w:rsidR="00AA6E0F">
        <w:t>the DJs Cards were being distributed in circumstances that reasonably suggested</w:t>
      </w:r>
      <w:r w:rsidR="00AA6E0F" w:rsidRPr="00C04557">
        <w:t xml:space="preserve"> inappropriate target market determinations</w:t>
      </w:r>
      <w:r w:rsidR="00AA6E0F">
        <w:t xml:space="preserve"> were</w:t>
      </w:r>
      <w:r w:rsidR="00AA6E0F" w:rsidRPr="00C04557">
        <w:t xml:space="preserve"> </w:t>
      </w:r>
      <w:r w:rsidR="00AA6E0F">
        <w:t>in place.</w:t>
      </w:r>
      <w:r w:rsidR="00056076">
        <w:t xml:space="preserve"> </w:t>
      </w:r>
      <w:r w:rsidR="00AA6E0F">
        <w:t xml:space="preserve"> </w:t>
      </w:r>
    </w:p>
    <w:p w14:paraId="105F77B8" w14:textId="603FABD5" w:rsidR="00AA6E0F" w:rsidRDefault="00E31C88" w:rsidP="00E31C88">
      <w:pPr>
        <w:pStyle w:val="ParaNumbering"/>
        <w:numPr>
          <w:ilvl w:val="0"/>
          <w:numId w:val="0"/>
        </w:numPr>
        <w:ind w:hanging="720"/>
      </w:pPr>
      <w:bookmarkStart w:id="40" w:name="_Ref161304012"/>
      <w:r>
        <w:rPr>
          <w:iCs/>
          <w:sz w:val="20"/>
        </w:rPr>
        <w:t>106</w:t>
      </w:r>
      <w:r>
        <w:rPr>
          <w:iCs/>
          <w:sz w:val="20"/>
        </w:rPr>
        <w:tab/>
      </w:r>
      <w:r w:rsidR="00AA6E0F" w:rsidRPr="005A717E">
        <w:t>In the Contravening Period, American Express</w:t>
      </w:r>
      <w:r w:rsidR="00E00096">
        <w:t xml:space="preserve"> (SAFA [124])</w:t>
      </w:r>
      <w:r w:rsidR="00AA6E0F" w:rsidRPr="005A717E">
        <w:t>:</w:t>
      </w:r>
      <w:bookmarkEnd w:id="40"/>
    </w:p>
    <w:p w14:paraId="39809780" w14:textId="260D1DDF" w:rsidR="00AA6E0F" w:rsidRPr="005A717E" w:rsidRDefault="00E31C88" w:rsidP="00E31C88">
      <w:pPr>
        <w:pStyle w:val="ListNo1alt"/>
        <w:numPr>
          <w:ilvl w:val="0"/>
          <w:numId w:val="0"/>
        </w:numPr>
        <w:tabs>
          <w:tab w:val="left" w:pos="720"/>
        </w:tabs>
        <w:ind w:left="720" w:hanging="720"/>
      </w:pPr>
      <w:r w:rsidRPr="005A717E">
        <w:t>(a)</w:t>
      </w:r>
      <w:r w:rsidRPr="005A717E">
        <w:tab/>
      </w:r>
      <w:r w:rsidR="00AA6E0F" w:rsidRPr="005A717E">
        <w:t>received</w:t>
      </w:r>
      <w:r w:rsidR="00AA6E0F" w:rsidRPr="00AD37C3">
        <w:t xml:space="preserve"> 4,146 in-store applications for the DJs Cards, which comprised 3,634 applications for the DJs Amex Card and 512 applications for the DJs Amex Platinum Card; and</w:t>
      </w:r>
    </w:p>
    <w:p w14:paraId="1540D22F" w14:textId="417E5198" w:rsidR="00AA6E0F" w:rsidRPr="005A717E" w:rsidRDefault="00E31C88" w:rsidP="00E31C88">
      <w:pPr>
        <w:pStyle w:val="ListNo1alt"/>
        <w:numPr>
          <w:ilvl w:val="0"/>
          <w:numId w:val="0"/>
        </w:numPr>
        <w:tabs>
          <w:tab w:val="left" w:pos="720"/>
        </w:tabs>
        <w:ind w:left="720" w:hanging="720"/>
      </w:pPr>
      <w:r w:rsidRPr="005A717E">
        <w:t>(b)</w:t>
      </w:r>
      <w:r w:rsidRPr="005A717E">
        <w:tab/>
      </w:r>
      <w:r w:rsidR="00AA6E0F" w:rsidRPr="005A717E">
        <w:t>issued 830 DJs Cards (which were applied for in-store), which comprised 689 DJs Amex Cards and 141 DJs Amex Platinum Cards.</w:t>
      </w:r>
    </w:p>
    <w:p w14:paraId="72CC0FE4" w14:textId="686C93A0" w:rsidR="00AA6E0F" w:rsidRPr="00502467" w:rsidRDefault="00E31C88" w:rsidP="00E31C88">
      <w:pPr>
        <w:pStyle w:val="ParaNumbering"/>
        <w:numPr>
          <w:ilvl w:val="0"/>
          <w:numId w:val="0"/>
        </w:numPr>
        <w:ind w:hanging="720"/>
      </w:pPr>
      <w:bookmarkStart w:id="41" w:name="_Ref161672424"/>
      <w:r w:rsidRPr="00502467">
        <w:rPr>
          <w:iCs/>
          <w:sz w:val="20"/>
        </w:rPr>
        <w:t>107</w:t>
      </w:r>
      <w:r w:rsidRPr="00502467">
        <w:rPr>
          <w:iCs/>
          <w:sz w:val="20"/>
        </w:rPr>
        <w:tab/>
      </w:r>
      <w:r w:rsidR="00AA6E0F" w:rsidRPr="00502467">
        <w:t xml:space="preserve">Accordingly, a large number of consumers continued to apply for the DJs Cards </w:t>
      </w:r>
      <w:r w:rsidR="00AA6E0F">
        <w:t xml:space="preserve">during the Contravening Period </w:t>
      </w:r>
      <w:r w:rsidR="00AA6E0F" w:rsidRPr="00502467">
        <w:t xml:space="preserve">even after American Express </w:t>
      </w:r>
      <w:r w:rsidR="00DE4942">
        <w:t>ought reasonably to have known</w:t>
      </w:r>
      <w:r w:rsidR="00AA6E0F" w:rsidRPr="00502467">
        <w:t xml:space="preserve"> of the circumstance that reasonably suggested that the TMDs were no longer appropriate. American Express’</w:t>
      </w:r>
      <w:r w:rsidR="00DE4942">
        <w:t>s</w:t>
      </w:r>
      <w:r w:rsidR="00AA6E0F" w:rsidRPr="00502467">
        <w:t xml:space="preserve"> failure to cease issuing the DJs Cards in</w:t>
      </w:r>
      <w:r w:rsidR="00686D32">
        <w:t>-</w:t>
      </w:r>
      <w:r w:rsidR="00AA6E0F" w:rsidRPr="00502467">
        <w:t xml:space="preserve">store in the circumstances referred to above exposed some customers to potential harm from obtaining a financial product that </w:t>
      </w:r>
      <w:r w:rsidR="00AA6E0F">
        <w:t>may not have been</w:t>
      </w:r>
      <w:r w:rsidR="00AA6E0F" w:rsidRPr="00502467">
        <w:t xml:space="preserve"> appropriate to all of their needs and objectives</w:t>
      </w:r>
      <w:bookmarkEnd w:id="41"/>
      <w:r w:rsidR="00972A18">
        <w:t>: SAFA [128].</w:t>
      </w:r>
    </w:p>
    <w:p w14:paraId="0A0A7720" w14:textId="54053FC7" w:rsidR="00AA6E0F" w:rsidRPr="00016063" w:rsidRDefault="00E31C88" w:rsidP="00E31C88">
      <w:pPr>
        <w:pStyle w:val="ParaNumbering"/>
        <w:numPr>
          <w:ilvl w:val="0"/>
          <w:numId w:val="0"/>
        </w:numPr>
        <w:ind w:hanging="720"/>
      </w:pPr>
      <w:r w:rsidRPr="00016063">
        <w:rPr>
          <w:iCs/>
          <w:sz w:val="20"/>
        </w:rPr>
        <w:t>108</w:t>
      </w:r>
      <w:r w:rsidRPr="00016063">
        <w:rPr>
          <w:iCs/>
          <w:sz w:val="20"/>
        </w:rPr>
        <w:tab/>
      </w:r>
      <w:r w:rsidR="00286C34">
        <w:t xml:space="preserve">As to financial gain, </w:t>
      </w:r>
      <w:r w:rsidR="0076702A">
        <w:t xml:space="preserve">the evidence </w:t>
      </w:r>
      <w:r w:rsidR="00286C34">
        <w:t xml:space="preserve">which is the subject of a suppression order under s 37AF of the </w:t>
      </w:r>
      <w:r w:rsidR="00286C34">
        <w:rPr>
          <w:i/>
          <w:iCs/>
        </w:rPr>
        <w:t>Federal Court of Australia Act 1976</w:t>
      </w:r>
      <w:r w:rsidR="00286C34">
        <w:t xml:space="preserve"> (Cth)</w:t>
      </w:r>
      <w:r w:rsidR="00AA6E0F" w:rsidRPr="00016063">
        <w:t xml:space="preserve"> establishes that American Express did not make a significant profit from the contravention. However, the nature and extent of the benefits received by American Express have no bearing on the harm caused to the integrity of the market </w:t>
      </w:r>
      <w:r w:rsidR="00AA6E0F" w:rsidRPr="00016063">
        <w:lastRenderedPageBreak/>
        <w:t>for financial products (including the potential harm caused to consumers) resulting from a failure to comply with a legislative regime introduced for the purpose of ensuring that financial products are appropriately designed and distributed.</w:t>
      </w:r>
      <w:r w:rsidR="00056076">
        <w:t xml:space="preserve"> </w:t>
      </w:r>
    </w:p>
    <w:p w14:paraId="7071D0EE" w14:textId="1459CC74" w:rsidR="00AA6E0F" w:rsidRPr="005A717E" w:rsidRDefault="00E31C88" w:rsidP="00E31C88">
      <w:pPr>
        <w:pStyle w:val="ParaNumbering"/>
        <w:numPr>
          <w:ilvl w:val="0"/>
          <w:numId w:val="0"/>
        </w:numPr>
        <w:ind w:hanging="720"/>
        <w:rPr>
          <w:rFonts w:cs="Arial"/>
          <w:szCs w:val="22"/>
        </w:rPr>
      </w:pPr>
      <w:r w:rsidRPr="005A717E">
        <w:rPr>
          <w:rFonts w:cs="Arial"/>
          <w:iCs/>
          <w:sz w:val="20"/>
          <w:szCs w:val="22"/>
        </w:rPr>
        <w:t>109</w:t>
      </w:r>
      <w:r w:rsidRPr="005A717E">
        <w:rPr>
          <w:rFonts w:cs="Arial"/>
          <w:iCs/>
          <w:sz w:val="20"/>
          <w:szCs w:val="22"/>
        </w:rPr>
        <w:tab/>
      </w:r>
      <w:r w:rsidR="00FA1B36">
        <w:rPr>
          <w:rFonts w:cs="Arial"/>
          <w:szCs w:val="22"/>
        </w:rPr>
        <w:t>As to the size of the contravening company, t</w:t>
      </w:r>
      <w:r w:rsidR="00AA6E0F" w:rsidRPr="005A717E">
        <w:rPr>
          <w:rFonts w:cs="Arial"/>
          <w:szCs w:val="22"/>
        </w:rPr>
        <w:t xml:space="preserve">he size and financial position of American Express </w:t>
      </w:r>
      <w:r w:rsidR="00A03BB8">
        <w:rPr>
          <w:rFonts w:cs="Arial"/>
          <w:szCs w:val="22"/>
        </w:rPr>
        <w:t>are</w:t>
      </w:r>
      <w:r w:rsidR="00AA6E0F" w:rsidRPr="005A717E">
        <w:rPr>
          <w:rFonts w:cs="Arial"/>
          <w:szCs w:val="22"/>
        </w:rPr>
        <w:t xml:space="preserve"> set out at paragraphs </w:t>
      </w:r>
      <w:r w:rsidR="00AA6E0F">
        <w:rPr>
          <w:rFonts w:cs="Arial"/>
          <w:szCs w:val="22"/>
        </w:rPr>
        <w:t>[</w:t>
      </w:r>
      <w:r w:rsidR="00AA6E0F" w:rsidRPr="005A717E">
        <w:rPr>
          <w:rFonts w:cs="Arial"/>
          <w:szCs w:val="22"/>
        </w:rPr>
        <w:t>129</w:t>
      </w:r>
      <w:r w:rsidR="00AA6E0F">
        <w:rPr>
          <w:rFonts w:cs="Arial"/>
          <w:szCs w:val="22"/>
        </w:rPr>
        <w:t>]</w:t>
      </w:r>
      <w:r w:rsidR="00AA6E0F" w:rsidRPr="005A717E">
        <w:rPr>
          <w:rFonts w:cs="Arial"/>
          <w:szCs w:val="22"/>
        </w:rPr>
        <w:t xml:space="preserve"> to </w:t>
      </w:r>
      <w:r w:rsidR="00AA6E0F">
        <w:rPr>
          <w:rFonts w:cs="Arial"/>
          <w:szCs w:val="22"/>
        </w:rPr>
        <w:t>[</w:t>
      </w:r>
      <w:r w:rsidR="00AA6E0F" w:rsidRPr="005A717E">
        <w:rPr>
          <w:rFonts w:cs="Arial"/>
          <w:szCs w:val="22"/>
        </w:rPr>
        <w:t>130</w:t>
      </w:r>
      <w:r w:rsidR="00AA6E0F">
        <w:rPr>
          <w:rFonts w:cs="Arial"/>
          <w:szCs w:val="22"/>
        </w:rPr>
        <w:t>]</w:t>
      </w:r>
      <w:r w:rsidR="00AA6E0F" w:rsidRPr="005A717E">
        <w:rPr>
          <w:rFonts w:cs="Arial"/>
          <w:szCs w:val="22"/>
        </w:rPr>
        <w:t xml:space="preserve"> of the SAFA. The company </w:t>
      </w:r>
      <w:r w:rsidR="00D73C2D">
        <w:rPr>
          <w:rFonts w:cs="Arial"/>
          <w:szCs w:val="22"/>
        </w:rPr>
        <w:t>earns</w:t>
      </w:r>
      <w:r w:rsidR="00AA6E0F" w:rsidRPr="005A717E">
        <w:rPr>
          <w:rFonts w:cs="Arial"/>
          <w:szCs w:val="22"/>
        </w:rPr>
        <w:t xml:space="preserve"> substantial revenue from its role as a card issuer, payments acquirer and network operator.</w:t>
      </w:r>
      <w:r w:rsidR="00A03BB8">
        <w:rPr>
          <w:rFonts w:cs="Arial"/>
          <w:szCs w:val="22"/>
        </w:rPr>
        <w:t xml:space="preserve"> Its total revenue in calendar years 2021 and 2022 was between $1 billion and $1.5 billion</w:t>
      </w:r>
      <w:r w:rsidR="000327C7">
        <w:rPr>
          <w:rFonts w:cs="Arial"/>
          <w:szCs w:val="22"/>
        </w:rPr>
        <w:t>, although it made</w:t>
      </w:r>
      <w:r w:rsidR="00056076">
        <w:rPr>
          <w:rFonts w:cs="Arial"/>
          <w:szCs w:val="22"/>
        </w:rPr>
        <w:t xml:space="preserve"> </w:t>
      </w:r>
      <w:r w:rsidR="000327C7">
        <w:rPr>
          <w:rFonts w:cs="Arial"/>
          <w:szCs w:val="22"/>
        </w:rPr>
        <w:t xml:space="preserve">net losses in those years of $58.5 million and $5.6 million respectively. In calendar year 2022, its revenue from </w:t>
      </w:r>
      <w:r w:rsidR="00D73C2D">
        <w:rPr>
          <w:rFonts w:cs="Arial"/>
          <w:szCs w:val="22"/>
        </w:rPr>
        <w:t>“</w:t>
      </w:r>
      <w:r w:rsidR="000327C7">
        <w:rPr>
          <w:rFonts w:cs="Arial"/>
          <w:szCs w:val="22"/>
        </w:rPr>
        <w:t xml:space="preserve">fees, </w:t>
      </w:r>
      <w:r w:rsidR="00D074B0">
        <w:rPr>
          <w:rFonts w:cs="Arial"/>
          <w:szCs w:val="22"/>
        </w:rPr>
        <w:t>spread</w:t>
      </w:r>
      <w:r w:rsidR="0059500A">
        <w:rPr>
          <w:rFonts w:cs="Arial"/>
          <w:szCs w:val="22"/>
        </w:rPr>
        <w:t xml:space="preserve"> and other income” was $460 million</w:t>
      </w:r>
      <w:r w:rsidR="00542D2B">
        <w:rPr>
          <w:rFonts w:cs="Arial"/>
          <w:szCs w:val="22"/>
        </w:rPr>
        <w:t>.</w:t>
      </w:r>
    </w:p>
    <w:p w14:paraId="596936D7" w14:textId="4203517C" w:rsidR="00AA6E0F" w:rsidRPr="003F2ED1" w:rsidRDefault="00E31C88" w:rsidP="00E31C88">
      <w:pPr>
        <w:pStyle w:val="ParaNumbering"/>
        <w:numPr>
          <w:ilvl w:val="0"/>
          <w:numId w:val="0"/>
        </w:numPr>
        <w:ind w:hanging="720"/>
      </w:pPr>
      <w:r w:rsidRPr="003F2ED1">
        <w:rPr>
          <w:iCs/>
          <w:sz w:val="20"/>
        </w:rPr>
        <w:t>110</w:t>
      </w:r>
      <w:r w:rsidRPr="003F2ED1">
        <w:rPr>
          <w:iCs/>
          <w:sz w:val="20"/>
        </w:rPr>
        <w:tab/>
      </w:r>
      <w:r w:rsidR="00AA6E0F" w:rsidRPr="005A717E">
        <w:t xml:space="preserve">Where, as here, the maximum penalty is determined by reference to a company’s annual turnover, the legislature has embedded this consideration within the variable maximum penalty. </w:t>
      </w:r>
      <w:r w:rsidR="00542D2B">
        <w:rPr>
          <w:iCs/>
          <w:szCs w:val="22"/>
        </w:rPr>
        <w:t xml:space="preserve">I am therefore mindful of the need to avoid </w:t>
      </w:r>
      <w:r w:rsidR="00AA6E0F" w:rsidRPr="005A717E">
        <w:rPr>
          <w:iCs/>
          <w:szCs w:val="22"/>
        </w:rPr>
        <w:t>double-counting, by imposing either a greater or lesser penalty based on the financial circumstances of the contravening company in addition to having regard to the maximum penalty for the offence.</w:t>
      </w:r>
    </w:p>
    <w:p w14:paraId="74FA3694" w14:textId="634AA75C" w:rsidR="00AA6E0F" w:rsidRPr="00502467" w:rsidRDefault="00E31C88" w:rsidP="00E31C88">
      <w:pPr>
        <w:pStyle w:val="ParaNumbering"/>
        <w:numPr>
          <w:ilvl w:val="0"/>
          <w:numId w:val="0"/>
        </w:numPr>
        <w:ind w:hanging="720"/>
      </w:pPr>
      <w:r w:rsidRPr="00502467">
        <w:rPr>
          <w:iCs/>
          <w:sz w:val="20"/>
        </w:rPr>
        <w:t>111</w:t>
      </w:r>
      <w:r w:rsidRPr="00502467">
        <w:rPr>
          <w:iCs/>
          <w:sz w:val="20"/>
        </w:rPr>
        <w:tab/>
      </w:r>
      <w:r w:rsidR="00AA6E0F" w:rsidRPr="00502467">
        <w:t xml:space="preserve">As </w:t>
      </w:r>
      <w:r w:rsidR="002258B5">
        <w:t xml:space="preserve">to whether the company has a corporate culture conducive to compliance with the Act, </w:t>
      </w:r>
      <w:r w:rsidR="00AA6E0F" w:rsidRPr="00502467">
        <w:t>American Express’</w:t>
      </w:r>
      <w:r w:rsidR="00AA41E2">
        <w:t>s</w:t>
      </w:r>
      <w:r w:rsidR="00AA6E0F" w:rsidRPr="00502467">
        <w:t xml:space="preserve"> failures</w:t>
      </w:r>
      <w:r w:rsidR="00AA6E0F">
        <w:t xml:space="preserve"> relate to the implementation of </w:t>
      </w:r>
      <w:r w:rsidR="00AA6E0F" w:rsidRPr="00502467">
        <w:t>the TMDs</w:t>
      </w:r>
      <w:r w:rsidR="00AA6E0F">
        <w:t xml:space="preserve"> for the DJs Cards, in particular, by way of monitoring the ongoing appropriateness of the TMDs for the DJs Cards, </w:t>
      </w:r>
      <w:r w:rsidR="00AA6E0F" w:rsidRPr="00502467">
        <w:t xml:space="preserve">and </w:t>
      </w:r>
      <w:r w:rsidR="00AA6E0F">
        <w:t xml:space="preserve">thus in </w:t>
      </w:r>
      <w:r w:rsidR="00AA6E0F" w:rsidRPr="00502467">
        <w:t>ensuring ongoing compliance with the DDO regime</w:t>
      </w:r>
      <w:r w:rsidR="00AA6E0F">
        <w:t xml:space="preserve"> in respect of the DJs Cards</w:t>
      </w:r>
      <w:r w:rsidR="00AA6E0F" w:rsidRPr="00502467">
        <w:t>. Nonetheless, American Express undertook the DDO Project and developed the TMDs</w:t>
      </w:r>
      <w:r w:rsidR="00AA6E0F">
        <w:t xml:space="preserve"> for the DJs Cards</w:t>
      </w:r>
      <w:r w:rsidR="00AA6E0F" w:rsidRPr="00502467">
        <w:t xml:space="preserve"> in accordance with its obligations under the Act. Further, American Express created the DDO Product Owner Guide that included information regarding the DDO and the requirements and contents of a TMD</w:t>
      </w:r>
      <w:r w:rsidR="00AA6E0F">
        <w:t xml:space="preserve"> and held</w:t>
      </w:r>
      <w:r w:rsidR="00AA6E0F" w:rsidRPr="00AA41E2">
        <w:rPr>
          <w:rFonts w:cs="Arial"/>
        </w:rPr>
        <w:t xml:space="preserve"> sessions with Product Owners explaining the design and distribution obligations and the DDO Product Owner Guide</w:t>
      </w:r>
      <w:r w:rsidR="00AA41E2">
        <w:t>: SAFA [90].</w:t>
      </w:r>
      <w:r w:rsidR="00AA6E0F" w:rsidRPr="00502467">
        <w:t xml:space="preserve"> Accordingly, during the Relevant Period, American Express demonstrated some level of commitment towards complying with the DDO </w:t>
      </w:r>
      <w:r w:rsidR="00AA6E0F">
        <w:t>regime</w:t>
      </w:r>
      <w:r w:rsidR="00AA6E0F" w:rsidRPr="00502467">
        <w:t xml:space="preserve">. </w:t>
      </w:r>
    </w:p>
    <w:p w14:paraId="0808C82A" w14:textId="1F5D8F2E" w:rsidR="00AA6E0F" w:rsidRPr="005A717E" w:rsidRDefault="00E31C88" w:rsidP="00E31C88">
      <w:pPr>
        <w:pStyle w:val="ParaNumbering"/>
        <w:numPr>
          <w:ilvl w:val="0"/>
          <w:numId w:val="0"/>
        </w:numPr>
        <w:ind w:hanging="720"/>
      </w:pPr>
      <w:r w:rsidRPr="005A717E">
        <w:rPr>
          <w:iCs/>
          <w:sz w:val="20"/>
        </w:rPr>
        <w:t>112</w:t>
      </w:r>
      <w:r w:rsidRPr="005A717E">
        <w:rPr>
          <w:iCs/>
          <w:sz w:val="20"/>
        </w:rPr>
        <w:tab/>
      </w:r>
      <w:r w:rsidR="00AA5228">
        <w:t>As to cooperation, contrition and remedial steps, c</w:t>
      </w:r>
      <w:r w:rsidR="00AA6E0F" w:rsidRPr="00502467">
        <w:t>ooperation with authorities in the course of investigations and subsequent proceedings can properly reduce the penalty that would otherwise be imposed. The reduction reflects the fact that such cooperation increases the likelihood of cooperation in future cases in a way that furthers the object of the legislation</w:t>
      </w:r>
      <w:r w:rsidR="00EE1FDA">
        <w:t>,</w:t>
      </w:r>
      <w:r w:rsidR="00AA6E0F" w:rsidRPr="00502467">
        <w:t xml:space="preserve"> frees up the regulator's resources thereby increasing the likelihood that other contraven</w:t>
      </w:r>
      <w:r w:rsidR="00D074B0">
        <w:t>e</w:t>
      </w:r>
      <w:r w:rsidR="00AA6E0F" w:rsidRPr="00502467">
        <w:t>rs will be detected and brought to justice</w:t>
      </w:r>
      <w:r w:rsidR="00D074B0">
        <w:t>,</w:t>
      </w:r>
      <w:r w:rsidR="00AA6E0F" w:rsidRPr="00502467">
        <w:t xml:space="preserve"> and facilitates the course of justice</w:t>
      </w:r>
      <w:r w:rsidR="00EE1FDA">
        <w:t xml:space="preserve">: see </w:t>
      </w:r>
      <w:r w:rsidR="00EE1FDA">
        <w:rPr>
          <w:i/>
          <w:iCs/>
        </w:rPr>
        <w:t>FWBII</w:t>
      </w:r>
      <w:r w:rsidR="00EE1FDA">
        <w:t xml:space="preserve"> at [46].</w:t>
      </w:r>
    </w:p>
    <w:p w14:paraId="53F39AF8" w14:textId="2ED43E0F" w:rsidR="00AA6E0F" w:rsidRPr="00046585" w:rsidRDefault="00E31C88" w:rsidP="00E31C88">
      <w:pPr>
        <w:pStyle w:val="ParaNumbering"/>
        <w:numPr>
          <w:ilvl w:val="0"/>
          <w:numId w:val="0"/>
        </w:numPr>
        <w:ind w:hanging="720"/>
      </w:pPr>
      <w:r w:rsidRPr="00046585">
        <w:rPr>
          <w:iCs/>
          <w:sz w:val="20"/>
        </w:rPr>
        <w:lastRenderedPageBreak/>
        <w:t>113</w:t>
      </w:r>
      <w:r w:rsidRPr="00046585">
        <w:rPr>
          <w:iCs/>
          <w:sz w:val="20"/>
        </w:rPr>
        <w:tab/>
      </w:r>
      <w:r w:rsidR="00AA6E0F">
        <w:t>In addition to engaging constructively with ASIC in relation to its voluntary information request, ceasing</w:t>
      </w:r>
      <w:r w:rsidR="00905A25">
        <w:t xml:space="preserve"> to</w:t>
      </w:r>
      <w:r w:rsidR="00AA6E0F">
        <w:t xml:space="preserve"> </w:t>
      </w:r>
      <w:r w:rsidR="00DF080D">
        <w:t>offer the</w:t>
      </w:r>
      <w:r w:rsidR="00AA6E0F">
        <w:t xml:space="preserve"> DJs Cards on</w:t>
      </w:r>
      <w:r w:rsidR="00C5541A">
        <w:t xml:space="preserve"> 5 July 2022</w:t>
      </w:r>
      <w:r w:rsidR="00AA6E0F">
        <w:t>, and instructing David Jones to cease all in-store distribution of the DJs Cards from</w:t>
      </w:r>
      <w:r w:rsidR="00C5541A">
        <w:t xml:space="preserve"> </w:t>
      </w:r>
      <w:r w:rsidR="00AA6E0F">
        <w:t xml:space="preserve">5 July 2022, </w:t>
      </w:r>
      <w:r w:rsidR="00AA6E0F" w:rsidRPr="00046585">
        <w:t>American Express admitted the contravention prior to the hearing on liability</w:t>
      </w:r>
      <w:r w:rsidR="00C5541A">
        <w:t>,</w:t>
      </w:r>
      <w:r w:rsidR="00AA6E0F">
        <w:t xml:space="preserve"> allowing</w:t>
      </w:r>
      <w:r w:rsidR="00C5541A">
        <w:t xml:space="preserve"> the hearing</w:t>
      </w:r>
      <w:r w:rsidR="00AA6E0F">
        <w:t xml:space="preserve"> to be vacated</w:t>
      </w:r>
      <w:r w:rsidR="00AA6E0F" w:rsidRPr="00046585">
        <w:t xml:space="preserve"> and cooperated with ASIC in agreeing to the SAFA, which contains admissions contrary to its interests. </w:t>
      </w:r>
      <w:r w:rsidR="00C875FF">
        <w:t xml:space="preserve">If anything, American Express went too far in its cooperation with ASIC, by admitting contraventions of s 994C(4) and (5) on the basis of an untenable construction of para (c)(ii) in each of those provisions, as discussed above. </w:t>
      </w:r>
      <w:r w:rsidR="00AA6E0F" w:rsidRPr="00046585">
        <w:t>Its cooperation also extended to providing ASIC with additional material to allow further facts to be included in the SAFA</w:t>
      </w:r>
      <w:r w:rsidR="00C2798B">
        <w:t>: SAFA [132].</w:t>
      </w:r>
    </w:p>
    <w:p w14:paraId="438D0046" w14:textId="6DE9D8FB" w:rsidR="00AA6E0F" w:rsidRPr="00046585" w:rsidRDefault="00E31C88" w:rsidP="00E31C88">
      <w:pPr>
        <w:pStyle w:val="ParaNumbering"/>
        <w:numPr>
          <w:ilvl w:val="0"/>
          <w:numId w:val="0"/>
        </w:numPr>
        <w:ind w:hanging="720"/>
      </w:pPr>
      <w:bookmarkStart w:id="42" w:name="_Ref161582084"/>
      <w:r w:rsidRPr="00046585">
        <w:rPr>
          <w:iCs/>
          <w:sz w:val="20"/>
        </w:rPr>
        <w:t>114</w:t>
      </w:r>
      <w:r w:rsidRPr="00046585">
        <w:rPr>
          <w:iCs/>
          <w:sz w:val="20"/>
        </w:rPr>
        <w:tab/>
      </w:r>
      <w:r w:rsidR="00AA6E0F">
        <w:t>Prior to the Contravening Period, s</w:t>
      </w:r>
      <w:r w:rsidR="00AA6E0F" w:rsidRPr="00046585">
        <w:t>ince April 2022, American Express has undertaken work to update its DDO program, including</w:t>
      </w:r>
      <w:bookmarkEnd w:id="42"/>
      <w:r w:rsidR="00C2798B">
        <w:t xml:space="preserve"> (SAFA [133])</w:t>
      </w:r>
      <w:r w:rsidR="00690FCB">
        <w:t>:</w:t>
      </w:r>
    </w:p>
    <w:p w14:paraId="135051A7" w14:textId="6AB2F18F" w:rsidR="00AA6E0F" w:rsidRPr="005271F3" w:rsidRDefault="00E31C88" w:rsidP="00E31C88">
      <w:pPr>
        <w:pStyle w:val="ListNo1alt"/>
        <w:numPr>
          <w:ilvl w:val="0"/>
          <w:numId w:val="0"/>
        </w:numPr>
        <w:tabs>
          <w:tab w:val="left" w:pos="720"/>
        </w:tabs>
        <w:ind w:left="720" w:hanging="720"/>
      </w:pPr>
      <w:r w:rsidRPr="005271F3">
        <w:t>(a)</w:t>
      </w:r>
      <w:r w:rsidRPr="005271F3">
        <w:tab/>
      </w:r>
      <w:r w:rsidR="00AA6E0F" w:rsidRPr="005271F3">
        <w:t>publish</w:t>
      </w:r>
      <w:r w:rsidR="00690FCB">
        <w:t>ing</w:t>
      </w:r>
      <w:r w:rsidR="00AA6E0F" w:rsidRPr="005271F3">
        <w:t xml:space="preserve"> a dedicated DDO Review Trigger Policy, which establishes clear processes for the enhanced monitoring of relevant data points, clear escalation protocols and decision ownership for identifying review triggers and conducting a review of the TMD, identifying key stakeholders and decision makers.</w:t>
      </w:r>
      <w:r w:rsidR="00056076">
        <w:t xml:space="preserve"> </w:t>
      </w:r>
      <w:r w:rsidR="00AA6E0F" w:rsidRPr="005271F3">
        <w:t>American Express</w:t>
      </w:r>
      <w:r w:rsidR="00AC7631">
        <w:t>’s</w:t>
      </w:r>
      <w:r w:rsidR="00AA6E0F" w:rsidRPr="005271F3">
        <w:t xml:space="preserve"> internal audits are conducted against this policy;</w:t>
      </w:r>
    </w:p>
    <w:p w14:paraId="0B592D71" w14:textId="472ED51F" w:rsidR="00AA6E0F" w:rsidRPr="005271F3" w:rsidRDefault="00E31C88" w:rsidP="00E31C88">
      <w:pPr>
        <w:pStyle w:val="ListNo1alt"/>
        <w:numPr>
          <w:ilvl w:val="0"/>
          <w:numId w:val="0"/>
        </w:numPr>
        <w:tabs>
          <w:tab w:val="left" w:pos="720"/>
        </w:tabs>
        <w:ind w:left="720" w:hanging="720"/>
      </w:pPr>
      <w:r w:rsidRPr="005271F3">
        <w:t>(b)</w:t>
      </w:r>
      <w:r w:rsidRPr="005271F3">
        <w:tab/>
      </w:r>
      <w:r w:rsidR="00AA6E0F" w:rsidRPr="005271F3">
        <w:t>establish</w:t>
      </w:r>
      <w:r w:rsidR="00690FCB">
        <w:t>ing</w:t>
      </w:r>
      <w:r w:rsidR="00AA6E0F" w:rsidRPr="005271F3">
        <w:t xml:space="preserve"> a dedicated monthly DDO Forum which is attended by Product Owners and other key stakeholders and which reviews specific product metrics, distribution channels and other product related matters.</w:t>
      </w:r>
      <w:r w:rsidR="00056076">
        <w:t xml:space="preserve"> </w:t>
      </w:r>
      <w:r w:rsidR="00AA6E0F" w:rsidRPr="005271F3">
        <w:t>The DDO Forum specifically considers potential review triggers, in accordance with the American Express DDO Review Trigger Policy. Product Owners are also required to prepare the metrics related to their product, and present those metrics at the DDO Forum and stakeholders are given the opportunity to discuss those metrics.</w:t>
      </w:r>
      <w:r w:rsidR="00056076">
        <w:t xml:space="preserve"> </w:t>
      </w:r>
      <w:r w:rsidR="00AA6E0F" w:rsidRPr="005271F3">
        <w:t>DDO metrics are also presented quarterly at the Compliance Committee;</w:t>
      </w:r>
    </w:p>
    <w:p w14:paraId="7730FD3F" w14:textId="3AB18457" w:rsidR="00AA6E0F" w:rsidRPr="005271F3" w:rsidRDefault="00E31C88" w:rsidP="00E31C88">
      <w:pPr>
        <w:pStyle w:val="ListNo1alt"/>
        <w:numPr>
          <w:ilvl w:val="0"/>
          <w:numId w:val="0"/>
        </w:numPr>
        <w:tabs>
          <w:tab w:val="left" w:pos="720"/>
        </w:tabs>
        <w:ind w:left="720" w:hanging="720"/>
      </w:pPr>
      <w:r w:rsidRPr="005271F3">
        <w:t>(c)</w:t>
      </w:r>
      <w:r w:rsidRPr="005271F3">
        <w:tab/>
      </w:r>
      <w:r w:rsidR="00AA6E0F" w:rsidRPr="005271F3">
        <w:t>establish</w:t>
      </w:r>
      <w:r w:rsidR="00690FCB">
        <w:t>ing</w:t>
      </w:r>
      <w:r w:rsidR="00AA6E0F" w:rsidRPr="005271F3">
        <w:t xml:space="preserve"> a dedicated Complaints Forum which includes consideration of complaint categories and products for DDO compliance;</w:t>
      </w:r>
    </w:p>
    <w:p w14:paraId="2D7058BE" w14:textId="010F1551" w:rsidR="00AA6E0F" w:rsidRPr="005271F3" w:rsidRDefault="00E31C88" w:rsidP="00E31C88">
      <w:pPr>
        <w:pStyle w:val="ListNo1alt"/>
        <w:numPr>
          <w:ilvl w:val="0"/>
          <w:numId w:val="0"/>
        </w:numPr>
        <w:tabs>
          <w:tab w:val="left" w:pos="720"/>
        </w:tabs>
        <w:ind w:left="720" w:hanging="720"/>
      </w:pPr>
      <w:r w:rsidRPr="005271F3">
        <w:t>(d)</w:t>
      </w:r>
      <w:r w:rsidRPr="005271F3">
        <w:tab/>
      </w:r>
      <w:r w:rsidR="00AA6E0F" w:rsidRPr="005271F3">
        <w:t>complet</w:t>
      </w:r>
      <w:r w:rsidR="0033651D">
        <w:t xml:space="preserve">ing </w:t>
      </w:r>
      <w:r w:rsidR="00AA6E0F" w:rsidRPr="005271F3">
        <w:t xml:space="preserve">a comprehensive review and update of all existing TMDs, including the revision of relevant Critical Assessment Questionnaires; and </w:t>
      </w:r>
    </w:p>
    <w:p w14:paraId="4A09386E" w14:textId="53E13084" w:rsidR="00AA6E0F" w:rsidRPr="005271F3" w:rsidRDefault="00E31C88" w:rsidP="00E31C88">
      <w:pPr>
        <w:pStyle w:val="ListNo1alt"/>
        <w:numPr>
          <w:ilvl w:val="0"/>
          <w:numId w:val="0"/>
        </w:numPr>
        <w:tabs>
          <w:tab w:val="left" w:pos="720"/>
        </w:tabs>
        <w:ind w:left="720" w:hanging="720"/>
        <w:rPr>
          <w:rFonts w:cstheme="minorBidi"/>
        </w:rPr>
      </w:pPr>
      <w:r w:rsidRPr="005271F3">
        <w:rPr>
          <w:rFonts w:cstheme="minorBidi"/>
        </w:rPr>
        <w:t>(e)</w:t>
      </w:r>
      <w:r w:rsidRPr="005271F3">
        <w:rPr>
          <w:rFonts w:cstheme="minorBidi"/>
        </w:rPr>
        <w:tab/>
      </w:r>
      <w:r w:rsidR="00AA6E0F" w:rsidRPr="005271F3">
        <w:t>conduct</w:t>
      </w:r>
      <w:r w:rsidR="0033651D">
        <w:t>ing</w:t>
      </w:r>
      <w:r w:rsidR="00AA6E0F" w:rsidRPr="005271F3">
        <w:t xml:space="preserve"> new, company-wide training on DDO and targeted product owner training, to ensure DDO competency within all relevant teams.</w:t>
      </w:r>
    </w:p>
    <w:p w14:paraId="5EC6B1C5" w14:textId="0996F2EE" w:rsidR="00AA6E0F" w:rsidRPr="005271F3" w:rsidRDefault="00AA6E0F" w:rsidP="00F84018">
      <w:pPr>
        <w:pStyle w:val="NoNum"/>
      </w:pPr>
      <w:r w:rsidRPr="005271F3">
        <w:lastRenderedPageBreak/>
        <w:t>These remedial measures, as well as American Express’</w:t>
      </w:r>
      <w:r w:rsidR="00F84018">
        <w:t>s</w:t>
      </w:r>
      <w:r w:rsidRPr="005271F3">
        <w:t xml:space="preserve"> admissions, </w:t>
      </w:r>
      <w:r w:rsidR="00F84018">
        <w:t xml:space="preserve">are </w:t>
      </w:r>
      <w:r w:rsidRPr="005271F3">
        <w:t>evidence of contrition in respect of the contraventions</w:t>
      </w:r>
      <w:r>
        <w:t xml:space="preserve"> and are mitigating factors</w:t>
      </w:r>
      <w:r w:rsidRPr="005271F3">
        <w:t xml:space="preserve">. </w:t>
      </w:r>
    </w:p>
    <w:p w14:paraId="6FAA4809" w14:textId="60951F5E" w:rsidR="00AA6E0F" w:rsidRPr="005271F3" w:rsidRDefault="00E31C88" w:rsidP="00E31C88">
      <w:pPr>
        <w:pStyle w:val="ParaNumbering"/>
        <w:numPr>
          <w:ilvl w:val="0"/>
          <w:numId w:val="0"/>
        </w:numPr>
        <w:ind w:hanging="720"/>
      </w:pPr>
      <w:r w:rsidRPr="005271F3">
        <w:rPr>
          <w:iCs/>
          <w:sz w:val="20"/>
        </w:rPr>
        <w:t>115</w:t>
      </w:r>
      <w:r w:rsidRPr="005271F3">
        <w:rPr>
          <w:iCs/>
          <w:sz w:val="20"/>
        </w:rPr>
        <w:tab/>
      </w:r>
      <w:r w:rsidR="00F84018">
        <w:t xml:space="preserve">As to any prior contraventions of the Act, </w:t>
      </w:r>
      <w:r w:rsidR="00AA6E0F" w:rsidRPr="005271F3">
        <w:t>American Express has not previously been found to have contravened any relevant laws</w:t>
      </w:r>
      <w:r w:rsidR="00EF4273">
        <w:t>: SAFA [131].</w:t>
      </w:r>
    </w:p>
    <w:p w14:paraId="729A6359" w14:textId="77777777" w:rsidR="00AA6E0F" w:rsidRPr="005271F3" w:rsidRDefault="00AA6E0F" w:rsidP="00EF4273">
      <w:pPr>
        <w:pStyle w:val="Heading2"/>
      </w:pPr>
      <w:r w:rsidRPr="005271F3">
        <w:t>Conclusion as to appropriate penalties</w:t>
      </w:r>
    </w:p>
    <w:p w14:paraId="27E244B2" w14:textId="008A9C26" w:rsidR="00AA6E0F" w:rsidRPr="00AD37C3" w:rsidRDefault="00E31C88" w:rsidP="00E31C88">
      <w:pPr>
        <w:pStyle w:val="ParaNumbering"/>
        <w:numPr>
          <w:ilvl w:val="0"/>
          <w:numId w:val="0"/>
        </w:numPr>
        <w:ind w:hanging="720"/>
      </w:pPr>
      <w:r w:rsidRPr="00AD37C3">
        <w:rPr>
          <w:iCs/>
          <w:sz w:val="20"/>
        </w:rPr>
        <w:t>116</w:t>
      </w:r>
      <w:r w:rsidRPr="00AD37C3">
        <w:rPr>
          <w:iCs/>
          <w:sz w:val="20"/>
        </w:rPr>
        <w:tab/>
      </w:r>
      <w:r w:rsidR="00AA6E0F" w:rsidRPr="00AD37C3">
        <w:t>Having regard to the facts and admissions set out in the SAFA</w:t>
      </w:r>
      <w:r w:rsidR="00EF4273">
        <w:t xml:space="preserve"> and SSAFA</w:t>
      </w:r>
      <w:r w:rsidR="00AA6E0F" w:rsidRPr="00AD37C3">
        <w:t>, the considerations set out above, and the statements of legal principle in the authorities regarding the purpose of civil penalties, ASIC and American Express submit</w:t>
      </w:r>
      <w:r w:rsidR="00242839">
        <w:t>, and I accept,</w:t>
      </w:r>
      <w:r w:rsidR="00AA6E0F" w:rsidRPr="00AD37C3">
        <w:t xml:space="preserve"> that appropriate pecuniary penalties in this case would be imposed </w:t>
      </w:r>
      <w:r w:rsidR="002724FC">
        <w:t>in</w:t>
      </w:r>
      <w:r w:rsidR="00AA6E0F" w:rsidRPr="00AD37C3">
        <w:t xml:space="preserve"> a total amount of $8</w:t>
      </w:r>
      <w:r w:rsidR="00AA6E0F">
        <w:t> </w:t>
      </w:r>
      <w:r w:rsidR="00AA6E0F" w:rsidRPr="00AD37C3">
        <w:t>million.</w:t>
      </w:r>
      <w:r w:rsidR="00056076">
        <w:t xml:space="preserve"> </w:t>
      </w:r>
      <w:r w:rsidR="00AA6E0F">
        <w:t xml:space="preserve">Without seeking to oversimplify the multifactorial process of instinctive synthesis that is to be </w:t>
      </w:r>
      <w:r w:rsidR="002724FC">
        <w:t>undertaken</w:t>
      </w:r>
      <w:r w:rsidR="00AA6E0F">
        <w:t xml:space="preserve"> in reaching the appropriate penalty, the parties jointly submit</w:t>
      </w:r>
      <w:r w:rsidR="00242839">
        <w:t>, and I accept,</w:t>
      </w:r>
      <w:r w:rsidR="00AA6E0F">
        <w:t xml:space="preserve"> that an aggregate penalty of this order reflects the degree of deterrence that must be achieved (both specific and general) in setting the penalties for the contravention of the new DDO regime with its consumer-centric and protective focus, while also bringing to bear the factors in </w:t>
      </w:r>
      <w:r w:rsidR="00AA6E0F" w:rsidRPr="000A47D3">
        <w:t>mitigation.</w:t>
      </w:r>
      <w:r w:rsidR="00AA6E0F" w:rsidRPr="005271F3">
        <w:t xml:space="preserve"> That is, a penalty of this order </w:t>
      </w:r>
      <w:r w:rsidR="00AA6E0F">
        <w:rPr>
          <w:szCs w:val="22"/>
        </w:rPr>
        <w:t>ensures it has a “sting”</w:t>
      </w:r>
      <w:r w:rsidR="00AA6E0F" w:rsidRPr="003C7494">
        <w:rPr>
          <w:szCs w:val="22"/>
        </w:rPr>
        <w:t xml:space="preserve"> </w:t>
      </w:r>
      <w:r w:rsidR="00AA6E0F">
        <w:rPr>
          <w:szCs w:val="22"/>
        </w:rPr>
        <w:t>sufficient</w:t>
      </w:r>
      <w:r w:rsidR="00AA6E0F" w:rsidRPr="003C7494">
        <w:rPr>
          <w:szCs w:val="22"/>
        </w:rPr>
        <w:t xml:space="preserve"> to deter both repetition by American Express </w:t>
      </w:r>
      <w:r w:rsidR="00797494">
        <w:rPr>
          <w:szCs w:val="22"/>
        </w:rPr>
        <w:t>and</w:t>
      </w:r>
      <w:r w:rsidR="00AA6E0F" w:rsidRPr="003C7494">
        <w:rPr>
          <w:szCs w:val="22"/>
        </w:rPr>
        <w:t xml:space="preserve"> contravention by other providers of financial products</w:t>
      </w:r>
      <w:r w:rsidR="00AA6E0F">
        <w:rPr>
          <w:szCs w:val="22"/>
        </w:rPr>
        <w:t>, and one that goes beyond being a mere “cost of doing business”</w:t>
      </w:r>
      <w:r w:rsidR="00AA6E0F" w:rsidRPr="003C7494">
        <w:rPr>
          <w:szCs w:val="22"/>
        </w:rPr>
        <w:t>.</w:t>
      </w:r>
      <w:r w:rsidR="00056076">
        <w:rPr>
          <w:szCs w:val="22"/>
        </w:rPr>
        <w:t xml:space="preserve"> </w:t>
      </w:r>
      <w:r w:rsidR="00AA6E0F" w:rsidRPr="005271F3">
        <w:rPr>
          <w:highlight w:val="yellow"/>
        </w:rPr>
        <w:t xml:space="preserve"> </w:t>
      </w:r>
    </w:p>
    <w:p w14:paraId="6B86A336" w14:textId="0E4ECFE7" w:rsidR="00AA6E0F" w:rsidRPr="003C7494" w:rsidRDefault="00E31C88" w:rsidP="00E31C88">
      <w:pPr>
        <w:pStyle w:val="ParaNumbering"/>
        <w:numPr>
          <w:ilvl w:val="0"/>
          <w:numId w:val="0"/>
        </w:numPr>
        <w:ind w:hanging="720"/>
      </w:pPr>
      <w:r w:rsidRPr="003C7494">
        <w:rPr>
          <w:iCs/>
          <w:sz w:val="20"/>
        </w:rPr>
        <w:t>117</w:t>
      </w:r>
      <w:r w:rsidRPr="003C7494">
        <w:rPr>
          <w:iCs/>
          <w:sz w:val="20"/>
        </w:rPr>
        <w:tab/>
      </w:r>
      <w:r w:rsidR="00AA6E0F" w:rsidRPr="00AD37C3">
        <w:t>Agreed Penalty</w:t>
      </w:r>
      <w:r w:rsidR="00797494">
        <w:t xml:space="preserve"> B</w:t>
      </w:r>
      <w:r w:rsidR="00AA6E0F" w:rsidRPr="00AD37C3">
        <w:t xml:space="preserve"> may be viewed as comprising $</w:t>
      </w:r>
      <w:r w:rsidR="00797494">
        <w:t>4.5</w:t>
      </w:r>
      <w:r w:rsidR="00AA6E0F" w:rsidRPr="00AD37C3">
        <w:t xml:space="preserve"> million for the contravention concerning the DJs Amex Card and $</w:t>
      </w:r>
      <w:r w:rsidR="00797494">
        <w:t>3.5</w:t>
      </w:r>
      <w:r w:rsidR="00AA6E0F" w:rsidRPr="00AD37C3">
        <w:t xml:space="preserve"> million in respect of the contravention relating to the DJs Amex Platinum Card.</w:t>
      </w:r>
      <w:bookmarkStart w:id="43" w:name="_Ref161303632"/>
      <w:bookmarkStart w:id="44" w:name="_Ref161907584"/>
      <w:r w:rsidR="00A14E58">
        <w:t xml:space="preserve"> </w:t>
      </w:r>
      <w:r w:rsidR="00AA6E0F" w:rsidRPr="003C7494">
        <w:t>It is appropriate that the penalty imposed for the contravention reflect</w:t>
      </w:r>
      <w:r w:rsidR="002B03BD">
        <w:t>s</w:t>
      </w:r>
      <w:r w:rsidR="00AA6E0F" w:rsidRPr="003C7494">
        <w:t xml:space="preserve"> the overall circumstance of </w:t>
      </w:r>
      <w:r w:rsidR="00496C84">
        <w:t xml:space="preserve">the </w:t>
      </w:r>
      <w:r w:rsidR="00AA6E0F" w:rsidRPr="003C7494">
        <w:t xml:space="preserve">contravention. The key difference </w:t>
      </w:r>
      <w:r w:rsidR="00496C84">
        <w:t>between</w:t>
      </w:r>
      <w:r w:rsidR="00AA6E0F" w:rsidRPr="003C7494">
        <w:t xml:space="preserve"> the penalties for the contravention</w:t>
      </w:r>
      <w:r w:rsidR="00B02D72">
        <w:t xml:space="preserve"> of s 994C(4)</w:t>
      </w:r>
      <w:r w:rsidR="00AA6E0F" w:rsidRPr="003C7494">
        <w:t xml:space="preserve"> relating to the DJs Amex Card and the contravention</w:t>
      </w:r>
      <w:r w:rsidR="00B02D72">
        <w:t xml:space="preserve"> of s 994C(4)</w:t>
      </w:r>
      <w:r w:rsidR="00AA6E0F" w:rsidRPr="003C7494">
        <w:t xml:space="preserve"> concerning the DJs Amex Platinum Card is the greater potential for consumer harm associated with the provision of the DJs Amex Card. This arises having regard to the number of DJs Amex Cards applied for and issued compared to the DJs Amex Platinum Cards. </w:t>
      </w:r>
      <w:bookmarkEnd w:id="43"/>
      <w:r w:rsidR="00AA6E0F" w:rsidRPr="003C7494">
        <w:t>For that reason, the parties jointly submit</w:t>
      </w:r>
      <w:r w:rsidR="00E60493">
        <w:t xml:space="preserve">, and I accept, </w:t>
      </w:r>
      <w:r w:rsidR="00AA6E0F" w:rsidRPr="003C7494">
        <w:t>that the penal</w:t>
      </w:r>
      <w:r w:rsidR="008202E8">
        <w:t>ty</w:t>
      </w:r>
      <w:r w:rsidR="00AA6E0F" w:rsidRPr="003C7494">
        <w:t xml:space="preserve"> for the contravention concerning the DJs Amex Card should be higher than th</w:t>
      </w:r>
      <w:r w:rsidR="00625A74">
        <w:t>at</w:t>
      </w:r>
      <w:r w:rsidR="00AA6E0F" w:rsidRPr="003C7494">
        <w:t xml:space="preserve"> for the contravention relating to the DJs Amex Platinum Cards.</w:t>
      </w:r>
      <w:bookmarkEnd w:id="44"/>
    </w:p>
    <w:p w14:paraId="2730393E" w14:textId="4A6B1E5E" w:rsidR="00AA6E0F" w:rsidRPr="003C7494" w:rsidRDefault="00E31C88" w:rsidP="00E31C88">
      <w:pPr>
        <w:pStyle w:val="ParaNumbering"/>
        <w:numPr>
          <w:ilvl w:val="0"/>
          <w:numId w:val="0"/>
        </w:numPr>
        <w:ind w:hanging="720"/>
        <w:rPr>
          <w:szCs w:val="22"/>
        </w:rPr>
      </w:pPr>
      <w:bookmarkStart w:id="45" w:name="_Ref161674535"/>
      <w:r w:rsidRPr="003C7494">
        <w:rPr>
          <w:iCs/>
          <w:sz w:val="20"/>
          <w:szCs w:val="22"/>
        </w:rPr>
        <w:t>118</w:t>
      </w:r>
      <w:r w:rsidRPr="003C7494">
        <w:rPr>
          <w:iCs/>
          <w:sz w:val="20"/>
          <w:szCs w:val="22"/>
        </w:rPr>
        <w:tab/>
      </w:r>
      <w:r w:rsidR="00AA6E0F" w:rsidRPr="003C7494">
        <w:rPr>
          <w:szCs w:val="22"/>
        </w:rPr>
        <w:t>A total penalty of $8</w:t>
      </w:r>
      <w:r w:rsidR="00E60493">
        <w:rPr>
          <w:szCs w:val="22"/>
        </w:rPr>
        <w:t xml:space="preserve"> </w:t>
      </w:r>
      <w:r w:rsidR="00AA6E0F" w:rsidRPr="003C7494">
        <w:rPr>
          <w:szCs w:val="22"/>
        </w:rPr>
        <w:t>million appropriately reflects the nature and extent of American Express’</w:t>
      </w:r>
      <w:r w:rsidR="005B299F">
        <w:rPr>
          <w:szCs w:val="22"/>
        </w:rPr>
        <w:t>s</w:t>
      </w:r>
      <w:r w:rsidR="00AA6E0F" w:rsidRPr="003C7494">
        <w:rPr>
          <w:szCs w:val="22"/>
        </w:rPr>
        <w:t xml:space="preserve"> contraventio</w:t>
      </w:r>
      <w:r w:rsidR="00625A74">
        <w:rPr>
          <w:szCs w:val="22"/>
        </w:rPr>
        <w:t>n</w:t>
      </w:r>
      <w:r w:rsidR="00AA6E0F" w:rsidRPr="003C7494">
        <w:rPr>
          <w:szCs w:val="22"/>
        </w:rPr>
        <w:t xml:space="preserve">. Applying the totality principle as a </w:t>
      </w:r>
      <w:r w:rsidR="00AA6E0F">
        <w:rPr>
          <w:szCs w:val="22"/>
        </w:rPr>
        <w:t>“</w:t>
      </w:r>
      <w:r w:rsidR="00AA6E0F" w:rsidRPr="003C7494">
        <w:rPr>
          <w:szCs w:val="22"/>
        </w:rPr>
        <w:t>final check</w:t>
      </w:r>
      <w:r w:rsidR="00AA6E0F">
        <w:rPr>
          <w:szCs w:val="22"/>
        </w:rPr>
        <w:t>”</w:t>
      </w:r>
      <w:r w:rsidR="00AA6E0F" w:rsidRPr="003C7494">
        <w:rPr>
          <w:szCs w:val="22"/>
        </w:rPr>
        <w:t>, Agreed Penalty</w:t>
      </w:r>
      <w:r w:rsidR="005B299F">
        <w:rPr>
          <w:szCs w:val="22"/>
        </w:rPr>
        <w:t xml:space="preserve"> B</w:t>
      </w:r>
      <w:r w:rsidR="00AA6E0F" w:rsidRPr="003C7494">
        <w:rPr>
          <w:szCs w:val="22"/>
        </w:rPr>
        <w:t xml:space="preserve"> is a</w:t>
      </w:r>
      <w:r w:rsidR="00AA6E0F">
        <w:rPr>
          <w:szCs w:val="22"/>
        </w:rPr>
        <w:t>n aggregate</w:t>
      </w:r>
      <w:r w:rsidR="00AA6E0F" w:rsidRPr="003C7494">
        <w:rPr>
          <w:szCs w:val="22"/>
        </w:rPr>
        <w:t xml:space="preserve"> sum that is just, appropriate and proportionate to the contravention admitted by American Express. Together with the declarations to be made by the Court, a total penalty of </w:t>
      </w:r>
      <w:r w:rsidR="00AA6E0F" w:rsidRPr="003C7494">
        <w:rPr>
          <w:szCs w:val="22"/>
        </w:rPr>
        <w:lastRenderedPageBreak/>
        <w:t xml:space="preserve">$8 million puts a price on the contravention that is appropriate to deter both repetition by American Express </w:t>
      </w:r>
      <w:r w:rsidR="00D95FE9">
        <w:rPr>
          <w:szCs w:val="22"/>
        </w:rPr>
        <w:t xml:space="preserve">and </w:t>
      </w:r>
      <w:r w:rsidR="00AA6E0F" w:rsidRPr="003C7494">
        <w:rPr>
          <w:szCs w:val="22"/>
        </w:rPr>
        <w:t>contravention by other providers of financial products.</w:t>
      </w:r>
      <w:bookmarkEnd w:id="45"/>
      <w:r w:rsidR="00AA6E0F" w:rsidRPr="003C7494">
        <w:rPr>
          <w:szCs w:val="22"/>
        </w:rPr>
        <w:t xml:space="preserve"> </w:t>
      </w:r>
    </w:p>
    <w:p w14:paraId="0010C549" w14:textId="11B19D98" w:rsidR="00AA6E0F" w:rsidRPr="003C7494" w:rsidRDefault="00D95FE9" w:rsidP="00D95FE9">
      <w:pPr>
        <w:pStyle w:val="Heading2"/>
      </w:pPr>
      <w:r>
        <w:t>Costs</w:t>
      </w:r>
    </w:p>
    <w:p w14:paraId="1E6D391E" w14:textId="3BA1D4BD" w:rsidR="00AA6E0F" w:rsidRPr="00C96E56" w:rsidRDefault="00E31C88" w:rsidP="00E31C88">
      <w:pPr>
        <w:pStyle w:val="ParaNumbering"/>
        <w:numPr>
          <w:ilvl w:val="0"/>
          <w:numId w:val="0"/>
        </w:numPr>
        <w:ind w:hanging="720"/>
      </w:pPr>
      <w:r w:rsidRPr="00C96E56">
        <w:rPr>
          <w:iCs/>
          <w:sz w:val="20"/>
        </w:rPr>
        <w:t>119</w:t>
      </w:r>
      <w:r w:rsidRPr="00C96E56">
        <w:rPr>
          <w:iCs/>
          <w:sz w:val="20"/>
        </w:rPr>
        <w:tab/>
      </w:r>
      <w:r w:rsidR="00D95FE9">
        <w:t>T</w:t>
      </w:r>
      <w:r w:rsidR="00AA6E0F" w:rsidRPr="003C7494">
        <w:t xml:space="preserve">he parties seek an </w:t>
      </w:r>
      <w:r w:rsidR="00AA6E0F" w:rsidRPr="00AD37C3">
        <w:rPr>
          <w:rFonts w:cs="Arial"/>
        </w:rPr>
        <w:t xml:space="preserve">order that American Express </w:t>
      </w:r>
      <w:r w:rsidR="00AA6E0F" w:rsidRPr="005271F3">
        <w:rPr>
          <w:rFonts w:eastAsia="Calibri" w:cs="Arial"/>
          <w:szCs w:val="22"/>
        </w:rPr>
        <w:t>pay ASIC’s costs of and incidental to the proceeding in the agreed sum of $200,000.</w:t>
      </w:r>
      <w:r w:rsidR="00D95FE9">
        <w:rPr>
          <w:rFonts w:eastAsia="Calibri" w:cs="Arial"/>
          <w:szCs w:val="22"/>
        </w:rPr>
        <w:t xml:space="preserve"> That order seems to me reasonable and justified.</w:t>
      </w:r>
      <w:r w:rsidR="00200F47">
        <w:rPr>
          <w:rFonts w:eastAsia="Calibri" w:cs="Arial"/>
          <w:szCs w:val="22"/>
        </w:rPr>
        <w:t xml:space="preserve"> That order</w:t>
      </w:r>
      <w:r w:rsidR="00D56E9F">
        <w:rPr>
          <w:rFonts w:eastAsia="Calibri" w:cs="Arial"/>
          <w:szCs w:val="22"/>
        </w:rPr>
        <w:t xml:space="preserve"> was sought in the joint submissions dated 21 May 2024, which were made in preparation for the initial hearing on 27 May 2024. Accordingly, the </w:t>
      </w:r>
      <w:r w:rsidR="007D3C1B">
        <w:rPr>
          <w:rFonts w:eastAsia="Calibri" w:cs="Arial"/>
          <w:szCs w:val="22"/>
        </w:rPr>
        <w:t>amount</w:t>
      </w:r>
      <w:r w:rsidR="00D56E9F">
        <w:rPr>
          <w:rFonts w:eastAsia="Calibri" w:cs="Arial"/>
          <w:szCs w:val="22"/>
        </w:rPr>
        <w:t xml:space="preserve"> is not affected </w:t>
      </w:r>
      <w:r w:rsidR="007D3C1B">
        <w:rPr>
          <w:rFonts w:eastAsia="Calibri" w:cs="Arial"/>
          <w:szCs w:val="22"/>
        </w:rPr>
        <w:t xml:space="preserve">by the fact that, at that hearing, the parties requested an adjournment of </w:t>
      </w:r>
      <w:r w:rsidR="00DE1463">
        <w:rPr>
          <w:rFonts w:eastAsia="Calibri" w:cs="Arial"/>
          <w:szCs w:val="22"/>
        </w:rPr>
        <w:t>about a month together with a further hearing on 1 July 2024 in order to give further thought to their respective positions.</w:t>
      </w:r>
      <w:r w:rsidR="00624794">
        <w:rPr>
          <w:rFonts w:eastAsia="Calibri" w:cs="Arial"/>
          <w:szCs w:val="22"/>
        </w:rPr>
        <w:t xml:space="preserve"> If the agreed costs order had increased by reason of the need for the adjourned hearing, I would not have ordered</w:t>
      </w:r>
      <w:r w:rsidR="003D79A0">
        <w:rPr>
          <w:rFonts w:eastAsia="Calibri" w:cs="Arial"/>
          <w:szCs w:val="22"/>
        </w:rPr>
        <w:t xml:space="preserve"> </w:t>
      </w:r>
      <w:r w:rsidR="0023185D">
        <w:rPr>
          <w:rFonts w:eastAsia="Calibri" w:cs="Arial"/>
          <w:szCs w:val="22"/>
        </w:rPr>
        <w:t xml:space="preserve">that American Express pay </w:t>
      </w:r>
      <w:r w:rsidR="00624794">
        <w:rPr>
          <w:rFonts w:eastAsia="Calibri" w:cs="Arial"/>
          <w:szCs w:val="22"/>
        </w:rPr>
        <w:t xml:space="preserve">the amount of the increase. </w:t>
      </w:r>
    </w:p>
    <w:p w14:paraId="2F613D0E" w14:textId="77777777" w:rsidR="00C96E56" w:rsidRDefault="00C96E56" w:rsidP="00815065">
      <w:pPr>
        <w:pStyle w:val="BodyText"/>
      </w:pPr>
      <w:bookmarkStart w:id="46" w:name="Certification"/>
    </w:p>
    <w:tbl>
      <w:tblPr>
        <w:tblW w:w="0" w:type="auto"/>
        <w:tblLook w:val="04A0" w:firstRow="1" w:lastRow="0" w:firstColumn="1" w:lastColumn="0" w:noHBand="0" w:noVBand="1"/>
      </w:tblPr>
      <w:tblGrid>
        <w:gridCol w:w="3794"/>
      </w:tblGrid>
      <w:tr w:rsidR="00C96E56" w:rsidRPr="00C96E56" w14:paraId="27B86719" w14:textId="77777777">
        <w:tc>
          <w:tcPr>
            <w:tcW w:w="3794" w:type="dxa"/>
            <w:shd w:val="clear" w:color="auto" w:fill="auto"/>
          </w:tcPr>
          <w:p w14:paraId="40701A94" w14:textId="4041CCBE" w:rsidR="00C96E56" w:rsidRPr="00C96E56" w:rsidRDefault="00C96E56" w:rsidP="00C96E56">
            <w:pPr>
              <w:pStyle w:val="Normal1linespace"/>
            </w:pPr>
            <w:r w:rsidRPr="00C96E56">
              <w:t xml:space="preserve">I certify that the preceding </w:t>
            </w:r>
            <w:bookmarkStart w:id="47" w:name="NumberWord"/>
            <w:r>
              <w:t>one hundred and nineteen</w:t>
            </w:r>
            <w:bookmarkEnd w:id="47"/>
            <w:r w:rsidRPr="00C96E56">
              <w:t xml:space="preserve"> (</w:t>
            </w:r>
            <w:bookmarkStart w:id="48" w:name="NumberNumeral"/>
            <w:r>
              <w:t>119</w:t>
            </w:r>
            <w:bookmarkEnd w:id="48"/>
            <w:r w:rsidRPr="00C96E56">
              <w:t xml:space="preserve">) numbered </w:t>
            </w:r>
            <w:bookmarkStart w:id="49" w:name="CertPara"/>
            <w:r>
              <w:t>paragraphs are</w:t>
            </w:r>
            <w:bookmarkEnd w:id="49"/>
            <w:r w:rsidRPr="00C96E56">
              <w:t xml:space="preserve"> a true copy of the Reasons for Judgment of </w:t>
            </w:r>
            <w:bookmarkStart w:id="50" w:name="bkHonourable"/>
            <w:r w:rsidRPr="00C96E56">
              <w:t xml:space="preserve">the Honourable </w:t>
            </w:r>
            <w:bookmarkStart w:id="51" w:name="Justice"/>
            <w:bookmarkEnd w:id="50"/>
            <w:r>
              <w:t>Justice Jackman</w:t>
            </w:r>
            <w:bookmarkEnd w:id="51"/>
            <w:r w:rsidRPr="00C96E56">
              <w:t>.</w:t>
            </w:r>
          </w:p>
        </w:tc>
      </w:tr>
    </w:tbl>
    <w:p w14:paraId="685800EC" w14:textId="77777777" w:rsidR="00C96E56" w:rsidRDefault="00C96E56" w:rsidP="00815065">
      <w:pPr>
        <w:pStyle w:val="BodyText"/>
      </w:pPr>
    </w:p>
    <w:p w14:paraId="13284B95" w14:textId="47EBD226" w:rsidR="00C96E56" w:rsidRDefault="00C96E56" w:rsidP="00815065">
      <w:pPr>
        <w:pStyle w:val="BodyText"/>
      </w:pPr>
    </w:p>
    <w:p w14:paraId="0BE8518C" w14:textId="7276D04B" w:rsidR="00C96E56" w:rsidRDefault="00C96E56" w:rsidP="00815065">
      <w:pPr>
        <w:pStyle w:val="BodyText"/>
      </w:pPr>
    </w:p>
    <w:p w14:paraId="6A8D2719" w14:textId="0D0EA30E" w:rsidR="00C96E56" w:rsidRDefault="00C96E56" w:rsidP="00815065">
      <w:pPr>
        <w:pStyle w:val="BodyText"/>
      </w:pPr>
      <w:r>
        <w:t>Associate:</w:t>
      </w:r>
    </w:p>
    <w:p w14:paraId="4421CF9C" w14:textId="3AF7CAC1" w:rsidR="00C96E56" w:rsidRDefault="00C96E56" w:rsidP="00815065">
      <w:pPr>
        <w:pStyle w:val="BodyText"/>
      </w:pPr>
    </w:p>
    <w:p w14:paraId="6026723B" w14:textId="1E9D4F56" w:rsidR="00C96E56" w:rsidRDefault="00C96E56" w:rsidP="00815065">
      <w:pPr>
        <w:pStyle w:val="BodyText"/>
        <w:tabs>
          <w:tab w:val="left" w:pos="1134"/>
        </w:tabs>
      </w:pPr>
      <w:r>
        <w:t>Dated:</w:t>
      </w:r>
      <w:r>
        <w:tab/>
      </w:r>
      <w:bookmarkStart w:id="52" w:name="CertifyDated"/>
      <w:r>
        <w:t>19 July 2024</w:t>
      </w:r>
      <w:bookmarkEnd w:id="52"/>
    </w:p>
    <w:p w14:paraId="3DF9241D" w14:textId="52849379" w:rsidR="00C96E56" w:rsidRDefault="00C96E56" w:rsidP="00815065">
      <w:pPr>
        <w:pStyle w:val="BodyText"/>
      </w:pPr>
    </w:p>
    <w:bookmarkEnd w:id="46"/>
    <w:p w14:paraId="56A91396" w14:textId="5A958CB7" w:rsidR="00C96E56" w:rsidRPr="005271F3" w:rsidRDefault="00C96E56" w:rsidP="00C96E56">
      <w:pPr>
        <w:pStyle w:val="BodyText"/>
      </w:pPr>
    </w:p>
    <w:sectPr w:rsidR="00C96E56" w:rsidRPr="005271F3" w:rsidSect="00E77422">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4257B" w14:textId="77777777" w:rsidR="00E0158D" w:rsidRDefault="00E0158D">
      <w:pPr>
        <w:spacing w:line="20" w:lineRule="exact"/>
      </w:pPr>
    </w:p>
    <w:p w14:paraId="47BEB28E" w14:textId="77777777" w:rsidR="00E0158D" w:rsidRDefault="00E0158D"/>
    <w:p w14:paraId="79D4C760" w14:textId="77777777" w:rsidR="00E0158D" w:rsidRDefault="00E0158D"/>
  </w:endnote>
  <w:endnote w:type="continuationSeparator" w:id="0">
    <w:p w14:paraId="3C90685C" w14:textId="77777777" w:rsidR="00E0158D" w:rsidRDefault="00E0158D">
      <w:r>
        <w:t xml:space="preserve"> </w:t>
      </w:r>
    </w:p>
    <w:p w14:paraId="0B0071DC" w14:textId="77777777" w:rsidR="00E0158D" w:rsidRDefault="00E0158D"/>
    <w:p w14:paraId="2B1CAFA2" w14:textId="77777777" w:rsidR="00E0158D" w:rsidRDefault="00E0158D"/>
  </w:endnote>
  <w:endnote w:type="continuationNotice" w:id="1">
    <w:p w14:paraId="0F703DC1" w14:textId="77777777" w:rsidR="00E0158D" w:rsidRDefault="00E0158D">
      <w:r>
        <w:t xml:space="preserve"> </w:t>
      </w:r>
    </w:p>
    <w:p w14:paraId="5FFDDDDE" w14:textId="77777777" w:rsidR="00E0158D" w:rsidRDefault="00E0158D"/>
    <w:p w14:paraId="293575CD" w14:textId="77777777" w:rsidR="00E0158D" w:rsidRDefault="00E01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31C0" w14:textId="77777777" w:rsidR="00E31C88" w:rsidRDefault="00E31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366A" w14:textId="59445973" w:rsidR="006C6E39" w:rsidRPr="007B4425" w:rsidRDefault="00A436E8" w:rsidP="007B4425">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106BD165" wp14:editId="134CBEF9">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CCC3E"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76607F">
          <w:rPr>
            <w:bCs/>
            <w:sz w:val="18"/>
            <w:szCs w:val="18"/>
          </w:rPr>
          <w:t>Australian Securities and Investments Commission v American Express Australia Limited [2024] FCA 784</w:t>
        </w:r>
      </w:sdtContent>
    </w:sdt>
    <w:r w:rsidR="007D3251">
      <w:rPr>
        <w:bCs/>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6EEC" w14:textId="77777777" w:rsidR="00E31C88" w:rsidRDefault="00E31C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DD81" w14:textId="610A6FFF" w:rsidR="00A84FD0" w:rsidRPr="00693F07" w:rsidRDefault="00A84FD0" w:rsidP="00693F07">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0247218A" wp14:editId="7DDE5EC1">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750B0A"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A4A6909490B843D5841E0DBFB4FB2EFF"/>
        </w:placeholder>
        <w:dataBinding w:prefixMappings="xmlns:ns0='http://schemas.globalmacros.com/FCA'" w:xpath="/ns0:root[1]/ns0:Name[1]" w:storeItemID="{687E7CCB-4AA5-44E7-B148-17BA2B6F57C0}"/>
        <w:text w:multiLine="1"/>
      </w:sdtPr>
      <w:sdtEndPr/>
      <w:sdtContent>
        <w:r w:rsidR="0076607F">
          <w:rPr>
            <w:bCs/>
            <w:sz w:val="18"/>
            <w:szCs w:val="18"/>
          </w:rPr>
          <w:t>Australian Securities and Investments Commission v American Express Australia Limited [2024] FCA 784</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8A9D" w14:textId="4BD61B73" w:rsidR="00A436E8" w:rsidRPr="00693F07" w:rsidRDefault="00A436E8" w:rsidP="00693F07">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56E61816" wp14:editId="5436EC37">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3E3B94"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5317CF03FE524B3BA45AA27B932ED22A"/>
        </w:placeholder>
        <w:dataBinding w:prefixMappings="xmlns:ns0='http://schemas.globalmacros.com/FCA'" w:xpath="/ns0:root[1]/ns0:Name[1]" w:storeItemID="{687E7CCB-4AA5-44E7-B148-17BA2B6F57C0}"/>
        <w:text w:multiLine="1"/>
      </w:sdtPr>
      <w:sdtEndPr/>
      <w:sdtContent>
        <w:r w:rsidR="0076607F">
          <w:rPr>
            <w:bCs/>
            <w:sz w:val="18"/>
            <w:szCs w:val="18"/>
          </w:rPr>
          <w:t>Australian Securities and Investments Commission v American Express Australia Limited [2024] FCA 784</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2E74" w14:textId="313130EE" w:rsidR="00395B24" w:rsidRPr="00693F07" w:rsidRDefault="00A84FD0" w:rsidP="00693F07">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5A10ED38" wp14:editId="5669651E">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75663D"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ED1F34604B844BD4ABC0C82E66495DEE"/>
        </w:placeholder>
        <w:dataBinding w:prefixMappings="xmlns:ns0='http://schemas.globalmacros.com/FCA'" w:xpath="/ns0:root[1]/ns0:Name[1]" w:storeItemID="{687E7CCB-4AA5-44E7-B148-17BA2B6F57C0}"/>
        <w:text w:multiLine="1"/>
      </w:sdtPr>
      <w:sdtEndPr/>
      <w:sdtContent>
        <w:r w:rsidR="0076607F">
          <w:rPr>
            <w:bCs/>
            <w:sz w:val="18"/>
            <w:szCs w:val="18"/>
          </w:rPr>
          <w:t>Australian Securities and Investments Commission v American Express Australia Limited [2024] FCA 784</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r w:rsidR="00AB4CE3" w:rsidRPr="00693F07">
      <w:rPr>
        <w:bCs/>
        <w:sz w:val="18"/>
        <w:szCs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9E8F" w14:textId="6D4297F5" w:rsidR="002F1E49" w:rsidRPr="00693F07" w:rsidRDefault="00A84FD0" w:rsidP="00693F07">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24591FB2" wp14:editId="0A21A371">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4DB12C"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C590C0ECC58A44AFBDAB6EA94422C2DB"/>
        </w:placeholder>
        <w:dataBinding w:prefixMappings="xmlns:ns0='http://schemas.globalmacros.com/FCA'" w:xpath="/ns0:root[1]/ns0:Name[1]" w:storeItemID="{687E7CCB-4AA5-44E7-B148-17BA2B6F57C0}"/>
        <w:text w:multiLine="1"/>
      </w:sdtPr>
      <w:sdtEndPr/>
      <w:sdtContent>
        <w:r w:rsidR="0076607F">
          <w:rPr>
            <w:bCs/>
            <w:sz w:val="18"/>
            <w:szCs w:val="18"/>
          </w:rPr>
          <w:t>Australian Securities and Investments Commission v American Express Australia Limited [2024] FCA 784</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6B29C" w14:textId="77777777" w:rsidR="00E0158D" w:rsidRDefault="00E0158D"/>
  </w:footnote>
  <w:footnote w:type="continuationSeparator" w:id="0">
    <w:p w14:paraId="1D5919A1" w14:textId="77777777" w:rsidR="00E0158D" w:rsidRDefault="00E0158D">
      <w:r>
        <w:continuationSeparator/>
      </w:r>
    </w:p>
    <w:p w14:paraId="7E38F240" w14:textId="77777777" w:rsidR="00E0158D" w:rsidRDefault="00E0158D"/>
    <w:p w14:paraId="69B28D5D" w14:textId="77777777" w:rsidR="00E0158D" w:rsidRDefault="00E0158D"/>
  </w:footnote>
  <w:footnote w:type="continuationNotice" w:id="1">
    <w:p w14:paraId="73DC594E" w14:textId="77777777" w:rsidR="007367FF" w:rsidRDefault="007367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099D" w14:textId="77777777" w:rsidR="00E31C88" w:rsidRDefault="00E31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D8B3" w14:textId="77777777" w:rsidR="00E31C88" w:rsidRDefault="00E31C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06A4" w14:textId="77777777" w:rsidR="00E31C88" w:rsidRDefault="00E31C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45B3"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95FD"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F93E"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7DC6"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6360"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8BA7EEA"/>
    <w:multiLevelType w:val="multilevel"/>
    <w:tmpl w:val="D8F85E1C"/>
    <w:numStyleLink w:val="OutlineNumbered"/>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1E9E4FC1"/>
    <w:multiLevelType w:val="hybridMultilevel"/>
    <w:tmpl w:val="8DEABE88"/>
    <w:lvl w:ilvl="0" w:tplc="C248F25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204248D0"/>
    <w:multiLevelType w:val="multilevel"/>
    <w:tmpl w:val="D5F6FB64"/>
    <w:lvl w:ilvl="0">
      <w:start w:val="1"/>
      <w:numFmt w:val="decimal"/>
      <w:pStyle w:val="NumberLevel1"/>
      <w:lvlText w:val="%1."/>
      <w:lvlJc w:val="left"/>
      <w:pPr>
        <w:tabs>
          <w:tab w:val="num" w:pos="567"/>
        </w:tabs>
        <w:ind w:left="567" w:hanging="567"/>
      </w:pPr>
    </w:lvl>
    <w:lvl w:ilvl="1">
      <w:start w:val="1"/>
      <w:numFmt w:val="decimal"/>
      <w:pStyle w:val="NumberLevel2"/>
      <w:lvlText w:val="%1.%2."/>
      <w:lvlJc w:val="left"/>
      <w:pPr>
        <w:tabs>
          <w:tab w:val="num" w:pos="1134"/>
        </w:tabs>
        <w:ind w:left="1134" w:hanging="567"/>
      </w:pPr>
    </w:lvl>
    <w:lvl w:ilvl="2">
      <w:start w:val="1"/>
      <w:numFmt w:val="decimal"/>
      <w:pStyle w:val="NumberLevel3"/>
      <w:lvlText w:val="%1.%2.%3."/>
      <w:lvlJc w:val="left"/>
      <w:pPr>
        <w:tabs>
          <w:tab w:val="num" w:pos="1984"/>
        </w:tabs>
        <w:ind w:left="1984" w:hanging="850"/>
      </w:pPr>
    </w:lvl>
    <w:lvl w:ilvl="3">
      <w:start w:val="1"/>
      <w:numFmt w:val="decimal"/>
      <w:pStyle w:val="NumberLevel4"/>
      <w:lvlText w:val="%1.%2.%3.%4."/>
      <w:lvlJc w:val="left"/>
      <w:pPr>
        <w:tabs>
          <w:tab w:val="num" w:pos="2835"/>
        </w:tabs>
        <w:ind w:left="2835" w:hanging="851"/>
      </w:pPr>
    </w:lvl>
    <w:lvl w:ilvl="4">
      <w:start w:val="1"/>
      <w:numFmt w:val="decimal"/>
      <w:pStyle w:val="NumberLevel5"/>
      <w:lvlText w:val="%1.%2.%3.%4.%5."/>
      <w:lvlJc w:val="left"/>
      <w:pPr>
        <w:tabs>
          <w:tab w:val="num" w:pos="3969"/>
        </w:tabs>
        <w:ind w:left="3969" w:hanging="1134"/>
      </w:pPr>
    </w:lvl>
    <w:lvl w:ilvl="5">
      <w:start w:val="1"/>
      <w:numFmt w:val="decimal"/>
      <w:pStyle w:val="NumberLevel6"/>
      <w:lvlText w:val="%1.%2.%3.%4.%5.%6."/>
      <w:lvlJc w:val="left"/>
      <w:pPr>
        <w:tabs>
          <w:tab w:val="num" w:pos="5102"/>
        </w:tabs>
        <w:ind w:left="5102" w:hanging="1133"/>
      </w:pPr>
    </w:lvl>
    <w:lvl w:ilvl="6">
      <w:start w:val="1"/>
      <w:numFmt w:val="decimal"/>
      <w:pStyle w:val="NumberLevel7"/>
      <w:lvlText w:val="%1.%2.%3.%4.%5.%6.%7."/>
      <w:lvlJc w:val="left"/>
      <w:pPr>
        <w:tabs>
          <w:tab w:val="num" w:pos="6236"/>
        </w:tabs>
        <w:ind w:left="6236" w:hanging="1134"/>
      </w:pPr>
    </w:lvl>
    <w:lvl w:ilvl="7">
      <w:start w:val="1"/>
      <w:numFmt w:val="decimal"/>
      <w:pStyle w:val="NumberLevel8"/>
      <w:lvlText w:val="%1.%2.%3.%4.%5.%6.%7.%8."/>
      <w:lvlJc w:val="left"/>
      <w:pPr>
        <w:tabs>
          <w:tab w:val="num" w:pos="7370"/>
        </w:tabs>
        <w:ind w:left="7370" w:hanging="1134"/>
      </w:pPr>
    </w:lvl>
    <w:lvl w:ilvl="8">
      <w:start w:val="1"/>
      <w:numFmt w:val="decimal"/>
      <w:pStyle w:val="NumberLevel9"/>
      <w:lvlText w:val="%1.%2.%3.%4.%5.%6.%7.%8.%9."/>
      <w:lvlJc w:val="left"/>
      <w:pPr>
        <w:tabs>
          <w:tab w:val="num" w:pos="7370"/>
        </w:tabs>
        <w:ind w:left="7370" w:hanging="1134"/>
      </w:pPr>
    </w:lvl>
  </w:abstractNum>
  <w:abstractNum w:abstractNumId="17" w15:restartNumberingAfterBreak="0">
    <w:nsid w:val="25D51463"/>
    <w:multiLevelType w:val="multilevel"/>
    <w:tmpl w:val="D8F85E1C"/>
    <w:styleLink w:val="OutlineNumbered"/>
    <w:lvl w:ilvl="0">
      <w:start w:val="1"/>
      <w:numFmt w:val="decimal"/>
      <w:pStyle w:val="15-No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Restart w:val="0"/>
      <w:lvlText w:val="(%4)"/>
      <w:lvlJc w:val="left"/>
      <w:pPr>
        <w:tabs>
          <w:tab w:val="num" w:pos="2268"/>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AE3DD1"/>
    <w:multiLevelType w:val="singleLevel"/>
    <w:tmpl w:val="6102004A"/>
    <w:lvl w:ilvl="0">
      <w:start w:val="1"/>
      <w:numFmt w:val="decimal"/>
      <w:lvlRestart w:val="0"/>
      <w:pStyle w:val="ParaNumbering"/>
      <w:lvlText w:val="%1"/>
      <w:lvlJc w:val="left"/>
      <w:pPr>
        <w:tabs>
          <w:tab w:val="num" w:pos="720"/>
        </w:tabs>
        <w:ind w:left="0" w:hanging="720"/>
      </w:pPr>
      <w:rPr>
        <w:rFonts w:hint="default"/>
        <w:b w:val="0"/>
        <w:bCs w:val="0"/>
        <w:i w:val="0"/>
        <w:iCs/>
        <w:sz w:val="20"/>
      </w:rPr>
    </w:lvl>
  </w:abstractNum>
  <w:abstractNum w:abstractNumId="19"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1"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3" w15:restartNumberingAfterBreak="0">
    <w:nsid w:val="494817A7"/>
    <w:multiLevelType w:val="multilevel"/>
    <w:tmpl w:val="0F0EC90E"/>
    <w:numStyleLink w:val="FCListNo"/>
  </w:abstractNum>
  <w:abstractNum w:abstractNumId="24" w15:restartNumberingAfterBreak="0">
    <w:nsid w:val="49A15DDD"/>
    <w:multiLevelType w:val="hybridMultilevel"/>
    <w:tmpl w:val="99D4C79C"/>
    <w:lvl w:ilvl="0" w:tplc="5DF049C6">
      <w:start w:val="1"/>
      <w:numFmt w:val="decimal"/>
      <w:pStyle w:val="ListParagraph2"/>
      <w:lvlText w:val="%1."/>
      <w:lvlJc w:val="left"/>
      <w:pPr>
        <w:ind w:left="360" w:hanging="360"/>
      </w:pPr>
      <w:rPr>
        <w:rFonts w:ascii="Times New Roman" w:hAnsi="Times New Roman" w:cs="Times New Roman" w:hint="default"/>
        <w:i w:val="0"/>
      </w:rPr>
    </w:lvl>
    <w:lvl w:ilvl="1" w:tplc="1ECCB770">
      <w:start w:val="1"/>
      <w:numFmt w:val="lowerLetter"/>
      <w:pStyle w:val="ListParagraph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75202C60"/>
    <w:multiLevelType w:val="multilevel"/>
    <w:tmpl w:val="F564BC60"/>
    <w:lvl w:ilvl="0">
      <w:start w:val="1"/>
      <w:numFmt w:val="decimal"/>
      <w:pStyle w:val="Outlinelist-TRE"/>
      <w:lvlText w:val="%1."/>
      <w:lvlJc w:val="left"/>
      <w:pPr>
        <w:tabs>
          <w:tab w:val="num" w:pos="471"/>
        </w:tabs>
        <w:ind w:left="471" w:hanging="471"/>
      </w:pPr>
      <w:rPr>
        <w:rFonts w:ascii="Arial" w:hAnsi="Arial" w:cs="Arial" w:hint="default"/>
        <w:i w:val="0"/>
        <w:iCs/>
        <w:sz w:val="22"/>
        <w:szCs w:val="22"/>
      </w:rPr>
    </w:lvl>
    <w:lvl w:ilvl="1">
      <w:start w:val="1"/>
      <w:numFmt w:val="lowerLetter"/>
      <w:lvlText w:val="(%2)"/>
      <w:lvlJc w:val="left"/>
      <w:pPr>
        <w:ind w:left="947" w:hanging="476"/>
      </w:pPr>
      <w:rPr>
        <w:rFonts w:hint="default"/>
      </w:rPr>
    </w:lvl>
    <w:lvl w:ilvl="2">
      <w:start w:val="1"/>
      <w:numFmt w:val="lowerRoman"/>
      <w:lvlText w:val="(%3)"/>
      <w:lvlJc w:val="right"/>
      <w:pPr>
        <w:ind w:left="1474" w:hanging="2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1C1003"/>
    <w:multiLevelType w:val="multilevel"/>
    <w:tmpl w:val="04C8ECB6"/>
    <w:lvl w:ilvl="0">
      <w:start w:val="1"/>
      <w:numFmt w:val="decimal"/>
      <w:pStyle w:val="Court1"/>
      <w:lvlText w:val="%1"/>
      <w:lvlJc w:val="left"/>
      <w:pPr>
        <w:ind w:left="360" w:hanging="360"/>
      </w:pPr>
      <w:rPr>
        <w:rFonts w:hint="default"/>
      </w:rPr>
    </w:lvl>
    <w:lvl w:ilvl="1">
      <w:start w:val="1"/>
      <w:numFmt w:val="lowerLetter"/>
      <w:pStyle w:val="Court2"/>
      <w:lvlText w:val="(%2)"/>
      <w:lvlJc w:val="left"/>
      <w:pPr>
        <w:ind w:left="720" w:hanging="360"/>
      </w:pPr>
      <w:rPr>
        <w:rFonts w:hint="default"/>
      </w:rPr>
    </w:lvl>
    <w:lvl w:ilvl="2">
      <w:start w:val="1"/>
      <w:numFmt w:val="lowerRoman"/>
      <w:pStyle w:val="Court3"/>
      <w:lvlText w:val="(%3)"/>
      <w:lvlJc w:val="left"/>
      <w:pPr>
        <w:ind w:left="1080" w:hanging="360"/>
      </w:pPr>
      <w:rPr>
        <w:rFonts w:ascii="Arial" w:eastAsiaTheme="minorEastAsia" w:hAnsi="Arial" w:cs="Aria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89857556">
    <w:abstractNumId w:val="18"/>
  </w:num>
  <w:num w:numId="2" w16cid:durableId="1916935382">
    <w:abstractNumId w:val="9"/>
  </w:num>
  <w:num w:numId="3" w16cid:durableId="2036536598">
    <w:abstractNumId w:val="7"/>
  </w:num>
  <w:num w:numId="4" w16cid:durableId="1380781412">
    <w:abstractNumId w:val="6"/>
  </w:num>
  <w:num w:numId="5" w16cid:durableId="1048186967">
    <w:abstractNumId w:val="5"/>
  </w:num>
  <w:num w:numId="6" w16cid:durableId="1891991157">
    <w:abstractNumId w:val="4"/>
  </w:num>
  <w:num w:numId="7" w16cid:durableId="465046151">
    <w:abstractNumId w:val="8"/>
  </w:num>
  <w:num w:numId="8" w16cid:durableId="2031448497">
    <w:abstractNumId w:val="3"/>
  </w:num>
  <w:num w:numId="9" w16cid:durableId="1998998953">
    <w:abstractNumId w:val="2"/>
  </w:num>
  <w:num w:numId="10" w16cid:durableId="176891129">
    <w:abstractNumId w:val="1"/>
  </w:num>
  <w:num w:numId="11" w16cid:durableId="506746220">
    <w:abstractNumId w:val="0"/>
  </w:num>
  <w:num w:numId="12" w16cid:durableId="45955029">
    <w:abstractNumId w:val="27"/>
  </w:num>
  <w:num w:numId="13" w16cid:durableId="252708425">
    <w:abstractNumId w:val="25"/>
  </w:num>
  <w:num w:numId="14" w16cid:durableId="2100633326">
    <w:abstractNumId w:val="26"/>
  </w:num>
  <w:num w:numId="15" w16cid:durableId="1773933925">
    <w:abstractNumId w:val="31"/>
  </w:num>
  <w:num w:numId="16" w16cid:durableId="527645899">
    <w:abstractNumId w:val="14"/>
  </w:num>
  <w:num w:numId="17" w16cid:durableId="120267876">
    <w:abstractNumId w:val="28"/>
  </w:num>
  <w:num w:numId="18" w16cid:durableId="1374574243">
    <w:abstractNumId w:val="12"/>
  </w:num>
  <w:num w:numId="19" w16cid:durableId="657348185">
    <w:abstractNumId w:val="22"/>
  </w:num>
  <w:num w:numId="20" w16cid:durableId="1955017147">
    <w:abstractNumId w:val="19"/>
  </w:num>
  <w:num w:numId="21" w16cid:durableId="615910588">
    <w:abstractNumId w:val="20"/>
  </w:num>
  <w:num w:numId="22" w16cid:durableId="2031373324">
    <w:abstractNumId w:val="23"/>
  </w:num>
  <w:num w:numId="23" w16cid:durableId="348877071">
    <w:abstractNumId w:val="10"/>
  </w:num>
  <w:num w:numId="24" w16cid:durableId="1818379752">
    <w:abstractNumId w:val="10"/>
  </w:num>
  <w:num w:numId="25" w16cid:durableId="975523684">
    <w:abstractNumId w:val="13"/>
  </w:num>
  <w:num w:numId="26" w16cid:durableId="1805997716">
    <w:abstractNumId w:val="21"/>
  </w:num>
  <w:num w:numId="27" w16cid:durableId="2119329858">
    <w:abstractNumId w:val="21"/>
  </w:num>
  <w:num w:numId="28" w16cid:durableId="2044089107">
    <w:abstractNumId w:val="29"/>
  </w:num>
  <w:num w:numId="29" w16cid:durableId="2097315186">
    <w:abstractNumId w:val="24"/>
  </w:num>
  <w:num w:numId="30" w16cid:durableId="678049640">
    <w:abstractNumId w:val="17"/>
  </w:num>
  <w:num w:numId="31" w16cid:durableId="904144320">
    <w:abstractNumId w:val="11"/>
  </w:num>
  <w:num w:numId="32" w16cid:durableId="734160338">
    <w:abstractNumId w:val="16"/>
  </w:num>
  <w:num w:numId="33" w16cid:durableId="1848253111">
    <w:abstractNumId w:val="30"/>
  </w:num>
  <w:num w:numId="34" w16cid:durableId="119677010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617648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862862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38918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7870638">
    <w:abstractNumId w:val="15"/>
  </w:num>
  <w:num w:numId="39" w16cid:durableId="104282528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434081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69138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169788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780446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88151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8574105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7501510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461361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874416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2027193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B2"/>
    <w:rsid w:val="00000747"/>
    <w:rsid w:val="00007B46"/>
    <w:rsid w:val="000115C5"/>
    <w:rsid w:val="0001469E"/>
    <w:rsid w:val="00015993"/>
    <w:rsid w:val="000163F4"/>
    <w:rsid w:val="00017AD0"/>
    <w:rsid w:val="00021CCB"/>
    <w:rsid w:val="00022289"/>
    <w:rsid w:val="000237E9"/>
    <w:rsid w:val="00024742"/>
    <w:rsid w:val="0002487D"/>
    <w:rsid w:val="00027398"/>
    <w:rsid w:val="0003201A"/>
    <w:rsid w:val="0003207A"/>
    <w:rsid w:val="000327C7"/>
    <w:rsid w:val="00032F9F"/>
    <w:rsid w:val="000408EB"/>
    <w:rsid w:val="00041C07"/>
    <w:rsid w:val="00045BB7"/>
    <w:rsid w:val="00052132"/>
    <w:rsid w:val="000554FD"/>
    <w:rsid w:val="00055719"/>
    <w:rsid w:val="00056076"/>
    <w:rsid w:val="0005641B"/>
    <w:rsid w:val="00056C00"/>
    <w:rsid w:val="0006196A"/>
    <w:rsid w:val="000647D0"/>
    <w:rsid w:val="00064884"/>
    <w:rsid w:val="000650F0"/>
    <w:rsid w:val="00071FB3"/>
    <w:rsid w:val="0007267A"/>
    <w:rsid w:val="000748C3"/>
    <w:rsid w:val="00076DF7"/>
    <w:rsid w:val="00077768"/>
    <w:rsid w:val="00081497"/>
    <w:rsid w:val="000831EC"/>
    <w:rsid w:val="00084126"/>
    <w:rsid w:val="00085255"/>
    <w:rsid w:val="00095714"/>
    <w:rsid w:val="000A12EB"/>
    <w:rsid w:val="000A2E76"/>
    <w:rsid w:val="000A4807"/>
    <w:rsid w:val="000A4BE4"/>
    <w:rsid w:val="000B0CA9"/>
    <w:rsid w:val="000B26CF"/>
    <w:rsid w:val="000B78F2"/>
    <w:rsid w:val="000C023E"/>
    <w:rsid w:val="000C405D"/>
    <w:rsid w:val="000C5195"/>
    <w:rsid w:val="000C62EF"/>
    <w:rsid w:val="000D0809"/>
    <w:rsid w:val="000D2137"/>
    <w:rsid w:val="000D2C1A"/>
    <w:rsid w:val="000D3FD2"/>
    <w:rsid w:val="000D46B4"/>
    <w:rsid w:val="000D4B2E"/>
    <w:rsid w:val="000D4E63"/>
    <w:rsid w:val="000D5321"/>
    <w:rsid w:val="000D7A62"/>
    <w:rsid w:val="000E0A4C"/>
    <w:rsid w:val="000E0C6B"/>
    <w:rsid w:val="000E3FC8"/>
    <w:rsid w:val="000E7BAE"/>
    <w:rsid w:val="000F133D"/>
    <w:rsid w:val="000F7BB3"/>
    <w:rsid w:val="001032C4"/>
    <w:rsid w:val="0010536B"/>
    <w:rsid w:val="0011145C"/>
    <w:rsid w:val="001128BD"/>
    <w:rsid w:val="00113283"/>
    <w:rsid w:val="0011419D"/>
    <w:rsid w:val="00114B02"/>
    <w:rsid w:val="001205E8"/>
    <w:rsid w:val="00120E96"/>
    <w:rsid w:val="001220C0"/>
    <w:rsid w:val="001226C0"/>
    <w:rsid w:val="0012385B"/>
    <w:rsid w:val="00126EC8"/>
    <w:rsid w:val="0012731C"/>
    <w:rsid w:val="00132054"/>
    <w:rsid w:val="001335E9"/>
    <w:rsid w:val="00134964"/>
    <w:rsid w:val="001351B9"/>
    <w:rsid w:val="00143A05"/>
    <w:rsid w:val="00145336"/>
    <w:rsid w:val="0015236E"/>
    <w:rsid w:val="00153B13"/>
    <w:rsid w:val="00155CD2"/>
    <w:rsid w:val="00156FDE"/>
    <w:rsid w:val="00157115"/>
    <w:rsid w:val="001727A4"/>
    <w:rsid w:val="0017376C"/>
    <w:rsid w:val="001738AB"/>
    <w:rsid w:val="001765E0"/>
    <w:rsid w:val="00177759"/>
    <w:rsid w:val="00180BB3"/>
    <w:rsid w:val="0018433A"/>
    <w:rsid w:val="001852FF"/>
    <w:rsid w:val="00185DD6"/>
    <w:rsid w:val="00185E6B"/>
    <w:rsid w:val="00187BBC"/>
    <w:rsid w:val="00190EBE"/>
    <w:rsid w:val="001932F3"/>
    <w:rsid w:val="00197259"/>
    <w:rsid w:val="00197F2B"/>
    <w:rsid w:val="001A2B40"/>
    <w:rsid w:val="001A4309"/>
    <w:rsid w:val="001A46AE"/>
    <w:rsid w:val="001A6C52"/>
    <w:rsid w:val="001B1053"/>
    <w:rsid w:val="001B14AC"/>
    <w:rsid w:val="001B1F84"/>
    <w:rsid w:val="001B5A8E"/>
    <w:rsid w:val="001B5F9B"/>
    <w:rsid w:val="001B7877"/>
    <w:rsid w:val="001B7940"/>
    <w:rsid w:val="001C049B"/>
    <w:rsid w:val="001C0AB8"/>
    <w:rsid w:val="001C171A"/>
    <w:rsid w:val="001C2FE0"/>
    <w:rsid w:val="001C37CA"/>
    <w:rsid w:val="001C4085"/>
    <w:rsid w:val="001C43FB"/>
    <w:rsid w:val="001C4D51"/>
    <w:rsid w:val="001D3AD0"/>
    <w:rsid w:val="001D4303"/>
    <w:rsid w:val="001D5B76"/>
    <w:rsid w:val="001D6746"/>
    <w:rsid w:val="001D77AD"/>
    <w:rsid w:val="001E0BD0"/>
    <w:rsid w:val="001E0C61"/>
    <w:rsid w:val="001E3636"/>
    <w:rsid w:val="001E3B49"/>
    <w:rsid w:val="001E4A05"/>
    <w:rsid w:val="001E6A19"/>
    <w:rsid w:val="001E7388"/>
    <w:rsid w:val="001F13DD"/>
    <w:rsid w:val="001F2473"/>
    <w:rsid w:val="001F2DBC"/>
    <w:rsid w:val="001F73E8"/>
    <w:rsid w:val="001F75A2"/>
    <w:rsid w:val="00200897"/>
    <w:rsid w:val="00200F47"/>
    <w:rsid w:val="0020262C"/>
    <w:rsid w:val="00202723"/>
    <w:rsid w:val="00210B58"/>
    <w:rsid w:val="00211A3E"/>
    <w:rsid w:val="00213F20"/>
    <w:rsid w:val="00214055"/>
    <w:rsid w:val="00215BCA"/>
    <w:rsid w:val="002160F5"/>
    <w:rsid w:val="00216F64"/>
    <w:rsid w:val="00217AC4"/>
    <w:rsid w:val="00221461"/>
    <w:rsid w:val="00221A10"/>
    <w:rsid w:val="00224537"/>
    <w:rsid w:val="0022568D"/>
    <w:rsid w:val="002258B5"/>
    <w:rsid w:val="0023185D"/>
    <w:rsid w:val="00231B9C"/>
    <w:rsid w:val="00235956"/>
    <w:rsid w:val="00235B2D"/>
    <w:rsid w:val="00237E58"/>
    <w:rsid w:val="00242839"/>
    <w:rsid w:val="00243E5E"/>
    <w:rsid w:val="002467A6"/>
    <w:rsid w:val="00246897"/>
    <w:rsid w:val="00247C9A"/>
    <w:rsid w:val="002502C7"/>
    <w:rsid w:val="0025160C"/>
    <w:rsid w:val="002519C2"/>
    <w:rsid w:val="00251C46"/>
    <w:rsid w:val="002535D0"/>
    <w:rsid w:val="002539B3"/>
    <w:rsid w:val="00255F3B"/>
    <w:rsid w:val="0025618B"/>
    <w:rsid w:val="00256336"/>
    <w:rsid w:val="00257C3E"/>
    <w:rsid w:val="002602C2"/>
    <w:rsid w:val="002666C9"/>
    <w:rsid w:val="00270136"/>
    <w:rsid w:val="002706EA"/>
    <w:rsid w:val="00270FD7"/>
    <w:rsid w:val="002724FC"/>
    <w:rsid w:val="00274F5B"/>
    <w:rsid w:val="00280836"/>
    <w:rsid w:val="00282E1A"/>
    <w:rsid w:val="002840F1"/>
    <w:rsid w:val="00285036"/>
    <w:rsid w:val="00285922"/>
    <w:rsid w:val="00286C34"/>
    <w:rsid w:val="00286FA6"/>
    <w:rsid w:val="00287B7A"/>
    <w:rsid w:val="0029113B"/>
    <w:rsid w:val="002934C0"/>
    <w:rsid w:val="00293E1F"/>
    <w:rsid w:val="00295BB3"/>
    <w:rsid w:val="002971BE"/>
    <w:rsid w:val="0029764C"/>
    <w:rsid w:val="002A1B50"/>
    <w:rsid w:val="002A35B3"/>
    <w:rsid w:val="002B03BD"/>
    <w:rsid w:val="002B0E91"/>
    <w:rsid w:val="002B132C"/>
    <w:rsid w:val="002B3F23"/>
    <w:rsid w:val="002B4EB5"/>
    <w:rsid w:val="002B5AF5"/>
    <w:rsid w:val="002B6779"/>
    <w:rsid w:val="002B71C0"/>
    <w:rsid w:val="002B7A34"/>
    <w:rsid w:val="002C31AD"/>
    <w:rsid w:val="002C7385"/>
    <w:rsid w:val="002C7A6E"/>
    <w:rsid w:val="002C7DA5"/>
    <w:rsid w:val="002D03D6"/>
    <w:rsid w:val="002D2DBB"/>
    <w:rsid w:val="002D37D8"/>
    <w:rsid w:val="002D54A6"/>
    <w:rsid w:val="002D5D6E"/>
    <w:rsid w:val="002E0DE2"/>
    <w:rsid w:val="002E17BD"/>
    <w:rsid w:val="002E3779"/>
    <w:rsid w:val="002E5BF9"/>
    <w:rsid w:val="002E6A7A"/>
    <w:rsid w:val="002F1E49"/>
    <w:rsid w:val="002F2177"/>
    <w:rsid w:val="002F4E9C"/>
    <w:rsid w:val="002F5A66"/>
    <w:rsid w:val="002F6E15"/>
    <w:rsid w:val="00302F4E"/>
    <w:rsid w:val="003058A2"/>
    <w:rsid w:val="00305CB2"/>
    <w:rsid w:val="003069EE"/>
    <w:rsid w:val="003106B5"/>
    <w:rsid w:val="0031256C"/>
    <w:rsid w:val="00314D6C"/>
    <w:rsid w:val="0031533C"/>
    <w:rsid w:val="00316D2A"/>
    <w:rsid w:val="00322A7C"/>
    <w:rsid w:val="00322EEC"/>
    <w:rsid w:val="00323061"/>
    <w:rsid w:val="00324E1A"/>
    <w:rsid w:val="00333A78"/>
    <w:rsid w:val="0033651D"/>
    <w:rsid w:val="003402D3"/>
    <w:rsid w:val="0034068E"/>
    <w:rsid w:val="00340F50"/>
    <w:rsid w:val="0034293F"/>
    <w:rsid w:val="00343ABC"/>
    <w:rsid w:val="003463FE"/>
    <w:rsid w:val="003472FC"/>
    <w:rsid w:val="00347D41"/>
    <w:rsid w:val="00352F1E"/>
    <w:rsid w:val="003554B3"/>
    <w:rsid w:val="0035626D"/>
    <w:rsid w:val="00356632"/>
    <w:rsid w:val="00357267"/>
    <w:rsid w:val="00357C7E"/>
    <w:rsid w:val="00360279"/>
    <w:rsid w:val="003653B6"/>
    <w:rsid w:val="00370327"/>
    <w:rsid w:val="00372A77"/>
    <w:rsid w:val="00374CC4"/>
    <w:rsid w:val="003774B2"/>
    <w:rsid w:val="00380F2D"/>
    <w:rsid w:val="003845A9"/>
    <w:rsid w:val="003850C9"/>
    <w:rsid w:val="00387829"/>
    <w:rsid w:val="00390883"/>
    <w:rsid w:val="003922F8"/>
    <w:rsid w:val="00395B24"/>
    <w:rsid w:val="00397E93"/>
    <w:rsid w:val="003A20EE"/>
    <w:rsid w:val="003A2D38"/>
    <w:rsid w:val="003A3A3E"/>
    <w:rsid w:val="003A6527"/>
    <w:rsid w:val="003A7DC4"/>
    <w:rsid w:val="003A7ECC"/>
    <w:rsid w:val="003B1A04"/>
    <w:rsid w:val="003B2C72"/>
    <w:rsid w:val="003B58B4"/>
    <w:rsid w:val="003B5F36"/>
    <w:rsid w:val="003C0947"/>
    <w:rsid w:val="003C1333"/>
    <w:rsid w:val="003C1A71"/>
    <w:rsid w:val="003C20FF"/>
    <w:rsid w:val="003C3290"/>
    <w:rsid w:val="003C550A"/>
    <w:rsid w:val="003C6055"/>
    <w:rsid w:val="003D2650"/>
    <w:rsid w:val="003D560C"/>
    <w:rsid w:val="003D5C00"/>
    <w:rsid w:val="003D731C"/>
    <w:rsid w:val="003D79A0"/>
    <w:rsid w:val="003E11E6"/>
    <w:rsid w:val="003E3154"/>
    <w:rsid w:val="003E5874"/>
    <w:rsid w:val="003E728D"/>
    <w:rsid w:val="003E72D3"/>
    <w:rsid w:val="003F193E"/>
    <w:rsid w:val="003F242C"/>
    <w:rsid w:val="003F34F1"/>
    <w:rsid w:val="003F40D2"/>
    <w:rsid w:val="003F7633"/>
    <w:rsid w:val="00402905"/>
    <w:rsid w:val="004031D8"/>
    <w:rsid w:val="004065B0"/>
    <w:rsid w:val="00406CE4"/>
    <w:rsid w:val="004104B6"/>
    <w:rsid w:val="00410D76"/>
    <w:rsid w:val="00411AE8"/>
    <w:rsid w:val="00413B74"/>
    <w:rsid w:val="00416A72"/>
    <w:rsid w:val="00423AA1"/>
    <w:rsid w:val="00430D8E"/>
    <w:rsid w:val="00432D21"/>
    <w:rsid w:val="00433846"/>
    <w:rsid w:val="00433DC2"/>
    <w:rsid w:val="004342F3"/>
    <w:rsid w:val="00435C5F"/>
    <w:rsid w:val="00436155"/>
    <w:rsid w:val="00436460"/>
    <w:rsid w:val="00437289"/>
    <w:rsid w:val="00441A44"/>
    <w:rsid w:val="00441E98"/>
    <w:rsid w:val="00450F3A"/>
    <w:rsid w:val="004532F7"/>
    <w:rsid w:val="00457D5F"/>
    <w:rsid w:val="00464D51"/>
    <w:rsid w:val="00466244"/>
    <w:rsid w:val="00472027"/>
    <w:rsid w:val="00474EA4"/>
    <w:rsid w:val="004774F1"/>
    <w:rsid w:val="004804CF"/>
    <w:rsid w:val="004826E5"/>
    <w:rsid w:val="0048303D"/>
    <w:rsid w:val="00483314"/>
    <w:rsid w:val="00484962"/>
    <w:rsid w:val="00484F6D"/>
    <w:rsid w:val="00484FB7"/>
    <w:rsid w:val="0048554D"/>
    <w:rsid w:val="0049338A"/>
    <w:rsid w:val="0049417F"/>
    <w:rsid w:val="0049477B"/>
    <w:rsid w:val="00495032"/>
    <w:rsid w:val="00496C84"/>
    <w:rsid w:val="00496D41"/>
    <w:rsid w:val="004A1F6D"/>
    <w:rsid w:val="004A3D6F"/>
    <w:rsid w:val="004A5505"/>
    <w:rsid w:val="004A6602"/>
    <w:rsid w:val="004B3EFA"/>
    <w:rsid w:val="004B7E12"/>
    <w:rsid w:val="004B7FB5"/>
    <w:rsid w:val="004C2A87"/>
    <w:rsid w:val="004C2B84"/>
    <w:rsid w:val="004C4D7B"/>
    <w:rsid w:val="004C4ED3"/>
    <w:rsid w:val="004C667B"/>
    <w:rsid w:val="004C6D0B"/>
    <w:rsid w:val="004C7ECD"/>
    <w:rsid w:val="004D1FD5"/>
    <w:rsid w:val="004D2EA5"/>
    <w:rsid w:val="004D32A6"/>
    <w:rsid w:val="004D373B"/>
    <w:rsid w:val="004D53E5"/>
    <w:rsid w:val="004D7950"/>
    <w:rsid w:val="004D7BE6"/>
    <w:rsid w:val="004E680C"/>
    <w:rsid w:val="004E6DC4"/>
    <w:rsid w:val="004F03E5"/>
    <w:rsid w:val="004F21C1"/>
    <w:rsid w:val="004F4D9C"/>
    <w:rsid w:val="004F55F0"/>
    <w:rsid w:val="005018AB"/>
    <w:rsid w:val="00501A12"/>
    <w:rsid w:val="0050309C"/>
    <w:rsid w:val="0050736B"/>
    <w:rsid w:val="00507E53"/>
    <w:rsid w:val="005108F3"/>
    <w:rsid w:val="0051327C"/>
    <w:rsid w:val="0051346D"/>
    <w:rsid w:val="00513EAE"/>
    <w:rsid w:val="00513F60"/>
    <w:rsid w:val="0051434F"/>
    <w:rsid w:val="00516806"/>
    <w:rsid w:val="00516F0C"/>
    <w:rsid w:val="00520183"/>
    <w:rsid w:val="0052098C"/>
    <w:rsid w:val="00525A49"/>
    <w:rsid w:val="00525DE0"/>
    <w:rsid w:val="005262D1"/>
    <w:rsid w:val="00530876"/>
    <w:rsid w:val="0053112E"/>
    <w:rsid w:val="00533694"/>
    <w:rsid w:val="00535613"/>
    <w:rsid w:val="005359EB"/>
    <w:rsid w:val="00537945"/>
    <w:rsid w:val="0054254A"/>
    <w:rsid w:val="00542D2B"/>
    <w:rsid w:val="0054500B"/>
    <w:rsid w:val="005466B5"/>
    <w:rsid w:val="005467B0"/>
    <w:rsid w:val="00554314"/>
    <w:rsid w:val="00557335"/>
    <w:rsid w:val="00560497"/>
    <w:rsid w:val="00560B0B"/>
    <w:rsid w:val="0056277C"/>
    <w:rsid w:val="00562829"/>
    <w:rsid w:val="005629B3"/>
    <w:rsid w:val="005647D8"/>
    <w:rsid w:val="00565FD1"/>
    <w:rsid w:val="00566E90"/>
    <w:rsid w:val="0057128A"/>
    <w:rsid w:val="005724F6"/>
    <w:rsid w:val="00573AC4"/>
    <w:rsid w:val="00574970"/>
    <w:rsid w:val="005801FC"/>
    <w:rsid w:val="00585BA9"/>
    <w:rsid w:val="00587359"/>
    <w:rsid w:val="00593E9A"/>
    <w:rsid w:val="0059500A"/>
    <w:rsid w:val="00595016"/>
    <w:rsid w:val="00597AAE"/>
    <w:rsid w:val="005A0241"/>
    <w:rsid w:val="005A222C"/>
    <w:rsid w:val="005A4104"/>
    <w:rsid w:val="005A4DF8"/>
    <w:rsid w:val="005A78C8"/>
    <w:rsid w:val="005B1426"/>
    <w:rsid w:val="005B2406"/>
    <w:rsid w:val="005B299F"/>
    <w:rsid w:val="005B4128"/>
    <w:rsid w:val="005B4F22"/>
    <w:rsid w:val="005B572E"/>
    <w:rsid w:val="005B6BF9"/>
    <w:rsid w:val="005C0A8E"/>
    <w:rsid w:val="005C1767"/>
    <w:rsid w:val="005C185C"/>
    <w:rsid w:val="005C42EF"/>
    <w:rsid w:val="005D0704"/>
    <w:rsid w:val="005D08AF"/>
    <w:rsid w:val="005D189C"/>
    <w:rsid w:val="005D40D6"/>
    <w:rsid w:val="005D529B"/>
    <w:rsid w:val="005D5678"/>
    <w:rsid w:val="005E02F5"/>
    <w:rsid w:val="005E0510"/>
    <w:rsid w:val="005E176E"/>
    <w:rsid w:val="005E218E"/>
    <w:rsid w:val="005E35A0"/>
    <w:rsid w:val="005E3C3D"/>
    <w:rsid w:val="005E4310"/>
    <w:rsid w:val="005F0D1B"/>
    <w:rsid w:val="005F1865"/>
    <w:rsid w:val="005F687A"/>
    <w:rsid w:val="005F776C"/>
    <w:rsid w:val="005F7830"/>
    <w:rsid w:val="006007BD"/>
    <w:rsid w:val="006013C8"/>
    <w:rsid w:val="0060270D"/>
    <w:rsid w:val="00602F3C"/>
    <w:rsid w:val="00604342"/>
    <w:rsid w:val="00604611"/>
    <w:rsid w:val="00611586"/>
    <w:rsid w:val="00612D26"/>
    <w:rsid w:val="0061327B"/>
    <w:rsid w:val="006147A4"/>
    <w:rsid w:val="00615855"/>
    <w:rsid w:val="00616566"/>
    <w:rsid w:val="00620DA8"/>
    <w:rsid w:val="00621887"/>
    <w:rsid w:val="00624520"/>
    <w:rsid w:val="00624794"/>
    <w:rsid w:val="00625A74"/>
    <w:rsid w:val="00625F94"/>
    <w:rsid w:val="006271F5"/>
    <w:rsid w:val="00632300"/>
    <w:rsid w:val="00632759"/>
    <w:rsid w:val="00632BB7"/>
    <w:rsid w:val="00633BB2"/>
    <w:rsid w:val="00635B36"/>
    <w:rsid w:val="00636871"/>
    <w:rsid w:val="00636DAD"/>
    <w:rsid w:val="00640EE1"/>
    <w:rsid w:val="00640F4E"/>
    <w:rsid w:val="00643728"/>
    <w:rsid w:val="00643DE0"/>
    <w:rsid w:val="0064437D"/>
    <w:rsid w:val="00644E85"/>
    <w:rsid w:val="0064753D"/>
    <w:rsid w:val="006516D8"/>
    <w:rsid w:val="00652C52"/>
    <w:rsid w:val="00654CB5"/>
    <w:rsid w:val="0066063F"/>
    <w:rsid w:val="00662BB0"/>
    <w:rsid w:val="00663878"/>
    <w:rsid w:val="00664D9F"/>
    <w:rsid w:val="00667773"/>
    <w:rsid w:val="00670743"/>
    <w:rsid w:val="00672500"/>
    <w:rsid w:val="006727A0"/>
    <w:rsid w:val="0067497F"/>
    <w:rsid w:val="00675698"/>
    <w:rsid w:val="006760AB"/>
    <w:rsid w:val="00680A85"/>
    <w:rsid w:val="00680EDC"/>
    <w:rsid w:val="00681ADF"/>
    <w:rsid w:val="006820CD"/>
    <w:rsid w:val="00683C6B"/>
    <w:rsid w:val="00686D32"/>
    <w:rsid w:val="00687280"/>
    <w:rsid w:val="00690EE2"/>
    <w:rsid w:val="00690FCB"/>
    <w:rsid w:val="00693854"/>
    <w:rsid w:val="00693F07"/>
    <w:rsid w:val="00693F27"/>
    <w:rsid w:val="00694BEB"/>
    <w:rsid w:val="0069634A"/>
    <w:rsid w:val="006A0E20"/>
    <w:rsid w:val="006A24E3"/>
    <w:rsid w:val="006A5695"/>
    <w:rsid w:val="006B0439"/>
    <w:rsid w:val="006B1F34"/>
    <w:rsid w:val="006B3863"/>
    <w:rsid w:val="006B3904"/>
    <w:rsid w:val="006B46B7"/>
    <w:rsid w:val="006B5095"/>
    <w:rsid w:val="006B5B7D"/>
    <w:rsid w:val="006C335C"/>
    <w:rsid w:val="006C37D7"/>
    <w:rsid w:val="006C571A"/>
    <w:rsid w:val="006C5B46"/>
    <w:rsid w:val="006C6E39"/>
    <w:rsid w:val="006D0ECF"/>
    <w:rsid w:val="006D3D5B"/>
    <w:rsid w:val="006D4C92"/>
    <w:rsid w:val="006D4EB6"/>
    <w:rsid w:val="006D7C3B"/>
    <w:rsid w:val="006D7FBC"/>
    <w:rsid w:val="006E35BF"/>
    <w:rsid w:val="006E62DE"/>
    <w:rsid w:val="006E7850"/>
    <w:rsid w:val="006F19D8"/>
    <w:rsid w:val="006F46D6"/>
    <w:rsid w:val="006F4BBB"/>
    <w:rsid w:val="0070001E"/>
    <w:rsid w:val="007019A9"/>
    <w:rsid w:val="00701FEB"/>
    <w:rsid w:val="00702485"/>
    <w:rsid w:val="007027ED"/>
    <w:rsid w:val="007028D9"/>
    <w:rsid w:val="00706A69"/>
    <w:rsid w:val="00707218"/>
    <w:rsid w:val="00710D04"/>
    <w:rsid w:val="00712B1D"/>
    <w:rsid w:val="00715751"/>
    <w:rsid w:val="00716A9A"/>
    <w:rsid w:val="007171BA"/>
    <w:rsid w:val="00717616"/>
    <w:rsid w:val="007205F7"/>
    <w:rsid w:val="00722066"/>
    <w:rsid w:val="0073248A"/>
    <w:rsid w:val="007325D9"/>
    <w:rsid w:val="0073413F"/>
    <w:rsid w:val="0073583B"/>
    <w:rsid w:val="007360CA"/>
    <w:rsid w:val="007367FF"/>
    <w:rsid w:val="00737253"/>
    <w:rsid w:val="0074667B"/>
    <w:rsid w:val="007470BD"/>
    <w:rsid w:val="007472B0"/>
    <w:rsid w:val="007514CE"/>
    <w:rsid w:val="00753276"/>
    <w:rsid w:val="00754222"/>
    <w:rsid w:val="007557CA"/>
    <w:rsid w:val="007572D4"/>
    <w:rsid w:val="00760EC0"/>
    <w:rsid w:val="007627E8"/>
    <w:rsid w:val="0076607F"/>
    <w:rsid w:val="0076702A"/>
    <w:rsid w:val="00770B5B"/>
    <w:rsid w:val="007711BD"/>
    <w:rsid w:val="0077139F"/>
    <w:rsid w:val="00771B92"/>
    <w:rsid w:val="0078003A"/>
    <w:rsid w:val="00780771"/>
    <w:rsid w:val="007902D4"/>
    <w:rsid w:val="0079119D"/>
    <w:rsid w:val="007917F7"/>
    <w:rsid w:val="007928A9"/>
    <w:rsid w:val="007929CF"/>
    <w:rsid w:val="007962AC"/>
    <w:rsid w:val="007967C2"/>
    <w:rsid w:val="00797494"/>
    <w:rsid w:val="00797BA8"/>
    <w:rsid w:val="007A081D"/>
    <w:rsid w:val="007A1796"/>
    <w:rsid w:val="007A1A62"/>
    <w:rsid w:val="007A49E7"/>
    <w:rsid w:val="007A6F28"/>
    <w:rsid w:val="007B03C6"/>
    <w:rsid w:val="007B0DB1"/>
    <w:rsid w:val="007B1B23"/>
    <w:rsid w:val="007B4425"/>
    <w:rsid w:val="007B5673"/>
    <w:rsid w:val="007B7238"/>
    <w:rsid w:val="007B76FF"/>
    <w:rsid w:val="007C0607"/>
    <w:rsid w:val="007C2EF7"/>
    <w:rsid w:val="007C3680"/>
    <w:rsid w:val="007C3B90"/>
    <w:rsid w:val="007C3BF6"/>
    <w:rsid w:val="007C67B3"/>
    <w:rsid w:val="007D0FD2"/>
    <w:rsid w:val="007D2EF8"/>
    <w:rsid w:val="007D3251"/>
    <w:rsid w:val="007D3C1B"/>
    <w:rsid w:val="007D561F"/>
    <w:rsid w:val="007D74F7"/>
    <w:rsid w:val="007D7FD2"/>
    <w:rsid w:val="007E0C6D"/>
    <w:rsid w:val="007E13D9"/>
    <w:rsid w:val="007E2AEC"/>
    <w:rsid w:val="007E41BE"/>
    <w:rsid w:val="007E4DB6"/>
    <w:rsid w:val="007E5385"/>
    <w:rsid w:val="007E6733"/>
    <w:rsid w:val="007E7CD4"/>
    <w:rsid w:val="007F01BD"/>
    <w:rsid w:val="007F101A"/>
    <w:rsid w:val="007F12AC"/>
    <w:rsid w:val="007F4501"/>
    <w:rsid w:val="007F60DF"/>
    <w:rsid w:val="00800011"/>
    <w:rsid w:val="00801800"/>
    <w:rsid w:val="00801861"/>
    <w:rsid w:val="00801B5B"/>
    <w:rsid w:val="0080287A"/>
    <w:rsid w:val="00802E21"/>
    <w:rsid w:val="00805A30"/>
    <w:rsid w:val="008102CB"/>
    <w:rsid w:val="00817EA9"/>
    <w:rsid w:val="008202E8"/>
    <w:rsid w:val="00820F17"/>
    <w:rsid w:val="008213EC"/>
    <w:rsid w:val="008216E7"/>
    <w:rsid w:val="00821D7A"/>
    <w:rsid w:val="008251EC"/>
    <w:rsid w:val="00825BE6"/>
    <w:rsid w:val="008276B4"/>
    <w:rsid w:val="00831927"/>
    <w:rsid w:val="00832FCE"/>
    <w:rsid w:val="00833309"/>
    <w:rsid w:val="00835DC5"/>
    <w:rsid w:val="00837288"/>
    <w:rsid w:val="00841BD3"/>
    <w:rsid w:val="0084273D"/>
    <w:rsid w:val="00844E3F"/>
    <w:rsid w:val="00845A83"/>
    <w:rsid w:val="00846BB9"/>
    <w:rsid w:val="0084704C"/>
    <w:rsid w:val="008529D3"/>
    <w:rsid w:val="00860EBF"/>
    <w:rsid w:val="00862923"/>
    <w:rsid w:val="008649D5"/>
    <w:rsid w:val="0086737D"/>
    <w:rsid w:val="008712BB"/>
    <w:rsid w:val="00872451"/>
    <w:rsid w:val="008767E2"/>
    <w:rsid w:val="00877A86"/>
    <w:rsid w:val="008830E7"/>
    <w:rsid w:val="00885086"/>
    <w:rsid w:val="00890EDE"/>
    <w:rsid w:val="00892B38"/>
    <w:rsid w:val="00894FD1"/>
    <w:rsid w:val="0089744C"/>
    <w:rsid w:val="008A1578"/>
    <w:rsid w:val="008A1741"/>
    <w:rsid w:val="008A2484"/>
    <w:rsid w:val="008A46A7"/>
    <w:rsid w:val="008A52F3"/>
    <w:rsid w:val="008A66FA"/>
    <w:rsid w:val="008B01B9"/>
    <w:rsid w:val="008B04B0"/>
    <w:rsid w:val="008B5FCF"/>
    <w:rsid w:val="008C26D9"/>
    <w:rsid w:val="008C6D50"/>
    <w:rsid w:val="008C7167"/>
    <w:rsid w:val="008C71CE"/>
    <w:rsid w:val="008C7503"/>
    <w:rsid w:val="008D1617"/>
    <w:rsid w:val="008D330F"/>
    <w:rsid w:val="008D4671"/>
    <w:rsid w:val="008D48C1"/>
    <w:rsid w:val="008D5524"/>
    <w:rsid w:val="008E2B50"/>
    <w:rsid w:val="008E447E"/>
    <w:rsid w:val="008E6315"/>
    <w:rsid w:val="008E720A"/>
    <w:rsid w:val="008E7A4A"/>
    <w:rsid w:val="008F036D"/>
    <w:rsid w:val="008F0480"/>
    <w:rsid w:val="008F07FC"/>
    <w:rsid w:val="008F11E0"/>
    <w:rsid w:val="008F3EA7"/>
    <w:rsid w:val="008F78BC"/>
    <w:rsid w:val="008F7B63"/>
    <w:rsid w:val="008F7D6A"/>
    <w:rsid w:val="009005A5"/>
    <w:rsid w:val="0090093F"/>
    <w:rsid w:val="00901C86"/>
    <w:rsid w:val="00903603"/>
    <w:rsid w:val="009054CB"/>
    <w:rsid w:val="00905692"/>
    <w:rsid w:val="00905A25"/>
    <w:rsid w:val="009064F7"/>
    <w:rsid w:val="00910E6A"/>
    <w:rsid w:val="00910F5E"/>
    <w:rsid w:val="00911F8D"/>
    <w:rsid w:val="00912F94"/>
    <w:rsid w:val="00913669"/>
    <w:rsid w:val="00915D0E"/>
    <w:rsid w:val="009171BC"/>
    <w:rsid w:val="0092497E"/>
    <w:rsid w:val="00924C3A"/>
    <w:rsid w:val="0092590B"/>
    <w:rsid w:val="00925BF3"/>
    <w:rsid w:val="00925E60"/>
    <w:rsid w:val="00925F78"/>
    <w:rsid w:val="009264B3"/>
    <w:rsid w:val="00931E4C"/>
    <w:rsid w:val="00935FBE"/>
    <w:rsid w:val="009365A9"/>
    <w:rsid w:val="009365E0"/>
    <w:rsid w:val="009413CA"/>
    <w:rsid w:val="00942029"/>
    <w:rsid w:val="00942BA2"/>
    <w:rsid w:val="009432B7"/>
    <w:rsid w:val="0094356C"/>
    <w:rsid w:val="00944C86"/>
    <w:rsid w:val="00945C59"/>
    <w:rsid w:val="00947C02"/>
    <w:rsid w:val="00950BE6"/>
    <w:rsid w:val="00953DF4"/>
    <w:rsid w:val="00956512"/>
    <w:rsid w:val="00957756"/>
    <w:rsid w:val="00957DE8"/>
    <w:rsid w:val="009601C3"/>
    <w:rsid w:val="009604BE"/>
    <w:rsid w:val="00960ECB"/>
    <w:rsid w:val="009615D6"/>
    <w:rsid w:val="00963987"/>
    <w:rsid w:val="00967855"/>
    <w:rsid w:val="00967BB1"/>
    <w:rsid w:val="00971CD1"/>
    <w:rsid w:val="00972A18"/>
    <w:rsid w:val="00974709"/>
    <w:rsid w:val="0097610A"/>
    <w:rsid w:val="0097660E"/>
    <w:rsid w:val="009801AE"/>
    <w:rsid w:val="00980736"/>
    <w:rsid w:val="00981450"/>
    <w:rsid w:val="00981A39"/>
    <w:rsid w:val="00982D56"/>
    <w:rsid w:val="00983DBF"/>
    <w:rsid w:val="00984885"/>
    <w:rsid w:val="00987097"/>
    <w:rsid w:val="00991123"/>
    <w:rsid w:val="00991CAB"/>
    <w:rsid w:val="0099638B"/>
    <w:rsid w:val="009A023E"/>
    <w:rsid w:val="009A0A39"/>
    <w:rsid w:val="009A3A9C"/>
    <w:rsid w:val="009A59A5"/>
    <w:rsid w:val="009B046C"/>
    <w:rsid w:val="009B04ED"/>
    <w:rsid w:val="009B13FA"/>
    <w:rsid w:val="009B1E2D"/>
    <w:rsid w:val="009B2A55"/>
    <w:rsid w:val="009B3AB5"/>
    <w:rsid w:val="009B66CD"/>
    <w:rsid w:val="009C1070"/>
    <w:rsid w:val="009C3B59"/>
    <w:rsid w:val="009C4C52"/>
    <w:rsid w:val="009C59FB"/>
    <w:rsid w:val="009C6A29"/>
    <w:rsid w:val="009C6F3B"/>
    <w:rsid w:val="009C7584"/>
    <w:rsid w:val="009D05C0"/>
    <w:rsid w:val="009D071E"/>
    <w:rsid w:val="009D1467"/>
    <w:rsid w:val="009D328D"/>
    <w:rsid w:val="009E4FA6"/>
    <w:rsid w:val="009E5A40"/>
    <w:rsid w:val="009E7D93"/>
    <w:rsid w:val="009F0CF4"/>
    <w:rsid w:val="009F2DA0"/>
    <w:rsid w:val="009F3C34"/>
    <w:rsid w:val="009F462C"/>
    <w:rsid w:val="009F5C33"/>
    <w:rsid w:val="009F7779"/>
    <w:rsid w:val="00A026F0"/>
    <w:rsid w:val="00A03BB8"/>
    <w:rsid w:val="00A03EAC"/>
    <w:rsid w:val="00A04DBB"/>
    <w:rsid w:val="00A04E51"/>
    <w:rsid w:val="00A05031"/>
    <w:rsid w:val="00A07EA0"/>
    <w:rsid w:val="00A1114A"/>
    <w:rsid w:val="00A11CA6"/>
    <w:rsid w:val="00A1340B"/>
    <w:rsid w:val="00A14E58"/>
    <w:rsid w:val="00A20AB2"/>
    <w:rsid w:val="00A20C49"/>
    <w:rsid w:val="00A215DB"/>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06A"/>
    <w:rsid w:val="00A73B04"/>
    <w:rsid w:val="00A76C13"/>
    <w:rsid w:val="00A81294"/>
    <w:rsid w:val="00A834FE"/>
    <w:rsid w:val="00A84109"/>
    <w:rsid w:val="00A84FD0"/>
    <w:rsid w:val="00A92E79"/>
    <w:rsid w:val="00A950B6"/>
    <w:rsid w:val="00A95D45"/>
    <w:rsid w:val="00A95DAA"/>
    <w:rsid w:val="00AA0BC2"/>
    <w:rsid w:val="00AA15DC"/>
    <w:rsid w:val="00AA3EA8"/>
    <w:rsid w:val="00AA41E2"/>
    <w:rsid w:val="00AA5228"/>
    <w:rsid w:val="00AA6BFE"/>
    <w:rsid w:val="00AA6E0F"/>
    <w:rsid w:val="00AB41C1"/>
    <w:rsid w:val="00AB4CE3"/>
    <w:rsid w:val="00AB4CF2"/>
    <w:rsid w:val="00AB519C"/>
    <w:rsid w:val="00AB6CCA"/>
    <w:rsid w:val="00AC223F"/>
    <w:rsid w:val="00AC33B1"/>
    <w:rsid w:val="00AC7631"/>
    <w:rsid w:val="00AD12A8"/>
    <w:rsid w:val="00AD51B2"/>
    <w:rsid w:val="00AE023F"/>
    <w:rsid w:val="00AF3577"/>
    <w:rsid w:val="00AF35F9"/>
    <w:rsid w:val="00AF72F9"/>
    <w:rsid w:val="00B02D72"/>
    <w:rsid w:val="00B0424C"/>
    <w:rsid w:val="00B05C7D"/>
    <w:rsid w:val="00B06133"/>
    <w:rsid w:val="00B12636"/>
    <w:rsid w:val="00B132BB"/>
    <w:rsid w:val="00B1420E"/>
    <w:rsid w:val="00B15AF2"/>
    <w:rsid w:val="00B15D57"/>
    <w:rsid w:val="00B16347"/>
    <w:rsid w:val="00B166B6"/>
    <w:rsid w:val="00B17D6E"/>
    <w:rsid w:val="00B22761"/>
    <w:rsid w:val="00B2313C"/>
    <w:rsid w:val="00B2435E"/>
    <w:rsid w:val="00B30D2A"/>
    <w:rsid w:val="00B30EC1"/>
    <w:rsid w:val="00B346C3"/>
    <w:rsid w:val="00B36A78"/>
    <w:rsid w:val="00B4005C"/>
    <w:rsid w:val="00B402DF"/>
    <w:rsid w:val="00B4227E"/>
    <w:rsid w:val="00B4471C"/>
    <w:rsid w:val="00B451A6"/>
    <w:rsid w:val="00B472FA"/>
    <w:rsid w:val="00B53278"/>
    <w:rsid w:val="00B54584"/>
    <w:rsid w:val="00B55030"/>
    <w:rsid w:val="00B551EF"/>
    <w:rsid w:val="00B554F0"/>
    <w:rsid w:val="00B56D6E"/>
    <w:rsid w:val="00B60475"/>
    <w:rsid w:val="00B63718"/>
    <w:rsid w:val="00B63758"/>
    <w:rsid w:val="00B64347"/>
    <w:rsid w:val="00B65DC6"/>
    <w:rsid w:val="00B66EBB"/>
    <w:rsid w:val="00B67AC2"/>
    <w:rsid w:val="00B70A71"/>
    <w:rsid w:val="00B710F2"/>
    <w:rsid w:val="00B722DE"/>
    <w:rsid w:val="00B751E3"/>
    <w:rsid w:val="00B75BA6"/>
    <w:rsid w:val="00B76C44"/>
    <w:rsid w:val="00B8144C"/>
    <w:rsid w:val="00B8184A"/>
    <w:rsid w:val="00B82283"/>
    <w:rsid w:val="00B828C8"/>
    <w:rsid w:val="00B828D8"/>
    <w:rsid w:val="00B83F87"/>
    <w:rsid w:val="00B856AE"/>
    <w:rsid w:val="00B87CDC"/>
    <w:rsid w:val="00B910C1"/>
    <w:rsid w:val="00B91A97"/>
    <w:rsid w:val="00B93DBB"/>
    <w:rsid w:val="00B94525"/>
    <w:rsid w:val="00B96D2B"/>
    <w:rsid w:val="00B9708D"/>
    <w:rsid w:val="00BA2CA4"/>
    <w:rsid w:val="00BA2EFA"/>
    <w:rsid w:val="00BA3DBC"/>
    <w:rsid w:val="00BA4AEC"/>
    <w:rsid w:val="00BA537A"/>
    <w:rsid w:val="00BA6F3B"/>
    <w:rsid w:val="00BA707A"/>
    <w:rsid w:val="00BB013E"/>
    <w:rsid w:val="00BB0543"/>
    <w:rsid w:val="00BB1AFB"/>
    <w:rsid w:val="00BB27AE"/>
    <w:rsid w:val="00BB2DA2"/>
    <w:rsid w:val="00BB56DC"/>
    <w:rsid w:val="00BC1D40"/>
    <w:rsid w:val="00BC3CBE"/>
    <w:rsid w:val="00BC686A"/>
    <w:rsid w:val="00BE063E"/>
    <w:rsid w:val="00BE183D"/>
    <w:rsid w:val="00BE3F28"/>
    <w:rsid w:val="00BF061E"/>
    <w:rsid w:val="00BF24C2"/>
    <w:rsid w:val="00BF2922"/>
    <w:rsid w:val="00BF5D7A"/>
    <w:rsid w:val="00C01C2E"/>
    <w:rsid w:val="00C027EC"/>
    <w:rsid w:val="00C02D33"/>
    <w:rsid w:val="00C04B53"/>
    <w:rsid w:val="00C1232C"/>
    <w:rsid w:val="00C2253A"/>
    <w:rsid w:val="00C2798B"/>
    <w:rsid w:val="00C27C6B"/>
    <w:rsid w:val="00C3594D"/>
    <w:rsid w:val="00C35B66"/>
    <w:rsid w:val="00C36442"/>
    <w:rsid w:val="00C37356"/>
    <w:rsid w:val="00C400CE"/>
    <w:rsid w:val="00C406D9"/>
    <w:rsid w:val="00C410FD"/>
    <w:rsid w:val="00C42926"/>
    <w:rsid w:val="00C4563F"/>
    <w:rsid w:val="00C457DE"/>
    <w:rsid w:val="00C47DD3"/>
    <w:rsid w:val="00C50B07"/>
    <w:rsid w:val="00C52B66"/>
    <w:rsid w:val="00C5316F"/>
    <w:rsid w:val="00C53562"/>
    <w:rsid w:val="00C539FB"/>
    <w:rsid w:val="00C5541A"/>
    <w:rsid w:val="00C575FD"/>
    <w:rsid w:val="00C66672"/>
    <w:rsid w:val="00C66AA3"/>
    <w:rsid w:val="00C66E57"/>
    <w:rsid w:val="00C71A16"/>
    <w:rsid w:val="00C724D7"/>
    <w:rsid w:val="00C74150"/>
    <w:rsid w:val="00C75594"/>
    <w:rsid w:val="00C765BF"/>
    <w:rsid w:val="00C76756"/>
    <w:rsid w:val="00C8502C"/>
    <w:rsid w:val="00C85982"/>
    <w:rsid w:val="00C875FF"/>
    <w:rsid w:val="00C9125E"/>
    <w:rsid w:val="00C93189"/>
    <w:rsid w:val="00C96E56"/>
    <w:rsid w:val="00CA0466"/>
    <w:rsid w:val="00CA246D"/>
    <w:rsid w:val="00CA4B69"/>
    <w:rsid w:val="00CA50D9"/>
    <w:rsid w:val="00CB3054"/>
    <w:rsid w:val="00CB5636"/>
    <w:rsid w:val="00CB5F30"/>
    <w:rsid w:val="00CC3EE5"/>
    <w:rsid w:val="00CC6294"/>
    <w:rsid w:val="00CC6AD2"/>
    <w:rsid w:val="00CC6E47"/>
    <w:rsid w:val="00CC73F8"/>
    <w:rsid w:val="00CD1346"/>
    <w:rsid w:val="00CD59A4"/>
    <w:rsid w:val="00CD67F8"/>
    <w:rsid w:val="00CD73B1"/>
    <w:rsid w:val="00CD7B1B"/>
    <w:rsid w:val="00CE3516"/>
    <w:rsid w:val="00CE425C"/>
    <w:rsid w:val="00CE58AC"/>
    <w:rsid w:val="00CE5D63"/>
    <w:rsid w:val="00CF0BB0"/>
    <w:rsid w:val="00CF35A4"/>
    <w:rsid w:val="00CF5A80"/>
    <w:rsid w:val="00D045EE"/>
    <w:rsid w:val="00D04EE3"/>
    <w:rsid w:val="00D05091"/>
    <w:rsid w:val="00D06EB8"/>
    <w:rsid w:val="00D074B0"/>
    <w:rsid w:val="00D10CA6"/>
    <w:rsid w:val="00D10F21"/>
    <w:rsid w:val="00D134CF"/>
    <w:rsid w:val="00D14051"/>
    <w:rsid w:val="00D1573B"/>
    <w:rsid w:val="00D24806"/>
    <w:rsid w:val="00D30DDD"/>
    <w:rsid w:val="00D34040"/>
    <w:rsid w:val="00D34E69"/>
    <w:rsid w:val="00D360F6"/>
    <w:rsid w:val="00D36C78"/>
    <w:rsid w:val="00D375EE"/>
    <w:rsid w:val="00D444C0"/>
    <w:rsid w:val="00D44D05"/>
    <w:rsid w:val="00D47930"/>
    <w:rsid w:val="00D5228D"/>
    <w:rsid w:val="00D55AE8"/>
    <w:rsid w:val="00D56056"/>
    <w:rsid w:val="00D56E9F"/>
    <w:rsid w:val="00D6085F"/>
    <w:rsid w:val="00D62699"/>
    <w:rsid w:val="00D63676"/>
    <w:rsid w:val="00D65916"/>
    <w:rsid w:val="00D6716A"/>
    <w:rsid w:val="00D73C2D"/>
    <w:rsid w:val="00D778E9"/>
    <w:rsid w:val="00D80FE2"/>
    <w:rsid w:val="00D812BF"/>
    <w:rsid w:val="00D82620"/>
    <w:rsid w:val="00D839BC"/>
    <w:rsid w:val="00D84462"/>
    <w:rsid w:val="00D85707"/>
    <w:rsid w:val="00D87C7B"/>
    <w:rsid w:val="00D9057F"/>
    <w:rsid w:val="00D93969"/>
    <w:rsid w:val="00D94451"/>
    <w:rsid w:val="00D95521"/>
    <w:rsid w:val="00D95FE9"/>
    <w:rsid w:val="00D9725F"/>
    <w:rsid w:val="00D97F3F"/>
    <w:rsid w:val="00DA01B1"/>
    <w:rsid w:val="00DA10D8"/>
    <w:rsid w:val="00DA11A2"/>
    <w:rsid w:val="00DA14ED"/>
    <w:rsid w:val="00DA24A8"/>
    <w:rsid w:val="00DA26D6"/>
    <w:rsid w:val="00DA4329"/>
    <w:rsid w:val="00DA4414"/>
    <w:rsid w:val="00DA4CDB"/>
    <w:rsid w:val="00DB1352"/>
    <w:rsid w:val="00DB1364"/>
    <w:rsid w:val="00DB284A"/>
    <w:rsid w:val="00DB2EF1"/>
    <w:rsid w:val="00DB3DE1"/>
    <w:rsid w:val="00DB5DA0"/>
    <w:rsid w:val="00DB716C"/>
    <w:rsid w:val="00DB7769"/>
    <w:rsid w:val="00DC57F7"/>
    <w:rsid w:val="00DC5C85"/>
    <w:rsid w:val="00DC7C5D"/>
    <w:rsid w:val="00DD1FC9"/>
    <w:rsid w:val="00DD4236"/>
    <w:rsid w:val="00DD44F1"/>
    <w:rsid w:val="00DD4AAA"/>
    <w:rsid w:val="00DD4E98"/>
    <w:rsid w:val="00DD6957"/>
    <w:rsid w:val="00DD6E7A"/>
    <w:rsid w:val="00DE1463"/>
    <w:rsid w:val="00DE25A4"/>
    <w:rsid w:val="00DE3067"/>
    <w:rsid w:val="00DE4942"/>
    <w:rsid w:val="00DF080D"/>
    <w:rsid w:val="00DF3305"/>
    <w:rsid w:val="00DF3619"/>
    <w:rsid w:val="00DF3EEE"/>
    <w:rsid w:val="00DF75E1"/>
    <w:rsid w:val="00E00096"/>
    <w:rsid w:val="00E0158D"/>
    <w:rsid w:val="00E027BC"/>
    <w:rsid w:val="00E03D5E"/>
    <w:rsid w:val="00E045BE"/>
    <w:rsid w:val="00E10F0D"/>
    <w:rsid w:val="00E14168"/>
    <w:rsid w:val="00E14AD8"/>
    <w:rsid w:val="00E14EA5"/>
    <w:rsid w:val="00E16685"/>
    <w:rsid w:val="00E2070E"/>
    <w:rsid w:val="00E21133"/>
    <w:rsid w:val="00E2253A"/>
    <w:rsid w:val="00E2327E"/>
    <w:rsid w:val="00E23577"/>
    <w:rsid w:val="00E25D30"/>
    <w:rsid w:val="00E266EF"/>
    <w:rsid w:val="00E27E26"/>
    <w:rsid w:val="00E31C88"/>
    <w:rsid w:val="00E326A8"/>
    <w:rsid w:val="00E375F1"/>
    <w:rsid w:val="00E41401"/>
    <w:rsid w:val="00E47428"/>
    <w:rsid w:val="00E50709"/>
    <w:rsid w:val="00E5418C"/>
    <w:rsid w:val="00E56C8E"/>
    <w:rsid w:val="00E5716B"/>
    <w:rsid w:val="00E57F02"/>
    <w:rsid w:val="00E57F1F"/>
    <w:rsid w:val="00E60493"/>
    <w:rsid w:val="00E611C0"/>
    <w:rsid w:val="00E66B9F"/>
    <w:rsid w:val="00E70A6A"/>
    <w:rsid w:val="00E710D6"/>
    <w:rsid w:val="00E73131"/>
    <w:rsid w:val="00E73DA4"/>
    <w:rsid w:val="00E74B21"/>
    <w:rsid w:val="00E74EC3"/>
    <w:rsid w:val="00E74FC3"/>
    <w:rsid w:val="00E76E45"/>
    <w:rsid w:val="00E771FC"/>
    <w:rsid w:val="00E77422"/>
    <w:rsid w:val="00E777C9"/>
    <w:rsid w:val="00E81DA6"/>
    <w:rsid w:val="00E83588"/>
    <w:rsid w:val="00E84212"/>
    <w:rsid w:val="00E8556E"/>
    <w:rsid w:val="00E9086C"/>
    <w:rsid w:val="00E90AAA"/>
    <w:rsid w:val="00E91A0F"/>
    <w:rsid w:val="00E93732"/>
    <w:rsid w:val="00E94A71"/>
    <w:rsid w:val="00E94CBF"/>
    <w:rsid w:val="00EA026F"/>
    <w:rsid w:val="00EA03CE"/>
    <w:rsid w:val="00EA0E40"/>
    <w:rsid w:val="00EA23E5"/>
    <w:rsid w:val="00EA4E2E"/>
    <w:rsid w:val="00EB0C4D"/>
    <w:rsid w:val="00EB1217"/>
    <w:rsid w:val="00EB1B77"/>
    <w:rsid w:val="00EB1B93"/>
    <w:rsid w:val="00EB2417"/>
    <w:rsid w:val="00EB2CCB"/>
    <w:rsid w:val="00EB4944"/>
    <w:rsid w:val="00EB4A10"/>
    <w:rsid w:val="00EB7A25"/>
    <w:rsid w:val="00EC0F3E"/>
    <w:rsid w:val="00EC57A7"/>
    <w:rsid w:val="00EC72A0"/>
    <w:rsid w:val="00ED0817"/>
    <w:rsid w:val="00ED267F"/>
    <w:rsid w:val="00ED7DD9"/>
    <w:rsid w:val="00EE1FDA"/>
    <w:rsid w:val="00EE234A"/>
    <w:rsid w:val="00EE445B"/>
    <w:rsid w:val="00EE793A"/>
    <w:rsid w:val="00EF02B6"/>
    <w:rsid w:val="00EF0D2D"/>
    <w:rsid w:val="00EF3113"/>
    <w:rsid w:val="00EF3F84"/>
    <w:rsid w:val="00EF4273"/>
    <w:rsid w:val="00EF4F17"/>
    <w:rsid w:val="00F10D63"/>
    <w:rsid w:val="00F157AD"/>
    <w:rsid w:val="00F176AC"/>
    <w:rsid w:val="00F20463"/>
    <w:rsid w:val="00F22A70"/>
    <w:rsid w:val="00F23424"/>
    <w:rsid w:val="00F26F28"/>
    <w:rsid w:val="00F27714"/>
    <w:rsid w:val="00F30924"/>
    <w:rsid w:val="00F3239E"/>
    <w:rsid w:val="00F3276E"/>
    <w:rsid w:val="00F33D3C"/>
    <w:rsid w:val="00F35333"/>
    <w:rsid w:val="00F360E5"/>
    <w:rsid w:val="00F37579"/>
    <w:rsid w:val="00F37A91"/>
    <w:rsid w:val="00F408A0"/>
    <w:rsid w:val="00F45CF5"/>
    <w:rsid w:val="00F47DB0"/>
    <w:rsid w:val="00F50C3F"/>
    <w:rsid w:val="00F50E34"/>
    <w:rsid w:val="00F51366"/>
    <w:rsid w:val="00F51AFB"/>
    <w:rsid w:val="00F53EF7"/>
    <w:rsid w:val="00F54757"/>
    <w:rsid w:val="00F54BF2"/>
    <w:rsid w:val="00F61DBB"/>
    <w:rsid w:val="00F621A4"/>
    <w:rsid w:val="00F665C8"/>
    <w:rsid w:val="00F66A07"/>
    <w:rsid w:val="00F66FA1"/>
    <w:rsid w:val="00F672A8"/>
    <w:rsid w:val="00F74285"/>
    <w:rsid w:val="00F76B75"/>
    <w:rsid w:val="00F775AC"/>
    <w:rsid w:val="00F77931"/>
    <w:rsid w:val="00F77DB8"/>
    <w:rsid w:val="00F82DDC"/>
    <w:rsid w:val="00F84018"/>
    <w:rsid w:val="00F8792F"/>
    <w:rsid w:val="00F9214D"/>
    <w:rsid w:val="00F92355"/>
    <w:rsid w:val="00F93963"/>
    <w:rsid w:val="00F94291"/>
    <w:rsid w:val="00FA1B36"/>
    <w:rsid w:val="00FA298A"/>
    <w:rsid w:val="00FA5B66"/>
    <w:rsid w:val="00FB00C2"/>
    <w:rsid w:val="00FB0B9C"/>
    <w:rsid w:val="00FB30EB"/>
    <w:rsid w:val="00FB4303"/>
    <w:rsid w:val="00FB4627"/>
    <w:rsid w:val="00FB6036"/>
    <w:rsid w:val="00FB7982"/>
    <w:rsid w:val="00FC0734"/>
    <w:rsid w:val="00FC0FC5"/>
    <w:rsid w:val="00FC1992"/>
    <w:rsid w:val="00FC588F"/>
    <w:rsid w:val="00FC6879"/>
    <w:rsid w:val="00FC6B0C"/>
    <w:rsid w:val="00FD00E0"/>
    <w:rsid w:val="00FD0ED3"/>
    <w:rsid w:val="00FD0EED"/>
    <w:rsid w:val="00FD43C2"/>
    <w:rsid w:val="00FD5036"/>
    <w:rsid w:val="00FD57CC"/>
    <w:rsid w:val="00FE1B30"/>
    <w:rsid w:val="00FE2611"/>
    <w:rsid w:val="00FE455B"/>
    <w:rsid w:val="00FE53B0"/>
    <w:rsid w:val="00FE61C0"/>
    <w:rsid w:val="00FE7B44"/>
    <w:rsid w:val="00FF74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4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qFormat="1"/>
    <w:lsdException w:name="List 2" w:semiHidden="1" w:uiPriority="99"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uiPriority w:val="9"/>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link w:val="Heading4Char"/>
    <w:uiPriority w:val="9"/>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uiPriority w:val="39"/>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emiHidden/>
  </w:style>
  <w:style w:type="paragraph" w:styleId="List">
    <w:name w:val="List"/>
    <w:basedOn w:val="Normal"/>
    <w:uiPriority w:val="99"/>
    <w:semiHidden/>
    <w:pPr>
      <w:ind w:left="283" w:hanging="283"/>
    </w:pPr>
  </w:style>
  <w:style w:type="paragraph" w:styleId="List2">
    <w:name w:val="List 2"/>
    <w:basedOn w:val="Normal"/>
    <w:uiPriority w:val="99"/>
    <w:semiHidden/>
    <w:qFormat/>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uiPriority w:val="99"/>
    <w:qFormat/>
    <w:pPr>
      <w:numPr>
        <w:numId w:val="7"/>
      </w:numPr>
    </w:pPr>
  </w:style>
  <w:style w:type="paragraph" w:styleId="ListNumber2">
    <w:name w:val="List Number 2"/>
    <w:basedOn w:val="Normal"/>
    <w:uiPriority w:val="99"/>
    <w:semiHidden/>
    <w:qFormat/>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uiPriority w:val="99"/>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aliases w:val="Car"/>
    <w:basedOn w:val="Normal"/>
    <w:link w:val="FootnoteTextChar"/>
    <w:uiPriority w:val="99"/>
    <w:unhideWhenUsed/>
    <w:qFormat/>
    <w:rsid w:val="00077768"/>
    <w:pPr>
      <w:spacing w:line="240" w:lineRule="auto"/>
    </w:pPr>
    <w:rPr>
      <w:sz w:val="20"/>
    </w:rPr>
  </w:style>
  <w:style w:type="character" w:customStyle="1" w:styleId="FootnoteTextChar">
    <w:name w:val="Footnote Text Char"/>
    <w:aliases w:val="Car Char"/>
    <w:basedOn w:val="DefaultParagraphFont"/>
    <w:link w:val="FootnoteText"/>
    <w:uiPriority w:val="99"/>
    <w:rsid w:val="00077768"/>
    <w:rPr>
      <w:lang w:eastAsia="en-US"/>
    </w:rPr>
  </w:style>
  <w:style w:type="character" w:styleId="FootnoteReference">
    <w:name w:val="footnote reference"/>
    <w:basedOn w:val="DefaultParagraphFont"/>
    <w:uiPriority w:val="99"/>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Outlinelist-TRE">
    <w:name w:val="Outline list - TRE"/>
    <w:basedOn w:val="List"/>
    <w:qFormat/>
    <w:rsid w:val="00EB0C4D"/>
    <w:pPr>
      <w:numPr>
        <w:numId w:val="28"/>
      </w:numPr>
      <w:spacing w:before="120" w:after="120"/>
    </w:pPr>
    <w:rPr>
      <w:rFonts w:ascii="Arial" w:eastAsiaTheme="minorHAnsi" w:hAnsi="Arial"/>
      <w:sz w:val="22"/>
      <w:szCs w:val="24"/>
      <w:lang w:val="en-US"/>
    </w:rPr>
  </w:style>
  <w:style w:type="paragraph" w:customStyle="1" w:styleId="Quotesinglespaced">
    <w:name w:val="Quote single spaced"/>
    <w:basedOn w:val="Outlinelist-TRE"/>
    <w:qFormat/>
    <w:rsid w:val="00BA4AEC"/>
    <w:pPr>
      <w:numPr>
        <w:numId w:val="0"/>
      </w:numPr>
      <w:spacing w:after="0" w:line="240" w:lineRule="auto"/>
      <w:ind w:left="720"/>
    </w:pPr>
    <w:rPr>
      <w:iCs/>
      <w:sz w:val="20"/>
      <w:szCs w:val="20"/>
    </w:rPr>
  </w:style>
  <w:style w:type="paragraph" w:customStyle="1" w:styleId="ListParagraph2">
    <w:name w:val="List Paragraph 2"/>
    <w:basedOn w:val="ListParagraph"/>
    <w:qFormat/>
    <w:rsid w:val="00120E96"/>
    <w:pPr>
      <w:numPr>
        <w:ilvl w:val="1"/>
        <w:numId w:val="29"/>
      </w:numPr>
      <w:tabs>
        <w:tab w:val="num" w:pos="360"/>
        <w:tab w:val="num" w:pos="720"/>
      </w:tabs>
      <w:ind w:left="471" w:hanging="471"/>
    </w:pPr>
    <w:rPr>
      <w:rFonts w:eastAsia="Times New Roman" w:cs="Times New Roman"/>
      <w:lang w:val="en-US"/>
    </w:rPr>
  </w:style>
  <w:style w:type="paragraph" w:styleId="ListParagraph">
    <w:name w:val="List Paragraph"/>
    <w:aliases w:val="Outline list,RVH Normal Template,Recommendation,List Paragraph1,L,List Paragraph11,List Paragraph Number,Bullet point,Content descriptions,Bullet Point,TOC style,lp1,Bullet OSM,Proposal Bullet List,List Paragraph111,F5 List Paragraph,Dot "/>
    <w:basedOn w:val="List"/>
    <w:link w:val="ListParagraphChar"/>
    <w:autoRedefine/>
    <w:uiPriority w:val="34"/>
    <w:qFormat/>
    <w:rsid w:val="00120E96"/>
    <w:pPr>
      <w:spacing w:before="120" w:after="120"/>
      <w:ind w:left="947" w:firstLine="0"/>
    </w:pPr>
    <w:rPr>
      <w:rFonts w:ascii="Arial" w:eastAsiaTheme="minorHAnsi" w:hAnsi="Arial" w:cstheme="minorBidi"/>
      <w:sz w:val="22"/>
      <w:szCs w:val="24"/>
    </w:rPr>
  </w:style>
  <w:style w:type="character" w:customStyle="1" w:styleId="Heading2Char">
    <w:name w:val="Heading 2 Char"/>
    <w:basedOn w:val="DefaultParagraphFont"/>
    <w:link w:val="Heading2"/>
    <w:uiPriority w:val="9"/>
    <w:rsid w:val="00120E96"/>
    <w:rPr>
      <w:b/>
      <w:sz w:val="24"/>
      <w:szCs w:val="24"/>
      <w:lang w:eastAsia="en-US"/>
    </w:rPr>
  </w:style>
  <w:style w:type="paragraph" w:customStyle="1" w:styleId="Normal15spacing">
    <w:name w:val="Normal 1.5 spacing"/>
    <w:basedOn w:val="Normal"/>
    <w:autoRedefine/>
    <w:qFormat/>
    <w:rsid w:val="00120E96"/>
    <w:pPr>
      <w:spacing w:after="120"/>
      <w:jc w:val="left"/>
    </w:pPr>
    <w:rPr>
      <w:rFonts w:ascii="Arial" w:eastAsiaTheme="minorHAnsi" w:hAnsi="Arial" w:cstheme="minorBidi"/>
      <w:sz w:val="22"/>
      <w:szCs w:val="24"/>
    </w:rPr>
  </w:style>
  <w:style w:type="paragraph" w:customStyle="1" w:styleId="List2indented">
    <w:name w:val="List 2 indented"/>
    <w:basedOn w:val="ListParagraph"/>
    <w:qFormat/>
    <w:rsid w:val="00120E96"/>
    <w:pPr>
      <w:ind w:left="1440" w:hanging="1080"/>
    </w:pPr>
    <w:rPr>
      <w:lang w:val="en-US"/>
    </w:rPr>
  </w:style>
  <w:style w:type="character" w:customStyle="1" w:styleId="Heading1Char">
    <w:name w:val="Heading 1 Char"/>
    <w:basedOn w:val="DefaultParagraphFont"/>
    <w:link w:val="Heading1"/>
    <w:uiPriority w:val="9"/>
    <w:rsid w:val="00120E96"/>
    <w:rPr>
      <w:b/>
      <w:caps/>
      <w:kern w:val="28"/>
      <w:sz w:val="24"/>
      <w:lang w:eastAsia="en-US"/>
    </w:rPr>
  </w:style>
  <w:style w:type="character" w:styleId="UnresolvedMention">
    <w:name w:val="Unresolved Mention"/>
    <w:basedOn w:val="DefaultParagraphFont"/>
    <w:uiPriority w:val="99"/>
    <w:semiHidden/>
    <w:unhideWhenUsed/>
    <w:rsid w:val="00120E96"/>
    <w:rPr>
      <w:color w:val="605E5C"/>
      <w:shd w:val="clear" w:color="auto" w:fill="E1DFDD"/>
    </w:rPr>
  </w:style>
  <w:style w:type="character" w:customStyle="1" w:styleId="FooterChar">
    <w:name w:val="Footer Char"/>
    <w:basedOn w:val="DefaultParagraphFont"/>
    <w:link w:val="Footer"/>
    <w:uiPriority w:val="99"/>
    <w:rsid w:val="00120E96"/>
    <w:rPr>
      <w:sz w:val="24"/>
      <w:lang w:eastAsia="en-US"/>
    </w:rPr>
  </w:style>
  <w:style w:type="character" w:customStyle="1" w:styleId="HeaderChar">
    <w:name w:val="Header Char"/>
    <w:basedOn w:val="DefaultParagraphFont"/>
    <w:link w:val="Header"/>
    <w:uiPriority w:val="99"/>
    <w:rsid w:val="00120E96"/>
    <w:rPr>
      <w:sz w:val="24"/>
      <w:lang w:eastAsia="en-US"/>
    </w:rPr>
  </w:style>
  <w:style w:type="paragraph" w:styleId="NoSpacing">
    <w:name w:val="No Spacing"/>
    <w:aliases w:val="Footnote"/>
    <w:uiPriority w:val="1"/>
    <w:qFormat/>
    <w:rsid w:val="00120E96"/>
    <w:rPr>
      <w:rFonts w:eastAsiaTheme="minorHAnsi" w:cstheme="minorBidi"/>
      <w:sz w:val="24"/>
      <w:szCs w:val="24"/>
      <w:lang w:eastAsia="en-US"/>
    </w:rPr>
  </w:style>
  <w:style w:type="character" w:customStyle="1" w:styleId="Heading3Char">
    <w:name w:val="Heading 3 Char"/>
    <w:basedOn w:val="DefaultParagraphFont"/>
    <w:link w:val="Heading3"/>
    <w:uiPriority w:val="9"/>
    <w:rsid w:val="00120E96"/>
    <w:rPr>
      <w:b/>
      <w:i/>
      <w:sz w:val="24"/>
      <w:lang w:eastAsia="en-US"/>
    </w:rPr>
  </w:style>
  <w:style w:type="character" w:customStyle="1" w:styleId="Heading4Char">
    <w:name w:val="Heading 4 Char"/>
    <w:basedOn w:val="DefaultParagraphFont"/>
    <w:link w:val="Heading4"/>
    <w:uiPriority w:val="9"/>
    <w:rsid w:val="00120E96"/>
    <w:rPr>
      <w:i/>
      <w:sz w:val="24"/>
      <w:szCs w:val="24"/>
      <w:lang w:eastAsia="en-US"/>
    </w:rPr>
  </w:style>
  <w:style w:type="paragraph" w:styleId="Title">
    <w:name w:val="Title"/>
    <w:basedOn w:val="Normal"/>
    <w:next w:val="Normal"/>
    <w:link w:val="TitleChar"/>
    <w:uiPriority w:val="10"/>
    <w:qFormat/>
    <w:rsid w:val="00120E96"/>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E96"/>
    <w:rPr>
      <w:rFonts w:asciiTheme="majorHAnsi" w:eastAsiaTheme="majorEastAsia" w:hAnsiTheme="majorHAnsi" w:cstheme="majorBidi"/>
      <w:spacing w:val="-10"/>
      <w:kern w:val="28"/>
      <w:sz w:val="56"/>
      <w:szCs w:val="56"/>
      <w:lang w:eastAsia="en-US"/>
    </w:rPr>
  </w:style>
  <w:style w:type="paragraph" w:customStyle="1" w:styleId="subsection">
    <w:name w:val="subsection"/>
    <w:basedOn w:val="Normal"/>
    <w:rsid w:val="00120E96"/>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120E96"/>
    <w:pPr>
      <w:spacing w:before="100" w:beforeAutospacing="1" w:after="100" w:afterAutospacing="1" w:line="240" w:lineRule="auto"/>
      <w:jc w:val="left"/>
    </w:pPr>
    <w:rPr>
      <w:rFonts w:eastAsia="Times New Roman"/>
      <w:szCs w:val="24"/>
      <w:lang w:eastAsia="en-AU"/>
    </w:rPr>
  </w:style>
  <w:style w:type="numbering" w:customStyle="1" w:styleId="OutlineNumbered">
    <w:name w:val="Outline Numbered"/>
    <w:uiPriority w:val="99"/>
    <w:rsid w:val="00120E96"/>
    <w:pPr>
      <w:numPr>
        <w:numId w:val="30"/>
      </w:numPr>
    </w:pPr>
  </w:style>
  <w:style w:type="character" w:customStyle="1" w:styleId="BalloonTextChar">
    <w:name w:val="Balloon Text Char"/>
    <w:basedOn w:val="DefaultParagraphFont"/>
    <w:link w:val="BalloonText"/>
    <w:uiPriority w:val="99"/>
    <w:semiHidden/>
    <w:rsid w:val="00120E96"/>
    <w:rPr>
      <w:rFonts w:ascii="Tahoma" w:hAnsi="Tahoma" w:cs="Tahoma"/>
      <w:sz w:val="16"/>
      <w:szCs w:val="16"/>
      <w:lang w:eastAsia="en-US"/>
    </w:rPr>
  </w:style>
  <w:style w:type="paragraph" w:customStyle="1" w:styleId="15-Nos">
    <w:name w:val="1.5 - Nos"/>
    <w:basedOn w:val="ListParagraph"/>
    <w:link w:val="15-NosChar"/>
    <w:qFormat/>
    <w:rsid w:val="00120E96"/>
    <w:pPr>
      <w:numPr>
        <w:numId w:val="31"/>
      </w:numPr>
      <w:tabs>
        <w:tab w:val="clear" w:pos="567"/>
        <w:tab w:val="num" w:pos="1209"/>
      </w:tabs>
      <w:spacing w:before="140" w:after="280"/>
      <w:ind w:left="1209" w:hanging="360"/>
    </w:pPr>
    <w:rPr>
      <w:rFonts w:cs="Arial"/>
      <w:sz w:val="24"/>
    </w:rPr>
  </w:style>
  <w:style w:type="character" w:customStyle="1" w:styleId="15-NosChar">
    <w:name w:val="1.5 - Nos Char"/>
    <w:basedOn w:val="DefaultParagraphFont"/>
    <w:link w:val="15-Nos"/>
    <w:rsid w:val="00120E96"/>
    <w:rPr>
      <w:rFonts w:ascii="Arial" w:eastAsiaTheme="minorHAnsi" w:hAnsi="Arial" w:cs="Arial"/>
      <w:sz w:val="24"/>
      <w:szCs w:val="24"/>
      <w:lang w:eastAsia="en-US"/>
    </w:rPr>
  </w:style>
  <w:style w:type="paragraph" w:customStyle="1" w:styleId="NumberLevel1">
    <w:name w:val="Number Level 1"/>
    <w:aliases w:val="N1"/>
    <w:basedOn w:val="Normal"/>
    <w:qFormat/>
    <w:rsid w:val="00120E96"/>
    <w:pPr>
      <w:numPr>
        <w:numId w:val="32"/>
      </w:numPr>
      <w:spacing w:before="280" w:after="140" w:line="280" w:lineRule="atLeast"/>
      <w:jc w:val="left"/>
      <w:outlineLvl w:val="0"/>
    </w:pPr>
    <w:rPr>
      <w:rFonts w:ascii="Arial" w:eastAsia="Times New Roman" w:hAnsi="Arial" w:cs="Arial"/>
      <w:sz w:val="22"/>
      <w:szCs w:val="22"/>
      <w:lang w:eastAsia="en-AU"/>
    </w:rPr>
  </w:style>
  <w:style w:type="paragraph" w:customStyle="1" w:styleId="NumberLevel2">
    <w:name w:val="Number Level 2"/>
    <w:aliases w:val="N2"/>
    <w:basedOn w:val="Normal"/>
    <w:qFormat/>
    <w:rsid w:val="00120E96"/>
    <w:pPr>
      <w:numPr>
        <w:ilvl w:val="1"/>
        <w:numId w:val="32"/>
      </w:numPr>
      <w:spacing w:before="280" w:after="140" w:line="280" w:lineRule="atLeast"/>
      <w:jc w:val="left"/>
      <w:outlineLvl w:val="1"/>
    </w:pPr>
    <w:rPr>
      <w:rFonts w:ascii="Arial" w:eastAsia="Times New Roman" w:hAnsi="Arial" w:cs="Arial"/>
      <w:sz w:val="22"/>
      <w:szCs w:val="22"/>
      <w:lang w:eastAsia="en-AU"/>
    </w:rPr>
  </w:style>
  <w:style w:type="paragraph" w:customStyle="1" w:styleId="NumberLevel3">
    <w:name w:val="Number Level 3"/>
    <w:aliases w:val="N3"/>
    <w:basedOn w:val="Normal"/>
    <w:qFormat/>
    <w:rsid w:val="00120E96"/>
    <w:pPr>
      <w:numPr>
        <w:ilvl w:val="2"/>
        <w:numId w:val="32"/>
      </w:numPr>
      <w:spacing w:before="280" w:after="140" w:line="280" w:lineRule="atLeast"/>
      <w:jc w:val="left"/>
      <w:outlineLvl w:val="2"/>
    </w:pPr>
    <w:rPr>
      <w:rFonts w:ascii="Arial" w:eastAsia="Times New Roman" w:hAnsi="Arial" w:cs="Arial"/>
      <w:sz w:val="22"/>
      <w:szCs w:val="22"/>
      <w:lang w:eastAsia="en-AU"/>
    </w:rPr>
  </w:style>
  <w:style w:type="paragraph" w:customStyle="1" w:styleId="NumberLevel4">
    <w:name w:val="Number Level 4"/>
    <w:aliases w:val="N4"/>
    <w:basedOn w:val="Normal"/>
    <w:qFormat/>
    <w:rsid w:val="00120E96"/>
    <w:pPr>
      <w:numPr>
        <w:ilvl w:val="3"/>
        <w:numId w:val="32"/>
      </w:numPr>
      <w:spacing w:before="280" w:after="140" w:line="280" w:lineRule="atLeast"/>
      <w:jc w:val="left"/>
      <w:outlineLvl w:val="3"/>
    </w:pPr>
    <w:rPr>
      <w:rFonts w:ascii="Arial" w:eastAsia="Times New Roman" w:hAnsi="Arial" w:cs="Arial"/>
      <w:sz w:val="22"/>
      <w:szCs w:val="22"/>
      <w:lang w:eastAsia="en-AU"/>
    </w:rPr>
  </w:style>
  <w:style w:type="paragraph" w:customStyle="1" w:styleId="NumberLevel5">
    <w:name w:val="Number Level 5"/>
    <w:aliases w:val="N5"/>
    <w:basedOn w:val="Normal"/>
    <w:rsid w:val="00120E96"/>
    <w:pPr>
      <w:numPr>
        <w:ilvl w:val="4"/>
        <w:numId w:val="32"/>
      </w:numPr>
      <w:spacing w:before="280" w:after="140" w:line="280" w:lineRule="atLeast"/>
      <w:jc w:val="left"/>
      <w:outlineLvl w:val="4"/>
    </w:pPr>
    <w:rPr>
      <w:rFonts w:ascii="Arial" w:eastAsia="Times New Roman" w:hAnsi="Arial" w:cs="Arial"/>
      <w:sz w:val="22"/>
      <w:szCs w:val="22"/>
      <w:lang w:eastAsia="en-AU"/>
    </w:rPr>
  </w:style>
  <w:style w:type="paragraph" w:customStyle="1" w:styleId="NumberLevel6">
    <w:name w:val="Number Level 6"/>
    <w:basedOn w:val="Normal"/>
    <w:rsid w:val="00120E96"/>
    <w:pPr>
      <w:numPr>
        <w:ilvl w:val="5"/>
        <w:numId w:val="32"/>
      </w:numPr>
      <w:spacing w:before="280" w:after="140" w:line="280" w:lineRule="atLeast"/>
      <w:jc w:val="left"/>
      <w:outlineLvl w:val="5"/>
    </w:pPr>
    <w:rPr>
      <w:rFonts w:ascii="Arial" w:eastAsia="Times New Roman" w:hAnsi="Arial" w:cs="Arial"/>
      <w:sz w:val="22"/>
      <w:szCs w:val="22"/>
      <w:lang w:eastAsia="en-AU"/>
    </w:rPr>
  </w:style>
  <w:style w:type="paragraph" w:customStyle="1" w:styleId="NumberLevel7">
    <w:name w:val="Number Level 7"/>
    <w:basedOn w:val="Normal"/>
    <w:rsid w:val="00120E96"/>
    <w:pPr>
      <w:numPr>
        <w:ilvl w:val="6"/>
        <w:numId w:val="32"/>
      </w:numPr>
      <w:spacing w:before="280" w:after="140" w:line="280" w:lineRule="atLeast"/>
      <w:jc w:val="left"/>
      <w:outlineLvl w:val="6"/>
    </w:pPr>
    <w:rPr>
      <w:rFonts w:ascii="Arial" w:eastAsia="Times New Roman" w:hAnsi="Arial" w:cs="Arial"/>
      <w:sz w:val="22"/>
      <w:szCs w:val="22"/>
      <w:lang w:eastAsia="en-AU"/>
    </w:rPr>
  </w:style>
  <w:style w:type="paragraph" w:customStyle="1" w:styleId="NumberLevel8">
    <w:name w:val="Number Level 8"/>
    <w:basedOn w:val="Normal"/>
    <w:rsid w:val="00120E96"/>
    <w:pPr>
      <w:numPr>
        <w:ilvl w:val="7"/>
        <w:numId w:val="32"/>
      </w:numPr>
      <w:spacing w:before="280" w:after="140" w:line="280" w:lineRule="atLeast"/>
      <w:jc w:val="left"/>
      <w:outlineLvl w:val="7"/>
    </w:pPr>
    <w:rPr>
      <w:rFonts w:ascii="Arial" w:eastAsia="Times New Roman" w:hAnsi="Arial" w:cs="Arial"/>
      <w:sz w:val="22"/>
      <w:szCs w:val="22"/>
      <w:lang w:eastAsia="en-AU"/>
    </w:rPr>
  </w:style>
  <w:style w:type="paragraph" w:customStyle="1" w:styleId="NumberLevel9">
    <w:name w:val="Number Level 9"/>
    <w:basedOn w:val="Normal"/>
    <w:rsid w:val="00120E96"/>
    <w:pPr>
      <w:numPr>
        <w:ilvl w:val="8"/>
        <w:numId w:val="32"/>
      </w:numPr>
      <w:spacing w:before="280" w:after="140" w:line="280" w:lineRule="atLeast"/>
      <w:jc w:val="left"/>
      <w:outlineLvl w:val="8"/>
    </w:pPr>
    <w:rPr>
      <w:rFonts w:ascii="Arial" w:eastAsia="Times New Roman" w:hAnsi="Arial" w:cs="Arial"/>
      <w:sz w:val="22"/>
      <w:szCs w:val="22"/>
      <w:lang w:eastAsia="en-AU"/>
    </w:rPr>
  </w:style>
  <w:style w:type="character" w:customStyle="1" w:styleId="CommentTextChar">
    <w:name w:val="Comment Text Char"/>
    <w:basedOn w:val="DefaultParagraphFont"/>
    <w:link w:val="CommentText"/>
    <w:uiPriority w:val="99"/>
    <w:rsid w:val="00120E96"/>
    <w:rPr>
      <w:lang w:eastAsia="en-US"/>
    </w:rPr>
  </w:style>
  <w:style w:type="character" w:customStyle="1" w:styleId="ListParagraphChar">
    <w:name w:val="List Paragraph Char"/>
    <w:aliases w:val="Outline list Char,RVH Normal Template Char,Recommendation Char,List Paragraph1 Char,L Char,List Paragraph11 Char,List Paragraph Number Char,Bullet point Char,Content descriptions Char,Bullet Point Char,TOC style Char,lp1 Char"/>
    <w:basedOn w:val="DefaultParagraphFont"/>
    <w:link w:val="ListParagraph"/>
    <w:uiPriority w:val="34"/>
    <w:locked/>
    <w:rsid w:val="00120E96"/>
    <w:rPr>
      <w:rFonts w:ascii="Arial" w:eastAsiaTheme="minorHAnsi" w:hAnsi="Arial" w:cstheme="minorBidi"/>
      <w:sz w:val="22"/>
      <w:szCs w:val="24"/>
      <w:lang w:eastAsia="en-US"/>
    </w:rPr>
  </w:style>
  <w:style w:type="paragraph" w:customStyle="1" w:styleId="Court1">
    <w:name w:val="Court 1"/>
    <w:basedOn w:val="Normal"/>
    <w:qFormat/>
    <w:rsid w:val="00120E96"/>
    <w:pPr>
      <w:numPr>
        <w:numId w:val="33"/>
      </w:numPr>
      <w:spacing w:before="120" w:after="240"/>
      <w:jc w:val="left"/>
      <w:outlineLvl w:val="0"/>
    </w:pPr>
    <w:rPr>
      <w:rFonts w:ascii="Arial" w:eastAsiaTheme="minorEastAsia" w:hAnsi="Arial"/>
      <w:szCs w:val="24"/>
    </w:rPr>
  </w:style>
  <w:style w:type="paragraph" w:customStyle="1" w:styleId="Court2">
    <w:name w:val="Court 2"/>
    <w:basedOn w:val="Court1"/>
    <w:qFormat/>
    <w:rsid w:val="00120E96"/>
    <w:pPr>
      <w:numPr>
        <w:ilvl w:val="1"/>
      </w:numPr>
      <w:spacing w:before="140" w:after="280"/>
      <w:jc w:val="both"/>
      <w:outlineLvl w:val="1"/>
    </w:pPr>
  </w:style>
  <w:style w:type="paragraph" w:customStyle="1" w:styleId="Court3">
    <w:name w:val="Court 3"/>
    <w:basedOn w:val="Court2"/>
    <w:qFormat/>
    <w:rsid w:val="00120E96"/>
    <w:pPr>
      <w:numPr>
        <w:ilvl w:val="2"/>
      </w:numPr>
      <w:outlineLvl w:val="2"/>
    </w:pPr>
  </w:style>
  <w:style w:type="character" w:customStyle="1" w:styleId="ssit">
    <w:name w:val="ss_it"/>
    <w:basedOn w:val="DefaultParagraphFont"/>
    <w:rsid w:val="00120E96"/>
  </w:style>
  <w:style w:type="paragraph" w:customStyle="1" w:styleId="CourtHeading">
    <w:name w:val="Court Heading"/>
    <w:rsid w:val="00120E96"/>
    <w:pPr>
      <w:tabs>
        <w:tab w:val="right" w:pos="9071"/>
      </w:tabs>
      <w:spacing w:line="280" w:lineRule="atLeast"/>
    </w:pPr>
    <w:rPr>
      <w:rFonts w:ascii="Arial" w:eastAsia="Times New Roman" w:hAnsi="Arial" w:cs="Arial"/>
      <w:b/>
      <w:szCs w:val="22"/>
    </w:rPr>
  </w:style>
  <w:style w:type="paragraph" w:customStyle="1" w:styleId="Name">
    <w:name w:val="Name"/>
    <w:semiHidden/>
    <w:rsid w:val="00120E96"/>
    <w:pPr>
      <w:spacing w:before="200" w:line="280" w:lineRule="atLeast"/>
      <w:jc w:val="right"/>
    </w:pPr>
    <w:rPr>
      <w:rFonts w:ascii="Arial" w:eastAsia="Times New Roman" w:hAnsi="Arial" w:cs="Arial"/>
      <w:b/>
      <w:caps/>
      <w:szCs w:val="22"/>
    </w:rPr>
  </w:style>
  <w:style w:type="paragraph" w:customStyle="1" w:styleId="DefendNo">
    <w:name w:val="DefendNo"/>
    <w:rsid w:val="00120E96"/>
    <w:pPr>
      <w:spacing w:line="240" w:lineRule="atLeast"/>
      <w:jc w:val="right"/>
    </w:pPr>
    <w:rPr>
      <w:rFonts w:ascii="Arial" w:eastAsia="Times New Roman" w:hAnsi="Arial" w:cs="Arial"/>
      <w:sz w:val="19"/>
      <w:szCs w:val="22"/>
    </w:rPr>
  </w:style>
  <w:style w:type="paragraph" w:customStyle="1" w:styleId="OnAppealFrom">
    <w:name w:val="On Appeal From"/>
    <w:basedOn w:val="Normal"/>
    <w:rsid w:val="00120E96"/>
    <w:pPr>
      <w:spacing w:line="280" w:lineRule="atLeast"/>
      <w:jc w:val="center"/>
    </w:pPr>
    <w:rPr>
      <w:rFonts w:ascii="Arial" w:eastAsia="Times New Roman" w:hAnsi="Arial" w:cs="Arial"/>
      <w:sz w:val="22"/>
      <w:szCs w:val="22"/>
      <w:lang w:eastAsia="en-AU"/>
    </w:rPr>
  </w:style>
  <w:style w:type="character" w:customStyle="1" w:styleId="zDPCourtFileNumber">
    <w:name w:val="zDP Court File Number"/>
    <w:semiHidden/>
    <w:rsid w:val="00120E96"/>
  </w:style>
  <w:style w:type="character" w:customStyle="1" w:styleId="zDPDistrictRegistry">
    <w:name w:val="zDP District Registry"/>
    <w:rsid w:val="00120E96"/>
  </w:style>
  <w:style w:type="character" w:customStyle="1" w:styleId="zDPDistrictRegistryAbbreviation">
    <w:name w:val="zDP District Registry Abbreviation"/>
    <w:semiHidden/>
    <w:rsid w:val="00120E96"/>
  </w:style>
  <w:style w:type="character" w:customStyle="1" w:styleId="zDPYearOfFiling">
    <w:name w:val="zDP Year Of Filing"/>
    <w:semiHidden/>
    <w:rsid w:val="00120E96"/>
  </w:style>
  <w:style w:type="character" w:customStyle="1" w:styleId="zDPAppealedFromCourtTribunal">
    <w:name w:val="zDP Appealed From Court/Tribunal"/>
    <w:semiHidden/>
    <w:rsid w:val="00120E96"/>
  </w:style>
  <w:style w:type="character" w:customStyle="1" w:styleId="zDPDivision">
    <w:name w:val="zDP Division"/>
    <w:basedOn w:val="DefaultParagraphFont"/>
    <w:rsid w:val="00120E96"/>
  </w:style>
  <w:style w:type="paragraph" w:customStyle="1" w:styleId="TableParagraph">
    <w:name w:val="Table Paragraph"/>
    <w:basedOn w:val="Normal"/>
    <w:uiPriority w:val="1"/>
    <w:qFormat/>
    <w:rsid w:val="00120E96"/>
    <w:pPr>
      <w:widowControl w:val="0"/>
      <w:autoSpaceDE w:val="0"/>
      <w:autoSpaceDN w:val="0"/>
      <w:spacing w:line="240" w:lineRule="auto"/>
      <w:jc w:val="left"/>
    </w:pPr>
    <w:rPr>
      <w:rFonts w:eastAsia="Times New Roman"/>
      <w:sz w:val="22"/>
      <w:szCs w:val="22"/>
      <w:lang w:val="en-US"/>
    </w:rPr>
  </w:style>
  <w:style w:type="paragraph" w:styleId="Revision">
    <w:name w:val="Revision"/>
    <w:hidden/>
    <w:uiPriority w:val="99"/>
    <w:semiHidden/>
    <w:rsid w:val="00120E96"/>
    <w:rPr>
      <w:rFonts w:ascii="Arial" w:eastAsiaTheme="minorHAnsi" w:hAnsi="Arial" w:cstheme="minorBidi"/>
      <w:sz w:val="22"/>
      <w:szCs w:val="24"/>
      <w:lang w:eastAsia="en-US"/>
    </w:rPr>
  </w:style>
  <w:style w:type="character" w:customStyle="1" w:styleId="CommentSubjectChar">
    <w:name w:val="Comment Subject Char"/>
    <w:basedOn w:val="CommentTextChar"/>
    <w:link w:val="CommentSubject"/>
    <w:uiPriority w:val="99"/>
    <w:semiHidden/>
    <w:rsid w:val="00120E96"/>
    <w:rPr>
      <w:b/>
      <w:bCs/>
      <w:lang w:eastAsia="en-US"/>
    </w:rPr>
  </w:style>
  <w:style w:type="paragraph" w:customStyle="1" w:styleId="Default">
    <w:name w:val="Default"/>
    <w:rsid w:val="00120E96"/>
    <w:pPr>
      <w:autoSpaceDE w:val="0"/>
      <w:autoSpaceDN w:val="0"/>
      <w:adjustRightInd w:val="0"/>
    </w:pPr>
    <w:rPr>
      <w:rFonts w:eastAsiaTheme="minorHAnsi"/>
      <w:color w:val="000000"/>
      <w:sz w:val="24"/>
      <w:szCs w:val="24"/>
      <w:lang w:eastAsia="en-US"/>
    </w:rPr>
  </w:style>
  <w:style w:type="character" w:customStyle="1" w:styleId="cobold">
    <w:name w:val="co_bold"/>
    <w:basedOn w:val="DefaultParagraphFont"/>
    <w:rsid w:val="00120E96"/>
  </w:style>
  <w:style w:type="character" w:customStyle="1" w:styleId="apple-converted-space">
    <w:name w:val="apple-converted-space"/>
    <w:basedOn w:val="DefaultParagraphFont"/>
    <w:rsid w:val="00120E96"/>
  </w:style>
  <w:style w:type="character" w:customStyle="1" w:styleId="colabel">
    <w:name w:val="co_label"/>
    <w:basedOn w:val="DefaultParagraphFont"/>
    <w:rsid w:val="00120E96"/>
  </w:style>
  <w:style w:type="character" w:customStyle="1" w:styleId="cf01">
    <w:name w:val="cf01"/>
    <w:basedOn w:val="DefaultParagraphFont"/>
    <w:rsid w:val="00120E96"/>
    <w:rPr>
      <w:rFonts w:ascii="Segoe UI" w:hAnsi="Segoe UI" w:cs="Segoe UI" w:hint="default"/>
      <w:sz w:val="18"/>
      <w:szCs w:val="18"/>
    </w:rPr>
  </w:style>
  <w:style w:type="character" w:styleId="Mention">
    <w:name w:val="Mention"/>
    <w:basedOn w:val="DefaultParagraphFont"/>
    <w:uiPriority w:val="99"/>
    <w:unhideWhenUsed/>
    <w:rsid w:val="00120E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53D7122AC84175B7813893196D8DB9"/>
        <w:category>
          <w:name w:val="General"/>
          <w:gallery w:val="placeholder"/>
        </w:category>
        <w:types>
          <w:type w:val="bbPlcHdr"/>
        </w:types>
        <w:behaviors>
          <w:behavior w:val="content"/>
        </w:behaviors>
        <w:guid w:val="{C875E299-03B9-45A9-B010-1320BC3231BB}"/>
      </w:docPartPr>
      <w:docPartBody>
        <w:p w:rsidR="00B87E55" w:rsidRDefault="003746D0">
          <w:pPr>
            <w:pStyle w:val="2E53D7122AC84175B7813893196D8DB9"/>
          </w:pPr>
          <w:r>
            <w:rPr>
              <w:rStyle w:val="PlaceholderText"/>
            </w:rPr>
            <w:t>MNC Text</w:t>
          </w:r>
        </w:p>
      </w:docPartBody>
    </w:docPart>
    <w:docPart>
      <w:docPartPr>
        <w:name w:val="A4A6909490B843D5841E0DBFB4FB2EFF"/>
        <w:category>
          <w:name w:val="General"/>
          <w:gallery w:val="placeholder"/>
        </w:category>
        <w:types>
          <w:type w:val="bbPlcHdr"/>
        </w:types>
        <w:behaviors>
          <w:behavior w:val="content"/>
        </w:behaviors>
        <w:guid w:val="{5F28E1EA-2340-4707-A902-4A6DEDB7C300}"/>
      </w:docPartPr>
      <w:docPartBody>
        <w:p w:rsidR="00B87E55" w:rsidRDefault="003746D0">
          <w:pPr>
            <w:pStyle w:val="A4A6909490B843D5841E0DBFB4FB2EFF"/>
          </w:pPr>
          <w:r w:rsidRPr="005C44BE">
            <w:rPr>
              <w:rStyle w:val="PlaceholderText"/>
            </w:rPr>
            <w:t>Click or tap here to enter text.</w:t>
          </w:r>
        </w:p>
      </w:docPartBody>
    </w:docPart>
    <w:docPart>
      <w:docPartPr>
        <w:name w:val="5317CF03FE524B3BA45AA27B932ED22A"/>
        <w:category>
          <w:name w:val="General"/>
          <w:gallery w:val="placeholder"/>
        </w:category>
        <w:types>
          <w:type w:val="bbPlcHdr"/>
        </w:types>
        <w:behaviors>
          <w:behavior w:val="content"/>
        </w:behaviors>
        <w:guid w:val="{CE155848-DBE6-480C-8CB6-5383EC47B53F}"/>
      </w:docPartPr>
      <w:docPartBody>
        <w:p w:rsidR="00B87E55" w:rsidRDefault="003746D0">
          <w:pPr>
            <w:pStyle w:val="5317CF03FE524B3BA45AA27B932ED22A"/>
          </w:pPr>
          <w:r w:rsidRPr="005C44BE">
            <w:rPr>
              <w:rStyle w:val="PlaceholderText"/>
            </w:rPr>
            <w:t>Click or tap here to enter text.</w:t>
          </w:r>
        </w:p>
      </w:docPartBody>
    </w:docPart>
    <w:docPart>
      <w:docPartPr>
        <w:name w:val="ED1F34604B844BD4ABC0C82E66495DEE"/>
        <w:category>
          <w:name w:val="General"/>
          <w:gallery w:val="placeholder"/>
        </w:category>
        <w:types>
          <w:type w:val="bbPlcHdr"/>
        </w:types>
        <w:behaviors>
          <w:behavior w:val="content"/>
        </w:behaviors>
        <w:guid w:val="{60AFF5FC-89A6-4268-95AA-A7F7BF78C670}"/>
      </w:docPartPr>
      <w:docPartBody>
        <w:p w:rsidR="00B87E55" w:rsidRDefault="003746D0">
          <w:pPr>
            <w:pStyle w:val="ED1F34604B844BD4ABC0C82E66495DEE"/>
          </w:pPr>
          <w:r w:rsidRPr="005C44BE">
            <w:rPr>
              <w:rStyle w:val="PlaceholderText"/>
            </w:rPr>
            <w:t>Click or tap here to enter text.</w:t>
          </w:r>
        </w:p>
      </w:docPartBody>
    </w:docPart>
    <w:docPart>
      <w:docPartPr>
        <w:name w:val="C590C0ECC58A44AFBDAB6EA94422C2DB"/>
        <w:category>
          <w:name w:val="General"/>
          <w:gallery w:val="placeholder"/>
        </w:category>
        <w:types>
          <w:type w:val="bbPlcHdr"/>
        </w:types>
        <w:behaviors>
          <w:behavior w:val="content"/>
        </w:behaviors>
        <w:guid w:val="{88CA1D44-33AA-4FD7-99B5-3955957E30E5}"/>
      </w:docPartPr>
      <w:docPartBody>
        <w:p w:rsidR="00B87E55" w:rsidRDefault="003746D0">
          <w:pPr>
            <w:pStyle w:val="C590C0ECC58A44AFBDAB6EA94422C2DB"/>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4E"/>
    <w:rsid w:val="0013034E"/>
    <w:rsid w:val="001B1E29"/>
    <w:rsid w:val="001D4C93"/>
    <w:rsid w:val="003746D0"/>
    <w:rsid w:val="0059014E"/>
    <w:rsid w:val="00796C4C"/>
    <w:rsid w:val="00A3292E"/>
    <w:rsid w:val="00B87E55"/>
    <w:rsid w:val="00BB0543"/>
    <w:rsid w:val="00DF03CD"/>
    <w:rsid w:val="00E73F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53D7122AC84175B7813893196D8DB9">
    <w:name w:val="2E53D7122AC84175B7813893196D8DB9"/>
  </w:style>
  <w:style w:type="paragraph" w:customStyle="1" w:styleId="A4A6909490B843D5841E0DBFB4FB2EFF">
    <w:name w:val="A4A6909490B843D5841E0DBFB4FB2EFF"/>
  </w:style>
  <w:style w:type="paragraph" w:customStyle="1" w:styleId="5317CF03FE524B3BA45AA27B932ED22A">
    <w:name w:val="5317CF03FE524B3BA45AA27B932ED22A"/>
  </w:style>
  <w:style w:type="paragraph" w:customStyle="1" w:styleId="ED1F34604B844BD4ABC0C82E66495DEE">
    <w:name w:val="ED1F34604B844BD4ABC0C82E66495DEE"/>
  </w:style>
  <w:style w:type="paragraph" w:customStyle="1" w:styleId="C590C0ECC58A44AFBDAB6EA94422C2DB">
    <w:name w:val="C590C0ECC58A44AFBDAB6EA94422C2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Australian Securities and Investments Commission v American Express Australia Limited [2024] FCA 784</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42</Pages>
  <Words>16491</Words>
  <Characters>85758</Characters>
  <Application>Microsoft Office Word</Application>
  <DocSecurity>0</DocSecurity>
  <PresentationFormat/>
  <Lines>1405</Lines>
  <Paragraphs>396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Australian Securities and Investments Commission v American Express Australia Limited [2024] FCA 784</vt:lpstr>
    </vt:vector>
  </TitlesOfParts>
  <Manager/>
  <Company/>
  <LinksUpToDate>false</LinksUpToDate>
  <CharactersWithSpaces>101853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2024-07-17T05:35:00Z</cp:lastPrinted>
  <dcterms:created xsi:type="dcterms:W3CDTF">2024-07-18T23:49:00Z</dcterms:created>
  <dcterms:modified xsi:type="dcterms:W3CDTF">2024-07-18T23:50:00Z</dcterms:modified>
  <cp:category/>
  <cp:contentStatus/>
  <dc:language/>
  <cp:version/>
</cp:coreProperties>
</file>